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8F" w:rsidRPr="004629D5" w:rsidRDefault="00CD7845" w:rsidP="0059567F">
      <w:pPr>
        <w:jc w:val="both"/>
        <w:rPr>
          <w:b/>
          <w:szCs w:val="24"/>
        </w:rPr>
      </w:pPr>
      <w:bookmarkStart w:id="0" w:name="_GoBack"/>
      <w:bookmarkEnd w:id="0"/>
      <w:r w:rsidRPr="004629D5">
        <w:rPr>
          <w:b/>
          <w:szCs w:val="24"/>
        </w:rPr>
        <w:t>Environmental justice challenges in UK infrastructure planning</w:t>
      </w:r>
      <w:r w:rsidR="00304AE4" w:rsidRPr="004629D5">
        <w:rPr>
          <w:b/>
          <w:szCs w:val="24"/>
        </w:rPr>
        <w:t xml:space="preserve">: lessons from </w:t>
      </w:r>
      <w:r w:rsidR="00A25D48" w:rsidRPr="004629D5">
        <w:rPr>
          <w:b/>
          <w:szCs w:val="24"/>
        </w:rPr>
        <w:t xml:space="preserve">a </w:t>
      </w:r>
      <w:r w:rsidR="001C7623" w:rsidRPr="004629D5">
        <w:rPr>
          <w:b/>
          <w:szCs w:val="24"/>
        </w:rPr>
        <w:t>Welsh</w:t>
      </w:r>
      <w:r w:rsidR="00A25D48" w:rsidRPr="004629D5">
        <w:rPr>
          <w:b/>
          <w:szCs w:val="24"/>
        </w:rPr>
        <w:t xml:space="preserve"> incinerator project</w:t>
      </w:r>
    </w:p>
    <w:p w:rsidR="0098570E" w:rsidRDefault="0098570E" w:rsidP="0059567F">
      <w:pPr>
        <w:jc w:val="both"/>
        <w:rPr>
          <w:b/>
          <w:szCs w:val="24"/>
        </w:rPr>
      </w:pPr>
    </w:p>
    <w:p w:rsidR="00983A91" w:rsidRDefault="00983A91" w:rsidP="0059567F">
      <w:pPr>
        <w:jc w:val="both"/>
        <w:rPr>
          <w:b/>
          <w:szCs w:val="24"/>
        </w:rPr>
      </w:pPr>
      <w:r w:rsidRPr="0059567F">
        <w:rPr>
          <w:b/>
          <w:szCs w:val="24"/>
        </w:rPr>
        <w:t>Abstract</w:t>
      </w:r>
    </w:p>
    <w:p w:rsidR="0056171A" w:rsidRDefault="0056171A" w:rsidP="0056171A">
      <w:pPr>
        <w:ind w:firstLine="720"/>
        <w:jc w:val="both"/>
        <w:rPr>
          <w:szCs w:val="24"/>
        </w:rPr>
      </w:pPr>
      <w:r w:rsidRPr="00604C2C">
        <w:rPr>
          <w:szCs w:val="24"/>
        </w:rPr>
        <w:t xml:space="preserve">In the United Kingdom, </w:t>
      </w:r>
      <w:r>
        <w:rPr>
          <w:szCs w:val="24"/>
        </w:rPr>
        <w:t xml:space="preserve">the development of nationally significant </w:t>
      </w:r>
      <w:r w:rsidRPr="00604C2C">
        <w:rPr>
          <w:szCs w:val="24"/>
        </w:rPr>
        <w:t xml:space="preserve">infrastructure </w:t>
      </w:r>
      <w:r>
        <w:rPr>
          <w:szCs w:val="24"/>
        </w:rPr>
        <w:t>projects (NSIPS) such as power stations, waste management facilities and airports,</w:t>
      </w:r>
      <w:r w:rsidRPr="00604C2C">
        <w:rPr>
          <w:szCs w:val="24"/>
        </w:rPr>
        <w:t xml:space="preserve"> has become subject to recent changes in legislation and planning practice that have significant environmental justice </w:t>
      </w:r>
      <w:r>
        <w:rPr>
          <w:szCs w:val="24"/>
        </w:rPr>
        <w:t>implications</w:t>
      </w:r>
      <w:r w:rsidRPr="00604C2C">
        <w:rPr>
          <w:szCs w:val="24"/>
        </w:rPr>
        <w:t xml:space="preserve"> </w:t>
      </w:r>
      <w:r>
        <w:rPr>
          <w:szCs w:val="24"/>
        </w:rPr>
        <w:t xml:space="preserve">for </w:t>
      </w:r>
      <w:r w:rsidRPr="00604C2C">
        <w:rPr>
          <w:szCs w:val="24"/>
        </w:rPr>
        <w:t xml:space="preserve">locally affected </w:t>
      </w:r>
      <w:r>
        <w:rPr>
          <w:szCs w:val="24"/>
        </w:rPr>
        <w:t xml:space="preserve">site </w:t>
      </w:r>
      <w:r w:rsidRPr="00604C2C">
        <w:rPr>
          <w:szCs w:val="24"/>
        </w:rPr>
        <w:t xml:space="preserve">communities. </w:t>
      </w:r>
      <w:r>
        <w:rPr>
          <w:szCs w:val="24"/>
        </w:rPr>
        <w:t>This discussion paper examines UK infrastructure planning</w:t>
      </w:r>
      <w:r w:rsidRPr="00604C2C">
        <w:rPr>
          <w:szCs w:val="24"/>
        </w:rPr>
        <w:t xml:space="preserve"> </w:t>
      </w:r>
      <w:r>
        <w:rPr>
          <w:szCs w:val="24"/>
        </w:rPr>
        <w:t xml:space="preserve">policy through a procedural environmental justice lens </w:t>
      </w:r>
      <w:r w:rsidRPr="00604C2C">
        <w:rPr>
          <w:szCs w:val="24"/>
        </w:rPr>
        <w:t>– specifically</w:t>
      </w:r>
      <w:r>
        <w:rPr>
          <w:szCs w:val="24"/>
        </w:rPr>
        <w:t xml:space="preserve"> examining the changing role of community consultation and decisional influence in project plans, and industry-stakeholder relations between developers and </w:t>
      </w:r>
      <w:r w:rsidRPr="00604C2C">
        <w:rPr>
          <w:szCs w:val="24"/>
        </w:rPr>
        <w:t>citizen</w:t>
      </w:r>
      <w:r>
        <w:rPr>
          <w:szCs w:val="24"/>
        </w:rPr>
        <w:t>s</w:t>
      </w:r>
      <w:r w:rsidRPr="00604C2C">
        <w:rPr>
          <w:szCs w:val="24"/>
        </w:rPr>
        <w:t xml:space="preserve"> </w:t>
      </w:r>
      <w:r>
        <w:rPr>
          <w:szCs w:val="24"/>
        </w:rPr>
        <w:t>from</w:t>
      </w:r>
      <w:r w:rsidRPr="00604C2C">
        <w:rPr>
          <w:szCs w:val="24"/>
        </w:rPr>
        <w:t xml:space="preserve"> economically and socially marginali</w:t>
      </w:r>
      <w:r w:rsidR="005828DB">
        <w:rPr>
          <w:szCs w:val="24"/>
        </w:rPr>
        <w:t>z</w:t>
      </w:r>
      <w:r w:rsidRPr="00604C2C">
        <w:rPr>
          <w:szCs w:val="24"/>
        </w:rPr>
        <w:t xml:space="preserve">ed </w:t>
      </w:r>
      <w:r>
        <w:rPr>
          <w:szCs w:val="24"/>
        </w:rPr>
        <w:t>backgrounds</w:t>
      </w:r>
      <w:r w:rsidRPr="00604C2C">
        <w:rPr>
          <w:szCs w:val="24"/>
        </w:rPr>
        <w:t xml:space="preserve">. The </w:t>
      </w:r>
      <w:r>
        <w:rPr>
          <w:szCs w:val="24"/>
        </w:rPr>
        <w:t>procedural</w:t>
      </w:r>
      <w:r w:rsidRPr="00604C2C">
        <w:rPr>
          <w:szCs w:val="24"/>
        </w:rPr>
        <w:t xml:space="preserve"> justice dimensions of UK </w:t>
      </w:r>
      <w:r>
        <w:rPr>
          <w:szCs w:val="24"/>
        </w:rPr>
        <w:t>NSIPS</w:t>
      </w:r>
      <w:r w:rsidRPr="00604C2C">
        <w:rPr>
          <w:szCs w:val="24"/>
        </w:rPr>
        <w:t xml:space="preserve"> are examined </w:t>
      </w:r>
      <w:r>
        <w:rPr>
          <w:szCs w:val="24"/>
        </w:rPr>
        <w:t>with reference to</w:t>
      </w:r>
      <w:r w:rsidRPr="00604C2C">
        <w:rPr>
          <w:szCs w:val="24"/>
        </w:rPr>
        <w:t xml:space="preserve"> the case of a propose</w:t>
      </w:r>
      <w:r>
        <w:rPr>
          <w:szCs w:val="24"/>
        </w:rPr>
        <w:t>d waste incinerator project in S</w:t>
      </w:r>
      <w:r w:rsidRPr="00604C2C">
        <w:rPr>
          <w:szCs w:val="24"/>
        </w:rPr>
        <w:t>outh Wales</w:t>
      </w:r>
      <w:r>
        <w:rPr>
          <w:szCs w:val="24"/>
        </w:rPr>
        <w:t xml:space="preserve"> under the auspices of the (now defunct) Infrastructure Planning Commission (IPC). The conclusions section outlines</w:t>
      </w:r>
      <w:r w:rsidRPr="00604C2C">
        <w:rPr>
          <w:szCs w:val="24"/>
        </w:rPr>
        <w:t xml:space="preserve"> </w:t>
      </w:r>
      <w:r>
        <w:rPr>
          <w:szCs w:val="24"/>
        </w:rPr>
        <w:t xml:space="preserve">specific </w:t>
      </w:r>
      <w:r w:rsidRPr="00604C2C">
        <w:rPr>
          <w:szCs w:val="24"/>
        </w:rPr>
        <w:t xml:space="preserve">policy recommendations for </w:t>
      </w:r>
      <w:r>
        <w:rPr>
          <w:szCs w:val="24"/>
        </w:rPr>
        <w:t>the UK IPC’s replacement - the Planning Inspectorate’s Infrastructure Planning Unit</w:t>
      </w:r>
      <w:r w:rsidRPr="00604C2C">
        <w:rPr>
          <w:szCs w:val="24"/>
        </w:rPr>
        <w:t xml:space="preserve">. </w:t>
      </w:r>
    </w:p>
    <w:p w:rsidR="0056171A" w:rsidRPr="0059567F" w:rsidRDefault="0056171A" w:rsidP="0056171A">
      <w:pPr>
        <w:jc w:val="both"/>
        <w:rPr>
          <w:szCs w:val="24"/>
        </w:rPr>
      </w:pPr>
    </w:p>
    <w:p w:rsidR="00983A91" w:rsidRPr="0059567F" w:rsidRDefault="00983A91" w:rsidP="0059567F">
      <w:pPr>
        <w:jc w:val="both"/>
        <w:rPr>
          <w:b/>
          <w:szCs w:val="24"/>
        </w:rPr>
      </w:pPr>
    </w:p>
    <w:p w:rsidR="00983A91" w:rsidRPr="00D215BC" w:rsidRDefault="00983A91" w:rsidP="0059567F">
      <w:pPr>
        <w:jc w:val="both"/>
        <w:rPr>
          <w:szCs w:val="24"/>
        </w:rPr>
      </w:pPr>
      <w:r w:rsidRPr="00D215BC">
        <w:rPr>
          <w:b/>
          <w:szCs w:val="24"/>
        </w:rPr>
        <w:t>Key Words:</w:t>
      </w:r>
      <w:r w:rsidR="00771E18" w:rsidRPr="00D215BC">
        <w:rPr>
          <w:szCs w:val="24"/>
        </w:rPr>
        <w:t xml:space="preserve"> </w:t>
      </w:r>
      <w:r w:rsidR="0053555B" w:rsidRPr="00D215BC">
        <w:rPr>
          <w:szCs w:val="24"/>
        </w:rPr>
        <w:t xml:space="preserve">UK </w:t>
      </w:r>
      <w:r w:rsidR="00771E18" w:rsidRPr="00D215BC">
        <w:rPr>
          <w:szCs w:val="24"/>
        </w:rPr>
        <w:t>P</w:t>
      </w:r>
      <w:r w:rsidRPr="00D215BC">
        <w:rPr>
          <w:szCs w:val="24"/>
        </w:rPr>
        <w:t xml:space="preserve">lanning Act 2008, </w:t>
      </w:r>
      <w:r w:rsidR="009C38FB">
        <w:rPr>
          <w:szCs w:val="24"/>
        </w:rPr>
        <w:t>Localism Act</w:t>
      </w:r>
      <w:r w:rsidR="00187FD8">
        <w:rPr>
          <w:szCs w:val="24"/>
        </w:rPr>
        <w:t xml:space="preserve"> 2011</w:t>
      </w:r>
      <w:r w:rsidR="009C38FB">
        <w:rPr>
          <w:szCs w:val="24"/>
        </w:rPr>
        <w:t xml:space="preserve">, </w:t>
      </w:r>
      <w:r w:rsidR="00CD7845" w:rsidRPr="00D215BC">
        <w:rPr>
          <w:color w:val="000000"/>
          <w:szCs w:val="24"/>
          <w:shd w:val="clear" w:color="auto" w:fill="FFFFFF"/>
        </w:rPr>
        <w:t xml:space="preserve">Major Infrastructure Planning Unit, </w:t>
      </w:r>
      <w:r w:rsidR="00D10268">
        <w:rPr>
          <w:szCs w:val="24"/>
        </w:rPr>
        <w:t>Infrastructure Planning Commission</w:t>
      </w:r>
      <w:r w:rsidR="00771E18" w:rsidRPr="00D215BC">
        <w:rPr>
          <w:szCs w:val="24"/>
        </w:rPr>
        <w:t>,</w:t>
      </w:r>
      <w:r w:rsidR="00CD7845" w:rsidRPr="00D215BC">
        <w:rPr>
          <w:szCs w:val="24"/>
        </w:rPr>
        <w:t xml:space="preserve"> procedural justice, </w:t>
      </w:r>
      <w:r w:rsidR="00D10268">
        <w:rPr>
          <w:szCs w:val="24"/>
        </w:rPr>
        <w:t>citizen</w:t>
      </w:r>
      <w:r w:rsidR="00CD7845" w:rsidRPr="00D215BC">
        <w:rPr>
          <w:szCs w:val="24"/>
        </w:rPr>
        <w:t xml:space="preserve"> participation</w:t>
      </w:r>
      <w:r w:rsidR="00661277">
        <w:rPr>
          <w:szCs w:val="24"/>
        </w:rPr>
        <w:t>.</w:t>
      </w:r>
    </w:p>
    <w:p w:rsidR="001661C3" w:rsidRPr="0059567F" w:rsidRDefault="001661C3" w:rsidP="0059567F">
      <w:pPr>
        <w:jc w:val="both"/>
        <w:rPr>
          <w:szCs w:val="24"/>
        </w:rPr>
      </w:pPr>
    </w:p>
    <w:p w:rsidR="001661C3" w:rsidRDefault="001661C3" w:rsidP="0059567F">
      <w:pPr>
        <w:jc w:val="both"/>
        <w:rPr>
          <w:b/>
          <w:szCs w:val="24"/>
        </w:rPr>
      </w:pPr>
      <w:r w:rsidRPr="0059567F">
        <w:rPr>
          <w:b/>
          <w:szCs w:val="24"/>
        </w:rPr>
        <w:t>Introduction</w:t>
      </w:r>
    </w:p>
    <w:p w:rsidR="0098570E" w:rsidRDefault="0098570E" w:rsidP="0059567F">
      <w:pPr>
        <w:jc w:val="both"/>
        <w:rPr>
          <w:b/>
          <w:szCs w:val="24"/>
        </w:rPr>
      </w:pPr>
    </w:p>
    <w:p w:rsidR="000C1044" w:rsidRDefault="00BF0636" w:rsidP="004D0491">
      <w:pPr>
        <w:jc w:val="both"/>
        <w:rPr>
          <w:szCs w:val="24"/>
        </w:rPr>
      </w:pPr>
      <w:r>
        <w:rPr>
          <w:szCs w:val="24"/>
        </w:rPr>
        <w:tab/>
      </w:r>
      <w:r w:rsidR="00C87837" w:rsidRPr="00604C2C">
        <w:rPr>
          <w:szCs w:val="24"/>
        </w:rPr>
        <w:t xml:space="preserve"> </w:t>
      </w:r>
      <w:r w:rsidR="004D0491">
        <w:rPr>
          <w:szCs w:val="24"/>
        </w:rPr>
        <w:t>Pr</w:t>
      </w:r>
      <w:r w:rsidR="00E5200A" w:rsidRPr="00604C2C">
        <w:rPr>
          <w:szCs w:val="24"/>
        </w:rPr>
        <w:t>ocedural</w:t>
      </w:r>
      <w:r w:rsidR="00436342">
        <w:rPr>
          <w:szCs w:val="24"/>
        </w:rPr>
        <w:t xml:space="preserve"> environmental </w:t>
      </w:r>
      <w:r w:rsidR="00E5200A" w:rsidRPr="00604C2C">
        <w:rPr>
          <w:szCs w:val="24"/>
        </w:rPr>
        <w:t xml:space="preserve">justice </w:t>
      </w:r>
      <w:r w:rsidR="00436342">
        <w:rPr>
          <w:szCs w:val="24"/>
        </w:rPr>
        <w:t xml:space="preserve">is </w:t>
      </w:r>
      <w:r w:rsidR="00E5200A" w:rsidRPr="00604C2C">
        <w:rPr>
          <w:szCs w:val="24"/>
        </w:rPr>
        <w:t xml:space="preserve">a critical issue for </w:t>
      </w:r>
      <w:r w:rsidR="00354E79">
        <w:rPr>
          <w:szCs w:val="24"/>
        </w:rPr>
        <w:t xml:space="preserve">the planning of major </w:t>
      </w:r>
      <w:r w:rsidR="00E5200A" w:rsidRPr="00604C2C">
        <w:rPr>
          <w:szCs w:val="24"/>
        </w:rPr>
        <w:t xml:space="preserve">infrastructure </w:t>
      </w:r>
      <w:r w:rsidR="00354E79">
        <w:rPr>
          <w:szCs w:val="24"/>
        </w:rPr>
        <w:t>projects</w:t>
      </w:r>
      <w:r w:rsidR="00B00C0F">
        <w:rPr>
          <w:szCs w:val="24"/>
        </w:rPr>
        <w:t xml:space="preserve"> such as power stations, roads and waste management facilities</w:t>
      </w:r>
      <w:r w:rsidR="00E5200A" w:rsidRPr="00604C2C">
        <w:rPr>
          <w:szCs w:val="24"/>
        </w:rPr>
        <w:t xml:space="preserve">. </w:t>
      </w:r>
      <w:r>
        <w:rPr>
          <w:szCs w:val="24"/>
        </w:rPr>
        <w:t>It</w:t>
      </w:r>
      <w:r w:rsidR="00E5200A" w:rsidRPr="00604C2C">
        <w:rPr>
          <w:szCs w:val="24"/>
        </w:rPr>
        <w:t xml:space="preserve"> </w:t>
      </w:r>
      <w:r w:rsidR="00E5200A" w:rsidRPr="00604C2C">
        <w:rPr>
          <w:color w:val="000000"/>
          <w:szCs w:val="24"/>
          <w:shd w:val="clear" w:color="auto" w:fill="FFFFFF"/>
        </w:rPr>
        <w:t>concerns the making and implementation of decisions according to fair processes, where</w:t>
      </w:r>
      <w:r w:rsidR="00715ADB">
        <w:rPr>
          <w:color w:val="000000"/>
          <w:szCs w:val="24"/>
          <w:shd w:val="clear" w:color="auto" w:fill="FFFFFF"/>
        </w:rPr>
        <w:t>by</w:t>
      </w:r>
      <w:r w:rsidR="00E5200A" w:rsidRPr="00604C2C">
        <w:rPr>
          <w:color w:val="000000"/>
          <w:szCs w:val="24"/>
          <w:shd w:val="clear" w:color="auto" w:fill="FFFFFF"/>
        </w:rPr>
        <w:t xml:space="preserve"> affected </w:t>
      </w:r>
      <w:r w:rsidR="00436342">
        <w:rPr>
          <w:color w:val="000000"/>
          <w:szCs w:val="24"/>
          <w:shd w:val="clear" w:color="auto" w:fill="FFFFFF"/>
        </w:rPr>
        <w:t>citizens a</w:t>
      </w:r>
      <w:r w:rsidR="00E5200A" w:rsidRPr="00604C2C">
        <w:rPr>
          <w:color w:val="000000"/>
          <w:szCs w:val="24"/>
          <w:shd w:val="clear" w:color="auto" w:fill="FFFFFF"/>
        </w:rPr>
        <w:t>re treated with respect and dignity, have access to key technical and policy actors</w:t>
      </w:r>
      <w:r w:rsidR="004B5FEB">
        <w:rPr>
          <w:color w:val="000000"/>
          <w:szCs w:val="24"/>
          <w:shd w:val="clear" w:color="auto" w:fill="FFFFFF"/>
        </w:rPr>
        <w:t xml:space="preserve"> and relevant information, and have </w:t>
      </w:r>
      <w:r w:rsidR="00E5200A" w:rsidRPr="00604C2C">
        <w:rPr>
          <w:color w:val="000000"/>
          <w:szCs w:val="24"/>
          <w:shd w:val="clear" w:color="auto" w:fill="FFFFFF"/>
        </w:rPr>
        <w:t>decisional influence</w:t>
      </w:r>
      <w:r w:rsidR="00100148">
        <w:rPr>
          <w:color w:val="000000"/>
          <w:szCs w:val="24"/>
          <w:shd w:val="clear" w:color="auto" w:fill="FFFFFF"/>
        </w:rPr>
        <w:t xml:space="preserve"> over planning outcomes</w:t>
      </w:r>
      <w:r w:rsidR="00E5200A" w:rsidRPr="00604C2C">
        <w:rPr>
          <w:color w:val="000000"/>
          <w:szCs w:val="24"/>
          <w:shd w:val="clear" w:color="auto" w:fill="FFFFFF"/>
        </w:rPr>
        <w:t xml:space="preserve">. </w:t>
      </w:r>
      <w:r w:rsidR="005162E4">
        <w:rPr>
          <w:color w:val="000000"/>
          <w:szCs w:val="24"/>
          <w:shd w:val="clear" w:color="auto" w:fill="FFFFFF"/>
        </w:rPr>
        <w:t>For developers</w:t>
      </w:r>
      <w:r w:rsidR="005054BF">
        <w:rPr>
          <w:color w:val="000000"/>
          <w:szCs w:val="24"/>
          <w:shd w:val="clear" w:color="auto" w:fill="FFFFFF"/>
        </w:rPr>
        <w:t>,</w:t>
      </w:r>
      <w:r w:rsidR="005162E4">
        <w:rPr>
          <w:color w:val="000000"/>
          <w:szCs w:val="24"/>
          <w:shd w:val="clear" w:color="auto" w:fill="FFFFFF"/>
        </w:rPr>
        <w:t xml:space="preserve"> </w:t>
      </w:r>
      <w:r w:rsidR="00E5200A" w:rsidRPr="00604C2C">
        <w:rPr>
          <w:color w:val="000000"/>
          <w:szCs w:val="24"/>
          <w:shd w:val="clear" w:color="auto" w:fill="FFFFFF"/>
        </w:rPr>
        <w:t xml:space="preserve">procedural justice </w:t>
      </w:r>
      <w:r w:rsidR="00B424A4">
        <w:rPr>
          <w:color w:val="000000"/>
          <w:szCs w:val="24"/>
          <w:shd w:val="clear" w:color="auto" w:fill="FFFFFF"/>
        </w:rPr>
        <w:t>is a key issue of project success. W</w:t>
      </w:r>
      <w:r w:rsidR="005162E4">
        <w:rPr>
          <w:color w:val="000000"/>
          <w:szCs w:val="24"/>
          <w:shd w:val="clear" w:color="auto" w:fill="FFFFFF"/>
        </w:rPr>
        <w:t>hen</w:t>
      </w:r>
      <w:r w:rsidR="00B424A4">
        <w:rPr>
          <w:color w:val="000000"/>
          <w:szCs w:val="24"/>
          <w:shd w:val="clear" w:color="auto" w:fill="FFFFFF"/>
        </w:rPr>
        <w:t xml:space="preserve"> decision-making i</w:t>
      </w:r>
      <w:r w:rsidR="005162E4">
        <w:rPr>
          <w:color w:val="000000"/>
          <w:szCs w:val="24"/>
          <w:shd w:val="clear" w:color="auto" w:fill="FFFFFF"/>
        </w:rPr>
        <w:t xml:space="preserve">s fair, </w:t>
      </w:r>
      <w:r w:rsidR="0064716D">
        <w:rPr>
          <w:color w:val="000000"/>
          <w:szCs w:val="24"/>
          <w:shd w:val="clear" w:color="auto" w:fill="FFFFFF"/>
        </w:rPr>
        <w:t xml:space="preserve">and </w:t>
      </w:r>
      <w:r w:rsidR="005162E4">
        <w:rPr>
          <w:color w:val="000000"/>
          <w:szCs w:val="24"/>
          <w:shd w:val="clear" w:color="auto" w:fill="FFFFFF"/>
        </w:rPr>
        <w:t xml:space="preserve">open project opponents </w:t>
      </w:r>
      <w:r w:rsidR="00CA01C1">
        <w:rPr>
          <w:color w:val="000000"/>
          <w:szCs w:val="24"/>
          <w:shd w:val="clear" w:color="auto" w:fill="FFFFFF"/>
        </w:rPr>
        <w:t xml:space="preserve">are more likely </w:t>
      </w:r>
      <w:r w:rsidR="00E5200A" w:rsidRPr="00604C2C">
        <w:rPr>
          <w:color w:val="000000"/>
          <w:szCs w:val="24"/>
          <w:shd w:val="clear" w:color="auto" w:fill="FFFFFF"/>
        </w:rPr>
        <w:t xml:space="preserve">to accept decision </w:t>
      </w:r>
      <w:r w:rsidR="0064716D">
        <w:rPr>
          <w:color w:val="000000"/>
          <w:szCs w:val="24"/>
          <w:shd w:val="clear" w:color="auto" w:fill="FFFFFF"/>
        </w:rPr>
        <w:t>outcomes that they may not like,</w:t>
      </w:r>
      <w:r w:rsidR="000C1044" w:rsidRPr="00604C2C">
        <w:rPr>
          <w:szCs w:val="24"/>
        </w:rPr>
        <w:t xml:space="preserve"> suggesting that </w:t>
      </w:r>
      <w:r w:rsidR="000C1044" w:rsidRPr="00604C2C">
        <w:rPr>
          <w:i/>
          <w:szCs w:val="24"/>
        </w:rPr>
        <w:t>fairer</w:t>
      </w:r>
      <w:r w:rsidR="000C1044" w:rsidRPr="00604C2C">
        <w:rPr>
          <w:szCs w:val="24"/>
        </w:rPr>
        <w:t xml:space="preserve"> processes</w:t>
      </w:r>
      <w:r w:rsidR="000C1044">
        <w:rPr>
          <w:szCs w:val="24"/>
        </w:rPr>
        <w:t xml:space="preserve"> increase such acceptance </w:t>
      </w:r>
      <w:r w:rsidR="000C1044" w:rsidRPr="00604C2C">
        <w:rPr>
          <w:rStyle w:val="FootnoteReference"/>
          <w:szCs w:val="24"/>
        </w:rPr>
        <w:footnoteReference w:id="1"/>
      </w:r>
      <w:r w:rsidR="000C1044" w:rsidRPr="00604C2C">
        <w:rPr>
          <w:szCs w:val="24"/>
        </w:rPr>
        <w:t>.</w:t>
      </w:r>
      <w:r w:rsidR="000C1044">
        <w:rPr>
          <w:color w:val="000000"/>
          <w:szCs w:val="24"/>
          <w:shd w:val="clear" w:color="auto" w:fill="FFFFFF"/>
        </w:rPr>
        <w:t xml:space="preserve"> For communities, procedural justice is necessary because </w:t>
      </w:r>
      <w:r w:rsidR="000C1044">
        <w:t>siting processes inevitably distribute local environmental, social and economic impacts unevenly across m</w:t>
      </w:r>
      <w:r w:rsidR="00AC0C9C">
        <w:t>ultiple geographic, temporal and governance scales;</w:t>
      </w:r>
      <w:r w:rsidR="000C1044">
        <w:t xml:space="preserve"> and so in</w:t>
      </w:r>
      <w:r w:rsidR="00C04C93">
        <w:t>volvement of community representatives as legitimate stakeholders</w:t>
      </w:r>
      <w:r w:rsidR="000C1044">
        <w:t xml:space="preserve"> is necessary in or</w:t>
      </w:r>
      <w:r w:rsidR="00500089">
        <w:t xml:space="preserve">der to negotiate just outcomes, otherwise </w:t>
      </w:r>
      <w:r w:rsidR="000C1044">
        <w:rPr>
          <w:szCs w:val="24"/>
        </w:rPr>
        <w:t>localised</w:t>
      </w:r>
      <w:r w:rsidR="000C1044" w:rsidRPr="00A34E92">
        <w:rPr>
          <w:szCs w:val="24"/>
        </w:rPr>
        <w:t xml:space="preserve"> opposition</w:t>
      </w:r>
      <w:r w:rsidR="000C1044">
        <w:rPr>
          <w:szCs w:val="24"/>
        </w:rPr>
        <w:t xml:space="preserve"> invariably results </w:t>
      </w:r>
      <w:r w:rsidR="000C1044">
        <w:rPr>
          <w:rStyle w:val="FootnoteReference"/>
          <w:szCs w:val="24"/>
        </w:rPr>
        <w:footnoteReference w:id="2"/>
      </w:r>
      <w:r w:rsidR="00500089">
        <w:rPr>
          <w:szCs w:val="24"/>
        </w:rPr>
        <w:t>;</w:t>
      </w:r>
      <w:r w:rsidR="000C1044">
        <w:rPr>
          <w:szCs w:val="24"/>
        </w:rPr>
        <w:t xml:space="preserve"> particularly when </w:t>
      </w:r>
      <w:r w:rsidR="000A3607">
        <w:rPr>
          <w:szCs w:val="24"/>
        </w:rPr>
        <w:t xml:space="preserve">misinformation about </w:t>
      </w:r>
      <w:r w:rsidR="000C1044">
        <w:rPr>
          <w:szCs w:val="24"/>
        </w:rPr>
        <w:t>health risks</w:t>
      </w:r>
      <w:r w:rsidR="000A3607">
        <w:rPr>
          <w:szCs w:val="24"/>
        </w:rPr>
        <w:t>, ecological impacts, and costs and benefit distribution</w:t>
      </w:r>
      <w:r w:rsidR="000C1044">
        <w:rPr>
          <w:szCs w:val="24"/>
        </w:rPr>
        <w:t xml:space="preserve"> come to the fore of planning dialogue </w:t>
      </w:r>
      <w:r w:rsidR="000C1044">
        <w:rPr>
          <w:rStyle w:val="FootnoteReference"/>
          <w:szCs w:val="24"/>
        </w:rPr>
        <w:footnoteReference w:id="3"/>
      </w:r>
      <w:r w:rsidR="000A3607">
        <w:rPr>
          <w:szCs w:val="24"/>
        </w:rPr>
        <w:t xml:space="preserve">. Opposition is costly to </w:t>
      </w:r>
      <w:r w:rsidR="00F4309D">
        <w:rPr>
          <w:szCs w:val="24"/>
        </w:rPr>
        <w:t xml:space="preserve">both </w:t>
      </w:r>
      <w:r w:rsidR="000A3607">
        <w:rPr>
          <w:szCs w:val="24"/>
        </w:rPr>
        <w:t xml:space="preserve">affected communities </w:t>
      </w:r>
      <w:r w:rsidR="00F4309D">
        <w:rPr>
          <w:szCs w:val="24"/>
        </w:rPr>
        <w:t xml:space="preserve">and </w:t>
      </w:r>
      <w:r w:rsidR="000A3607">
        <w:rPr>
          <w:szCs w:val="24"/>
        </w:rPr>
        <w:t xml:space="preserve">to developers </w:t>
      </w:r>
      <w:r w:rsidR="00F4309D">
        <w:rPr>
          <w:szCs w:val="24"/>
        </w:rPr>
        <w:t xml:space="preserve">due to </w:t>
      </w:r>
      <w:r w:rsidR="000C1044">
        <w:rPr>
          <w:szCs w:val="24"/>
        </w:rPr>
        <w:t xml:space="preserve">planning delays and loss of </w:t>
      </w:r>
      <w:r w:rsidR="00F4309D">
        <w:rPr>
          <w:szCs w:val="24"/>
        </w:rPr>
        <w:t xml:space="preserve">institutional </w:t>
      </w:r>
      <w:r w:rsidR="000C1044">
        <w:rPr>
          <w:szCs w:val="24"/>
        </w:rPr>
        <w:t>trust</w:t>
      </w:r>
      <w:r w:rsidR="00F4309D">
        <w:rPr>
          <w:szCs w:val="24"/>
        </w:rPr>
        <w:t xml:space="preserve"> </w:t>
      </w:r>
      <w:r w:rsidR="000C1044">
        <w:rPr>
          <w:rStyle w:val="FootnoteReference"/>
          <w:szCs w:val="24"/>
        </w:rPr>
        <w:footnoteReference w:id="4"/>
      </w:r>
      <w:r w:rsidR="003063D4">
        <w:rPr>
          <w:szCs w:val="24"/>
        </w:rPr>
        <w:t>. More</w:t>
      </w:r>
      <w:r w:rsidR="003D7B27">
        <w:rPr>
          <w:szCs w:val="24"/>
        </w:rPr>
        <w:t>over, a lack of procedural justice</w:t>
      </w:r>
      <w:r w:rsidR="000C1044">
        <w:rPr>
          <w:szCs w:val="24"/>
        </w:rPr>
        <w:t xml:space="preserve"> reveals deeper </w:t>
      </w:r>
      <w:r w:rsidR="003D7B27">
        <w:rPr>
          <w:szCs w:val="24"/>
        </w:rPr>
        <w:t xml:space="preserve">imbalances </w:t>
      </w:r>
      <w:r w:rsidR="000C1044">
        <w:rPr>
          <w:szCs w:val="24"/>
        </w:rPr>
        <w:t xml:space="preserve">of power relations </w:t>
      </w:r>
      <w:r w:rsidR="000C1044">
        <w:rPr>
          <w:szCs w:val="24"/>
        </w:rPr>
        <w:lastRenderedPageBreak/>
        <w:t xml:space="preserve">between communities, developers and planning bodies within local politics </w:t>
      </w:r>
      <w:r w:rsidR="000C1044">
        <w:rPr>
          <w:rStyle w:val="FootnoteReference"/>
          <w:szCs w:val="24"/>
        </w:rPr>
        <w:footnoteReference w:id="5"/>
      </w:r>
      <w:r w:rsidR="000A3607">
        <w:rPr>
          <w:szCs w:val="24"/>
        </w:rPr>
        <w:t xml:space="preserve"> and so critical examination of the procedural justice implications of </w:t>
      </w:r>
      <w:r w:rsidR="003063D4">
        <w:rPr>
          <w:szCs w:val="24"/>
        </w:rPr>
        <w:t xml:space="preserve">infrastructure </w:t>
      </w:r>
      <w:r w:rsidR="000A3607">
        <w:rPr>
          <w:szCs w:val="24"/>
        </w:rPr>
        <w:t xml:space="preserve">plans is necessary in order to reflect upon the ethical dimensions of </w:t>
      </w:r>
      <w:r w:rsidR="003063D4">
        <w:rPr>
          <w:szCs w:val="24"/>
        </w:rPr>
        <w:t>national</w:t>
      </w:r>
      <w:r w:rsidR="00F4309D">
        <w:rPr>
          <w:szCs w:val="24"/>
        </w:rPr>
        <w:t xml:space="preserve"> infrastructure</w:t>
      </w:r>
      <w:r w:rsidR="003063D4">
        <w:rPr>
          <w:szCs w:val="24"/>
        </w:rPr>
        <w:t xml:space="preserve"> </w:t>
      </w:r>
      <w:r w:rsidR="000A3607">
        <w:rPr>
          <w:szCs w:val="24"/>
        </w:rPr>
        <w:t>policy-making</w:t>
      </w:r>
      <w:r w:rsidR="000C1044">
        <w:rPr>
          <w:szCs w:val="24"/>
        </w:rPr>
        <w:t>.</w:t>
      </w:r>
    </w:p>
    <w:p w:rsidR="00256E80" w:rsidRDefault="00256E80" w:rsidP="00354E79">
      <w:pPr>
        <w:autoSpaceDE w:val="0"/>
        <w:autoSpaceDN w:val="0"/>
        <w:adjustRightInd w:val="0"/>
        <w:ind w:firstLine="720"/>
        <w:jc w:val="both"/>
        <w:rPr>
          <w:szCs w:val="24"/>
        </w:rPr>
      </w:pPr>
    </w:p>
    <w:p w:rsidR="00256E80" w:rsidRPr="00256E80" w:rsidRDefault="00256E80" w:rsidP="00256E80">
      <w:pPr>
        <w:rPr>
          <w:b/>
        </w:rPr>
      </w:pPr>
      <w:r w:rsidRPr="00256E80">
        <w:rPr>
          <w:b/>
        </w:rPr>
        <w:t xml:space="preserve">Discussion </w:t>
      </w:r>
    </w:p>
    <w:p w:rsidR="00256E80" w:rsidRDefault="00256E80" w:rsidP="00354E79">
      <w:pPr>
        <w:autoSpaceDE w:val="0"/>
        <w:autoSpaceDN w:val="0"/>
        <w:adjustRightInd w:val="0"/>
        <w:ind w:firstLine="720"/>
        <w:jc w:val="both"/>
        <w:rPr>
          <w:szCs w:val="24"/>
        </w:rPr>
      </w:pPr>
    </w:p>
    <w:p w:rsidR="000C1044" w:rsidRPr="00BF0636" w:rsidRDefault="000C1044" w:rsidP="00C87837">
      <w:pPr>
        <w:autoSpaceDE w:val="0"/>
        <w:autoSpaceDN w:val="0"/>
        <w:adjustRightInd w:val="0"/>
        <w:ind w:firstLine="720"/>
        <w:jc w:val="both"/>
        <w:rPr>
          <w:color w:val="000000"/>
          <w:szCs w:val="24"/>
          <w:shd w:val="clear" w:color="auto" w:fill="FFFFFF"/>
        </w:rPr>
      </w:pPr>
      <w:r>
        <w:rPr>
          <w:szCs w:val="24"/>
        </w:rPr>
        <w:t>Where</w:t>
      </w:r>
      <w:r w:rsidR="00AD5C77">
        <w:rPr>
          <w:szCs w:val="24"/>
        </w:rPr>
        <w:t xml:space="preserve"> public</w:t>
      </w:r>
      <w:r>
        <w:rPr>
          <w:szCs w:val="24"/>
        </w:rPr>
        <w:t xml:space="preserve"> opposition</w:t>
      </w:r>
      <w:r w:rsidR="00AD5C77">
        <w:rPr>
          <w:szCs w:val="24"/>
        </w:rPr>
        <w:t xml:space="preserve"> occurs,</w:t>
      </w:r>
      <w:r>
        <w:rPr>
          <w:szCs w:val="24"/>
        </w:rPr>
        <w:t xml:space="preserve"> the oft-cited solution is to </w:t>
      </w:r>
      <w:r w:rsidR="00AD5C77">
        <w:rPr>
          <w:szCs w:val="24"/>
        </w:rPr>
        <w:t>involve communities in planning</w:t>
      </w:r>
      <w:r>
        <w:t xml:space="preserve"> through consultation and </w:t>
      </w:r>
      <w:r w:rsidR="00AD5C77">
        <w:t>engagement activities</w:t>
      </w:r>
      <w:r>
        <w:t>. This issue</w:t>
      </w:r>
      <w:r w:rsidR="00557D6C">
        <w:t xml:space="preserve"> of </w:t>
      </w:r>
      <w:r w:rsidR="007F494B">
        <w:rPr>
          <w:i/>
        </w:rPr>
        <w:t xml:space="preserve">community involvement </w:t>
      </w:r>
      <w:r>
        <w:t>arose to particular prominence in the UK planning system under the former Labour Government</w:t>
      </w:r>
      <w:r w:rsidR="007F494B">
        <w:t xml:space="preserve"> in 1997</w:t>
      </w:r>
      <w:r>
        <w:t xml:space="preserve">, whose policies clearly espoused the devolution of power, and the involvement of citizens in decision-making, management and the delivery of public services </w:t>
      </w:r>
      <w:r>
        <w:rPr>
          <w:rStyle w:val="FootnoteReference"/>
        </w:rPr>
        <w:footnoteReference w:id="6"/>
      </w:r>
      <w:r>
        <w:t xml:space="preserve">; alongside a local government modernization agenda emphasising the renewal of democracy at the local level, devolving power to communities through direct forms of democratic practice </w:t>
      </w:r>
      <w:r>
        <w:rPr>
          <w:rStyle w:val="FootnoteReference"/>
        </w:rPr>
        <w:footnoteReference w:id="7"/>
      </w:r>
      <w:r>
        <w:t xml:space="preserve">. </w:t>
      </w:r>
      <w:r>
        <w:rPr>
          <w:szCs w:val="24"/>
          <w:lang w:eastAsia="en-GB"/>
        </w:rPr>
        <w:t>L</w:t>
      </w:r>
      <w:r>
        <w:t>ocal community involvement became</w:t>
      </w:r>
      <w:r w:rsidRPr="00185FDC">
        <w:t xml:space="preserve"> embodied in both legislation </w:t>
      </w:r>
      <w:r w:rsidR="00505303">
        <w:t xml:space="preserve">through local development frameworks </w:t>
      </w:r>
      <w:r w:rsidR="00065A29">
        <w:t>and Regional Spatial Strategies</w:t>
      </w:r>
      <w:r>
        <w:t xml:space="preserve"> </w:t>
      </w:r>
      <w:r>
        <w:rPr>
          <w:rStyle w:val="FootnoteReference"/>
        </w:rPr>
        <w:footnoteReference w:id="8"/>
      </w:r>
      <w:r>
        <w:t xml:space="preserve">; and more broadly, </w:t>
      </w:r>
      <w:r w:rsidR="00505303">
        <w:rPr>
          <w:szCs w:val="24"/>
          <w:lang w:eastAsia="en-GB"/>
        </w:rPr>
        <w:t xml:space="preserve">it became the backbone of Labour’s </w:t>
      </w:r>
      <w:r w:rsidRPr="0059567F">
        <w:rPr>
          <w:szCs w:val="24"/>
          <w:lang w:eastAsia="en-GB"/>
        </w:rPr>
        <w:t>sustainable development</w:t>
      </w:r>
      <w:r>
        <w:rPr>
          <w:szCs w:val="24"/>
          <w:lang w:eastAsia="en-GB"/>
        </w:rPr>
        <w:t xml:space="preserve"> </w:t>
      </w:r>
      <w:r w:rsidR="00243728">
        <w:rPr>
          <w:szCs w:val="24"/>
          <w:lang w:eastAsia="en-GB"/>
        </w:rPr>
        <w:t xml:space="preserve">strategy </w:t>
      </w:r>
      <w:r>
        <w:rPr>
          <w:rStyle w:val="FootnoteReference"/>
          <w:szCs w:val="24"/>
          <w:lang w:eastAsia="en-GB"/>
        </w:rPr>
        <w:footnoteReference w:id="9"/>
      </w:r>
      <w:r>
        <w:rPr>
          <w:rFonts w:eastAsia="Calibri"/>
          <w:szCs w:val="24"/>
        </w:rPr>
        <w:t>.</w:t>
      </w:r>
    </w:p>
    <w:p w:rsidR="000C1044" w:rsidRPr="006A08C6" w:rsidRDefault="00BC063D" w:rsidP="006A08C6">
      <w:pPr>
        <w:autoSpaceDE w:val="0"/>
        <w:autoSpaceDN w:val="0"/>
        <w:adjustRightInd w:val="0"/>
        <w:ind w:firstLine="720"/>
        <w:jc w:val="both"/>
      </w:pPr>
      <w:r>
        <w:rPr>
          <w:rFonts w:cs="OJBKID+Arial"/>
          <w:color w:val="000000"/>
          <w:szCs w:val="24"/>
        </w:rPr>
        <w:t>D</w:t>
      </w:r>
      <w:r w:rsidR="000C1044">
        <w:rPr>
          <w:rFonts w:cs="OJBKID+Arial"/>
          <w:color w:val="000000"/>
          <w:szCs w:val="24"/>
        </w:rPr>
        <w:t>emocratic renewal and modernization became principal component</w:t>
      </w:r>
      <w:r>
        <w:rPr>
          <w:rFonts w:cs="OJBKID+Arial"/>
          <w:color w:val="000000"/>
          <w:szCs w:val="24"/>
        </w:rPr>
        <w:t>s</w:t>
      </w:r>
      <w:r w:rsidR="000C1044">
        <w:rPr>
          <w:rFonts w:cs="OJBKID+Arial"/>
          <w:color w:val="000000"/>
          <w:szCs w:val="24"/>
        </w:rPr>
        <w:t xml:space="preserve"> of </w:t>
      </w:r>
      <w:r w:rsidR="00042D48">
        <w:rPr>
          <w:rFonts w:cs="OJBKID+Arial"/>
          <w:color w:val="000000"/>
          <w:szCs w:val="24"/>
        </w:rPr>
        <w:t xml:space="preserve">UK </w:t>
      </w:r>
      <w:r w:rsidR="000C1044" w:rsidRPr="00AD6458">
        <w:rPr>
          <w:szCs w:val="24"/>
        </w:rPr>
        <w:t>infrastructure</w:t>
      </w:r>
      <w:r w:rsidR="000C1044">
        <w:rPr>
          <w:szCs w:val="24"/>
        </w:rPr>
        <w:t xml:space="preserve"> planning policy reform in </w:t>
      </w:r>
      <w:r>
        <w:rPr>
          <w:szCs w:val="24"/>
        </w:rPr>
        <w:t>2007-2008</w:t>
      </w:r>
      <w:r w:rsidR="000C1044">
        <w:rPr>
          <w:szCs w:val="24"/>
        </w:rPr>
        <w:t>. A</w:t>
      </w:r>
      <w:r w:rsidR="000C1044" w:rsidRPr="00AD6458">
        <w:rPr>
          <w:szCs w:val="24"/>
        </w:rPr>
        <w:t xml:space="preserve"> long-standing</w:t>
      </w:r>
      <w:r w:rsidR="0005313E">
        <w:rPr>
          <w:szCs w:val="24"/>
        </w:rPr>
        <w:t xml:space="preserve"> policy</w:t>
      </w:r>
      <w:r w:rsidR="000C1044" w:rsidRPr="00AD6458">
        <w:rPr>
          <w:szCs w:val="24"/>
        </w:rPr>
        <w:t xml:space="preserve"> debate </w:t>
      </w:r>
      <w:r w:rsidR="00CB0B9F">
        <w:rPr>
          <w:szCs w:val="24"/>
        </w:rPr>
        <w:t xml:space="preserve">concerns </w:t>
      </w:r>
      <w:r w:rsidR="000C1044" w:rsidRPr="00AD6458">
        <w:rPr>
          <w:szCs w:val="24"/>
        </w:rPr>
        <w:t>how to expedite the protracted planning processes for large</w:t>
      </w:r>
      <w:r w:rsidR="000C1044">
        <w:rPr>
          <w:szCs w:val="24"/>
        </w:rPr>
        <w:t xml:space="preserve"> infrastructure</w:t>
      </w:r>
      <w:r w:rsidR="000C1044" w:rsidRPr="00AD6458">
        <w:rPr>
          <w:szCs w:val="24"/>
        </w:rPr>
        <w:t xml:space="preserve"> builds where construction is hampered by long, and often adversarial</w:t>
      </w:r>
      <w:r w:rsidR="000C1044">
        <w:rPr>
          <w:szCs w:val="24"/>
        </w:rPr>
        <w:t xml:space="preserve"> public inquiry processes. </w:t>
      </w:r>
      <w:r w:rsidR="0005313E">
        <w:rPr>
          <w:szCs w:val="24"/>
        </w:rPr>
        <w:t>Under Labour m</w:t>
      </w:r>
      <w:r w:rsidR="00CB0B9F">
        <w:rPr>
          <w:szCs w:val="24"/>
        </w:rPr>
        <w:t>oderniz</w:t>
      </w:r>
      <w:r w:rsidR="000C1044">
        <w:rPr>
          <w:szCs w:val="24"/>
        </w:rPr>
        <w:t xml:space="preserve">ation </w:t>
      </w:r>
      <w:r w:rsidR="00CB0B9F">
        <w:rPr>
          <w:szCs w:val="24"/>
        </w:rPr>
        <w:t xml:space="preserve">became synonymous with </w:t>
      </w:r>
      <w:r w:rsidR="00CB0B9F">
        <w:rPr>
          <w:rFonts w:eastAsia="Calibri"/>
          <w:szCs w:val="24"/>
        </w:rPr>
        <w:t>accelerating</w:t>
      </w:r>
      <w:r w:rsidR="0022428E">
        <w:rPr>
          <w:rFonts w:eastAsia="Calibri"/>
          <w:szCs w:val="24"/>
        </w:rPr>
        <w:t xml:space="preserve">, </w:t>
      </w:r>
      <w:r w:rsidR="000C1044" w:rsidRPr="0059567F">
        <w:rPr>
          <w:rFonts w:eastAsia="Calibri"/>
          <w:szCs w:val="24"/>
        </w:rPr>
        <w:t>simplify</w:t>
      </w:r>
      <w:r w:rsidR="00CB0B9F">
        <w:rPr>
          <w:rFonts w:eastAsia="Calibri"/>
          <w:szCs w:val="24"/>
        </w:rPr>
        <w:t>ing or `streamlining</w:t>
      </w:r>
      <w:r w:rsidR="000C1044" w:rsidRPr="0059567F">
        <w:rPr>
          <w:rFonts w:eastAsia="Calibri"/>
          <w:szCs w:val="24"/>
        </w:rPr>
        <w:t>' processes of forward planning and development control</w:t>
      </w:r>
      <w:r w:rsidR="0005313E">
        <w:rPr>
          <w:rFonts w:eastAsia="Calibri"/>
          <w:szCs w:val="24"/>
        </w:rPr>
        <w:t xml:space="preserve">, </w:t>
      </w:r>
      <w:r w:rsidR="000C1044" w:rsidRPr="00AD6458">
        <w:rPr>
          <w:szCs w:val="24"/>
        </w:rPr>
        <w:t xml:space="preserve">couched in the </w:t>
      </w:r>
      <w:r w:rsidR="000C1044">
        <w:rPr>
          <w:szCs w:val="24"/>
        </w:rPr>
        <w:t>terminology</w:t>
      </w:r>
      <w:r w:rsidR="000C1044" w:rsidRPr="00AD6458">
        <w:rPr>
          <w:szCs w:val="24"/>
        </w:rPr>
        <w:t xml:space="preserve"> of </w:t>
      </w:r>
      <w:r w:rsidR="0005313E">
        <w:rPr>
          <w:szCs w:val="24"/>
        </w:rPr>
        <w:t>efficiency, i.e.</w:t>
      </w:r>
      <w:r w:rsidR="000C1044">
        <w:rPr>
          <w:szCs w:val="24"/>
        </w:rPr>
        <w:t xml:space="preserve"> </w:t>
      </w:r>
      <w:r w:rsidR="000C1044" w:rsidRPr="00E2124D">
        <w:rPr>
          <w:szCs w:val="24"/>
        </w:rPr>
        <w:t xml:space="preserve">regulation reduction and </w:t>
      </w:r>
      <w:r w:rsidR="0005313E">
        <w:rPr>
          <w:szCs w:val="24"/>
        </w:rPr>
        <w:t>decreased opportunities to challenge project proposals</w:t>
      </w:r>
      <w:r w:rsidR="000C1044" w:rsidRPr="00E2124D">
        <w:rPr>
          <w:szCs w:val="24"/>
        </w:rPr>
        <w:t>.</w:t>
      </w:r>
      <w:r w:rsidR="000C1044" w:rsidRPr="00E2124D">
        <w:rPr>
          <w:rFonts w:eastAsia="Calibri"/>
          <w:szCs w:val="24"/>
        </w:rPr>
        <w:t xml:space="preserve"> </w:t>
      </w:r>
      <w:r w:rsidR="0005313E">
        <w:rPr>
          <w:rFonts w:eastAsia="Calibri"/>
          <w:szCs w:val="24"/>
        </w:rPr>
        <w:t xml:space="preserve">Thus </w:t>
      </w:r>
      <w:r w:rsidR="000C1044" w:rsidRPr="00E2124D">
        <w:rPr>
          <w:rFonts w:eastAsia="Calibri"/>
          <w:szCs w:val="24"/>
        </w:rPr>
        <w:t>The P</w:t>
      </w:r>
      <w:r w:rsidR="00CB0B9F">
        <w:rPr>
          <w:szCs w:val="24"/>
        </w:rPr>
        <w:t>lanning Act 2008</w:t>
      </w:r>
      <w:r w:rsidR="0005313E">
        <w:rPr>
          <w:szCs w:val="24"/>
        </w:rPr>
        <w:t xml:space="preserve"> emerged after a long Parliamentary debate. The Act repositions the </w:t>
      </w:r>
      <w:r w:rsidR="000C1044" w:rsidRPr="00CB0B9F">
        <w:rPr>
          <w:rStyle w:val="apple-converted-space"/>
          <w:i/>
          <w:szCs w:val="24"/>
        </w:rPr>
        <w:t>need case</w:t>
      </w:r>
      <w:r w:rsidR="000C1044">
        <w:rPr>
          <w:rStyle w:val="apple-converted-space"/>
          <w:szCs w:val="24"/>
        </w:rPr>
        <w:t xml:space="preserve"> for infrastructure</w:t>
      </w:r>
      <w:r w:rsidR="00CB0B9F">
        <w:rPr>
          <w:rStyle w:val="apple-converted-space"/>
          <w:szCs w:val="24"/>
        </w:rPr>
        <w:t xml:space="preserve"> </w:t>
      </w:r>
      <w:r w:rsidR="000C1044">
        <w:rPr>
          <w:rStyle w:val="apple-converted-space"/>
          <w:szCs w:val="24"/>
        </w:rPr>
        <w:t>at the national level</w:t>
      </w:r>
      <w:r w:rsidR="0005313E">
        <w:rPr>
          <w:rStyle w:val="apple-converted-space"/>
          <w:szCs w:val="24"/>
        </w:rPr>
        <w:t>, defined</w:t>
      </w:r>
      <w:r w:rsidR="000C1044">
        <w:rPr>
          <w:rStyle w:val="apple-converted-space"/>
          <w:szCs w:val="24"/>
        </w:rPr>
        <w:t xml:space="preserve"> through a series of National Policy Statements (NPS) on respective infrastructure types. </w:t>
      </w:r>
      <w:r w:rsidR="00CB0B9F">
        <w:rPr>
          <w:rStyle w:val="apple-converted-space"/>
          <w:szCs w:val="24"/>
        </w:rPr>
        <w:t>E</w:t>
      </w:r>
      <w:r w:rsidR="000C1044">
        <w:rPr>
          <w:rStyle w:val="apple-converted-space"/>
          <w:szCs w:val="24"/>
        </w:rPr>
        <w:t>ach NPS under</w:t>
      </w:r>
      <w:r w:rsidR="00CB0B9F">
        <w:rPr>
          <w:rStyle w:val="apple-converted-space"/>
          <w:szCs w:val="24"/>
        </w:rPr>
        <w:t xml:space="preserve">goes </w:t>
      </w:r>
      <w:r w:rsidR="000C1044" w:rsidRPr="0059567F">
        <w:t>public consultation and parliamentary</w:t>
      </w:r>
      <w:r w:rsidR="000C1044">
        <w:t xml:space="preserve"> scrutiny </w:t>
      </w:r>
      <w:r w:rsidR="000C1044" w:rsidRPr="0059567F">
        <w:t>before designating the statement. If the relevant national po</w:t>
      </w:r>
      <w:r w:rsidR="000C1044">
        <w:t>licy stateme</w:t>
      </w:r>
      <w:r w:rsidR="0005313E">
        <w:t xml:space="preserve">nt or statements were in place then </w:t>
      </w:r>
      <w:r w:rsidR="000C1044">
        <w:rPr>
          <w:rStyle w:val="apple-converted-space"/>
          <w:szCs w:val="24"/>
        </w:rPr>
        <w:t>the Government-</w:t>
      </w:r>
      <w:r w:rsidR="000C1044" w:rsidRPr="00607C6E">
        <w:rPr>
          <w:rStyle w:val="apple-converted-space"/>
          <w:szCs w:val="24"/>
        </w:rPr>
        <w:t>appointed</w:t>
      </w:r>
      <w:r w:rsidR="00DF11D2">
        <w:rPr>
          <w:rStyle w:val="apple-converted-space"/>
          <w:szCs w:val="24"/>
        </w:rPr>
        <w:t xml:space="preserve"> but non-elected</w:t>
      </w:r>
      <w:r w:rsidR="000C1044" w:rsidRPr="00607C6E">
        <w:rPr>
          <w:rStyle w:val="apple-converted-space"/>
          <w:szCs w:val="24"/>
        </w:rPr>
        <w:t xml:space="preserve"> </w:t>
      </w:r>
      <w:r w:rsidR="000C1044">
        <w:rPr>
          <w:rStyle w:val="apple-converted-space"/>
          <w:szCs w:val="24"/>
        </w:rPr>
        <w:t>Infrastructure Planning Commission (IPC)</w:t>
      </w:r>
      <w:r w:rsidR="000C1044" w:rsidRPr="0059567F">
        <w:t xml:space="preserve"> </w:t>
      </w:r>
      <w:r w:rsidR="000C1044">
        <w:t xml:space="preserve">could take </w:t>
      </w:r>
      <w:r w:rsidR="000C1044" w:rsidRPr="0059567F">
        <w:t xml:space="preserve">the decision on each application it receives, if not, then the Secretary of State </w:t>
      </w:r>
      <w:r w:rsidR="000C1044">
        <w:t>would</w:t>
      </w:r>
      <w:r w:rsidR="000C1044" w:rsidRPr="0059567F">
        <w:t xml:space="preserve"> make the decision</w:t>
      </w:r>
      <w:r w:rsidR="000C1044">
        <w:t>. However, although public consultation was a component of each NPS, the influence that non-institutionally affiliated citizen stakeholder actors could play in shaping the outcomes of these policy statements was inevitably constrained</w:t>
      </w:r>
      <w:r w:rsidR="0022428E">
        <w:t>,</w:t>
      </w:r>
      <w:r w:rsidR="000C1044">
        <w:t xml:space="preserve"> as no Government resources were put into </w:t>
      </w:r>
      <w:r w:rsidR="000C1044">
        <w:rPr>
          <w:i/>
        </w:rPr>
        <w:t xml:space="preserve">actively </w:t>
      </w:r>
      <w:r w:rsidR="00333417">
        <w:t xml:space="preserve">seeking public input, </w:t>
      </w:r>
      <w:r w:rsidR="000C1044">
        <w:t>through</w:t>
      </w:r>
      <w:r w:rsidR="00333417">
        <w:t xml:space="preserve"> for example deliberative polls</w:t>
      </w:r>
      <w:r w:rsidR="00916F02">
        <w:t>, referenda</w:t>
      </w:r>
      <w:r w:rsidR="00333417">
        <w:t xml:space="preserve"> or consensus conferences</w:t>
      </w:r>
      <w:r w:rsidR="000C1044">
        <w:t xml:space="preserve">. Former </w:t>
      </w:r>
      <w:r w:rsidR="000C1044" w:rsidRPr="0059567F">
        <w:t>IPC cha</w:t>
      </w:r>
      <w:r w:rsidR="000C1044">
        <w:t>irman Sir Michael Pitt described</w:t>
      </w:r>
      <w:r w:rsidR="000C1044" w:rsidRPr="0059567F">
        <w:t xml:space="preserve"> the change as the long-overdue shake-up of the planning regime for national infrastructure, marking the separation of policy-making from decision-making for the first time in UK pl</w:t>
      </w:r>
      <w:r w:rsidR="000C1044">
        <w:t>anning history. The IPC promised</w:t>
      </w:r>
      <w:r w:rsidR="000C1044" w:rsidRPr="0059567F">
        <w:t xml:space="preserve"> the delivery</w:t>
      </w:r>
      <w:r w:rsidR="000C1044">
        <w:t xml:space="preserve"> of</w:t>
      </w:r>
      <w:r w:rsidR="000C1044" w:rsidRPr="0059567F">
        <w:t xml:space="preserve"> an efficient and equitable planning process, alongside estimated taxpayer </w:t>
      </w:r>
      <w:r w:rsidR="000C1044" w:rsidRPr="0059567F">
        <w:lastRenderedPageBreak/>
        <w:t>savings of £300 million annually, by bringing eight former consent regimes into one and reducing the time taken to make a decision from an average of 100 weeks previously, to less than a year</w:t>
      </w:r>
      <w:r w:rsidR="0063383F">
        <w:t xml:space="preserve"> </w:t>
      </w:r>
      <w:r w:rsidR="000C1044">
        <w:rPr>
          <w:rStyle w:val="FootnoteReference"/>
        </w:rPr>
        <w:footnoteReference w:id="10"/>
      </w:r>
      <w:r w:rsidR="000C1044">
        <w:t>.</w:t>
      </w:r>
    </w:p>
    <w:p w:rsidR="000C1044" w:rsidRPr="00140AAC" w:rsidRDefault="000C1044" w:rsidP="00140AAC">
      <w:pPr>
        <w:autoSpaceDE w:val="0"/>
        <w:autoSpaceDN w:val="0"/>
        <w:adjustRightInd w:val="0"/>
        <w:ind w:firstLine="720"/>
        <w:jc w:val="both"/>
        <w:rPr>
          <w:szCs w:val="24"/>
        </w:rPr>
      </w:pPr>
      <w:r>
        <w:rPr>
          <w:szCs w:val="24"/>
        </w:rPr>
        <w:t xml:space="preserve">At the stage of individual planning proposals the IPC assured </w:t>
      </w:r>
      <w:r w:rsidRPr="0059567F">
        <w:rPr>
          <w:szCs w:val="24"/>
        </w:rPr>
        <w:t xml:space="preserve">“heavy front loading” of public consultation, meaning that developers </w:t>
      </w:r>
      <w:r>
        <w:rPr>
          <w:szCs w:val="24"/>
        </w:rPr>
        <w:t xml:space="preserve">had </w:t>
      </w:r>
      <w:r w:rsidRPr="0059567F">
        <w:rPr>
          <w:szCs w:val="24"/>
        </w:rPr>
        <w:t xml:space="preserve">to demonstrate consultation with local people on their </w:t>
      </w:r>
      <w:r>
        <w:rPr>
          <w:szCs w:val="24"/>
        </w:rPr>
        <w:t>project proposals</w:t>
      </w:r>
      <w:r w:rsidRPr="0059567F">
        <w:rPr>
          <w:szCs w:val="24"/>
        </w:rPr>
        <w:t xml:space="preserve"> and </w:t>
      </w:r>
      <w:r>
        <w:rPr>
          <w:szCs w:val="24"/>
        </w:rPr>
        <w:t xml:space="preserve">show </w:t>
      </w:r>
      <w:r w:rsidRPr="0059567F">
        <w:rPr>
          <w:szCs w:val="24"/>
        </w:rPr>
        <w:t xml:space="preserve">that they have acted upon public feedback prior to submitting an application </w:t>
      </w:r>
      <w:r>
        <w:rPr>
          <w:szCs w:val="24"/>
        </w:rPr>
        <w:t xml:space="preserve">for </w:t>
      </w:r>
      <w:r w:rsidR="00F555BD">
        <w:rPr>
          <w:szCs w:val="24"/>
        </w:rPr>
        <w:t xml:space="preserve">a </w:t>
      </w:r>
      <w:r>
        <w:rPr>
          <w:szCs w:val="24"/>
        </w:rPr>
        <w:t>development consent</w:t>
      </w:r>
      <w:r w:rsidR="00F555BD">
        <w:rPr>
          <w:szCs w:val="24"/>
        </w:rPr>
        <w:t xml:space="preserve"> order (DCO)</w:t>
      </w:r>
      <w:r w:rsidRPr="0059567F">
        <w:rPr>
          <w:szCs w:val="24"/>
        </w:rPr>
        <w:t xml:space="preserve">. </w:t>
      </w:r>
      <w:r>
        <w:rPr>
          <w:szCs w:val="24"/>
        </w:rPr>
        <w:t>The IPC had</w:t>
      </w:r>
      <w:r w:rsidRPr="0059567F">
        <w:rPr>
          <w:szCs w:val="24"/>
        </w:rPr>
        <w:t xml:space="preserve"> 28 days </w:t>
      </w:r>
      <w:r>
        <w:rPr>
          <w:szCs w:val="24"/>
        </w:rPr>
        <w:t xml:space="preserve">following submission </w:t>
      </w:r>
      <w:r w:rsidRPr="0059567F">
        <w:rPr>
          <w:szCs w:val="24"/>
        </w:rPr>
        <w:t>t</w:t>
      </w:r>
      <w:r w:rsidR="002C76C0">
        <w:rPr>
          <w:szCs w:val="24"/>
        </w:rPr>
        <w:t>o accept or reject the proposal</w:t>
      </w:r>
      <w:r>
        <w:rPr>
          <w:szCs w:val="24"/>
        </w:rPr>
        <w:t>. Upon acceptance</w:t>
      </w:r>
      <w:r w:rsidRPr="0059567F">
        <w:rPr>
          <w:szCs w:val="24"/>
        </w:rPr>
        <w:t xml:space="preserve">, the public </w:t>
      </w:r>
      <w:r>
        <w:rPr>
          <w:szCs w:val="24"/>
        </w:rPr>
        <w:t>could</w:t>
      </w:r>
      <w:r w:rsidRPr="0059567F">
        <w:rPr>
          <w:szCs w:val="24"/>
        </w:rPr>
        <w:t xml:space="preserve"> register to provide their views in writing to IPC, and participate in open-floor hearings and to cross-examine evidence. In principle </w:t>
      </w:r>
      <w:r>
        <w:rPr>
          <w:szCs w:val="24"/>
        </w:rPr>
        <w:t>the IPC process offered</w:t>
      </w:r>
      <w:r w:rsidRPr="0059567F">
        <w:rPr>
          <w:szCs w:val="24"/>
        </w:rPr>
        <w:t xml:space="preserve"> </w:t>
      </w:r>
      <w:r>
        <w:rPr>
          <w:szCs w:val="24"/>
        </w:rPr>
        <w:t>opportunities</w:t>
      </w:r>
      <w:r w:rsidRPr="0059567F">
        <w:rPr>
          <w:szCs w:val="24"/>
        </w:rPr>
        <w:t xml:space="preserve"> for public involvement, however, the extent to </w:t>
      </w:r>
      <w:r>
        <w:rPr>
          <w:szCs w:val="24"/>
        </w:rPr>
        <w:t>which local community actors could</w:t>
      </w:r>
      <w:r w:rsidRPr="0059567F">
        <w:rPr>
          <w:szCs w:val="24"/>
        </w:rPr>
        <w:t xml:space="preserve"> actually influence t</w:t>
      </w:r>
      <w:r>
        <w:rPr>
          <w:szCs w:val="24"/>
        </w:rPr>
        <w:t>he outcomes of decision-making has been</w:t>
      </w:r>
      <w:r w:rsidRPr="0059567F">
        <w:rPr>
          <w:szCs w:val="24"/>
        </w:rPr>
        <w:t xml:space="preserve"> highly contested,</w:t>
      </w:r>
      <w:r>
        <w:rPr>
          <w:szCs w:val="24"/>
        </w:rPr>
        <w:t xml:space="preserve"> due in part to low levels of public knowledge about the IPC, its form and function</w:t>
      </w:r>
      <w:r w:rsidR="002C76C0">
        <w:rPr>
          <w:szCs w:val="24"/>
        </w:rPr>
        <w:t>,the constrained time period for response,</w:t>
      </w:r>
      <w:r>
        <w:rPr>
          <w:szCs w:val="24"/>
        </w:rPr>
        <w:t xml:space="preserve"> and a lack of developer communication with publics on the planning process and its outcomes </w:t>
      </w:r>
      <w:r>
        <w:rPr>
          <w:rStyle w:val="FootnoteReference"/>
          <w:szCs w:val="24"/>
        </w:rPr>
        <w:footnoteReference w:id="11"/>
      </w:r>
      <w:r>
        <w:rPr>
          <w:szCs w:val="24"/>
        </w:rPr>
        <w:t>.</w:t>
      </w:r>
      <w:r w:rsidRPr="0059567F">
        <w:rPr>
          <w:szCs w:val="24"/>
        </w:rPr>
        <w:t xml:space="preserve"> </w:t>
      </w:r>
      <w:r>
        <w:rPr>
          <w:szCs w:val="24"/>
        </w:rPr>
        <w:t xml:space="preserve">More fundamentally, however, </w:t>
      </w:r>
      <w:r w:rsidRPr="0059567F">
        <w:rPr>
          <w:szCs w:val="24"/>
        </w:rPr>
        <w:t xml:space="preserve">the </w:t>
      </w:r>
      <w:r>
        <w:rPr>
          <w:szCs w:val="24"/>
        </w:rPr>
        <w:t>political powers of the IPC raised</w:t>
      </w:r>
      <w:r w:rsidRPr="0059567F">
        <w:rPr>
          <w:szCs w:val="24"/>
        </w:rPr>
        <w:t xml:space="preserve"> questions about legitimacy and democratic accountability in decision-making </w:t>
      </w:r>
      <w:r w:rsidR="005F30BA">
        <w:rPr>
          <w:szCs w:val="24"/>
        </w:rPr>
        <w:t xml:space="preserve">- </w:t>
      </w:r>
      <w:r>
        <w:rPr>
          <w:szCs w:val="24"/>
        </w:rPr>
        <w:t>whether the separation of planning and</w:t>
      </w:r>
      <w:r w:rsidRPr="0059567F">
        <w:rPr>
          <w:szCs w:val="24"/>
        </w:rPr>
        <w:t xml:space="preserve"> policy-making </w:t>
      </w:r>
      <w:r>
        <w:rPr>
          <w:szCs w:val="24"/>
        </w:rPr>
        <w:t xml:space="preserve">frames </w:t>
      </w:r>
      <w:r w:rsidRPr="0059567F">
        <w:rPr>
          <w:szCs w:val="24"/>
        </w:rPr>
        <w:t xml:space="preserve">land-use change primarily </w:t>
      </w:r>
      <w:r>
        <w:rPr>
          <w:szCs w:val="24"/>
        </w:rPr>
        <w:t xml:space="preserve">as </w:t>
      </w:r>
      <w:r w:rsidRPr="0059567F">
        <w:rPr>
          <w:szCs w:val="24"/>
        </w:rPr>
        <w:t>a technical activity or one which involves the making of political choices</w:t>
      </w:r>
      <w:r w:rsidR="006829FA">
        <w:rPr>
          <w:szCs w:val="24"/>
        </w:rPr>
        <w:t xml:space="preserve"> </w:t>
      </w:r>
      <w:r>
        <w:rPr>
          <w:rStyle w:val="FootnoteReference"/>
          <w:szCs w:val="24"/>
        </w:rPr>
        <w:footnoteReference w:id="12"/>
      </w:r>
      <w:r w:rsidR="005F30BA">
        <w:rPr>
          <w:szCs w:val="24"/>
        </w:rPr>
        <w:t>, thus</w:t>
      </w:r>
      <w:r w:rsidR="00537AFE">
        <w:rPr>
          <w:szCs w:val="24"/>
        </w:rPr>
        <w:t xml:space="preserve"> requiring a greater level of active citizen involvement in order to achieve just, social</w:t>
      </w:r>
      <w:r w:rsidR="005F30BA">
        <w:rPr>
          <w:szCs w:val="24"/>
        </w:rPr>
        <w:t>ly</w:t>
      </w:r>
      <w:r w:rsidR="00537AFE">
        <w:rPr>
          <w:szCs w:val="24"/>
        </w:rPr>
        <w:t xml:space="preserve"> robust outcomes</w:t>
      </w:r>
      <w:r>
        <w:rPr>
          <w:szCs w:val="24"/>
        </w:rPr>
        <w:t xml:space="preserve">. </w:t>
      </w:r>
    </w:p>
    <w:p w:rsidR="000C1044" w:rsidRDefault="000C1044" w:rsidP="0037051E">
      <w:pPr>
        <w:jc w:val="both"/>
        <w:rPr>
          <w:szCs w:val="24"/>
        </w:rPr>
      </w:pPr>
    </w:p>
    <w:p w:rsidR="000C1044" w:rsidRPr="005239FF" w:rsidRDefault="000C1044" w:rsidP="0037051E">
      <w:pPr>
        <w:jc w:val="both"/>
        <w:rPr>
          <w:i/>
          <w:szCs w:val="24"/>
        </w:rPr>
      </w:pPr>
      <w:r w:rsidRPr="005239FF">
        <w:rPr>
          <w:i/>
          <w:szCs w:val="24"/>
        </w:rPr>
        <w:t>Procedural justice in the Planning Act 2008 and Localism Act 2011</w:t>
      </w:r>
    </w:p>
    <w:p w:rsidR="000C1044" w:rsidRPr="00413C57" w:rsidRDefault="000C1044" w:rsidP="00244DC0">
      <w:pPr>
        <w:ind w:firstLine="720"/>
        <w:jc w:val="both"/>
        <w:rPr>
          <w:rStyle w:val="apple-converted-space"/>
          <w:szCs w:val="24"/>
        </w:rPr>
      </w:pPr>
      <w:r w:rsidRPr="0059567F">
        <w:rPr>
          <w:szCs w:val="24"/>
        </w:rPr>
        <w:t xml:space="preserve">Within the Act itself, the provisions for </w:t>
      </w:r>
      <w:r>
        <w:rPr>
          <w:szCs w:val="24"/>
        </w:rPr>
        <w:t>community</w:t>
      </w:r>
      <w:r w:rsidRPr="0059567F">
        <w:rPr>
          <w:szCs w:val="24"/>
        </w:rPr>
        <w:t xml:space="preserve"> involvement in decision-making </w:t>
      </w:r>
      <w:r>
        <w:rPr>
          <w:szCs w:val="24"/>
        </w:rPr>
        <w:t>were</w:t>
      </w:r>
      <w:r w:rsidR="007C5324">
        <w:rPr>
          <w:szCs w:val="24"/>
        </w:rPr>
        <w:t xml:space="preserve"> </w:t>
      </w:r>
      <w:r w:rsidR="00D1306A">
        <w:rPr>
          <w:szCs w:val="24"/>
        </w:rPr>
        <w:t xml:space="preserve">criticised in print and broadcast media </w:t>
      </w:r>
      <w:r w:rsidRPr="0059567F">
        <w:rPr>
          <w:szCs w:val="24"/>
        </w:rPr>
        <w:t>as curtailing democratic involvement in the planning process</w:t>
      </w:r>
      <w:bookmarkStart w:id="2" w:name="bbib5"/>
      <w:bookmarkStart w:id="3" w:name="bbib30"/>
      <w:bookmarkStart w:id="4" w:name="bbib19"/>
      <w:bookmarkEnd w:id="2"/>
      <w:bookmarkEnd w:id="3"/>
      <w:bookmarkEnd w:id="4"/>
      <w:r>
        <w:rPr>
          <w:szCs w:val="24"/>
        </w:rPr>
        <w:t xml:space="preserve">. </w:t>
      </w:r>
      <w:r w:rsidRPr="0059567F">
        <w:rPr>
          <w:szCs w:val="24"/>
        </w:rPr>
        <w:t>The Act and the IPC reflect a fundamental conflict of policy objectives that pervaded the former Labour Government’s ove</w:t>
      </w:r>
      <w:r>
        <w:rPr>
          <w:szCs w:val="24"/>
        </w:rPr>
        <w:t xml:space="preserve">r-arching </w:t>
      </w:r>
      <w:r w:rsidR="002C1781">
        <w:rPr>
          <w:szCs w:val="24"/>
        </w:rPr>
        <w:t xml:space="preserve">cultured of </w:t>
      </w:r>
      <w:r>
        <w:rPr>
          <w:szCs w:val="24"/>
        </w:rPr>
        <w:t xml:space="preserve">governance. </w:t>
      </w:r>
      <w:r w:rsidR="002C1781">
        <w:rPr>
          <w:szCs w:val="24"/>
        </w:rPr>
        <w:t xml:space="preserve">As </w:t>
      </w:r>
      <w:r w:rsidRPr="0059567F">
        <w:rPr>
          <w:szCs w:val="24"/>
        </w:rPr>
        <w:t>Inch</w:t>
      </w:r>
      <w:r>
        <w:rPr>
          <w:szCs w:val="24"/>
        </w:rPr>
        <w:t xml:space="preserve"> </w:t>
      </w:r>
      <w:r w:rsidR="0063383F">
        <w:rPr>
          <w:rStyle w:val="FootnoteReference"/>
          <w:szCs w:val="24"/>
        </w:rPr>
        <w:footnoteReference w:id="13"/>
      </w:r>
      <w:r w:rsidR="002C1781">
        <w:rPr>
          <w:szCs w:val="24"/>
        </w:rPr>
        <w:t xml:space="preserve"> suggests</w:t>
      </w:r>
      <w:r w:rsidR="00B43CEC">
        <w:rPr>
          <w:szCs w:val="24"/>
        </w:rPr>
        <w:t>,</w:t>
      </w:r>
      <w:r w:rsidR="002C1781">
        <w:rPr>
          <w:szCs w:val="24"/>
        </w:rPr>
        <w:t xml:space="preserve"> Labour’</w:t>
      </w:r>
      <w:r w:rsidR="00B43CEC">
        <w:rPr>
          <w:szCs w:val="24"/>
        </w:rPr>
        <w:t>s</w:t>
      </w:r>
      <w:r w:rsidR="002C1781">
        <w:rPr>
          <w:szCs w:val="24"/>
        </w:rPr>
        <w:t xml:space="preserve"> policy platform</w:t>
      </w:r>
      <w:r w:rsidRPr="0059567F">
        <w:rPr>
          <w:szCs w:val="24"/>
        </w:rPr>
        <w:t xml:space="preserve"> </w:t>
      </w:r>
      <w:r w:rsidR="002C1781">
        <w:rPr>
          <w:szCs w:val="24"/>
        </w:rPr>
        <w:t xml:space="preserve">was constructed around building a </w:t>
      </w:r>
      <w:r w:rsidRPr="0059567F">
        <w:rPr>
          <w:szCs w:val="24"/>
        </w:rPr>
        <w:t>power base for central government through vertical integration, making the public sector the</w:t>
      </w:r>
      <w:r w:rsidR="002C1781">
        <w:rPr>
          <w:szCs w:val="24"/>
        </w:rPr>
        <w:t xml:space="preserve"> delivery vehicle for governance, alongside a </w:t>
      </w:r>
      <w:r w:rsidRPr="0059567F">
        <w:rPr>
          <w:szCs w:val="24"/>
        </w:rPr>
        <w:t xml:space="preserve">professional empowerment culture evident in the setting up of appointed, independent expert committees to oversee the implementation of planning and policy making in the public sector (the IPC being </w:t>
      </w:r>
      <w:r>
        <w:rPr>
          <w:szCs w:val="24"/>
        </w:rPr>
        <w:t>a pertinent</w:t>
      </w:r>
      <w:r w:rsidRPr="0059567F">
        <w:rPr>
          <w:szCs w:val="24"/>
        </w:rPr>
        <w:t xml:space="preserve"> example). </w:t>
      </w:r>
      <w:r w:rsidR="002C1781">
        <w:rPr>
          <w:szCs w:val="24"/>
        </w:rPr>
        <w:t xml:space="preserve">Yet, Labour’s </w:t>
      </w:r>
      <w:r w:rsidRPr="0059567F">
        <w:rPr>
          <w:szCs w:val="24"/>
        </w:rPr>
        <w:t>concurrent commitment to a local empowerment culture exemplified in bottom-up community consultation policies</w:t>
      </w:r>
      <w:r w:rsidR="002C1781">
        <w:rPr>
          <w:szCs w:val="24"/>
        </w:rPr>
        <w:t xml:space="preserve"> around sustainable development </w:t>
      </w:r>
      <w:r w:rsidR="002C1781">
        <w:rPr>
          <w:rStyle w:val="apple-converted-space"/>
          <w:szCs w:val="24"/>
        </w:rPr>
        <w:t>stood in sharp contrast</w:t>
      </w:r>
      <w:r w:rsidRPr="0059567F">
        <w:rPr>
          <w:rStyle w:val="apple-converted-space"/>
          <w:szCs w:val="24"/>
        </w:rPr>
        <w:t xml:space="preserve">. What is clear is </w:t>
      </w:r>
      <w:r>
        <w:rPr>
          <w:rStyle w:val="apple-converted-space"/>
          <w:szCs w:val="24"/>
        </w:rPr>
        <w:t xml:space="preserve">that the governance objectives of UK planning policy were subject to an internal rhetorical </w:t>
      </w:r>
      <w:r w:rsidR="00BD281D">
        <w:rPr>
          <w:rStyle w:val="apple-converted-space"/>
          <w:szCs w:val="24"/>
        </w:rPr>
        <w:t>and</w:t>
      </w:r>
      <w:r>
        <w:rPr>
          <w:rStyle w:val="apple-converted-space"/>
          <w:szCs w:val="24"/>
        </w:rPr>
        <w:t xml:space="preserve"> ethical conflict</w:t>
      </w:r>
      <w:r w:rsidRPr="0059567F">
        <w:rPr>
          <w:rStyle w:val="apple-converted-space"/>
          <w:szCs w:val="24"/>
        </w:rPr>
        <w:t xml:space="preserve">, as </w:t>
      </w:r>
      <w:r>
        <w:rPr>
          <w:rStyle w:val="apple-converted-space"/>
          <w:szCs w:val="24"/>
        </w:rPr>
        <w:t>procedural justice and democratic</w:t>
      </w:r>
      <w:r w:rsidRPr="0059567F">
        <w:rPr>
          <w:rStyle w:val="apple-converted-space"/>
          <w:szCs w:val="24"/>
        </w:rPr>
        <w:t xml:space="preserve"> legitimacy through deliberative local community involvement is inevitably undermined by the technocratic nature of expert </w:t>
      </w:r>
      <w:r w:rsidRPr="00413C57">
        <w:rPr>
          <w:rStyle w:val="apple-converted-space"/>
          <w:szCs w:val="24"/>
        </w:rPr>
        <w:t>centred planning and development control under the IPC.</w:t>
      </w:r>
    </w:p>
    <w:p w:rsidR="000C1044" w:rsidRDefault="000C1044" w:rsidP="00244DC0">
      <w:pPr>
        <w:ind w:firstLine="720"/>
        <w:jc w:val="both"/>
      </w:pPr>
      <w:r>
        <w:rPr>
          <w:rFonts w:eastAsia="Calibri"/>
        </w:rPr>
        <w:t xml:space="preserve">This issue was a key point of political reform under </w:t>
      </w:r>
      <w:r w:rsidRPr="0059567F">
        <w:rPr>
          <w:rFonts w:eastAsia="Calibri"/>
        </w:rPr>
        <w:t>the Coalition Government</w:t>
      </w:r>
      <w:r w:rsidR="000944B6">
        <w:rPr>
          <w:rFonts w:eastAsia="Calibri"/>
        </w:rPr>
        <w:t xml:space="preserve">’s </w:t>
      </w:r>
      <w:r w:rsidR="000944B6">
        <w:rPr>
          <w:rFonts w:eastAsia="Calibri"/>
          <w:i/>
        </w:rPr>
        <w:t>localist agenda</w:t>
      </w:r>
      <w:r w:rsidR="007673F6">
        <w:rPr>
          <w:rFonts w:eastAsia="Calibri"/>
        </w:rPr>
        <w:t xml:space="preserve">, which quickly </w:t>
      </w:r>
      <w:r>
        <w:rPr>
          <w:szCs w:val="24"/>
        </w:rPr>
        <w:t>abolished the IPC</w:t>
      </w:r>
      <w:r w:rsidRPr="00607C6E">
        <w:rPr>
          <w:szCs w:val="24"/>
        </w:rPr>
        <w:t xml:space="preserve"> through the </w:t>
      </w:r>
      <w:r w:rsidRPr="007673F6">
        <w:rPr>
          <w:szCs w:val="24"/>
        </w:rPr>
        <w:t>Localism Act 2011</w:t>
      </w:r>
      <w:r w:rsidRPr="00607C6E">
        <w:rPr>
          <w:szCs w:val="24"/>
        </w:rPr>
        <w:t xml:space="preserve"> and </w:t>
      </w:r>
      <w:r w:rsidRPr="00607C6E">
        <w:rPr>
          <w:color w:val="000000"/>
          <w:szCs w:val="24"/>
          <w:shd w:val="clear" w:color="auto" w:fill="FFFFFF"/>
        </w:rPr>
        <w:t>transfer</w:t>
      </w:r>
      <w:r>
        <w:rPr>
          <w:color w:val="000000"/>
          <w:szCs w:val="24"/>
          <w:shd w:val="clear" w:color="auto" w:fill="FFFFFF"/>
        </w:rPr>
        <w:t>red</w:t>
      </w:r>
      <w:r w:rsidRPr="00607C6E">
        <w:rPr>
          <w:color w:val="000000"/>
          <w:szCs w:val="24"/>
          <w:shd w:val="clear" w:color="auto" w:fill="FFFFFF"/>
        </w:rPr>
        <w:t xml:space="preserve"> </w:t>
      </w:r>
      <w:r>
        <w:rPr>
          <w:color w:val="000000"/>
          <w:szCs w:val="24"/>
          <w:shd w:val="clear" w:color="auto" w:fill="FFFFFF"/>
        </w:rPr>
        <w:t>decision-</w:t>
      </w:r>
      <w:r w:rsidRPr="00607C6E">
        <w:rPr>
          <w:color w:val="000000"/>
          <w:szCs w:val="24"/>
          <w:shd w:val="clear" w:color="auto" w:fill="FFFFFF"/>
        </w:rPr>
        <w:t xml:space="preserve">making powers to the Secretary of State. </w:t>
      </w:r>
      <w:r>
        <w:rPr>
          <w:color w:val="000000"/>
          <w:szCs w:val="24"/>
          <w:shd w:val="clear" w:color="auto" w:fill="FFFFFF"/>
        </w:rPr>
        <w:t>P</w:t>
      </w:r>
      <w:r w:rsidRPr="0059567F">
        <w:t>lanning powers</w:t>
      </w:r>
      <w:r>
        <w:t xml:space="preserve"> </w:t>
      </w:r>
      <w:r w:rsidR="000944B6">
        <w:t>currently</w:t>
      </w:r>
      <w:r>
        <w:t xml:space="preserve"> reside</w:t>
      </w:r>
      <w:r w:rsidRPr="0059567F">
        <w:t xml:space="preserve"> within the Department for Communitie</w:t>
      </w:r>
      <w:r>
        <w:t xml:space="preserve">s and Local Government (DCLG), which the Government argues replaces the IPC system </w:t>
      </w:r>
      <w:r w:rsidRPr="0059567F">
        <w:t xml:space="preserve">with “fairer, faster decision making” through a Major Infrastructure Unit as part of a revised CLG structure that includes the Planning </w:t>
      </w:r>
      <w:r w:rsidRPr="0059567F">
        <w:lastRenderedPageBreak/>
        <w:t xml:space="preserve">Inspectorate. </w:t>
      </w:r>
      <w:r>
        <w:t xml:space="preserve">abolishes the </w:t>
      </w:r>
      <w:r w:rsidRPr="0027385B">
        <w:t xml:space="preserve">regional tier of </w:t>
      </w:r>
      <w:r>
        <w:t>spatial planning, replacing it with</w:t>
      </w:r>
      <w:r w:rsidRPr="0027385B">
        <w:t xml:space="preserve"> </w:t>
      </w:r>
      <w:r>
        <w:t xml:space="preserve">a </w:t>
      </w:r>
      <w:r w:rsidRPr="0027385B">
        <w:t xml:space="preserve">system </w:t>
      </w:r>
      <w:r>
        <w:t xml:space="preserve">which Prime Minister David Cameron argues is </w:t>
      </w:r>
      <w:r w:rsidRPr="0027385B">
        <w:t>based on “civic engagement and collaborative democracy” at the local</w:t>
      </w:r>
      <w:r>
        <w:t xml:space="preserve"> level, aimed at decentralisation: “</w:t>
      </w:r>
      <w:r w:rsidRPr="0027385B">
        <w:t>bringing communities together, as they formulate a shared vision of sustainable development”</w:t>
      </w:r>
      <w:r w:rsidR="00853560">
        <w:t xml:space="preserve"> </w:t>
      </w:r>
      <w:r w:rsidR="000944B6">
        <w:rPr>
          <w:rStyle w:val="FootnoteReference"/>
        </w:rPr>
        <w:footnoteReference w:id="14"/>
      </w:r>
      <w:r>
        <w:t>. In practice</w:t>
      </w:r>
      <w:r w:rsidR="00853560">
        <w:t>,</w:t>
      </w:r>
      <w:r>
        <w:t xml:space="preserve"> </w:t>
      </w:r>
      <w:r w:rsidRPr="0059567F">
        <w:t xml:space="preserve">decisions on </w:t>
      </w:r>
      <w:r>
        <w:t>NSIPS are made</w:t>
      </w:r>
      <w:r w:rsidR="00F60C74">
        <w:t xml:space="preserve"> </w:t>
      </w:r>
      <w:r w:rsidR="0060251C">
        <w:t>by the relevant Secretary</w:t>
      </w:r>
      <w:r w:rsidR="00F60C74">
        <w:t xml:space="preserve"> of S</w:t>
      </w:r>
      <w:r w:rsidRPr="0059567F">
        <w:t xml:space="preserve">tate rather than an independent committee. </w:t>
      </w:r>
      <w:r w:rsidR="00853560">
        <w:t xml:space="preserve">Consultation procedures remain essentially </w:t>
      </w:r>
      <w:r>
        <w:t>the same, except that the final decision</w:t>
      </w:r>
      <w:r w:rsidR="00853560">
        <w:t xml:space="preserve"> for development consent</w:t>
      </w:r>
      <w:r>
        <w:t xml:space="preserve"> lies with an </w:t>
      </w:r>
      <w:r w:rsidRPr="0059567F">
        <w:t>elected minister</w:t>
      </w:r>
      <w:r>
        <w:t xml:space="preserve"> rather than a technocratic committee, thus nominally strengthening democratic </w:t>
      </w:r>
      <w:r w:rsidRPr="00F60C74">
        <w:t>legitimacy</w:t>
      </w:r>
      <w:r>
        <w:t>.</w:t>
      </w:r>
      <w:r w:rsidR="00923FC8">
        <w:t xml:space="preserve"> What is clear however, is that the Localism Act 2011 defines democratic legitimacy in terms of elected representation and democratic oversight at the level of </w:t>
      </w:r>
      <w:r w:rsidR="0060251C">
        <w:t>central g</w:t>
      </w:r>
      <w:r w:rsidR="00923FC8">
        <w:t xml:space="preserve">overnment, in contrast to the ‘bottom-up’ democratic control of plan-making, oft-referred to as a </w:t>
      </w:r>
      <w:r w:rsidR="00923FC8" w:rsidRPr="00923FC8">
        <w:rPr>
          <w:i/>
        </w:rPr>
        <w:t>deliberative turn</w:t>
      </w:r>
      <w:r w:rsidR="00923FC8">
        <w:t xml:space="preserve"> </w:t>
      </w:r>
      <w:r w:rsidR="00923FC8">
        <w:rPr>
          <w:rStyle w:val="FootnoteReference"/>
        </w:rPr>
        <w:footnoteReference w:id="15"/>
      </w:r>
      <w:r w:rsidR="002751B8">
        <w:t>, whereby legitimacy is instead evaluated by the opportunities for direct decision-making involvement amongst affected citizens</w:t>
      </w:r>
      <w:r w:rsidR="00297AB3">
        <w:t>, which has significant procedural justice implications</w:t>
      </w:r>
      <w:r w:rsidR="002751B8">
        <w:t>.</w:t>
      </w:r>
    </w:p>
    <w:p w:rsidR="000C1044" w:rsidRDefault="000C1044" w:rsidP="00244DC0">
      <w:pPr>
        <w:ind w:firstLine="720"/>
        <w:jc w:val="both"/>
        <w:rPr>
          <w:rStyle w:val="apple-converted-space"/>
          <w:szCs w:val="24"/>
        </w:rPr>
      </w:pPr>
    </w:p>
    <w:p w:rsidR="000C1044" w:rsidRPr="005239FF" w:rsidRDefault="000C1044" w:rsidP="00FB6BEE">
      <w:pPr>
        <w:jc w:val="both"/>
        <w:rPr>
          <w:rStyle w:val="apple-converted-space"/>
          <w:i/>
          <w:szCs w:val="24"/>
        </w:rPr>
      </w:pPr>
      <w:r w:rsidRPr="005239FF">
        <w:rPr>
          <w:rStyle w:val="apple-converted-space"/>
          <w:i/>
          <w:szCs w:val="24"/>
        </w:rPr>
        <w:t xml:space="preserve">Environmental justice and infrastructure – the </w:t>
      </w:r>
      <w:r w:rsidR="00AD5F18" w:rsidRPr="005239FF">
        <w:rPr>
          <w:rStyle w:val="apple-converted-space"/>
          <w:i/>
          <w:szCs w:val="24"/>
        </w:rPr>
        <w:t>ener</w:t>
      </w:r>
      <w:r w:rsidR="00D406AB" w:rsidRPr="005239FF">
        <w:rPr>
          <w:rStyle w:val="apple-converted-space"/>
          <w:i/>
          <w:szCs w:val="24"/>
        </w:rPr>
        <w:t>g</w:t>
      </w:r>
      <w:r w:rsidR="00AD5F18" w:rsidRPr="005239FF">
        <w:rPr>
          <w:rStyle w:val="apple-converted-space"/>
          <w:i/>
          <w:szCs w:val="24"/>
        </w:rPr>
        <w:t xml:space="preserve">y-from-waste in </w:t>
      </w:r>
      <w:r w:rsidRPr="005239FF">
        <w:rPr>
          <w:rStyle w:val="apple-converted-space"/>
          <w:i/>
          <w:szCs w:val="24"/>
        </w:rPr>
        <w:t xml:space="preserve">Merthyr Tydfil </w:t>
      </w:r>
    </w:p>
    <w:p w:rsidR="000C1044" w:rsidRPr="00363B73" w:rsidRDefault="009F673C" w:rsidP="000E0145">
      <w:pPr>
        <w:jc w:val="both"/>
      </w:pPr>
      <w:r>
        <w:rPr>
          <w:rStyle w:val="apple-converted-space"/>
          <w:szCs w:val="24"/>
        </w:rPr>
        <w:tab/>
      </w:r>
      <w:r w:rsidR="000C1044" w:rsidRPr="009F673C">
        <w:rPr>
          <w:rStyle w:val="apple-converted-space"/>
          <w:szCs w:val="24"/>
        </w:rPr>
        <w:t>To explore the</w:t>
      </w:r>
      <w:r w:rsidR="00C86853">
        <w:rPr>
          <w:rStyle w:val="apple-converted-space"/>
          <w:szCs w:val="24"/>
        </w:rPr>
        <w:t>se</w:t>
      </w:r>
      <w:r w:rsidR="000C1044" w:rsidRPr="009F673C">
        <w:rPr>
          <w:rStyle w:val="apple-converted-space"/>
          <w:szCs w:val="24"/>
        </w:rPr>
        <w:t xml:space="preserve"> procedural justice aspects</w:t>
      </w:r>
      <w:r>
        <w:rPr>
          <w:rStyle w:val="apple-converted-space"/>
          <w:szCs w:val="24"/>
        </w:rPr>
        <w:t>,</w:t>
      </w:r>
      <w:r w:rsidR="000C1044" w:rsidRPr="009F673C">
        <w:rPr>
          <w:rStyle w:val="apple-converted-space"/>
          <w:szCs w:val="24"/>
        </w:rPr>
        <w:t xml:space="preserve"> </w:t>
      </w:r>
      <w:r w:rsidR="000C1044" w:rsidRPr="009F673C">
        <w:rPr>
          <w:szCs w:val="24"/>
        </w:rPr>
        <w:t>discussion focusses upon</w:t>
      </w:r>
      <w:r w:rsidR="00F30EED" w:rsidRPr="009F673C">
        <w:rPr>
          <w:szCs w:val="24"/>
        </w:rPr>
        <w:t xml:space="preserve"> </w:t>
      </w:r>
      <w:r w:rsidR="00C86853">
        <w:rPr>
          <w:szCs w:val="24"/>
        </w:rPr>
        <w:t xml:space="preserve">a </w:t>
      </w:r>
      <w:r w:rsidR="00F30EED" w:rsidRPr="009F673C">
        <w:rPr>
          <w:szCs w:val="24"/>
        </w:rPr>
        <w:t>proposed</w:t>
      </w:r>
      <w:r w:rsidR="000C1044" w:rsidRPr="009F673C">
        <w:rPr>
          <w:szCs w:val="24"/>
        </w:rPr>
        <w:t xml:space="preserve"> waste incinerator </w:t>
      </w:r>
      <w:r w:rsidR="00F30EED" w:rsidRPr="009F673C">
        <w:rPr>
          <w:szCs w:val="24"/>
        </w:rPr>
        <w:t>project by US company Covanta Energy at Brig-y-Cwm, near to the town</w:t>
      </w:r>
      <w:r w:rsidR="000C1044" w:rsidRPr="009F673C">
        <w:rPr>
          <w:szCs w:val="24"/>
        </w:rPr>
        <w:t xml:space="preserve"> of </w:t>
      </w:r>
      <w:r w:rsidR="00F30EED" w:rsidRPr="009F673C">
        <w:rPr>
          <w:szCs w:val="24"/>
          <w:shd w:val="clear" w:color="auto" w:fill="FFFFFF"/>
        </w:rPr>
        <w:t xml:space="preserve">Merthyr Tydfil </w:t>
      </w:r>
      <w:r w:rsidR="00FA6FD7" w:rsidRPr="009F673C">
        <w:rPr>
          <w:szCs w:val="24"/>
        </w:rPr>
        <w:t>on the southern border of the Brecon Beacons national park</w:t>
      </w:r>
      <w:r w:rsidR="000C1044" w:rsidRPr="009F673C">
        <w:rPr>
          <w:szCs w:val="24"/>
        </w:rPr>
        <w:t xml:space="preserve"> in South Wales</w:t>
      </w:r>
      <w:r w:rsidR="00F30EED" w:rsidRPr="009F673C">
        <w:rPr>
          <w:szCs w:val="24"/>
        </w:rPr>
        <w:t xml:space="preserve">. </w:t>
      </w:r>
      <w:r w:rsidR="005C6F55" w:rsidRPr="009F673C">
        <w:rPr>
          <w:szCs w:val="24"/>
        </w:rPr>
        <w:t>This example represents something of a</w:t>
      </w:r>
      <w:r w:rsidR="00F30EED" w:rsidRPr="009F673C">
        <w:rPr>
          <w:szCs w:val="24"/>
        </w:rPr>
        <w:t xml:space="preserve"> critical case</w:t>
      </w:r>
      <w:r w:rsidR="00FD4F9A">
        <w:rPr>
          <w:szCs w:val="24"/>
        </w:rPr>
        <w:t xml:space="preserve"> of environmental injustice</w:t>
      </w:r>
      <w:r w:rsidR="00F30EED" w:rsidRPr="009F673C">
        <w:rPr>
          <w:i/>
          <w:szCs w:val="24"/>
        </w:rPr>
        <w:t xml:space="preserve"> </w:t>
      </w:r>
      <w:r w:rsidR="00F30EED" w:rsidRPr="009F673C">
        <w:rPr>
          <w:szCs w:val="24"/>
        </w:rPr>
        <w:t xml:space="preserve">under the new planning </w:t>
      </w:r>
      <w:r w:rsidR="001E4565" w:rsidRPr="009F673C">
        <w:rPr>
          <w:szCs w:val="24"/>
        </w:rPr>
        <w:t>regime</w:t>
      </w:r>
      <w:r w:rsidR="00C86853">
        <w:rPr>
          <w:szCs w:val="24"/>
        </w:rPr>
        <w:t xml:space="preserve"> </w:t>
      </w:r>
      <w:r w:rsidR="00FD4F9A">
        <w:rPr>
          <w:szCs w:val="24"/>
        </w:rPr>
        <w:t xml:space="preserve">in part due to </w:t>
      </w:r>
      <w:r w:rsidR="005B6566">
        <w:rPr>
          <w:color w:val="000000"/>
          <w:szCs w:val="24"/>
          <w:bdr w:val="none" w:sz="0" w:space="0" w:color="auto" w:frame="1"/>
        </w:rPr>
        <w:t>M</w:t>
      </w:r>
      <w:r>
        <w:rPr>
          <w:color w:val="000000"/>
          <w:szCs w:val="24"/>
          <w:bdr w:val="none" w:sz="0" w:space="0" w:color="auto" w:frame="1"/>
        </w:rPr>
        <w:t>erthyr’s status as a</w:t>
      </w:r>
      <w:r w:rsidR="00FD4F9A">
        <w:rPr>
          <w:color w:val="000000"/>
          <w:szCs w:val="24"/>
          <w:bdr w:val="none" w:sz="0" w:space="0" w:color="auto" w:frame="1"/>
        </w:rPr>
        <w:t>n economically marginalised,</w:t>
      </w:r>
      <w:r>
        <w:rPr>
          <w:color w:val="000000"/>
          <w:szCs w:val="24"/>
          <w:bdr w:val="none" w:sz="0" w:space="0" w:color="auto" w:frame="1"/>
        </w:rPr>
        <w:t xml:space="preserve"> post-industrial town </w:t>
      </w:r>
      <w:r w:rsidR="00FD4F9A">
        <w:rPr>
          <w:szCs w:val="24"/>
        </w:rPr>
        <w:t xml:space="preserve">subject to </w:t>
      </w:r>
      <w:r>
        <w:t xml:space="preserve">existing </w:t>
      </w:r>
      <w:r w:rsidR="00FD4F9A">
        <w:t>economic and health inequalities which would have undoubtedly been worsened by the proposed incinerator project</w:t>
      </w:r>
      <w:r w:rsidR="000C1044" w:rsidRPr="00F93ABF">
        <w:t xml:space="preserve">. </w:t>
      </w:r>
    </w:p>
    <w:p w:rsidR="00CB445C" w:rsidRPr="00847FEE" w:rsidRDefault="00C86853" w:rsidP="00847FEE">
      <w:pPr>
        <w:ind w:firstLine="720"/>
        <w:jc w:val="both"/>
        <w:rPr>
          <w:color w:val="000000" w:themeColor="text1"/>
          <w:szCs w:val="24"/>
        </w:rPr>
      </w:pPr>
      <w:r>
        <w:rPr>
          <w:color w:val="000000" w:themeColor="text1"/>
          <w:szCs w:val="24"/>
          <w:shd w:val="clear" w:color="auto" w:fill="FFFFFF"/>
        </w:rPr>
        <w:t xml:space="preserve">The proposal fell under </w:t>
      </w:r>
      <w:r w:rsidR="006F3F6D" w:rsidRPr="00E407BC">
        <w:rPr>
          <w:color w:val="000000" w:themeColor="text1"/>
          <w:szCs w:val="24"/>
          <w:shd w:val="clear" w:color="auto" w:fill="FFFFFF"/>
        </w:rPr>
        <w:t>Prosiect Gwyrdd (Project Green)</w:t>
      </w:r>
      <w:r>
        <w:rPr>
          <w:color w:val="000000" w:themeColor="text1"/>
          <w:szCs w:val="24"/>
          <w:shd w:val="clear" w:color="auto" w:fill="FFFFFF"/>
        </w:rPr>
        <w:t>:</w:t>
      </w:r>
      <w:r w:rsidR="006F3F6D" w:rsidRPr="00E407BC">
        <w:rPr>
          <w:color w:val="000000" w:themeColor="text1"/>
          <w:szCs w:val="24"/>
          <w:shd w:val="clear" w:color="auto" w:fill="FFFFFF"/>
        </w:rPr>
        <w:t xml:space="preserve"> a partnership program between five Welsh Councils</w:t>
      </w:r>
      <w:r w:rsidR="006F3F6D" w:rsidRPr="00E407BC">
        <w:rPr>
          <w:color w:val="000000" w:themeColor="text1"/>
          <w:szCs w:val="24"/>
        </w:rPr>
        <w:t xml:space="preserve">, which together make up 40% of the total municipal </w:t>
      </w:r>
      <w:r>
        <w:rPr>
          <w:color w:val="000000" w:themeColor="text1"/>
          <w:szCs w:val="24"/>
        </w:rPr>
        <w:t>waste of Wales</w:t>
      </w:r>
      <w:r w:rsidR="004717AF">
        <w:rPr>
          <w:color w:val="000000" w:themeColor="text1"/>
          <w:szCs w:val="24"/>
        </w:rPr>
        <w:t xml:space="preserve"> </w:t>
      </w:r>
      <w:r w:rsidR="004717AF">
        <w:rPr>
          <w:rStyle w:val="FootnoteReference"/>
          <w:color w:val="000000" w:themeColor="text1"/>
          <w:szCs w:val="24"/>
        </w:rPr>
        <w:footnoteReference w:id="16"/>
      </w:r>
      <w:r>
        <w:rPr>
          <w:color w:val="000000" w:themeColor="text1"/>
          <w:szCs w:val="24"/>
        </w:rPr>
        <w:t>. The project aims</w:t>
      </w:r>
      <w:r w:rsidR="006F3F6D" w:rsidRPr="00E407BC">
        <w:rPr>
          <w:color w:val="000000" w:themeColor="text1"/>
          <w:szCs w:val="24"/>
        </w:rPr>
        <w:t xml:space="preserve"> </w:t>
      </w:r>
      <w:r>
        <w:rPr>
          <w:color w:val="000000" w:themeColor="text1"/>
          <w:szCs w:val="24"/>
        </w:rPr>
        <w:t xml:space="preserve">at </w:t>
      </w:r>
      <w:r w:rsidR="006F3F6D" w:rsidRPr="00E407BC">
        <w:rPr>
          <w:color w:val="000000" w:themeColor="text1"/>
          <w:szCs w:val="24"/>
        </w:rPr>
        <w:t xml:space="preserve">disposing so-called "residual" or non-recyclable waste, through incineration for commercial electricity production. </w:t>
      </w:r>
      <w:r w:rsidR="000C1044">
        <w:rPr>
          <w:color w:val="000000" w:themeColor="text1"/>
          <w:szCs w:val="24"/>
          <w:shd w:val="clear" w:color="auto" w:fill="FFFFFF"/>
        </w:rPr>
        <w:t>Co</w:t>
      </w:r>
      <w:r w:rsidR="000C1044" w:rsidRPr="00F93ABF">
        <w:rPr>
          <w:color w:val="000000" w:themeColor="text1"/>
          <w:szCs w:val="24"/>
          <w:shd w:val="clear" w:color="auto" w:fill="FFFFFF"/>
        </w:rPr>
        <w:t>va</w:t>
      </w:r>
      <w:r w:rsidR="000C1044">
        <w:rPr>
          <w:color w:val="000000" w:themeColor="text1"/>
          <w:szCs w:val="24"/>
          <w:shd w:val="clear" w:color="auto" w:fill="FFFFFF"/>
        </w:rPr>
        <w:t>n</w:t>
      </w:r>
      <w:r w:rsidR="000C1044" w:rsidRPr="00F93ABF">
        <w:rPr>
          <w:color w:val="000000" w:themeColor="text1"/>
          <w:szCs w:val="24"/>
          <w:shd w:val="clear" w:color="auto" w:fill="FFFFFF"/>
        </w:rPr>
        <w:t>ta</w:t>
      </w:r>
      <w:r w:rsidR="000C1044">
        <w:rPr>
          <w:color w:val="000000" w:themeColor="text1"/>
          <w:szCs w:val="24"/>
          <w:shd w:val="clear" w:color="auto" w:fill="FFFFFF"/>
        </w:rPr>
        <w:t xml:space="preserve"> Energy</w:t>
      </w:r>
      <w:r w:rsidR="009C7FC0">
        <w:rPr>
          <w:color w:val="000000" w:themeColor="text1"/>
          <w:szCs w:val="24"/>
          <w:shd w:val="clear" w:color="auto" w:fill="FFFFFF"/>
        </w:rPr>
        <w:t xml:space="preserve">’s </w:t>
      </w:r>
      <w:r w:rsidR="00847FEE">
        <w:rPr>
          <w:color w:val="000000" w:themeColor="text1"/>
          <w:szCs w:val="24"/>
          <w:shd w:val="clear" w:color="auto" w:fill="FFFFFF"/>
        </w:rPr>
        <w:t xml:space="preserve">bid </w:t>
      </w:r>
      <w:r w:rsidR="00BC0D21">
        <w:rPr>
          <w:color w:val="000000" w:themeColor="text1"/>
          <w:szCs w:val="24"/>
          <w:shd w:val="clear" w:color="auto" w:fill="FFFFFF"/>
        </w:rPr>
        <w:t xml:space="preserve">for the project </w:t>
      </w:r>
      <w:r w:rsidR="00F60C74">
        <w:rPr>
          <w:color w:val="000000" w:themeColor="text1"/>
          <w:szCs w:val="24"/>
          <w:shd w:val="clear" w:color="auto" w:fill="FFFFFF"/>
        </w:rPr>
        <w:t>began</w:t>
      </w:r>
      <w:r w:rsidR="009C7FC0">
        <w:rPr>
          <w:color w:val="000000" w:themeColor="text1"/>
          <w:szCs w:val="24"/>
          <w:shd w:val="clear" w:color="auto" w:fill="FFFFFF"/>
        </w:rPr>
        <w:t xml:space="preserve"> in January 2009</w:t>
      </w:r>
      <w:r w:rsidR="00F60C74">
        <w:rPr>
          <w:color w:val="000000" w:themeColor="text1"/>
          <w:szCs w:val="24"/>
          <w:shd w:val="clear" w:color="auto" w:fill="FFFFFF"/>
        </w:rPr>
        <w:t>, involving</w:t>
      </w:r>
      <w:r w:rsidR="000C1044" w:rsidRPr="00F93ABF">
        <w:rPr>
          <w:color w:val="000000" w:themeColor="text1"/>
          <w:szCs w:val="24"/>
          <w:shd w:val="clear" w:color="auto" w:fill="FFFFFF"/>
        </w:rPr>
        <w:t xml:space="preserve"> </w:t>
      </w:r>
      <w:r w:rsidR="009A11F7">
        <w:rPr>
          <w:color w:val="000000" w:themeColor="text1"/>
          <w:szCs w:val="24"/>
          <w:shd w:val="clear" w:color="auto" w:fill="FFFFFF"/>
        </w:rPr>
        <w:t xml:space="preserve">application </w:t>
      </w:r>
      <w:r w:rsidR="000C1044" w:rsidRPr="00F93ABF">
        <w:rPr>
          <w:color w:val="000000" w:themeColor="text1"/>
          <w:szCs w:val="24"/>
          <w:shd w:val="clear" w:color="auto" w:fill="FFFFFF"/>
        </w:rPr>
        <w:t xml:space="preserve">for </w:t>
      </w:r>
      <w:r w:rsidR="009A11F7">
        <w:rPr>
          <w:color w:val="000000" w:themeColor="text1"/>
          <w:szCs w:val="24"/>
          <w:shd w:val="clear" w:color="auto" w:fill="FFFFFF"/>
        </w:rPr>
        <w:t xml:space="preserve">a </w:t>
      </w:r>
      <w:r w:rsidR="000C1044" w:rsidRPr="00F93ABF">
        <w:rPr>
          <w:color w:val="000000" w:themeColor="text1"/>
          <w:szCs w:val="24"/>
          <w:shd w:val="clear" w:color="auto" w:fill="FFFFFF"/>
        </w:rPr>
        <w:t>deve</w:t>
      </w:r>
      <w:r w:rsidR="009C7FC0">
        <w:rPr>
          <w:color w:val="000000" w:themeColor="text1"/>
          <w:szCs w:val="24"/>
          <w:shd w:val="clear" w:color="auto" w:fill="FFFFFF"/>
        </w:rPr>
        <w:t xml:space="preserve">lopment consent </w:t>
      </w:r>
      <w:r w:rsidR="009A11F7">
        <w:rPr>
          <w:color w:val="000000" w:themeColor="text1"/>
          <w:szCs w:val="24"/>
          <w:shd w:val="clear" w:color="auto" w:fill="FFFFFF"/>
        </w:rPr>
        <w:t xml:space="preserve">order (DCO) </w:t>
      </w:r>
      <w:r w:rsidR="009C7FC0">
        <w:rPr>
          <w:color w:val="000000" w:themeColor="text1"/>
          <w:szCs w:val="24"/>
          <w:shd w:val="clear" w:color="auto" w:fill="FFFFFF"/>
        </w:rPr>
        <w:t>to the IPC for</w:t>
      </w:r>
      <w:r w:rsidR="009A11F7">
        <w:rPr>
          <w:color w:val="000000" w:themeColor="text1"/>
          <w:szCs w:val="24"/>
          <w:shd w:val="clear" w:color="auto" w:fill="FFFFFF"/>
        </w:rPr>
        <w:t xml:space="preserve"> </w:t>
      </w:r>
      <w:r w:rsidR="009C7FC0">
        <w:rPr>
          <w:color w:val="000000" w:themeColor="text1"/>
          <w:szCs w:val="24"/>
          <w:shd w:val="clear" w:color="auto" w:fill="FFFFFF"/>
        </w:rPr>
        <w:t>the</w:t>
      </w:r>
      <w:r w:rsidR="000C1044" w:rsidRPr="00F93ABF">
        <w:rPr>
          <w:color w:val="000000" w:themeColor="text1"/>
          <w:szCs w:val="24"/>
          <w:shd w:val="clear" w:color="auto" w:fill="FFFFFF"/>
        </w:rPr>
        <w:t xml:space="preserve"> £400m </w:t>
      </w:r>
      <w:r w:rsidR="009C7FC0">
        <w:rPr>
          <w:color w:val="000000" w:themeColor="text1"/>
          <w:szCs w:val="24"/>
          <w:shd w:val="clear" w:color="auto" w:fill="FFFFFF"/>
        </w:rPr>
        <w:t>energy-from-</w:t>
      </w:r>
      <w:r w:rsidR="000C1044">
        <w:rPr>
          <w:color w:val="000000" w:themeColor="text1"/>
          <w:szCs w:val="24"/>
          <w:shd w:val="clear" w:color="auto" w:fill="FFFFFF"/>
        </w:rPr>
        <w:t>waste facility</w:t>
      </w:r>
      <w:r w:rsidR="000C1044" w:rsidRPr="00F93ABF">
        <w:rPr>
          <w:color w:val="000000" w:themeColor="text1"/>
          <w:szCs w:val="24"/>
          <w:shd w:val="clear" w:color="auto" w:fill="FFFFFF"/>
        </w:rPr>
        <w:t>, designed for processing an estimated 750,000 ton</w:t>
      </w:r>
      <w:r w:rsidR="000C1044">
        <w:rPr>
          <w:color w:val="000000" w:themeColor="text1"/>
          <w:szCs w:val="24"/>
          <w:shd w:val="clear" w:color="auto" w:fill="FFFFFF"/>
        </w:rPr>
        <w:t>nes of municipal</w:t>
      </w:r>
      <w:r w:rsidR="00814530">
        <w:rPr>
          <w:color w:val="000000" w:themeColor="text1"/>
          <w:szCs w:val="24"/>
          <w:shd w:val="clear" w:color="auto" w:fill="FFFFFF"/>
        </w:rPr>
        <w:t xml:space="preserve"> and commercial</w:t>
      </w:r>
      <w:r w:rsidR="000C1044">
        <w:rPr>
          <w:color w:val="000000" w:themeColor="text1"/>
          <w:szCs w:val="24"/>
          <w:shd w:val="clear" w:color="auto" w:fill="FFFFFF"/>
        </w:rPr>
        <w:t xml:space="preserve"> waste annually and in doing so, produce</w:t>
      </w:r>
      <w:r w:rsidR="00814530">
        <w:rPr>
          <w:color w:val="000000" w:themeColor="text1"/>
          <w:szCs w:val="24"/>
          <w:shd w:val="clear" w:color="auto" w:fill="FFFFFF"/>
        </w:rPr>
        <w:t xml:space="preserve"> 67</w:t>
      </w:r>
      <w:r w:rsidR="000C1044" w:rsidRPr="00F93ABF">
        <w:rPr>
          <w:color w:val="000000" w:themeColor="text1"/>
          <w:szCs w:val="24"/>
          <w:shd w:val="clear" w:color="auto" w:fill="FFFFFF"/>
        </w:rPr>
        <w:t>MW of electricity (enough to power up to 180,000 homes).</w:t>
      </w:r>
      <w:r w:rsidR="000C1044">
        <w:rPr>
          <w:color w:val="000000" w:themeColor="text1"/>
          <w:szCs w:val="24"/>
          <w:shd w:val="clear" w:color="auto" w:fill="FFFFFF"/>
        </w:rPr>
        <w:t xml:space="preserve"> </w:t>
      </w:r>
      <w:r w:rsidR="000C1044">
        <w:rPr>
          <w:shd w:val="clear" w:color="auto" w:fill="FFFFFF"/>
        </w:rPr>
        <w:t xml:space="preserve">Covanta claimed the </w:t>
      </w:r>
      <w:r w:rsidR="0042659A">
        <w:rPr>
          <w:shd w:val="clear" w:color="auto" w:fill="FFFFFF"/>
        </w:rPr>
        <w:t xml:space="preserve">proposed </w:t>
      </w:r>
      <w:r w:rsidR="000C1044">
        <w:rPr>
          <w:shd w:val="clear" w:color="auto" w:fill="FFFFFF"/>
        </w:rPr>
        <w:t>incinerator would create up to 650 construction jobs and employ 65 people permanently.</w:t>
      </w:r>
      <w:r w:rsidR="0042659A">
        <w:rPr>
          <w:shd w:val="clear" w:color="auto" w:fill="FFFFFF"/>
        </w:rPr>
        <w:t xml:space="preserve"> This was significant, as</w:t>
      </w:r>
      <w:r w:rsidR="0042659A" w:rsidRPr="0042659A">
        <w:rPr>
          <w:szCs w:val="24"/>
        </w:rPr>
        <w:t xml:space="preserve"> </w:t>
      </w:r>
      <w:r w:rsidR="0042659A" w:rsidRPr="00577D79">
        <w:rPr>
          <w:szCs w:val="24"/>
        </w:rPr>
        <w:t xml:space="preserve">Merthyr Tydfil and Rhymney </w:t>
      </w:r>
      <w:r w:rsidR="0042659A">
        <w:rPr>
          <w:szCs w:val="24"/>
        </w:rPr>
        <w:t xml:space="preserve">regions have some of the </w:t>
      </w:r>
      <w:r w:rsidR="0042659A" w:rsidRPr="00577D79">
        <w:rPr>
          <w:szCs w:val="24"/>
        </w:rPr>
        <w:t>most</w:t>
      </w:r>
      <w:r w:rsidR="0042659A">
        <w:rPr>
          <w:szCs w:val="24"/>
        </w:rPr>
        <w:t xml:space="preserve"> deprived communities in Wales. A</w:t>
      </w:r>
      <w:r w:rsidR="0042659A" w:rsidRPr="00577D79">
        <w:rPr>
          <w:szCs w:val="24"/>
        </w:rPr>
        <w:t>ccording to the Welsh Index of</w:t>
      </w:r>
      <w:r w:rsidR="0042659A">
        <w:rPr>
          <w:szCs w:val="24"/>
        </w:rPr>
        <w:t xml:space="preserve"> Multiple Deprivation 2008 and Office for National Statistics labour market figures,</w:t>
      </w:r>
      <w:r w:rsidR="0042659A" w:rsidRPr="00577D79">
        <w:rPr>
          <w:szCs w:val="24"/>
        </w:rPr>
        <w:t xml:space="preserve"> 32% of its areas </w:t>
      </w:r>
      <w:r w:rsidR="0042659A">
        <w:rPr>
          <w:szCs w:val="24"/>
        </w:rPr>
        <w:t>fall</w:t>
      </w:r>
      <w:r w:rsidR="0042659A" w:rsidRPr="00577D79">
        <w:rPr>
          <w:szCs w:val="24"/>
        </w:rPr>
        <w:t xml:space="preserve"> in the 10% most deprived areas in Wales and overall the majority of its areas are more deprived than the Wales average</w:t>
      </w:r>
      <w:r w:rsidR="0042659A">
        <w:rPr>
          <w:szCs w:val="24"/>
        </w:rPr>
        <w:t xml:space="preserve">. The same is true for income as </w:t>
      </w:r>
      <w:r w:rsidR="0042659A">
        <w:rPr>
          <w:b/>
          <w:szCs w:val="24"/>
        </w:rPr>
        <w:t>T</w:t>
      </w:r>
      <w:r w:rsidR="0042659A" w:rsidRPr="00577D79">
        <w:rPr>
          <w:b/>
          <w:szCs w:val="24"/>
        </w:rPr>
        <w:t>able 1</w:t>
      </w:r>
      <w:r w:rsidR="00D406AB">
        <w:rPr>
          <w:szCs w:val="24"/>
        </w:rPr>
        <w:t xml:space="preserve"> illustrates:</w:t>
      </w:r>
      <w:r w:rsidR="0042659A">
        <w:rPr>
          <w:szCs w:val="24"/>
        </w:rPr>
        <w:t xml:space="preserve"> Merthyr falls below national averages for income and employment </w:t>
      </w:r>
      <w:r w:rsidR="0042659A" w:rsidRPr="00821AE5">
        <w:rPr>
          <w:rFonts w:eastAsiaTheme="minorHAnsi"/>
          <w:vertAlign w:val="superscript"/>
        </w:rPr>
        <w:footnoteReference w:id="17"/>
      </w:r>
      <w:r w:rsidR="0042659A" w:rsidRPr="00577D79">
        <w:rPr>
          <w:szCs w:val="24"/>
        </w:rPr>
        <w:t>.</w:t>
      </w:r>
      <w:r w:rsidR="00A765FA">
        <w:rPr>
          <w:rFonts w:eastAsiaTheme="minorHAnsi"/>
          <w:szCs w:val="24"/>
        </w:rPr>
        <w:t xml:space="preserve"> </w:t>
      </w:r>
      <w:r w:rsidR="00A765FA" w:rsidRPr="005618AF">
        <w:rPr>
          <w:rFonts w:eastAsiaTheme="minorHAnsi"/>
          <w:szCs w:val="24"/>
        </w:rPr>
        <w:t xml:space="preserve">Merthyr Tydfil </w:t>
      </w:r>
      <w:r w:rsidR="00AA4DB2">
        <w:rPr>
          <w:rFonts w:eastAsiaTheme="minorHAnsi"/>
          <w:szCs w:val="24"/>
        </w:rPr>
        <w:t xml:space="preserve">also </w:t>
      </w:r>
      <w:r w:rsidR="00A765FA" w:rsidRPr="005618AF">
        <w:rPr>
          <w:rFonts w:eastAsiaTheme="minorHAnsi"/>
          <w:szCs w:val="24"/>
        </w:rPr>
        <w:t xml:space="preserve">suffers from </w:t>
      </w:r>
      <w:r w:rsidR="00A765FA" w:rsidRPr="005618AF">
        <w:rPr>
          <w:szCs w:val="24"/>
        </w:rPr>
        <w:t>substantial</w:t>
      </w:r>
      <w:r w:rsidR="00A765FA" w:rsidRPr="005618AF">
        <w:rPr>
          <w:rFonts w:eastAsiaTheme="minorHAnsi"/>
          <w:szCs w:val="24"/>
        </w:rPr>
        <w:t xml:space="preserve"> health inequalities, </w:t>
      </w:r>
      <w:r w:rsidR="00A765FA" w:rsidRPr="005618AF">
        <w:rPr>
          <w:szCs w:val="24"/>
        </w:rPr>
        <w:t xml:space="preserve">as the region </w:t>
      </w:r>
      <w:r w:rsidR="00A765FA" w:rsidRPr="005618AF">
        <w:rPr>
          <w:color w:val="000000"/>
          <w:szCs w:val="24"/>
          <w:shd w:val="clear" w:color="auto" w:fill="FFFFFF"/>
        </w:rPr>
        <w:t>claimed the lowest life expectancy rates for men in every surveyed two-year period since 1991</w:t>
      </w:r>
      <w:r w:rsidR="00A765FA" w:rsidRPr="005618AF">
        <w:rPr>
          <w:szCs w:val="24"/>
          <w:shd w:val="clear" w:color="auto" w:fill="FFFFFF"/>
        </w:rPr>
        <w:t>. L</w:t>
      </w:r>
      <w:r w:rsidR="00A765FA" w:rsidRPr="005618AF">
        <w:rPr>
          <w:szCs w:val="24"/>
        </w:rPr>
        <w:t xml:space="preserve">ife expectancy for men in Merthyr </w:t>
      </w:r>
      <w:r w:rsidR="00A765FA">
        <w:rPr>
          <w:szCs w:val="24"/>
        </w:rPr>
        <w:t xml:space="preserve">is 74.6 year; 5.8 </w:t>
      </w:r>
      <w:r w:rsidR="00A765FA">
        <w:rPr>
          <w:szCs w:val="24"/>
        </w:rPr>
        <w:lastRenderedPageBreak/>
        <w:t>years</w:t>
      </w:r>
      <w:r w:rsidR="00A765FA" w:rsidRPr="005618AF">
        <w:rPr>
          <w:szCs w:val="24"/>
        </w:rPr>
        <w:t xml:space="preserve"> lower for men than in Ceredigion (</w:t>
      </w:r>
      <w:r w:rsidR="00A765FA">
        <w:rPr>
          <w:szCs w:val="24"/>
        </w:rPr>
        <w:t xml:space="preserve">an affluent region </w:t>
      </w:r>
      <w:r w:rsidR="00A765FA" w:rsidRPr="005618AF">
        <w:rPr>
          <w:szCs w:val="24"/>
        </w:rPr>
        <w:t>on the West Coast of Wales)</w:t>
      </w:r>
      <w:r w:rsidR="006755BE">
        <w:rPr>
          <w:szCs w:val="24"/>
        </w:rPr>
        <w:t xml:space="preserve"> </w:t>
      </w:r>
      <w:r w:rsidR="00A765FA">
        <w:rPr>
          <w:rStyle w:val="FootnoteReference"/>
          <w:szCs w:val="24"/>
        </w:rPr>
        <w:footnoteReference w:id="18"/>
      </w:r>
      <w:r w:rsidR="00A765FA" w:rsidRPr="005618AF">
        <w:rPr>
          <w:szCs w:val="24"/>
        </w:rPr>
        <w:t>.</w:t>
      </w:r>
      <w:r w:rsidR="00CB445C" w:rsidRPr="00CB445C">
        <w:rPr>
          <w:color w:val="000000" w:themeColor="text1"/>
          <w:szCs w:val="24"/>
          <w:bdr w:val="none" w:sz="0" w:space="0" w:color="auto" w:frame="1"/>
        </w:rPr>
        <w:t xml:space="preserve"> </w:t>
      </w:r>
      <w:r w:rsidR="00066852">
        <w:rPr>
          <w:color w:val="000000" w:themeColor="text1"/>
          <w:szCs w:val="24"/>
          <w:bdr w:val="none" w:sz="0" w:space="0" w:color="auto" w:frame="1"/>
        </w:rPr>
        <w:t>T</w:t>
      </w:r>
      <w:r w:rsidR="00CB445C">
        <w:rPr>
          <w:color w:val="000000" w:themeColor="text1"/>
          <w:szCs w:val="24"/>
          <w:bdr w:val="none" w:sz="0" w:space="0" w:color="auto" w:frame="1"/>
        </w:rPr>
        <w:t>he</w:t>
      </w:r>
      <w:r w:rsidR="00CB445C" w:rsidRPr="00E956C0">
        <w:rPr>
          <w:color w:val="000000" w:themeColor="text1"/>
          <w:szCs w:val="24"/>
          <w:bdr w:val="none" w:sz="0" w:space="0" w:color="auto" w:frame="1"/>
        </w:rPr>
        <w:t xml:space="preserve"> incineration of mixed municipal wastes</w:t>
      </w:r>
      <w:r w:rsidR="00066852">
        <w:rPr>
          <w:color w:val="000000" w:themeColor="text1"/>
          <w:szCs w:val="24"/>
          <w:bdr w:val="none" w:sz="0" w:space="0" w:color="auto" w:frame="1"/>
        </w:rPr>
        <w:t xml:space="preserve"> </w:t>
      </w:r>
      <w:r w:rsidR="001A6558">
        <w:rPr>
          <w:color w:val="000000" w:themeColor="text1"/>
          <w:szCs w:val="24"/>
          <w:bdr w:val="none" w:sz="0" w:space="0" w:color="auto" w:frame="1"/>
        </w:rPr>
        <w:t>would further</w:t>
      </w:r>
      <w:r w:rsidR="00066852">
        <w:rPr>
          <w:color w:val="000000" w:themeColor="text1"/>
          <w:szCs w:val="24"/>
          <w:bdr w:val="none" w:sz="0" w:space="0" w:color="auto" w:frame="1"/>
        </w:rPr>
        <w:t xml:space="preserve"> </w:t>
      </w:r>
      <w:r w:rsidR="006D001C">
        <w:rPr>
          <w:color w:val="000000" w:themeColor="text1"/>
          <w:szCs w:val="24"/>
          <w:bdr w:val="none" w:sz="0" w:space="0" w:color="auto" w:frame="1"/>
        </w:rPr>
        <w:t>exacerbate</w:t>
      </w:r>
      <w:r w:rsidR="00066852">
        <w:rPr>
          <w:color w:val="000000" w:themeColor="text1"/>
          <w:szCs w:val="24"/>
          <w:bdr w:val="none" w:sz="0" w:space="0" w:color="auto" w:frame="1"/>
        </w:rPr>
        <w:t xml:space="preserve"> such health inequalities. Incineration </w:t>
      </w:r>
      <w:r w:rsidR="00D406AB">
        <w:rPr>
          <w:color w:val="000000" w:themeColor="text1"/>
          <w:szCs w:val="24"/>
          <w:bdr w:val="none" w:sz="0" w:space="0" w:color="auto" w:frame="1"/>
        </w:rPr>
        <w:t>p</w:t>
      </w:r>
      <w:r w:rsidR="006D001C">
        <w:rPr>
          <w:color w:val="000000" w:themeColor="text1"/>
          <w:szCs w:val="24"/>
          <w:bdr w:val="none" w:sz="0" w:space="0" w:color="auto" w:frame="1"/>
        </w:rPr>
        <w:t>roduces nitrogen oxides and sulph</w:t>
      </w:r>
      <w:r w:rsidR="00D406AB" w:rsidRPr="00D406AB">
        <w:rPr>
          <w:color w:val="000000" w:themeColor="text1"/>
          <w:szCs w:val="24"/>
          <w:bdr w:val="none" w:sz="0" w:space="0" w:color="auto" w:frame="1"/>
        </w:rPr>
        <w:t xml:space="preserve">ur dioxide as </w:t>
      </w:r>
      <w:r w:rsidR="00D406AB">
        <w:rPr>
          <w:color w:val="000000" w:themeColor="text1"/>
          <w:szCs w:val="24"/>
          <w:bdr w:val="none" w:sz="0" w:space="0" w:color="auto" w:frame="1"/>
        </w:rPr>
        <w:t xml:space="preserve">well as other </w:t>
      </w:r>
      <w:r w:rsidR="00D406AB" w:rsidRPr="00D406AB">
        <w:rPr>
          <w:color w:val="000000" w:themeColor="text1"/>
          <w:szCs w:val="24"/>
          <w:bdr w:val="none" w:sz="0" w:space="0" w:color="auto" w:frame="1"/>
        </w:rPr>
        <w:t>pollu</w:t>
      </w:r>
      <w:r w:rsidR="00D406AB">
        <w:rPr>
          <w:color w:val="000000" w:themeColor="text1"/>
          <w:szCs w:val="24"/>
          <w:bdr w:val="none" w:sz="0" w:space="0" w:color="auto" w:frame="1"/>
        </w:rPr>
        <w:t xml:space="preserve">tants such as mercury compounds, and </w:t>
      </w:r>
      <w:r w:rsidR="00CB445C" w:rsidRPr="00E956C0">
        <w:rPr>
          <w:color w:val="000000" w:themeColor="text1"/>
          <w:szCs w:val="24"/>
          <w:bdr w:val="none" w:sz="0" w:space="0" w:color="auto" w:frame="1"/>
        </w:rPr>
        <w:t>organic compounds including Polychlorinated dibenzodioxin and dibenzofurans (PCDD/PCDF). Dioxins and furans are highly li</w:t>
      </w:r>
      <w:r w:rsidR="00CB445C">
        <w:rPr>
          <w:color w:val="000000" w:themeColor="text1"/>
          <w:szCs w:val="24"/>
          <w:bdr w:val="none" w:sz="0" w:space="0" w:color="auto" w:frame="1"/>
        </w:rPr>
        <w:t xml:space="preserve">posoluble compounds </w:t>
      </w:r>
      <w:r w:rsidR="00CF4CB9">
        <w:rPr>
          <w:color w:val="000000" w:themeColor="text1"/>
          <w:szCs w:val="24"/>
          <w:bdr w:val="none" w:sz="0" w:space="0" w:color="auto" w:frame="1"/>
        </w:rPr>
        <w:t xml:space="preserve">which are both </w:t>
      </w:r>
      <w:r w:rsidR="00CB445C" w:rsidRPr="00E956C0">
        <w:rPr>
          <w:color w:val="000000" w:themeColor="text1"/>
          <w:szCs w:val="24"/>
          <w:bdr w:val="none" w:sz="0" w:space="0" w:color="auto" w:frame="1"/>
        </w:rPr>
        <w:t xml:space="preserve">environmentally persistent and bioaccumulative </w:t>
      </w:r>
      <w:r w:rsidR="00CF4CB9">
        <w:rPr>
          <w:color w:val="000000" w:themeColor="text1"/>
          <w:szCs w:val="24"/>
          <w:bdr w:val="none" w:sz="0" w:space="0" w:color="auto" w:frame="1"/>
        </w:rPr>
        <w:t>–</w:t>
      </w:r>
      <w:r w:rsidR="0065527B">
        <w:rPr>
          <w:color w:val="000000" w:themeColor="text1"/>
          <w:szCs w:val="24"/>
          <w:bdr w:val="none" w:sz="0" w:space="0" w:color="auto" w:frame="1"/>
        </w:rPr>
        <w:t xml:space="preserve"> i.e.</w:t>
      </w:r>
      <w:r w:rsidR="00CF4CB9">
        <w:rPr>
          <w:color w:val="000000" w:themeColor="text1"/>
          <w:szCs w:val="24"/>
          <w:bdr w:val="none" w:sz="0" w:space="0" w:color="auto" w:frame="1"/>
        </w:rPr>
        <w:t xml:space="preserve"> </w:t>
      </w:r>
      <w:r w:rsidR="00CB445C" w:rsidRPr="00E956C0">
        <w:rPr>
          <w:color w:val="000000" w:themeColor="text1"/>
          <w:szCs w:val="24"/>
          <w:bdr w:val="none" w:sz="0" w:space="0" w:color="auto" w:frame="1"/>
        </w:rPr>
        <w:t>harmful, carcinogenic pollutants</w:t>
      </w:r>
      <w:r w:rsidR="00CF4CB9">
        <w:rPr>
          <w:color w:val="000000" w:themeColor="text1"/>
          <w:szCs w:val="24"/>
          <w:bdr w:val="none" w:sz="0" w:space="0" w:color="auto" w:frame="1"/>
        </w:rPr>
        <w:t xml:space="preserve"> </w:t>
      </w:r>
      <w:r w:rsidR="00CB445C" w:rsidRPr="00E956C0">
        <w:rPr>
          <w:rStyle w:val="FootnoteReference"/>
          <w:color w:val="000000" w:themeColor="text1"/>
          <w:szCs w:val="24"/>
          <w:bdr w:val="none" w:sz="0" w:space="0" w:color="auto" w:frame="1"/>
        </w:rPr>
        <w:footnoteReference w:id="19"/>
      </w:r>
      <w:r w:rsidR="00CB445C" w:rsidRPr="00E956C0">
        <w:rPr>
          <w:color w:val="000000" w:themeColor="text1"/>
          <w:szCs w:val="24"/>
          <w:bdr w:val="none" w:sz="0" w:space="0" w:color="auto" w:frame="1"/>
        </w:rPr>
        <w:t>.</w:t>
      </w:r>
      <w:r w:rsidR="00D406AB">
        <w:rPr>
          <w:color w:val="000000" w:themeColor="text1"/>
          <w:szCs w:val="24"/>
          <w:bdr w:val="none" w:sz="0" w:space="0" w:color="auto" w:frame="1"/>
        </w:rPr>
        <w:t xml:space="preserve"> </w:t>
      </w:r>
      <w:r w:rsidR="00CB445C" w:rsidRPr="00E956C0">
        <w:t xml:space="preserve">Covanta itself had developed a poor track-record of </w:t>
      </w:r>
      <w:r w:rsidR="006E51D7">
        <w:t xml:space="preserve">such </w:t>
      </w:r>
      <w:r w:rsidR="00CB445C" w:rsidRPr="00E956C0">
        <w:t>emissions control</w:t>
      </w:r>
      <w:r w:rsidR="00C33EE0">
        <w:t xml:space="preserve"> in the United States. An investigation by BBC Wales</w:t>
      </w:r>
      <w:r w:rsidR="00A51D80">
        <w:t> current affairs program</w:t>
      </w:r>
      <w:r w:rsidR="00B30AA2">
        <w:t> Taro-</w:t>
      </w:r>
      <w:r w:rsidR="00CB445C" w:rsidRPr="00E956C0">
        <w:t>9</w:t>
      </w:r>
      <w:r w:rsidR="00CB445C" w:rsidRPr="00E956C0">
        <w:rPr>
          <w:color w:val="000000" w:themeColor="text1"/>
          <w:szCs w:val="24"/>
          <w:shd w:val="clear" w:color="auto" w:fill="FFFFFF"/>
        </w:rPr>
        <w:t xml:space="preserve"> </w:t>
      </w:r>
      <w:r w:rsidR="00B30AA2">
        <w:rPr>
          <w:color w:val="000000" w:themeColor="text1"/>
          <w:szCs w:val="24"/>
          <w:shd w:val="clear" w:color="auto" w:fill="FFFFFF"/>
        </w:rPr>
        <w:t xml:space="preserve">found that Covanta </w:t>
      </w:r>
      <w:r w:rsidR="00CB445C" w:rsidRPr="00E956C0">
        <w:rPr>
          <w:color w:val="000000" w:themeColor="text1"/>
          <w:szCs w:val="24"/>
          <w:shd w:val="clear" w:color="auto" w:fill="FFFFFF"/>
        </w:rPr>
        <w:t>paid $400,</w:t>
      </w:r>
      <w:r w:rsidR="00CB445C" w:rsidRPr="00743CC4">
        <w:rPr>
          <w:szCs w:val="24"/>
          <w:shd w:val="clear" w:color="auto" w:fill="FFFFFF"/>
        </w:rPr>
        <w:t xml:space="preserve">000 (£255,000) of penalties over </w:t>
      </w:r>
      <w:r w:rsidR="00134A9A">
        <w:rPr>
          <w:szCs w:val="24"/>
          <w:shd w:val="clear" w:color="auto" w:fill="FFFFFF"/>
        </w:rPr>
        <w:t xml:space="preserve">air emissions violations for </w:t>
      </w:r>
      <w:r w:rsidR="00CB445C" w:rsidRPr="00743CC4">
        <w:rPr>
          <w:szCs w:val="24"/>
          <w:shd w:val="clear" w:color="auto" w:fill="FFFFFF"/>
        </w:rPr>
        <w:t xml:space="preserve">an incinerator project in </w:t>
      </w:r>
      <w:r w:rsidR="00CB445C" w:rsidRPr="00743CC4">
        <w:rPr>
          <w:szCs w:val="24"/>
        </w:rPr>
        <w:t>Wallingford C</w:t>
      </w:r>
      <w:r w:rsidR="00B30AA2">
        <w:rPr>
          <w:szCs w:val="24"/>
        </w:rPr>
        <w:t>T, with</w:t>
      </w:r>
      <w:r w:rsidR="00CB445C" w:rsidRPr="00743CC4">
        <w:rPr>
          <w:szCs w:val="24"/>
        </w:rPr>
        <w:t xml:space="preserve"> dioxin levels more than twice the allowable permit and regulatory level </w:t>
      </w:r>
      <w:r w:rsidR="00CB445C" w:rsidRPr="00743CC4">
        <w:rPr>
          <w:rStyle w:val="FootnoteReference"/>
          <w:szCs w:val="24"/>
        </w:rPr>
        <w:footnoteReference w:id="20"/>
      </w:r>
      <w:r w:rsidR="00CB445C" w:rsidRPr="00743CC4">
        <w:rPr>
          <w:szCs w:val="24"/>
        </w:rPr>
        <w:t xml:space="preserve">. </w:t>
      </w:r>
      <w:r w:rsidR="00134A9A">
        <w:rPr>
          <w:szCs w:val="24"/>
        </w:rPr>
        <w:t xml:space="preserve">Compounding </w:t>
      </w:r>
      <w:r w:rsidR="00CB445C" w:rsidRPr="00743CC4">
        <w:rPr>
          <w:szCs w:val="24"/>
        </w:rPr>
        <w:t xml:space="preserve">health inequalities amongst an already socially and economically marginalised community is an example of </w:t>
      </w:r>
      <w:r w:rsidR="00CB445C" w:rsidRPr="00743CC4">
        <w:rPr>
          <w:i/>
          <w:szCs w:val="24"/>
        </w:rPr>
        <w:t xml:space="preserve">peripheralisation </w:t>
      </w:r>
      <w:r w:rsidR="00CB445C" w:rsidRPr="00743CC4">
        <w:rPr>
          <w:rStyle w:val="FootnoteReference"/>
          <w:szCs w:val="24"/>
        </w:rPr>
        <w:footnoteReference w:id="21"/>
      </w:r>
      <w:r w:rsidR="00CB445C" w:rsidRPr="00743CC4">
        <w:rPr>
          <w:i/>
          <w:szCs w:val="24"/>
        </w:rPr>
        <w:t xml:space="preserve"> </w:t>
      </w:r>
      <w:r w:rsidR="00CB445C" w:rsidRPr="00743CC4">
        <w:rPr>
          <w:szCs w:val="24"/>
        </w:rPr>
        <w:t xml:space="preserve">whereby </w:t>
      </w:r>
      <w:r w:rsidR="00C33EE0" w:rsidRPr="00743CC4">
        <w:rPr>
          <w:szCs w:val="24"/>
        </w:rPr>
        <w:t xml:space="preserve">local </w:t>
      </w:r>
      <w:r w:rsidR="00CB445C" w:rsidRPr="00743CC4">
        <w:rPr>
          <w:szCs w:val="24"/>
        </w:rPr>
        <w:t xml:space="preserve">support for hazardous industries is </w:t>
      </w:r>
      <w:r w:rsidR="00C33EE0" w:rsidRPr="00743CC4">
        <w:rPr>
          <w:szCs w:val="24"/>
        </w:rPr>
        <w:t>encourage by promoting the technology as a solution to existing economic deprivation</w:t>
      </w:r>
      <w:r w:rsidR="00545EA0" w:rsidRPr="00743CC4">
        <w:rPr>
          <w:szCs w:val="24"/>
        </w:rPr>
        <w:t xml:space="preserve"> </w:t>
      </w:r>
      <w:r w:rsidR="00545EA0" w:rsidRPr="00743CC4">
        <w:rPr>
          <w:rStyle w:val="FootnoteReference"/>
          <w:szCs w:val="24"/>
        </w:rPr>
        <w:footnoteReference w:id="22"/>
      </w:r>
      <w:r w:rsidR="00134A9A">
        <w:rPr>
          <w:szCs w:val="24"/>
        </w:rPr>
        <w:t xml:space="preserve"> resulting in environmental injustice; in essence</w:t>
      </w:r>
      <w:r w:rsidR="00387818">
        <w:rPr>
          <w:szCs w:val="24"/>
        </w:rPr>
        <w:t xml:space="preserve"> </w:t>
      </w:r>
      <w:r w:rsidR="00134A9A">
        <w:rPr>
          <w:szCs w:val="24"/>
        </w:rPr>
        <w:t xml:space="preserve">a </w:t>
      </w:r>
      <w:r w:rsidR="00CB445C" w:rsidRPr="00743CC4">
        <w:rPr>
          <w:szCs w:val="24"/>
        </w:rPr>
        <w:t>form of economic coercion</w:t>
      </w:r>
      <w:r w:rsidR="00134A9A">
        <w:rPr>
          <w:szCs w:val="24"/>
        </w:rPr>
        <w:t xml:space="preserve"> </w:t>
      </w:r>
      <w:r w:rsidR="004C2CD2" w:rsidRPr="00743CC4">
        <w:rPr>
          <w:rStyle w:val="FootnoteReference"/>
          <w:szCs w:val="24"/>
        </w:rPr>
        <w:footnoteReference w:id="23"/>
      </w:r>
      <w:r w:rsidR="00CB445C" w:rsidRPr="00743CC4">
        <w:rPr>
          <w:szCs w:val="24"/>
        </w:rPr>
        <w:t xml:space="preserve">. </w:t>
      </w:r>
    </w:p>
    <w:p w:rsidR="00505C45" w:rsidRPr="00743CC4" w:rsidRDefault="00536F5A" w:rsidP="00743CC4">
      <w:pPr>
        <w:autoSpaceDE w:val="0"/>
        <w:autoSpaceDN w:val="0"/>
        <w:adjustRightInd w:val="0"/>
        <w:ind w:firstLine="720"/>
        <w:jc w:val="both"/>
        <w:rPr>
          <w:rStyle w:val="apple-converted-space"/>
          <w:szCs w:val="24"/>
        </w:rPr>
      </w:pPr>
      <w:r>
        <w:rPr>
          <w:rFonts w:eastAsiaTheme="minorHAnsi"/>
          <w:szCs w:val="24"/>
        </w:rPr>
        <w:t>In terms of</w:t>
      </w:r>
      <w:r w:rsidR="00814530" w:rsidRPr="00743CC4">
        <w:rPr>
          <w:rFonts w:eastAsiaTheme="minorHAnsi"/>
          <w:szCs w:val="24"/>
        </w:rPr>
        <w:t xml:space="preserve"> procedural</w:t>
      </w:r>
      <w:r>
        <w:rPr>
          <w:rFonts w:eastAsiaTheme="minorHAnsi"/>
          <w:szCs w:val="24"/>
        </w:rPr>
        <w:t xml:space="preserve"> environmental</w:t>
      </w:r>
      <w:r w:rsidR="00814530" w:rsidRPr="00743CC4">
        <w:rPr>
          <w:rFonts w:eastAsiaTheme="minorHAnsi"/>
          <w:szCs w:val="24"/>
        </w:rPr>
        <w:t xml:space="preserve"> justice, significant concerns were raised over the quality of public participation in the environmental decision-making process</w:t>
      </w:r>
      <w:r w:rsidR="009968BD">
        <w:rPr>
          <w:rFonts w:eastAsiaTheme="minorHAnsi"/>
          <w:szCs w:val="24"/>
        </w:rPr>
        <w:t xml:space="preserve"> and the lack of opportunities to challenge Covanta’s plans through the IPC</w:t>
      </w:r>
      <w:r w:rsidR="000A362F" w:rsidRPr="00743CC4">
        <w:rPr>
          <w:rFonts w:eastAsiaTheme="minorHAnsi"/>
          <w:szCs w:val="24"/>
        </w:rPr>
        <w:t xml:space="preserve">. As is common to </w:t>
      </w:r>
      <w:r w:rsidR="005A78E3">
        <w:rPr>
          <w:rFonts w:eastAsiaTheme="minorHAnsi"/>
          <w:szCs w:val="24"/>
        </w:rPr>
        <w:t>infrastructure planning</w:t>
      </w:r>
      <w:r w:rsidR="000A362F" w:rsidRPr="00743CC4">
        <w:rPr>
          <w:rFonts w:eastAsiaTheme="minorHAnsi"/>
          <w:szCs w:val="24"/>
        </w:rPr>
        <w:t xml:space="preserve"> applications, a two-tier system of </w:t>
      </w:r>
      <w:r w:rsidR="000A362F" w:rsidRPr="005A78E3">
        <w:rPr>
          <w:rFonts w:eastAsiaTheme="minorHAnsi"/>
          <w:i/>
          <w:szCs w:val="24"/>
        </w:rPr>
        <w:t>engagement</w:t>
      </w:r>
      <w:r w:rsidR="000A362F" w:rsidRPr="00743CC4">
        <w:rPr>
          <w:rFonts w:eastAsiaTheme="minorHAnsi"/>
          <w:szCs w:val="24"/>
        </w:rPr>
        <w:t xml:space="preserve"> takes place. Prior to the announcement of the proposed facility, regional stakeholders “deemed [to] have a strategic interest in the project” were contacted</w:t>
      </w:r>
      <w:r w:rsidR="005A78E3">
        <w:rPr>
          <w:rFonts w:eastAsiaTheme="minorHAnsi"/>
          <w:szCs w:val="24"/>
        </w:rPr>
        <w:t xml:space="preserve">, including </w:t>
      </w:r>
      <w:r w:rsidR="000A362F" w:rsidRPr="00743CC4">
        <w:rPr>
          <w:rFonts w:eastAsiaTheme="minorHAnsi"/>
          <w:szCs w:val="24"/>
        </w:rPr>
        <w:t xml:space="preserve">elected councillors, Assembly Members and Members of Parliament, chief executives of local authorities in Wales, </w:t>
      </w:r>
      <w:r w:rsidR="005A78E3">
        <w:rPr>
          <w:rFonts w:eastAsiaTheme="minorHAnsi"/>
          <w:szCs w:val="24"/>
        </w:rPr>
        <w:t xml:space="preserve">and </w:t>
      </w:r>
      <w:r w:rsidR="000A362F" w:rsidRPr="00743CC4">
        <w:rPr>
          <w:rFonts w:eastAsiaTheme="minorHAnsi"/>
          <w:szCs w:val="24"/>
        </w:rPr>
        <w:t xml:space="preserve">heads of </w:t>
      </w:r>
      <w:r w:rsidR="00335195">
        <w:rPr>
          <w:rFonts w:eastAsiaTheme="minorHAnsi"/>
          <w:szCs w:val="24"/>
        </w:rPr>
        <w:t>waste management in Welsh</w:t>
      </w:r>
      <w:r w:rsidR="000A362F" w:rsidRPr="00743CC4">
        <w:rPr>
          <w:rFonts w:eastAsiaTheme="minorHAnsi"/>
          <w:szCs w:val="24"/>
        </w:rPr>
        <w:t xml:space="preserve"> local authorities. Once these stakeholders had been consulted and the project moved into the land use planning stage, Covanta established a Community Liaison Panel of local residents and business, community groups, local organisations and council representatives</w:t>
      </w:r>
      <w:r w:rsidR="008B2C03">
        <w:rPr>
          <w:rFonts w:eastAsiaTheme="minorHAnsi"/>
          <w:szCs w:val="24"/>
        </w:rPr>
        <w:t xml:space="preserve">, to discuss </w:t>
      </w:r>
      <w:r w:rsidR="000A362F" w:rsidRPr="00743CC4">
        <w:rPr>
          <w:rFonts w:eastAsiaTheme="minorHAnsi"/>
          <w:szCs w:val="24"/>
        </w:rPr>
        <w:t>issues in relati</w:t>
      </w:r>
      <w:r w:rsidR="004C5E1C">
        <w:rPr>
          <w:rFonts w:eastAsiaTheme="minorHAnsi"/>
          <w:szCs w:val="24"/>
        </w:rPr>
        <w:t xml:space="preserve">on to the proposed developments which </w:t>
      </w:r>
      <w:r w:rsidR="000A362F" w:rsidRPr="00743CC4">
        <w:rPr>
          <w:rFonts w:eastAsiaTheme="minorHAnsi"/>
          <w:szCs w:val="24"/>
        </w:rPr>
        <w:t xml:space="preserve">“provides a channel for the flow of information between Covanta and local people”. </w:t>
      </w:r>
      <w:r w:rsidR="008B2C03">
        <w:rPr>
          <w:rFonts w:eastAsiaTheme="minorHAnsi"/>
          <w:szCs w:val="24"/>
        </w:rPr>
        <w:t xml:space="preserve">This panel does not however have decision-making authority on any aspect of the plan. </w:t>
      </w:r>
      <w:r w:rsidR="005A78E3">
        <w:rPr>
          <w:rFonts w:eastAsiaTheme="minorHAnsi"/>
          <w:szCs w:val="24"/>
        </w:rPr>
        <w:t xml:space="preserve">Thus, as shown in other studies of infrastructure plans, developers conceive of local residents as lacking strategic vision and thus are not considered to be legitimate regional stakeholders </w:t>
      </w:r>
      <w:r w:rsidR="005A78E3">
        <w:rPr>
          <w:rStyle w:val="FootnoteReference"/>
          <w:rFonts w:eastAsiaTheme="minorHAnsi"/>
          <w:szCs w:val="24"/>
        </w:rPr>
        <w:footnoteReference w:id="24"/>
      </w:r>
      <w:r w:rsidR="005A78E3">
        <w:rPr>
          <w:rFonts w:eastAsiaTheme="minorHAnsi"/>
          <w:szCs w:val="24"/>
        </w:rPr>
        <w:t>. Instead of active solicitation of two-way dialogue with residents, c</w:t>
      </w:r>
      <w:r w:rsidR="000A362F" w:rsidRPr="00743CC4">
        <w:rPr>
          <w:rFonts w:eastAsiaTheme="minorHAnsi"/>
          <w:szCs w:val="24"/>
        </w:rPr>
        <w:t>ommunication of project plans</w:t>
      </w:r>
      <w:r w:rsidR="0092786B">
        <w:rPr>
          <w:rFonts w:eastAsiaTheme="minorHAnsi"/>
          <w:szCs w:val="24"/>
        </w:rPr>
        <w:t xml:space="preserve"> to residents</w:t>
      </w:r>
      <w:r w:rsidR="000A362F" w:rsidRPr="00743CC4">
        <w:rPr>
          <w:rFonts w:eastAsiaTheme="minorHAnsi"/>
          <w:szCs w:val="24"/>
        </w:rPr>
        <w:t xml:space="preserve"> </w:t>
      </w:r>
      <w:r w:rsidR="005A78E3">
        <w:rPr>
          <w:rFonts w:eastAsiaTheme="minorHAnsi"/>
          <w:szCs w:val="24"/>
        </w:rPr>
        <w:t xml:space="preserve">occurs </w:t>
      </w:r>
      <w:r w:rsidR="000A362F" w:rsidRPr="00743CC4">
        <w:rPr>
          <w:rFonts w:eastAsiaTheme="minorHAnsi"/>
          <w:szCs w:val="24"/>
        </w:rPr>
        <w:t>through local media, and letters locally d</w:t>
      </w:r>
      <w:r w:rsidR="005A78E3">
        <w:rPr>
          <w:rFonts w:eastAsiaTheme="minorHAnsi"/>
          <w:szCs w:val="24"/>
        </w:rPr>
        <w:t>elivered to project communities,</w:t>
      </w:r>
      <w:r w:rsidR="000A362F" w:rsidRPr="00743CC4">
        <w:rPr>
          <w:rFonts w:eastAsiaTheme="minorHAnsi"/>
          <w:szCs w:val="24"/>
        </w:rPr>
        <w:t xml:space="preserve"> </w:t>
      </w:r>
      <w:r w:rsidR="005A78E3">
        <w:rPr>
          <w:rFonts w:eastAsiaTheme="minorHAnsi"/>
          <w:szCs w:val="24"/>
        </w:rPr>
        <w:t xml:space="preserve">with </w:t>
      </w:r>
      <w:r w:rsidR="000A362F" w:rsidRPr="00743CC4">
        <w:rPr>
          <w:rFonts w:eastAsiaTheme="minorHAnsi"/>
          <w:szCs w:val="24"/>
        </w:rPr>
        <w:t>project e-mail address and contact telephone number for interested parties (in English and Welsh), and a project website</w:t>
      </w:r>
      <w:r w:rsidR="005A78E3">
        <w:rPr>
          <w:rFonts w:eastAsiaTheme="minorHAnsi"/>
          <w:szCs w:val="24"/>
        </w:rPr>
        <w:t xml:space="preserve"> used to collate responses</w:t>
      </w:r>
      <w:r w:rsidR="000A362F" w:rsidRPr="00743CC4">
        <w:rPr>
          <w:rFonts w:eastAsiaTheme="minorHAnsi"/>
          <w:szCs w:val="24"/>
        </w:rPr>
        <w:t xml:space="preserve">. Within three months of announcing its outline plan, Covanta held a round of </w:t>
      </w:r>
      <w:r w:rsidR="000A362F" w:rsidRPr="00743CC4">
        <w:rPr>
          <w:rFonts w:eastAsiaTheme="minorHAnsi"/>
          <w:i/>
          <w:szCs w:val="24"/>
        </w:rPr>
        <w:t>information days</w:t>
      </w:r>
      <w:r w:rsidR="00BF038A">
        <w:rPr>
          <w:rFonts w:eastAsiaTheme="minorHAnsi"/>
          <w:szCs w:val="24"/>
        </w:rPr>
        <w:t xml:space="preserve"> - </w:t>
      </w:r>
      <w:r w:rsidR="000A362F" w:rsidRPr="00743CC4">
        <w:rPr>
          <w:rFonts w:eastAsiaTheme="minorHAnsi"/>
          <w:szCs w:val="24"/>
        </w:rPr>
        <w:t xml:space="preserve">public exhibitions that provided local </w:t>
      </w:r>
      <w:r w:rsidR="000A362F" w:rsidRPr="00743CC4">
        <w:rPr>
          <w:rFonts w:eastAsiaTheme="minorHAnsi"/>
          <w:szCs w:val="24"/>
        </w:rPr>
        <w:lastRenderedPageBreak/>
        <w:t>people with the opportunity for face-to-face contact with Covanta employees to discuss the project and to answer questions</w:t>
      </w:r>
      <w:r w:rsidR="003F1016" w:rsidRPr="00743CC4">
        <w:rPr>
          <w:rFonts w:eastAsiaTheme="minorHAnsi"/>
          <w:szCs w:val="24"/>
        </w:rPr>
        <w:t xml:space="preserve"> </w:t>
      </w:r>
      <w:r w:rsidR="003F1016" w:rsidRPr="00743CC4">
        <w:rPr>
          <w:rStyle w:val="FootnoteReference"/>
          <w:rFonts w:eastAsiaTheme="minorHAnsi"/>
          <w:szCs w:val="24"/>
        </w:rPr>
        <w:footnoteReference w:id="25"/>
      </w:r>
      <w:r w:rsidR="007C333E" w:rsidRPr="00743CC4">
        <w:rPr>
          <w:rFonts w:eastAsiaTheme="minorHAnsi"/>
          <w:szCs w:val="24"/>
        </w:rPr>
        <w:t xml:space="preserve">, </w:t>
      </w:r>
      <w:r w:rsidR="00BF038A">
        <w:rPr>
          <w:rFonts w:eastAsiaTheme="minorHAnsi"/>
          <w:szCs w:val="24"/>
        </w:rPr>
        <w:t xml:space="preserve">thus showing similarities to </w:t>
      </w:r>
      <w:r w:rsidR="007C333E" w:rsidRPr="00743CC4">
        <w:rPr>
          <w:rFonts w:eastAsiaTheme="minorHAnsi"/>
          <w:szCs w:val="24"/>
        </w:rPr>
        <w:t>other</w:t>
      </w:r>
      <w:r w:rsidR="00536893">
        <w:rPr>
          <w:rFonts w:eastAsiaTheme="minorHAnsi"/>
          <w:szCs w:val="24"/>
        </w:rPr>
        <w:t xml:space="preserve"> NSIP proposals for energy infrastructures</w:t>
      </w:r>
      <w:r w:rsidR="007C333E" w:rsidRPr="00743CC4">
        <w:rPr>
          <w:rFonts w:eastAsiaTheme="minorHAnsi"/>
          <w:szCs w:val="24"/>
        </w:rPr>
        <w:t xml:space="preserve"> </w:t>
      </w:r>
      <w:r w:rsidR="007C333E" w:rsidRPr="00743CC4">
        <w:rPr>
          <w:rStyle w:val="FootnoteReference"/>
          <w:rFonts w:eastAsiaTheme="minorHAnsi"/>
          <w:szCs w:val="24"/>
        </w:rPr>
        <w:footnoteReference w:id="26"/>
      </w:r>
      <w:r w:rsidR="000A362F" w:rsidRPr="00743CC4">
        <w:rPr>
          <w:rFonts w:eastAsiaTheme="minorHAnsi"/>
          <w:szCs w:val="24"/>
        </w:rPr>
        <w:t>.</w:t>
      </w:r>
      <w:r w:rsidR="00505C45" w:rsidRPr="00743CC4">
        <w:rPr>
          <w:rStyle w:val="apple-converted-space"/>
          <w:szCs w:val="24"/>
        </w:rPr>
        <w:t xml:space="preserve"> </w:t>
      </w:r>
    </w:p>
    <w:p w:rsidR="00AC4188" w:rsidRDefault="00BE16ED" w:rsidP="00743CC4">
      <w:pPr>
        <w:autoSpaceDE w:val="0"/>
        <w:autoSpaceDN w:val="0"/>
        <w:adjustRightInd w:val="0"/>
        <w:ind w:firstLine="720"/>
        <w:jc w:val="both"/>
        <w:rPr>
          <w:rStyle w:val="apple-converted-space"/>
          <w:szCs w:val="24"/>
        </w:rPr>
      </w:pPr>
      <w:r w:rsidRPr="00743CC4">
        <w:rPr>
          <w:rFonts w:eastAsiaTheme="minorHAnsi"/>
          <w:szCs w:val="24"/>
        </w:rPr>
        <w:t xml:space="preserve">These consultation measures were </w:t>
      </w:r>
      <w:r w:rsidR="00814530" w:rsidRPr="00743CC4">
        <w:rPr>
          <w:rFonts w:eastAsiaTheme="minorHAnsi"/>
          <w:szCs w:val="24"/>
        </w:rPr>
        <w:t xml:space="preserve">particularly </w:t>
      </w:r>
      <w:r w:rsidRPr="00743CC4">
        <w:rPr>
          <w:rFonts w:eastAsiaTheme="minorHAnsi"/>
          <w:szCs w:val="24"/>
        </w:rPr>
        <w:t xml:space="preserve">controversial due to a perceived </w:t>
      </w:r>
      <w:r w:rsidR="00814530" w:rsidRPr="00743CC4">
        <w:rPr>
          <w:szCs w:val="24"/>
          <w:shd w:val="clear" w:color="auto" w:fill="FFFFFF"/>
        </w:rPr>
        <w:t>lack of information on traffic levels,</w:t>
      </w:r>
      <w:r w:rsidRPr="00743CC4">
        <w:rPr>
          <w:szCs w:val="24"/>
          <w:shd w:val="clear" w:color="auto" w:fill="FFFFFF"/>
        </w:rPr>
        <w:t xml:space="preserve"> classification of wastes, air pollution, wildlife and resident</w:t>
      </w:r>
      <w:r w:rsidR="00814530" w:rsidRPr="00743CC4">
        <w:rPr>
          <w:szCs w:val="24"/>
          <w:shd w:val="clear" w:color="auto" w:fill="FFFFFF"/>
        </w:rPr>
        <w:t xml:space="preserve"> health impacts in the public consultation pre-applicatio</w:t>
      </w:r>
      <w:r w:rsidRPr="00743CC4">
        <w:rPr>
          <w:szCs w:val="24"/>
          <w:shd w:val="clear" w:color="auto" w:fill="FFFFFF"/>
        </w:rPr>
        <w:t>n phase</w:t>
      </w:r>
      <w:r w:rsidR="00814530" w:rsidRPr="00743CC4">
        <w:rPr>
          <w:szCs w:val="24"/>
          <w:shd w:val="clear" w:color="auto" w:fill="FFFFFF"/>
        </w:rPr>
        <w:t>.</w:t>
      </w:r>
      <w:r w:rsidRPr="00743CC4">
        <w:rPr>
          <w:szCs w:val="24"/>
          <w:shd w:val="clear" w:color="auto" w:fill="FFFFFF"/>
        </w:rPr>
        <w:t xml:space="preserve"> Moreover,</w:t>
      </w:r>
      <w:r w:rsidR="00814530" w:rsidRPr="00743CC4">
        <w:rPr>
          <w:rStyle w:val="apple-converted-space"/>
          <w:szCs w:val="24"/>
          <w:shd w:val="clear" w:color="auto" w:fill="FFFFFF"/>
        </w:rPr>
        <w:t> </w:t>
      </w:r>
      <w:r w:rsidRPr="00743CC4">
        <w:rPr>
          <w:szCs w:val="24"/>
          <w:shd w:val="clear" w:color="auto" w:fill="FFFFFF"/>
        </w:rPr>
        <w:t xml:space="preserve">the 'examination stage' at </w:t>
      </w:r>
      <w:r w:rsidR="00814530" w:rsidRPr="00743CC4">
        <w:rPr>
          <w:szCs w:val="24"/>
          <w:shd w:val="clear" w:color="auto" w:fill="FFFFFF"/>
        </w:rPr>
        <w:t>which the application pass</w:t>
      </w:r>
      <w:r w:rsidRPr="00743CC4">
        <w:rPr>
          <w:szCs w:val="24"/>
          <w:shd w:val="clear" w:color="auto" w:fill="FFFFFF"/>
        </w:rPr>
        <w:t>es</w:t>
      </w:r>
      <w:r w:rsidR="00814530" w:rsidRPr="00743CC4">
        <w:rPr>
          <w:szCs w:val="24"/>
          <w:shd w:val="clear" w:color="auto" w:fill="FFFFFF"/>
        </w:rPr>
        <w:t xml:space="preserve"> to </w:t>
      </w:r>
      <w:r w:rsidR="00D56BD1">
        <w:rPr>
          <w:szCs w:val="24"/>
          <w:shd w:val="clear" w:color="auto" w:fill="FFFFFF"/>
        </w:rPr>
        <w:t>the IPC</w:t>
      </w:r>
      <w:r w:rsidR="00814530" w:rsidRPr="00743CC4">
        <w:rPr>
          <w:szCs w:val="24"/>
          <w:shd w:val="clear" w:color="auto" w:fill="FFFFFF"/>
        </w:rPr>
        <w:t xml:space="preserve"> only allows members of the public to raise concerns in writing - rather than having the right to cross-examine the developer, as under </w:t>
      </w:r>
      <w:r w:rsidRPr="00743CC4">
        <w:rPr>
          <w:szCs w:val="24"/>
          <w:shd w:val="clear" w:color="auto" w:fill="FFFFFF"/>
        </w:rPr>
        <w:t xml:space="preserve">the previous </w:t>
      </w:r>
      <w:r w:rsidRPr="001555F7">
        <w:rPr>
          <w:i/>
          <w:szCs w:val="24"/>
          <w:shd w:val="clear" w:color="auto" w:fill="FFFFFF"/>
        </w:rPr>
        <w:t>public inquiry</w:t>
      </w:r>
      <w:r w:rsidRPr="00743CC4">
        <w:rPr>
          <w:szCs w:val="24"/>
          <w:shd w:val="clear" w:color="auto" w:fill="FFFFFF"/>
        </w:rPr>
        <w:t xml:space="preserve"> system</w:t>
      </w:r>
      <w:r w:rsidR="00D56BD1">
        <w:rPr>
          <w:szCs w:val="24"/>
          <w:shd w:val="clear" w:color="auto" w:fill="FFFFFF"/>
        </w:rPr>
        <w:t xml:space="preserve">, so opportunities for full community involvement were curtailed, and the deliberative capacity </w:t>
      </w:r>
      <w:r w:rsidR="00D56BD1">
        <w:rPr>
          <w:rStyle w:val="FootnoteReference"/>
          <w:szCs w:val="24"/>
          <w:shd w:val="clear" w:color="auto" w:fill="FFFFFF"/>
        </w:rPr>
        <w:footnoteReference w:id="27"/>
      </w:r>
      <w:r w:rsidR="00D56BD1">
        <w:rPr>
          <w:szCs w:val="24"/>
          <w:shd w:val="clear" w:color="auto" w:fill="FFFFFF"/>
        </w:rPr>
        <w:t xml:space="preserve"> of citizens to be involved limited by th</w:t>
      </w:r>
      <w:r w:rsidR="00417A7C">
        <w:rPr>
          <w:szCs w:val="24"/>
          <w:shd w:val="clear" w:color="auto" w:fill="FFFFFF"/>
        </w:rPr>
        <w:t>e structural ‘rules of the game’</w:t>
      </w:r>
      <w:r w:rsidRPr="00743CC4">
        <w:rPr>
          <w:szCs w:val="24"/>
          <w:shd w:val="clear" w:color="auto" w:fill="FFFFFF"/>
        </w:rPr>
        <w:t xml:space="preserve">. </w:t>
      </w:r>
      <w:r w:rsidR="000B11D1" w:rsidRPr="00743CC4">
        <w:rPr>
          <w:rFonts w:eastAsiaTheme="minorHAnsi"/>
          <w:szCs w:val="24"/>
        </w:rPr>
        <w:t xml:space="preserve">These </w:t>
      </w:r>
      <w:r w:rsidR="00505C45" w:rsidRPr="00743CC4">
        <w:rPr>
          <w:rFonts w:eastAsiaTheme="minorHAnsi"/>
          <w:szCs w:val="24"/>
        </w:rPr>
        <w:t xml:space="preserve">measures create </w:t>
      </w:r>
      <w:r w:rsidR="000B11D1" w:rsidRPr="00743CC4">
        <w:rPr>
          <w:rFonts w:eastAsiaTheme="minorHAnsi"/>
          <w:szCs w:val="24"/>
        </w:rPr>
        <w:t>signifi</w:t>
      </w:r>
      <w:r w:rsidRPr="00743CC4">
        <w:rPr>
          <w:rFonts w:eastAsiaTheme="minorHAnsi"/>
          <w:szCs w:val="24"/>
        </w:rPr>
        <w:t>cant democratic deficits</w:t>
      </w:r>
      <w:r w:rsidR="00505C45" w:rsidRPr="00743CC4">
        <w:rPr>
          <w:rFonts w:eastAsiaTheme="minorHAnsi"/>
          <w:szCs w:val="24"/>
        </w:rPr>
        <w:t xml:space="preserve"> for infrastructure siting projects.</w:t>
      </w:r>
      <w:r w:rsidRPr="00743CC4">
        <w:rPr>
          <w:rFonts w:eastAsiaTheme="minorHAnsi"/>
          <w:szCs w:val="24"/>
        </w:rPr>
        <w:t xml:space="preserve"> </w:t>
      </w:r>
      <w:r w:rsidR="00505C45" w:rsidRPr="00743CC4">
        <w:rPr>
          <w:rStyle w:val="apple-converted-space"/>
          <w:szCs w:val="24"/>
        </w:rPr>
        <w:t xml:space="preserve">The reasons for which are based upon a lack of planning guidance on best practice participatory methods, the social construction of objection as due to Not-in-my-back-yard protest (rather than construing opposition actors as legitimate stakeholders) and a lack of experience and expertise in implementing consultation measures under the new system </w:t>
      </w:r>
      <w:r w:rsidR="00505C45" w:rsidRPr="00743CC4">
        <w:rPr>
          <w:rStyle w:val="FootnoteReference"/>
          <w:szCs w:val="24"/>
        </w:rPr>
        <w:footnoteReference w:id="28"/>
      </w:r>
      <w:r w:rsidR="00505C45" w:rsidRPr="00743CC4">
        <w:rPr>
          <w:rStyle w:val="apple-converted-space"/>
          <w:szCs w:val="24"/>
        </w:rPr>
        <w:t xml:space="preserve">. </w:t>
      </w:r>
    </w:p>
    <w:p w:rsidR="00770DE6" w:rsidRPr="00743CC4" w:rsidRDefault="00505C45" w:rsidP="00743CC4">
      <w:pPr>
        <w:autoSpaceDE w:val="0"/>
        <w:autoSpaceDN w:val="0"/>
        <w:adjustRightInd w:val="0"/>
        <w:ind w:firstLine="720"/>
        <w:jc w:val="both"/>
        <w:rPr>
          <w:szCs w:val="24"/>
          <w:shd w:val="clear" w:color="auto" w:fill="FFFFFF"/>
        </w:rPr>
      </w:pPr>
      <w:r w:rsidRPr="00743CC4">
        <w:rPr>
          <w:rStyle w:val="apple-converted-space"/>
          <w:szCs w:val="24"/>
        </w:rPr>
        <w:t xml:space="preserve">The perceived lack of quality deliberation and </w:t>
      </w:r>
      <w:r w:rsidR="00AC4188">
        <w:rPr>
          <w:rStyle w:val="apple-converted-space"/>
          <w:szCs w:val="24"/>
        </w:rPr>
        <w:t xml:space="preserve">opportunities for communities to have </w:t>
      </w:r>
      <w:r w:rsidRPr="00743CC4">
        <w:rPr>
          <w:rStyle w:val="apple-converted-space"/>
          <w:szCs w:val="24"/>
        </w:rPr>
        <w:t>decisional influence on proposals</w:t>
      </w:r>
      <w:r w:rsidR="00AC4188">
        <w:rPr>
          <w:rStyle w:val="apple-converted-space"/>
          <w:szCs w:val="24"/>
        </w:rPr>
        <w:t xml:space="preserve"> under formal engagement processes</w:t>
      </w:r>
      <w:r w:rsidRPr="00743CC4">
        <w:rPr>
          <w:rStyle w:val="apple-converted-space"/>
          <w:szCs w:val="24"/>
        </w:rPr>
        <w:t xml:space="preserve"> </w:t>
      </w:r>
      <w:r w:rsidR="00BE16ED" w:rsidRPr="00743CC4">
        <w:rPr>
          <w:rFonts w:eastAsiaTheme="minorHAnsi"/>
          <w:szCs w:val="24"/>
        </w:rPr>
        <w:t xml:space="preserve">led to </w:t>
      </w:r>
      <w:r w:rsidR="00AC4188">
        <w:rPr>
          <w:rFonts w:eastAsiaTheme="minorHAnsi"/>
          <w:szCs w:val="24"/>
        </w:rPr>
        <w:t xml:space="preserve">engagement through uninvited means </w:t>
      </w:r>
      <w:r w:rsidR="00AC4188">
        <w:rPr>
          <w:rStyle w:val="FootnoteReference"/>
          <w:rFonts w:eastAsiaTheme="minorHAnsi"/>
          <w:szCs w:val="24"/>
        </w:rPr>
        <w:footnoteReference w:id="29"/>
      </w:r>
      <w:r w:rsidR="00C70BCB">
        <w:rPr>
          <w:rFonts w:eastAsiaTheme="minorHAnsi"/>
          <w:szCs w:val="24"/>
        </w:rPr>
        <w:t xml:space="preserve">, i.e. through </w:t>
      </w:r>
      <w:r w:rsidR="00BE16ED" w:rsidRPr="00743CC4">
        <w:rPr>
          <w:rFonts w:eastAsiaTheme="minorHAnsi"/>
          <w:szCs w:val="24"/>
        </w:rPr>
        <w:t>o</w:t>
      </w:r>
      <w:r w:rsidR="007D4E1F" w:rsidRPr="00743CC4">
        <w:rPr>
          <w:szCs w:val="24"/>
          <w:shd w:val="clear" w:color="auto" w:fill="FFFFFF"/>
        </w:rPr>
        <w:t xml:space="preserve">rganised opposition under the </w:t>
      </w:r>
      <w:r w:rsidR="000B11D1" w:rsidRPr="00743CC4">
        <w:rPr>
          <w:szCs w:val="24"/>
          <w:shd w:val="clear" w:color="auto" w:fill="FFFFFF"/>
        </w:rPr>
        <w:t xml:space="preserve">banner of the </w:t>
      </w:r>
      <w:r w:rsidR="007D4E1F" w:rsidRPr="00743CC4">
        <w:rPr>
          <w:szCs w:val="24"/>
        </w:rPr>
        <w:t>United Valleys Action Group (UVAG)</w:t>
      </w:r>
      <w:r w:rsidR="00C70BCB">
        <w:rPr>
          <w:szCs w:val="24"/>
        </w:rPr>
        <w:t>. UVAG</w:t>
      </w:r>
      <w:r w:rsidR="007D4E1F" w:rsidRPr="00743CC4">
        <w:rPr>
          <w:szCs w:val="24"/>
        </w:rPr>
        <w:t xml:space="preserve"> submitted </w:t>
      </w:r>
      <w:r w:rsidR="000B11D1" w:rsidRPr="00743CC4">
        <w:rPr>
          <w:szCs w:val="24"/>
        </w:rPr>
        <w:t xml:space="preserve">written </w:t>
      </w:r>
      <w:r w:rsidR="007D4E1F" w:rsidRPr="00743CC4">
        <w:rPr>
          <w:szCs w:val="24"/>
        </w:rPr>
        <w:t>evidence to the IPC</w:t>
      </w:r>
      <w:r w:rsidR="00EC3111" w:rsidRPr="00743CC4">
        <w:rPr>
          <w:szCs w:val="24"/>
        </w:rPr>
        <w:t xml:space="preserve"> concerning issues of light pollution (the facility would operate 24 hours</w:t>
      </w:r>
      <w:r w:rsidR="0072650F">
        <w:rPr>
          <w:szCs w:val="24"/>
        </w:rPr>
        <w:t xml:space="preserve"> a day), concerns over water us</w:t>
      </w:r>
      <w:r w:rsidR="00EC3111" w:rsidRPr="00743CC4">
        <w:rPr>
          <w:szCs w:val="24"/>
        </w:rPr>
        <w:t xml:space="preserve">age and recycling, </w:t>
      </w:r>
      <w:r w:rsidR="0053250C">
        <w:rPr>
          <w:szCs w:val="24"/>
        </w:rPr>
        <w:t xml:space="preserve">air quality, </w:t>
      </w:r>
      <w:r w:rsidR="00EC3111" w:rsidRPr="00743CC4">
        <w:rPr>
          <w:szCs w:val="24"/>
        </w:rPr>
        <w:t>plant operating efficiency,</w:t>
      </w:r>
      <w:r w:rsidR="00BE16ED" w:rsidRPr="00743CC4">
        <w:rPr>
          <w:szCs w:val="24"/>
        </w:rPr>
        <w:t xml:space="preserve"> waste classification</w:t>
      </w:r>
      <w:r w:rsidR="00EC3111" w:rsidRPr="00743CC4">
        <w:rPr>
          <w:szCs w:val="24"/>
        </w:rPr>
        <w:t xml:space="preserve"> and traffic congestion</w:t>
      </w:r>
      <w:r w:rsidR="007D4E1F" w:rsidRPr="00743CC4">
        <w:rPr>
          <w:szCs w:val="24"/>
        </w:rPr>
        <w:t>. Interestingly much of the evidence was drawn from a pool of ‘lay expertise’</w:t>
      </w:r>
      <w:r w:rsidR="000B11D1" w:rsidRPr="00743CC4">
        <w:rPr>
          <w:rStyle w:val="FootnoteReference"/>
          <w:szCs w:val="24"/>
        </w:rPr>
        <w:footnoteReference w:id="30"/>
      </w:r>
      <w:r w:rsidR="007D4E1F" w:rsidRPr="00743CC4">
        <w:rPr>
          <w:szCs w:val="24"/>
        </w:rPr>
        <w:t>, particularly concerning local topography and weather patterns affecting the distribution of exhaust fumes from the plant</w:t>
      </w:r>
      <w:r w:rsidR="00E64E69">
        <w:rPr>
          <w:szCs w:val="24"/>
        </w:rPr>
        <w:t>,</w:t>
      </w:r>
      <w:r w:rsidR="007D4E1F" w:rsidRPr="00743CC4">
        <w:rPr>
          <w:szCs w:val="24"/>
        </w:rPr>
        <w:t xml:space="preserve"> </w:t>
      </w:r>
      <w:r w:rsidR="00EC3111" w:rsidRPr="00743CC4">
        <w:rPr>
          <w:szCs w:val="24"/>
        </w:rPr>
        <w:t xml:space="preserve">alongside concerns over the </w:t>
      </w:r>
      <w:r w:rsidR="00BE16ED" w:rsidRPr="00743CC4">
        <w:rPr>
          <w:szCs w:val="24"/>
        </w:rPr>
        <w:t xml:space="preserve">effects of the incinerator facility on further industrialising the region and promoting technological stigmatisation </w:t>
      </w:r>
      <w:r w:rsidR="00EC3111" w:rsidRPr="00743CC4">
        <w:rPr>
          <w:szCs w:val="24"/>
        </w:rPr>
        <w:t>of Merthyr Tydfil</w:t>
      </w:r>
      <w:r w:rsidR="00BE16ED" w:rsidRPr="00743CC4">
        <w:rPr>
          <w:szCs w:val="24"/>
        </w:rPr>
        <w:t xml:space="preserve"> </w:t>
      </w:r>
      <w:r w:rsidR="00EC3111" w:rsidRPr="00743CC4">
        <w:rPr>
          <w:rStyle w:val="FootnoteReference"/>
          <w:szCs w:val="24"/>
        </w:rPr>
        <w:footnoteReference w:id="31"/>
      </w:r>
      <w:r w:rsidR="00EC3111" w:rsidRPr="00743CC4">
        <w:rPr>
          <w:szCs w:val="24"/>
        </w:rPr>
        <w:t xml:space="preserve">. </w:t>
      </w:r>
      <w:r w:rsidR="00545EA0" w:rsidRPr="00743CC4">
        <w:rPr>
          <w:szCs w:val="24"/>
        </w:rPr>
        <w:t>Partly in response to this information, and the growing public backlash against the proposal</w:t>
      </w:r>
      <w:r w:rsidR="00534651">
        <w:rPr>
          <w:szCs w:val="24"/>
        </w:rPr>
        <w:t>,</w:t>
      </w:r>
      <w:r w:rsidR="00545EA0" w:rsidRPr="00743CC4">
        <w:rPr>
          <w:szCs w:val="24"/>
        </w:rPr>
        <w:t xml:space="preserve"> the </w:t>
      </w:r>
      <w:r w:rsidR="00BE16ED" w:rsidRPr="00743CC4">
        <w:rPr>
          <w:szCs w:val="24"/>
          <w:shd w:val="clear" w:color="auto" w:fill="FFFFFF"/>
        </w:rPr>
        <w:t xml:space="preserve">chair of the Infrastructure Planning Commission decided to extend the </w:t>
      </w:r>
      <w:r w:rsidR="00BE16ED" w:rsidRPr="00743CC4">
        <w:rPr>
          <w:szCs w:val="24"/>
          <w:shd w:val="clear" w:color="auto" w:fill="FFFFFF"/>
        </w:rPr>
        <w:lastRenderedPageBreak/>
        <w:t xml:space="preserve">examination </w:t>
      </w:r>
      <w:r w:rsidR="00545EA0" w:rsidRPr="00743CC4">
        <w:rPr>
          <w:szCs w:val="24"/>
          <w:shd w:val="clear" w:color="auto" w:fill="FFFFFF"/>
        </w:rPr>
        <w:t xml:space="preserve">period </w:t>
      </w:r>
      <w:r w:rsidR="00BE16ED" w:rsidRPr="00743CC4">
        <w:rPr>
          <w:szCs w:val="24"/>
          <w:shd w:val="clear" w:color="auto" w:fill="FFFFFF"/>
        </w:rPr>
        <w:t>of the proposal</w:t>
      </w:r>
      <w:r w:rsidR="00215D25">
        <w:rPr>
          <w:szCs w:val="24"/>
          <w:shd w:val="clear" w:color="auto" w:fill="FFFFFF"/>
        </w:rPr>
        <w:t xml:space="preserve"> to extend public consultation</w:t>
      </w:r>
      <w:r w:rsidR="00545EA0" w:rsidRPr="00743CC4">
        <w:rPr>
          <w:szCs w:val="24"/>
          <w:shd w:val="clear" w:color="auto" w:fill="FFFFFF"/>
        </w:rPr>
        <w:t xml:space="preserve">. </w:t>
      </w:r>
      <w:r w:rsidR="00215D25">
        <w:rPr>
          <w:szCs w:val="24"/>
          <w:shd w:val="clear" w:color="auto" w:fill="FFFFFF"/>
        </w:rPr>
        <w:t xml:space="preserve">Covanta responded with more of the same: more public exhibitions showing feedback from previous consultation exercises. </w:t>
      </w:r>
      <w:r w:rsidR="00545EA0" w:rsidRPr="00743CC4">
        <w:rPr>
          <w:szCs w:val="24"/>
          <w:shd w:val="clear" w:color="auto" w:fill="FFFFFF"/>
        </w:rPr>
        <w:t xml:space="preserve">However, in October 2011 Covanta </w:t>
      </w:r>
      <w:r w:rsidR="00215D25">
        <w:rPr>
          <w:szCs w:val="24"/>
          <w:shd w:val="clear" w:color="auto" w:fill="FFFFFF"/>
        </w:rPr>
        <w:t>revered their decision, dropping</w:t>
      </w:r>
      <w:r w:rsidR="00545EA0" w:rsidRPr="00743CC4">
        <w:rPr>
          <w:szCs w:val="24"/>
          <w:shd w:val="clear" w:color="auto" w:fill="FFFFFF"/>
        </w:rPr>
        <w:t xml:space="preserve"> the proposal at Bryg Y Cwm, stating</w:t>
      </w:r>
      <w:r w:rsidR="00770DE6" w:rsidRPr="00743CC4">
        <w:rPr>
          <w:szCs w:val="24"/>
          <w:shd w:val="clear" w:color="auto" w:fill="FFFFFF"/>
        </w:rPr>
        <w:t>:</w:t>
      </w:r>
    </w:p>
    <w:p w:rsidR="00215D25" w:rsidRDefault="00215D25" w:rsidP="00534651">
      <w:pPr>
        <w:ind w:left="720"/>
        <w:jc w:val="both"/>
        <w:rPr>
          <w:szCs w:val="24"/>
          <w:shd w:val="clear" w:color="auto" w:fill="FFFFFF"/>
        </w:rPr>
      </w:pPr>
    </w:p>
    <w:p w:rsidR="00770DE6" w:rsidRPr="00743CC4" w:rsidRDefault="00743CC4" w:rsidP="00534651">
      <w:pPr>
        <w:ind w:left="720"/>
        <w:jc w:val="both"/>
        <w:rPr>
          <w:szCs w:val="24"/>
          <w:shd w:val="clear" w:color="auto" w:fill="FFFFFF"/>
        </w:rPr>
      </w:pPr>
      <w:r>
        <w:rPr>
          <w:szCs w:val="24"/>
          <w:shd w:val="clear" w:color="auto" w:fill="FFFFFF"/>
        </w:rPr>
        <w:t>“W</w:t>
      </w:r>
      <w:r w:rsidR="00770DE6" w:rsidRPr="00743CC4">
        <w:rPr>
          <w:szCs w:val="24"/>
          <w:shd w:val="clear" w:color="auto" w:fill="FFFFFF"/>
        </w:rPr>
        <w:t>e wanted to place our multi-million pound inward investment at Merthyr Tydfil which is one of the most depressed towns in Wales.  It would have been transformed by this level of investment. However, the local authorities have adopted a fragmented approach - not a national approach - to dealing with residual waste. This makes the plant unviable.</w:t>
      </w:r>
      <w:r w:rsidR="00770DE6" w:rsidRPr="00743CC4">
        <w:rPr>
          <w:szCs w:val="24"/>
        </w:rPr>
        <w:t xml:space="preserve"> </w:t>
      </w:r>
      <w:r w:rsidR="00770DE6" w:rsidRPr="00743CC4">
        <w:rPr>
          <w:szCs w:val="24"/>
          <w:shd w:val="clear" w:color="auto" w:fill="FFFFFF"/>
        </w:rPr>
        <w:t>We have therefore decided to terminate the planning process and concentrate on our other UK projects.”</w:t>
      </w:r>
      <w:r w:rsidR="00770DE6" w:rsidRPr="00743CC4">
        <w:rPr>
          <w:rStyle w:val="FootnoteReference"/>
          <w:szCs w:val="24"/>
          <w:shd w:val="clear" w:color="auto" w:fill="FFFFFF"/>
        </w:rPr>
        <w:footnoteReference w:id="32"/>
      </w:r>
      <w:r w:rsidR="00545EA0" w:rsidRPr="00743CC4">
        <w:rPr>
          <w:szCs w:val="24"/>
          <w:shd w:val="clear" w:color="auto" w:fill="FFFFFF"/>
        </w:rPr>
        <w:t xml:space="preserve"> </w:t>
      </w:r>
    </w:p>
    <w:p w:rsidR="00534651" w:rsidRDefault="00534651" w:rsidP="00743CC4">
      <w:pPr>
        <w:ind w:firstLine="720"/>
        <w:jc w:val="both"/>
        <w:rPr>
          <w:szCs w:val="24"/>
          <w:shd w:val="clear" w:color="auto" w:fill="FFFFFF"/>
        </w:rPr>
      </w:pPr>
    </w:p>
    <w:p w:rsidR="000C1044" w:rsidRPr="002D2257" w:rsidRDefault="00770DE6" w:rsidP="00743CC4">
      <w:pPr>
        <w:ind w:firstLine="720"/>
        <w:jc w:val="both"/>
        <w:rPr>
          <w:rFonts w:eastAsiaTheme="minorHAnsi"/>
          <w:szCs w:val="24"/>
        </w:rPr>
      </w:pPr>
      <w:r w:rsidRPr="002D2257">
        <w:rPr>
          <w:szCs w:val="24"/>
          <w:shd w:val="clear" w:color="auto" w:fill="FFFFFF"/>
        </w:rPr>
        <w:t xml:space="preserve">Despite clear opposition (a 13,000 signature petition was submitted against the application), Covanta declared that the abandonment of the project had </w:t>
      </w:r>
      <w:r w:rsidRPr="002D2257">
        <w:rPr>
          <w:szCs w:val="24"/>
        </w:rPr>
        <w:t>"nothing to do with local opposition", rather that</w:t>
      </w:r>
      <w:r w:rsidR="00545EA0" w:rsidRPr="002D2257">
        <w:rPr>
          <w:rStyle w:val="apple-converted-space"/>
          <w:szCs w:val="24"/>
          <w:shd w:val="clear" w:color="auto" w:fill="FFFFFF"/>
        </w:rPr>
        <w:t> </w:t>
      </w:r>
      <w:r w:rsidR="00545EA0" w:rsidRPr="002D2257">
        <w:rPr>
          <w:szCs w:val="24"/>
          <w:shd w:val="clear" w:color="auto" w:fill="FFFFFF"/>
        </w:rPr>
        <w:t xml:space="preserve">Welsh waste authorities </w:t>
      </w:r>
      <w:r w:rsidR="002D2257" w:rsidRPr="002D2257">
        <w:rPr>
          <w:szCs w:val="24"/>
          <w:shd w:val="clear" w:color="auto" w:fill="FFFFFF"/>
        </w:rPr>
        <w:t xml:space="preserve">fragmented the waste management infrastructure to a larger number of smaller firms. Despite this, across the activist organisations, local Labour council representatives and Friends of the Earth that spearheaded the campaign, the opposition movement was considered a success of local grassroots activism is stopping environmental injustice. However, it is clear that Covanta’s loss in Prosiect Gwyrdd only </w:t>
      </w:r>
      <w:r w:rsidR="00297F60">
        <w:rPr>
          <w:szCs w:val="24"/>
          <w:shd w:val="clear" w:color="auto" w:fill="FFFFFF"/>
        </w:rPr>
        <w:t xml:space="preserve">served to </w:t>
      </w:r>
      <w:r w:rsidR="002D2257" w:rsidRPr="002D2257">
        <w:rPr>
          <w:szCs w:val="24"/>
          <w:shd w:val="clear" w:color="auto" w:fill="FFFFFF"/>
        </w:rPr>
        <w:t>displ</w:t>
      </w:r>
      <w:r w:rsidR="00297F60">
        <w:rPr>
          <w:szCs w:val="24"/>
          <w:shd w:val="clear" w:color="auto" w:fill="FFFFFF"/>
        </w:rPr>
        <w:t>ace rather than halt</w:t>
      </w:r>
      <w:r w:rsidR="002D2257" w:rsidRPr="002D2257">
        <w:rPr>
          <w:szCs w:val="24"/>
          <w:shd w:val="clear" w:color="auto" w:fill="FFFFFF"/>
        </w:rPr>
        <w:t xml:space="preserve"> the environmental </w:t>
      </w:r>
      <w:r w:rsidR="00297F60">
        <w:rPr>
          <w:szCs w:val="24"/>
          <w:shd w:val="clear" w:color="auto" w:fill="FFFFFF"/>
        </w:rPr>
        <w:t xml:space="preserve">and health </w:t>
      </w:r>
      <w:r w:rsidR="002D2257" w:rsidRPr="002D2257">
        <w:rPr>
          <w:szCs w:val="24"/>
          <w:shd w:val="clear" w:color="auto" w:fill="FFFFFF"/>
        </w:rPr>
        <w:t>impact</w:t>
      </w:r>
      <w:r w:rsidR="0053250C">
        <w:rPr>
          <w:szCs w:val="24"/>
          <w:shd w:val="clear" w:color="auto" w:fill="FFFFFF"/>
        </w:rPr>
        <w:t xml:space="preserve"> of Covanta’s energy-</w:t>
      </w:r>
      <w:r w:rsidR="00297F60">
        <w:rPr>
          <w:szCs w:val="24"/>
          <w:shd w:val="clear" w:color="auto" w:fill="FFFFFF"/>
        </w:rPr>
        <w:t>from-waste investment</w:t>
      </w:r>
      <w:r w:rsidR="002D2257" w:rsidRPr="002D2257">
        <w:rPr>
          <w:szCs w:val="24"/>
          <w:shd w:val="clear" w:color="auto" w:fill="FFFFFF"/>
        </w:rPr>
        <w:t xml:space="preserve">, as they instead focussed their attention </w:t>
      </w:r>
      <w:r w:rsidR="0053250C">
        <w:rPr>
          <w:szCs w:val="24"/>
          <w:shd w:val="clear" w:color="auto" w:fill="FFFFFF"/>
        </w:rPr>
        <w:t xml:space="preserve">on a new </w:t>
      </w:r>
      <w:r w:rsidR="00297F60">
        <w:rPr>
          <w:szCs w:val="24"/>
          <w:shd w:val="clear" w:color="auto" w:fill="FFFFFF"/>
        </w:rPr>
        <w:t xml:space="preserve">proposal for a </w:t>
      </w:r>
      <w:r w:rsidR="002D2257" w:rsidRPr="002D2257">
        <w:rPr>
          <w:szCs w:val="24"/>
        </w:rPr>
        <w:t>Resource Recovery Facility (RRF) at Rookery South Pit, a former brick clay extraction pit, near Stewartby in Bedfordshire</w:t>
      </w:r>
      <w:r w:rsidR="0053250C">
        <w:rPr>
          <w:szCs w:val="24"/>
        </w:rPr>
        <w:t>, currently undergoing planning review</w:t>
      </w:r>
      <w:r w:rsidR="002D2257" w:rsidRPr="002D2257">
        <w:rPr>
          <w:szCs w:val="24"/>
        </w:rPr>
        <w:t xml:space="preserve">. </w:t>
      </w:r>
    </w:p>
    <w:p w:rsidR="000C1044" w:rsidRPr="0059567F" w:rsidRDefault="000C1044" w:rsidP="0059567F">
      <w:pPr>
        <w:jc w:val="both"/>
        <w:rPr>
          <w:b/>
          <w:szCs w:val="24"/>
        </w:rPr>
      </w:pPr>
    </w:p>
    <w:p w:rsidR="000C1044" w:rsidRPr="0059567F" w:rsidRDefault="000C1044" w:rsidP="0059567F">
      <w:pPr>
        <w:jc w:val="both"/>
        <w:rPr>
          <w:szCs w:val="24"/>
        </w:rPr>
      </w:pPr>
      <w:r w:rsidRPr="0059567F">
        <w:rPr>
          <w:b/>
          <w:szCs w:val="24"/>
        </w:rPr>
        <w:t>Conclusions</w:t>
      </w:r>
      <w:r w:rsidRPr="0059567F">
        <w:rPr>
          <w:szCs w:val="24"/>
        </w:rPr>
        <w:t xml:space="preserve"> </w:t>
      </w:r>
    </w:p>
    <w:p w:rsidR="00FE1B3B" w:rsidRPr="0059567F" w:rsidRDefault="00FE1B3B" w:rsidP="008403AC">
      <w:pPr>
        <w:autoSpaceDE w:val="0"/>
        <w:autoSpaceDN w:val="0"/>
        <w:adjustRightInd w:val="0"/>
        <w:ind w:firstLine="720"/>
        <w:jc w:val="both"/>
        <w:rPr>
          <w:szCs w:val="24"/>
        </w:rPr>
      </w:pPr>
    </w:p>
    <w:p w:rsidR="005239FF" w:rsidRDefault="00BB6263" w:rsidP="005239FF">
      <w:pPr>
        <w:spacing w:after="200"/>
        <w:jc w:val="both"/>
        <w:rPr>
          <w:szCs w:val="24"/>
        </w:rPr>
      </w:pPr>
      <w:r>
        <w:rPr>
          <w:szCs w:val="24"/>
        </w:rPr>
        <w:tab/>
      </w:r>
      <w:r w:rsidRPr="00F57CC9">
        <w:rPr>
          <w:szCs w:val="24"/>
        </w:rPr>
        <w:t>Though opposition to the Merthyr Tyfil incinera</w:t>
      </w:r>
      <w:r w:rsidR="005613A8">
        <w:rPr>
          <w:szCs w:val="24"/>
        </w:rPr>
        <w:t xml:space="preserve">tor project could be considered </w:t>
      </w:r>
      <w:r w:rsidR="00224820">
        <w:rPr>
          <w:szCs w:val="24"/>
        </w:rPr>
        <w:t xml:space="preserve">a </w:t>
      </w:r>
      <w:r w:rsidR="005613A8">
        <w:rPr>
          <w:szCs w:val="24"/>
        </w:rPr>
        <w:t xml:space="preserve">local </w:t>
      </w:r>
      <w:r w:rsidRPr="00F57CC9">
        <w:rPr>
          <w:szCs w:val="24"/>
        </w:rPr>
        <w:t>success</w:t>
      </w:r>
      <w:r w:rsidR="00224820">
        <w:rPr>
          <w:szCs w:val="24"/>
        </w:rPr>
        <w:t xml:space="preserve"> for environmental justice</w:t>
      </w:r>
      <w:r w:rsidRPr="00F57CC9">
        <w:rPr>
          <w:szCs w:val="24"/>
        </w:rPr>
        <w:t xml:space="preserve">, what it clearly illustrates is the spatial and governance re-scaling of planning processes for infrastructure projects in a manner that prevents access </w:t>
      </w:r>
      <w:r w:rsidR="00613475">
        <w:rPr>
          <w:szCs w:val="24"/>
        </w:rPr>
        <w:t xml:space="preserve">to decision-making for </w:t>
      </w:r>
      <w:r w:rsidRPr="00F57CC9">
        <w:rPr>
          <w:szCs w:val="24"/>
        </w:rPr>
        <w:t>community actors</w:t>
      </w:r>
      <w:r w:rsidR="00613475">
        <w:rPr>
          <w:szCs w:val="24"/>
        </w:rPr>
        <w:t xml:space="preserve"> in any significant way</w:t>
      </w:r>
      <w:r w:rsidR="00435B4C" w:rsidRPr="00F57CC9">
        <w:rPr>
          <w:szCs w:val="24"/>
        </w:rPr>
        <w:t>. This is because local community activists</w:t>
      </w:r>
      <w:r w:rsidRPr="00F57CC9">
        <w:rPr>
          <w:szCs w:val="24"/>
        </w:rPr>
        <w:t xml:space="preserve"> are not construed as strategic actors with a v</w:t>
      </w:r>
      <w:r w:rsidR="00435B4C" w:rsidRPr="00F57CC9">
        <w:rPr>
          <w:szCs w:val="24"/>
        </w:rPr>
        <w:t>oice in regional waste planning:</w:t>
      </w:r>
      <w:r w:rsidR="000B19B8" w:rsidRPr="00F57CC9">
        <w:rPr>
          <w:szCs w:val="24"/>
        </w:rPr>
        <w:t xml:space="preserve"> implying that local people cannot take a view that goes beyond local</w:t>
      </w:r>
      <w:r w:rsidR="00435B4C" w:rsidRPr="00F57CC9">
        <w:rPr>
          <w:szCs w:val="24"/>
        </w:rPr>
        <w:t>-</w:t>
      </w:r>
      <w:r w:rsidR="000B19B8" w:rsidRPr="00F57CC9">
        <w:rPr>
          <w:szCs w:val="24"/>
        </w:rPr>
        <w:t xml:space="preserve">level concerns with amenity and </w:t>
      </w:r>
      <w:r w:rsidR="00435B4C" w:rsidRPr="00F57CC9">
        <w:rPr>
          <w:szCs w:val="24"/>
        </w:rPr>
        <w:t xml:space="preserve">household </w:t>
      </w:r>
      <w:r w:rsidR="000B19B8" w:rsidRPr="00F57CC9">
        <w:rPr>
          <w:szCs w:val="24"/>
        </w:rPr>
        <w:t>property value</w:t>
      </w:r>
      <w:r w:rsidR="00435B4C" w:rsidRPr="00F57CC9">
        <w:rPr>
          <w:szCs w:val="24"/>
        </w:rPr>
        <w:t xml:space="preserve">s, thus they are </w:t>
      </w:r>
      <w:r w:rsidR="00435B4C" w:rsidRPr="00F57CC9">
        <w:rPr>
          <w:i/>
          <w:szCs w:val="24"/>
        </w:rPr>
        <w:t>imagined</w:t>
      </w:r>
      <w:r w:rsidR="00435B4C" w:rsidRPr="00F57CC9">
        <w:rPr>
          <w:szCs w:val="24"/>
        </w:rPr>
        <w:t xml:space="preserve"> as NIMBY protestors </w:t>
      </w:r>
      <w:r w:rsidR="000B19B8" w:rsidRPr="00F57CC9">
        <w:rPr>
          <w:rStyle w:val="FootnoteReference"/>
          <w:szCs w:val="24"/>
        </w:rPr>
        <w:footnoteReference w:id="33"/>
      </w:r>
      <w:r w:rsidR="00842774">
        <w:rPr>
          <w:szCs w:val="24"/>
        </w:rPr>
        <w:t xml:space="preserve"> rather than as legitimate stakeholders</w:t>
      </w:r>
      <w:r w:rsidR="00E66656" w:rsidRPr="00F57CC9">
        <w:rPr>
          <w:szCs w:val="24"/>
        </w:rPr>
        <w:t xml:space="preserve">. In particular, as Johnstone </w:t>
      </w:r>
      <w:r w:rsidR="00E66656" w:rsidRPr="00F57CC9">
        <w:rPr>
          <w:rStyle w:val="FootnoteReference"/>
          <w:szCs w:val="24"/>
        </w:rPr>
        <w:footnoteReference w:id="34"/>
      </w:r>
      <w:r w:rsidR="00E66656" w:rsidRPr="00F57CC9">
        <w:rPr>
          <w:szCs w:val="24"/>
        </w:rPr>
        <w:t xml:space="preserve"> notes, infrastructure planning involves </w:t>
      </w:r>
      <w:r w:rsidR="00E66656" w:rsidRPr="00AC0091">
        <w:rPr>
          <w:i/>
          <w:szCs w:val="24"/>
        </w:rPr>
        <w:t>post</w:t>
      </w:r>
      <w:r w:rsidR="000B19B8" w:rsidRPr="00AC0091">
        <w:rPr>
          <w:i/>
          <w:szCs w:val="24"/>
        </w:rPr>
        <w:t>-</w:t>
      </w:r>
      <w:r w:rsidR="00E66656" w:rsidRPr="00AC0091">
        <w:rPr>
          <w:i/>
          <w:szCs w:val="24"/>
        </w:rPr>
        <w:t>political</w:t>
      </w:r>
      <w:r w:rsidR="00E66656" w:rsidRPr="00F57CC9">
        <w:rPr>
          <w:szCs w:val="24"/>
        </w:rPr>
        <w:t xml:space="preserve"> decision-making</w:t>
      </w:r>
      <w:r w:rsidR="000B19B8" w:rsidRPr="00F57CC9">
        <w:rPr>
          <w:szCs w:val="24"/>
        </w:rPr>
        <w:t xml:space="preserve"> –</w:t>
      </w:r>
      <w:r w:rsidR="00AC0091">
        <w:rPr>
          <w:szCs w:val="24"/>
        </w:rPr>
        <w:t>reinforcing</w:t>
      </w:r>
      <w:r w:rsidR="000B19B8" w:rsidRPr="00F57CC9">
        <w:rPr>
          <w:szCs w:val="24"/>
        </w:rPr>
        <w:t xml:space="preserve"> top-down, expert driven governance at the expense of local community involvement</w:t>
      </w:r>
      <w:r w:rsidR="00BF4F8F">
        <w:rPr>
          <w:szCs w:val="24"/>
        </w:rPr>
        <w:t>,</w:t>
      </w:r>
      <w:r w:rsidR="000B19B8" w:rsidRPr="00F57CC9">
        <w:rPr>
          <w:szCs w:val="24"/>
        </w:rPr>
        <w:t xml:space="preserve"> counteracting the ethos of the deliberative turn</w:t>
      </w:r>
      <w:r w:rsidR="00D57A53" w:rsidRPr="00F57CC9">
        <w:rPr>
          <w:szCs w:val="24"/>
        </w:rPr>
        <w:t xml:space="preserve"> espoused in both former Labour policy frameworks and in the </w:t>
      </w:r>
      <w:r w:rsidR="00D57A53" w:rsidRPr="00BF4F8F">
        <w:rPr>
          <w:i/>
          <w:szCs w:val="24"/>
        </w:rPr>
        <w:t>Big Society</w:t>
      </w:r>
      <w:r w:rsidR="00D57A53" w:rsidRPr="00F57CC9">
        <w:rPr>
          <w:szCs w:val="24"/>
        </w:rPr>
        <w:t xml:space="preserve"> </w:t>
      </w:r>
      <w:r w:rsidR="00D57A53" w:rsidRPr="00F57CC9">
        <w:rPr>
          <w:szCs w:val="24"/>
        </w:rPr>
        <w:lastRenderedPageBreak/>
        <w:t>rhetoric embodied in the Coalition Government’s Localism Act 2011</w:t>
      </w:r>
      <w:r w:rsidR="000B19B8" w:rsidRPr="00F57CC9">
        <w:rPr>
          <w:szCs w:val="24"/>
        </w:rPr>
        <w:t xml:space="preserve">. In essence this scaling of infrastructure planning decisions, whereby the notion of </w:t>
      </w:r>
      <w:r w:rsidR="000B19B8" w:rsidRPr="00F57CC9">
        <w:rPr>
          <w:i/>
          <w:szCs w:val="24"/>
        </w:rPr>
        <w:t>nationally significant</w:t>
      </w:r>
      <w:r w:rsidR="000B19B8" w:rsidRPr="00F57CC9">
        <w:rPr>
          <w:szCs w:val="24"/>
        </w:rPr>
        <w:t xml:space="preserve"> infrastructure should be decided at the level of centr</w:t>
      </w:r>
      <w:r w:rsidR="00AC0091">
        <w:rPr>
          <w:szCs w:val="24"/>
        </w:rPr>
        <w:t>al government through National Policy S</w:t>
      </w:r>
      <w:r w:rsidR="000B19B8" w:rsidRPr="00F57CC9">
        <w:rPr>
          <w:szCs w:val="24"/>
        </w:rPr>
        <w:t>tatements and the community involvement should be at the local level, downstream of planning applications by specific developers, reinforces an oppressive politics of scale. The invited (written responses to the IPC) and ‘uninvited’ (activism and protest) engagement of opposition movements such as United Valleys Action Group (UVAG) serves to highlight the “jumping of scales”</w:t>
      </w:r>
      <w:r w:rsidR="00BF4F8F">
        <w:rPr>
          <w:szCs w:val="24"/>
        </w:rPr>
        <w:t xml:space="preserve"> </w:t>
      </w:r>
      <w:r w:rsidR="00BF4F8F">
        <w:rPr>
          <w:rStyle w:val="FootnoteReference"/>
          <w:szCs w:val="24"/>
        </w:rPr>
        <w:footnoteReference w:id="35"/>
      </w:r>
      <w:r w:rsidR="000B19B8" w:rsidRPr="00F57CC9">
        <w:rPr>
          <w:szCs w:val="24"/>
        </w:rPr>
        <w:t xml:space="preserve"> that takes place, as environmental injustice through inadequate local community decisional influence is </w:t>
      </w:r>
      <w:r w:rsidR="00435B4C" w:rsidRPr="00F57CC9">
        <w:rPr>
          <w:szCs w:val="24"/>
        </w:rPr>
        <w:t xml:space="preserve">corrected by protest actions aimed at rescaling local decisions (on where an incinerator is sited) to national and indeed global </w:t>
      </w:r>
      <w:r w:rsidR="003F1C3A">
        <w:rPr>
          <w:szCs w:val="24"/>
        </w:rPr>
        <w:t>levels of env</w:t>
      </w:r>
      <w:r w:rsidR="00AC0091">
        <w:rPr>
          <w:szCs w:val="24"/>
        </w:rPr>
        <w:t>ironmental impact</w:t>
      </w:r>
      <w:r w:rsidR="00435B4C" w:rsidRPr="00F57CC9">
        <w:rPr>
          <w:szCs w:val="24"/>
        </w:rPr>
        <w:t xml:space="preserve"> </w:t>
      </w:r>
      <w:r w:rsidR="00AC0091">
        <w:rPr>
          <w:szCs w:val="24"/>
        </w:rPr>
        <w:t xml:space="preserve">and decision-making </w:t>
      </w:r>
      <w:r w:rsidR="00435B4C" w:rsidRPr="00F57CC9">
        <w:rPr>
          <w:szCs w:val="24"/>
        </w:rPr>
        <w:t>(</w:t>
      </w:r>
      <w:r w:rsidR="003F1C3A">
        <w:rPr>
          <w:szCs w:val="24"/>
        </w:rPr>
        <w:t xml:space="preserve">for example refocussing debate on </w:t>
      </w:r>
      <w:r w:rsidR="00435B4C" w:rsidRPr="00F57CC9">
        <w:rPr>
          <w:szCs w:val="24"/>
        </w:rPr>
        <w:t>the nature of Welsh waste management practice, the CO</w:t>
      </w:r>
      <w:r w:rsidR="00435B4C" w:rsidRPr="00F57CC9">
        <w:rPr>
          <w:szCs w:val="24"/>
          <w:vertAlign w:val="subscript"/>
        </w:rPr>
        <w:t xml:space="preserve">2 </w:t>
      </w:r>
      <w:r w:rsidR="00435B4C" w:rsidRPr="00F57CC9">
        <w:rPr>
          <w:szCs w:val="24"/>
        </w:rPr>
        <w:t xml:space="preserve">emissions from incineration, and the structure of UK planning policy). </w:t>
      </w:r>
      <w:r w:rsidR="00766611" w:rsidRPr="00F57CC9">
        <w:rPr>
          <w:szCs w:val="24"/>
        </w:rPr>
        <w:t>Though</w:t>
      </w:r>
      <w:r w:rsidR="00AC0091">
        <w:rPr>
          <w:szCs w:val="24"/>
        </w:rPr>
        <w:t xml:space="preserve"> this proved</w:t>
      </w:r>
      <w:r w:rsidR="00766611" w:rsidRPr="00F57CC9">
        <w:rPr>
          <w:szCs w:val="24"/>
        </w:rPr>
        <w:t xml:space="preserve"> successful in</w:t>
      </w:r>
      <w:r w:rsidR="00AC0091">
        <w:rPr>
          <w:szCs w:val="24"/>
        </w:rPr>
        <w:t xml:space="preserve"> the Merthyr case for</w:t>
      </w:r>
      <w:r w:rsidR="00766611" w:rsidRPr="00F57CC9">
        <w:rPr>
          <w:szCs w:val="24"/>
        </w:rPr>
        <w:t xml:space="preserve"> shifting project siting away from the </w:t>
      </w:r>
      <w:r w:rsidR="00AC0091">
        <w:rPr>
          <w:szCs w:val="24"/>
        </w:rPr>
        <w:t xml:space="preserve">affected </w:t>
      </w:r>
      <w:r w:rsidR="00766611" w:rsidRPr="00F57CC9">
        <w:rPr>
          <w:szCs w:val="24"/>
        </w:rPr>
        <w:t>community</w:t>
      </w:r>
      <w:r w:rsidR="00AC0091">
        <w:rPr>
          <w:szCs w:val="24"/>
        </w:rPr>
        <w:t xml:space="preserve">, </w:t>
      </w:r>
      <w:r w:rsidR="00766611" w:rsidRPr="00F57CC9">
        <w:rPr>
          <w:szCs w:val="24"/>
        </w:rPr>
        <w:t xml:space="preserve">ultimately the </w:t>
      </w:r>
      <w:r w:rsidR="00AC0091">
        <w:rPr>
          <w:szCs w:val="24"/>
        </w:rPr>
        <w:t xml:space="preserve">developer </w:t>
      </w:r>
      <w:r w:rsidR="00766611" w:rsidRPr="00F57CC9">
        <w:rPr>
          <w:szCs w:val="24"/>
        </w:rPr>
        <w:t>Covanta had the op</w:t>
      </w:r>
      <w:r w:rsidR="003F1C3A">
        <w:rPr>
          <w:szCs w:val="24"/>
        </w:rPr>
        <w:t xml:space="preserve">portunity to simply shift </w:t>
      </w:r>
      <w:r w:rsidR="00AC0091">
        <w:rPr>
          <w:szCs w:val="24"/>
        </w:rPr>
        <w:t xml:space="preserve">the geographic scales of political conflict by moving </w:t>
      </w:r>
      <w:r w:rsidR="003F1C3A">
        <w:rPr>
          <w:szCs w:val="24"/>
        </w:rPr>
        <w:t>sites -</w:t>
      </w:r>
      <w:r w:rsidR="00766611" w:rsidRPr="00F57CC9">
        <w:rPr>
          <w:szCs w:val="24"/>
        </w:rPr>
        <w:t xml:space="preserve"> concentrating strategic development efforts in a different community in a different place. Until Government policy on infrastructure planning can join these respective</w:t>
      </w:r>
      <w:r w:rsidR="005C4754">
        <w:rPr>
          <w:szCs w:val="24"/>
        </w:rPr>
        <w:t xml:space="preserve"> geographic and </w:t>
      </w:r>
      <w:r w:rsidR="00766611" w:rsidRPr="00F57CC9">
        <w:rPr>
          <w:szCs w:val="24"/>
        </w:rPr>
        <w:t xml:space="preserve">governance </w:t>
      </w:r>
      <w:r w:rsidR="005C4754">
        <w:rPr>
          <w:szCs w:val="24"/>
        </w:rPr>
        <w:t xml:space="preserve">scales </w:t>
      </w:r>
      <w:r w:rsidR="00766611" w:rsidRPr="00F57CC9">
        <w:rPr>
          <w:szCs w:val="24"/>
        </w:rPr>
        <w:t xml:space="preserve">to allow public actors significant voice </w:t>
      </w:r>
      <w:r w:rsidR="005C4754">
        <w:rPr>
          <w:szCs w:val="24"/>
        </w:rPr>
        <w:t xml:space="preserve">in </w:t>
      </w:r>
      <w:r w:rsidR="00766611" w:rsidRPr="00F57CC9">
        <w:rPr>
          <w:szCs w:val="24"/>
        </w:rPr>
        <w:t>the strategic development of regional and n</w:t>
      </w:r>
      <w:r w:rsidR="005C4754">
        <w:rPr>
          <w:szCs w:val="24"/>
        </w:rPr>
        <w:t>ational infrastructure planning</w:t>
      </w:r>
      <w:r w:rsidR="00766611" w:rsidRPr="00F57CC9">
        <w:rPr>
          <w:szCs w:val="24"/>
        </w:rPr>
        <w:t xml:space="preserve"> then patterns of procedural injustice will be repeated and reinforced with each new </w:t>
      </w:r>
      <w:r w:rsidR="003F1C3A">
        <w:rPr>
          <w:szCs w:val="24"/>
        </w:rPr>
        <w:t xml:space="preserve">development </w:t>
      </w:r>
      <w:r w:rsidR="00766611" w:rsidRPr="00F57CC9">
        <w:rPr>
          <w:szCs w:val="24"/>
        </w:rPr>
        <w:t>application.</w:t>
      </w:r>
    </w:p>
    <w:p w:rsidR="003C088E" w:rsidRDefault="003C088E" w:rsidP="005239FF">
      <w:pPr>
        <w:spacing w:after="200"/>
        <w:jc w:val="both"/>
        <w:rPr>
          <w:szCs w:val="24"/>
        </w:rPr>
      </w:pPr>
      <w:r>
        <w:rPr>
          <w:szCs w:val="24"/>
        </w:rPr>
        <w:tab/>
        <w:t xml:space="preserve">There are however, potential solutions to this problem. </w:t>
      </w:r>
      <w:r w:rsidR="00156E2B">
        <w:rPr>
          <w:szCs w:val="24"/>
        </w:rPr>
        <w:t>I</w:t>
      </w:r>
      <w:r>
        <w:rPr>
          <w:szCs w:val="24"/>
        </w:rPr>
        <w:t>t is important that upstream public engagement processes</w:t>
      </w:r>
      <w:r w:rsidR="005815E2">
        <w:rPr>
          <w:szCs w:val="24"/>
        </w:rPr>
        <w:t xml:space="preserve"> on National Policy Statements</w:t>
      </w:r>
      <w:r>
        <w:rPr>
          <w:szCs w:val="24"/>
        </w:rPr>
        <w:t xml:space="preserve"> are implemented;</w:t>
      </w:r>
      <w:r w:rsidR="005815E2">
        <w:rPr>
          <w:szCs w:val="24"/>
        </w:rPr>
        <w:t xml:space="preserve"> going beyond the piecemeal consultation on the need case for infrastructure provision currently available. </w:t>
      </w:r>
      <w:r w:rsidR="00C46E8E">
        <w:rPr>
          <w:szCs w:val="24"/>
        </w:rPr>
        <w:t>T</w:t>
      </w:r>
      <w:r w:rsidR="005815E2">
        <w:rPr>
          <w:szCs w:val="24"/>
        </w:rPr>
        <w:t>he Coalition Government</w:t>
      </w:r>
      <w:r w:rsidR="00C46E8E">
        <w:rPr>
          <w:szCs w:val="24"/>
        </w:rPr>
        <w:t xml:space="preserve">’s platform on </w:t>
      </w:r>
      <w:r w:rsidR="005815E2">
        <w:rPr>
          <w:szCs w:val="24"/>
        </w:rPr>
        <w:t xml:space="preserve">localism </w:t>
      </w:r>
      <w:r w:rsidR="00C46E8E">
        <w:rPr>
          <w:szCs w:val="24"/>
        </w:rPr>
        <w:t xml:space="preserve">must ensure that </w:t>
      </w:r>
      <w:r>
        <w:rPr>
          <w:szCs w:val="24"/>
        </w:rPr>
        <w:t xml:space="preserve">citizen actor deliberation </w:t>
      </w:r>
      <w:r w:rsidR="00C46E8E">
        <w:rPr>
          <w:szCs w:val="24"/>
        </w:rPr>
        <w:t xml:space="preserve">occurs </w:t>
      </w:r>
      <w:r>
        <w:rPr>
          <w:szCs w:val="24"/>
        </w:rPr>
        <w:t xml:space="preserve">on issues of national significance at a point before </w:t>
      </w:r>
      <w:r w:rsidR="00C46E8E">
        <w:rPr>
          <w:szCs w:val="24"/>
        </w:rPr>
        <w:t xml:space="preserve">any </w:t>
      </w:r>
      <w:r>
        <w:rPr>
          <w:szCs w:val="24"/>
        </w:rPr>
        <w:t xml:space="preserve">discussion of </w:t>
      </w:r>
      <w:r w:rsidR="00C46E8E">
        <w:rPr>
          <w:szCs w:val="24"/>
        </w:rPr>
        <w:t xml:space="preserve">local-level </w:t>
      </w:r>
      <w:r>
        <w:rPr>
          <w:szCs w:val="24"/>
        </w:rPr>
        <w:t>siting</w:t>
      </w:r>
      <w:r w:rsidR="00474D13">
        <w:rPr>
          <w:szCs w:val="24"/>
        </w:rPr>
        <w:t xml:space="preserve"> at the level of developer proposals</w:t>
      </w:r>
      <w:r>
        <w:rPr>
          <w:szCs w:val="24"/>
        </w:rPr>
        <w:t xml:space="preserve">. </w:t>
      </w:r>
      <w:r w:rsidR="005815E2">
        <w:rPr>
          <w:szCs w:val="24"/>
        </w:rPr>
        <w:t>By directing planning through the Planning Inspectorate, the system is inherently political, and involvement of citizens is paramount in order to achieve fair outcomes</w:t>
      </w:r>
      <w:r w:rsidR="00C46E8E">
        <w:rPr>
          <w:szCs w:val="24"/>
        </w:rPr>
        <w:t xml:space="preserve"> within </w:t>
      </w:r>
      <w:r w:rsidR="00633B97">
        <w:rPr>
          <w:szCs w:val="24"/>
        </w:rPr>
        <w:t>a democratic</w:t>
      </w:r>
      <w:r w:rsidR="00C46E8E">
        <w:rPr>
          <w:szCs w:val="24"/>
        </w:rPr>
        <w:t xml:space="preserve"> society</w:t>
      </w:r>
      <w:r w:rsidR="005815E2">
        <w:rPr>
          <w:szCs w:val="24"/>
        </w:rPr>
        <w:t xml:space="preserve">. A </w:t>
      </w:r>
      <w:r w:rsidR="00156E2B">
        <w:rPr>
          <w:szCs w:val="24"/>
        </w:rPr>
        <w:t>process</w:t>
      </w:r>
      <w:r w:rsidR="005815E2">
        <w:rPr>
          <w:szCs w:val="24"/>
        </w:rPr>
        <w:t xml:space="preserve"> of national-scale </w:t>
      </w:r>
      <w:r w:rsidR="0016409B">
        <w:rPr>
          <w:szCs w:val="24"/>
        </w:rPr>
        <w:t xml:space="preserve">public </w:t>
      </w:r>
      <w:r w:rsidR="005815E2">
        <w:rPr>
          <w:szCs w:val="24"/>
        </w:rPr>
        <w:t xml:space="preserve">consultations that actively solicit </w:t>
      </w:r>
      <w:r w:rsidR="00156E2B">
        <w:rPr>
          <w:szCs w:val="24"/>
        </w:rPr>
        <w:t>citiz</w:t>
      </w:r>
      <w:r w:rsidR="00633B97">
        <w:rPr>
          <w:szCs w:val="24"/>
        </w:rPr>
        <w:t>e</w:t>
      </w:r>
      <w:r w:rsidR="00156E2B">
        <w:rPr>
          <w:szCs w:val="24"/>
        </w:rPr>
        <w:t>n</w:t>
      </w:r>
      <w:r w:rsidR="005815E2">
        <w:rPr>
          <w:szCs w:val="24"/>
        </w:rPr>
        <w:t xml:space="preserve"> input to infrastructure provision</w:t>
      </w:r>
      <w:r w:rsidR="00156E2B">
        <w:rPr>
          <w:szCs w:val="24"/>
        </w:rPr>
        <w:t xml:space="preserve"> through deliberative mechanisms (such as consensus conferences, deliberative polls, citizens juries or other activities)</w:t>
      </w:r>
      <w:r w:rsidR="005815E2">
        <w:rPr>
          <w:szCs w:val="24"/>
        </w:rPr>
        <w:t xml:space="preserve"> would serve to ensure strong deliberative democratic control; t</w:t>
      </w:r>
      <w:r>
        <w:rPr>
          <w:szCs w:val="24"/>
        </w:rPr>
        <w:t xml:space="preserve">he precedence </w:t>
      </w:r>
      <w:r w:rsidR="005815E2">
        <w:rPr>
          <w:szCs w:val="24"/>
        </w:rPr>
        <w:t xml:space="preserve">for which </w:t>
      </w:r>
      <w:r>
        <w:rPr>
          <w:szCs w:val="24"/>
        </w:rPr>
        <w:t xml:space="preserve">lies in similar upstream engagement processes for genetically modified organisms, nano-technologies and radioactive wastes </w:t>
      </w:r>
      <w:r>
        <w:rPr>
          <w:rStyle w:val="FootnoteReference"/>
          <w:szCs w:val="24"/>
        </w:rPr>
        <w:footnoteReference w:id="36"/>
      </w:r>
      <w:r w:rsidR="0016409B">
        <w:rPr>
          <w:szCs w:val="24"/>
        </w:rPr>
        <w:t xml:space="preserve"> that have shown degrees of success for establishing socially robust</w:t>
      </w:r>
      <w:r w:rsidR="00C46E8E">
        <w:rPr>
          <w:szCs w:val="24"/>
        </w:rPr>
        <w:t xml:space="preserve"> technology policies</w:t>
      </w:r>
      <w:r>
        <w:rPr>
          <w:szCs w:val="24"/>
        </w:rPr>
        <w:t>.</w:t>
      </w:r>
      <w:r w:rsidR="005815E2">
        <w:rPr>
          <w:szCs w:val="24"/>
        </w:rPr>
        <w:t xml:space="preserve"> The scope for such national conversations on infrastructure, though initially costly to the taxpayer, serves to ground public support for energy, waste, transport and communicatio</w:t>
      </w:r>
      <w:r w:rsidR="00E479E8">
        <w:rPr>
          <w:szCs w:val="24"/>
        </w:rPr>
        <w:t xml:space="preserve">ns developments in a </w:t>
      </w:r>
      <w:r w:rsidR="005815E2">
        <w:rPr>
          <w:szCs w:val="24"/>
        </w:rPr>
        <w:t>process</w:t>
      </w:r>
      <w:r w:rsidR="00633B97">
        <w:rPr>
          <w:szCs w:val="24"/>
        </w:rPr>
        <w:t xml:space="preserve"> that</w:t>
      </w:r>
      <w:r w:rsidR="002B2246">
        <w:rPr>
          <w:szCs w:val="24"/>
        </w:rPr>
        <w:t xml:space="preserve"> rescales decisions to achieve</w:t>
      </w:r>
      <w:r w:rsidR="00633B97">
        <w:rPr>
          <w:szCs w:val="24"/>
        </w:rPr>
        <w:t xml:space="preserve"> procedurally just outcomes</w:t>
      </w:r>
      <w:r w:rsidR="005815E2">
        <w:rPr>
          <w:szCs w:val="24"/>
        </w:rPr>
        <w:t xml:space="preserve">.  </w:t>
      </w:r>
      <w:r>
        <w:rPr>
          <w:szCs w:val="24"/>
        </w:rPr>
        <w:t xml:space="preserve">   </w:t>
      </w:r>
    </w:p>
    <w:p w:rsidR="005239FF" w:rsidRDefault="005239FF" w:rsidP="005239FF">
      <w:pPr>
        <w:spacing w:after="200"/>
        <w:jc w:val="both"/>
        <w:rPr>
          <w:szCs w:val="24"/>
        </w:rPr>
      </w:pPr>
    </w:p>
    <w:p w:rsidR="005239FF" w:rsidRPr="005239FF" w:rsidRDefault="005239FF" w:rsidP="005239FF">
      <w:pPr>
        <w:spacing w:after="200"/>
        <w:jc w:val="both"/>
        <w:rPr>
          <w:b/>
          <w:szCs w:val="24"/>
        </w:rPr>
      </w:pPr>
      <w:r w:rsidRPr="005239FF">
        <w:rPr>
          <w:b/>
          <w:szCs w:val="24"/>
        </w:rPr>
        <w:t>Acknowledgements</w:t>
      </w:r>
    </w:p>
    <w:p w:rsidR="00A55212" w:rsidRDefault="005239FF" w:rsidP="005239FF">
      <w:pPr>
        <w:spacing w:after="200"/>
        <w:jc w:val="both"/>
        <w:rPr>
          <w:szCs w:val="24"/>
        </w:rPr>
      </w:pPr>
      <w:r>
        <w:rPr>
          <w:szCs w:val="24"/>
        </w:rPr>
        <w:t xml:space="preserve">Thanks go to Anna Watson of Friends of the Earth in Leeds and Phil Johnstone at Sussex University for their helpful discussions on the </w:t>
      </w:r>
      <w:r w:rsidR="005A2002">
        <w:rPr>
          <w:szCs w:val="24"/>
        </w:rPr>
        <w:t>Planning Act 2008</w:t>
      </w:r>
      <w:r>
        <w:rPr>
          <w:szCs w:val="24"/>
        </w:rPr>
        <w:t>.</w:t>
      </w:r>
    </w:p>
    <w:p w:rsidR="00A55212" w:rsidRPr="00A55212" w:rsidRDefault="00A55212" w:rsidP="005239FF">
      <w:pPr>
        <w:spacing w:after="200"/>
        <w:jc w:val="both"/>
        <w:rPr>
          <w:b/>
          <w:szCs w:val="24"/>
        </w:rPr>
      </w:pPr>
      <w:r w:rsidRPr="00A55212">
        <w:rPr>
          <w:b/>
          <w:szCs w:val="24"/>
        </w:rPr>
        <w:lastRenderedPageBreak/>
        <w:t>Author disclosure statement</w:t>
      </w:r>
    </w:p>
    <w:p w:rsidR="00137C77" w:rsidRPr="0059567F" w:rsidRDefault="00A55212" w:rsidP="007635DE">
      <w:pPr>
        <w:spacing w:after="200"/>
        <w:jc w:val="both"/>
        <w:rPr>
          <w:szCs w:val="24"/>
        </w:rPr>
      </w:pPr>
      <w:r w:rsidRPr="00A55212">
        <w:rPr>
          <w:szCs w:val="24"/>
        </w:rPr>
        <w:t>The authors have no conflicts of interest or financial ties to disclose.</w:t>
      </w:r>
    </w:p>
    <w:sectPr w:rsidR="00137C77" w:rsidRPr="0059567F" w:rsidSect="00137C7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2D" w:rsidRDefault="00E10B2D" w:rsidP="0098570E">
      <w:r>
        <w:separator/>
      </w:r>
    </w:p>
  </w:endnote>
  <w:endnote w:type="continuationSeparator" w:id="0">
    <w:p w:rsidR="00E10B2D" w:rsidRDefault="00E10B2D" w:rsidP="0098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T905">
    <w:panose1 w:val="00000000000000000000"/>
    <w:charset w:val="00"/>
    <w:family w:val="auto"/>
    <w:notTrueType/>
    <w:pitch w:val="default"/>
    <w:sig w:usb0="00000003" w:usb1="00000000" w:usb2="00000000" w:usb3="00000000" w:csb0="00000001" w:csb1="00000000"/>
  </w:font>
  <w:font w:name="OJBKID+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2D" w:rsidRDefault="00E10B2D" w:rsidP="0098570E">
      <w:r>
        <w:separator/>
      </w:r>
    </w:p>
  </w:footnote>
  <w:footnote w:type="continuationSeparator" w:id="0">
    <w:p w:rsidR="00E10B2D" w:rsidRDefault="00E10B2D" w:rsidP="0098570E">
      <w:r>
        <w:continuationSeparator/>
      </w:r>
    </w:p>
  </w:footnote>
  <w:footnote w:id="1">
    <w:p w:rsidR="000C1044" w:rsidRPr="003B6D32" w:rsidRDefault="000C1044" w:rsidP="0056171A">
      <w:pPr>
        <w:rPr>
          <w:noProof/>
          <w:color w:val="000000" w:themeColor="text1"/>
          <w:sz w:val="20"/>
        </w:rPr>
      </w:pPr>
      <w:r w:rsidRPr="003B6D32">
        <w:rPr>
          <w:rStyle w:val="FootnoteReference"/>
          <w:color w:val="000000" w:themeColor="text1"/>
          <w:sz w:val="20"/>
        </w:rPr>
        <w:footnoteRef/>
      </w:r>
      <w:r w:rsidRPr="003B6D32">
        <w:rPr>
          <w:color w:val="000000" w:themeColor="text1"/>
          <w:sz w:val="20"/>
        </w:rPr>
        <w:t xml:space="preserve"> Catherine </w:t>
      </w:r>
      <w:r w:rsidRPr="003B6D32">
        <w:rPr>
          <w:noProof/>
          <w:color w:val="000000" w:themeColor="text1"/>
          <w:sz w:val="20"/>
        </w:rPr>
        <w:t xml:space="preserve">Gross, “Community perspectives of wind energy in Australia: The application of a justice and community fairness framework to increase social acceptance”, </w:t>
      </w:r>
      <w:r w:rsidRPr="003B6D32">
        <w:rPr>
          <w:i/>
          <w:noProof/>
          <w:color w:val="000000" w:themeColor="text1"/>
          <w:sz w:val="20"/>
        </w:rPr>
        <w:t xml:space="preserve">Energy Policy </w:t>
      </w:r>
      <w:r w:rsidRPr="003B6D32">
        <w:rPr>
          <w:noProof/>
          <w:color w:val="000000" w:themeColor="text1"/>
          <w:sz w:val="20"/>
        </w:rPr>
        <w:t>35 (2007)</w:t>
      </w:r>
      <w:r w:rsidRPr="003B6D32">
        <w:rPr>
          <w:b/>
          <w:noProof/>
          <w:color w:val="000000" w:themeColor="text1"/>
          <w:sz w:val="20"/>
        </w:rPr>
        <w:t>:</w:t>
      </w:r>
      <w:r w:rsidRPr="003B6D32">
        <w:rPr>
          <w:noProof/>
          <w:color w:val="000000" w:themeColor="text1"/>
          <w:sz w:val="20"/>
        </w:rPr>
        <w:t xml:space="preserve"> 2727-2736.</w:t>
      </w:r>
    </w:p>
  </w:footnote>
  <w:footnote w:id="2">
    <w:p w:rsidR="000C1044" w:rsidRPr="003B6D32" w:rsidRDefault="000C1044" w:rsidP="0056171A">
      <w:pPr>
        <w:pStyle w:val="Heading2"/>
        <w:spacing w:before="0"/>
        <w:rPr>
          <w:rFonts w:ascii="Times New Roman" w:hAnsi="Times New Roman" w:cs="Times New Roman"/>
          <w:b w:val="0"/>
          <w:color w:val="000000" w:themeColor="text1"/>
          <w:sz w:val="20"/>
          <w:szCs w:val="20"/>
        </w:rPr>
      </w:pPr>
      <w:r w:rsidRPr="003B6D32">
        <w:rPr>
          <w:rStyle w:val="FootnoteReference"/>
          <w:rFonts w:ascii="Times New Roman" w:hAnsi="Times New Roman" w:cs="Times New Roman"/>
          <w:color w:val="000000" w:themeColor="text1"/>
          <w:sz w:val="20"/>
          <w:szCs w:val="20"/>
        </w:rPr>
        <w:footnoteRef/>
      </w:r>
      <w:r w:rsidRPr="003B6D32">
        <w:rPr>
          <w:rFonts w:ascii="Times New Roman" w:hAnsi="Times New Roman" w:cs="Times New Roman"/>
          <w:color w:val="000000" w:themeColor="text1"/>
          <w:sz w:val="20"/>
          <w:szCs w:val="20"/>
        </w:rPr>
        <w:t xml:space="preserve"> </w:t>
      </w:r>
      <w:r w:rsidRPr="003B6D32">
        <w:rPr>
          <w:rFonts w:ascii="Times New Roman" w:hAnsi="Times New Roman" w:cs="Times New Roman"/>
          <w:b w:val="0"/>
          <w:color w:val="000000" w:themeColor="text1"/>
          <w:sz w:val="20"/>
          <w:szCs w:val="20"/>
        </w:rPr>
        <w:t xml:space="preserve">Gordon Walker, “Beyond Distribution and Proximity: Exploring the Multiple Spatialities of Environmental Justice”, </w:t>
      </w:r>
      <w:r w:rsidRPr="003B6D32">
        <w:rPr>
          <w:rFonts w:ascii="Times New Roman" w:hAnsi="Times New Roman" w:cs="Times New Roman"/>
          <w:b w:val="0"/>
          <w:i/>
          <w:color w:val="000000" w:themeColor="text1"/>
          <w:sz w:val="20"/>
          <w:szCs w:val="20"/>
        </w:rPr>
        <w:t>Antipode</w:t>
      </w:r>
      <w:r w:rsidRPr="003B6D32">
        <w:rPr>
          <w:rFonts w:ascii="Times New Roman" w:hAnsi="Times New Roman" w:cs="Times New Roman"/>
          <w:b w:val="0"/>
          <w:color w:val="000000" w:themeColor="text1"/>
          <w:sz w:val="20"/>
          <w:szCs w:val="20"/>
        </w:rPr>
        <w:t xml:space="preserve"> 41 (2009): 614–636; Damayanti Banerjee, “Understanding Environmental Inequalities: A Cross-Disciplinary Review of Research Approaches”, </w:t>
      </w:r>
      <w:r w:rsidRPr="003B6D32">
        <w:rPr>
          <w:rFonts w:ascii="Times New Roman" w:hAnsi="Times New Roman" w:cs="Times New Roman"/>
          <w:b w:val="0"/>
          <w:i/>
          <w:color w:val="000000" w:themeColor="text1"/>
          <w:sz w:val="20"/>
          <w:szCs w:val="20"/>
        </w:rPr>
        <w:t>Environmental Justice</w:t>
      </w:r>
      <w:r w:rsidRPr="003B6D32">
        <w:rPr>
          <w:rFonts w:ascii="Times New Roman" w:hAnsi="Times New Roman" w:cs="Times New Roman"/>
          <w:b w:val="0"/>
          <w:color w:val="000000" w:themeColor="text1"/>
          <w:sz w:val="20"/>
          <w:szCs w:val="20"/>
        </w:rPr>
        <w:t xml:space="preserve"> 6 (2013): 140-144</w:t>
      </w:r>
      <w:r w:rsidRPr="003B6D32">
        <w:rPr>
          <w:rFonts w:ascii="Times New Roman" w:hAnsi="Times New Roman" w:cs="Times New Roman"/>
          <w:b w:val="0"/>
          <w:noProof/>
          <w:color w:val="000000" w:themeColor="text1"/>
          <w:sz w:val="20"/>
          <w:szCs w:val="20"/>
        </w:rPr>
        <w:t>.</w:t>
      </w:r>
    </w:p>
  </w:footnote>
  <w:footnote w:id="3">
    <w:p w:rsidR="000C1044" w:rsidRPr="003B6D32" w:rsidRDefault="000C1044" w:rsidP="0056171A">
      <w:pPr>
        <w:autoSpaceDE w:val="0"/>
        <w:autoSpaceDN w:val="0"/>
        <w:adjustRightInd w:val="0"/>
        <w:rPr>
          <w:rFonts w:ascii="AdvT905" w:eastAsiaTheme="minorHAnsi" w:hAnsi="AdvT905" w:cs="AdvT905"/>
          <w:sz w:val="20"/>
        </w:rPr>
      </w:pPr>
      <w:r w:rsidRPr="003B6D32">
        <w:rPr>
          <w:rStyle w:val="FootnoteReference"/>
          <w:sz w:val="20"/>
        </w:rPr>
        <w:footnoteRef/>
      </w:r>
      <w:r w:rsidRPr="003B6D32">
        <w:rPr>
          <w:sz w:val="20"/>
        </w:rPr>
        <w:t xml:space="preserve"> Nick Hacking and Andrew Flynn, “Networks, protest and regulatory systems: the case of energy from waste”, </w:t>
      </w:r>
      <w:r w:rsidRPr="003B6D32">
        <w:rPr>
          <w:i/>
          <w:sz w:val="20"/>
        </w:rPr>
        <w:t>Local Environment</w:t>
      </w:r>
      <w:r w:rsidRPr="003B6D32">
        <w:rPr>
          <w:sz w:val="20"/>
        </w:rPr>
        <w:t xml:space="preserve"> (2013): </w:t>
      </w:r>
      <w:r w:rsidR="00CF18B1">
        <w:rPr>
          <w:sz w:val="20"/>
        </w:rPr>
        <w:t xml:space="preserve"> &lt;</w:t>
      </w:r>
      <w:hyperlink r:id="rId1" w:history="1">
        <w:r w:rsidRPr="003B6D32">
          <w:rPr>
            <w:rStyle w:val="Hyperlink"/>
            <w:sz w:val="20"/>
          </w:rPr>
          <w:t>http://dx.doi.org/10.1080/13549839.2013.790353</w:t>
        </w:r>
      </w:hyperlink>
      <w:r w:rsidR="00CF18B1">
        <w:rPr>
          <w:rStyle w:val="Hyperlink"/>
          <w:sz w:val="20"/>
        </w:rPr>
        <w:t>&gt;</w:t>
      </w:r>
      <w:r w:rsidRPr="003B6D32">
        <w:rPr>
          <w:sz w:val="20"/>
        </w:rPr>
        <w:t>; Bent Flyvberg, “</w:t>
      </w:r>
      <w:r w:rsidRPr="003B6D32">
        <w:rPr>
          <w:rFonts w:eastAsiaTheme="minorHAnsi"/>
          <w:sz w:val="20"/>
        </w:rPr>
        <w:t xml:space="preserve">Policy and planning for large-infrastructure projects: problems, causes, cures”, </w:t>
      </w:r>
      <w:r w:rsidRPr="003B6D32">
        <w:rPr>
          <w:rFonts w:eastAsiaTheme="minorHAnsi"/>
          <w:i/>
          <w:sz w:val="20"/>
        </w:rPr>
        <w:t xml:space="preserve">Environment and Planning B: Planning and Design, </w:t>
      </w:r>
      <w:r w:rsidRPr="003B6D32">
        <w:rPr>
          <w:rFonts w:eastAsiaTheme="minorHAnsi"/>
          <w:sz w:val="20"/>
        </w:rPr>
        <w:t xml:space="preserve">34 </w:t>
      </w:r>
      <w:r w:rsidRPr="003B6D32">
        <w:rPr>
          <w:sz w:val="20"/>
        </w:rPr>
        <w:t>(2007):</w:t>
      </w:r>
      <w:r w:rsidRPr="003B6D32">
        <w:rPr>
          <w:rFonts w:eastAsiaTheme="minorHAnsi"/>
          <w:sz w:val="20"/>
        </w:rPr>
        <w:t xml:space="preserve"> 578–597.</w:t>
      </w:r>
    </w:p>
  </w:footnote>
  <w:footnote w:id="4">
    <w:p w:rsidR="000C1044" w:rsidRPr="003B6D32" w:rsidRDefault="000C1044" w:rsidP="0056171A">
      <w:pPr>
        <w:rPr>
          <w:noProof/>
          <w:sz w:val="20"/>
        </w:rPr>
      </w:pPr>
      <w:r w:rsidRPr="003B6D32">
        <w:rPr>
          <w:rStyle w:val="FootnoteReference"/>
          <w:sz w:val="20"/>
        </w:rPr>
        <w:footnoteRef/>
      </w:r>
      <w:r w:rsidRPr="003B6D32">
        <w:rPr>
          <w:sz w:val="20"/>
        </w:rPr>
        <w:t xml:space="preserve"> Matthew Cotton and Patrick Devine-Wright, “</w:t>
      </w:r>
      <w:r w:rsidRPr="003B6D32">
        <w:rPr>
          <w:noProof/>
          <w:sz w:val="20"/>
        </w:rPr>
        <w:t xml:space="preserve">Discourses of energy infrastructure development: a Q-method study of electricity line siting in the UK”. </w:t>
      </w:r>
      <w:r w:rsidRPr="003B6D32">
        <w:rPr>
          <w:i/>
          <w:noProof/>
          <w:sz w:val="20"/>
        </w:rPr>
        <w:t>Environment and Planning A</w:t>
      </w:r>
      <w:r w:rsidRPr="003B6D32">
        <w:rPr>
          <w:noProof/>
          <w:sz w:val="20"/>
        </w:rPr>
        <w:t xml:space="preserve"> 43 (2011): 942–960.</w:t>
      </w:r>
    </w:p>
  </w:footnote>
  <w:footnote w:id="5">
    <w:p w:rsidR="000C1044" w:rsidRPr="003B6D32" w:rsidRDefault="000C1044" w:rsidP="0056171A">
      <w:pPr>
        <w:pStyle w:val="FootnoteText"/>
      </w:pPr>
      <w:r w:rsidRPr="003B6D32">
        <w:rPr>
          <w:rStyle w:val="FootnoteReference"/>
        </w:rPr>
        <w:footnoteRef/>
      </w:r>
      <w:r w:rsidRPr="003B6D32">
        <w:t xml:space="preserve"> Christopher Rootes, “Explaining the outcomes of campaigns against waste incinerators in England: community, ecology, political opportunities and policy contexts”. In Aaron M. McCright and Terry Nichols Clark, </w:t>
      </w:r>
      <w:r w:rsidRPr="003B6D32">
        <w:rPr>
          <w:i/>
        </w:rPr>
        <w:t>Community and Ecology</w:t>
      </w:r>
      <w:r w:rsidRPr="003B6D32">
        <w:t xml:space="preserve">, </w:t>
      </w:r>
      <w:r w:rsidR="00202B72">
        <w:t>(</w:t>
      </w:r>
      <w:r w:rsidRPr="003B6D32">
        <w:t>Emerald Publishing, 2006</w:t>
      </w:r>
      <w:r w:rsidR="00202B72">
        <w:t>): 179-198</w:t>
      </w:r>
      <w:r w:rsidRPr="003B6D32">
        <w:t>.</w:t>
      </w:r>
    </w:p>
  </w:footnote>
  <w:footnote w:id="6">
    <w:p w:rsidR="000C1044" w:rsidRPr="003B6D32" w:rsidRDefault="000C1044" w:rsidP="0056171A">
      <w:pPr>
        <w:rPr>
          <w:noProof/>
          <w:sz w:val="20"/>
        </w:rPr>
      </w:pPr>
      <w:r w:rsidRPr="003B6D32">
        <w:rPr>
          <w:rStyle w:val="FootnoteReference"/>
          <w:sz w:val="20"/>
        </w:rPr>
        <w:footnoteRef/>
      </w:r>
      <w:r w:rsidRPr="003B6D32">
        <w:rPr>
          <w:sz w:val="20"/>
        </w:rPr>
        <w:t xml:space="preserve"> </w:t>
      </w:r>
      <w:r w:rsidR="00202B72">
        <w:rPr>
          <w:noProof/>
          <w:sz w:val="20"/>
        </w:rPr>
        <w:t>ODPM,</w:t>
      </w:r>
      <w:r w:rsidRPr="003B6D32">
        <w:rPr>
          <w:noProof/>
          <w:sz w:val="20"/>
        </w:rPr>
        <w:t xml:space="preserve"> </w:t>
      </w:r>
      <w:r w:rsidR="00202B72">
        <w:rPr>
          <w:noProof/>
          <w:sz w:val="20"/>
        </w:rPr>
        <w:t>“</w:t>
      </w:r>
      <w:r w:rsidRPr="003B6D32">
        <w:rPr>
          <w:noProof/>
          <w:sz w:val="20"/>
        </w:rPr>
        <w:t>Improving Delivery of Mainstream Services in Deprived Areas: The Role of Community Involvement</w:t>
      </w:r>
      <w:r w:rsidR="00202B72">
        <w:rPr>
          <w:noProof/>
          <w:sz w:val="20"/>
        </w:rPr>
        <w:t>”</w:t>
      </w:r>
      <w:r w:rsidRPr="003B6D32">
        <w:rPr>
          <w:noProof/>
          <w:sz w:val="20"/>
        </w:rPr>
        <w:t xml:space="preserve"> </w:t>
      </w:r>
      <w:r w:rsidR="00202B72">
        <w:rPr>
          <w:noProof/>
          <w:sz w:val="20"/>
        </w:rPr>
        <w:t>(</w:t>
      </w:r>
      <w:r w:rsidRPr="003B6D32">
        <w:rPr>
          <w:noProof/>
          <w:sz w:val="20"/>
        </w:rPr>
        <w:t>Office of the Deputy Prime Minister</w:t>
      </w:r>
      <w:r w:rsidR="00202B72">
        <w:rPr>
          <w:noProof/>
          <w:sz w:val="20"/>
        </w:rPr>
        <w:t xml:space="preserve">, </w:t>
      </w:r>
      <w:r w:rsidR="00202B72" w:rsidRPr="003B6D32">
        <w:rPr>
          <w:noProof/>
          <w:sz w:val="20"/>
        </w:rPr>
        <w:t>2005</w:t>
      </w:r>
      <w:r w:rsidR="00202B72">
        <w:rPr>
          <w:noProof/>
          <w:sz w:val="20"/>
        </w:rPr>
        <w:t>)</w:t>
      </w:r>
      <w:r w:rsidRPr="003B6D32">
        <w:rPr>
          <w:noProof/>
          <w:sz w:val="20"/>
        </w:rPr>
        <w:t>.</w:t>
      </w:r>
    </w:p>
  </w:footnote>
  <w:footnote w:id="7">
    <w:p w:rsidR="000C1044" w:rsidRPr="003B6D32" w:rsidRDefault="000C1044" w:rsidP="0056171A">
      <w:pPr>
        <w:rPr>
          <w:noProof/>
          <w:sz w:val="20"/>
        </w:rPr>
      </w:pPr>
      <w:r w:rsidRPr="003B6D32">
        <w:rPr>
          <w:rStyle w:val="FootnoteReference"/>
          <w:sz w:val="20"/>
        </w:rPr>
        <w:footnoteRef/>
      </w:r>
      <w:r w:rsidR="00202B72">
        <w:rPr>
          <w:sz w:val="20"/>
        </w:rPr>
        <w:t xml:space="preserve"> Juliet</w:t>
      </w:r>
      <w:r w:rsidRPr="003B6D32">
        <w:rPr>
          <w:sz w:val="20"/>
        </w:rPr>
        <w:t xml:space="preserve"> </w:t>
      </w:r>
      <w:r w:rsidR="00202B72">
        <w:rPr>
          <w:noProof/>
          <w:sz w:val="20"/>
        </w:rPr>
        <w:t>Carpenter and Sue</w:t>
      </w:r>
      <w:r w:rsidRPr="003B6D32">
        <w:rPr>
          <w:noProof/>
          <w:sz w:val="20"/>
        </w:rPr>
        <w:t xml:space="preserve"> Brownhill</w:t>
      </w:r>
      <w:r w:rsidR="00202B72">
        <w:rPr>
          <w:noProof/>
          <w:sz w:val="20"/>
        </w:rPr>
        <w:t>,</w:t>
      </w:r>
      <w:r w:rsidRPr="003B6D32">
        <w:rPr>
          <w:noProof/>
          <w:sz w:val="20"/>
        </w:rPr>
        <w:t xml:space="preserve"> </w:t>
      </w:r>
      <w:r w:rsidR="00202B72">
        <w:rPr>
          <w:noProof/>
          <w:sz w:val="20"/>
        </w:rPr>
        <w:t>“</w:t>
      </w:r>
      <w:r w:rsidRPr="003B6D32">
        <w:rPr>
          <w:noProof/>
          <w:sz w:val="20"/>
        </w:rPr>
        <w:t>Approaches to Democratic Involvement: Widening Community Engagement in the English Planning System</w:t>
      </w:r>
      <w:r w:rsidR="00202B72">
        <w:rPr>
          <w:noProof/>
          <w:sz w:val="20"/>
        </w:rPr>
        <w:t>”,</w:t>
      </w:r>
      <w:r w:rsidRPr="003B6D32">
        <w:rPr>
          <w:noProof/>
          <w:sz w:val="20"/>
        </w:rPr>
        <w:t xml:space="preserve"> </w:t>
      </w:r>
      <w:r w:rsidR="00202B72">
        <w:rPr>
          <w:i/>
          <w:noProof/>
          <w:sz w:val="20"/>
        </w:rPr>
        <w:t>Planning Theory &amp; Practice</w:t>
      </w:r>
      <w:r w:rsidRPr="003B6D32">
        <w:rPr>
          <w:noProof/>
          <w:sz w:val="20"/>
        </w:rPr>
        <w:t xml:space="preserve"> 9</w:t>
      </w:r>
      <w:r w:rsidR="00202B72">
        <w:rPr>
          <w:b/>
          <w:noProof/>
          <w:sz w:val="20"/>
        </w:rPr>
        <w:t xml:space="preserve"> </w:t>
      </w:r>
      <w:r w:rsidR="00202B72">
        <w:rPr>
          <w:noProof/>
          <w:sz w:val="20"/>
        </w:rPr>
        <w:t>(2008):</w:t>
      </w:r>
      <w:r w:rsidRPr="003B6D32">
        <w:rPr>
          <w:noProof/>
          <w:sz w:val="20"/>
        </w:rPr>
        <w:t xml:space="preserve"> 227-248.</w:t>
      </w:r>
    </w:p>
  </w:footnote>
  <w:footnote w:id="8">
    <w:p w:rsidR="000C1044" w:rsidRPr="003B6D32" w:rsidRDefault="000C1044" w:rsidP="0056171A">
      <w:pPr>
        <w:rPr>
          <w:noProof/>
          <w:sz w:val="20"/>
        </w:rPr>
      </w:pPr>
      <w:r w:rsidRPr="003B6D32">
        <w:rPr>
          <w:rStyle w:val="FootnoteReference"/>
          <w:sz w:val="20"/>
        </w:rPr>
        <w:footnoteRef/>
      </w:r>
      <w:r w:rsidRPr="003B6D32">
        <w:rPr>
          <w:sz w:val="20"/>
        </w:rPr>
        <w:t xml:space="preserve"> </w:t>
      </w:r>
      <w:r w:rsidRPr="003B6D32">
        <w:rPr>
          <w:noProof/>
          <w:sz w:val="20"/>
        </w:rPr>
        <w:t xml:space="preserve">Mark Baker, John Coaffee and Graham Sherriff, “Achieving successful participation in the new UK spatial planning system”, </w:t>
      </w:r>
      <w:r w:rsidRPr="003B6D32">
        <w:rPr>
          <w:i/>
          <w:noProof/>
          <w:sz w:val="20"/>
        </w:rPr>
        <w:t>Planning Practice &amp; Research</w:t>
      </w:r>
      <w:r w:rsidRPr="003B6D32">
        <w:rPr>
          <w:noProof/>
          <w:sz w:val="20"/>
        </w:rPr>
        <w:t xml:space="preserve"> 22 (2007):</w:t>
      </w:r>
      <w:r w:rsidR="00065A29" w:rsidRPr="003B6D32">
        <w:rPr>
          <w:noProof/>
          <w:sz w:val="20"/>
        </w:rPr>
        <w:t xml:space="preserve"> 79-93; </w:t>
      </w:r>
      <w:bookmarkStart w:id="1" w:name="_ENREF_48"/>
      <w:r w:rsidR="00065A29" w:rsidRPr="003B6D32">
        <w:rPr>
          <w:bCs/>
          <w:color w:val="000000"/>
          <w:sz w:val="20"/>
        </w:rPr>
        <w:t>Graham Pearce and Sarah Ayres</w:t>
      </w:r>
      <w:r w:rsidR="00065A29" w:rsidRPr="003B6D32">
        <w:rPr>
          <w:noProof/>
          <w:sz w:val="20"/>
        </w:rPr>
        <w:t xml:space="preserve">, "New patterns of governance in the English region: Assessing their implications for spatial planning" </w:t>
      </w:r>
      <w:r w:rsidR="00065A29" w:rsidRPr="003B6D32">
        <w:rPr>
          <w:i/>
          <w:noProof/>
          <w:sz w:val="20"/>
        </w:rPr>
        <w:t>Environment and Planning C: Government &amp; Policy</w:t>
      </w:r>
      <w:r w:rsidR="00065A29" w:rsidRPr="003B6D32">
        <w:rPr>
          <w:noProof/>
          <w:sz w:val="20"/>
        </w:rPr>
        <w:t xml:space="preserve"> 24 (2006): 909–927</w:t>
      </w:r>
      <w:bookmarkEnd w:id="1"/>
      <w:r w:rsidR="00065A29" w:rsidRPr="003B6D32">
        <w:rPr>
          <w:noProof/>
          <w:sz w:val="20"/>
        </w:rPr>
        <w:t>.</w:t>
      </w:r>
    </w:p>
  </w:footnote>
  <w:footnote w:id="9">
    <w:p w:rsidR="000C1044" w:rsidRPr="003B6D32" w:rsidRDefault="000C1044" w:rsidP="0056171A">
      <w:pPr>
        <w:rPr>
          <w:noProof/>
          <w:sz w:val="20"/>
        </w:rPr>
      </w:pPr>
      <w:r w:rsidRPr="003B6D32">
        <w:rPr>
          <w:rStyle w:val="FootnoteReference"/>
          <w:sz w:val="20"/>
        </w:rPr>
        <w:footnoteRef/>
      </w:r>
      <w:r w:rsidR="00202B72">
        <w:rPr>
          <w:noProof/>
          <w:sz w:val="20"/>
        </w:rPr>
        <w:t>DETR,</w:t>
      </w:r>
      <w:r w:rsidRPr="003B6D32">
        <w:rPr>
          <w:noProof/>
          <w:sz w:val="20"/>
        </w:rPr>
        <w:t xml:space="preserve"> </w:t>
      </w:r>
      <w:r w:rsidR="00202B72">
        <w:rPr>
          <w:noProof/>
          <w:sz w:val="20"/>
        </w:rPr>
        <w:t>“</w:t>
      </w:r>
      <w:r w:rsidRPr="003B6D32">
        <w:rPr>
          <w:noProof/>
          <w:sz w:val="20"/>
        </w:rPr>
        <w:t>A Better Quality of Life: a Strategy for Sustainable Development in the United Kingdom</w:t>
      </w:r>
      <w:r w:rsidR="00202B72">
        <w:rPr>
          <w:noProof/>
          <w:sz w:val="20"/>
        </w:rPr>
        <w:t>”</w:t>
      </w:r>
      <w:r w:rsidRPr="003B6D32">
        <w:rPr>
          <w:noProof/>
          <w:sz w:val="20"/>
        </w:rPr>
        <w:t>. (</w:t>
      </w:r>
      <w:r w:rsidR="00202B72" w:rsidRPr="003B6D32">
        <w:rPr>
          <w:noProof/>
          <w:sz w:val="20"/>
        </w:rPr>
        <w:t>Department of the Environment, T</w:t>
      </w:r>
      <w:r w:rsidR="00202B72">
        <w:rPr>
          <w:noProof/>
          <w:sz w:val="20"/>
        </w:rPr>
        <w:t>ransport and the Regions, 1999</w:t>
      </w:r>
      <w:r w:rsidRPr="003B6D32">
        <w:rPr>
          <w:noProof/>
          <w:sz w:val="20"/>
        </w:rPr>
        <w:t>)</w:t>
      </w:r>
      <w:r w:rsidR="00202B72">
        <w:rPr>
          <w:noProof/>
          <w:sz w:val="20"/>
        </w:rPr>
        <w:t>.</w:t>
      </w:r>
    </w:p>
  </w:footnote>
  <w:footnote w:id="10">
    <w:p w:rsidR="000C1044" w:rsidRPr="003B6D32" w:rsidRDefault="000C1044" w:rsidP="0056171A">
      <w:pPr>
        <w:rPr>
          <w:noProof/>
          <w:sz w:val="20"/>
        </w:rPr>
      </w:pPr>
      <w:r w:rsidRPr="003B6D32">
        <w:rPr>
          <w:rStyle w:val="FootnoteReference"/>
          <w:sz w:val="20"/>
        </w:rPr>
        <w:footnoteRef/>
      </w:r>
      <w:r w:rsidRPr="003B6D32">
        <w:rPr>
          <w:sz w:val="20"/>
        </w:rPr>
        <w:t xml:space="preserve"> </w:t>
      </w:r>
      <w:r w:rsidRPr="003B6D32">
        <w:rPr>
          <w:noProof/>
          <w:sz w:val="20"/>
        </w:rPr>
        <w:t xml:space="preserve">Michael Pitt, “Introducing the Infrastructure Planning Commission”, </w:t>
      </w:r>
      <w:r w:rsidRPr="003B6D32">
        <w:rPr>
          <w:i/>
          <w:noProof/>
          <w:sz w:val="20"/>
        </w:rPr>
        <w:t>Proceedings of The Institute of Civil Engineers</w:t>
      </w:r>
      <w:r w:rsidRPr="003B6D32">
        <w:rPr>
          <w:noProof/>
          <w:sz w:val="20"/>
        </w:rPr>
        <w:t xml:space="preserve"> 163</w:t>
      </w:r>
      <w:r w:rsidRPr="003B6D32">
        <w:rPr>
          <w:b/>
          <w:noProof/>
          <w:sz w:val="20"/>
        </w:rPr>
        <w:t xml:space="preserve"> </w:t>
      </w:r>
      <w:r w:rsidRPr="003B6D32">
        <w:rPr>
          <w:noProof/>
          <w:sz w:val="20"/>
        </w:rPr>
        <w:t>(2010):  54-54.</w:t>
      </w:r>
    </w:p>
  </w:footnote>
  <w:footnote w:id="11">
    <w:p w:rsidR="000C1044" w:rsidRPr="003B6D32" w:rsidRDefault="000C1044" w:rsidP="0056171A">
      <w:pPr>
        <w:rPr>
          <w:noProof/>
          <w:sz w:val="20"/>
        </w:rPr>
      </w:pPr>
      <w:r w:rsidRPr="003B6D32">
        <w:rPr>
          <w:rStyle w:val="FootnoteReference"/>
          <w:sz w:val="20"/>
        </w:rPr>
        <w:footnoteRef/>
      </w:r>
      <w:r w:rsidRPr="003B6D32">
        <w:rPr>
          <w:sz w:val="20"/>
        </w:rPr>
        <w:t xml:space="preserve"> Matthew </w:t>
      </w:r>
      <w:r w:rsidRPr="003B6D32">
        <w:rPr>
          <w:noProof/>
          <w:sz w:val="20"/>
        </w:rPr>
        <w:t>Cotton, and Patrick Devine-Wright, “Putting pylons into place: a UK case study of public beliefs about the impacts of high voltage overhead transmission lines”</w:t>
      </w:r>
      <w:r w:rsidR="0063383F" w:rsidRPr="003B6D32">
        <w:rPr>
          <w:noProof/>
          <w:sz w:val="20"/>
        </w:rPr>
        <w:t>,</w:t>
      </w:r>
      <w:r w:rsidRPr="003B6D32">
        <w:rPr>
          <w:noProof/>
          <w:sz w:val="20"/>
        </w:rPr>
        <w:t xml:space="preserve"> </w:t>
      </w:r>
      <w:r w:rsidRPr="003B6D32">
        <w:rPr>
          <w:i/>
          <w:noProof/>
          <w:sz w:val="20"/>
        </w:rPr>
        <w:t>Journal of Environmental Planning and Management</w:t>
      </w:r>
      <w:r w:rsidRPr="003B6D32">
        <w:rPr>
          <w:noProof/>
          <w:sz w:val="20"/>
        </w:rPr>
        <w:t xml:space="preserve"> 56 (2013): 1225-1245.</w:t>
      </w:r>
    </w:p>
  </w:footnote>
  <w:footnote w:id="12">
    <w:p w:rsidR="000C1044" w:rsidRPr="003B6D32" w:rsidRDefault="000C1044" w:rsidP="0056171A">
      <w:pPr>
        <w:rPr>
          <w:noProof/>
          <w:sz w:val="20"/>
        </w:rPr>
      </w:pPr>
      <w:r w:rsidRPr="003B6D32">
        <w:rPr>
          <w:rStyle w:val="FootnoteReference"/>
          <w:sz w:val="20"/>
        </w:rPr>
        <w:footnoteRef/>
      </w:r>
      <w:r w:rsidRPr="003B6D32">
        <w:rPr>
          <w:sz w:val="20"/>
        </w:rPr>
        <w:t xml:space="preserve">  Philip </w:t>
      </w:r>
      <w:r w:rsidRPr="003B6D32">
        <w:rPr>
          <w:noProof/>
          <w:sz w:val="20"/>
        </w:rPr>
        <w:t xml:space="preserve">Booth, “Managing land-use change”, </w:t>
      </w:r>
      <w:r w:rsidRPr="003B6D32">
        <w:rPr>
          <w:i/>
          <w:noProof/>
          <w:sz w:val="20"/>
        </w:rPr>
        <w:t>Land Use Policy</w:t>
      </w:r>
      <w:r w:rsidRPr="003B6D32">
        <w:rPr>
          <w:noProof/>
          <w:sz w:val="20"/>
        </w:rPr>
        <w:t xml:space="preserve"> 26</w:t>
      </w:r>
      <w:r w:rsidRPr="003B6D32">
        <w:rPr>
          <w:b/>
          <w:noProof/>
          <w:sz w:val="20"/>
        </w:rPr>
        <w:t xml:space="preserve"> </w:t>
      </w:r>
      <w:r w:rsidRPr="003B6D32">
        <w:rPr>
          <w:noProof/>
          <w:sz w:val="20"/>
        </w:rPr>
        <w:t>(2009): 154-159.</w:t>
      </w:r>
    </w:p>
  </w:footnote>
  <w:footnote w:id="13">
    <w:p w:rsidR="0063383F" w:rsidRPr="003B6D32" w:rsidRDefault="0063383F" w:rsidP="0056171A">
      <w:pPr>
        <w:pStyle w:val="FootnoteText"/>
      </w:pPr>
      <w:r w:rsidRPr="003B6D32">
        <w:rPr>
          <w:rStyle w:val="FootnoteReference"/>
        </w:rPr>
        <w:footnoteRef/>
      </w:r>
      <w:r w:rsidRPr="003B6D32">
        <w:t xml:space="preserve"> Andy Inch, “Planning at the Crossroads Again: Re-evaluating Street-level Regulation of the Contradictions in New Labour’s Planning Reforms”, </w:t>
      </w:r>
      <w:r w:rsidRPr="003B6D32">
        <w:rPr>
          <w:i/>
        </w:rPr>
        <w:t xml:space="preserve">Planning Practice and Research </w:t>
      </w:r>
      <w:r w:rsidRPr="003B6D32">
        <w:t xml:space="preserve">24 (2009): </w:t>
      </w:r>
      <w:r w:rsidRPr="003B6D32">
        <w:rPr>
          <w:color w:val="000000"/>
        </w:rPr>
        <w:t>83-101.</w:t>
      </w:r>
    </w:p>
  </w:footnote>
  <w:footnote w:id="14">
    <w:p w:rsidR="000944B6" w:rsidRPr="003B6D32" w:rsidRDefault="000944B6" w:rsidP="00F27DC2">
      <w:pPr>
        <w:rPr>
          <w:sz w:val="20"/>
        </w:rPr>
      </w:pPr>
      <w:r w:rsidRPr="003B6D32">
        <w:rPr>
          <w:rStyle w:val="FootnoteReference"/>
          <w:sz w:val="20"/>
        </w:rPr>
        <w:footnoteRef/>
      </w:r>
      <w:r w:rsidRPr="003B6D32">
        <w:rPr>
          <w:sz w:val="20"/>
        </w:rPr>
        <w:t xml:space="preserve"> Conservati</w:t>
      </w:r>
      <w:r w:rsidR="00CF18B1">
        <w:rPr>
          <w:sz w:val="20"/>
        </w:rPr>
        <w:t>ve Party, “</w:t>
      </w:r>
      <w:r w:rsidRPr="003B6D32">
        <w:rPr>
          <w:sz w:val="20"/>
        </w:rPr>
        <w:t xml:space="preserve">Open </w:t>
      </w:r>
      <w:r w:rsidR="00CF18B1">
        <w:rPr>
          <w:sz w:val="20"/>
        </w:rPr>
        <w:t>source: Green paper on planning”</w:t>
      </w:r>
      <w:r w:rsidRPr="003B6D32">
        <w:rPr>
          <w:sz w:val="20"/>
        </w:rPr>
        <w:t xml:space="preserve"> </w:t>
      </w:r>
      <w:r w:rsidR="00CF18B1">
        <w:rPr>
          <w:sz w:val="20"/>
        </w:rPr>
        <w:t>(</w:t>
      </w:r>
      <w:r w:rsidRPr="003B6D32">
        <w:rPr>
          <w:sz w:val="20"/>
        </w:rPr>
        <w:t>2010</w:t>
      </w:r>
      <w:r w:rsidR="00CF18B1">
        <w:rPr>
          <w:sz w:val="20"/>
        </w:rPr>
        <w:t>)</w:t>
      </w:r>
      <w:r w:rsidRPr="003B6D32">
        <w:rPr>
          <w:sz w:val="20"/>
        </w:rPr>
        <w:t xml:space="preserve"> </w:t>
      </w:r>
      <w:r w:rsidR="00CF18B1">
        <w:rPr>
          <w:sz w:val="20"/>
        </w:rPr>
        <w:t>&lt;</w:t>
      </w:r>
      <w:hyperlink r:id="rId2" w:history="1">
        <w:r w:rsidRPr="003B6D32">
          <w:rPr>
            <w:rStyle w:val="Hyperlink"/>
            <w:sz w:val="20"/>
          </w:rPr>
          <w:t>http://www.conservatives.com/~/media/Files/Green%20Papers/planning-green-paper.ashx</w:t>
        </w:r>
      </w:hyperlink>
      <w:r w:rsidR="00CF18B1">
        <w:rPr>
          <w:rStyle w:val="Hyperlink"/>
          <w:sz w:val="20"/>
        </w:rPr>
        <w:t>&gt;</w:t>
      </w:r>
      <w:r w:rsidR="00CF18B1">
        <w:rPr>
          <w:sz w:val="20"/>
        </w:rPr>
        <w:t xml:space="preserve"> (Last a</w:t>
      </w:r>
      <w:r w:rsidR="00F27DC2" w:rsidRPr="003B6D32">
        <w:rPr>
          <w:sz w:val="20"/>
        </w:rPr>
        <w:t xml:space="preserve">ccessed June </w:t>
      </w:r>
      <w:r w:rsidR="00CF18B1">
        <w:rPr>
          <w:sz w:val="20"/>
        </w:rPr>
        <w:t xml:space="preserve">30, </w:t>
      </w:r>
      <w:r w:rsidR="00F27DC2" w:rsidRPr="003B6D32">
        <w:rPr>
          <w:sz w:val="20"/>
        </w:rPr>
        <w:t>2013</w:t>
      </w:r>
      <w:r w:rsidR="00CF18B1">
        <w:rPr>
          <w:sz w:val="20"/>
        </w:rPr>
        <w:t>)</w:t>
      </w:r>
      <w:r w:rsidR="00F27DC2" w:rsidRPr="003B6D32">
        <w:rPr>
          <w:sz w:val="20"/>
        </w:rPr>
        <w:t>.</w:t>
      </w:r>
    </w:p>
  </w:footnote>
  <w:footnote w:id="15">
    <w:p w:rsidR="00923FC8" w:rsidRPr="003B6D32" w:rsidRDefault="00923FC8" w:rsidP="0056171A">
      <w:pPr>
        <w:pStyle w:val="FootnoteText"/>
      </w:pPr>
      <w:r w:rsidRPr="003B6D32">
        <w:rPr>
          <w:rStyle w:val="FootnoteReference"/>
        </w:rPr>
        <w:footnoteRef/>
      </w:r>
      <w:r w:rsidRPr="003B6D32">
        <w:t xml:space="preserve"> </w:t>
      </w:r>
      <w:hyperlink r:id="rId3" w:history="1">
        <w:r w:rsidRPr="003B6D32">
          <w:t>John Parkins</w:t>
        </w:r>
      </w:hyperlink>
      <w:r w:rsidRPr="003B6D32">
        <w:t xml:space="preserve"> and </w:t>
      </w:r>
      <w:hyperlink r:id="rId4" w:history="1">
        <w:r w:rsidRPr="003B6D32">
          <w:t>Ross Mitchell</w:t>
        </w:r>
      </w:hyperlink>
      <w:r w:rsidRPr="003B6D32">
        <w:t>,</w:t>
      </w:r>
      <w:r w:rsidRPr="003B6D32">
        <w:rPr>
          <w:rStyle w:val="apple-converted-space"/>
          <w:color w:val="000000"/>
        </w:rPr>
        <w:t> “</w:t>
      </w:r>
      <w:r w:rsidRPr="003B6D32">
        <w:rPr>
          <w:noProof/>
        </w:rPr>
        <w:t xml:space="preserve">Public Participation as Public Debate: A Deliberative Turn in Natural Resource Management”, </w:t>
      </w:r>
      <w:r w:rsidRPr="003B6D32">
        <w:rPr>
          <w:i/>
          <w:noProof/>
        </w:rPr>
        <w:t xml:space="preserve">Society and Natural Resources </w:t>
      </w:r>
      <w:r w:rsidRPr="003B6D32">
        <w:rPr>
          <w:noProof/>
        </w:rPr>
        <w:t>18 (2005): 529-540.</w:t>
      </w:r>
      <w:r w:rsidR="00771F88" w:rsidRPr="003B6D32">
        <w:rPr>
          <w:noProof/>
        </w:rPr>
        <w:t xml:space="preserve">; </w:t>
      </w:r>
      <w:r w:rsidR="00771F88" w:rsidRPr="003B6D32">
        <w:t>Philip Johnstone,</w:t>
      </w:r>
      <w:r w:rsidR="00771F88" w:rsidRPr="003B6D32">
        <w:rPr>
          <w:i/>
        </w:rPr>
        <w:t xml:space="preserve"> “</w:t>
      </w:r>
      <w:r w:rsidR="00771F88" w:rsidRPr="003B6D32">
        <w:rPr>
          <w:rStyle w:val="Emphasis"/>
          <w:i w:val="0"/>
          <w:shd w:val="clear" w:color="auto" w:fill="FFFFFF"/>
        </w:rPr>
        <w:t>Planning reform, rescaling, and the construction of the post-political: the case of the Planning Act and nuclear power consultation in the UK”, Environment and Planning C: Government and Policy, (forthcoming).</w:t>
      </w:r>
    </w:p>
  </w:footnote>
  <w:footnote w:id="16">
    <w:p w:rsidR="004717AF" w:rsidRPr="003B6D32" w:rsidRDefault="004717AF">
      <w:pPr>
        <w:pStyle w:val="FootnoteText"/>
      </w:pPr>
      <w:r w:rsidRPr="003B6D32">
        <w:rPr>
          <w:rStyle w:val="FootnoteReference"/>
        </w:rPr>
        <w:footnoteRef/>
      </w:r>
      <w:r w:rsidRPr="003B6D32">
        <w:t xml:space="preserve"> The councils are </w:t>
      </w:r>
      <w:r w:rsidRPr="003B6D32">
        <w:rPr>
          <w:color w:val="000000" w:themeColor="text1"/>
        </w:rPr>
        <w:t>Caerphilly Borough County Council, The County Council of the City and County of Cardiff, Monmouthshire County Council, Newport Council and Vale of Glamorgan Council.</w:t>
      </w:r>
    </w:p>
  </w:footnote>
  <w:footnote w:id="17">
    <w:p w:rsidR="0042659A" w:rsidRPr="003B6D32" w:rsidRDefault="0042659A" w:rsidP="0056171A">
      <w:pPr>
        <w:jc w:val="both"/>
        <w:rPr>
          <w:sz w:val="20"/>
        </w:rPr>
      </w:pPr>
      <w:r w:rsidRPr="003B6D32">
        <w:rPr>
          <w:rStyle w:val="FootnoteReference"/>
          <w:sz w:val="20"/>
        </w:rPr>
        <w:footnoteRef/>
      </w:r>
      <w:r w:rsidRPr="003B6D32">
        <w:rPr>
          <w:sz w:val="20"/>
        </w:rPr>
        <w:t xml:space="preserve"> Merthyr figures from National Assembly for Wales report &lt;</w:t>
      </w:r>
      <w:hyperlink r:id="rId5" w:history="1">
        <w:r w:rsidRPr="003B6D32">
          <w:rPr>
            <w:rStyle w:val="Hyperlink"/>
            <w:sz w:val="20"/>
          </w:rPr>
          <w:t>http://www.assemblywales.org/10-035.pdf</w:t>
        </w:r>
      </w:hyperlink>
      <w:r w:rsidRPr="003B6D32">
        <w:rPr>
          <w:sz w:val="20"/>
        </w:rPr>
        <w:t>&gt;</w:t>
      </w:r>
      <w:r w:rsidR="00CF18B1">
        <w:rPr>
          <w:sz w:val="20"/>
        </w:rPr>
        <w:t xml:space="preserve"> (Last accessed July 11, 2013)</w:t>
      </w:r>
      <w:r w:rsidRPr="003B6D32">
        <w:rPr>
          <w:sz w:val="20"/>
        </w:rPr>
        <w:t>; UK Average from Office for National Statistics NOMIS Official labour Market statistics &lt;</w:t>
      </w:r>
      <w:hyperlink r:id="rId6" w:history="1">
        <w:r w:rsidRPr="003B6D32">
          <w:rPr>
            <w:rStyle w:val="Hyperlink"/>
            <w:sz w:val="20"/>
          </w:rPr>
          <w:t>http://www.nomisweb.co.uk/reports/lmp/gor/2092957698/report.aspx</w:t>
        </w:r>
      </w:hyperlink>
      <w:r w:rsidRPr="003B6D32">
        <w:rPr>
          <w:sz w:val="20"/>
        </w:rPr>
        <w:t>&gt;</w:t>
      </w:r>
      <w:r w:rsidR="00CF18B1">
        <w:rPr>
          <w:sz w:val="20"/>
        </w:rPr>
        <w:t xml:space="preserve"> (Last accessed July 11, 2013). </w:t>
      </w:r>
    </w:p>
  </w:footnote>
  <w:footnote w:id="18">
    <w:p w:rsidR="00A765FA" w:rsidRPr="003B6D32" w:rsidRDefault="00A765FA" w:rsidP="0056171A">
      <w:pPr>
        <w:autoSpaceDE w:val="0"/>
        <w:autoSpaceDN w:val="0"/>
        <w:adjustRightInd w:val="0"/>
        <w:rPr>
          <w:sz w:val="20"/>
        </w:rPr>
      </w:pPr>
      <w:r w:rsidRPr="003B6D32">
        <w:rPr>
          <w:rStyle w:val="FootnoteReference"/>
          <w:sz w:val="20"/>
        </w:rPr>
        <w:footnoteRef/>
      </w:r>
      <w:r w:rsidRPr="003B6D32">
        <w:rPr>
          <w:sz w:val="20"/>
        </w:rPr>
        <w:t xml:space="preserve">Life expectancy by local areas in the United Kingdom, 2007-2009 – Results for England and Wales (Office for National Statistics, </w:t>
      </w:r>
      <w:r w:rsidR="00202B72">
        <w:rPr>
          <w:sz w:val="20"/>
        </w:rPr>
        <w:t>2011</w:t>
      </w:r>
      <w:r w:rsidRPr="003B6D32">
        <w:rPr>
          <w:sz w:val="20"/>
        </w:rPr>
        <w:t xml:space="preserve">) </w:t>
      </w:r>
    </w:p>
  </w:footnote>
  <w:footnote w:id="19">
    <w:p w:rsidR="00CB445C" w:rsidRPr="003B6D32" w:rsidRDefault="00CB445C" w:rsidP="0056171A">
      <w:pPr>
        <w:pStyle w:val="FootnoteText"/>
        <w:rPr>
          <w:i/>
        </w:rPr>
      </w:pPr>
      <w:r w:rsidRPr="003B6D32">
        <w:rPr>
          <w:rStyle w:val="FootnoteReference"/>
        </w:rPr>
        <w:footnoteRef/>
      </w:r>
      <w:r w:rsidRPr="003B6D32">
        <w:t xml:space="preserve"> Gary Hinshaw and Drew Trenholm, </w:t>
      </w:r>
      <w:r w:rsidR="00827F10" w:rsidRPr="003B6D32">
        <w:t>“</w:t>
      </w:r>
      <w:r w:rsidRPr="003B6D32">
        <w:t>Hazardous waste incineration emissions perspective</w:t>
      </w:r>
      <w:r w:rsidR="00827F10" w:rsidRPr="003B6D32">
        <w:t>”,</w:t>
      </w:r>
      <w:r w:rsidRPr="003B6D32">
        <w:t xml:space="preserve"> </w:t>
      </w:r>
      <w:r w:rsidRPr="003B6D32">
        <w:rPr>
          <w:i/>
        </w:rPr>
        <w:t xml:space="preserve">Waste Management, </w:t>
      </w:r>
      <w:r w:rsidRPr="003B6D32">
        <w:t>21</w:t>
      </w:r>
      <w:r w:rsidR="00827F10" w:rsidRPr="003B6D32">
        <w:t xml:space="preserve"> (2001):</w:t>
      </w:r>
      <w:r w:rsidRPr="003B6D32">
        <w:rPr>
          <w:rFonts w:eastAsia="Arial Unicode MS"/>
          <w:color w:val="2E2E2E"/>
          <w:shd w:val="clear" w:color="auto" w:fill="F9FBFC"/>
        </w:rPr>
        <w:t xml:space="preserve"> 471–475.</w:t>
      </w:r>
    </w:p>
  </w:footnote>
  <w:footnote w:id="20">
    <w:p w:rsidR="00CB445C" w:rsidRPr="00CF18B1" w:rsidRDefault="00CB445C" w:rsidP="0056171A">
      <w:pPr>
        <w:pStyle w:val="FootnoteText"/>
      </w:pPr>
      <w:r w:rsidRPr="003B6D32">
        <w:rPr>
          <w:rStyle w:val="FootnoteReference"/>
        </w:rPr>
        <w:footnoteRef/>
      </w:r>
      <w:r w:rsidRPr="003B6D32">
        <w:t xml:space="preserve"> BBC. BBC Cymru Wales Investigates plans for Merthyr Incinerator </w:t>
      </w:r>
      <w:r w:rsidR="00CF18B1">
        <w:t>&lt;</w:t>
      </w:r>
      <w:hyperlink r:id="rId7" w:history="1">
        <w:r w:rsidRPr="003B6D32">
          <w:rPr>
            <w:rStyle w:val="Hyperlink"/>
          </w:rPr>
          <w:t>http://www.bbc.co.uk/pressoffice/pressreleases/stories/2011/09_september/19/taro.shtml</w:t>
        </w:r>
      </w:hyperlink>
      <w:r w:rsidR="00CF18B1" w:rsidRPr="00CF18B1">
        <w:rPr>
          <w:rStyle w:val="Hyperlink"/>
          <w:color w:val="auto"/>
          <w:u w:val="none"/>
        </w:rPr>
        <w:t>&gt;</w:t>
      </w:r>
      <w:r w:rsidR="00CF18B1">
        <w:rPr>
          <w:rStyle w:val="Hyperlink"/>
          <w:color w:val="auto"/>
          <w:u w:val="none"/>
        </w:rPr>
        <w:t xml:space="preserve"> (Last accessed, August 1, 2013)</w:t>
      </w:r>
    </w:p>
  </w:footnote>
  <w:footnote w:id="21">
    <w:p w:rsidR="00CB445C" w:rsidRPr="003B6D32" w:rsidRDefault="00CB445C" w:rsidP="0056171A">
      <w:pPr>
        <w:pStyle w:val="FootnoteText"/>
      </w:pPr>
      <w:r w:rsidRPr="003B6D32">
        <w:rPr>
          <w:rStyle w:val="FootnoteReference"/>
        </w:rPr>
        <w:footnoteRef/>
      </w:r>
      <w:r w:rsidRPr="003B6D32">
        <w:t xml:space="preserve"> Andrew Blowers and Pieter Leroy, “</w:t>
      </w:r>
      <w:r w:rsidRPr="003B6D32">
        <w:rPr>
          <w:rFonts w:eastAsiaTheme="minorHAnsi"/>
        </w:rPr>
        <w:t xml:space="preserve">Power, Politics and Environmental Inequality: A Theoretical and Empirical Analysis of the Process of Peripheralisation”, </w:t>
      </w:r>
      <w:r w:rsidRPr="003B6D32">
        <w:rPr>
          <w:rFonts w:eastAsiaTheme="minorHAnsi"/>
          <w:i/>
        </w:rPr>
        <w:t xml:space="preserve">Environmental Politics </w:t>
      </w:r>
      <w:r w:rsidRPr="003B6D32">
        <w:rPr>
          <w:rFonts w:eastAsiaTheme="minorHAnsi"/>
        </w:rPr>
        <w:t>3 (1994): 197-228.</w:t>
      </w:r>
    </w:p>
  </w:footnote>
  <w:footnote w:id="22">
    <w:p w:rsidR="00545EA0" w:rsidRPr="003B6D32" w:rsidRDefault="00545EA0" w:rsidP="0056171A">
      <w:pPr>
        <w:rPr>
          <w:noProof/>
          <w:sz w:val="20"/>
        </w:rPr>
      </w:pPr>
      <w:r w:rsidRPr="003B6D32">
        <w:rPr>
          <w:rStyle w:val="FootnoteReference"/>
          <w:sz w:val="20"/>
        </w:rPr>
        <w:footnoteRef/>
      </w:r>
      <w:r w:rsidRPr="003B6D32">
        <w:rPr>
          <w:sz w:val="20"/>
        </w:rPr>
        <w:t xml:space="preserve"> Julian </w:t>
      </w:r>
      <w:r w:rsidRPr="003B6D32">
        <w:rPr>
          <w:noProof/>
          <w:sz w:val="20"/>
        </w:rPr>
        <w:t>Agyeman, Bob Evans</w:t>
      </w:r>
      <w:r w:rsidR="00806607" w:rsidRPr="003B6D32">
        <w:rPr>
          <w:noProof/>
          <w:sz w:val="20"/>
        </w:rPr>
        <w:t>,</w:t>
      </w:r>
      <w:r w:rsidRPr="003B6D32">
        <w:rPr>
          <w:noProof/>
          <w:sz w:val="20"/>
        </w:rPr>
        <w:t xml:space="preserve"> </w:t>
      </w:r>
      <w:r w:rsidR="00806607" w:rsidRPr="003B6D32">
        <w:rPr>
          <w:noProof/>
          <w:sz w:val="20"/>
        </w:rPr>
        <w:t>“</w:t>
      </w:r>
      <w:r w:rsidRPr="003B6D32">
        <w:rPr>
          <w:noProof/>
          <w:sz w:val="20"/>
        </w:rPr>
        <w:t>'Just Sustainability': The Emerging Discourse of Environmental Justice in Britain?</w:t>
      </w:r>
      <w:r w:rsidR="00806607" w:rsidRPr="003B6D32">
        <w:rPr>
          <w:noProof/>
          <w:sz w:val="20"/>
        </w:rPr>
        <w:t>”</w:t>
      </w:r>
      <w:r w:rsidRPr="003B6D32">
        <w:rPr>
          <w:noProof/>
          <w:sz w:val="20"/>
        </w:rPr>
        <w:t xml:space="preserve"> </w:t>
      </w:r>
      <w:r w:rsidR="00806607" w:rsidRPr="003B6D32">
        <w:rPr>
          <w:i/>
          <w:noProof/>
          <w:sz w:val="20"/>
        </w:rPr>
        <w:t>The Geographical Journal</w:t>
      </w:r>
      <w:r w:rsidRPr="003B6D32">
        <w:rPr>
          <w:noProof/>
          <w:sz w:val="20"/>
        </w:rPr>
        <w:t xml:space="preserve"> 170</w:t>
      </w:r>
      <w:r w:rsidR="00806607" w:rsidRPr="003B6D32">
        <w:rPr>
          <w:b/>
          <w:noProof/>
          <w:sz w:val="20"/>
        </w:rPr>
        <w:t xml:space="preserve"> </w:t>
      </w:r>
      <w:r w:rsidR="00806607" w:rsidRPr="003B6D32">
        <w:rPr>
          <w:noProof/>
          <w:sz w:val="20"/>
        </w:rPr>
        <w:t>(2004):</w:t>
      </w:r>
      <w:r w:rsidRPr="003B6D32">
        <w:rPr>
          <w:noProof/>
          <w:sz w:val="20"/>
        </w:rPr>
        <w:t xml:space="preserve"> 155–164.</w:t>
      </w:r>
    </w:p>
  </w:footnote>
  <w:footnote w:id="23">
    <w:p w:rsidR="004C2CD2" w:rsidRPr="003B6D32" w:rsidRDefault="004C2CD2" w:rsidP="0056171A">
      <w:pPr>
        <w:rPr>
          <w:sz w:val="20"/>
        </w:rPr>
      </w:pPr>
      <w:r w:rsidRPr="003B6D32">
        <w:rPr>
          <w:rStyle w:val="FootnoteReference"/>
          <w:sz w:val="20"/>
        </w:rPr>
        <w:footnoteRef/>
      </w:r>
      <w:r w:rsidRPr="003B6D32">
        <w:rPr>
          <w:sz w:val="20"/>
        </w:rPr>
        <w:t xml:space="preserve"> Gordon Walker, Gordon Mitchell, John Fairburn and Graham</w:t>
      </w:r>
      <w:r w:rsidR="00BB5C96" w:rsidRPr="003B6D32">
        <w:rPr>
          <w:sz w:val="20"/>
        </w:rPr>
        <w:t xml:space="preserve"> Smith,</w:t>
      </w:r>
      <w:r w:rsidRPr="003B6D32">
        <w:rPr>
          <w:sz w:val="20"/>
        </w:rPr>
        <w:t xml:space="preserve"> “Industrial pollution and social deprivation: evidence and complexity in evaluating and responding to </w:t>
      </w:r>
      <w:r w:rsidR="00246CE5" w:rsidRPr="003B6D32">
        <w:rPr>
          <w:sz w:val="20"/>
        </w:rPr>
        <w:t xml:space="preserve"> </w:t>
      </w:r>
      <w:r w:rsidRPr="003B6D32">
        <w:rPr>
          <w:sz w:val="20"/>
        </w:rPr>
        <w:t xml:space="preserve">environmental inequality”, </w:t>
      </w:r>
      <w:r w:rsidRPr="003B6D32">
        <w:rPr>
          <w:i/>
          <w:sz w:val="20"/>
        </w:rPr>
        <w:t>Local Environment</w:t>
      </w:r>
      <w:r w:rsidRPr="003B6D32">
        <w:rPr>
          <w:sz w:val="20"/>
        </w:rPr>
        <w:t>, 10 (2005): 361-377.</w:t>
      </w:r>
    </w:p>
  </w:footnote>
  <w:footnote w:id="24">
    <w:p w:rsidR="005A78E3" w:rsidRPr="003B6D32" w:rsidRDefault="005A78E3" w:rsidP="005A78E3">
      <w:pPr>
        <w:pStyle w:val="FootnoteText"/>
      </w:pPr>
      <w:r w:rsidRPr="003B6D32">
        <w:rPr>
          <w:rStyle w:val="FootnoteReference"/>
        </w:rPr>
        <w:footnoteRef/>
      </w:r>
      <w:r w:rsidR="00202B72">
        <w:t xml:space="preserve"> Matthew Cotton a</w:t>
      </w:r>
      <w:r w:rsidRPr="003B6D32">
        <w:t>nd Patrick Devine-Wright, “</w:t>
      </w:r>
      <w:r w:rsidRPr="003B6D32">
        <w:rPr>
          <w:rFonts w:eastAsia="Cambria"/>
          <w:color w:val="000000" w:themeColor="text1"/>
          <w:spacing w:val="10"/>
        </w:rPr>
        <w:t xml:space="preserve">NIMBYism and community consultation in electricity transmission network planning” in Patrick Devine-Wright (ed.) </w:t>
      </w:r>
      <w:r w:rsidRPr="003B6D32">
        <w:rPr>
          <w:rFonts w:eastAsia="Cambria"/>
          <w:i/>
          <w:color w:val="000000" w:themeColor="text1"/>
          <w:spacing w:val="10"/>
        </w:rPr>
        <w:t>Renewable Energy and the Public: from NIMBY to Participation</w:t>
      </w:r>
      <w:r w:rsidR="00CE7DD7">
        <w:rPr>
          <w:rFonts w:eastAsia="Cambria"/>
          <w:color w:val="000000" w:themeColor="text1"/>
          <w:spacing w:val="10"/>
        </w:rPr>
        <w:t xml:space="preserve"> (Routledge</w:t>
      </w:r>
      <w:r w:rsidRPr="003B6D32">
        <w:rPr>
          <w:rFonts w:eastAsia="Cambria"/>
          <w:color w:val="000000" w:themeColor="text1"/>
          <w:spacing w:val="10"/>
        </w:rPr>
        <w:t>, 2010): 115-128.</w:t>
      </w:r>
      <w:r w:rsidRPr="003B6D32">
        <w:t xml:space="preserve"> </w:t>
      </w:r>
    </w:p>
  </w:footnote>
  <w:footnote w:id="25">
    <w:p w:rsidR="003F1016" w:rsidRPr="003B6D32" w:rsidRDefault="003F1016" w:rsidP="0056171A">
      <w:pPr>
        <w:pStyle w:val="FootnoteText"/>
      </w:pPr>
      <w:r w:rsidRPr="003B6D32">
        <w:rPr>
          <w:rStyle w:val="FootnoteReference"/>
        </w:rPr>
        <w:footnoteRef/>
      </w:r>
      <w:r w:rsidRPr="003B6D32">
        <w:t xml:space="preserve"> Covanta Energy, </w:t>
      </w:r>
      <w:r w:rsidR="00BE16ED" w:rsidRPr="003B6D32">
        <w:t>“</w:t>
      </w:r>
      <w:r w:rsidRPr="003B6D32">
        <w:t>Pre –application community consultation strategy for  proposed Brig y Cwm Energy from Waste facility</w:t>
      </w:r>
      <w:r w:rsidR="00BE16ED" w:rsidRPr="003B6D32">
        <w:t>”</w:t>
      </w:r>
      <w:r w:rsidRPr="003B6D32">
        <w:t xml:space="preserve">, </w:t>
      </w:r>
      <w:r w:rsidR="001D1DCC" w:rsidRPr="003B6D32">
        <w:t>&lt;</w:t>
      </w:r>
      <w:hyperlink r:id="rId8" w:history="1">
        <w:r w:rsidRPr="003B6D32">
          <w:rPr>
            <w:rStyle w:val="Hyperlink"/>
          </w:rPr>
          <w:t>http://www.covantaenergy.co.uk/pdf/wales/Consultation%20Strategy%20April%202010%20FINAL.pdf</w:t>
        </w:r>
      </w:hyperlink>
      <w:r w:rsidR="001D1DCC" w:rsidRPr="003B6D32">
        <w:t>&gt;</w:t>
      </w:r>
      <w:r w:rsidR="00CF18B1">
        <w:t xml:space="preserve"> (Last accessed August 1, 2013)</w:t>
      </w:r>
    </w:p>
  </w:footnote>
  <w:footnote w:id="26">
    <w:p w:rsidR="007C333E" w:rsidRPr="003B6D32" w:rsidRDefault="007C333E" w:rsidP="0056171A">
      <w:pPr>
        <w:pStyle w:val="FootnoteText"/>
      </w:pPr>
      <w:r w:rsidRPr="003B6D32">
        <w:rPr>
          <w:rStyle w:val="FootnoteReference"/>
        </w:rPr>
        <w:footnoteRef/>
      </w:r>
      <w:r w:rsidRPr="003B6D32">
        <w:t xml:space="preserve"> Matthew Cotton and Patrick Devine Wright, “</w:t>
      </w:r>
      <w:r w:rsidRPr="003B6D32">
        <w:rPr>
          <w:rFonts w:eastAsia="Cambria"/>
          <w:color w:val="000000" w:themeColor="text1"/>
          <w:spacing w:val="10"/>
        </w:rPr>
        <w:t xml:space="preserve">Discourses of energy infrastructure development: a Q-method study of electricity transmission line siting in the UK” </w:t>
      </w:r>
      <w:r w:rsidRPr="003B6D32">
        <w:rPr>
          <w:rFonts w:eastAsia="Cambria"/>
          <w:i/>
          <w:color w:val="000000" w:themeColor="text1"/>
          <w:spacing w:val="10"/>
        </w:rPr>
        <w:t>Environment and Planning A,</w:t>
      </w:r>
      <w:r w:rsidRPr="003B6D32">
        <w:rPr>
          <w:rFonts w:eastAsia="Cambria"/>
          <w:color w:val="000000" w:themeColor="text1"/>
          <w:spacing w:val="10"/>
        </w:rPr>
        <w:t xml:space="preserve"> 43(2011)</w:t>
      </w:r>
      <w:r w:rsidR="00BF038A" w:rsidRPr="003B6D32">
        <w:rPr>
          <w:rFonts w:eastAsia="Cambria"/>
          <w:color w:val="000000" w:themeColor="text1"/>
          <w:spacing w:val="10"/>
        </w:rPr>
        <w:t>: 942-960.</w:t>
      </w:r>
    </w:p>
  </w:footnote>
  <w:footnote w:id="27">
    <w:p w:rsidR="00D56BD1" w:rsidRPr="003B6D32" w:rsidRDefault="00D56BD1" w:rsidP="0056171A">
      <w:pPr>
        <w:pStyle w:val="FootnoteText"/>
      </w:pPr>
      <w:r w:rsidRPr="003B6D32">
        <w:rPr>
          <w:rStyle w:val="FootnoteReference"/>
        </w:rPr>
        <w:footnoteRef/>
      </w:r>
      <w:r w:rsidRPr="003B6D32">
        <w:t xml:space="preserve"> Gail </w:t>
      </w:r>
      <w:r w:rsidRPr="003B6D32">
        <w:rPr>
          <w:noProof/>
        </w:rPr>
        <w:t xml:space="preserve">Davies and Jacquelin Burgess, “Challenging the 'view from nowhere': citizen reflections on specialist expertise in a deliberative process” </w:t>
      </w:r>
      <w:r w:rsidRPr="003B6D32">
        <w:rPr>
          <w:i/>
          <w:noProof/>
        </w:rPr>
        <w:t>Health and Place</w:t>
      </w:r>
      <w:r w:rsidRPr="003B6D32">
        <w:rPr>
          <w:noProof/>
        </w:rPr>
        <w:t xml:space="preserve"> 10 (2004): 349-361.</w:t>
      </w:r>
    </w:p>
  </w:footnote>
  <w:footnote w:id="28">
    <w:p w:rsidR="00505C45" w:rsidRPr="003B6D32" w:rsidRDefault="00505C45" w:rsidP="0056171A">
      <w:pPr>
        <w:rPr>
          <w:sz w:val="20"/>
        </w:rPr>
      </w:pPr>
      <w:r w:rsidRPr="003B6D32">
        <w:rPr>
          <w:rStyle w:val="FootnoteReference"/>
          <w:sz w:val="20"/>
        </w:rPr>
        <w:footnoteRef/>
      </w:r>
      <w:r w:rsidRPr="003B6D32">
        <w:rPr>
          <w:sz w:val="20"/>
        </w:rPr>
        <w:t xml:space="preserve"> For examples see: Christopher Groves, Max Munday and Natalia Yakovleva,</w:t>
      </w:r>
    </w:p>
    <w:p w:rsidR="00505C45" w:rsidRPr="003B6D32" w:rsidRDefault="00505C45" w:rsidP="0056171A">
      <w:pPr>
        <w:rPr>
          <w:sz w:val="20"/>
        </w:rPr>
      </w:pPr>
      <w:r w:rsidRPr="003B6D32">
        <w:rPr>
          <w:sz w:val="20"/>
        </w:rPr>
        <w:t xml:space="preserve">“Fighting the Pipe: neo-liberal governance and barriers to effective community participation in energy infrastructure planning”, </w:t>
      </w:r>
      <w:r w:rsidRPr="003B6D32">
        <w:rPr>
          <w:i/>
          <w:sz w:val="20"/>
        </w:rPr>
        <w:t xml:space="preserve">Environment and Planning C: Government and Policy, </w:t>
      </w:r>
      <w:r w:rsidRPr="003B6D32">
        <w:rPr>
          <w:sz w:val="20"/>
        </w:rPr>
        <w:t>31 (2013): 340-356</w:t>
      </w:r>
      <w:r w:rsidRPr="003B6D32">
        <w:rPr>
          <w:i/>
          <w:sz w:val="20"/>
        </w:rPr>
        <w:t xml:space="preserve">; </w:t>
      </w:r>
      <w:r w:rsidRPr="003B6D32">
        <w:rPr>
          <w:sz w:val="20"/>
        </w:rPr>
        <w:t xml:space="preserve">and Matthew Cotton and Patrick Devine-Wright, “Making electricity networks “visible”: industry actor representations of publics and public engagement in infrastructure planning” </w:t>
      </w:r>
      <w:r w:rsidRPr="003B6D32">
        <w:rPr>
          <w:i/>
          <w:sz w:val="20"/>
        </w:rPr>
        <w:t>Public Understanding of Science</w:t>
      </w:r>
      <w:r w:rsidRPr="003B6D32">
        <w:rPr>
          <w:sz w:val="20"/>
        </w:rPr>
        <w:t xml:space="preserve"> 21 (2012): </w:t>
      </w:r>
      <w:r w:rsidRPr="003B6D32">
        <w:rPr>
          <w:rFonts w:eastAsiaTheme="minorHAnsi"/>
          <w:sz w:val="20"/>
        </w:rPr>
        <w:t xml:space="preserve">17-35; Matthew Cotton, </w:t>
      </w:r>
      <w:r w:rsidRPr="003B6D32">
        <w:rPr>
          <w:rFonts w:eastAsia="Cambria"/>
          <w:color w:val="000000" w:themeColor="text1"/>
          <w:spacing w:val="10"/>
          <w:sz w:val="20"/>
        </w:rPr>
        <w:t xml:space="preserve">“Public engagement and community opposition to wind energy in the UK” in Marco Tortoro (ed.) </w:t>
      </w:r>
      <w:r w:rsidRPr="003B6D32">
        <w:rPr>
          <w:rFonts w:eastAsia="Cambria"/>
          <w:i/>
          <w:color w:val="000000" w:themeColor="text1"/>
          <w:spacing w:val="10"/>
          <w:sz w:val="20"/>
        </w:rPr>
        <w:t>Sustainable Systems and Energy Management at the Regional Level: Comparative Approaches</w:t>
      </w:r>
      <w:r w:rsidRPr="003B6D32">
        <w:rPr>
          <w:rFonts w:eastAsia="Cambria"/>
          <w:color w:val="000000" w:themeColor="text1"/>
          <w:spacing w:val="10"/>
          <w:sz w:val="20"/>
        </w:rPr>
        <w:t xml:space="preserve"> (IGI Publishing, 2011): 310-327.</w:t>
      </w:r>
    </w:p>
  </w:footnote>
  <w:footnote w:id="29">
    <w:p w:rsidR="00AC4188" w:rsidRPr="003B6D32" w:rsidRDefault="00AC4188" w:rsidP="0056171A">
      <w:pPr>
        <w:pStyle w:val="FootnoteText"/>
      </w:pPr>
      <w:r w:rsidRPr="003B6D32">
        <w:rPr>
          <w:rStyle w:val="FootnoteReference"/>
        </w:rPr>
        <w:footnoteRef/>
      </w:r>
      <w:r w:rsidRPr="003B6D32">
        <w:t xml:space="preserve"> Jason Chilvers, “Sustainable participation? Mapping out and reflecting on the field of </w:t>
      </w:r>
    </w:p>
    <w:p w:rsidR="00AC4188" w:rsidRPr="003B6D32" w:rsidRDefault="00AC4188" w:rsidP="0056171A">
      <w:pPr>
        <w:pStyle w:val="FootnoteText"/>
      </w:pPr>
      <w:r w:rsidRPr="003B6D32">
        <w:t xml:space="preserve">public dialogue on science and technology”, (Sciencewise Expert Resource </w:t>
      </w:r>
    </w:p>
    <w:p w:rsidR="00AC4188" w:rsidRPr="003B6D32" w:rsidRDefault="00AC4188" w:rsidP="0056171A">
      <w:pPr>
        <w:pStyle w:val="FootnoteText"/>
      </w:pPr>
      <w:r w:rsidRPr="003B6D32">
        <w:t>Centre, 2011).</w:t>
      </w:r>
    </w:p>
  </w:footnote>
  <w:footnote w:id="30">
    <w:p w:rsidR="000B11D1" w:rsidRPr="003B6D32" w:rsidRDefault="000B11D1" w:rsidP="0056171A">
      <w:pPr>
        <w:pStyle w:val="FootnoteText"/>
      </w:pPr>
      <w:r w:rsidRPr="003B6D32">
        <w:rPr>
          <w:rStyle w:val="FootnoteReference"/>
        </w:rPr>
        <w:footnoteRef/>
      </w:r>
      <w:r w:rsidRPr="003B6D32">
        <w:t xml:space="preserve"> Judith Petts and Catherine Brooks, “</w:t>
      </w:r>
      <w:r w:rsidRPr="003B6D32">
        <w:rPr>
          <w:noProof/>
        </w:rPr>
        <w:t xml:space="preserve">Expert conceptualisations of the role of lay knowledge in environmental decisionmaking: challenges for deliberative democracy”, </w:t>
      </w:r>
      <w:r w:rsidRPr="003B6D32">
        <w:rPr>
          <w:i/>
          <w:noProof/>
        </w:rPr>
        <w:t>Environment and Planning A</w:t>
      </w:r>
      <w:r w:rsidRPr="003B6D32">
        <w:rPr>
          <w:noProof/>
        </w:rPr>
        <w:t xml:space="preserve"> 38 (2005): 1045-1059.</w:t>
      </w:r>
    </w:p>
  </w:footnote>
  <w:footnote w:id="31">
    <w:p w:rsidR="00EC3111" w:rsidRPr="003B6D32" w:rsidRDefault="00EC3111" w:rsidP="0056171A">
      <w:pPr>
        <w:pStyle w:val="FootnoteText"/>
      </w:pPr>
      <w:r w:rsidRPr="003B6D32">
        <w:rPr>
          <w:rStyle w:val="FootnoteReference"/>
        </w:rPr>
        <w:footnoteRef/>
      </w:r>
      <w:r w:rsidRPr="003B6D32">
        <w:t xml:space="preserve"> See the United Valleys Actio Group hosted webpage for details of the submitted evidence to the IPC </w:t>
      </w:r>
      <w:r w:rsidR="00CF18B1">
        <w:t>&lt;</w:t>
      </w:r>
      <w:hyperlink r:id="rId9" w:history="1">
        <w:r w:rsidRPr="003B6D32">
          <w:rPr>
            <w:rStyle w:val="Hyperlink"/>
          </w:rPr>
          <w:t>http://www.no-monster-incinerator.co.uk/Information.html</w:t>
        </w:r>
      </w:hyperlink>
      <w:r w:rsidR="00CF18B1">
        <w:t>&gt; (Last accessed August 1, 2013);</w:t>
      </w:r>
      <w:r w:rsidR="00BE16ED" w:rsidRPr="003B6D32">
        <w:t xml:space="preserve"> for discussion of technological stigmatisation see Robin S. Gregory and Theresa A. Satterﬁeld, “</w:t>
      </w:r>
      <w:r w:rsidR="00BE16ED" w:rsidRPr="003B6D32">
        <w:rPr>
          <w:noProof/>
        </w:rPr>
        <w:t>Beyond Perception: The Experience of Risk and Stigma in Community Contexts”, Risk Analysis 22 (2002): 347-358.</w:t>
      </w:r>
    </w:p>
  </w:footnote>
  <w:footnote w:id="32">
    <w:p w:rsidR="00770DE6" w:rsidRPr="003B6D32" w:rsidRDefault="00770DE6" w:rsidP="0056171A">
      <w:pPr>
        <w:autoSpaceDE w:val="0"/>
        <w:autoSpaceDN w:val="0"/>
        <w:adjustRightInd w:val="0"/>
        <w:jc w:val="both"/>
        <w:rPr>
          <w:color w:val="000000"/>
          <w:sz w:val="20"/>
          <w:shd w:val="clear" w:color="auto" w:fill="FFFFFF"/>
        </w:rPr>
      </w:pPr>
      <w:r w:rsidRPr="003B6D32">
        <w:rPr>
          <w:rStyle w:val="FootnoteReference"/>
          <w:sz w:val="20"/>
        </w:rPr>
        <w:footnoteRef/>
      </w:r>
      <w:r w:rsidRPr="003B6D32">
        <w:rPr>
          <w:sz w:val="20"/>
        </w:rPr>
        <w:t xml:space="preserve">Statement accessed from Walesonline.co.uk </w:t>
      </w:r>
      <w:r w:rsidRPr="003B6D32">
        <w:rPr>
          <w:rStyle w:val="apple-converted-space"/>
          <w:color w:val="000000"/>
          <w:sz w:val="20"/>
          <w:bdr w:val="none" w:sz="0" w:space="0" w:color="auto" w:frame="1"/>
        </w:rPr>
        <w:t>&lt;</w:t>
      </w:r>
      <w:hyperlink r:id="rId10" w:anchor="ixzz23LjWjWDx" w:history="1">
        <w:r w:rsidRPr="003B6D32">
          <w:rPr>
            <w:rStyle w:val="Hyperlink"/>
            <w:color w:val="003399"/>
            <w:sz w:val="20"/>
            <w:bdr w:val="none" w:sz="0" w:space="0" w:color="auto" w:frame="1"/>
          </w:rPr>
          <w:t>http://www.walesonline.co.uk/news/wales-news/2011/10/24/plans-for-huge-waste-incinerator-in-merthyr-tydfil-withdrawn-with-immediate-effect-91466-29651515/#ixzz23LjWjWDx</w:t>
        </w:r>
      </w:hyperlink>
      <w:r w:rsidRPr="003B6D32">
        <w:rPr>
          <w:color w:val="000000"/>
          <w:sz w:val="20"/>
          <w:bdr w:val="none" w:sz="0" w:space="0" w:color="auto" w:frame="1"/>
        </w:rPr>
        <w:t>&gt;</w:t>
      </w:r>
      <w:r w:rsidR="00CF18B1">
        <w:rPr>
          <w:color w:val="000000"/>
          <w:sz w:val="20"/>
          <w:bdr w:val="none" w:sz="0" w:space="0" w:color="auto" w:frame="1"/>
        </w:rPr>
        <w:t xml:space="preserve"> (Last accessed August 1, 2013)</w:t>
      </w:r>
    </w:p>
  </w:footnote>
  <w:footnote w:id="33">
    <w:p w:rsidR="000B19B8" w:rsidRPr="003B6D32" w:rsidRDefault="000B19B8" w:rsidP="0056171A">
      <w:pPr>
        <w:rPr>
          <w:noProof/>
          <w:sz w:val="20"/>
        </w:rPr>
      </w:pPr>
      <w:r w:rsidRPr="003B6D32">
        <w:rPr>
          <w:rStyle w:val="FootnoteReference"/>
          <w:sz w:val="20"/>
        </w:rPr>
        <w:footnoteRef/>
      </w:r>
      <w:r w:rsidR="00435B4C" w:rsidRPr="003B6D32">
        <w:rPr>
          <w:rFonts w:eastAsia="Cambria"/>
          <w:spacing w:val="10"/>
          <w:sz w:val="20"/>
        </w:rPr>
        <w:t>Julie Barnett, Kate Burningham, Gordon Walker and Noel Cass, “</w:t>
      </w:r>
      <w:r w:rsidR="00435B4C" w:rsidRPr="003B6D32">
        <w:rPr>
          <w:noProof/>
          <w:sz w:val="20"/>
        </w:rPr>
        <w:t xml:space="preserve">Imagined Publics and Engagement Around Renewable Energy Technologies in the UK. </w:t>
      </w:r>
      <w:r w:rsidR="00435B4C" w:rsidRPr="003B6D32">
        <w:rPr>
          <w:i/>
          <w:noProof/>
          <w:sz w:val="20"/>
        </w:rPr>
        <w:t>Public Understanding of Science</w:t>
      </w:r>
      <w:r w:rsidR="00435B4C" w:rsidRPr="003B6D32">
        <w:rPr>
          <w:noProof/>
          <w:sz w:val="20"/>
        </w:rPr>
        <w:t xml:space="preserve"> 21 (2012): </w:t>
      </w:r>
      <w:r w:rsidR="005A2002" w:rsidRPr="003B6D32">
        <w:rPr>
          <w:bCs/>
          <w:sz w:val="20"/>
          <w:shd w:val="clear" w:color="auto" w:fill="FFFFFF"/>
        </w:rPr>
        <w:t>36-50</w:t>
      </w:r>
      <w:r w:rsidR="005A2002" w:rsidRPr="003B6D32">
        <w:rPr>
          <w:noProof/>
          <w:sz w:val="20"/>
        </w:rPr>
        <w:t xml:space="preserve">; </w:t>
      </w:r>
      <w:r w:rsidRPr="003B6D32">
        <w:rPr>
          <w:rFonts w:eastAsia="Cambria"/>
          <w:spacing w:val="10"/>
          <w:sz w:val="20"/>
        </w:rPr>
        <w:t>Matthew Cotton, “Public participation in UK infrastructure planning: Democracy, technology and environmental Justice” in Cotton, M. and Motta, B.H. (eds</w:t>
      </w:r>
      <w:r w:rsidRPr="003B6D32">
        <w:rPr>
          <w:rFonts w:eastAsia="Cambria"/>
          <w:i/>
          <w:spacing w:val="10"/>
          <w:sz w:val="20"/>
        </w:rPr>
        <w:t>.</w:t>
      </w:r>
      <w:r w:rsidRPr="003B6D32">
        <w:rPr>
          <w:rFonts w:eastAsia="Cambria"/>
          <w:spacing w:val="10"/>
          <w:sz w:val="20"/>
        </w:rPr>
        <w:t>)</w:t>
      </w:r>
      <w:r w:rsidRPr="003B6D32">
        <w:rPr>
          <w:rFonts w:eastAsia="Cambria"/>
          <w:i/>
          <w:spacing w:val="10"/>
          <w:sz w:val="20"/>
        </w:rPr>
        <w:t xml:space="preserve"> Engaging with Environmental Justice: Governance, Education and Citizenship</w:t>
      </w:r>
      <w:r w:rsidRPr="003B6D32">
        <w:rPr>
          <w:rFonts w:eastAsia="Cambria"/>
          <w:spacing w:val="10"/>
          <w:sz w:val="20"/>
        </w:rPr>
        <w:t xml:space="preserve"> (Inter-</w:t>
      </w:r>
      <w:r w:rsidR="00CE7DD7">
        <w:rPr>
          <w:rFonts w:eastAsia="Cambria"/>
          <w:spacing w:val="10"/>
          <w:sz w:val="20"/>
        </w:rPr>
        <w:t>Disciplinary Press</w:t>
      </w:r>
      <w:r w:rsidRPr="003B6D32">
        <w:rPr>
          <w:rFonts w:eastAsia="Cambria"/>
          <w:spacing w:val="10"/>
          <w:sz w:val="20"/>
        </w:rPr>
        <w:t xml:space="preserve">, 2011): 201-211.; Matthew Cotton and Patrick Devine-Wright, ““Making electricity networks ‘visible’: industry actor representations of ‘publics’ and public engagement in infrastructure planning.” </w:t>
      </w:r>
      <w:r w:rsidRPr="003B6D32">
        <w:rPr>
          <w:rFonts w:eastAsia="Cambria"/>
          <w:i/>
          <w:spacing w:val="10"/>
          <w:sz w:val="20"/>
        </w:rPr>
        <w:t xml:space="preserve">Public Understanding of Science </w:t>
      </w:r>
      <w:r w:rsidRPr="003B6D32">
        <w:rPr>
          <w:rFonts w:eastAsia="Cambria"/>
          <w:spacing w:val="10"/>
          <w:sz w:val="20"/>
        </w:rPr>
        <w:t>21(2012): 17-35.</w:t>
      </w:r>
    </w:p>
  </w:footnote>
  <w:footnote w:id="34">
    <w:p w:rsidR="00E66656" w:rsidRPr="003B6D32" w:rsidRDefault="00E66656" w:rsidP="0056171A">
      <w:pPr>
        <w:pStyle w:val="FootnoteText"/>
        <w:rPr>
          <w:i/>
        </w:rPr>
      </w:pPr>
      <w:r w:rsidRPr="003B6D32">
        <w:rPr>
          <w:rStyle w:val="FootnoteReference"/>
        </w:rPr>
        <w:footnoteRef/>
      </w:r>
      <w:r w:rsidRPr="003B6D32">
        <w:rPr>
          <w:i/>
        </w:rPr>
        <w:t xml:space="preserve"> </w:t>
      </w:r>
      <w:r w:rsidRPr="003B6D32">
        <w:t>Philip Johnstone,</w:t>
      </w:r>
      <w:r w:rsidRPr="003B6D32">
        <w:rPr>
          <w:i/>
        </w:rPr>
        <w:t xml:space="preserve"> “</w:t>
      </w:r>
      <w:r w:rsidRPr="003B6D32">
        <w:rPr>
          <w:rStyle w:val="Emphasis"/>
          <w:i w:val="0"/>
          <w:shd w:val="clear" w:color="auto" w:fill="FFFFFF"/>
        </w:rPr>
        <w:t>Planning reform, rescaling, and the construction of the post-political: the case of the Planning Act and nuclear power consultation in the UK”, Environment and Planning C: Government and Policy, (forthcoming).</w:t>
      </w:r>
    </w:p>
  </w:footnote>
  <w:footnote w:id="35">
    <w:p w:rsidR="00BF4F8F" w:rsidRPr="003B6D32" w:rsidRDefault="00BF4F8F" w:rsidP="0056171A">
      <w:pPr>
        <w:pStyle w:val="FootnoteText"/>
      </w:pPr>
      <w:r w:rsidRPr="003B6D32">
        <w:rPr>
          <w:rStyle w:val="FootnoteReference"/>
        </w:rPr>
        <w:footnoteRef/>
      </w:r>
      <w:r w:rsidRPr="003B6D32">
        <w:t xml:space="preserve"> Eric </w:t>
      </w:r>
      <w:r w:rsidRPr="003B6D32">
        <w:rPr>
          <w:color w:val="000000"/>
        </w:rPr>
        <w:t>Swyngedouw ,"Authoritarian governance, power, and the politics of rescaling"</w:t>
      </w:r>
      <w:r w:rsidRPr="003B6D32">
        <w:rPr>
          <w:rStyle w:val="apple-converted-space"/>
          <w:color w:val="000000"/>
        </w:rPr>
        <w:t> </w:t>
      </w:r>
      <w:r w:rsidRPr="003B6D32">
        <w:rPr>
          <w:i/>
          <w:iCs/>
          <w:color w:val="000000"/>
        </w:rPr>
        <w:t>Environment and Planning D: Society and Space</w:t>
      </w:r>
      <w:r w:rsidRPr="003B6D32">
        <w:rPr>
          <w:rStyle w:val="apple-converted-space"/>
          <w:color w:val="000000"/>
        </w:rPr>
        <w:t> </w:t>
      </w:r>
      <w:r w:rsidRPr="003B6D32">
        <w:rPr>
          <w:bCs/>
          <w:color w:val="000000"/>
        </w:rPr>
        <w:t>18 (2001):</w:t>
      </w:r>
      <w:r w:rsidR="000615E4" w:rsidRPr="003B6D32">
        <w:rPr>
          <w:color w:val="000000"/>
        </w:rPr>
        <w:t xml:space="preserve"> 63-</w:t>
      </w:r>
      <w:r w:rsidRPr="003B6D32">
        <w:rPr>
          <w:color w:val="000000"/>
        </w:rPr>
        <w:t>76.</w:t>
      </w:r>
    </w:p>
  </w:footnote>
  <w:footnote w:id="36">
    <w:p w:rsidR="003C088E" w:rsidRPr="003B6D32" w:rsidRDefault="003C088E">
      <w:pPr>
        <w:pStyle w:val="FootnoteText"/>
      </w:pPr>
      <w:r w:rsidRPr="003B6D32">
        <w:rPr>
          <w:rStyle w:val="FootnoteReference"/>
        </w:rPr>
        <w:footnoteRef/>
      </w:r>
      <w:r w:rsidRPr="003B6D32">
        <w:t xml:space="preserve"> </w:t>
      </w:r>
      <w:r w:rsidRPr="003B6D32">
        <w:rPr>
          <w:noProof/>
        </w:rPr>
        <w:t xml:space="preserve">Tom Horlick-Jones, John Walls, Gene Rowe, Nicholas Pidgeon, Wouter Poortinga &amp; Timothy O’Riordan, “On evaluating the GM Nation? Public debate about the commercialisation of transgenic crops in Britain”, </w:t>
      </w:r>
      <w:r w:rsidRPr="003B6D32">
        <w:rPr>
          <w:i/>
          <w:noProof/>
        </w:rPr>
        <w:t xml:space="preserve">New Genetics and Society </w:t>
      </w:r>
      <w:r w:rsidRPr="003B6D32">
        <w:rPr>
          <w:noProof/>
        </w:rPr>
        <w:t xml:space="preserve"> 25</w:t>
      </w:r>
      <w:r w:rsidRPr="003B6D32">
        <w:rPr>
          <w:b/>
          <w:noProof/>
        </w:rPr>
        <w:t xml:space="preserve"> </w:t>
      </w:r>
      <w:r w:rsidRPr="003B6D32">
        <w:rPr>
          <w:noProof/>
        </w:rPr>
        <w:t xml:space="preserve">(2006): 265-288.; Jack Stilgoe, </w:t>
      </w:r>
      <w:r w:rsidRPr="003B6D32">
        <w:rPr>
          <w:i/>
          <w:noProof/>
        </w:rPr>
        <w:t xml:space="preserve">Nanodialogues: Experiments in public engagement with science </w:t>
      </w:r>
      <w:r w:rsidRPr="003B6D32">
        <w:rPr>
          <w:noProof/>
        </w:rPr>
        <w:t>(Demos,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D31F34"/>
    <w:multiLevelType w:val="hybridMultilevel"/>
    <w:tmpl w:val="8EC838B2"/>
    <w:lvl w:ilvl="0" w:tplc="2618B98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AG Style Guide&lt;/Style&gt;&lt;LeftDelim&gt;{&lt;/LeftDelim&gt;&lt;RightDelim&gt;}&lt;/RightDelim&gt;&lt;FontName&gt;Times New Roman&lt;/FontName&gt;&lt;FontSize&gt;12&lt;/FontSize&gt;&lt;ReflistTitle&gt;Notes&lt;/ReflistTitle&gt;&lt;StartingRefnum&gt;1&lt;/StartingRefnum&gt;&lt;FirstLineIndent&gt;0&lt;/FirstLineIndent&gt;&lt;HangingIndent&gt;720&lt;/HangingIndent&gt;&lt;LineSpacing&gt;0&lt;/LineSpacing&gt;&lt;SpaceAfter&gt;0&lt;/SpaceAfter&gt;&lt;/ENLayout&gt;"/>
    <w:docVar w:name="EN.Libraries" w:val="&lt;Libraries&gt;&lt;item db-id=&quot;zr90vawf7awefue20x3599wzzz200adf2v5e&quot;&gt;Master library-Saved&lt;record-ids&gt;&lt;item&gt;233&lt;/item&gt;&lt;/record-ids&gt;&lt;/item&gt;&lt;/Libraries&gt;"/>
  </w:docVars>
  <w:rsids>
    <w:rsidRoot w:val="00983A91"/>
    <w:rsid w:val="00000E2F"/>
    <w:rsid w:val="00015398"/>
    <w:rsid w:val="000206C5"/>
    <w:rsid w:val="00026534"/>
    <w:rsid w:val="00026F5B"/>
    <w:rsid w:val="00031D5B"/>
    <w:rsid w:val="0004118D"/>
    <w:rsid w:val="00042D48"/>
    <w:rsid w:val="00044F65"/>
    <w:rsid w:val="000525AF"/>
    <w:rsid w:val="0005313E"/>
    <w:rsid w:val="000615E4"/>
    <w:rsid w:val="00064AC3"/>
    <w:rsid w:val="00064B1F"/>
    <w:rsid w:val="00065A29"/>
    <w:rsid w:val="00066852"/>
    <w:rsid w:val="00076423"/>
    <w:rsid w:val="00085D85"/>
    <w:rsid w:val="000944B6"/>
    <w:rsid w:val="0009686C"/>
    <w:rsid w:val="000A3607"/>
    <w:rsid w:val="000A362F"/>
    <w:rsid w:val="000B11D1"/>
    <w:rsid w:val="000B19B8"/>
    <w:rsid w:val="000B419F"/>
    <w:rsid w:val="000C1044"/>
    <w:rsid w:val="000C7DB4"/>
    <w:rsid w:val="000D3FF9"/>
    <w:rsid w:val="000E0145"/>
    <w:rsid w:val="000E0F67"/>
    <w:rsid w:val="000F0BFE"/>
    <w:rsid w:val="000F7973"/>
    <w:rsid w:val="00100148"/>
    <w:rsid w:val="0010703D"/>
    <w:rsid w:val="00107D4D"/>
    <w:rsid w:val="001100CC"/>
    <w:rsid w:val="001257DA"/>
    <w:rsid w:val="00134A9A"/>
    <w:rsid w:val="00137C77"/>
    <w:rsid w:val="00140AAC"/>
    <w:rsid w:val="00141825"/>
    <w:rsid w:val="00145937"/>
    <w:rsid w:val="00151B38"/>
    <w:rsid w:val="00152128"/>
    <w:rsid w:val="0015405D"/>
    <w:rsid w:val="001555F7"/>
    <w:rsid w:val="00156E2B"/>
    <w:rsid w:val="001570EF"/>
    <w:rsid w:val="00160514"/>
    <w:rsid w:val="0016409B"/>
    <w:rsid w:val="001661C3"/>
    <w:rsid w:val="001679B4"/>
    <w:rsid w:val="00171320"/>
    <w:rsid w:val="00171738"/>
    <w:rsid w:val="00174B77"/>
    <w:rsid w:val="001757AE"/>
    <w:rsid w:val="00185FDC"/>
    <w:rsid w:val="00187FD8"/>
    <w:rsid w:val="001A48B1"/>
    <w:rsid w:val="001A6558"/>
    <w:rsid w:val="001A6C24"/>
    <w:rsid w:val="001A6FE8"/>
    <w:rsid w:val="001B1034"/>
    <w:rsid w:val="001B2D36"/>
    <w:rsid w:val="001B7025"/>
    <w:rsid w:val="001C27BF"/>
    <w:rsid w:val="001C7623"/>
    <w:rsid w:val="001D1A66"/>
    <w:rsid w:val="001D1DCC"/>
    <w:rsid w:val="001D2BEF"/>
    <w:rsid w:val="001E12A9"/>
    <w:rsid w:val="001E332A"/>
    <w:rsid w:val="001E4565"/>
    <w:rsid w:val="001E4EBC"/>
    <w:rsid w:val="001F1880"/>
    <w:rsid w:val="00200181"/>
    <w:rsid w:val="00202B72"/>
    <w:rsid w:val="00214AED"/>
    <w:rsid w:val="00215D25"/>
    <w:rsid w:val="00216CF1"/>
    <w:rsid w:val="00222772"/>
    <w:rsid w:val="0022428E"/>
    <w:rsid w:val="00224820"/>
    <w:rsid w:val="00242781"/>
    <w:rsid w:val="00243728"/>
    <w:rsid w:val="00244DC0"/>
    <w:rsid w:val="00245C90"/>
    <w:rsid w:val="00246CE5"/>
    <w:rsid w:val="00256E80"/>
    <w:rsid w:val="00263F72"/>
    <w:rsid w:val="00267D4E"/>
    <w:rsid w:val="00274E70"/>
    <w:rsid w:val="002751B8"/>
    <w:rsid w:val="00280EC0"/>
    <w:rsid w:val="00281862"/>
    <w:rsid w:val="00283CE1"/>
    <w:rsid w:val="00284255"/>
    <w:rsid w:val="00297AB3"/>
    <w:rsid w:val="00297F60"/>
    <w:rsid w:val="002A150C"/>
    <w:rsid w:val="002A402C"/>
    <w:rsid w:val="002A6940"/>
    <w:rsid w:val="002B2246"/>
    <w:rsid w:val="002C1273"/>
    <w:rsid w:val="002C1781"/>
    <w:rsid w:val="002C2299"/>
    <w:rsid w:val="002C76C0"/>
    <w:rsid w:val="002D0A5C"/>
    <w:rsid w:val="002D1533"/>
    <w:rsid w:val="002D2257"/>
    <w:rsid w:val="002D2391"/>
    <w:rsid w:val="002F6405"/>
    <w:rsid w:val="00304AE4"/>
    <w:rsid w:val="003063D4"/>
    <w:rsid w:val="00307BF4"/>
    <w:rsid w:val="0031122C"/>
    <w:rsid w:val="00313790"/>
    <w:rsid w:val="00326DBA"/>
    <w:rsid w:val="0033210E"/>
    <w:rsid w:val="00333135"/>
    <w:rsid w:val="00333417"/>
    <w:rsid w:val="00335195"/>
    <w:rsid w:val="003510E5"/>
    <w:rsid w:val="00354E79"/>
    <w:rsid w:val="00363B73"/>
    <w:rsid w:val="0036713D"/>
    <w:rsid w:val="0037051E"/>
    <w:rsid w:val="003728A6"/>
    <w:rsid w:val="0037680E"/>
    <w:rsid w:val="00377001"/>
    <w:rsid w:val="0038390B"/>
    <w:rsid w:val="00385C37"/>
    <w:rsid w:val="0038678C"/>
    <w:rsid w:val="00387818"/>
    <w:rsid w:val="00390312"/>
    <w:rsid w:val="003909EC"/>
    <w:rsid w:val="003A10DE"/>
    <w:rsid w:val="003A1DFF"/>
    <w:rsid w:val="003A6FB5"/>
    <w:rsid w:val="003B1018"/>
    <w:rsid w:val="003B1A33"/>
    <w:rsid w:val="003B6D32"/>
    <w:rsid w:val="003C088E"/>
    <w:rsid w:val="003C7E83"/>
    <w:rsid w:val="003D0E39"/>
    <w:rsid w:val="003D2ED6"/>
    <w:rsid w:val="003D4F78"/>
    <w:rsid w:val="003D583F"/>
    <w:rsid w:val="003D7B27"/>
    <w:rsid w:val="003E7985"/>
    <w:rsid w:val="003F0ABF"/>
    <w:rsid w:val="003F1016"/>
    <w:rsid w:val="003F1C3A"/>
    <w:rsid w:val="003F54E0"/>
    <w:rsid w:val="00403766"/>
    <w:rsid w:val="00406CBA"/>
    <w:rsid w:val="00411B35"/>
    <w:rsid w:val="00413C57"/>
    <w:rsid w:val="00416A6B"/>
    <w:rsid w:val="00417A7C"/>
    <w:rsid w:val="004239CA"/>
    <w:rsid w:val="00425813"/>
    <w:rsid w:val="0042659A"/>
    <w:rsid w:val="00430308"/>
    <w:rsid w:val="0043092F"/>
    <w:rsid w:val="004330D5"/>
    <w:rsid w:val="00435B4C"/>
    <w:rsid w:val="00436342"/>
    <w:rsid w:val="004620B1"/>
    <w:rsid w:val="004629D5"/>
    <w:rsid w:val="00463C79"/>
    <w:rsid w:val="00464F24"/>
    <w:rsid w:val="004717AF"/>
    <w:rsid w:val="00473CE0"/>
    <w:rsid w:val="00474D13"/>
    <w:rsid w:val="004959E2"/>
    <w:rsid w:val="00495CF6"/>
    <w:rsid w:val="004A7241"/>
    <w:rsid w:val="004B0B12"/>
    <w:rsid w:val="004B2CE8"/>
    <w:rsid w:val="004B5FEB"/>
    <w:rsid w:val="004B62D4"/>
    <w:rsid w:val="004C080B"/>
    <w:rsid w:val="004C2CD2"/>
    <w:rsid w:val="004C469F"/>
    <w:rsid w:val="004C5E1C"/>
    <w:rsid w:val="004D0491"/>
    <w:rsid w:val="004D1484"/>
    <w:rsid w:val="004D67FC"/>
    <w:rsid w:val="004E3904"/>
    <w:rsid w:val="00500089"/>
    <w:rsid w:val="0050190D"/>
    <w:rsid w:val="00503046"/>
    <w:rsid w:val="00505303"/>
    <w:rsid w:val="005054BF"/>
    <w:rsid w:val="00505C45"/>
    <w:rsid w:val="00512404"/>
    <w:rsid w:val="005162E4"/>
    <w:rsid w:val="00517631"/>
    <w:rsid w:val="0052208C"/>
    <w:rsid w:val="005239FF"/>
    <w:rsid w:val="00525DDF"/>
    <w:rsid w:val="00532228"/>
    <w:rsid w:val="0053250C"/>
    <w:rsid w:val="00533A20"/>
    <w:rsid w:val="00533F34"/>
    <w:rsid w:val="00534651"/>
    <w:rsid w:val="0053555B"/>
    <w:rsid w:val="00536893"/>
    <w:rsid w:val="00536F5A"/>
    <w:rsid w:val="00537AFE"/>
    <w:rsid w:val="00537C64"/>
    <w:rsid w:val="005424FD"/>
    <w:rsid w:val="00545EA0"/>
    <w:rsid w:val="0055258F"/>
    <w:rsid w:val="00557D6C"/>
    <w:rsid w:val="005613A8"/>
    <w:rsid w:val="0056171A"/>
    <w:rsid w:val="005618AF"/>
    <w:rsid w:val="005657E7"/>
    <w:rsid w:val="0057073B"/>
    <w:rsid w:val="00574091"/>
    <w:rsid w:val="00576E66"/>
    <w:rsid w:val="00577D79"/>
    <w:rsid w:val="005815E2"/>
    <w:rsid w:val="005828DB"/>
    <w:rsid w:val="00582B4B"/>
    <w:rsid w:val="00582F0E"/>
    <w:rsid w:val="00584535"/>
    <w:rsid w:val="00584BB6"/>
    <w:rsid w:val="005878B6"/>
    <w:rsid w:val="005903B8"/>
    <w:rsid w:val="00590EC3"/>
    <w:rsid w:val="0059567F"/>
    <w:rsid w:val="005A2002"/>
    <w:rsid w:val="005A4172"/>
    <w:rsid w:val="005A78E3"/>
    <w:rsid w:val="005B6566"/>
    <w:rsid w:val="005B68A9"/>
    <w:rsid w:val="005C4754"/>
    <w:rsid w:val="005C6F55"/>
    <w:rsid w:val="005E55E8"/>
    <w:rsid w:val="005E5791"/>
    <w:rsid w:val="005F2B28"/>
    <w:rsid w:val="005F30BA"/>
    <w:rsid w:val="005F3246"/>
    <w:rsid w:val="006007A9"/>
    <w:rsid w:val="0060251C"/>
    <w:rsid w:val="00604C2C"/>
    <w:rsid w:val="00605122"/>
    <w:rsid w:val="00607C6E"/>
    <w:rsid w:val="00613475"/>
    <w:rsid w:val="0061457F"/>
    <w:rsid w:val="0061514A"/>
    <w:rsid w:val="00620A78"/>
    <w:rsid w:val="00622F0C"/>
    <w:rsid w:val="006318F3"/>
    <w:rsid w:val="0063383F"/>
    <w:rsid w:val="00633B97"/>
    <w:rsid w:val="00633BA1"/>
    <w:rsid w:val="00634472"/>
    <w:rsid w:val="0064159D"/>
    <w:rsid w:val="0064716D"/>
    <w:rsid w:val="0065349E"/>
    <w:rsid w:val="0065474D"/>
    <w:rsid w:val="0065527B"/>
    <w:rsid w:val="00656BFA"/>
    <w:rsid w:val="00661277"/>
    <w:rsid w:val="006634F5"/>
    <w:rsid w:val="006755BE"/>
    <w:rsid w:val="006829FA"/>
    <w:rsid w:val="006A059E"/>
    <w:rsid w:val="006A08C6"/>
    <w:rsid w:val="006A3240"/>
    <w:rsid w:val="006D001C"/>
    <w:rsid w:val="006D115A"/>
    <w:rsid w:val="006D4C43"/>
    <w:rsid w:val="006E0B9D"/>
    <w:rsid w:val="006E37F9"/>
    <w:rsid w:val="006E51D7"/>
    <w:rsid w:val="006F103C"/>
    <w:rsid w:val="006F3F6D"/>
    <w:rsid w:val="006F69CE"/>
    <w:rsid w:val="006F6E5B"/>
    <w:rsid w:val="006F6FD7"/>
    <w:rsid w:val="007052CD"/>
    <w:rsid w:val="00715ADB"/>
    <w:rsid w:val="0072650F"/>
    <w:rsid w:val="0073630C"/>
    <w:rsid w:val="007422AA"/>
    <w:rsid w:val="00743CC4"/>
    <w:rsid w:val="00744824"/>
    <w:rsid w:val="00744CDB"/>
    <w:rsid w:val="00757447"/>
    <w:rsid w:val="00761A72"/>
    <w:rsid w:val="00762D28"/>
    <w:rsid w:val="007635DE"/>
    <w:rsid w:val="00766611"/>
    <w:rsid w:val="007673F1"/>
    <w:rsid w:val="007673F6"/>
    <w:rsid w:val="00767D59"/>
    <w:rsid w:val="00770DE6"/>
    <w:rsid w:val="00771E18"/>
    <w:rsid w:val="00771F88"/>
    <w:rsid w:val="00772E54"/>
    <w:rsid w:val="00776D6E"/>
    <w:rsid w:val="00783590"/>
    <w:rsid w:val="00783DB2"/>
    <w:rsid w:val="0078453C"/>
    <w:rsid w:val="00786270"/>
    <w:rsid w:val="0079001E"/>
    <w:rsid w:val="007A40C1"/>
    <w:rsid w:val="007B44C7"/>
    <w:rsid w:val="007B7BC3"/>
    <w:rsid w:val="007C333E"/>
    <w:rsid w:val="007C40D5"/>
    <w:rsid w:val="007C5324"/>
    <w:rsid w:val="007D0B60"/>
    <w:rsid w:val="007D14BB"/>
    <w:rsid w:val="007D21C4"/>
    <w:rsid w:val="007D49C7"/>
    <w:rsid w:val="007D4E1F"/>
    <w:rsid w:val="007D683D"/>
    <w:rsid w:val="007E542A"/>
    <w:rsid w:val="007E557E"/>
    <w:rsid w:val="007F1707"/>
    <w:rsid w:val="007F1FBA"/>
    <w:rsid w:val="007F3341"/>
    <w:rsid w:val="007F494B"/>
    <w:rsid w:val="00803378"/>
    <w:rsid w:val="00804772"/>
    <w:rsid w:val="00806607"/>
    <w:rsid w:val="00814530"/>
    <w:rsid w:val="0081749F"/>
    <w:rsid w:val="00821AE5"/>
    <w:rsid w:val="00822968"/>
    <w:rsid w:val="008272C6"/>
    <w:rsid w:val="00827F10"/>
    <w:rsid w:val="00832713"/>
    <w:rsid w:val="008403AC"/>
    <w:rsid w:val="00842774"/>
    <w:rsid w:val="00845168"/>
    <w:rsid w:val="008457DC"/>
    <w:rsid w:val="00847FEE"/>
    <w:rsid w:val="00853560"/>
    <w:rsid w:val="00855AC2"/>
    <w:rsid w:val="00872A2D"/>
    <w:rsid w:val="00872B09"/>
    <w:rsid w:val="008762BF"/>
    <w:rsid w:val="00880C19"/>
    <w:rsid w:val="00884A28"/>
    <w:rsid w:val="0088771F"/>
    <w:rsid w:val="00887EEE"/>
    <w:rsid w:val="008917CA"/>
    <w:rsid w:val="00893022"/>
    <w:rsid w:val="008A26C0"/>
    <w:rsid w:val="008A513F"/>
    <w:rsid w:val="008B2C03"/>
    <w:rsid w:val="008B35B0"/>
    <w:rsid w:val="008B4E8A"/>
    <w:rsid w:val="008B625E"/>
    <w:rsid w:val="008B666F"/>
    <w:rsid w:val="008D1905"/>
    <w:rsid w:val="008D77F0"/>
    <w:rsid w:val="008E45F4"/>
    <w:rsid w:val="008F15D4"/>
    <w:rsid w:val="008F201A"/>
    <w:rsid w:val="00901446"/>
    <w:rsid w:val="009023DE"/>
    <w:rsid w:val="00916174"/>
    <w:rsid w:val="00916C81"/>
    <w:rsid w:val="00916F02"/>
    <w:rsid w:val="00923FC8"/>
    <w:rsid w:val="0092786B"/>
    <w:rsid w:val="00933CDF"/>
    <w:rsid w:val="009441D2"/>
    <w:rsid w:val="00952630"/>
    <w:rsid w:val="009558AA"/>
    <w:rsid w:val="00960F89"/>
    <w:rsid w:val="0097133B"/>
    <w:rsid w:val="00972211"/>
    <w:rsid w:val="00972E7F"/>
    <w:rsid w:val="00981430"/>
    <w:rsid w:val="00983A91"/>
    <w:rsid w:val="0098570E"/>
    <w:rsid w:val="00985E5B"/>
    <w:rsid w:val="009914AF"/>
    <w:rsid w:val="009968BD"/>
    <w:rsid w:val="009A11F7"/>
    <w:rsid w:val="009C38FB"/>
    <w:rsid w:val="009C6224"/>
    <w:rsid w:val="009C6B1E"/>
    <w:rsid w:val="009C7FC0"/>
    <w:rsid w:val="009E1979"/>
    <w:rsid w:val="009E271D"/>
    <w:rsid w:val="009E3764"/>
    <w:rsid w:val="009E3FDD"/>
    <w:rsid w:val="009F08A5"/>
    <w:rsid w:val="009F10C2"/>
    <w:rsid w:val="009F41EC"/>
    <w:rsid w:val="009F54E6"/>
    <w:rsid w:val="009F673C"/>
    <w:rsid w:val="00A063AB"/>
    <w:rsid w:val="00A144C7"/>
    <w:rsid w:val="00A15CA0"/>
    <w:rsid w:val="00A228C3"/>
    <w:rsid w:val="00A2404F"/>
    <w:rsid w:val="00A25D48"/>
    <w:rsid w:val="00A30D96"/>
    <w:rsid w:val="00A323D4"/>
    <w:rsid w:val="00A430DC"/>
    <w:rsid w:val="00A44FEE"/>
    <w:rsid w:val="00A458DF"/>
    <w:rsid w:val="00A50156"/>
    <w:rsid w:val="00A51D80"/>
    <w:rsid w:val="00A537C7"/>
    <w:rsid w:val="00A55212"/>
    <w:rsid w:val="00A716FE"/>
    <w:rsid w:val="00A765FA"/>
    <w:rsid w:val="00A832C9"/>
    <w:rsid w:val="00A85F6C"/>
    <w:rsid w:val="00A9657C"/>
    <w:rsid w:val="00AA3400"/>
    <w:rsid w:val="00AA42D5"/>
    <w:rsid w:val="00AA4DB2"/>
    <w:rsid w:val="00AA74D0"/>
    <w:rsid w:val="00AC0091"/>
    <w:rsid w:val="00AC0C9C"/>
    <w:rsid w:val="00AC2DCF"/>
    <w:rsid w:val="00AC4188"/>
    <w:rsid w:val="00AC799D"/>
    <w:rsid w:val="00AC7D31"/>
    <w:rsid w:val="00AD43CC"/>
    <w:rsid w:val="00AD5C77"/>
    <w:rsid w:val="00AD5F18"/>
    <w:rsid w:val="00AD6458"/>
    <w:rsid w:val="00AE5288"/>
    <w:rsid w:val="00AF440F"/>
    <w:rsid w:val="00B00C0F"/>
    <w:rsid w:val="00B10E99"/>
    <w:rsid w:val="00B14096"/>
    <w:rsid w:val="00B15B7A"/>
    <w:rsid w:val="00B16205"/>
    <w:rsid w:val="00B170F4"/>
    <w:rsid w:val="00B206B5"/>
    <w:rsid w:val="00B26447"/>
    <w:rsid w:val="00B30AA2"/>
    <w:rsid w:val="00B424A4"/>
    <w:rsid w:val="00B43CEC"/>
    <w:rsid w:val="00B4414F"/>
    <w:rsid w:val="00B51C2E"/>
    <w:rsid w:val="00B57572"/>
    <w:rsid w:val="00B6184B"/>
    <w:rsid w:val="00B62400"/>
    <w:rsid w:val="00B64BEC"/>
    <w:rsid w:val="00B65AE3"/>
    <w:rsid w:val="00B67D83"/>
    <w:rsid w:val="00B70321"/>
    <w:rsid w:val="00B705D3"/>
    <w:rsid w:val="00B72561"/>
    <w:rsid w:val="00B76B5B"/>
    <w:rsid w:val="00B8238D"/>
    <w:rsid w:val="00B87900"/>
    <w:rsid w:val="00B92C27"/>
    <w:rsid w:val="00BA53C9"/>
    <w:rsid w:val="00BB5C96"/>
    <w:rsid w:val="00BB61D6"/>
    <w:rsid w:val="00BB6263"/>
    <w:rsid w:val="00BB7EAC"/>
    <w:rsid w:val="00BC063D"/>
    <w:rsid w:val="00BC0D21"/>
    <w:rsid w:val="00BD281D"/>
    <w:rsid w:val="00BD7F11"/>
    <w:rsid w:val="00BE160A"/>
    <w:rsid w:val="00BE16ED"/>
    <w:rsid w:val="00BE649C"/>
    <w:rsid w:val="00BF038A"/>
    <w:rsid w:val="00BF0636"/>
    <w:rsid w:val="00BF1932"/>
    <w:rsid w:val="00BF4433"/>
    <w:rsid w:val="00BF4F8F"/>
    <w:rsid w:val="00BF684B"/>
    <w:rsid w:val="00BF736A"/>
    <w:rsid w:val="00C03647"/>
    <w:rsid w:val="00C04C93"/>
    <w:rsid w:val="00C07173"/>
    <w:rsid w:val="00C14624"/>
    <w:rsid w:val="00C15BE6"/>
    <w:rsid w:val="00C1682A"/>
    <w:rsid w:val="00C170B6"/>
    <w:rsid w:val="00C17959"/>
    <w:rsid w:val="00C2583B"/>
    <w:rsid w:val="00C31092"/>
    <w:rsid w:val="00C31207"/>
    <w:rsid w:val="00C33EE0"/>
    <w:rsid w:val="00C40C10"/>
    <w:rsid w:val="00C415A0"/>
    <w:rsid w:val="00C46E8E"/>
    <w:rsid w:val="00C47616"/>
    <w:rsid w:val="00C53FC6"/>
    <w:rsid w:val="00C54605"/>
    <w:rsid w:val="00C70BCB"/>
    <w:rsid w:val="00C84FCA"/>
    <w:rsid w:val="00C852B0"/>
    <w:rsid w:val="00C8538B"/>
    <w:rsid w:val="00C86853"/>
    <w:rsid w:val="00C87837"/>
    <w:rsid w:val="00C9001B"/>
    <w:rsid w:val="00CA01C1"/>
    <w:rsid w:val="00CA056C"/>
    <w:rsid w:val="00CA5187"/>
    <w:rsid w:val="00CB0B9F"/>
    <w:rsid w:val="00CB1F42"/>
    <w:rsid w:val="00CB2FAB"/>
    <w:rsid w:val="00CB445C"/>
    <w:rsid w:val="00CC05E5"/>
    <w:rsid w:val="00CD673C"/>
    <w:rsid w:val="00CD7845"/>
    <w:rsid w:val="00CD7D09"/>
    <w:rsid w:val="00CE31C1"/>
    <w:rsid w:val="00CE7DD7"/>
    <w:rsid w:val="00CF1347"/>
    <w:rsid w:val="00CF18B1"/>
    <w:rsid w:val="00CF283C"/>
    <w:rsid w:val="00CF4CB9"/>
    <w:rsid w:val="00CF6271"/>
    <w:rsid w:val="00D015C5"/>
    <w:rsid w:val="00D0269D"/>
    <w:rsid w:val="00D03DF4"/>
    <w:rsid w:val="00D10268"/>
    <w:rsid w:val="00D10AAD"/>
    <w:rsid w:val="00D1306A"/>
    <w:rsid w:val="00D215BC"/>
    <w:rsid w:val="00D21C05"/>
    <w:rsid w:val="00D26512"/>
    <w:rsid w:val="00D30714"/>
    <w:rsid w:val="00D406AB"/>
    <w:rsid w:val="00D471EF"/>
    <w:rsid w:val="00D52936"/>
    <w:rsid w:val="00D52BB6"/>
    <w:rsid w:val="00D56BD1"/>
    <w:rsid w:val="00D57A53"/>
    <w:rsid w:val="00D62048"/>
    <w:rsid w:val="00D664A2"/>
    <w:rsid w:val="00D75C4B"/>
    <w:rsid w:val="00D779C5"/>
    <w:rsid w:val="00D77B66"/>
    <w:rsid w:val="00D8085F"/>
    <w:rsid w:val="00D85BFD"/>
    <w:rsid w:val="00D929B2"/>
    <w:rsid w:val="00D94BE1"/>
    <w:rsid w:val="00DD2BE3"/>
    <w:rsid w:val="00DD5E09"/>
    <w:rsid w:val="00DE2759"/>
    <w:rsid w:val="00DE2C4A"/>
    <w:rsid w:val="00DE56F2"/>
    <w:rsid w:val="00DF11D2"/>
    <w:rsid w:val="00E05CFD"/>
    <w:rsid w:val="00E10B2D"/>
    <w:rsid w:val="00E2124D"/>
    <w:rsid w:val="00E21749"/>
    <w:rsid w:val="00E357A9"/>
    <w:rsid w:val="00E407BC"/>
    <w:rsid w:val="00E479E8"/>
    <w:rsid w:val="00E5200A"/>
    <w:rsid w:val="00E56E20"/>
    <w:rsid w:val="00E61ABD"/>
    <w:rsid w:val="00E64E69"/>
    <w:rsid w:val="00E66656"/>
    <w:rsid w:val="00E815D8"/>
    <w:rsid w:val="00E956C0"/>
    <w:rsid w:val="00E9645D"/>
    <w:rsid w:val="00EA1829"/>
    <w:rsid w:val="00EB0749"/>
    <w:rsid w:val="00EB3F45"/>
    <w:rsid w:val="00EB4456"/>
    <w:rsid w:val="00EC15FD"/>
    <w:rsid w:val="00EC16DA"/>
    <w:rsid w:val="00EC3111"/>
    <w:rsid w:val="00EE3D29"/>
    <w:rsid w:val="00EE53DB"/>
    <w:rsid w:val="00EF319D"/>
    <w:rsid w:val="00F12738"/>
    <w:rsid w:val="00F135A9"/>
    <w:rsid w:val="00F15F5B"/>
    <w:rsid w:val="00F17EF7"/>
    <w:rsid w:val="00F210A9"/>
    <w:rsid w:val="00F250B5"/>
    <w:rsid w:val="00F27DC2"/>
    <w:rsid w:val="00F30EED"/>
    <w:rsid w:val="00F32C2E"/>
    <w:rsid w:val="00F4309D"/>
    <w:rsid w:val="00F53183"/>
    <w:rsid w:val="00F555BD"/>
    <w:rsid w:val="00F55F2C"/>
    <w:rsid w:val="00F57CC9"/>
    <w:rsid w:val="00F6094A"/>
    <w:rsid w:val="00F60C74"/>
    <w:rsid w:val="00F70586"/>
    <w:rsid w:val="00F71DD1"/>
    <w:rsid w:val="00F723F5"/>
    <w:rsid w:val="00F92317"/>
    <w:rsid w:val="00F93624"/>
    <w:rsid w:val="00F93ABF"/>
    <w:rsid w:val="00F9524D"/>
    <w:rsid w:val="00FA0388"/>
    <w:rsid w:val="00FA0590"/>
    <w:rsid w:val="00FA2F5E"/>
    <w:rsid w:val="00FA4B51"/>
    <w:rsid w:val="00FA6FD7"/>
    <w:rsid w:val="00FB6BEE"/>
    <w:rsid w:val="00FC1EDA"/>
    <w:rsid w:val="00FC2456"/>
    <w:rsid w:val="00FC32B7"/>
    <w:rsid w:val="00FC438C"/>
    <w:rsid w:val="00FD4F9A"/>
    <w:rsid w:val="00FE1B3B"/>
    <w:rsid w:val="00FE7A9D"/>
    <w:rsid w:val="00FF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9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62400"/>
    <w:pPr>
      <w:keepNext/>
      <w:keepLines/>
      <w:spacing w:before="480" w:line="276" w:lineRule="auto"/>
      <w:outlineLvl w:val="0"/>
    </w:pPr>
    <w:rPr>
      <w:rFonts w:ascii="Arial" w:eastAsiaTheme="majorEastAsia" w:hAnsi="Arial" w:cstheme="majorBidi"/>
      <w:b/>
      <w:bCs/>
      <w:caps/>
      <w:sz w:val="28"/>
      <w:szCs w:val="28"/>
    </w:rPr>
  </w:style>
  <w:style w:type="paragraph" w:styleId="Heading2">
    <w:name w:val="heading 2"/>
    <w:basedOn w:val="Normal"/>
    <w:next w:val="Normal"/>
    <w:link w:val="Heading2Char"/>
    <w:uiPriority w:val="9"/>
    <w:unhideWhenUsed/>
    <w:qFormat/>
    <w:rsid w:val="00304A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4B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3A91"/>
    <w:rPr>
      <w:color w:val="0000FF"/>
      <w:u w:val="single"/>
    </w:rPr>
  </w:style>
  <w:style w:type="character" w:customStyle="1" w:styleId="apple-style-span">
    <w:name w:val="apple-style-span"/>
    <w:basedOn w:val="DefaultParagraphFont"/>
    <w:rsid w:val="00983A91"/>
  </w:style>
  <w:style w:type="paragraph" w:styleId="NormalWeb">
    <w:name w:val="Normal (Web)"/>
    <w:basedOn w:val="Normal"/>
    <w:uiPriority w:val="99"/>
    <w:unhideWhenUsed/>
    <w:rsid w:val="00983A91"/>
    <w:pPr>
      <w:spacing w:before="100" w:beforeAutospacing="1" w:after="100" w:afterAutospacing="1"/>
    </w:pPr>
    <w:rPr>
      <w:szCs w:val="24"/>
      <w:lang w:eastAsia="en-GB"/>
    </w:rPr>
  </w:style>
  <w:style w:type="character" w:customStyle="1" w:styleId="apple-converted-space">
    <w:name w:val="apple-converted-space"/>
    <w:basedOn w:val="DefaultParagraphFont"/>
    <w:rsid w:val="00983A91"/>
  </w:style>
  <w:style w:type="character" w:customStyle="1" w:styleId="bodytext1">
    <w:name w:val="bodytext1"/>
    <w:basedOn w:val="DefaultParagraphFont"/>
    <w:rsid w:val="00983A91"/>
    <w:rPr>
      <w:rFonts w:ascii="Verdana" w:hAnsi="Verdana" w:hint="default"/>
      <w:color w:val="333333"/>
      <w:sz w:val="16"/>
      <w:szCs w:val="16"/>
    </w:rPr>
  </w:style>
  <w:style w:type="character" w:customStyle="1" w:styleId="goohl0">
    <w:name w:val="goohl0"/>
    <w:basedOn w:val="DefaultParagraphFont"/>
    <w:rsid w:val="005878B6"/>
  </w:style>
  <w:style w:type="paragraph" w:styleId="BalloonText">
    <w:name w:val="Balloon Text"/>
    <w:basedOn w:val="Normal"/>
    <w:link w:val="BalloonTextChar"/>
    <w:uiPriority w:val="99"/>
    <w:semiHidden/>
    <w:unhideWhenUsed/>
    <w:rsid w:val="00EE53DB"/>
    <w:rPr>
      <w:rFonts w:ascii="Tahoma" w:hAnsi="Tahoma" w:cs="Tahoma"/>
      <w:sz w:val="16"/>
      <w:szCs w:val="16"/>
    </w:rPr>
  </w:style>
  <w:style w:type="character" w:customStyle="1" w:styleId="BalloonTextChar">
    <w:name w:val="Balloon Text Char"/>
    <w:basedOn w:val="DefaultParagraphFont"/>
    <w:link w:val="BalloonText"/>
    <w:uiPriority w:val="99"/>
    <w:semiHidden/>
    <w:rsid w:val="00EE53D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007A9"/>
    <w:rPr>
      <w:color w:val="800080" w:themeColor="followedHyperlink"/>
      <w:u w:val="single"/>
    </w:rPr>
  </w:style>
  <w:style w:type="character" w:styleId="CommentReference">
    <w:name w:val="annotation reference"/>
    <w:basedOn w:val="DefaultParagraphFont"/>
    <w:uiPriority w:val="99"/>
    <w:semiHidden/>
    <w:unhideWhenUsed/>
    <w:rsid w:val="001257DA"/>
    <w:rPr>
      <w:sz w:val="16"/>
      <w:szCs w:val="16"/>
    </w:rPr>
  </w:style>
  <w:style w:type="paragraph" w:styleId="CommentText">
    <w:name w:val="annotation text"/>
    <w:basedOn w:val="Normal"/>
    <w:link w:val="CommentTextChar"/>
    <w:uiPriority w:val="99"/>
    <w:semiHidden/>
    <w:unhideWhenUsed/>
    <w:rsid w:val="001257DA"/>
    <w:rPr>
      <w:sz w:val="20"/>
    </w:rPr>
  </w:style>
  <w:style w:type="character" w:customStyle="1" w:styleId="CommentTextChar">
    <w:name w:val="Comment Text Char"/>
    <w:basedOn w:val="DefaultParagraphFont"/>
    <w:link w:val="CommentText"/>
    <w:uiPriority w:val="99"/>
    <w:semiHidden/>
    <w:rsid w:val="001257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basedOn w:val="CommentTextChar"/>
    <w:link w:val="CommentSubject"/>
    <w:uiPriority w:val="99"/>
    <w:semiHidden/>
    <w:rsid w:val="001257DA"/>
    <w:rPr>
      <w:rFonts w:ascii="Times New Roman" w:eastAsia="Times New Roman" w:hAnsi="Times New Roman" w:cs="Times New Roman"/>
      <w:b/>
      <w:bCs/>
      <w:sz w:val="20"/>
      <w:szCs w:val="20"/>
    </w:rPr>
  </w:style>
  <w:style w:type="character" w:styleId="Emphasis">
    <w:name w:val="Emphasis"/>
    <w:basedOn w:val="DefaultParagraphFont"/>
    <w:uiPriority w:val="20"/>
    <w:qFormat/>
    <w:rsid w:val="00EF319D"/>
    <w:rPr>
      <w:i/>
      <w:iCs/>
    </w:rPr>
  </w:style>
  <w:style w:type="character" w:customStyle="1" w:styleId="Heading1Char">
    <w:name w:val="Heading 1 Char"/>
    <w:basedOn w:val="DefaultParagraphFont"/>
    <w:link w:val="Heading1"/>
    <w:uiPriority w:val="9"/>
    <w:rsid w:val="00B62400"/>
    <w:rPr>
      <w:rFonts w:ascii="Arial" w:eastAsiaTheme="majorEastAsia" w:hAnsi="Arial" w:cstheme="majorBidi"/>
      <w:b/>
      <w:bCs/>
      <w:caps/>
      <w:sz w:val="28"/>
      <w:szCs w:val="28"/>
    </w:rPr>
  </w:style>
  <w:style w:type="paragraph" w:styleId="FootnoteText">
    <w:name w:val="footnote text"/>
    <w:basedOn w:val="Normal"/>
    <w:link w:val="FootnoteTextChar"/>
    <w:uiPriority w:val="99"/>
    <w:semiHidden/>
    <w:unhideWhenUsed/>
    <w:rsid w:val="0098570E"/>
    <w:rPr>
      <w:sz w:val="20"/>
    </w:rPr>
  </w:style>
  <w:style w:type="character" w:customStyle="1" w:styleId="FootnoteTextChar">
    <w:name w:val="Footnote Text Char"/>
    <w:basedOn w:val="DefaultParagraphFont"/>
    <w:link w:val="FootnoteText"/>
    <w:uiPriority w:val="99"/>
    <w:semiHidden/>
    <w:rsid w:val="009857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570E"/>
    <w:rPr>
      <w:vertAlign w:val="superscript"/>
    </w:rPr>
  </w:style>
  <w:style w:type="paragraph" w:customStyle="1" w:styleId="Default">
    <w:name w:val="Default"/>
    <w:rsid w:val="00416A6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D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5F5B"/>
    <w:pPr>
      <w:tabs>
        <w:tab w:val="center" w:pos="4513"/>
        <w:tab w:val="right" w:pos="9026"/>
      </w:tabs>
    </w:pPr>
  </w:style>
  <w:style w:type="character" w:customStyle="1" w:styleId="HeaderChar">
    <w:name w:val="Header Char"/>
    <w:basedOn w:val="DefaultParagraphFont"/>
    <w:link w:val="Header"/>
    <w:uiPriority w:val="99"/>
    <w:rsid w:val="00F15F5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15F5B"/>
    <w:pPr>
      <w:tabs>
        <w:tab w:val="center" w:pos="4513"/>
        <w:tab w:val="right" w:pos="9026"/>
      </w:tabs>
    </w:pPr>
  </w:style>
  <w:style w:type="character" w:customStyle="1" w:styleId="FooterChar">
    <w:name w:val="Footer Char"/>
    <w:basedOn w:val="DefaultParagraphFont"/>
    <w:link w:val="Footer"/>
    <w:uiPriority w:val="99"/>
    <w:rsid w:val="00F15F5B"/>
    <w:rPr>
      <w:rFonts w:ascii="Times New Roman" w:eastAsia="Times New Roman" w:hAnsi="Times New Roman" w:cs="Times New Roman"/>
      <w:sz w:val="24"/>
      <w:szCs w:val="20"/>
    </w:rPr>
  </w:style>
  <w:style w:type="character" w:customStyle="1" w:styleId="searchnone">
    <w:name w:val="searchnone"/>
    <w:basedOn w:val="DefaultParagraphFont"/>
    <w:rsid w:val="00BF736A"/>
  </w:style>
  <w:style w:type="character" w:customStyle="1" w:styleId="Heading3Char">
    <w:name w:val="Heading 3 Char"/>
    <w:basedOn w:val="DefaultParagraphFont"/>
    <w:link w:val="Heading3"/>
    <w:uiPriority w:val="9"/>
    <w:semiHidden/>
    <w:rsid w:val="00D94BE1"/>
    <w:rPr>
      <w:rFonts w:asciiTheme="majorHAnsi" w:eastAsiaTheme="majorEastAsia" w:hAnsiTheme="majorHAnsi" w:cstheme="majorBidi"/>
      <w:b/>
      <w:bCs/>
      <w:color w:val="4F81BD" w:themeColor="accent1"/>
      <w:sz w:val="24"/>
      <w:szCs w:val="20"/>
    </w:rPr>
  </w:style>
  <w:style w:type="character" w:customStyle="1" w:styleId="Heading2Char">
    <w:name w:val="Heading 2 Char"/>
    <w:basedOn w:val="DefaultParagraphFont"/>
    <w:link w:val="Heading2"/>
    <w:uiPriority w:val="9"/>
    <w:rsid w:val="00304AE4"/>
    <w:rPr>
      <w:rFonts w:asciiTheme="majorHAnsi" w:eastAsiaTheme="majorEastAsia" w:hAnsiTheme="majorHAnsi" w:cstheme="majorBidi"/>
      <w:b/>
      <w:bCs/>
      <w:color w:val="4F81BD" w:themeColor="accent1"/>
      <w:sz w:val="26"/>
      <w:szCs w:val="26"/>
    </w:rPr>
  </w:style>
  <w:style w:type="paragraph" w:customStyle="1" w:styleId="first-child">
    <w:name w:val="first-child"/>
    <w:basedOn w:val="Normal"/>
    <w:rsid w:val="00304AE4"/>
    <w:pPr>
      <w:spacing w:before="100" w:beforeAutospacing="1" w:after="100" w:afterAutospacing="1"/>
    </w:pPr>
    <w:rPr>
      <w:szCs w:val="24"/>
      <w:lang w:eastAsia="en-GB"/>
    </w:rPr>
  </w:style>
  <w:style w:type="character" w:customStyle="1" w:styleId="quote-credit">
    <w:name w:val="quote-credit"/>
    <w:basedOn w:val="DefaultParagraphFont"/>
    <w:rsid w:val="00304AE4"/>
  </w:style>
  <w:style w:type="character" w:styleId="Strong">
    <w:name w:val="Strong"/>
    <w:basedOn w:val="DefaultParagraphFont"/>
    <w:uiPriority w:val="22"/>
    <w:qFormat/>
    <w:rsid w:val="00304AE4"/>
    <w:rPr>
      <w:b/>
      <w:bCs/>
    </w:rPr>
  </w:style>
  <w:style w:type="character" w:customStyle="1" w:styleId="quote-credit-title">
    <w:name w:val="quote-credit-title"/>
    <w:basedOn w:val="DefaultParagraphFont"/>
    <w:rsid w:val="00304AE4"/>
  </w:style>
  <w:style w:type="character" w:styleId="HTMLDefinition">
    <w:name w:val="HTML Definition"/>
    <w:basedOn w:val="DefaultParagraphFont"/>
    <w:uiPriority w:val="99"/>
    <w:semiHidden/>
    <w:unhideWhenUsed/>
    <w:rsid w:val="00413C57"/>
    <w:rPr>
      <w:i/>
      <w:iCs/>
    </w:rPr>
  </w:style>
  <w:style w:type="paragraph" w:styleId="EndnoteText">
    <w:name w:val="endnote text"/>
    <w:basedOn w:val="Normal"/>
    <w:link w:val="EndnoteTextChar"/>
    <w:uiPriority w:val="99"/>
    <w:semiHidden/>
    <w:unhideWhenUsed/>
    <w:rsid w:val="001757AE"/>
    <w:rPr>
      <w:sz w:val="20"/>
    </w:rPr>
  </w:style>
  <w:style w:type="character" w:customStyle="1" w:styleId="EndnoteTextChar">
    <w:name w:val="Endnote Text Char"/>
    <w:basedOn w:val="DefaultParagraphFont"/>
    <w:link w:val="EndnoteText"/>
    <w:uiPriority w:val="99"/>
    <w:semiHidden/>
    <w:rsid w:val="001757A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75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A9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62400"/>
    <w:pPr>
      <w:keepNext/>
      <w:keepLines/>
      <w:spacing w:before="480" w:line="276" w:lineRule="auto"/>
      <w:outlineLvl w:val="0"/>
    </w:pPr>
    <w:rPr>
      <w:rFonts w:ascii="Arial" w:eastAsiaTheme="majorEastAsia" w:hAnsi="Arial" w:cstheme="majorBidi"/>
      <w:b/>
      <w:bCs/>
      <w:caps/>
      <w:sz w:val="28"/>
      <w:szCs w:val="28"/>
    </w:rPr>
  </w:style>
  <w:style w:type="paragraph" w:styleId="Heading2">
    <w:name w:val="heading 2"/>
    <w:basedOn w:val="Normal"/>
    <w:next w:val="Normal"/>
    <w:link w:val="Heading2Char"/>
    <w:uiPriority w:val="9"/>
    <w:unhideWhenUsed/>
    <w:qFormat/>
    <w:rsid w:val="00304A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4B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3A91"/>
    <w:rPr>
      <w:color w:val="0000FF"/>
      <w:u w:val="single"/>
    </w:rPr>
  </w:style>
  <w:style w:type="character" w:customStyle="1" w:styleId="apple-style-span">
    <w:name w:val="apple-style-span"/>
    <w:basedOn w:val="DefaultParagraphFont"/>
    <w:rsid w:val="00983A91"/>
  </w:style>
  <w:style w:type="paragraph" w:styleId="NormalWeb">
    <w:name w:val="Normal (Web)"/>
    <w:basedOn w:val="Normal"/>
    <w:uiPriority w:val="99"/>
    <w:unhideWhenUsed/>
    <w:rsid w:val="00983A91"/>
    <w:pPr>
      <w:spacing w:before="100" w:beforeAutospacing="1" w:after="100" w:afterAutospacing="1"/>
    </w:pPr>
    <w:rPr>
      <w:szCs w:val="24"/>
      <w:lang w:eastAsia="en-GB"/>
    </w:rPr>
  </w:style>
  <w:style w:type="character" w:customStyle="1" w:styleId="apple-converted-space">
    <w:name w:val="apple-converted-space"/>
    <w:basedOn w:val="DefaultParagraphFont"/>
    <w:rsid w:val="00983A91"/>
  </w:style>
  <w:style w:type="character" w:customStyle="1" w:styleId="bodytext1">
    <w:name w:val="bodytext1"/>
    <w:basedOn w:val="DefaultParagraphFont"/>
    <w:rsid w:val="00983A91"/>
    <w:rPr>
      <w:rFonts w:ascii="Verdana" w:hAnsi="Verdana" w:hint="default"/>
      <w:color w:val="333333"/>
      <w:sz w:val="16"/>
      <w:szCs w:val="16"/>
    </w:rPr>
  </w:style>
  <w:style w:type="character" w:customStyle="1" w:styleId="goohl0">
    <w:name w:val="goohl0"/>
    <w:basedOn w:val="DefaultParagraphFont"/>
    <w:rsid w:val="005878B6"/>
  </w:style>
  <w:style w:type="paragraph" w:styleId="BalloonText">
    <w:name w:val="Balloon Text"/>
    <w:basedOn w:val="Normal"/>
    <w:link w:val="BalloonTextChar"/>
    <w:uiPriority w:val="99"/>
    <w:semiHidden/>
    <w:unhideWhenUsed/>
    <w:rsid w:val="00EE53DB"/>
    <w:rPr>
      <w:rFonts w:ascii="Tahoma" w:hAnsi="Tahoma" w:cs="Tahoma"/>
      <w:sz w:val="16"/>
      <w:szCs w:val="16"/>
    </w:rPr>
  </w:style>
  <w:style w:type="character" w:customStyle="1" w:styleId="BalloonTextChar">
    <w:name w:val="Balloon Text Char"/>
    <w:basedOn w:val="DefaultParagraphFont"/>
    <w:link w:val="BalloonText"/>
    <w:uiPriority w:val="99"/>
    <w:semiHidden/>
    <w:rsid w:val="00EE53D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007A9"/>
    <w:rPr>
      <w:color w:val="800080" w:themeColor="followedHyperlink"/>
      <w:u w:val="single"/>
    </w:rPr>
  </w:style>
  <w:style w:type="character" w:styleId="CommentReference">
    <w:name w:val="annotation reference"/>
    <w:basedOn w:val="DefaultParagraphFont"/>
    <w:uiPriority w:val="99"/>
    <w:semiHidden/>
    <w:unhideWhenUsed/>
    <w:rsid w:val="001257DA"/>
    <w:rPr>
      <w:sz w:val="16"/>
      <w:szCs w:val="16"/>
    </w:rPr>
  </w:style>
  <w:style w:type="paragraph" w:styleId="CommentText">
    <w:name w:val="annotation text"/>
    <w:basedOn w:val="Normal"/>
    <w:link w:val="CommentTextChar"/>
    <w:uiPriority w:val="99"/>
    <w:semiHidden/>
    <w:unhideWhenUsed/>
    <w:rsid w:val="001257DA"/>
    <w:rPr>
      <w:sz w:val="20"/>
    </w:rPr>
  </w:style>
  <w:style w:type="character" w:customStyle="1" w:styleId="CommentTextChar">
    <w:name w:val="Comment Text Char"/>
    <w:basedOn w:val="DefaultParagraphFont"/>
    <w:link w:val="CommentText"/>
    <w:uiPriority w:val="99"/>
    <w:semiHidden/>
    <w:rsid w:val="001257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57DA"/>
    <w:rPr>
      <w:b/>
      <w:bCs/>
    </w:rPr>
  </w:style>
  <w:style w:type="character" w:customStyle="1" w:styleId="CommentSubjectChar">
    <w:name w:val="Comment Subject Char"/>
    <w:basedOn w:val="CommentTextChar"/>
    <w:link w:val="CommentSubject"/>
    <w:uiPriority w:val="99"/>
    <w:semiHidden/>
    <w:rsid w:val="001257DA"/>
    <w:rPr>
      <w:rFonts w:ascii="Times New Roman" w:eastAsia="Times New Roman" w:hAnsi="Times New Roman" w:cs="Times New Roman"/>
      <w:b/>
      <w:bCs/>
      <w:sz w:val="20"/>
      <w:szCs w:val="20"/>
    </w:rPr>
  </w:style>
  <w:style w:type="character" w:styleId="Emphasis">
    <w:name w:val="Emphasis"/>
    <w:basedOn w:val="DefaultParagraphFont"/>
    <w:uiPriority w:val="20"/>
    <w:qFormat/>
    <w:rsid w:val="00EF319D"/>
    <w:rPr>
      <w:i/>
      <w:iCs/>
    </w:rPr>
  </w:style>
  <w:style w:type="character" w:customStyle="1" w:styleId="Heading1Char">
    <w:name w:val="Heading 1 Char"/>
    <w:basedOn w:val="DefaultParagraphFont"/>
    <w:link w:val="Heading1"/>
    <w:uiPriority w:val="9"/>
    <w:rsid w:val="00B62400"/>
    <w:rPr>
      <w:rFonts w:ascii="Arial" w:eastAsiaTheme="majorEastAsia" w:hAnsi="Arial" w:cstheme="majorBidi"/>
      <w:b/>
      <w:bCs/>
      <w:caps/>
      <w:sz w:val="28"/>
      <w:szCs w:val="28"/>
    </w:rPr>
  </w:style>
  <w:style w:type="paragraph" w:styleId="FootnoteText">
    <w:name w:val="footnote text"/>
    <w:basedOn w:val="Normal"/>
    <w:link w:val="FootnoteTextChar"/>
    <w:uiPriority w:val="99"/>
    <w:semiHidden/>
    <w:unhideWhenUsed/>
    <w:rsid w:val="0098570E"/>
    <w:rPr>
      <w:sz w:val="20"/>
    </w:rPr>
  </w:style>
  <w:style w:type="character" w:customStyle="1" w:styleId="FootnoteTextChar">
    <w:name w:val="Footnote Text Char"/>
    <w:basedOn w:val="DefaultParagraphFont"/>
    <w:link w:val="FootnoteText"/>
    <w:uiPriority w:val="99"/>
    <w:semiHidden/>
    <w:rsid w:val="0098570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8570E"/>
    <w:rPr>
      <w:vertAlign w:val="superscript"/>
    </w:rPr>
  </w:style>
  <w:style w:type="paragraph" w:customStyle="1" w:styleId="Default">
    <w:name w:val="Default"/>
    <w:rsid w:val="00416A6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D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5F5B"/>
    <w:pPr>
      <w:tabs>
        <w:tab w:val="center" w:pos="4513"/>
        <w:tab w:val="right" w:pos="9026"/>
      </w:tabs>
    </w:pPr>
  </w:style>
  <w:style w:type="character" w:customStyle="1" w:styleId="HeaderChar">
    <w:name w:val="Header Char"/>
    <w:basedOn w:val="DefaultParagraphFont"/>
    <w:link w:val="Header"/>
    <w:uiPriority w:val="99"/>
    <w:rsid w:val="00F15F5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15F5B"/>
    <w:pPr>
      <w:tabs>
        <w:tab w:val="center" w:pos="4513"/>
        <w:tab w:val="right" w:pos="9026"/>
      </w:tabs>
    </w:pPr>
  </w:style>
  <w:style w:type="character" w:customStyle="1" w:styleId="FooterChar">
    <w:name w:val="Footer Char"/>
    <w:basedOn w:val="DefaultParagraphFont"/>
    <w:link w:val="Footer"/>
    <w:uiPriority w:val="99"/>
    <w:rsid w:val="00F15F5B"/>
    <w:rPr>
      <w:rFonts w:ascii="Times New Roman" w:eastAsia="Times New Roman" w:hAnsi="Times New Roman" w:cs="Times New Roman"/>
      <w:sz w:val="24"/>
      <w:szCs w:val="20"/>
    </w:rPr>
  </w:style>
  <w:style w:type="character" w:customStyle="1" w:styleId="searchnone">
    <w:name w:val="searchnone"/>
    <w:basedOn w:val="DefaultParagraphFont"/>
    <w:rsid w:val="00BF736A"/>
  </w:style>
  <w:style w:type="character" w:customStyle="1" w:styleId="Heading3Char">
    <w:name w:val="Heading 3 Char"/>
    <w:basedOn w:val="DefaultParagraphFont"/>
    <w:link w:val="Heading3"/>
    <w:uiPriority w:val="9"/>
    <w:semiHidden/>
    <w:rsid w:val="00D94BE1"/>
    <w:rPr>
      <w:rFonts w:asciiTheme="majorHAnsi" w:eastAsiaTheme="majorEastAsia" w:hAnsiTheme="majorHAnsi" w:cstheme="majorBidi"/>
      <w:b/>
      <w:bCs/>
      <w:color w:val="4F81BD" w:themeColor="accent1"/>
      <w:sz w:val="24"/>
      <w:szCs w:val="20"/>
    </w:rPr>
  </w:style>
  <w:style w:type="character" w:customStyle="1" w:styleId="Heading2Char">
    <w:name w:val="Heading 2 Char"/>
    <w:basedOn w:val="DefaultParagraphFont"/>
    <w:link w:val="Heading2"/>
    <w:uiPriority w:val="9"/>
    <w:rsid w:val="00304AE4"/>
    <w:rPr>
      <w:rFonts w:asciiTheme="majorHAnsi" w:eastAsiaTheme="majorEastAsia" w:hAnsiTheme="majorHAnsi" w:cstheme="majorBidi"/>
      <w:b/>
      <w:bCs/>
      <w:color w:val="4F81BD" w:themeColor="accent1"/>
      <w:sz w:val="26"/>
      <w:szCs w:val="26"/>
    </w:rPr>
  </w:style>
  <w:style w:type="paragraph" w:customStyle="1" w:styleId="first-child">
    <w:name w:val="first-child"/>
    <w:basedOn w:val="Normal"/>
    <w:rsid w:val="00304AE4"/>
    <w:pPr>
      <w:spacing w:before="100" w:beforeAutospacing="1" w:after="100" w:afterAutospacing="1"/>
    </w:pPr>
    <w:rPr>
      <w:szCs w:val="24"/>
      <w:lang w:eastAsia="en-GB"/>
    </w:rPr>
  </w:style>
  <w:style w:type="character" w:customStyle="1" w:styleId="quote-credit">
    <w:name w:val="quote-credit"/>
    <w:basedOn w:val="DefaultParagraphFont"/>
    <w:rsid w:val="00304AE4"/>
  </w:style>
  <w:style w:type="character" w:styleId="Strong">
    <w:name w:val="Strong"/>
    <w:basedOn w:val="DefaultParagraphFont"/>
    <w:uiPriority w:val="22"/>
    <w:qFormat/>
    <w:rsid w:val="00304AE4"/>
    <w:rPr>
      <w:b/>
      <w:bCs/>
    </w:rPr>
  </w:style>
  <w:style w:type="character" w:customStyle="1" w:styleId="quote-credit-title">
    <w:name w:val="quote-credit-title"/>
    <w:basedOn w:val="DefaultParagraphFont"/>
    <w:rsid w:val="00304AE4"/>
  </w:style>
  <w:style w:type="character" w:styleId="HTMLDefinition">
    <w:name w:val="HTML Definition"/>
    <w:basedOn w:val="DefaultParagraphFont"/>
    <w:uiPriority w:val="99"/>
    <w:semiHidden/>
    <w:unhideWhenUsed/>
    <w:rsid w:val="00413C57"/>
    <w:rPr>
      <w:i/>
      <w:iCs/>
    </w:rPr>
  </w:style>
  <w:style w:type="paragraph" w:styleId="EndnoteText">
    <w:name w:val="endnote text"/>
    <w:basedOn w:val="Normal"/>
    <w:link w:val="EndnoteTextChar"/>
    <w:uiPriority w:val="99"/>
    <w:semiHidden/>
    <w:unhideWhenUsed/>
    <w:rsid w:val="001757AE"/>
    <w:rPr>
      <w:sz w:val="20"/>
    </w:rPr>
  </w:style>
  <w:style w:type="character" w:customStyle="1" w:styleId="EndnoteTextChar">
    <w:name w:val="Endnote Text Char"/>
    <w:basedOn w:val="DefaultParagraphFont"/>
    <w:link w:val="EndnoteText"/>
    <w:uiPriority w:val="99"/>
    <w:semiHidden/>
    <w:rsid w:val="001757A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75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17814">
      <w:bodyDiv w:val="1"/>
      <w:marLeft w:val="0"/>
      <w:marRight w:val="0"/>
      <w:marTop w:val="0"/>
      <w:marBottom w:val="0"/>
      <w:divBdr>
        <w:top w:val="none" w:sz="0" w:space="0" w:color="auto"/>
        <w:left w:val="none" w:sz="0" w:space="0" w:color="auto"/>
        <w:bottom w:val="none" w:sz="0" w:space="0" w:color="auto"/>
        <w:right w:val="none" w:sz="0" w:space="0" w:color="auto"/>
      </w:divBdr>
    </w:div>
    <w:div w:id="92871211">
      <w:bodyDiv w:val="1"/>
      <w:marLeft w:val="0"/>
      <w:marRight w:val="0"/>
      <w:marTop w:val="0"/>
      <w:marBottom w:val="0"/>
      <w:divBdr>
        <w:top w:val="none" w:sz="0" w:space="0" w:color="auto"/>
        <w:left w:val="none" w:sz="0" w:space="0" w:color="auto"/>
        <w:bottom w:val="none" w:sz="0" w:space="0" w:color="auto"/>
        <w:right w:val="none" w:sz="0" w:space="0" w:color="auto"/>
      </w:divBdr>
    </w:div>
    <w:div w:id="185994741">
      <w:bodyDiv w:val="1"/>
      <w:marLeft w:val="0"/>
      <w:marRight w:val="0"/>
      <w:marTop w:val="0"/>
      <w:marBottom w:val="0"/>
      <w:divBdr>
        <w:top w:val="none" w:sz="0" w:space="0" w:color="auto"/>
        <w:left w:val="none" w:sz="0" w:space="0" w:color="auto"/>
        <w:bottom w:val="none" w:sz="0" w:space="0" w:color="auto"/>
        <w:right w:val="none" w:sz="0" w:space="0" w:color="auto"/>
      </w:divBdr>
    </w:div>
    <w:div w:id="430585469">
      <w:bodyDiv w:val="1"/>
      <w:marLeft w:val="0"/>
      <w:marRight w:val="0"/>
      <w:marTop w:val="0"/>
      <w:marBottom w:val="0"/>
      <w:divBdr>
        <w:top w:val="none" w:sz="0" w:space="0" w:color="auto"/>
        <w:left w:val="none" w:sz="0" w:space="0" w:color="auto"/>
        <w:bottom w:val="none" w:sz="0" w:space="0" w:color="auto"/>
        <w:right w:val="none" w:sz="0" w:space="0" w:color="auto"/>
      </w:divBdr>
    </w:div>
    <w:div w:id="547497979">
      <w:bodyDiv w:val="1"/>
      <w:marLeft w:val="0"/>
      <w:marRight w:val="0"/>
      <w:marTop w:val="0"/>
      <w:marBottom w:val="0"/>
      <w:divBdr>
        <w:top w:val="none" w:sz="0" w:space="0" w:color="auto"/>
        <w:left w:val="none" w:sz="0" w:space="0" w:color="auto"/>
        <w:bottom w:val="none" w:sz="0" w:space="0" w:color="auto"/>
        <w:right w:val="none" w:sz="0" w:space="0" w:color="auto"/>
      </w:divBdr>
    </w:div>
    <w:div w:id="666251988">
      <w:bodyDiv w:val="1"/>
      <w:marLeft w:val="0"/>
      <w:marRight w:val="0"/>
      <w:marTop w:val="0"/>
      <w:marBottom w:val="0"/>
      <w:divBdr>
        <w:top w:val="none" w:sz="0" w:space="0" w:color="auto"/>
        <w:left w:val="none" w:sz="0" w:space="0" w:color="auto"/>
        <w:bottom w:val="none" w:sz="0" w:space="0" w:color="auto"/>
        <w:right w:val="none" w:sz="0" w:space="0" w:color="auto"/>
      </w:divBdr>
      <w:divsChild>
        <w:div w:id="1937790204">
          <w:marLeft w:val="240"/>
          <w:marRight w:val="-2400"/>
          <w:marTop w:val="0"/>
          <w:marBottom w:val="240"/>
          <w:divBdr>
            <w:top w:val="none" w:sz="0" w:space="0" w:color="auto"/>
            <w:left w:val="none" w:sz="0" w:space="0" w:color="auto"/>
            <w:bottom w:val="none" w:sz="0" w:space="0" w:color="auto"/>
            <w:right w:val="none" w:sz="0" w:space="0" w:color="auto"/>
          </w:divBdr>
          <w:divsChild>
            <w:div w:id="384060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90322607">
          <w:marLeft w:val="240"/>
          <w:marRight w:val="-2400"/>
          <w:marTop w:val="0"/>
          <w:marBottom w:val="240"/>
          <w:divBdr>
            <w:top w:val="none" w:sz="0" w:space="0" w:color="auto"/>
            <w:left w:val="none" w:sz="0" w:space="0" w:color="auto"/>
            <w:bottom w:val="none" w:sz="0" w:space="0" w:color="auto"/>
            <w:right w:val="none" w:sz="0" w:space="0" w:color="auto"/>
          </w:divBdr>
        </w:div>
        <w:div w:id="560404769">
          <w:marLeft w:val="240"/>
          <w:marRight w:val="-2400"/>
          <w:marTop w:val="0"/>
          <w:marBottom w:val="240"/>
          <w:divBdr>
            <w:top w:val="none" w:sz="0" w:space="0" w:color="auto"/>
            <w:left w:val="none" w:sz="0" w:space="0" w:color="auto"/>
            <w:bottom w:val="none" w:sz="0" w:space="0" w:color="auto"/>
            <w:right w:val="none" w:sz="0" w:space="0" w:color="auto"/>
          </w:divBdr>
          <w:divsChild>
            <w:div w:id="1747336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0325">
      <w:bodyDiv w:val="1"/>
      <w:marLeft w:val="0"/>
      <w:marRight w:val="0"/>
      <w:marTop w:val="0"/>
      <w:marBottom w:val="0"/>
      <w:divBdr>
        <w:top w:val="none" w:sz="0" w:space="0" w:color="auto"/>
        <w:left w:val="none" w:sz="0" w:space="0" w:color="auto"/>
        <w:bottom w:val="none" w:sz="0" w:space="0" w:color="auto"/>
        <w:right w:val="none" w:sz="0" w:space="0" w:color="auto"/>
      </w:divBdr>
    </w:div>
    <w:div w:id="1032458215">
      <w:bodyDiv w:val="1"/>
      <w:marLeft w:val="0"/>
      <w:marRight w:val="0"/>
      <w:marTop w:val="0"/>
      <w:marBottom w:val="0"/>
      <w:divBdr>
        <w:top w:val="none" w:sz="0" w:space="0" w:color="auto"/>
        <w:left w:val="none" w:sz="0" w:space="0" w:color="auto"/>
        <w:bottom w:val="none" w:sz="0" w:space="0" w:color="auto"/>
        <w:right w:val="none" w:sz="0" w:space="0" w:color="auto"/>
      </w:divBdr>
      <w:divsChild>
        <w:div w:id="111228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76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681108">
      <w:bodyDiv w:val="1"/>
      <w:marLeft w:val="0"/>
      <w:marRight w:val="0"/>
      <w:marTop w:val="0"/>
      <w:marBottom w:val="0"/>
      <w:divBdr>
        <w:top w:val="none" w:sz="0" w:space="0" w:color="auto"/>
        <w:left w:val="none" w:sz="0" w:space="0" w:color="auto"/>
        <w:bottom w:val="none" w:sz="0" w:space="0" w:color="auto"/>
        <w:right w:val="none" w:sz="0" w:space="0" w:color="auto"/>
      </w:divBdr>
    </w:div>
    <w:div w:id="1156800155">
      <w:bodyDiv w:val="1"/>
      <w:marLeft w:val="0"/>
      <w:marRight w:val="0"/>
      <w:marTop w:val="0"/>
      <w:marBottom w:val="0"/>
      <w:divBdr>
        <w:top w:val="none" w:sz="0" w:space="0" w:color="auto"/>
        <w:left w:val="none" w:sz="0" w:space="0" w:color="auto"/>
        <w:bottom w:val="none" w:sz="0" w:space="0" w:color="auto"/>
        <w:right w:val="none" w:sz="0" w:space="0" w:color="auto"/>
      </w:divBdr>
    </w:div>
    <w:div w:id="1203009351">
      <w:bodyDiv w:val="1"/>
      <w:marLeft w:val="0"/>
      <w:marRight w:val="0"/>
      <w:marTop w:val="0"/>
      <w:marBottom w:val="0"/>
      <w:divBdr>
        <w:top w:val="none" w:sz="0" w:space="0" w:color="auto"/>
        <w:left w:val="none" w:sz="0" w:space="0" w:color="auto"/>
        <w:bottom w:val="none" w:sz="0" w:space="0" w:color="auto"/>
        <w:right w:val="none" w:sz="0" w:space="0" w:color="auto"/>
      </w:divBdr>
    </w:div>
    <w:div w:id="1263369256">
      <w:bodyDiv w:val="1"/>
      <w:marLeft w:val="0"/>
      <w:marRight w:val="0"/>
      <w:marTop w:val="0"/>
      <w:marBottom w:val="0"/>
      <w:divBdr>
        <w:top w:val="none" w:sz="0" w:space="0" w:color="auto"/>
        <w:left w:val="none" w:sz="0" w:space="0" w:color="auto"/>
        <w:bottom w:val="none" w:sz="0" w:space="0" w:color="auto"/>
        <w:right w:val="none" w:sz="0" w:space="0" w:color="auto"/>
      </w:divBdr>
      <w:divsChild>
        <w:div w:id="778568360">
          <w:marLeft w:val="0"/>
          <w:marRight w:val="0"/>
          <w:marTop w:val="0"/>
          <w:marBottom w:val="0"/>
          <w:divBdr>
            <w:top w:val="none" w:sz="0" w:space="0" w:color="auto"/>
            <w:left w:val="none" w:sz="0" w:space="0" w:color="auto"/>
            <w:bottom w:val="none" w:sz="0" w:space="0" w:color="auto"/>
            <w:right w:val="none" w:sz="0" w:space="0" w:color="auto"/>
          </w:divBdr>
        </w:div>
        <w:div w:id="1607497047">
          <w:marLeft w:val="0"/>
          <w:marRight w:val="0"/>
          <w:marTop w:val="0"/>
          <w:marBottom w:val="0"/>
          <w:divBdr>
            <w:top w:val="none" w:sz="0" w:space="0" w:color="auto"/>
            <w:left w:val="none" w:sz="0" w:space="0" w:color="auto"/>
            <w:bottom w:val="none" w:sz="0" w:space="0" w:color="auto"/>
            <w:right w:val="none" w:sz="0" w:space="0" w:color="auto"/>
          </w:divBdr>
        </w:div>
        <w:div w:id="1067724312">
          <w:marLeft w:val="0"/>
          <w:marRight w:val="0"/>
          <w:marTop w:val="0"/>
          <w:marBottom w:val="0"/>
          <w:divBdr>
            <w:top w:val="none" w:sz="0" w:space="0" w:color="auto"/>
            <w:left w:val="none" w:sz="0" w:space="0" w:color="auto"/>
            <w:bottom w:val="none" w:sz="0" w:space="0" w:color="auto"/>
            <w:right w:val="none" w:sz="0" w:space="0" w:color="auto"/>
          </w:divBdr>
        </w:div>
        <w:div w:id="1942837061">
          <w:marLeft w:val="0"/>
          <w:marRight w:val="0"/>
          <w:marTop w:val="0"/>
          <w:marBottom w:val="0"/>
          <w:divBdr>
            <w:top w:val="none" w:sz="0" w:space="0" w:color="auto"/>
            <w:left w:val="none" w:sz="0" w:space="0" w:color="auto"/>
            <w:bottom w:val="none" w:sz="0" w:space="0" w:color="auto"/>
            <w:right w:val="none" w:sz="0" w:space="0" w:color="auto"/>
          </w:divBdr>
        </w:div>
        <w:div w:id="154997003">
          <w:marLeft w:val="0"/>
          <w:marRight w:val="0"/>
          <w:marTop w:val="0"/>
          <w:marBottom w:val="0"/>
          <w:divBdr>
            <w:top w:val="none" w:sz="0" w:space="0" w:color="auto"/>
            <w:left w:val="none" w:sz="0" w:space="0" w:color="auto"/>
            <w:bottom w:val="none" w:sz="0" w:space="0" w:color="auto"/>
            <w:right w:val="none" w:sz="0" w:space="0" w:color="auto"/>
          </w:divBdr>
        </w:div>
        <w:div w:id="1813328792">
          <w:marLeft w:val="0"/>
          <w:marRight w:val="0"/>
          <w:marTop w:val="0"/>
          <w:marBottom w:val="0"/>
          <w:divBdr>
            <w:top w:val="none" w:sz="0" w:space="0" w:color="auto"/>
            <w:left w:val="none" w:sz="0" w:space="0" w:color="auto"/>
            <w:bottom w:val="none" w:sz="0" w:space="0" w:color="auto"/>
            <w:right w:val="none" w:sz="0" w:space="0" w:color="auto"/>
          </w:divBdr>
        </w:div>
        <w:div w:id="1809712346">
          <w:marLeft w:val="0"/>
          <w:marRight w:val="0"/>
          <w:marTop w:val="0"/>
          <w:marBottom w:val="0"/>
          <w:divBdr>
            <w:top w:val="none" w:sz="0" w:space="0" w:color="auto"/>
            <w:left w:val="none" w:sz="0" w:space="0" w:color="auto"/>
            <w:bottom w:val="none" w:sz="0" w:space="0" w:color="auto"/>
            <w:right w:val="none" w:sz="0" w:space="0" w:color="auto"/>
          </w:divBdr>
        </w:div>
        <w:div w:id="442924360">
          <w:marLeft w:val="0"/>
          <w:marRight w:val="0"/>
          <w:marTop w:val="0"/>
          <w:marBottom w:val="0"/>
          <w:divBdr>
            <w:top w:val="none" w:sz="0" w:space="0" w:color="auto"/>
            <w:left w:val="none" w:sz="0" w:space="0" w:color="auto"/>
            <w:bottom w:val="none" w:sz="0" w:space="0" w:color="auto"/>
            <w:right w:val="none" w:sz="0" w:space="0" w:color="auto"/>
          </w:divBdr>
        </w:div>
        <w:div w:id="1884830729">
          <w:marLeft w:val="0"/>
          <w:marRight w:val="0"/>
          <w:marTop w:val="0"/>
          <w:marBottom w:val="0"/>
          <w:divBdr>
            <w:top w:val="none" w:sz="0" w:space="0" w:color="auto"/>
            <w:left w:val="none" w:sz="0" w:space="0" w:color="auto"/>
            <w:bottom w:val="none" w:sz="0" w:space="0" w:color="auto"/>
            <w:right w:val="none" w:sz="0" w:space="0" w:color="auto"/>
          </w:divBdr>
        </w:div>
        <w:div w:id="1056516460">
          <w:marLeft w:val="0"/>
          <w:marRight w:val="0"/>
          <w:marTop w:val="0"/>
          <w:marBottom w:val="0"/>
          <w:divBdr>
            <w:top w:val="none" w:sz="0" w:space="0" w:color="auto"/>
            <w:left w:val="none" w:sz="0" w:space="0" w:color="auto"/>
            <w:bottom w:val="none" w:sz="0" w:space="0" w:color="auto"/>
            <w:right w:val="none" w:sz="0" w:space="0" w:color="auto"/>
          </w:divBdr>
        </w:div>
        <w:div w:id="996416342">
          <w:marLeft w:val="0"/>
          <w:marRight w:val="0"/>
          <w:marTop w:val="0"/>
          <w:marBottom w:val="0"/>
          <w:divBdr>
            <w:top w:val="none" w:sz="0" w:space="0" w:color="auto"/>
            <w:left w:val="none" w:sz="0" w:space="0" w:color="auto"/>
            <w:bottom w:val="none" w:sz="0" w:space="0" w:color="auto"/>
            <w:right w:val="none" w:sz="0" w:space="0" w:color="auto"/>
          </w:divBdr>
        </w:div>
        <w:div w:id="853035125">
          <w:marLeft w:val="0"/>
          <w:marRight w:val="0"/>
          <w:marTop w:val="0"/>
          <w:marBottom w:val="0"/>
          <w:divBdr>
            <w:top w:val="none" w:sz="0" w:space="0" w:color="auto"/>
            <w:left w:val="none" w:sz="0" w:space="0" w:color="auto"/>
            <w:bottom w:val="none" w:sz="0" w:space="0" w:color="auto"/>
            <w:right w:val="none" w:sz="0" w:space="0" w:color="auto"/>
          </w:divBdr>
        </w:div>
        <w:div w:id="1213074243">
          <w:marLeft w:val="0"/>
          <w:marRight w:val="0"/>
          <w:marTop w:val="0"/>
          <w:marBottom w:val="0"/>
          <w:divBdr>
            <w:top w:val="none" w:sz="0" w:space="0" w:color="auto"/>
            <w:left w:val="none" w:sz="0" w:space="0" w:color="auto"/>
            <w:bottom w:val="none" w:sz="0" w:space="0" w:color="auto"/>
            <w:right w:val="none" w:sz="0" w:space="0" w:color="auto"/>
          </w:divBdr>
        </w:div>
        <w:div w:id="331761897">
          <w:marLeft w:val="0"/>
          <w:marRight w:val="0"/>
          <w:marTop w:val="0"/>
          <w:marBottom w:val="0"/>
          <w:divBdr>
            <w:top w:val="none" w:sz="0" w:space="0" w:color="auto"/>
            <w:left w:val="none" w:sz="0" w:space="0" w:color="auto"/>
            <w:bottom w:val="none" w:sz="0" w:space="0" w:color="auto"/>
            <w:right w:val="none" w:sz="0" w:space="0" w:color="auto"/>
          </w:divBdr>
        </w:div>
        <w:div w:id="1111125629">
          <w:marLeft w:val="0"/>
          <w:marRight w:val="0"/>
          <w:marTop w:val="0"/>
          <w:marBottom w:val="0"/>
          <w:divBdr>
            <w:top w:val="none" w:sz="0" w:space="0" w:color="auto"/>
            <w:left w:val="none" w:sz="0" w:space="0" w:color="auto"/>
            <w:bottom w:val="none" w:sz="0" w:space="0" w:color="auto"/>
            <w:right w:val="none" w:sz="0" w:space="0" w:color="auto"/>
          </w:divBdr>
        </w:div>
        <w:div w:id="1582181095">
          <w:marLeft w:val="0"/>
          <w:marRight w:val="0"/>
          <w:marTop w:val="0"/>
          <w:marBottom w:val="0"/>
          <w:divBdr>
            <w:top w:val="none" w:sz="0" w:space="0" w:color="auto"/>
            <w:left w:val="none" w:sz="0" w:space="0" w:color="auto"/>
            <w:bottom w:val="none" w:sz="0" w:space="0" w:color="auto"/>
            <w:right w:val="none" w:sz="0" w:space="0" w:color="auto"/>
          </w:divBdr>
        </w:div>
        <w:div w:id="2017229544">
          <w:marLeft w:val="0"/>
          <w:marRight w:val="0"/>
          <w:marTop w:val="0"/>
          <w:marBottom w:val="0"/>
          <w:divBdr>
            <w:top w:val="none" w:sz="0" w:space="0" w:color="auto"/>
            <w:left w:val="none" w:sz="0" w:space="0" w:color="auto"/>
            <w:bottom w:val="none" w:sz="0" w:space="0" w:color="auto"/>
            <w:right w:val="none" w:sz="0" w:space="0" w:color="auto"/>
          </w:divBdr>
        </w:div>
        <w:div w:id="1376276831">
          <w:marLeft w:val="0"/>
          <w:marRight w:val="0"/>
          <w:marTop w:val="0"/>
          <w:marBottom w:val="0"/>
          <w:divBdr>
            <w:top w:val="none" w:sz="0" w:space="0" w:color="auto"/>
            <w:left w:val="none" w:sz="0" w:space="0" w:color="auto"/>
            <w:bottom w:val="none" w:sz="0" w:space="0" w:color="auto"/>
            <w:right w:val="none" w:sz="0" w:space="0" w:color="auto"/>
          </w:divBdr>
        </w:div>
        <w:div w:id="972175084">
          <w:marLeft w:val="0"/>
          <w:marRight w:val="0"/>
          <w:marTop w:val="0"/>
          <w:marBottom w:val="0"/>
          <w:divBdr>
            <w:top w:val="none" w:sz="0" w:space="0" w:color="auto"/>
            <w:left w:val="none" w:sz="0" w:space="0" w:color="auto"/>
            <w:bottom w:val="none" w:sz="0" w:space="0" w:color="auto"/>
            <w:right w:val="none" w:sz="0" w:space="0" w:color="auto"/>
          </w:divBdr>
        </w:div>
        <w:div w:id="652762002">
          <w:marLeft w:val="0"/>
          <w:marRight w:val="0"/>
          <w:marTop w:val="0"/>
          <w:marBottom w:val="0"/>
          <w:divBdr>
            <w:top w:val="none" w:sz="0" w:space="0" w:color="auto"/>
            <w:left w:val="none" w:sz="0" w:space="0" w:color="auto"/>
            <w:bottom w:val="none" w:sz="0" w:space="0" w:color="auto"/>
            <w:right w:val="none" w:sz="0" w:space="0" w:color="auto"/>
          </w:divBdr>
        </w:div>
        <w:div w:id="330761792">
          <w:marLeft w:val="0"/>
          <w:marRight w:val="0"/>
          <w:marTop w:val="0"/>
          <w:marBottom w:val="0"/>
          <w:divBdr>
            <w:top w:val="none" w:sz="0" w:space="0" w:color="auto"/>
            <w:left w:val="none" w:sz="0" w:space="0" w:color="auto"/>
            <w:bottom w:val="none" w:sz="0" w:space="0" w:color="auto"/>
            <w:right w:val="none" w:sz="0" w:space="0" w:color="auto"/>
          </w:divBdr>
        </w:div>
        <w:div w:id="1083524131">
          <w:marLeft w:val="0"/>
          <w:marRight w:val="0"/>
          <w:marTop w:val="0"/>
          <w:marBottom w:val="0"/>
          <w:divBdr>
            <w:top w:val="none" w:sz="0" w:space="0" w:color="auto"/>
            <w:left w:val="none" w:sz="0" w:space="0" w:color="auto"/>
            <w:bottom w:val="none" w:sz="0" w:space="0" w:color="auto"/>
            <w:right w:val="none" w:sz="0" w:space="0" w:color="auto"/>
          </w:divBdr>
        </w:div>
        <w:div w:id="312610698">
          <w:marLeft w:val="0"/>
          <w:marRight w:val="0"/>
          <w:marTop w:val="0"/>
          <w:marBottom w:val="0"/>
          <w:divBdr>
            <w:top w:val="none" w:sz="0" w:space="0" w:color="auto"/>
            <w:left w:val="none" w:sz="0" w:space="0" w:color="auto"/>
            <w:bottom w:val="none" w:sz="0" w:space="0" w:color="auto"/>
            <w:right w:val="none" w:sz="0" w:space="0" w:color="auto"/>
          </w:divBdr>
        </w:div>
        <w:div w:id="716508138">
          <w:marLeft w:val="0"/>
          <w:marRight w:val="0"/>
          <w:marTop w:val="0"/>
          <w:marBottom w:val="0"/>
          <w:divBdr>
            <w:top w:val="none" w:sz="0" w:space="0" w:color="auto"/>
            <w:left w:val="none" w:sz="0" w:space="0" w:color="auto"/>
            <w:bottom w:val="none" w:sz="0" w:space="0" w:color="auto"/>
            <w:right w:val="none" w:sz="0" w:space="0" w:color="auto"/>
          </w:divBdr>
        </w:div>
        <w:div w:id="665206272">
          <w:marLeft w:val="0"/>
          <w:marRight w:val="0"/>
          <w:marTop w:val="0"/>
          <w:marBottom w:val="0"/>
          <w:divBdr>
            <w:top w:val="none" w:sz="0" w:space="0" w:color="auto"/>
            <w:left w:val="none" w:sz="0" w:space="0" w:color="auto"/>
            <w:bottom w:val="none" w:sz="0" w:space="0" w:color="auto"/>
            <w:right w:val="none" w:sz="0" w:space="0" w:color="auto"/>
          </w:divBdr>
        </w:div>
        <w:div w:id="533887870">
          <w:marLeft w:val="0"/>
          <w:marRight w:val="0"/>
          <w:marTop w:val="0"/>
          <w:marBottom w:val="0"/>
          <w:divBdr>
            <w:top w:val="none" w:sz="0" w:space="0" w:color="auto"/>
            <w:left w:val="none" w:sz="0" w:space="0" w:color="auto"/>
            <w:bottom w:val="none" w:sz="0" w:space="0" w:color="auto"/>
            <w:right w:val="none" w:sz="0" w:space="0" w:color="auto"/>
          </w:divBdr>
        </w:div>
        <w:div w:id="738332773">
          <w:marLeft w:val="0"/>
          <w:marRight w:val="0"/>
          <w:marTop w:val="0"/>
          <w:marBottom w:val="0"/>
          <w:divBdr>
            <w:top w:val="none" w:sz="0" w:space="0" w:color="auto"/>
            <w:left w:val="none" w:sz="0" w:space="0" w:color="auto"/>
            <w:bottom w:val="none" w:sz="0" w:space="0" w:color="auto"/>
            <w:right w:val="none" w:sz="0" w:space="0" w:color="auto"/>
          </w:divBdr>
        </w:div>
        <w:div w:id="2126541394">
          <w:marLeft w:val="0"/>
          <w:marRight w:val="0"/>
          <w:marTop w:val="0"/>
          <w:marBottom w:val="0"/>
          <w:divBdr>
            <w:top w:val="none" w:sz="0" w:space="0" w:color="auto"/>
            <w:left w:val="none" w:sz="0" w:space="0" w:color="auto"/>
            <w:bottom w:val="none" w:sz="0" w:space="0" w:color="auto"/>
            <w:right w:val="none" w:sz="0" w:space="0" w:color="auto"/>
          </w:divBdr>
        </w:div>
        <w:div w:id="1457914814">
          <w:marLeft w:val="0"/>
          <w:marRight w:val="0"/>
          <w:marTop w:val="0"/>
          <w:marBottom w:val="0"/>
          <w:divBdr>
            <w:top w:val="none" w:sz="0" w:space="0" w:color="auto"/>
            <w:left w:val="none" w:sz="0" w:space="0" w:color="auto"/>
            <w:bottom w:val="none" w:sz="0" w:space="0" w:color="auto"/>
            <w:right w:val="none" w:sz="0" w:space="0" w:color="auto"/>
          </w:divBdr>
        </w:div>
        <w:div w:id="615910884">
          <w:marLeft w:val="0"/>
          <w:marRight w:val="0"/>
          <w:marTop w:val="0"/>
          <w:marBottom w:val="0"/>
          <w:divBdr>
            <w:top w:val="none" w:sz="0" w:space="0" w:color="auto"/>
            <w:left w:val="none" w:sz="0" w:space="0" w:color="auto"/>
            <w:bottom w:val="none" w:sz="0" w:space="0" w:color="auto"/>
            <w:right w:val="none" w:sz="0" w:space="0" w:color="auto"/>
          </w:divBdr>
        </w:div>
        <w:div w:id="1820995558">
          <w:marLeft w:val="0"/>
          <w:marRight w:val="0"/>
          <w:marTop w:val="0"/>
          <w:marBottom w:val="0"/>
          <w:divBdr>
            <w:top w:val="none" w:sz="0" w:space="0" w:color="auto"/>
            <w:left w:val="none" w:sz="0" w:space="0" w:color="auto"/>
            <w:bottom w:val="none" w:sz="0" w:space="0" w:color="auto"/>
            <w:right w:val="none" w:sz="0" w:space="0" w:color="auto"/>
          </w:divBdr>
        </w:div>
        <w:div w:id="865211738">
          <w:marLeft w:val="0"/>
          <w:marRight w:val="0"/>
          <w:marTop w:val="0"/>
          <w:marBottom w:val="0"/>
          <w:divBdr>
            <w:top w:val="none" w:sz="0" w:space="0" w:color="auto"/>
            <w:left w:val="none" w:sz="0" w:space="0" w:color="auto"/>
            <w:bottom w:val="none" w:sz="0" w:space="0" w:color="auto"/>
            <w:right w:val="none" w:sz="0" w:space="0" w:color="auto"/>
          </w:divBdr>
        </w:div>
        <w:div w:id="1021511984">
          <w:marLeft w:val="0"/>
          <w:marRight w:val="0"/>
          <w:marTop w:val="0"/>
          <w:marBottom w:val="0"/>
          <w:divBdr>
            <w:top w:val="none" w:sz="0" w:space="0" w:color="auto"/>
            <w:left w:val="none" w:sz="0" w:space="0" w:color="auto"/>
            <w:bottom w:val="none" w:sz="0" w:space="0" w:color="auto"/>
            <w:right w:val="none" w:sz="0" w:space="0" w:color="auto"/>
          </w:divBdr>
        </w:div>
        <w:div w:id="1940718930">
          <w:marLeft w:val="0"/>
          <w:marRight w:val="0"/>
          <w:marTop w:val="0"/>
          <w:marBottom w:val="0"/>
          <w:divBdr>
            <w:top w:val="none" w:sz="0" w:space="0" w:color="auto"/>
            <w:left w:val="none" w:sz="0" w:space="0" w:color="auto"/>
            <w:bottom w:val="none" w:sz="0" w:space="0" w:color="auto"/>
            <w:right w:val="none" w:sz="0" w:space="0" w:color="auto"/>
          </w:divBdr>
        </w:div>
        <w:div w:id="395318588">
          <w:marLeft w:val="0"/>
          <w:marRight w:val="0"/>
          <w:marTop w:val="0"/>
          <w:marBottom w:val="0"/>
          <w:divBdr>
            <w:top w:val="none" w:sz="0" w:space="0" w:color="auto"/>
            <w:left w:val="none" w:sz="0" w:space="0" w:color="auto"/>
            <w:bottom w:val="none" w:sz="0" w:space="0" w:color="auto"/>
            <w:right w:val="none" w:sz="0" w:space="0" w:color="auto"/>
          </w:divBdr>
        </w:div>
        <w:div w:id="528688422">
          <w:marLeft w:val="0"/>
          <w:marRight w:val="0"/>
          <w:marTop w:val="0"/>
          <w:marBottom w:val="0"/>
          <w:divBdr>
            <w:top w:val="none" w:sz="0" w:space="0" w:color="auto"/>
            <w:left w:val="none" w:sz="0" w:space="0" w:color="auto"/>
            <w:bottom w:val="none" w:sz="0" w:space="0" w:color="auto"/>
            <w:right w:val="none" w:sz="0" w:space="0" w:color="auto"/>
          </w:divBdr>
        </w:div>
        <w:div w:id="610286890">
          <w:marLeft w:val="0"/>
          <w:marRight w:val="0"/>
          <w:marTop w:val="0"/>
          <w:marBottom w:val="0"/>
          <w:divBdr>
            <w:top w:val="none" w:sz="0" w:space="0" w:color="auto"/>
            <w:left w:val="none" w:sz="0" w:space="0" w:color="auto"/>
            <w:bottom w:val="none" w:sz="0" w:space="0" w:color="auto"/>
            <w:right w:val="none" w:sz="0" w:space="0" w:color="auto"/>
          </w:divBdr>
        </w:div>
        <w:div w:id="150609788">
          <w:marLeft w:val="0"/>
          <w:marRight w:val="0"/>
          <w:marTop w:val="0"/>
          <w:marBottom w:val="0"/>
          <w:divBdr>
            <w:top w:val="none" w:sz="0" w:space="0" w:color="auto"/>
            <w:left w:val="none" w:sz="0" w:space="0" w:color="auto"/>
            <w:bottom w:val="none" w:sz="0" w:space="0" w:color="auto"/>
            <w:right w:val="none" w:sz="0" w:space="0" w:color="auto"/>
          </w:divBdr>
        </w:div>
        <w:div w:id="1936749113">
          <w:marLeft w:val="0"/>
          <w:marRight w:val="0"/>
          <w:marTop w:val="0"/>
          <w:marBottom w:val="0"/>
          <w:divBdr>
            <w:top w:val="none" w:sz="0" w:space="0" w:color="auto"/>
            <w:left w:val="none" w:sz="0" w:space="0" w:color="auto"/>
            <w:bottom w:val="none" w:sz="0" w:space="0" w:color="auto"/>
            <w:right w:val="none" w:sz="0" w:space="0" w:color="auto"/>
          </w:divBdr>
        </w:div>
        <w:div w:id="415640035">
          <w:marLeft w:val="0"/>
          <w:marRight w:val="0"/>
          <w:marTop w:val="0"/>
          <w:marBottom w:val="0"/>
          <w:divBdr>
            <w:top w:val="none" w:sz="0" w:space="0" w:color="auto"/>
            <w:left w:val="none" w:sz="0" w:space="0" w:color="auto"/>
            <w:bottom w:val="none" w:sz="0" w:space="0" w:color="auto"/>
            <w:right w:val="none" w:sz="0" w:space="0" w:color="auto"/>
          </w:divBdr>
        </w:div>
        <w:div w:id="1956516516">
          <w:marLeft w:val="0"/>
          <w:marRight w:val="0"/>
          <w:marTop w:val="0"/>
          <w:marBottom w:val="0"/>
          <w:divBdr>
            <w:top w:val="none" w:sz="0" w:space="0" w:color="auto"/>
            <w:left w:val="none" w:sz="0" w:space="0" w:color="auto"/>
            <w:bottom w:val="none" w:sz="0" w:space="0" w:color="auto"/>
            <w:right w:val="none" w:sz="0" w:space="0" w:color="auto"/>
          </w:divBdr>
        </w:div>
        <w:div w:id="512839199">
          <w:marLeft w:val="0"/>
          <w:marRight w:val="0"/>
          <w:marTop w:val="0"/>
          <w:marBottom w:val="0"/>
          <w:divBdr>
            <w:top w:val="none" w:sz="0" w:space="0" w:color="auto"/>
            <w:left w:val="none" w:sz="0" w:space="0" w:color="auto"/>
            <w:bottom w:val="none" w:sz="0" w:space="0" w:color="auto"/>
            <w:right w:val="none" w:sz="0" w:space="0" w:color="auto"/>
          </w:divBdr>
        </w:div>
        <w:div w:id="294532508">
          <w:marLeft w:val="0"/>
          <w:marRight w:val="0"/>
          <w:marTop w:val="0"/>
          <w:marBottom w:val="0"/>
          <w:divBdr>
            <w:top w:val="none" w:sz="0" w:space="0" w:color="auto"/>
            <w:left w:val="none" w:sz="0" w:space="0" w:color="auto"/>
            <w:bottom w:val="none" w:sz="0" w:space="0" w:color="auto"/>
            <w:right w:val="none" w:sz="0" w:space="0" w:color="auto"/>
          </w:divBdr>
        </w:div>
        <w:div w:id="1126041097">
          <w:marLeft w:val="0"/>
          <w:marRight w:val="0"/>
          <w:marTop w:val="0"/>
          <w:marBottom w:val="0"/>
          <w:divBdr>
            <w:top w:val="none" w:sz="0" w:space="0" w:color="auto"/>
            <w:left w:val="none" w:sz="0" w:space="0" w:color="auto"/>
            <w:bottom w:val="none" w:sz="0" w:space="0" w:color="auto"/>
            <w:right w:val="none" w:sz="0" w:space="0" w:color="auto"/>
          </w:divBdr>
        </w:div>
        <w:div w:id="549927133">
          <w:marLeft w:val="0"/>
          <w:marRight w:val="0"/>
          <w:marTop w:val="0"/>
          <w:marBottom w:val="0"/>
          <w:divBdr>
            <w:top w:val="none" w:sz="0" w:space="0" w:color="auto"/>
            <w:left w:val="none" w:sz="0" w:space="0" w:color="auto"/>
            <w:bottom w:val="none" w:sz="0" w:space="0" w:color="auto"/>
            <w:right w:val="none" w:sz="0" w:space="0" w:color="auto"/>
          </w:divBdr>
        </w:div>
        <w:div w:id="241333763">
          <w:marLeft w:val="0"/>
          <w:marRight w:val="0"/>
          <w:marTop w:val="0"/>
          <w:marBottom w:val="0"/>
          <w:divBdr>
            <w:top w:val="none" w:sz="0" w:space="0" w:color="auto"/>
            <w:left w:val="none" w:sz="0" w:space="0" w:color="auto"/>
            <w:bottom w:val="none" w:sz="0" w:space="0" w:color="auto"/>
            <w:right w:val="none" w:sz="0" w:space="0" w:color="auto"/>
          </w:divBdr>
        </w:div>
        <w:div w:id="152259065">
          <w:marLeft w:val="0"/>
          <w:marRight w:val="0"/>
          <w:marTop w:val="0"/>
          <w:marBottom w:val="0"/>
          <w:divBdr>
            <w:top w:val="none" w:sz="0" w:space="0" w:color="auto"/>
            <w:left w:val="none" w:sz="0" w:space="0" w:color="auto"/>
            <w:bottom w:val="none" w:sz="0" w:space="0" w:color="auto"/>
            <w:right w:val="none" w:sz="0" w:space="0" w:color="auto"/>
          </w:divBdr>
        </w:div>
        <w:div w:id="2144999837">
          <w:marLeft w:val="0"/>
          <w:marRight w:val="0"/>
          <w:marTop w:val="0"/>
          <w:marBottom w:val="0"/>
          <w:divBdr>
            <w:top w:val="none" w:sz="0" w:space="0" w:color="auto"/>
            <w:left w:val="none" w:sz="0" w:space="0" w:color="auto"/>
            <w:bottom w:val="none" w:sz="0" w:space="0" w:color="auto"/>
            <w:right w:val="none" w:sz="0" w:space="0" w:color="auto"/>
          </w:divBdr>
        </w:div>
        <w:div w:id="829057778">
          <w:marLeft w:val="0"/>
          <w:marRight w:val="0"/>
          <w:marTop w:val="0"/>
          <w:marBottom w:val="0"/>
          <w:divBdr>
            <w:top w:val="none" w:sz="0" w:space="0" w:color="auto"/>
            <w:left w:val="none" w:sz="0" w:space="0" w:color="auto"/>
            <w:bottom w:val="none" w:sz="0" w:space="0" w:color="auto"/>
            <w:right w:val="none" w:sz="0" w:space="0" w:color="auto"/>
          </w:divBdr>
        </w:div>
        <w:div w:id="1659504187">
          <w:marLeft w:val="0"/>
          <w:marRight w:val="0"/>
          <w:marTop w:val="0"/>
          <w:marBottom w:val="0"/>
          <w:divBdr>
            <w:top w:val="none" w:sz="0" w:space="0" w:color="auto"/>
            <w:left w:val="none" w:sz="0" w:space="0" w:color="auto"/>
            <w:bottom w:val="none" w:sz="0" w:space="0" w:color="auto"/>
            <w:right w:val="none" w:sz="0" w:space="0" w:color="auto"/>
          </w:divBdr>
        </w:div>
        <w:div w:id="515583720">
          <w:marLeft w:val="0"/>
          <w:marRight w:val="0"/>
          <w:marTop w:val="0"/>
          <w:marBottom w:val="0"/>
          <w:divBdr>
            <w:top w:val="none" w:sz="0" w:space="0" w:color="auto"/>
            <w:left w:val="none" w:sz="0" w:space="0" w:color="auto"/>
            <w:bottom w:val="none" w:sz="0" w:space="0" w:color="auto"/>
            <w:right w:val="none" w:sz="0" w:space="0" w:color="auto"/>
          </w:divBdr>
        </w:div>
        <w:div w:id="2127967260">
          <w:marLeft w:val="0"/>
          <w:marRight w:val="0"/>
          <w:marTop w:val="0"/>
          <w:marBottom w:val="0"/>
          <w:divBdr>
            <w:top w:val="none" w:sz="0" w:space="0" w:color="auto"/>
            <w:left w:val="none" w:sz="0" w:space="0" w:color="auto"/>
            <w:bottom w:val="none" w:sz="0" w:space="0" w:color="auto"/>
            <w:right w:val="none" w:sz="0" w:space="0" w:color="auto"/>
          </w:divBdr>
        </w:div>
        <w:div w:id="862012458">
          <w:marLeft w:val="0"/>
          <w:marRight w:val="0"/>
          <w:marTop w:val="0"/>
          <w:marBottom w:val="0"/>
          <w:divBdr>
            <w:top w:val="none" w:sz="0" w:space="0" w:color="auto"/>
            <w:left w:val="none" w:sz="0" w:space="0" w:color="auto"/>
            <w:bottom w:val="none" w:sz="0" w:space="0" w:color="auto"/>
            <w:right w:val="none" w:sz="0" w:space="0" w:color="auto"/>
          </w:divBdr>
        </w:div>
        <w:div w:id="276835918">
          <w:marLeft w:val="0"/>
          <w:marRight w:val="0"/>
          <w:marTop w:val="0"/>
          <w:marBottom w:val="0"/>
          <w:divBdr>
            <w:top w:val="none" w:sz="0" w:space="0" w:color="auto"/>
            <w:left w:val="none" w:sz="0" w:space="0" w:color="auto"/>
            <w:bottom w:val="none" w:sz="0" w:space="0" w:color="auto"/>
            <w:right w:val="none" w:sz="0" w:space="0" w:color="auto"/>
          </w:divBdr>
        </w:div>
        <w:div w:id="1786735208">
          <w:marLeft w:val="0"/>
          <w:marRight w:val="0"/>
          <w:marTop w:val="0"/>
          <w:marBottom w:val="0"/>
          <w:divBdr>
            <w:top w:val="none" w:sz="0" w:space="0" w:color="auto"/>
            <w:left w:val="none" w:sz="0" w:space="0" w:color="auto"/>
            <w:bottom w:val="none" w:sz="0" w:space="0" w:color="auto"/>
            <w:right w:val="none" w:sz="0" w:space="0" w:color="auto"/>
          </w:divBdr>
        </w:div>
        <w:div w:id="1065949728">
          <w:marLeft w:val="0"/>
          <w:marRight w:val="0"/>
          <w:marTop w:val="0"/>
          <w:marBottom w:val="0"/>
          <w:divBdr>
            <w:top w:val="none" w:sz="0" w:space="0" w:color="auto"/>
            <w:left w:val="none" w:sz="0" w:space="0" w:color="auto"/>
            <w:bottom w:val="none" w:sz="0" w:space="0" w:color="auto"/>
            <w:right w:val="none" w:sz="0" w:space="0" w:color="auto"/>
          </w:divBdr>
        </w:div>
        <w:div w:id="1495796497">
          <w:marLeft w:val="0"/>
          <w:marRight w:val="0"/>
          <w:marTop w:val="0"/>
          <w:marBottom w:val="0"/>
          <w:divBdr>
            <w:top w:val="none" w:sz="0" w:space="0" w:color="auto"/>
            <w:left w:val="none" w:sz="0" w:space="0" w:color="auto"/>
            <w:bottom w:val="none" w:sz="0" w:space="0" w:color="auto"/>
            <w:right w:val="none" w:sz="0" w:space="0" w:color="auto"/>
          </w:divBdr>
        </w:div>
        <w:div w:id="663095704">
          <w:marLeft w:val="0"/>
          <w:marRight w:val="0"/>
          <w:marTop w:val="0"/>
          <w:marBottom w:val="0"/>
          <w:divBdr>
            <w:top w:val="none" w:sz="0" w:space="0" w:color="auto"/>
            <w:left w:val="none" w:sz="0" w:space="0" w:color="auto"/>
            <w:bottom w:val="none" w:sz="0" w:space="0" w:color="auto"/>
            <w:right w:val="none" w:sz="0" w:space="0" w:color="auto"/>
          </w:divBdr>
        </w:div>
        <w:div w:id="159468145">
          <w:marLeft w:val="0"/>
          <w:marRight w:val="0"/>
          <w:marTop w:val="0"/>
          <w:marBottom w:val="0"/>
          <w:divBdr>
            <w:top w:val="none" w:sz="0" w:space="0" w:color="auto"/>
            <w:left w:val="none" w:sz="0" w:space="0" w:color="auto"/>
            <w:bottom w:val="none" w:sz="0" w:space="0" w:color="auto"/>
            <w:right w:val="none" w:sz="0" w:space="0" w:color="auto"/>
          </w:divBdr>
        </w:div>
        <w:div w:id="1960720578">
          <w:marLeft w:val="0"/>
          <w:marRight w:val="0"/>
          <w:marTop w:val="0"/>
          <w:marBottom w:val="0"/>
          <w:divBdr>
            <w:top w:val="none" w:sz="0" w:space="0" w:color="auto"/>
            <w:left w:val="none" w:sz="0" w:space="0" w:color="auto"/>
            <w:bottom w:val="none" w:sz="0" w:space="0" w:color="auto"/>
            <w:right w:val="none" w:sz="0" w:space="0" w:color="auto"/>
          </w:divBdr>
        </w:div>
        <w:div w:id="312952495">
          <w:marLeft w:val="0"/>
          <w:marRight w:val="0"/>
          <w:marTop w:val="0"/>
          <w:marBottom w:val="0"/>
          <w:divBdr>
            <w:top w:val="none" w:sz="0" w:space="0" w:color="auto"/>
            <w:left w:val="none" w:sz="0" w:space="0" w:color="auto"/>
            <w:bottom w:val="none" w:sz="0" w:space="0" w:color="auto"/>
            <w:right w:val="none" w:sz="0" w:space="0" w:color="auto"/>
          </w:divBdr>
        </w:div>
        <w:div w:id="1153444784">
          <w:marLeft w:val="0"/>
          <w:marRight w:val="0"/>
          <w:marTop w:val="0"/>
          <w:marBottom w:val="0"/>
          <w:divBdr>
            <w:top w:val="none" w:sz="0" w:space="0" w:color="auto"/>
            <w:left w:val="none" w:sz="0" w:space="0" w:color="auto"/>
            <w:bottom w:val="none" w:sz="0" w:space="0" w:color="auto"/>
            <w:right w:val="none" w:sz="0" w:space="0" w:color="auto"/>
          </w:divBdr>
        </w:div>
        <w:div w:id="44569246">
          <w:marLeft w:val="0"/>
          <w:marRight w:val="0"/>
          <w:marTop w:val="0"/>
          <w:marBottom w:val="0"/>
          <w:divBdr>
            <w:top w:val="none" w:sz="0" w:space="0" w:color="auto"/>
            <w:left w:val="none" w:sz="0" w:space="0" w:color="auto"/>
            <w:bottom w:val="none" w:sz="0" w:space="0" w:color="auto"/>
            <w:right w:val="none" w:sz="0" w:space="0" w:color="auto"/>
          </w:divBdr>
        </w:div>
        <w:div w:id="1215237546">
          <w:marLeft w:val="0"/>
          <w:marRight w:val="0"/>
          <w:marTop w:val="0"/>
          <w:marBottom w:val="0"/>
          <w:divBdr>
            <w:top w:val="none" w:sz="0" w:space="0" w:color="auto"/>
            <w:left w:val="none" w:sz="0" w:space="0" w:color="auto"/>
            <w:bottom w:val="none" w:sz="0" w:space="0" w:color="auto"/>
            <w:right w:val="none" w:sz="0" w:space="0" w:color="auto"/>
          </w:divBdr>
        </w:div>
        <w:div w:id="1042901123">
          <w:marLeft w:val="0"/>
          <w:marRight w:val="0"/>
          <w:marTop w:val="0"/>
          <w:marBottom w:val="0"/>
          <w:divBdr>
            <w:top w:val="none" w:sz="0" w:space="0" w:color="auto"/>
            <w:left w:val="none" w:sz="0" w:space="0" w:color="auto"/>
            <w:bottom w:val="none" w:sz="0" w:space="0" w:color="auto"/>
            <w:right w:val="none" w:sz="0" w:space="0" w:color="auto"/>
          </w:divBdr>
        </w:div>
        <w:div w:id="412434295">
          <w:marLeft w:val="0"/>
          <w:marRight w:val="0"/>
          <w:marTop w:val="0"/>
          <w:marBottom w:val="0"/>
          <w:divBdr>
            <w:top w:val="none" w:sz="0" w:space="0" w:color="auto"/>
            <w:left w:val="none" w:sz="0" w:space="0" w:color="auto"/>
            <w:bottom w:val="none" w:sz="0" w:space="0" w:color="auto"/>
            <w:right w:val="none" w:sz="0" w:space="0" w:color="auto"/>
          </w:divBdr>
        </w:div>
        <w:div w:id="1518957182">
          <w:marLeft w:val="0"/>
          <w:marRight w:val="0"/>
          <w:marTop w:val="0"/>
          <w:marBottom w:val="0"/>
          <w:divBdr>
            <w:top w:val="none" w:sz="0" w:space="0" w:color="auto"/>
            <w:left w:val="none" w:sz="0" w:space="0" w:color="auto"/>
            <w:bottom w:val="none" w:sz="0" w:space="0" w:color="auto"/>
            <w:right w:val="none" w:sz="0" w:space="0" w:color="auto"/>
          </w:divBdr>
        </w:div>
        <w:div w:id="47147842">
          <w:marLeft w:val="0"/>
          <w:marRight w:val="0"/>
          <w:marTop w:val="0"/>
          <w:marBottom w:val="0"/>
          <w:divBdr>
            <w:top w:val="none" w:sz="0" w:space="0" w:color="auto"/>
            <w:left w:val="none" w:sz="0" w:space="0" w:color="auto"/>
            <w:bottom w:val="none" w:sz="0" w:space="0" w:color="auto"/>
            <w:right w:val="none" w:sz="0" w:space="0" w:color="auto"/>
          </w:divBdr>
        </w:div>
        <w:div w:id="1701196724">
          <w:marLeft w:val="0"/>
          <w:marRight w:val="0"/>
          <w:marTop w:val="0"/>
          <w:marBottom w:val="0"/>
          <w:divBdr>
            <w:top w:val="none" w:sz="0" w:space="0" w:color="auto"/>
            <w:left w:val="none" w:sz="0" w:space="0" w:color="auto"/>
            <w:bottom w:val="none" w:sz="0" w:space="0" w:color="auto"/>
            <w:right w:val="none" w:sz="0" w:space="0" w:color="auto"/>
          </w:divBdr>
        </w:div>
        <w:div w:id="137499822">
          <w:marLeft w:val="0"/>
          <w:marRight w:val="0"/>
          <w:marTop w:val="0"/>
          <w:marBottom w:val="0"/>
          <w:divBdr>
            <w:top w:val="none" w:sz="0" w:space="0" w:color="auto"/>
            <w:left w:val="none" w:sz="0" w:space="0" w:color="auto"/>
            <w:bottom w:val="none" w:sz="0" w:space="0" w:color="auto"/>
            <w:right w:val="none" w:sz="0" w:space="0" w:color="auto"/>
          </w:divBdr>
        </w:div>
        <w:div w:id="1975522427">
          <w:marLeft w:val="0"/>
          <w:marRight w:val="0"/>
          <w:marTop w:val="0"/>
          <w:marBottom w:val="0"/>
          <w:divBdr>
            <w:top w:val="none" w:sz="0" w:space="0" w:color="auto"/>
            <w:left w:val="none" w:sz="0" w:space="0" w:color="auto"/>
            <w:bottom w:val="none" w:sz="0" w:space="0" w:color="auto"/>
            <w:right w:val="none" w:sz="0" w:space="0" w:color="auto"/>
          </w:divBdr>
        </w:div>
        <w:div w:id="1396708563">
          <w:marLeft w:val="0"/>
          <w:marRight w:val="0"/>
          <w:marTop w:val="0"/>
          <w:marBottom w:val="0"/>
          <w:divBdr>
            <w:top w:val="none" w:sz="0" w:space="0" w:color="auto"/>
            <w:left w:val="none" w:sz="0" w:space="0" w:color="auto"/>
            <w:bottom w:val="none" w:sz="0" w:space="0" w:color="auto"/>
            <w:right w:val="none" w:sz="0" w:space="0" w:color="auto"/>
          </w:divBdr>
        </w:div>
        <w:div w:id="1838299990">
          <w:marLeft w:val="0"/>
          <w:marRight w:val="0"/>
          <w:marTop w:val="0"/>
          <w:marBottom w:val="0"/>
          <w:divBdr>
            <w:top w:val="none" w:sz="0" w:space="0" w:color="auto"/>
            <w:left w:val="none" w:sz="0" w:space="0" w:color="auto"/>
            <w:bottom w:val="none" w:sz="0" w:space="0" w:color="auto"/>
            <w:right w:val="none" w:sz="0" w:space="0" w:color="auto"/>
          </w:divBdr>
        </w:div>
        <w:div w:id="1674525568">
          <w:marLeft w:val="0"/>
          <w:marRight w:val="0"/>
          <w:marTop w:val="0"/>
          <w:marBottom w:val="0"/>
          <w:divBdr>
            <w:top w:val="none" w:sz="0" w:space="0" w:color="auto"/>
            <w:left w:val="none" w:sz="0" w:space="0" w:color="auto"/>
            <w:bottom w:val="none" w:sz="0" w:space="0" w:color="auto"/>
            <w:right w:val="none" w:sz="0" w:space="0" w:color="auto"/>
          </w:divBdr>
        </w:div>
        <w:div w:id="754783480">
          <w:marLeft w:val="0"/>
          <w:marRight w:val="0"/>
          <w:marTop w:val="0"/>
          <w:marBottom w:val="0"/>
          <w:divBdr>
            <w:top w:val="none" w:sz="0" w:space="0" w:color="auto"/>
            <w:left w:val="none" w:sz="0" w:space="0" w:color="auto"/>
            <w:bottom w:val="none" w:sz="0" w:space="0" w:color="auto"/>
            <w:right w:val="none" w:sz="0" w:space="0" w:color="auto"/>
          </w:divBdr>
        </w:div>
        <w:div w:id="1920406091">
          <w:marLeft w:val="0"/>
          <w:marRight w:val="0"/>
          <w:marTop w:val="0"/>
          <w:marBottom w:val="0"/>
          <w:divBdr>
            <w:top w:val="none" w:sz="0" w:space="0" w:color="auto"/>
            <w:left w:val="none" w:sz="0" w:space="0" w:color="auto"/>
            <w:bottom w:val="none" w:sz="0" w:space="0" w:color="auto"/>
            <w:right w:val="none" w:sz="0" w:space="0" w:color="auto"/>
          </w:divBdr>
        </w:div>
        <w:div w:id="1469976681">
          <w:marLeft w:val="0"/>
          <w:marRight w:val="0"/>
          <w:marTop w:val="0"/>
          <w:marBottom w:val="0"/>
          <w:divBdr>
            <w:top w:val="none" w:sz="0" w:space="0" w:color="auto"/>
            <w:left w:val="none" w:sz="0" w:space="0" w:color="auto"/>
            <w:bottom w:val="none" w:sz="0" w:space="0" w:color="auto"/>
            <w:right w:val="none" w:sz="0" w:space="0" w:color="auto"/>
          </w:divBdr>
        </w:div>
        <w:div w:id="310838523">
          <w:marLeft w:val="0"/>
          <w:marRight w:val="0"/>
          <w:marTop w:val="0"/>
          <w:marBottom w:val="0"/>
          <w:divBdr>
            <w:top w:val="none" w:sz="0" w:space="0" w:color="auto"/>
            <w:left w:val="none" w:sz="0" w:space="0" w:color="auto"/>
            <w:bottom w:val="none" w:sz="0" w:space="0" w:color="auto"/>
            <w:right w:val="none" w:sz="0" w:space="0" w:color="auto"/>
          </w:divBdr>
        </w:div>
        <w:div w:id="706444394">
          <w:marLeft w:val="0"/>
          <w:marRight w:val="0"/>
          <w:marTop w:val="0"/>
          <w:marBottom w:val="0"/>
          <w:divBdr>
            <w:top w:val="none" w:sz="0" w:space="0" w:color="auto"/>
            <w:left w:val="none" w:sz="0" w:space="0" w:color="auto"/>
            <w:bottom w:val="none" w:sz="0" w:space="0" w:color="auto"/>
            <w:right w:val="none" w:sz="0" w:space="0" w:color="auto"/>
          </w:divBdr>
        </w:div>
        <w:div w:id="739866314">
          <w:marLeft w:val="0"/>
          <w:marRight w:val="0"/>
          <w:marTop w:val="0"/>
          <w:marBottom w:val="0"/>
          <w:divBdr>
            <w:top w:val="none" w:sz="0" w:space="0" w:color="auto"/>
            <w:left w:val="none" w:sz="0" w:space="0" w:color="auto"/>
            <w:bottom w:val="none" w:sz="0" w:space="0" w:color="auto"/>
            <w:right w:val="none" w:sz="0" w:space="0" w:color="auto"/>
          </w:divBdr>
        </w:div>
        <w:div w:id="1139686143">
          <w:marLeft w:val="0"/>
          <w:marRight w:val="0"/>
          <w:marTop w:val="0"/>
          <w:marBottom w:val="0"/>
          <w:divBdr>
            <w:top w:val="none" w:sz="0" w:space="0" w:color="auto"/>
            <w:left w:val="none" w:sz="0" w:space="0" w:color="auto"/>
            <w:bottom w:val="none" w:sz="0" w:space="0" w:color="auto"/>
            <w:right w:val="none" w:sz="0" w:space="0" w:color="auto"/>
          </w:divBdr>
        </w:div>
        <w:div w:id="1763139718">
          <w:marLeft w:val="0"/>
          <w:marRight w:val="0"/>
          <w:marTop w:val="0"/>
          <w:marBottom w:val="0"/>
          <w:divBdr>
            <w:top w:val="none" w:sz="0" w:space="0" w:color="auto"/>
            <w:left w:val="none" w:sz="0" w:space="0" w:color="auto"/>
            <w:bottom w:val="none" w:sz="0" w:space="0" w:color="auto"/>
            <w:right w:val="none" w:sz="0" w:space="0" w:color="auto"/>
          </w:divBdr>
        </w:div>
        <w:div w:id="657419326">
          <w:marLeft w:val="0"/>
          <w:marRight w:val="0"/>
          <w:marTop w:val="0"/>
          <w:marBottom w:val="0"/>
          <w:divBdr>
            <w:top w:val="none" w:sz="0" w:space="0" w:color="auto"/>
            <w:left w:val="none" w:sz="0" w:space="0" w:color="auto"/>
            <w:bottom w:val="none" w:sz="0" w:space="0" w:color="auto"/>
            <w:right w:val="none" w:sz="0" w:space="0" w:color="auto"/>
          </w:divBdr>
        </w:div>
        <w:div w:id="815492780">
          <w:marLeft w:val="0"/>
          <w:marRight w:val="0"/>
          <w:marTop w:val="0"/>
          <w:marBottom w:val="0"/>
          <w:divBdr>
            <w:top w:val="none" w:sz="0" w:space="0" w:color="auto"/>
            <w:left w:val="none" w:sz="0" w:space="0" w:color="auto"/>
            <w:bottom w:val="none" w:sz="0" w:space="0" w:color="auto"/>
            <w:right w:val="none" w:sz="0" w:space="0" w:color="auto"/>
          </w:divBdr>
        </w:div>
        <w:div w:id="1951012573">
          <w:marLeft w:val="0"/>
          <w:marRight w:val="0"/>
          <w:marTop w:val="0"/>
          <w:marBottom w:val="0"/>
          <w:divBdr>
            <w:top w:val="none" w:sz="0" w:space="0" w:color="auto"/>
            <w:left w:val="none" w:sz="0" w:space="0" w:color="auto"/>
            <w:bottom w:val="none" w:sz="0" w:space="0" w:color="auto"/>
            <w:right w:val="none" w:sz="0" w:space="0" w:color="auto"/>
          </w:divBdr>
        </w:div>
        <w:div w:id="777599862">
          <w:marLeft w:val="0"/>
          <w:marRight w:val="0"/>
          <w:marTop w:val="0"/>
          <w:marBottom w:val="0"/>
          <w:divBdr>
            <w:top w:val="none" w:sz="0" w:space="0" w:color="auto"/>
            <w:left w:val="none" w:sz="0" w:space="0" w:color="auto"/>
            <w:bottom w:val="none" w:sz="0" w:space="0" w:color="auto"/>
            <w:right w:val="none" w:sz="0" w:space="0" w:color="auto"/>
          </w:divBdr>
        </w:div>
        <w:div w:id="777793887">
          <w:marLeft w:val="0"/>
          <w:marRight w:val="0"/>
          <w:marTop w:val="0"/>
          <w:marBottom w:val="0"/>
          <w:divBdr>
            <w:top w:val="none" w:sz="0" w:space="0" w:color="auto"/>
            <w:left w:val="none" w:sz="0" w:space="0" w:color="auto"/>
            <w:bottom w:val="none" w:sz="0" w:space="0" w:color="auto"/>
            <w:right w:val="none" w:sz="0" w:space="0" w:color="auto"/>
          </w:divBdr>
        </w:div>
        <w:div w:id="740828021">
          <w:marLeft w:val="0"/>
          <w:marRight w:val="0"/>
          <w:marTop w:val="0"/>
          <w:marBottom w:val="0"/>
          <w:divBdr>
            <w:top w:val="none" w:sz="0" w:space="0" w:color="auto"/>
            <w:left w:val="none" w:sz="0" w:space="0" w:color="auto"/>
            <w:bottom w:val="none" w:sz="0" w:space="0" w:color="auto"/>
            <w:right w:val="none" w:sz="0" w:space="0" w:color="auto"/>
          </w:divBdr>
        </w:div>
        <w:div w:id="1296373074">
          <w:marLeft w:val="0"/>
          <w:marRight w:val="0"/>
          <w:marTop w:val="0"/>
          <w:marBottom w:val="0"/>
          <w:divBdr>
            <w:top w:val="none" w:sz="0" w:space="0" w:color="auto"/>
            <w:left w:val="none" w:sz="0" w:space="0" w:color="auto"/>
            <w:bottom w:val="none" w:sz="0" w:space="0" w:color="auto"/>
            <w:right w:val="none" w:sz="0" w:space="0" w:color="auto"/>
          </w:divBdr>
        </w:div>
        <w:div w:id="1971395056">
          <w:marLeft w:val="0"/>
          <w:marRight w:val="0"/>
          <w:marTop w:val="0"/>
          <w:marBottom w:val="0"/>
          <w:divBdr>
            <w:top w:val="none" w:sz="0" w:space="0" w:color="auto"/>
            <w:left w:val="none" w:sz="0" w:space="0" w:color="auto"/>
            <w:bottom w:val="none" w:sz="0" w:space="0" w:color="auto"/>
            <w:right w:val="none" w:sz="0" w:space="0" w:color="auto"/>
          </w:divBdr>
        </w:div>
        <w:div w:id="259067056">
          <w:marLeft w:val="0"/>
          <w:marRight w:val="0"/>
          <w:marTop w:val="0"/>
          <w:marBottom w:val="0"/>
          <w:divBdr>
            <w:top w:val="none" w:sz="0" w:space="0" w:color="auto"/>
            <w:left w:val="none" w:sz="0" w:space="0" w:color="auto"/>
            <w:bottom w:val="none" w:sz="0" w:space="0" w:color="auto"/>
            <w:right w:val="none" w:sz="0" w:space="0" w:color="auto"/>
          </w:divBdr>
        </w:div>
        <w:div w:id="1250310926">
          <w:marLeft w:val="0"/>
          <w:marRight w:val="0"/>
          <w:marTop w:val="0"/>
          <w:marBottom w:val="0"/>
          <w:divBdr>
            <w:top w:val="none" w:sz="0" w:space="0" w:color="auto"/>
            <w:left w:val="none" w:sz="0" w:space="0" w:color="auto"/>
            <w:bottom w:val="none" w:sz="0" w:space="0" w:color="auto"/>
            <w:right w:val="none" w:sz="0" w:space="0" w:color="auto"/>
          </w:divBdr>
        </w:div>
        <w:div w:id="689062545">
          <w:marLeft w:val="0"/>
          <w:marRight w:val="0"/>
          <w:marTop w:val="0"/>
          <w:marBottom w:val="0"/>
          <w:divBdr>
            <w:top w:val="none" w:sz="0" w:space="0" w:color="auto"/>
            <w:left w:val="none" w:sz="0" w:space="0" w:color="auto"/>
            <w:bottom w:val="none" w:sz="0" w:space="0" w:color="auto"/>
            <w:right w:val="none" w:sz="0" w:space="0" w:color="auto"/>
          </w:divBdr>
        </w:div>
        <w:div w:id="1084764694">
          <w:marLeft w:val="0"/>
          <w:marRight w:val="0"/>
          <w:marTop w:val="0"/>
          <w:marBottom w:val="0"/>
          <w:divBdr>
            <w:top w:val="none" w:sz="0" w:space="0" w:color="auto"/>
            <w:left w:val="none" w:sz="0" w:space="0" w:color="auto"/>
            <w:bottom w:val="none" w:sz="0" w:space="0" w:color="auto"/>
            <w:right w:val="none" w:sz="0" w:space="0" w:color="auto"/>
          </w:divBdr>
        </w:div>
        <w:div w:id="197813028">
          <w:marLeft w:val="0"/>
          <w:marRight w:val="0"/>
          <w:marTop w:val="0"/>
          <w:marBottom w:val="0"/>
          <w:divBdr>
            <w:top w:val="none" w:sz="0" w:space="0" w:color="auto"/>
            <w:left w:val="none" w:sz="0" w:space="0" w:color="auto"/>
            <w:bottom w:val="none" w:sz="0" w:space="0" w:color="auto"/>
            <w:right w:val="none" w:sz="0" w:space="0" w:color="auto"/>
          </w:divBdr>
        </w:div>
        <w:div w:id="1940525680">
          <w:marLeft w:val="0"/>
          <w:marRight w:val="0"/>
          <w:marTop w:val="0"/>
          <w:marBottom w:val="0"/>
          <w:divBdr>
            <w:top w:val="none" w:sz="0" w:space="0" w:color="auto"/>
            <w:left w:val="none" w:sz="0" w:space="0" w:color="auto"/>
            <w:bottom w:val="none" w:sz="0" w:space="0" w:color="auto"/>
            <w:right w:val="none" w:sz="0" w:space="0" w:color="auto"/>
          </w:divBdr>
        </w:div>
        <w:div w:id="1752848547">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 w:id="469900883">
          <w:marLeft w:val="0"/>
          <w:marRight w:val="0"/>
          <w:marTop w:val="0"/>
          <w:marBottom w:val="0"/>
          <w:divBdr>
            <w:top w:val="none" w:sz="0" w:space="0" w:color="auto"/>
            <w:left w:val="none" w:sz="0" w:space="0" w:color="auto"/>
            <w:bottom w:val="none" w:sz="0" w:space="0" w:color="auto"/>
            <w:right w:val="none" w:sz="0" w:space="0" w:color="auto"/>
          </w:divBdr>
        </w:div>
        <w:div w:id="1534610711">
          <w:marLeft w:val="0"/>
          <w:marRight w:val="0"/>
          <w:marTop w:val="0"/>
          <w:marBottom w:val="0"/>
          <w:divBdr>
            <w:top w:val="none" w:sz="0" w:space="0" w:color="auto"/>
            <w:left w:val="none" w:sz="0" w:space="0" w:color="auto"/>
            <w:bottom w:val="none" w:sz="0" w:space="0" w:color="auto"/>
            <w:right w:val="none" w:sz="0" w:space="0" w:color="auto"/>
          </w:divBdr>
        </w:div>
        <w:div w:id="124279843">
          <w:marLeft w:val="0"/>
          <w:marRight w:val="0"/>
          <w:marTop w:val="0"/>
          <w:marBottom w:val="0"/>
          <w:divBdr>
            <w:top w:val="none" w:sz="0" w:space="0" w:color="auto"/>
            <w:left w:val="none" w:sz="0" w:space="0" w:color="auto"/>
            <w:bottom w:val="none" w:sz="0" w:space="0" w:color="auto"/>
            <w:right w:val="none" w:sz="0" w:space="0" w:color="auto"/>
          </w:divBdr>
        </w:div>
        <w:div w:id="1044718099">
          <w:marLeft w:val="0"/>
          <w:marRight w:val="0"/>
          <w:marTop w:val="0"/>
          <w:marBottom w:val="0"/>
          <w:divBdr>
            <w:top w:val="none" w:sz="0" w:space="0" w:color="auto"/>
            <w:left w:val="none" w:sz="0" w:space="0" w:color="auto"/>
            <w:bottom w:val="none" w:sz="0" w:space="0" w:color="auto"/>
            <w:right w:val="none" w:sz="0" w:space="0" w:color="auto"/>
          </w:divBdr>
        </w:div>
        <w:div w:id="1410886010">
          <w:marLeft w:val="0"/>
          <w:marRight w:val="0"/>
          <w:marTop w:val="0"/>
          <w:marBottom w:val="0"/>
          <w:divBdr>
            <w:top w:val="none" w:sz="0" w:space="0" w:color="auto"/>
            <w:left w:val="none" w:sz="0" w:space="0" w:color="auto"/>
            <w:bottom w:val="none" w:sz="0" w:space="0" w:color="auto"/>
            <w:right w:val="none" w:sz="0" w:space="0" w:color="auto"/>
          </w:divBdr>
        </w:div>
        <w:div w:id="212428643">
          <w:marLeft w:val="0"/>
          <w:marRight w:val="0"/>
          <w:marTop w:val="0"/>
          <w:marBottom w:val="0"/>
          <w:divBdr>
            <w:top w:val="none" w:sz="0" w:space="0" w:color="auto"/>
            <w:left w:val="none" w:sz="0" w:space="0" w:color="auto"/>
            <w:bottom w:val="none" w:sz="0" w:space="0" w:color="auto"/>
            <w:right w:val="none" w:sz="0" w:space="0" w:color="auto"/>
          </w:divBdr>
        </w:div>
        <w:div w:id="1490903176">
          <w:marLeft w:val="0"/>
          <w:marRight w:val="0"/>
          <w:marTop w:val="0"/>
          <w:marBottom w:val="0"/>
          <w:divBdr>
            <w:top w:val="none" w:sz="0" w:space="0" w:color="auto"/>
            <w:left w:val="none" w:sz="0" w:space="0" w:color="auto"/>
            <w:bottom w:val="none" w:sz="0" w:space="0" w:color="auto"/>
            <w:right w:val="none" w:sz="0" w:space="0" w:color="auto"/>
          </w:divBdr>
        </w:div>
        <w:div w:id="1466005626">
          <w:marLeft w:val="0"/>
          <w:marRight w:val="0"/>
          <w:marTop w:val="0"/>
          <w:marBottom w:val="0"/>
          <w:divBdr>
            <w:top w:val="none" w:sz="0" w:space="0" w:color="auto"/>
            <w:left w:val="none" w:sz="0" w:space="0" w:color="auto"/>
            <w:bottom w:val="none" w:sz="0" w:space="0" w:color="auto"/>
            <w:right w:val="none" w:sz="0" w:space="0" w:color="auto"/>
          </w:divBdr>
        </w:div>
        <w:div w:id="2123725093">
          <w:marLeft w:val="0"/>
          <w:marRight w:val="0"/>
          <w:marTop w:val="0"/>
          <w:marBottom w:val="0"/>
          <w:divBdr>
            <w:top w:val="none" w:sz="0" w:space="0" w:color="auto"/>
            <w:left w:val="none" w:sz="0" w:space="0" w:color="auto"/>
            <w:bottom w:val="none" w:sz="0" w:space="0" w:color="auto"/>
            <w:right w:val="none" w:sz="0" w:space="0" w:color="auto"/>
          </w:divBdr>
        </w:div>
        <w:div w:id="967783989">
          <w:marLeft w:val="0"/>
          <w:marRight w:val="0"/>
          <w:marTop w:val="0"/>
          <w:marBottom w:val="0"/>
          <w:divBdr>
            <w:top w:val="none" w:sz="0" w:space="0" w:color="auto"/>
            <w:left w:val="none" w:sz="0" w:space="0" w:color="auto"/>
            <w:bottom w:val="none" w:sz="0" w:space="0" w:color="auto"/>
            <w:right w:val="none" w:sz="0" w:space="0" w:color="auto"/>
          </w:divBdr>
        </w:div>
        <w:div w:id="960453146">
          <w:marLeft w:val="0"/>
          <w:marRight w:val="0"/>
          <w:marTop w:val="0"/>
          <w:marBottom w:val="0"/>
          <w:divBdr>
            <w:top w:val="none" w:sz="0" w:space="0" w:color="auto"/>
            <w:left w:val="none" w:sz="0" w:space="0" w:color="auto"/>
            <w:bottom w:val="none" w:sz="0" w:space="0" w:color="auto"/>
            <w:right w:val="none" w:sz="0" w:space="0" w:color="auto"/>
          </w:divBdr>
        </w:div>
        <w:div w:id="1280644122">
          <w:marLeft w:val="0"/>
          <w:marRight w:val="0"/>
          <w:marTop w:val="0"/>
          <w:marBottom w:val="0"/>
          <w:divBdr>
            <w:top w:val="none" w:sz="0" w:space="0" w:color="auto"/>
            <w:left w:val="none" w:sz="0" w:space="0" w:color="auto"/>
            <w:bottom w:val="none" w:sz="0" w:space="0" w:color="auto"/>
            <w:right w:val="none" w:sz="0" w:space="0" w:color="auto"/>
          </w:divBdr>
        </w:div>
        <w:div w:id="703479322">
          <w:marLeft w:val="0"/>
          <w:marRight w:val="0"/>
          <w:marTop w:val="0"/>
          <w:marBottom w:val="0"/>
          <w:divBdr>
            <w:top w:val="none" w:sz="0" w:space="0" w:color="auto"/>
            <w:left w:val="none" w:sz="0" w:space="0" w:color="auto"/>
            <w:bottom w:val="none" w:sz="0" w:space="0" w:color="auto"/>
            <w:right w:val="none" w:sz="0" w:space="0" w:color="auto"/>
          </w:divBdr>
        </w:div>
        <w:div w:id="12850991">
          <w:marLeft w:val="0"/>
          <w:marRight w:val="0"/>
          <w:marTop w:val="0"/>
          <w:marBottom w:val="0"/>
          <w:divBdr>
            <w:top w:val="none" w:sz="0" w:space="0" w:color="auto"/>
            <w:left w:val="none" w:sz="0" w:space="0" w:color="auto"/>
            <w:bottom w:val="none" w:sz="0" w:space="0" w:color="auto"/>
            <w:right w:val="none" w:sz="0" w:space="0" w:color="auto"/>
          </w:divBdr>
        </w:div>
        <w:div w:id="1987011379">
          <w:marLeft w:val="0"/>
          <w:marRight w:val="0"/>
          <w:marTop w:val="0"/>
          <w:marBottom w:val="0"/>
          <w:divBdr>
            <w:top w:val="none" w:sz="0" w:space="0" w:color="auto"/>
            <w:left w:val="none" w:sz="0" w:space="0" w:color="auto"/>
            <w:bottom w:val="none" w:sz="0" w:space="0" w:color="auto"/>
            <w:right w:val="none" w:sz="0" w:space="0" w:color="auto"/>
          </w:divBdr>
        </w:div>
        <w:div w:id="1302078770">
          <w:marLeft w:val="0"/>
          <w:marRight w:val="0"/>
          <w:marTop w:val="0"/>
          <w:marBottom w:val="0"/>
          <w:divBdr>
            <w:top w:val="none" w:sz="0" w:space="0" w:color="auto"/>
            <w:left w:val="none" w:sz="0" w:space="0" w:color="auto"/>
            <w:bottom w:val="none" w:sz="0" w:space="0" w:color="auto"/>
            <w:right w:val="none" w:sz="0" w:space="0" w:color="auto"/>
          </w:divBdr>
        </w:div>
        <w:div w:id="308898439">
          <w:marLeft w:val="0"/>
          <w:marRight w:val="0"/>
          <w:marTop w:val="0"/>
          <w:marBottom w:val="0"/>
          <w:divBdr>
            <w:top w:val="none" w:sz="0" w:space="0" w:color="auto"/>
            <w:left w:val="none" w:sz="0" w:space="0" w:color="auto"/>
            <w:bottom w:val="none" w:sz="0" w:space="0" w:color="auto"/>
            <w:right w:val="none" w:sz="0" w:space="0" w:color="auto"/>
          </w:divBdr>
        </w:div>
        <w:div w:id="1513252766">
          <w:marLeft w:val="0"/>
          <w:marRight w:val="0"/>
          <w:marTop w:val="0"/>
          <w:marBottom w:val="0"/>
          <w:divBdr>
            <w:top w:val="none" w:sz="0" w:space="0" w:color="auto"/>
            <w:left w:val="none" w:sz="0" w:space="0" w:color="auto"/>
            <w:bottom w:val="none" w:sz="0" w:space="0" w:color="auto"/>
            <w:right w:val="none" w:sz="0" w:space="0" w:color="auto"/>
          </w:divBdr>
        </w:div>
        <w:div w:id="1184594329">
          <w:marLeft w:val="0"/>
          <w:marRight w:val="0"/>
          <w:marTop w:val="0"/>
          <w:marBottom w:val="0"/>
          <w:divBdr>
            <w:top w:val="none" w:sz="0" w:space="0" w:color="auto"/>
            <w:left w:val="none" w:sz="0" w:space="0" w:color="auto"/>
            <w:bottom w:val="none" w:sz="0" w:space="0" w:color="auto"/>
            <w:right w:val="none" w:sz="0" w:space="0" w:color="auto"/>
          </w:divBdr>
        </w:div>
        <w:div w:id="212276581">
          <w:marLeft w:val="0"/>
          <w:marRight w:val="0"/>
          <w:marTop w:val="0"/>
          <w:marBottom w:val="0"/>
          <w:divBdr>
            <w:top w:val="none" w:sz="0" w:space="0" w:color="auto"/>
            <w:left w:val="none" w:sz="0" w:space="0" w:color="auto"/>
            <w:bottom w:val="none" w:sz="0" w:space="0" w:color="auto"/>
            <w:right w:val="none" w:sz="0" w:space="0" w:color="auto"/>
          </w:divBdr>
        </w:div>
        <w:div w:id="1168597518">
          <w:marLeft w:val="0"/>
          <w:marRight w:val="0"/>
          <w:marTop w:val="0"/>
          <w:marBottom w:val="0"/>
          <w:divBdr>
            <w:top w:val="none" w:sz="0" w:space="0" w:color="auto"/>
            <w:left w:val="none" w:sz="0" w:space="0" w:color="auto"/>
            <w:bottom w:val="none" w:sz="0" w:space="0" w:color="auto"/>
            <w:right w:val="none" w:sz="0" w:space="0" w:color="auto"/>
          </w:divBdr>
        </w:div>
      </w:divsChild>
    </w:div>
    <w:div w:id="1367294560">
      <w:bodyDiv w:val="1"/>
      <w:marLeft w:val="0"/>
      <w:marRight w:val="0"/>
      <w:marTop w:val="0"/>
      <w:marBottom w:val="0"/>
      <w:divBdr>
        <w:top w:val="none" w:sz="0" w:space="0" w:color="auto"/>
        <w:left w:val="none" w:sz="0" w:space="0" w:color="auto"/>
        <w:bottom w:val="none" w:sz="0" w:space="0" w:color="auto"/>
        <w:right w:val="none" w:sz="0" w:space="0" w:color="auto"/>
      </w:divBdr>
    </w:div>
    <w:div w:id="1570001337">
      <w:bodyDiv w:val="1"/>
      <w:marLeft w:val="0"/>
      <w:marRight w:val="0"/>
      <w:marTop w:val="0"/>
      <w:marBottom w:val="0"/>
      <w:divBdr>
        <w:top w:val="none" w:sz="0" w:space="0" w:color="auto"/>
        <w:left w:val="none" w:sz="0" w:space="0" w:color="auto"/>
        <w:bottom w:val="none" w:sz="0" w:space="0" w:color="auto"/>
        <w:right w:val="none" w:sz="0" w:space="0" w:color="auto"/>
      </w:divBdr>
    </w:div>
    <w:div w:id="1642923331">
      <w:bodyDiv w:val="1"/>
      <w:marLeft w:val="0"/>
      <w:marRight w:val="0"/>
      <w:marTop w:val="0"/>
      <w:marBottom w:val="0"/>
      <w:divBdr>
        <w:top w:val="none" w:sz="0" w:space="0" w:color="auto"/>
        <w:left w:val="none" w:sz="0" w:space="0" w:color="auto"/>
        <w:bottom w:val="none" w:sz="0" w:space="0" w:color="auto"/>
        <w:right w:val="none" w:sz="0" w:space="0" w:color="auto"/>
      </w:divBdr>
      <w:divsChild>
        <w:div w:id="395204610">
          <w:marLeft w:val="240"/>
          <w:marRight w:val="-2400"/>
          <w:marTop w:val="0"/>
          <w:marBottom w:val="240"/>
          <w:divBdr>
            <w:top w:val="none" w:sz="0" w:space="0" w:color="auto"/>
            <w:left w:val="none" w:sz="0" w:space="0" w:color="auto"/>
            <w:bottom w:val="none" w:sz="0" w:space="0" w:color="auto"/>
            <w:right w:val="none" w:sz="0" w:space="0" w:color="auto"/>
          </w:divBdr>
          <w:divsChild>
            <w:div w:id="17703518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vantaenergy.co.uk/pdf/wales/Consultation%20Strategy%20April%202010%20FINAL.pdf" TargetMode="External"/><Relationship Id="rId3" Type="http://schemas.openxmlformats.org/officeDocument/2006/relationships/hyperlink" Target="http://www.tandfonline.com/action/doSearch?action=runSearch&amp;type=advanced&amp;searchType=journal&amp;result=true&amp;prevSearch=%2Bauthorsfield%3A(Parkins%2C+J+R)" TargetMode="External"/><Relationship Id="rId7" Type="http://schemas.openxmlformats.org/officeDocument/2006/relationships/hyperlink" Target="http://www.bbc.co.uk/pressoffice/pressreleases/stories/2011/09_september/19/taro.shtml" TargetMode="External"/><Relationship Id="rId2" Type="http://schemas.openxmlformats.org/officeDocument/2006/relationships/hyperlink" Target="http://www.conservatives.com/~/media/Files/Green%20Papers/planning-green-paper.ashx" TargetMode="External"/><Relationship Id="rId1" Type="http://schemas.openxmlformats.org/officeDocument/2006/relationships/hyperlink" Target="http://dx.doi.org/10.1080/13549839.2013.790353" TargetMode="External"/><Relationship Id="rId6" Type="http://schemas.openxmlformats.org/officeDocument/2006/relationships/hyperlink" Target="http://www.nomisweb.co.uk/reports/lmp/gor/2092957698/report.aspx" TargetMode="External"/><Relationship Id="rId5" Type="http://schemas.openxmlformats.org/officeDocument/2006/relationships/hyperlink" Target="http://www.assemblywales.org/10-035.pdf" TargetMode="External"/><Relationship Id="rId10" Type="http://schemas.openxmlformats.org/officeDocument/2006/relationships/hyperlink" Target="http://www.walesonline.co.uk/news/wales-news/2011/10/24/plans-for-huge-waste-incinerator-in-merthyr-tydfil-withdrawn-with-immediate-effect-91466-29651515/" TargetMode="External"/><Relationship Id="rId4" Type="http://schemas.openxmlformats.org/officeDocument/2006/relationships/hyperlink" Target="http://www.tandfonline.com/action/doSearch?action=runSearch&amp;type=advanced&amp;searchType=journal&amp;result=true&amp;prevSearch=%2Bauthorsfield%3A(Mitchell%2C+R+E)" TargetMode="External"/><Relationship Id="rId9" Type="http://schemas.openxmlformats.org/officeDocument/2006/relationships/hyperlink" Target="http://www.no-monster-incinerator.co.uk/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4</cp:revision>
  <dcterms:created xsi:type="dcterms:W3CDTF">2013-11-26T01:06:00Z</dcterms:created>
  <dcterms:modified xsi:type="dcterms:W3CDTF">2013-11-26T01:09:00Z</dcterms:modified>
</cp:coreProperties>
</file>