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CF" w:rsidRPr="001212DF" w:rsidRDefault="004F7D03" w:rsidP="00B066CF">
      <w:pPr>
        <w:jc w:val="center"/>
        <w:rPr>
          <w:rFonts w:ascii="Times New Roman" w:hAnsi="Times New Roman" w:cs="Times New Roman"/>
          <w:b/>
          <w:sz w:val="36"/>
        </w:rPr>
      </w:pPr>
      <w:r>
        <w:rPr>
          <w:rFonts w:ascii="Times New Roman" w:hAnsi="Times New Roman" w:cs="Times New Roman"/>
          <w:b/>
          <w:sz w:val="36"/>
        </w:rPr>
        <w:t xml:space="preserve"> </w:t>
      </w:r>
      <w:r w:rsidR="00B066CF" w:rsidRPr="001212DF">
        <w:rPr>
          <w:rFonts w:ascii="Times New Roman" w:hAnsi="Times New Roman" w:cs="Times New Roman"/>
          <w:b/>
          <w:sz w:val="36"/>
        </w:rPr>
        <w:t xml:space="preserve">The Trend is Our Friend: Risk Parity, Momentum and Trend Following in Global Asset Allocation </w:t>
      </w:r>
    </w:p>
    <w:p w:rsidR="00CB1FF2" w:rsidRPr="001212DF" w:rsidRDefault="00CB1FF2">
      <w:pPr>
        <w:rPr>
          <w:rFonts w:ascii="Times New Roman" w:hAnsi="Times New Roman" w:cs="Times New Roman"/>
          <w:b/>
        </w:rPr>
      </w:pPr>
    </w:p>
    <w:p w:rsidR="003C125B" w:rsidRPr="001212DF" w:rsidRDefault="003C125B" w:rsidP="004B523B">
      <w:pPr>
        <w:jc w:val="center"/>
        <w:rPr>
          <w:rFonts w:ascii="Times New Roman" w:hAnsi="Times New Roman" w:cs="Times New Roman"/>
          <w:sz w:val="28"/>
          <w:szCs w:val="28"/>
        </w:rPr>
      </w:pPr>
      <w:r w:rsidRPr="001212DF">
        <w:rPr>
          <w:rFonts w:ascii="Times New Roman" w:hAnsi="Times New Roman" w:cs="Times New Roman"/>
          <w:sz w:val="28"/>
          <w:szCs w:val="28"/>
        </w:rPr>
        <w:t>Andrew Clare*, James Seaton*, Peter N. Smith† and Stephen Thomas*</w:t>
      </w:r>
    </w:p>
    <w:p w:rsidR="003C125B" w:rsidRPr="001212DF" w:rsidRDefault="003C125B" w:rsidP="003C125B">
      <w:pPr>
        <w:rPr>
          <w:rFonts w:ascii="Times New Roman" w:hAnsi="Times New Roman" w:cs="Times New Roman"/>
          <w:sz w:val="32"/>
          <w:szCs w:val="32"/>
        </w:rPr>
      </w:pPr>
    </w:p>
    <w:p w:rsidR="003C125B" w:rsidRPr="001212DF" w:rsidRDefault="003C125B" w:rsidP="004B523B">
      <w:pPr>
        <w:jc w:val="center"/>
        <w:rPr>
          <w:rFonts w:ascii="Times New Roman" w:hAnsi="Times New Roman" w:cs="Times New Roman"/>
          <w:sz w:val="24"/>
          <w:szCs w:val="24"/>
        </w:rPr>
      </w:pPr>
      <w:r w:rsidRPr="001212DF">
        <w:rPr>
          <w:rFonts w:ascii="Times New Roman" w:hAnsi="Times New Roman" w:cs="Times New Roman"/>
          <w:sz w:val="24"/>
          <w:szCs w:val="24"/>
        </w:rPr>
        <w:t xml:space="preserve">*Cass Business School, </w:t>
      </w:r>
      <w:r w:rsidR="00E30DAB">
        <w:rPr>
          <w:rFonts w:ascii="Times New Roman" w:hAnsi="Times New Roman" w:cs="Times New Roman"/>
          <w:sz w:val="24"/>
          <w:szCs w:val="24"/>
        </w:rPr>
        <w:t xml:space="preserve">City University </w:t>
      </w:r>
      <w:r w:rsidRPr="001212DF">
        <w:rPr>
          <w:rFonts w:ascii="Times New Roman" w:hAnsi="Times New Roman" w:cs="Times New Roman"/>
          <w:sz w:val="24"/>
          <w:szCs w:val="24"/>
        </w:rPr>
        <w:t>London</w:t>
      </w:r>
    </w:p>
    <w:p w:rsidR="003C125B" w:rsidRPr="001212DF" w:rsidRDefault="003C125B" w:rsidP="004B523B">
      <w:pPr>
        <w:jc w:val="center"/>
        <w:rPr>
          <w:rFonts w:ascii="Times New Roman" w:hAnsi="Times New Roman" w:cs="Times New Roman"/>
          <w:sz w:val="24"/>
          <w:szCs w:val="24"/>
        </w:rPr>
      </w:pPr>
      <w:r w:rsidRPr="001212DF">
        <w:rPr>
          <w:rFonts w:ascii="Times New Roman" w:hAnsi="Times New Roman" w:cs="Times New Roman"/>
          <w:sz w:val="28"/>
          <w:szCs w:val="28"/>
        </w:rPr>
        <w:t>†</w:t>
      </w:r>
      <w:r w:rsidR="00E30DAB">
        <w:rPr>
          <w:rFonts w:ascii="Times New Roman" w:hAnsi="Times New Roman" w:cs="Times New Roman"/>
          <w:sz w:val="24"/>
          <w:szCs w:val="24"/>
        </w:rPr>
        <w:t>University of York.</w:t>
      </w:r>
    </w:p>
    <w:p w:rsidR="003C125B" w:rsidRPr="001212DF" w:rsidRDefault="003C125B" w:rsidP="003C125B">
      <w:pPr>
        <w:spacing w:line="360" w:lineRule="auto"/>
        <w:jc w:val="center"/>
        <w:rPr>
          <w:rFonts w:ascii="Times New Roman" w:hAnsi="Times New Roman" w:cs="Times New Roman"/>
          <w:sz w:val="32"/>
          <w:szCs w:val="32"/>
        </w:rPr>
      </w:pPr>
    </w:p>
    <w:p w:rsidR="008B60F3" w:rsidRPr="001F05C4" w:rsidRDefault="00620BDA" w:rsidP="003C125B">
      <w:pPr>
        <w:spacing w:line="360" w:lineRule="auto"/>
        <w:jc w:val="center"/>
        <w:rPr>
          <w:rFonts w:ascii="Times New Roman" w:hAnsi="Times New Roman" w:cs="Times New Roman"/>
          <w:sz w:val="24"/>
          <w:szCs w:val="24"/>
        </w:rPr>
      </w:pPr>
      <w:r w:rsidRPr="001F05C4">
        <w:rPr>
          <w:rFonts w:ascii="Times New Roman" w:hAnsi="Times New Roman" w:cs="Times New Roman"/>
          <w:sz w:val="24"/>
          <w:szCs w:val="24"/>
        </w:rPr>
        <w:t>This Version</w:t>
      </w:r>
      <w:r w:rsidR="00B61404">
        <w:rPr>
          <w:rFonts w:ascii="Times New Roman" w:hAnsi="Times New Roman" w:cs="Times New Roman"/>
          <w:sz w:val="24"/>
          <w:szCs w:val="24"/>
        </w:rPr>
        <w:t>: December</w:t>
      </w:r>
      <w:r w:rsidR="003330F4">
        <w:rPr>
          <w:rFonts w:ascii="Times New Roman" w:hAnsi="Times New Roman" w:cs="Times New Roman"/>
          <w:sz w:val="24"/>
          <w:szCs w:val="24"/>
        </w:rPr>
        <w:t xml:space="preserve"> 2015.</w:t>
      </w:r>
    </w:p>
    <w:p w:rsidR="00CB1FF2" w:rsidRPr="001212DF" w:rsidRDefault="00CB1FF2">
      <w:pPr>
        <w:rPr>
          <w:rFonts w:ascii="Times New Roman" w:hAnsi="Times New Roman" w:cs="Times New Roman"/>
          <w:b/>
        </w:rPr>
      </w:pPr>
    </w:p>
    <w:p w:rsidR="00151C03" w:rsidRPr="00320A82" w:rsidRDefault="002245C7" w:rsidP="00E23791">
      <w:pPr>
        <w:jc w:val="center"/>
        <w:rPr>
          <w:rFonts w:ascii="Times New Roman" w:hAnsi="Times New Roman" w:cs="Times New Roman"/>
          <w:sz w:val="24"/>
          <w:szCs w:val="24"/>
        </w:rPr>
      </w:pPr>
      <w:r w:rsidRPr="00320A82">
        <w:rPr>
          <w:rFonts w:ascii="Times New Roman" w:hAnsi="Times New Roman" w:cs="Times New Roman"/>
          <w:b/>
          <w:sz w:val="24"/>
          <w:szCs w:val="24"/>
        </w:rPr>
        <w:t>Abstract</w:t>
      </w:r>
    </w:p>
    <w:p w:rsidR="00151C03" w:rsidRPr="00474F34" w:rsidRDefault="00151C03" w:rsidP="00224724">
      <w:pPr>
        <w:spacing w:line="240" w:lineRule="auto"/>
        <w:jc w:val="both"/>
        <w:rPr>
          <w:rFonts w:ascii="Times New Roman" w:hAnsi="Times New Roman" w:cs="Times New Roman"/>
          <w:sz w:val="24"/>
          <w:szCs w:val="24"/>
        </w:rPr>
      </w:pPr>
      <w:r w:rsidRPr="00474F34">
        <w:rPr>
          <w:rFonts w:ascii="Times New Roman" w:hAnsi="Times New Roman" w:cs="Times New Roman"/>
          <w:sz w:val="24"/>
          <w:szCs w:val="24"/>
        </w:rPr>
        <w:t>We examine applying a trend following methodol</w:t>
      </w:r>
      <w:r w:rsidR="0035298C" w:rsidRPr="00474F34">
        <w:rPr>
          <w:rFonts w:ascii="Times New Roman" w:hAnsi="Times New Roman" w:cs="Times New Roman"/>
          <w:sz w:val="24"/>
          <w:szCs w:val="24"/>
        </w:rPr>
        <w:t>ogy to global asset allocation between equities,</w:t>
      </w:r>
      <w:r w:rsidR="004B523B" w:rsidRPr="00474F34">
        <w:rPr>
          <w:rFonts w:ascii="Times New Roman" w:hAnsi="Times New Roman" w:cs="Times New Roman"/>
          <w:sz w:val="24"/>
          <w:szCs w:val="24"/>
        </w:rPr>
        <w:t xml:space="preserve"> </w:t>
      </w:r>
      <w:r w:rsidR="0035298C" w:rsidRPr="00474F34">
        <w:rPr>
          <w:rFonts w:ascii="Times New Roman" w:hAnsi="Times New Roman" w:cs="Times New Roman"/>
          <w:sz w:val="24"/>
          <w:szCs w:val="24"/>
        </w:rPr>
        <w:t>bonds,</w:t>
      </w:r>
      <w:r w:rsidR="004B523B" w:rsidRPr="00474F34">
        <w:rPr>
          <w:rFonts w:ascii="Times New Roman" w:hAnsi="Times New Roman" w:cs="Times New Roman"/>
          <w:sz w:val="24"/>
          <w:szCs w:val="24"/>
        </w:rPr>
        <w:t xml:space="preserve"> </w:t>
      </w:r>
      <w:r w:rsidR="0035298C" w:rsidRPr="00474F34">
        <w:rPr>
          <w:rFonts w:ascii="Times New Roman" w:hAnsi="Times New Roman" w:cs="Times New Roman"/>
          <w:sz w:val="24"/>
          <w:szCs w:val="24"/>
        </w:rPr>
        <w:t>commodities and real estate.</w:t>
      </w:r>
      <w:r w:rsidR="004B523B" w:rsidRPr="00474F34">
        <w:rPr>
          <w:rFonts w:ascii="Times New Roman" w:hAnsi="Times New Roman" w:cs="Times New Roman"/>
          <w:sz w:val="24"/>
          <w:szCs w:val="24"/>
        </w:rPr>
        <w:t xml:space="preserve"> </w:t>
      </w:r>
      <w:r w:rsidR="00CB26CE" w:rsidRPr="00474F34">
        <w:rPr>
          <w:rFonts w:ascii="Times New Roman" w:hAnsi="Times New Roman" w:cs="Times New Roman"/>
          <w:sz w:val="24"/>
          <w:szCs w:val="24"/>
        </w:rPr>
        <w:t>This strategy offers</w:t>
      </w:r>
      <w:r w:rsidRPr="00474F34">
        <w:rPr>
          <w:rFonts w:ascii="Times New Roman" w:hAnsi="Times New Roman" w:cs="Times New Roman"/>
          <w:sz w:val="24"/>
          <w:szCs w:val="24"/>
        </w:rPr>
        <w:t xml:space="preserve"> substantial improvement in risk-adjusted performance compared to buy-and-hold portfolios</w:t>
      </w:r>
      <w:r w:rsidR="00CB26CE" w:rsidRPr="00474F34">
        <w:rPr>
          <w:rFonts w:ascii="Times New Roman" w:hAnsi="Times New Roman" w:cs="Times New Roman"/>
          <w:sz w:val="24"/>
          <w:szCs w:val="24"/>
        </w:rPr>
        <w:t xml:space="preserve"> and</w:t>
      </w:r>
      <w:r w:rsidRPr="00474F34">
        <w:rPr>
          <w:rFonts w:ascii="Times New Roman" w:hAnsi="Times New Roman" w:cs="Times New Roman"/>
          <w:sz w:val="24"/>
          <w:szCs w:val="24"/>
        </w:rPr>
        <w:t xml:space="preserve"> a superior method of asset allocation than risk parity.</w:t>
      </w:r>
      <w:r w:rsidR="00B066CF" w:rsidRPr="00474F34">
        <w:rPr>
          <w:rFonts w:ascii="Times New Roman" w:hAnsi="Times New Roman" w:cs="Times New Roman"/>
          <w:sz w:val="24"/>
          <w:szCs w:val="24"/>
        </w:rPr>
        <w:t xml:space="preserve"> </w:t>
      </w:r>
      <w:r w:rsidR="00D335F6" w:rsidRPr="00474F34">
        <w:rPr>
          <w:rFonts w:ascii="Times New Roman" w:hAnsi="Times New Roman" w:cs="Times New Roman"/>
          <w:sz w:val="24"/>
          <w:szCs w:val="24"/>
        </w:rPr>
        <w:t xml:space="preserve">We believe the discipline of </w:t>
      </w:r>
      <w:r w:rsidR="00787D32" w:rsidRPr="00474F34">
        <w:rPr>
          <w:rFonts w:ascii="Times New Roman" w:hAnsi="Times New Roman" w:cs="Times New Roman"/>
          <w:sz w:val="24"/>
          <w:szCs w:val="24"/>
        </w:rPr>
        <w:t>t</w:t>
      </w:r>
      <w:r w:rsidR="00D335F6" w:rsidRPr="00474F34">
        <w:rPr>
          <w:rFonts w:ascii="Times New Roman" w:hAnsi="Times New Roman" w:cs="Times New Roman"/>
          <w:sz w:val="24"/>
          <w:szCs w:val="24"/>
        </w:rPr>
        <w:t xml:space="preserve">rend </w:t>
      </w:r>
      <w:r w:rsidR="00787D32" w:rsidRPr="00474F34">
        <w:rPr>
          <w:rFonts w:ascii="Times New Roman" w:hAnsi="Times New Roman" w:cs="Times New Roman"/>
          <w:sz w:val="24"/>
          <w:szCs w:val="24"/>
        </w:rPr>
        <w:t>f</w:t>
      </w:r>
      <w:r w:rsidR="00D335F6" w:rsidRPr="00474F34">
        <w:rPr>
          <w:rFonts w:ascii="Times New Roman" w:hAnsi="Times New Roman" w:cs="Times New Roman"/>
          <w:sz w:val="24"/>
          <w:szCs w:val="24"/>
        </w:rPr>
        <w:t>ollowing overcomes many of the behav</w:t>
      </w:r>
      <w:r w:rsidR="00CB26CE" w:rsidRPr="00474F34">
        <w:rPr>
          <w:rFonts w:ascii="Times New Roman" w:hAnsi="Times New Roman" w:cs="Times New Roman"/>
          <w:sz w:val="24"/>
          <w:szCs w:val="24"/>
        </w:rPr>
        <w:t xml:space="preserve">ioural biases investors succumb </w:t>
      </w:r>
      <w:r w:rsidR="00D335F6" w:rsidRPr="00474F34">
        <w:rPr>
          <w:rFonts w:ascii="Times New Roman" w:hAnsi="Times New Roman" w:cs="Times New Roman"/>
          <w:sz w:val="24"/>
          <w:szCs w:val="24"/>
        </w:rPr>
        <w:t>to,</w:t>
      </w:r>
      <w:r w:rsidR="00B066CF" w:rsidRPr="00474F34">
        <w:rPr>
          <w:rFonts w:ascii="Times New Roman" w:hAnsi="Times New Roman" w:cs="Times New Roman"/>
          <w:sz w:val="24"/>
          <w:szCs w:val="24"/>
        </w:rPr>
        <w:t xml:space="preserve"> </w:t>
      </w:r>
      <w:r w:rsidR="00D335F6" w:rsidRPr="00474F34">
        <w:rPr>
          <w:rFonts w:ascii="Times New Roman" w:hAnsi="Times New Roman" w:cs="Times New Roman"/>
          <w:sz w:val="24"/>
          <w:szCs w:val="24"/>
        </w:rPr>
        <w:t>such as regret</w:t>
      </w:r>
      <w:r w:rsidR="003E046B" w:rsidRPr="00474F34">
        <w:rPr>
          <w:rFonts w:ascii="Times New Roman" w:hAnsi="Times New Roman" w:cs="Times New Roman"/>
          <w:sz w:val="24"/>
          <w:szCs w:val="24"/>
        </w:rPr>
        <w:t xml:space="preserve"> and herding,</w:t>
      </w:r>
      <w:r w:rsidR="00E91D38" w:rsidRPr="00474F34">
        <w:rPr>
          <w:rFonts w:ascii="Times New Roman" w:hAnsi="Times New Roman" w:cs="Times New Roman"/>
          <w:sz w:val="24"/>
          <w:szCs w:val="24"/>
        </w:rPr>
        <w:t xml:space="preserve"> </w:t>
      </w:r>
      <w:r w:rsidR="003E046B" w:rsidRPr="00474F34">
        <w:rPr>
          <w:rFonts w:ascii="Times New Roman" w:hAnsi="Times New Roman" w:cs="Times New Roman"/>
          <w:sz w:val="24"/>
          <w:szCs w:val="24"/>
        </w:rPr>
        <w:t xml:space="preserve">and offers a solution to the inappropriate </w:t>
      </w:r>
      <w:r w:rsidR="003E046B" w:rsidRPr="00474F34">
        <w:rPr>
          <w:rFonts w:ascii="Times New Roman" w:hAnsi="Times New Roman" w:cs="Times New Roman"/>
          <w:i/>
          <w:sz w:val="24"/>
          <w:szCs w:val="24"/>
        </w:rPr>
        <w:t>sequence</w:t>
      </w:r>
      <w:r w:rsidR="00B066CF" w:rsidRPr="00474F34">
        <w:rPr>
          <w:rFonts w:ascii="Times New Roman" w:hAnsi="Times New Roman" w:cs="Times New Roman"/>
          <w:sz w:val="24"/>
          <w:szCs w:val="24"/>
        </w:rPr>
        <w:t xml:space="preserve"> </w:t>
      </w:r>
      <w:r w:rsidR="003E046B" w:rsidRPr="00474F34">
        <w:rPr>
          <w:rFonts w:ascii="Times New Roman" w:hAnsi="Times New Roman" w:cs="Times New Roman"/>
          <w:sz w:val="24"/>
          <w:szCs w:val="24"/>
        </w:rPr>
        <w:t xml:space="preserve">of returns which can be problematic for </w:t>
      </w:r>
      <w:proofErr w:type="spellStart"/>
      <w:r w:rsidR="003E046B" w:rsidRPr="00474F34">
        <w:rPr>
          <w:rFonts w:ascii="Times New Roman" w:hAnsi="Times New Roman" w:cs="Times New Roman"/>
          <w:sz w:val="24"/>
          <w:szCs w:val="24"/>
        </w:rPr>
        <w:t>decumulation</w:t>
      </w:r>
      <w:proofErr w:type="spellEnd"/>
      <w:r w:rsidR="003E046B" w:rsidRPr="00474F34">
        <w:rPr>
          <w:rFonts w:ascii="Times New Roman" w:hAnsi="Times New Roman" w:cs="Times New Roman"/>
          <w:sz w:val="24"/>
          <w:szCs w:val="24"/>
        </w:rPr>
        <w:t xml:space="preserve"> portfolios.</w:t>
      </w:r>
      <w:r w:rsidR="00E91D38" w:rsidRPr="00474F34">
        <w:rPr>
          <w:rFonts w:ascii="Times New Roman" w:hAnsi="Times New Roman" w:cs="Times New Roman"/>
          <w:sz w:val="24"/>
          <w:szCs w:val="24"/>
        </w:rPr>
        <w:t xml:space="preserve"> </w:t>
      </w:r>
      <w:r w:rsidR="008F7EB0" w:rsidRPr="00474F34">
        <w:rPr>
          <w:rFonts w:ascii="Times New Roman" w:hAnsi="Times New Roman" w:cs="Times New Roman"/>
          <w:sz w:val="24"/>
          <w:szCs w:val="24"/>
        </w:rPr>
        <w:t>The other side of behavioural biases is that they may be exploited by inv</w:t>
      </w:r>
      <w:r w:rsidR="00173EC7" w:rsidRPr="00474F34">
        <w:rPr>
          <w:rFonts w:ascii="Times New Roman" w:hAnsi="Times New Roman" w:cs="Times New Roman"/>
          <w:sz w:val="24"/>
          <w:szCs w:val="24"/>
        </w:rPr>
        <w:t>estors:</w:t>
      </w:r>
      <w:r w:rsidR="00B066CF" w:rsidRPr="00474F34">
        <w:rPr>
          <w:rFonts w:ascii="Times New Roman" w:hAnsi="Times New Roman" w:cs="Times New Roman"/>
          <w:sz w:val="24"/>
          <w:szCs w:val="24"/>
        </w:rPr>
        <w:t xml:space="preserve"> </w:t>
      </w:r>
      <w:r w:rsidR="00CB26CE" w:rsidRPr="00474F34">
        <w:rPr>
          <w:rFonts w:ascii="Times New Roman" w:hAnsi="Times New Roman" w:cs="Times New Roman"/>
          <w:sz w:val="24"/>
          <w:szCs w:val="24"/>
        </w:rPr>
        <w:t>an</w:t>
      </w:r>
      <w:r w:rsidR="00173EC7" w:rsidRPr="00474F34">
        <w:rPr>
          <w:rFonts w:ascii="Times New Roman" w:hAnsi="Times New Roman" w:cs="Times New Roman"/>
          <w:sz w:val="24"/>
          <w:szCs w:val="24"/>
        </w:rPr>
        <w:t xml:space="preserve"> example is momentum investing where herding leads to continuation of returns and has been identified across many asset</w:t>
      </w:r>
      <w:r w:rsidR="00CB26CE" w:rsidRPr="00474F34">
        <w:rPr>
          <w:rFonts w:ascii="Times New Roman" w:hAnsi="Times New Roman" w:cs="Times New Roman"/>
          <w:sz w:val="24"/>
          <w:szCs w:val="24"/>
        </w:rPr>
        <w:t>s</w:t>
      </w:r>
      <w:r w:rsidR="00173EC7" w:rsidRPr="00474F34">
        <w:rPr>
          <w:rFonts w:ascii="Times New Roman" w:hAnsi="Times New Roman" w:cs="Times New Roman"/>
          <w:sz w:val="24"/>
          <w:szCs w:val="24"/>
        </w:rPr>
        <w:t>.</w:t>
      </w:r>
      <w:r w:rsidR="00CB26CE" w:rsidRPr="00474F34">
        <w:rPr>
          <w:rFonts w:ascii="Times New Roman" w:hAnsi="Times New Roman" w:cs="Times New Roman"/>
          <w:sz w:val="24"/>
          <w:szCs w:val="24"/>
        </w:rPr>
        <w:t xml:space="preserve"> M</w:t>
      </w:r>
      <w:r w:rsidR="00AE1274" w:rsidRPr="00474F34">
        <w:rPr>
          <w:rFonts w:ascii="Times New Roman" w:hAnsi="Times New Roman" w:cs="Times New Roman"/>
          <w:sz w:val="24"/>
          <w:szCs w:val="24"/>
        </w:rPr>
        <w:t xml:space="preserve">omentum and trend following </w:t>
      </w:r>
      <w:r w:rsidR="00CB26CE" w:rsidRPr="00474F34">
        <w:rPr>
          <w:rFonts w:ascii="Times New Roman" w:hAnsi="Times New Roman" w:cs="Times New Roman"/>
          <w:sz w:val="24"/>
          <w:szCs w:val="24"/>
        </w:rPr>
        <w:t xml:space="preserve">differ as </w:t>
      </w:r>
      <w:r w:rsidR="00AE1274" w:rsidRPr="00474F34">
        <w:rPr>
          <w:rFonts w:ascii="Times New Roman" w:hAnsi="Times New Roman" w:cs="Times New Roman"/>
          <w:sz w:val="24"/>
          <w:szCs w:val="24"/>
        </w:rPr>
        <w:t xml:space="preserve">the former is a relative concept and the latter absolute. </w:t>
      </w:r>
      <w:r w:rsidR="00CB26CE" w:rsidRPr="00474F34">
        <w:rPr>
          <w:rFonts w:ascii="Times New Roman" w:hAnsi="Times New Roman" w:cs="Times New Roman"/>
          <w:sz w:val="24"/>
          <w:szCs w:val="24"/>
        </w:rPr>
        <w:t xml:space="preserve">Combining both </w:t>
      </w:r>
      <w:r w:rsidR="00AE1274" w:rsidRPr="00474F34">
        <w:rPr>
          <w:rFonts w:ascii="Times New Roman" w:hAnsi="Times New Roman" w:cs="Times New Roman"/>
          <w:sz w:val="24"/>
          <w:szCs w:val="24"/>
        </w:rPr>
        <w:t>can achieve the higher return levels associat</w:t>
      </w:r>
      <w:r w:rsidR="00CB26CE" w:rsidRPr="00474F34">
        <w:rPr>
          <w:rFonts w:ascii="Times New Roman" w:hAnsi="Times New Roman" w:cs="Times New Roman"/>
          <w:sz w:val="24"/>
          <w:szCs w:val="24"/>
        </w:rPr>
        <w:t xml:space="preserve">ed with momentum portfolios </w:t>
      </w:r>
      <w:r w:rsidR="00AE1274" w:rsidRPr="00474F34">
        <w:rPr>
          <w:rFonts w:ascii="Times New Roman" w:hAnsi="Times New Roman" w:cs="Times New Roman"/>
          <w:sz w:val="24"/>
          <w:szCs w:val="24"/>
        </w:rPr>
        <w:t xml:space="preserve">with much reduced volatility and drawdowns due to trend following. </w:t>
      </w:r>
      <w:r w:rsidR="00CB26CE" w:rsidRPr="00474F34">
        <w:rPr>
          <w:rFonts w:ascii="Times New Roman" w:hAnsi="Times New Roman" w:cs="Times New Roman"/>
          <w:sz w:val="24"/>
          <w:szCs w:val="24"/>
        </w:rPr>
        <w:t>M</w:t>
      </w:r>
      <w:r w:rsidR="00224724" w:rsidRPr="00474F34">
        <w:rPr>
          <w:rFonts w:ascii="Times New Roman" w:hAnsi="Times New Roman" w:cs="Times New Roman"/>
          <w:sz w:val="24"/>
          <w:szCs w:val="24"/>
        </w:rPr>
        <w:t>easures based on utility of a representative investor</w:t>
      </w:r>
      <w:r w:rsidR="00CB26CE" w:rsidRPr="00474F34">
        <w:rPr>
          <w:rFonts w:ascii="Times New Roman" w:hAnsi="Times New Roman" w:cs="Times New Roman"/>
          <w:sz w:val="24"/>
          <w:szCs w:val="24"/>
        </w:rPr>
        <w:t xml:space="preserve"> </w:t>
      </w:r>
      <w:r w:rsidR="00224724" w:rsidRPr="00474F34">
        <w:rPr>
          <w:rFonts w:ascii="Times New Roman" w:hAnsi="Times New Roman" w:cs="Times New Roman"/>
          <w:sz w:val="24"/>
          <w:szCs w:val="24"/>
        </w:rPr>
        <w:t>reinforce the superiority of combin</w:t>
      </w:r>
      <w:r w:rsidR="00173EC7" w:rsidRPr="00474F34">
        <w:rPr>
          <w:rFonts w:ascii="Times New Roman" w:hAnsi="Times New Roman" w:cs="Times New Roman"/>
          <w:sz w:val="24"/>
          <w:szCs w:val="24"/>
        </w:rPr>
        <w:t>in</w:t>
      </w:r>
      <w:r w:rsidR="00224724" w:rsidRPr="00474F34">
        <w:rPr>
          <w:rFonts w:ascii="Times New Roman" w:hAnsi="Times New Roman" w:cs="Times New Roman"/>
          <w:sz w:val="24"/>
          <w:szCs w:val="24"/>
        </w:rPr>
        <w:t xml:space="preserve">g trend following with momentum strategies. </w:t>
      </w:r>
      <w:r w:rsidR="003E046B" w:rsidRPr="00474F34">
        <w:rPr>
          <w:rFonts w:ascii="Times New Roman" w:hAnsi="Times New Roman" w:cs="Times New Roman"/>
          <w:sz w:val="24"/>
          <w:szCs w:val="24"/>
        </w:rPr>
        <w:t>These techniques help address the sequencing of returns issue which can be a serious issue for financial planning.</w:t>
      </w:r>
    </w:p>
    <w:p w:rsidR="00994A50" w:rsidRPr="00474F34" w:rsidRDefault="00994A50" w:rsidP="00F24DB1">
      <w:pPr>
        <w:spacing w:line="360" w:lineRule="auto"/>
        <w:jc w:val="both"/>
        <w:rPr>
          <w:rFonts w:ascii="Times New Roman" w:hAnsi="Times New Roman" w:cs="Times New Roman"/>
          <w:sz w:val="24"/>
          <w:szCs w:val="24"/>
        </w:rPr>
      </w:pPr>
    </w:p>
    <w:p w:rsidR="00994A50" w:rsidRPr="00320A82" w:rsidRDefault="00994A50" w:rsidP="00F24DB1">
      <w:pPr>
        <w:spacing w:line="360" w:lineRule="auto"/>
        <w:jc w:val="both"/>
        <w:rPr>
          <w:rFonts w:ascii="Times New Roman" w:hAnsi="Times New Roman" w:cs="Times New Roman"/>
          <w:sz w:val="24"/>
          <w:szCs w:val="24"/>
        </w:rPr>
      </w:pPr>
      <w:r w:rsidRPr="00474F34">
        <w:rPr>
          <w:rFonts w:ascii="Times New Roman" w:hAnsi="Times New Roman" w:cs="Times New Roman"/>
          <w:b/>
          <w:sz w:val="24"/>
          <w:szCs w:val="24"/>
        </w:rPr>
        <w:t>Keywords:</w:t>
      </w:r>
      <w:r w:rsidR="00B066CF" w:rsidRPr="00474F34">
        <w:rPr>
          <w:rFonts w:ascii="Times New Roman" w:hAnsi="Times New Roman" w:cs="Times New Roman"/>
          <w:b/>
          <w:sz w:val="24"/>
          <w:szCs w:val="24"/>
        </w:rPr>
        <w:t xml:space="preserve"> </w:t>
      </w:r>
      <w:r w:rsidR="00B066CF" w:rsidRPr="00474F34">
        <w:rPr>
          <w:rFonts w:ascii="Times New Roman" w:hAnsi="Times New Roman" w:cs="Times New Roman"/>
          <w:sz w:val="24"/>
          <w:szCs w:val="24"/>
        </w:rPr>
        <w:t xml:space="preserve">Behavioural </w:t>
      </w:r>
      <w:r w:rsidR="00173EC7" w:rsidRPr="00474F34">
        <w:rPr>
          <w:rFonts w:ascii="Times New Roman" w:hAnsi="Times New Roman" w:cs="Times New Roman"/>
          <w:sz w:val="24"/>
          <w:szCs w:val="24"/>
        </w:rPr>
        <w:t>biases, r</w:t>
      </w:r>
      <w:r w:rsidRPr="00474F34">
        <w:rPr>
          <w:rFonts w:ascii="Times New Roman" w:hAnsi="Times New Roman" w:cs="Times New Roman"/>
          <w:sz w:val="24"/>
          <w:szCs w:val="24"/>
        </w:rPr>
        <w:t>isk parity, trend following, momentum, global asset allocation, equities, bonds, commodities, real estate</w:t>
      </w:r>
      <w:r w:rsidR="003E046B" w:rsidRPr="00474F34">
        <w:rPr>
          <w:rFonts w:ascii="Times New Roman" w:hAnsi="Times New Roman" w:cs="Times New Roman"/>
          <w:sz w:val="24"/>
          <w:szCs w:val="24"/>
        </w:rPr>
        <w:t>,</w:t>
      </w:r>
      <w:r w:rsidR="00E91D38" w:rsidRPr="00474F34">
        <w:rPr>
          <w:rFonts w:ascii="Times New Roman" w:hAnsi="Times New Roman" w:cs="Times New Roman"/>
          <w:sz w:val="24"/>
          <w:szCs w:val="24"/>
        </w:rPr>
        <w:t xml:space="preserve"> </w:t>
      </w:r>
      <w:r w:rsidR="003E046B" w:rsidRPr="00474F34">
        <w:rPr>
          <w:rFonts w:ascii="Times New Roman" w:hAnsi="Times New Roman" w:cs="Times New Roman"/>
          <w:sz w:val="24"/>
          <w:szCs w:val="24"/>
        </w:rPr>
        <w:t>sequencing risk.</w:t>
      </w:r>
    </w:p>
    <w:p w:rsidR="00151C03" w:rsidRPr="00320A82" w:rsidRDefault="00151C03" w:rsidP="00F24DB1">
      <w:pPr>
        <w:spacing w:line="360" w:lineRule="auto"/>
        <w:jc w:val="both"/>
        <w:rPr>
          <w:rFonts w:ascii="Times New Roman" w:hAnsi="Times New Roman" w:cs="Times New Roman"/>
          <w:sz w:val="24"/>
          <w:szCs w:val="24"/>
        </w:rPr>
      </w:pPr>
    </w:p>
    <w:p w:rsidR="009D0004" w:rsidRPr="00320A82" w:rsidRDefault="009D0004" w:rsidP="00F24DB1">
      <w:pPr>
        <w:spacing w:line="360" w:lineRule="auto"/>
        <w:jc w:val="both"/>
        <w:rPr>
          <w:rFonts w:ascii="Times New Roman" w:hAnsi="Times New Roman" w:cs="Times New Roman"/>
          <w:sz w:val="24"/>
          <w:szCs w:val="24"/>
        </w:rPr>
      </w:pPr>
      <w:r w:rsidRPr="00320A82">
        <w:rPr>
          <w:rFonts w:ascii="Times New Roman" w:hAnsi="Times New Roman" w:cs="Times New Roman"/>
          <w:b/>
          <w:sz w:val="24"/>
          <w:szCs w:val="24"/>
        </w:rPr>
        <w:t>JEL Classification:</w:t>
      </w:r>
      <w:r w:rsidRPr="00320A82">
        <w:rPr>
          <w:rFonts w:ascii="Times New Roman" w:hAnsi="Times New Roman" w:cs="Times New Roman"/>
          <w:sz w:val="24"/>
          <w:szCs w:val="24"/>
        </w:rPr>
        <w:t xml:space="preserve"> G10, 11, 12</w:t>
      </w:r>
      <w:r w:rsidR="00D8388F">
        <w:rPr>
          <w:rFonts w:ascii="Times New Roman" w:hAnsi="Times New Roman" w:cs="Times New Roman"/>
          <w:sz w:val="24"/>
          <w:szCs w:val="24"/>
        </w:rPr>
        <w:t>.</w:t>
      </w:r>
    </w:p>
    <w:p w:rsidR="009D0004" w:rsidRPr="00320A82" w:rsidRDefault="009D0004" w:rsidP="00F24DB1">
      <w:pPr>
        <w:spacing w:line="360" w:lineRule="auto"/>
        <w:jc w:val="both"/>
        <w:rPr>
          <w:rFonts w:ascii="Times New Roman" w:hAnsi="Times New Roman" w:cs="Times New Roman"/>
          <w:sz w:val="24"/>
          <w:szCs w:val="24"/>
        </w:rPr>
        <w:sectPr w:rsidR="009D0004" w:rsidRPr="00320A82" w:rsidSect="000B3CDD">
          <w:footerReference w:type="default" r:id="rId9"/>
          <w:pgSz w:w="11906" w:h="16838"/>
          <w:pgMar w:top="1440" w:right="1440" w:bottom="1440" w:left="1440" w:header="708" w:footer="708" w:gutter="0"/>
          <w:cols w:space="708"/>
          <w:docGrid w:linePitch="360"/>
        </w:sectPr>
      </w:pPr>
    </w:p>
    <w:p w:rsidR="005C5CFE" w:rsidRDefault="00624B0F" w:rsidP="001212DF">
      <w:pPr>
        <w:pStyle w:val="ListParagraph"/>
        <w:numPr>
          <w:ilvl w:val="0"/>
          <w:numId w:val="3"/>
        </w:numPr>
        <w:spacing w:after="0" w:line="360" w:lineRule="auto"/>
        <w:ind w:left="426" w:hanging="426"/>
        <w:jc w:val="both"/>
        <w:rPr>
          <w:rFonts w:ascii="Times New Roman" w:hAnsi="Times New Roman" w:cs="Times New Roman"/>
          <w:b/>
          <w:sz w:val="24"/>
          <w:szCs w:val="24"/>
        </w:rPr>
      </w:pPr>
      <w:r w:rsidRPr="00320A82">
        <w:rPr>
          <w:rFonts w:ascii="Times New Roman" w:hAnsi="Times New Roman" w:cs="Times New Roman"/>
          <w:b/>
          <w:sz w:val="24"/>
          <w:szCs w:val="24"/>
        </w:rPr>
        <w:lastRenderedPageBreak/>
        <w:t xml:space="preserve"> Introduction</w:t>
      </w:r>
    </w:p>
    <w:p w:rsidR="002A772D" w:rsidRPr="00D8388F" w:rsidRDefault="00652456" w:rsidP="00D8388F">
      <w:pPr>
        <w:spacing w:after="0" w:line="360" w:lineRule="auto"/>
        <w:jc w:val="both"/>
        <w:rPr>
          <w:rFonts w:ascii="Times New Roman" w:hAnsi="Times New Roman" w:cs="Times New Roman"/>
          <w:sz w:val="24"/>
          <w:szCs w:val="24"/>
        </w:rPr>
      </w:pPr>
      <w:r w:rsidRPr="00D8388F">
        <w:rPr>
          <w:rFonts w:ascii="Times New Roman" w:hAnsi="Times New Roman" w:cs="Times New Roman"/>
          <w:sz w:val="24"/>
          <w:szCs w:val="24"/>
        </w:rPr>
        <w:t>In 2014 the S&amp;P rose 13.7% yet the average investor in US equity mutual funds made only 5.5%;</w:t>
      </w:r>
      <w:r w:rsidR="00B066CF" w:rsidRPr="00D8388F">
        <w:rPr>
          <w:rFonts w:ascii="Times New Roman" w:hAnsi="Times New Roman" w:cs="Times New Roman"/>
          <w:sz w:val="24"/>
          <w:szCs w:val="24"/>
        </w:rPr>
        <w:t xml:space="preserve"> </w:t>
      </w:r>
      <w:r w:rsidRPr="00D8388F">
        <w:rPr>
          <w:rFonts w:ascii="Times New Roman" w:hAnsi="Times New Roman" w:cs="Times New Roman"/>
          <w:sz w:val="24"/>
          <w:szCs w:val="24"/>
        </w:rPr>
        <w:t>similarly the Barclays US Aggregate Bond Index returned just short of 6%,</w:t>
      </w:r>
      <w:r w:rsidR="00D8388F" w:rsidRPr="00D8388F">
        <w:rPr>
          <w:rFonts w:ascii="Times New Roman" w:hAnsi="Times New Roman" w:cs="Times New Roman"/>
          <w:sz w:val="24"/>
          <w:szCs w:val="24"/>
        </w:rPr>
        <w:t xml:space="preserve"> </w:t>
      </w:r>
      <w:r w:rsidRPr="00D8388F">
        <w:rPr>
          <w:rFonts w:ascii="Times New Roman" w:hAnsi="Times New Roman" w:cs="Times New Roman"/>
          <w:sz w:val="24"/>
          <w:szCs w:val="24"/>
        </w:rPr>
        <w:t>while the average investor in fixed income funds gained 1.16%.</w:t>
      </w:r>
      <w:r w:rsidR="00B066CF" w:rsidRPr="00D8388F">
        <w:rPr>
          <w:rFonts w:ascii="Times New Roman" w:hAnsi="Times New Roman" w:cs="Times New Roman"/>
          <w:sz w:val="24"/>
          <w:szCs w:val="24"/>
        </w:rPr>
        <w:t xml:space="preserve"> </w:t>
      </w:r>
      <w:r w:rsidRPr="00D8388F">
        <w:rPr>
          <w:rFonts w:ascii="Times New Roman" w:hAnsi="Times New Roman" w:cs="Times New Roman"/>
          <w:sz w:val="24"/>
          <w:szCs w:val="24"/>
        </w:rPr>
        <w:t>Investors in diversified ‘asset allocati</w:t>
      </w:r>
      <w:r w:rsidR="00D8388F" w:rsidRPr="00D8388F">
        <w:rPr>
          <w:rFonts w:ascii="Times New Roman" w:hAnsi="Times New Roman" w:cs="Times New Roman"/>
          <w:sz w:val="24"/>
          <w:szCs w:val="24"/>
        </w:rPr>
        <w:t>on’ funds made 2.24% on average.</w:t>
      </w:r>
      <w:r w:rsidR="00B066CF" w:rsidRPr="00D8388F">
        <w:rPr>
          <w:rStyle w:val="FootnoteReference"/>
          <w:rFonts w:ascii="Times New Roman" w:hAnsi="Times New Roman"/>
          <w:sz w:val="24"/>
          <w:szCs w:val="24"/>
        </w:rPr>
        <w:footnoteReference w:id="1"/>
      </w:r>
      <w:r w:rsidR="00B066CF" w:rsidRPr="00D8388F">
        <w:rPr>
          <w:rFonts w:ascii="Times New Roman" w:hAnsi="Times New Roman" w:cs="Times New Roman"/>
          <w:sz w:val="24"/>
          <w:szCs w:val="24"/>
        </w:rPr>
        <w:t xml:space="preserve"> </w:t>
      </w:r>
      <w:r w:rsidRPr="00D8388F">
        <w:rPr>
          <w:rFonts w:ascii="Times New Roman" w:hAnsi="Times New Roman" w:cs="Times New Roman"/>
          <w:sz w:val="24"/>
          <w:szCs w:val="24"/>
        </w:rPr>
        <w:t>Over the longer period of the last 30 years,</w:t>
      </w:r>
      <w:r w:rsidR="00B066CF" w:rsidRPr="00D8388F">
        <w:rPr>
          <w:rFonts w:ascii="Times New Roman" w:hAnsi="Times New Roman" w:cs="Times New Roman"/>
          <w:sz w:val="24"/>
          <w:szCs w:val="24"/>
        </w:rPr>
        <w:t xml:space="preserve"> </w:t>
      </w:r>
      <w:r w:rsidRPr="00D8388F">
        <w:rPr>
          <w:rFonts w:ascii="Times New Roman" w:hAnsi="Times New Roman" w:cs="Times New Roman"/>
          <w:sz w:val="24"/>
          <w:szCs w:val="24"/>
        </w:rPr>
        <w:t>the S&amp;P has returned an annualised 11.6% against</w:t>
      </w:r>
      <w:r w:rsidR="002A772D" w:rsidRPr="00D8388F">
        <w:rPr>
          <w:rFonts w:ascii="Times New Roman" w:hAnsi="Times New Roman" w:cs="Times New Roman"/>
          <w:sz w:val="24"/>
          <w:szCs w:val="24"/>
        </w:rPr>
        <w:t xml:space="preserve"> 3.8% for the average equity investor and 2.7% for inflation.</w:t>
      </w:r>
      <w:r w:rsidR="00D8388F">
        <w:rPr>
          <w:rFonts w:ascii="Times New Roman" w:hAnsi="Times New Roman" w:cs="Times New Roman"/>
          <w:sz w:val="24"/>
          <w:szCs w:val="24"/>
        </w:rPr>
        <w:t xml:space="preserve"> </w:t>
      </w:r>
      <w:r w:rsidR="00B066CF" w:rsidRPr="00D8388F">
        <w:rPr>
          <w:rFonts w:ascii="Times New Roman" w:hAnsi="Times New Roman" w:cs="Times New Roman"/>
          <w:sz w:val="24"/>
          <w:szCs w:val="24"/>
        </w:rPr>
        <w:t>Why is there such a discrepancy</w:t>
      </w:r>
      <w:r w:rsidR="002A772D" w:rsidRPr="00D8388F">
        <w:rPr>
          <w:rFonts w:ascii="Times New Roman" w:hAnsi="Times New Roman" w:cs="Times New Roman"/>
          <w:sz w:val="24"/>
          <w:szCs w:val="24"/>
        </w:rPr>
        <w:t>?</w:t>
      </w:r>
      <w:r w:rsidR="00B066CF" w:rsidRPr="00D8388F">
        <w:rPr>
          <w:rFonts w:ascii="Times New Roman" w:hAnsi="Times New Roman" w:cs="Times New Roman"/>
          <w:sz w:val="24"/>
          <w:szCs w:val="24"/>
        </w:rPr>
        <w:t xml:space="preserve"> </w:t>
      </w:r>
      <w:r w:rsidR="002A772D" w:rsidRPr="00D8388F">
        <w:rPr>
          <w:rFonts w:ascii="Times New Roman" w:hAnsi="Times New Roman" w:cs="Times New Roman"/>
          <w:sz w:val="24"/>
          <w:szCs w:val="24"/>
        </w:rPr>
        <w:t>Why have investors fared so badly?</w:t>
      </w:r>
      <w:r w:rsidR="00B066CF" w:rsidRPr="00D8388F">
        <w:rPr>
          <w:rFonts w:ascii="Times New Roman" w:hAnsi="Times New Roman" w:cs="Times New Roman"/>
          <w:sz w:val="24"/>
          <w:szCs w:val="24"/>
        </w:rPr>
        <w:t xml:space="preserve"> </w:t>
      </w:r>
      <w:r w:rsidR="002A772D" w:rsidRPr="00D8388F">
        <w:rPr>
          <w:rFonts w:ascii="Times New Roman" w:hAnsi="Times New Roman" w:cs="Times New Roman"/>
          <w:sz w:val="24"/>
          <w:szCs w:val="24"/>
        </w:rPr>
        <w:t>After adjusting for active managers’ underperformance and fees,</w:t>
      </w:r>
      <w:r w:rsidR="00B066CF" w:rsidRPr="00D8388F">
        <w:rPr>
          <w:rFonts w:ascii="Times New Roman" w:hAnsi="Times New Roman" w:cs="Times New Roman"/>
          <w:sz w:val="24"/>
          <w:szCs w:val="24"/>
        </w:rPr>
        <w:t xml:space="preserve"> </w:t>
      </w:r>
      <w:proofErr w:type="spellStart"/>
      <w:r w:rsidR="00B066CF" w:rsidRPr="00D8388F">
        <w:rPr>
          <w:rFonts w:ascii="Times New Roman" w:hAnsi="Times New Roman" w:cs="Times New Roman"/>
          <w:sz w:val="24"/>
          <w:szCs w:val="24"/>
        </w:rPr>
        <w:t>Dalbar</w:t>
      </w:r>
      <w:proofErr w:type="spellEnd"/>
      <w:r w:rsidR="002A772D" w:rsidRPr="00D8388F">
        <w:rPr>
          <w:rFonts w:ascii="Times New Roman" w:hAnsi="Times New Roman" w:cs="Times New Roman"/>
          <w:sz w:val="24"/>
          <w:szCs w:val="24"/>
        </w:rPr>
        <w:t xml:space="preserve"> find that the overwhelming driver of the discrepancy is bad timing by investors,</w:t>
      </w:r>
      <w:r w:rsidR="00B066CF" w:rsidRPr="00D8388F">
        <w:rPr>
          <w:rFonts w:ascii="Times New Roman" w:hAnsi="Times New Roman" w:cs="Times New Roman"/>
          <w:sz w:val="24"/>
          <w:szCs w:val="24"/>
        </w:rPr>
        <w:t xml:space="preserve"> </w:t>
      </w:r>
      <w:r w:rsidR="002A772D" w:rsidRPr="00D8388F">
        <w:rPr>
          <w:rFonts w:ascii="Times New Roman" w:hAnsi="Times New Roman" w:cs="Times New Roman"/>
          <w:sz w:val="24"/>
          <w:szCs w:val="24"/>
        </w:rPr>
        <w:t>particularly during extreme events;</w:t>
      </w:r>
      <w:r w:rsidR="00B066CF" w:rsidRPr="00D8388F">
        <w:rPr>
          <w:rFonts w:ascii="Times New Roman" w:hAnsi="Times New Roman" w:cs="Times New Roman"/>
          <w:sz w:val="24"/>
          <w:szCs w:val="24"/>
        </w:rPr>
        <w:t xml:space="preserve"> </w:t>
      </w:r>
      <w:r w:rsidR="002A772D" w:rsidRPr="00D8388F">
        <w:rPr>
          <w:rFonts w:ascii="Times New Roman" w:hAnsi="Times New Roman" w:cs="Times New Roman"/>
          <w:sz w:val="24"/>
          <w:szCs w:val="24"/>
        </w:rPr>
        <w:t>for instance,</w:t>
      </w:r>
      <w:r w:rsidR="00B066CF" w:rsidRPr="00D8388F">
        <w:rPr>
          <w:rFonts w:ascii="Times New Roman" w:hAnsi="Times New Roman" w:cs="Times New Roman"/>
          <w:sz w:val="24"/>
          <w:szCs w:val="24"/>
        </w:rPr>
        <w:t xml:space="preserve"> </w:t>
      </w:r>
      <w:r w:rsidR="002A772D" w:rsidRPr="00D8388F">
        <w:rPr>
          <w:rFonts w:ascii="Times New Roman" w:hAnsi="Times New Roman" w:cs="Times New Roman"/>
          <w:sz w:val="24"/>
          <w:szCs w:val="24"/>
        </w:rPr>
        <w:t>in October 2008,</w:t>
      </w:r>
      <w:r w:rsidR="00B066CF" w:rsidRPr="00D8388F">
        <w:rPr>
          <w:rFonts w:ascii="Times New Roman" w:hAnsi="Times New Roman" w:cs="Times New Roman"/>
          <w:sz w:val="24"/>
          <w:szCs w:val="24"/>
        </w:rPr>
        <w:t xml:space="preserve"> </w:t>
      </w:r>
      <w:r w:rsidR="002A772D" w:rsidRPr="00D8388F">
        <w:rPr>
          <w:rFonts w:ascii="Times New Roman" w:hAnsi="Times New Roman" w:cs="Times New Roman"/>
          <w:sz w:val="24"/>
          <w:szCs w:val="24"/>
        </w:rPr>
        <w:t>following the Lehman collapse,</w:t>
      </w:r>
      <w:r w:rsidR="00B066CF" w:rsidRPr="00D8388F">
        <w:rPr>
          <w:rFonts w:ascii="Times New Roman" w:hAnsi="Times New Roman" w:cs="Times New Roman"/>
          <w:sz w:val="24"/>
          <w:szCs w:val="24"/>
        </w:rPr>
        <w:t xml:space="preserve"> </w:t>
      </w:r>
      <w:r w:rsidR="002A772D" w:rsidRPr="00D8388F">
        <w:rPr>
          <w:rFonts w:ascii="Times New Roman" w:hAnsi="Times New Roman" w:cs="Times New Roman"/>
          <w:sz w:val="24"/>
          <w:szCs w:val="24"/>
        </w:rPr>
        <w:t>the S&amp;P500 dropped 16.8% but the average investor lost over 24% as they bailed out before the recovery towards the end of the month.</w:t>
      </w:r>
      <w:r w:rsidR="00B066CF" w:rsidRPr="00D8388F">
        <w:rPr>
          <w:rFonts w:ascii="Times New Roman" w:hAnsi="Times New Roman" w:cs="Times New Roman"/>
          <w:sz w:val="24"/>
          <w:szCs w:val="24"/>
        </w:rPr>
        <w:t xml:space="preserve"> </w:t>
      </w:r>
      <w:r w:rsidR="00C45DA0" w:rsidRPr="00D8388F">
        <w:rPr>
          <w:rFonts w:ascii="Times New Roman" w:hAnsi="Times New Roman" w:cs="Times New Roman"/>
          <w:sz w:val="24"/>
          <w:szCs w:val="24"/>
        </w:rPr>
        <w:t>Similar</w:t>
      </w:r>
      <w:r w:rsidR="00416C24" w:rsidRPr="00D8388F">
        <w:rPr>
          <w:rFonts w:ascii="Times New Roman" w:hAnsi="Times New Roman" w:cs="Times New Roman"/>
          <w:sz w:val="24"/>
          <w:szCs w:val="24"/>
        </w:rPr>
        <w:t>ly</w:t>
      </w:r>
      <w:r w:rsidR="00C45DA0" w:rsidRPr="00D8388F">
        <w:rPr>
          <w:rFonts w:ascii="Times New Roman" w:hAnsi="Times New Roman" w:cs="Times New Roman"/>
          <w:sz w:val="24"/>
          <w:szCs w:val="24"/>
        </w:rPr>
        <w:t xml:space="preserve"> huge underperformance occurred around the Black Monday crash of October,</w:t>
      </w:r>
      <w:r w:rsidR="00B066CF" w:rsidRPr="00D8388F">
        <w:rPr>
          <w:rFonts w:ascii="Times New Roman" w:hAnsi="Times New Roman" w:cs="Times New Roman"/>
          <w:sz w:val="24"/>
          <w:szCs w:val="24"/>
        </w:rPr>
        <w:t xml:space="preserve"> </w:t>
      </w:r>
      <w:r w:rsidR="00C45DA0" w:rsidRPr="00D8388F">
        <w:rPr>
          <w:rFonts w:ascii="Times New Roman" w:hAnsi="Times New Roman" w:cs="Times New Roman"/>
          <w:sz w:val="24"/>
          <w:szCs w:val="24"/>
        </w:rPr>
        <w:t>1987,</w:t>
      </w:r>
      <w:r w:rsidR="00B066CF" w:rsidRPr="00D8388F">
        <w:rPr>
          <w:rFonts w:ascii="Times New Roman" w:hAnsi="Times New Roman" w:cs="Times New Roman"/>
          <w:sz w:val="24"/>
          <w:szCs w:val="24"/>
        </w:rPr>
        <w:t xml:space="preserve"> </w:t>
      </w:r>
      <w:r w:rsidR="00C45DA0" w:rsidRPr="00D8388F">
        <w:rPr>
          <w:rFonts w:ascii="Times New Roman" w:hAnsi="Times New Roman" w:cs="Times New Roman"/>
          <w:sz w:val="24"/>
          <w:szCs w:val="24"/>
        </w:rPr>
        <w:t>the Asia crisis of November 1997,</w:t>
      </w:r>
      <w:r w:rsidR="00B066CF" w:rsidRPr="00D8388F">
        <w:rPr>
          <w:rFonts w:ascii="Times New Roman" w:hAnsi="Times New Roman" w:cs="Times New Roman"/>
          <w:sz w:val="24"/>
          <w:szCs w:val="24"/>
        </w:rPr>
        <w:t xml:space="preserve"> </w:t>
      </w:r>
      <w:r w:rsidR="00C45DA0" w:rsidRPr="00D8388F">
        <w:rPr>
          <w:rFonts w:ascii="Times New Roman" w:hAnsi="Times New Roman" w:cs="Times New Roman"/>
          <w:sz w:val="24"/>
          <w:szCs w:val="24"/>
        </w:rPr>
        <w:t>the Russian cr</w:t>
      </w:r>
      <w:r w:rsidR="00416C24" w:rsidRPr="00D8388F">
        <w:rPr>
          <w:rFonts w:ascii="Times New Roman" w:hAnsi="Times New Roman" w:cs="Times New Roman"/>
          <w:sz w:val="24"/>
          <w:szCs w:val="24"/>
        </w:rPr>
        <w:t>isis of 1998 while there was large underperformance in March 2000 when the market did well:</w:t>
      </w:r>
      <w:r w:rsidR="00B066CF" w:rsidRPr="00D8388F">
        <w:rPr>
          <w:rFonts w:ascii="Times New Roman" w:hAnsi="Times New Roman" w:cs="Times New Roman"/>
          <w:sz w:val="24"/>
          <w:szCs w:val="24"/>
        </w:rPr>
        <w:t xml:space="preserve"> </w:t>
      </w:r>
      <w:r w:rsidR="00416C24" w:rsidRPr="00D8388F">
        <w:rPr>
          <w:rFonts w:ascii="Times New Roman" w:hAnsi="Times New Roman" w:cs="Times New Roman"/>
          <w:sz w:val="24"/>
          <w:szCs w:val="24"/>
        </w:rPr>
        <w:t>investors are most likely to panic at big market turning points.</w:t>
      </w:r>
      <w:r w:rsidR="00B066CF" w:rsidRPr="00D8388F">
        <w:rPr>
          <w:rFonts w:ascii="Times New Roman" w:hAnsi="Times New Roman" w:cs="Times New Roman"/>
          <w:sz w:val="24"/>
          <w:szCs w:val="24"/>
        </w:rPr>
        <w:t xml:space="preserve"> </w:t>
      </w:r>
      <w:r w:rsidR="00416C24" w:rsidRPr="00D8388F">
        <w:rPr>
          <w:rFonts w:ascii="Times New Roman" w:hAnsi="Times New Roman" w:cs="Times New Roman"/>
          <w:sz w:val="24"/>
          <w:szCs w:val="24"/>
        </w:rPr>
        <w:t>In addition</w:t>
      </w:r>
      <w:r w:rsidR="00D8388F">
        <w:rPr>
          <w:rFonts w:ascii="Times New Roman" w:hAnsi="Times New Roman" w:cs="Times New Roman"/>
          <w:sz w:val="24"/>
          <w:szCs w:val="24"/>
        </w:rPr>
        <w:t>,</w:t>
      </w:r>
      <w:r w:rsidR="00416C24" w:rsidRPr="00D8388F">
        <w:rPr>
          <w:rFonts w:ascii="Times New Roman" w:hAnsi="Times New Roman" w:cs="Times New Roman"/>
          <w:sz w:val="24"/>
          <w:szCs w:val="24"/>
        </w:rPr>
        <w:t xml:space="preserve"> they give up on market rallies too early as in 2014.</w:t>
      </w:r>
    </w:p>
    <w:p w:rsidR="00B066CF" w:rsidRPr="00D8388F" w:rsidRDefault="00B066CF" w:rsidP="00B066CF">
      <w:pPr>
        <w:spacing w:after="0" w:line="360" w:lineRule="auto"/>
        <w:ind w:firstLine="720"/>
        <w:jc w:val="both"/>
        <w:rPr>
          <w:rFonts w:ascii="Times New Roman" w:hAnsi="Times New Roman" w:cs="Times New Roman"/>
          <w:sz w:val="24"/>
          <w:szCs w:val="24"/>
        </w:rPr>
      </w:pPr>
    </w:p>
    <w:p w:rsidR="00DD77C7" w:rsidRDefault="00416C24" w:rsidP="00B066CF">
      <w:pPr>
        <w:spacing w:after="0" w:line="360" w:lineRule="auto"/>
        <w:ind w:firstLine="720"/>
        <w:jc w:val="both"/>
        <w:rPr>
          <w:rFonts w:ascii="Times New Roman" w:hAnsi="Times New Roman" w:cs="Times New Roman"/>
          <w:sz w:val="24"/>
          <w:szCs w:val="24"/>
        </w:rPr>
      </w:pPr>
      <w:r w:rsidRPr="00D8388F">
        <w:rPr>
          <w:rFonts w:ascii="Times New Roman" w:hAnsi="Times New Roman" w:cs="Times New Roman"/>
          <w:sz w:val="24"/>
          <w:szCs w:val="24"/>
        </w:rPr>
        <w:t xml:space="preserve">The above examples and performance data are striking examples of </w:t>
      </w:r>
      <w:r w:rsidR="007C736E" w:rsidRPr="00D8388F">
        <w:rPr>
          <w:rFonts w:ascii="Times New Roman" w:hAnsi="Times New Roman" w:cs="Times New Roman"/>
          <w:sz w:val="24"/>
          <w:szCs w:val="24"/>
        </w:rPr>
        <w:t xml:space="preserve">poor decision-making by investors </w:t>
      </w:r>
      <w:r w:rsidR="00DD77C7" w:rsidRPr="00D8388F">
        <w:rPr>
          <w:rFonts w:ascii="Times New Roman" w:hAnsi="Times New Roman" w:cs="Times New Roman"/>
          <w:sz w:val="24"/>
          <w:szCs w:val="24"/>
        </w:rPr>
        <w:t>and have their foundations in the tenets of behavioural finance.</w:t>
      </w:r>
      <w:r w:rsidR="00B066CF" w:rsidRPr="00D8388F">
        <w:rPr>
          <w:rFonts w:ascii="Times New Roman" w:hAnsi="Times New Roman" w:cs="Times New Roman"/>
          <w:sz w:val="24"/>
          <w:szCs w:val="24"/>
        </w:rPr>
        <w:t xml:space="preserve"> </w:t>
      </w:r>
      <w:r w:rsidR="00DD77C7" w:rsidRPr="00D8388F">
        <w:rPr>
          <w:rFonts w:ascii="Times New Roman" w:hAnsi="Times New Roman" w:cs="Times New Roman"/>
          <w:sz w:val="24"/>
          <w:szCs w:val="24"/>
        </w:rPr>
        <w:t xml:space="preserve">We can see elements of </w:t>
      </w:r>
      <w:r w:rsidR="009B49C0">
        <w:rPr>
          <w:rFonts w:ascii="Times New Roman" w:hAnsi="Times New Roman" w:cs="Times New Roman"/>
          <w:sz w:val="24"/>
          <w:szCs w:val="24"/>
        </w:rPr>
        <w:t xml:space="preserve">the causes of behavioural biases such as </w:t>
      </w:r>
      <w:r w:rsidR="00DD77C7" w:rsidRPr="00D8388F">
        <w:rPr>
          <w:rFonts w:ascii="Times New Roman" w:hAnsi="Times New Roman" w:cs="Times New Roman"/>
          <w:sz w:val="24"/>
          <w:szCs w:val="24"/>
        </w:rPr>
        <w:t>herding,</w:t>
      </w:r>
      <w:r w:rsidR="00B066CF" w:rsidRPr="00D8388F">
        <w:rPr>
          <w:rFonts w:ascii="Times New Roman" w:hAnsi="Times New Roman" w:cs="Times New Roman"/>
          <w:sz w:val="24"/>
          <w:szCs w:val="24"/>
        </w:rPr>
        <w:t xml:space="preserve"> </w:t>
      </w:r>
      <w:r w:rsidR="009B49C0">
        <w:rPr>
          <w:rFonts w:ascii="Times New Roman" w:hAnsi="Times New Roman" w:cs="Times New Roman"/>
          <w:sz w:val="24"/>
          <w:szCs w:val="24"/>
        </w:rPr>
        <w:t xml:space="preserve">regret and </w:t>
      </w:r>
      <w:r w:rsidR="00DD77C7" w:rsidRPr="00D8388F">
        <w:rPr>
          <w:rFonts w:ascii="Times New Roman" w:hAnsi="Times New Roman" w:cs="Times New Roman"/>
          <w:sz w:val="24"/>
          <w:szCs w:val="24"/>
        </w:rPr>
        <w:t xml:space="preserve">conservatism </w:t>
      </w:r>
      <w:r w:rsidR="009B49C0">
        <w:rPr>
          <w:rFonts w:ascii="Times New Roman" w:hAnsi="Times New Roman" w:cs="Times New Roman"/>
          <w:sz w:val="24"/>
          <w:szCs w:val="24"/>
        </w:rPr>
        <w:t xml:space="preserve">which are reviewed in the survey of prospect theory by </w:t>
      </w:r>
      <w:proofErr w:type="spellStart"/>
      <w:r w:rsidR="009B49C0">
        <w:rPr>
          <w:rFonts w:ascii="Times New Roman" w:hAnsi="Times New Roman" w:cs="Times New Roman"/>
          <w:sz w:val="24"/>
          <w:szCs w:val="24"/>
        </w:rPr>
        <w:t>Barbaris</w:t>
      </w:r>
      <w:proofErr w:type="spellEnd"/>
      <w:r w:rsidR="009B49C0">
        <w:rPr>
          <w:rFonts w:ascii="Times New Roman" w:hAnsi="Times New Roman" w:cs="Times New Roman"/>
          <w:sz w:val="24"/>
          <w:szCs w:val="24"/>
        </w:rPr>
        <w:t xml:space="preserve"> (2013). </w:t>
      </w:r>
      <w:r w:rsidR="00DD77C7" w:rsidRPr="00D8388F">
        <w:rPr>
          <w:rFonts w:ascii="Times New Roman" w:hAnsi="Times New Roman" w:cs="Times New Roman"/>
          <w:sz w:val="24"/>
          <w:szCs w:val="24"/>
        </w:rPr>
        <w:t>So how could investors overcome such biases which destroy investment returns?</w:t>
      </w:r>
      <w:r w:rsidR="00B066CF" w:rsidRPr="00D8388F">
        <w:rPr>
          <w:rFonts w:ascii="Times New Roman" w:hAnsi="Times New Roman" w:cs="Times New Roman"/>
          <w:sz w:val="24"/>
          <w:szCs w:val="24"/>
        </w:rPr>
        <w:t xml:space="preserve"> </w:t>
      </w:r>
      <w:r w:rsidR="00DD77C7" w:rsidRPr="00D8388F">
        <w:rPr>
          <w:rFonts w:ascii="Times New Roman" w:hAnsi="Times New Roman" w:cs="Times New Roman"/>
          <w:sz w:val="24"/>
          <w:szCs w:val="24"/>
        </w:rPr>
        <w:t>One way is use rigid quantita</w:t>
      </w:r>
      <w:r w:rsidR="00D335F6" w:rsidRPr="00D8388F">
        <w:rPr>
          <w:rFonts w:ascii="Times New Roman" w:hAnsi="Times New Roman" w:cs="Times New Roman"/>
          <w:sz w:val="24"/>
          <w:szCs w:val="24"/>
        </w:rPr>
        <w:t>tive</w:t>
      </w:r>
      <w:r w:rsidR="00DD77C7" w:rsidRPr="00D8388F">
        <w:rPr>
          <w:rFonts w:ascii="Times New Roman" w:hAnsi="Times New Roman" w:cs="Times New Roman"/>
          <w:sz w:val="24"/>
          <w:szCs w:val="24"/>
        </w:rPr>
        <w:t xml:space="preserve"> investment rules which take discretion away from investors</w:t>
      </w:r>
      <w:r w:rsidR="00D335F6" w:rsidRPr="00D8388F">
        <w:rPr>
          <w:rFonts w:ascii="Times New Roman" w:hAnsi="Times New Roman" w:cs="Times New Roman"/>
          <w:sz w:val="24"/>
          <w:szCs w:val="24"/>
        </w:rPr>
        <w:t xml:space="preserve"> and reflect what we know about investor preferences for risk and return.</w:t>
      </w:r>
      <w:r w:rsidR="00B066CF" w:rsidRPr="00D8388F">
        <w:rPr>
          <w:rFonts w:ascii="Times New Roman" w:hAnsi="Times New Roman" w:cs="Times New Roman"/>
          <w:sz w:val="24"/>
          <w:szCs w:val="24"/>
        </w:rPr>
        <w:t xml:space="preserve"> </w:t>
      </w:r>
      <w:r w:rsidR="00D517FD">
        <w:rPr>
          <w:rFonts w:ascii="Times New Roman" w:hAnsi="Times New Roman" w:cs="Times New Roman"/>
          <w:sz w:val="24"/>
          <w:szCs w:val="24"/>
        </w:rPr>
        <w:t xml:space="preserve">The </w:t>
      </w:r>
      <w:proofErr w:type="spellStart"/>
      <w:r w:rsidR="00D517FD">
        <w:rPr>
          <w:rFonts w:ascii="Times New Roman" w:hAnsi="Times New Roman" w:cs="Times New Roman"/>
          <w:sz w:val="24"/>
          <w:szCs w:val="24"/>
        </w:rPr>
        <w:t>Dalb</w:t>
      </w:r>
      <w:r w:rsidR="00D335F6" w:rsidRPr="00D8388F">
        <w:rPr>
          <w:rFonts w:ascii="Times New Roman" w:hAnsi="Times New Roman" w:cs="Times New Roman"/>
          <w:sz w:val="24"/>
          <w:szCs w:val="24"/>
        </w:rPr>
        <w:t>ar</w:t>
      </w:r>
      <w:proofErr w:type="spellEnd"/>
      <w:r w:rsidR="00D335F6" w:rsidRPr="00D8388F">
        <w:rPr>
          <w:rFonts w:ascii="Times New Roman" w:hAnsi="Times New Roman" w:cs="Times New Roman"/>
          <w:sz w:val="24"/>
          <w:szCs w:val="24"/>
        </w:rPr>
        <w:t xml:space="preserve"> study</w:t>
      </w:r>
      <w:r w:rsidR="00B066CF" w:rsidRPr="00D8388F">
        <w:rPr>
          <w:rFonts w:ascii="Times New Roman" w:hAnsi="Times New Roman" w:cs="Times New Roman"/>
          <w:sz w:val="24"/>
          <w:szCs w:val="24"/>
        </w:rPr>
        <w:t xml:space="preserve"> </w:t>
      </w:r>
      <w:r w:rsidR="00D335F6" w:rsidRPr="00D8388F">
        <w:rPr>
          <w:rFonts w:ascii="Times New Roman" w:hAnsi="Times New Roman" w:cs="Times New Roman"/>
          <w:sz w:val="24"/>
          <w:szCs w:val="24"/>
        </w:rPr>
        <w:t>(again</w:t>
      </w:r>
      <w:r w:rsidR="00B066CF" w:rsidRPr="00D8388F">
        <w:rPr>
          <w:rFonts w:ascii="Times New Roman" w:hAnsi="Times New Roman" w:cs="Times New Roman"/>
          <w:sz w:val="24"/>
          <w:szCs w:val="24"/>
        </w:rPr>
        <w:t>,</w:t>
      </w:r>
      <w:r w:rsidR="00D335F6" w:rsidRPr="00D8388F">
        <w:rPr>
          <w:rFonts w:ascii="Times New Roman" w:hAnsi="Times New Roman" w:cs="Times New Roman"/>
          <w:sz w:val="24"/>
          <w:szCs w:val="24"/>
        </w:rPr>
        <w:t xml:space="preserve"> as quoted by </w:t>
      </w:r>
      <w:proofErr w:type="spellStart"/>
      <w:r w:rsidR="00D335F6" w:rsidRPr="00D8388F">
        <w:rPr>
          <w:rFonts w:ascii="Times New Roman" w:hAnsi="Times New Roman" w:cs="Times New Roman"/>
          <w:sz w:val="24"/>
          <w:szCs w:val="24"/>
        </w:rPr>
        <w:t>Authers</w:t>
      </w:r>
      <w:proofErr w:type="spellEnd"/>
      <w:r w:rsidR="00D335F6" w:rsidRPr="00D8388F">
        <w:rPr>
          <w:rFonts w:ascii="Times New Roman" w:hAnsi="Times New Roman" w:cs="Times New Roman"/>
          <w:sz w:val="24"/>
          <w:szCs w:val="24"/>
        </w:rPr>
        <w:t>) estimates that only about 15% of investors want to ‘beat the market’ but twice that percentage show</w:t>
      </w:r>
      <w:r w:rsidR="00D335F6" w:rsidRPr="00D8388F">
        <w:rPr>
          <w:rFonts w:ascii="Times New Roman" w:hAnsi="Times New Roman" w:cs="Times New Roman"/>
          <w:i/>
          <w:sz w:val="24"/>
          <w:szCs w:val="24"/>
        </w:rPr>
        <w:t xml:space="preserve"> extreme</w:t>
      </w:r>
      <w:r w:rsidR="00D335F6" w:rsidRPr="00D8388F">
        <w:rPr>
          <w:rFonts w:ascii="Times New Roman" w:hAnsi="Times New Roman" w:cs="Times New Roman"/>
          <w:sz w:val="24"/>
          <w:szCs w:val="24"/>
        </w:rPr>
        <w:t xml:space="preserve"> loss aversion:</w:t>
      </w:r>
      <w:r w:rsidR="00B066CF" w:rsidRPr="00D8388F">
        <w:rPr>
          <w:rFonts w:ascii="Times New Roman" w:hAnsi="Times New Roman" w:cs="Times New Roman"/>
          <w:sz w:val="24"/>
          <w:szCs w:val="24"/>
        </w:rPr>
        <w:t xml:space="preserve"> </w:t>
      </w:r>
      <w:r w:rsidR="00D335F6" w:rsidRPr="00D8388F">
        <w:rPr>
          <w:rFonts w:ascii="Times New Roman" w:hAnsi="Times New Roman" w:cs="Times New Roman"/>
          <w:sz w:val="24"/>
          <w:szCs w:val="24"/>
        </w:rPr>
        <w:t>so how can we design investments (and investment strategies) that will avoid such emotional responses as ‘bailing out’</w:t>
      </w:r>
      <w:r w:rsidR="00173EC7" w:rsidRPr="00D8388F">
        <w:rPr>
          <w:rFonts w:ascii="Times New Roman" w:hAnsi="Times New Roman" w:cs="Times New Roman"/>
          <w:sz w:val="24"/>
          <w:szCs w:val="24"/>
        </w:rPr>
        <w:t xml:space="preserve"> too early?</w:t>
      </w:r>
    </w:p>
    <w:p w:rsidR="00D8388F" w:rsidRPr="00D8388F" w:rsidRDefault="00D8388F" w:rsidP="00B066CF">
      <w:pPr>
        <w:spacing w:after="0" w:line="360" w:lineRule="auto"/>
        <w:ind w:firstLine="720"/>
        <w:jc w:val="both"/>
        <w:rPr>
          <w:rFonts w:ascii="Times New Roman" w:hAnsi="Times New Roman" w:cs="Times New Roman"/>
          <w:sz w:val="24"/>
          <w:szCs w:val="24"/>
        </w:rPr>
      </w:pPr>
    </w:p>
    <w:p w:rsidR="00F2462B" w:rsidRPr="00320A82" w:rsidRDefault="00E26D34" w:rsidP="00B066CF">
      <w:pPr>
        <w:spacing w:after="0" w:line="360" w:lineRule="auto"/>
        <w:ind w:firstLine="720"/>
        <w:jc w:val="both"/>
        <w:rPr>
          <w:rFonts w:ascii="Times New Roman" w:hAnsi="Times New Roman" w:cs="Times New Roman"/>
          <w:sz w:val="24"/>
          <w:szCs w:val="24"/>
        </w:rPr>
      </w:pPr>
      <w:r w:rsidRPr="00D8388F">
        <w:rPr>
          <w:rFonts w:ascii="Times New Roman" w:hAnsi="Times New Roman" w:cs="Times New Roman"/>
          <w:sz w:val="24"/>
          <w:szCs w:val="24"/>
        </w:rPr>
        <w:t>Investors today are faced with the task of choosing from a wide variety of asset</w:t>
      </w:r>
      <w:r w:rsidR="0030216F" w:rsidRPr="00D8388F">
        <w:rPr>
          <w:rFonts w:ascii="Times New Roman" w:hAnsi="Times New Roman" w:cs="Times New Roman"/>
          <w:sz w:val="24"/>
          <w:szCs w:val="24"/>
        </w:rPr>
        <w:t xml:space="preserve"> classe</w:t>
      </w:r>
      <w:r w:rsidRPr="00D8388F">
        <w:rPr>
          <w:rFonts w:ascii="Times New Roman" w:hAnsi="Times New Roman" w:cs="Times New Roman"/>
          <w:sz w:val="24"/>
          <w:szCs w:val="24"/>
        </w:rPr>
        <w:t xml:space="preserve">s when seeking to </w:t>
      </w:r>
      <w:r w:rsidR="0030216F" w:rsidRPr="00D8388F">
        <w:rPr>
          <w:rFonts w:ascii="Times New Roman" w:hAnsi="Times New Roman" w:cs="Times New Roman"/>
          <w:sz w:val="24"/>
          <w:szCs w:val="24"/>
        </w:rPr>
        <w:t xml:space="preserve">invest </w:t>
      </w:r>
      <w:r w:rsidRPr="00D8388F">
        <w:rPr>
          <w:rFonts w:ascii="Times New Roman" w:hAnsi="Times New Roman" w:cs="Times New Roman"/>
          <w:sz w:val="24"/>
          <w:szCs w:val="24"/>
        </w:rPr>
        <w:t xml:space="preserve">their money. With electronic trading and the </w:t>
      </w:r>
      <w:r w:rsidR="00AC4355" w:rsidRPr="00D8388F">
        <w:rPr>
          <w:rFonts w:ascii="Times New Roman" w:hAnsi="Times New Roman" w:cs="Times New Roman"/>
          <w:sz w:val="24"/>
          <w:szCs w:val="24"/>
        </w:rPr>
        <w:t xml:space="preserve">rapid expansion of the </w:t>
      </w:r>
      <w:r w:rsidRPr="00D8388F">
        <w:rPr>
          <w:rFonts w:ascii="Times New Roman" w:hAnsi="Times New Roman" w:cs="Times New Roman"/>
          <w:sz w:val="24"/>
          <w:szCs w:val="24"/>
        </w:rPr>
        <w:t xml:space="preserve"> Exchange Traded Funds (ETFs)</w:t>
      </w:r>
      <w:r w:rsidR="00AC4355" w:rsidRPr="00D8388F">
        <w:rPr>
          <w:rFonts w:ascii="Times New Roman" w:hAnsi="Times New Roman" w:cs="Times New Roman"/>
          <w:sz w:val="24"/>
          <w:szCs w:val="24"/>
        </w:rPr>
        <w:t xml:space="preserve"> universe</w:t>
      </w:r>
      <w:r w:rsidR="00F61F61" w:rsidRPr="00D8388F">
        <w:rPr>
          <w:rFonts w:ascii="Times New Roman" w:hAnsi="Times New Roman" w:cs="Times New Roman"/>
          <w:sz w:val="24"/>
          <w:szCs w:val="24"/>
        </w:rPr>
        <w:t>,</w:t>
      </w:r>
      <w:r w:rsidRPr="00D8388F">
        <w:rPr>
          <w:rFonts w:ascii="Times New Roman" w:hAnsi="Times New Roman" w:cs="Times New Roman"/>
          <w:sz w:val="24"/>
          <w:szCs w:val="24"/>
        </w:rPr>
        <w:t xml:space="preserve"> the ability to invest in a vast array of </w:t>
      </w:r>
      <w:r w:rsidR="00664877" w:rsidRPr="00D8388F">
        <w:rPr>
          <w:rFonts w:ascii="Times New Roman" w:hAnsi="Times New Roman" w:cs="Times New Roman"/>
          <w:sz w:val="24"/>
          <w:szCs w:val="24"/>
        </w:rPr>
        <w:t xml:space="preserve">asset </w:t>
      </w:r>
      <w:r w:rsidR="00664877" w:rsidRPr="00D8388F">
        <w:rPr>
          <w:rFonts w:ascii="Times New Roman" w:hAnsi="Times New Roman" w:cs="Times New Roman"/>
          <w:sz w:val="24"/>
          <w:szCs w:val="24"/>
        </w:rPr>
        <w:lastRenderedPageBreak/>
        <w:t xml:space="preserve">classes and </w:t>
      </w:r>
      <w:r w:rsidRPr="00D8388F">
        <w:rPr>
          <w:rFonts w:ascii="Times New Roman" w:hAnsi="Times New Roman" w:cs="Times New Roman"/>
          <w:sz w:val="24"/>
          <w:szCs w:val="24"/>
        </w:rPr>
        <w:t>instruments both domestically, and overseas, has never been easier. The</w:t>
      </w:r>
      <w:r w:rsidR="004B523B" w:rsidRPr="00D8388F">
        <w:rPr>
          <w:rFonts w:ascii="Times New Roman" w:hAnsi="Times New Roman" w:cs="Times New Roman"/>
          <w:sz w:val="24"/>
          <w:szCs w:val="24"/>
        </w:rPr>
        <w:t xml:space="preserve"> </w:t>
      </w:r>
      <w:r w:rsidRPr="00D8388F">
        <w:rPr>
          <w:rFonts w:ascii="Times New Roman" w:hAnsi="Times New Roman" w:cs="Times New Roman"/>
          <w:sz w:val="24"/>
          <w:szCs w:val="24"/>
        </w:rPr>
        <w:t>t</w:t>
      </w:r>
      <w:r w:rsidR="00F2462B" w:rsidRPr="00D8388F">
        <w:rPr>
          <w:rFonts w:ascii="Times New Roman" w:hAnsi="Times New Roman" w:cs="Times New Roman"/>
          <w:sz w:val="24"/>
          <w:szCs w:val="24"/>
        </w:rPr>
        <w:t xml:space="preserve">raditional </w:t>
      </w:r>
      <w:r w:rsidRPr="00D8388F">
        <w:rPr>
          <w:rFonts w:ascii="Times New Roman" w:hAnsi="Times New Roman" w:cs="Times New Roman"/>
          <w:sz w:val="24"/>
          <w:szCs w:val="24"/>
        </w:rPr>
        <w:t xml:space="preserve">method of asset allocation of 60% in </w:t>
      </w:r>
      <w:r w:rsidR="005A1448" w:rsidRPr="00D8388F">
        <w:rPr>
          <w:rFonts w:ascii="Times New Roman" w:hAnsi="Times New Roman" w:cs="Times New Roman"/>
          <w:sz w:val="24"/>
          <w:szCs w:val="24"/>
        </w:rPr>
        <w:t xml:space="preserve">domestic </w:t>
      </w:r>
      <w:r w:rsidRPr="00D8388F">
        <w:rPr>
          <w:rFonts w:ascii="Times New Roman" w:hAnsi="Times New Roman" w:cs="Times New Roman"/>
          <w:sz w:val="24"/>
          <w:szCs w:val="24"/>
        </w:rPr>
        <w:t>equities and 40% in</w:t>
      </w:r>
      <w:r w:rsidR="005A1448" w:rsidRPr="00D8388F">
        <w:rPr>
          <w:rFonts w:ascii="Times New Roman" w:hAnsi="Times New Roman" w:cs="Times New Roman"/>
          <w:sz w:val="24"/>
          <w:szCs w:val="24"/>
        </w:rPr>
        <w:t xml:space="preserve"> domestic</w:t>
      </w:r>
      <w:r w:rsidRPr="00D8388F">
        <w:rPr>
          <w:rFonts w:ascii="Times New Roman" w:hAnsi="Times New Roman" w:cs="Times New Roman"/>
          <w:sz w:val="24"/>
          <w:szCs w:val="24"/>
        </w:rPr>
        <w:t xml:space="preserve"> bonds and, apart f</w:t>
      </w:r>
      <w:r w:rsidRPr="00320A82">
        <w:rPr>
          <w:rFonts w:ascii="Times New Roman" w:hAnsi="Times New Roman" w:cs="Times New Roman"/>
          <w:sz w:val="24"/>
          <w:szCs w:val="24"/>
        </w:rPr>
        <w:t>rom a little rebalancing, holding these positions indefinitely increasingly appears archaic.</w:t>
      </w:r>
      <w:r w:rsidR="005A1448" w:rsidRPr="00320A82">
        <w:rPr>
          <w:rFonts w:ascii="Times New Roman" w:hAnsi="Times New Roman" w:cs="Times New Roman"/>
          <w:sz w:val="24"/>
          <w:szCs w:val="24"/>
        </w:rPr>
        <w:t xml:space="preserve"> Aside from the diversification benefits lost by failing to explore alternative asset classes, </w:t>
      </w:r>
      <w:proofErr w:type="spellStart"/>
      <w:r w:rsidR="005A1448" w:rsidRPr="00320A82">
        <w:rPr>
          <w:rFonts w:ascii="Times New Roman" w:hAnsi="Times New Roman" w:cs="Times New Roman"/>
          <w:sz w:val="24"/>
          <w:szCs w:val="24"/>
        </w:rPr>
        <w:t>Asness</w:t>
      </w:r>
      <w:proofErr w:type="spellEnd"/>
      <w:r w:rsidR="005A1448" w:rsidRPr="00320A82">
        <w:rPr>
          <w:rFonts w:ascii="Times New Roman" w:hAnsi="Times New Roman" w:cs="Times New Roman"/>
          <w:sz w:val="24"/>
          <w:szCs w:val="24"/>
        </w:rPr>
        <w:t xml:space="preserve"> et al (2011) argue that this is a highly inefficient strategy since the volatility of equities dominates the risk in a 60/40 portfolio.</w:t>
      </w:r>
      <w:r w:rsidR="00917C03" w:rsidRPr="00320A82">
        <w:rPr>
          <w:rFonts w:ascii="Times New Roman" w:hAnsi="Times New Roman" w:cs="Times New Roman"/>
          <w:sz w:val="24"/>
          <w:szCs w:val="24"/>
        </w:rPr>
        <w:t xml:space="preserve"> Instead they suggest </w:t>
      </w:r>
      <w:r w:rsidR="00664877" w:rsidRPr="00320A82">
        <w:rPr>
          <w:rFonts w:ascii="Times New Roman" w:hAnsi="Times New Roman" w:cs="Times New Roman"/>
          <w:sz w:val="24"/>
          <w:szCs w:val="24"/>
        </w:rPr>
        <w:t xml:space="preserve">that </w:t>
      </w:r>
      <w:r w:rsidR="00917C03" w:rsidRPr="00320A82">
        <w:rPr>
          <w:rFonts w:ascii="Times New Roman" w:hAnsi="Times New Roman" w:cs="Times New Roman"/>
          <w:sz w:val="24"/>
          <w:szCs w:val="24"/>
        </w:rPr>
        <w:t xml:space="preserve">investors should allocate an equal amount of risk to stocks and bonds, </w:t>
      </w:r>
      <w:r w:rsidR="00664877" w:rsidRPr="00320A82">
        <w:rPr>
          <w:rFonts w:ascii="Times New Roman" w:hAnsi="Times New Roman" w:cs="Times New Roman"/>
          <w:sz w:val="24"/>
          <w:szCs w:val="24"/>
        </w:rPr>
        <w:t>to achieve</w:t>
      </w:r>
      <w:r w:rsidR="00917C03" w:rsidRPr="00320A82">
        <w:rPr>
          <w:rFonts w:ascii="Times New Roman" w:hAnsi="Times New Roman" w:cs="Times New Roman"/>
          <w:sz w:val="24"/>
          <w:szCs w:val="24"/>
        </w:rPr>
        <w:t xml:space="preserve"> </w:t>
      </w:r>
      <w:r w:rsidR="00664877" w:rsidRPr="00320A82">
        <w:rPr>
          <w:rFonts w:ascii="Times New Roman" w:hAnsi="Times New Roman" w:cs="Times New Roman"/>
          <w:sz w:val="24"/>
          <w:szCs w:val="24"/>
        </w:rPr>
        <w:t>‘</w:t>
      </w:r>
      <w:r w:rsidR="00917C03" w:rsidRPr="00320A82">
        <w:rPr>
          <w:rFonts w:ascii="Times New Roman" w:hAnsi="Times New Roman" w:cs="Times New Roman"/>
          <w:sz w:val="24"/>
          <w:szCs w:val="24"/>
        </w:rPr>
        <w:t>risk parity</w:t>
      </w:r>
      <w:r w:rsidR="00664877" w:rsidRPr="00320A82">
        <w:rPr>
          <w:rFonts w:ascii="Times New Roman" w:hAnsi="Times New Roman" w:cs="Times New Roman"/>
          <w:sz w:val="24"/>
          <w:szCs w:val="24"/>
        </w:rPr>
        <w:t>’</w:t>
      </w:r>
      <w:r w:rsidR="00C33680" w:rsidRPr="00320A82">
        <w:rPr>
          <w:rFonts w:ascii="Times New Roman" w:hAnsi="Times New Roman" w:cs="Times New Roman"/>
          <w:sz w:val="24"/>
          <w:szCs w:val="24"/>
        </w:rPr>
        <w:t xml:space="preserve">, and show that this has delivered a superior risk-adjusted performance compared to the traditional </w:t>
      </w:r>
      <w:r w:rsidR="00664877" w:rsidRPr="00320A82">
        <w:rPr>
          <w:rFonts w:ascii="Times New Roman" w:hAnsi="Times New Roman" w:cs="Times New Roman"/>
          <w:sz w:val="24"/>
          <w:szCs w:val="24"/>
        </w:rPr>
        <w:t xml:space="preserve">60/40 approach to </w:t>
      </w:r>
      <w:r w:rsidR="00C33680" w:rsidRPr="00320A82">
        <w:rPr>
          <w:rFonts w:ascii="Times New Roman" w:hAnsi="Times New Roman" w:cs="Times New Roman"/>
          <w:sz w:val="24"/>
          <w:szCs w:val="24"/>
        </w:rPr>
        <w:t>asset allocation</w:t>
      </w:r>
      <w:r w:rsidR="00917C03" w:rsidRPr="00320A82">
        <w:rPr>
          <w:rFonts w:ascii="Times New Roman" w:hAnsi="Times New Roman" w:cs="Times New Roman"/>
          <w:sz w:val="24"/>
          <w:szCs w:val="24"/>
        </w:rPr>
        <w:t>.</w:t>
      </w:r>
      <w:r w:rsidR="00C33680" w:rsidRPr="00320A82">
        <w:rPr>
          <w:rFonts w:ascii="Times New Roman" w:hAnsi="Times New Roman" w:cs="Times New Roman"/>
          <w:sz w:val="24"/>
          <w:szCs w:val="24"/>
        </w:rPr>
        <w:t xml:space="preserve"> </w:t>
      </w:r>
      <w:r w:rsidR="00AC4355" w:rsidRPr="00320A82">
        <w:rPr>
          <w:rFonts w:ascii="Times New Roman" w:hAnsi="Times New Roman" w:cs="Times New Roman"/>
          <w:sz w:val="24"/>
          <w:szCs w:val="24"/>
        </w:rPr>
        <w:t>Although, n</w:t>
      </w:r>
      <w:r w:rsidR="00C33680" w:rsidRPr="00320A82">
        <w:rPr>
          <w:rFonts w:ascii="Times New Roman" w:hAnsi="Times New Roman" w:cs="Times New Roman"/>
          <w:sz w:val="24"/>
          <w:szCs w:val="24"/>
        </w:rPr>
        <w:t>ominal</w:t>
      </w:r>
      <w:r w:rsidR="00297BBC" w:rsidRPr="00320A82">
        <w:rPr>
          <w:rFonts w:ascii="Times New Roman" w:hAnsi="Times New Roman" w:cs="Times New Roman"/>
          <w:sz w:val="24"/>
          <w:szCs w:val="24"/>
        </w:rPr>
        <w:t xml:space="preserve"> returns have historically been quite low</w:t>
      </w:r>
      <w:r w:rsidR="004B523B" w:rsidRPr="00320A82">
        <w:rPr>
          <w:rFonts w:ascii="Times New Roman" w:hAnsi="Times New Roman" w:cs="Times New Roman"/>
          <w:sz w:val="24"/>
          <w:szCs w:val="24"/>
        </w:rPr>
        <w:t xml:space="preserve"> </w:t>
      </w:r>
      <w:r w:rsidR="00C33680" w:rsidRPr="00320A82">
        <w:rPr>
          <w:rFonts w:ascii="Times New Roman" w:hAnsi="Times New Roman" w:cs="Times New Roman"/>
          <w:sz w:val="24"/>
          <w:szCs w:val="24"/>
        </w:rPr>
        <w:t>to this strategy</w:t>
      </w:r>
      <w:r w:rsidR="00AC4355" w:rsidRPr="00320A82">
        <w:rPr>
          <w:rFonts w:ascii="Times New Roman" w:hAnsi="Times New Roman" w:cs="Times New Roman"/>
          <w:sz w:val="24"/>
          <w:szCs w:val="24"/>
        </w:rPr>
        <w:t xml:space="preserve">, </w:t>
      </w:r>
      <w:r w:rsidR="00C33680" w:rsidRPr="00320A82">
        <w:rPr>
          <w:rFonts w:ascii="Times New Roman" w:hAnsi="Times New Roman" w:cs="Times New Roman"/>
          <w:sz w:val="24"/>
          <w:szCs w:val="24"/>
        </w:rPr>
        <w:t xml:space="preserve">proponents </w:t>
      </w:r>
      <w:r w:rsidR="00F61F61" w:rsidRPr="00320A82">
        <w:rPr>
          <w:rFonts w:ascii="Times New Roman" w:hAnsi="Times New Roman" w:cs="Times New Roman"/>
          <w:sz w:val="24"/>
          <w:szCs w:val="24"/>
        </w:rPr>
        <w:t>argue</w:t>
      </w:r>
      <w:r w:rsidR="00C33680" w:rsidRPr="00320A82">
        <w:rPr>
          <w:rFonts w:ascii="Times New Roman" w:hAnsi="Times New Roman" w:cs="Times New Roman"/>
          <w:sz w:val="24"/>
          <w:szCs w:val="24"/>
        </w:rPr>
        <w:t xml:space="preserve"> </w:t>
      </w:r>
      <w:r w:rsidR="00AC4355" w:rsidRPr="00320A82">
        <w:rPr>
          <w:rFonts w:ascii="Times New Roman" w:hAnsi="Times New Roman" w:cs="Times New Roman"/>
          <w:sz w:val="24"/>
          <w:szCs w:val="24"/>
        </w:rPr>
        <w:t xml:space="preserve">that </w:t>
      </w:r>
      <w:r w:rsidR="00C33680" w:rsidRPr="00320A82">
        <w:rPr>
          <w:rFonts w:ascii="Times New Roman" w:hAnsi="Times New Roman" w:cs="Times New Roman"/>
          <w:sz w:val="24"/>
          <w:szCs w:val="24"/>
        </w:rPr>
        <w:t xml:space="preserve">this </w:t>
      </w:r>
      <w:r w:rsidR="00AC4355" w:rsidRPr="00320A82">
        <w:rPr>
          <w:rFonts w:ascii="Times New Roman" w:hAnsi="Times New Roman" w:cs="Times New Roman"/>
          <w:sz w:val="24"/>
          <w:szCs w:val="24"/>
        </w:rPr>
        <w:t xml:space="preserve">drawback of constructing a portfolio comprised of risk parity weights </w:t>
      </w:r>
      <w:r w:rsidR="00C33680" w:rsidRPr="00320A82">
        <w:rPr>
          <w:rFonts w:ascii="Times New Roman" w:hAnsi="Times New Roman" w:cs="Times New Roman"/>
          <w:sz w:val="24"/>
          <w:szCs w:val="24"/>
        </w:rPr>
        <w:t>can be overcome by employing leverage.</w:t>
      </w:r>
      <w:r w:rsidR="001A34F3" w:rsidRPr="00320A82">
        <w:rPr>
          <w:rFonts w:ascii="Times New Roman" w:hAnsi="Times New Roman" w:cs="Times New Roman"/>
          <w:sz w:val="24"/>
          <w:szCs w:val="24"/>
        </w:rPr>
        <w:t xml:space="preserve"> Inker (2010)</w:t>
      </w:r>
      <w:r w:rsidR="00517F08" w:rsidRPr="00320A82">
        <w:rPr>
          <w:rFonts w:ascii="Times New Roman" w:hAnsi="Times New Roman" w:cs="Times New Roman"/>
          <w:sz w:val="24"/>
          <w:szCs w:val="24"/>
        </w:rPr>
        <w:t xml:space="preserve">, however, argues that the last three decades have been especially favourable to government bonds and that this </w:t>
      </w:r>
      <w:r w:rsidR="00AC4355" w:rsidRPr="00320A82">
        <w:rPr>
          <w:rFonts w:ascii="Times New Roman" w:hAnsi="Times New Roman" w:cs="Times New Roman"/>
          <w:sz w:val="24"/>
          <w:szCs w:val="24"/>
        </w:rPr>
        <w:t xml:space="preserve">has generated </w:t>
      </w:r>
      <w:r w:rsidR="00517F08" w:rsidRPr="00320A82">
        <w:rPr>
          <w:rFonts w:ascii="Times New Roman" w:hAnsi="Times New Roman" w:cs="Times New Roman"/>
          <w:sz w:val="24"/>
          <w:szCs w:val="24"/>
        </w:rPr>
        <w:t>flattering results</w:t>
      </w:r>
      <w:r w:rsidR="00AC4355" w:rsidRPr="00320A82">
        <w:rPr>
          <w:rFonts w:ascii="Times New Roman" w:hAnsi="Times New Roman" w:cs="Times New Roman"/>
          <w:sz w:val="24"/>
          <w:szCs w:val="24"/>
        </w:rPr>
        <w:t xml:space="preserve"> for risk parity portfolio construction techniques</w:t>
      </w:r>
      <w:r w:rsidR="00517F08" w:rsidRPr="00320A82">
        <w:rPr>
          <w:rFonts w:ascii="Times New Roman" w:hAnsi="Times New Roman" w:cs="Times New Roman"/>
          <w:sz w:val="24"/>
          <w:szCs w:val="24"/>
        </w:rPr>
        <w:t xml:space="preserve">. </w:t>
      </w:r>
      <w:r w:rsidR="00AC4355" w:rsidRPr="00320A82">
        <w:rPr>
          <w:rFonts w:ascii="Times New Roman" w:hAnsi="Times New Roman" w:cs="Times New Roman"/>
          <w:sz w:val="24"/>
          <w:szCs w:val="24"/>
        </w:rPr>
        <w:t xml:space="preserve">For example, </w:t>
      </w:r>
      <w:r w:rsidR="00517F08" w:rsidRPr="00320A82">
        <w:rPr>
          <w:rFonts w:ascii="Times New Roman" w:hAnsi="Times New Roman" w:cs="Times New Roman"/>
          <w:sz w:val="24"/>
          <w:szCs w:val="24"/>
        </w:rPr>
        <w:t xml:space="preserve">in the early 1940's </w:t>
      </w:r>
      <w:r w:rsidR="00AC4355" w:rsidRPr="00320A82">
        <w:rPr>
          <w:rFonts w:ascii="Times New Roman" w:hAnsi="Times New Roman" w:cs="Times New Roman"/>
          <w:sz w:val="24"/>
          <w:szCs w:val="24"/>
        </w:rPr>
        <w:t xml:space="preserve">US Treasury yields were very low and in the following four decades </w:t>
      </w:r>
      <w:r w:rsidR="00517F08" w:rsidRPr="00320A82">
        <w:rPr>
          <w:rFonts w:ascii="Times New Roman" w:hAnsi="Times New Roman" w:cs="Times New Roman"/>
          <w:sz w:val="24"/>
          <w:szCs w:val="24"/>
        </w:rPr>
        <w:t xml:space="preserve">delivered cumulative negative returns. Furthermore, </w:t>
      </w:r>
      <w:r w:rsidR="00AC4355" w:rsidRPr="00320A82">
        <w:rPr>
          <w:rFonts w:ascii="Times New Roman" w:hAnsi="Times New Roman" w:cs="Times New Roman"/>
          <w:sz w:val="24"/>
          <w:szCs w:val="24"/>
        </w:rPr>
        <w:t xml:space="preserve">critics have also pointed out that when applying </w:t>
      </w:r>
      <w:r w:rsidR="00517F08" w:rsidRPr="00320A82">
        <w:rPr>
          <w:rFonts w:ascii="Times New Roman" w:hAnsi="Times New Roman" w:cs="Times New Roman"/>
          <w:sz w:val="24"/>
          <w:szCs w:val="24"/>
        </w:rPr>
        <w:t xml:space="preserve">risk parity </w:t>
      </w:r>
      <w:r w:rsidR="00AC4355" w:rsidRPr="00320A82">
        <w:rPr>
          <w:rFonts w:ascii="Times New Roman" w:hAnsi="Times New Roman" w:cs="Times New Roman"/>
          <w:sz w:val="24"/>
          <w:szCs w:val="24"/>
        </w:rPr>
        <w:t xml:space="preserve">rules investors are effectively taking </w:t>
      </w:r>
      <w:r w:rsidR="00517F08" w:rsidRPr="00320A82">
        <w:rPr>
          <w:rFonts w:ascii="Times New Roman" w:hAnsi="Times New Roman" w:cs="Times New Roman"/>
          <w:sz w:val="24"/>
          <w:szCs w:val="24"/>
        </w:rPr>
        <w:t>no account of the future expected returns of an asset class.</w:t>
      </w:r>
    </w:p>
    <w:p w:rsidR="001212DF" w:rsidRPr="00320A82" w:rsidRDefault="001212DF" w:rsidP="001212DF">
      <w:pPr>
        <w:spacing w:after="0" w:line="360" w:lineRule="auto"/>
        <w:jc w:val="both"/>
        <w:rPr>
          <w:rFonts w:ascii="Times New Roman" w:hAnsi="Times New Roman" w:cs="Times New Roman"/>
          <w:sz w:val="24"/>
          <w:szCs w:val="24"/>
        </w:rPr>
      </w:pPr>
    </w:p>
    <w:p w:rsidR="00AC4355" w:rsidRPr="00320A82" w:rsidRDefault="00AC4355" w:rsidP="00B066CF">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There exist other possible rules-based approaches to asset allocation, including those based upon financial market ‘momentum’ and ‘trends’, support for both of which can be found in the academic literature, particularly in the case of the former.</w:t>
      </w:r>
      <w:r w:rsidR="00EA114A" w:rsidRPr="00320A82">
        <w:rPr>
          <w:rStyle w:val="FootnoteReference"/>
          <w:rFonts w:ascii="Times New Roman" w:hAnsi="Times New Roman"/>
          <w:sz w:val="24"/>
          <w:szCs w:val="24"/>
        </w:rPr>
        <w:footnoteReference w:id="2"/>
      </w:r>
    </w:p>
    <w:p w:rsidR="00AC4355" w:rsidRPr="00320A82" w:rsidRDefault="00AC4355" w:rsidP="001212DF">
      <w:pPr>
        <w:spacing w:after="0" w:line="360" w:lineRule="auto"/>
        <w:jc w:val="both"/>
        <w:rPr>
          <w:rFonts w:ascii="Times New Roman" w:hAnsi="Times New Roman" w:cs="Times New Roman"/>
          <w:sz w:val="24"/>
          <w:szCs w:val="24"/>
        </w:rPr>
      </w:pPr>
    </w:p>
    <w:p w:rsidR="00F2462B" w:rsidRPr="00320A82" w:rsidRDefault="00334487" w:rsidP="00B066CF">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There now </w:t>
      </w:r>
      <w:proofErr w:type="gramStart"/>
      <w:r w:rsidRPr="00320A82">
        <w:rPr>
          <w:rFonts w:ascii="Times New Roman" w:hAnsi="Times New Roman" w:cs="Times New Roman"/>
          <w:sz w:val="24"/>
          <w:szCs w:val="24"/>
        </w:rPr>
        <w:t>exists</w:t>
      </w:r>
      <w:proofErr w:type="gramEnd"/>
      <w:r w:rsidRPr="00320A82">
        <w:rPr>
          <w:rFonts w:ascii="Times New Roman" w:hAnsi="Times New Roman" w:cs="Times New Roman"/>
          <w:sz w:val="24"/>
          <w:szCs w:val="24"/>
        </w:rPr>
        <w:t xml:space="preserve"> quite a substantial literature that finds support for the idea that financial market m</w:t>
      </w:r>
      <w:r w:rsidR="0005448D" w:rsidRPr="00320A82">
        <w:rPr>
          <w:rFonts w:ascii="Times New Roman" w:hAnsi="Times New Roman" w:cs="Times New Roman"/>
          <w:sz w:val="24"/>
          <w:szCs w:val="24"/>
        </w:rPr>
        <w:t xml:space="preserve">omentum </w:t>
      </w:r>
      <w:r w:rsidR="00584B6B" w:rsidRPr="00320A82">
        <w:rPr>
          <w:rFonts w:ascii="Times New Roman" w:hAnsi="Times New Roman" w:cs="Times New Roman"/>
          <w:sz w:val="24"/>
          <w:szCs w:val="24"/>
        </w:rPr>
        <w:t>offer</w:t>
      </w:r>
      <w:r w:rsidRPr="00320A82">
        <w:rPr>
          <w:rFonts w:ascii="Times New Roman" w:hAnsi="Times New Roman" w:cs="Times New Roman"/>
          <w:sz w:val="24"/>
          <w:szCs w:val="24"/>
        </w:rPr>
        <w:t>s significant</w:t>
      </w:r>
      <w:r w:rsidR="00584B6B" w:rsidRPr="00320A82">
        <w:rPr>
          <w:rFonts w:ascii="Times New Roman" w:hAnsi="Times New Roman" w:cs="Times New Roman"/>
          <w:sz w:val="24"/>
          <w:szCs w:val="24"/>
        </w:rPr>
        <w:t xml:space="preserve"> explanatory </w:t>
      </w:r>
      <w:r w:rsidRPr="00320A82">
        <w:rPr>
          <w:rFonts w:ascii="Times New Roman" w:hAnsi="Times New Roman" w:cs="Times New Roman"/>
          <w:sz w:val="24"/>
          <w:szCs w:val="24"/>
        </w:rPr>
        <w:t xml:space="preserve">power with regard to </w:t>
      </w:r>
      <w:r w:rsidR="00584B6B" w:rsidRPr="00320A82">
        <w:rPr>
          <w:rFonts w:ascii="Times New Roman" w:hAnsi="Times New Roman" w:cs="Times New Roman"/>
          <w:sz w:val="24"/>
          <w:szCs w:val="24"/>
        </w:rPr>
        <w:t xml:space="preserve">future </w:t>
      </w:r>
      <w:r w:rsidRPr="00320A82">
        <w:rPr>
          <w:rFonts w:ascii="Times New Roman" w:hAnsi="Times New Roman" w:cs="Times New Roman"/>
          <w:sz w:val="24"/>
          <w:szCs w:val="24"/>
        </w:rPr>
        <w:t xml:space="preserve">financial market </w:t>
      </w:r>
      <w:r w:rsidR="00584B6B" w:rsidRPr="00320A82">
        <w:rPr>
          <w:rFonts w:ascii="Times New Roman" w:hAnsi="Times New Roman" w:cs="Times New Roman"/>
          <w:sz w:val="24"/>
          <w:szCs w:val="24"/>
        </w:rPr>
        <w:t>returns.</w:t>
      </w:r>
      <w:r w:rsidR="004B523B"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 </w:t>
      </w:r>
      <w:r w:rsidR="00584B6B" w:rsidRPr="00320A82">
        <w:rPr>
          <w:rFonts w:ascii="Times New Roman" w:hAnsi="Times New Roman" w:cs="Times New Roman"/>
          <w:sz w:val="24"/>
          <w:szCs w:val="24"/>
        </w:rPr>
        <w:t xml:space="preserve">Many studies, such as </w:t>
      </w:r>
      <w:proofErr w:type="spellStart"/>
      <w:r w:rsidR="00584B6B" w:rsidRPr="00320A82">
        <w:rPr>
          <w:rFonts w:ascii="Times New Roman" w:hAnsi="Times New Roman" w:cs="Times New Roman"/>
          <w:sz w:val="24"/>
          <w:szCs w:val="24"/>
        </w:rPr>
        <w:t>Jegadeesh</w:t>
      </w:r>
      <w:proofErr w:type="spellEnd"/>
      <w:r w:rsidR="00584B6B" w:rsidRPr="00320A82">
        <w:rPr>
          <w:rFonts w:ascii="Times New Roman" w:hAnsi="Times New Roman" w:cs="Times New Roman"/>
          <w:sz w:val="24"/>
          <w:szCs w:val="24"/>
        </w:rPr>
        <w:t xml:space="preserve"> and Titman (1993</w:t>
      </w:r>
      <w:r w:rsidR="001730D4" w:rsidRPr="00320A82">
        <w:rPr>
          <w:rFonts w:ascii="Times New Roman" w:hAnsi="Times New Roman" w:cs="Times New Roman"/>
          <w:sz w:val="24"/>
          <w:szCs w:val="24"/>
        </w:rPr>
        <w:t>, 2001</w:t>
      </w:r>
      <w:r w:rsidR="00584B6B" w:rsidRPr="00320A82">
        <w:rPr>
          <w:rFonts w:ascii="Times New Roman" w:hAnsi="Times New Roman" w:cs="Times New Roman"/>
          <w:sz w:val="24"/>
          <w:szCs w:val="24"/>
        </w:rPr>
        <w:t>)</w:t>
      </w:r>
      <w:r w:rsidR="00EB1A61" w:rsidRPr="00320A82">
        <w:rPr>
          <w:rFonts w:ascii="Times New Roman" w:hAnsi="Times New Roman" w:cs="Times New Roman"/>
          <w:sz w:val="24"/>
          <w:szCs w:val="24"/>
        </w:rPr>
        <w:t xml:space="preserve"> and </w:t>
      </w:r>
      <w:proofErr w:type="spellStart"/>
      <w:r w:rsidR="00EB1A61" w:rsidRPr="00320A82">
        <w:rPr>
          <w:rFonts w:ascii="Times New Roman" w:hAnsi="Times New Roman" w:cs="Times New Roman"/>
          <w:sz w:val="24"/>
          <w:szCs w:val="24"/>
        </w:rPr>
        <w:t>Grinblatt</w:t>
      </w:r>
      <w:proofErr w:type="spellEnd"/>
      <w:r w:rsidR="00EB1A61" w:rsidRPr="00320A82">
        <w:rPr>
          <w:rFonts w:ascii="Times New Roman" w:hAnsi="Times New Roman" w:cs="Times New Roman"/>
          <w:sz w:val="24"/>
          <w:szCs w:val="24"/>
        </w:rPr>
        <w:t xml:space="preserve"> and Moskowitz (2004)</w:t>
      </w:r>
      <w:r w:rsidR="00584B6B" w:rsidRPr="00320A82">
        <w:rPr>
          <w:rFonts w:ascii="Times New Roman" w:hAnsi="Times New Roman" w:cs="Times New Roman"/>
          <w:sz w:val="24"/>
          <w:szCs w:val="24"/>
        </w:rPr>
        <w:t xml:space="preserve"> have focussed on momentum at the individual stock level, </w:t>
      </w:r>
      <w:r w:rsidR="00691CF2" w:rsidRPr="00320A82">
        <w:rPr>
          <w:rFonts w:ascii="Times New Roman" w:hAnsi="Times New Roman" w:cs="Times New Roman"/>
          <w:sz w:val="24"/>
          <w:szCs w:val="24"/>
        </w:rPr>
        <w:t xml:space="preserve">while </w:t>
      </w:r>
      <w:r w:rsidR="00584B6B" w:rsidRPr="00320A82">
        <w:rPr>
          <w:rFonts w:ascii="Times New Roman" w:hAnsi="Times New Roman" w:cs="Times New Roman"/>
          <w:sz w:val="24"/>
          <w:szCs w:val="24"/>
        </w:rPr>
        <w:t xml:space="preserve">others such as </w:t>
      </w:r>
      <w:proofErr w:type="spellStart"/>
      <w:r w:rsidR="00584B6B" w:rsidRPr="00320A82">
        <w:rPr>
          <w:rFonts w:ascii="Times New Roman" w:hAnsi="Times New Roman" w:cs="Times New Roman"/>
          <w:sz w:val="24"/>
          <w:szCs w:val="24"/>
        </w:rPr>
        <w:t>Miffre</w:t>
      </w:r>
      <w:proofErr w:type="spellEnd"/>
      <w:r w:rsidR="00584B6B" w:rsidRPr="00320A82">
        <w:rPr>
          <w:rFonts w:ascii="Times New Roman" w:hAnsi="Times New Roman" w:cs="Times New Roman"/>
          <w:sz w:val="24"/>
          <w:szCs w:val="24"/>
        </w:rPr>
        <w:t xml:space="preserve"> and Rallis (200</w:t>
      </w:r>
      <w:r w:rsidR="00782A5E" w:rsidRPr="00320A82">
        <w:rPr>
          <w:rFonts w:ascii="Times New Roman" w:hAnsi="Times New Roman" w:cs="Times New Roman"/>
          <w:sz w:val="24"/>
          <w:szCs w:val="24"/>
        </w:rPr>
        <w:t>7</w:t>
      </w:r>
      <w:r w:rsidR="00584B6B" w:rsidRPr="00320A82">
        <w:rPr>
          <w:rFonts w:ascii="Times New Roman" w:hAnsi="Times New Roman" w:cs="Times New Roman"/>
          <w:sz w:val="24"/>
          <w:szCs w:val="24"/>
        </w:rPr>
        <w:t xml:space="preserve">) </w:t>
      </w:r>
      <w:r w:rsidR="000F4E2B" w:rsidRPr="00320A82">
        <w:rPr>
          <w:rFonts w:ascii="Times New Roman" w:hAnsi="Times New Roman" w:cs="Times New Roman"/>
          <w:sz w:val="24"/>
          <w:szCs w:val="24"/>
        </w:rPr>
        <w:t xml:space="preserve">and </w:t>
      </w:r>
      <w:proofErr w:type="spellStart"/>
      <w:r w:rsidR="000F4E2B" w:rsidRPr="00320A82">
        <w:rPr>
          <w:rFonts w:ascii="Times New Roman" w:hAnsi="Times New Roman" w:cs="Times New Roman"/>
          <w:sz w:val="24"/>
          <w:szCs w:val="24"/>
        </w:rPr>
        <w:t>Erb</w:t>
      </w:r>
      <w:proofErr w:type="spellEnd"/>
      <w:r w:rsidR="000F4E2B" w:rsidRPr="00320A82">
        <w:rPr>
          <w:rFonts w:ascii="Times New Roman" w:hAnsi="Times New Roman" w:cs="Times New Roman"/>
          <w:sz w:val="24"/>
          <w:szCs w:val="24"/>
        </w:rPr>
        <w:t xml:space="preserve"> and Harvey (2006) </w:t>
      </w:r>
      <w:r w:rsidR="00584B6B" w:rsidRPr="00320A82">
        <w:rPr>
          <w:rFonts w:ascii="Times New Roman" w:hAnsi="Times New Roman" w:cs="Times New Roman"/>
          <w:sz w:val="24"/>
          <w:szCs w:val="24"/>
        </w:rPr>
        <w:t xml:space="preserve">have observed the effect in commodities. </w:t>
      </w:r>
      <w:proofErr w:type="spellStart"/>
      <w:r w:rsidR="00584B6B" w:rsidRPr="00320A82">
        <w:rPr>
          <w:rFonts w:ascii="Times New Roman" w:hAnsi="Times New Roman" w:cs="Times New Roman"/>
          <w:sz w:val="24"/>
          <w:szCs w:val="24"/>
        </w:rPr>
        <w:t>Asness</w:t>
      </w:r>
      <w:proofErr w:type="spellEnd"/>
      <w:r w:rsidR="00584B6B" w:rsidRPr="00320A82">
        <w:rPr>
          <w:rFonts w:ascii="Times New Roman" w:hAnsi="Times New Roman" w:cs="Times New Roman"/>
          <w:sz w:val="24"/>
          <w:szCs w:val="24"/>
        </w:rPr>
        <w:t xml:space="preserve"> et al (20</w:t>
      </w:r>
      <w:r w:rsidR="002B60F6" w:rsidRPr="00320A82">
        <w:rPr>
          <w:rFonts w:ascii="Times New Roman" w:hAnsi="Times New Roman" w:cs="Times New Roman"/>
          <w:sz w:val="24"/>
          <w:szCs w:val="24"/>
        </w:rPr>
        <w:t>1</w:t>
      </w:r>
      <w:r w:rsidR="000A349B">
        <w:rPr>
          <w:rFonts w:ascii="Times New Roman" w:hAnsi="Times New Roman" w:cs="Times New Roman"/>
          <w:sz w:val="24"/>
          <w:szCs w:val="24"/>
        </w:rPr>
        <w:t>3</w:t>
      </w:r>
      <w:r w:rsidR="00584B6B" w:rsidRPr="00320A82">
        <w:rPr>
          <w:rFonts w:ascii="Times New Roman" w:hAnsi="Times New Roman" w:cs="Times New Roman"/>
          <w:sz w:val="24"/>
          <w:szCs w:val="24"/>
        </w:rPr>
        <w:t xml:space="preserve">) find momentum effects </w:t>
      </w:r>
      <w:r w:rsidR="007F3436" w:rsidRPr="00320A82">
        <w:rPr>
          <w:rFonts w:ascii="Times New Roman" w:hAnsi="Times New Roman" w:cs="Times New Roman"/>
          <w:sz w:val="24"/>
          <w:szCs w:val="24"/>
        </w:rPr>
        <w:t>within</w:t>
      </w:r>
      <w:r w:rsidR="00584B6B" w:rsidRPr="00320A82">
        <w:rPr>
          <w:rFonts w:ascii="Times New Roman" w:hAnsi="Times New Roman" w:cs="Times New Roman"/>
          <w:sz w:val="24"/>
          <w:szCs w:val="24"/>
        </w:rPr>
        <w:t xml:space="preserve"> a</w:t>
      </w:r>
      <w:r w:rsidR="00E65DB4" w:rsidRPr="00320A82">
        <w:rPr>
          <w:rFonts w:ascii="Times New Roman" w:hAnsi="Times New Roman" w:cs="Times New Roman"/>
          <w:sz w:val="24"/>
          <w:szCs w:val="24"/>
        </w:rPr>
        <w:t xml:space="preserve"> wide variety of asset classes</w:t>
      </w:r>
      <w:r w:rsidR="007F3436" w:rsidRPr="00320A82">
        <w:rPr>
          <w:rFonts w:ascii="Times New Roman" w:hAnsi="Times New Roman" w:cs="Times New Roman"/>
          <w:sz w:val="24"/>
          <w:szCs w:val="24"/>
        </w:rPr>
        <w:t xml:space="preserve">, </w:t>
      </w:r>
      <w:r w:rsidR="00691CF2" w:rsidRPr="00320A82">
        <w:rPr>
          <w:rFonts w:ascii="Times New Roman" w:hAnsi="Times New Roman" w:cs="Times New Roman"/>
          <w:sz w:val="24"/>
          <w:szCs w:val="24"/>
        </w:rPr>
        <w:t xml:space="preserve">while </w:t>
      </w:r>
      <w:r w:rsidR="007F3436" w:rsidRPr="00320A82">
        <w:rPr>
          <w:rFonts w:ascii="Times New Roman" w:hAnsi="Times New Roman" w:cs="Times New Roman"/>
          <w:sz w:val="24"/>
          <w:szCs w:val="24"/>
        </w:rPr>
        <w:t xml:space="preserve">King et al (2002) use momentum </w:t>
      </w:r>
      <w:r w:rsidR="00691CF2" w:rsidRPr="00320A82">
        <w:rPr>
          <w:rFonts w:ascii="Times New Roman" w:hAnsi="Times New Roman" w:cs="Times New Roman"/>
          <w:sz w:val="24"/>
          <w:szCs w:val="24"/>
        </w:rPr>
        <w:t xml:space="preserve">rules </w:t>
      </w:r>
      <w:r w:rsidR="007F3436" w:rsidRPr="00320A82">
        <w:rPr>
          <w:rFonts w:ascii="Times New Roman" w:hAnsi="Times New Roman" w:cs="Times New Roman"/>
          <w:sz w:val="24"/>
          <w:szCs w:val="24"/>
        </w:rPr>
        <w:t>as a means of allocating capital across asset groups</w:t>
      </w:r>
      <w:r w:rsidR="00E65DB4" w:rsidRPr="00320A82">
        <w:rPr>
          <w:rFonts w:ascii="Times New Roman" w:hAnsi="Times New Roman" w:cs="Times New Roman"/>
          <w:sz w:val="24"/>
          <w:szCs w:val="24"/>
        </w:rPr>
        <w:t>.</w:t>
      </w:r>
      <w:r w:rsidR="00AC4355" w:rsidRPr="00320A82">
        <w:rPr>
          <w:rFonts w:ascii="Times New Roman" w:hAnsi="Times New Roman" w:cs="Times New Roman"/>
          <w:sz w:val="24"/>
          <w:szCs w:val="24"/>
        </w:rPr>
        <w:t xml:space="preserve">  </w:t>
      </w:r>
      <w:r w:rsidR="00E65DB4" w:rsidRPr="00320A82">
        <w:rPr>
          <w:rFonts w:ascii="Times New Roman" w:hAnsi="Times New Roman" w:cs="Times New Roman"/>
          <w:sz w:val="24"/>
          <w:szCs w:val="24"/>
        </w:rPr>
        <w:t xml:space="preserve">Typical momentum strategies involve ranking assets based on their past return (often the previous twelve months) and then buying the </w:t>
      </w:r>
      <w:r w:rsidR="00691CF2" w:rsidRPr="00320A82">
        <w:rPr>
          <w:rFonts w:ascii="Times New Roman" w:hAnsi="Times New Roman" w:cs="Times New Roman"/>
          <w:sz w:val="24"/>
          <w:szCs w:val="24"/>
        </w:rPr>
        <w:t>‘</w:t>
      </w:r>
      <w:r w:rsidR="00E65DB4" w:rsidRPr="00320A82">
        <w:rPr>
          <w:rFonts w:ascii="Times New Roman" w:hAnsi="Times New Roman" w:cs="Times New Roman"/>
          <w:sz w:val="24"/>
          <w:szCs w:val="24"/>
        </w:rPr>
        <w:t>winners</w:t>
      </w:r>
      <w:r w:rsidR="00691CF2" w:rsidRPr="00320A82">
        <w:rPr>
          <w:rFonts w:ascii="Times New Roman" w:hAnsi="Times New Roman" w:cs="Times New Roman"/>
          <w:sz w:val="24"/>
          <w:szCs w:val="24"/>
        </w:rPr>
        <w:t>’</w:t>
      </w:r>
      <w:r w:rsidR="00E65DB4" w:rsidRPr="00320A82">
        <w:rPr>
          <w:rFonts w:ascii="Times New Roman" w:hAnsi="Times New Roman" w:cs="Times New Roman"/>
          <w:sz w:val="24"/>
          <w:szCs w:val="24"/>
        </w:rPr>
        <w:t xml:space="preserve"> and selling the </w:t>
      </w:r>
      <w:r w:rsidR="00691CF2" w:rsidRPr="00320A82">
        <w:rPr>
          <w:rFonts w:ascii="Times New Roman" w:hAnsi="Times New Roman" w:cs="Times New Roman"/>
          <w:sz w:val="24"/>
          <w:szCs w:val="24"/>
        </w:rPr>
        <w:t>‘</w:t>
      </w:r>
      <w:r w:rsidR="00E65DB4" w:rsidRPr="00320A82">
        <w:rPr>
          <w:rFonts w:ascii="Times New Roman" w:hAnsi="Times New Roman" w:cs="Times New Roman"/>
          <w:sz w:val="24"/>
          <w:szCs w:val="24"/>
        </w:rPr>
        <w:t>losers</w:t>
      </w:r>
      <w:r w:rsidR="00691CF2" w:rsidRPr="00320A82">
        <w:rPr>
          <w:rFonts w:ascii="Times New Roman" w:hAnsi="Times New Roman" w:cs="Times New Roman"/>
          <w:sz w:val="24"/>
          <w:szCs w:val="24"/>
        </w:rPr>
        <w:t>’</w:t>
      </w:r>
      <w:r w:rsidR="00F2462B" w:rsidRPr="00320A82">
        <w:rPr>
          <w:rFonts w:ascii="Times New Roman" w:hAnsi="Times New Roman" w:cs="Times New Roman"/>
          <w:sz w:val="24"/>
          <w:szCs w:val="24"/>
        </w:rPr>
        <w:t>.</w:t>
      </w:r>
      <w:r w:rsidR="004B523B" w:rsidRPr="00320A82">
        <w:rPr>
          <w:rFonts w:ascii="Times New Roman" w:hAnsi="Times New Roman" w:cs="Times New Roman"/>
          <w:sz w:val="24"/>
          <w:szCs w:val="24"/>
        </w:rPr>
        <w:t xml:space="preserve">  </w:t>
      </w:r>
      <w:proofErr w:type="spellStart"/>
      <w:r w:rsidR="00E65DB4" w:rsidRPr="00320A82">
        <w:rPr>
          <w:rFonts w:ascii="Times New Roman" w:hAnsi="Times New Roman" w:cs="Times New Roman"/>
          <w:sz w:val="24"/>
          <w:szCs w:val="24"/>
        </w:rPr>
        <w:t>Ilmanen</w:t>
      </w:r>
      <w:proofErr w:type="spellEnd"/>
      <w:r w:rsidR="00E65DB4" w:rsidRPr="00320A82">
        <w:rPr>
          <w:rFonts w:ascii="Times New Roman" w:hAnsi="Times New Roman" w:cs="Times New Roman"/>
          <w:sz w:val="24"/>
          <w:szCs w:val="24"/>
        </w:rPr>
        <w:t xml:space="preserve"> (2011) argues that this is not </w:t>
      </w:r>
      <w:r w:rsidR="00691CF2" w:rsidRPr="00320A82">
        <w:rPr>
          <w:rFonts w:ascii="Times New Roman" w:hAnsi="Times New Roman" w:cs="Times New Roman"/>
          <w:sz w:val="24"/>
          <w:szCs w:val="24"/>
        </w:rPr>
        <w:t xml:space="preserve">an </w:t>
      </w:r>
      <w:r w:rsidR="00E65DB4" w:rsidRPr="00320A82">
        <w:rPr>
          <w:rFonts w:ascii="Times New Roman" w:hAnsi="Times New Roman" w:cs="Times New Roman"/>
          <w:sz w:val="24"/>
          <w:szCs w:val="24"/>
        </w:rPr>
        <w:t xml:space="preserve">ideal approach </w:t>
      </w:r>
      <w:r w:rsidR="00691CF2" w:rsidRPr="00320A82">
        <w:rPr>
          <w:rFonts w:ascii="Times New Roman" w:hAnsi="Times New Roman" w:cs="Times New Roman"/>
          <w:sz w:val="24"/>
          <w:szCs w:val="24"/>
        </w:rPr>
        <w:t xml:space="preserve">to investing </w:t>
      </w:r>
      <w:r w:rsidR="00E65DB4" w:rsidRPr="00320A82">
        <w:rPr>
          <w:rFonts w:ascii="Times New Roman" w:hAnsi="Times New Roman" w:cs="Times New Roman"/>
          <w:sz w:val="24"/>
          <w:szCs w:val="24"/>
        </w:rPr>
        <w:t xml:space="preserve">and that </w:t>
      </w:r>
      <w:r w:rsidR="00E65DB4" w:rsidRPr="00320A82">
        <w:rPr>
          <w:rFonts w:ascii="Times New Roman" w:hAnsi="Times New Roman" w:cs="Times New Roman"/>
          <w:sz w:val="24"/>
          <w:szCs w:val="24"/>
        </w:rPr>
        <w:lastRenderedPageBreak/>
        <w:t xml:space="preserve">investors would be better served by </w:t>
      </w:r>
      <w:r w:rsidR="00691CF2" w:rsidRPr="00320A82">
        <w:rPr>
          <w:rFonts w:ascii="Times New Roman" w:hAnsi="Times New Roman" w:cs="Times New Roman"/>
          <w:sz w:val="24"/>
          <w:szCs w:val="24"/>
        </w:rPr>
        <w:t xml:space="preserve">ranking financial instruments or markets according to rankings based upon their past </w:t>
      </w:r>
      <w:r w:rsidR="00E65DB4" w:rsidRPr="00320A82">
        <w:rPr>
          <w:rFonts w:ascii="Times New Roman" w:hAnsi="Times New Roman" w:cs="Times New Roman"/>
          <w:sz w:val="24"/>
          <w:szCs w:val="24"/>
        </w:rPr>
        <w:t xml:space="preserve">volatility. </w:t>
      </w:r>
      <w:r w:rsidR="00691CF2" w:rsidRPr="00320A82">
        <w:rPr>
          <w:rFonts w:ascii="Times New Roman" w:hAnsi="Times New Roman" w:cs="Times New Roman"/>
          <w:sz w:val="24"/>
          <w:szCs w:val="24"/>
        </w:rPr>
        <w:t xml:space="preserve"> </w:t>
      </w:r>
      <w:proofErr w:type="spellStart"/>
      <w:r w:rsidR="00691CF2" w:rsidRPr="00320A82">
        <w:rPr>
          <w:rFonts w:ascii="Times New Roman" w:hAnsi="Times New Roman" w:cs="Times New Roman"/>
          <w:sz w:val="24"/>
          <w:szCs w:val="24"/>
        </w:rPr>
        <w:t>Ilmanen</w:t>
      </w:r>
      <w:proofErr w:type="spellEnd"/>
      <w:r w:rsidR="00691CF2" w:rsidRPr="00320A82">
        <w:rPr>
          <w:rFonts w:ascii="Times New Roman" w:hAnsi="Times New Roman" w:cs="Times New Roman"/>
          <w:sz w:val="24"/>
          <w:szCs w:val="24"/>
        </w:rPr>
        <w:t xml:space="preserve"> suggests that failing </w:t>
      </w:r>
      <w:r w:rsidR="00E65DB4" w:rsidRPr="00320A82">
        <w:rPr>
          <w:rFonts w:ascii="Times New Roman" w:hAnsi="Times New Roman" w:cs="Times New Roman"/>
          <w:sz w:val="24"/>
          <w:szCs w:val="24"/>
        </w:rPr>
        <w:t xml:space="preserve">to do this leads to the </w:t>
      </w:r>
      <w:r w:rsidR="00691CF2" w:rsidRPr="00320A82">
        <w:rPr>
          <w:rFonts w:ascii="Times New Roman" w:hAnsi="Times New Roman" w:cs="Times New Roman"/>
          <w:sz w:val="24"/>
          <w:szCs w:val="24"/>
        </w:rPr>
        <w:t xml:space="preserve">situation where the </w:t>
      </w:r>
      <w:r w:rsidR="00E65DB4" w:rsidRPr="00320A82">
        <w:rPr>
          <w:rFonts w:ascii="Times New Roman" w:hAnsi="Times New Roman" w:cs="Times New Roman"/>
          <w:sz w:val="24"/>
          <w:szCs w:val="24"/>
        </w:rPr>
        <w:t>most volatile assets spend a disproportionate amount of time in the highest and lowest momentum portfolios.</w:t>
      </w:r>
    </w:p>
    <w:p w:rsidR="001212DF" w:rsidRPr="00320A82" w:rsidRDefault="001212DF" w:rsidP="001212DF">
      <w:pPr>
        <w:spacing w:after="0" w:line="360" w:lineRule="auto"/>
        <w:jc w:val="both"/>
        <w:rPr>
          <w:rFonts w:ascii="Times New Roman" w:hAnsi="Times New Roman" w:cs="Times New Roman"/>
          <w:sz w:val="24"/>
          <w:szCs w:val="24"/>
        </w:rPr>
      </w:pPr>
    </w:p>
    <w:p w:rsidR="00F2462B" w:rsidRPr="00320A82" w:rsidRDefault="00531226" w:rsidP="00B066CF">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Trend following has been widely used in futures markets, particularly commodities</w:t>
      </w:r>
      <w:r w:rsidR="00787BDB" w:rsidRPr="00320A82">
        <w:rPr>
          <w:rFonts w:ascii="Times New Roman" w:hAnsi="Times New Roman" w:cs="Times New Roman"/>
          <w:sz w:val="24"/>
          <w:szCs w:val="24"/>
        </w:rPr>
        <w:t>,</w:t>
      </w:r>
      <w:r w:rsidRPr="00320A82">
        <w:rPr>
          <w:rFonts w:ascii="Times New Roman" w:hAnsi="Times New Roman" w:cs="Times New Roman"/>
          <w:sz w:val="24"/>
          <w:szCs w:val="24"/>
        </w:rPr>
        <w:t xml:space="preserve"> for many decades</w:t>
      </w:r>
      <w:r w:rsidR="00DD14B3" w:rsidRPr="00320A82">
        <w:rPr>
          <w:rFonts w:ascii="Times New Roman" w:hAnsi="Times New Roman" w:cs="Times New Roman"/>
          <w:sz w:val="24"/>
          <w:szCs w:val="24"/>
        </w:rPr>
        <w:t xml:space="preserve"> (see Ostgaard, </w:t>
      </w:r>
      <w:r w:rsidR="0079653B" w:rsidRPr="00320A82">
        <w:rPr>
          <w:rFonts w:ascii="Times New Roman" w:hAnsi="Times New Roman" w:cs="Times New Roman"/>
          <w:sz w:val="24"/>
          <w:szCs w:val="24"/>
        </w:rPr>
        <w:t>2008</w:t>
      </w:r>
      <w:r w:rsidR="00DD14B3" w:rsidRPr="00320A82">
        <w:rPr>
          <w:rFonts w:ascii="Times New Roman" w:hAnsi="Times New Roman" w:cs="Times New Roman"/>
          <w:sz w:val="24"/>
          <w:szCs w:val="24"/>
        </w:rPr>
        <w:t xml:space="preserve">). Trading signals can be generated by a variety of methods such as moving average crossovers and breakouts with the aim to determine the trend in </w:t>
      </w:r>
      <w:r w:rsidR="000E5D96">
        <w:rPr>
          <w:rFonts w:ascii="Times New Roman" w:hAnsi="Times New Roman" w:cs="Times New Roman"/>
          <w:sz w:val="24"/>
          <w:szCs w:val="24"/>
        </w:rPr>
        <w:t>the prices</w:t>
      </w:r>
      <w:r w:rsidR="00691CF2" w:rsidRPr="00320A82">
        <w:rPr>
          <w:rFonts w:ascii="Times New Roman" w:hAnsi="Times New Roman" w:cs="Times New Roman"/>
          <w:sz w:val="24"/>
          <w:szCs w:val="24"/>
        </w:rPr>
        <w:t xml:space="preserve"> of either individual securities or broad market indices</w:t>
      </w:r>
      <w:r w:rsidRPr="00320A82">
        <w:rPr>
          <w:rFonts w:ascii="Times New Roman" w:hAnsi="Times New Roman" w:cs="Times New Roman"/>
          <w:sz w:val="24"/>
          <w:szCs w:val="24"/>
        </w:rPr>
        <w:t>.</w:t>
      </w:r>
      <w:r w:rsidR="00DD14B3" w:rsidRPr="00320A82">
        <w:rPr>
          <w:rFonts w:ascii="Times New Roman" w:hAnsi="Times New Roman" w:cs="Times New Roman"/>
          <w:sz w:val="24"/>
          <w:szCs w:val="24"/>
        </w:rPr>
        <w:t xml:space="preserve"> Long positions are adopted when the trend </w:t>
      </w:r>
      <w:r w:rsidR="0049007D" w:rsidRPr="00320A82">
        <w:rPr>
          <w:rFonts w:ascii="Times New Roman" w:hAnsi="Times New Roman" w:cs="Times New Roman"/>
          <w:sz w:val="24"/>
          <w:szCs w:val="24"/>
        </w:rPr>
        <w:t>is positive and short pos</w:t>
      </w:r>
      <w:r w:rsidR="0060304E" w:rsidRPr="00320A82">
        <w:rPr>
          <w:rFonts w:ascii="Times New Roman" w:hAnsi="Times New Roman" w:cs="Times New Roman"/>
          <w:sz w:val="24"/>
          <w:szCs w:val="24"/>
        </w:rPr>
        <w:t>i</w:t>
      </w:r>
      <w:r w:rsidR="0049007D" w:rsidRPr="00320A82">
        <w:rPr>
          <w:rFonts w:ascii="Times New Roman" w:hAnsi="Times New Roman" w:cs="Times New Roman"/>
          <w:sz w:val="24"/>
          <w:szCs w:val="24"/>
        </w:rPr>
        <w:t>tions, or cash,</w:t>
      </w:r>
      <w:r w:rsidR="00DD14B3" w:rsidRPr="00320A82">
        <w:rPr>
          <w:rFonts w:ascii="Times New Roman" w:hAnsi="Times New Roman" w:cs="Times New Roman"/>
          <w:sz w:val="24"/>
          <w:szCs w:val="24"/>
        </w:rPr>
        <w:t xml:space="preserve"> are taken when the trend is negative.</w:t>
      </w:r>
      <w:r w:rsidR="009027C2" w:rsidRPr="00320A82">
        <w:rPr>
          <w:rFonts w:ascii="Times New Roman" w:hAnsi="Times New Roman" w:cs="Times New Roman"/>
          <w:sz w:val="24"/>
          <w:szCs w:val="24"/>
        </w:rPr>
        <w:t xml:space="preserve"> </w:t>
      </w:r>
      <w:r w:rsidR="00691CF2" w:rsidRPr="00320A82">
        <w:rPr>
          <w:rFonts w:ascii="Times New Roman" w:hAnsi="Times New Roman" w:cs="Times New Roman"/>
          <w:sz w:val="24"/>
          <w:szCs w:val="24"/>
        </w:rPr>
        <w:t xml:space="preserve">Because </w:t>
      </w:r>
      <w:r w:rsidR="009027C2" w:rsidRPr="00320A82">
        <w:rPr>
          <w:rFonts w:ascii="Times New Roman" w:hAnsi="Times New Roman" w:cs="Times New Roman"/>
          <w:sz w:val="24"/>
          <w:szCs w:val="24"/>
        </w:rPr>
        <w:t xml:space="preserve">trend following is generally rules-based it can aid investors since losses are mechanically cut short and winners </w:t>
      </w:r>
      <w:r w:rsidR="00691CF2" w:rsidRPr="00320A82">
        <w:rPr>
          <w:rFonts w:ascii="Times New Roman" w:hAnsi="Times New Roman" w:cs="Times New Roman"/>
          <w:sz w:val="24"/>
          <w:szCs w:val="24"/>
        </w:rPr>
        <w:t xml:space="preserve">are </w:t>
      </w:r>
      <w:r w:rsidR="009027C2" w:rsidRPr="00320A82">
        <w:rPr>
          <w:rFonts w:ascii="Times New Roman" w:hAnsi="Times New Roman" w:cs="Times New Roman"/>
          <w:sz w:val="24"/>
          <w:szCs w:val="24"/>
        </w:rPr>
        <w:t>left to run. This is frequently the reverse of investors' natural instincts.</w:t>
      </w:r>
      <w:r w:rsidR="004B523B" w:rsidRPr="00320A82">
        <w:rPr>
          <w:rFonts w:ascii="Times New Roman" w:hAnsi="Times New Roman" w:cs="Times New Roman"/>
          <w:sz w:val="24"/>
          <w:szCs w:val="24"/>
        </w:rPr>
        <w:t xml:space="preserve"> </w:t>
      </w:r>
      <w:r w:rsidR="0049007D" w:rsidRPr="00320A82">
        <w:rPr>
          <w:rFonts w:ascii="Times New Roman" w:hAnsi="Times New Roman" w:cs="Times New Roman"/>
          <w:sz w:val="24"/>
          <w:szCs w:val="24"/>
        </w:rPr>
        <w:t>The return on cash</w:t>
      </w:r>
      <w:r w:rsidR="009027C2" w:rsidRPr="00320A82">
        <w:rPr>
          <w:rFonts w:ascii="Times New Roman" w:hAnsi="Times New Roman" w:cs="Times New Roman"/>
          <w:sz w:val="24"/>
          <w:szCs w:val="24"/>
        </w:rPr>
        <w:t xml:space="preserve"> is also</w:t>
      </w:r>
      <w:r w:rsidR="0049007D" w:rsidRPr="00320A82">
        <w:rPr>
          <w:rFonts w:ascii="Times New Roman" w:hAnsi="Times New Roman" w:cs="Times New Roman"/>
          <w:sz w:val="24"/>
          <w:szCs w:val="24"/>
        </w:rPr>
        <w:t xml:space="preserve"> an important factor either as </w:t>
      </w:r>
      <w:r w:rsidR="00691CF2" w:rsidRPr="00320A82">
        <w:rPr>
          <w:rFonts w:ascii="Times New Roman" w:hAnsi="Times New Roman" w:cs="Times New Roman"/>
          <w:sz w:val="24"/>
          <w:szCs w:val="24"/>
        </w:rPr>
        <w:t xml:space="preserve">the </w:t>
      </w:r>
      <w:r w:rsidR="0049007D" w:rsidRPr="00320A82">
        <w:rPr>
          <w:rFonts w:ascii="Times New Roman" w:hAnsi="Times New Roman" w:cs="Times New Roman"/>
          <w:sz w:val="24"/>
          <w:szCs w:val="24"/>
        </w:rPr>
        <w:t xml:space="preserve">collateral in futures </w:t>
      </w:r>
      <w:r w:rsidR="00691CF2" w:rsidRPr="00320A82">
        <w:rPr>
          <w:rFonts w:ascii="Times New Roman" w:hAnsi="Times New Roman" w:cs="Times New Roman"/>
          <w:sz w:val="24"/>
          <w:szCs w:val="24"/>
        </w:rPr>
        <w:t xml:space="preserve">trades </w:t>
      </w:r>
      <w:r w:rsidR="0049007D" w:rsidRPr="00320A82">
        <w:rPr>
          <w:rFonts w:ascii="Times New Roman" w:hAnsi="Times New Roman" w:cs="Times New Roman"/>
          <w:sz w:val="24"/>
          <w:szCs w:val="24"/>
        </w:rPr>
        <w:t xml:space="preserve">or as the </w:t>
      </w:r>
      <w:r w:rsidR="00691CF2" w:rsidRPr="00320A82">
        <w:rPr>
          <w:rFonts w:ascii="Times New Roman" w:hAnsi="Times New Roman" w:cs="Times New Roman"/>
          <w:sz w:val="24"/>
          <w:szCs w:val="24"/>
        </w:rPr>
        <w:t>‘</w:t>
      </w:r>
      <w:r w:rsidR="0049007D" w:rsidRPr="00320A82">
        <w:rPr>
          <w:rFonts w:ascii="Times New Roman" w:hAnsi="Times New Roman" w:cs="Times New Roman"/>
          <w:sz w:val="24"/>
          <w:szCs w:val="24"/>
        </w:rPr>
        <w:t>risk-off</w:t>
      </w:r>
      <w:r w:rsidR="00691CF2" w:rsidRPr="00320A82">
        <w:rPr>
          <w:rFonts w:ascii="Times New Roman" w:hAnsi="Times New Roman" w:cs="Times New Roman"/>
          <w:sz w:val="24"/>
          <w:szCs w:val="24"/>
        </w:rPr>
        <w:t>’</w:t>
      </w:r>
      <w:r w:rsidR="0049007D" w:rsidRPr="00320A82">
        <w:rPr>
          <w:rFonts w:ascii="Times New Roman" w:hAnsi="Times New Roman" w:cs="Times New Roman"/>
          <w:sz w:val="24"/>
          <w:szCs w:val="24"/>
        </w:rPr>
        <w:t xml:space="preserve"> asset for long-only methods. </w:t>
      </w:r>
      <w:r w:rsidR="00DD14B3" w:rsidRPr="00320A82">
        <w:rPr>
          <w:rFonts w:ascii="Times New Roman" w:hAnsi="Times New Roman" w:cs="Times New Roman"/>
          <w:sz w:val="24"/>
          <w:szCs w:val="24"/>
        </w:rPr>
        <w:t>Examples of the effectiveness of trend following are, amo</w:t>
      </w:r>
      <w:r w:rsidR="00746C77" w:rsidRPr="00320A82">
        <w:rPr>
          <w:rFonts w:ascii="Times New Roman" w:hAnsi="Times New Roman" w:cs="Times New Roman"/>
          <w:sz w:val="24"/>
          <w:szCs w:val="24"/>
        </w:rPr>
        <w:t xml:space="preserve">ngst others, </w:t>
      </w:r>
      <w:proofErr w:type="spellStart"/>
      <w:r w:rsidR="00746C77" w:rsidRPr="00320A82">
        <w:rPr>
          <w:rFonts w:ascii="Times New Roman" w:hAnsi="Times New Roman" w:cs="Times New Roman"/>
          <w:sz w:val="24"/>
          <w:szCs w:val="24"/>
        </w:rPr>
        <w:t>Szacmary</w:t>
      </w:r>
      <w:proofErr w:type="spellEnd"/>
      <w:r w:rsidR="00746C77" w:rsidRPr="00320A82">
        <w:rPr>
          <w:rFonts w:ascii="Times New Roman" w:hAnsi="Times New Roman" w:cs="Times New Roman"/>
          <w:sz w:val="24"/>
          <w:szCs w:val="24"/>
        </w:rPr>
        <w:t xml:space="preserve"> et al (2010</w:t>
      </w:r>
      <w:r w:rsidR="00DD14B3" w:rsidRPr="00320A82">
        <w:rPr>
          <w:rFonts w:ascii="Times New Roman" w:hAnsi="Times New Roman" w:cs="Times New Roman"/>
          <w:sz w:val="24"/>
          <w:szCs w:val="24"/>
        </w:rPr>
        <w:t xml:space="preserve">) </w:t>
      </w:r>
      <w:r w:rsidR="00FC447E" w:rsidRPr="00320A82">
        <w:rPr>
          <w:rFonts w:ascii="Times New Roman" w:hAnsi="Times New Roman" w:cs="Times New Roman"/>
          <w:sz w:val="24"/>
          <w:szCs w:val="24"/>
        </w:rPr>
        <w:t xml:space="preserve">and Hurst et al (2010) </w:t>
      </w:r>
      <w:r w:rsidR="00DD14B3" w:rsidRPr="00320A82">
        <w:rPr>
          <w:rFonts w:ascii="Times New Roman" w:hAnsi="Times New Roman" w:cs="Times New Roman"/>
          <w:sz w:val="24"/>
          <w:szCs w:val="24"/>
        </w:rPr>
        <w:t>for commodities, and Wilcox and Crittenden (20</w:t>
      </w:r>
      <w:r w:rsidR="00EE0B3C" w:rsidRPr="00320A82">
        <w:rPr>
          <w:rFonts w:ascii="Times New Roman" w:hAnsi="Times New Roman" w:cs="Times New Roman"/>
          <w:sz w:val="24"/>
          <w:szCs w:val="24"/>
        </w:rPr>
        <w:t>05</w:t>
      </w:r>
      <w:r w:rsidR="00DD14B3" w:rsidRPr="00320A82">
        <w:rPr>
          <w:rFonts w:ascii="Times New Roman" w:hAnsi="Times New Roman" w:cs="Times New Roman"/>
          <w:sz w:val="24"/>
          <w:szCs w:val="24"/>
        </w:rPr>
        <w:t xml:space="preserve">) and </w:t>
      </w:r>
      <w:proofErr w:type="spellStart"/>
      <w:r w:rsidRPr="00320A82">
        <w:rPr>
          <w:rFonts w:ascii="Times New Roman" w:hAnsi="Times New Roman" w:cs="Times New Roman"/>
          <w:sz w:val="24"/>
          <w:szCs w:val="24"/>
        </w:rPr>
        <w:t>ap</w:t>
      </w:r>
      <w:proofErr w:type="spellEnd"/>
      <w:r w:rsidR="004B523B" w:rsidRPr="00320A82">
        <w:rPr>
          <w:rFonts w:ascii="Times New Roman" w:hAnsi="Times New Roman" w:cs="Times New Roman"/>
          <w:sz w:val="24"/>
          <w:szCs w:val="24"/>
        </w:rPr>
        <w:t xml:space="preserve"> </w:t>
      </w:r>
      <w:proofErr w:type="spellStart"/>
      <w:r w:rsidRPr="00320A82">
        <w:rPr>
          <w:rFonts w:ascii="Times New Roman" w:hAnsi="Times New Roman" w:cs="Times New Roman"/>
          <w:sz w:val="24"/>
          <w:szCs w:val="24"/>
        </w:rPr>
        <w:t>Gwilym</w:t>
      </w:r>
      <w:proofErr w:type="spellEnd"/>
      <w:r w:rsidR="00DD14B3" w:rsidRPr="00320A82">
        <w:rPr>
          <w:rFonts w:ascii="Times New Roman" w:hAnsi="Times New Roman" w:cs="Times New Roman"/>
          <w:sz w:val="24"/>
          <w:szCs w:val="24"/>
        </w:rPr>
        <w:t xml:space="preserve"> et al </w:t>
      </w:r>
      <w:r w:rsidR="00EE0B3C" w:rsidRPr="00320A82">
        <w:rPr>
          <w:rFonts w:ascii="Times New Roman" w:hAnsi="Times New Roman" w:cs="Times New Roman"/>
          <w:sz w:val="24"/>
          <w:szCs w:val="24"/>
        </w:rPr>
        <w:t>(2010</w:t>
      </w:r>
      <w:r w:rsidR="00DD14B3" w:rsidRPr="00320A82">
        <w:rPr>
          <w:rFonts w:ascii="Times New Roman" w:hAnsi="Times New Roman" w:cs="Times New Roman"/>
          <w:sz w:val="24"/>
          <w:szCs w:val="24"/>
        </w:rPr>
        <w:t>)</w:t>
      </w:r>
      <w:r w:rsidR="00664877" w:rsidRPr="00320A82">
        <w:rPr>
          <w:rFonts w:ascii="Times New Roman" w:hAnsi="Times New Roman" w:cs="Times New Roman"/>
          <w:sz w:val="24"/>
          <w:szCs w:val="24"/>
        </w:rPr>
        <w:t xml:space="preserve"> </w:t>
      </w:r>
      <w:r w:rsidR="00DD14B3" w:rsidRPr="00320A82">
        <w:rPr>
          <w:rFonts w:ascii="Times New Roman" w:hAnsi="Times New Roman" w:cs="Times New Roman"/>
          <w:sz w:val="24"/>
          <w:szCs w:val="24"/>
        </w:rPr>
        <w:t>for</w:t>
      </w:r>
      <w:r w:rsidRPr="00320A82">
        <w:rPr>
          <w:rFonts w:ascii="Times New Roman" w:hAnsi="Times New Roman" w:cs="Times New Roman"/>
          <w:sz w:val="24"/>
          <w:szCs w:val="24"/>
        </w:rPr>
        <w:t xml:space="preserve"> equities. Faber</w:t>
      </w:r>
      <w:r w:rsidR="000E6E75" w:rsidRPr="00320A82">
        <w:rPr>
          <w:rFonts w:ascii="Times New Roman" w:hAnsi="Times New Roman" w:cs="Times New Roman"/>
          <w:sz w:val="24"/>
          <w:szCs w:val="24"/>
        </w:rPr>
        <w:t xml:space="preserve"> (200</w:t>
      </w:r>
      <w:r w:rsidR="004938EC" w:rsidRPr="00320A82">
        <w:rPr>
          <w:rFonts w:ascii="Times New Roman" w:hAnsi="Times New Roman" w:cs="Times New Roman"/>
          <w:sz w:val="24"/>
          <w:szCs w:val="24"/>
        </w:rPr>
        <w:t>9</w:t>
      </w:r>
      <w:r w:rsidR="000E6E75" w:rsidRPr="00320A82">
        <w:rPr>
          <w:rFonts w:ascii="Times New Roman" w:hAnsi="Times New Roman" w:cs="Times New Roman"/>
          <w:sz w:val="24"/>
          <w:szCs w:val="24"/>
        </w:rPr>
        <w:t>)</w:t>
      </w:r>
      <w:r w:rsidRPr="00320A82">
        <w:rPr>
          <w:rFonts w:ascii="Times New Roman" w:hAnsi="Times New Roman" w:cs="Times New Roman"/>
          <w:sz w:val="24"/>
          <w:szCs w:val="24"/>
        </w:rPr>
        <w:t xml:space="preserve"> uses </w:t>
      </w:r>
      <w:r w:rsidR="000E6E75" w:rsidRPr="00320A82">
        <w:rPr>
          <w:rFonts w:ascii="Times New Roman" w:hAnsi="Times New Roman" w:cs="Times New Roman"/>
          <w:sz w:val="24"/>
          <w:szCs w:val="24"/>
        </w:rPr>
        <w:t xml:space="preserve">trend following as a means of </w:t>
      </w:r>
      <w:r w:rsidR="00691CF2" w:rsidRPr="00320A82">
        <w:rPr>
          <w:rFonts w:ascii="Times New Roman" w:hAnsi="Times New Roman" w:cs="Times New Roman"/>
          <w:sz w:val="24"/>
          <w:szCs w:val="24"/>
        </w:rPr>
        <w:t xml:space="preserve">informing </w:t>
      </w:r>
      <w:r w:rsidR="000E6E75" w:rsidRPr="00320A82">
        <w:rPr>
          <w:rFonts w:ascii="Times New Roman" w:hAnsi="Times New Roman" w:cs="Times New Roman"/>
          <w:sz w:val="24"/>
          <w:szCs w:val="24"/>
        </w:rPr>
        <w:t xml:space="preserve">tactical asset allocation </w:t>
      </w:r>
      <w:r w:rsidR="00691CF2" w:rsidRPr="00320A82">
        <w:rPr>
          <w:rFonts w:ascii="Times New Roman" w:hAnsi="Times New Roman" w:cs="Times New Roman"/>
          <w:sz w:val="24"/>
          <w:szCs w:val="24"/>
        </w:rPr>
        <w:t xml:space="preserve">decisions </w:t>
      </w:r>
      <w:r w:rsidR="000E6E75" w:rsidRPr="00320A82">
        <w:rPr>
          <w:rFonts w:ascii="Times New Roman" w:hAnsi="Times New Roman" w:cs="Times New Roman"/>
          <w:sz w:val="24"/>
          <w:szCs w:val="24"/>
        </w:rPr>
        <w:t>and demonstrates that it is possible to form a portfolio that has equity-level returns with bond-level volatility</w:t>
      </w:r>
      <w:r w:rsidRPr="00320A82">
        <w:rPr>
          <w:rFonts w:ascii="Times New Roman" w:hAnsi="Times New Roman" w:cs="Times New Roman"/>
          <w:sz w:val="24"/>
          <w:szCs w:val="24"/>
        </w:rPr>
        <w:t>.</w:t>
      </w:r>
      <w:r w:rsidR="004B523B" w:rsidRPr="00320A82">
        <w:rPr>
          <w:rFonts w:ascii="Times New Roman" w:hAnsi="Times New Roman" w:cs="Times New Roman"/>
          <w:sz w:val="24"/>
          <w:szCs w:val="24"/>
        </w:rPr>
        <w:t xml:space="preserve"> </w:t>
      </w:r>
      <w:proofErr w:type="spellStart"/>
      <w:r w:rsidR="00481F04" w:rsidRPr="00320A82">
        <w:rPr>
          <w:rFonts w:ascii="Times New Roman" w:hAnsi="Times New Roman" w:cs="Times New Roman"/>
          <w:sz w:val="24"/>
          <w:szCs w:val="24"/>
        </w:rPr>
        <w:t>Ilmanen</w:t>
      </w:r>
      <w:proofErr w:type="spellEnd"/>
      <w:r w:rsidR="00481F04" w:rsidRPr="00320A82">
        <w:rPr>
          <w:rFonts w:ascii="Times New Roman" w:hAnsi="Times New Roman" w:cs="Times New Roman"/>
          <w:sz w:val="24"/>
          <w:szCs w:val="24"/>
        </w:rPr>
        <w:t xml:space="preserve"> (2011) </w:t>
      </w:r>
      <w:r w:rsidR="002B3D2B" w:rsidRPr="00320A82">
        <w:rPr>
          <w:rFonts w:ascii="Times New Roman" w:hAnsi="Times New Roman" w:cs="Times New Roman"/>
          <w:sz w:val="24"/>
          <w:szCs w:val="24"/>
        </w:rPr>
        <w:t>and Friesen et al (2009) offer</w:t>
      </w:r>
      <w:r w:rsidR="00481F04" w:rsidRPr="00320A82">
        <w:rPr>
          <w:rFonts w:ascii="Times New Roman" w:hAnsi="Times New Roman" w:cs="Times New Roman"/>
          <w:sz w:val="24"/>
          <w:szCs w:val="24"/>
        </w:rPr>
        <w:t xml:space="preserve"> a variety of explanations as to why trend</w:t>
      </w:r>
      <w:r w:rsidR="00691CF2" w:rsidRPr="00320A82">
        <w:rPr>
          <w:rFonts w:ascii="Times New Roman" w:hAnsi="Times New Roman" w:cs="Times New Roman"/>
          <w:sz w:val="24"/>
          <w:szCs w:val="24"/>
        </w:rPr>
        <w:t xml:space="preserve"> </w:t>
      </w:r>
      <w:r w:rsidR="00481F04" w:rsidRPr="00320A82">
        <w:rPr>
          <w:rFonts w:ascii="Times New Roman" w:hAnsi="Times New Roman" w:cs="Times New Roman"/>
          <w:sz w:val="24"/>
          <w:szCs w:val="24"/>
        </w:rPr>
        <w:t xml:space="preserve">following may have been successful historically, including </w:t>
      </w:r>
      <w:r w:rsidR="00691CF2" w:rsidRPr="00320A82">
        <w:rPr>
          <w:rFonts w:ascii="Times New Roman" w:hAnsi="Times New Roman" w:cs="Times New Roman"/>
          <w:sz w:val="24"/>
          <w:szCs w:val="24"/>
        </w:rPr>
        <w:t xml:space="preserve">the tendency for </w:t>
      </w:r>
      <w:r w:rsidR="00481F04" w:rsidRPr="00320A82">
        <w:rPr>
          <w:rFonts w:ascii="Times New Roman" w:hAnsi="Times New Roman" w:cs="Times New Roman"/>
          <w:sz w:val="24"/>
          <w:szCs w:val="24"/>
        </w:rPr>
        <w:t>investor</w:t>
      </w:r>
      <w:r w:rsidR="00691CF2" w:rsidRPr="00320A82">
        <w:rPr>
          <w:rFonts w:ascii="Times New Roman" w:hAnsi="Times New Roman" w:cs="Times New Roman"/>
          <w:sz w:val="24"/>
          <w:szCs w:val="24"/>
        </w:rPr>
        <w:t>s to</w:t>
      </w:r>
      <w:r w:rsidR="00481F04" w:rsidRPr="00320A82">
        <w:rPr>
          <w:rFonts w:ascii="Times New Roman" w:hAnsi="Times New Roman" w:cs="Times New Roman"/>
          <w:sz w:val="24"/>
          <w:szCs w:val="24"/>
        </w:rPr>
        <w:t xml:space="preserve"> </w:t>
      </w:r>
      <w:r w:rsidR="00691CF2" w:rsidRPr="00320A82">
        <w:rPr>
          <w:rFonts w:ascii="Times New Roman" w:hAnsi="Times New Roman" w:cs="Times New Roman"/>
          <w:sz w:val="24"/>
          <w:szCs w:val="24"/>
        </w:rPr>
        <w:t>underreact</w:t>
      </w:r>
      <w:r w:rsidR="00481F04" w:rsidRPr="00320A82">
        <w:rPr>
          <w:rFonts w:ascii="Times New Roman" w:hAnsi="Times New Roman" w:cs="Times New Roman"/>
          <w:sz w:val="24"/>
          <w:szCs w:val="24"/>
        </w:rPr>
        <w:t xml:space="preserve"> to news and </w:t>
      </w:r>
      <w:r w:rsidR="00691CF2" w:rsidRPr="00320A82">
        <w:rPr>
          <w:rFonts w:ascii="Times New Roman" w:hAnsi="Times New Roman" w:cs="Times New Roman"/>
          <w:sz w:val="24"/>
          <w:szCs w:val="24"/>
        </w:rPr>
        <w:t xml:space="preserve">their tendency to exhibit </w:t>
      </w:r>
      <w:r w:rsidR="00481F04" w:rsidRPr="00320A82">
        <w:rPr>
          <w:rFonts w:ascii="Times New Roman" w:hAnsi="Times New Roman" w:cs="Times New Roman"/>
          <w:sz w:val="24"/>
          <w:szCs w:val="24"/>
        </w:rPr>
        <w:t>herding behaviour.</w:t>
      </w:r>
      <w:r w:rsidR="00957396" w:rsidRPr="00320A82">
        <w:rPr>
          <w:rFonts w:ascii="Times New Roman" w:hAnsi="Times New Roman" w:cs="Times New Roman"/>
          <w:sz w:val="24"/>
          <w:szCs w:val="24"/>
        </w:rPr>
        <w:t xml:space="preserve"> </w:t>
      </w:r>
      <w:proofErr w:type="spellStart"/>
      <w:r w:rsidR="00957396" w:rsidRPr="00320A82">
        <w:rPr>
          <w:rFonts w:ascii="Times New Roman" w:hAnsi="Times New Roman" w:cs="Times New Roman"/>
          <w:sz w:val="24"/>
          <w:szCs w:val="24"/>
        </w:rPr>
        <w:t>Shynkevich</w:t>
      </w:r>
      <w:proofErr w:type="spellEnd"/>
      <w:r w:rsidR="00957396" w:rsidRPr="00320A82">
        <w:rPr>
          <w:rFonts w:ascii="Times New Roman" w:hAnsi="Times New Roman" w:cs="Times New Roman"/>
          <w:sz w:val="24"/>
          <w:szCs w:val="24"/>
        </w:rPr>
        <w:t xml:space="preserve"> (2012) questions the more recent effectiveness of similar rules in the US equity market.</w:t>
      </w:r>
    </w:p>
    <w:p w:rsidR="001212DF" w:rsidRPr="00320A82" w:rsidRDefault="001212DF" w:rsidP="001212DF">
      <w:pPr>
        <w:spacing w:after="0" w:line="360" w:lineRule="auto"/>
        <w:jc w:val="both"/>
        <w:rPr>
          <w:rFonts w:ascii="Times New Roman" w:hAnsi="Times New Roman" w:cs="Times New Roman"/>
          <w:sz w:val="24"/>
          <w:szCs w:val="24"/>
        </w:rPr>
      </w:pPr>
    </w:p>
    <w:p w:rsidR="007F36CB" w:rsidRDefault="00795A8E" w:rsidP="00B066CF">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A few studies have sought to combine some</w:t>
      </w:r>
      <w:r w:rsidR="00531226" w:rsidRPr="00320A82">
        <w:rPr>
          <w:rFonts w:ascii="Times New Roman" w:hAnsi="Times New Roman" w:cs="Times New Roman"/>
          <w:sz w:val="24"/>
          <w:szCs w:val="24"/>
        </w:rPr>
        <w:t xml:space="preserve"> of</w:t>
      </w:r>
      <w:r w:rsidRPr="00320A82">
        <w:rPr>
          <w:rFonts w:ascii="Times New Roman" w:hAnsi="Times New Roman" w:cs="Times New Roman"/>
          <w:sz w:val="24"/>
          <w:szCs w:val="24"/>
        </w:rPr>
        <w:t xml:space="preserve"> the</w:t>
      </w:r>
      <w:r w:rsidR="00531226" w:rsidRPr="00320A82">
        <w:rPr>
          <w:rFonts w:ascii="Times New Roman" w:hAnsi="Times New Roman" w:cs="Times New Roman"/>
          <w:sz w:val="24"/>
          <w:szCs w:val="24"/>
        </w:rPr>
        <w:t xml:space="preserve"> strategies </w:t>
      </w:r>
      <w:r w:rsidRPr="00320A82">
        <w:rPr>
          <w:rFonts w:ascii="Times New Roman" w:hAnsi="Times New Roman" w:cs="Times New Roman"/>
          <w:sz w:val="24"/>
          <w:szCs w:val="24"/>
        </w:rPr>
        <w:t>previously discussed</w:t>
      </w:r>
      <w:r w:rsidR="00531226" w:rsidRPr="00320A82">
        <w:rPr>
          <w:rFonts w:ascii="Times New Roman" w:hAnsi="Times New Roman" w:cs="Times New Roman"/>
          <w:sz w:val="24"/>
          <w:szCs w:val="24"/>
        </w:rPr>
        <w:t>.</w:t>
      </w:r>
      <w:r w:rsidR="00664877" w:rsidRPr="00320A82">
        <w:rPr>
          <w:rFonts w:ascii="Times New Roman" w:hAnsi="Times New Roman" w:cs="Times New Roman"/>
          <w:sz w:val="24"/>
          <w:szCs w:val="24"/>
        </w:rPr>
        <w:t xml:space="preserve">  </w:t>
      </w:r>
      <w:r w:rsidR="00531226" w:rsidRPr="00320A82">
        <w:rPr>
          <w:rFonts w:ascii="Times New Roman" w:hAnsi="Times New Roman" w:cs="Times New Roman"/>
          <w:sz w:val="24"/>
          <w:szCs w:val="24"/>
        </w:rPr>
        <w:t xml:space="preserve">Faber </w:t>
      </w:r>
      <w:r w:rsidRPr="00320A82">
        <w:rPr>
          <w:rFonts w:ascii="Times New Roman" w:hAnsi="Times New Roman" w:cs="Times New Roman"/>
          <w:sz w:val="24"/>
          <w:szCs w:val="24"/>
        </w:rPr>
        <w:t>(20</w:t>
      </w:r>
      <w:r w:rsidR="004938EC" w:rsidRPr="00320A82">
        <w:rPr>
          <w:rFonts w:ascii="Times New Roman" w:hAnsi="Times New Roman" w:cs="Times New Roman"/>
          <w:sz w:val="24"/>
          <w:szCs w:val="24"/>
        </w:rPr>
        <w:t>10</w:t>
      </w:r>
      <w:r w:rsidRPr="00320A82">
        <w:rPr>
          <w:rFonts w:ascii="Times New Roman" w:hAnsi="Times New Roman" w:cs="Times New Roman"/>
          <w:sz w:val="24"/>
          <w:szCs w:val="24"/>
        </w:rPr>
        <w:t>) uses momentum and trend following</w:t>
      </w:r>
      <w:r w:rsidR="00531226" w:rsidRPr="00320A82">
        <w:rPr>
          <w:rFonts w:ascii="Times New Roman" w:hAnsi="Times New Roman" w:cs="Times New Roman"/>
          <w:sz w:val="24"/>
          <w:szCs w:val="24"/>
        </w:rPr>
        <w:t xml:space="preserve"> in equity sector investing in</w:t>
      </w:r>
      <w:r w:rsidRPr="00320A82">
        <w:rPr>
          <w:rFonts w:ascii="Times New Roman" w:hAnsi="Times New Roman" w:cs="Times New Roman"/>
          <w:sz w:val="24"/>
          <w:szCs w:val="24"/>
        </w:rPr>
        <w:t xml:space="preserve"> the</w:t>
      </w:r>
      <w:r w:rsidR="00531226" w:rsidRPr="00320A82">
        <w:rPr>
          <w:rFonts w:ascii="Times New Roman" w:hAnsi="Times New Roman" w:cs="Times New Roman"/>
          <w:sz w:val="24"/>
          <w:szCs w:val="24"/>
        </w:rPr>
        <w:t xml:space="preserve"> U</w:t>
      </w:r>
      <w:r w:rsidRPr="00320A82">
        <w:rPr>
          <w:rFonts w:ascii="Times New Roman" w:hAnsi="Times New Roman" w:cs="Times New Roman"/>
          <w:sz w:val="24"/>
          <w:szCs w:val="24"/>
        </w:rPr>
        <w:t xml:space="preserve">nited </w:t>
      </w:r>
      <w:r w:rsidR="00531226" w:rsidRPr="00320A82">
        <w:rPr>
          <w:rFonts w:ascii="Times New Roman" w:hAnsi="Times New Roman" w:cs="Times New Roman"/>
          <w:sz w:val="24"/>
          <w:szCs w:val="24"/>
        </w:rPr>
        <w:t>S</w:t>
      </w:r>
      <w:r w:rsidRPr="00320A82">
        <w:rPr>
          <w:rFonts w:ascii="Times New Roman" w:hAnsi="Times New Roman" w:cs="Times New Roman"/>
          <w:sz w:val="24"/>
          <w:szCs w:val="24"/>
        </w:rPr>
        <w:t>tates</w:t>
      </w:r>
      <w:r w:rsidR="00691CF2" w:rsidRPr="00320A82">
        <w:rPr>
          <w:rFonts w:ascii="Times New Roman" w:hAnsi="Times New Roman" w:cs="Times New Roman"/>
          <w:sz w:val="24"/>
          <w:szCs w:val="24"/>
        </w:rPr>
        <w:t xml:space="preserve">, while </w:t>
      </w:r>
      <w:proofErr w:type="spellStart"/>
      <w:r w:rsidR="00531226" w:rsidRPr="00320A82">
        <w:rPr>
          <w:rFonts w:ascii="Times New Roman" w:hAnsi="Times New Roman" w:cs="Times New Roman"/>
          <w:sz w:val="24"/>
          <w:szCs w:val="24"/>
        </w:rPr>
        <w:t>Anton</w:t>
      </w:r>
      <w:r w:rsidR="00860893" w:rsidRPr="00320A82">
        <w:rPr>
          <w:rFonts w:ascii="Times New Roman" w:hAnsi="Times New Roman" w:cs="Times New Roman"/>
          <w:sz w:val="24"/>
          <w:szCs w:val="24"/>
        </w:rPr>
        <w:t>a</w:t>
      </w:r>
      <w:r w:rsidR="00531226" w:rsidRPr="00320A82">
        <w:rPr>
          <w:rFonts w:ascii="Times New Roman" w:hAnsi="Times New Roman" w:cs="Times New Roman"/>
          <w:sz w:val="24"/>
          <w:szCs w:val="24"/>
        </w:rPr>
        <w:t>cci</w:t>
      </w:r>
      <w:proofErr w:type="spellEnd"/>
      <w:r w:rsidR="004B523B"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(2012) </w:t>
      </w:r>
      <w:r w:rsidR="00531226" w:rsidRPr="00320A82">
        <w:rPr>
          <w:rFonts w:ascii="Times New Roman" w:hAnsi="Times New Roman" w:cs="Times New Roman"/>
          <w:sz w:val="24"/>
          <w:szCs w:val="24"/>
        </w:rPr>
        <w:t>uses momentum for trading between pairs of investments</w:t>
      </w:r>
      <w:r w:rsidRPr="00320A82">
        <w:rPr>
          <w:rFonts w:ascii="Times New Roman" w:hAnsi="Times New Roman" w:cs="Times New Roman"/>
          <w:sz w:val="24"/>
          <w:szCs w:val="24"/>
        </w:rPr>
        <w:t xml:space="preserve"> and then applies a quasi-trend following filter to ensure that the winners have exhibited positive returns</w:t>
      </w:r>
      <w:r w:rsidR="00531226" w:rsidRPr="00320A82">
        <w:rPr>
          <w:rFonts w:ascii="Times New Roman" w:hAnsi="Times New Roman" w:cs="Times New Roman"/>
          <w:sz w:val="24"/>
          <w:szCs w:val="24"/>
        </w:rPr>
        <w:t>.</w:t>
      </w:r>
      <w:r w:rsidR="00DB2A0B" w:rsidRPr="00320A82">
        <w:rPr>
          <w:rFonts w:ascii="Times New Roman" w:hAnsi="Times New Roman" w:cs="Times New Roman"/>
          <w:sz w:val="24"/>
          <w:szCs w:val="24"/>
        </w:rPr>
        <w:t xml:space="preserve"> The risk-adjusted performance of these approaches has been a significant improvement on benchmark buy-and-hold portfolios. </w:t>
      </w:r>
    </w:p>
    <w:p w:rsidR="00531226" w:rsidRDefault="00DB2A0B" w:rsidP="00B066CF">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 </w:t>
      </w:r>
    </w:p>
    <w:p w:rsidR="003E046B" w:rsidRDefault="003E046B" w:rsidP="00B066CF">
      <w:pPr>
        <w:spacing w:after="0" w:line="360" w:lineRule="auto"/>
        <w:ind w:firstLine="720"/>
        <w:jc w:val="both"/>
        <w:rPr>
          <w:rFonts w:ascii="Times New Roman" w:hAnsi="Times New Roman" w:cs="Times New Roman"/>
          <w:sz w:val="24"/>
          <w:szCs w:val="24"/>
        </w:rPr>
      </w:pPr>
      <w:r w:rsidRPr="00474F34">
        <w:rPr>
          <w:rFonts w:ascii="Times New Roman" w:hAnsi="Times New Roman" w:cs="Times New Roman"/>
          <w:sz w:val="24"/>
          <w:szCs w:val="24"/>
        </w:rPr>
        <w:t>One of the key properties of our rule-based approa</w:t>
      </w:r>
      <w:r w:rsidR="00CD772B" w:rsidRPr="00474F34">
        <w:rPr>
          <w:rFonts w:ascii="Times New Roman" w:hAnsi="Times New Roman" w:cs="Times New Roman"/>
          <w:sz w:val="24"/>
          <w:szCs w:val="24"/>
        </w:rPr>
        <w:t>ch using trend-following techniques is the much reduced maximum drawdown experienced by investors using such strategies.</w:t>
      </w:r>
      <w:r w:rsidR="00E91D38" w:rsidRPr="00474F34">
        <w:rPr>
          <w:rFonts w:ascii="Times New Roman" w:hAnsi="Times New Roman" w:cs="Times New Roman"/>
          <w:sz w:val="24"/>
          <w:szCs w:val="24"/>
        </w:rPr>
        <w:t xml:space="preserve"> </w:t>
      </w:r>
      <w:r w:rsidR="00CD772B" w:rsidRPr="00474F34">
        <w:rPr>
          <w:rFonts w:ascii="Times New Roman" w:hAnsi="Times New Roman" w:cs="Times New Roman"/>
          <w:sz w:val="24"/>
          <w:szCs w:val="24"/>
        </w:rPr>
        <w:t xml:space="preserve">Given the focus on capacity for loss by financial regulators such as </w:t>
      </w:r>
      <w:r w:rsidR="00474F34">
        <w:rPr>
          <w:rFonts w:ascii="Times New Roman" w:hAnsi="Times New Roman" w:cs="Times New Roman"/>
          <w:sz w:val="24"/>
          <w:szCs w:val="24"/>
        </w:rPr>
        <w:t xml:space="preserve">the European Securities and Markets Authority (ESMA) </w:t>
      </w:r>
      <w:r w:rsidR="00E801F1" w:rsidRPr="00474F34">
        <w:rPr>
          <w:rFonts w:ascii="Times New Roman" w:hAnsi="Times New Roman" w:cs="Times New Roman"/>
          <w:sz w:val="24"/>
          <w:szCs w:val="24"/>
        </w:rPr>
        <w:t xml:space="preserve">and the UK’s </w:t>
      </w:r>
      <w:r w:rsidR="00474F34">
        <w:rPr>
          <w:rFonts w:ascii="Times New Roman" w:hAnsi="Times New Roman" w:cs="Times New Roman"/>
          <w:sz w:val="24"/>
          <w:szCs w:val="24"/>
        </w:rPr>
        <w:t>Financial Conduct Authority (</w:t>
      </w:r>
      <w:r w:rsidR="00E801F1" w:rsidRPr="00474F34">
        <w:rPr>
          <w:rFonts w:ascii="Times New Roman" w:hAnsi="Times New Roman" w:cs="Times New Roman"/>
          <w:sz w:val="24"/>
          <w:szCs w:val="24"/>
        </w:rPr>
        <w:t>FCA</w:t>
      </w:r>
      <w:r w:rsidR="00474F34">
        <w:rPr>
          <w:rFonts w:ascii="Times New Roman" w:hAnsi="Times New Roman" w:cs="Times New Roman"/>
          <w:sz w:val="24"/>
          <w:szCs w:val="24"/>
        </w:rPr>
        <w:t>)</w:t>
      </w:r>
      <w:r w:rsidR="00E801F1" w:rsidRPr="00474F34">
        <w:rPr>
          <w:rFonts w:ascii="Times New Roman" w:hAnsi="Times New Roman" w:cs="Times New Roman"/>
          <w:sz w:val="24"/>
          <w:szCs w:val="24"/>
        </w:rPr>
        <w:t>,</w:t>
      </w:r>
      <w:r w:rsidR="007F36CB" w:rsidRPr="00474F34">
        <w:rPr>
          <w:rFonts w:ascii="Times New Roman" w:hAnsi="Times New Roman" w:cs="Times New Roman"/>
          <w:sz w:val="24"/>
          <w:szCs w:val="24"/>
        </w:rPr>
        <w:t xml:space="preserve"> </w:t>
      </w:r>
      <w:r w:rsidR="00E801F1" w:rsidRPr="00474F34">
        <w:rPr>
          <w:rFonts w:ascii="Times New Roman" w:hAnsi="Times New Roman" w:cs="Times New Roman"/>
          <w:sz w:val="24"/>
          <w:szCs w:val="24"/>
        </w:rPr>
        <w:lastRenderedPageBreak/>
        <w:t>and its link with maximum drawdown,</w:t>
      </w:r>
      <w:r w:rsidR="00E91D38" w:rsidRPr="00474F34">
        <w:rPr>
          <w:rFonts w:ascii="Times New Roman" w:hAnsi="Times New Roman" w:cs="Times New Roman"/>
          <w:sz w:val="24"/>
          <w:szCs w:val="24"/>
        </w:rPr>
        <w:t xml:space="preserve"> </w:t>
      </w:r>
      <w:r w:rsidR="00E801F1" w:rsidRPr="00474F34">
        <w:rPr>
          <w:rFonts w:ascii="Times New Roman" w:hAnsi="Times New Roman" w:cs="Times New Roman"/>
          <w:sz w:val="24"/>
          <w:szCs w:val="24"/>
        </w:rPr>
        <w:t>there is a clear advantage in providing reduced sequen</w:t>
      </w:r>
      <w:r w:rsidR="00C83592" w:rsidRPr="00474F34">
        <w:rPr>
          <w:rFonts w:ascii="Times New Roman" w:hAnsi="Times New Roman" w:cs="Times New Roman"/>
          <w:sz w:val="24"/>
          <w:szCs w:val="24"/>
        </w:rPr>
        <w:t xml:space="preserve">ce risk investment experiences </w:t>
      </w:r>
      <w:r w:rsidR="00E801F1" w:rsidRPr="00474F34">
        <w:rPr>
          <w:rFonts w:ascii="Times New Roman" w:hAnsi="Times New Roman" w:cs="Times New Roman"/>
          <w:sz w:val="24"/>
          <w:szCs w:val="24"/>
        </w:rPr>
        <w:t>via smoother returns.</w:t>
      </w:r>
      <w:r w:rsidR="00E91D38" w:rsidRPr="00474F34">
        <w:rPr>
          <w:rFonts w:ascii="Times New Roman" w:hAnsi="Times New Roman" w:cs="Times New Roman"/>
          <w:sz w:val="24"/>
          <w:szCs w:val="24"/>
        </w:rPr>
        <w:t xml:space="preserve"> </w:t>
      </w:r>
      <w:r w:rsidR="00E801F1" w:rsidRPr="00474F34">
        <w:rPr>
          <w:rFonts w:ascii="Times New Roman" w:hAnsi="Times New Roman" w:cs="Times New Roman"/>
          <w:sz w:val="24"/>
          <w:szCs w:val="24"/>
        </w:rPr>
        <w:t>Another way to express this is to say that the Perfect Withdrawal Amount</w:t>
      </w:r>
      <w:r w:rsidR="007F36CB" w:rsidRPr="00474F34">
        <w:rPr>
          <w:rFonts w:ascii="Times New Roman" w:hAnsi="Times New Roman" w:cs="Times New Roman"/>
          <w:sz w:val="24"/>
          <w:szCs w:val="24"/>
        </w:rPr>
        <w:t xml:space="preserve"> </w:t>
      </w:r>
      <w:r w:rsidR="00474F34">
        <w:rPr>
          <w:rFonts w:ascii="Times New Roman" w:hAnsi="Times New Roman" w:cs="Times New Roman"/>
          <w:sz w:val="24"/>
          <w:szCs w:val="24"/>
        </w:rPr>
        <w:t xml:space="preserve">at retirement </w:t>
      </w:r>
      <w:r w:rsidR="00E801F1" w:rsidRPr="00474F34">
        <w:rPr>
          <w:rFonts w:ascii="Times New Roman" w:hAnsi="Times New Roman" w:cs="Times New Roman"/>
          <w:sz w:val="24"/>
          <w:szCs w:val="24"/>
        </w:rPr>
        <w:t>(see Suarez et al</w:t>
      </w:r>
      <w:r w:rsidR="007F36CB" w:rsidRPr="00474F34">
        <w:rPr>
          <w:rFonts w:ascii="Times New Roman" w:hAnsi="Times New Roman" w:cs="Times New Roman"/>
          <w:sz w:val="24"/>
          <w:szCs w:val="24"/>
        </w:rPr>
        <w:t>, 2015</w:t>
      </w:r>
      <w:r w:rsidR="00E801F1" w:rsidRPr="00474F34">
        <w:rPr>
          <w:rFonts w:ascii="Times New Roman" w:hAnsi="Times New Roman" w:cs="Times New Roman"/>
          <w:sz w:val="24"/>
          <w:szCs w:val="24"/>
        </w:rPr>
        <w:t>) can be considerably higher by avoiding the usual behavioural biases and following a rule driven strategy.</w:t>
      </w:r>
    </w:p>
    <w:p w:rsidR="00561210" w:rsidRPr="00320A82" w:rsidRDefault="00561210">
      <w:pPr>
        <w:spacing w:after="0" w:line="360" w:lineRule="auto"/>
        <w:jc w:val="both"/>
        <w:rPr>
          <w:rFonts w:ascii="Times New Roman" w:hAnsi="Times New Roman" w:cs="Times New Roman"/>
          <w:sz w:val="24"/>
          <w:szCs w:val="24"/>
        </w:rPr>
      </w:pPr>
    </w:p>
    <w:p w:rsidR="007108D8" w:rsidRPr="00320A82" w:rsidRDefault="007108D8" w:rsidP="00B066CF">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The aim of this paper is to extend previous work in this area by combining strategies and by applying these strategies in a multi-asset class context.  We find that </w:t>
      </w:r>
      <w:r w:rsidR="00005BCD" w:rsidRPr="00320A82">
        <w:rPr>
          <w:rFonts w:ascii="Times New Roman" w:hAnsi="Times New Roman" w:cs="Times New Roman"/>
          <w:sz w:val="24"/>
          <w:szCs w:val="24"/>
        </w:rPr>
        <w:t>t</w:t>
      </w:r>
      <w:r w:rsidRPr="00320A82">
        <w:rPr>
          <w:rFonts w:ascii="Times New Roman" w:hAnsi="Times New Roman" w:cs="Times New Roman"/>
          <w:sz w:val="24"/>
          <w:szCs w:val="24"/>
        </w:rPr>
        <w:t xml:space="preserve">rend following portfolios produce higher Sharpe ratios </w:t>
      </w:r>
      <w:r w:rsidR="003D16AB">
        <w:rPr>
          <w:rFonts w:ascii="Times New Roman" w:hAnsi="Times New Roman" w:cs="Times New Roman"/>
          <w:sz w:val="24"/>
          <w:szCs w:val="24"/>
        </w:rPr>
        <w:t>than comparable, equally-</w:t>
      </w:r>
      <w:r w:rsidR="00005BCD" w:rsidRPr="00320A82">
        <w:rPr>
          <w:rFonts w:ascii="Times New Roman" w:hAnsi="Times New Roman" w:cs="Times New Roman"/>
          <w:sz w:val="24"/>
          <w:szCs w:val="24"/>
        </w:rPr>
        <w:t xml:space="preserve">weighted buy and hold portfolios with much </w:t>
      </w:r>
      <w:r w:rsidRPr="00320A82">
        <w:rPr>
          <w:rFonts w:ascii="Times New Roman" w:hAnsi="Times New Roman" w:cs="Times New Roman"/>
          <w:sz w:val="24"/>
          <w:szCs w:val="24"/>
        </w:rPr>
        <w:t>lower maximum drawdowns. This is the case both in multi-asset portfolios and within asset classes.</w:t>
      </w:r>
      <w:r w:rsidR="00005BCD" w:rsidRPr="00320A82">
        <w:rPr>
          <w:rFonts w:ascii="Times New Roman" w:hAnsi="Times New Roman" w:cs="Times New Roman"/>
          <w:sz w:val="24"/>
          <w:szCs w:val="24"/>
        </w:rPr>
        <w:t xml:space="preserve">  Our results show that asset class weightings based on r</w:t>
      </w:r>
      <w:r w:rsidR="00E444C1" w:rsidRPr="00320A82">
        <w:rPr>
          <w:rFonts w:ascii="Times New Roman" w:hAnsi="Times New Roman" w:cs="Times New Roman"/>
          <w:sz w:val="24"/>
          <w:szCs w:val="24"/>
        </w:rPr>
        <w:t xml:space="preserve">isk parity </w:t>
      </w:r>
      <w:r w:rsidR="00005BCD" w:rsidRPr="00320A82">
        <w:rPr>
          <w:rFonts w:ascii="Times New Roman" w:hAnsi="Times New Roman" w:cs="Times New Roman"/>
          <w:sz w:val="24"/>
          <w:szCs w:val="24"/>
        </w:rPr>
        <w:t xml:space="preserve">rules also produce </w:t>
      </w:r>
      <w:r w:rsidR="00E444C1" w:rsidRPr="00320A82">
        <w:rPr>
          <w:rFonts w:ascii="Times New Roman" w:hAnsi="Times New Roman" w:cs="Times New Roman"/>
          <w:sz w:val="24"/>
          <w:szCs w:val="24"/>
        </w:rPr>
        <w:t xml:space="preserve">much improved risk-adjusted returns in recent years compared to </w:t>
      </w:r>
      <w:r w:rsidR="00005BCD" w:rsidRPr="00320A82">
        <w:rPr>
          <w:rFonts w:ascii="Times New Roman" w:hAnsi="Times New Roman" w:cs="Times New Roman"/>
          <w:sz w:val="24"/>
          <w:szCs w:val="24"/>
        </w:rPr>
        <w:t>the same comparable buy and hold portfolios</w:t>
      </w:r>
      <w:r w:rsidR="00E444C1" w:rsidRPr="00320A82">
        <w:rPr>
          <w:rFonts w:ascii="Times New Roman" w:hAnsi="Times New Roman" w:cs="Times New Roman"/>
          <w:sz w:val="24"/>
          <w:szCs w:val="24"/>
        </w:rPr>
        <w:t xml:space="preserve">. </w:t>
      </w:r>
      <w:r w:rsidR="00C46F24" w:rsidRPr="00320A82">
        <w:rPr>
          <w:rFonts w:ascii="Times New Roman" w:hAnsi="Times New Roman" w:cs="Times New Roman"/>
          <w:sz w:val="24"/>
          <w:szCs w:val="24"/>
        </w:rPr>
        <w:t xml:space="preserve">However, </w:t>
      </w:r>
      <w:r w:rsidR="00005BCD" w:rsidRPr="00320A82">
        <w:rPr>
          <w:rFonts w:ascii="Times New Roman" w:hAnsi="Times New Roman" w:cs="Times New Roman"/>
          <w:sz w:val="24"/>
          <w:szCs w:val="24"/>
        </w:rPr>
        <w:t xml:space="preserve">further investigation does reveal that </w:t>
      </w:r>
      <w:r w:rsidR="00E444C1" w:rsidRPr="00320A82">
        <w:rPr>
          <w:rFonts w:ascii="Times New Roman" w:hAnsi="Times New Roman" w:cs="Times New Roman"/>
          <w:sz w:val="24"/>
          <w:szCs w:val="24"/>
        </w:rPr>
        <w:t>the</w:t>
      </w:r>
      <w:r w:rsidR="00005BCD" w:rsidRPr="00320A82">
        <w:rPr>
          <w:rFonts w:ascii="Times New Roman" w:hAnsi="Times New Roman" w:cs="Times New Roman"/>
          <w:sz w:val="24"/>
          <w:szCs w:val="24"/>
        </w:rPr>
        <w:t>se</w:t>
      </w:r>
      <w:r w:rsidR="00E444C1" w:rsidRPr="00320A82">
        <w:rPr>
          <w:rFonts w:ascii="Times New Roman" w:hAnsi="Times New Roman" w:cs="Times New Roman"/>
          <w:sz w:val="24"/>
          <w:szCs w:val="24"/>
        </w:rPr>
        <w:t xml:space="preserve"> result</w:t>
      </w:r>
      <w:r w:rsidR="00005BCD" w:rsidRPr="00320A82">
        <w:rPr>
          <w:rFonts w:ascii="Times New Roman" w:hAnsi="Times New Roman" w:cs="Times New Roman"/>
          <w:sz w:val="24"/>
          <w:szCs w:val="24"/>
        </w:rPr>
        <w:t>s</w:t>
      </w:r>
      <w:r w:rsidR="00E444C1" w:rsidRPr="00320A82">
        <w:rPr>
          <w:rFonts w:ascii="Times New Roman" w:hAnsi="Times New Roman" w:cs="Times New Roman"/>
          <w:sz w:val="24"/>
          <w:szCs w:val="24"/>
        </w:rPr>
        <w:t xml:space="preserve"> </w:t>
      </w:r>
      <w:r w:rsidR="00005BCD" w:rsidRPr="00320A82">
        <w:rPr>
          <w:rFonts w:ascii="Times New Roman" w:hAnsi="Times New Roman" w:cs="Times New Roman"/>
          <w:sz w:val="24"/>
          <w:szCs w:val="24"/>
        </w:rPr>
        <w:t xml:space="preserve">are largely due to the </w:t>
      </w:r>
      <w:r w:rsidR="00E444C1" w:rsidRPr="00320A82">
        <w:rPr>
          <w:rFonts w:ascii="Times New Roman" w:hAnsi="Times New Roman" w:cs="Times New Roman"/>
          <w:sz w:val="24"/>
          <w:szCs w:val="24"/>
        </w:rPr>
        <w:t>outperformance of bonds</w:t>
      </w:r>
      <w:r w:rsidR="00C46F24" w:rsidRPr="00320A82">
        <w:rPr>
          <w:rFonts w:ascii="Times New Roman" w:hAnsi="Times New Roman" w:cs="Times New Roman"/>
          <w:sz w:val="24"/>
          <w:szCs w:val="24"/>
        </w:rPr>
        <w:t xml:space="preserve"> over other broad asset classes</w:t>
      </w:r>
      <w:r w:rsidR="00005BCD" w:rsidRPr="00320A82">
        <w:rPr>
          <w:rFonts w:ascii="Times New Roman" w:hAnsi="Times New Roman" w:cs="Times New Roman"/>
          <w:sz w:val="24"/>
          <w:szCs w:val="24"/>
        </w:rPr>
        <w:t xml:space="preserve"> over our sample period</w:t>
      </w:r>
      <w:r w:rsidR="00E444C1" w:rsidRPr="00320A82">
        <w:rPr>
          <w:rFonts w:ascii="Times New Roman" w:hAnsi="Times New Roman" w:cs="Times New Roman"/>
          <w:sz w:val="24"/>
          <w:szCs w:val="24"/>
        </w:rPr>
        <w:t>.</w:t>
      </w:r>
      <w:r w:rsidR="000C68AA" w:rsidRPr="00320A82">
        <w:rPr>
          <w:rFonts w:ascii="Times New Roman" w:hAnsi="Times New Roman" w:cs="Times New Roman"/>
          <w:sz w:val="24"/>
          <w:szCs w:val="24"/>
        </w:rPr>
        <w:t xml:space="preserve"> </w:t>
      </w:r>
      <w:r w:rsidR="00005BCD" w:rsidRPr="00320A82">
        <w:rPr>
          <w:rFonts w:ascii="Times New Roman" w:hAnsi="Times New Roman" w:cs="Times New Roman"/>
          <w:sz w:val="24"/>
          <w:szCs w:val="24"/>
        </w:rPr>
        <w:t xml:space="preserve"> We find that a r</w:t>
      </w:r>
      <w:r w:rsidR="000C68AA" w:rsidRPr="00320A82">
        <w:rPr>
          <w:rFonts w:ascii="Times New Roman" w:hAnsi="Times New Roman" w:cs="Times New Roman"/>
          <w:sz w:val="24"/>
          <w:szCs w:val="24"/>
        </w:rPr>
        <w:t xml:space="preserve">isk parity </w:t>
      </w:r>
      <w:r w:rsidR="00005BCD" w:rsidRPr="00320A82">
        <w:rPr>
          <w:rFonts w:ascii="Times New Roman" w:hAnsi="Times New Roman" w:cs="Times New Roman"/>
          <w:sz w:val="24"/>
          <w:szCs w:val="24"/>
        </w:rPr>
        <w:t xml:space="preserve">approach to investing </w:t>
      </w:r>
      <w:r w:rsidR="000C68AA" w:rsidRPr="00320A82">
        <w:rPr>
          <w:rFonts w:ascii="Times New Roman" w:hAnsi="Times New Roman" w:cs="Times New Roman"/>
          <w:sz w:val="24"/>
          <w:szCs w:val="24"/>
        </w:rPr>
        <w:t xml:space="preserve">adds little to performance </w:t>
      </w:r>
      <w:r w:rsidRPr="00320A82">
        <w:rPr>
          <w:rFonts w:ascii="Times New Roman" w:hAnsi="Times New Roman" w:cs="Times New Roman"/>
          <w:sz w:val="24"/>
          <w:szCs w:val="24"/>
        </w:rPr>
        <w:t xml:space="preserve">within </w:t>
      </w:r>
      <w:r w:rsidR="000C68AA" w:rsidRPr="00320A82">
        <w:rPr>
          <w:rFonts w:ascii="Times New Roman" w:hAnsi="Times New Roman" w:cs="Times New Roman"/>
          <w:sz w:val="24"/>
          <w:szCs w:val="24"/>
        </w:rPr>
        <w:t>asset classes</w:t>
      </w:r>
      <w:r w:rsidR="00005BCD" w:rsidRPr="00320A82">
        <w:rPr>
          <w:rFonts w:ascii="Times New Roman" w:hAnsi="Times New Roman" w:cs="Times New Roman"/>
          <w:sz w:val="24"/>
          <w:szCs w:val="24"/>
        </w:rPr>
        <w:t>, in sharp contrast to our findings with regard to trend following rules which enhance portfolio performance still further when they are applied within asset class</w:t>
      </w:r>
      <w:r w:rsidR="000C68AA" w:rsidRPr="00320A82">
        <w:rPr>
          <w:rFonts w:ascii="Times New Roman" w:hAnsi="Times New Roman" w:cs="Times New Roman"/>
          <w:sz w:val="24"/>
          <w:szCs w:val="24"/>
        </w:rPr>
        <w:t>.</w:t>
      </w:r>
      <w:r w:rsidR="00005BCD" w:rsidRPr="00320A82">
        <w:rPr>
          <w:rFonts w:ascii="Times New Roman" w:hAnsi="Times New Roman" w:cs="Times New Roman"/>
          <w:sz w:val="24"/>
          <w:szCs w:val="24"/>
        </w:rPr>
        <w:t xml:space="preserve">  Our results show that multi-asset class investing </w:t>
      </w:r>
      <w:r w:rsidR="00493D91" w:rsidRPr="00320A82">
        <w:rPr>
          <w:rFonts w:ascii="Times New Roman" w:hAnsi="Times New Roman" w:cs="Times New Roman"/>
          <w:sz w:val="24"/>
          <w:szCs w:val="24"/>
        </w:rPr>
        <w:t>using momentum signals does improve the risk-re</w:t>
      </w:r>
      <w:r w:rsidR="003D16AB">
        <w:rPr>
          <w:rFonts w:ascii="Times New Roman" w:hAnsi="Times New Roman" w:cs="Times New Roman"/>
          <w:sz w:val="24"/>
          <w:szCs w:val="24"/>
        </w:rPr>
        <w:t>turn characteristics of a multi-</w:t>
      </w:r>
      <w:r w:rsidR="00493D91" w:rsidRPr="00320A82">
        <w:rPr>
          <w:rFonts w:ascii="Times New Roman" w:hAnsi="Times New Roman" w:cs="Times New Roman"/>
          <w:sz w:val="24"/>
          <w:szCs w:val="24"/>
        </w:rPr>
        <w:t xml:space="preserve">asset class portfolio, compared to a buy-and hold equivalent, but not substantially.  We also find that combining the momentum based rules, while simultaneously volatility adjusting the weights does not have a significant impact upon performance, but when we combine momentum based rules, whether the weights have been volatility-adjusted or not, with </w:t>
      </w:r>
      <w:r w:rsidR="00713320" w:rsidRPr="00320A82">
        <w:rPr>
          <w:rFonts w:ascii="Times New Roman" w:hAnsi="Times New Roman" w:cs="Times New Roman"/>
          <w:sz w:val="24"/>
          <w:szCs w:val="24"/>
        </w:rPr>
        <w:t>t</w:t>
      </w:r>
      <w:r w:rsidR="00493D91" w:rsidRPr="00320A82">
        <w:rPr>
          <w:rFonts w:ascii="Times New Roman" w:hAnsi="Times New Roman" w:cs="Times New Roman"/>
          <w:sz w:val="24"/>
          <w:szCs w:val="24"/>
        </w:rPr>
        <w:t xml:space="preserve">rend following rules we find a substantial improvement in performance, compared with applying just momentum-based rules. </w:t>
      </w:r>
      <w:r w:rsidR="005E0EC9" w:rsidRPr="00320A82">
        <w:rPr>
          <w:rFonts w:ascii="Times New Roman" w:hAnsi="Times New Roman" w:cs="Times New Roman"/>
          <w:sz w:val="24"/>
          <w:szCs w:val="24"/>
        </w:rPr>
        <w:t xml:space="preserve"> We also show how our findings can form part of a </w:t>
      </w:r>
      <w:r w:rsidR="00634452" w:rsidRPr="00320A82">
        <w:rPr>
          <w:rFonts w:ascii="Times New Roman" w:hAnsi="Times New Roman" w:cs="Times New Roman"/>
          <w:sz w:val="24"/>
          <w:szCs w:val="24"/>
        </w:rPr>
        <w:t>flexible asset allocation strategy</w:t>
      </w:r>
      <w:r w:rsidR="005E0EC9" w:rsidRPr="00320A82">
        <w:rPr>
          <w:rFonts w:ascii="Times New Roman" w:hAnsi="Times New Roman" w:cs="Times New Roman"/>
          <w:sz w:val="24"/>
          <w:szCs w:val="24"/>
        </w:rPr>
        <w:t xml:space="preserve">, where </w:t>
      </w:r>
      <w:r w:rsidR="00634452" w:rsidRPr="00320A82">
        <w:rPr>
          <w:rFonts w:ascii="Times New Roman" w:hAnsi="Times New Roman" w:cs="Times New Roman"/>
          <w:sz w:val="24"/>
          <w:szCs w:val="24"/>
        </w:rPr>
        <w:t xml:space="preserve">trend following </w:t>
      </w:r>
      <w:r w:rsidR="005E0EC9" w:rsidRPr="00320A82">
        <w:rPr>
          <w:rFonts w:ascii="Times New Roman" w:hAnsi="Times New Roman" w:cs="Times New Roman"/>
          <w:sz w:val="24"/>
          <w:szCs w:val="24"/>
        </w:rPr>
        <w:t xml:space="preserve">rules are used to </w:t>
      </w:r>
      <w:r w:rsidR="00634452" w:rsidRPr="00320A82">
        <w:rPr>
          <w:rFonts w:ascii="Times New Roman" w:hAnsi="Times New Roman" w:cs="Times New Roman"/>
          <w:sz w:val="24"/>
          <w:szCs w:val="24"/>
        </w:rPr>
        <w:t xml:space="preserve">rank </w:t>
      </w:r>
      <w:r w:rsidR="005E0EC9" w:rsidRPr="00320A82">
        <w:rPr>
          <w:rFonts w:ascii="Times New Roman" w:hAnsi="Times New Roman" w:cs="Times New Roman"/>
          <w:sz w:val="24"/>
          <w:szCs w:val="24"/>
        </w:rPr>
        <w:t xml:space="preserve">95 financial markets </w:t>
      </w:r>
      <w:r w:rsidR="00634452" w:rsidRPr="00320A82">
        <w:rPr>
          <w:rFonts w:ascii="Times New Roman" w:hAnsi="Times New Roman" w:cs="Times New Roman"/>
          <w:sz w:val="24"/>
          <w:szCs w:val="24"/>
        </w:rPr>
        <w:t>according to their volatility-weighted momentum</w:t>
      </w:r>
      <w:r w:rsidR="005E0EC9" w:rsidRPr="00320A82">
        <w:rPr>
          <w:rFonts w:ascii="Times New Roman" w:hAnsi="Times New Roman" w:cs="Times New Roman"/>
          <w:sz w:val="24"/>
          <w:szCs w:val="24"/>
        </w:rPr>
        <w:t xml:space="preserve">, an approach which has the </w:t>
      </w:r>
      <w:r w:rsidR="00634452" w:rsidRPr="00320A82">
        <w:rPr>
          <w:rFonts w:ascii="Times New Roman" w:hAnsi="Times New Roman" w:cs="Times New Roman"/>
          <w:sz w:val="24"/>
          <w:szCs w:val="24"/>
        </w:rPr>
        <w:t>attractive quality of not requiring any asset allocation weights to be predetermined.</w:t>
      </w:r>
      <w:r w:rsidR="005E0EC9" w:rsidRPr="00320A82">
        <w:rPr>
          <w:rFonts w:ascii="Times New Roman" w:hAnsi="Times New Roman" w:cs="Times New Roman"/>
          <w:sz w:val="24"/>
          <w:szCs w:val="24"/>
        </w:rPr>
        <w:t xml:space="preserve">  This flexible approach to asset allocation produces attractive and consistent</w:t>
      </w:r>
      <w:r w:rsidR="005A1879">
        <w:rPr>
          <w:rFonts w:ascii="Times New Roman" w:hAnsi="Times New Roman" w:cs="Times New Roman"/>
          <w:sz w:val="24"/>
          <w:szCs w:val="24"/>
        </w:rPr>
        <w:t xml:space="preserve"> risk-adjusted returns.  Next</w:t>
      </w:r>
      <w:r w:rsidR="005E0EC9" w:rsidRPr="00320A82">
        <w:rPr>
          <w:rFonts w:ascii="Times New Roman" w:hAnsi="Times New Roman" w:cs="Times New Roman"/>
          <w:sz w:val="24"/>
          <w:szCs w:val="24"/>
        </w:rPr>
        <w:t xml:space="preserve">, we examine whether the impressive returns generated by some of these strategies could be explained by their exposure to known risk factors.  We find that, although the alphas that we calculated were lower than unconditional mean returns, a significant proportion of the return could not be explained with reference to these risk factors. </w:t>
      </w:r>
      <w:r w:rsidR="005A1879">
        <w:rPr>
          <w:rFonts w:ascii="Times New Roman" w:hAnsi="Times New Roman" w:cs="Times New Roman"/>
          <w:sz w:val="24"/>
          <w:szCs w:val="24"/>
        </w:rPr>
        <w:t xml:space="preserve">Finally, we assess the </w:t>
      </w:r>
      <w:r w:rsidR="003865DA">
        <w:rPr>
          <w:rFonts w:ascii="Times New Roman" w:hAnsi="Times New Roman" w:cs="Times New Roman"/>
          <w:sz w:val="24"/>
          <w:szCs w:val="24"/>
        </w:rPr>
        <w:t xml:space="preserve">ranking of strategy returns using measures which take into account the impact of the higher order moments in returns. In particular we employ </w:t>
      </w:r>
      <w:r w:rsidR="003865DA">
        <w:rPr>
          <w:rFonts w:ascii="Times New Roman" w:hAnsi="Times New Roman" w:cs="Times New Roman"/>
          <w:sz w:val="24"/>
          <w:szCs w:val="24"/>
        </w:rPr>
        <w:lastRenderedPageBreak/>
        <w:t xml:space="preserve">both the popular </w:t>
      </w:r>
      <w:proofErr w:type="spellStart"/>
      <w:r w:rsidR="003865DA">
        <w:rPr>
          <w:rFonts w:ascii="Times New Roman" w:hAnsi="Times New Roman" w:cs="Times New Roman"/>
          <w:sz w:val="24"/>
          <w:szCs w:val="24"/>
        </w:rPr>
        <w:t>Sortino</w:t>
      </w:r>
      <w:proofErr w:type="spellEnd"/>
      <w:r w:rsidR="003865DA">
        <w:rPr>
          <w:rFonts w:ascii="Times New Roman" w:hAnsi="Times New Roman" w:cs="Times New Roman"/>
          <w:sz w:val="24"/>
          <w:szCs w:val="24"/>
        </w:rPr>
        <w:t xml:space="preserve"> ratio which compares average returns to a measure of downside risk and a utility function based index which takes into account the impact of skewness and excess kurtosis on the utility of a representative risk </w:t>
      </w:r>
      <w:proofErr w:type="gramStart"/>
      <w:r w:rsidR="003865DA">
        <w:rPr>
          <w:rFonts w:ascii="Times New Roman" w:hAnsi="Times New Roman" w:cs="Times New Roman"/>
          <w:sz w:val="24"/>
          <w:szCs w:val="24"/>
        </w:rPr>
        <w:t>averse</w:t>
      </w:r>
      <w:proofErr w:type="gramEnd"/>
      <w:r w:rsidR="003865DA">
        <w:rPr>
          <w:rFonts w:ascii="Times New Roman" w:hAnsi="Times New Roman" w:cs="Times New Roman"/>
          <w:sz w:val="24"/>
          <w:szCs w:val="24"/>
        </w:rPr>
        <w:t xml:space="preserve"> investor. </w:t>
      </w:r>
      <w:r w:rsidR="00633069">
        <w:rPr>
          <w:rFonts w:ascii="Times New Roman" w:hAnsi="Times New Roman" w:cs="Times New Roman"/>
          <w:sz w:val="24"/>
          <w:szCs w:val="24"/>
        </w:rPr>
        <w:t xml:space="preserve">The </w:t>
      </w:r>
      <w:proofErr w:type="spellStart"/>
      <w:r w:rsidR="00633069">
        <w:rPr>
          <w:rFonts w:ascii="Times New Roman" w:hAnsi="Times New Roman" w:cs="Times New Roman"/>
          <w:sz w:val="24"/>
          <w:szCs w:val="24"/>
        </w:rPr>
        <w:t>Smetters</w:t>
      </w:r>
      <w:proofErr w:type="spellEnd"/>
      <w:r w:rsidR="00633069">
        <w:rPr>
          <w:rFonts w:ascii="Times New Roman" w:hAnsi="Times New Roman" w:cs="Times New Roman"/>
          <w:sz w:val="24"/>
          <w:szCs w:val="24"/>
        </w:rPr>
        <w:t xml:space="preserve"> and Zhang general measure shows that risk averse investors benefit significantly from the reduction in negative skewness offered by trend following.</w:t>
      </w:r>
    </w:p>
    <w:p w:rsidR="007108D8" w:rsidRPr="00320A82" w:rsidRDefault="007108D8" w:rsidP="007108D8">
      <w:pPr>
        <w:spacing w:after="0" w:line="360" w:lineRule="auto"/>
        <w:jc w:val="both"/>
        <w:rPr>
          <w:rFonts w:ascii="Times New Roman" w:hAnsi="Times New Roman" w:cs="Times New Roman"/>
          <w:sz w:val="24"/>
          <w:szCs w:val="24"/>
        </w:rPr>
      </w:pPr>
    </w:p>
    <w:p w:rsidR="009F290B" w:rsidRPr="00320A82" w:rsidRDefault="00F55B90" w:rsidP="00B066CF">
      <w:pPr>
        <w:spacing w:after="0" w:line="360" w:lineRule="auto"/>
        <w:ind w:firstLine="720"/>
        <w:jc w:val="both"/>
        <w:rPr>
          <w:rFonts w:ascii="Times New Roman" w:hAnsi="Times New Roman" w:cs="Times New Roman"/>
          <w:sz w:val="24"/>
          <w:szCs w:val="24"/>
          <w:u w:val="single"/>
        </w:rPr>
      </w:pPr>
      <w:r w:rsidRPr="00320A82">
        <w:rPr>
          <w:rFonts w:ascii="Times New Roman" w:hAnsi="Times New Roman" w:cs="Times New Roman"/>
          <w:sz w:val="24"/>
          <w:szCs w:val="24"/>
        </w:rPr>
        <w:t xml:space="preserve">Perhaps the most important implication of the results presented here relates to the degree to which a pure trend following strategy, or one </w:t>
      </w:r>
      <w:r w:rsidR="004623FC" w:rsidRPr="00320A82">
        <w:rPr>
          <w:rFonts w:ascii="Times New Roman" w:hAnsi="Times New Roman" w:cs="Times New Roman"/>
          <w:sz w:val="24"/>
          <w:szCs w:val="24"/>
        </w:rPr>
        <w:t>overlaid</w:t>
      </w:r>
      <w:r w:rsidRPr="00320A82">
        <w:rPr>
          <w:rFonts w:ascii="Times New Roman" w:hAnsi="Times New Roman" w:cs="Times New Roman"/>
          <w:sz w:val="24"/>
          <w:szCs w:val="24"/>
        </w:rPr>
        <w:t xml:space="preserve"> on a momentum strategy with volatility-adjusted weightings, reduces drawdowns compared to </w:t>
      </w:r>
      <w:r w:rsidR="008934FB" w:rsidRPr="00320A82">
        <w:rPr>
          <w:rFonts w:ascii="Times New Roman" w:hAnsi="Times New Roman" w:cs="Times New Roman"/>
          <w:sz w:val="24"/>
          <w:szCs w:val="24"/>
        </w:rPr>
        <w:t xml:space="preserve">buy and hold benchmark.  We believe that such strategies would be </w:t>
      </w:r>
      <w:r w:rsidR="00D8388F">
        <w:rPr>
          <w:rFonts w:ascii="Times New Roman" w:hAnsi="Times New Roman" w:cs="Times New Roman"/>
          <w:sz w:val="24"/>
          <w:szCs w:val="24"/>
        </w:rPr>
        <w:t>ideal for risk averse investors</w:t>
      </w:r>
      <w:r w:rsidR="008934FB" w:rsidRPr="00320A82">
        <w:rPr>
          <w:rFonts w:ascii="Times New Roman" w:hAnsi="Times New Roman" w:cs="Times New Roman"/>
          <w:sz w:val="24"/>
          <w:szCs w:val="24"/>
        </w:rPr>
        <w:t xml:space="preserve"> and perhaps particular</w:t>
      </w:r>
      <w:r w:rsidR="00D8388F">
        <w:rPr>
          <w:rFonts w:ascii="Times New Roman" w:hAnsi="Times New Roman" w:cs="Times New Roman"/>
          <w:sz w:val="24"/>
          <w:szCs w:val="24"/>
        </w:rPr>
        <w:t>ly</w:t>
      </w:r>
      <w:r w:rsidR="008934FB" w:rsidRPr="00320A82">
        <w:rPr>
          <w:rFonts w:ascii="Times New Roman" w:hAnsi="Times New Roman" w:cs="Times New Roman"/>
          <w:sz w:val="24"/>
          <w:szCs w:val="24"/>
        </w:rPr>
        <w:t xml:space="preserve"> for investors in the final years of saving for retirement, or in drawdown, where a drawdown could have a </w:t>
      </w:r>
      <w:r w:rsidR="008934FB" w:rsidRPr="00474F34">
        <w:rPr>
          <w:rFonts w:ascii="Times New Roman" w:hAnsi="Times New Roman" w:cs="Times New Roman"/>
          <w:sz w:val="24"/>
          <w:szCs w:val="24"/>
        </w:rPr>
        <w:t>significant impact on their retirement income.</w:t>
      </w:r>
      <w:r w:rsidR="00E91D38" w:rsidRPr="00474F34">
        <w:rPr>
          <w:rFonts w:ascii="Times New Roman" w:hAnsi="Times New Roman" w:cs="Times New Roman"/>
          <w:sz w:val="24"/>
          <w:szCs w:val="24"/>
        </w:rPr>
        <w:t xml:space="preserve"> </w:t>
      </w:r>
      <w:r w:rsidR="00E801F1" w:rsidRPr="00474F34">
        <w:rPr>
          <w:rFonts w:ascii="Times New Roman" w:hAnsi="Times New Roman" w:cs="Times New Roman"/>
          <w:sz w:val="24"/>
          <w:szCs w:val="24"/>
        </w:rPr>
        <w:t xml:space="preserve">These techniques minimise </w:t>
      </w:r>
      <w:r w:rsidR="00E801F1" w:rsidRPr="00474F34">
        <w:rPr>
          <w:rFonts w:ascii="Times New Roman" w:hAnsi="Times New Roman" w:cs="Times New Roman"/>
          <w:i/>
          <w:sz w:val="24"/>
          <w:szCs w:val="24"/>
        </w:rPr>
        <w:t>sequencing risk</w:t>
      </w:r>
      <w:r w:rsidR="00E801F1" w:rsidRPr="00474F34">
        <w:rPr>
          <w:rFonts w:ascii="Times New Roman" w:hAnsi="Times New Roman" w:cs="Times New Roman"/>
          <w:sz w:val="24"/>
          <w:szCs w:val="24"/>
        </w:rPr>
        <w:t>.</w:t>
      </w:r>
    </w:p>
    <w:p w:rsidR="005E0EC9" w:rsidRPr="00320A82" w:rsidRDefault="005E0EC9" w:rsidP="001212DF">
      <w:pPr>
        <w:spacing w:after="0" w:line="360" w:lineRule="auto"/>
        <w:jc w:val="both"/>
        <w:rPr>
          <w:rFonts w:ascii="Times New Roman" w:hAnsi="Times New Roman" w:cs="Times New Roman"/>
          <w:sz w:val="24"/>
          <w:szCs w:val="24"/>
          <w:u w:val="single"/>
        </w:rPr>
      </w:pPr>
    </w:p>
    <w:p w:rsidR="005E0EC9" w:rsidRPr="00320A82" w:rsidRDefault="007108D8" w:rsidP="00B066CF">
      <w:pPr>
        <w:spacing w:after="0" w:line="360" w:lineRule="auto"/>
        <w:ind w:firstLine="360"/>
        <w:jc w:val="both"/>
        <w:rPr>
          <w:rFonts w:ascii="Times New Roman" w:hAnsi="Times New Roman" w:cs="Times New Roman"/>
          <w:sz w:val="24"/>
          <w:szCs w:val="24"/>
        </w:rPr>
      </w:pPr>
      <w:r w:rsidRPr="00320A82">
        <w:rPr>
          <w:rFonts w:ascii="Times New Roman" w:hAnsi="Times New Roman" w:cs="Times New Roman"/>
          <w:sz w:val="24"/>
          <w:szCs w:val="24"/>
        </w:rPr>
        <w:t xml:space="preserve">The rest of this paper is organised as follows: in </w:t>
      </w:r>
      <w:r w:rsidR="00261595" w:rsidRPr="00320A82">
        <w:rPr>
          <w:rFonts w:ascii="Times New Roman" w:hAnsi="Times New Roman" w:cs="Times New Roman"/>
          <w:sz w:val="24"/>
          <w:szCs w:val="24"/>
        </w:rPr>
        <w:t>Section 2</w:t>
      </w:r>
      <w:r w:rsidR="005E0EC9" w:rsidRPr="00320A82">
        <w:rPr>
          <w:rFonts w:ascii="Times New Roman" w:hAnsi="Times New Roman" w:cs="Times New Roman"/>
          <w:sz w:val="24"/>
          <w:szCs w:val="24"/>
        </w:rPr>
        <w:t xml:space="preserve"> we present our data; in Section 3 we present our main results and the methodologies used to produce them; in Section 4 we show how the results in Section 3 can inform a flexible asset allocation strategy; in Section 5 we consider whether the results </w:t>
      </w:r>
      <w:r w:rsidR="00EA69D5" w:rsidRPr="00320A82">
        <w:rPr>
          <w:rFonts w:ascii="Times New Roman" w:hAnsi="Times New Roman" w:cs="Times New Roman"/>
          <w:sz w:val="24"/>
          <w:szCs w:val="24"/>
        </w:rPr>
        <w:t xml:space="preserve">from some of the key rules-based approaches can be attributed to exposures to </w:t>
      </w:r>
      <w:r w:rsidR="00AE5293" w:rsidRPr="00320A82">
        <w:rPr>
          <w:rFonts w:ascii="Times New Roman" w:hAnsi="Times New Roman" w:cs="Times New Roman"/>
          <w:sz w:val="24"/>
          <w:szCs w:val="24"/>
        </w:rPr>
        <w:t xml:space="preserve">known risk factors; </w:t>
      </w:r>
      <w:r w:rsidR="00224724">
        <w:rPr>
          <w:rFonts w:ascii="Times New Roman" w:hAnsi="Times New Roman" w:cs="Times New Roman"/>
          <w:sz w:val="24"/>
          <w:szCs w:val="24"/>
        </w:rPr>
        <w:t>in Section 6 we provide a ranking of the strategies based on the utility function of a representative investor and finally, Section 7</w:t>
      </w:r>
      <w:r w:rsidR="00AE5293" w:rsidRPr="00320A82">
        <w:rPr>
          <w:rFonts w:ascii="Times New Roman" w:hAnsi="Times New Roman" w:cs="Times New Roman"/>
          <w:sz w:val="24"/>
          <w:szCs w:val="24"/>
        </w:rPr>
        <w:t xml:space="preserve"> concludes the paper.</w:t>
      </w:r>
      <w:r w:rsidR="00EA69D5" w:rsidRPr="00320A82">
        <w:rPr>
          <w:rFonts w:ascii="Times New Roman" w:hAnsi="Times New Roman" w:cs="Times New Roman"/>
          <w:sz w:val="24"/>
          <w:szCs w:val="24"/>
        </w:rPr>
        <w:t xml:space="preserve"> </w:t>
      </w:r>
    </w:p>
    <w:p w:rsidR="005E0EC9" w:rsidRPr="00320A82" w:rsidRDefault="005E0EC9" w:rsidP="001212DF">
      <w:pPr>
        <w:spacing w:after="0" w:line="360" w:lineRule="auto"/>
        <w:jc w:val="both"/>
        <w:rPr>
          <w:rFonts w:ascii="Times New Roman" w:hAnsi="Times New Roman" w:cs="Times New Roman"/>
          <w:sz w:val="24"/>
          <w:szCs w:val="24"/>
          <w:u w:val="single"/>
        </w:rPr>
      </w:pPr>
    </w:p>
    <w:p w:rsidR="005C5CFE" w:rsidRPr="008962C9" w:rsidRDefault="00624B0F" w:rsidP="008962C9">
      <w:pPr>
        <w:pStyle w:val="ListParagraph"/>
        <w:numPr>
          <w:ilvl w:val="0"/>
          <w:numId w:val="3"/>
        </w:numPr>
        <w:spacing w:after="0" w:line="360" w:lineRule="auto"/>
        <w:jc w:val="both"/>
        <w:rPr>
          <w:rFonts w:ascii="Times New Roman" w:hAnsi="Times New Roman" w:cs="Times New Roman"/>
          <w:b/>
          <w:sz w:val="24"/>
          <w:szCs w:val="24"/>
        </w:rPr>
      </w:pPr>
      <w:r w:rsidRPr="008962C9">
        <w:rPr>
          <w:rFonts w:ascii="Times New Roman" w:hAnsi="Times New Roman" w:cs="Times New Roman"/>
          <w:b/>
          <w:sz w:val="24"/>
          <w:szCs w:val="24"/>
        </w:rPr>
        <w:t xml:space="preserve">Data </w:t>
      </w:r>
      <w:r w:rsidR="008962C9" w:rsidRPr="008962C9">
        <w:rPr>
          <w:rFonts w:ascii="Times New Roman" w:hAnsi="Times New Roman" w:cs="Times New Roman"/>
          <w:b/>
          <w:sz w:val="24"/>
          <w:szCs w:val="24"/>
        </w:rPr>
        <w:t>and Methodology</w:t>
      </w:r>
    </w:p>
    <w:p w:rsidR="008962C9" w:rsidRPr="001D31C5" w:rsidRDefault="008962C9" w:rsidP="001D31C5">
      <w:pPr>
        <w:spacing w:after="0" w:line="360" w:lineRule="auto"/>
        <w:ind w:left="360"/>
        <w:jc w:val="both"/>
        <w:rPr>
          <w:rFonts w:ascii="Times New Roman" w:hAnsi="Times New Roman" w:cs="Times New Roman"/>
          <w:i/>
          <w:sz w:val="24"/>
          <w:szCs w:val="24"/>
        </w:rPr>
      </w:pPr>
      <w:r w:rsidRPr="001D31C5">
        <w:rPr>
          <w:rFonts w:ascii="Times New Roman" w:hAnsi="Times New Roman" w:cs="Times New Roman"/>
          <w:i/>
          <w:sz w:val="24"/>
          <w:szCs w:val="24"/>
        </w:rPr>
        <w:t>2.1 Data</w:t>
      </w:r>
    </w:p>
    <w:p w:rsidR="00EE7FAC" w:rsidRDefault="00AE5293" w:rsidP="006C3B97">
      <w:pPr>
        <w:spacing w:after="0" w:line="360" w:lineRule="auto"/>
        <w:jc w:val="both"/>
        <w:rPr>
          <w:rFonts w:ascii="Times New Roman" w:hAnsi="Times New Roman" w:cs="Times New Roman"/>
          <w:sz w:val="24"/>
          <w:szCs w:val="24"/>
        </w:rPr>
      </w:pPr>
      <w:r w:rsidRPr="00320A82">
        <w:rPr>
          <w:rFonts w:ascii="Times New Roman" w:hAnsi="Times New Roman" w:cs="Times New Roman"/>
          <w:sz w:val="24"/>
          <w:szCs w:val="24"/>
        </w:rPr>
        <w:t xml:space="preserve">To investigate the possible value in risk parity, momentum and trend following approaches to asset allocation we consider </w:t>
      </w:r>
      <w:r w:rsidR="002D35D3" w:rsidRPr="00320A82">
        <w:rPr>
          <w:rFonts w:ascii="Times New Roman" w:hAnsi="Times New Roman" w:cs="Times New Roman"/>
          <w:sz w:val="24"/>
          <w:szCs w:val="24"/>
        </w:rPr>
        <w:t>five b</w:t>
      </w:r>
      <w:r w:rsidR="005C5CFE" w:rsidRPr="00320A82">
        <w:rPr>
          <w:rFonts w:ascii="Times New Roman" w:hAnsi="Times New Roman" w:cs="Times New Roman"/>
          <w:sz w:val="24"/>
          <w:szCs w:val="24"/>
        </w:rPr>
        <w:t xml:space="preserve">road </w:t>
      </w:r>
      <w:r w:rsidR="002D35D3" w:rsidRPr="00320A82">
        <w:rPr>
          <w:rFonts w:ascii="Times New Roman" w:hAnsi="Times New Roman" w:cs="Times New Roman"/>
          <w:sz w:val="24"/>
          <w:szCs w:val="24"/>
        </w:rPr>
        <w:t>m</w:t>
      </w:r>
      <w:r w:rsidR="005C5CFE" w:rsidRPr="00320A82">
        <w:rPr>
          <w:rFonts w:ascii="Times New Roman" w:hAnsi="Times New Roman" w:cs="Times New Roman"/>
          <w:sz w:val="24"/>
          <w:szCs w:val="24"/>
        </w:rPr>
        <w:t xml:space="preserve">arket </w:t>
      </w:r>
      <w:r w:rsidRPr="00320A82">
        <w:rPr>
          <w:rFonts w:ascii="Times New Roman" w:hAnsi="Times New Roman" w:cs="Times New Roman"/>
          <w:sz w:val="24"/>
          <w:szCs w:val="24"/>
        </w:rPr>
        <w:t>asset classes as</w:t>
      </w:r>
      <w:r w:rsidR="00D8388F">
        <w:rPr>
          <w:rFonts w:ascii="Times New Roman" w:hAnsi="Times New Roman" w:cs="Times New Roman"/>
          <w:sz w:val="24"/>
          <w:szCs w:val="24"/>
        </w:rPr>
        <w:t xml:space="preserve"> represented by well-</w:t>
      </w:r>
      <w:r w:rsidRPr="00320A82">
        <w:rPr>
          <w:rFonts w:ascii="Times New Roman" w:hAnsi="Times New Roman" w:cs="Times New Roman"/>
          <w:sz w:val="24"/>
          <w:szCs w:val="24"/>
        </w:rPr>
        <w:t xml:space="preserve">known financial market indices.  These </w:t>
      </w:r>
      <w:r w:rsidR="00C46F24" w:rsidRPr="00320A82">
        <w:rPr>
          <w:rFonts w:ascii="Times New Roman" w:hAnsi="Times New Roman" w:cs="Times New Roman"/>
          <w:sz w:val="24"/>
          <w:szCs w:val="24"/>
        </w:rPr>
        <w:t>five</w:t>
      </w:r>
      <w:r w:rsidR="005C5CFE" w:rsidRPr="00320A82">
        <w:rPr>
          <w:rFonts w:ascii="Times New Roman" w:hAnsi="Times New Roman" w:cs="Times New Roman"/>
          <w:sz w:val="24"/>
          <w:szCs w:val="24"/>
        </w:rPr>
        <w:t xml:space="preserve"> major asset classes</w:t>
      </w:r>
      <w:r w:rsidRPr="00320A82">
        <w:rPr>
          <w:rFonts w:ascii="Times New Roman" w:hAnsi="Times New Roman" w:cs="Times New Roman"/>
          <w:sz w:val="24"/>
          <w:szCs w:val="24"/>
        </w:rPr>
        <w:t xml:space="preserve"> are</w:t>
      </w:r>
      <w:r w:rsidR="005C5CFE" w:rsidRPr="00320A82">
        <w:rPr>
          <w:rFonts w:ascii="Times New Roman" w:hAnsi="Times New Roman" w:cs="Times New Roman"/>
          <w:sz w:val="24"/>
          <w:szCs w:val="24"/>
        </w:rPr>
        <w:t xml:space="preserve">: developed </w:t>
      </w:r>
      <w:r w:rsidRPr="00320A82">
        <w:rPr>
          <w:rFonts w:ascii="Times New Roman" w:hAnsi="Times New Roman" w:cs="Times New Roman"/>
          <w:sz w:val="24"/>
          <w:szCs w:val="24"/>
        </w:rPr>
        <w:t xml:space="preserve">economy </w:t>
      </w:r>
      <w:r w:rsidR="005C5CFE" w:rsidRPr="00320A82">
        <w:rPr>
          <w:rFonts w:ascii="Times New Roman" w:hAnsi="Times New Roman" w:cs="Times New Roman"/>
          <w:sz w:val="24"/>
          <w:szCs w:val="24"/>
        </w:rPr>
        <w:t>equit</w:t>
      </w:r>
      <w:r w:rsidRPr="00320A82">
        <w:rPr>
          <w:rFonts w:ascii="Times New Roman" w:hAnsi="Times New Roman" w:cs="Times New Roman"/>
          <w:sz w:val="24"/>
          <w:szCs w:val="24"/>
        </w:rPr>
        <w:t>ies (MSCI World)</w:t>
      </w:r>
      <w:r w:rsidR="005C5CFE" w:rsidRPr="00320A82">
        <w:rPr>
          <w:rFonts w:ascii="Times New Roman" w:hAnsi="Times New Roman" w:cs="Times New Roman"/>
          <w:sz w:val="24"/>
          <w:szCs w:val="24"/>
        </w:rPr>
        <w:t xml:space="preserve">, emerging </w:t>
      </w:r>
      <w:r w:rsidRPr="00320A82">
        <w:rPr>
          <w:rFonts w:ascii="Times New Roman" w:hAnsi="Times New Roman" w:cs="Times New Roman"/>
          <w:sz w:val="24"/>
          <w:szCs w:val="24"/>
        </w:rPr>
        <w:t xml:space="preserve">market </w:t>
      </w:r>
      <w:r w:rsidR="005C5CFE" w:rsidRPr="00320A82">
        <w:rPr>
          <w:rFonts w:ascii="Times New Roman" w:hAnsi="Times New Roman" w:cs="Times New Roman"/>
          <w:sz w:val="24"/>
          <w:szCs w:val="24"/>
        </w:rPr>
        <w:t>equit</w:t>
      </w:r>
      <w:r w:rsidRPr="00320A82">
        <w:rPr>
          <w:rFonts w:ascii="Times New Roman" w:hAnsi="Times New Roman" w:cs="Times New Roman"/>
          <w:sz w:val="24"/>
          <w:szCs w:val="24"/>
        </w:rPr>
        <w:t>ies (MSCI Emerging Markets)</w:t>
      </w:r>
      <w:r w:rsidR="005C5CFE"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government </w:t>
      </w:r>
      <w:r w:rsidR="005C5CFE" w:rsidRPr="00320A82">
        <w:rPr>
          <w:rFonts w:ascii="Times New Roman" w:hAnsi="Times New Roman" w:cs="Times New Roman"/>
          <w:sz w:val="24"/>
          <w:szCs w:val="24"/>
        </w:rPr>
        <w:t>bonds</w:t>
      </w:r>
      <w:r w:rsidRPr="00320A82">
        <w:rPr>
          <w:rFonts w:ascii="Times New Roman" w:hAnsi="Times New Roman" w:cs="Times New Roman"/>
          <w:sz w:val="24"/>
          <w:szCs w:val="24"/>
        </w:rPr>
        <w:t xml:space="preserve"> (Citigroup World Government Bond Index)</w:t>
      </w:r>
      <w:r w:rsidR="005C5CFE" w:rsidRPr="00320A82">
        <w:rPr>
          <w:rFonts w:ascii="Times New Roman" w:hAnsi="Times New Roman" w:cs="Times New Roman"/>
          <w:sz w:val="24"/>
          <w:szCs w:val="24"/>
        </w:rPr>
        <w:t>, commodities</w:t>
      </w:r>
      <w:r w:rsidR="00355C7E" w:rsidRPr="00320A82">
        <w:rPr>
          <w:rFonts w:ascii="Times New Roman" w:hAnsi="Times New Roman" w:cs="Times New Roman"/>
          <w:sz w:val="24"/>
          <w:szCs w:val="24"/>
        </w:rPr>
        <w:t xml:space="preserve"> (DJ-UBS Commodity Index)</w:t>
      </w:r>
      <w:r w:rsidR="005C5CFE" w:rsidRPr="00320A82">
        <w:rPr>
          <w:rFonts w:ascii="Times New Roman" w:hAnsi="Times New Roman" w:cs="Times New Roman"/>
          <w:sz w:val="24"/>
          <w:szCs w:val="24"/>
        </w:rPr>
        <w:t xml:space="preserve"> and real estate (</w:t>
      </w:r>
      <w:r w:rsidRPr="00320A82">
        <w:rPr>
          <w:rFonts w:ascii="Times New Roman" w:hAnsi="Times New Roman" w:cs="Times New Roman"/>
          <w:sz w:val="24"/>
          <w:szCs w:val="24"/>
        </w:rPr>
        <w:t>FTSE/EPRA Global REIT Index).  The indices representing each of</w:t>
      </w:r>
      <w:r w:rsidR="004623FC" w:rsidRPr="00320A82">
        <w:rPr>
          <w:rFonts w:ascii="Times New Roman" w:hAnsi="Times New Roman" w:cs="Times New Roman"/>
          <w:sz w:val="24"/>
          <w:szCs w:val="24"/>
        </w:rPr>
        <w:t xml:space="preserve"> these broad asset classes are</w:t>
      </w:r>
      <w:r w:rsidRPr="00320A82">
        <w:rPr>
          <w:rFonts w:ascii="Times New Roman" w:hAnsi="Times New Roman" w:cs="Times New Roman"/>
          <w:sz w:val="24"/>
          <w:szCs w:val="24"/>
        </w:rPr>
        <w:t xml:space="preserve"> available in a total return format.  </w:t>
      </w:r>
      <w:r w:rsidR="003E1110" w:rsidRPr="00320A82">
        <w:rPr>
          <w:rFonts w:ascii="Times New Roman" w:hAnsi="Times New Roman" w:cs="Times New Roman"/>
          <w:sz w:val="24"/>
          <w:szCs w:val="24"/>
        </w:rPr>
        <w:t xml:space="preserve">Basic descriptive statistics of these indices are presented in panel A of Table 1.  </w:t>
      </w:r>
    </w:p>
    <w:p w:rsidR="00EE7FAC" w:rsidRDefault="00EE7FAC" w:rsidP="006C3B97">
      <w:pPr>
        <w:spacing w:after="0" w:line="360" w:lineRule="auto"/>
        <w:jc w:val="both"/>
        <w:rPr>
          <w:rFonts w:ascii="Times New Roman" w:hAnsi="Times New Roman" w:cs="Times New Roman"/>
          <w:sz w:val="24"/>
          <w:szCs w:val="24"/>
        </w:rPr>
      </w:pPr>
    </w:p>
    <w:p w:rsidR="00EE7FAC" w:rsidRDefault="003E1110" w:rsidP="00EE7FAC">
      <w:pPr>
        <w:spacing w:after="0" w:line="360" w:lineRule="auto"/>
        <w:ind w:firstLine="360"/>
        <w:jc w:val="both"/>
        <w:rPr>
          <w:rFonts w:ascii="Times New Roman" w:hAnsi="Times New Roman" w:cs="Times New Roman"/>
          <w:sz w:val="24"/>
          <w:szCs w:val="24"/>
        </w:rPr>
      </w:pPr>
      <w:r w:rsidRPr="00320A82">
        <w:rPr>
          <w:rFonts w:ascii="Times New Roman" w:hAnsi="Times New Roman" w:cs="Times New Roman"/>
          <w:sz w:val="24"/>
          <w:szCs w:val="24"/>
        </w:rPr>
        <w:lastRenderedPageBreak/>
        <w:t>In addition to using these broad financial market indices, f</w:t>
      </w:r>
      <w:r w:rsidR="002D35D3" w:rsidRPr="00320A82">
        <w:rPr>
          <w:rFonts w:ascii="Times New Roman" w:hAnsi="Times New Roman" w:cs="Times New Roman"/>
          <w:sz w:val="24"/>
          <w:szCs w:val="24"/>
        </w:rPr>
        <w:t xml:space="preserve">or each </w:t>
      </w:r>
      <w:r w:rsidR="00AE5293" w:rsidRPr="00320A82">
        <w:rPr>
          <w:rFonts w:ascii="Times New Roman" w:hAnsi="Times New Roman" w:cs="Times New Roman"/>
          <w:sz w:val="24"/>
          <w:szCs w:val="24"/>
        </w:rPr>
        <w:t xml:space="preserve">of these </w:t>
      </w:r>
      <w:r w:rsidR="002D35D3" w:rsidRPr="00320A82">
        <w:rPr>
          <w:rFonts w:ascii="Times New Roman" w:hAnsi="Times New Roman" w:cs="Times New Roman"/>
          <w:sz w:val="24"/>
          <w:szCs w:val="24"/>
        </w:rPr>
        <w:t>asset class</w:t>
      </w:r>
      <w:r w:rsidR="00AE5293" w:rsidRPr="00320A82">
        <w:rPr>
          <w:rFonts w:ascii="Times New Roman" w:hAnsi="Times New Roman" w:cs="Times New Roman"/>
          <w:sz w:val="24"/>
          <w:szCs w:val="24"/>
        </w:rPr>
        <w:t>es</w:t>
      </w:r>
      <w:r w:rsidR="002D35D3" w:rsidRPr="00320A82">
        <w:rPr>
          <w:rFonts w:ascii="Times New Roman" w:hAnsi="Times New Roman" w:cs="Times New Roman"/>
          <w:sz w:val="24"/>
          <w:szCs w:val="24"/>
        </w:rPr>
        <w:t xml:space="preserve"> we also </w:t>
      </w:r>
      <w:r w:rsidR="00AE5293" w:rsidRPr="00320A82">
        <w:rPr>
          <w:rFonts w:ascii="Times New Roman" w:hAnsi="Times New Roman" w:cs="Times New Roman"/>
          <w:sz w:val="24"/>
          <w:szCs w:val="24"/>
        </w:rPr>
        <w:t xml:space="preserve">collected </w:t>
      </w:r>
      <w:r w:rsidR="002D35D3" w:rsidRPr="00320A82">
        <w:rPr>
          <w:rFonts w:ascii="Times New Roman" w:hAnsi="Times New Roman" w:cs="Times New Roman"/>
          <w:sz w:val="24"/>
          <w:szCs w:val="24"/>
        </w:rPr>
        <w:t>individual</w:t>
      </w:r>
      <w:r w:rsidR="00AE5293" w:rsidRPr="00320A82">
        <w:rPr>
          <w:rFonts w:ascii="Times New Roman" w:hAnsi="Times New Roman" w:cs="Times New Roman"/>
          <w:sz w:val="24"/>
          <w:szCs w:val="24"/>
        </w:rPr>
        <w:t>,</w:t>
      </w:r>
      <w:r w:rsidR="002D35D3" w:rsidRPr="00320A82">
        <w:rPr>
          <w:rFonts w:ascii="Times New Roman" w:hAnsi="Times New Roman" w:cs="Times New Roman"/>
          <w:sz w:val="24"/>
          <w:szCs w:val="24"/>
        </w:rPr>
        <w:t xml:space="preserve"> countr</w:t>
      </w:r>
      <w:r w:rsidR="00C46F24" w:rsidRPr="00320A82">
        <w:rPr>
          <w:rFonts w:ascii="Times New Roman" w:hAnsi="Times New Roman" w:cs="Times New Roman"/>
          <w:sz w:val="24"/>
          <w:szCs w:val="24"/>
        </w:rPr>
        <w:t xml:space="preserve">y level </w:t>
      </w:r>
      <w:r w:rsidR="00AE5293" w:rsidRPr="00320A82">
        <w:rPr>
          <w:rFonts w:ascii="Times New Roman" w:hAnsi="Times New Roman" w:cs="Times New Roman"/>
          <w:sz w:val="24"/>
          <w:szCs w:val="24"/>
        </w:rPr>
        <w:t xml:space="preserve">index </w:t>
      </w:r>
      <w:r w:rsidR="00C46F24" w:rsidRPr="00320A82">
        <w:rPr>
          <w:rFonts w:ascii="Times New Roman" w:hAnsi="Times New Roman" w:cs="Times New Roman"/>
          <w:sz w:val="24"/>
          <w:szCs w:val="24"/>
        </w:rPr>
        <w:t xml:space="preserve">data </w:t>
      </w:r>
      <w:r w:rsidR="002D35D3" w:rsidRPr="00320A82">
        <w:rPr>
          <w:rFonts w:ascii="Times New Roman" w:hAnsi="Times New Roman" w:cs="Times New Roman"/>
          <w:sz w:val="24"/>
          <w:szCs w:val="24"/>
        </w:rPr>
        <w:t>or</w:t>
      </w:r>
      <w:r w:rsidR="00AE5293" w:rsidRPr="00320A82">
        <w:rPr>
          <w:rFonts w:ascii="Times New Roman" w:hAnsi="Times New Roman" w:cs="Times New Roman"/>
          <w:sz w:val="24"/>
          <w:szCs w:val="24"/>
        </w:rPr>
        <w:t xml:space="preserve">, in the case of commodities, </w:t>
      </w:r>
      <w:r w:rsidR="00C46F24" w:rsidRPr="00320A82">
        <w:rPr>
          <w:rFonts w:ascii="Times New Roman" w:hAnsi="Times New Roman" w:cs="Times New Roman"/>
          <w:sz w:val="24"/>
          <w:szCs w:val="24"/>
        </w:rPr>
        <w:t xml:space="preserve">data on </w:t>
      </w:r>
      <w:r w:rsidR="002D35D3" w:rsidRPr="00320A82">
        <w:rPr>
          <w:rFonts w:ascii="Times New Roman" w:hAnsi="Times New Roman" w:cs="Times New Roman"/>
          <w:sz w:val="24"/>
          <w:szCs w:val="24"/>
        </w:rPr>
        <w:t>individual commodities</w:t>
      </w:r>
      <w:r w:rsidR="00AE5293" w:rsidRPr="00320A82">
        <w:rPr>
          <w:rFonts w:ascii="Times New Roman" w:hAnsi="Times New Roman" w:cs="Times New Roman"/>
          <w:sz w:val="24"/>
          <w:szCs w:val="24"/>
        </w:rPr>
        <w:t>.  These sub-components of the main asset classes are also available in total return terms</w:t>
      </w:r>
      <w:r w:rsidRPr="00320A82">
        <w:rPr>
          <w:rFonts w:ascii="Times New Roman" w:hAnsi="Times New Roman" w:cs="Times New Roman"/>
          <w:sz w:val="24"/>
          <w:szCs w:val="24"/>
        </w:rPr>
        <w:t xml:space="preserve">.  We collected both sets of data to see whether the rules that we explore here are best applied at the higher asset class level, or whether applying them at a more disaggregated manner should be preferred.    </w:t>
      </w:r>
    </w:p>
    <w:p w:rsidR="00EE7FAC" w:rsidRDefault="00EE7FAC" w:rsidP="006C3B97">
      <w:pPr>
        <w:spacing w:after="0" w:line="360" w:lineRule="auto"/>
        <w:jc w:val="both"/>
        <w:rPr>
          <w:rFonts w:ascii="Times New Roman" w:hAnsi="Times New Roman" w:cs="Times New Roman"/>
          <w:sz w:val="24"/>
          <w:szCs w:val="24"/>
        </w:rPr>
      </w:pPr>
    </w:p>
    <w:p w:rsidR="00EE7FAC" w:rsidRDefault="003E1110" w:rsidP="00EE7FAC">
      <w:pPr>
        <w:spacing w:after="0" w:line="360" w:lineRule="auto"/>
        <w:ind w:firstLine="360"/>
        <w:jc w:val="both"/>
        <w:rPr>
          <w:rFonts w:ascii="Times New Roman" w:hAnsi="Times New Roman" w:cs="Times New Roman"/>
          <w:sz w:val="24"/>
          <w:szCs w:val="24"/>
        </w:rPr>
      </w:pPr>
      <w:r w:rsidRPr="00320A82">
        <w:rPr>
          <w:rFonts w:ascii="Times New Roman" w:hAnsi="Times New Roman" w:cs="Times New Roman"/>
          <w:sz w:val="24"/>
          <w:szCs w:val="24"/>
        </w:rPr>
        <w:t xml:space="preserve">The developed economy equity market indices that we collected were all produced by MSCI.  They are the country level MSCI indices for: Austria, Belgium, Denmark, Finland, France, Germany, Greece, Ireland, Israel, Italy, Netherlands, Norway, Portugal, Spain, Sweden, Switzerland, United Kingdom, Canada, United States, Australia, Hong Kong, Japan, New Zealand and Singapore.  We collected equivalent MSCI indices for a set of emerging economy equity indices, which included indices for: Brazil, Chile, Colombia, Mexico, Peru, Poland, South Africa, Turkey, China, India, Indonesia, Korea, Malaysia, Philippines, Taiwan and Thailand.  </w:t>
      </w:r>
    </w:p>
    <w:p w:rsidR="00EE7FAC" w:rsidRDefault="00EE7FAC" w:rsidP="00EE7FAC">
      <w:pPr>
        <w:spacing w:after="0" w:line="360" w:lineRule="auto"/>
        <w:ind w:firstLine="360"/>
        <w:jc w:val="both"/>
        <w:rPr>
          <w:rFonts w:ascii="Times New Roman" w:hAnsi="Times New Roman" w:cs="Times New Roman"/>
          <w:sz w:val="24"/>
          <w:szCs w:val="24"/>
        </w:rPr>
      </w:pPr>
    </w:p>
    <w:p w:rsidR="00EE7FAC" w:rsidRDefault="003E1110" w:rsidP="00EE7FAC">
      <w:pPr>
        <w:spacing w:after="0" w:line="360" w:lineRule="auto"/>
        <w:ind w:firstLine="360"/>
        <w:jc w:val="both"/>
        <w:rPr>
          <w:rFonts w:ascii="Times New Roman" w:hAnsi="Times New Roman" w:cs="Times New Roman"/>
          <w:sz w:val="24"/>
          <w:szCs w:val="24"/>
        </w:rPr>
      </w:pPr>
      <w:r w:rsidRPr="00320A82">
        <w:rPr>
          <w:rFonts w:ascii="Times New Roman" w:hAnsi="Times New Roman" w:cs="Times New Roman"/>
          <w:sz w:val="24"/>
          <w:szCs w:val="24"/>
        </w:rPr>
        <w:t>We collected country level government bond indices</w:t>
      </w:r>
      <w:r w:rsidR="006C3B97" w:rsidRPr="00320A82">
        <w:rPr>
          <w:rFonts w:ascii="Times New Roman" w:hAnsi="Times New Roman" w:cs="Times New Roman"/>
          <w:sz w:val="24"/>
          <w:szCs w:val="24"/>
        </w:rPr>
        <w:t>, produced by Thomson Financial,</w:t>
      </w:r>
      <w:r w:rsidRPr="00320A82">
        <w:rPr>
          <w:rFonts w:ascii="Times New Roman" w:hAnsi="Times New Roman" w:cs="Times New Roman"/>
          <w:sz w:val="24"/>
          <w:szCs w:val="24"/>
        </w:rPr>
        <w:t xml:space="preserve"> for</w:t>
      </w:r>
      <w:r w:rsidR="006C3B97" w:rsidRPr="00320A82">
        <w:rPr>
          <w:rFonts w:ascii="Times New Roman" w:hAnsi="Times New Roman" w:cs="Times New Roman"/>
          <w:sz w:val="24"/>
          <w:szCs w:val="24"/>
        </w:rPr>
        <w:t xml:space="preserve"> the following countries: Australia, Germany, Canada, France, Ireland, Japan, Netherlands, Austria, Sweden, Switzerland, United Kingdom, United States, Denmark, Belgium, Spain, Italy, New Zealand, Finland and Norway.  </w:t>
      </w:r>
    </w:p>
    <w:p w:rsidR="00EE7FAC" w:rsidRDefault="00EE7FAC" w:rsidP="00EE7FAC">
      <w:pPr>
        <w:spacing w:after="0" w:line="360" w:lineRule="auto"/>
        <w:ind w:firstLine="360"/>
        <w:jc w:val="both"/>
        <w:rPr>
          <w:rFonts w:ascii="Times New Roman" w:hAnsi="Times New Roman" w:cs="Times New Roman"/>
          <w:sz w:val="24"/>
          <w:szCs w:val="24"/>
        </w:rPr>
      </w:pPr>
    </w:p>
    <w:p w:rsidR="00EE7FAC" w:rsidRDefault="006C3B97" w:rsidP="00EE7FAC">
      <w:pPr>
        <w:spacing w:after="0" w:line="360" w:lineRule="auto"/>
        <w:ind w:firstLine="360"/>
        <w:jc w:val="both"/>
        <w:rPr>
          <w:rFonts w:ascii="Times New Roman" w:hAnsi="Times New Roman" w:cs="Times New Roman"/>
          <w:sz w:val="24"/>
          <w:szCs w:val="24"/>
        </w:rPr>
      </w:pPr>
      <w:r w:rsidRPr="00320A82">
        <w:rPr>
          <w:rFonts w:ascii="Times New Roman" w:hAnsi="Times New Roman" w:cs="Times New Roman"/>
          <w:sz w:val="24"/>
          <w:szCs w:val="24"/>
        </w:rPr>
        <w:t>We collected a set of commodity indices produced by DJ-UBS indices which included those representing the following commodities: Aluminium, Coffee, Copper, Corn, Cotton, Crude Oil (WTI), Gold, Heating Oil, Lean Hogs, Live Cattle, Natural Gas, Nickel, Silver, Soybeans, Soybean Oil, Sugar, Unleaded Gas, Wheat, Zinc, Cocoa, Lead, Platinum and Tin.</w:t>
      </w:r>
    </w:p>
    <w:p w:rsidR="00EE7FAC" w:rsidRDefault="006C3B97" w:rsidP="00EE7FAC">
      <w:pPr>
        <w:spacing w:after="0" w:line="360" w:lineRule="auto"/>
        <w:ind w:firstLine="360"/>
        <w:jc w:val="both"/>
        <w:rPr>
          <w:rFonts w:ascii="Times New Roman" w:hAnsi="Times New Roman" w:cs="Times New Roman"/>
          <w:sz w:val="24"/>
          <w:szCs w:val="24"/>
        </w:rPr>
      </w:pPr>
      <w:r w:rsidRPr="00320A82">
        <w:rPr>
          <w:rFonts w:ascii="Times New Roman" w:hAnsi="Times New Roman" w:cs="Times New Roman"/>
          <w:sz w:val="24"/>
          <w:szCs w:val="24"/>
        </w:rPr>
        <w:t xml:space="preserve">  </w:t>
      </w:r>
    </w:p>
    <w:p w:rsidR="006C3B97" w:rsidRPr="00320A82" w:rsidRDefault="006C3B97"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Finally, we collected country level REIT indices produced by FTSE/EPRA for the following countries: Australia, Belgium, France, Germany, Hong Kong, Italy, Japan, Netherlands, Singapore, Sweden, Switzerland, United Kingdom and United States.  In total we collected index total return data on </w:t>
      </w:r>
      <w:r w:rsidR="00C40E76" w:rsidRPr="00320A82">
        <w:rPr>
          <w:rFonts w:ascii="Times New Roman" w:hAnsi="Times New Roman" w:cs="Times New Roman"/>
          <w:sz w:val="24"/>
          <w:szCs w:val="24"/>
        </w:rPr>
        <w:t xml:space="preserve">24 </w:t>
      </w:r>
      <w:r w:rsidRPr="00320A82">
        <w:rPr>
          <w:rFonts w:ascii="Times New Roman" w:hAnsi="Times New Roman" w:cs="Times New Roman"/>
          <w:sz w:val="24"/>
          <w:szCs w:val="24"/>
        </w:rPr>
        <w:t>developed economy market</w:t>
      </w:r>
      <w:r w:rsidR="00C40E76" w:rsidRPr="00320A82">
        <w:rPr>
          <w:rFonts w:ascii="Times New Roman" w:hAnsi="Times New Roman" w:cs="Times New Roman"/>
          <w:sz w:val="24"/>
          <w:szCs w:val="24"/>
        </w:rPr>
        <w:t>s</w:t>
      </w:r>
      <w:r w:rsidRPr="00320A82">
        <w:rPr>
          <w:rFonts w:ascii="Times New Roman" w:hAnsi="Times New Roman" w:cs="Times New Roman"/>
          <w:sz w:val="24"/>
          <w:szCs w:val="24"/>
        </w:rPr>
        <w:t xml:space="preserve">, </w:t>
      </w:r>
      <w:r w:rsidR="00C40E76" w:rsidRPr="00320A82">
        <w:rPr>
          <w:rFonts w:ascii="Times New Roman" w:hAnsi="Times New Roman" w:cs="Times New Roman"/>
          <w:sz w:val="24"/>
          <w:szCs w:val="24"/>
        </w:rPr>
        <w:t>16 emerging</w:t>
      </w:r>
      <w:r w:rsidRPr="00320A82">
        <w:rPr>
          <w:rFonts w:ascii="Times New Roman" w:hAnsi="Times New Roman" w:cs="Times New Roman"/>
          <w:sz w:val="24"/>
          <w:szCs w:val="24"/>
        </w:rPr>
        <w:t xml:space="preserve"> economy equity markets, </w:t>
      </w:r>
      <w:r w:rsidR="00C40E76" w:rsidRPr="00320A82">
        <w:rPr>
          <w:rFonts w:ascii="Times New Roman" w:hAnsi="Times New Roman" w:cs="Times New Roman"/>
          <w:sz w:val="24"/>
          <w:szCs w:val="24"/>
        </w:rPr>
        <w:t xml:space="preserve">19 </w:t>
      </w:r>
      <w:r w:rsidRPr="00320A82">
        <w:rPr>
          <w:rFonts w:ascii="Times New Roman" w:hAnsi="Times New Roman" w:cs="Times New Roman"/>
          <w:sz w:val="24"/>
          <w:szCs w:val="24"/>
        </w:rPr>
        <w:t xml:space="preserve">government bond markets, </w:t>
      </w:r>
      <w:r w:rsidR="00C40E76" w:rsidRPr="00320A82">
        <w:rPr>
          <w:rFonts w:ascii="Times New Roman" w:hAnsi="Times New Roman" w:cs="Times New Roman"/>
          <w:sz w:val="24"/>
          <w:szCs w:val="24"/>
        </w:rPr>
        <w:t>23</w:t>
      </w:r>
      <w:r w:rsidRPr="00320A82">
        <w:rPr>
          <w:rFonts w:ascii="Times New Roman" w:hAnsi="Times New Roman" w:cs="Times New Roman"/>
          <w:sz w:val="24"/>
          <w:szCs w:val="24"/>
        </w:rPr>
        <w:t xml:space="preserve"> commodities markets and </w:t>
      </w:r>
      <w:r w:rsidR="00C40E76" w:rsidRPr="00320A82">
        <w:rPr>
          <w:rFonts w:ascii="Times New Roman" w:hAnsi="Times New Roman" w:cs="Times New Roman"/>
          <w:sz w:val="24"/>
          <w:szCs w:val="24"/>
        </w:rPr>
        <w:t>13</w:t>
      </w:r>
      <w:r w:rsidRPr="00320A82">
        <w:rPr>
          <w:rFonts w:ascii="Times New Roman" w:hAnsi="Times New Roman" w:cs="Times New Roman"/>
          <w:sz w:val="24"/>
          <w:szCs w:val="24"/>
        </w:rPr>
        <w:t xml:space="preserve"> country level real estate markets.</w:t>
      </w:r>
      <w:r w:rsidR="009A6308" w:rsidRPr="00320A82">
        <w:rPr>
          <w:rFonts w:ascii="Times New Roman" w:hAnsi="Times New Roman" w:cs="Times New Roman"/>
          <w:sz w:val="24"/>
          <w:szCs w:val="24"/>
        </w:rPr>
        <w:t xml:space="preserve">  All index data are end </w:t>
      </w:r>
      <w:r w:rsidR="00C40E76" w:rsidRPr="00320A82">
        <w:rPr>
          <w:rFonts w:ascii="Times New Roman" w:hAnsi="Times New Roman" w:cs="Times New Roman"/>
          <w:sz w:val="24"/>
          <w:szCs w:val="24"/>
        </w:rPr>
        <w:t xml:space="preserve">of </w:t>
      </w:r>
      <w:r w:rsidR="009A6308" w:rsidRPr="00320A82">
        <w:rPr>
          <w:rFonts w:ascii="Times New Roman" w:hAnsi="Times New Roman" w:cs="Times New Roman"/>
          <w:sz w:val="24"/>
          <w:szCs w:val="24"/>
        </w:rPr>
        <w:t xml:space="preserve">month, denominated in US dollars and span the period from January 1993 to </w:t>
      </w:r>
      <w:r w:rsidR="00D8388F">
        <w:rPr>
          <w:rFonts w:ascii="Times New Roman" w:hAnsi="Times New Roman" w:cs="Times New Roman"/>
          <w:sz w:val="24"/>
          <w:szCs w:val="24"/>
        </w:rPr>
        <w:t>March 2015</w:t>
      </w:r>
      <w:r w:rsidR="00C40E76" w:rsidRPr="00320A82">
        <w:rPr>
          <w:rFonts w:ascii="Times New Roman" w:hAnsi="Times New Roman" w:cs="Times New Roman"/>
          <w:sz w:val="24"/>
          <w:szCs w:val="24"/>
        </w:rPr>
        <w:t>.</w:t>
      </w:r>
    </w:p>
    <w:p w:rsidR="00AE5293" w:rsidRPr="00320A82" w:rsidRDefault="00AE5293" w:rsidP="00AE5293">
      <w:pPr>
        <w:spacing w:after="0" w:line="360" w:lineRule="auto"/>
        <w:jc w:val="both"/>
        <w:rPr>
          <w:rFonts w:ascii="Times New Roman" w:hAnsi="Times New Roman" w:cs="Times New Roman"/>
          <w:sz w:val="24"/>
          <w:szCs w:val="24"/>
        </w:rPr>
      </w:pPr>
    </w:p>
    <w:p w:rsidR="009B49C0" w:rsidRDefault="00DA3F15" w:rsidP="00E91D38">
      <w:pPr>
        <w:spacing w:after="0" w:line="360" w:lineRule="auto"/>
        <w:ind w:firstLine="360"/>
        <w:jc w:val="both"/>
        <w:rPr>
          <w:rFonts w:ascii="Times New Roman" w:hAnsi="Times New Roman" w:cs="Times New Roman"/>
          <w:sz w:val="24"/>
          <w:szCs w:val="24"/>
        </w:rPr>
      </w:pPr>
      <w:r w:rsidRPr="00320A82">
        <w:rPr>
          <w:rFonts w:ascii="Times New Roman" w:hAnsi="Times New Roman" w:cs="Times New Roman"/>
          <w:sz w:val="24"/>
          <w:szCs w:val="24"/>
        </w:rPr>
        <w:lastRenderedPageBreak/>
        <w:t xml:space="preserve">We use the indices described above to calculate the monthly returns necessary for both momentum-based and volatility-based rankings, and also for assessing the subsequent performance of each strategy.  The trend following rules are however, based upon price index levels rather than being derived from returns.  The </w:t>
      </w:r>
      <w:proofErr w:type="gramStart"/>
      <w:r w:rsidR="00AE5293" w:rsidRPr="00320A82">
        <w:rPr>
          <w:rFonts w:ascii="Times New Roman" w:hAnsi="Times New Roman" w:cs="Times New Roman"/>
          <w:sz w:val="24"/>
          <w:szCs w:val="24"/>
        </w:rPr>
        <w:t>trend following signals are</w:t>
      </w:r>
      <w:proofErr w:type="gramEnd"/>
      <w:r w:rsidR="00AE5293" w:rsidRPr="00320A82">
        <w:rPr>
          <w:rFonts w:ascii="Times New Roman" w:hAnsi="Times New Roman" w:cs="Times New Roman"/>
          <w:sz w:val="24"/>
          <w:szCs w:val="24"/>
        </w:rPr>
        <w:t xml:space="preserve"> calculated based on </w:t>
      </w:r>
      <w:r w:rsidRPr="00320A82">
        <w:rPr>
          <w:rFonts w:ascii="Times New Roman" w:hAnsi="Times New Roman" w:cs="Times New Roman"/>
          <w:sz w:val="24"/>
          <w:szCs w:val="24"/>
        </w:rPr>
        <w:t xml:space="preserve">the </w:t>
      </w:r>
      <w:r w:rsidR="00AE5293" w:rsidRPr="00320A82">
        <w:rPr>
          <w:rFonts w:ascii="Times New Roman" w:hAnsi="Times New Roman" w:cs="Times New Roman"/>
          <w:sz w:val="24"/>
          <w:szCs w:val="24"/>
        </w:rPr>
        <w:t xml:space="preserve">price indices </w:t>
      </w:r>
      <w:r w:rsidRPr="00320A82">
        <w:rPr>
          <w:rFonts w:ascii="Times New Roman" w:hAnsi="Times New Roman" w:cs="Times New Roman"/>
          <w:sz w:val="24"/>
          <w:szCs w:val="24"/>
        </w:rPr>
        <w:t xml:space="preserve">of the </w:t>
      </w:r>
      <w:r w:rsidR="00AE5293" w:rsidRPr="00320A82">
        <w:rPr>
          <w:rFonts w:ascii="Times New Roman" w:hAnsi="Times New Roman" w:cs="Times New Roman"/>
          <w:sz w:val="24"/>
          <w:szCs w:val="24"/>
        </w:rPr>
        <w:t>Developed Equity, Emerging Equity and Real Estate</w:t>
      </w:r>
      <w:r w:rsidRPr="00320A82">
        <w:rPr>
          <w:rFonts w:ascii="Times New Roman" w:hAnsi="Times New Roman" w:cs="Times New Roman"/>
          <w:sz w:val="24"/>
          <w:szCs w:val="24"/>
        </w:rPr>
        <w:t xml:space="preserve"> indices</w:t>
      </w:r>
      <w:r w:rsidR="00AE5293"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 </w:t>
      </w:r>
      <w:r w:rsidR="00AE5293" w:rsidRPr="00320A82">
        <w:rPr>
          <w:rFonts w:ascii="Times New Roman" w:hAnsi="Times New Roman" w:cs="Times New Roman"/>
          <w:sz w:val="24"/>
          <w:szCs w:val="24"/>
        </w:rPr>
        <w:t xml:space="preserve">Excess return indices are used </w:t>
      </w:r>
      <w:r w:rsidRPr="00320A82">
        <w:rPr>
          <w:rFonts w:ascii="Times New Roman" w:hAnsi="Times New Roman" w:cs="Times New Roman"/>
          <w:sz w:val="24"/>
          <w:szCs w:val="24"/>
        </w:rPr>
        <w:t xml:space="preserve">for the same purpose </w:t>
      </w:r>
      <w:r w:rsidR="00AE5293" w:rsidRPr="00320A82">
        <w:rPr>
          <w:rFonts w:ascii="Times New Roman" w:hAnsi="Times New Roman" w:cs="Times New Roman"/>
          <w:sz w:val="24"/>
          <w:szCs w:val="24"/>
        </w:rPr>
        <w:t>to give the signal for Commodities (to take account of bac</w:t>
      </w:r>
      <w:r w:rsidRPr="00320A82">
        <w:rPr>
          <w:rFonts w:ascii="Times New Roman" w:hAnsi="Times New Roman" w:cs="Times New Roman"/>
          <w:sz w:val="24"/>
          <w:szCs w:val="24"/>
        </w:rPr>
        <w:t>kwardation/</w:t>
      </w:r>
      <w:proofErr w:type="spellStart"/>
      <w:r w:rsidRPr="00320A82">
        <w:rPr>
          <w:rFonts w:ascii="Times New Roman" w:hAnsi="Times New Roman" w:cs="Times New Roman"/>
          <w:sz w:val="24"/>
          <w:szCs w:val="24"/>
        </w:rPr>
        <w:t>contango</w:t>
      </w:r>
      <w:proofErr w:type="spellEnd"/>
      <w:r w:rsidRPr="00320A82">
        <w:rPr>
          <w:rFonts w:ascii="Times New Roman" w:hAnsi="Times New Roman" w:cs="Times New Roman"/>
          <w:sz w:val="24"/>
          <w:szCs w:val="24"/>
        </w:rPr>
        <w:t xml:space="preserve"> in markets), while we use </w:t>
      </w:r>
      <w:r w:rsidR="00AE5293" w:rsidRPr="00320A82">
        <w:rPr>
          <w:rFonts w:ascii="Times New Roman" w:hAnsi="Times New Roman" w:cs="Times New Roman"/>
          <w:sz w:val="24"/>
          <w:szCs w:val="24"/>
        </w:rPr>
        <w:t xml:space="preserve">total return indices for </w:t>
      </w:r>
      <w:r w:rsidRPr="00320A82">
        <w:rPr>
          <w:rFonts w:ascii="Times New Roman" w:hAnsi="Times New Roman" w:cs="Times New Roman"/>
          <w:sz w:val="24"/>
          <w:szCs w:val="24"/>
        </w:rPr>
        <w:t xml:space="preserve">the government </w:t>
      </w:r>
      <w:r w:rsidR="00AE5293" w:rsidRPr="00320A82">
        <w:rPr>
          <w:rFonts w:ascii="Times New Roman" w:hAnsi="Times New Roman" w:cs="Times New Roman"/>
          <w:sz w:val="24"/>
          <w:szCs w:val="24"/>
        </w:rPr>
        <w:t>bond</w:t>
      </w:r>
      <w:r w:rsidRPr="00320A82">
        <w:rPr>
          <w:rFonts w:ascii="Times New Roman" w:hAnsi="Times New Roman" w:cs="Times New Roman"/>
          <w:sz w:val="24"/>
          <w:szCs w:val="24"/>
        </w:rPr>
        <w:t xml:space="preserve"> indices</w:t>
      </w:r>
      <w:r w:rsidR="00AE5293"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because of a </w:t>
      </w:r>
      <w:r w:rsidR="00AE5293" w:rsidRPr="00320A82">
        <w:rPr>
          <w:rFonts w:ascii="Times New Roman" w:hAnsi="Times New Roman" w:cs="Times New Roman"/>
          <w:sz w:val="24"/>
          <w:szCs w:val="24"/>
        </w:rPr>
        <w:t xml:space="preserve">lack of price </w:t>
      </w:r>
      <w:r w:rsidRPr="00320A82">
        <w:rPr>
          <w:rFonts w:ascii="Times New Roman" w:hAnsi="Times New Roman" w:cs="Times New Roman"/>
          <w:sz w:val="24"/>
          <w:szCs w:val="24"/>
        </w:rPr>
        <w:t xml:space="preserve">historic information on the </w:t>
      </w:r>
      <w:r w:rsidR="00AE5293" w:rsidRPr="00320A82">
        <w:rPr>
          <w:rFonts w:ascii="Times New Roman" w:hAnsi="Times New Roman" w:cs="Times New Roman"/>
          <w:sz w:val="24"/>
          <w:szCs w:val="24"/>
        </w:rPr>
        <w:t xml:space="preserve">indices </w:t>
      </w:r>
      <w:r w:rsidRPr="00320A82">
        <w:rPr>
          <w:rFonts w:ascii="Times New Roman" w:hAnsi="Times New Roman" w:cs="Times New Roman"/>
          <w:sz w:val="24"/>
          <w:szCs w:val="24"/>
        </w:rPr>
        <w:t xml:space="preserve">of </w:t>
      </w:r>
      <w:r w:rsidR="009A6308" w:rsidRPr="00320A82">
        <w:rPr>
          <w:rFonts w:ascii="Times New Roman" w:hAnsi="Times New Roman" w:cs="Times New Roman"/>
          <w:sz w:val="24"/>
          <w:szCs w:val="24"/>
        </w:rPr>
        <w:t>this asset class.</w:t>
      </w:r>
    </w:p>
    <w:p w:rsidR="00E91D38" w:rsidRDefault="00E91D38" w:rsidP="00E91D38">
      <w:pPr>
        <w:spacing w:after="0" w:line="360" w:lineRule="auto"/>
        <w:ind w:firstLine="360"/>
        <w:jc w:val="both"/>
        <w:rPr>
          <w:rFonts w:ascii="Times New Roman" w:hAnsi="Times New Roman" w:cs="Times New Roman"/>
          <w:i/>
          <w:sz w:val="24"/>
          <w:szCs w:val="24"/>
        </w:rPr>
      </w:pPr>
    </w:p>
    <w:p w:rsidR="001D31C5" w:rsidRPr="00D8388F" w:rsidRDefault="008962C9" w:rsidP="001D31C5">
      <w:pPr>
        <w:pStyle w:val="ListParagraph"/>
        <w:numPr>
          <w:ilvl w:val="1"/>
          <w:numId w:val="3"/>
        </w:numPr>
        <w:spacing w:after="0" w:line="360" w:lineRule="auto"/>
        <w:jc w:val="both"/>
        <w:rPr>
          <w:rFonts w:ascii="Times New Roman" w:hAnsi="Times New Roman" w:cs="Times New Roman"/>
          <w:i/>
          <w:sz w:val="24"/>
          <w:szCs w:val="24"/>
        </w:rPr>
      </w:pPr>
      <w:r w:rsidRPr="00D8388F">
        <w:rPr>
          <w:rFonts w:ascii="Times New Roman" w:hAnsi="Times New Roman" w:cs="Times New Roman"/>
          <w:i/>
          <w:sz w:val="24"/>
          <w:szCs w:val="24"/>
        </w:rPr>
        <w:t>Trend following:</w:t>
      </w:r>
      <w:r w:rsidR="001D31C5" w:rsidRPr="00D8388F">
        <w:rPr>
          <w:rFonts w:ascii="Times New Roman" w:hAnsi="Times New Roman" w:cs="Times New Roman"/>
          <w:i/>
          <w:sz w:val="24"/>
          <w:szCs w:val="24"/>
        </w:rPr>
        <w:t xml:space="preserve"> </w:t>
      </w:r>
      <w:r w:rsidRPr="00D8388F">
        <w:rPr>
          <w:rFonts w:ascii="Times New Roman" w:hAnsi="Times New Roman" w:cs="Times New Roman"/>
          <w:i/>
          <w:sz w:val="24"/>
          <w:szCs w:val="24"/>
        </w:rPr>
        <w:t>economic and behavioural rationale</w:t>
      </w:r>
    </w:p>
    <w:p w:rsidR="008962C9" w:rsidRPr="00D8388F" w:rsidRDefault="008962C9" w:rsidP="001D31C5">
      <w:pPr>
        <w:spacing w:after="0" w:line="360" w:lineRule="auto"/>
        <w:jc w:val="both"/>
        <w:rPr>
          <w:rFonts w:ascii="Times New Roman" w:hAnsi="Times New Roman" w:cs="Times New Roman"/>
          <w:sz w:val="24"/>
          <w:szCs w:val="24"/>
        </w:rPr>
      </w:pPr>
      <w:r w:rsidRPr="00D8388F">
        <w:rPr>
          <w:rFonts w:ascii="Times New Roman" w:hAnsi="Times New Roman" w:cs="Times New Roman"/>
          <w:sz w:val="24"/>
          <w:szCs w:val="24"/>
        </w:rPr>
        <w:t>Trend following strategies work if price trends continue more often than not</w:t>
      </w:r>
      <w:r w:rsidR="00EE7FAC">
        <w:rPr>
          <w:rFonts w:ascii="Times New Roman" w:hAnsi="Times New Roman" w:cs="Times New Roman"/>
          <w:sz w:val="24"/>
          <w:szCs w:val="24"/>
        </w:rPr>
        <w:t xml:space="preserve"> </w:t>
      </w:r>
      <w:r w:rsidRPr="00D8388F">
        <w:rPr>
          <w:rFonts w:ascii="Times New Roman" w:hAnsi="Times New Roman" w:cs="Times New Roman"/>
          <w:sz w:val="24"/>
          <w:szCs w:val="24"/>
        </w:rPr>
        <w:t>(</w:t>
      </w:r>
      <w:proofErr w:type="spellStart"/>
      <w:r w:rsidRPr="00D8388F">
        <w:rPr>
          <w:rFonts w:ascii="Times New Roman" w:hAnsi="Times New Roman" w:cs="Times New Roman"/>
          <w:sz w:val="24"/>
          <w:szCs w:val="24"/>
        </w:rPr>
        <w:t>eg</w:t>
      </w:r>
      <w:proofErr w:type="spellEnd"/>
      <w:r w:rsidRPr="00D8388F">
        <w:rPr>
          <w:rFonts w:ascii="Times New Roman" w:hAnsi="Times New Roman" w:cs="Times New Roman"/>
          <w:sz w:val="24"/>
          <w:szCs w:val="24"/>
        </w:rPr>
        <w:t xml:space="preserve"> </w:t>
      </w:r>
      <w:r w:rsidR="00EE7FAC">
        <w:rPr>
          <w:rFonts w:ascii="Times New Roman" w:hAnsi="Times New Roman" w:cs="Times New Roman"/>
          <w:sz w:val="24"/>
          <w:szCs w:val="24"/>
        </w:rPr>
        <w:t>See Hurst et al, 2010</w:t>
      </w:r>
      <w:r w:rsidRPr="00D8388F">
        <w:rPr>
          <w:rFonts w:ascii="Times New Roman" w:hAnsi="Times New Roman" w:cs="Times New Roman"/>
          <w:sz w:val="24"/>
          <w:szCs w:val="24"/>
        </w:rPr>
        <w:t>),</w:t>
      </w:r>
      <w:r w:rsidR="00EE7FAC">
        <w:rPr>
          <w:rFonts w:ascii="Times New Roman" w:hAnsi="Times New Roman" w:cs="Times New Roman"/>
          <w:sz w:val="24"/>
          <w:szCs w:val="24"/>
        </w:rPr>
        <w:t xml:space="preserve"> </w:t>
      </w:r>
      <w:r w:rsidRPr="00D8388F">
        <w:rPr>
          <w:rFonts w:ascii="Times New Roman" w:hAnsi="Times New Roman" w:cs="Times New Roman"/>
          <w:sz w:val="24"/>
          <w:szCs w:val="24"/>
        </w:rPr>
        <w:t>but why should such trends continue?</w:t>
      </w:r>
      <w:r w:rsidR="001D31C5" w:rsidRPr="00D8388F">
        <w:rPr>
          <w:rFonts w:ascii="Times New Roman" w:hAnsi="Times New Roman" w:cs="Times New Roman"/>
          <w:sz w:val="24"/>
          <w:szCs w:val="24"/>
        </w:rPr>
        <w:t xml:space="preserve"> </w:t>
      </w:r>
      <w:r w:rsidRPr="00D8388F">
        <w:rPr>
          <w:rFonts w:ascii="Times New Roman" w:hAnsi="Times New Roman" w:cs="Times New Roman"/>
          <w:sz w:val="24"/>
          <w:szCs w:val="24"/>
        </w:rPr>
        <w:t xml:space="preserve">Much of our understanding of this is based on the thinking of </w:t>
      </w:r>
      <w:proofErr w:type="spellStart"/>
      <w:r w:rsidRPr="00D8388F">
        <w:rPr>
          <w:rFonts w:ascii="Times New Roman" w:hAnsi="Times New Roman" w:cs="Times New Roman"/>
          <w:sz w:val="24"/>
          <w:szCs w:val="24"/>
        </w:rPr>
        <w:t>Kahneman</w:t>
      </w:r>
      <w:proofErr w:type="spellEnd"/>
      <w:r w:rsidRPr="00D8388F">
        <w:rPr>
          <w:rFonts w:ascii="Times New Roman" w:hAnsi="Times New Roman" w:cs="Times New Roman"/>
          <w:sz w:val="24"/>
          <w:szCs w:val="24"/>
        </w:rPr>
        <w:t xml:space="preserve"> and </w:t>
      </w:r>
      <w:proofErr w:type="spellStart"/>
      <w:r w:rsidRPr="00D8388F">
        <w:rPr>
          <w:rFonts w:ascii="Times New Roman" w:hAnsi="Times New Roman" w:cs="Times New Roman"/>
          <w:sz w:val="24"/>
          <w:szCs w:val="24"/>
        </w:rPr>
        <w:t>Tversky</w:t>
      </w:r>
      <w:proofErr w:type="spellEnd"/>
      <w:r w:rsidR="006A43E4">
        <w:rPr>
          <w:rFonts w:ascii="Times New Roman" w:hAnsi="Times New Roman" w:cs="Times New Roman"/>
          <w:sz w:val="24"/>
          <w:szCs w:val="24"/>
        </w:rPr>
        <w:t xml:space="preserve">, </w:t>
      </w:r>
      <w:r w:rsidR="009B49C0">
        <w:rPr>
          <w:rFonts w:ascii="Times New Roman" w:hAnsi="Times New Roman" w:cs="Times New Roman"/>
          <w:sz w:val="24"/>
          <w:szCs w:val="24"/>
        </w:rPr>
        <w:t xml:space="preserve">initiated by </w:t>
      </w:r>
      <w:proofErr w:type="spellStart"/>
      <w:r w:rsidR="006A43E4">
        <w:rPr>
          <w:rFonts w:ascii="Times New Roman" w:hAnsi="Times New Roman" w:cs="Times New Roman"/>
          <w:sz w:val="24"/>
          <w:szCs w:val="24"/>
        </w:rPr>
        <w:t>Kahneman</w:t>
      </w:r>
      <w:proofErr w:type="spellEnd"/>
      <w:r w:rsidR="009B49C0">
        <w:rPr>
          <w:rFonts w:ascii="Times New Roman" w:hAnsi="Times New Roman" w:cs="Times New Roman"/>
          <w:sz w:val="24"/>
          <w:szCs w:val="24"/>
        </w:rPr>
        <w:t xml:space="preserve"> and </w:t>
      </w:r>
      <w:proofErr w:type="spellStart"/>
      <w:r w:rsidR="009B49C0" w:rsidRPr="00D8388F">
        <w:rPr>
          <w:rFonts w:ascii="Times New Roman" w:hAnsi="Times New Roman" w:cs="Times New Roman"/>
          <w:sz w:val="24"/>
          <w:szCs w:val="24"/>
        </w:rPr>
        <w:t>Tversky</w:t>
      </w:r>
      <w:proofErr w:type="spellEnd"/>
      <w:r w:rsidR="009B49C0">
        <w:rPr>
          <w:rFonts w:ascii="Times New Roman" w:hAnsi="Times New Roman" w:cs="Times New Roman"/>
          <w:sz w:val="24"/>
          <w:szCs w:val="24"/>
        </w:rPr>
        <w:t xml:space="preserve"> (1979</w:t>
      </w:r>
      <w:r w:rsidR="006A43E4">
        <w:rPr>
          <w:rFonts w:ascii="Times New Roman" w:hAnsi="Times New Roman" w:cs="Times New Roman"/>
          <w:sz w:val="24"/>
          <w:szCs w:val="24"/>
        </w:rPr>
        <w:t>)</w:t>
      </w:r>
      <w:r w:rsidR="001B5C13">
        <w:rPr>
          <w:rFonts w:ascii="Times New Roman" w:hAnsi="Times New Roman" w:cs="Times New Roman"/>
          <w:sz w:val="24"/>
          <w:szCs w:val="24"/>
        </w:rPr>
        <w:t xml:space="preserve"> </w:t>
      </w:r>
      <w:r w:rsidRPr="00D8388F">
        <w:rPr>
          <w:rFonts w:ascii="Times New Roman" w:hAnsi="Times New Roman" w:cs="Times New Roman"/>
          <w:sz w:val="24"/>
          <w:szCs w:val="24"/>
        </w:rPr>
        <w:t>and</w:t>
      </w:r>
      <w:r w:rsidR="001B5C13">
        <w:rPr>
          <w:rFonts w:ascii="Times New Roman" w:hAnsi="Times New Roman" w:cs="Times New Roman"/>
          <w:sz w:val="24"/>
          <w:szCs w:val="24"/>
        </w:rPr>
        <w:t>, in this context</w:t>
      </w:r>
      <w:r w:rsidRPr="00D8388F">
        <w:rPr>
          <w:rFonts w:ascii="Times New Roman" w:hAnsi="Times New Roman" w:cs="Times New Roman"/>
          <w:sz w:val="24"/>
          <w:szCs w:val="24"/>
        </w:rPr>
        <w:t xml:space="preserve"> is related to the behavioural biases involved in </w:t>
      </w:r>
      <w:proofErr w:type="spellStart"/>
      <w:r w:rsidRPr="00D8388F">
        <w:rPr>
          <w:rFonts w:ascii="Times New Roman" w:hAnsi="Times New Roman" w:cs="Times New Roman"/>
          <w:sz w:val="24"/>
          <w:szCs w:val="24"/>
        </w:rPr>
        <w:t>underreaction</w:t>
      </w:r>
      <w:proofErr w:type="spellEnd"/>
      <w:r w:rsidRPr="00D8388F">
        <w:rPr>
          <w:rFonts w:ascii="Times New Roman" w:hAnsi="Times New Roman" w:cs="Times New Roman"/>
          <w:sz w:val="24"/>
          <w:szCs w:val="24"/>
        </w:rPr>
        <w:t xml:space="preserve"> </w:t>
      </w:r>
      <w:r w:rsidR="00EE7FAC">
        <w:rPr>
          <w:rFonts w:ascii="Times New Roman" w:hAnsi="Times New Roman" w:cs="Times New Roman"/>
          <w:sz w:val="24"/>
          <w:szCs w:val="24"/>
        </w:rPr>
        <w:t>of</w:t>
      </w:r>
      <w:r w:rsidRPr="00D8388F">
        <w:rPr>
          <w:rFonts w:ascii="Times New Roman" w:hAnsi="Times New Roman" w:cs="Times New Roman"/>
          <w:sz w:val="24"/>
          <w:szCs w:val="24"/>
        </w:rPr>
        <w:t xml:space="preserve"> market prices to new information.</w:t>
      </w:r>
      <w:r w:rsidR="001D31C5" w:rsidRPr="00D8388F">
        <w:rPr>
          <w:rFonts w:ascii="Times New Roman" w:hAnsi="Times New Roman" w:cs="Times New Roman"/>
          <w:sz w:val="24"/>
          <w:szCs w:val="24"/>
        </w:rPr>
        <w:t xml:space="preserve"> </w:t>
      </w:r>
      <w:r w:rsidR="00D978D3" w:rsidRPr="00D8388F">
        <w:rPr>
          <w:rFonts w:ascii="Times New Roman" w:hAnsi="Times New Roman" w:cs="Times New Roman"/>
          <w:sz w:val="24"/>
          <w:szCs w:val="24"/>
        </w:rPr>
        <w:t>If prices initially underreact to either good or bad news,</w:t>
      </w:r>
      <w:r w:rsidR="001D31C5" w:rsidRPr="00D8388F">
        <w:rPr>
          <w:rFonts w:ascii="Times New Roman" w:hAnsi="Times New Roman" w:cs="Times New Roman"/>
          <w:sz w:val="24"/>
          <w:szCs w:val="24"/>
        </w:rPr>
        <w:t xml:space="preserve"> </w:t>
      </w:r>
      <w:r w:rsidR="00D978D3" w:rsidRPr="00D8388F">
        <w:rPr>
          <w:rFonts w:ascii="Times New Roman" w:hAnsi="Times New Roman" w:cs="Times New Roman"/>
          <w:sz w:val="24"/>
          <w:szCs w:val="24"/>
        </w:rPr>
        <w:t>trends tend to continue as prices slowly move to fully reflect changes in fundamental value.</w:t>
      </w:r>
      <w:r w:rsidR="001D31C5" w:rsidRPr="00D8388F">
        <w:rPr>
          <w:rFonts w:ascii="Times New Roman" w:hAnsi="Times New Roman" w:cs="Times New Roman"/>
          <w:sz w:val="24"/>
          <w:szCs w:val="24"/>
        </w:rPr>
        <w:t xml:space="preserve"> </w:t>
      </w:r>
      <w:r w:rsidR="00D978D3" w:rsidRPr="00D8388F">
        <w:rPr>
          <w:rFonts w:ascii="Times New Roman" w:hAnsi="Times New Roman" w:cs="Times New Roman"/>
          <w:sz w:val="24"/>
          <w:szCs w:val="24"/>
        </w:rPr>
        <w:t>These trends may continue further to the extent that investors chase the trend via herding behaviour,</w:t>
      </w:r>
      <w:r w:rsidR="001D31C5" w:rsidRPr="00D8388F">
        <w:rPr>
          <w:rFonts w:ascii="Times New Roman" w:hAnsi="Times New Roman" w:cs="Times New Roman"/>
          <w:sz w:val="24"/>
          <w:szCs w:val="24"/>
        </w:rPr>
        <w:t xml:space="preserve"> </w:t>
      </w:r>
      <w:r w:rsidR="00D978D3" w:rsidRPr="00D8388F">
        <w:rPr>
          <w:rFonts w:ascii="Times New Roman" w:hAnsi="Times New Roman" w:cs="Times New Roman"/>
          <w:sz w:val="24"/>
          <w:szCs w:val="24"/>
        </w:rPr>
        <w:t>which can lead to an overreaction in prices beyond fundamental value.</w:t>
      </w:r>
      <w:r w:rsidR="001D31C5" w:rsidRPr="00D8388F">
        <w:rPr>
          <w:rFonts w:ascii="Times New Roman" w:hAnsi="Times New Roman" w:cs="Times New Roman"/>
          <w:sz w:val="24"/>
          <w:szCs w:val="24"/>
        </w:rPr>
        <w:t xml:space="preserve"> </w:t>
      </w:r>
      <w:r w:rsidR="00D978D3" w:rsidRPr="00D8388F">
        <w:rPr>
          <w:rFonts w:ascii="Times New Roman" w:hAnsi="Times New Roman" w:cs="Times New Roman"/>
          <w:sz w:val="24"/>
          <w:szCs w:val="24"/>
        </w:rPr>
        <w:t>Naturally all trends will eventually come to an end as deviations from fair value cannot continue indefinitely.</w:t>
      </w:r>
      <w:r w:rsidR="001D31C5" w:rsidRPr="00D8388F">
        <w:rPr>
          <w:rFonts w:ascii="Times New Roman" w:hAnsi="Times New Roman" w:cs="Times New Roman"/>
          <w:sz w:val="24"/>
          <w:szCs w:val="24"/>
        </w:rPr>
        <w:t xml:space="preserve"> </w:t>
      </w:r>
      <w:r w:rsidR="001E1AF1" w:rsidRPr="00D8388F">
        <w:rPr>
          <w:rFonts w:ascii="Times New Roman" w:hAnsi="Times New Roman" w:cs="Times New Roman"/>
          <w:sz w:val="24"/>
          <w:szCs w:val="24"/>
        </w:rPr>
        <w:t>This is the domain of Managed Futures’</w:t>
      </w:r>
      <w:r w:rsidR="00384AE0" w:rsidRPr="00D8388F">
        <w:rPr>
          <w:rFonts w:ascii="Times New Roman" w:hAnsi="Times New Roman" w:cs="Times New Roman"/>
          <w:sz w:val="24"/>
          <w:szCs w:val="24"/>
        </w:rPr>
        <w:t xml:space="preserve"> investing,</w:t>
      </w:r>
      <w:r w:rsidR="00EE7FAC">
        <w:rPr>
          <w:rFonts w:ascii="Times New Roman" w:hAnsi="Times New Roman" w:cs="Times New Roman"/>
          <w:sz w:val="24"/>
          <w:szCs w:val="24"/>
        </w:rPr>
        <w:t xml:space="preserve"> </w:t>
      </w:r>
      <w:r w:rsidR="00384AE0" w:rsidRPr="00D8388F">
        <w:rPr>
          <w:rFonts w:ascii="Times New Roman" w:hAnsi="Times New Roman" w:cs="Times New Roman"/>
          <w:sz w:val="24"/>
          <w:szCs w:val="24"/>
        </w:rPr>
        <w:t>and has been applied with some success across many asset classes</w:t>
      </w:r>
      <w:r w:rsidR="00D8388F">
        <w:rPr>
          <w:rFonts w:ascii="Times New Roman" w:hAnsi="Times New Roman" w:cs="Times New Roman"/>
          <w:sz w:val="24"/>
          <w:szCs w:val="24"/>
        </w:rPr>
        <w:t xml:space="preserve"> </w:t>
      </w:r>
      <w:r w:rsidR="00384AE0" w:rsidRPr="00D8388F">
        <w:rPr>
          <w:rFonts w:ascii="Times New Roman" w:hAnsi="Times New Roman" w:cs="Times New Roman"/>
          <w:sz w:val="24"/>
          <w:szCs w:val="24"/>
        </w:rPr>
        <w:t>(</w:t>
      </w:r>
      <w:proofErr w:type="spellStart"/>
      <w:r w:rsidR="00384AE0" w:rsidRPr="00D8388F">
        <w:rPr>
          <w:rFonts w:ascii="Times New Roman" w:hAnsi="Times New Roman" w:cs="Times New Roman"/>
          <w:sz w:val="24"/>
          <w:szCs w:val="24"/>
        </w:rPr>
        <w:t>eg</w:t>
      </w:r>
      <w:proofErr w:type="spellEnd"/>
      <w:r w:rsidR="00384AE0" w:rsidRPr="00D8388F">
        <w:rPr>
          <w:rFonts w:ascii="Times New Roman" w:hAnsi="Times New Roman" w:cs="Times New Roman"/>
          <w:sz w:val="24"/>
          <w:szCs w:val="24"/>
        </w:rPr>
        <w:t xml:space="preserve"> </w:t>
      </w:r>
      <w:r w:rsidR="00D8388F">
        <w:rPr>
          <w:rFonts w:ascii="Times New Roman" w:hAnsi="Times New Roman" w:cs="Times New Roman"/>
          <w:sz w:val="24"/>
          <w:szCs w:val="24"/>
        </w:rPr>
        <w:t xml:space="preserve">Hurst et al, 2012) </w:t>
      </w:r>
      <w:r w:rsidR="00384AE0" w:rsidRPr="00D8388F">
        <w:rPr>
          <w:rFonts w:ascii="Times New Roman" w:hAnsi="Times New Roman" w:cs="Times New Roman"/>
          <w:sz w:val="24"/>
          <w:szCs w:val="24"/>
        </w:rPr>
        <w:t>with particular success during extreme up and down markets.</w:t>
      </w:r>
    </w:p>
    <w:p w:rsidR="001D31C5" w:rsidRPr="00D8388F" w:rsidRDefault="001D31C5" w:rsidP="001D31C5">
      <w:pPr>
        <w:spacing w:after="0" w:line="360" w:lineRule="auto"/>
        <w:jc w:val="both"/>
        <w:rPr>
          <w:rFonts w:ascii="Times New Roman" w:hAnsi="Times New Roman" w:cs="Times New Roman"/>
          <w:sz w:val="24"/>
          <w:szCs w:val="24"/>
        </w:rPr>
      </w:pPr>
    </w:p>
    <w:p w:rsidR="00384AE0" w:rsidRPr="00D8388F" w:rsidRDefault="00384AE0" w:rsidP="001D31C5">
      <w:pPr>
        <w:spacing w:after="0" w:line="360" w:lineRule="auto"/>
        <w:ind w:firstLine="720"/>
        <w:jc w:val="both"/>
        <w:rPr>
          <w:rFonts w:ascii="Times New Roman" w:hAnsi="Times New Roman" w:cs="Times New Roman"/>
          <w:sz w:val="24"/>
          <w:szCs w:val="24"/>
        </w:rPr>
      </w:pPr>
      <w:r w:rsidRPr="00D8388F">
        <w:rPr>
          <w:rFonts w:ascii="Times New Roman" w:hAnsi="Times New Roman" w:cs="Times New Roman"/>
          <w:sz w:val="24"/>
          <w:szCs w:val="24"/>
        </w:rPr>
        <w:t xml:space="preserve">The raison </w:t>
      </w:r>
      <w:proofErr w:type="spellStart"/>
      <w:r w:rsidRPr="00D8388F">
        <w:rPr>
          <w:rFonts w:ascii="Times New Roman" w:hAnsi="Times New Roman" w:cs="Times New Roman"/>
          <w:sz w:val="24"/>
          <w:szCs w:val="24"/>
        </w:rPr>
        <w:t>d’etre</w:t>
      </w:r>
      <w:proofErr w:type="spellEnd"/>
      <w:r w:rsidRPr="00D8388F">
        <w:rPr>
          <w:rFonts w:ascii="Times New Roman" w:hAnsi="Times New Roman" w:cs="Times New Roman"/>
          <w:sz w:val="24"/>
          <w:szCs w:val="24"/>
        </w:rPr>
        <w:t xml:space="preserve"> for the existence of trends lie</w:t>
      </w:r>
      <w:r w:rsidR="00D8388F">
        <w:rPr>
          <w:rFonts w:ascii="Times New Roman" w:hAnsi="Times New Roman" w:cs="Times New Roman"/>
          <w:sz w:val="24"/>
          <w:szCs w:val="24"/>
        </w:rPr>
        <w:t>s</w:t>
      </w:r>
      <w:r w:rsidRPr="00D8388F">
        <w:rPr>
          <w:rFonts w:ascii="Times New Roman" w:hAnsi="Times New Roman" w:cs="Times New Roman"/>
          <w:sz w:val="24"/>
          <w:szCs w:val="24"/>
        </w:rPr>
        <w:t xml:space="preserve"> firmly in the area of behavioural finance.</w:t>
      </w:r>
      <w:r w:rsidR="001D31C5" w:rsidRPr="00D8388F">
        <w:rPr>
          <w:rFonts w:ascii="Times New Roman" w:hAnsi="Times New Roman" w:cs="Times New Roman"/>
          <w:sz w:val="24"/>
          <w:szCs w:val="24"/>
        </w:rPr>
        <w:t xml:space="preserve"> </w:t>
      </w:r>
      <w:r w:rsidRPr="00D8388F">
        <w:rPr>
          <w:rFonts w:ascii="Times New Roman" w:hAnsi="Times New Roman" w:cs="Times New Roman"/>
          <w:sz w:val="24"/>
          <w:szCs w:val="24"/>
        </w:rPr>
        <w:t xml:space="preserve">A major shift in some fundamental variable driving an asset price is adopted into the market slowly revealing an initial </w:t>
      </w:r>
      <w:r w:rsidRPr="00D8388F">
        <w:rPr>
          <w:rFonts w:ascii="Times New Roman" w:hAnsi="Times New Roman" w:cs="Times New Roman"/>
          <w:i/>
          <w:sz w:val="24"/>
          <w:szCs w:val="24"/>
        </w:rPr>
        <w:t>under</w:t>
      </w:r>
      <w:r w:rsidR="005C5E3E" w:rsidRPr="00D8388F">
        <w:rPr>
          <w:rFonts w:ascii="Times New Roman" w:hAnsi="Times New Roman" w:cs="Times New Roman"/>
          <w:i/>
          <w:sz w:val="24"/>
          <w:szCs w:val="24"/>
        </w:rPr>
        <w:t>-r</w:t>
      </w:r>
      <w:r w:rsidRPr="00D8388F">
        <w:rPr>
          <w:rFonts w:ascii="Times New Roman" w:hAnsi="Times New Roman" w:cs="Times New Roman"/>
          <w:i/>
          <w:sz w:val="24"/>
          <w:szCs w:val="24"/>
        </w:rPr>
        <w:t>eaction</w:t>
      </w:r>
      <w:r w:rsidR="005C5E3E" w:rsidRPr="00D8388F">
        <w:rPr>
          <w:rFonts w:ascii="Times New Roman" w:hAnsi="Times New Roman" w:cs="Times New Roman"/>
          <w:i/>
          <w:sz w:val="24"/>
          <w:szCs w:val="24"/>
        </w:rPr>
        <w:t xml:space="preserve"> </w:t>
      </w:r>
      <w:r w:rsidR="005C5E3E" w:rsidRPr="00D8388F">
        <w:rPr>
          <w:rFonts w:ascii="Times New Roman" w:hAnsi="Times New Roman" w:cs="Times New Roman"/>
          <w:sz w:val="24"/>
          <w:szCs w:val="24"/>
        </w:rPr>
        <w:t>to the new information;</w:t>
      </w:r>
      <w:r w:rsidR="001D31C5" w:rsidRPr="00D8388F">
        <w:rPr>
          <w:rFonts w:ascii="Times New Roman" w:hAnsi="Times New Roman" w:cs="Times New Roman"/>
          <w:sz w:val="24"/>
          <w:szCs w:val="24"/>
        </w:rPr>
        <w:t xml:space="preserve"> </w:t>
      </w:r>
      <w:r w:rsidR="005C5E3E" w:rsidRPr="00D8388F">
        <w:rPr>
          <w:rFonts w:ascii="Times New Roman" w:hAnsi="Times New Roman" w:cs="Times New Roman"/>
          <w:sz w:val="24"/>
          <w:szCs w:val="24"/>
        </w:rPr>
        <w:t>the trend in price then overextends due to herding effects and finally results in a reversal.</w:t>
      </w:r>
      <w:r w:rsidR="001D31C5" w:rsidRPr="00D8388F">
        <w:rPr>
          <w:rFonts w:ascii="Times New Roman" w:hAnsi="Times New Roman" w:cs="Times New Roman"/>
          <w:sz w:val="24"/>
          <w:szCs w:val="24"/>
        </w:rPr>
        <w:t xml:space="preserve"> </w:t>
      </w:r>
      <w:r w:rsidR="005C5E3E" w:rsidRPr="00D8388F">
        <w:rPr>
          <w:rFonts w:ascii="Times New Roman" w:hAnsi="Times New Roman" w:cs="Times New Roman"/>
          <w:sz w:val="24"/>
          <w:szCs w:val="24"/>
        </w:rPr>
        <w:t>Research has linked the initial under-reaction to behavioural features and frictions that slow down the price discovery process,</w:t>
      </w:r>
      <w:r w:rsidR="001D31C5" w:rsidRPr="00D8388F">
        <w:rPr>
          <w:rFonts w:ascii="Times New Roman" w:hAnsi="Times New Roman" w:cs="Times New Roman"/>
          <w:sz w:val="24"/>
          <w:szCs w:val="24"/>
        </w:rPr>
        <w:t xml:space="preserve"> t</w:t>
      </w:r>
      <w:r w:rsidR="005C5E3E" w:rsidRPr="00D8388F">
        <w:rPr>
          <w:rFonts w:ascii="Times New Roman" w:hAnsi="Times New Roman" w:cs="Times New Roman"/>
          <w:sz w:val="24"/>
          <w:szCs w:val="24"/>
        </w:rPr>
        <w:t>hese include:</w:t>
      </w:r>
    </w:p>
    <w:p w:rsidR="005C5E3E" w:rsidRPr="00EE7FAC" w:rsidRDefault="005C5E3E" w:rsidP="00EE7FAC">
      <w:pPr>
        <w:pStyle w:val="ListParagraph"/>
        <w:numPr>
          <w:ilvl w:val="0"/>
          <w:numId w:val="5"/>
        </w:numPr>
        <w:spacing w:after="0" w:line="360" w:lineRule="auto"/>
        <w:jc w:val="both"/>
        <w:rPr>
          <w:rFonts w:ascii="Times New Roman" w:hAnsi="Times New Roman" w:cs="Times New Roman"/>
          <w:sz w:val="24"/>
          <w:szCs w:val="24"/>
        </w:rPr>
      </w:pPr>
      <w:r w:rsidRPr="00EE7FAC">
        <w:rPr>
          <w:rFonts w:ascii="Times New Roman" w:hAnsi="Times New Roman" w:cs="Times New Roman"/>
          <w:sz w:val="24"/>
          <w:szCs w:val="24"/>
        </w:rPr>
        <w:t>Anchoring</w:t>
      </w:r>
    </w:p>
    <w:p w:rsidR="005C5E3E" w:rsidRPr="00D8388F" w:rsidRDefault="005C5E3E" w:rsidP="001D31C5">
      <w:pPr>
        <w:spacing w:after="0" w:line="360" w:lineRule="auto"/>
        <w:jc w:val="both"/>
        <w:rPr>
          <w:rFonts w:ascii="Times New Roman" w:hAnsi="Times New Roman" w:cs="Times New Roman"/>
          <w:sz w:val="24"/>
          <w:szCs w:val="24"/>
        </w:rPr>
      </w:pPr>
      <w:r w:rsidRPr="00D8388F">
        <w:rPr>
          <w:rFonts w:ascii="Times New Roman" w:hAnsi="Times New Roman" w:cs="Times New Roman"/>
          <w:sz w:val="24"/>
          <w:szCs w:val="24"/>
        </w:rPr>
        <w:t>Edwards</w:t>
      </w:r>
      <w:r w:rsidR="00EE7FAC">
        <w:rPr>
          <w:rFonts w:ascii="Times New Roman" w:hAnsi="Times New Roman" w:cs="Times New Roman"/>
          <w:sz w:val="24"/>
          <w:szCs w:val="24"/>
        </w:rPr>
        <w:t xml:space="preserve"> </w:t>
      </w:r>
      <w:r w:rsidRPr="00D8388F">
        <w:rPr>
          <w:rFonts w:ascii="Times New Roman" w:hAnsi="Times New Roman" w:cs="Times New Roman"/>
          <w:sz w:val="24"/>
          <w:szCs w:val="24"/>
        </w:rPr>
        <w:t xml:space="preserve">(1968) and </w:t>
      </w:r>
      <w:proofErr w:type="spellStart"/>
      <w:r w:rsidRPr="00D8388F">
        <w:rPr>
          <w:rFonts w:ascii="Times New Roman" w:hAnsi="Times New Roman" w:cs="Times New Roman"/>
          <w:sz w:val="24"/>
          <w:szCs w:val="24"/>
        </w:rPr>
        <w:t>Tversky</w:t>
      </w:r>
      <w:proofErr w:type="spellEnd"/>
      <w:r w:rsidRPr="00D8388F">
        <w:rPr>
          <w:rFonts w:ascii="Times New Roman" w:hAnsi="Times New Roman" w:cs="Times New Roman"/>
          <w:sz w:val="24"/>
          <w:szCs w:val="24"/>
        </w:rPr>
        <w:t xml:space="preserve"> and </w:t>
      </w:r>
      <w:proofErr w:type="spellStart"/>
      <w:r w:rsidRPr="00D8388F">
        <w:rPr>
          <w:rFonts w:ascii="Times New Roman" w:hAnsi="Times New Roman" w:cs="Times New Roman"/>
          <w:sz w:val="24"/>
          <w:szCs w:val="24"/>
        </w:rPr>
        <w:t>Kahneman</w:t>
      </w:r>
      <w:proofErr w:type="spellEnd"/>
      <w:r w:rsidR="00D8388F">
        <w:rPr>
          <w:rFonts w:ascii="Times New Roman" w:hAnsi="Times New Roman" w:cs="Times New Roman"/>
          <w:sz w:val="24"/>
          <w:szCs w:val="24"/>
        </w:rPr>
        <w:t xml:space="preserve"> </w:t>
      </w:r>
      <w:r w:rsidRPr="00D8388F">
        <w:rPr>
          <w:rFonts w:ascii="Times New Roman" w:hAnsi="Times New Roman" w:cs="Times New Roman"/>
          <w:sz w:val="24"/>
          <w:szCs w:val="24"/>
        </w:rPr>
        <w:t>(1974) find that historical data provide a natural anchor for people and their views adjust slowly to new information:</w:t>
      </w:r>
      <w:r w:rsidR="00D8388F">
        <w:rPr>
          <w:rFonts w:ascii="Times New Roman" w:hAnsi="Times New Roman" w:cs="Times New Roman"/>
          <w:sz w:val="24"/>
          <w:szCs w:val="24"/>
        </w:rPr>
        <w:t xml:space="preserve"> </w:t>
      </w:r>
      <w:r w:rsidRPr="00D8388F">
        <w:rPr>
          <w:rFonts w:ascii="Times New Roman" w:hAnsi="Times New Roman" w:cs="Times New Roman"/>
          <w:sz w:val="24"/>
          <w:szCs w:val="24"/>
        </w:rPr>
        <w:t>anchoring leads to under-reaction to news.</w:t>
      </w:r>
    </w:p>
    <w:p w:rsidR="005C5E3E" w:rsidRPr="00474F34" w:rsidRDefault="005C5E3E" w:rsidP="00EE7FAC">
      <w:pPr>
        <w:pStyle w:val="ListParagraph"/>
        <w:numPr>
          <w:ilvl w:val="0"/>
          <w:numId w:val="5"/>
        </w:numPr>
        <w:spacing w:after="0" w:line="360" w:lineRule="auto"/>
        <w:jc w:val="both"/>
        <w:rPr>
          <w:rFonts w:ascii="Times New Roman" w:hAnsi="Times New Roman" w:cs="Times New Roman"/>
          <w:i/>
          <w:sz w:val="24"/>
          <w:szCs w:val="24"/>
        </w:rPr>
      </w:pPr>
      <w:r w:rsidRPr="00474F34">
        <w:rPr>
          <w:rFonts w:ascii="Times New Roman" w:hAnsi="Times New Roman" w:cs="Times New Roman"/>
          <w:i/>
          <w:sz w:val="24"/>
          <w:szCs w:val="24"/>
        </w:rPr>
        <w:lastRenderedPageBreak/>
        <w:t>The disposition effect</w:t>
      </w:r>
    </w:p>
    <w:p w:rsidR="00E92FF1" w:rsidRDefault="005C5E3E" w:rsidP="007F36CB">
      <w:pPr>
        <w:spacing w:after="0" w:line="360" w:lineRule="auto"/>
        <w:jc w:val="both"/>
        <w:rPr>
          <w:rFonts w:ascii="Times New Roman" w:hAnsi="Times New Roman" w:cs="Times New Roman"/>
          <w:sz w:val="24"/>
          <w:szCs w:val="24"/>
        </w:rPr>
      </w:pPr>
      <w:proofErr w:type="spellStart"/>
      <w:r w:rsidRPr="00D8388F">
        <w:rPr>
          <w:rFonts w:ascii="Times New Roman" w:hAnsi="Times New Roman" w:cs="Times New Roman"/>
          <w:sz w:val="24"/>
          <w:szCs w:val="24"/>
        </w:rPr>
        <w:t>Shefrin</w:t>
      </w:r>
      <w:proofErr w:type="spellEnd"/>
      <w:r w:rsidRPr="00D8388F">
        <w:rPr>
          <w:rFonts w:ascii="Times New Roman" w:hAnsi="Times New Roman" w:cs="Times New Roman"/>
          <w:sz w:val="24"/>
          <w:szCs w:val="24"/>
        </w:rPr>
        <w:t xml:space="preserve"> and </w:t>
      </w:r>
      <w:proofErr w:type="spellStart"/>
      <w:r w:rsidRPr="00D8388F">
        <w:rPr>
          <w:rFonts w:ascii="Times New Roman" w:hAnsi="Times New Roman" w:cs="Times New Roman"/>
          <w:sz w:val="24"/>
          <w:szCs w:val="24"/>
        </w:rPr>
        <w:t>Statman</w:t>
      </w:r>
      <w:proofErr w:type="spellEnd"/>
      <w:r w:rsidR="00D8388F">
        <w:rPr>
          <w:rFonts w:ascii="Times New Roman" w:hAnsi="Times New Roman" w:cs="Times New Roman"/>
          <w:sz w:val="24"/>
          <w:szCs w:val="24"/>
        </w:rPr>
        <w:t xml:space="preserve"> </w:t>
      </w:r>
      <w:r w:rsidR="001B5C13">
        <w:rPr>
          <w:rFonts w:ascii="Times New Roman" w:hAnsi="Times New Roman" w:cs="Times New Roman"/>
          <w:sz w:val="24"/>
          <w:szCs w:val="24"/>
        </w:rPr>
        <w:t>(1985</w:t>
      </w:r>
      <w:r w:rsidRPr="00D8388F">
        <w:rPr>
          <w:rFonts w:ascii="Times New Roman" w:hAnsi="Times New Roman" w:cs="Times New Roman"/>
          <w:sz w:val="24"/>
          <w:szCs w:val="24"/>
        </w:rPr>
        <w:t xml:space="preserve">) and </w:t>
      </w:r>
      <w:proofErr w:type="spellStart"/>
      <w:r w:rsidRPr="00D8388F">
        <w:rPr>
          <w:rFonts w:ascii="Times New Roman" w:hAnsi="Times New Roman" w:cs="Times New Roman"/>
          <w:sz w:val="24"/>
          <w:szCs w:val="24"/>
        </w:rPr>
        <w:t>Frazzini</w:t>
      </w:r>
      <w:proofErr w:type="spellEnd"/>
      <w:r w:rsidR="00D8388F">
        <w:rPr>
          <w:rFonts w:ascii="Times New Roman" w:hAnsi="Times New Roman" w:cs="Times New Roman"/>
          <w:sz w:val="24"/>
          <w:szCs w:val="24"/>
        </w:rPr>
        <w:t xml:space="preserve"> </w:t>
      </w:r>
      <w:r w:rsidRPr="00D8388F">
        <w:rPr>
          <w:rFonts w:ascii="Times New Roman" w:hAnsi="Times New Roman" w:cs="Times New Roman"/>
          <w:sz w:val="24"/>
          <w:szCs w:val="24"/>
        </w:rPr>
        <w:t>(2006) note that people tend to sell winners too early as they like to realise gains</w:t>
      </w:r>
      <w:r w:rsidR="00E92FF1" w:rsidRPr="00D8388F">
        <w:rPr>
          <w:rFonts w:ascii="Times New Roman" w:hAnsi="Times New Roman" w:cs="Times New Roman"/>
          <w:sz w:val="24"/>
          <w:szCs w:val="24"/>
        </w:rPr>
        <w:t>,</w:t>
      </w:r>
      <w:r w:rsidR="00D8388F">
        <w:rPr>
          <w:rFonts w:ascii="Times New Roman" w:hAnsi="Times New Roman" w:cs="Times New Roman"/>
          <w:sz w:val="24"/>
          <w:szCs w:val="24"/>
        </w:rPr>
        <w:t xml:space="preserve"> </w:t>
      </w:r>
      <w:r w:rsidR="00E92FF1" w:rsidRPr="00D8388F">
        <w:rPr>
          <w:rFonts w:ascii="Times New Roman" w:hAnsi="Times New Roman" w:cs="Times New Roman"/>
          <w:sz w:val="24"/>
          <w:szCs w:val="24"/>
        </w:rPr>
        <w:t>thus slowing down the rise in price,</w:t>
      </w:r>
      <w:r w:rsidR="00D8388F">
        <w:rPr>
          <w:rFonts w:ascii="Times New Roman" w:hAnsi="Times New Roman" w:cs="Times New Roman"/>
          <w:sz w:val="24"/>
          <w:szCs w:val="24"/>
        </w:rPr>
        <w:t xml:space="preserve"> </w:t>
      </w:r>
      <w:r w:rsidR="00E92FF1" w:rsidRPr="00D8388F">
        <w:rPr>
          <w:rFonts w:ascii="Times New Roman" w:hAnsi="Times New Roman" w:cs="Times New Roman"/>
          <w:sz w:val="24"/>
          <w:szCs w:val="24"/>
        </w:rPr>
        <w:t>and they hold losers too long as they wish to avoid realising losses,</w:t>
      </w:r>
      <w:r w:rsidR="00D8388F">
        <w:rPr>
          <w:rFonts w:ascii="Times New Roman" w:hAnsi="Times New Roman" w:cs="Times New Roman"/>
          <w:sz w:val="24"/>
          <w:szCs w:val="24"/>
        </w:rPr>
        <w:t xml:space="preserve"> </w:t>
      </w:r>
      <w:r w:rsidR="00E92FF1" w:rsidRPr="00D8388F">
        <w:rPr>
          <w:rFonts w:ascii="Times New Roman" w:hAnsi="Times New Roman" w:cs="Times New Roman"/>
          <w:sz w:val="24"/>
          <w:szCs w:val="24"/>
        </w:rPr>
        <w:t>hence slowing any downward move in prices.</w:t>
      </w:r>
      <w:r w:rsidR="00D517FD">
        <w:rPr>
          <w:rFonts w:ascii="Times New Roman" w:hAnsi="Times New Roman" w:cs="Times New Roman"/>
          <w:sz w:val="24"/>
          <w:szCs w:val="24"/>
        </w:rPr>
        <w:t xml:space="preserve"> </w:t>
      </w:r>
      <w:proofErr w:type="spellStart"/>
      <w:r w:rsidR="00D517FD">
        <w:rPr>
          <w:rFonts w:ascii="Times New Roman" w:hAnsi="Times New Roman" w:cs="Times New Roman"/>
          <w:sz w:val="24"/>
          <w:szCs w:val="24"/>
        </w:rPr>
        <w:t>Barbaris</w:t>
      </w:r>
      <w:proofErr w:type="spellEnd"/>
      <w:r w:rsidR="00D517FD">
        <w:rPr>
          <w:rFonts w:ascii="Times New Roman" w:hAnsi="Times New Roman" w:cs="Times New Roman"/>
          <w:sz w:val="24"/>
          <w:szCs w:val="24"/>
        </w:rPr>
        <w:t xml:space="preserve"> (2013) points out that this argument follows directly from prospect theory. Holding losers demonstrates risk-seeking behaviour by investors when they make losses. This is developed further by </w:t>
      </w:r>
      <w:proofErr w:type="spellStart"/>
      <w:r w:rsidR="00D517FD">
        <w:rPr>
          <w:rFonts w:ascii="Times New Roman" w:hAnsi="Times New Roman" w:cs="Times New Roman"/>
          <w:sz w:val="24"/>
          <w:szCs w:val="24"/>
        </w:rPr>
        <w:t>Barbaris</w:t>
      </w:r>
      <w:proofErr w:type="spellEnd"/>
      <w:r w:rsidR="00D517FD">
        <w:rPr>
          <w:rFonts w:ascii="Times New Roman" w:hAnsi="Times New Roman" w:cs="Times New Roman"/>
          <w:sz w:val="24"/>
          <w:szCs w:val="24"/>
        </w:rPr>
        <w:t xml:space="preserve"> and </w:t>
      </w:r>
      <w:proofErr w:type="spellStart"/>
      <w:r w:rsidR="00D517FD">
        <w:rPr>
          <w:rFonts w:ascii="Times New Roman" w:hAnsi="Times New Roman" w:cs="Times New Roman"/>
          <w:sz w:val="24"/>
          <w:szCs w:val="24"/>
        </w:rPr>
        <w:t>Xiong</w:t>
      </w:r>
      <w:proofErr w:type="spellEnd"/>
      <w:r w:rsidR="00D517FD">
        <w:rPr>
          <w:rFonts w:ascii="Times New Roman" w:hAnsi="Times New Roman" w:cs="Times New Roman"/>
          <w:sz w:val="24"/>
          <w:szCs w:val="24"/>
        </w:rPr>
        <w:t xml:space="preserve"> (2012).</w:t>
      </w:r>
    </w:p>
    <w:p w:rsidR="007F36CB" w:rsidRPr="00D8388F" w:rsidRDefault="00C33494" w:rsidP="007F36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24 24) </w:t>
      </w:r>
    </w:p>
    <w:p w:rsidR="00E92FF1" w:rsidRPr="00D8388F" w:rsidRDefault="00E92FF1" w:rsidP="007F36CB">
      <w:pPr>
        <w:spacing w:after="0" w:line="360" w:lineRule="auto"/>
        <w:ind w:firstLine="360"/>
        <w:jc w:val="both"/>
        <w:rPr>
          <w:rFonts w:ascii="Times New Roman" w:hAnsi="Times New Roman" w:cs="Times New Roman"/>
          <w:sz w:val="24"/>
          <w:szCs w:val="24"/>
        </w:rPr>
      </w:pPr>
      <w:r w:rsidRPr="00D8388F">
        <w:rPr>
          <w:rFonts w:ascii="Times New Roman" w:hAnsi="Times New Roman" w:cs="Times New Roman"/>
          <w:sz w:val="24"/>
          <w:szCs w:val="24"/>
        </w:rPr>
        <w:t>Of course,</w:t>
      </w:r>
      <w:r w:rsidR="00D8388F">
        <w:rPr>
          <w:rFonts w:ascii="Times New Roman" w:hAnsi="Times New Roman" w:cs="Times New Roman"/>
          <w:sz w:val="24"/>
          <w:szCs w:val="24"/>
        </w:rPr>
        <w:t xml:space="preserve"> </w:t>
      </w:r>
      <w:r w:rsidRPr="00D8388F">
        <w:rPr>
          <w:rFonts w:ascii="Times New Roman" w:hAnsi="Times New Roman" w:cs="Times New Roman"/>
          <w:sz w:val="24"/>
          <w:szCs w:val="24"/>
        </w:rPr>
        <w:t>once a trend has become established there are a number of features which can extend the trend:</w:t>
      </w:r>
    </w:p>
    <w:p w:rsidR="00E92FF1" w:rsidRPr="00474F34" w:rsidRDefault="00E92FF1" w:rsidP="00EE7FAC">
      <w:pPr>
        <w:pStyle w:val="ListParagraph"/>
        <w:numPr>
          <w:ilvl w:val="0"/>
          <w:numId w:val="6"/>
        </w:numPr>
        <w:spacing w:after="0" w:line="360" w:lineRule="auto"/>
        <w:jc w:val="both"/>
        <w:rPr>
          <w:rFonts w:ascii="Times New Roman" w:hAnsi="Times New Roman" w:cs="Times New Roman"/>
          <w:i/>
          <w:sz w:val="24"/>
          <w:szCs w:val="24"/>
        </w:rPr>
      </w:pPr>
      <w:r w:rsidRPr="00474F34">
        <w:rPr>
          <w:rFonts w:ascii="Times New Roman" w:hAnsi="Times New Roman" w:cs="Times New Roman"/>
          <w:i/>
          <w:sz w:val="24"/>
          <w:szCs w:val="24"/>
        </w:rPr>
        <w:t>Herding and feedback trading</w:t>
      </w:r>
    </w:p>
    <w:p w:rsidR="00E92FF1" w:rsidRPr="00D8388F" w:rsidRDefault="00E92FF1" w:rsidP="001D31C5">
      <w:pPr>
        <w:spacing w:after="0" w:line="360" w:lineRule="auto"/>
        <w:jc w:val="both"/>
        <w:rPr>
          <w:rFonts w:ascii="Times New Roman" w:hAnsi="Times New Roman" w:cs="Times New Roman"/>
          <w:sz w:val="24"/>
          <w:szCs w:val="24"/>
        </w:rPr>
      </w:pPr>
      <w:r w:rsidRPr="00D8388F">
        <w:rPr>
          <w:rFonts w:ascii="Times New Roman" w:hAnsi="Times New Roman" w:cs="Times New Roman"/>
          <w:sz w:val="24"/>
          <w:szCs w:val="24"/>
        </w:rPr>
        <w:t>De Long et al</w:t>
      </w:r>
      <w:r w:rsidR="00D8388F">
        <w:rPr>
          <w:rFonts w:ascii="Times New Roman" w:hAnsi="Times New Roman" w:cs="Times New Roman"/>
          <w:sz w:val="24"/>
          <w:szCs w:val="24"/>
        </w:rPr>
        <w:t xml:space="preserve"> </w:t>
      </w:r>
      <w:r w:rsidRPr="00D8388F">
        <w:rPr>
          <w:rFonts w:ascii="Times New Roman" w:hAnsi="Times New Roman" w:cs="Times New Roman"/>
          <w:sz w:val="24"/>
          <w:szCs w:val="24"/>
        </w:rPr>
        <w:t>(1990) and others argue that when prices start moving up or down for a while then some traders will naturally join the bandwagon and the herding effect will feed on itself;</w:t>
      </w:r>
      <w:r w:rsidR="001D31C5" w:rsidRPr="00D8388F">
        <w:rPr>
          <w:rFonts w:ascii="Times New Roman" w:hAnsi="Times New Roman" w:cs="Times New Roman"/>
          <w:sz w:val="24"/>
          <w:szCs w:val="24"/>
        </w:rPr>
        <w:t xml:space="preserve"> </w:t>
      </w:r>
      <w:r w:rsidRPr="00D8388F">
        <w:rPr>
          <w:rFonts w:ascii="Times New Roman" w:hAnsi="Times New Roman" w:cs="Times New Roman"/>
          <w:sz w:val="24"/>
          <w:szCs w:val="24"/>
        </w:rPr>
        <w:t>this has been observed with equity analysts’</w:t>
      </w:r>
      <w:r w:rsidR="001D31C5" w:rsidRPr="00D8388F">
        <w:rPr>
          <w:rFonts w:ascii="Times New Roman" w:hAnsi="Times New Roman" w:cs="Times New Roman"/>
          <w:sz w:val="24"/>
          <w:szCs w:val="24"/>
        </w:rPr>
        <w:t xml:space="preserve"> </w:t>
      </w:r>
      <w:r w:rsidRPr="00D8388F">
        <w:rPr>
          <w:rFonts w:ascii="Times New Roman" w:hAnsi="Times New Roman" w:cs="Times New Roman"/>
          <w:sz w:val="24"/>
          <w:szCs w:val="24"/>
        </w:rPr>
        <w:t>forecasts and mutual fund investors.</w:t>
      </w:r>
    </w:p>
    <w:p w:rsidR="00E92FF1" w:rsidRPr="00474F34" w:rsidRDefault="00E92FF1" w:rsidP="00EE7FAC">
      <w:pPr>
        <w:pStyle w:val="ListParagraph"/>
        <w:numPr>
          <w:ilvl w:val="0"/>
          <w:numId w:val="6"/>
        </w:numPr>
        <w:spacing w:after="0" w:line="360" w:lineRule="auto"/>
        <w:jc w:val="both"/>
        <w:rPr>
          <w:rFonts w:ascii="Times New Roman" w:hAnsi="Times New Roman" w:cs="Times New Roman"/>
          <w:i/>
          <w:sz w:val="24"/>
          <w:szCs w:val="24"/>
        </w:rPr>
      </w:pPr>
      <w:r w:rsidRPr="00474F34">
        <w:rPr>
          <w:rFonts w:ascii="Times New Roman" w:hAnsi="Times New Roman" w:cs="Times New Roman"/>
          <w:i/>
          <w:sz w:val="24"/>
          <w:szCs w:val="24"/>
        </w:rPr>
        <w:t>Confirmation bias/representativeness</w:t>
      </w:r>
    </w:p>
    <w:p w:rsidR="00E92FF1" w:rsidRPr="00D8388F" w:rsidRDefault="00E92FF1" w:rsidP="001D31C5">
      <w:pPr>
        <w:spacing w:after="0" w:line="360" w:lineRule="auto"/>
        <w:jc w:val="both"/>
        <w:rPr>
          <w:rFonts w:ascii="Times New Roman" w:hAnsi="Times New Roman" w:cs="Times New Roman"/>
          <w:sz w:val="24"/>
          <w:szCs w:val="24"/>
        </w:rPr>
      </w:pPr>
      <w:proofErr w:type="spellStart"/>
      <w:r w:rsidRPr="00D8388F">
        <w:rPr>
          <w:rFonts w:ascii="Times New Roman" w:hAnsi="Times New Roman" w:cs="Times New Roman"/>
          <w:sz w:val="24"/>
          <w:szCs w:val="24"/>
        </w:rPr>
        <w:t>Tversky</w:t>
      </w:r>
      <w:proofErr w:type="spellEnd"/>
      <w:r w:rsidRPr="00D8388F">
        <w:rPr>
          <w:rFonts w:ascii="Times New Roman" w:hAnsi="Times New Roman" w:cs="Times New Roman"/>
          <w:sz w:val="24"/>
          <w:szCs w:val="24"/>
        </w:rPr>
        <w:t xml:space="preserve"> and </w:t>
      </w:r>
      <w:proofErr w:type="spellStart"/>
      <w:r w:rsidRPr="00D8388F">
        <w:rPr>
          <w:rFonts w:ascii="Times New Roman" w:hAnsi="Times New Roman" w:cs="Times New Roman"/>
          <w:sz w:val="24"/>
          <w:szCs w:val="24"/>
        </w:rPr>
        <w:t>Kahneman</w:t>
      </w:r>
      <w:proofErr w:type="spellEnd"/>
      <w:r w:rsidR="00D8388F">
        <w:rPr>
          <w:rFonts w:ascii="Times New Roman" w:hAnsi="Times New Roman" w:cs="Times New Roman"/>
          <w:sz w:val="24"/>
          <w:szCs w:val="24"/>
        </w:rPr>
        <w:t xml:space="preserve"> </w:t>
      </w:r>
      <w:r w:rsidRPr="00D8388F">
        <w:rPr>
          <w:rFonts w:ascii="Times New Roman" w:hAnsi="Times New Roman" w:cs="Times New Roman"/>
          <w:sz w:val="24"/>
          <w:szCs w:val="24"/>
        </w:rPr>
        <w:t>(1974) show that people tend to look for information which they already believe and take recent price changes as representative of the future.</w:t>
      </w:r>
      <w:r w:rsidR="001D31C5" w:rsidRPr="00D8388F">
        <w:rPr>
          <w:rFonts w:ascii="Times New Roman" w:hAnsi="Times New Roman" w:cs="Times New Roman"/>
          <w:sz w:val="24"/>
          <w:szCs w:val="24"/>
        </w:rPr>
        <w:t xml:space="preserve"> </w:t>
      </w:r>
      <w:r w:rsidRPr="00D8388F">
        <w:rPr>
          <w:rFonts w:ascii="Times New Roman" w:hAnsi="Times New Roman" w:cs="Times New Roman"/>
          <w:sz w:val="24"/>
          <w:szCs w:val="24"/>
        </w:rPr>
        <w:t>Hence more investors join the trend:</w:t>
      </w:r>
      <w:r w:rsidR="00D8388F">
        <w:rPr>
          <w:rFonts w:ascii="Times New Roman" w:hAnsi="Times New Roman" w:cs="Times New Roman"/>
          <w:sz w:val="24"/>
          <w:szCs w:val="24"/>
        </w:rPr>
        <w:t xml:space="preserve"> </w:t>
      </w:r>
      <w:r w:rsidRPr="00D8388F">
        <w:rPr>
          <w:rFonts w:ascii="Times New Roman" w:hAnsi="Times New Roman" w:cs="Times New Roman"/>
          <w:sz w:val="24"/>
          <w:szCs w:val="24"/>
        </w:rPr>
        <w:t>it becomes self-reinforcing.</w:t>
      </w:r>
    </w:p>
    <w:p w:rsidR="00E92FF1" w:rsidRPr="00D8388F" w:rsidRDefault="00E92FF1" w:rsidP="008962C9">
      <w:pPr>
        <w:pStyle w:val="ListParagraph"/>
        <w:spacing w:after="0" w:line="360" w:lineRule="auto"/>
        <w:jc w:val="both"/>
        <w:rPr>
          <w:rFonts w:ascii="Times New Roman" w:hAnsi="Times New Roman" w:cs="Times New Roman"/>
          <w:sz w:val="24"/>
          <w:szCs w:val="24"/>
        </w:rPr>
      </w:pPr>
    </w:p>
    <w:p w:rsidR="00E92FF1" w:rsidRDefault="00FD4FB7" w:rsidP="001D31C5">
      <w:pPr>
        <w:spacing w:after="0" w:line="360" w:lineRule="auto"/>
        <w:ind w:firstLine="720"/>
        <w:jc w:val="both"/>
        <w:rPr>
          <w:rFonts w:ascii="Times New Roman" w:hAnsi="Times New Roman" w:cs="Times New Roman"/>
          <w:sz w:val="24"/>
          <w:szCs w:val="24"/>
        </w:rPr>
      </w:pPr>
      <w:r w:rsidRPr="00D8388F">
        <w:rPr>
          <w:rFonts w:ascii="Times New Roman" w:hAnsi="Times New Roman" w:cs="Times New Roman"/>
          <w:sz w:val="24"/>
          <w:szCs w:val="24"/>
        </w:rPr>
        <w:t>Of course eventually prices extend far beyond underlying fundamental value and the trend evaporates:</w:t>
      </w:r>
      <w:r w:rsidR="001D31C5" w:rsidRPr="00D8388F">
        <w:rPr>
          <w:rFonts w:ascii="Times New Roman" w:hAnsi="Times New Roman" w:cs="Times New Roman"/>
          <w:sz w:val="24"/>
          <w:szCs w:val="24"/>
        </w:rPr>
        <w:t xml:space="preserve"> </w:t>
      </w:r>
      <w:r w:rsidR="00D8388F">
        <w:rPr>
          <w:rFonts w:ascii="Times New Roman" w:hAnsi="Times New Roman" w:cs="Times New Roman"/>
          <w:sz w:val="24"/>
          <w:szCs w:val="24"/>
        </w:rPr>
        <w:t>p</w:t>
      </w:r>
      <w:r w:rsidRPr="00D8388F">
        <w:rPr>
          <w:rFonts w:ascii="Times New Roman" w:hAnsi="Times New Roman" w:cs="Times New Roman"/>
          <w:sz w:val="24"/>
          <w:szCs w:val="24"/>
        </w:rPr>
        <w:t>rices may move sideways for a period until new information move prices once more.</w:t>
      </w:r>
    </w:p>
    <w:p w:rsidR="00E91D38" w:rsidRPr="00474F34" w:rsidRDefault="000E5D96" w:rsidP="001D31C5">
      <w:pPr>
        <w:spacing w:after="0" w:line="360" w:lineRule="auto"/>
        <w:ind w:firstLine="720"/>
        <w:jc w:val="both"/>
        <w:rPr>
          <w:rFonts w:ascii="Times New Roman" w:hAnsi="Times New Roman" w:cs="Times New Roman"/>
          <w:sz w:val="24"/>
          <w:szCs w:val="24"/>
        </w:rPr>
      </w:pPr>
      <w:r w:rsidRPr="00474F34">
        <w:rPr>
          <w:rFonts w:ascii="Times New Roman" w:hAnsi="Times New Roman" w:cs="Times New Roman"/>
          <w:sz w:val="24"/>
          <w:szCs w:val="24"/>
        </w:rPr>
        <w:t>An additional feature of our portfolio formation involves a strong preference for rules-based asset allocation when combinin</w:t>
      </w:r>
      <w:r w:rsidR="008E4DAD" w:rsidRPr="00474F34">
        <w:rPr>
          <w:rFonts w:ascii="Times New Roman" w:hAnsi="Times New Roman" w:cs="Times New Roman"/>
          <w:sz w:val="24"/>
          <w:szCs w:val="24"/>
        </w:rPr>
        <w:t>g asset classes.</w:t>
      </w:r>
      <w:r w:rsidR="00E91D38" w:rsidRPr="00474F34">
        <w:rPr>
          <w:rFonts w:ascii="Times New Roman" w:hAnsi="Times New Roman" w:cs="Times New Roman"/>
          <w:sz w:val="24"/>
          <w:szCs w:val="24"/>
        </w:rPr>
        <w:t xml:space="preserve"> </w:t>
      </w:r>
      <w:r w:rsidR="008E4DAD" w:rsidRPr="00474F34">
        <w:rPr>
          <w:rFonts w:ascii="Times New Roman" w:hAnsi="Times New Roman" w:cs="Times New Roman"/>
          <w:sz w:val="24"/>
          <w:szCs w:val="24"/>
        </w:rPr>
        <w:t>Ever since Mich</w:t>
      </w:r>
      <w:r w:rsidRPr="00474F34">
        <w:rPr>
          <w:rFonts w:ascii="Times New Roman" w:hAnsi="Times New Roman" w:cs="Times New Roman"/>
          <w:sz w:val="24"/>
          <w:szCs w:val="24"/>
        </w:rPr>
        <w:t>aud</w:t>
      </w:r>
      <w:r w:rsidR="00E91D38" w:rsidRPr="00474F34">
        <w:rPr>
          <w:rFonts w:ascii="Times New Roman" w:hAnsi="Times New Roman" w:cs="Times New Roman"/>
          <w:sz w:val="24"/>
          <w:szCs w:val="24"/>
        </w:rPr>
        <w:t xml:space="preserve"> </w:t>
      </w:r>
      <w:r w:rsidRPr="00474F34">
        <w:rPr>
          <w:rFonts w:ascii="Times New Roman" w:hAnsi="Times New Roman" w:cs="Times New Roman"/>
          <w:sz w:val="24"/>
          <w:szCs w:val="24"/>
        </w:rPr>
        <w:t>(1989) questioned the efficacy of combining asserts in Mean Variance Efficient portfolios,</w:t>
      </w:r>
      <w:r w:rsidR="00E91D38" w:rsidRPr="00474F34">
        <w:rPr>
          <w:rFonts w:ascii="Times New Roman" w:hAnsi="Times New Roman" w:cs="Times New Roman"/>
          <w:sz w:val="24"/>
          <w:szCs w:val="24"/>
        </w:rPr>
        <w:t xml:space="preserve"> </w:t>
      </w:r>
      <w:r w:rsidRPr="00474F34">
        <w:rPr>
          <w:rFonts w:ascii="Times New Roman" w:hAnsi="Times New Roman" w:cs="Times New Roman"/>
          <w:sz w:val="24"/>
          <w:szCs w:val="24"/>
        </w:rPr>
        <w:t>there has been interest in simple alternative approaches which do not involve generating expected returns,</w:t>
      </w:r>
      <w:r w:rsidR="00E91D38" w:rsidRPr="00474F34">
        <w:rPr>
          <w:rFonts w:ascii="Times New Roman" w:hAnsi="Times New Roman" w:cs="Times New Roman"/>
          <w:sz w:val="24"/>
          <w:szCs w:val="24"/>
        </w:rPr>
        <w:t xml:space="preserve"> </w:t>
      </w:r>
      <w:r w:rsidRPr="00474F34">
        <w:rPr>
          <w:rFonts w:ascii="Times New Roman" w:hAnsi="Times New Roman" w:cs="Times New Roman"/>
          <w:sz w:val="24"/>
          <w:szCs w:val="24"/>
        </w:rPr>
        <w:t xml:space="preserve">variances and </w:t>
      </w:r>
      <w:proofErr w:type="spellStart"/>
      <w:r w:rsidRPr="00474F34">
        <w:rPr>
          <w:rFonts w:ascii="Times New Roman" w:hAnsi="Times New Roman" w:cs="Times New Roman"/>
          <w:sz w:val="24"/>
          <w:szCs w:val="24"/>
        </w:rPr>
        <w:t>covariances</w:t>
      </w:r>
      <w:proofErr w:type="spellEnd"/>
      <w:r w:rsidRPr="00474F34">
        <w:rPr>
          <w:rFonts w:ascii="Times New Roman" w:hAnsi="Times New Roman" w:cs="Times New Roman"/>
          <w:sz w:val="24"/>
          <w:szCs w:val="24"/>
        </w:rPr>
        <w:t>:</w:t>
      </w:r>
      <w:r w:rsidR="00C83592" w:rsidRPr="00474F34">
        <w:rPr>
          <w:rFonts w:ascii="Times New Roman" w:hAnsi="Times New Roman" w:cs="Times New Roman"/>
          <w:sz w:val="24"/>
          <w:szCs w:val="24"/>
        </w:rPr>
        <w:t xml:space="preserve"> s</w:t>
      </w:r>
      <w:r w:rsidRPr="00474F34">
        <w:rPr>
          <w:rFonts w:ascii="Times New Roman" w:hAnsi="Times New Roman" w:cs="Times New Roman"/>
          <w:sz w:val="24"/>
          <w:szCs w:val="24"/>
        </w:rPr>
        <w:t>imple rules may include equal dollar weights or,</w:t>
      </w:r>
      <w:r w:rsidR="00E91D38" w:rsidRPr="00474F34">
        <w:rPr>
          <w:rFonts w:ascii="Times New Roman" w:hAnsi="Times New Roman" w:cs="Times New Roman"/>
          <w:sz w:val="24"/>
          <w:szCs w:val="24"/>
        </w:rPr>
        <w:t xml:space="preserve"> </w:t>
      </w:r>
      <w:r w:rsidRPr="00474F34">
        <w:rPr>
          <w:rFonts w:ascii="Times New Roman" w:hAnsi="Times New Roman" w:cs="Times New Roman"/>
          <w:sz w:val="24"/>
          <w:szCs w:val="24"/>
        </w:rPr>
        <w:t>indeed,</w:t>
      </w:r>
      <w:r w:rsidR="00E91D38" w:rsidRPr="00474F34">
        <w:rPr>
          <w:rFonts w:ascii="Times New Roman" w:hAnsi="Times New Roman" w:cs="Times New Roman"/>
          <w:sz w:val="24"/>
          <w:szCs w:val="24"/>
        </w:rPr>
        <w:t xml:space="preserve"> </w:t>
      </w:r>
      <w:r w:rsidRPr="00474F34">
        <w:rPr>
          <w:rFonts w:ascii="Times New Roman" w:hAnsi="Times New Roman" w:cs="Times New Roman"/>
          <w:sz w:val="24"/>
          <w:szCs w:val="24"/>
        </w:rPr>
        <w:t>equal risk weights,</w:t>
      </w:r>
      <w:r w:rsidR="00E91D38" w:rsidRPr="00474F34">
        <w:rPr>
          <w:rFonts w:ascii="Times New Roman" w:hAnsi="Times New Roman" w:cs="Times New Roman"/>
          <w:sz w:val="24"/>
          <w:szCs w:val="24"/>
        </w:rPr>
        <w:t xml:space="preserve"> </w:t>
      </w:r>
      <w:r w:rsidRPr="00474F34">
        <w:rPr>
          <w:rFonts w:ascii="Times New Roman" w:hAnsi="Times New Roman" w:cs="Times New Roman"/>
          <w:sz w:val="24"/>
          <w:szCs w:val="24"/>
        </w:rPr>
        <w:t>so-called ‘risk parity’.</w:t>
      </w:r>
      <w:r w:rsidR="00E91D38" w:rsidRPr="00474F34">
        <w:rPr>
          <w:rFonts w:ascii="Times New Roman" w:hAnsi="Times New Roman" w:cs="Times New Roman"/>
          <w:sz w:val="24"/>
          <w:szCs w:val="24"/>
        </w:rPr>
        <w:t xml:space="preserve"> </w:t>
      </w:r>
      <w:r w:rsidRPr="00474F34">
        <w:rPr>
          <w:rFonts w:ascii="Times New Roman" w:hAnsi="Times New Roman" w:cs="Times New Roman"/>
          <w:sz w:val="24"/>
          <w:szCs w:val="24"/>
        </w:rPr>
        <w:t>The latter has been especially popular of late,</w:t>
      </w:r>
      <w:r w:rsidR="00E91D38" w:rsidRPr="00474F34">
        <w:rPr>
          <w:rFonts w:ascii="Times New Roman" w:hAnsi="Times New Roman" w:cs="Times New Roman"/>
          <w:sz w:val="24"/>
          <w:szCs w:val="24"/>
        </w:rPr>
        <w:t xml:space="preserve"> </w:t>
      </w:r>
      <w:r w:rsidRPr="00474F34">
        <w:rPr>
          <w:rFonts w:ascii="Times New Roman" w:hAnsi="Times New Roman" w:cs="Times New Roman"/>
          <w:sz w:val="24"/>
          <w:szCs w:val="24"/>
        </w:rPr>
        <w:t>probably because of the</w:t>
      </w:r>
      <w:r w:rsidR="008E4DAD" w:rsidRPr="00474F34">
        <w:rPr>
          <w:rFonts w:ascii="Times New Roman" w:hAnsi="Times New Roman" w:cs="Times New Roman"/>
          <w:sz w:val="24"/>
          <w:szCs w:val="24"/>
        </w:rPr>
        <w:t xml:space="preserve"> low interest rate environment.</w:t>
      </w:r>
      <w:r w:rsidR="00E91D38" w:rsidRPr="00474F34">
        <w:rPr>
          <w:rFonts w:ascii="Times New Roman" w:hAnsi="Times New Roman" w:cs="Times New Roman"/>
          <w:sz w:val="24"/>
          <w:szCs w:val="24"/>
        </w:rPr>
        <w:t xml:space="preserve"> </w:t>
      </w:r>
      <w:r w:rsidR="008E4DAD" w:rsidRPr="00474F34">
        <w:rPr>
          <w:rFonts w:ascii="Times New Roman" w:hAnsi="Times New Roman" w:cs="Times New Roman"/>
          <w:sz w:val="24"/>
          <w:szCs w:val="24"/>
        </w:rPr>
        <w:t xml:space="preserve">Some researchers </w:t>
      </w:r>
      <w:r w:rsidR="00E565B1" w:rsidRPr="00474F34">
        <w:rPr>
          <w:rFonts w:ascii="Times New Roman" w:hAnsi="Times New Roman" w:cs="Times New Roman"/>
          <w:sz w:val="24"/>
          <w:szCs w:val="24"/>
        </w:rPr>
        <w:t>have compared such simple rules with more conventional rules due to Markowitz,</w:t>
      </w:r>
      <w:r w:rsidR="00E91D38" w:rsidRPr="00474F34">
        <w:rPr>
          <w:rFonts w:ascii="Times New Roman" w:hAnsi="Times New Roman" w:cs="Times New Roman"/>
          <w:sz w:val="24"/>
          <w:szCs w:val="24"/>
        </w:rPr>
        <w:t xml:space="preserve"> </w:t>
      </w:r>
      <w:r w:rsidR="00E565B1" w:rsidRPr="00474F34">
        <w:rPr>
          <w:rFonts w:ascii="Times New Roman" w:hAnsi="Times New Roman" w:cs="Times New Roman"/>
          <w:sz w:val="24"/>
          <w:szCs w:val="24"/>
        </w:rPr>
        <w:t>both with and without perfect foresight,</w:t>
      </w:r>
      <w:r w:rsidR="00E91D38" w:rsidRPr="00474F34">
        <w:rPr>
          <w:rFonts w:ascii="Times New Roman" w:hAnsi="Times New Roman" w:cs="Times New Roman"/>
          <w:sz w:val="24"/>
          <w:szCs w:val="24"/>
        </w:rPr>
        <w:t xml:space="preserve"> </w:t>
      </w:r>
      <w:r w:rsidR="00E565B1" w:rsidRPr="00474F34">
        <w:rPr>
          <w:rFonts w:ascii="Times New Roman" w:hAnsi="Times New Roman" w:cs="Times New Roman"/>
          <w:sz w:val="24"/>
          <w:szCs w:val="24"/>
        </w:rPr>
        <w:t>and find that the former are superior in terms of Sharpe and other performance metrics</w:t>
      </w:r>
      <w:r w:rsidR="00E91D38" w:rsidRPr="00474F34">
        <w:rPr>
          <w:rFonts w:ascii="Times New Roman" w:hAnsi="Times New Roman" w:cs="Times New Roman"/>
          <w:sz w:val="24"/>
          <w:szCs w:val="24"/>
        </w:rPr>
        <w:t xml:space="preserve"> </w:t>
      </w:r>
      <w:r w:rsidR="00E565B1" w:rsidRPr="00474F34">
        <w:rPr>
          <w:rFonts w:ascii="Times New Roman" w:hAnsi="Times New Roman" w:cs="Times New Roman"/>
          <w:sz w:val="24"/>
          <w:szCs w:val="24"/>
        </w:rPr>
        <w:t>(see,</w:t>
      </w:r>
      <w:r w:rsidR="00E91D38" w:rsidRPr="00474F34">
        <w:rPr>
          <w:rFonts w:ascii="Times New Roman" w:hAnsi="Times New Roman" w:cs="Times New Roman"/>
          <w:sz w:val="24"/>
          <w:szCs w:val="24"/>
        </w:rPr>
        <w:t xml:space="preserve"> for </w:t>
      </w:r>
      <w:r w:rsidR="00E565B1" w:rsidRPr="00474F34">
        <w:rPr>
          <w:rFonts w:ascii="Times New Roman" w:hAnsi="Times New Roman" w:cs="Times New Roman"/>
          <w:sz w:val="24"/>
          <w:szCs w:val="24"/>
        </w:rPr>
        <w:t>example,</w:t>
      </w:r>
      <w:r w:rsidR="00E91D38" w:rsidRPr="00474F34">
        <w:rPr>
          <w:rFonts w:ascii="Times New Roman" w:hAnsi="Times New Roman" w:cs="Times New Roman"/>
          <w:sz w:val="24"/>
          <w:szCs w:val="24"/>
        </w:rPr>
        <w:t xml:space="preserve"> </w:t>
      </w:r>
      <w:proofErr w:type="spellStart"/>
      <w:r w:rsidR="00E91D38" w:rsidRPr="00474F34">
        <w:rPr>
          <w:rFonts w:ascii="Times New Roman" w:hAnsi="Times New Roman" w:cs="Times New Roman"/>
          <w:sz w:val="24"/>
          <w:szCs w:val="24"/>
        </w:rPr>
        <w:t>Chaves</w:t>
      </w:r>
      <w:proofErr w:type="spellEnd"/>
      <w:r w:rsidR="00E91D38" w:rsidRPr="00474F34">
        <w:rPr>
          <w:rFonts w:ascii="Times New Roman" w:hAnsi="Times New Roman" w:cs="Times New Roman"/>
          <w:sz w:val="24"/>
          <w:szCs w:val="24"/>
        </w:rPr>
        <w:t xml:space="preserve"> et al, 2011).</w:t>
      </w:r>
    </w:p>
    <w:p w:rsidR="00E91D38" w:rsidRPr="00474F34" w:rsidRDefault="00E91D38" w:rsidP="001D31C5">
      <w:pPr>
        <w:spacing w:after="0" w:line="360" w:lineRule="auto"/>
        <w:ind w:firstLine="720"/>
        <w:jc w:val="both"/>
        <w:rPr>
          <w:rFonts w:ascii="Times New Roman" w:hAnsi="Times New Roman" w:cs="Times New Roman"/>
          <w:sz w:val="24"/>
          <w:szCs w:val="24"/>
        </w:rPr>
      </w:pPr>
    </w:p>
    <w:p w:rsidR="00E565B1" w:rsidRPr="00474F34" w:rsidRDefault="00E565B1" w:rsidP="001D31C5">
      <w:pPr>
        <w:spacing w:after="0" w:line="360" w:lineRule="auto"/>
        <w:ind w:firstLine="720"/>
        <w:jc w:val="both"/>
        <w:rPr>
          <w:rFonts w:ascii="Times New Roman" w:hAnsi="Times New Roman" w:cs="Times New Roman"/>
          <w:sz w:val="24"/>
          <w:szCs w:val="24"/>
        </w:rPr>
      </w:pPr>
      <w:r w:rsidRPr="00474F34">
        <w:rPr>
          <w:rFonts w:ascii="Times New Roman" w:hAnsi="Times New Roman" w:cs="Times New Roman"/>
          <w:sz w:val="24"/>
          <w:szCs w:val="24"/>
        </w:rPr>
        <w:lastRenderedPageBreak/>
        <w:t>Why should such simple rules perform so well?</w:t>
      </w:r>
      <w:r w:rsidR="00E91D38" w:rsidRPr="00474F34">
        <w:rPr>
          <w:rFonts w:ascii="Times New Roman" w:hAnsi="Times New Roman" w:cs="Times New Roman"/>
          <w:sz w:val="24"/>
          <w:szCs w:val="24"/>
        </w:rPr>
        <w:t xml:space="preserve"> </w:t>
      </w:r>
      <w:r w:rsidRPr="00474F34">
        <w:rPr>
          <w:rFonts w:ascii="Times New Roman" w:hAnsi="Times New Roman" w:cs="Times New Roman"/>
          <w:sz w:val="24"/>
          <w:szCs w:val="24"/>
        </w:rPr>
        <w:t>We believe that the discipline of rules-based construction has clear advantages over attempting to forecast returns in a noisy world which also incorporates substantial behavioural biases:</w:t>
      </w:r>
      <w:r w:rsidR="00E91D38" w:rsidRPr="00474F34">
        <w:rPr>
          <w:rFonts w:ascii="Times New Roman" w:hAnsi="Times New Roman" w:cs="Times New Roman"/>
          <w:sz w:val="24"/>
          <w:szCs w:val="24"/>
        </w:rPr>
        <w:t xml:space="preserve"> </w:t>
      </w:r>
      <w:r w:rsidRPr="00474F34">
        <w:rPr>
          <w:rFonts w:ascii="Times New Roman" w:hAnsi="Times New Roman" w:cs="Times New Roman"/>
          <w:sz w:val="24"/>
          <w:szCs w:val="24"/>
        </w:rPr>
        <w:t>over-reliance on recent information</w:t>
      </w:r>
      <w:r w:rsidR="003162F3" w:rsidRPr="00474F34">
        <w:rPr>
          <w:rFonts w:ascii="Times New Roman" w:hAnsi="Times New Roman" w:cs="Times New Roman"/>
          <w:sz w:val="24"/>
          <w:szCs w:val="24"/>
        </w:rPr>
        <w:t xml:space="preserve"> is but one simple example of biases which could adversely affect such forecasts.</w:t>
      </w:r>
      <w:r w:rsidR="00E91D38" w:rsidRPr="00474F34">
        <w:rPr>
          <w:rFonts w:ascii="Times New Roman" w:hAnsi="Times New Roman" w:cs="Times New Roman"/>
          <w:sz w:val="24"/>
          <w:szCs w:val="24"/>
        </w:rPr>
        <w:t xml:space="preserve"> </w:t>
      </w:r>
      <w:r w:rsidR="003162F3" w:rsidRPr="00474F34">
        <w:rPr>
          <w:rFonts w:ascii="Times New Roman" w:hAnsi="Times New Roman" w:cs="Times New Roman"/>
          <w:sz w:val="24"/>
          <w:szCs w:val="24"/>
        </w:rPr>
        <w:t>Simple rules avoid behavioural biases in portfolio formation.</w:t>
      </w:r>
    </w:p>
    <w:p w:rsidR="00AE5293" w:rsidRPr="00474F34" w:rsidRDefault="00AE5293" w:rsidP="001212DF">
      <w:pPr>
        <w:spacing w:after="0" w:line="360" w:lineRule="auto"/>
        <w:jc w:val="both"/>
        <w:rPr>
          <w:rFonts w:ascii="Times New Roman" w:hAnsi="Times New Roman" w:cs="Times New Roman"/>
          <w:sz w:val="24"/>
          <w:szCs w:val="24"/>
        </w:rPr>
      </w:pPr>
    </w:p>
    <w:p w:rsidR="002D05A0" w:rsidRPr="00320A82" w:rsidRDefault="00624B0F" w:rsidP="001212DF">
      <w:pPr>
        <w:spacing w:after="0" w:line="360" w:lineRule="auto"/>
        <w:jc w:val="both"/>
        <w:rPr>
          <w:rFonts w:ascii="Times New Roman" w:hAnsi="Times New Roman" w:cs="Times New Roman"/>
          <w:b/>
          <w:sz w:val="24"/>
          <w:szCs w:val="24"/>
        </w:rPr>
      </w:pPr>
      <w:r w:rsidRPr="00474F34">
        <w:rPr>
          <w:rFonts w:ascii="Times New Roman" w:hAnsi="Times New Roman" w:cs="Times New Roman"/>
          <w:b/>
          <w:sz w:val="24"/>
          <w:szCs w:val="24"/>
        </w:rPr>
        <w:t>3. Results</w:t>
      </w:r>
    </w:p>
    <w:p w:rsidR="002D05A0" w:rsidRPr="00320A82" w:rsidRDefault="00624B0F" w:rsidP="001212DF">
      <w:pPr>
        <w:spacing w:after="0" w:line="360" w:lineRule="auto"/>
        <w:jc w:val="both"/>
        <w:rPr>
          <w:rFonts w:ascii="Times New Roman" w:hAnsi="Times New Roman" w:cs="Times New Roman"/>
          <w:i/>
          <w:sz w:val="24"/>
          <w:szCs w:val="24"/>
        </w:rPr>
      </w:pPr>
      <w:r w:rsidRPr="00320A82">
        <w:rPr>
          <w:rFonts w:ascii="Times New Roman" w:hAnsi="Times New Roman" w:cs="Times New Roman"/>
          <w:i/>
          <w:sz w:val="24"/>
          <w:szCs w:val="24"/>
        </w:rPr>
        <w:t xml:space="preserve">3.1. </w:t>
      </w:r>
      <w:r w:rsidR="006C6462" w:rsidRPr="00320A82">
        <w:rPr>
          <w:rFonts w:ascii="Times New Roman" w:hAnsi="Times New Roman" w:cs="Times New Roman"/>
          <w:i/>
          <w:sz w:val="24"/>
          <w:szCs w:val="24"/>
        </w:rPr>
        <w:t xml:space="preserve">Trend following and risk parity applied to the five broad asset classes </w:t>
      </w:r>
    </w:p>
    <w:p w:rsidR="002D05A0" w:rsidRPr="00320A82" w:rsidRDefault="004C2F83" w:rsidP="001212DF">
      <w:pPr>
        <w:spacing w:after="0" w:line="360" w:lineRule="auto"/>
        <w:jc w:val="both"/>
        <w:rPr>
          <w:rFonts w:ascii="Times New Roman" w:hAnsi="Times New Roman" w:cs="Times New Roman"/>
          <w:sz w:val="24"/>
          <w:szCs w:val="24"/>
        </w:rPr>
      </w:pPr>
      <w:r w:rsidRPr="00320A82">
        <w:rPr>
          <w:rFonts w:ascii="Times New Roman" w:hAnsi="Times New Roman" w:cs="Times New Roman"/>
          <w:sz w:val="24"/>
          <w:szCs w:val="24"/>
        </w:rPr>
        <w:t xml:space="preserve">We first examine the five broad asset class </w:t>
      </w:r>
      <w:r w:rsidR="00DA3F15" w:rsidRPr="00320A82">
        <w:rPr>
          <w:rFonts w:ascii="Times New Roman" w:hAnsi="Times New Roman" w:cs="Times New Roman"/>
          <w:sz w:val="24"/>
          <w:szCs w:val="24"/>
        </w:rPr>
        <w:t>indices</w:t>
      </w:r>
      <w:r w:rsidRPr="00320A82">
        <w:rPr>
          <w:rFonts w:ascii="Times New Roman" w:hAnsi="Times New Roman" w:cs="Times New Roman"/>
          <w:sz w:val="24"/>
          <w:szCs w:val="24"/>
        </w:rPr>
        <w:t xml:space="preserve">. </w:t>
      </w:r>
      <w:r w:rsidR="008102E3" w:rsidRPr="00320A82">
        <w:rPr>
          <w:rFonts w:ascii="Times New Roman" w:hAnsi="Times New Roman" w:cs="Times New Roman"/>
          <w:sz w:val="24"/>
          <w:szCs w:val="24"/>
        </w:rPr>
        <w:t>Panel</w:t>
      </w:r>
      <w:r w:rsidR="004B523B" w:rsidRPr="00320A82">
        <w:rPr>
          <w:rFonts w:ascii="Times New Roman" w:hAnsi="Times New Roman" w:cs="Times New Roman"/>
          <w:sz w:val="24"/>
          <w:szCs w:val="24"/>
        </w:rPr>
        <w:t xml:space="preserve"> </w:t>
      </w:r>
      <w:proofErr w:type="gramStart"/>
      <w:r w:rsidR="005C1F9D" w:rsidRPr="00320A82">
        <w:rPr>
          <w:rFonts w:ascii="Times New Roman" w:hAnsi="Times New Roman" w:cs="Times New Roman"/>
          <w:sz w:val="24"/>
          <w:szCs w:val="24"/>
        </w:rPr>
        <w:t>A</w:t>
      </w:r>
      <w:proofErr w:type="gramEnd"/>
      <w:r w:rsidR="008102E3" w:rsidRPr="00320A82">
        <w:rPr>
          <w:rFonts w:ascii="Times New Roman" w:hAnsi="Times New Roman" w:cs="Times New Roman"/>
          <w:sz w:val="24"/>
          <w:szCs w:val="24"/>
        </w:rPr>
        <w:t xml:space="preserve"> of </w:t>
      </w:r>
      <w:r w:rsidR="002D05A0" w:rsidRPr="00320A82">
        <w:rPr>
          <w:rFonts w:ascii="Times New Roman" w:hAnsi="Times New Roman" w:cs="Times New Roman"/>
          <w:sz w:val="24"/>
          <w:szCs w:val="24"/>
        </w:rPr>
        <w:t xml:space="preserve">Table 1 shows </w:t>
      </w:r>
      <w:r w:rsidR="005C1F9D" w:rsidRPr="00320A82">
        <w:rPr>
          <w:rFonts w:ascii="Times New Roman" w:hAnsi="Times New Roman" w:cs="Times New Roman"/>
          <w:sz w:val="24"/>
          <w:szCs w:val="24"/>
        </w:rPr>
        <w:t>the perfo</w:t>
      </w:r>
      <w:r w:rsidRPr="00320A82">
        <w:rPr>
          <w:rFonts w:ascii="Times New Roman" w:hAnsi="Times New Roman" w:cs="Times New Roman"/>
          <w:sz w:val="24"/>
          <w:szCs w:val="24"/>
        </w:rPr>
        <w:t>rmance of these during</w:t>
      </w:r>
      <w:r w:rsidR="005573BA">
        <w:rPr>
          <w:rFonts w:ascii="Times New Roman" w:hAnsi="Times New Roman" w:cs="Times New Roman"/>
          <w:sz w:val="24"/>
          <w:szCs w:val="24"/>
        </w:rPr>
        <w:t xml:space="preserve"> 1994-2015</w:t>
      </w:r>
      <w:r w:rsidR="002D05A0" w:rsidRPr="00320A82">
        <w:rPr>
          <w:rFonts w:ascii="Times New Roman" w:hAnsi="Times New Roman" w:cs="Times New Roman"/>
          <w:sz w:val="24"/>
          <w:szCs w:val="24"/>
        </w:rPr>
        <w:t>. Compound returns range from approx</w:t>
      </w:r>
      <w:r w:rsidRPr="00320A82">
        <w:rPr>
          <w:rFonts w:ascii="Times New Roman" w:hAnsi="Times New Roman" w:cs="Times New Roman"/>
          <w:sz w:val="24"/>
          <w:szCs w:val="24"/>
        </w:rPr>
        <w:t>imately</w:t>
      </w:r>
      <w:r w:rsidR="002D05A0" w:rsidRPr="00320A82">
        <w:rPr>
          <w:rFonts w:ascii="Times New Roman" w:hAnsi="Times New Roman" w:cs="Times New Roman"/>
          <w:sz w:val="24"/>
          <w:szCs w:val="24"/>
        </w:rPr>
        <w:t xml:space="preserve"> 5</w:t>
      </w:r>
      <w:r w:rsidRPr="00320A82">
        <w:rPr>
          <w:rFonts w:ascii="Times New Roman" w:hAnsi="Times New Roman" w:cs="Times New Roman"/>
          <w:sz w:val="24"/>
          <w:szCs w:val="24"/>
        </w:rPr>
        <w:t>% to</w:t>
      </w:r>
      <w:r w:rsidR="00C46F24" w:rsidRPr="00320A82">
        <w:rPr>
          <w:rFonts w:ascii="Times New Roman" w:hAnsi="Times New Roman" w:cs="Times New Roman"/>
          <w:sz w:val="24"/>
          <w:szCs w:val="24"/>
        </w:rPr>
        <w:t xml:space="preserve"> </w:t>
      </w:r>
      <w:r w:rsidR="005573BA">
        <w:rPr>
          <w:rFonts w:ascii="Times New Roman" w:hAnsi="Times New Roman" w:cs="Times New Roman"/>
          <w:sz w:val="24"/>
          <w:szCs w:val="24"/>
        </w:rPr>
        <w:t>8</w:t>
      </w:r>
      <w:r w:rsidR="002D05A0" w:rsidRPr="00320A82">
        <w:rPr>
          <w:rFonts w:ascii="Times New Roman" w:hAnsi="Times New Roman" w:cs="Times New Roman"/>
          <w:sz w:val="24"/>
          <w:szCs w:val="24"/>
        </w:rPr>
        <w:t>% although on a risk-adjusted ba</w:t>
      </w:r>
      <w:r w:rsidR="005C1F9D" w:rsidRPr="00320A82">
        <w:rPr>
          <w:rFonts w:ascii="Times New Roman" w:hAnsi="Times New Roman" w:cs="Times New Roman"/>
          <w:sz w:val="24"/>
          <w:szCs w:val="24"/>
        </w:rPr>
        <w:t>sis bonds were the clear winner with a</w:t>
      </w:r>
      <w:r w:rsidR="005573BA">
        <w:rPr>
          <w:rFonts w:ascii="Times New Roman" w:hAnsi="Times New Roman" w:cs="Times New Roman"/>
          <w:sz w:val="24"/>
          <w:szCs w:val="24"/>
        </w:rPr>
        <w:t xml:space="preserve"> Sharpe ratio of 0.81</w:t>
      </w:r>
      <w:r w:rsidR="002D05A0" w:rsidRPr="00320A82">
        <w:rPr>
          <w:rFonts w:ascii="Times New Roman" w:hAnsi="Times New Roman" w:cs="Times New Roman"/>
          <w:sz w:val="24"/>
          <w:szCs w:val="24"/>
        </w:rPr>
        <w:t xml:space="preserve"> compared to 0.1</w:t>
      </w:r>
      <w:r w:rsidR="00C46F24" w:rsidRPr="00320A82">
        <w:rPr>
          <w:rFonts w:ascii="Times New Roman" w:hAnsi="Times New Roman" w:cs="Times New Roman"/>
          <w:sz w:val="24"/>
          <w:szCs w:val="24"/>
        </w:rPr>
        <w:t xml:space="preserve"> to </w:t>
      </w:r>
      <w:r w:rsidR="005573BA">
        <w:rPr>
          <w:rFonts w:ascii="Times New Roman" w:hAnsi="Times New Roman" w:cs="Times New Roman"/>
          <w:sz w:val="24"/>
          <w:szCs w:val="24"/>
        </w:rPr>
        <w:t>0.3</w:t>
      </w:r>
      <w:r w:rsidR="002D05A0" w:rsidRPr="00320A82">
        <w:rPr>
          <w:rFonts w:ascii="Times New Roman" w:hAnsi="Times New Roman" w:cs="Times New Roman"/>
          <w:sz w:val="24"/>
          <w:szCs w:val="24"/>
        </w:rPr>
        <w:t xml:space="preserve"> for other assets. All of the latter also experienced a drawdown in ex</w:t>
      </w:r>
      <w:r w:rsidR="005C1F9D" w:rsidRPr="00320A82">
        <w:rPr>
          <w:rFonts w:ascii="Times New Roman" w:hAnsi="Times New Roman" w:cs="Times New Roman"/>
          <w:sz w:val="24"/>
          <w:szCs w:val="24"/>
        </w:rPr>
        <w:t xml:space="preserve">cess of 50% during </w:t>
      </w:r>
      <w:r w:rsidR="00C46F24" w:rsidRPr="00320A82">
        <w:rPr>
          <w:rFonts w:ascii="Times New Roman" w:hAnsi="Times New Roman" w:cs="Times New Roman"/>
          <w:sz w:val="24"/>
          <w:szCs w:val="24"/>
        </w:rPr>
        <w:t xml:space="preserve">the sample </w:t>
      </w:r>
      <w:r w:rsidR="005C1F9D" w:rsidRPr="00320A82">
        <w:rPr>
          <w:rFonts w:ascii="Times New Roman" w:hAnsi="Times New Roman" w:cs="Times New Roman"/>
          <w:sz w:val="24"/>
          <w:szCs w:val="24"/>
        </w:rPr>
        <w:t>period whereas bonds never had a drawdown of more than 5%.</w:t>
      </w:r>
    </w:p>
    <w:p w:rsidR="001212DF" w:rsidRPr="00320A82" w:rsidRDefault="001212DF" w:rsidP="001212DF">
      <w:pPr>
        <w:spacing w:after="0" w:line="360" w:lineRule="auto"/>
        <w:jc w:val="both"/>
        <w:rPr>
          <w:rFonts w:ascii="Times New Roman" w:hAnsi="Times New Roman" w:cs="Times New Roman"/>
          <w:sz w:val="24"/>
          <w:szCs w:val="24"/>
        </w:rPr>
      </w:pPr>
    </w:p>
    <w:p w:rsidR="008102E3" w:rsidRPr="00320A82" w:rsidRDefault="0018307C" w:rsidP="00D8388F">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The </w:t>
      </w:r>
      <w:r w:rsidR="00367E7D" w:rsidRPr="00320A82">
        <w:rPr>
          <w:rFonts w:ascii="Times New Roman" w:hAnsi="Times New Roman" w:cs="Times New Roman"/>
          <w:sz w:val="24"/>
          <w:szCs w:val="24"/>
        </w:rPr>
        <w:t>performance statistics</w:t>
      </w:r>
      <w:r w:rsidR="00C46F24" w:rsidRPr="00320A82">
        <w:rPr>
          <w:rFonts w:ascii="Times New Roman" w:hAnsi="Times New Roman" w:cs="Times New Roman"/>
          <w:sz w:val="24"/>
          <w:szCs w:val="24"/>
        </w:rPr>
        <w:t xml:space="preserve"> presented in the </w:t>
      </w:r>
      <w:r w:rsidRPr="00320A82">
        <w:rPr>
          <w:rFonts w:ascii="Times New Roman" w:hAnsi="Times New Roman" w:cs="Times New Roman"/>
          <w:sz w:val="24"/>
          <w:szCs w:val="24"/>
        </w:rPr>
        <w:t>left-hand column of Panel B</w:t>
      </w:r>
      <w:r w:rsidR="008102E3" w:rsidRPr="00320A82">
        <w:rPr>
          <w:rFonts w:ascii="Times New Roman" w:hAnsi="Times New Roman" w:cs="Times New Roman"/>
          <w:sz w:val="24"/>
          <w:szCs w:val="24"/>
        </w:rPr>
        <w:t xml:space="preserve"> of Table 1 </w:t>
      </w:r>
      <w:r w:rsidR="00367E7D" w:rsidRPr="00320A82">
        <w:rPr>
          <w:rFonts w:ascii="Times New Roman" w:hAnsi="Times New Roman" w:cs="Times New Roman"/>
          <w:sz w:val="24"/>
          <w:szCs w:val="24"/>
        </w:rPr>
        <w:t xml:space="preserve">are generated by </w:t>
      </w:r>
      <w:r w:rsidR="00085845">
        <w:rPr>
          <w:rFonts w:ascii="Times New Roman" w:hAnsi="Times New Roman" w:cs="Times New Roman"/>
          <w:sz w:val="24"/>
          <w:szCs w:val="24"/>
        </w:rPr>
        <w:t>a</w:t>
      </w:r>
      <w:r w:rsidR="008102E3" w:rsidRPr="00320A82">
        <w:rPr>
          <w:rFonts w:ascii="Times New Roman" w:hAnsi="Times New Roman" w:cs="Times New Roman"/>
          <w:sz w:val="24"/>
          <w:szCs w:val="24"/>
        </w:rPr>
        <w:t xml:space="preserve"> portfolio with 20% invested in each of the </w:t>
      </w:r>
      <w:r w:rsidR="001C43D8" w:rsidRPr="00320A82">
        <w:rPr>
          <w:rFonts w:ascii="Times New Roman" w:hAnsi="Times New Roman" w:cs="Times New Roman"/>
          <w:sz w:val="24"/>
          <w:szCs w:val="24"/>
        </w:rPr>
        <w:t>five</w:t>
      </w:r>
      <w:r w:rsidR="008102E3" w:rsidRPr="00320A82">
        <w:rPr>
          <w:rFonts w:ascii="Times New Roman" w:hAnsi="Times New Roman" w:cs="Times New Roman"/>
          <w:sz w:val="24"/>
          <w:szCs w:val="24"/>
        </w:rPr>
        <w:t xml:space="preserve"> </w:t>
      </w:r>
      <w:r w:rsidR="00C46F24" w:rsidRPr="00320A82">
        <w:rPr>
          <w:rFonts w:ascii="Times New Roman" w:hAnsi="Times New Roman" w:cs="Times New Roman"/>
          <w:sz w:val="24"/>
          <w:szCs w:val="24"/>
        </w:rPr>
        <w:t xml:space="preserve">broad </w:t>
      </w:r>
      <w:r w:rsidR="008102E3" w:rsidRPr="00320A82">
        <w:rPr>
          <w:rFonts w:ascii="Times New Roman" w:hAnsi="Times New Roman" w:cs="Times New Roman"/>
          <w:sz w:val="24"/>
          <w:szCs w:val="24"/>
        </w:rPr>
        <w:t>asset</w:t>
      </w:r>
      <w:r w:rsidR="00C46F24" w:rsidRPr="00320A82">
        <w:rPr>
          <w:rFonts w:ascii="Times New Roman" w:hAnsi="Times New Roman" w:cs="Times New Roman"/>
          <w:sz w:val="24"/>
          <w:szCs w:val="24"/>
        </w:rPr>
        <w:t xml:space="preserve"> classe</w:t>
      </w:r>
      <w:r w:rsidR="008102E3" w:rsidRPr="00320A82">
        <w:rPr>
          <w:rFonts w:ascii="Times New Roman" w:hAnsi="Times New Roman" w:cs="Times New Roman"/>
          <w:sz w:val="24"/>
          <w:szCs w:val="24"/>
        </w:rPr>
        <w:t xml:space="preserve">s with monthly rebalancing. </w:t>
      </w:r>
      <w:r w:rsidR="00C46F24" w:rsidRPr="00320A82">
        <w:rPr>
          <w:rFonts w:ascii="Times New Roman" w:hAnsi="Times New Roman" w:cs="Times New Roman"/>
          <w:sz w:val="24"/>
          <w:szCs w:val="24"/>
        </w:rPr>
        <w:t xml:space="preserve"> </w:t>
      </w:r>
      <w:r w:rsidR="008102E3" w:rsidRPr="00320A82">
        <w:rPr>
          <w:rFonts w:ascii="Times New Roman" w:hAnsi="Times New Roman" w:cs="Times New Roman"/>
          <w:sz w:val="24"/>
          <w:szCs w:val="24"/>
        </w:rPr>
        <w:t xml:space="preserve">This </w:t>
      </w:r>
      <w:r w:rsidR="00C46F24" w:rsidRPr="00320A82">
        <w:rPr>
          <w:rFonts w:ascii="Times New Roman" w:hAnsi="Times New Roman" w:cs="Times New Roman"/>
          <w:sz w:val="24"/>
          <w:szCs w:val="24"/>
        </w:rPr>
        <w:t xml:space="preserve">portfolio </w:t>
      </w:r>
      <w:r w:rsidR="008102E3" w:rsidRPr="00320A82">
        <w:rPr>
          <w:rFonts w:ascii="Times New Roman" w:hAnsi="Times New Roman" w:cs="Times New Roman"/>
          <w:sz w:val="24"/>
          <w:szCs w:val="24"/>
        </w:rPr>
        <w:t>has better risk-adjusted performance than all of the individual asset</w:t>
      </w:r>
      <w:r w:rsidR="00C46F24" w:rsidRPr="00320A82">
        <w:rPr>
          <w:rFonts w:ascii="Times New Roman" w:hAnsi="Times New Roman" w:cs="Times New Roman"/>
          <w:sz w:val="24"/>
          <w:szCs w:val="24"/>
        </w:rPr>
        <w:t xml:space="preserve"> classe</w:t>
      </w:r>
      <w:r w:rsidR="008102E3" w:rsidRPr="00320A82">
        <w:rPr>
          <w:rFonts w:ascii="Times New Roman" w:hAnsi="Times New Roman" w:cs="Times New Roman"/>
          <w:sz w:val="24"/>
          <w:szCs w:val="24"/>
        </w:rPr>
        <w:t xml:space="preserve">s </w:t>
      </w:r>
      <w:r w:rsidR="00C46F24" w:rsidRPr="00320A82">
        <w:rPr>
          <w:rFonts w:ascii="Times New Roman" w:hAnsi="Times New Roman" w:cs="Times New Roman"/>
          <w:sz w:val="24"/>
          <w:szCs w:val="24"/>
        </w:rPr>
        <w:t xml:space="preserve">(shown in Panel </w:t>
      </w:r>
      <w:proofErr w:type="gramStart"/>
      <w:r w:rsidR="00C46F24" w:rsidRPr="00320A82">
        <w:rPr>
          <w:rFonts w:ascii="Times New Roman" w:hAnsi="Times New Roman" w:cs="Times New Roman"/>
          <w:sz w:val="24"/>
          <w:szCs w:val="24"/>
        </w:rPr>
        <w:t>A</w:t>
      </w:r>
      <w:proofErr w:type="gramEnd"/>
      <w:r w:rsidR="00C46F24" w:rsidRPr="00320A82">
        <w:rPr>
          <w:rFonts w:ascii="Times New Roman" w:hAnsi="Times New Roman" w:cs="Times New Roman"/>
          <w:sz w:val="24"/>
          <w:szCs w:val="24"/>
        </w:rPr>
        <w:t xml:space="preserve"> of Table 1) </w:t>
      </w:r>
      <w:r w:rsidR="008102E3" w:rsidRPr="00320A82">
        <w:rPr>
          <w:rFonts w:ascii="Times New Roman" w:hAnsi="Times New Roman" w:cs="Times New Roman"/>
          <w:sz w:val="24"/>
          <w:szCs w:val="24"/>
        </w:rPr>
        <w:t xml:space="preserve">with the exception of bonds. The maximum drawdown </w:t>
      </w:r>
      <w:r w:rsidR="00ED2FEA" w:rsidRPr="00320A82">
        <w:rPr>
          <w:rFonts w:ascii="Times New Roman" w:hAnsi="Times New Roman" w:cs="Times New Roman"/>
          <w:sz w:val="24"/>
          <w:szCs w:val="24"/>
        </w:rPr>
        <w:t xml:space="preserve">of this equally-weighted portfolio </w:t>
      </w:r>
      <w:r w:rsidR="008102E3" w:rsidRPr="00320A82">
        <w:rPr>
          <w:rFonts w:ascii="Times New Roman" w:hAnsi="Times New Roman" w:cs="Times New Roman"/>
          <w:sz w:val="24"/>
          <w:szCs w:val="24"/>
        </w:rPr>
        <w:t xml:space="preserve">remains close to 50% though and the portfolio is negatively skewed, </w:t>
      </w:r>
      <w:r w:rsidR="009A6308" w:rsidRPr="00320A82">
        <w:rPr>
          <w:rFonts w:ascii="Times New Roman" w:hAnsi="Times New Roman" w:cs="Times New Roman"/>
          <w:sz w:val="24"/>
          <w:szCs w:val="24"/>
        </w:rPr>
        <w:t>that is,</w:t>
      </w:r>
      <w:r w:rsidR="008102E3" w:rsidRPr="00320A82">
        <w:rPr>
          <w:rFonts w:ascii="Times New Roman" w:hAnsi="Times New Roman" w:cs="Times New Roman"/>
          <w:sz w:val="24"/>
          <w:szCs w:val="24"/>
        </w:rPr>
        <w:t xml:space="preserve"> </w:t>
      </w:r>
      <w:r w:rsidR="00ED2FEA" w:rsidRPr="00320A82">
        <w:rPr>
          <w:rFonts w:ascii="Times New Roman" w:hAnsi="Times New Roman" w:cs="Times New Roman"/>
          <w:sz w:val="24"/>
          <w:szCs w:val="24"/>
        </w:rPr>
        <w:t xml:space="preserve">it </w:t>
      </w:r>
      <w:r w:rsidR="001C43D8" w:rsidRPr="00320A82">
        <w:rPr>
          <w:rFonts w:ascii="Times New Roman" w:hAnsi="Times New Roman" w:cs="Times New Roman"/>
          <w:sz w:val="24"/>
          <w:szCs w:val="24"/>
        </w:rPr>
        <w:t>is more volatile than average when losing money and less volatile than average when making money</w:t>
      </w:r>
      <w:r w:rsidR="008102E3" w:rsidRPr="00320A82">
        <w:rPr>
          <w:rFonts w:ascii="Times New Roman" w:hAnsi="Times New Roman" w:cs="Times New Roman"/>
          <w:sz w:val="24"/>
          <w:szCs w:val="24"/>
        </w:rPr>
        <w:t>.</w:t>
      </w:r>
      <w:r w:rsidR="007D0602" w:rsidRPr="00320A82">
        <w:rPr>
          <w:rFonts w:ascii="Times New Roman" w:hAnsi="Times New Roman" w:cs="Times New Roman"/>
          <w:sz w:val="24"/>
          <w:szCs w:val="24"/>
        </w:rPr>
        <w:t xml:space="preserve"> </w:t>
      </w:r>
      <w:r w:rsidR="00ED2FEA" w:rsidRPr="00320A82">
        <w:rPr>
          <w:rFonts w:ascii="Times New Roman" w:hAnsi="Times New Roman" w:cs="Times New Roman"/>
          <w:sz w:val="24"/>
          <w:szCs w:val="24"/>
        </w:rPr>
        <w:t xml:space="preserve"> The other columns in Panel B of this Table show performance statistics for trend following versions of the equally-weighted portfolio.  That is, we apply a trend following rule for each asset class using varying signal lengths.  In applying these trend following rules we follow the method of Faber (20</w:t>
      </w:r>
      <w:r w:rsidR="00994A50" w:rsidRPr="00320A82">
        <w:rPr>
          <w:rFonts w:ascii="Times New Roman" w:hAnsi="Times New Roman" w:cs="Times New Roman"/>
          <w:sz w:val="24"/>
          <w:szCs w:val="24"/>
        </w:rPr>
        <w:t xml:space="preserve">07).  More precisely, if the </w:t>
      </w:r>
      <w:r w:rsidR="00ED2FEA" w:rsidRPr="00320A82">
        <w:rPr>
          <w:rFonts w:ascii="Times New Roman" w:hAnsi="Times New Roman" w:cs="Times New Roman"/>
          <w:sz w:val="24"/>
          <w:szCs w:val="24"/>
        </w:rPr>
        <w:t xml:space="preserve">price of the asset class index is above its </w:t>
      </w:r>
      <w:r w:rsidR="00ED2FEA" w:rsidRPr="00320A82">
        <w:rPr>
          <w:rFonts w:ascii="Times New Roman" w:hAnsi="Times New Roman" w:cs="Times New Roman"/>
          <w:i/>
          <w:sz w:val="24"/>
          <w:szCs w:val="24"/>
        </w:rPr>
        <w:t>x</w:t>
      </w:r>
      <w:r w:rsidR="00ED2FEA" w:rsidRPr="00320A82">
        <w:rPr>
          <w:rFonts w:ascii="Times New Roman" w:hAnsi="Times New Roman" w:cs="Times New Roman"/>
          <w:sz w:val="24"/>
          <w:szCs w:val="24"/>
        </w:rPr>
        <w:t xml:space="preserve">-month moving average then we say that the asset class is in an uptrend and it is purchased, if not already held.  However, if the price is below this </w:t>
      </w:r>
      <w:r w:rsidR="00ED2FEA" w:rsidRPr="00320A82">
        <w:rPr>
          <w:rFonts w:ascii="Times New Roman" w:hAnsi="Times New Roman" w:cs="Times New Roman"/>
          <w:i/>
          <w:sz w:val="24"/>
          <w:szCs w:val="24"/>
        </w:rPr>
        <w:t>x</w:t>
      </w:r>
      <w:r w:rsidR="00ED2FEA" w:rsidRPr="00320A82">
        <w:rPr>
          <w:rFonts w:ascii="Times New Roman" w:hAnsi="Times New Roman" w:cs="Times New Roman"/>
          <w:sz w:val="24"/>
          <w:szCs w:val="24"/>
        </w:rPr>
        <w:t>-month moving average then the asset is said to be in a downtrend and the asset is sold and the proceeds invested in US 3-month Treasury Bills.  Signals are determined on an end-of-month basis.  Consistent with Faber (2007), no short-selling is permitted and no transactions costs are deducted.  Finally, each asset class has an equal weight.  In the case where all five asset class signals are positive then the portf</w:t>
      </w:r>
      <w:r w:rsidR="004623FC" w:rsidRPr="00320A82">
        <w:rPr>
          <w:rFonts w:ascii="Times New Roman" w:hAnsi="Times New Roman" w:cs="Times New Roman"/>
          <w:sz w:val="24"/>
          <w:szCs w:val="24"/>
        </w:rPr>
        <w:t>olio is 100% invested, equally a</w:t>
      </w:r>
      <w:r w:rsidR="00ED2FEA" w:rsidRPr="00320A82">
        <w:rPr>
          <w:rFonts w:ascii="Times New Roman" w:hAnsi="Times New Roman" w:cs="Times New Roman"/>
          <w:sz w:val="24"/>
          <w:szCs w:val="24"/>
        </w:rPr>
        <w:t xml:space="preserve">cross each asset class, that is, 20% in each asset class.  However if, for example, four of the signals are positive and one negative, then 20% of the portfolio is </w:t>
      </w:r>
      <w:r w:rsidR="00ED2FEA" w:rsidRPr="00320A82">
        <w:rPr>
          <w:rFonts w:ascii="Times New Roman" w:hAnsi="Times New Roman" w:cs="Times New Roman"/>
          <w:sz w:val="24"/>
          <w:szCs w:val="24"/>
        </w:rPr>
        <w:lastRenderedPageBreak/>
        <w:t xml:space="preserve">invested in the four asset classes with the positive signal, 20% is invested in US Treasury bills, and 0% in the asset class </w:t>
      </w:r>
      <w:r w:rsidR="00367E7D" w:rsidRPr="00320A82">
        <w:rPr>
          <w:rFonts w:ascii="Times New Roman" w:hAnsi="Times New Roman" w:cs="Times New Roman"/>
          <w:sz w:val="24"/>
          <w:szCs w:val="24"/>
        </w:rPr>
        <w:t xml:space="preserve">with the negative signal.  Our results </w:t>
      </w:r>
      <w:r w:rsidR="00030661" w:rsidRPr="00320A82">
        <w:rPr>
          <w:rFonts w:ascii="Times New Roman" w:hAnsi="Times New Roman" w:cs="Times New Roman"/>
          <w:sz w:val="24"/>
          <w:szCs w:val="24"/>
        </w:rPr>
        <w:t xml:space="preserve">show that </w:t>
      </w:r>
      <w:r w:rsidR="007D0602" w:rsidRPr="00320A82">
        <w:rPr>
          <w:rFonts w:ascii="Times New Roman" w:hAnsi="Times New Roman" w:cs="Times New Roman"/>
          <w:sz w:val="24"/>
          <w:szCs w:val="24"/>
        </w:rPr>
        <w:t>for</w:t>
      </w:r>
      <w:r w:rsidR="00030661" w:rsidRPr="00320A82">
        <w:rPr>
          <w:rFonts w:ascii="Times New Roman" w:hAnsi="Times New Roman" w:cs="Times New Roman"/>
          <w:sz w:val="24"/>
          <w:szCs w:val="24"/>
        </w:rPr>
        <w:t xml:space="preserve"> a variety of signal lengths, returns are higher and volatilities lower than the comparable </w:t>
      </w:r>
      <w:r w:rsidR="00367E7D" w:rsidRPr="00320A82">
        <w:rPr>
          <w:rFonts w:ascii="Times New Roman" w:hAnsi="Times New Roman" w:cs="Times New Roman"/>
          <w:sz w:val="24"/>
          <w:szCs w:val="24"/>
        </w:rPr>
        <w:t>equally</w:t>
      </w:r>
      <w:r w:rsidR="00030661" w:rsidRPr="00320A82">
        <w:rPr>
          <w:rFonts w:ascii="Times New Roman" w:hAnsi="Times New Roman" w:cs="Times New Roman"/>
          <w:sz w:val="24"/>
          <w:szCs w:val="24"/>
        </w:rPr>
        <w:t>-weight</w:t>
      </w:r>
      <w:r w:rsidR="00367E7D" w:rsidRPr="00320A82">
        <w:rPr>
          <w:rFonts w:ascii="Times New Roman" w:hAnsi="Times New Roman" w:cs="Times New Roman"/>
          <w:sz w:val="24"/>
          <w:szCs w:val="24"/>
        </w:rPr>
        <w:t>ed</w:t>
      </w:r>
      <w:r w:rsidR="00030661" w:rsidRPr="00320A82">
        <w:rPr>
          <w:rFonts w:ascii="Times New Roman" w:hAnsi="Times New Roman" w:cs="Times New Roman"/>
          <w:sz w:val="24"/>
          <w:szCs w:val="24"/>
        </w:rPr>
        <w:t xml:space="preserve"> portfolio without trend following applied. </w:t>
      </w:r>
      <w:r w:rsidR="00367E7D" w:rsidRPr="00320A82">
        <w:rPr>
          <w:rFonts w:ascii="Times New Roman" w:hAnsi="Times New Roman" w:cs="Times New Roman"/>
          <w:sz w:val="24"/>
          <w:szCs w:val="24"/>
        </w:rPr>
        <w:t xml:space="preserve"> </w:t>
      </w:r>
      <w:r w:rsidR="00030661" w:rsidRPr="00320A82">
        <w:rPr>
          <w:rFonts w:ascii="Times New Roman" w:hAnsi="Times New Roman" w:cs="Times New Roman"/>
          <w:sz w:val="24"/>
          <w:szCs w:val="24"/>
        </w:rPr>
        <w:t xml:space="preserve">Consequently Sharpe ratios are much improved and maximum drawdowns are </w:t>
      </w:r>
      <w:r w:rsidR="007D0602" w:rsidRPr="00320A82">
        <w:rPr>
          <w:rFonts w:ascii="Times New Roman" w:hAnsi="Times New Roman" w:cs="Times New Roman"/>
          <w:sz w:val="24"/>
          <w:szCs w:val="24"/>
        </w:rPr>
        <w:t>subdued</w:t>
      </w:r>
      <w:r w:rsidR="00030661" w:rsidRPr="00320A82">
        <w:rPr>
          <w:rFonts w:ascii="Times New Roman" w:hAnsi="Times New Roman" w:cs="Times New Roman"/>
          <w:sz w:val="24"/>
          <w:szCs w:val="24"/>
        </w:rPr>
        <w:t xml:space="preserve"> too.</w:t>
      </w:r>
      <w:r w:rsidR="008C740B" w:rsidRPr="00320A82">
        <w:rPr>
          <w:rFonts w:ascii="Times New Roman" w:hAnsi="Times New Roman" w:cs="Times New Roman"/>
          <w:sz w:val="24"/>
          <w:szCs w:val="24"/>
        </w:rPr>
        <w:t xml:space="preserve"> This </w:t>
      </w:r>
      <w:r w:rsidR="00367E7D" w:rsidRPr="00320A82">
        <w:rPr>
          <w:rFonts w:ascii="Times New Roman" w:hAnsi="Times New Roman" w:cs="Times New Roman"/>
          <w:sz w:val="24"/>
          <w:szCs w:val="24"/>
        </w:rPr>
        <w:t xml:space="preserve">superior risk-adjusted performance is a consequence of the trend following rules </w:t>
      </w:r>
      <w:r w:rsidR="008C740B" w:rsidRPr="00320A82">
        <w:rPr>
          <w:rFonts w:ascii="Times New Roman" w:hAnsi="Times New Roman" w:cs="Times New Roman"/>
          <w:sz w:val="24"/>
          <w:szCs w:val="24"/>
        </w:rPr>
        <w:t>keeping investors out of markets during the most severe declines when volatility is at its highest.</w:t>
      </w:r>
      <w:r w:rsidR="004B523B" w:rsidRPr="00320A82">
        <w:rPr>
          <w:rFonts w:ascii="Times New Roman" w:hAnsi="Times New Roman" w:cs="Times New Roman"/>
          <w:sz w:val="24"/>
          <w:szCs w:val="24"/>
        </w:rPr>
        <w:t xml:space="preserve"> </w:t>
      </w:r>
      <w:r w:rsidR="00367E7D" w:rsidRPr="00320A82">
        <w:rPr>
          <w:rFonts w:ascii="Times New Roman" w:hAnsi="Times New Roman" w:cs="Times New Roman"/>
          <w:sz w:val="24"/>
          <w:szCs w:val="24"/>
        </w:rPr>
        <w:t xml:space="preserve"> T</w:t>
      </w:r>
      <w:r w:rsidR="00030661" w:rsidRPr="00320A82">
        <w:rPr>
          <w:rFonts w:ascii="Times New Roman" w:hAnsi="Times New Roman" w:cs="Times New Roman"/>
          <w:sz w:val="24"/>
          <w:szCs w:val="24"/>
        </w:rPr>
        <w:t>he less negative skew on these portfolios</w:t>
      </w:r>
      <w:r w:rsidR="00367E7D" w:rsidRPr="00320A82">
        <w:rPr>
          <w:rFonts w:ascii="Times New Roman" w:hAnsi="Times New Roman" w:cs="Times New Roman"/>
          <w:sz w:val="24"/>
          <w:szCs w:val="24"/>
        </w:rPr>
        <w:t xml:space="preserve"> is also worthy of note, which </w:t>
      </w:r>
      <w:r w:rsidR="00030661" w:rsidRPr="00320A82">
        <w:rPr>
          <w:rFonts w:ascii="Times New Roman" w:hAnsi="Times New Roman" w:cs="Times New Roman"/>
          <w:sz w:val="24"/>
          <w:szCs w:val="24"/>
        </w:rPr>
        <w:t>is particularly true at shorter signal lengths</w:t>
      </w:r>
      <w:r w:rsidR="00682671" w:rsidRPr="00320A82">
        <w:rPr>
          <w:rFonts w:ascii="Times New Roman" w:hAnsi="Times New Roman" w:cs="Times New Roman"/>
          <w:sz w:val="24"/>
          <w:szCs w:val="24"/>
        </w:rPr>
        <w:t xml:space="preserve"> and supports the findings of </w:t>
      </w:r>
      <w:proofErr w:type="spellStart"/>
      <w:r w:rsidR="00682671" w:rsidRPr="00320A82">
        <w:rPr>
          <w:rFonts w:ascii="Times New Roman" w:hAnsi="Times New Roman" w:cs="Times New Roman"/>
          <w:sz w:val="24"/>
          <w:szCs w:val="24"/>
        </w:rPr>
        <w:t>Koulajian</w:t>
      </w:r>
      <w:proofErr w:type="spellEnd"/>
      <w:r w:rsidR="00682671" w:rsidRPr="00320A82">
        <w:rPr>
          <w:rFonts w:ascii="Times New Roman" w:hAnsi="Times New Roman" w:cs="Times New Roman"/>
          <w:sz w:val="24"/>
          <w:szCs w:val="24"/>
        </w:rPr>
        <w:t xml:space="preserve"> and </w:t>
      </w:r>
      <w:proofErr w:type="spellStart"/>
      <w:r w:rsidR="00682671" w:rsidRPr="00320A82">
        <w:rPr>
          <w:rFonts w:ascii="Times New Roman" w:hAnsi="Times New Roman" w:cs="Times New Roman"/>
          <w:sz w:val="24"/>
          <w:szCs w:val="24"/>
        </w:rPr>
        <w:t>Czkwianianc</w:t>
      </w:r>
      <w:proofErr w:type="spellEnd"/>
      <w:r w:rsidR="00682671" w:rsidRPr="00320A82">
        <w:rPr>
          <w:rFonts w:ascii="Times New Roman" w:hAnsi="Times New Roman" w:cs="Times New Roman"/>
          <w:sz w:val="24"/>
          <w:szCs w:val="24"/>
        </w:rPr>
        <w:t xml:space="preserve"> (2011)</w:t>
      </w:r>
      <w:r w:rsidR="00030661" w:rsidRPr="00320A82">
        <w:rPr>
          <w:rFonts w:ascii="Times New Roman" w:hAnsi="Times New Roman" w:cs="Times New Roman"/>
          <w:sz w:val="24"/>
          <w:szCs w:val="24"/>
        </w:rPr>
        <w:t>.</w:t>
      </w:r>
    </w:p>
    <w:p w:rsidR="001212DF" w:rsidRPr="00320A82" w:rsidRDefault="001212DF" w:rsidP="001212DF">
      <w:pPr>
        <w:spacing w:after="0" w:line="360" w:lineRule="auto"/>
        <w:jc w:val="both"/>
        <w:rPr>
          <w:rFonts w:ascii="Times New Roman" w:hAnsi="Times New Roman" w:cs="Times New Roman"/>
          <w:sz w:val="24"/>
          <w:szCs w:val="24"/>
        </w:rPr>
      </w:pPr>
    </w:p>
    <w:p w:rsidR="00E64CA2" w:rsidRPr="00320A82" w:rsidRDefault="00F543C4" w:rsidP="00D8388F">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The final Panel</w:t>
      </w:r>
      <w:r w:rsidR="00297BBC" w:rsidRPr="00320A82">
        <w:rPr>
          <w:rFonts w:ascii="Times New Roman" w:hAnsi="Times New Roman" w:cs="Times New Roman"/>
          <w:sz w:val="24"/>
          <w:szCs w:val="24"/>
        </w:rPr>
        <w:t xml:space="preserve"> of Table 1</w:t>
      </w:r>
      <w:r w:rsidR="00ED2FEA" w:rsidRPr="00320A82">
        <w:rPr>
          <w:rFonts w:ascii="Times New Roman" w:hAnsi="Times New Roman" w:cs="Times New Roman"/>
          <w:sz w:val="24"/>
          <w:szCs w:val="24"/>
        </w:rPr>
        <w:t xml:space="preserve"> </w:t>
      </w:r>
      <w:r w:rsidR="00297BBC" w:rsidRPr="00320A82">
        <w:rPr>
          <w:rFonts w:ascii="Times New Roman" w:hAnsi="Times New Roman" w:cs="Times New Roman"/>
          <w:sz w:val="24"/>
          <w:szCs w:val="24"/>
        </w:rPr>
        <w:t>displays the results of a risk parity method of asset allocation</w:t>
      </w:r>
      <w:r w:rsidR="00E64CA2" w:rsidRPr="00320A82">
        <w:rPr>
          <w:rFonts w:ascii="Times New Roman" w:hAnsi="Times New Roman" w:cs="Times New Roman"/>
          <w:sz w:val="24"/>
          <w:szCs w:val="24"/>
        </w:rPr>
        <w:t>, applied to the five broad asset classes</w:t>
      </w:r>
      <w:r w:rsidR="00297BBC" w:rsidRPr="00320A82">
        <w:rPr>
          <w:rFonts w:ascii="Times New Roman" w:hAnsi="Times New Roman" w:cs="Times New Roman"/>
          <w:sz w:val="24"/>
          <w:szCs w:val="24"/>
        </w:rPr>
        <w:t>. Follow</w:t>
      </w:r>
      <w:r w:rsidR="00CA50C9" w:rsidRPr="00320A82">
        <w:rPr>
          <w:rFonts w:ascii="Times New Roman" w:hAnsi="Times New Roman" w:cs="Times New Roman"/>
          <w:sz w:val="24"/>
          <w:szCs w:val="24"/>
        </w:rPr>
        <w:t>ing the</w:t>
      </w:r>
      <w:r w:rsidR="00297BBC" w:rsidRPr="00320A82">
        <w:rPr>
          <w:rFonts w:ascii="Times New Roman" w:hAnsi="Times New Roman" w:cs="Times New Roman"/>
          <w:sz w:val="24"/>
          <w:szCs w:val="24"/>
        </w:rPr>
        <w:t xml:space="preserve"> method of </w:t>
      </w:r>
      <w:proofErr w:type="spellStart"/>
      <w:r w:rsidR="00297BBC" w:rsidRPr="00320A82">
        <w:rPr>
          <w:rFonts w:ascii="Times New Roman" w:hAnsi="Times New Roman" w:cs="Times New Roman"/>
          <w:sz w:val="24"/>
          <w:szCs w:val="24"/>
        </w:rPr>
        <w:t>Asness</w:t>
      </w:r>
      <w:proofErr w:type="spellEnd"/>
      <w:r w:rsidR="00297BBC" w:rsidRPr="00320A82">
        <w:rPr>
          <w:rFonts w:ascii="Times New Roman" w:hAnsi="Times New Roman" w:cs="Times New Roman"/>
          <w:sz w:val="24"/>
          <w:szCs w:val="24"/>
        </w:rPr>
        <w:t xml:space="preserve"> et a</w:t>
      </w:r>
      <w:r w:rsidR="00CA50C9" w:rsidRPr="00320A82">
        <w:rPr>
          <w:rFonts w:ascii="Times New Roman" w:hAnsi="Times New Roman" w:cs="Times New Roman"/>
          <w:sz w:val="24"/>
          <w:szCs w:val="24"/>
        </w:rPr>
        <w:t>l (20</w:t>
      </w:r>
      <w:r w:rsidR="004938EC" w:rsidRPr="00320A82">
        <w:rPr>
          <w:rFonts w:ascii="Times New Roman" w:hAnsi="Times New Roman" w:cs="Times New Roman"/>
          <w:sz w:val="24"/>
          <w:szCs w:val="24"/>
        </w:rPr>
        <w:t>11</w:t>
      </w:r>
      <w:r w:rsidR="00CA50C9" w:rsidRPr="00320A82">
        <w:rPr>
          <w:rFonts w:ascii="Times New Roman" w:hAnsi="Times New Roman" w:cs="Times New Roman"/>
          <w:sz w:val="24"/>
          <w:szCs w:val="24"/>
        </w:rPr>
        <w:t>),</w:t>
      </w:r>
      <w:r w:rsidR="00297BBC" w:rsidRPr="00320A82">
        <w:rPr>
          <w:rFonts w:ascii="Times New Roman" w:hAnsi="Times New Roman" w:cs="Times New Roman"/>
          <w:sz w:val="24"/>
          <w:szCs w:val="24"/>
        </w:rPr>
        <w:t xml:space="preserve"> portfolio weights are proportional to the inverse of observed volatility. </w:t>
      </w:r>
      <w:r w:rsidR="00E64CA2" w:rsidRPr="00320A82">
        <w:rPr>
          <w:rFonts w:ascii="Times New Roman" w:hAnsi="Times New Roman" w:cs="Times New Roman"/>
          <w:sz w:val="24"/>
          <w:szCs w:val="24"/>
        </w:rPr>
        <w:t xml:space="preserve"> More specifically, we calculate the asset class volatilities using one year’s worth of data, and then calculate the weights from these volatilities.  This process is repeated at the end of each month.  In the (unlikely) event that </w:t>
      </w:r>
      <w:r w:rsidR="00085845">
        <w:rPr>
          <w:rFonts w:ascii="Times New Roman" w:hAnsi="Times New Roman" w:cs="Times New Roman"/>
          <w:sz w:val="24"/>
          <w:szCs w:val="24"/>
        </w:rPr>
        <w:t xml:space="preserve">the calculated volatilities of </w:t>
      </w:r>
      <w:r w:rsidR="00E64CA2" w:rsidRPr="00320A82">
        <w:rPr>
          <w:rFonts w:ascii="Times New Roman" w:hAnsi="Times New Roman" w:cs="Times New Roman"/>
          <w:sz w:val="24"/>
          <w:szCs w:val="24"/>
        </w:rPr>
        <w:t>each asset class are identical, the return on the portfolio over the next month would be identical to the return generated by the equally-weighted portfolio described in Panel B.  Our results show that t</w:t>
      </w:r>
      <w:r w:rsidR="00CA50C9" w:rsidRPr="00320A82">
        <w:rPr>
          <w:rFonts w:ascii="Times New Roman" w:hAnsi="Times New Roman" w:cs="Times New Roman"/>
          <w:sz w:val="24"/>
          <w:szCs w:val="24"/>
        </w:rPr>
        <w:t>he level of r</w:t>
      </w:r>
      <w:r w:rsidR="00297BBC" w:rsidRPr="00320A82">
        <w:rPr>
          <w:rFonts w:ascii="Times New Roman" w:hAnsi="Times New Roman" w:cs="Times New Roman"/>
          <w:sz w:val="24"/>
          <w:szCs w:val="24"/>
        </w:rPr>
        <w:t>eturn</w:t>
      </w:r>
      <w:r w:rsidR="00CA50C9" w:rsidRPr="00320A82">
        <w:rPr>
          <w:rFonts w:ascii="Times New Roman" w:hAnsi="Times New Roman" w:cs="Times New Roman"/>
          <w:sz w:val="24"/>
          <w:szCs w:val="24"/>
        </w:rPr>
        <w:t xml:space="preserve"> of the risk-parity portfolio</w:t>
      </w:r>
      <w:r w:rsidR="00297BBC" w:rsidRPr="00320A82">
        <w:rPr>
          <w:rFonts w:ascii="Times New Roman" w:hAnsi="Times New Roman" w:cs="Times New Roman"/>
          <w:sz w:val="24"/>
          <w:szCs w:val="24"/>
        </w:rPr>
        <w:t xml:space="preserve"> is similar </w:t>
      </w:r>
      <w:r w:rsidR="00E64CA2" w:rsidRPr="00320A82">
        <w:rPr>
          <w:rFonts w:ascii="Times New Roman" w:hAnsi="Times New Roman" w:cs="Times New Roman"/>
          <w:sz w:val="24"/>
          <w:szCs w:val="24"/>
        </w:rPr>
        <w:t xml:space="preserve">to that of this </w:t>
      </w:r>
      <w:r w:rsidR="00297BBC" w:rsidRPr="00320A82">
        <w:rPr>
          <w:rFonts w:ascii="Times New Roman" w:hAnsi="Times New Roman" w:cs="Times New Roman"/>
          <w:sz w:val="24"/>
          <w:szCs w:val="24"/>
        </w:rPr>
        <w:t>equal</w:t>
      </w:r>
      <w:r w:rsidR="00E64CA2" w:rsidRPr="00320A82">
        <w:rPr>
          <w:rFonts w:ascii="Times New Roman" w:hAnsi="Times New Roman" w:cs="Times New Roman"/>
          <w:sz w:val="24"/>
          <w:szCs w:val="24"/>
        </w:rPr>
        <w:t>ly</w:t>
      </w:r>
      <w:r w:rsidR="00297BBC" w:rsidRPr="00320A82">
        <w:rPr>
          <w:rFonts w:ascii="Times New Roman" w:hAnsi="Times New Roman" w:cs="Times New Roman"/>
          <w:sz w:val="24"/>
          <w:szCs w:val="24"/>
        </w:rPr>
        <w:t>-w</w:t>
      </w:r>
      <w:r w:rsidR="00CA50C9" w:rsidRPr="00320A82">
        <w:rPr>
          <w:rFonts w:ascii="Times New Roman" w:hAnsi="Times New Roman" w:cs="Times New Roman"/>
          <w:sz w:val="24"/>
          <w:szCs w:val="24"/>
        </w:rPr>
        <w:t>eigh</w:t>
      </w:r>
      <w:r w:rsidR="00297BBC" w:rsidRPr="00320A82">
        <w:rPr>
          <w:rFonts w:ascii="Times New Roman" w:hAnsi="Times New Roman" w:cs="Times New Roman"/>
          <w:sz w:val="24"/>
          <w:szCs w:val="24"/>
        </w:rPr>
        <w:t>t</w:t>
      </w:r>
      <w:r w:rsidR="00E64CA2" w:rsidRPr="00320A82">
        <w:rPr>
          <w:rFonts w:ascii="Times New Roman" w:hAnsi="Times New Roman" w:cs="Times New Roman"/>
          <w:sz w:val="24"/>
          <w:szCs w:val="24"/>
        </w:rPr>
        <w:t>ed</w:t>
      </w:r>
      <w:r w:rsidR="00297BBC" w:rsidRPr="00320A82">
        <w:rPr>
          <w:rFonts w:ascii="Times New Roman" w:hAnsi="Times New Roman" w:cs="Times New Roman"/>
          <w:sz w:val="24"/>
          <w:szCs w:val="24"/>
        </w:rPr>
        <w:t xml:space="preserve"> portfolio but with approximately half the volatil</w:t>
      </w:r>
      <w:r w:rsidR="000A107D" w:rsidRPr="00320A82">
        <w:rPr>
          <w:rFonts w:ascii="Times New Roman" w:hAnsi="Times New Roman" w:cs="Times New Roman"/>
          <w:sz w:val="24"/>
          <w:szCs w:val="24"/>
        </w:rPr>
        <w:t xml:space="preserve">ity. </w:t>
      </w:r>
      <w:r w:rsidR="00E64CA2" w:rsidRPr="00320A82">
        <w:rPr>
          <w:rFonts w:ascii="Times New Roman" w:hAnsi="Times New Roman" w:cs="Times New Roman"/>
          <w:sz w:val="24"/>
          <w:szCs w:val="24"/>
        </w:rPr>
        <w:t xml:space="preserve"> And so risk parity appears to add value, compared with an equally-weighted portfolio of these broad asset classes.  However, a</w:t>
      </w:r>
      <w:r w:rsidR="00085845">
        <w:rPr>
          <w:rFonts w:ascii="Times New Roman" w:hAnsi="Times New Roman" w:cs="Times New Roman"/>
          <w:sz w:val="24"/>
          <w:szCs w:val="24"/>
        </w:rPr>
        <w:t xml:space="preserve">ll of the </w:t>
      </w:r>
      <w:proofErr w:type="gramStart"/>
      <w:r w:rsidR="00085845">
        <w:rPr>
          <w:rFonts w:ascii="Times New Roman" w:hAnsi="Times New Roman" w:cs="Times New Roman"/>
          <w:sz w:val="24"/>
          <w:szCs w:val="24"/>
        </w:rPr>
        <w:t xml:space="preserve">trend following </w:t>
      </w:r>
      <w:r w:rsidR="000A107D" w:rsidRPr="00320A82">
        <w:rPr>
          <w:rFonts w:ascii="Times New Roman" w:hAnsi="Times New Roman" w:cs="Times New Roman"/>
          <w:sz w:val="24"/>
          <w:szCs w:val="24"/>
        </w:rPr>
        <w:t>portfolios in the Panel B demonstrate</w:t>
      </w:r>
      <w:proofErr w:type="gramEnd"/>
      <w:r w:rsidR="000A107D" w:rsidRPr="00320A82">
        <w:rPr>
          <w:rFonts w:ascii="Times New Roman" w:hAnsi="Times New Roman" w:cs="Times New Roman"/>
          <w:sz w:val="24"/>
          <w:szCs w:val="24"/>
        </w:rPr>
        <w:t xml:space="preserve"> higher risk-adjusted </w:t>
      </w:r>
      <w:r w:rsidR="00DD5B90" w:rsidRPr="00320A82">
        <w:rPr>
          <w:rFonts w:ascii="Times New Roman" w:hAnsi="Times New Roman" w:cs="Times New Roman"/>
          <w:sz w:val="24"/>
          <w:szCs w:val="24"/>
        </w:rPr>
        <w:t>returns</w:t>
      </w:r>
      <w:r w:rsidR="000A107D" w:rsidRPr="00320A82">
        <w:rPr>
          <w:rFonts w:ascii="Times New Roman" w:hAnsi="Times New Roman" w:cs="Times New Roman"/>
          <w:sz w:val="24"/>
          <w:szCs w:val="24"/>
        </w:rPr>
        <w:t xml:space="preserve"> and much lowe</w:t>
      </w:r>
      <w:r w:rsidR="00AB27E6" w:rsidRPr="00320A82">
        <w:rPr>
          <w:rFonts w:ascii="Times New Roman" w:hAnsi="Times New Roman" w:cs="Times New Roman"/>
          <w:sz w:val="24"/>
          <w:szCs w:val="24"/>
        </w:rPr>
        <w:t>r drawdowns</w:t>
      </w:r>
      <w:r w:rsidR="004623FC" w:rsidRPr="00320A82">
        <w:rPr>
          <w:rFonts w:ascii="Times New Roman" w:hAnsi="Times New Roman" w:cs="Times New Roman"/>
          <w:sz w:val="24"/>
          <w:szCs w:val="24"/>
        </w:rPr>
        <w:t>,</w:t>
      </w:r>
      <w:r w:rsidR="00CA50C9" w:rsidRPr="00320A82">
        <w:rPr>
          <w:rFonts w:ascii="Times New Roman" w:hAnsi="Times New Roman" w:cs="Times New Roman"/>
          <w:sz w:val="24"/>
          <w:szCs w:val="24"/>
        </w:rPr>
        <w:t xml:space="preserve"> though</w:t>
      </w:r>
      <w:r w:rsidR="00AB27E6" w:rsidRPr="00320A82">
        <w:rPr>
          <w:rFonts w:ascii="Times New Roman" w:hAnsi="Times New Roman" w:cs="Times New Roman"/>
          <w:sz w:val="24"/>
          <w:szCs w:val="24"/>
        </w:rPr>
        <w:t xml:space="preserve">. </w:t>
      </w:r>
    </w:p>
    <w:p w:rsidR="001212DF" w:rsidRPr="00320A82" w:rsidRDefault="001212DF" w:rsidP="001212DF">
      <w:pPr>
        <w:spacing w:after="0" w:line="360" w:lineRule="auto"/>
        <w:jc w:val="both"/>
        <w:rPr>
          <w:rFonts w:ascii="Times New Roman" w:hAnsi="Times New Roman" w:cs="Times New Roman"/>
          <w:sz w:val="24"/>
          <w:szCs w:val="24"/>
        </w:rPr>
      </w:pPr>
    </w:p>
    <w:p w:rsidR="00514B93" w:rsidRPr="00320A82" w:rsidRDefault="00E64CA2" w:rsidP="00D8388F">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These results suggest that both trend following and risk parity rules </w:t>
      </w:r>
      <w:r w:rsidR="00587FC9" w:rsidRPr="00320A82">
        <w:rPr>
          <w:rFonts w:ascii="Times New Roman" w:hAnsi="Times New Roman" w:cs="Times New Roman"/>
          <w:sz w:val="24"/>
          <w:szCs w:val="24"/>
        </w:rPr>
        <w:t xml:space="preserve">can add value to a multi-asset class portfolio over time.  </w:t>
      </w:r>
      <w:r w:rsidR="00CA50C9" w:rsidRPr="00320A82">
        <w:rPr>
          <w:rFonts w:ascii="Times New Roman" w:hAnsi="Times New Roman" w:cs="Times New Roman"/>
          <w:sz w:val="24"/>
          <w:szCs w:val="24"/>
        </w:rPr>
        <w:t>The f</w:t>
      </w:r>
      <w:r w:rsidR="00AB27E6" w:rsidRPr="00320A82">
        <w:rPr>
          <w:rFonts w:ascii="Times New Roman" w:hAnsi="Times New Roman" w:cs="Times New Roman"/>
          <w:sz w:val="24"/>
          <w:szCs w:val="24"/>
        </w:rPr>
        <w:t>ar-ri</w:t>
      </w:r>
      <w:r w:rsidR="00DD5B90" w:rsidRPr="00320A82">
        <w:rPr>
          <w:rFonts w:ascii="Times New Roman" w:hAnsi="Times New Roman" w:cs="Times New Roman"/>
          <w:sz w:val="24"/>
          <w:szCs w:val="24"/>
        </w:rPr>
        <w:t xml:space="preserve">ght column of Panel </w:t>
      </w:r>
      <w:proofErr w:type="gramStart"/>
      <w:r w:rsidR="00DD5B90" w:rsidRPr="00320A82">
        <w:rPr>
          <w:rFonts w:ascii="Times New Roman" w:hAnsi="Times New Roman" w:cs="Times New Roman"/>
          <w:sz w:val="24"/>
          <w:szCs w:val="24"/>
        </w:rPr>
        <w:t>C</w:t>
      </w:r>
      <w:r w:rsidR="00587FC9" w:rsidRPr="00320A82">
        <w:rPr>
          <w:rFonts w:ascii="Times New Roman" w:hAnsi="Times New Roman" w:cs="Times New Roman"/>
          <w:sz w:val="24"/>
          <w:szCs w:val="24"/>
        </w:rPr>
        <w:t>,</w:t>
      </w:r>
      <w:proofErr w:type="gramEnd"/>
      <w:r w:rsidR="00587FC9" w:rsidRPr="00320A82">
        <w:rPr>
          <w:rFonts w:ascii="Times New Roman" w:hAnsi="Times New Roman" w:cs="Times New Roman"/>
          <w:sz w:val="24"/>
          <w:szCs w:val="24"/>
        </w:rPr>
        <w:t xml:space="preserve"> shows the results of applying both sets of rules, that is, </w:t>
      </w:r>
      <w:r w:rsidR="00DD5B90" w:rsidRPr="00320A82">
        <w:rPr>
          <w:rFonts w:ascii="Times New Roman" w:hAnsi="Times New Roman" w:cs="Times New Roman"/>
          <w:sz w:val="24"/>
          <w:szCs w:val="24"/>
        </w:rPr>
        <w:t xml:space="preserve">the performance </w:t>
      </w:r>
      <w:r w:rsidR="00587FC9" w:rsidRPr="00320A82">
        <w:rPr>
          <w:rFonts w:ascii="Times New Roman" w:hAnsi="Times New Roman" w:cs="Times New Roman"/>
          <w:sz w:val="24"/>
          <w:szCs w:val="24"/>
        </w:rPr>
        <w:t xml:space="preserve">statistics </w:t>
      </w:r>
      <w:r w:rsidR="00DD5B90" w:rsidRPr="00320A82">
        <w:rPr>
          <w:rFonts w:ascii="Times New Roman" w:hAnsi="Times New Roman" w:cs="Times New Roman"/>
          <w:sz w:val="24"/>
          <w:szCs w:val="24"/>
        </w:rPr>
        <w:t>of a ris</w:t>
      </w:r>
      <w:r w:rsidR="00CA50C9" w:rsidRPr="00320A82">
        <w:rPr>
          <w:rFonts w:ascii="Times New Roman" w:hAnsi="Times New Roman" w:cs="Times New Roman"/>
          <w:sz w:val="24"/>
          <w:szCs w:val="24"/>
        </w:rPr>
        <w:t>k parity portfolio that adopts trend following</w:t>
      </w:r>
      <w:r w:rsidR="00DD5B90" w:rsidRPr="00320A82">
        <w:rPr>
          <w:rFonts w:ascii="Times New Roman" w:hAnsi="Times New Roman" w:cs="Times New Roman"/>
          <w:sz w:val="24"/>
          <w:szCs w:val="24"/>
        </w:rPr>
        <w:t xml:space="preserve"> too. </w:t>
      </w:r>
      <w:r w:rsidR="00587FC9" w:rsidRPr="00320A82">
        <w:rPr>
          <w:rFonts w:ascii="Times New Roman" w:hAnsi="Times New Roman" w:cs="Times New Roman"/>
          <w:sz w:val="24"/>
          <w:szCs w:val="24"/>
        </w:rPr>
        <w:t>The i</w:t>
      </w:r>
      <w:r w:rsidR="00DD5B90" w:rsidRPr="00320A82">
        <w:rPr>
          <w:rFonts w:ascii="Times New Roman" w:hAnsi="Times New Roman" w:cs="Times New Roman"/>
          <w:sz w:val="24"/>
          <w:szCs w:val="24"/>
        </w:rPr>
        <w:t>nvestment weights are the same as the standard risk parity portfolio but</w:t>
      </w:r>
      <w:r w:rsidR="00587FC9" w:rsidRPr="00320A82">
        <w:rPr>
          <w:rFonts w:ascii="Times New Roman" w:hAnsi="Times New Roman" w:cs="Times New Roman"/>
          <w:sz w:val="24"/>
          <w:szCs w:val="24"/>
        </w:rPr>
        <w:t xml:space="preserve">, crucially, </w:t>
      </w:r>
      <w:r w:rsidR="00DD5B90" w:rsidRPr="00320A82">
        <w:rPr>
          <w:rFonts w:ascii="Times New Roman" w:hAnsi="Times New Roman" w:cs="Times New Roman"/>
          <w:sz w:val="24"/>
          <w:szCs w:val="24"/>
        </w:rPr>
        <w:t>if the trend</w:t>
      </w:r>
      <w:r w:rsidR="00DE0CB2" w:rsidRPr="00320A82">
        <w:rPr>
          <w:rFonts w:ascii="Times New Roman" w:hAnsi="Times New Roman" w:cs="Times New Roman"/>
          <w:sz w:val="24"/>
          <w:szCs w:val="24"/>
        </w:rPr>
        <w:t xml:space="preserve"> (using </w:t>
      </w:r>
      <w:r w:rsidR="00BC6BDD" w:rsidRPr="00320A82">
        <w:rPr>
          <w:rFonts w:ascii="Times New Roman" w:hAnsi="Times New Roman" w:cs="Times New Roman"/>
          <w:sz w:val="24"/>
          <w:szCs w:val="24"/>
        </w:rPr>
        <w:t>only a 10-month moving average</w:t>
      </w:r>
      <w:r w:rsidR="00024693" w:rsidRPr="00320A82">
        <w:rPr>
          <w:rFonts w:ascii="Times New Roman" w:hAnsi="Times New Roman" w:cs="Times New Roman"/>
          <w:sz w:val="24"/>
          <w:szCs w:val="24"/>
        </w:rPr>
        <w:t>, consistent with Faber</w:t>
      </w:r>
      <w:r w:rsidR="006A43E4">
        <w:rPr>
          <w:rFonts w:ascii="Times New Roman" w:hAnsi="Times New Roman" w:cs="Times New Roman"/>
          <w:sz w:val="24"/>
          <w:szCs w:val="24"/>
        </w:rPr>
        <w:t xml:space="preserve">, </w:t>
      </w:r>
      <w:r w:rsidR="00024693" w:rsidRPr="00320A82">
        <w:rPr>
          <w:rFonts w:ascii="Times New Roman" w:hAnsi="Times New Roman" w:cs="Times New Roman"/>
          <w:sz w:val="24"/>
          <w:szCs w:val="24"/>
        </w:rPr>
        <w:t>200</w:t>
      </w:r>
      <w:r w:rsidR="0034211E" w:rsidRPr="00320A82">
        <w:rPr>
          <w:rFonts w:ascii="Times New Roman" w:hAnsi="Times New Roman" w:cs="Times New Roman"/>
          <w:sz w:val="24"/>
          <w:szCs w:val="24"/>
        </w:rPr>
        <w:t>7</w:t>
      </w:r>
      <w:r w:rsidR="00DE0CB2" w:rsidRPr="00320A82">
        <w:rPr>
          <w:rFonts w:ascii="Times New Roman" w:hAnsi="Times New Roman" w:cs="Times New Roman"/>
          <w:sz w:val="24"/>
          <w:szCs w:val="24"/>
        </w:rPr>
        <w:t>)</w:t>
      </w:r>
      <w:r w:rsidR="00DD5B90" w:rsidRPr="00320A82">
        <w:rPr>
          <w:rFonts w:ascii="Times New Roman" w:hAnsi="Times New Roman" w:cs="Times New Roman"/>
          <w:sz w:val="24"/>
          <w:szCs w:val="24"/>
        </w:rPr>
        <w:t xml:space="preserve"> is negative in a particular asset class </w:t>
      </w:r>
      <w:r w:rsidR="00587FC9" w:rsidRPr="00320A82">
        <w:rPr>
          <w:rFonts w:ascii="Times New Roman" w:hAnsi="Times New Roman" w:cs="Times New Roman"/>
          <w:sz w:val="24"/>
          <w:szCs w:val="24"/>
        </w:rPr>
        <w:t xml:space="preserve">its risk parity weight </w:t>
      </w:r>
      <w:r w:rsidR="00DD5B90" w:rsidRPr="00320A82">
        <w:rPr>
          <w:rFonts w:ascii="Times New Roman" w:hAnsi="Times New Roman" w:cs="Times New Roman"/>
          <w:sz w:val="24"/>
          <w:szCs w:val="24"/>
        </w:rPr>
        <w:t xml:space="preserve">is allocated to T-bills instead. </w:t>
      </w:r>
      <w:r w:rsidR="00587FC9" w:rsidRPr="00320A82">
        <w:rPr>
          <w:rFonts w:ascii="Times New Roman" w:hAnsi="Times New Roman" w:cs="Times New Roman"/>
          <w:sz w:val="24"/>
          <w:szCs w:val="24"/>
        </w:rPr>
        <w:t xml:space="preserve"> So if all asset classes are in an uptrend, then the weights of the portfolio for the following month would be identical to those of the ‘risk parity’ portfolio.  This approach produces a much improved set of performance statistics over the pure risk parity approach</w:t>
      </w:r>
      <w:proofErr w:type="gramStart"/>
      <w:r w:rsidR="00587FC9" w:rsidRPr="00320A82">
        <w:rPr>
          <w:rFonts w:ascii="Times New Roman" w:hAnsi="Times New Roman" w:cs="Times New Roman"/>
          <w:sz w:val="24"/>
          <w:szCs w:val="24"/>
        </w:rPr>
        <w:t xml:space="preserve">;  </w:t>
      </w:r>
      <w:r w:rsidR="00DD5B90" w:rsidRPr="00320A82">
        <w:rPr>
          <w:rFonts w:ascii="Times New Roman" w:hAnsi="Times New Roman" w:cs="Times New Roman"/>
          <w:sz w:val="24"/>
          <w:szCs w:val="24"/>
        </w:rPr>
        <w:t>Sharpe</w:t>
      </w:r>
      <w:proofErr w:type="gramEnd"/>
      <w:r w:rsidR="00DD5B90" w:rsidRPr="00320A82">
        <w:rPr>
          <w:rFonts w:ascii="Times New Roman" w:hAnsi="Times New Roman" w:cs="Times New Roman"/>
          <w:sz w:val="24"/>
          <w:szCs w:val="24"/>
        </w:rPr>
        <w:t xml:space="preserve"> ratio </w:t>
      </w:r>
      <w:r w:rsidR="00587FC9" w:rsidRPr="00320A82">
        <w:rPr>
          <w:rFonts w:ascii="Times New Roman" w:hAnsi="Times New Roman" w:cs="Times New Roman"/>
          <w:sz w:val="24"/>
          <w:szCs w:val="24"/>
        </w:rPr>
        <w:t xml:space="preserve">is </w:t>
      </w:r>
      <w:r w:rsidR="00DD5B90" w:rsidRPr="00320A82">
        <w:rPr>
          <w:rFonts w:ascii="Times New Roman" w:hAnsi="Times New Roman" w:cs="Times New Roman"/>
          <w:sz w:val="24"/>
          <w:szCs w:val="24"/>
        </w:rPr>
        <w:t>in excess of 1.0</w:t>
      </w:r>
      <w:r w:rsidR="00587FC9" w:rsidRPr="00320A82">
        <w:rPr>
          <w:rFonts w:ascii="Times New Roman" w:hAnsi="Times New Roman" w:cs="Times New Roman"/>
          <w:sz w:val="24"/>
          <w:szCs w:val="24"/>
        </w:rPr>
        <w:t>, compared to 0.6</w:t>
      </w:r>
      <w:r w:rsidR="005573BA">
        <w:rPr>
          <w:rFonts w:ascii="Times New Roman" w:hAnsi="Times New Roman" w:cs="Times New Roman"/>
          <w:sz w:val="24"/>
          <w:szCs w:val="24"/>
        </w:rPr>
        <w:t>7</w:t>
      </w:r>
      <w:r w:rsidR="00587FC9" w:rsidRPr="00320A82">
        <w:rPr>
          <w:rFonts w:ascii="Times New Roman" w:hAnsi="Times New Roman" w:cs="Times New Roman"/>
          <w:sz w:val="24"/>
          <w:szCs w:val="24"/>
        </w:rPr>
        <w:t xml:space="preserve"> for the risk parity approach</w:t>
      </w:r>
      <w:r w:rsidR="00DD5B90" w:rsidRPr="00320A82">
        <w:rPr>
          <w:rFonts w:ascii="Times New Roman" w:hAnsi="Times New Roman" w:cs="Times New Roman"/>
          <w:sz w:val="24"/>
          <w:szCs w:val="24"/>
        </w:rPr>
        <w:t xml:space="preserve"> and </w:t>
      </w:r>
      <w:r w:rsidR="00587FC9" w:rsidRPr="00320A82">
        <w:rPr>
          <w:rFonts w:ascii="Times New Roman" w:hAnsi="Times New Roman" w:cs="Times New Roman"/>
          <w:sz w:val="24"/>
          <w:szCs w:val="24"/>
        </w:rPr>
        <w:t xml:space="preserve">the </w:t>
      </w:r>
      <w:r w:rsidR="00DD5B90" w:rsidRPr="00320A82">
        <w:rPr>
          <w:rFonts w:ascii="Times New Roman" w:hAnsi="Times New Roman" w:cs="Times New Roman"/>
          <w:sz w:val="24"/>
          <w:szCs w:val="24"/>
        </w:rPr>
        <w:lastRenderedPageBreak/>
        <w:t xml:space="preserve">maximum drawdown </w:t>
      </w:r>
      <w:r w:rsidR="00587FC9" w:rsidRPr="00320A82">
        <w:rPr>
          <w:rFonts w:ascii="Times New Roman" w:hAnsi="Times New Roman" w:cs="Times New Roman"/>
          <w:sz w:val="24"/>
          <w:szCs w:val="24"/>
        </w:rPr>
        <w:t xml:space="preserve">is </w:t>
      </w:r>
      <w:r w:rsidR="00DD5B90" w:rsidRPr="00320A82">
        <w:rPr>
          <w:rFonts w:ascii="Times New Roman" w:hAnsi="Times New Roman" w:cs="Times New Roman"/>
          <w:sz w:val="24"/>
          <w:szCs w:val="24"/>
        </w:rPr>
        <w:t>less than 5%</w:t>
      </w:r>
      <w:r w:rsidR="00587FC9" w:rsidRPr="00320A82">
        <w:rPr>
          <w:rFonts w:ascii="Times New Roman" w:hAnsi="Times New Roman" w:cs="Times New Roman"/>
          <w:sz w:val="24"/>
          <w:szCs w:val="24"/>
        </w:rPr>
        <w:t>, compared to over 20% for the risk parity approach</w:t>
      </w:r>
      <w:r w:rsidR="00DD5B90" w:rsidRPr="00320A82">
        <w:rPr>
          <w:rFonts w:ascii="Times New Roman" w:hAnsi="Times New Roman" w:cs="Times New Roman"/>
          <w:sz w:val="24"/>
          <w:szCs w:val="24"/>
        </w:rPr>
        <w:t>.</w:t>
      </w:r>
      <w:r w:rsidR="00587FC9" w:rsidRPr="00320A82">
        <w:rPr>
          <w:rFonts w:ascii="Times New Roman" w:hAnsi="Times New Roman" w:cs="Times New Roman"/>
          <w:sz w:val="24"/>
          <w:szCs w:val="24"/>
        </w:rPr>
        <w:t xml:space="preserve">  Furthermore, in Sharpe ratio terms, this combination of risk parity and trend following produces performance statistics that are superior to the pure trend following portfolios described in panel B of the Table.</w:t>
      </w:r>
    </w:p>
    <w:p w:rsidR="001212DF" w:rsidRPr="00320A82" w:rsidRDefault="001212DF" w:rsidP="001212DF">
      <w:pPr>
        <w:spacing w:after="0" w:line="360" w:lineRule="auto"/>
        <w:jc w:val="both"/>
        <w:rPr>
          <w:rFonts w:ascii="Times New Roman" w:hAnsi="Times New Roman" w:cs="Times New Roman"/>
          <w:sz w:val="24"/>
          <w:szCs w:val="24"/>
        </w:rPr>
      </w:pPr>
    </w:p>
    <w:p w:rsidR="00FF1FDE" w:rsidRPr="00320A82" w:rsidRDefault="00514B93" w:rsidP="001212D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3.2 </w:t>
      </w:r>
      <w:r w:rsidR="00FF1FDE" w:rsidRPr="00320A82">
        <w:rPr>
          <w:rFonts w:ascii="Times New Roman" w:hAnsi="Times New Roman" w:cs="Times New Roman"/>
          <w:i/>
          <w:sz w:val="24"/>
          <w:szCs w:val="24"/>
        </w:rPr>
        <w:t>Trend Following</w:t>
      </w:r>
      <w:r w:rsidR="006C6462" w:rsidRPr="00320A82">
        <w:rPr>
          <w:rFonts w:ascii="Times New Roman" w:hAnsi="Times New Roman" w:cs="Times New Roman"/>
          <w:i/>
          <w:sz w:val="24"/>
          <w:szCs w:val="24"/>
        </w:rPr>
        <w:t xml:space="preserve"> applied within the broad asset classes</w:t>
      </w:r>
    </w:p>
    <w:p w:rsidR="00FF1FDE" w:rsidRPr="00320A82" w:rsidRDefault="00FF1FDE" w:rsidP="001212DF">
      <w:pPr>
        <w:spacing w:after="0" w:line="360" w:lineRule="auto"/>
        <w:jc w:val="both"/>
        <w:rPr>
          <w:rFonts w:ascii="Times New Roman" w:hAnsi="Times New Roman" w:cs="Times New Roman"/>
          <w:sz w:val="24"/>
          <w:szCs w:val="24"/>
        </w:rPr>
      </w:pPr>
      <w:r w:rsidRPr="00320A82">
        <w:rPr>
          <w:rFonts w:ascii="Times New Roman" w:hAnsi="Times New Roman" w:cs="Times New Roman"/>
          <w:sz w:val="24"/>
          <w:szCs w:val="24"/>
        </w:rPr>
        <w:t>Thus far we have looked at broad indices to examine the merits of trend following. The next logical step is to consider whether</w:t>
      </w:r>
      <w:r w:rsidR="006C6462" w:rsidRPr="00320A82">
        <w:rPr>
          <w:rFonts w:ascii="Times New Roman" w:hAnsi="Times New Roman" w:cs="Times New Roman"/>
          <w:sz w:val="24"/>
          <w:szCs w:val="24"/>
        </w:rPr>
        <w:t>,</w:t>
      </w:r>
      <w:r w:rsidRPr="00320A82">
        <w:rPr>
          <w:rFonts w:ascii="Times New Roman" w:hAnsi="Times New Roman" w:cs="Times New Roman"/>
          <w:sz w:val="24"/>
          <w:szCs w:val="24"/>
        </w:rPr>
        <w:t xml:space="preserve"> by decomposing an index into its constituents, and applying trend following to these individually, improves the level of performance. For instance, whilst there may be some periods when all components are either in uptrends or downtrends, there are also likely to be periods when there </w:t>
      </w:r>
      <w:r w:rsidR="006C6462" w:rsidRPr="00320A82">
        <w:rPr>
          <w:rFonts w:ascii="Times New Roman" w:hAnsi="Times New Roman" w:cs="Times New Roman"/>
          <w:sz w:val="24"/>
          <w:szCs w:val="24"/>
        </w:rPr>
        <w:t xml:space="preserve">the </w:t>
      </w:r>
      <w:proofErr w:type="gramStart"/>
      <w:r w:rsidR="006C6462" w:rsidRPr="00320A82">
        <w:rPr>
          <w:rFonts w:ascii="Times New Roman" w:hAnsi="Times New Roman" w:cs="Times New Roman"/>
          <w:sz w:val="24"/>
          <w:szCs w:val="24"/>
        </w:rPr>
        <w:t>performance of sub-components of the broad asset classes diverge</w:t>
      </w:r>
      <w:proofErr w:type="gramEnd"/>
      <w:r w:rsidRPr="00320A82">
        <w:rPr>
          <w:rFonts w:ascii="Times New Roman" w:hAnsi="Times New Roman" w:cs="Times New Roman"/>
          <w:sz w:val="24"/>
          <w:szCs w:val="24"/>
        </w:rPr>
        <w:t xml:space="preserve">. </w:t>
      </w:r>
      <w:r w:rsidR="006C6462" w:rsidRPr="00320A82">
        <w:rPr>
          <w:rFonts w:ascii="Times New Roman" w:hAnsi="Times New Roman" w:cs="Times New Roman"/>
          <w:sz w:val="24"/>
          <w:szCs w:val="24"/>
        </w:rPr>
        <w:t xml:space="preserve"> </w:t>
      </w:r>
      <w:r w:rsidRPr="00320A82">
        <w:rPr>
          <w:rFonts w:ascii="Times New Roman" w:hAnsi="Times New Roman" w:cs="Times New Roman"/>
          <w:sz w:val="24"/>
          <w:szCs w:val="24"/>
        </w:rPr>
        <w:t>By only being long the up</w:t>
      </w:r>
      <w:r w:rsidR="00D8388F">
        <w:rPr>
          <w:rFonts w:ascii="Times New Roman" w:hAnsi="Times New Roman" w:cs="Times New Roman"/>
          <w:sz w:val="24"/>
          <w:szCs w:val="24"/>
        </w:rPr>
        <w:t>-</w:t>
      </w:r>
      <w:r w:rsidRPr="00320A82">
        <w:rPr>
          <w:rFonts w:ascii="Times New Roman" w:hAnsi="Times New Roman" w:cs="Times New Roman"/>
          <w:sz w:val="24"/>
          <w:szCs w:val="24"/>
        </w:rPr>
        <w:t xml:space="preserve">trending </w:t>
      </w:r>
      <w:r w:rsidR="0047329A" w:rsidRPr="00320A82">
        <w:rPr>
          <w:rFonts w:ascii="Times New Roman" w:hAnsi="Times New Roman" w:cs="Times New Roman"/>
          <w:sz w:val="24"/>
          <w:szCs w:val="24"/>
        </w:rPr>
        <w:t>components</w:t>
      </w:r>
      <w:r w:rsidRPr="00320A82">
        <w:rPr>
          <w:rFonts w:ascii="Times New Roman" w:hAnsi="Times New Roman" w:cs="Times New Roman"/>
          <w:sz w:val="24"/>
          <w:szCs w:val="24"/>
        </w:rPr>
        <w:t xml:space="preserve"> it may be possible to outperform the benchmark.</w:t>
      </w:r>
    </w:p>
    <w:p w:rsidR="001212DF" w:rsidRPr="00320A82" w:rsidRDefault="001212DF" w:rsidP="001212DF">
      <w:pPr>
        <w:spacing w:after="0" w:line="360" w:lineRule="auto"/>
        <w:jc w:val="both"/>
        <w:rPr>
          <w:rFonts w:ascii="Times New Roman" w:hAnsi="Times New Roman" w:cs="Times New Roman"/>
          <w:sz w:val="24"/>
          <w:szCs w:val="24"/>
        </w:rPr>
      </w:pPr>
    </w:p>
    <w:p w:rsidR="00A03FDC" w:rsidRPr="00320A82" w:rsidRDefault="003360F6" w:rsidP="00D8388F">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Table 2 reports the performance of trend following within each asset class</w:t>
      </w:r>
      <w:r w:rsidR="006C6462" w:rsidRPr="00320A82">
        <w:rPr>
          <w:rFonts w:ascii="Times New Roman" w:hAnsi="Times New Roman" w:cs="Times New Roman"/>
          <w:sz w:val="24"/>
          <w:szCs w:val="24"/>
        </w:rPr>
        <w:t>, where the approach is comparable to the one used to produce the performance statistics for panel B of Table 1</w:t>
      </w:r>
      <w:r w:rsidRPr="00320A82">
        <w:rPr>
          <w:rFonts w:ascii="Times New Roman" w:hAnsi="Times New Roman" w:cs="Times New Roman"/>
          <w:sz w:val="24"/>
          <w:szCs w:val="24"/>
        </w:rPr>
        <w:t xml:space="preserve">. </w:t>
      </w:r>
      <w:r w:rsidR="006C6462" w:rsidRPr="00320A82">
        <w:rPr>
          <w:rFonts w:ascii="Times New Roman" w:hAnsi="Times New Roman" w:cs="Times New Roman"/>
          <w:sz w:val="24"/>
          <w:szCs w:val="24"/>
        </w:rPr>
        <w:t xml:space="preserve"> </w:t>
      </w:r>
      <w:r w:rsidRPr="00320A82">
        <w:rPr>
          <w:rFonts w:ascii="Times New Roman" w:hAnsi="Times New Roman" w:cs="Times New Roman"/>
          <w:sz w:val="24"/>
          <w:szCs w:val="24"/>
        </w:rPr>
        <w:t>The equal</w:t>
      </w:r>
      <w:r w:rsidR="006C6462" w:rsidRPr="00320A82">
        <w:rPr>
          <w:rFonts w:ascii="Times New Roman" w:hAnsi="Times New Roman" w:cs="Times New Roman"/>
          <w:sz w:val="24"/>
          <w:szCs w:val="24"/>
        </w:rPr>
        <w:t>ly</w:t>
      </w:r>
      <w:r w:rsidRPr="00320A82">
        <w:rPr>
          <w:rFonts w:ascii="Times New Roman" w:hAnsi="Times New Roman" w:cs="Times New Roman"/>
          <w:sz w:val="24"/>
          <w:szCs w:val="24"/>
        </w:rPr>
        <w:t>-weight</w:t>
      </w:r>
      <w:r w:rsidR="006C6462" w:rsidRPr="00320A82">
        <w:rPr>
          <w:rFonts w:ascii="Times New Roman" w:hAnsi="Times New Roman" w:cs="Times New Roman"/>
          <w:sz w:val="24"/>
          <w:szCs w:val="24"/>
        </w:rPr>
        <w:t>ed</w:t>
      </w:r>
      <w:r w:rsidRPr="00320A82">
        <w:rPr>
          <w:rFonts w:ascii="Times New Roman" w:hAnsi="Times New Roman" w:cs="Times New Roman"/>
          <w:sz w:val="24"/>
          <w:szCs w:val="24"/>
        </w:rPr>
        <w:t xml:space="preserve"> portfolio is the base case whereby each component of the asset class is given the same investment weight with rebalancing occurring on a monthly basis. </w:t>
      </w:r>
      <w:r w:rsidR="006C6462"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All the </w:t>
      </w:r>
      <w:proofErr w:type="gramStart"/>
      <w:r w:rsidRPr="00320A82">
        <w:rPr>
          <w:rFonts w:ascii="Times New Roman" w:hAnsi="Times New Roman" w:cs="Times New Roman"/>
          <w:sz w:val="24"/>
          <w:szCs w:val="24"/>
        </w:rPr>
        <w:t>trend following portfolios are</w:t>
      </w:r>
      <w:proofErr w:type="gramEnd"/>
      <w:r w:rsidRPr="00320A82">
        <w:rPr>
          <w:rFonts w:ascii="Times New Roman" w:hAnsi="Times New Roman" w:cs="Times New Roman"/>
          <w:sz w:val="24"/>
          <w:szCs w:val="24"/>
        </w:rPr>
        <w:t xml:space="preserve"> formed on the same basis except that during </w:t>
      </w:r>
      <w:r w:rsidR="006C6462" w:rsidRPr="00320A82">
        <w:rPr>
          <w:rFonts w:ascii="Times New Roman" w:hAnsi="Times New Roman" w:cs="Times New Roman"/>
          <w:sz w:val="24"/>
          <w:szCs w:val="24"/>
        </w:rPr>
        <w:t xml:space="preserve">any </w:t>
      </w:r>
      <w:r w:rsidRPr="00320A82">
        <w:rPr>
          <w:rFonts w:ascii="Times New Roman" w:hAnsi="Times New Roman" w:cs="Times New Roman"/>
          <w:sz w:val="24"/>
          <w:szCs w:val="24"/>
        </w:rPr>
        <w:t xml:space="preserve">downtrends the allocation </w:t>
      </w:r>
      <w:r w:rsidR="006C6462" w:rsidRPr="00320A82">
        <w:rPr>
          <w:rFonts w:ascii="Times New Roman" w:hAnsi="Times New Roman" w:cs="Times New Roman"/>
          <w:sz w:val="24"/>
          <w:szCs w:val="24"/>
        </w:rPr>
        <w:t xml:space="preserve">to that sub-component </w:t>
      </w:r>
      <w:r w:rsidRPr="00320A82">
        <w:rPr>
          <w:rFonts w:ascii="Times New Roman" w:hAnsi="Times New Roman" w:cs="Times New Roman"/>
          <w:sz w:val="24"/>
          <w:szCs w:val="24"/>
        </w:rPr>
        <w:t xml:space="preserve">is invested in </w:t>
      </w:r>
      <w:r w:rsidR="006C6462" w:rsidRPr="00320A82">
        <w:rPr>
          <w:rFonts w:ascii="Times New Roman" w:hAnsi="Times New Roman" w:cs="Times New Roman"/>
          <w:sz w:val="24"/>
          <w:szCs w:val="24"/>
        </w:rPr>
        <w:t>US T-Bills</w:t>
      </w:r>
      <w:r w:rsidRPr="00320A82">
        <w:rPr>
          <w:rFonts w:ascii="Times New Roman" w:hAnsi="Times New Roman" w:cs="Times New Roman"/>
          <w:sz w:val="24"/>
          <w:szCs w:val="24"/>
        </w:rPr>
        <w:t>.</w:t>
      </w:r>
      <w:r w:rsidR="000D0DD5" w:rsidRPr="00320A82">
        <w:rPr>
          <w:rFonts w:ascii="Times New Roman" w:hAnsi="Times New Roman" w:cs="Times New Roman"/>
          <w:sz w:val="24"/>
          <w:szCs w:val="24"/>
        </w:rPr>
        <w:t xml:space="preserve"> The first point of note is how the base case non-trend-following portfolios are generally an improvement on the broad asset class indexes shown in Table 1</w:t>
      </w:r>
      <w:r w:rsidR="00662568" w:rsidRPr="00320A82">
        <w:rPr>
          <w:rFonts w:ascii="Times New Roman" w:hAnsi="Times New Roman" w:cs="Times New Roman"/>
          <w:sz w:val="24"/>
          <w:szCs w:val="24"/>
        </w:rPr>
        <w:t xml:space="preserve"> as one moves away from market-cap weightings</w:t>
      </w:r>
      <w:r w:rsidR="000D0DD5" w:rsidRPr="00320A82">
        <w:rPr>
          <w:rFonts w:ascii="Times New Roman" w:hAnsi="Times New Roman" w:cs="Times New Roman"/>
          <w:sz w:val="24"/>
          <w:szCs w:val="24"/>
        </w:rPr>
        <w:t xml:space="preserve">. </w:t>
      </w:r>
      <w:r w:rsidR="006C6462" w:rsidRPr="00320A82">
        <w:rPr>
          <w:rFonts w:ascii="Times New Roman" w:hAnsi="Times New Roman" w:cs="Times New Roman"/>
          <w:sz w:val="24"/>
          <w:szCs w:val="24"/>
        </w:rPr>
        <w:t xml:space="preserve"> In other words, equally weighting the sub-components, rather than market value weighting them, as is typically the case with broad financial market indices, would have generally produced superior performance over this sample period.  </w:t>
      </w:r>
      <w:r w:rsidR="000D0DD5" w:rsidRPr="00320A82">
        <w:rPr>
          <w:rFonts w:ascii="Times New Roman" w:hAnsi="Times New Roman" w:cs="Times New Roman"/>
          <w:sz w:val="24"/>
          <w:szCs w:val="24"/>
        </w:rPr>
        <w:t xml:space="preserve">Only </w:t>
      </w:r>
      <w:r w:rsidR="006C6462" w:rsidRPr="00320A82">
        <w:rPr>
          <w:rFonts w:ascii="Times New Roman" w:hAnsi="Times New Roman" w:cs="Times New Roman"/>
          <w:sz w:val="24"/>
          <w:szCs w:val="24"/>
        </w:rPr>
        <w:t xml:space="preserve">in the case of </w:t>
      </w:r>
      <w:r w:rsidR="000D0DD5" w:rsidRPr="00320A82">
        <w:rPr>
          <w:rFonts w:ascii="Times New Roman" w:hAnsi="Times New Roman" w:cs="Times New Roman"/>
          <w:sz w:val="24"/>
          <w:szCs w:val="24"/>
        </w:rPr>
        <w:t xml:space="preserve">the bond asset class is </w:t>
      </w:r>
      <w:r w:rsidR="006C6462" w:rsidRPr="00320A82">
        <w:rPr>
          <w:rFonts w:ascii="Times New Roman" w:hAnsi="Times New Roman" w:cs="Times New Roman"/>
          <w:sz w:val="24"/>
          <w:szCs w:val="24"/>
        </w:rPr>
        <w:t>the broad index superior to the equally-weighted sub-components</w:t>
      </w:r>
      <w:r w:rsidR="000D0DD5" w:rsidRPr="00320A82">
        <w:rPr>
          <w:rFonts w:ascii="Times New Roman" w:hAnsi="Times New Roman" w:cs="Times New Roman"/>
          <w:sz w:val="24"/>
          <w:szCs w:val="24"/>
        </w:rPr>
        <w:t>.</w:t>
      </w:r>
    </w:p>
    <w:p w:rsidR="001212DF" w:rsidRPr="00320A82" w:rsidRDefault="001212DF" w:rsidP="001212DF">
      <w:pPr>
        <w:spacing w:after="0" w:line="360" w:lineRule="auto"/>
        <w:jc w:val="both"/>
        <w:rPr>
          <w:rFonts w:ascii="Times New Roman" w:hAnsi="Times New Roman" w:cs="Times New Roman"/>
          <w:sz w:val="24"/>
          <w:szCs w:val="24"/>
        </w:rPr>
      </w:pPr>
    </w:p>
    <w:p w:rsidR="003360F6" w:rsidRPr="00320A82" w:rsidRDefault="00A03FDC"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The trend following portfolios show considerable risk-adjusted performance improvements compared to the</w:t>
      </w:r>
      <w:r w:rsidR="006C6462" w:rsidRPr="00320A82">
        <w:rPr>
          <w:rFonts w:ascii="Times New Roman" w:hAnsi="Times New Roman" w:cs="Times New Roman"/>
          <w:sz w:val="24"/>
          <w:szCs w:val="24"/>
        </w:rPr>
        <w:t xml:space="preserve">ir equally-weighted </w:t>
      </w:r>
      <w:r w:rsidRPr="00320A82">
        <w:rPr>
          <w:rFonts w:ascii="Times New Roman" w:hAnsi="Times New Roman" w:cs="Times New Roman"/>
          <w:sz w:val="24"/>
          <w:szCs w:val="24"/>
        </w:rPr>
        <w:t>portfolio</w:t>
      </w:r>
      <w:r w:rsidR="006C6462" w:rsidRPr="00320A82">
        <w:rPr>
          <w:rFonts w:ascii="Times New Roman" w:hAnsi="Times New Roman" w:cs="Times New Roman"/>
          <w:sz w:val="24"/>
          <w:szCs w:val="24"/>
        </w:rPr>
        <w:t xml:space="preserve"> comparator</w:t>
      </w:r>
      <w:r w:rsidRPr="00320A82">
        <w:rPr>
          <w:rFonts w:ascii="Times New Roman" w:hAnsi="Times New Roman" w:cs="Times New Roman"/>
          <w:sz w:val="24"/>
          <w:szCs w:val="24"/>
        </w:rPr>
        <w:t xml:space="preserve">s. The only exception is again </w:t>
      </w:r>
      <w:r w:rsidR="006C6462" w:rsidRPr="00320A82">
        <w:rPr>
          <w:rFonts w:ascii="Times New Roman" w:hAnsi="Times New Roman" w:cs="Times New Roman"/>
          <w:sz w:val="24"/>
          <w:szCs w:val="24"/>
        </w:rPr>
        <w:t xml:space="preserve">the </w:t>
      </w:r>
      <w:r w:rsidRPr="00320A82">
        <w:rPr>
          <w:rFonts w:ascii="Times New Roman" w:hAnsi="Times New Roman" w:cs="Times New Roman"/>
          <w:sz w:val="24"/>
          <w:szCs w:val="24"/>
        </w:rPr>
        <w:t>bonds</w:t>
      </w:r>
      <w:r w:rsidR="000939D5" w:rsidRPr="00320A82">
        <w:rPr>
          <w:rFonts w:ascii="Times New Roman" w:hAnsi="Times New Roman" w:cs="Times New Roman"/>
          <w:sz w:val="24"/>
          <w:szCs w:val="24"/>
        </w:rPr>
        <w:t xml:space="preserve"> </w:t>
      </w:r>
      <w:r w:rsidR="006C6462" w:rsidRPr="00320A82">
        <w:rPr>
          <w:rFonts w:ascii="Times New Roman" w:hAnsi="Times New Roman" w:cs="Times New Roman"/>
          <w:sz w:val="24"/>
          <w:szCs w:val="24"/>
        </w:rPr>
        <w:t xml:space="preserve">category </w:t>
      </w:r>
      <w:r w:rsidR="000939D5" w:rsidRPr="00320A82">
        <w:rPr>
          <w:rFonts w:ascii="Times New Roman" w:hAnsi="Times New Roman" w:cs="Times New Roman"/>
          <w:sz w:val="24"/>
          <w:szCs w:val="24"/>
        </w:rPr>
        <w:t>where we observe little difference</w:t>
      </w:r>
      <w:r w:rsidRPr="00320A82">
        <w:rPr>
          <w:rFonts w:ascii="Times New Roman" w:hAnsi="Times New Roman" w:cs="Times New Roman"/>
          <w:sz w:val="24"/>
          <w:szCs w:val="24"/>
        </w:rPr>
        <w:t xml:space="preserve">. </w:t>
      </w:r>
      <w:r w:rsidR="006C6462" w:rsidRPr="00320A82">
        <w:rPr>
          <w:rFonts w:ascii="Times New Roman" w:hAnsi="Times New Roman" w:cs="Times New Roman"/>
          <w:sz w:val="24"/>
          <w:szCs w:val="24"/>
        </w:rPr>
        <w:t xml:space="preserve"> </w:t>
      </w:r>
      <w:r w:rsidRPr="00320A82">
        <w:rPr>
          <w:rFonts w:ascii="Times New Roman" w:hAnsi="Times New Roman" w:cs="Times New Roman"/>
          <w:sz w:val="24"/>
          <w:szCs w:val="24"/>
        </w:rPr>
        <w:t>Faber (2007) highlights how a trend following portfolio will underperform a buy-and-hold portfolio during major bull markets. This is the scenario largely witnessed for bonds during the period of study (with the exception of some of the peripheral European nations in very recent years).</w:t>
      </w:r>
      <w:r w:rsidR="00090BD8" w:rsidRPr="00320A82">
        <w:rPr>
          <w:rFonts w:ascii="Times New Roman" w:hAnsi="Times New Roman" w:cs="Times New Roman"/>
          <w:sz w:val="24"/>
          <w:szCs w:val="24"/>
        </w:rPr>
        <w:t xml:space="preserve"> The other asset classes have experienced one or more periods of stress in the past 20 years, </w:t>
      </w:r>
      <w:r w:rsidR="006C6462" w:rsidRPr="00320A82">
        <w:rPr>
          <w:rFonts w:ascii="Times New Roman" w:hAnsi="Times New Roman" w:cs="Times New Roman"/>
          <w:sz w:val="24"/>
          <w:szCs w:val="24"/>
        </w:rPr>
        <w:t>for example, the</w:t>
      </w:r>
      <w:r w:rsidR="00090BD8" w:rsidRPr="00320A82">
        <w:rPr>
          <w:rFonts w:ascii="Times New Roman" w:hAnsi="Times New Roman" w:cs="Times New Roman"/>
          <w:sz w:val="24"/>
          <w:szCs w:val="24"/>
        </w:rPr>
        <w:t xml:space="preserve"> </w:t>
      </w:r>
      <w:r w:rsidR="00090BD8" w:rsidRPr="00320A82">
        <w:rPr>
          <w:rFonts w:ascii="Times New Roman" w:hAnsi="Times New Roman" w:cs="Times New Roman"/>
          <w:sz w:val="24"/>
          <w:szCs w:val="24"/>
        </w:rPr>
        <w:lastRenderedPageBreak/>
        <w:t xml:space="preserve">dot-com crash for equities, </w:t>
      </w:r>
      <w:r w:rsidR="006C6462" w:rsidRPr="00320A82">
        <w:rPr>
          <w:rFonts w:ascii="Times New Roman" w:hAnsi="Times New Roman" w:cs="Times New Roman"/>
          <w:sz w:val="24"/>
          <w:szCs w:val="24"/>
        </w:rPr>
        <w:t xml:space="preserve">the </w:t>
      </w:r>
      <w:r w:rsidR="00090BD8" w:rsidRPr="00320A82">
        <w:rPr>
          <w:rFonts w:ascii="Times New Roman" w:hAnsi="Times New Roman" w:cs="Times New Roman"/>
          <w:sz w:val="24"/>
          <w:szCs w:val="24"/>
        </w:rPr>
        <w:t xml:space="preserve">$10 </w:t>
      </w:r>
      <w:r w:rsidR="006C6462" w:rsidRPr="00320A82">
        <w:rPr>
          <w:rFonts w:ascii="Times New Roman" w:hAnsi="Times New Roman" w:cs="Times New Roman"/>
          <w:sz w:val="24"/>
          <w:szCs w:val="24"/>
        </w:rPr>
        <w:t xml:space="preserve">per barrel </w:t>
      </w:r>
      <w:r w:rsidR="00090BD8" w:rsidRPr="00320A82">
        <w:rPr>
          <w:rFonts w:ascii="Times New Roman" w:hAnsi="Times New Roman" w:cs="Times New Roman"/>
          <w:sz w:val="24"/>
          <w:szCs w:val="24"/>
        </w:rPr>
        <w:t>oil in the late 1990's</w:t>
      </w:r>
      <w:r w:rsidR="00C30DF0" w:rsidRPr="00320A82">
        <w:rPr>
          <w:rFonts w:ascii="Times New Roman" w:hAnsi="Times New Roman" w:cs="Times New Roman"/>
          <w:sz w:val="24"/>
          <w:szCs w:val="24"/>
        </w:rPr>
        <w:t xml:space="preserve"> as part of multi-decade bear market in commodities</w:t>
      </w:r>
      <w:r w:rsidR="00090BD8" w:rsidRPr="00320A82">
        <w:rPr>
          <w:rFonts w:ascii="Times New Roman" w:hAnsi="Times New Roman" w:cs="Times New Roman"/>
          <w:sz w:val="24"/>
          <w:szCs w:val="24"/>
        </w:rPr>
        <w:t xml:space="preserve">, </w:t>
      </w:r>
      <w:r w:rsidR="006C6462" w:rsidRPr="00320A82">
        <w:rPr>
          <w:rFonts w:ascii="Times New Roman" w:hAnsi="Times New Roman" w:cs="Times New Roman"/>
          <w:sz w:val="24"/>
          <w:szCs w:val="24"/>
        </w:rPr>
        <w:t xml:space="preserve">the </w:t>
      </w:r>
      <w:r w:rsidR="00090BD8" w:rsidRPr="00320A82">
        <w:rPr>
          <w:rFonts w:ascii="Times New Roman" w:hAnsi="Times New Roman" w:cs="Times New Roman"/>
          <w:sz w:val="24"/>
          <w:szCs w:val="24"/>
        </w:rPr>
        <w:t xml:space="preserve">property collapse in credit crunch </w:t>
      </w:r>
      <w:r w:rsidR="006C6462" w:rsidRPr="00320A82">
        <w:rPr>
          <w:rFonts w:ascii="Times New Roman" w:hAnsi="Times New Roman" w:cs="Times New Roman"/>
          <w:sz w:val="24"/>
          <w:szCs w:val="24"/>
        </w:rPr>
        <w:t xml:space="preserve">of </w:t>
      </w:r>
      <w:r w:rsidR="00090BD8" w:rsidRPr="00320A82">
        <w:rPr>
          <w:rFonts w:ascii="Times New Roman" w:hAnsi="Times New Roman" w:cs="Times New Roman"/>
          <w:sz w:val="24"/>
          <w:szCs w:val="24"/>
        </w:rPr>
        <w:t>2008, etc.</w:t>
      </w:r>
      <w:r w:rsidR="006C6462" w:rsidRPr="00320A82">
        <w:rPr>
          <w:rFonts w:ascii="Times New Roman" w:hAnsi="Times New Roman" w:cs="Times New Roman"/>
          <w:sz w:val="24"/>
          <w:szCs w:val="24"/>
        </w:rPr>
        <w:t xml:space="preserve"> </w:t>
      </w:r>
      <w:r w:rsidR="00BC50FD" w:rsidRPr="00320A82">
        <w:rPr>
          <w:rFonts w:ascii="Times New Roman" w:hAnsi="Times New Roman" w:cs="Times New Roman"/>
          <w:sz w:val="24"/>
          <w:szCs w:val="24"/>
        </w:rPr>
        <w:t xml:space="preserve"> In each of these remaining asset classes we see higher returns from trend following in the region of 1-3% per </w:t>
      </w:r>
      <w:proofErr w:type="gramStart"/>
      <w:r w:rsidR="00BC50FD" w:rsidRPr="00320A82">
        <w:rPr>
          <w:rFonts w:ascii="Times New Roman" w:hAnsi="Times New Roman" w:cs="Times New Roman"/>
          <w:sz w:val="24"/>
          <w:szCs w:val="24"/>
        </w:rPr>
        <w:t>annum,</w:t>
      </w:r>
      <w:proofErr w:type="gramEnd"/>
      <w:r w:rsidR="00BC50FD" w:rsidRPr="00320A82">
        <w:rPr>
          <w:rFonts w:ascii="Times New Roman" w:hAnsi="Times New Roman" w:cs="Times New Roman"/>
          <w:sz w:val="24"/>
          <w:szCs w:val="24"/>
        </w:rPr>
        <w:t xml:space="preserve"> however, the most noticeable factor is the dramatic reduction in volatility</w:t>
      </w:r>
      <w:r w:rsidR="003A4C65" w:rsidRPr="00320A82">
        <w:rPr>
          <w:rFonts w:ascii="Times New Roman" w:hAnsi="Times New Roman" w:cs="Times New Roman"/>
          <w:sz w:val="24"/>
          <w:szCs w:val="24"/>
        </w:rPr>
        <w:t>,</w:t>
      </w:r>
      <w:r w:rsidR="00BC50FD" w:rsidRPr="00320A82">
        <w:rPr>
          <w:rFonts w:ascii="Times New Roman" w:hAnsi="Times New Roman" w:cs="Times New Roman"/>
          <w:sz w:val="24"/>
          <w:szCs w:val="24"/>
        </w:rPr>
        <w:t xml:space="preserve"> by around 40-50% of the </w:t>
      </w:r>
      <w:r w:rsidR="003A4C65" w:rsidRPr="00320A82">
        <w:rPr>
          <w:rFonts w:ascii="Times New Roman" w:hAnsi="Times New Roman" w:cs="Times New Roman"/>
          <w:sz w:val="24"/>
          <w:szCs w:val="24"/>
        </w:rPr>
        <w:t>equally-weighted portfolios</w:t>
      </w:r>
      <w:r w:rsidR="00BC50FD" w:rsidRPr="00320A82">
        <w:rPr>
          <w:rFonts w:ascii="Times New Roman" w:hAnsi="Times New Roman" w:cs="Times New Roman"/>
          <w:sz w:val="24"/>
          <w:szCs w:val="24"/>
        </w:rPr>
        <w:t xml:space="preserve">. This in turn leads to much higher Sharpe ratios and much lower experienced drawdowns. </w:t>
      </w:r>
      <w:r w:rsidR="00B42505" w:rsidRPr="00320A82">
        <w:rPr>
          <w:rFonts w:ascii="Times New Roman" w:hAnsi="Times New Roman" w:cs="Times New Roman"/>
          <w:sz w:val="24"/>
          <w:szCs w:val="24"/>
        </w:rPr>
        <w:t>In terms of signal length, it is not apparent that there is much difference in risk-adjusted performance. The most noticeable difference, again consistent with Table 1, is that skewness becomes more positive as the signal length is shortened. The downside to shorter signals in reality is that more transactions will be required and thus additional associated costs incurred.</w:t>
      </w:r>
    </w:p>
    <w:p w:rsidR="001212DF" w:rsidRPr="00320A82" w:rsidRDefault="001212DF" w:rsidP="001212DF">
      <w:pPr>
        <w:spacing w:after="0" w:line="360" w:lineRule="auto"/>
        <w:jc w:val="both"/>
        <w:rPr>
          <w:rFonts w:ascii="Times New Roman" w:hAnsi="Times New Roman" w:cs="Times New Roman"/>
          <w:sz w:val="24"/>
          <w:szCs w:val="24"/>
        </w:rPr>
      </w:pPr>
    </w:p>
    <w:p w:rsidR="00EE7FAC" w:rsidRPr="00320A82" w:rsidRDefault="00FF665E"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Table 3 displays the performance of a multi-asset portfolio with 20% assigned to each</w:t>
      </w:r>
      <w:r w:rsidR="003A4C65" w:rsidRPr="00320A82">
        <w:rPr>
          <w:rFonts w:ascii="Times New Roman" w:hAnsi="Times New Roman" w:cs="Times New Roman"/>
          <w:sz w:val="24"/>
          <w:szCs w:val="24"/>
        </w:rPr>
        <w:t>, broad</w:t>
      </w:r>
      <w:r w:rsidRPr="00320A82">
        <w:rPr>
          <w:rFonts w:ascii="Times New Roman" w:hAnsi="Times New Roman" w:cs="Times New Roman"/>
          <w:sz w:val="24"/>
          <w:szCs w:val="24"/>
        </w:rPr>
        <w:t xml:space="preserve"> asset class</w:t>
      </w:r>
      <w:r w:rsidR="003A4C65" w:rsidRPr="00320A82">
        <w:rPr>
          <w:rFonts w:ascii="Times New Roman" w:hAnsi="Times New Roman" w:cs="Times New Roman"/>
          <w:sz w:val="24"/>
          <w:szCs w:val="24"/>
        </w:rPr>
        <w:t>,</w:t>
      </w:r>
      <w:r w:rsidRPr="00320A82">
        <w:rPr>
          <w:rFonts w:ascii="Times New Roman" w:hAnsi="Times New Roman" w:cs="Times New Roman"/>
          <w:sz w:val="24"/>
          <w:szCs w:val="24"/>
        </w:rPr>
        <w:t xml:space="preserve"> </w:t>
      </w:r>
      <w:r w:rsidR="003A4C65" w:rsidRPr="00320A82">
        <w:rPr>
          <w:rFonts w:ascii="Times New Roman" w:hAnsi="Times New Roman" w:cs="Times New Roman"/>
          <w:sz w:val="24"/>
          <w:szCs w:val="24"/>
        </w:rPr>
        <w:t xml:space="preserve">but with </w:t>
      </w:r>
      <w:r w:rsidRPr="00320A82">
        <w:rPr>
          <w:rFonts w:ascii="Times New Roman" w:hAnsi="Times New Roman" w:cs="Times New Roman"/>
          <w:sz w:val="24"/>
          <w:szCs w:val="24"/>
        </w:rPr>
        <w:t xml:space="preserve">the </w:t>
      </w:r>
      <w:r w:rsidR="003A4C65" w:rsidRPr="00320A82">
        <w:rPr>
          <w:rFonts w:ascii="Times New Roman" w:hAnsi="Times New Roman" w:cs="Times New Roman"/>
          <w:sz w:val="24"/>
          <w:szCs w:val="24"/>
        </w:rPr>
        <w:t>trend following rule applied to the components of each of these broad asset classes</w:t>
      </w:r>
      <w:r w:rsidRPr="00320A82">
        <w:rPr>
          <w:rFonts w:ascii="Times New Roman" w:hAnsi="Times New Roman" w:cs="Times New Roman"/>
          <w:sz w:val="24"/>
          <w:szCs w:val="24"/>
        </w:rPr>
        <w:t>,</w:t>
      </w:r>
      <w:r w:rsidR="003A4C65" w:rsidRPr="00320A82">
        <w:rPr>
          <w:rFonts w:ascii="Times New Roman" w:hAnsi="Times New Roman" w:cs="Times New Roman"/>
          <w:sz w:val="24"/>
          <w:szCs w:val="24"/>
        </w:rPr>
        <w:t xml:space="preserve"> that is, we </w:t>
      </w:r>
      <w:r w:rsidRPr="00320A82">
        <w:rPr>
          <w:rFonts w:ascii="Times New Roman" w:hAnsi="Times New Roman" w:cs="Times New Roman"/>
          <w:sz w:val="24"/>
          <w:szCs w:val="24"/>
        </w:rPr>
        <w:t>decompos</w:t>
      </w:r>
      <w:r w:rsidR="003A4C65" w:rsidRPr="00320A82">
        <w:rPr>
          <w:rFonts w:ascii="Times New Roman" w:hAnsi="Times New Roman" w:cs="Times New Roman"/>
          <w:sz w:val="24"/>
          <w:szCs w:val="24"/>
        </w:rPr>
        <w:t>e</w:t>
      </w:r>
      <w:r w:rsidRPr="00320A82">
        <w:rPr>
          <w:rFonts w:ascii="Times New Roman" w:hAnsi="Times New Roman" w:cs="Times New Roman"/>
          <w:sz w:val="24"/>
          <w:szCs w:val="24"/>
        </w:rPr>
        <w:t xml:space="preserve"> each asset class into its components and then apply </w:t>
      </w:r>
      <w:r w:rsidR="003A4C65" w:rsidRPr="00320A82">
        <w:rPr>
          <w:rFonts w:ascii="Times New Roman" w:hAnsi="Times New Roman" w:cs="Times New Roman"/>
          <w:sz w:val="24"/>
          <w:szCs w:val="24"/>
        </w:rPr>
        <w:t xml:space="preserve">the </w:t>
      </w:r>
      <w:r w:rsidRPr="00320A82">
        <w:rPr>
          <w:rFonts w:ascii="Times New Roman" w:hAnsi="Times New Roman" w:cs="Times New Roman"/>
          <w:sz w:val="24"/>
          <w:szCs w:val="24"/>
        </w:rPr>
        <w:t>trend following</w:t>
      </w:r>
      <w:r w:rsidR="003A4C65" w:rsidRPr="00320A82">
        <w:rPr>
          <w:rFonts w:ascii="Times New Roman" w:hAnsi="Times New Roman" w:cs="Times New Roman"/>
          <w:sz w:val="24"/>
          <w:szCs w:val="24"/>
        </w:rPr>
        <w:t xml:space="preserve"> rules applied to produce the performance statistics in Table 2</w:t>
      </w:r>
      <w:r w:rsidRPr="00320A82">
        <w:rPr>
          <w:rFonts w:ascii="Times New Roman" w:hAnsi="Times New Roman" w:cs="Times New Roman"/>
          <w:sz w:val="24"/>
          <w:szCs w:val="24"/>
        </w:rPr>
        <w:t xml:space="preserve">. </w:t>
      </w:r>
      <w:r w:rsidR="003A4C65"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We </w:t>
      </w:r>
      <w:r w:rsidR="003A4C65" w:rsidRPr="00320A82">
        <w:rPr>
          <w:rFonts w:ascii="Times New Roman" w:hAnsi="Times New Roman" w:cs="Times New Roman"/>
          <w:sz w:val="24"/>
          <w:szCs w:val="24"/>
        </w:rPr>
        <w:t xml:space="preserve">can </w:t>
      </w:r>
      <w:r w:rsidRPr="00320A82">
        <w:rPr>
          <w:rFonts w:ascii="Times New Roman" w:hAnsi="Times New Roman" w:cs="Times New Roman"/>
          <w:sz w:val="24"/>
          <w:szCs w:val="24"/>
        </w:rPr>
        <w:t xml:space="preserve">see that this yields a return regardless of signal length of just </w:t>
      </w:r>
      <w:proofErr w:type="gramStart"/>
      <w:r w:rsidR="005573BA">
        <w:rPr>
          <w:rFonts w:ascii="Times New Roman" w:hAnsi="Times New Roman" w:cs="Times New Roman"/>
          <w:sz w:val="24"/>
          <w:szCs w:val="24"/>
        </w:rPr>
        <w:t>under</w:t>
      </w:r>
      <w:proofErr w:type="gramEnd"/>
      <w:r w:rsidRPr="00320A82">
        <w:rPr>
          <w:rFonts w:ascii="Times New Roman" w:hAnsi="Times New Roman" w:cs="Times New Roman"/>
          <w:sz w:val="24"/>
          <w:szCs w:val="24"/>
        </w:rPr>
        <w:t xml:space="preserve"> 10%, an annualized volatility of approximately 7.5% and a maximum drawdown less than </w:t>
      </w:r>
      <w:r w:rsidR="005573BA">
        <w:rPr>
          <w:rFonts w:ascii="Times New Roman" w:hAnsi="Times New Roman" w:cs="Times New Roman"/>
          <w:sz w:val="24"/>
          <w:szCs w:val="24"/>
        </w:rPr>
        <w:t>12</w:t>
      </w:r>
      <w:r w:rsidRPr="00320A82">
        <w:rPr>
          <w:rFonts w:ascii="Times New Roman" w:hAnsi="Times New Roman" w:cs="Times New Roman"/>
          <w:sz w:val="24"/>
          <w:szCs w:val="24"/>
        </w:rPr>
        <w:t xml:space="preserve">%. </w:t>
      </w:r>
      <w:r w:rsidR="003A4C65"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Again, this is a substantial improvement on the </w:t>
      </w:r>
      <w:r w:rsidR="003A4C65" w:rsidRPr="00320A82">
        <w:rPr>
          <w:rFonts w:ascii="Times New Roman" w:hAnsi="Times New Roman" w:cs="Times New Roman"/>
          <w:sz w:val="24"/>
          <w:szCs w:val="24"/>
        </w:rPr>
        <w:t xml:space="preserve">equally-weighted </w:t>
      </w:r>
      <w:r w:rsidRPr="00320A82">
        <w:rPr>
          <w:rFonts w:ascii="Times New Roman" w:hAnsi="Times New Roman" w:cs="Times New Roman"/>
          <w:sz w:val="24"/>
          <w:szCs w:val="24"/>
        </w:rPr>
        <w:t>base case portfolio</w:t>
      </w:r>
      <w:r w:rsidR="003A4C65" w:rsidRPr="00320A82">
        <w:rPr>
          <w:rFonts w:ascii="Times New Roman" w:hAnsi="Times New Roman" w:cs="Times New Roman"/>
          <w:sz w:val="24"/>
          <w:szCs w:val="24"/>
        </w:rPr>
        <w:t xml:space="preserve">, whose performance statistics are shown in the first column of Table 3, where no </w:t>
      </w:r>
      <w:proofErr w:type="gramStart"/>
      <w:r w:rsidR="003A4C65" w:rsidRPr="00320A82">
        <w:rPr>
          <w:rFonts w:ascii="Times New Roman" w:hAnsi="Times New Roman" w:cs="Times New Roman"/>
          <w:sz w:val="24"/>
          <w:szCs w:val="24"/>
        </w:rPr>
        <w:t>trend following rules have</w:t>
      </w:r>
      <w:proofErr w:type="gramEnd"/>
      <w:r w:rsidR="003A4C65" w:rsidRPr="00320A82">
        <w:rPr>
          <w:rFonts w:ascii="Times New Roman" w:hAnsi="Times New Roman" w:cs="Times New Roman"/>
          <w:sz w:val="24"/>
          <w:szCs w:val="24"/>
        </w:rPr>
        <w:t xml:space="preserve"> been applied</w:t>
      </w:r>
      <w:r w:rsidRPr="00320A82">
        <w:rPr>
          <w:rFonts w:ascii="Times New Roman" w:hAnsi="Times New Roman" w:cs="Times New Roman"/>
          <w:sz w:val="24"/>
          <w:szCs w:val="24"/>
        </w:rPr>
        <w:t>.</w:t>
      </w:r>
      <w:r w:rsidR="003A4C65"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 </w:t>
      </w:r>
      <w:r w:rsidR="00C23B76" w:rsidRPr="00320A82">
        <w:rPr>
          <w:rFonts w:ascii="Times New Roman" w:hAnsi="Times New Roman" w:cs="Times New Roman"/>
          <w:sz w:val="24"/>
          <w:szCs w:val="24"/>
        </w:rPr>
        <w:t xml:space="preserve">In addition, we observe an improvement in risk-adjusted returns compared to the broad trend following asset class models in Table 1. This indicates that splitting an asset class into its component parts adds value. </w:t>
      </w:r>
    </w:p>
    <w:p w:rsidR="001212DF" w:rsidRPr="00320A82" w:rsidRDefault="001212DF" w:rsidP="001212DF">
      <w:pPr>
        <w:spacing w:after="0" w:line="360" w:lineRule="auto"/>
        <w:jc w:val="both"/>
        <w:rPr>
          <w:rFonts w:ascii="Times New Roman" w:hAnsi="Times New Roman" w:cs="Times New Roman"/>
          <w:sz w:val="24"/>
          <w:szCs w:val="24"/>
        </w:rPr>
      </w:pPr>
    </w:p>
    <w:p w:rsidR="007801E2" w:rsidRPr="00320A82" w:rsidRDefault="00624B0F" w:rsidP="001212DF">
      <w:pPr>
        <w:spacing w:after="0" w:line="360" w:lineRule="auto"/>
        <w:jc w:val="both"/>
        <w:rPr>
          <w:rFonts w:ascii="Times New Roman" w:hAnsi="Times New Roman" w:cs="Times New Roman"/>
          <w:i/>
          <w:sz w:val="24"/>
          <w:szCs w:val="24"/>
        </w:rPr>
      </w:pPr>
      <w:r w:rsidRPr="00320A82">
        <w:rPr>
          <w:rFonts w:ascii="Times New Roman" w:hAnsi="Times New Roman" w:cs="Times New Roman"/>
          <w:i/>
          <w:sz w:val="24"/>
          <w:szCs w:val="24"/>
        </w:rPr>
        <w:t xml:space="preserve">3.3 </w:t>
      </w:r>
      <w:r w:rsidR="007801E2" w:rsidRPr="00320A82">
        <w:rPr>
          <w:rFonts w:ascii="Times New Roman" w:hAnsi="Times New Roman" w:cs="Times New Roman"/>
          <w:i/>
          <w:sz w:val="24"/>
          <w:szCs w:val="24"/>
        </w:rPr>
        <w:t>Risk Parity</w:t>
      </w:r>
      <w:r w:rsidR="00046FD3" w:rsidRPr="00320A82">
        <w:rPr>
          <w:rFonts w:ascii="Times New Roman" w:hAnsi="Times New Roman" w:cs="Times New Roman"/>
          <w:i/>
          <w:sz w:val="24"/>
          <w:szCs w:val="24"/>
        </w:rPr>
        <w:t xml:space="preserve"> applied within the broad asset classes</w:t>
      </w:r>
    </w:p>
    <w:p w:rsidR="00456A34" w:rsidRPr="00320A82" w:rsidRDefault="005F28EE" w:rsidP="001212DF">
      <w:pPr>
        <w:spacing w:after="0" w:line="360" w:lineRule="auto"/>
        <w:jc w:val="both"/>
        <w:rPr>
          <w:rFonts w:ascii="Times New Roman" w:hAnsi="Times New Roman" w:cs="Times New Roman"/>
          <w:sz w:val="24"/>
          <w:szCs w:val="24"/>
        </w:rPr>
      </w:pPr>
      <w:r w:rsidRPr="00320A82">
        <w:rPr>
          <w:rFonts w:ascii="Times New Roman" w:hAnsi="Times New Roman" w:cs="Times New Roman"/>
          <w:sz w:val="24"/>
          <w:szCs w:val="24"/>
        </w:rPr>
        <w:t xml:space="preserve">Having shown that decomposing an asset class </w:t>
      </w:r>
      <w:r w:rsidR="003A4C65" w:rsidRPr="00320A82">
        <w:rPr>
          <w:rFonts w:ascii="Times New Roman" w:hAnsi="Times New Roman" w:cs="Times New Roman"/>
          <w:sz w:val="24"/>
          <w:szCs w:val="24"/>
        </w:rPr>
        <w:t xml:space="preserve">into sub-components and then applying trend following rules to these individual sub-components can improve the risk return characteristics of a multi-asset class portfolio, we </w:t>
      </w:r>
      <w:r w:rsidRPr="00320A82">
        <w:rPr>
          <w:rFonts w:ascii="Times New Roman" w:hAnsi="Times New Roman" w:cs="Times New Roman"/>
          <w:sz w:val="24"/>
          <w:szCs w:val="24"/>
        </w:rPr>
        <w:t xml:space="preserve">now consider </w:t>
      </w:r>
      <w:r w:rsidR="003A4C65" w:rsidRPr="00320A82">
        <w:rPr>
          <w:rFonts w:ascii="Times New Roman" w:hAnsi="Times New Roman" w:cs="Times New Roman"/>
          <w:sz w:val="24"/>
          <w:szCs w:val="24"/>
        </w:rPr>
        <w:t xml:space="preserve">whether </w:t>
      </w:r>
      <w:r w:rsidRPr="00320A82">
        <w:rPr>
          <w:rFonts w:ascii="Times New Roman" w:hAnsi="Times New Roman" w:cs="Times New Roman"/>
          <w:sz w:val="24"/>
          <w:szCs w:val="24"/>
        </w:rPr>
        <w:t xml:space="preserve">the same approach </w:t>
      </w:r>
      <w:r w:rsidR="003A4C65" w:rsidRPr="00320A82">
        <w:rPr>
          <w:rFonts w:ascii="Times New Roman" w:hAnsi="Times New Roman" w:cs="Times New Roman"/>
          <w:sz w:val="24"/>
          <w:szCs w:val="24"/>
        </w:rPr>
        <w:t xml:space="preserve">improves risk-return outcomes </w:t>
      </w:r>
      <w:r w:rsidRPr="00320A82">
        <w:rPr>
          <w:rFonts w:ascii="Times New Roman" w:hAnsi="Times New Roman" w:cs="Times New Roman"/>
          <w:sz w:val="24"/>
          <w:szCs w:val="24"/>
        </w:rPr>
        <w:t>using risk parity</w:t>
      </w:r>
      <w:r w:rsidR="003A4C65" w:rsidRPr="00320A82">
        <w:rPr>
          <w:rFonts w:ascii="Times New Roman" w:hAnsi="Times New Roman" w:cs="Times New Roman"/>
          <w:sz w:val="24"/>
          <w:szCs w:val="24"/>
        </w:rPr>
        <w:t xml:space="preserve"> rules</w:t>
      </w:r>
      <w:r w:rsidRPr="00320A82">
        <w:rPr>
          <w:rFonts w:ascii="Times New Roman" w:hAnsi="Times New Roman" w:cs="Times New Roman"/>
          <w:sz w:val="24"/>
          <w:szCs w:val="24"/>
        </w:rPr>
        <w:t xml:space="preserve">. </w:t>
      </w:r>
      <w:r w:rsidR="003A4C65"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Panel </w:t>
      </w:r>
      <w:proofErr w:type="gramStart"/>
      <w:r w:rsidRPr="00320A82">
        <w:rPr>
          <w:rFonts w:ascii="Times New Roman" w:hAnsi="Times New Roman" w:cs="Times New Roman"/>
          <w:sz w:val="24"/>
          <w:szCs w:val="24"/>
        </w:rPr>
        <w:t>A</w:t>
      </w:r>
      <w:proofErr w:type="gramEnd"/>
      <w:r w:rsidRPr="00320A82">
        <w:rPr>
          <w:rFonts w:ascii="Times New Roman" w:hAnsi="Times New Roman" w:cs="Times New Roman"/>
          <w:sz w:val="24"/>
          <w:szCs w:val="24"/>
        </w:rPr>
        <w:t xml:space="preserve"> of Table 4 shows the performance of risk parity </w:t>
      </w:r>
      <w:r w:rsidRPr="00320A82">
        <w:rPr>
          <w:rFonts w:ascii="Times New Roman" w:hAnsi="Times New Roman" w:cs="Times New Roman"/>
          <w:i/>
          <w:sz w:val="24"/>
          <w:szCs w:val="24"/>
        </w:rPr>
        <w:t xml:space="preserve">within </w:t>
      </w:r>
      <w:r w:rsidRPr="00320A82">
        <w:rPr>
          <w:rFonts w:ascii="Times New Roman" w:hAnsi="Times New Roman" w:cs="Times New Roman"/>
          <w:sz w:val="24"/>
          <w:szCs w:val="24"/>
        </w:rPr>
        <w:t xml:space="preserve">an asset class. </w:t>
      </w:r>
      <w:r w:rsidR="008B1772" w:rsidRPr="00320A82">
        <w:rPr>
          <w:rFonts w:ascii="Times New Roman" w:hAnsi="Times New Roman" w:cs="Times New Roman"/>
          <w:sz w:val="24"/>
          <w:szCs w:val="24"/>
        </w:rPr>
        <w:t xml:space="preserve"> We can compare the results in panel A of Table 4 with the related equally-weighted portfolios for each asset class presented in Table 2.  When we do this </w:t>
      </w:r>
      <w:r w:rsidRPr="00320A82">
        <w:rPr>
          <w:rFonts w:ascii="Times New Roman" w:hAnsi="Times New Roman" w:cs="Times New Roman"/>
          <w:sz w:val="24"/>
          <w:szCs w:val="24"/>
        </w:rPr>
        <w:t xml:space="preserve">we observe very little difference in risk-adjusted performance. </w:t>
      </w:r>
      <w:r w:rsidR="008B1772" w:rsidRPr="00320A82">
        <w:rPr>
          <w:rFonts w:ascii="Times New Roman" w:hAnsi="Times New Roman" w:cs="Times New Roman"/>
          <w:sz w:val="24"/>
          <w:szCs w:val="24"/>
        </w:rPr>
        <w:t xml:space="preserve">  For example, Panel </w:t>
      </w:r>
      <w:proofErr w:type="gramStart"/>
      <w:r w:rsidR="008B1772" w:rsidRPr="00320A82">
        <w:rPr>
          <w:rFonts w:ascii="Times New Roman" w:hAnsi="Times New Roman" w:cs="Times New Roman"/>
          <w:sz w:val="24"/>
          <w:szCs w:val="24"/>
        </w:rPr>
        <w:t>A</w:t>
      </w:r>
      <w:proofErr w:type="gramEnd"/>
      <w:r w:rsidR="008B1772" w:rsidRPr="00320A82">
        <w:rPr>
          <w:rFonts w:ascii="Times New Roman" w:hAnsi="Times New Roman" w:cs="Times New Roman"/>
          <w:sz w:val="24"/>
          <w:szCs w:val="24"/>
        </w:rPr>
        <w:t xml:space="preserve"> of Table 2 shows that the Sharpe ratio of developed economy, equally-weighted portfolio is 0.</w:t>
      </w:r>
      <w:r w:rsidR="005573BA">
        <w:rPr>
          <w:rFonts w:ascii="Times New Roman" w:hAnsi="Times New Roman" w:cs="Times New Roman"/>
          <w:sz w:val="24"/>
          <w:szCs w:val="24"/>
        </w:rPr>
        <w:t>32</w:t>
      </w:r>
      <w:r w:rsidR="008B1772" w:rsidRPr="00320A82">
        <w:rPr>
          <w:rFonts w:ascii="Times New Roman" w:hAnsi="Times New Roman" w:cs="Times New Roman"/>
          <w:sz w:val="24"/>
          <w:szCs w:val="24"/>
        </w:rPr>
        <w:t>; the risk parity-weighted equivalent portfolio has a Sharpe ratio of 0.</w:t>
      </w:r>
      <w:r w:rsidR="005573BA">
        <w:rPr>
          <w:rFonts w:ascii="Times New Roman" w:hAnsi="Times New Roman" w:cs="Times New Roman"/>
          <w:sz w:val="24"/>
          <w:szCs w:val="24"/>
        </w:rPr>
        <w:t>34</w:t>
      </w:r>
      <w:r w:rsidR="008B1772" w:rsidRPr="00320A82">
        <w:rPr>
          <w:rFonts w:ascii="Times New Roman" w:hAnsi="Times New Roman" w:cs="Times New Roman"/>
          <w:sz w:val="24"/>
          <w:szCs w:val="24"/>
        </w:rPr>
        <w:t xml:space="preserve"> </w:t>
      </w:r>
      <w:r w:rsidR="00BC00B7">
        <w:rPr>
          <w:rFonts w:ascii="Times New Roman" w:hAnsi="Times New Roman" w:cs="Times New Roman"/>
          <w:sz w:val="24"/>
          <w:szCs w:val="24"/>
        </w:rPr>
        <w:t xml:space="preserve">(column 1, panel A, Table 4). </w:t>
      </w:r>
      <w:r w:rsidRPr="00320A82">
        <w:rPr>
          <w:rFonts w:ascii="Times New Roman" w:hAnsi="Times New Roman" w:cs="Times New Roman"/>
          <w:sz w:val="24"/>
          <w:szCs w:val="24"/>
        </w:rPr>
        <w:t xml:space="preserve">Whilst one may argue that developed equity markets have similar risk </w:t>
      </w:r>
      <w:r w:rsidRPr="00320A82">
        <w:rPr>
          <w:rFonts w:ascii="Times New Roman" w:hAnsi="Times New Roman" w:cs="Times New Roman"/>
          <w:sz w:val="24"/>
          <w:szCs w:val="24"/>
        </w:rPr>
        <w:lastRenderedPageBreak/>
        <w:t>characteristics,</w:t>
      </w:r>
      <w:r w:rsidR="00D760A8" w:rsidRPr="00320A82">
        <w:rPr>
          <w:rFonts w:ascii="Times New Roman" w:hAnsi="Times New Roman" w:cs="Times New Roman"/>
          <w:sz w:val="24"/>
          <w:szCs w:val="24"/>
        </w:rPr>
        <w:t xml:space="preserve"> and thus risk parity can only offer minimal improvements,</w:t>
      </w:r>
      <w:r w:rsidRPr="00320A82">
        <w:rPr>
          <w:rFonts w:ascii="Times New Roman" w:hAnsi="Times New Roman" w:cs="Times New Roman"/>
          <w:sz w:val="24"/>
          <w:szCs w:val="24"/>
        </w:rPr>
        <w:t xml:space="preserve">  this is not the case in commodity markets. </w:t>
      </w:r>
      <w:r w:rsidR="008B1772" w:rsidRPr="00320A82">
        <w:rPr>
          <w:rFonts w:ascii="Times New Roman" w:hAnsi="Times New Roman" w:cs="Times New Roman"/>
          <w:sz w:val="24"/>
          <w:szCs w:val="24"/>
        </w:rPr>
        <w:t xml:space="preserve"> </w:t>
      </w:r>
      <w:proofErr w:type="spellStart"/>
      <w:r w:rsidRPr="00320A82">
        <w:rPr>
          <w:rFonts w:ascii="Times New Roman" w:hAnsi="Times New Roman" w:cs="Times New Roman"/>
          <w:sz w:val="24"/>
          <w:szCs w:val="24"/>
        </w:rPr>
        <w:t>Ilmanen</w:t>
      </w:r>
      <w:proofErr w:type="spellEnd"/>
      <w:r w:rsidRPr="00320A82">
        <w:rPr>
          <w:rFonts w:ascii="Times New Roman" w:hAnsi="Times New Roman" w:cs="Times New Roman"/>
          <w:sz w:val="24"/>
          <w:szCs w:val="24"/>
        </w:rPr>
        <w:t xml:space="preserve"> (2011) describes how natural gas and heating oil have exhibited considerably more volatility historically than </w:t>
      </w:r>
      <w:r w:rsidR="00D760A8" w:rsidRPr="00320A82">
        <w:rPr>
          <w:rFonts w:ascii="Times New Roman" w:hAnsi="Times New Roman" w:cs="Times New Roman"/>
          <w:sz w:val="24"/>
          <w:szCs w:val="24"/>
        </w:rPr>
        <w:t>soybeans and gold, and yet we still find minimal improvement from risk parity</w:t>
      </w:r>
      <w:r w:rsidR="00D760A8" w:rsidRPr="002A2D9D">
        <w:rPr>
          <w:rFonts w:ascii="Times New Roman" w:hAnsi="Times New Roman" w:cs="Times New Roman"/>
          <w:sz w:val="24"/>
          <w:szCs w:val="24"/>
        </w:rPr>
        <w:t xml:space="preserve">. </w:t>
      </w:r>
      <w:r w:rsidR="008B1772" w:rsidRPr="002A2D9D">
        <w:rPr>
          <w:rFonts w:ascii="Times New Roman" w:hAnsi="Times New Roman" w:cs="Times New Roman"/>
          <w:sz w:val="24"/>
          <w:szCs w:val="24"/>
        </w:rPr>
        <w:t xml:space="preserve"> But the Sharpe ratio for the equally-weighted portfolio o</w:t>
      </w:r>
      <w:r w:rsidR="002A2D9D" w:rsidRPr="002A2D9D">
        <w:rPr>
          <w:rFonts w:ascii="Times New Roman" w:hAnsi="Times New Roman" w:cs="Times New Roman"/>
          <w:sz w:val="24"/>
          <w:szCs w:val="24"/>
        </w:rPr>
        <w:t>f commodities (column 1, panel D</w:t>
      </w:r>
      <w:r w:rsidR="00EB1289" w:rsidRPr="002A2D9D">
        <w:rPr>
          <w:rFonts w:ascii="Times New Roman" w:hAnsi="Times New Roman" w:cs="Times New Roman"/>
          <w:sz w:val="24"/>
          <w:szCs w:val="24"/>
        </w:rPr>
        <w:t>, Table 2) is 0.13</w:t>
      </w:r>
      <w:r w:rsidR="008B1772" w:rsidRPr="002A2D9D">
        <w:rPr>
          <w:rFonts w:ascii="Times New Roman" w:hAnsi="Times New Roman" w:cs="Times New Roman"/>
          <w:sz w:val="24"/>
          <w:szCs w:val="24"/>
        </w:rPr>
        <w:t xml:space="preserve">, which is </w:t>
      </w:r>
      <w:r w:rsidR="00EB1289" w:rsidRPr="002A2D9D">
        <w:rPr>
          <w:rFonts w:ascii="Times New Roman" w:hAnsi="Times New Roman" w:cs="Times New Roman"/>
          <w:sz w:val="24"/>
          <w:szCs w:val="24"/>
        </w:rPr>
        <w:t xml:space="preserve">almost </w:t>
      </w:r>
      <w:r w:rsidR="008B1772" w:rsidRPr="002A2D9D">
        <w:rPr>
          <w:rFonts w:ascii="Times New Roman" w:hAnsi="Times New Roman" w:cs="Times New Roman"/>
          <w:sz w:val="24"/>
          <w:szCs w:val="24"/>
        </w:rPr>
        <w:t>identical to the S</w:t>
      </w:r>
      <w:r w:rsidR="00634898" w:rsidRPr="002A2D9D">
        <w:rPr>
          <w:rFonts w:ascii="Times New Roman" w:hAnsi="Times New Roman" w:cs="Times New Roman"/>
          <w:sz w:val="24"/>
          <w:szCs w:val="24"/>
        </w:rPr>
        <w:t>harpe ratio calculated for the</w:t>
      </w:r>
      <w:r w:rsidR="008B1772" w:rsidRPr="002A2D9D">
        <w:rPr>
          <w:rFonts w:ascii="Times New Roman" w:hAnsi="Times New Roman" w:cs="Times New Roman"/>
          <w:sz w:val="24"/>
          <w:szCs w:val="24"/>
        </w:rPr>
        <w:t xml:space="preserve"> risk parity-weighted commodities portfolio, shown in Panel </w:t>
      </w:r>
      <w:proofErr w:type="gramStart"/>
      <w:r w:rsidR="008B1772" w:rsidRPr="002A2D9D">
        <w:rPr>
          <w:rFonts w:ascii="Times New Roman" w:hAnsi="Times New Roman" w:cs="Times New Roman"/>
          <w:sz w:val="24"/>
          <w:szCs w:val="24"/>
        </w:rPr>
        <w:t>A</w:t>
      </w:r>
      <w:proofErr w:type="gramEnd"/>
      <w:r w:rsidR="008B1772" w:rsidRPr="002A2D9D">
        <w:rPr>
          <w:rFonts w:ascii="Times New Roman" w:hAnsi="Times New Roman" w:cs="Times New Roman"/>
          <w:sz w:val="24"/>
          <w:szCs w:val="24"/>
        </w:rPr>
        <w:t xml:space="preserve"> of Table 4. </w:t>
      </w:r>
      <w:r w:rsidR="00456A34" w:rsidRPr="002A2D9D">
        <w:rPr>
          <w:rFonts w:ascii="Times New Roman" w:hAnsi="Times New Roman" w:cs="Times New Roman"/>
          <w:sz w:val="24"/>
          <w:szCs w:val="24"/>
        </w:rPr>
        <w:t>P</w:t>
      </w:r>
      <w:r w:rsidR="00456A34" w:rsidRPr="00320A82">
        <w:rPr>
          <w:rFonts w:ascii="Times New Roman" w:hAnsi="Times New Roman" w:cs="Times New Roman"/>
          <w:sz w:val="24"/>
          <w:szCs w:val="24"/>
        </w:rPr>
        <w:t>anel B of Table 4</w:t>
      </w:r>
      <w:r w:rsidR="00CC043C" w:rsidRPr="00320A82">
        <w:rPr>
          <w:rFonts w:ascii="Times New Roman" w:hAnsi="Times New Roman" w:cs="Times New Roman"/>
          <w:sz w:val="24"/>
          <w:szCs w:val="24"/>
        </w:rPr>
        <w:t xml:space="preserve"> reports the application of risk parity weights in conjunction with</w:t>
      </w:r>
      <w:r w:rsidR="00392585" w:rsidRPr="00320A82">
        <w:rPr>
          <w:rFonts w:ascii="Times New Roman" w:hAnsi="Times New Roman" w:cs="Times New Roman"/>
          <w:sz w:val="24"/>
          <w:szCs w:val="24"/>
        </w:rPr>
        <w:t xml:space="preserve"> a 10-month</w:t>
      </w:r>
      <w:r w:rsidR="00CC043C" w:rsidRPr="00320A82">
        <w:rPr>
          <w:rFonts w:ascii="Times New Roman" w:hAnsi="Times New Roman" w:cs="Times New Roman"/>
          <w:sz w:val="24"/>
          <w:szCs w:val="24"/>
        </w:rPr>
        <w:t xml:space="preserve"> trend following</w:t>
      </w:r>
      <w:r w:rsidR="00392585" w:rsidRPr="00320A82">
        <w:rPr>
          <w:rFonts w:ascii="Times New Roman" w:hAnsi="Times New Roman" w:cs="Times New Roman"/>
          <w:sz w:val="24"/>
          <w:szCs w:val="24"/>
        </w:rPr>
        <w:t xml:space="preserve"> signal</w:t>
      </w:r>
      <w:r w:rsidR="00CC043C" w:rsidRPr="00320A82">
        <w:rPr>
          <w:rFonts w:ascii="Times New Roman" w:hAnsi="Times New Roman" w:cs="Times New Roman"/>
          <w:sz w:val="24"/>
          <w:szCs w:val="24"/>
        </w:rPr>
        <w:t>. As in Panel C of Table 1, we find that risk-adjusted performance improves markedly with the additional trend following filter.</w:t>
      </w:r>
      <w:r w:rsidR="00734BAA" w:rsidRPr="00320A82">
        <w:rPr>
          <w:rFonts w:ascii="Times New Roman" w:hAnsi="Times New Roman" w:cs="Times New Roman"/>
          <w:sz w:val="24"/>
          <w:szCs w:val="24"/>
        </w:rPr>
        <w:t xml:space="preserve"> Returns are higher and volatilities lower in all cases albeit only marginally in the case of bonds.</w:t>
      </w:r>
      <w:r w:rsidR="004B523B" w:rsidRPr="00320A82">
        <w:rPr>
          <w:rFonts w:ascii="Times New Roman" w:hAnsi="Times New Roman" w:cs="Times New Roman"/>
          <w:sz w:val="24"/>
          <w:szCs w:val="24"/>
        </w:rPr>
        <w:t xml:space="preserve"> </w:t>
      </w:r>
      <w:r w:rsidR="00313329" w:rsidRPr="00320A82">
        <w:rPr>
          <w:rFonts w:ascii="Times New Roman" w:hAnsi="Times New Roman" w:cs="Times New Roman"/>
          <w:sz w:val="24"/>
          <w:szCs w:val="24"/>
        </w:rPr>
        <w:t>Comparing the risk parity trend following results to the equal weighted ones in Table 3 we observe little difference in performance.</w:t>
      </w:r>
    </w:p>
    <w:p w:rsidR="001212DF" w:rsidRPr="00320A82" w:rsidRDefault="001212DF" w:rsidP="001212DF">
      <w:pPr>
        <w:spacing w:after="0" w:line="360" w:lineRule="auto"/>
        <w:jc w:val="both"/>
        <w:rPr>
          <w:rFonts w:ascii="Times New Roman" w:hAnsi="Times New Roman" w:cs="Times New Roman"/>
          <w:sz w:val="24"/>
          <w:szCs w:val="24"/>
        </w:rPr>
      </w:pPr>
    </w:p>
    <w:p w:rsidR="008B1772" w:rsidRPr="00320A82" w:rsidRDefault="008B1772"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The implication of these results appear to be that risk parity has been exceptionally successful in recent times due to the impressive risk-adjusted returns of bonds which make up substantial portions of these portfolios; and that, in contrast to trend following techniques, has very little to add within asset classes.</w:t>
      </w:r>
    </w:p>
    <w:p w:rsidR="001212DF" w:rsidRPr="00320A82" w:rsidRDefault="001212DF" w:rsidP="001212DF">
      <w:pPr>
        <w:spacing w:after="0" w:line="360" w:lineRule="auto"/>
        <w:jc w:val="both"/>
        <w:rPr>
          <w:rFonts w:ascii="Times New Roman" w:hAnsi="Times New Roman" w:cs="Times New Roman"/>
          <w:sz w:val="24"/>
          <w:szCs w:val="24"/>
        </w:rPr>
      </w:pPr>
    </w:p>
    <w:p w:rsidR="009831DB" w:rsidRPr="00320A82" w:rsidRDefault="00624B0F" w:rsidP="001212DF">
      <w:pPr>
        <w:spacing w:after="0" w:line="360" w:lineRule="auto"/>
        <w:jc w:val="both"/>
        <w:rPr>
          <w:rFonts w:ascii="Times New Roman" w:hAnsi="Times New Roman" w:cs="Times New Roman"/>
          <w:i/>
          <w:sz w:val="24"/>
          <w:szCs w:val="24"/>
        </w:rPr>
      </w:pPr>
      <w:r w:rsidRPr="00320A82">
        <w:rPr>
          <w:rFonts w:ascii="Times New Roman" w:hAnsi="Times New Roman" w:cs="Times New Roman"/>
          <w:i/>
          <w:sz w:val="24"/>
          <w:szCs w:val="24"/>
        </w:rPr>
        <w:t xml:space="preserve">3.4 </w:t>
      </w:r>
      <w:r w:rsidR="009831DB" w:rsidRPr="00320A82">
        <w:rPr>
          <w:rFonts w:ascii="Times New Roman" w:hAnsi="Times New Roman" w:cs="Times New Roman"/>
          <w:i/>
          <w:sz w:val="24"/>
          <w:szCs w:val="24"/>
        </w:rPr>
        <w:t>Momentum</w:t>
      </w:r>
    </w:p>
    <w:p w:rsidR="009831DB" w:rsidRPr="00320A82" w:rsidRDefault="000E5103" w:rsidP="001212DF">
      <w:pPr>
        <w:spacing w:after="0" w:line="360" w:lineRule="auto"/>
        <w:jc w:val="both"/>
        <w:rPr>
          <w:rFonts w:ascii="Times New Roman" w:hAnsi="Times New Roman" w:cs="Times New Roman"/>
          <w:sz w:val="24"/>
          <w:szCs w:val="24"/>
        </w:rPr>
      </w:pPr>
      <w:r w:rsidRPr="00320A82">
        <w:rPr>
          <w:rFonts w:ascii="Times New Roman" w:hAnsi="Times New Roman" w:cs="Times New Roman"/>
          <w:sz w:val="24"/>
          <w:szCs w:val="24"/>
        </w:rPr>
        <w:t xml:space="preserve">The momentum effect of buying 'winners' and selling 'losers' has been well established in the financial literature by, amongst others, </w:t>
      </w:r>
      <w:proofErr w:type="spellStart"/>
      <w:r w:rsidRPr="00320A82">
        <w:rPr>
          <w:rFonts w:ascii="Times New Roman" w:hAnsi="Times New Roman" w:cs="Times New Roman"/>
          <w:sz w:val="24"/>
          <w:szCs w:val="24"/>
        </w:rPr>
        <w:t>Jeegadeesh</w:t>
      </w:r>
      <w:proofErr w:type="spellEnd"/>
      <w:r w:rsidRPr="00320A82">
        <w:rPr>
          <w:rFonts w:ascii="Times New Roman" w:hAnsi="Times New Roman" w:cs="Times New Roman"/>
          <w:sz w:val="24"/>
          <w:szCs w:val="24"/>
        </w:rPr>
        <w:t xml:space="preserve"> and Titman (1993) for equities and </w:t>
      </w:r>
      <w:proofErr w:type="spellStart"/>
      <w:r w:rsidRPr="00320A82">
        <w:rPr>
          <w:rFonts w:ascii="Times New Roman" w:hAnsi="Times New Roman" w:cs="Times New Roman"/>
          <w:sz w:val="24"/>
          <w:szCs w:val="24"/>
        </w:rPr>
        <w:t>Miffre</w:t>
      </w:r>
      <w:proofErr w:type="spellEnd"/>
      <w:r w:rsidRPr="00320A82">
        <w:rPr>
          <w:rFonts w:ascii="Times New Roman" w:hAnsi="Times New Roman" w:cs="Times New Roman"/>
          <w:sz w:val="24"/>
          <w:szCs w:val="24"/>
        </w:rPr>
        <w:t xml:space="preserve"> and Rallis (200</w:t>
      </w:r>
      <w:r w:rsidR="00782A5E" w:rsidRPr="00320A82">
        <w:rPr>
          <w:rFonts w:ascii="Times New Roman" w:hAnsi="Times New Roman" w:cs="Times New Roman"/>
          <w:sz w:val="24"/>
          <w:szCs w:val="24"/>
        </w:rPr>
        <w:t>7</w:t>
      </w:r>
      <w:r w:rsidRPr="00320A82">
        <w:rPr>
          <w:rFonts w:ascii="Times New Roman" w:hAnsi="Times New Roman" w:cs="Times New Roman"/>
          <w:sz w:val="24"/>
          <w:szCs w:val="24"/>
        </w:rPr>
        <w:t>) for commodities</w:t>
      </w:r>
      <w:r w:rsidR="007702D0" w:rsidRPr="00320A82">
        <w:rPr>
          <w:rStyle w:val="FootnoteReference"/>
          <w:rFonts w:ascii="Times New Roman" w:hAnsi="Times New Roman"/>
          <w:sz w:val="24"/>
          <w:szCs w:val="24"/>
        </w:rPr>
        <w:footnoteReference w:id="3"/>
      </w:r>
      <w:r w:rsidRPr="00320A82">
        <w:rPr>
          <w:rFonts w:ascii="Times New Roman" w:hAnsi="Times New Roman" w:cs="Times New Roman"/>
          <w:sz w:val="24"/>
          <w:szCs w:val="24"/>
        </w:rPr>
        <w:t>.</w:t>
      </w:r>
      <w:r w:rsidR="009704BE" w:rsidRPr="00320A82">
        <w:rPr>
          <w:rFonts w:ascii="Times New Roman" w:hAnsi="Times New Roman" w:cs="Times New Roman"/>
          <w:sz w:val="24"/>
          <w:szCs w:val="24"/>
        </w:rPr>
        <w:t xml:space="preserve"> We now examine momentum in a multi-asset context. Remaining consistent with our previous results</w:t>
      </w:r>
      <w:r w:rsidR="007251CD" w:rsidRPr="00320A82">
        <w:rPr>
          <w:rFonts w:ascii="Times New Roman" w:hAnsi="Times New Roman" w:cs="Times New Roman"/>
          <w:sz w:val="24"/>
          <w:szCs w:val="24"/>
        </w:rPr>
        <w:t>,</w:t>
      </w:r>
      <w:r w:rsidR="009704BE" w:rsidRPr="00320A82">
        <w:rPr>
          <w:rFonts w:ascii="Times New Roman" w:hAnsi="Times New Roman" w:cs="Times New Roman"/>
          <w:sz w:val="24"/>
          <w:szCs w:val="24"/>
        </w:rPr>
        <w:t xml:space="preserve"> we eschew short selling and thus look </w:t>
      </w:r>
      <w:r w:rsidR="00085845">
        <w:rPr>
          <w:rFonts w:ascii="Times New Roman" w:hAnsi="Times New Roman" w:cs="Times New Roman"/>
          <w:sz w:val="24"/>
          <w:szCs w:val="24"/>
        </w:rPr>
        <w:t>to hold portfolios of</w:t>
      </w:r>
      <w:r w:rsidR="00E85364" w:rsidRPr="00320A82">
        <w:rPr>
          <w:rFonts w:ascii="Times New Roman" w:hAnsi="Times New Roman" w:cs="Times New Roman"/>
          <w:sz w:val="24"/>
          <w:szCs w:val="24"/>
        </w:rPr>
        <w:t xml:space="preserve"> </w:t>
      </w:r>
      <w:r w:rsidR="009704BE" w:rsidRPr="00320A82">
        <w:rPr>
          <w:rFonts w:ascii="Times New Roman" w:hAnsi="Times New Roman" w:cs="Times New Roman"/>
          <w:sz w:val="24"/>
          <w:szCs w:val="24"/>
        </w:rPr>
        <w:t>'winners'.</w:t>
      </w:r>
      <w:r w:rsidR="00B7314E" w:rsidRPr="00320A82">
        <w:rPr>
          <w:rFonts w:ascii="Times New Roman" w:hAnsi="Times New Roman" w:cs="Times New Roman"/>
          <w:sz w:val="24"/>
          <w:szCs w:val="24"/>
        </w:rPr>
        <w:t xml:space="preserve"> The formation of portfolios within each asset class is somewhat complicated by having unequal numbers of instruments, </w:t>
      </w:r>
      <w:r w:rsidR="00E85364" w:rsidRPr="00320A82">
        <w:rPr>
          <w:rFonts w:ascii="Times New Roman" w:hAnsi="Times New Roman" w:cs="Times New Roman"/>
          <w:sz w:val="24"/>
          <w:szCs w:val="24"/>
        </w:rPr>
        <w:t>for example, we have</w:t>
      </w:r>
      <w:r w:rsidR="00B7314E" w:rsidRPr="00320A82">
        <w:rPr>
          <w:rFonts w:ascii="Times New Roman" w:hAnsi="Times New Roman" w:cs="Times New Roman"/>
          <w:sz w:val="24"/>
          <w:szCs w:val="24"/>
        </w:rPr>
        <w:t xml:space="preserve"> 24 Developed Equity market</w:t>
      </w:r>
      <w:r w:rsidR="00E85364" w:rsidRPr="00320A82">
        <w:rPr>
          <w:rFonts w:ascii="Times New Roman" w:hAnsi="Times New Roman" w:cs="Times New Roman"/>
          <w:sz w:val="24"/>
          <w:szCs w:val="24"/>
        </w:rPr>
        <w:t xml:space="preserve"> indices</w:t>
      </w:r>
      <w:r w:rsidR="00B7314E" w:rsidRPr="00320A82">
        <w:rPr>
          <w:rFonts w:ascii="Times New Roman" w:hAnsi="Times New Roman" w:cs="Times New Roman"/>
          <w:sz w:val="24"/>
          <w:szCs w:val="24"/>
        </w:rPr>
        <w:t xml:space="preserve"> but only 16 Emerging Equity market</w:t>
      </w:r>
      <w:r w:rsidR="00E85364" w:rsidRPr="00320A82">
        <w:rPr>
          <w:rFonts w:ascii="Times New Roman" w:hAnsi="Times New Roman" w:cs="Times New Roman"/>
          <w:sz w:val="24"/>
          <w:szCs w:val="24"/>
        </w:rPr>
        <w:t xml:space="preserve"> indice</w:t>
      </w:r>
      <w:r w:rsidR="00B7314E" w:rsidRPr="00320A82">
        <w:rPr>
          <w:rFonts w:ascii="Times New Roman" w:hAnsi="Times New Roman" w:cs="Times New Roman"/>
          <w:sz w:val="24"/>
          <w:szCs w:val="24"/>
        </w:rPr>
        <w:t xml:space="preserve">s. </w:t>
      </w:r>
      <w:r w:rsidR="00E85364" w:rsidRPr="00320A82">
        <w:rPr>
          <w:rFonts w:ascii="Times New Roman" w:hAnsi="Times New Roman" w:cs="Times New Roman"/>
          <w:sz w:val="24"/>
          <w:szCs w:val="24"/>
        </w:rPr>
        <w:t xml:space="preserve"> </w:t>
      </w:r>
      <w:r w:rsidR="00B7314E" w:rsidRPr="00320A82">
        <w:rPr>
          <w:rFonts w:ascii="Times New Roman" w:hAnsi="Times New Roman" w:cs="Times New Roman"/>
          <w:sz w:val="24"/>
          <w:szCs w:val="24"/>
        </w:rPr>
        <w:t xml:space="preserve">For this reason we focus on the 'top half' or 'top quarter' of </w:t>
      </w:r>
      <w:r w:rsidR="00E85364" w:rsidRPr="00320A82">
        <w:rPr>
          <w:rFonts w:ascii="Times New Roman" w:hAnsi="Times New Roman" w:cs="Times New Roman"/>
          <w:sz w:val="24"/>
          <w:szCs w:val="24"/>
        </w:rPr>
        <w:t>winning markets</w:t>
      </w:r>
      <w:r w:rsidR="00B7314E" w:rsidRPr="00320A82">
        <w:rPr>
          <w:rFonts w:ascii="Times New Roman" w:hAnsi="Times New Roman" w:cs="Times New Roman"/>
          <w:sz w:val="24"/>
          <w:szCs w:val="24"/>
        </w:rPr>
        <w:t xml:space="preserve"> within </w:t>
      </w:r>
      <w:r w:rsidR="00E85364" w:rsidRPr="00320A82">
        <w:rPr>
          <w:rFonts w:ascii="Times New Roman" w:hAnsi="Times New Roman" w:cs="Times New Roman"/>
          <w:sz w:val="24"/>
          <w:szCs w:val="24"/>
        </w:rPr>
        <w:t xml:space="preserve">each </w:t>
      </w:r>
      <w:r w:rsidR="00B7314E" w:rsidRPr="00320A82">
        <w:rPr>
          <w:rFonts w:ascii="Times New Roman" w:hAnsi="Times New Roman" w:cs="Times New Roman"/>
          <w:sz w:val="24"/>
          <w:szCs w:val="24"/>
        </w:rPr>
        <w:t>asset class rather than a</w:t>
      </w:r>
      <w:r w:rsidR="00E85364" w:rsidRPr="00320A82">
        <w:rPr>
          <w:rFonts w:ascii="Times New Roman" w:hAnsi="Times New Roman" w:cs="Times New Roman"/>
          <w:sz w:val="24"/>
          <w:szCs w:val="24"/>
        </w:rPr>
        <w:t xml:space="preserve">t a </w:t>
      </w:r>
      <w:r w:rsidR="00B7314E" w:rsidRPr="00320A82">
        <w:rPr>
          <w:rFonts w:ascii="Times New Roman" w:hAnsi="Times New Roman" w:cs="Times New Roman"/>
          <w:sz w:val="24"/>
          <w:szCs w:val="24"/>
        </w:rPr>
        <w:t>prescribed number.</w:t>
      </w:r>
      <w:r w:rsidR="00CF7111" w:rsidRPr="00320A82">
        <w:rPr>
          <w:rFonts w:ascii="Times New Roman" w:hAnsi="Times New Roman" w:cs="Times New Roman"/>
          <w:sz w:val="24"/>
          <w:szCs w:val="24"/>
        </w:rPr>
        <w:t xml:space="preserve"> </w:t>
      </w:r>
      <w:r w:rsidR="00E85364" w:rsidRPr="00320A82">
        <w:rPr>
          <w:rFonts w:ascii="Times New Roman" w:hAnsi="Times New Roman" w:cs="Times New Roman"/>
          <w:sz w:val="24"/>
          <w:szCs w:val="24"/>
        </w:rPr>
        <w:t xml:space="preserve"> </w:t>
      </w:r>
      <w:r w:rsidR="00CF7111" w:rsidRPr="00320A82">
        <w:rPr>
          <w:rFonts w:ascii="Times New Roman" w:hAnsi="Times New Roman" w:cs="Times New Roman"/>
          <w:sz w:val="24"/>
          <w:szCs w:val="24"/>
        </w:rPr>
        <w:t>All momentum rankings are calculated based on the prior 12-month return.</w:t>
      </w:r>
    </w:p>
    <w:p w:rsidR="001212DF" w:rsidRPr="00320A82" w:rsidRDefault="001212DF" w:rsidP="001212DF">
      <w:pPr>
        <w:spacing w:after="0" w:line="360" w:lineRule="auto"/>
        <w:jc w:val="both"/>
        <w:rPr>
          <w:rFonts w:ascii="Times New Roman" w:hAnsi="Times New Roman" w:cs="Times New Roman"/>
          <w:sz w:val="24"/>
          <w:szCs w:val="24"/>
        </w:rPr>
      </w:pPr>
    </w:p>
    <w:p w:rsidR="009C0371" w:rsidRDefault="00E01A25"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lastRenderedPageBreak/>
        <w:t>Table 5 reports the performance of momentum</w:t>
      </w:r>
      <w:r w:rsidR="00E85364" w:rsidRPr="00320A82">
        <w:rPr>
          <w:rFonts w:ascii="Times New Roman" w:hAnsi="Times New Roman" w:cs="Times New Roman"/>
          <w:sz w:val="24"/>
          <w:szCs w:val="24"/>
        </w:rPr>
        <w:t xml:space="preserve">-based rules </w:t>
      </w:r>
      <w:r w:rsidRPr="00320A82">
        <w:rPr>
          <w:rFonts w:ascii="Times New Roman" w:hAnsi="Times New Roman" w:cs="Times New Roman"/>
          <w:sz w:val="24"/>
          <w:szCs w:val="24"/>
        </w:rPr>
        <w:t xml:space="preserve">within </w:t>
      </w:r>
      <w:r w:rsidR="00E85364" w:rsidRPr="00320A82">
        <w:rPr>
          <w:rFonts w:ascii="Times New Roman" w:hAnsi="Times New Roman" w:cs="Times New Roman"/>
          <w:sz w:val="24"/>
          <w:szCs w:val="24"/>
        </w:rPr>
        <w:t xml:space="preserve">each of </w:t>
      </w:r>
      <w:r w:rsidRPr="00320A82">
        <w:rPr>
          <w:rFonts w:ascii="Times New Roman" w:hAnsi="Times New Roman" w:cs="Times New Roman"/>
          <w:sz w:val="24"/>
          <w:szCs w:val="24"/>
        </w:rPr>
        <w:t xml:space="preserve">the five asset classes. Firstly we note that the overall level of return is typically higher than </w:t>
      </w:r>
      <w:r w:rsidR="00E85364" w:rsidRPr="00320A82">
        <w:rPr>
          <w:rFonts w:ascii="Times New Roman" w:hAnsi="Times New Roman" w:cs="Times New Roman"/>
          <w:sz w:val="24"/>
          <w:szCs w:val="24"/>
        </w:rPr>
        <w:t xml:space="preserve">for an equally-weighted portfolio (see Table 2) </w:t>
      </w:r>
      <w:r w:rsidRPr="00320A82">
        <w:rPr>
          <w:rFonts w:ascii="Times New Roman" w:hAnsi="Times New Roman" w:cs="Times New Roman"/>
          <w:sz w:val="24"/>
          <w:szCs w:val="24"/>
        </w:rPr>
        <w:t xml:space="preserve">of all </w:t>
      </w:r>
      <w:r w:rsidR="00E85364" w:rsidRPr="00320A82">
        <w:rPr>
          <w:rFonts w:ascii="Times New Roman" w:hAnsi="Times New Roman" w:cs="Times New Roman"/>
          <w:sz w:val="24"/>
          <w:szCs w:val="24"/>
        </w:rPr>
        <w:t xml:space="preserve">markets </w:t>
      </w:r>
      <w:r w:rsidRPr="00320A82">
        <w:rPr>
          <w:rFonts w:ascii="Times New Roman" w:hAnsi="Times New Roman" w:cs="Times New Roman"/>
          <w:sz w:val="24"/>
          <w:szCs w:val="24"/>
        </w:rPr>
        <w:t>within the asset class.</w:t>
      </w:r>
      <w:r w:rsidR="00AE34E0" w:rsidRPr="00320A82">
        <w:rPr>
          <w:rFonts w:ascii="Times New Roman" w:hAnsi="Times New Roman" w:cs="Times New Roman"/>
          <w:sz w:val="24"/>
          <w:szCs w:val="24"/>
        </w:rPr>
        <w:t xml:space="preserve"> </w:t>
      </w:r>
      <w:r w:rsidR="00E85364" w:rsidRPr="00320A82">
        <w:rPr>
          <w:rFonts w:ascii="Times New Roman" w:hAnsi="Times New Roman" w:cs="Times New Roman"/>
          <w:sz w:val="24"/>
          <w:szCs w:val="24"/>
        </w:rPr>
        <w:t xml:space="preserve"> </w:t>
      </w:r>
      <w:r w:rsidR="00AE34E0" w:rsidRPr="00320A82">
        <w:rPr>
          <w:rFonts w:ascii="Times New Roman" w:hAnsi="Times New Roman" w:cs="Times New Roman"/>
          <w:sz w:val="24"/>
          <w:szCs w:val="24"/>
        </w:rPr>
        <w:t>This is particularly true for commodities</w:t>
      </w:r>
      <w:r w:rsidR="00E85364" w:rsidRPr="00320A82">
        <w:rPr>
          <w:rFonts w:ascii="Times New Roman" w:hAnsi="Times New Roman" w:cs="Times New Roman"/>
          <w:sz w:val="24"/>
          <w:szCs w:val="24"/>
        </w:rPr>
        <w:t xml:space="preserve">, where the momentum-based average return is </w:t>
      </w:r>
      <w:r w:rsidR="008E73FB">
        <w:rPr>
          <w:rFonts w:ascii="Times New Roman" w:hAnsi="Times New Roman" w:cs="Times New Roman"/>
          <w:sz w:val="24"/>
          <w:szCs w:val="24"/>
        </w:rPr>
        <w:t>8.73</w:t>
      </w:r>
      <w:r w:rsidR="00E85364" w:rsidRPr="00320A82">
        <w:rPr>
          <w:rFonts w:ascii="Times New Roman" w:hAnsi="Times New Roman" w:cs="Times New Roman"/>
          <w:sz w:val="24"/>
          <w:szCs w:val="24"/>
        </w:rPr>
        <w:t xml:space="preserve">%, compared with </w:t>
      </w:r>
      <w:r w:rsidR="008E73FB">
        <w:rPr>
          <w:rFonts w:ascii="Times New Roman" w:hAnsi="Times New Roman" w:cs="Times New Roman"/>
          <w:sz w:val="24"/>
          <w:szCs w:val="24"/>
        </w:rPr>
        <w:t>4.49</w:t>
      </w:r>
      <w:r w:rsidR="00E85364" w:rsidRPr="00320A82">
        <w:rPr>
          <w:rFonts w:ascii="Times New Roman" w:hAnsi="Times New Roman" w:cs="Times New Roman"/>
          <w:sz w:val="24"/>
          <w:szCs w:val="24"/>
        </w:rPr>
        <w:t>% for the equally-weighted equivalent</w:t>
      </w:r>
      <w:r w:rsidR="00AE34E0" w:rsidRPr="00320A82">
        <w:rPr>
          <w:rFonts w:ascii="Times New Roman" w:hAnsi="Times New Roman" w:cs="Times New Roman"/>
          <w:sz w:val="24"/>
          <w:szCs w:val="24"/>
        </w:rPr>
        <w:t>.</w:t>
      </w:r>
      <w:r w:rsidRPr="00320A82">
        <w:rPr>
          <w:rFonts w:ascii="Times New Roman" w:hAnsi="Times New Roman" w:cs="Times New Roman"/>
          <w:sz w:val="24"/>
          <w:szCs w:val="24"/>
        </w:rPr>
        <w:t xml:space="preserve"> </w:t>
      </w:r>
      <w:r w:rsidR="00E85364"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Sharpe ratios are also generally higher although these remain below the equivalents for trend portfolios. </w:t>
      </w:r>
      <w:r w:rsidR="00E85364" w:rsidRPr="00320A82">
        <w:rPr>
          <w:rFonts w:ascii="Times New Roman" w:hAnsi="Times New Roman" w:cs="Times New Roman"/>
          <w:sz w:val="24"/>
          <w:szCs w:val="24"/>
        </w:rPr>
        <w:t xml:space="preserve"> A comparison of panels A and B of the Table show that there is relatively little performance difference between choosing the top 25% of winners and choosing the top 50% of winners.  </w:t>
      </w:r>
      <w:r w:rsidRPr="00320A82">
        <w:rPr>
          <w:rFonts w:ascii="Times New Roman" w:hAnsi="Times New Roman" w:cs="Times New Roman"/>
          <w:sz w:val="24"/>
          <w:szCs w:val="24"/>
        </w:rPr>
        <w:t xml:space="preserve">The far-right column of the Table shows the performance of a portfolio with 20% in each of the five asset class momentum portfolios with monthly rebalancing. </w:t>
      </w:r>
      <w:r w:rsidR="00E85364" w:rsidRPr="00320A82">
        <w:rPr>
          <w:rFonts w:ascii="Times New Roman" w:hAnsi="Times New Roman" w:cs="Times New Roman"/>
          <w:sz w:val="24"/>
          <w:szCs w:val="24"/>
        </w:rPr>
        <w:t xml:space="preserve"> </w:t>
      </w:r>
      <w:r w:rsidRPr="00320A82">
        <w:rPr>
          <w:rFonts w:ascii="Times New Roman" w:hAnsi="Times New Roman" w:cs="Times New Roman"/>
          <w:sz w:val="24"/>
          <w:szCs w:val="24"/>
        </w:rPr>
        <w:t>Again, this is an improvement on the base case equal</w:t>
      </w:r>
      <w:r w:rsidR="00E85364" w:rsidRPr="00320A82">
        <w:rPr>
          <w:rFonts w:ascii="Times New Roman" w:hAnsi="Times New Roman" w:cs="Times New Roman"/>
          <w:sz w:val="24"/>
          <w:szCs w:val="24"/>
        </w:rPr>
        <w:t>ly</w:t>
      </w:r>
      <w:r w:rsidRPr="00320A82">
        <w:rPr>
          <w:rFonts w:ascii="Times New Roman" w:hAnsi="Times New Roman" w:cs="Times New Roman"/>
          <w:sz w:val="24"/>
          <w:szCs w:val="24"/>
        </w:rPr>
        <w:t>-weight</w:t>
      </w:r>
      <w:r w:rsidR="00E85364" w:rsidRPr="00320A82">
        <w:rPr>
          <w:rFonts w:ascii="Times New Roman" w:hAnsi="Times New Roman" w:cs="Times New Roman"/>
          <w:sz w:val="24"/>
          <w:szCs w:val="24"/>
        </w:rPr>
        <w:t>ed</w:t>
      </w:r>
      <w:r w:rsidRPr="00320A82">
        <w:rPr>
          <w:rFonts w:ascii="Times New Roman" w:hAnsi="Times New Roman" w:cs="Times New Roman"/>
          <w:sz w:val="24"/>
          <w:szCs w:val="24"/>
        </w:rPr>
        <w:t xml:space="preserve"> portfolio in Table 1 with superior risk-adjusted </w:t>
      </w:r>
      <w:proofErr w:type="gramStart"/>
      <w:r w:rsidRPr="00320A82">
        <w:rPr>
          <w:rFonts w:ascii="Times New Roman" w:hAnsi="Times New Roman" w:cs="Times New Roman"/>
          <w:sz w:val="24"/>
          <w:szCs w:val="24"/>
        </w:rPr>
        <w:t>performance</w:t>
      </w:r>
      <w:r w:rsidR="009900BC" w:rsidRPr="00320A82">
        <w:rPr>
          <w:rFonts w:ascii="Times New Roman" w:hAnsi="Times New Roman" w:cs="Times New Roman"/>
          <w:sz w:val="24"/>
          <w:szCs w:val="24"/>
        </w:rPr>
        <w:t>,</w:t>
      </w:r>
      <w:proofErr w:type="gramEnd"/>
      <w:r w:rsidR="009900BC" w:rsidRPr="00320A82">
        <w:rPr>
          <w:rFonts w:ascii="Times New Roman" w:hAnsi="Times New Roman" w:cs="Times New Roman"/>
          <w:sz w:val="24"/>
          <w:szCs w:val="24"/>
        </w:rPr>
        <w:t xml:space="preserve"> however, it </w:t>
      </w:r>
      <w:r w:rsidR="00E85364" w:rsidRPr="00320A82">
        <w:rPr>
          <w:rFonts w:ascii="Times New Roman" w:hAnsi="Times New Roman" w:cs="Times New Roman"/>
          <w:sz w:val="24"/>
          <w:szCs w:val="24"/>
        </w:rPr>
        <w:t xml:space="preserve">produces </w:t>
      </w:r>
      <w:r w:rsidR="009900BC" w:rsidRPr="00320A82">
        <w:rPr>
          <w:rFonts w:ascii="Times New Roman" w:hAnsi="Times New Roman" w:cs="Times New Roman"/>
          <w:sz w:val="24"/>
          <w:szCs w:val="24"/>
        </w:rPr>
        <w:t xml:space="preserve">inferior </w:t>
      </w:r>
      <w:r w:rsidR="00E85364" w:rsidRPr="00320A82">
        <w:rPr>
          <w:rFonts w:ascii="Times New Roman" w:hAnsi="Times New Roman" w:cs="Times New Roman"/>
          <w:sz w:val="24"/>
          <w:szCs w:val="24"/>
        </w:rPr>
        <w:t>performance statistics</w:t>
      </w:r>
      <w:r w:rsidR="00046FD3" w:rsidRPr="00320A82">
        <w:rPr>
          <w:rFonts w:ascii="Times New Roman" w:hAnsi="Times New Roman" w:cs="Times New Roman"/>
          <w:sz w:val="24"/>
          <w:szCs w:val="24"/>
        </w:rPr>
        <w:t xml:space="preserve"> </w:t>
      </w:r>
      <w:r w:rsidR="009900BC" w:rsidRPr="00320A82">
        <w:rPr>
          <w:rFonts w:ascii="Times New Roman" w:hAnsi="Times New Roman" w:cs="Times New Roman"/>
          <w:sz w:val="24"/>
          <w:szCs w:val="24"/>
        </w:rPr>
        <w:t>to the trend following approach in Table 3</w:t>
      </w:r>
      <w:r w:rsidRPr="00320A82">
        <w:rPr>
          <w:rFonts w:ascii="Times New Roman" w:hAnsi="Times New Roman" w:cs="Times New Roman"/>
          <w:sz w:val="24"/>
          <w:szCs w:val="24"/>
        </w:rPr>
        <w:t xml:space="preserve">. </w:t>
      </w:r>
      <w:r w:rsidR="00E85364"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The </w:t>
      </w:r>
      <w:r w:rsidR="00046FD3" w:rsidRPr="00320A82">
        <w:rPr>
          <w:rFonts w:ascii="Times New Roman" w:hAnsi="Times New Roman" w:cs="Times New Roman"/>
          <w:sz w:val="24"/>
          <w:szCs w:val="24"/>
        </w:rPr>
        <w:t xml:space="preserve">main </w:t>
      </w:r>
      <w:r w:rsidRPr="00320A82">
        <w:rPr>
          <w:rFonts w:ascii="Times New Roman" w:hAnsi="Times New Roman" w:cs="Times New Roman"/>
          <w:sz w:val="24"/>
          <w:szCs w:val="24"/>
        </w:rPr>
        <w:t>downside</w:t>
      </w:r>
      <w:r w:rsidR="00022356" w:rsidRPr="00320A82">
        <w:rPr>
          <w:rFonts w:ascii="Times New Roman" w:hAnsi="Times New Roman" w:cs="Times New Roman"/>
          <w:sz w:val="24"/>
          <w:szCs w:val="24"/>
        </w:rPr>
        <w:t>,</w:t>
      </w:r>
      <w:r w:rsidR="004B523B"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to </w:t>
      </w:r>
      <w:r w:rsidR="009900BC" w:rsidRPr="00320A82">
        <w:rPr>
          <w:rFonts w:ascii="Times New Roman" w:hAnsi="Times New Roman" w:cs="Times New Roman"/>
          <w:sz w:val="24"/>
          <w:szCs w:val="24"/>
        </w:rPr>
        <w:t>the momentum strategy</w:t>
      </w:r>
      <w:r w:rsidRPr="00320A82">
        <w:rPr>
          <w:rFonts w:ascii="Times New Roman" w:hAnsi="Times New Roman" w:cs="Times New Roman"/>
          <w:sz w:val="24"/>
          <w:szCs w:val="24"/>
        </w:rPr>
        <w:t xml:space="preserve"> is the large </w:t>
      </w:r>
      <w:r w:rsidR="008E73FB">
        <w:rPr>
          <w:rFonts w:ascii="Times New Roman" w:hAnsi="Times New Roman" w:cs="Times New Roman"/>
          <w:sz w:val="24"/>
          <w:szCs w:val="24"/>
        </w:rPr>
        <w:t>maximum drawdown in excess of 45</w:t>
      </w:r>
      <w:r w:rsidRPr="00320A82">
        <w:rPr>
          <w:rFonts w:ascii="Times New Roman" w:hAnsi="Times New Roman" w:cs="Times New Roman"/>
          <w:sz w:val="24"/>
          <w:szCs w:val="24"/>
        </w:rPr>
        <w:t>% that a</w:t>
      </w:r>
      <w:r w:rsidR="005D34CB" w:rsidRPr="00320A82">
        <w:rPr>
          <w:rFonts w:ascii="Times New Roman" w:hAnsi="Times New Roman" w:cs="Times New Roman"/>
          <w:sz w:val="24"/>
          <w:szCs w:val="24"/>
        </w:rPr>
        <w:t xml:space="preserve">n investor would have </w:t>
      </w:r>
      <w:r w:rsidR="00046FD3" w:rsidRPr="00320A82">
        <w:rPr>
          <w:rFonts w:ascii="Times New Roman" w:hAnsi="Times New Roman" w:cs="Times New Roman"/>
          <w:sz w:val="24"/>
          <w:szCs w:val="24"/>
        </w:rPr>
        <w:t xml:space="preserve">had </w:t>
      </w:r>
      <w:r w:rsidR="005D34CB" w:rsidRPr="00320A82">
        <w:rPr>
          <w:rFonts w:ascii="Times New Roman" w:hAnsi="Times New Roman" w:cs="Times New Roman"/>
          <w:sz w:val="24"/>
          <w:szCs w:val="24"/>
        </w:rPr>
        <w:t>to endure.</w:t>
      </w:r>
    </w:p>
    <w:p w:rsidR="00514B93" w:rsidRDefault="00514B93" w:rsidP="001212DF">
      <w:pPr>
        <w:spacing w:after="0" w:line="360" w:lineRule="auto"/>
        <w:jc w:val="both"/>
        <w:rPr>
          <w:rFonts w:ascii="Times New Roman" w:hAnsi="Times New Roman" w:cs="Times New Roman"/>
          <w:sz w:val="24"/>
          <w:szCs w:val="24"/>
        </w:rPr>
      </w:pPr>
    </w:p>
    <w:p w:rsidR="00046FD3" w:rsidRPr="00320A82" w:rsidRDefault="00EC1D12" w:rsidP="001212D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3.5 Combining Momentum with Trend F</w:t>
      </w:r>
      <w:r w:rsidR="00046FD3" w:rsidRPr="00320A82">
        <w:rPr>
          <w:rFonts w:ascii="Times New Roman" w:hAnsi="Times New Roman" w:cs="Times New Roman"/>
          <w:i/>
          <w:sz w:val="24"/>
          <w:szCs w:val="24"/>
        </w:rPr>
        <w:t>ollowing</w:t>
      </w:r>
    </w:p>
    <w:p w:rsidR="00046FD3" w:rsidRPr="00320A82" w:rsidRDefault="00523CA1" w:rsidP="001212DF">
      <w:pPr>
        <w:spacing w:after="0" w:line="360" w:lineRule="auto"/>
        <w:jc w:val="both"/>
        <w:rPr>
          <w:rFonts w:ascii="Times New Roman" w:hAnsi="Times New Roman" w:cs="Times New Roman"/>
          <w:sz w:val="24"/>
          <w:szCs w:val="24"/>
        </w:rPr>
      </w:pPr>
      <w:r w:rsidRPr="00320A82">
        <w:rPr>
          <w:rFonts w:ascii="Times New Roman" w:hAnsi="Times New Roman" w:cs="Times New Roman"/>
          <w:sz w:val="24"/>
          <w:szCs w:val="24"/>
        </w:rPr>
        <w:t xml:space="preserve">Thus </w:t>
      </w:r>
      <w:r w:rsidR="00652E9A" w:rsidRPr="00320A82">
        <w:rPr>
          <w:rFonts w:ascii="Times New Roman" w:hAnsi="Times New Roman" w:cs="Times New Roman"/>
          <w:sz w:val="24"/>
          <w:szCs w:val="24"/>
        </w:rPr>
        <w:t>far we have observed that applying bo</w:t>
      </w:r>
      <w:r w:rsidR="00EC1D12">
        <w:rPr>
          <w:rFonts w:ascii="Times New Roman" w:hAnsi="Times New Roman" w:cs="Times New Roman"/>
          <w:sz w:val="24"/>
          <w:szCs w:val="24"/>
        </w:rPr>
        <w:t xml:space="preserve">th trend following and </w:t>
      </w:r>
      <w:proofErr w:type="gramStart"/>
      <w:r w:rsidR="00EC1D12">
        <w:rPr>
          <w:rFonts w:ascii="Times New Roman" w:hAnsi="Times New Roman" w:cs="Times New Roman"/>
          <w:sz w:val="24"/>
          <w:szCs w:val="24"/>
        </w:rPr>
        <w:t xml:space="preserve">momentum </w:t>
      </w:r>
      <w:r w:rsidR="00652E9A" w:rsidRPr="00320A82">
        <w:rPr>
          <w:rFonts w:ascii="Times New Roman" w:hAnsi="Times New Roman" w:cs="Times New Roman"/>
          <w:sz w:val="24"/>
          <w:szCs w:val="24"/>
        </w:rPr>
        <w:t>individually</w:t>
      </w:r>
      <w:r w:rsidR="006A43E4">
        <w:rPr>
          <w:rFonts w:ascii="Times New Roman" w:hAnsi="Times New Roman" w:cs="Times New Roman"/>
          <w:sz w:val="24"/>
          <w:szCs w:val="24"/>
        </w:rPr>
        <w:t xml:space="preserve"> </w:t>
      </w:r>
      <w:r w:rsidR="00652E9A" w:rsidRPr="00320A82">
        <w:rPr>
          <w:rFonts w:ascii="Times New Roman" w:hAnsi="Times New Roman" w:cs="Times New Roman"/>
          <w:sz w:val="24"/>
          <w:szCs w:val="24"/>
        </w:rPr>
        <w:t>are</w:t>
      </w:r>
      <w:proofErr w:type="gramEnd"/>
      <w:r w:rsidR="00652E9A" w:rsidRPr="00320A82">
        <w:rPr>
          <w:rFonts w:ascii="Times New Roman" w:hAnsi="Times New Roman" w:cs="Times New Roman"/>
          <w:sz w:val="24"/>
          <w:szCs w:val="24"/>
        </w:rPr>
        <w:t xml:space="preserve"> means of obtaining improved performance on traditional buy-and-hold portfolios</w:t>
      </w:r>
      <w:r w:rsidR="00046FD3" w:rsidRPr="00320A82">
        <w:rPr>
          <w:rFonts w:ascii="Times New Roman" w:hAnsi="Times New Roman" w:cs="Times New Roman"/>
          <w:sz w:val="24"/>
          <w:szCs w:val="24"/>
        </w:rPr>
        <w:t>, though the performance enhancement is greater in the case of the former</w:t>
      </w:r>
      <w:r w:rsidR="00652E9A" w:rsidRPr="00320A82">
        <w:rPr>
          <w:rFonts w:ascii="Times New Roman" w:hAnsi="Times New Roman" w:cs="Times New Roman"/>
          <w:sz w:val="24"/>
          <w:szCs w:val="24"/>
        </w:rPr>
        <w:t>.</w:t>
      </w:r>
      <w:r w:rsidR="001B7F5E" w:rsidRPr="00320A82">
        <w:rPr>
          <w:rFonts w:ascii="Times New Roman" w:hAnsi="Times New Roman" w:cs="Times New Roman"/>
          <w:sz w:val="24"/>
          <w:szCs w:val="24"/>
        </w:rPr>
        <w:t xml:space="preserve"> </w:t>
      </w:r>
      <w:r w:rsidR="00046FD3" w:rsidRPr="00320A82">
        <w:rPr>
          <w:rFonts w:ascii="Times New Roman" w:hAnsi="Times New Roman" w:cs="Times New Roman"/>
          <w:sz w:val="24"/>
          <w:szCs w:val="24"/>
        </w:rPr>
        <w:t xml:space="preserve"> </w:t>
      </w:r>
      <w:r w:rsidR="001B7F5E" w:rsidRPr="00320A82">
        <w:rPr>
          <w:rFonts w:ascii="Times New Roman" w:hAnsi="Times New Roman" w:cs="Times New Roman"/>
          <w:sz w:val="24"/>
          <w:szCs w:val="24"/>
        </w:rPr>
        <w:t>We now consider</w:t>
      </w:r>
      <w:r w:rsidR="004B523B" w:rsidRPr="00320A82">
        <w:rPr>
          <w:rFonts w:ascii="Times New Roman" w:hAnsi="Times New Roman" w:cs="Times New Roman"/>
          <w:sz w:val="24"/>
          <w:szCs w:val="24"/>
        </w:rPr>
        <w:t xml:space="preserve"> </w:t>
      </w:r>
      <w:r w:rsidR="001B7F5E" w:rsidRPr="00320A82">
        <w:rPr>
          <w:rFonts w:ascii="Times New Roman" w:hAnsi="Times New Roman" w:cs="Times New Roman"/>
          <w:sz w:val="24"/>
          <w:szCs w:val="24"/>
        </w:rPr>
        <w:t>if</w:t>
      </w:r>
      <w:r w:rsidR="00652E9A" w:rsidRPr="00320A82">
        <w:rPr>
          <w:rFonts w:ascii="Times New Roman" w:hAnsi="Times New Roman" w:cs="Times New Roman"/>
          <w:sz w:val="24"/>
          <w:szCs w:val="24"/>
        </w:rPr>
        <w:t xml:space="preserve"> they can be used in combination to enhance </w:t>
      </w:r>
      <w:r w:rsidR="00046FD3" w:rsidRPr="00320A82">
        <w:rPr>
          <w:rFonts w:ascii="Times New Roman" w:hAnsi="Times New Roman" w:cs="Times New Roman"/>
          <w:sz w:val="24"/>
          <w:szCs w:val="24"/>
        </w:rPr>
        <w:t xml:space="preserve">multi-asset class, risk-adjusted returns </w:t>
      </w:r>
      <w:r w:rsidR="00652E9A" w:rsidRPr="00320A82">
        <w:rPr>
          <w:rFonts w:ascii="Times New Roman" w:hAnsi="Times New Roman" w:cs="Times New Roman"/>
          <w:sz w:val="24"/>
          <w:szCs w:val="24"/>
        </w:rPr>
        <w:t>further.</w:t>
      </w:r>
      <w:r w:rsidR="001B7F5E" w:rsidRPr="00320A82">
        <w:rPr>
          <w:rFonts w:ascii="Times New Roman" w:hAnsi="Times New Roman" w:cs="Times New Roman"/>
          <w:sz w:val="24"/>
          <w:szCs w:val="24"/>
        </w:rPr>
        <w:t xml:space="preserve"> </w:t>
      </w:r>
    </w:p>
    <w:p w:rsidR="001212DF" w:rsidRPr="00320A82" w:rsidRDefault="001212DF" w:rsidP="001212DF">
      <w:pPr>
        <w:spacing w:after="0" w:line="360" w:lineRule="auto"/>
        <w:jc w:val="both"/>
        <w:rPr>
          <w:rFonts w:ascii="Times New Roman" w:hAnsi="Times New Roman" w:cs="Times New Roman"/>
          <w:sz w:val="24"/>
          <w:szCs w:val="24"/>
        </w:rPr>
      </w:pPr>
    </w:p>
    <w:p w:rsidR="00794DDA" w:rsidRPr="00320A82" w:rsidRDefault="001B7F5E"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Momentum is a relative concept in that there is always a portfolio of a winners and a portfolio of losers. Trend following, by contrast, is an absolute concept </w:t>
      </w:r>
      <w:r w:rsidR="00986435" w:rsidRPr="00320A82">
        <w:rPr>
          <w:rFonts w:ascii="Times New Roman" w:hAnsi="Times New Roman" w:cs="Times New Roman"/>
          <w:sz w:val="24"/>
          <w:szCs w:val="24"/>
        </w:rPr>
        <w:t>(</w:t>
      </w:r>
      <w:r w:rsidRPr="00320A82">
        <w:rPr>
          <w:rFonts w:ascii="Times New Roman" w:hAnsi="Times New Roman" w:cs="Times New Roman"/>
          <w:sz w:val="24"/>
          <w:szCs w:val="24"/>
        </w:rPr>
        <w:t>if based on c</w:t>
      </w:r>
      <w:r w:rsidR="00986435" w:rsidRPr="00320A82">
        <w:rPr>
          <w:rFonts w:ascii="Times New Roman" w:hAnsi="Times New Roman" w:cs="Times New Roman"/>
          <w:sz w:val="24"/>
          <w:szCs w:val="24"/>
        </w:rPr>
        <w:t>learly defined rules) whereby all, some or none of the considered asset classes can be in an uptrend</w:t>
      </w:r>
      <w:r w:rsidR="00666B31" w:rsidRPr="00320A82">
        <w:rPr>
          <w:rFonts w:ascii="Times New Roman" w:hAnsi="Times New Roman" w:cs="Times New Roman"/>
          <w:sz w:val="24"/>
          <w:szCs w:val="24"/>
        </w:rPr>
        <w:t xml:space="preserve"> or </w:t>
      </w:r>
      <w:r w:rsidR="00046FD3" w:rsidRPr="00320A82">
        <w:rPr>
          <w:rFonts w:ascii="Times New Roman" w:hAnsi="Times New Roman" w:cs="Times New Roman"/>
          <w:sz w:val="24"/>
          <w:szCs w:val="24"/>
        </w:rPr>
        <w:t xml:space="preserve">a </w:t>
      </w:r>
      <w:r w:rsidR="00666B31" w:rsidRPr="00320A82">
        <w:rPr>
          <w:rFonts w:ascii="Times New Roman" w:hAnsi="Times New Roman" w:cs="Times New Roman"/>
          <w:sz w:val="24"/>
          <w:szCs w:val="24"/>
        </w:rPr>
        <w:t>downtrend</w:t>
      </w:r>
      <w:r w:rsidR="00986435" w:rsidRPr="00320A82">
        <w:rPr>
          <w:rFonts w:ascii="Times New Roman" w:hAnsi="Times New Roman" w:cs="Times New Roman"/>
          <w:sz w:val="24"/>
          <w:szCs w:val="24"/>
        </w:rPr>
        <w:t>.</w:t>
      </w:r>
      <w:r w:rsidR="005934FA" w:rsidRPr="00320A82">
        <w:rPr>
          <w:rFonts w:ascii="Times New Roman" w:hAnsi="Times New Roman" w:cs="Times New Roman"/>
          <w:sz w:val="24"/>
          <w:szCs w:val="24"/>
        </w:rPr>
        <w:t xml:space="preserve"> This raises the possibility of having </w:t>
      </w:r>
      <w:r w:rsidR="004623FC" w:rsidRPr="00320A82">
        <w:rPr>
          <w:rFonts w:ascii="Times New Roman" w:hAnsi="Times New Roman" w:cs="Times New Roman"/>
          <w:sz w:val="24"/>
          <w:szCs w:val="24"/>
        </w:rPr>
        <w:t>a momentum portfolio of winners</w:t>
      </w:r>
      <w:r w:rsidR="00085845">
        <w:rPr>
          <w:rFonts w:ascii="Times New Roman" w:hAnsi="Times New Roman" w:cs="Times New Roman"/>
          <w:sz w:val="24"/>
          <w:szCs w:val="24"/>
        </w:rPr>
        <w:t xml:space="preserve"> in a downtrend</w:t>
      </w:r>
      <w:r w:rsidR="005934FA" w:rsidRPr="00320A82">
        <w:rPr>
          <w:rFonts w:ascii="Times New Roman" w:hAnsi="Times New Roman" w:cs="Times New Roman"/>
          <w:sz w:val="24"/>
          <w:szCs w:val="24"/>
        </w:rPr>
        <w:t xml:space="preserve"> </w:t>
      </w:r>
      <w:r w:rsidR="00046FD3" w:rsidRPr="00320A82">
        <w:rPr>
          <w:rFonts w:ascii="Times New Roman" w:hAnsi="Times New Roman" w:cs="Times New Roman"/>
          <w:sz w:val="24"/>
          <w:szCs w:val="24"/>
        </w:rPr>
        <w:t>that is</w:t>
      </w:r>
      <w:r w:rsidR="005934FA" w:rsidRPr="00320A82">
        <w:rPr>
          <w:rFonts w:ascii="Times New Roman" w:hAnsi="Times New Roman" w:cs="Times New Roman"/>
          <w:sz w:val="24"/>
          <w:szCs w:val="24"/>
        </w:rPr>
        <w:t xml:space="preserve"> they are falling in price, just more slowly than the losers, and </w:t>
      </w:r>
      <w:r w:rsidR="005934FA" w:rsidRPr="00320A82">
        <w:rPr>
          <w:rFonts w:ascii="Times New Roman" w:hAnsi="Times New Roman" w:cs="Times New Roman"/>
          <w:i/>
          <w:sz w:val="24"/>
          <w:szCs w:val="24"/>
        </w:rPr>
        <w:t>vice versa</w:t>
      </w:r>
      <w:r w:rsidR="003D12A7" w:rsidRPr="00320A82">
        <w:rPr>
          <w:rFonts w:ascii="Times New Roman" w:hAnsi="Times New Roman" w:cs="Times New Roman"/>
          <w:sz w:val="24"/>
          <w:szCs w:val="24"/>
        </w:rPr>
        <w:t>. To this extent, combining momentum and trend following has some attractions since it ensures assets are both winners and in an uptrend.</w:t>
      </w:r>
      <w:r w:rsidR="00B05C68" w:rsidRPr="00320A82">
        <w:rPr>
          <w:rFonts w:ascii="Times New Roman" w:hAnsi="Times New Roman" w:cs="Times New Roman"/>
          <w:sz w:val="24"/>
          <w:szCs w:val="24"/>
        </w:rPr>
        <w:t xml:space="preserve"> </w:t>
      </w:r>
      <w:r w:rsidR="00046FD3" w:rsidRPr="00320A82">
        <w:rPr>
          <w:rFonts w:ascii="Times New Roman" w:hAnsi="Times New Roman" w:cs="Times New Roman"/>
          <w:sz w:val="24"/>
          <w:szCs w:val="24"/>
        </w:rPr>
        <w:t xml:space="preserve"> From the perspective of an investor that does not short sell, i</w:t>
      </w:r>
      <w:r w:rsidR="00B05C68" w:rsidRPr="00320A82">
        <w:rPr>
          <w:rFonts w:ascii="Times New Roman" w:hAnsi="Times New Roman" w:cs="Times New Roman"/>
          <w:sz w:val="24"/>
          <w:szCs w:val="24"/>
        </w:rPr>
        <w:t xml:space="preserve">t also ensures that there is minimal exposure to the effects of 'momentum crashes' as described by Daniel </w:t>
      </w:r>
      <w:r w:rsidR="000A349B">
        <w:rPr>
          <w:rFonts w:ascii="Times New Roman" w:hAnsi="Times New Roman" w:cs="Times New Roman"/>
          <w:sz w:val="24"/>
          <w:szCs w:val="24"/>
        </w:rPr>
        <w:t xml:space="preserve">and </w:t>
      </w:r>
      <w:proofErr w:type="spellStart"/>
      <w:r w:rsidR="000A349B">
        <w:rPr>
          <w:rFonts w:ascii="Times New Roman" w:hAnsi="Times New Roman" w:cs="Times New Roman"/>
          <w:sz w:val="24"/>
          <w:szCs w:val="24"/>
        </w:rPr>
        <w:t>Mozkowitz</w:t>
      </w:r>
      <w:proofErr w:type="spellEnd"/>
      <w:r w:rsidR="000A349B">
        <w:rPr>
          <w:rFonts w:ascii="Times New Roman" w:hAnsi="Times New Roman" w:cs="Times New Roman"/>
          <w:sz w:val="24"/>
          <w:szCs w:val="24"/>
        </w:rPr>
        <w:t xml:space="preserve"> (2013</w:t>
      </w:r>
      <w:r w:rsidR="00B05C68" w:rsidRPr="00320A82">
        <w:rPr>
          <w:rFonts w:ascii="Times New Roman" w:hAnsi="Times New Roman" w:cs="Times New Roman"/>
          <w:sz w:val="24"/>
          <w:szCs w:val="24"/>
        </w:rPr>
        <w:t xml:space="preserve">) since </w:t>
      </w:r>
      <w:r w:rsidR="00046FD3" w:rsidRPr="00320A82">
        <w:rPr>
          <w:rFonts w:ascii="Times New Roman" w:hAnsi="Times New Roman" w:cs="Times New Roman"/>
          <w:sz w:val="24"/>
          <w:szCs w:val="24"/>
        </w:rPr>
        <w:t>‘</w:t>
      </w:r>
      <w:proofErr w:type="spellStart"/>
      <w:r w:rsidR="00B05C68" w:rsidRPr="00320A82">
        <w:rPr>
          <w:rFonts w:ascii="Times New Roman" w:hAnsi="Times New Roman" w:cs="Times New Roman"/>
          <w:sz w:val="24"/>
          <w:szCs w:val="24"/>
        </w:rPr>
        <w:t>downtrending</w:t>
      </w:r>
      <w:proofErr w:type="spellEnd"/>
      <w:r w:rsidR="00B05C68" w:rsidRPr="00320A82">
        <w:rPr>
          <w:rFonts w:ascii="Times New Roman" w:hAnsi="Times New Roman" w:cs="Times New Roman"/>
          <w:sz w:val="24"/>
          <w:szCs w:val="24"/>
        </w:rPr>
        <w:t xml:space="preserve"> winners</w:t>
      </w:r>
      <w:r w:rsidR="00046FD3" w:rsidRPr="00320A82">
        <w:rPr>
          <w:rFonts w:ascii="Times New Roman" w:hAnsi="Times New Roman" w:cs="Times New Roman"/>
          <w:sz w:val="24"/>
          <w:szCs w:val="24"/>
        </w:rPr>
        <w:t>’</w:t>
      </w:r>
      <w:r w:rsidR="00B05C68" w:rsidRPr="00320A82">
        <w:rPr>
          <w:rFonts w:ascii="Times New Roman" w:hAnsi="Times New Roman" w:cs="Times New Roman"/>
          <w:sz w:val="24"/>
          <w:szCs w:val="24"/>
        </w:rPr>
        <w:t xml:space="preserve"> are not held and the loser portfolio has not been </w:t>
      </w:r>
      <w:r w:rsidR="00046FD3" w:rsidRPr="00320A82">
        <w:rPr>
          <w:rFonts w:ascii="Times New Roman" w:hAnsi="Times New Roman" w:cs="Times New Roman"/>
          <w:sz w:val="24"/>
          <w:szCs w:val="24"/>
        </w:rPr>
        <w:t xml:space="preserve">sold </w:t>
      </w:r>
      <w:r w:rsidR="00B05C68" w:rsidRPr="00320A82">
        <w:rPr>
          <w:rFonts w:ascii="Times New Roman" w:hAnsi="Times New Roman" w:cs="Times New Roman"/>
          <w:sz w:val="24"/>
          <w:szCs w:val="24"/>
        </w:rPr>
        <w:t xml:space="preserve">short </w:t>
      </w:r>
      <w:r w:rsidR="00486F19" w:rsidRPr="00320A82">
        <w:rPr>
          <w:rFonts w:ascii="Times New Roman" w:hAnsi="Times New Roman" w:cs="Times New Roman"/>
          <w:sz w:val="24"/>
          <w:szCs w:val="24"/>
        </w:rPr>
        <w:t>either</w:t>
      </w:r>
      <w:r w:rsidR="00B05C68" w:rsidRPr="00320A82">
        <w:rPr>
          <w:rFonts w:ascii="Times New Roman" w:hAnsi="Times New Roman" w:cs="Times New Roman"/>
          <w:sz w:val="24"/>
          <w:szCs w:val="24"/>
        </w:rPr>
        <w:t>.</w:t>
      </w:r>
    </w:p>
    <w:p w:rsidR="001212DF" w:rsidRPr="00320A82" w:rsidRDefault="001212DF" w:rsidP="001212DF">
      <w:pPr>
        <w:spacing w:after="0" w:line="360" w:lineRule="auto"/>
        <w:jc w:val="both"/>
        <w:rPr>
          <w:rFonts w:ascii="Times New Roman" w:hAnsi="Times New Roman" w:cs="Times New Roman"/>
          <w:sz w:val="24"/>
          <w:szCs w:val="24"/>
        </w:rPr>
      </w:pPr>
    </w:p>
    <w:p w:rsidR="00C25607" w:rsidRPr="00320A82" w:rsidRDefault="00C25607"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There are two different methods of combin</w:t>
      </w:r>
      <w:r w:rsidR="00046FD3" w:rsidRPr="00320A82">
        <w:rPr>
          <w:rFonts w:ascii="Times New Roman" w:hAnsi="Times New Roman" w:cs="Times New Roman"/>
          <w:sz w:val="24"/>
          <w:szCs w:val="24"/>
        </w:rPr>
        <w:t>in</w:t>
      </w:r>
      <w:r w:rsidRPr="00320A82">
        <w:rPr>
          <w:rFonts w:ascii="Times New Roman" w:hAnsi="Times New Roman" w:cs="Times New Roman"/>
          <w:sz w:val="24"/>
          <w:szCs w:val="24"/>
        </w:rPr>
        <w:t>g trend following and momentum. One is the approach of Faber (20</w:t>
      </w:r>
      <w:r w:rsidR="009D37F5" w:rsidRPr="00320A82">
        <w:rPr>
          <w:rFonts w:ascii="Times New Roman" w:hAnsi="Times New Roman" w:cs="Times New Roman"/>
          <w:sz w:val="24"/>
          <w:szCs w:val="24"/>
        </w:rPr>
        <w:t>10</w:t>
      </w:r>
      <w:r w:rsidRPr="00320A82">
        <w:rPr>
          <w:rFonts w:ascii="Times New Roman" w:hAnsi="Times New Roman" w:cs="Times New Roman"/>
          <w:sz w:val="24"/>
          <w:szCs w:val="24"/>
        </w:rPr>
        <w:t xml:space="preserve">) who uses the trend following signal of a broad equity market </w:t>
      </w:r>
      <w:r w:rsidRPr="00320A82">
        <w:rPr>
          <w:rFonts w:ascii="Times New Roman" w:hAnsi="Times New Roman" w:cs="Times New Roman"/>
          <w:sz w:val="24"/>
          <w:szCs w:val="24"/>
        </w:rPr>
        <w:lastRenderedPageBreak/>
        <w:t>index to determine whether to buy or sell a momentum portfolio of equity sectors. This method</w:t>
      </w:r>
      <w:r w:rsidR="007C28A0" w:rsidRPr="00320A82">
        <w:rPr>
          <w:rFonts w:ascii="Times New Roman" w:hAnsi="Times New Roman" w:cs="Times New Roman"/>
          <w:sz w:val="24"/>
          <w:szCs w:val="24"/>
        </w:rPr>
        <w:t>, which we call a trend following asset class filter,</w:t>
      </w:r>
      <w:r w:rsidRPr="00320A82">
        <w:rPr>
          <w:rFonts w:ascii="Times New Roman" w:hAnsi="Times New Roman" w:cs="Times New Roman"/>
          <w:sz w:val="24"/>
          <w:szCs w:val="24"/>
        </w:rPr>
        <w:t xml:space="preserve"> has a binary outcome in terms of the asset allocation with either 100% investment in the risk assets or 0%.</w:t>
      </w:r>
      <w:r w:rsidR="007C28A0" w:rsidRPr="00320A82">
        <w:rPr>
          <w:rFonts w:ascii="Times New Roman" w:hAnsi="Times New Roman" w:cs="Times New Roman"/>
          <w:sz w:val="24"/>
          <w:szCs w:val="24"/>
        </w:rPr>
        <w:t xml:space="preserve"> The alternative approach is the one of individual trend following used by </w:t>
      </w:r>
      <w:proofErr w:type="spellStart"/>
      <w:proofErr w:type="gramStart"/>
      <w:r w:rsidR="007C28A0" w:rsidRPr="00320A82">
        <w:rPr>
          <w:rFonts w:ascii="Times New Roman" w:hAnsi="Times New Roman" w:cs="Times New Roman"/>
          <w:sz w:val="24"/>
          <w:szCs w:val="24"/>
        </w:rPr>
        <w:t>ap</w:t>
      </w:r>
      <w:proofErr w:type="spellEnd"/>
      <w:proofErr w:type="gramEnd"/>
      <w:r w:rsidR="004B523B" w:rsidRPr="00320A82">
        <w:rPr>
          <w:rFonts w:ascii="Times New Roman" w:hAnsi="Times New Roman" w:cs="Times New Roman"/>
          <w:sz w:val="24"/>
          <w:szCs w:val="24"/>
        </w:rPr>
        <w:t xml:space="preserve"> </w:t>
      </w:r>
      <w:proofErr w:type="spellStart"/>
      <w:r w:rsidR="007C28A0" w:rsidRPr="00320A82">
        <w:rPr>
          <w:rFonts w:ascii="Times New Roman" w:hAnsi="Times New Roman" w:cs="Times New Roman"/>
          <w:sz w:val="24"/>
          <w:szCs w:val="24"/>
        </w:rPr>
        <w:t>Gwilym</w:t>
      </w:r>
      <w:proofErr w:type="spellEnd"/>
      <w:r w:rsidR="007C28A0" w:rsidRPr="00320A82">
        <w:rPr>
          <w:rFonts w:ascii="Times New Roman" w:hAnsi="Times New Roman" w:cs="Times New Roman"/>
          <w:sz w:val="24"/>
          <w:szCs w:val="24"/>
        </w:rPr>
        <w:t xml:space="preserve"> et al (20</w:t>
      </w:r>
      <w:r w:rsidR="009D37F5" w:rsidRPr="00320A82">
        <w:rPr>
          <w:rFonts w:ascii="Times New Roman" w:hAnsi="Times New Roman" w:cs="Times New Roman"/>
          <w:sz w:val="24"/>
          <w:szCs w:val="24"/>
        </w:rPr>
        <w:t>10</w:t>
      </w:r>
      <w:r w:rsidR="007C28A0" w:rsidRPr="00320A82">
        <w:rPr>
          <w:rFonts w:ascii="Times New Roman" w:hAnsi="Times New Roman" w:cs="Times New Roman"/>
          <w:sz w:val="24"/>
          <w:szCs w:val="24"/>
        </w:rPr>
        <w:t>) whereby each single component of the momentum portfolio has the trend following rule applied to it.</w:t>
      </w:r>
      <w:r w:rsidR="00EA114A" w:rsidRPr="00320A82">
        <w:rPr>
          <w:rStyle w:val="FootnoteReference"/>
          <w:rFonts w:ascii="Times New Roman" w:hAnsi="Times New Roman"/>
          <w:sz w:val="24"/>
          <w:szCs w:val="24"/>
        </w:rPr>
        <w:footnoteReference w:id="4"/>
      </w:r>
    </w:p>
    <w:p w:rsidR="001212DF" w:rsidRPr="00320A82" w:rsidRDefault="001212DF" w:rsidP="001212DF">
      <w:pPr>
        <w:spacing w:after="0" w:line="360" w:lineRule="auto"/>
        <w:jc w:val="both"/>
        <w:rPr>
          <w:rFonts w:ascii="Times New Roman" w:hAnsi="Times New Roman" w:cs="Times New Roman"/>
          <w:sz w:val="24"/>
          <w:szCs w:val="24"/>
        </w:rPr>
      </w:pPr>
    </w:p>
    <w:p w:rsidR="009C0371" w:rsidRPr="00320A82" w:rsidRDefault="00A52A36"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Table 6 </w:t>
      </w:r>
      <w:r w:rsidR="00046FD3" w:rsidRPr="00320A82">
        <w:rPr>
          <w:rFonts w:ascii="Times New Roman" w:hAnsi="Times New Roman" w:cs="Times New Roman"/>
          <w:sz w:val="24"/>
          <w:szCs w:val="24"/>
        </w:rPr>
        <w:t xml:space="preserve">presents </w:t>
      </w:r>
      <w:r w:rsidRPr="00320A82">
        <w:rPr>
          <w:rFonts w:ascii="Times New Roman" w:hAnsi="Times New Roman" w:cs="Times New Roman"/>
          <w:sz w:val="24"/>
          <w:szCs w:val="24"/>
        </w:rPr>
        <w:t xml:space="preserve">the results of combining momentum and trend following. Panels A and B show the top half and top quarter momentum portfolios for each asset class with the </w:t>
      </w:r>
      <w:r w:rsidR="00046FD3" w:rsidRPr="00320A82">
        <w:rPr>
          <w:rFonts w:ascii="Times New Roman" w:hAnsi="Times New Roman" w:cs="Times New Roman"/>
          <w:sz w:val="24"/>
          <w:szCs w:val="24"/>
        </w:rPr>
        <w:t xml:space="preserve">application of a </w:t>
      </w:r>
      <w:r w:rsidRPr="00320A82">
        <w:rPr>
          <w:rFonts w:ascii="Times New Roman" w:hAnsi="Times New Roman" w:cs="Times New Roman"/>
          <w:sz w:val="24"/>
          <w:szCs w:val="24"/>
        </w:rPr>
        <w:t>trend following asset class filter</w:t>
      </w:r>
      <w:r w:rsidR="007E25B4" w:rsidRPr="00320A82">
        <w:rPr>
          <w:rFonts w:ascii="Times New Roman" w:hAnsi="Times New Roman" w:cs="Times New Roman"/>
          <w:sz w:val="24"/>
          <w:szCs w:val="24"/>
        </w:rPr>
        <w:t xml:space="preserve"> using a 10-month signal</w:t>
      </w:r>
      <w:r w:rsidRPr="00320A82">
        <w:rPr>
          <w:rFonts w:ascii="Times New Roman" w:hAnsi="Times New Roman" w:cs="Times New Roman"/>
          <w:sz w:val="24"/>
          <w:szCs w:val="24"/>
        </w:rPr>
        <w:t>.</w:t>
      </w:r>
      <w:r w:rsidR="007E25B4" w:rsidRPr="00320A82">
        <w:rPr>
          <w:rFonts w:ascii="Times New Roman" w:hAnsi="Times New Roman" w:cs="Times New Roman"/>
          <w:sz w:val="24"/>
          <w:szCs w:val="24"/>
        </w:rPr>
        <w:t xml:space="preserve"> We observe that risk-adjusted returns are improved for four of the five asset classes</w:t>
      </w:r>
      <w:r w:rsidR="00FB5032" w:rsidRPr="00320A82">
        <w:rPr>
          <w:rFonts w:ascii="Times New Roman" w:hAnsi="Times New Roman" w:cs="Times New Roman"/>
          <w:sz w:val="24"/>
          <w:szCs w:val="24"/>
        </w:rPr>
        <w:t xml:space="preserve"> compared to Table 5</w:t>
      </w:r>
      <w:r w:rsidR="007E25B4" w:rsidRPr="00320A82">
        <w:rPr>
          <w:rFonts w:ascii="Times New Roman" w:hAnsi="Times New Roman" w:cs="Times New Roman"/>
          <w:sz w:val="24"/>
          <w:szCs w:val="24"/>
        </w:rPr>
        <w:t xml:space="preserve">. </w:t>
      </w:r>
      <w:r w:rsidR="00046FD3" w:rsidRPr="00320A82">
        <w:rPr>
          <w:rFonts w:ascii="Times New Roman" w:hAnsi="Times New Roman" w:cs="Times New Roman"/>
          <w:sz w:val="24"/>
          <w:szCs w:val="24"/>
        </w:rPr>
        <w:t xml:space="preserve"> </w:t>
      </w:r>
      <w:r w:rsidR="004A00E4" w:rsidRPr="00320A82">
        <w:rPr>
          <w:rFonts w:ascii="Times New Roman" w:hAnsi="Times New Roman" w:cs="Times New Roman"/>
          <w:sz w:val="24"/>
          <w:szCs w:val="24"/>
        </w:rPr>
        <w:t>For example, Panel A of Table 5 shows that the Sharpe ratio of the ‘top half momentum rule’ applied to developed economy equities is 0.</w:t>
      </w:r>
      <w:r w:rsidR="008E73FB">
        <w:rPr>
          <w:rFonts w:ascii="Times New Roman" w:hAnsi="Times New Roman" w:cs="Times New Roman"/>
          <w:sz w:val="24"/>
          <w:szCs w:val="24"/>
        </w:rPr>
        <w:t>44</w:t>
      </w:r>
      <w:r w:rsidR="004A00E4" w:rsidRPr="00320A82">
        <w:rPr>
          <w:rFonts w:ascii="Times New Roman" w:hAnsi="Times New Roman" w:cs="Times New Roman"/>
          <w:sz w:val="24"/>
          <w:szCs w:val="24"/>
        </w:rPr>
        <w:t>; for the same asset class Panel A of Table 6 shows that the ‘top half momentum plus trend following asset class filter’ produces a much improved Sharpe ratio of 0.</w:t>
      </w:r>
      <w:r w:rsidR="008E73FB">
        <w:rPr>
          <w:rFonts w:ascii="Times New Roman" w:hAnsi="Times New Roman" w:cs="Times New Roman"/>
          <w:sz w:val="24"/>
          <w:szCs w:val="24"/>
        </w:rPr>
        <w:t>84</w:t>
      </w:r>
      <w:r w:rsidR="004A00E4" w:rsidRPr="00320A82">
        <w:rPr>
          <w:rFonts w:ascii="Times New Roman" w:hAnsi="Times New Roman" w:cs="Times New Roman"/>
          <w:sz w:val="24"/>
          <w:szCs w:val="24"/>
        </w:rPr>
        <w:t xml:space="preserve">.  </w:t>
      </w:r>
      <w:r w:rsidR="007E25B4" w:rsidRPr="00320A82">
        <w:rPr>
          <w:rFonts w:ascii="Times New Roman" w:hAnsi="Times New Roman" w:cs="Times New Roman"/>
          <w:sz w:val="24"/>
          <w:szCs w:val="24"/>
        </w:rPr>
        <w:t xml:space="preserve">Furthermore, maximum drawdowns are also reduced </w:t>
      </w:r>
      <w:r w:rsidR="004A00E4" w:rsidRPr="00320A82">
        <w:rPr>
          <w:rFonts w:ascii="Times New Roman" w:hAnsi="Times New Roman" w:cs="Times New Roman"/>
          <w:sz w:val="24"/>
          <w:szCs w:val="24"/>
        </w:rPr>
        <w:t xml:space="preserve">(from 56.02% to </w:t>
      </w:r>
      <w:r w:rsidR="008E73FB">
        <w:rPr>
          <w:rFonts w:ascii="Times New Roman" w:hAnsi="Times New Roman" w:cs="Times New Roman"/>
          <w:sz w:val="24"/>
          <w:szCs w:val="24"/>
        </w:rPr>
        <w:t>16.28</w:t>
      </w:r>
      <w:r w:rsidR="004A00E4" w:rsidRPr="00320A82">
        <w:rPr>
          <w:rFonts w:ascii="Times New Roman" w:hAnsi="Times New Roman" w:cs="Times New Roman"/>
          <w:sz w:val="24"/>
          <w:szCs w:val="24"/>
        </w:rPr>
        <w:t xml:space="preserve">% in the case of Developed economy equities) </w:t>
      </w:r>
      <w:r w:rsidR="00302560" w:rsidRPr="00320A82">
        <w:rPr>
          <w:rFonts w:ascii="Times New Roman" w:hAnsi="Times New Roman" w:cs="Times New Roman"/>
          <w:sz w:val="24"/>
          <w:szCs w:val="24"/>
        </w:rPr>
        <w:t xml:space="preserve">while </w:t>
      </w:r>
      <w:r w:rsidR="007E25B4" w:rsidRPr="00320A82">
        <w:rPr>
          <w:rFonts w:ascii="Times New Roman" w:hAnsi="Times New Roman" w:cs="Times New Roman"/>
          <w:sz w:val="24"/>
          <w:szCs w:val="24"/>
        </w:rPr>
        <w:t>the skew of the p</w:t>
      </w:r>
      <w:r w:rsidR="00FB5032" w:rsidRPr="00320A82">
        <w:rPr>
          <w:rFonts w:ascii="Times New Roman" w:hAnsi="Times New Roman" w:cs="Times New Roman"/>
          <w:sz w:val="24"/>
          <w:szCs w:val="24"/>
        </w:rPr>
        <w:t>ortfolios becomes more positive</w:t>
      </w:r>
      <w:r w:rsidR="008E73FB">
        <w:rPr>
          <w:rFonts w:ascii="Times New Roman" w:hAnsi="Times New Roman" w:cs="Times New Roman"/>
          <w:sz w:val="24"/>
          <w:szCs w:val="24"/>
        </w:rPr>
        <w:t xml:space="preserve"> (from -0.74 to -0.25</w:t>
      </w:r>
      <w:r w:rsidR="004A00E4" w:rsidRPr="00320A82">
        <w:rPr>
          <w:rFonts w:ascii="Times New Roman" w:hAnsi="Times New Roman" w:cs="Times New Roman"/>
          <w:sz w:val="24"/>
          <w:szCs w:val="24"/>
        </w:rPr>
        <w:t xml:space="preserve"> in the case of Developed economy equities)</w:t>
      </w:r>
      <w:r w:rsidR="00FB5032" w:rsidRPr="00320A82">
        <w:rPr>
          <w:rFonts w:ascii="Times New Roman" w:hAnsi="Times New Roman" w:cs="Times New Roman"/>
          <w:sz w:val="24"/>
          <w:szCs w:val="24"/>
        </w:rPr>
        <w:t xml:space="preserve">. </w:t>
      </w:r>
      <w:r w:rsidR="004A00E4" w:rsidRPr="00320A82">
        <w:rPr>
          <w:rFonts w:ascii="Times New Roman" w:hAnsi="Times New Roman" w:cs="Times New Roman"/>
          <w:sz w:val="24"/>
          <w:szCs w:val="24"/>
        </w:rPr>
        <w:t xml:space="preserve"> </w:t>
      </w:r>
      <w:r w:rsidR="00FB5032" w:rsidRPr="00320A82">
        <w:rPr>
          <w:rFonts w:ascii="Times New Roman" w:hAnsi="Times New Roman" w:cs="Times New Roman"/>
          <w:sz w:val="24"/>
          <w:szCs w:val="24"/>
        </w:rPr>
        <w:t xml:space="preserve">The far-right column </w:t>
      </w:r>
      <w:r w:rsidR="004A00E4" w:rsidRPr="00320A82">
        <w:rPr>
          <w:rFonts w:ascii="Times New Roman" w:hAnsi="Times New Roman" w:cs="Times New Roman"/>
          <w:sz w:val="24"/>
          <w:szCs w:val="24"/>
        </w:rPr>
        <w:t xml:space="preserve">of Table 6 </w:t>
      </w:r>
      <w:r w:rsidR="00FB5032" w:rsidRPr="00320A82">
        <w:rPr>
          <w:rFonts w:ascii="Times New Roman" w:hAnsi="Times New Roman" w:cs="Times New Roman"/>
          <w:sz w:val="24"/>
          <w:szCs w:val="24"/>
        </w:rPr>
        <w:t xml:space="preserve">again reports the statistics for a portfolio made up of 20% in each of the five </w:t>
      </w:r>
      <w:proofErr w:type="gramStart"/>
      <w:r w:rsidR="004A00E4" w:rsidRPr="00320A82">
        <w:rPr>
          <w:rFonts w:ascii="Times New Roman" w:hAnsi="Times New Roman" w:cs="Times New Roman"/>
          <w:sz w:val="24"/>
          <w:szCs w:val="24"/>
        </w:rPr>
        <w:t>momentum</w:t>
      </w:r>
      <w:proofErr w:type="gramEnd"/>
      <w:r w:rsidR="004A00E4" w:rsidRPr="00320A82">
        <w:rPr>
          <w:rFonts w:ascii="Times New Roman" w:hAnsi="Times New Roman" w:cs="Times New Roman"/>
          <w:sz w:val="24"/>
          <w:szCs w:val="24"/>
        </w:rPr>
        <w:t xml:space="preserve"> ranked and trend filtered </w:t>
      </w:r>
      <w:r w:rsidR="00FB5032" w:rsidRPr="00320A82">
        <w:rPr>
          <w:rFonts w:ascii="Times New Roman" w:hAnsi="Times New Roman" w:cs="Times New Roman"/>
          <w:sz w:val="24"/>
          <w:szCs w:val="24"/>
        </w:rPr>
        <w:t xml:space="preserve">asset classes, rebalanced monthly. </w:t>
      </w:r>
      <w:r w:rsidR="004A00E4" w:rsidRPr="00320A82">
        <w:rPr>
          <w:rFonts w:ascii="Times New Roman" w:hAnsi="Times New Roman" w:cs="Times New Roman"/>
          <w:sz w:val="24"/>
          <w:szCs w:val="24"/>
        </w:rPr>
        <w:t xml:space="preserve"> </w:t>
      </w:r>
      <w:r w:rsidR="00FB5032" w:rsidRPr="00320A82">
        <w:rPr>
          <w:rFonts w:ascii="Times New Roman" w:hAnsi="Times New Roman" w:cs="Times New Roman"/>
          <w:sz w:val="24"/>
          <w:szCs w:val="24"/>
        </w:rPr>
        <w:t>These too show a substantial improvement on the equivalents in Table 5. Sharpe ratios are between 0.3 and 0.5 higher</w:t>
      </w:r>
      <w:r w:rsidR="004A00E4" w:rsidRPr="00320A82">
        <w:rPr>
          <w:rFonts w:ascii="Times New Roman" w:hAnsi="Times New Roman" w:cs="Times New Roman"/>
          <w:sz w:val="24"/>
          <w:szCs w:val="24"/>
        </w:rPr>
        <w:t xml:space="preserve"> than for the portfolios formed only on the basis of the momentum rule</w:t>
      </w:r>
      <w:r w:rsidR="00FB5032" w:rsidRPr="00320A82">
        <w:rPr>
          <w:rFonts w:ascii="Times New Roman" w:hAnsi="Times New Roman" w:cs="Times New Roman"/>
          <w:sz w:val="24"/>
          <w:szCs w:val="24"/>
        </w:rPr>
        <w:t>, the skew is approximately zero and the maximum drawdown for th</w:t>
      </w:r>
      <w:r w:rsidR="008E73FB">
        <w:rPr>
          <w:rFonts w:ascii="Times New Roman" w:hAnsi="Times New Roman" w:cs="Times New Roman"/>
          <w:sz w:val="24"/>
          <w:szCs w:val="24"/>
        </w:rPr>
        <w:t>e top half portfolio is under 13</w:t>
      </w:r>
      <w:r w:rsidR="00FB5032" w:rsidRPr="00320A82">
        <w:rPr>
          <w:rFonts w:ascii="Times New Roman" w:hAnsi="Times New Roman" w:cs="Times New Roman"/>
          <w:sz w:val="24"/>
          <w:szCs w:val="24"/>
        </w:rPr>
        <w:t>%</w:t>
      </w:r>
      <w:r w:rsidR="00B269F8" w:rsidRPr="00320A82">
        <w:rPr>
          <w:rFonts w:ascii="Times New Roman" w:hAnsi="Times New Roman" w:cs="Times New Roman"/>
          <w:sz w:val="24"/>
          <w:szCs w:val="24"/>
        </w:rPr>
        <w:t>.</w:t>
      </w:r>
    </w:p>
    <w:p w:rsidR="001212DF" w:rsidRPr="00320A82" w:rsidRDefault="001212DF" w:rsidP="001212DF">
      <w:pPr>
        <w:spacing w:after="0" w:line="360" w:lineRule="auto"/>
        <w:jc w:val="both"/>
        <w:rPr>
          <w:rFonts w:ascii="Times New Roman" w:hAnsi="Times New Roman" w:cs="Times New Roman"/>
          <w:sz w:val="24"/>
          <w:szCs w:val="24"/>
        </w:rPr>
      </w:pPr>
    </w:p>
    <w:p w:rsidR="001212DF" w:rsidRDefault="00DE2B85"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Panels C and D show the results from </w:t>
      </w:r>
      <w:r w:rsidR="004A00E4" w:rsidRPr="00320A82">
        <w:rPr>
          <w:rFonts w:ascii="Times New Roman" w:hAnsi="Times New Roman" w:cs="Times New Roman"/>
          <w:sz w:val="24"/>
          <w:szCs w:val="24"/>
        </w:rPr>
        <w:t xml:space="preserve">combining the two momentum rules with </w:t>
      </w:r>
      <w:r w:rsidRPr="00320A82">
        <w:rPr>
          <w:rFonts w:ascii="Times New Roman" w:hAnsi="Times New Roman" w:cs="Times New Roman"/>
          <w:sz w:val="24"/>
          <w:szCs w:val="24"/>
        </w:rPr>
        <w:t xml:space="preserve">the trend following </w:t>
      </w:r>
      <w:r w:rsidR="004A00E4" w:rsidRPr="00320A82">
        <w:rPr>
          <w:rFonts w:ascii="Times New Roman" w:hAnsi="Times New Roman" w:cs="Times New Roman"/>
          <w:sz w:val="24"/>
          <w:szCs w:val="24"/>
        </w:rPr>
        <w:t xml:space="preserve">rule applied within asset classes. </w:t>
      </w:r>
      <w:r w:rsidRPr="00320A82">
        <w:rPr>
          <w:rFonts w:ascii="Times New Roman" w:hAnsi="Times New Roman" w:cs="Times New Roman"/>
          <w:sz w:val="24"/>
          <w:szCs w:val="24"/>
        </w:rPr>
        <w:t xml:space="preserve"> There appears little to choose between this and</w:t>
      </w:r>
      <w:r w:rsidR="00A123D1" w:rsidRPr="00320A82">
        <w:rPr>
          <w:rFonts w:ascii="Times New Roman" w:hAnsi="Times New Roman" w:cs="Times New Roman"/>
          <w:sz w:val="24"/>
          <w:szCs w:val="24"/>
        </w:rPr>
        <w:t xml:space="preserve"> the</w:t>
      </w:r>
      <w:r w:rsidRPr="00320A82">
        <w:rPr>
          <w:rFonts w:ascii="Times New Roman" w:hAnsi="Times New Roman" w:cs="Times New Roman"/>
          <w:sz w:val="24"/>
          <w:szCs w:val="24"/>
        </w:rPr>
        <w:t xml:space="preserve"> broad asset approach. </w:t>
      </w:r>
      <w:r w:rsidR="004A00E4"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Results are somewhat improved for REITs and bonds but worse for equities. Similar performance is also observed for the multi-asset portfolios. When we compare the investment experience of these with the trend following only portfolios from Table 3 we find that the addition of momentum increases the level of return by 1.5% to 2.5% per annum but this comes at the expense of higher volatility. </w:t>
      </w:r>
      <w:r w:rsidR="004A00E4"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Sharpe ratios for the top half portfolios are marginally higher than </w:t>
      </w:r>
      <w:proofErr w:type="spellStart"/>
      <w:r w:rsidRPr="00320A82">
        <w:rPr>
          <w:rFonts w:ascii="Times New Roman" w:hAnsi="Times New Roman" w:cs="Times New Roman"/>
          <w:sz w:val="24"/>
          <w:szCs w:val="24"/>
        </w:rPr>
        <w:t>comparables</w:t>
      </w:r>
      <w:proofErr w:type="spellEnd"/>
      <w:r w:rsidRPr="00320A82">
        <w:rPr>
          <w:rFonts w:ascii="Times New Roman" w:hAnsi="Times New Roman" w:cs="Times New Roman"/>
          <w:sz w:val="24"/>
          <w:szCs w:val="24"/>
        </w:rPr>
        <w:t xml:space="preserve"> in Table 3</w:t>
      </w:r>
      <w:r w:rsidR="004A00E4" w:rsidRPr="00320A82">
        <w:rPr>
          <w:rFonts w:ascii="Times New Roman" w:hAnsi="Times New Roman" w:cs="Times New Roman"/>
          <w:sz w:val="24"/>
          <w:szCs w:val="24"/>
        </w:rPr>
        <w:t xml:space="preserve">, </w:t>
      </w:r>
      <w:r w:rsidRPr="00320A82">
        <w:rPr>
          <w:rFonts w:ascii="Times New Roman" w:hAnsi="Times New Roman" w:cs="Times New Roman"/>
          <w:sz w:val="24"/>
          <w:szCs w:val="24"/>
        </w:rPr>
        <w:t>whilst the top quarter values are around 0.1 lower.</w:t>
      </w:r>
      <w:bookmarkStart w:id="0" w:name="_GoBack"/>
      <w:bookmarkEnd w:id="0"/>
    </w:p>
    <w:p w:rsidR="004A00E4" w:rsidRPr="00320A82" w:rsidRDefault="004A00E4" w:rsidP="001212DF">
      <w:pPr>
        <w:spacing w:after="0" w:line="360" w:lineRule="auto"/>
        <w:jc w:val="both"/>
        <w:rPr>
          <w:rFonts w:ascii="Times New Roman" w:hAnsi="Times New Roman" w:cs="Times New Roman"/>
          <w:i/>
          <w:sz w:val="24"/>
          <w:szCs w:val="24"/>
        </w:rPr>
      </w:pPr>
      <w:r w:rsidRPr="00320A82">
        <w:rPr>
          <w:rFonts w:ascii="Times New Roman" w:hAnsi="Times New Roman" w:cs="Times New Roman"/>
          <w:i/>
          <w:sz w:val="24"/>
          <w:szCs w:val="24"/>
        </w:rPr>
        <w:lastRenderedPageBreak/>
        <w:t>3.6 Volatility-adjusted momentum and trend following</w:t>
      </w:r>
    </w:p>
    <w:p w:rsidR="00B2230E" w:rsidRPr="00320A82" w:rsidRDefault="00D22BA3" w:rsidP="001212DF">
      <w:pPr>
        <w:spacing w:after="0" w:line="360" w:lineRule="auto"/>
        <w:jc w:val="both"/>
        <w:rPr>
          <w:rFonts w:ascii="Times New Roman" w:hAnsi="Times New Roman" w:cs="Times New Roman"/>
          <w:sz w:val="24"/>
          <w:szCs w:val="24"/>
        </w:rPr>
      </w:pPr>
      <w:proofErr w:type="spellStart"/>
      <w:r w:rsidRPr="00320A82">
        <w:rPr>
          <w:rFonts w:ascii="Times New Roman" w:hAnsi="Times New Roman" w:cs="Times New Roman"/>
          <w:sz w:val="24"/>
          <w:szCs w:val="24"/>
        </w:rPr>
        <w:t>Ilmanen</w:t>
      </w:r>
      <w:proofErr w:type="spellEnd"/>
      <w:r w:rsidRPr="00320A82">
        <w:rPr>
          <w:rFonts w:ascii="Times New Roman" w:hAnsi="Times New Roman" w:cs="Times New Roman"/>
          <w:sz w:val="24"/>
          <w:szCs w:val="24"/>
        </w:rPr>
        <w:t xml:space="preserve"> (2011) makes the case for adjusting momentum rankings to take account of the volatility of each asset. </w:t>
      </w:r>
      <w:r w:rsidR="004A00E4" w:rsidRPr="00320A82">
        <w:rPr>
          <w:rFonts w:ascii="Times New Roman" w:hAnsi="Times New Roman" w:cs="Times New Roman"/>
          <w:sz w:val="24"/>
          <w:szCs w:val="24"/>
        </w:rPr>
        <w:t xml:space="preserve"> It is argued that w</w:t>
      </w:r>
      <w:r w:rsidRPr="00320A82">
        <w:rPr>
          <w:rFonts w:ascii="Times New Roman" w:hAnsi="Times New Roman" w:cs="Times New Roman"/>
          <w:sz w:val="24"/>
          <w:szCs w:val="24"/>
        </w:rPr>
        <w:t>ithout this</w:t>
      </w:r>
      <w:r w:rsidR="004A00E4" w:rsidRPr="00320A82">
        <w:rPr>
          <w:rFonts w:ascii="Times New Roman" w:hAnsi="Times New Roman" w:cs="Times New Roman"/>
          <w:sz w:val="24"/>
          <w:szCs w:val="24"/>
        </w:rPr>
        <w:t xml:space="preserve"> consideration that t</w:t>
      </w:r>
      <w:r w:rsidRPr="00320A82">
        <w:rPr>
          <w:rFonts w:ascii="Times New Roman" w:hAnsi="Times New Roman" w:cs="Times New Roman"/>
          <w:sz w:val="24"/>
          <w:szCs w:val="24"/>
        </w:rPr>
        <w:t>he most volatile assets spend a disproportionate amount of time in the top and bottom momentum ranking categories.</w:t>
      </w:r>
      <w:r w:rsidR="00665158" w:rsidRPr="00320A82">
        <w:rPr>
          <w:rFonts w:ascii="Times New Roman" w:hAnsi="Times New Roman" w:cs="Times New Roman"/>
          <w:sz w:val="24"/>
          <w:szCs w:val="24"/>
        </w:rPr>
        <w:t xml:space="preserve"> We calculate volatility-adjusted momentum rankings by dividing the prior twelve month total return by the realised volatility over the same period and then ranking in the standard fashion.</w:t>
      </w:r>
    </w:p>
    <w:p w:rsidR="001212DF" w:rsidRPr="00320A82" w:rsidRDefault="001212DF" w:rsidP="001212DF">
      <w:pPr>
        <w:spacing w:after="0" w:line="360" w:lineRule="auto"/>
        <w:jc w:val="both"/>
        <w:rPr>
          <w:rFonts w:ascii="Times New Roman" w:hAnsi="Times New Roman" w:cs="Times New Roman"/>
          <w:sz w:val="24"/>
          <w:szCs w:val="24"/>
        </w:rPr>
      </w:pPr>
    </w:p>
    <w:p w:rsidR="00B234C5" w:rsidRDefault="00DB6707"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Table 7 shows the results of volatility-adjusted momentum </w:t>
      </w:r>
      <w:r w:rsidR="00B234C5" w:rsidRPr="00320A82">
        <w:rPr>
          <w:rFonts w:ascii="Times New Roman" w:hAnsi="Times New Roman" w:cs="Times New Roman"/>
          <w:sz w:val="24"/>
          <w:szCs w:val="24"/>
        </w:rPr>
        <w:t xml:space="preserve">ranking </w:t>
      </w:r>
      <w:r w:rsidRPr="00320A82">
        <w:rPr>
          <w:rFonts w:ascii="Times New Roman" w:hAnsi="Times New Roman" w:cs="Times New Roman"/>
          <w:sz w:val="24"/>
          <w:szCs w:val="24"/>
        </w:rPr>
        <w:t xml:space="preserve">within each asset class. Compared </w:t>
      </w:r>
      <w:r w:rsidR="00B234C5" w:rsidRPr="00320A82">
        <w:rPr>
          <w:rFonts w:ascii="Times New Roman" w:hAnsi="Times New Roman" w:cs="Times New Roman"/>
          <w:sz w:val="24"/>
          <w:szCs w:val="24"/>
        </w:rPr>
        <w:t xml:space="preserve">with </w:t>
      </w:r>
      <w:r w:rsidRPr="00320A82">
        <w:rPr>
          <w:rFonts w:ascii="Times New Roman" w:hAnsi="Times New Roman" w:cs="Times New Roman"/>
          <w:sz w:val="24"/>
          <w:szCs w:val="24"/>
        </w:rPr>
        <w:t xml:space="preserve">the standard results in Table 5 we observe very little difference. Returns and volatilities are very similar and the combined portfolios in the far-right column have almost identical Sharpe ratios to their </w:t>
      </w:r>
      <w:r w:rsidR="00B234C5" w:rsidRPr="00320A82">
        <w:rPr>
          <w:rFonts w:ascii="Times New Roman" w:hAnsi="Times New Roman" w:cs="Times New Roman"/>
          <w:sz w:val="24"/>
          <w:szCs w:val="24"/>
        </w:rPr>
        <w:t>volatility-</w:t>
      </w:r>
      <w:r w:rsidRPr="00320A82">
        <w:rPr>
          <w:rFonts w:ascii="Times New Roman" w:hAnsi="Times New Roman" w:cs="Times New Roman"/>
          <w:sz w:val="24"/>
          <w:szCs w:val="24"/>
        </w:rPr>
        <w:t>unadjusted equivalents.</w:t>
      </w:r>
      <w:r w:rsidR="0017231D" w:rsidRPr="00320A82">
        <w:rPr>
          <w:rFonts w:ascii="Times New Roman" w:hAnsi="Times New Roman" w:cs="Times New Roman"/>
          <w:sz w:val="24"/>
          <w:szCs w:val="24"/>
        </w:rPr>
        <w:t xml:space="preserve"> </w:t>
      </w:r>
      <w:r w:rsidR="00B234C5" w:rsidRPr="00320A82">
        <w:rPr>
          <w:rFonts w:ascii="Times New Roman" w:hAnsi="Times New Roman" w:cs="Times New Roman"/>
          <w:sz w:val="24"/>
          <w:szCs w:val="24"/>
        </w:rPr>
        <w:t xml:space="preserve"> For example, the Sharpe ratio of the ‘top half, momentum ranked’ portfolio of de</w:t>
      </w:r>
      <w:r w:rsidR="0082572B">
        <w:rPr>
          <w:rFonts w:ascii="Times New Roman" w:hAnsi="Times New Roman" w:cs="Times New Roman"/>
          <w:sz w:val="24"/>
          <w:szCs w:val="24"/>
        </w:rPr>
        <w:t>veloped economy equities is 0.44</w:t>
      </w:r>
      <w:r w:rsidR="00B234C5" w:rsidRPr="00320A82">
        <w:rPr>
          <w:rFonts w:ascii="Times New Roman" w:hAnsi="Times New Roman" w:cs="Times New Roman"/>
          <w:sz w:val="24"/>
          <w:szCs w:val="24"/>
        </w:rPr>
        <w:t xml:space="preserve"> (Panel A, Table 5), compared with a value of 0.</w:t>
      </w:r>
      <w:r w:rsidR="008E73FB">
        <w:rPr>
          <w:rFonts w:ascii="Times New Roman" w:hAnsi="Times New Roman" w:cs="Times New Roman"/>
          <w:sz w:val="24"/>
          <w:szCs w:val="24"/>
        </w:rPr>
        <w:t>42</w:t>
      </w:r>
      <w:r w:rsidR="0082572B">
        <w:rPr>
          <w:rFonts w:ascii="Times New Roman" w:hAnsi="Times New Roman" w:cs="Times New Roman"/>
          <w:sz w:val="24"/>
          <w:szCs w:val="24"/>
        </w:rPr>
        <w:t xml:space="preserve"> </w:t>
      </w:r>
      <w:r w:rsidR="00B234C5" w:rsidRPr="00320A82">
        <w:rPr>
          <w:rFonts w:ascii="Times New Roman" w:hAnsi="Times New Roman" w:cs="Times New Roman"/>
          <w:sz w:val="24"/>
          <w:szCs w:val="24"/>
        </w:rPr>
        <w:t xml:space="preserve">produced by the ‘top half volatility-adjusted, momentum ranked’ technique for the same markets.  </w:t>
      </w:r>
    </w:p>
    <w:p w:rsidR="00085845" w:rsidRPr="00320A82" w:rsidRDefault="00085845" w:rsidP="001212DF">
      <w:pPr>
        <w:spacing w:after="0" w:line="360" w:lineRule="auto"/>
        <w:jc w:val="both"/>
        <w:rPr>
          <w:rFonts w:ascii="Times New Roman" w:hAnsi="Times New Roman" w:cs="Times New Roman"/>
          <w:sz w:val="24"/>
          <w:szCs w:val="24"/>
        </w:rPr>
      </w:pPr>
    </w:p>
    <w:p w:rsidR="00665158" w:rsidRPr="00320A82" w:rsidRDefault="00AF2795"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Table 8 presents the results of </w:t>
      </w:r>
      <w:r w:rsidR="0017231D" w:rsidRPr="00320A82">
        <w:rPr>
          <w:rFonts w:ascii="Times New Roman" w:hAnsi="Times New Roman" w:cs="Times New Roman"/>
          <w:sz w:val="24"/>
          <w:szCs w:val="24"/>
        </w:rPr>
        <w:t xml:space="preserve">volatility-adjusted momentum </w:t>
      </w:r>
      <w:r w:rsidRPr="00320A82">
        <w:rPr>
          <w:rFonts w:ascii="Times New Roman" w:hAnsi="Times New Roman" w:cs="Times New Roman"/>
          <w:sz w:val="24"/>
          <w:szCs w:val="24"/>
        </w:rPr>
        <w:t xml:space="preserve">weighting within each asset class </w:t>
      </w:r>
      <w:r w:rsidR="0017231D" w:rsidRPr="00320A82">
        <w:rPr>
          <w:rFonts w:ascii="Times New Roman" w:hAnsi="Times New Roman" w:cs="Times New Roman"/>
          <w:sz w:val="24"/>
          <w:szCs w:val="24"/>
        </w:rPr>
        <w:t xml:space="preserve">combined with </w:t>
      </w:r>
      <w:r w:rsidRPr="00320A82">
        <w:rPr>
          <w:rFonts w:ascii="Times New Roman" w:hAnsi="Times New Roman" w:cs="Times New Roman"/>
          <w:sz w:val="24"/>
          <w:szCs w:val="24"/>
        </w:rPr>
        <w:t xml:space="preserve">the ten month </w:t>
      </w:r>
      <w:r w:rsidR="0017231D" w:rsidRPr="00320A82">
        <w:rPr>
          <w:rFonts w:ascii="Times New Roman" w:hAnsi="Times New Roman" w:cs="Times New Roman"/>
          <w:sz w:val="24"/>
          <w:szCs w:val="24"/>
        </w:rPr>
        <w:t>trend following</w:t>
      </w:r>
      <w:r w:rsidRPr="00320A82">
        <w:rPr>
          <w:rFonts w:ascii="Times New Roman" w:hAnsi="Times New Roman" w:cs="Times New Roman"/>
          <w:sz w:val="24"/>
          <w:szCs w:val="24"/>
        </w:rPr>
        <w:t xml:space="preserve"> rule</w:t>
      </w:r>
      <w:r w:rsidR="0017231D"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 These results are comparable to those presented in Table 6, where no volatility adjustment is applied to the momentum weights.  A comparison of the two tables shows, </w:t>
      </w:r>
      <w:r w:rsidR="007C6406" w:rsidRPr="00320A82">
        <w:rPr>
          <w:rFonts w:ascii="Times New Roman" w:hAnsi="Times New Roman" w:cs="Times New Roman"/>
          <w:sz w:val="24"/>
          <w:szCs w:val="24"/>
        </w:rPr>
        <w:t xml:space="preserve">that volatility-adjusting </w:t>
      </w:r>
      <w:r w:rsidR="00085845">
        <w:rPr>
          <w:rFonts w:ascii="Times New Roman" w:hAnsi="Times New Roman" w:cs="Times New Roman"/>
          <w:sz w:val="24"/>
          <w:szCs w:val="24"/>
        </w:rPr>
        <w:t xml:space="preserve">the momentum </w:t>
      </w:r>
      <w:proofErr w:type="gramStart"/>
      <w:r w:rsidR="00085845">
        <w:rPr>
          <w:rFonts w:ascii="Times New Roman" w:hAnsi="Times New Roman" w:cs="Times New Roman"/>
          <w:sz w:val="24"/>
          <w:szCs w:val="24"/>
        </w:rPr>
        <w:t xml:space="preserve">weights </w:t>
      </w:r>
      <w:r w:rsidR="007C6406" w:rsidRPr="00320A82">
        <w:rPr>
          <w:rFonts w:ascii="Times New Roman" w:hAnsi="Times New Roman" w:cs="Times New Roman"/>
          <w:sz w:val="24"/>
          <w:szCs w:val="24"/>
        </w:rPr>
        <w:t>offers</w:t>
      </w:r>
      <w:proofErr w:type="gramEnd"/>
      <w:r w:rsidR="007C6406" w:rsidRPr="00320A82">
        <w:rPr>
          <w:rFonts w:ascii="Times New Roman" w:hAnsi="Times New Roman" w:cs="Times New Roman"/>
          <w:sz w:val="24"/>
          <w:szCs w:val="24"/>
        </w:rPr>
        <w:t xml:space="preserve"> some small improvement here. </w:t>
      </w:r>
      <w:r w:rsidRPr="00320A82">
        <w:rPr>
          <w:rFonts w:ascii="Times New Roman" w:hAnsi="Times New Roman" w:cs="Times New Roman"/>
          <w:sz w:val="24"/>
          <w:szCs w:val="24"/>
        </w:rPr>
        <w:t xml:space="preserve"> </w:t>
      </w:r>
      <w:r w:rsidR="007C6406" w:rsidRPr="00320A82">
        <w:rPr>
          <w:rFonts w:ascii="Times New Roman" w:hAnsi="Times New Roman" w:cs="Times New Roman"/>
          <w:sz w:val="24"/>
          <w:szCs w:val="24"/>
        </w:rPr>
        <w:t>Sharpe ratios are marginally higher and the combined portfolios are an improvement on their unadjusted counterparts.</w:t>
      </w:r>
      <w:r w:rsidRPr="00320A82">
        <w:rPr>
          <w:rFonts w:ascii="Times New Roman" w:hAnsi="Times New Roman" w:cs="Times New Roman"/>
          <w:sz w:val="24"/>
          <w:szCs w:val="24"/>
        </w:rPr>
        <w:t xml:space="preserve">  For example, the Sharpe ratio of the ‘top quarter, momentum ranked portfolio with individual trend following’ applied to developed economy equities without the volatility adjustment is 0.</w:t>
      </w:r>
      <w:r w:rsidR="0082572B">
        <w:rPr>
          <w:rFonts w:ascii="Times New Roman" w:hAnsi="Times New Roman" w:cs="Times New Roman"/>
          <w:sz w:val="24"/>
          <w:szCs w:val="24"/>
        </w:rPr>
        <w:t>68</w:t>
      </w:r>
      <w:r w:rsidRPr="00320A82">
        <w:rPr>
          <w:rFonts w:ascii="Times New Roman" w:hAnsi="Times New Roman" w:cs="Times New Roman"/>
          <w:sz w:val="24"/>
          <w:szCs w:val="24"/>
        </w:rPr>
        <w:t xml:space="preserve"> (panel D, Table 6), but when the volatility adjustment is applied, the Sharpe ratio rises to 0.</w:t>
      </w:r>
      <w:r w:rsidR="0082572B">
        <w:rPr>
          <w:rFonts w:ascii="Times New Roman" w:hAnsi="Times New Roman" w:cs="Times New Roman"/>
          <w:sz w:val="24"/>
          <w:szCs w:val="24"/>
        </w:rPr>
        <w:t>78</w:t>
      </w:r>
      <w:r w:rsidRPr="00320A82">
        <w:rPr>
          <w:rFonts w:ascii="Times New Roman" w:hAnsi="Times New Roman" w:cs="Times New Roman"/>
          <w:sz w:val="24"/>
          <w:szCs w:val="24"/>
        </w:rPr>
        <w:t xml:space="preserve"> (panel D, Table 8).</w:t>
      </w:r>
    </w:p>
    <w:p w:rsidR="001212DF" w:rsidRPr="00320A82" w:rsidRDefault="001212DF" w:rsidP="001212DF">
      <w:pPr>
        <w:spacing w:after="0" w:line="360" w:lineRule="auto"/>
        <w:jc w:val="both"/>
        <w:rPr>
          <w:rFonts w:ascii="Times New Roman" w:hAnsi="Times New Roman" w:cs="Times New Roman"/>
          <w:sz w:val="24"/>
          <w:szCs w:val="24"/>
        </w:rPr>
      </w:pPr>
    </w:p>
    <w:p w:rsidR="00846681" w:rsidRPr="00320A82" w:rsidRDefault="007108D8" w:rsidP="001212DF">
      <w:pPr>
        <w:spacing w:after="0" w:line="360" w:lineRule="auto"/>
        <w:jc w:val="both"/>
        <w:rPr>
          <w:rFonts w:ascii="Times New Roman" w:hAnsi="Times New Roman" w:cs="Times New Roman"/>
          <w:b/>
          <w:i/>
          <w:sz w:val="24"/>
          <w:szCs w:val="24"/>
        </w:rPr>
      </w:pPr>
      <w:r w:rsidRPr="00320A82">
        <w:rPr>
          <w:rFonts w:ascii="Times New Roman" w:hAnsi="Times New Roman" w:cs="Times New Roman"/>
          <w:b/>
          <w:sz w:val="24"/>
          <w:szCs w:val="24"/>
        </w:rPr>
        <w:t>4.</w:t>
      </w:r>
      <w:r w:rsidRPr="00320A82">
        <w:rPr>
          <w:rFonts w:ascii="Times New Roman" w:hAnsi="Times New Roman" w:cs="Times New Roman"/>
          <w:b/>
          <w:i/>
          <w:sz w:val="24"/>
          <w:szCs w:val="24"/>
        </w:rPr>
        <w:t xml:space="preserve"> </w:t>
      </w:r>
      <w:r w:rsidRPr="00E91D38">
        <w:rPr>
          <w:rFonts w:ascii="Times New Roman" w:hAnsi="Times New Roman" w:cs="Times New Roman"/>
          <w:b/>
          <w:sz w:val="24"/>
          <w:szCs w:val="24"/>
        </w:rPr>
        <w:t>Flexible Asset Allocation</w:t>
      </w:r>
    </w:p>
    <w:p w:rsidR="00067D02" w:rsidRPr="00320A82" w:rsidRDefault="007E30E8" w:rsidP="001212DF">
      <w:pPr>
        <w:spacing w:after="0" w:line="360" w:lineRule="auto"/>
        <w:jc w:val="both"/>
        <w:rPr>
          <w:rFonts w:ascii="Times New Roman" w:hAnsi="Times New Roman" w:cs="Times New Roman"/>
          <w:sz w:val="24"/>
          <w:szCs w:val="24"/>
        </w:rPr>
      </w:pPr>
      <w:r w:rsidRPr="00320A82">
        <w:rPr>
          <w:rFonts w:ascii="Times New Roman" w:hAnsi="Times New Roman" w:cs="Times New Roman"/>
          <w:sz w:val="24"/>
          <w:szCs w:val="24"/>
        </w:rPr>
        <w:t>To this point we have considered forming portfolios either within an asset class, on a risk parity basis or using an equal</w:t>
      </w:r>
      <w:r w:rsidR="007D251A" w:rsidRPr="00320A82">
        <w:rPr>
          <w:rFonts w:ascii="Times New Roman" w:hAnsi="Times New Roman" w:cs="Times New Roman"/>
          <w:sz w:val="24"/>
          <w:szCs w:val="24"/>
        </w:rPr>
        <w:t>ly</w:t>
      </w:r>
      <w:r w:rsidRPr="00320A82">
        <w:rPr>
          <w:rFonts w:ascii="Times New Roman" w:hAnsi="Times New Roman" w:cs="Times New Roman"/>
          <w:sz w:val="24"/>
          <w:szCs w:val="24"/>
        </w:rPr>
        <w:t>-weight</w:t>
      </w:r>
      <w:r w:rsidR="007D251A" w:rsidRPr="00320A82">
        <w:rPr>
          <w:rFonts w:ascii="Times New Roman" w:hAnsi="Times New Roman" w:cs="Times New Roman"/>
          <w:sz w:val="24"/>
          <w:szCs w:val="24"/>
        </w:rPr>
        <w:t>ed</w:t>
      </w:r>
      <w:r w:rsidRPr="00320A82">
        <w:rPr>
          <w:rFonts w:ascii="Times New Roman" w:hAnsi="Times New Roman" w:cs="Times New Roman"/>
          <w:sz w:val="24"/>
          <w:szCs w:val="24"/>
        </w:rPr>
        <w:t xml:space="preserve"> model, i.e. 20% in each asset class. </w:t>
      </w:r>
      <w:r w:rsidR="007D251A" w:rsidRPr="00320A82">
        <w:rPr>
          <w:rFonts w:ascii="Times New Roman" w:hAnsi="Times New Roman" w:cs="Times New Roman"/>
          <w:sz w:val="24"/>
          <w:szCs w:val="24"/>
        </w:rPr>
        <w:t xml:space="preserve"> </w:t>
      </w:r>
      <w:r w:rsidRPr="00320A82">
        <w:rPr>
          <w:rFonts w:ascii="Times New Roman" w:hAnsi="Times New Roman" w:cs="Times New Roman"/>
          <w:sz w:val="24"/>
          <w:szCs w:val="24"/>
        </w:rPr>
        <w:t>We have used the market as a guide in terms of the assets to include in these portfolios based on momentum and trend following</w:t>
      </w:r>
      <w:r w:rsidR="007D251A" w:rsidRPr="00320A82">
        <w:rPr>
          <w:rFonts w:ascii="Times New Roman" w:hAnsi="Times New Roman" w:cs="Times New Roman"/>
          <w:sz w:val="24"/>
          <w:szCs w:val="24"/>
        </w:rPr>
        <w:t xml:space="preserve"> rules</w:t>
      </w:r>
      <w:r w:rsidRPr="00320A82">
        <w:rPr>
          <w:rFonts w:ascii="Times New Roman" w:hAnsi="Times New Roman" w:cs="Times New Roman"/>
          <w:sz w:val="24"/>
          <w:szCs w:val="24"/>
        </w:rPr>
        <w:t xml:space="preserve">. </w:t>
      </w:r>
      <w:r w:rsidR="00DE2308" w:rsidRPr="00320A82">
        <w:rPr>
          <w:rFonts w:ascii="Times New Roman" w:hAnsi="Times New Roman" w:cs="Times New Roman"/>
          <w:sz w:val="24"/>
          <w:szCs w:val="24"/>
        </w:rPr>
        <w:t xml:space="preserve"> </w:t>
      </w:r>
      <w:r w:rsidR="007D251A" w:rsidRPr="00320A82">
        <w:rPr>
          <w:rFonts w:ascii="Times New Roman" w:hAnsi="Times New Roman" w:cs="Times New Roman"/>
          <w:sz w:val="24"/>
          <w:szCs w:val="24"/>
        </w:rPr>
        <w:t xml:space="preserve">In this section of the paper </w:t>
      </w:r>
      <w:r w:rsidRPr="00320A82">
        <w:rPr>
          <w:rFonts w:ascii="Times New Roman" w:hAnsi="Times New Roman" w:cs="Times New Roman"/>
          <w:sz w:val="24"/>
          <w:szCs w:val="24"/>
        </w:rPr>
        <w:t xml:space="preserve">we extend this </w:t>
      </w:r>
      <w:r w:rsidR="007D251A" w:rsidRPr="00320A82">
        <w:rPr>
          <w:rFonts w:ascii="Times New Roman" w:hAnsi="Times New Roman" w:cs="Times New Roman"/>
          <w:sz w:val="24"/>
          <w:szCs w:val="24"/>
        </w:rPr>
        <w:t xml:space="preserve">approach </w:t>
      </w:r>
      <w:r w:rsidRPr="00320A82">
        <w:rPr>
          <w:rFonts w:ascii="Times New Roman" w:hAnsi="Times New Roman" w:cs="Times New Roman"/>
          <w:sz w:val="24"/>
          <w:szCs w:val="24"/>
        </w:rPr>
        <w:t>to allow the market to guide the asset allocation</w:t>
      </w:r>
      <w:r w:rsidR="008E5846" w:rsidRPr="00320A82">
        <w:rPr>
          <w:rFonts w:ascii="Times New Roman" w:hAnsi="Times New Roman" w:cs="Times New Roman"/>
          <w:sz w:val="24"/>
          <w:szCs w:val="24"/>
        </w:rPr>
        <w:t xml:space="preserve"> decision</w:t>
      </w:r>
      <w:r w:rsidRPr="00320A82">
        <w:rPr>
          <w:rFonts w:ascii="Times New Roman" w:hAnsi="Times New Roman" w:cs="Times New Roman"/>
          <w:sz w:val="24"/>
          <w:szCs w:val="24"/>
        </w:rPr>
        <w:t xml:space="preserve"> further. We now rank all ninety-five of the </w:t>
      </w:r>
      <w:r w:rsidR="007D251A" w:rsidRPr="00320A82">
        <w:rPr>
          <w:rFonts w:ascii="Times New Roman" w:hAnsi="Times New Roman" w:cs="Times New Roman"/>
          <w:sz w:val="24"/>
          <w:szCs w:val="24"/>
        </w:rPr>
        <w:t xml:space="preserve">markets </w:t>
      </w:r>
      <w:r w:rsidRPr="00320A82">
        <w:rPr>
          <w:rFonts w:ascii="Times New Roman" w:hAnsi="Times New Roman" w:cs="Times New Roman"/>
          <w:sz w:val="24"/>
          <w:szCs w:val="24"/>
        </w:rPr>
        <w:t xml:space="preserve">by </w:t>
      </w:r>
      <w:r w:rsidR="005B4301" w:rsidRPr="00320A82">
        <w:rPr>
          <w:rFonts w:ascii="Times New Roman" w:hAnsi="Times New Roman" w:cs="Times New Roman"/>
          <w:sz w:val="24"/>
          <w:szCs w:val="24"/>
        </w:rPr>
        <w:t xml:space="preserve">volatility-adjusted </w:t>
      </w:r>
      <w:r w:rsidRPr="00320A82">
        <w:rPr>
          <w:rFonts w:ascii="Times New Roman" w:hAnsi="Times New Roman" w:cs="Times New Roman"/>
          <w:sz w:val="24"/>
          <w:szCs w:val="24"/>
        </w:rPr>
        <w:t xml:space="preserve">momentum with no </w:t>
      </w:r>
      <w:r w:rsidR="00A665F0" w:rsidRPr="00320A82">
        <w:rPr>
          <w:rFonts w:ascii="Times New Roman" w:hAnsi="Times New Roman" w:cs="Times New Roman"/>
          <w:sz w:val="24"/>
          <w:szCs w:val="24"/>
        </w:rPr>
        <w:t>differentiation</w:t>
      </w:r>
      <w:r w:rsidRPr="00320A82">
        <w:rPr>
          <w:rFonts w:ascii="Times New Roman" w:hAnsi="Times New Roman" w:cs="Times New Roman"/>
          <w:sz w:val="24"/>
          <w:szCs w:val="24"/>
        </w:rPr>
        <w:t xml:space="preserve"> made </w:t>
      </w:r>
      <w:r w:rsidR="00C973BB" w:rsidRPr="00320A82">
        <w:rPr>
          <w:rFonts w:ascii="Times New Roman" w:hAnsi="Times New Roman" w:cs="Times New Roman"/>
          <w:sz w:val="24"/>
          <w:szCs w:val="24"/>
        </w:rPr>
        <w:t xml:space="preserve">with respect to </w:t>
      </w:r>
      <w:r w:rsidRPr="00320A82">
        <w:rPr>
          <w:rFonts w:ascii="Times New Roman" w:hAnsi="Times New Roman" w:cs="Times New Roman"/>
          <w:sz w:val="24"/>
          <w:szCs w:val="24"/>
        </w:rPr>
        <w:t xml:space="preserve">the </w:t>
      </w:r>
      <w:r w:rsidRPr="00320A82">
        <w:rPr>
          <w:rFonts w:ascii="Times New Roman" w:hAnsi="Times New Roman" w:cs="Times New Roman"/>
          <w:sz w:val="24"/>
          <w:szCs w:val="24"/>
        </w:rPr>
        <w:lastRenderedPageBreak/>
        <w:t>asset class to which they belong.</w:t>
      </w:r>
      <w:r w:rsidR="004B523B" w:rsidRPr="00320A82">
        <w:rPr>
          <w:rFonts w:ascii="Times New Roman" w:hAnsi="Times New Roman" w:cs="Times New Roman"/>
          <w:sz w:val="24"/>
          <w:szCs w:val="24"/>
        </w:rPr>
        <w:t xml:space="preserve"> </w:t>
      </w:r>
      <w:r w:rsidR="007D251A" w:rsidRPr="00320A82">
        <w:rPr>
          <w:rFonts w:ascii="Times New Roman" w:hAnsi="Times New Roman" w:cs="Times New Roman"/>
          <w:sz w:val="24"/>
          <w:szCs w:val="24"/>
        </w:rPr>
        <w:t xml:space="preserve"> </w:t>
      </w:r>
      <w:r w:rsidR="00DE2308" w:rsidRPr="00320A82">
        <w:rPr>
          <w:rFonts w:ascii="Times New Roman" w:hAnsi="Times New Roman" w:cs="Times New Roman"/>
          <w:sz w:val="24"/>
          <w:szCs w:val="24"/>
        </w:rPr>
        <w:t>We present results based on holding the top 5 winning markets (</w:t>
      </w:r>
      <w:r w:rsidR="00114AC5" w:rsidRPr="00320A82">
        <w:rPr>
          <w:rFonts w:ascii="Times New Roman" w:hAnsi="Times New Roman" w:cs="Times New Roman"/>
          <w:sz w:val="24"/>
          <w:szCs w:val="24"/>
        </w:rPr>
        <w:t>equally-weighted</w:t>
      </w:r>
      <w:r w:rsidR="00DE2308" w:rsidRPr="00320A82">
        <w:rPr>
          <w:rFonts w:ascii="Times New Roman" w:hAnsi="Times New Roman" w:cs="Times New Roman"/>
          <w:sz w:val="24"/>
          <w:szCs w:val="24"/>
        </w:rPr>
        <w:t xml:space="preserve">), as well as the top 10, 15, 20, 25, 30, 40, and 50 markets </w:t>
      </w:r>
      <w:r w:rsidR="00067D02" w:rsidRPr="00320A82">
        <w:rPr>
          <w:rFonts w:ascii="Times New Roman" w:hAnsi="Times New Roman" w:cs="Times New Roman"/>
          <w:sz w:val="24"/>
          <w:szCs w:val="24"/>
        </w:rPr>
        <w:t>(f</w:t>
      </w:r>
      <w:r w:rsidR="005B4301" w:rsidRPr="00320A82">
        <w:rPr>
          <w:rFonts w:ascii="Times New Roman" w:hAnsi="Times New Roman" w:cs="Times New Roman"/>
          <w:sz w:val="24"/>
          <w:szCs w:val="24"/>
        </w:rPr>
        <w:t>or a portfolio with a relatively small number of positions (13 or less), this means that it could be comprised entirely of one asset class</w:t>
      </w:r>
      <w:r w:rsidR="00067D02" w:rsidRPr="00320A82">
        <w:rPr>
          <w:rFonts w:ascii="Times New Roman" w:hAnsi="Times New Roman" w:cs="Times New Roman"/>
          <w:sz w:val="24"/>
          <w:szCs w:val="24"/>
        </w:rPr>
        <w:t>)</w:t>
      </w:r>
      <w:r w:rsidR="005B4301" w:rsidRPr="00320A82">
        <w:rPr>
          <w:rFonts w:ascii="Times New Roman" w:hAnsi="Times New Roman" w:cs="Times New Roman"/>
          <w:sz w:val="24"/>
          <w:szCs w:val="24"/>
        </w:rPr>
        <w:t>.</w:t>
      </w:r>
    </w:p>
    <w:p w:rsidR="001212DF" w:rsidRPr="00320A82" w:rsidRDefault="001212DF" w:rsidP="001212DF">
      <w:pPr>
        <w:spacing w:after="0" w:line="360" w:lineRule="auto"/>
        <w:jc w:val="both"/>
        <w:rPr>
          <w:rFonts w:ascii="Times New Roman" w:hAnsi="Times New Roman" w:cs="Times New Roman"/>
          <w:sz w:val="24"/>
          <w:szCs w:val="24"/>
        </w:rPr>
      </w:pPr>
    </w:p>
    <w:p w:rsidR="00D529A1" w:rsidRDefault="00067D02"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The benefit of this flexible</w:t>
      </w:r>
      <w:r w:rsidR="008824F0" w:rsidRPr="00320A82">
        <w:rPr>
          <w:rFonts w:ascii="Times New Roman" w:hAnsi="Times New Roman" w:cs="Times New Roman"/>
          <w:sz w:val="24"/>
          <w:szCs w:val="24"/>
        </w:rPr>
        <w:t xml:space="preserve"> approach </w:t>
      </w:r>
      <w:r w:rsidRPr="00320A82">
        <w:rPr>
          <w:rFonts w:ascii="Times New Roman" w:hAnsi="Times New Roman" w:cs="Times New Roman"/>
          <w:sz w:val="24"/>
          <w:szCs w:val="24"/>
        </w:rPr>
        <w:t xml:space="preserve">to asset allocation is that it </w:t>
      </w:r>
      <w:r w:rsidR="008824F0" w:rsidRPr="00320A82">
        <w:rPr>
          <w:rFonts w:ascii="Times New Roman" w:hAnsi="Times New Roman" w:cs="Times New Roman"/>
          <w:sz w:val="24"/>
          <w:szCs w:val="24"/>
        </w:rPr>
        <w:t>removes any prejudices from the</w:t>
      </w:r>
      <w:r w:rsidR="001212DF" w:rsidRPr="00320A82">
        <w:rPr>
          <w:rFonts w:ascii="Times New Roman" w:hAnsi="Times New Roman" w:cs="Times New Roman"/>
          <w:sz w:val="24"/>
          <w:szCs w:val="24"/>
        </w:rPr>
        <w:t xml:space="preserve"> </w:t>
      </w:r>
      <w:r w:rsidRPr="00320A82">
        <w:rPr>
          <w:rFonts w:ascii="Times New Roman" w:hAnsi="Times New Roman" w:cs="Times New Roman"/>
          <w:sz w:val="24"/>
          <w:szCs w:val="24"/>
        </w:rPr>
        <w:t>portfolio composition</w:t>
      </w:r>
      <w:r w:rsidR="008824F0" w:rsidRPr="00320A82">
        <w:rPr>
          <w:rFonts w:ascii="Times New Roman" w:hAnsi="Times New Roman" w:cs="Times New Roman"/>
          <w:sz w:val="24"/>
          <w:szCs w:val="24"/>
        </w:rPr>
        <w:t xml:space="preserve">. </w:t>
      </w:r>
      <w:r w:rsidR="00DE2308" w:rsidRPr="00320A82">
        <w:rPr>
          <w:rFonts w:ascii="Times New Roman" w:hAnsi="Times New Roman" w:cs="Times New Roman"/>
          <w:sz w:val="24"/>
          <w:szCs w:val="24"/>
        </w:rPr>
        <w:t xml:space="preserve"> </w:t>
      </w:r>
      <w:r w:rsidR="008824F0" w:rsidRPr="00320A82">
        <w:rPr>
          <w:rFonts w:ascii="Times New Roman" w:hAnsi="Times New Roman" w:cs="Times New Roman"/>
          <w:sz w:val="24"/>
          <w:szCs w:val="24"/>
        </w:rPr>
        <w:t xml:space="preserve">For instance, if one thinks that commodities are a poor investment because the roll yields have been negative for periods of time in recent years then this should show up in the momentum rankings and the allocation to them will be reduced as a result. </w:t>
      </w:r>
      <w:r w:rsidR="00DE2308" w:rsidRPr="00320A82">
        <w:rPr>
          <w:rFonts w:ascii="Times New Roman" w:hAnsi="Times New Roman" w:cs="Times New Roman"/>
          <w:sz w:val="24"/>
          <w:szCs w:val="24"/>
        </w:rPr>
        <w:t xml:space="preserve"> </w:t>
      </w:r>
      <w:r w:rsidR="008824F0" w:rsidRPr="00320A82">
        <w:rPr>
          <w:rFonts w:ascii="Times New Roman" w:hAnsi="Times New Roman" w:cs="Times New Roman"/>
          <w:sz w:val="24"/>
          <w:szCs w:val="24"/>
        </w:rPr>
        <w:t xml:space="preserve">One is not required to make a judgement </w:t>
      </w:r>
      <w:r w:rsidR="00DE2308" w:rsidRPr="00320A82">
        <w:rPr>
          <w:rFonts w:ascii="Times New Roman" w:hAnsi="Times New Roman" w:cs="Times New Roman"/>
          <w:sz w:val="24"/>
          <w:szCs w:val="24"/>
        </w:rPr>
        <w:t xml:space="preserve">about </w:t>
      </w:r>
      <w:r w:rsidR="008824F0" w:rsidRPr="00320A82">
        <w:rPr>
          <w:rFonts w:ascii="Times New Roman" w:hAnsi="Times New Roman" w:cs="Times New Roman"/>
          <w:sz w:val="24"/>
          <w:szCs w:val="24"/>
        </w:rPr>
        <w:t>whether government bond yields are too low to represent any kind of long-term value</w:t>
      </w:r>
      <w:r w:rsidR="00DE2308" w:rsidRPr="00320A82">
        <w:rPr>
          <w:rFonts w:ascii="Times New Roman" w:hAnsi="Times New Roman" w:cs="Times New Roman"/>
          <w:sz w:val="24"/>
          <w:szCs w:val="24"/>
        </w:rPr>
        <w:t>,</w:t>
      </w:r>
      <w:r w:rsidR="008824F0" w:rsidRPr="00320A82">
        <w:rPr>
          <w:rFonts w:ascii="Times New Roman" w:hAnsi="Times New Roman" w:cs="Times New Roman"/>
          <w:sz w:val="24"/>
          <w:szCs w:val="24"/>
        </w:rPr>
        <w:t xml:space="preserve"> or if they represent an excellent investment because we are on the brink of a deflationary collapse</w:t>
      </w:r>
      <w:r w:rsidR="00DE2308" w:rsidRPr="00320A82">
        <w:rPr>
          <w:rFonts w:ascii="Times New Roman" w:hAnsi="Times New Roman" w:cs="Times New Roman"/>
          <w:sz w:val="24"/>
          <w:szCs w:val="24"/>
        </w:rPr>
        <w:t>, etc</w:t>
      </w:r>
      <w:r w:rsidR="008824F0" w:rsidRPr="00320A82">
        <w:rPr>
          <w:rFonts w:ascii="Times New Roman" w:hAnsi="Times New Roman" w:cs="Times New Roman"/>
          <w:sz w:val="24"/>
          <w:szCs w:val="24"/>
        </w:rPr>
        <w:t>.</w:t>
      </w:r>
    </w:p>
    <w:p w:rsidR="00EE7FAC" w:rsidRPr="00320A82" w:rsidRDefault="00EE7FAC" w:rsidP="001212DF">
      <w:pPr>
        <w:spacing w:after="0" w:line="360" w:lineRule="auto"/>
        <w:jc w:val="both"/>
        <w:rPr>
          <w:rFonts w:ascii="Times New Roman" w:hAnsi="Times New Roman" w:cs="Times New Roman"/>
          <w:sz w:val="24"/>
          <w:szCs w:val="24"/>
        </w:rPr>
      </w:pPr>
    </w:p>
    <w:p w:rsidR="005B4301" w:rsidRPr="00320A82" w:rsidRDefault="002A069D"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Table 9 displays the results of </w:t>
      </w:r>
      <w:r w:rsidR="00DE2308" w:rsidRPr="00320A82">
        <w:rPr>
          <w:rFonts w:ascii="Times New Roman" w:hAnsi="Times New Roman" w:cs="Times New Roman"/>
          <w:sz w:val="24"/>
          <w:szCs w:val="24"/>
        </w:rPr>
        <w:t xml:space="preserve">this </w:t>
      </w:r>
      <w:r w:rsidRPr="00320A82">
        <w:rPr>
          <w:rFonts w:ascii="Times New Roman" w:hAnsi="Times New Roman" w:cs="Times New Roman"/>
          <w:sz w:val="24"/>
          <w:szCs w:val="24"/>
        </w:rPr>
        <w:t xml:space="preserve">flexible </w:t>
      </w:r>
      <w:r w:rsidR="00DE2308" w:rsidRPr="00320A82">
        <w:rPr>
          <w:rFonts w:ascii="Times New Roman" w:hAnsi="Times New Roman" w:cs="Times New Roman"/>
          <w:sz w:val="24"/>
          <w:szCs w:val="24"/>
        </w:rPr>
        <w:t xml:space="preserve">volatility-adjusted, </w:t>
      </w:r>
      <w:r w:rsidRPr="00320A82">
        <w:rPr>
          <w:rFonts w:ascii="Times New Roman" w:hAnsi="Times New Roman" w:cs="Times New Roman"/>
          <w:sz w:val="24"/>
          <w:szCs w:val="24"/>
        </w:rPr>
        <w:t xml:space="preserve">momentum strategy. </w:t>
      </w:r>
      <w:r w:rsidR="00DE2308"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Firstly we </w:t>
      </w:r>
      <w:r w:rsidR="00DE2308" w:rsidRPr="00320A82">
        <w:rPr>
          <w:rFonts w:ascii="Times New Roman" w:hAnsi="Times New Roman" w:cs="Times New Roman"/>
          <w:sz w:val="24"/>
          <w:szCs w:val="24"/>
        </w:rPr>
        <w:t xml:space="preserve">can see that </w:t>
      </w:r>
      <w:r w:rsidRPr="00320A82">
        <w:rPr>
          <w:rFonts w:ascii="Times New Roman" w:hAnsi="Times New Roman" w:cs="Times New Roman"/>
          <w:sz w:val="24"/>
          <w:szCs w:val="24"/>
        </w:rPr>
        <w:t xml:space="preserve">the </w:t>
      </w:r>
      <w:r w:rsidR="00DE2308" w:rsidRPr="00320A82">
        <w:rPr>
          <w:rFonts w:ascii="Times New Roman" w:hAnsi="Times New Roman" w:cs="Times New Roman"/>
          <w:sz w:val="24"/>
          <w:szCs w:val="24"/>
        </w:rPr>
        <w:t xml:space="preserve">average </w:t>
      </w:r>
      <w:r w:rsidRPr="00320A82">
        <w:rPr>
          <w:rFonts w:ascii="Times New Roman" w:hAnsi="Times New Roman" w:cs="Times New Roman"/>
          <w:sz w:val="24"/>
          <w:szCs w:val="24"/>
        </w:rPr>
        <w:t xml:space="preserve">return for any </w:t>
      </w:r>
      <w:r w:rsidR="00DE2308" w:rsidRPr="00320A82">
        <w:rPr>
          <w:rFonts w:ascii="Times New Roman" w:hAnsi="Times New Roman" w:cs="Times New Roman"/>
          <w:sz w:val="24"/>
          <w:szCs w:val="24"/>
        </w:rPr>
        <w:t xml:space="preserve">portfolio comprising </w:t>
      </w:r>
      <w:r w:rsidRPr="00320A82">
        <w:rPr>
          <w:rFonts w:ascii="Times New Roman" w:hAnsi="Times New Roman" w:cs="Times New Roman"/>
          <w:sz w:val="24"/>
          <w:szCs w:val="24"/>
        </w:rPr>
        <w:t xml:space="preserve">30 </w:t>
      </w:r>
      <w:r w:rsidR="0091491B" w:rsidRPr="00320A82">
        <w:rPr>
          <w:rFonts w:ascii="Times New Roman" w:hAnsi="Times New Roman" w:cs="Times New Roman"/>
          <w:sz w:val="24"/>
          <w:szCs w:val="24"/>
        </w:rPr>
        <w:t>positions</w:t>
      </w:r>
      <w:r w:rsidR="00DE2308" w:rsidRPr="00320A82">
        <w:rPr>
          <w:rFonts w:ascii="Times New Roman" w:hAnsi="Times New Roman" w:cs="Times New Roman"/>
          <w:sz w:val="24"/>
          <w:szCs w:val="24"/>
        </w:rPr>
        <w:t xml:space="preserve"> or fewer </w:t>
      </w:r>
      <w:r w:rsidR="0091491B" w:rsidRPr="00320A82">
        <w:rPr>
          <w:rFonts w:ascii="Times New Roman" w:hAnsi="Times New Roman" w:cs="Times New Roman"/>
          <w:sz w:val="24"/>
          <w:szCs w:val="24"/>
        </w:rPr>
        <w:t xml:space="preserve">is </w:t>
      </w:r>
      <w:r w:rsidR="0082572B">
        <w:rPr>
          <w:rFonts w:ascii="Times New Roman" w:hAnsi="Times New Roman" w:cs="Times New Roman"/>
          <w:sz w:val="24"/>
          <w:szCs w:val="24"/>
        </w:rPr>
        <w:t>around 13.5</w:t>
      </w:r>
      <w:r w:rsidRPr="00320A82">
        <w:rPr>
          <w:rFonts w:ascii="Times New Roman" w:hAnsi="Times New Roman" w:cs="Times New Roman"/>
          <w:sz w:val="24"/>
          <w:szCs w:val="24"/>
        </w:rPr>
        <w:t xml:space="preserve">% per annum. </w:t>
      </w:r>
      <w:r w:rsidR="0091491B"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This compares with </w:t>
      </w:r>
      <w:r w:rsidR="0091491B" w:rsidRPr="00320A82">
        <w:rPr>
          <w:rFonts w:ascii="Times New Roman" w:hAnsi="Times New Roman" w:cs="Times New Roman"/>
          <w:sz w:val="24"/>
          <w:szCs w:val="24"/>
        </w:rPr>
        <w:t>an average return of 8.</w:t>
      </w:r>
      <w:r w:rsidR="0082572B">
        <w:rPr>
          <w:rFonts w:ascii="Times New Roman" w:hAnsi="Times New Roman" w:cs="Times New Roman"/>
          <w:sz w:val="24"/>
          <w:szCs w:val="24"/>
        </w:rPr>
        <w:t>02</w:t>
      </w:r>
      <w:r w:rsidR="0091491B" w:rsidRPr="00320A82">
        <w:rPr>
          <w:rFonts w:ascii="Times New Roman" w:hAnsi="Times New Roman" w:cs="Times New Roman"/>
          <w:sz w:val="24"/>
          <w:szCs w:val="24"/>
        </w:rPr>
        <w:t xml:space="preserve">% for the equally weighted </w:t>
      </w:r>
      <w:r w:rsidR="000465E5" w:rsidRPr="00320A82">
        <w:rPr>
          <w:rFonts w:ascii="Times New Roman" w:hAnsi="Times New Roman" w:cs="Times New Roman"/>
          <w:sz w:val="24"/>
          <w:szCs w:val="24"/>
        </w:rPr>
        <w:t xml:space="preserve">portfolio of all </w:t>
      </w:r>
      <w:r w:rsidR="0091491B" w:rsidRPr="00320A82">
        <w:rPr>
          <w:rFonts w:ascii="Times New Roman" w:hAnsi="Times New Roman" w:cs="Times New Roman"/>
          <w:sz w:val="24"/>
          <w:szCs w:val="24"/>
        </w:rPr>
        <w:t xml:space="preserve">markets shown in </w:t>
      </w:r>
      <w:r w:rsidR="000465E5" w:rsidRPr="00320A82">
        <w:rPr>
          <w:rFonts w:ascii="Times New Roman" w:hAnsi="Times New Roman" w:cs="Times New Roman"/>
          <w:sz w:val="24"/>
          <w:szCs w:val="24"/>
        </w:rPr>
        <w:t>the far-right column</w:t>
      </w:r>
      <w:r w:rsidR="0091491B" w:rsidRPr="00320A82">
        <w:rPr>
          <w:rFonts w:ascii="Times New Roman" w:hAnsi="Times New Roman" w:cs="Times New Roman"/>
          <w:sz w:val="24"/>
          <w:szCs w:val="24"/>
        </w:rPr>
        <w:t xml:space="preserve"> of the same table</w:t>
      </w:r>
      <w:r w:rsidR="000465E5" w:rsidRPr="00320A82">
        <w:rPr>
          <w:rFonts w:ascii="Times New Roman" w:hAnsi="Times New Roman" w:cs="Times New Roman"/>
          <w:sz w:val="24"/>
          <w:szCs w:val="24"/>
        </w:rPr>
        <w:t xml:space="preserve">. </w:t>
      </w:r>
      <w:r w:rsidR="0091491B" w:rsidRPr="00320A82">
        <w:rPr>
          <w:rFonts w:ascii="Times New Roman" w:hAnsi="Times New Roman" w:cs="Times New Roman"/>
          <w:sz w:val="24"/>
          <w:szCs w:val="24"/>
        </w:rPr>
        <w:t xml:space="preserve"> </w:t>
      </w:r>
      <w:r w:rsidR="000465E5" w:rsidRPr="00320A82">
        <w:rPr>
          <w:rFonts w:ascii="Times New Roman" w:hAnsi="Times New Roman" w:cs="Times New Roman"/>
          <w:sz w:val="24"/>
          <w:szCs w:val="24"/>
        </w:rPr>
        <w:t>In the range of 20-50 positions we find that the volatility of the flexible momentum portfolio is actually l</w:t>
      </w:r>
      <w:r w:rsidR="00465260" w:rsidRPr="00320A82">
        <w:rPr>
          <w:rFonts w:ascii="Times New Roman" w:hAnsi="Times New Roman" w:cs="Times New Roman"/>
          <w:sz w:val="24"/>
          <w:szCs w:val="24"/>
        </w:rPr>
        <w:t xml:space="preserve">ower than for the equally-weighted portfolio of all markets, producing </w:t>
      </w:r>
      <w:r w:rsidR="00724040" w:rsidRPr="00320A82">
        <w:rPr>
          <w:rFonts w:ascii="Times New Roman" w:hAnsi="Times New Roman" w:cs="Times New Roman"/>
          <w:sz w:val="24"/>
          <w:szCs w:val="24"/>
        </w:rPr>
        <w:t xml:space="preserve">Sharpe ratios </w:t>
      </w:r>
      <w:r w:rsidR="00465260" w:rsidRPr="00320A82">
        <w:rPr>
          <w:rFonts w:ascii="Times New Roman" w:hAnsi="Times New Roman" w:cs="Times New Roman"/>
          <w:sz w:val="24"/>
          <w:szCs w:val="24"/>
        </w:rPr>
        <w:t xml:space="preserve">ranging from </w:t>
      </w:r>
      <w:r w:rsidR="0082572B">
        <w:rPr>
          <w:rFonts w:ascii="Times New Roman" w:hAnsi="Times New Roman" w:cs="Times New Roman"/>
          <w:sz w:val="24"/>
          <w:szCs w:val="24"/>
        </w:rPr>
        <w:t>0.67</w:t>
      </w:r>
      <w:r w:rsidR="00724040" w:rsidRPr="00320A82">
        <w:rPr>
          <w:rFonts w:ascii="Times New Roman" w:hAnsi="Times New Roman" w:cs="Times New Roman"/>
          <w:sz w:val="24"/>
          <w:szCs w:val="24"/>
        </w:rPr>
        <w:t xml:space="preserve"> </w:t>
      </w:r>
      <w:r w:rsidR="00465260" w:rsidRPr="00320A82">
        <w:rPr>
          <w:rFonts w:ascii="Times New Roman" w:hAnsi="Times New Roman" w:cs="Times New Roman"/>
          <w:sz w:val="24"/>
          <w:szCs w:val="24"/>
        </w:rPr>
        <w:t xml:space="preserve">to </w:t>
      </w:r>
      <w:r w:rsidR="0082572B">
        <w:rPr>
          <w:rFonts w:ascii="Times New Roman" w:hAnsi="Times New Roman" w:cs="Times New Roman"/>
          <w:sz w:val="24"/>
          <w:szCs w:val="24"/>
        </w:rPr>
        <w:t>0.85</w:t>
      </w:r>
      <w:r w:rsidR="000465E5" w:rsidRPr="00320A82">
        <w:rPr>
          <w:rFonts w:ascii="Times New Roman" w:hAnsi="Times New Roman" w:cs="Times New Roman"/>
          <w:sz w:val="24"/>
          <w:szCs w:val="24"/>
        </w:rPr>
        <w:t>.</w:t>
      </w:r>
      <w:r w:rsidR="007E1502" w:rsidRPr="00320A82">
        <w:rPr>
          <w:rFonts w:ascii="Times New Roman" w:hAnsi="Times New Roman" w:cs="Times New Roman"/>
          <w:sz w:val="24"/>
          <w:szCs w:val="24"/>
        </w:rPr>
        <w:t xml:space="preserve"> </w:t>
      </w:r>
      <w:r w:rsidR="0091491B" w:rsidRPr="00320A82">
        <w:rPr>
          <w:rFonts w:ascii="Times New Roman" w:hAnsi="Times New Roman" w:cs="Times New Roman"/>
          <w:sz w:val="24"/>
          <w:szCs w:val="24"/>
        </w:rPr>
        <w:t xml:space="preserve"> </w:t>
      </w:r>
      <w:r w:rsidR="007E1502" w:rsidRPr="00320A82">
        <w:rPr>
          <w:rFonts w:ascii="Times New Roman" w:hAnsi="Times New Roman" w:cs="Times New Roman"/>
          <w:sz w:val="24"/>
          <w:szCs w:val="24"/>
        </w:rPr>
        <w:t>The optimum number of positions on a risk-adjusted basis appears to be between 15 and 30</w:t>
      </w:r>
      <w:r w:rsidR="00483D9E" w:rsidRPr="00320A82">
        <w:rPr>
          <w:rFonts w:ascii="Times New Roman" w:hAnsi="Times New Roman" w:cs="Times New Roman"/>
          <w:sz w:val="24"/>
          <w:szCs w:val="24"/>
        </w:rPr>
        <w:t xml:space="preserve">, </w:t>
      </w:r>
      <w:r w:rsidR="00465260" w:rsidRPr="00320A82">
        <w:rPr>
          <w:rFonts w:ascii="Times New Roman" w:hAnsi="Times New Roman" w:cs="Times New Roman"/>
          <w:sz w:val="24"/>
          <w:szCs w:val="24"/>
        </w:rPr>
        <w:t xml:space="preserve">although </w:t>
      </w:r>
      <w:r w:rsidR="00483D9E" w:rsidRPr="00320A82">
        <w:rPr>
          <w:rFonts w:ascii="Times New Roman" w:hAnsi="Times New Roman" w:cs="Times New Roman"/>
          <w:sz w:val="24"/>
          <w:szCs w:val="24"/>
        </w:rPr>
        <w:t xml:space="preserve">these portfolios suffered maximum drawdowns of 29.0% </w:t>
      </w:r>
      <w:r w:rsidR="00465260" w:rsidRPr="00320A82">
        <w:rPr>
          <w:rFonts w:ascii="Times New Roman" w:hAnsi="Times New Roman" w:cs="Times New Roman"/>
          <w:sz w:val="24"/>
          <w:szCs w:val="24"/>
        </w:rPr>
        <w:t xml:space="preserve">to </w:t>
      </w:r>
      <w:r w:rsidR="00483D9E" w:rsidRPr="00320A82">
        <w:rPr>
          <w:rFonts w:ascii="Times New Roman" w:hAnsi="Times New Roman" w:cs="Times New Roman"/>
          <w:sz w:val="24"/>
          <w:szCs w:val="24"/>
        </w:rPr>
        <w:t>33.5% which a</w:t>
      </w:r>
      <w:r w:rsidR="00482DCA" w:rsidRPr="00320A82">
        <w:rPr>
          <w:rFonts w:ascii="Times New Roman" w:hAnsi="Times New Roman" w:cs="Times New Roman"/>
          <w:sz w:val="24"/>
          <w:szCs w:val="24"/>
        </w:rPr>
        <w:t xml:space="preserve">gain is less than the </w:t>
      </w:r>
      <w:r w:rsidR="00465260" w:rsidRPr="00320A82">
        <w:rPr>
          <w:rFonts w:ascii="Times New Roman" w:hAnsi="Times New Roman" w:cs="Times New Roman"/>
          <w:sz w:val="24"/>
          <w:szCs w:val="24"/>
        </w:rPr>
        <w:t xml:space="preserve">equally-weighted </w:t>
      </w:r>
      <w:r w:rsidR="00482DCA" w:rsidRPr="00320A82">
        <w:rPr>
          <w:rFonts w:ascii="Times New Roman" w:hAnsi="Times New Roman" w:cs="Times New Roman"/>
          <w:sz w:val="24"/>
          <w:szCs w:val="24"/>
        </w:rPr>
        <w:t>case although perhaps too high for conservative investors.</w:t>
      </w:r>
    </w:p>
    <w:p w:rsidR="001212DF" w:rsidRPr="00320A82" w:rsidRDefault="001212DF" w:rsidP="001212DF">
      <w:pPr>
        <w:spacing w:after="0" w:line="360" w:lineRule="auto"/>
        <w:jc w:val="both"/>
        <w:rPr>
          <w:rFonts w:ascii="Times New Roman" w:hAnsi="Times New Roman" w:cs="Times New Roman"/>
          <w:sz w:val="24"/>
          <w:szCs w:val="24"/>
        </w:rPr>
      </w:pPr>
    </w:p>
    <w:p w:rsidR="00A70A54" w:rsidRPr="00320A82" w:rsidRDefault="00E85C4F"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Previously in this paper we have seen how the addition of trend following to momentum portfolios has improved their performance. Table 10 reports the performance of a flexible momentum approach with individual trend following</w:t>
      </w:r>
      <w:r w:rsidR="00B561B0" w:rsidRPr="00320A82">
        <w:rPr>
          <w:rFonts w:ascii="Times New Roman" w:hAnsi="Times New Roman" w:cs="Times New Roman"/>
          <w:sz w:val="24"/>
          <w:szCs w:val="24"/>
        </w:rPr>
        <w:t xml:space="preserve"> (10-month signal)</w:t>
      </w:r>
      <w:r w:rsidRPr="00320A82">
        <w:rPr>
          <w:rFonts w:ascii="Times New Roman" w:hAnsi="Times New Roman" w:cs="Times New Roman"/>
          <w:sz w:val="24"/>
          <w:szCs w:val="24"/>
        </w:rPr>
        <w:t xml:space="preserve"> applied to each instrument.</w:t>
      </w:r>
      <w:r w:rsidR="001D5922" w:rsidRPr="00320A82">
        <w:rPr>
          <w:rFonts w:ascii="Times New Roman" w:hAnsi="Times New Roman" w:cs="Times New Roman"/>
          <w:sz w:val="24"/>
          <w:szCs w:val="24"/>
        </w:rPr>
        <w:t xml:space="preserve"> Firstly, we note that returns are slightly higher by around 1% per annum compared to the non-trend following results in Table 9. </w:t>
      </w:r>
      <w:r w:rsidR="00465260" w:rsidRPr="00320A82">
        <w:rPr>
          <w:rFonts w:ascii="Times New Roman" w:hAnsi="Times New Roman" w:cs="Times New Roman"/>
          <w:sz w:val="24"/>
          <w:szCs w:val="24"/>
        </w:rPr>
        <w:t xml:space="preserve"> </w:t>
      </w:r>
      <w:r w:rsidR="001D5922" w:rsidRPr="00320A82">
        <w:rPr>
          <w:rFonts w:ascii="Times New Roman" w:hAnsi="Times New Roman" w:cs="Times New Roman"/>
          <w:sz w:val="24"/>
          <w:szCs w:val="24"/>
        </w:rPr>
        <w:t xml:space="preserve">The </w:t>
      </w:r>
      <w:r w:rsidR="00465260" w:rsidRPr="00320A82">
        <w:rPr>
          <w:rFonts w:ascii="Times New Roman" w:hAnsi="Times New Roman" w:cs="Times New Roman"/>
          <w:sz w:val="24"/>
          <w:szCs w:val="24"/>
        </w:rPr>
        <w:t xml:space="preserve">table shows that the equally-weighted </w:t>
      </w:r>
      <w:r w:rsidR="001D5922" w:rsidRPr="00320A82">
        <w:rPr>
          <w:rFonts w:ascii="Times New Roman" w:hAnsi="Times New Roman" w:cs="Times New Roman"/>
          <w:sz w:val="24"/>
          <w:szCs w:val="24"/>
        </w:rPr>
        <w:t xml:space="preserve"> portfolio return approximately 10% per year </w:t>
      </w:r>
      <w:r w:rsidR="00465260" w:rsidRPr="00320A82">
        <w:rPr>
          <w:rFonts w:ascii="Times New Roman" w:hAnsi="Times New Roman" w:cs="Times New Roman"/>
          <w:sz w:val="24"/>
          <w:szCs w:val="24"/>
        </w:rPr>
        <w:t xml:space="preserve">while </w:t>
      </w:r>
      <w:r w:rsidR="001D5922" w:rsidRPr="00320A82">
        <w:rPr>
          <w:rFonts w:ascii="Times New Roman" w:hAnsi="Times New Roman" w:cs="Times New Roman"/>
          <w:sz w:val="24"/>
          <w:szCs w:val="24"/>
        </w:rPr>
        <w:t>momentum portfolios with 15 to</w:t>
      </w:r>
      <w:r w:rsidR="0082572B">
        <w:rPr>
          <w:rFonts w:ascii="Times New Roman" w:hAnsi="Times New Roman" w:cs="Times New Roman"/>
          <w:sz w:val="24"/>
          <w:szCs w:val="24"/>
        </w:rPr>
        <w:t xml:space="preserve"> 30 positions return around 13.4 - 14.5% </w:t>
      </w:r>
      <w:r w:rsidR="001D5922" w:rsidRPr="00320A82">
        <w:rPr>
          <w:rFonts w:ascii="Times New Roman" w:hAnsi="Times New Roman" w:cs="Times New Roman"/>
          <w:sz w:val="24"/>
          <w:szCs w:val="24"/>
        </w:rPr>
        <w:t>pa.</w:t>
      </w:r>
      <w:r w:rsidR="00B21EB8" w:rsidRPr="00320A82">
        <w:rPr>
          <w:rFonts w:ascii="Times New Roman" w:hAnsi="Times New Roman" w:cs="Times New Roman"/>
          <w:sz w:val="24"/>
          <w:szCs w:val="24"/>
        </w:rPr>
        <w:t xml:space="preserve"> </w:t>
      </w:r>
      <w:r w:rsidR="00465260" w:rsidRPr="00320A82">
        <w:rPr>
          <w:rFonts w:ascii="Times New Roman" w:hAnsi="Times New Roman" w:cs="Times New Roman"/>
          <w:sz w:val="24"/>
          <w:szCs w:val="24"/>
        </w:rPr>
        <w:t xml:space="preserve"> </w:t>
      </w:r>
      <w:r w:rsidR="00B21EB8" w:rsidRPr="00320A82">
        <w:rPr>
          <w:rFonts w:ascii="Times New Roman" w:hAnsi="Times New Roman" w:cs="Times New Roman"/>
          <w:sz w:val="24"/>
          <w:szCs w:val="24"/>
        </w:rPr>
        <w:t xml:space="preserve">Interestingly, we find that risk-adjusted performance improves with the number of positions up to </w:t>
      </w:r>
      <w:r w:rsidR="0082572B">
        <w:rPr>
          <w:rFonts w:ascii="Times New Roman" w:hAnsi="Times New Roman" w:cs="Times New Roman"/>
          <w:sz w:val="24"/>
          <w:szCs w:val="24"/>
        </w:rPr>
        <w:t>20</w:t>
      </w:r>
      <w:r w:rsidR="00B21EB8" w:rsidRPr="00320A82">
        <w:rPr>
          <w:rFonts w:ascii="Times New Roman" w:hAnsi="Times New Roman" w:cs="Times New Roman"/>
          <w:sz w:val="24"/>
          <w:szCs w:val="24"/>
        </w:rPr>
        <w:t xml:space="preserve"> and then levels out at a Sharpe ratio of slightly less than 1.0.</w:t>
      </w:r>
      <w:r w:rsidR="009C2EB1" w:rsidRPr="00320A82">
        <w:rPr>
          <w:rFonts w:ascii="Times New Roman" w:hAnsi="Times New Roman" w:cs="Times New Roman"/>
          <w:sz w:val="24"/>
          <w:szCs w:val="24"/>
        </w:rPr>
        <w:t xml:space="preserve"> This level of Sharpe ratio is </w:t>
      </w:r>
      <w:r w:rsidR="00D572B1" w:rsidRPr="00320A82">
        <w:rPr>
          <w:rFonts w:ascii="Times New Roman" w:hAnsi="Times New Roman" w:cs="Times New Roman"/>
          <w:sz w:val="24"/>
          <w:szCs w:val="24"/>
        </w:rPr>
        <w:t xml:space="preserve">very similar to </w:t>
      </w:r>
      <w:r w:rsidR="0082572B">
        <w:rPr>
          <w:rFonts w:ascii="Times New Roman" w:hAnsi="Times New Roman" w:cs="Times New Roman"/>
          <w:sz w:val="24"/>
          <w:szCs w:val="24"/>
        </w:rPr>
        <w:t xml:space="preserve">that </w:t>
      </w:r>
      <w:r w:rsidR="00465260" w:rsidRPr="00320A82">
        <w:rPr>
          <w:rFonts w:ascii="Times New Roman" w:hAnsi="Times New Roman" w:cs="Times New Roman"/>
          <w:sz w:val="24"/>
          <w:szCs w:val="24"/>
        </w:rPr>
        <w:t xml:space="preserve">produced by </w:t>
      </w:r>
      <w:r w:rsidR="00D572B1" w:rsidRPr="00320A82">
        <w:rPr>
          <w:rFonts w:ascii="Times New Roman" w:hAnsi="Times New Roman" w:cs="Times New Roman"/>
          <w:sz w:val="24"/>
          <w:szCs w:val="24"/>
        </w:rPr>
        <w:t>the equal</w:t>
      </w:r>
      <w:r w:rsidR="00465260" w:rsidRPr="00320A82">
        <w:rPr>
          <w:rFonts w:ascii="Times New Roman" w:hAnsi="Times New Roman" w:cs="Times New Roman"/>
          <w:sz w:val="24"/>
          <w:szCs w:val="24"/>
        </w:rPr>
        <w:t>ly</w:t>
      </w:r>
      <w:r w:rsidR="00D572B1" w:rsidRPr="00320A82">
        <w:rPr>
          <w:rFonts w:ascii="Times New Roman" w:hAnsi="Times New Roman" w:cs="Times New Roman"/>
          <w:sz w:val="24"/>
          <w:szCs w:val="24"/>
        </w:rPr>
        <w:t>-weight</w:t>
      </w:r>
      <w:r w:rsidR="00465260" w:rsidRPr="00320A82">
        <w:rPr>
          <w:rFonts w:ascii="Times New Roman" w:hAnsi="Times New Roman" w:cs="Times New Roman"/>
          <w:sz w:val="24"/>
          <w:szCs w:val="24"/>
        </w:rPr>
        <w:t>ed</w:t>
      </w:r>
      <w:r w:rsidR="00D572B1" w:rsidRPr="00320A82">
        <w:rPr>
          <w:rFonts w:ascii="Times New Roman" w:hAnsi="Times New Roman" w:cs="Times New Roman"/>
          <w:sz w:val="24"/>
          <w:szCs w:val="24"/>
        </w:rPr>
        <w:t xml:space="preserve"> trend following </w:t>
      </w:r>
      <w:r w:rsidR="00465260" w:rsidRPr="00320A82">
        <w:rPr>
          <w:rFonts w:ascii="Times New Roman" w:hAnsi="Times New Roman" w:cs="Times New Roman"/>
          <w:sz w:val="24"/>
          <w:szCs w:val="24"/>
        </w:rPr>
        <w:t xml:space="preserve">rules </w:t>
      </w:r>
      <w:r w:rsidR="00D572B1" w:rsidRPr="00320A82">
        <w:rPr>
          <w:rFonts w:ascii="Times New Roman" w:hAnsi="Times New Roman" w:cs="Times New Roman"/>
          <w:sz w:val="24"/>
          <w:szCs w:val="24"/>
        </w:rPr>
        <w:t xml:space="preserve">reported in Tables 3 (without any momentum), 6 and </w:t>
      </w:r>
      <w:r w:rsidR="00D572B1" w:rsidRPr="00320A82">
        <w:rPr>
          <w:rFonts w:ascii="Times New Roman" w:hAnsi="Times New Roman" w:cs="Times New Roman"/>
          <w:sz w:val="24"/>
          <w:szCs w:val="24"/>
        </w:rPr>
        <w:lastRenderedPageBreak/>
        <w:t>8.</w:t>
      </w:r>
      <w:r w:rsidR="00715F06" w:rsidRPr="00320A82">
        <w:rPr>
          <w:rFonts w:ascii="Times New Roman" w:hAnsi="Times New Roman" w:cs="Times New Roman"/>
          <w:sz w:val="24"/>
          <w:szCs w:val="24"/>
        </w:rPr>
        <w:t xml:space="preserve"> </w:t>
      </w:r>
      <w:r w:rsidR="00465260" w:rsidRPr="00320A82">
        <w:rPr>
          <w:rFonts w:ascii="Times New Roman" w:hAnsi="Times New Roman" w:cs="Times New Roman"/>
          <w:sz w:val="24"/>
          <w:szCs w:val="24"/>
        </w:rPr>
        <w:t xml:space="preserve"> </w:t>
      </w:r>
      <w:r w:rsidR="00715F06" w:rsidRPr="00320A82">
        <w:rPr>
          <w:rFonts w:ascii="Times New Roman" w:hAnsi="Times New Roman" w:cs="Times New Roman"/>
          <w:sz w:val="24"/>
          <w:szCs w:val="24"/>
        </w:rPr>
        <w:t>The application of momentum with trend following thus appears to increase the level of return compared to just trend following on its own but comes at the expense of higher volatility.</w:t>
      </w:r>
      <w:r w:rsidR="00D54FEC" w:rsidRPr="00320A82">
        <w:rPr>
          <w:rFonts w:ascii="Times New Roman" w:hAnsi="Times New Roman" w:cs="Times New Roman"/>
          <w:sz w:val="24"/>
          <w:szCs w:val="24"/>
        </w:rPr>
        <w:t xml:space="preserve"> To this extent momentum portfolios with </w:t>
      </w:r>
      <w:r w:rsidR="00465260" w:rsidRPr="00320A82">
        <w:rPr>
          <w:rFonts w:ascii="Times New Roman" w:hAnsi="Times New Roman" w:cs="Times New Roman"/>
          <w:sz w:val="24"/>
          <w:szCs w:val="24"/>
        </w:rPr>
        <w:t xml:space="preserve">the application of </w:t>
      </w:r>
      <w:r w:rsidR="00FF40B2" w:rsidRPr="00320A82">
        <w:rPr>
          <w:rFonts w:ascii="Times New Roman" w:hAnsi="Times New Roman" w:cs="Times New Roman"/>
          <w:sz w:val="24"/>
          <w:szCs w:val="24"/>
        </w:rPr>
        <w:t xml:space="preserve">a </w:t>
      </w:r>
      <w:r w:rsidR="00D54FEC" w:rsidRPr="00320A82">
        <w:rPr>
          <w:rFonts w:ascii="Times New Roman" w:hAnsi="Times New Roman" w:cs="Times New Roman"/>
          <w:sz w:val="24"/>
          <w:szCs w:val="24"/>
        </w:rPr>
        <w:t xml:space="preserve">trend following </w:t>
      </w:r>
      <w:r w:rsidR="00465260" w:rsidRPr="00320A82">
        <w:rPr>
          <w:rFonts w:ascii="Times New Roman" w:hAnsi="Times New Roman" w:cs="Times New Roman"/>
          <w:sz w:val="24"/>
          <w:szCs w:val="24"/>
        </w:rPr>
        <w:t xml:space="preserve">overlay </w:t>
      </w:r>
      <w:r w:rsidR="00FF40B2" w:rsidRPr="00320A82">
        <w:rPr>
          <w:rFonts w:ascii="Times New Roman" w:hAnsi="Times New Roman" w:cs="Times New Roman"/>
          <w:sz w:val="24"/>
          <w:szCs w:val="24"/>
        </w:rPr>
        <w:t>appear to produce a</w:t>
      </w:r>
      <w:r w:rsidR="00D54FEC" w:rsidRPr="00320A82">
        <w:rPr>
          <w:rFonts w:ascii="Times New Roman" w:hAnsi="Times New Roman" w:cs="Times New Roman"/>
          <w:sz w:val="24"/>
          <w:szCs w:val="24"/>
        </w:rPr>
        <w:t xml:space="preserve"> higher beta version of the basic trend following method.</w:t>
      </w:r>
    </w:p>
    <w:p w:rsidR="001212DF" w:rsidRPr="00320A82" w:rsidRDefault="001212DF" w:rsidP="001212DF">
      <w:pPr>
        <w:spacing w:after="0" w:line="360" w:lineRule="auto"/>
        <w:jc w:val="both"/>
        <w:rPr>
          <w:rFonts w:ascii="Times New Roman" w:hAnsi="Times New Roman" w:cs="Times New Roman"/>
          <w:sz w:val="24"/>
          <w:szCs w:val="24"/>
        </w:rPr>
      </w:pPr>
    </w:p>
    <w:p w:rsidR="00A330F3" w:rsidRPr="00320A82" w:rsidRDefault="00A330F3"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Figure 1 shows a comparison between the rolling 3-year annualized returns of the 20 position flexible momentum with trend following portfolio and an equally-weighted portfolio of all 95 </w:t>
      </w:r>
      <w:r w:rsidR="007E6A2C" w:rsidRPr="00320A82">
        <w:rPr>
          <w:rFonts w:ascii="Times New Roman" w:hAnsi="Times New Roman" w:cs="Times New Roman"/>
          <w:sz w:val="24"/>
          <w:szCs w:val="24"/>
        </w:rPr>
        <w:t xml:space="preserve">markets </w:t>
      </w:r>
      <w:r w:rsidRPr="00320A82">
        <w:rPr>
          <w:rFonts w:ascii="Times New Roman" w:hAnsi="Times New Roman" w:cs="Times New Roman"/>
          <w:sz w:val="24"/>
          <w:szCs w:val="24"/>
        </w:rPr>
        <w:t>without any trend following. Firstly we note that the former never has a losing three-year period and, in all but one short period, the annual return is in excess of 5%.</w:t>
      </w:r>
      <w:r w:rsidR="006C7A0B" w:rsidRPr="00320A82">
        <w:rPr>
          <w:rFonts w:ascii="Times New Roman" w:hAnsi="Times New Roman" w:cs="Times New Roman"/>
          <w:sz w:val="24"/>
          <w:szCs w:val="24"/>
        </w:rPr>
        <w:t xml:space="preserve"> In general, the returns of the flexible momentum portfolio are nominally higher during periods when the equal</w:t>
      </w:r>
      <w:r w:rsidR="007E6A2C" w:rsidRPr="00320A82">
        <w:rPr>
          <w:rFonts w:ascii="Times New Roman" w:hAnsi="Times New Roman" w:cs="Times New Roman"/>
          <w:sz w:val="24"/>
          <w:szCs w:val="24"/>
        </w:rPr>
        <w:t>ly</w:t>
      </w:r>
      <w:r w:rsidR="006C7A0B" w:rsidRPr="00320A82">
        <w:rPr>
          <w:rFonts w:ascii="Times New Roman" w:hAnsi="Times New Roman" w:cs="Times New Roman"/>
          <w:sz w:val="24"/>
          <w:szCs w:val="24"/>
        </w:rPr>
        <w:t>-weight</w:t>
      </w:r>
      <w:r w:rsidR="007E6A2C" w:rsidRPr="00320A82">
        <w:rPr>
          <w:rFonts w:ascii="Times New Roman" w:hAnsi="Times New Roman" w:cs="Times New Roman"/>
          <w:sz w:val="24"/>
          <w:szCs w:val="24"/>
        </w:rPr>
        <w:t>ed</w:t>
      </w:r>
      <w:r w:rsidR="006C7A0B" w:rsidRPr="00320A82">
        <w:rPr>
          <w:rFonts w:ascii="Times New Roman" w:hAnsi="Times New Roman" w:cs="Times New Roman"/>
          <w:sz w:val="24"/>
          <w:szCs w:val="24"/>
        </w:rPr>
        <w:t xml:space="preserve"> returns are also high. This is unsurprising since the momentum strategy can only select the best of what is available. If the environment is generally one of low returns then outsized gains are unlikely to be achieved.</w:t>
      </w:r>
      <w:r w:rsidR="0099516D" w:rsidRPr="00320A82">
        <w:rPr>
          <w:rFonts w:ascii="Times New Roman" w:hAnsi="Times New Roman" w:cs="Times New Roman"/>
          <w:sz w:val="24"/>
          <w:szCs w:val="24"/>
        </w:rPr>
        <w:t xml:space="preserve"> </w:t>
      </w:r>
      <w:r w:rsidR="007E6A2C" w:rsidRPr="00320A82">
        <w:rPr>
          <w:rFonts w:ascii="Times New Roman" w:hAnsi="Times New Roman" w:cs="Times New Roman"/>
          <w:sz w:val="24"/>
          <w:szCs w:val="24"/>
        </w:rPr>
        <w:t xml:space="preserve"> </w:t>
      </w:r>
      <w:r w:rsidR="0099516D" w:rsidRPr="00320A82">
        <w:rPr>
          <w:rFonts w:ascii="Times New Roman" w:hAnsi="Times New Roman" w:cs="Times New Roman"/>
          <w:sz w:val="24"/>
          <w:szCs w:val="24"/>
        </w:rPr>
        <w:t xml:space="preserve">We also notice that </w:t>
      </w:r>
      <w:r w:rsidR="007E6A2C" w:rsidRPr="00320A82">
        <w:rPr>
          <w:rFonts w:ascii="Times New Roman" w:hAnsi="Times New Roman" w:cs="Times New Roman"/>
          <w:sz w:val="24"/>
          <w:szCs w:val="24"/>
        </w:rPr>
        <w:t xml:space="preserve">significant </w:t>
      </w:r>
      <w:r w:rsidR="0099516D" w:rsidRPr="00320A82">
        <w:rPr>
          <w:rFonts w:ascii="Times New Roman" w:hAnsi="Times New Roman" w:cs="Times New Roman"/>
          <w:sz w:val="24"/>
          <w:szCs w:val="24"/>
        </w:rPr>
        <w:t>periods of relative outperformance to the flexible strategy occur when the non-trend following portfolio is under stress. For instance there appears to be a sizeable gap in performance between 2000</w:t>
      </w:r>
      <w:r w:rsidR="007E6A2C" w:rsidRPr="00320A82">
        <w:rPr>
          <w:rFonts w:ascii="Times New Roman" w:hAnsi="Times New Roman" w:cs="Times New Roman"/>
          <w:sz w:val="24"/>
          <w:szCs w:val="24"/>
        </w:rPr>
        <w:t xml:space="preserve"> and 20</w:t>
      </w:r>
      <w:r w:rsidR="0099516D" w:rsidRPr="00320A82">
        <w:rPr>
          <w:rFonts w:ascii="Times New Roman" w:hAnsi="Times New Roman" w:cs="Times New Roman"/>
          <w:sz w:val="24"/>
          <w:szCs w:val="24"/>
        </w:rPr>
        <w:t xml:space="preserve">03 and </w:t>
      </w:r>
      <w:r w:rsidR="007E6A2C" w:rsidRPr="00320A82">
        <w:rPr>
          <w:rFonts w:ascii="Times New Roman" w:hAnsi="Times New Roman" w:cs="Times New Roman"/>
          <w:sz w:val="24"/>
          <w:szCs w:val="24"/>
        </w:rPr>
        <w:t xml:space="preserve">between </w:t>
      </w:r>
      <w:r w:rsidR="0099516D" w:rsidRPr="00320A82">
        <w:rPr>
          <w:rFonts w:ascii="Times New Roman" w:hAnsi="Times New Roman" w:cs="Times New Roman"/>
          <w:sz w:val="24"/>
          <w:szCs w:val="24"/>
        </w:rPr>
        <w:t>2009</w:t>
      </w:r>
      <w:r w:rsidR="007E6A2C" w:rsidRPr="00320A82">
        <w:rPr>
          <w:rFonts w:ascii="Times New Roman" w:hAnsi="Times New Roman" w:cs="Times New Roman"/>
          <w:sz w:val="24"/>
          <w:szCs w:val="24"/>
        </w:rPr>
        <w:t xml:space="preserve"> and 20</w:t>
      </w:r>
      <w:r w:rsidR="0099516D" w:rsidRPr="00320A82">
        <w:rPr>
          <w:rFonts w:ascii="Times New Roman" w:hAnsi="Times New Roman" w:cs="Times New Roman"/>
          <w:sz w:val="24"/>
          <w:szCs w:val="24"/>
        </w:rPr>
        <w:t>11.</w:t>
      </w:r>
    </w:p>
    <w:p w:rsidR="001212DF" w:rsidRPr="00320A82" w:rsidRDefault="001212DF" w:rsidP="001212DF">
      <w:pPr>
        <w:spacing w:after="0" w:line="360" w:lineRule="auto"/>
        <w:jc w:val="both"/>
        <w:rPr>
          <w:rFonts w:ascii="Times New Roman" w:hAnsi="Times New Roman" w:cs="Times New Roman"/>
          <w:sz w:val="24"/>
          <w:szCs w:val="24"/>
        </w:rPr>
      </w:pPr>
    </w:p>
    <w:p w:rsidR="00514B93" w:rsidRPr="00320A82" w:rsidRDefault="00D91B43"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Two big differences between </w:t>
      </w:r>
      <w:r w:rsidR="001448FB" w:rsidRPr="00320A82">
        <w:rPr>
          <w:rFonts w:ascii="Times New Roman" w:hAnsi="Times New Roman" w:cs="Times New Roman"/>
          <w:sz w:val="24"/>
          <w:szCs w:val="24"/>
        </w:rPr>
        <w:t xml:space="preserve">the results presented in </w:t>
      </w:r>
      <w:r w:rsidRPr="00320A82">
        <w:rPr>
          <w:rFonts w:ascii="Times New Roman" w:hAnsi="Times New Roman" w:cs="Times New Roman"/>
          <w:sz w:val="24"/>
          <w:szCs w:val="24"/>
        </w:rPr>
        <w:t xml:space="preserve">Tables 9 and 10 are the maximum drawdowns and the skew. Consistent with our earlier findings, trend following substantially reduces volatility and drawdowns. </w:t>
      </w:r>
      <w:r w:rsidR="001448FB" w:rsidRPr="00320A82">
        <w:rPr>
          <w:rFonts w:ascii="Times New Roman" w:hAnsi="Times New Roman" w:cs="Times New Roman"/>
          <w:sz w:val="24"/>
          <w:szCs w:val="24"/>
        </w:rPr>
        <w:t xml:space="preserve"> For example, a</w:t>
      </w:r>
      <w:r w:rsidRPr="00320A82">
        <w:rPr>
          <w:rFonts w:ascii="Times New Roman" w:hAnsi="Times New Roman" w:cs="Times New Roman"/>
          <w:sz w:val="24"/>
          <w:szCs w:val="24"/>
        </w:rPr>
        <w:t xml:space="preserve"> 15 position </w:t>
      </w:r>
      <w:r w:rsidR="001448FB" w:rsidRPr="00320A82">
        <w:rPr>
          <w:rFonts w:ascii="Times New Roman" w:hAnsi="Times New Roman" w:cs="Times New Roman"/>
          <w:sz w:val="24"/>
          <w:szCs w:val="24"/>
        </w:rPr>
        <w:t xml:space="preserve">volatility-adjusted momentum </w:t>
      </w:r>
      <w:r w:rsidRPr="00320A82">
        <w:rPr>
          <w:rFonts w:ascii="Times New Roman" w:hAnsi="Times New Roman" w:cs="Times New Roman"/>
          <w:sz w:val="24"/>
          <w:szCs w:val="24"/>
        </w:rPr>
        <w:t>portfolio</w:t>
      </w:r>
      <w:r w:rsidR="001448FB" w:rsidRPr="00320A82">
        <w:rPr>
          <w:rFonts w:ascii="Times New Roman" w:hAnsi="Times New Roman" w:cs="Times New Roman"/>
          <w:sz w:val="24"/>
          <w:szCs w:val="24"/>
        </w:rPr>
        <w:t>, with trend following,</w:t>
      </w:r>
      <w:r w:rsidRPr="00320A82">
        <w:rPr>
          <w:rFonts w:ascii="Times New Roman" w:hAnsi="Times New Roman" w:cs="Times New Roman"/>
          <w:sz w:val="24"/>
          <w:szCs w:val="24"/>
        </w:rPr>
        <w:t xml:space="preserve"> </w:t>
      </w:r>
      <w:r w:rsidR="001448FB" w:rsidRPr="00320A82">
        <w:rPr>
          <w:rFonts w:ascii="Times New Roman" w:hAnsi="Times New Roman" w:cs="Times New Roman"/>
          <w:sz w:val="24"/>
          <w:szCs w:val="24"/>
        </w:rPr>
        <w:t xml:space="preserve">experienced its maximum </w:t>
      </w:r>
      <w:r w:rsidRPr="00320A82">
        <w:rPr>
          <w:rFonts w:ascii="Times New Roman" w:hAnsi="Times New Roman" w:cs="Times New Roman"/>
          <w:sz w:val="24"/>
          <w:szCs w:val="24"/>
        </w:rPr>
        <w:t xml:space="preserve">drawdown </w:t>
      </w:r>
      <w:r w:rsidR="00C62C09" w:rsidRPr="00320A82">
        <w:rPr>
          <w:rFonts w:ascii="Times New Roman" w:hAnsi="Times New Roman" w:cs="Times New Roman"/>
          <w:sz w:val="24"/>
          <w:szCs w:val="24"/>
        </w:rPr>
        <w:t>of 20.8%</w:t>
      </w:r>
      <w:r w:rsidR="001448FB" w:rsidRPr="00320A82">
        <w:rPr>
          <w:rFonts w:ascii="Times New Roman" w:hAnsi="Times New Roman" w:cs="Times New Roman"/>
          <w:sz w:val="24"/>
          <w:szCs w:val="24"/>
        </w:rPr>
        <w:t>,</w:t>
      </w:r>
      <w:r w:rsidR="00C62C09" w:rsidRPr="00320A82">
        <w:rPr>
          <w:rFonts w:ascii="Times New Roman" w:hAnsi="Times New Roman" w:cs="Times New Roman"/>
          <w:sz w:val="24"/>
          <w:szCs w:val="24"/>
        </w:rPr>
        <w:t xml:space="preserve"> compared </w:t>
      </w:r>
      <w:r w:rsidR="001448FB" w:rsidRPr="00320A82">
        <w:rPr>
          <w:rFonts w:ascii="Times New Roman" w:hAnsi="Times New Roman" w:cs="Times New Roman"/>
          <w:sz w:val="24"/>
          <w:szCs w:val="24"/>
        </w:rPr>
        <w:t xml:space="preserve">with  a maximum drawdown of 33.5% produced by the same approach, but </w:t>
      </w:r>
      <w:r w:rsidR="00C62C09" w:rsidRPr="00320A82">
        <w:rPr>
          <w:rFonts w:ascii="Times New Roman" w:hAnsi="Times New Roman" w:cs="Times New Roman"/>
          <w:sz w:val="24"/>
          <w:szCs w:val="24"/>
        </w:rPr>
        <w:t xml:space="preserve">without trend following. </w:t>
      </w:r>
      <w:r w:rsidR="001448FB" w:rsidRPr="00320A82">
        <w:rPr>
          <w:rFonts w:ascii="Times New Roman" w:hAnsi="Times New Roman" w:cs="Times New Roman"/>
          <w:sz w:val="24"/>
          <w:szCs w:val="24"/>
        </w:rPr>
        <w:t xml:space="preserve"> </w:t>
      </w:r>
      <w:r w:rsidR="00C62C09" w:rsidRPr="00320A82">
        <w:rPr>
          <w:rFonts w:ascii="Times New Roman" w:hAnsi="Times New Roman" w:cs="Times New Roman"/>
          <w:sz w:val="24"/>
          <w:szCs w:val="24"/>
        </w:rPr>
        <w:t xml:space="preserve">The skew of </w:t>
      </w:r>
      <w:r w:rsidR="001448FB" w:rsidRPr="00320A82">
        <w:rPr>
          <w:rFonts w:ascii="Times New Roman" w:hAnsi="Times New Roman" w:cs="Times New Roman"/>
          <w:sz w:val="24"/>
          <w:szCs w:val="24"/>
        </w:rPr>
        <w:t xml:space="preserve">the former </w:t>
      </w:r>
      <w:r w:rsidR="00C62C09" w:rsidRPr="00320A82">
        <w:rPr>
          <w:rFonts w:ascii="Times New Roman" w:hAnsi="Times New Roman" w:cs="Times New Roman"/>
          <w:sz w:val="24"/>
          <w:szCs w:val="24"/>
        </w:rPr>
        <w:t>port</w:t>
      </w:r>
      <w:r w:rsidR="0082572B">
        <w:rPr>
          <w:rFonts w:ascii="Times New Roman" w:hAnsi="Times New Roman" w:cs="Times New Roman"/>
          <w:sz w:val="24"/>
          <w:szCs w:val="24"/>
        </w:rPr>
        <w:t>folio is also less negative at 0.04</w:t>
      </w:r>
      <w:r w:rsidR="00C62C09" w:rsidRPr="00320A82">
        <w:rPr>
          <w:rFonts w:ascii="Times New Roman" w:hAnsi="Times New Roman" w:cs="Times New Roman"/>
          <w:sz w:val="24"/>
          <w:szCs w:val="24"/>
        </w:rPr>
        <w:t xml:space="preserve"> </w:t>
      </w:r>
      <w:r w:rsidR="004623FC" w:rsidRPr="00320A82">
        <w:rPr>
          <w:rFonts w:ascii="Times New Roman" w:hAnsi="Times New Roman" w:cs="Times New Roman"/>
          <w:sz w:val="24"/>
          <w:szCs w:val="24"/>
        </w:rPr>
        <w:t>compared with</w:t>
      </w:r>
      <w:r w:rsidR="00C62C09" w:rsidRPr="00320A82">
        <w:rPr>
          <w:rFonts w:ascii="Times New Roman" w:hAnsi="Times New Roman" w:cs="Times New Roman"/>
          <w:sz w:val="24"/>
          <w:szCs w:val="24"/>
        </w:rPr>
        <w:t xml:space="preserve"> -0.</w:t>
      </w:r>
      <w:r w:rsidR="0082572B">
        <w:rPr>
          <w:rFonts w:ascii="Times New Roman" w:hAnsi="Times New Roman" w:cs="Times New Roman"/>
          <w:sz w:val="24"/>
          <w:szCs w:val="24"/>
        </w:rPr>
        <w:t>25</w:t>
      </w:r>
      <w:r w:rsidR="001448FB" w:rsidRPr="00320A82">
        <w:rPr>
          <w:rFonts w:ascii="Times New Roman" w:hAnsi="Times New Roman" w:cs="Times New Roman"/>
          <w:sz w:val="24"/>
          <w:szCs w:val="24"/>
        </w:rPr>
        <w:t xml:space="preserve"> for the latter</w:t>
      </w:r>
      <w:r w:rsidR="00C62C09" w:rsidRPr="00320A82">
        <w:rPr>
          <w:rFonts w:ascii="Times New Roman" w:hAnsi="Times New Roman" w:cs="Times New Roman"/>
          <w:sz w:val="24"/>
          <w:szCs w:val="24"/>
        </w:rPr>
        <w:t>.</w:t>
      </w:r>
      <w:r w:rsidR="001448FB" w:rsidRPr="00320A82">
        <w:rPr>
          <w:rFonts w:ascii="Times New Roman" w:hAnsi="Times New Roman" w:cs="Times New Roman"/>
          <w:sz w:val="24"/>
          <w:szCs w:val="24"/>
        </w:rPr>
        <w:t xml:space="preserve">  </w:t>
      </w:r>
      <w:r w:rsidR="00A427CD" w:rsidRPr="00320A82">
        <w:rPr>
          <w:rFonts w:ascii="Times New Roman" w:hAnsi="Times New Roman" w:cs="Times New Roman"/>
          <w:sz w:val="24"/>
          <w:szCs w:val="24"/>
        </w:rPr>
        <w:t xml:space="preserve">Figure </w:t>
      </w:r>
      <w:r w:rsidR="00A330F3" w:rsidRPr="00320A82">
        <w:rPr>
          <w:rFonts w:ascii="Times New Roman" w:hAnsi="Times New Roman" w:cs="Times New Roman"/>
          <w:sz w:val="24"/>
          <w:szCs w:val="24"/>
        </w:rPr>
        <w:t>2</w:t>
      </w:r>
      <w:r w:rsidR="00A427CD" w:rsidRPr="00320A82">
        <w:rPr>
          <w:rFonts w:ascii="Times New Roman" w:hAnsi="Times New Roman" w:cs="Times New Roman"/>
          <w:sz w:val="24"/>
          <w:szCs w:val="24"/>
        </w:rPr>
        <w:t xml:space="preserve"> </w:t>
      </w:r>
      <w:r w:rsidR="001448FB" w:rsidRPr="00320A82">
        <w:rPr>
          <w:rFonts w:ascii="Times New Roman" w:hAnsi="Times New Roman" w:cs="Times New Roman"/>
          <w:sz w:val="24"/>
          <w:szCs w:val="24"/>
        </w:rPr>
        <w:t xml:space="preserve">shows </w:t>
      </w:r>
      <w:r w:rsidR="00A427CD" w:rsidRPr="00320A82">
        <w:rPr>
          <w:rFonts w:ascii="Times New Roman" w:hAnsi="Times New Roman" w:cs="Times New Roman"/>
          <w:sz w:val="24"/>
          <w:szCs w:val="24"/>
        </w:rPr>
        <w:t xml:space="preserve">how the asset allocation of </w:t>
      </w:r>
      <w:r w:rsidR="001448FB" w:rsidRPr="00320A82">
        <w:rPr>
          <w:rFonts w:ascii="Times New Roman" w:hAnsi="Times New Roman" w:cs="Times New Roman"/>
          <w:sz w:val="24"/>
          <w:szCs w:val="24"/>
        </w:rPr>
        <w:t xml:space="preserve">this </w:t>
      </w:r>
      <w:r w:rsidR="004634EF" w:rsidRPr="00320A82">
        <w:rPr>
          <w:rFonts w:ascii="Times New Roman" w:hAnsi="Times New Roman" w:cs="Times New Roman"/>
          <w:sz w:val="24"/>
          <w:szCs w:val="24"/>
        </w:rPr>
        <w:t>20 position</w:t>
      </w:r>
      <w:r w:rsidR="001448FB" w:rsidRPr="00320A82">
        <w:rPr>
          <w:rFonts w:ascii="Times New Roman" w:hAnsi="Times New Roman" w:cs="Times New Roman"/>
          <w:sz w:val="24"/>
          <w:szCs w:val="24"/>
        </w:rPr>
        <w:t>,</w:t>
      </w:r>
      <w:r w:rsidR="00A427CD" w:rsidRPr="00320A82">
        <w:rPr>
          <w:rFonts w:ascii="Times New Roman" w:hAnsi="Times New Roman" w:cs="Times New Roman"/>
          <w:sz w:val="24"/>
          <w:szCs w:val="24"/>
        </w:rPr>
        <w:t xml:space="preserve"> flexible multi-asset momentum portfolio with trend following varies over time.</w:t>
      </w:r>
      <w:r w:rsidR="00365DE7" w:rsidRPr="00320A82">
        <w:rPr>
          <w:rFonts w:ascii="Times New Roman" w:hAnsi="Times New Roman" w:cs="Times New Roman"/>
          <w:sz w:val="24"/>
          <w:szCs w:val="24"/>
        </w:rPr>
        <w:t xml:space="preserve"> Firstly, no single asset class appears to dominate over the </w:t>
      </w:r>
      <w:r w:rsidR="001448FB" w:rsidRPr="00320A82">
        <w:rPr>
          <w:rFonts w:ascii="Times New Roman" w:hAnsi="Times New Roman" w:cs="Times New Roman"/>
          <w:sz w:val="24"/>
          <w:szCs w:val="24"/>
        </w:rPr>
        <w:t>sample period</w:t>
      </w:r>
      <w:r w:rsidR="00365DE7" w:rsidRPr="00320A82">
        <w:rPr>
          <w:rFonts w:ascii="Times New Roman" w:hAnsi="Times New Roman" w:cs="Times New Roman"/>
          <w:sz w:val="24"/>
          <w:szCs w:val="24"/>
        </w:rPr>
        <w:t xml:space="preserve">. Developed equities </w:t>
      </w:r>
      <w:r w:rsidR="006E0F42" w:rsidRPr="00320A82">
        <w:rPr>
          <w:rFonts w:ascii="Times New Roman" w:hAnsi="Times New Roman" w:cs="Times New Roman"/>
          <w:sz w:val="24"/>
          <w:szCs w:val="24"/>
        </w:rPr>
        <w:t>have a large presence</w:t>
      </w:r>
      <w:r w:rsidR="00365DE7" w:rsidRPr="00320A82">
        <w:rPr>
          <w:rFonts w:ascii="Times New Roman" w:hAnsi="Times New Roman" w:cs="Times New Roman"/>
          <w:sz w:val="24"/>
          <w:szCs w:val="24"/>
        </w:rPr>
        <w:t xml:space="preserve"> in the late 1990's </w:t>
      </w:r>
      <w:r w:rsidR="001448FB" w:rsidRPr="00320A82">
        <w:rPr>
          <w:rFonts w:ascii="Times New Roman" w:hAnsi="Times New Roman" w:cs="Times New Roman"/>
          <w:sz w:val="24"/>
          <w:szCs w:val="24"/>
        </w:rPr>
        <w:t xml:space="preserve">while </w:t>
      </w:r>
      <w:r w:rsidR="00365DE7" w:rsidRPr="00320A82">
        <w:rPr>
          <w:rFonts w:ascii="Times New Roman" w:hAnsi="Times New Roman" w:cs="Times New Roman"/>
          <w:sz w:val="24"/>
          <w:szCs w:val="24"/>
        </w:rPr>
        <w:t>bonds have large weightings during the early 2000's after the dot-com crash and during the credit crisis in the late 2000's where cash levels also rise.</w:t>
      </w:r>
      <w:r w:rsidR="00120A8B" w:rsidRPr="00320A82">
        <w:rPr>
          <w:rFonts w:ascii="Times New Roman" w:hAnsi="Times New Roman" w:cs="Times New Roman"/>
          <w:sz w:val="24"/>
          <w:szCs w:val="24"/>
        </w:rPr>
        <w:t xml:space="preserve"> </w:t>
      </w:r>
      <w:r w:rsidR="001448FB" w:rsidRPr="00320A82">
        <w:rPr>
          <w:rFonts w:ascii="Times New Roman" w:hAnsi="Times New Roman" w:cs="Times New Roman"/>
          <w:sz w:val="24"/>
          <w:szCs w:val="24"/>
        </w:rPr>
        <w:t xml:space="preserve"> </w:t>
      </w:r>
      <w:r w:rsidR="00120A8B" w:rsidRPr="00320A82">
        <w:rPr>
          <w:rFonts w:ascii="Times New Roman" w:hAnsi="Times New Roman" w:cs="Times New Roman"/>
          <w:sz w:val="24"/>
          <w:szCs w:val="24"/>
        </w:rPr>
        <w:t xml:space="preserve">We also note the large exposure to REITs as property was booming in the </w:t>
      </w:r>
      <w:proofErr w:type="gramStart"/>
      <w:r w:rsidR="00120A8B" w:rsidRPr="00320A82">
        <w:rPr>
          <w:rFonts w:ascii="Times New Roman" w:hAnsi="Times New Roman" w:cs="Times New Roman"/>
          <w:sz w:val="24"/>
          <w:szCs w:val="24"/>
        </w:rPr>
        <w:t>mid-2000's</w:t>
      </w:r>
      <w:proofErr w:type="gramEnd"/>
      <w:r w:rsidR="00120A8B" w:rsidRPr="00320A82">
        <w:rPr>
          <w:rFonts w:ascii="Times New Roman" w:hAnsi="Times New Roman" w:cs="Times New Roman"/>
          <w:sz w:val="24"/>
          <w:szCs w:val="24"/>
        </w:rPr>
        <w:t>.</w:t>
      </w:r>
      <w:r w:rsidR="004634EF" w:rsidRPr="00320A82">
        <w:rPr>
          <w:rFonts w:ascii="Times New Roman" w:hAnsi="Times New Roman" w:cs="Times New Roman"/>
          <w:sz w:val="24"/>
          <w:szCs w:val="24"/>
        </w:rPr>
        <w:t xml:space="preserve"> Emerging equities make appearances periodically</w:t>
      </w:r>
      <w:r w:rsidR="001448FB" w:rsidRPr="00320A82">
        <w:rPr>
          <w:rFonts w:ascii="Times New Roman" w:hAnsi="Times New Roman" w:cs="Times New Roman"/>
          <w:sz w:val="24"/>
          <w:szCs w:val="24"/>
        </w:rPr>
        <w:t>,</w:t>
      </w:r>
      <w:r w:rsidR="004634EF" w:rsidRPr="00320A82">
        <w:rPr>
          <w:rFonts w:ascii="Times New Roman" w:hAnsi="Times New Roman" w:cs="Times New Roman"/>
          <w:sz w:val="24"/>
          <w:szCs w:val="24"/>
        </w:rPr>
        <w:t xml:space="preserve"> but perhaps not as much as one would expect given the rise of the BRICs. We attribute this to the generally high levels of volatility </w:t>
      </w:r>
      <w:r w:rsidR="001448FB" w:rsidRPr="00320A82">
        <w:rPr>
          <w:rFonts w:ascii="Times New Roman" w:hAnsi="Times New Roman" w:cs="Times New Roman"/>
          <w:sz w:val="24"/>
          <w:szCs w:val="24"/>
        </w:rPr>
        <w:t xml:space="preserve">that </w:t>
      </w:r>
      <w:r w:rsidR="004634EF" w:rsidRPr="00320A82">
        <w:rPr>
          <w:rFonts w:ascii="Times New Roman" w:hAnsi="Times New Roman" w:cs="Times New Roman"/>
          <w:sz w:val="24"/>
          <w:szCs w:val="24"/>
        </w:rPr>
        <w:t>this asset class displays (see Table 1) and thus the lower adjusted rankings these achieve.</w:t>
      </w:r>
    </w:p>
    <w:p w:rsidR="001212DF" w:rsidRPr="00320A82" w:rsidRDefault="001212DF" w:rsidP="001212DF">
      <w:pPr>
        <w:spacing w:after="0" w:line="360" w:lineRule="auto"/>
        <w:jc w:val="both"/>
        <w:rPr>
          <w:rFonts w:ascii="Times New Roman" w:hAnsi="Times New Roman" w:cs="Times New Roman"/>
          <w:sz w:val="24"/>
          <w:szCs w:val="24"/>
        </w:rPr>
      </w:pPr>
    </w:p>
    <w:p w:rsidR="00065705" w:rsidRPr="00320A82" w:rsidRDefault="001448FB" w:rsidP="001212DF">
      <w:pPr>
        <w:spacing w:after="0" w:line="360" w:lineRule="auto"/>
        <w:jc w:val="both"/>
        <w:rPr>
          <w:rFonts w:ascii="Times New Roman" w:hAnsi="Times New Roman" w:cs="Times New Roman"/>
          <w:b/>
          <w:sz w:val="24"/>
          <w:szCs w:val="24"/>
        </w:rPr>
      </w:pPr>
      <w:r w:rsidRPr="00320A82">
        <w:rPr>
          <w:rFonts w:ascii="Times New Roman" w:hAnsi="Times New Roman" w:cs="Times New Roman"/>
          <w:b/>
          <w:sz w:val="24"/>
          <w:szCs w:val="24"/>
        </w:rPr>
        <w:lastRenderedPageBreak/>
        <w:t>5</w:t>
      </w:r>
      <w:r w:rsidR="00624B0F" w:rsidRPr="00320A82">
        <w:rPr>
          <w:rFonts w:ascii="Times New Roman" w:hAnsi="Times New Roman" w:cs="Times New Roman"/>
          <w:b/>
          <w:sz w:val="24"/>
          <w:szCs w:val="24"/>
        </w:rPr>
        <w:t xml:space="preserve">.  </w:t>
      </w:r>
      <w:r w:rsidR="00065705" w:rsidRPr="00320A82">
        <w:rPr>
          <w:rFonts w:ascii="Times New Roman" w:hAnsi="Times New Roman" w:cs="Times New Roman"/>
          <w:b/>
          <w:sz w:val="24"/>
          <w:szCs w:val="24"/>
        </w:rPr>
        <w:t>Risk Adjustment</w:t>
      </w:r>
    </w:p>
    <w:p w:rsidR="008D0F89" w:rsidRPr="00320A82" w:rsidRDefault="00065705" w:rsidP="001212DF">
      <w:pPr>
        <w:spacing w:after="0" w:line="360" w:lineRule="auto"/>
        <w:jc w:val="both"/>
        <w:rPr>
          <w:rFonts w:ascii="Times New Roman" w:hAnsi="Times New Roman" w:cs="Times New Roman"/>
          <w:sz w:val="24"/>
          <w:szCs w:val="24"/>
        </w:rPr>
      </w:pPr>
      <w:r w:rsidRPr="00320A82">
        <w:rPr>
          <w:rFonts w:ascii="Times New Roman" w:hAnsi="Times New Roman" w:cs="Times New Roman"/>
          <w:sz w:val="24"/>
          <w:szCs w:val="24"/>
        </w:rPr>
        <w:t xml:space="preserve">The properties of returns presented thus far refer to unconditional returns from </w:t>
      </w:r>
      <w:r w:rsidR="001B61E8" w:rsidRPr="00320A82">
        <w:rPr>
          <w:rFonts w:ascii="Times New Roman" w:hAnsi="Times New Roman" w:cs="Times New Roman"/>
          <w:sz w:val="24"/>
          <w:szCs w:val="24"/>
        </w:rPr>
        <w:t xml:space="preserve">risk parity, </w:t>
      </w:r>
      <w:r w:rsidRPr="00320A82">
        <w:rPr>
          <w:rFonts w:ascii="Times New Roman" w:hAnsi="Times New Roman" w:cs="Times New Roman"/>
          <w:sz w:val="24"/>
          <w:szCs w:val="24"/>
        </w:rPr>
        <w:t xml:space="preserve">trend following and momentum </w:t>
      </w:r>
      <w:r w:rsidR="00AE118C" w:rsidRPr="00320A82">
        <w:rPr>
          <w:rFonts w:ascii="Times New Roman" w:hAnsi="Times New Roman" w:cs="Times New Roman"/>
          <w:sz w:val="24"/>
          <w:szCs w:val="24"/>
        </w:rPr>
        <w:t xml:space="preserve">strategies. In this section we examine whether these returns are explained by widely employed risk factors.  For clarity, we examine the returns from particular strategies and present the results in Table 11.  In the table: </w:t>
      </w:r>
      <w:r w:rsidR="007108D8" w:rsidRPr="00320A82">
        <w:rPr>
          <w:rFonts w:ascii="Times New Roman" w:hAnsi="Times New Roman" w:cs="Times New Roman"/>
          <w:sz w:val="24"/>
          <w:szCs w:val="24"/>
        </w:rPr>
        <w:t xml:space="preserve">EW represents the returns on a portfolio consisting of all 95 markets and commodities with equal weighting; </w:t>
      </w:r>
      <w:r w:rsidR="00E917D0" w:rsidRPr="00320A82">
        <w:rPr>
          <w:rFonts w:ascii="Times New Roman" w:hAnsi="Times New Roman" w:cs="Times New Roman"/>
          <w:sz w:val="24"/>
          <w:szCs w:val="24"/>
        </w:rPr>
        <w:t xml:space="preserve">TF represents the returns generated by applying the 12-month trend following filter shown in Table 3 (last column); </w:t>
      </w:r>
      <w:r w:rsidR="007108D8" w:rsidRPr="00320A82">
        <w:rPr>
          <w:rFonts w:ascii="Times New Roman" w:hAnsi="Times New Roman" w:cs="Times New Roman"/>
          <w:sz w:val="24"/>
          <w:szCs w:val="24"/>
        </w:rPr>
        <w:t>MOM EW represents the returns generated by equally weighted momentum portfolio shown in Panel A of Table 5 (last column); represents the returns from the momentum strategy; MOM VW represents the returns generated by momentum strategy, where the momentum weights are volatility adjusted and the number of positions in the portfolio was 15  (column 3, Table 9); and TF &amp; MOM VW represents the momentum strategy where weights are volatility-adjusted and where a trend following filter is applied to the individual markets (Table 10).</w:t>
      </w:r>
    </w:p>
    <w:p w:rsidR="008D0F89" w:rsidRPr="00320A82" w:rsidRDefault="008D0F89" w:rsidP="001212DF">
      <w:pPr>
        <w:spacing w:after="0" w:line="360" w:lineRule="auto"/>
        <w:jc w:val="both"/>
        <w:rPr>
          <w:rFonts w:ascii="Times New Roman" w:hAnsi="Times New Roman" w:cs="Times New Roman"/>
          <w:sz w:val="24"/>
          <w:szCs w:val="24"/>
        </w:rPr>
      </w:pPr>
    </w:p>
    <w:p w:rsidR="00EA7FB9" w:rsidRPr="00320A82" w:rsidRDefault="008D0F89"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For each of these strategies, w</w:t>
      </w:r>
      <w:r w:rsidR="00065705" w:rsidRPr="00320A82">
        <w:rPr>
          <w:rFonts w:ascii="Times New Roman" w:hAnsi="Times New Roman" w:cs="Times New Roman"/>
          <w:sz w:val="24"/>
          <w:szCs w:val="24"/>
        </w:rPr>
        <w:t xml:space="preserve">e examine estimates of alphas after </w:t>
      </w:r>
      <w:proofErr w:type="gramStart"/>
      <w:r w:rsidR="00065705" w:rsidRPr="00320A82">
        <w:rPr>
          <w:rFonts w:ascii="Times New Roman" w:hAnsi="Times New Roman" w:cs="Times New Roman"/>
          <w:sz w:val="24"/>
          <w:szCs w:val="24"/>
        </w:rPr>
        <w:t>regressing</w:t>
      </w:r>
      <w:proofErr w:type="gramEnd"/>
      <w:r w:rsidR="00065705" w:rsidRPr="00320A82">
        <w:rPr>
          <w:rFonts w:ascii="Times New Roman" w:hAnsi="Times New Roman" w:cs="Times New Roman"/>
          <w:sz w:val="24"/>
          <w:szCs w:val="24"/>
        </w:rPr>
        <w:t xml:space="preserve"> the returns from the strategies on two sets of risk factors</w:t>
      </w:r>
      <w:r w:rsidRPr="00320A82">
        <w:rPr>
          <w:rFonts w:ascii="Times New Roman" w:hAnsi="Times New Roman" w:cs="Times New Roman"/>
          <w:sz w:val="24"/>
          <w:szCs w:val="24"/>
        </w:rPr>
        <w:t xml:space="preserve">.  The first set of risk factors are those of </w:t>
      </w:r>
      <w:proofErr w:type="spellStart"/>
      <w:r w:rsidR="00065705" w:rsidRPr="00320A82">
        <w:rPr>
          <w:rFonts w:ascii="Times New Roman" w:hAnsi="Times New Roman" w:cs="Times New Roman"/>
          <w:sz w:val="24"/>
          <w:szCs w:val="24"/>
        </w:rPr>
        <w:t>Fama</w:t>
      </w:r>
      <w:proofErr w:type="spellEnd"/>
      <w:r w:rsidRPr="00320A82">
        <w:rPr>
          <w:rFonts w:ascii="Times New Roman" w:hAnsi="Times New Roman" w:cs="Times New Roman"/>
          <w:sz w:val="24"/>
          <w:szCs w:val="24"/>
        </w:rPr>
        <w:t xml:space="preserve"> and </w:t>
      </w:r>
      <w:r w:rsidR="00065705" w:rsidRPr="00320A82">
        <w:rPr>
          <w:rFonts w:ascii="Times New Roman" w:hAnsi="Times New Roman" w:cs="Times New Roman"/>
          <w:sz w:val="24"/>
          <w:szCs w:val="24"/>
        </w:rPr>
        <w:t xml:space="preserve">French </w:t>
      </w:r>
      <w:r w:rsidRPr="00320A82">
        <w:rPr>
          <w:rFonts w:ascii="Times New Roman" w:hAnsi="Times New Roman" w:cs="Times New Roman"/>
          <w:sz w:val="24"/>
          <w:szCs w:val="24"/>
        </w:rPr>
        <w:t>(199</w:t>
      </w:r>
      <w:r w:rsidR="00762B15" w:rsidRPr="00320A82">
        <w:rPr>
          <w:rFonts w:ascii="Times New Roman" w:hAnsi="Times New Roman" w:cs="Times New Roman"/>
          <w:sz w:val="24"/>
          <w:szCs w:val="24"/>
        </w:rPr>
        <w:t>2</w:t>
      </w:r>
      <w:r w:rsidR="008F3757" w:rsidRPr="00320A82">
        <w:rPr>
          <w:rFonts w:ascii="Times New Roman" w:hAnsi="Times New Roman" w:cs="Times New Roman"/>
          <w:sz w:val="24"/>
          <w:szCs w:val="24"/>
        </w:rPr>
        <w:t>)</w:t>
      </w:r>
      <w:r w:rsidRPr="00320A82">
        <w:rPr>
          <w:rFonts w:ascii="Times New Roman" w:hAnsi="Times New Roman" w:cs="Times New Roman"/>
          <w:sz w:val="24"/>
          <w:szCs w:val="24"/>
        </w:rPr>
        <w:t xml:space="preserve">: MKT which represents the excess return on the </w:t>
      </w:r>
      <w:r w:rsidR="00065705" w:rsidRPr="00320A82">
        <w:rPr>
          <w:rFonts w:ascii="Times New Roman" w:hAnsi="Times New Roman" w:cs="Times New Roman"/>
          <w:sz w:val="24"/>
          <w:szCs w:val="24"/>
        </w:rPr>
        <w:t>US equity market, SMB</w:t>
      </w:r>
      <w:r w:rsidRPr="00320A82">
        <w:rPr>
          <w:rFonts w:ascii="Times New Roman" w:hAnsi="Times New Roman" w:cs="Times New Roman"/>
          <w:sz w:val="24"/>
          <w:szCs w:val="24"/>
        </w:rPr>
        <w:t xml:space="preserve"> which is designed to capture small stock risk relative to large stocks, and </w:t>
      </w:r>
      <w:r w:rsidR="00065705" w:rsidRPr="00320A82">
        <w:rPr>
          <w:rFonts w:ascii="Times New Roman" w:hAnsi="Times New Roman" w:cs="Times New Roman"/>
          <w:sz w:val="24"/>
          <w:szCs w:val="24"/>
        </w:rPr>
        <w:t xml:space="preserve">HML </w:t>
      </w:r>
      <w:r w:rsidRPr="00320A82">
        <w:rPr>
          <w:rFonts w:ascii="Times New Roman" w:hAnsi="Times New Roman" w:cs="Times New Roman"/>
          <w:sz w:val="24"/>
          <w:szCs w:val="24"/>
        </w:rPr>
        <w:t xml:space="preserve">which captures the premium on high book to market value stocks relative to low book to market value stocks.  We add to these three factors the momentum factor suggested by </w:t>
      </w:r>
      <w:proofErr w:type="spellStart"/>
      <w:r w:rsidRPr="00320A82">
        <w:rPr>
          <w:rFonts w:ascii="Times New Roman" w:hAnsi="Times New Roman" w:cs="Times New Roman"/>
          <w:sz w:val="24"/>
          <w:szCs w:val="24"/>
        </w:rPr>
        <w:t>Carhart</w:t>
      </w:r>
      <w:proofErr w:type="spellEnd"/>
      <w:r w:rsidRPr="00320A82">
        <w:rPr>
          <w:rFonts w:ascii="Times New Roman" w:hAnsi="Times New Roman" w:cs="Times New Roman"/>
          <w:sz w:val="24"/>
          <w:szCs w:val="24"/>
        </w:rPr>
        <w:t xml:space="preserve"> (</w:t>
      </w:r>
      <w:r w:rsidR="00762B15" w:rsidRPr="00320A82">
        <w:rPr>
          <w:rFonts w:ascii="Times New Roman" w:hAnsi="Times New Roman" w:cs="Times New Roman"/>
          <w:sz w:val="24"/>
          <w:szCs w:val="24"/>
        </w:rPr>
        <w:t>1997</w:t>
      </w:r>
      <w:r w:rsidRPr="00320A82">
        <w:rPr>
          <w:rFonts w:ascii="Times New Roman" w:hAnsi="Times New Roman" w:cs="Times New Roman"/>
          <w:sz w:val="24"/>
          <w:szCs w:val="24"/>
        </w:rPr>
        <w:t xml:space="preserve">), </w:t>
      </w:r>
      <w:r w:rsidR="00065705" w:rsidRPr="00320A82">
        <w:rPr>
          <w:rFonts w:ascii="Times New Roman" w:hAnsi="Times New Roman" w:cs="Times New Roman"/>
          <w:sz w:val="24"/>
          <w:szCs w:val="24"/>
        </w:rPr>
        <w:t>UMD</w:t>
      </w:r>
      <w:r w:rsidRPr="00320A82">
        <w:rPr>
          <w:rFonts w:ascii="Times New Roman" w:hAnsi="Times New Roman" w:cs="Times New Roman"/>
          <w:sz w:val="24"/>
          <w:szCs w:val="24"/>
        </w:rPr>
        <w:t xml:space="preserve">.  </w:t>
      </w:r>
      <w:r w:rsidR="00065705"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The second </w:t>
      </w:r>
      <w:proofErr w:type="gramStart"/>
      <w:r w:rsidRPr="00320A82">
        <w:rPr>
          <w:rFonts w:ascii="Times New Roman" w:hAnsi="Times New Roman" w:cs="Times New Roman"/>
          <w:sz w:val="24"/>
          <w:szCs w:val="24"/>
        </w:rPr>
        <w:t>set of risk factors are</w:t>
      </w:r>
      <w:proofErr w:type="gramEnd"/>
      <w:r w:rsidRPr="00320A82">
        <w:rPr>
          <w:rFonts w:ascii="Times New Roman" w:hAnsi="Times New Roman" w:cs="Times New Roman"/>
          <w:sz w:val="24"/>
          <w:szCs w:val="24"/>
        </w:rPr>
        <w:t xml:space="preserve"> a wider set of ‘</w:t>
      </w:r>
      <w:r w:rsidR="00065705" w:rsidRPr="00320A82">
        <w:rPr>
          <w:rFonts w:ascii="Times New Roman" w:hAnsi="Times New Roman" w:cs="Times New Roman"/>
          <w:sz w:val="24"/>
          <w:szCs w:val="24"/>
        </w:rPr>
        <w:t>market</w:t>
      </w:r>
      <w:r w:rsidRPr="00320A82">
        <w:rPr>
          <w:rFonts w:ascii="Times New Roman" w:hAnsi="Times New Roman" w:cs="Times New Roman"/>
          <w:sz w:val="24"/>
          <w:szCs w:val="24"/>
        </w:rPr>
        <w:t>’</w:t>
      </w:r>
      <w:r w:rsidR="00065705"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risk </w:t>
      </w:r>
      <w:r w:rsidR="00065705" w:rsidRPr="00320A82">
        <w:rPr>
          <w:rFonts w:ascii="Times New Roman" w:hAnsi="Times New Roman" w:cs="Times New Roman"/>
          <w:sz w:val="24"/>
          <w:szCs w:val="24"/>
        </w:rPr>
        <w:t>factors</w:t>
      </w:r>
      <w:r w:rsidRPr="00320A82">
        <w:rPr>
          <w:rFonts w:ascii="Times New Roman" w:hAnsi="Times New Roman" w:cs="Times New Roman"/>
          <w:sz w:val="24"/>
          <w:szCs w:val="24"/>
        </w:rPr>
        <w:t xml:space="preserve"> which are</w:t>
      </w:r>
      <w:r w:rsidR="00065705" w:rsidRPr="00320A82">
        <w:rPr>
          <w:rFonts w:ascii="Times New Roman" w:hAnsi="Times New Roman" w:cs="Times New Roman"/>
          <w:sz w:val="24"/>
          <w:szCs w:val="24"/>
        </w:rPr>
        <w:t>: the excess return from the Goldman Sachs Commodity Market Index (GSCI)</w:t>
      </w:r>
      <w:r w:rsidRPr="00320A82">
        <w:rPr>
          <w:rFonts w:ascii="Times New Roman" w:hAnsi="Times New Roman" w:cs="Times New Roman"/>
          <w:sz w:val="24"/>
          <w:szCs w:val="24"/>
        </w:rPr>
        <w:t>;</w:t>
      </w:r>
      <w:r w:rsidR="00065705" w:rsidRPr="00320A82">
        <w:rPr>
          <w:rFonts w:ascii="Times New Roman" w:hAnsi="Times New Roman" w:cs="Times New Roman"/>
          <w:sz w:val="24"/>
          <w:szCs w:val="24"/>
        </w:rPr>
        <w:t xml:space="preserve"> the </w:t>
      </w:r>
      <w:r w:rsidRPr="00320A82">
        <w:rPr>
          <w:rFonts w:ascii="Times New Roman" w:hAnsi="Times New Roman" w:cs="Times New Roman"/>
          <w:sz w:val="24"/>
          <w:szCs w:val="24"/>
        </w:rPr>
        <w:t xml:space="preserve">return on the </w:t>
      </w:r>
      <w:r w:rsidR="00065705" w:rsidRPr="00320A82">
        <w:rPr>
          <w:rFonts w:ascii="Times New Roman" w:hAnsi="Times New Roman" w:cs="Times New Roman"/>
          <w:sz w:val="24"/>
          <w:szCs w:val="24"/>
        </w:rPr>
        <w:t>MSCI world equity market index (MSCI</w:t>
      </w:r>
      <w:r w:rsidRPr="00320A82">
        <w:rPr>
          <w:rFonts w:ascii="Times New Roman" w:hAnsi="Times New Roman" w:cs="Times New Roman"/>
          <w:sz w:val="24"/>
          <w:szCs w:val="24"/>
        </w:rPr>
        <w:t xml:space="preserve">); </w:t>
      </w:r>
      <w:r w:rsidR="00065705" w:rsidRPr="00320A82">
        <w:rPr>
          <w:rFonts w:ascii="Times New Roman" w:hAnsi="Times New Roman" w:cs="Times New Roman"/>
          <w:sz w:val="24"/>
          <w:szCs w:val="24"/>
        </w:rPr>
        <w:t xml:space="preserve">the </w:t>
      </w:r>
      <w:r w:rsidRPr="00320A82">
        <w:rPr>
          <w:rFonts w:ascii="Times New Roman" w:hAnsi="Times New Roman" w:cs="Times New Roman"/>
          <w:sz w:val="24"/>
          <w:szCs w:val="24"/>
        </w:rPr>
        <w:t xml:space="preserve">return on the </w:t>
      </w:r>
      <w:r w:rsidR="00065705" w:rsidRPr="00320A82">
        <w:rPr>
          <w:rFonts w:ascii="Times New Roman" w:hAnsi="Times New Roman" w:cs="Times New Roman"/>
          <w:sz w:val="24"/>
          <w:szCs w:val="24"/>
        </w:rPr>
        <w:t>Barclays Aggregate Bond Index (BAR</w:t>
      </w:r>
      <w:r w:rsidRPr="00320A82">
        <w:rPr>
          <w:rFonts w:ascii="Times New Roman" w:hAnsi="Times New Roman" w:cs="Times New Roman"/>
          <w:sz w:val="24"/>
          <w:szCs w:val="24"/>
        </w:rPr>
        <w:t xml:space="preserve">); </w:t>
      </w:r>
      <w:r w:rsidR="00C5748A" w:rsidRPr="00320A82">
        <w:rPr>
          <w:rFonts w:ascii="Times New Roman" w:hAnsi="Times New Roman" w:cs="Times New Roman"/>
          <w:sz w:val="24"/>
          <w:szCs w:val="24"/>
        </w:rPr>
        <w:t xml:space="preserve">the </w:t>
      </w:r>
      <w:r w:rsidRPr="00320A82">
        <w:rPr>
          <w:rFonts w:ascii="Times New Roman" w:hAnsi="Times New Roman" w:cs="Times New Roman"/>
          <w:sz w:val="24"/>
          <w:szCs w:val="24"/>
        </w:rPr>
        <w:t xml:space="preserve">return on the </w:t>
      </w:r>
      <w:r w:rsidR="00C5748A" w:rsidRPr="00320A82">
        <w:rPr>
          <w:rFonts w:ascii="Times New Roman" w:hAnsi="Times New Roman" w:cs="Times New Roman"/>
          <w:sz w:val="24"/>
          <w:szCs w:val="24"/>
        </w:rPr>
        <w:t>Dow-Jones UBS Commodity futures index</w:t>
      </w:r>
      <w:r w:rsidRPr="00320A82">
        <w:rPr>
          <w:rFonts w:ascii="Times New Roman" w:hAnsi="Times New Roman" w:cs="Times New Roman"/>
          <w:sz w:val="24"/>
          <w:szCs w:val="24"/>
        </w:rPr>
        <w:t xml:space="preserve"> </w:t>
      </w:r>
      <w:r w:rsidR="00C5748A" w:rsidRPr="00320A82">
        <w:rPr>
          <w:rFonts w:ascii="Times New Roman" w:hAnsi="Times New Roman" w:cs="Times New Roman"/>
          <w:sz w:val="24"/>
          <w:szCs w:val="24"/>
        </w:rPr>
        <w:t>(DJUBS</w:t>
      </w:r>
      <w:r w:rsidR="009F7A1E" w:rsidRPr="00320A82">
        <w:rPr>
          <w:rFonts w:ascii="Times New Roman" w:hAnsi="Times New Roman" w:cs="Times New Roman"/>
          <w:sz w:val="24"/>
          <w:szCs w:val="24"/>
        </w:rPr>
        <w:t>)</w:t>
      </w:r>
      <w:r w:rsidRPr="00320A82">
        <w:rPr>
          <w:rFonts w:ascii="Times New Roman" w:hAnsi="Times New Roman" w:cs="Times New Roman"/>
          <w:sz w:val="24"/>
          <w:szCs w:val="24"/>
        </w:rPr>
        <w:t xml:space="preserve">.  We add to these the </w:t>
      </w:r>
      <w:r w:rsidR="00C5748A" w:rsidRPr="00320A82">
        <w:rPr>
          <w:rFonts w:ascii="Times New Roman" w:hAnsi="Times New Roman" w:cs="Times New Roman"/>
          <w:sz w:val="24"/>
          <w:szCs w:val="24"/>
        </w:rPr>
        <w:t>five</w:t>
      </w:r>
      <w:r w:rsidR="00065705" w:rsidRPr="00320A82">
        <w:rPr>
          <w:rFonts w:ascii="Times New Roman" w:hAnsi="Times New Roman" w:cs="Times New Roman"/>
          <w:sz w:val="24"/>
          <w:szCs w:val="24"/>
        </w:rPr>
        <w:t xml:space="preserve"> hedge fund factors of Fung and Hsieh (2001): the PTFS Bond (SBD), Currency (SFX)</w:t>
      </w:r>
      <w:r w:rsidR="00C5748A" w:rsidRPr="00320A82">
        <w:rPr>
          <w:rFonts w:ascii="Times New Roman" w:hAnsi="Times New Roman" w:cs="Times New Roman"/>
          <w:sz w:val="24"/>
          <w:szCs w:val="24"/>
        </w:rPr>
        <w:t>, Short-term Interest Rate (SIR), commodities (COM)</w:t>
      </w:r>
      <w:r w:rsidR="00065705" w:rsidRPr="00320A82">
        <w:rPr>
          <w:rFonts w:ascii="Times New Roman" w:hAnsi="Times New Roman" w:cs="Times New Roman"/>
          <w:sz w:val="24"/>
          <w:szCs w:val="24"/>
        </w:rPr>
        <w:t xml:space="preserve"> and Stock Index (STK) look</w:t>
      </w:r>
      <w:r w:rsidR="004B523B" w:rsidRPr="00320A82">
        <w:rPr>
          <w:rFonts w:ascii="Times New Roman" w:hAnsi="Times New Roman" w:cs="Times New Roman"/>
          <w:sz w:val="24"/>
          <w:szCs w:val="24"/>
        </w:rPr>
        <w:t xml:space="preserve"> </w:t>
      </w:r>
      <w:r w:rsidR="00065705" w:rsidRPr="00320A82">
        <w:rPr>
          <w:rFonts w:ascii="Times New Roman" w:hAnsi="Times New Roman" w:cs="Times New Roman"/>
          <w:sz w:val="24"/>
          <w:szCs w:val="24"/>
        </w:rPr>
        <w:t>back straddle returns</w:t>
      </w:r>
      <w:r w:rsidR="00065705" w:rsidRPr="00320A82">
        <w:rPr>
          <w:rStyle w:val="FootnoteReference"/>
          <w:rFonts w:ascii="Times New Roman" w:hAnsi="Times New Roman"/>
          <w:sz w:val="24"/>
          <w:szCs w:val="24"/>
        </w:rPr>
        <w:footnoteReference w:id="5"/>
      </w:r>
      <w:r w:rsidR="00065705" w:rsidRPr="00320A82">
        <w:rPr>
          <w:rFonts w:ascii="Times New Roman" w:hAnsi="Times New Roman" w:cs="Times New Roman"/>
          <w:sz w:val="24"/>
          <w:szCs w:val="24"/>
        </w:rPr>
        <w:t xml:space="preserve">. </w:t>
      </w:r>
      <w:r w:rsidR="00EA7FB9" w:rsidRPr="00320A82">
        <w:rPr>
          <w:rFonts w:ascii="Times New Roman" w:hAnsi="Times New Roman" w:cs="Times New Roman"/>
          <w:sz w:val="24"/>
          <w:szCs w:val="24"/>
        </w:rPr>
        <w:t xml:space="preserve"> </w:t>
      </w:r>
      <w:r w:rsidR="00762B15" w:rsidRPr="00320A82">
        <w:rPr>
          <w:rFonts w:ascii="Times New Roman" w:hAnsi="Times New Roman" w:cs="Times New Roman"/>
          <w:sz w:val="24"/>
          <w:szCs w:val="24"/>
        </w:rPr>
        <w:t>These are risk factors i</w:t>
      </w:r>
      <w:r w:rsidR="000A349B">
        <w:rPr>
          <w:rFonts w:ascii="Times New Roman" w:hAnsi="Times New Roman" w:cs="Times New Roman"/>
          <w:sz w:val="24"/>
          <w:szCs w:val="24"/>
        </w:rPr>
        <w:t xml:space="preserve">dentified by </w:t>
      </w:r>
      <w:proofErr w:type="spellStart"/>
      <w:r w:rsidR="000A349B">
        <w:rPr>
          <w:rFonts w:ascii="Times New Roman" w:hAnsi="Times New Roman" w:cs="Times New Roman"/>
          <w:sz w:val="24"/>
          <w:szCs w:val="24"/>
        </w:rPr>
        <w:t>Asness</w:t>
      </w:r>
      <w:proofErr w:type="spellEnd"/>
      <w:r w:rsidR="000A349B">
        <w:rPr>
          <w:rFonts w:ascii="Times New Roman" w:hAnsi="Times New Roman" w:cs="Times New Roman"/>
          <w:sz w:val="24"/>
          <w:szCs w:val="24"/>
        </w:rPr>
        <w:t xml:space="preserve"> at al. (2013</w:t>
      </w:r>
      <w:r w:rsidR="00762B15" w:rsidRPr="00320A82">
        <w:rPr>
          <w:rFonts w:ascii="Times New Roman" w:hAnsi="Times New Roman" w:cs="Times New Roman"/>
          <w:sz w:val="24"/>
          <w:szCs w:val="24"/>
        </w:rPr>
        <w:t xml:space="preserve">) and </w:t>
      </w:r>
      <w:proofErr w:type="spellStart"/>
      <w:r w:rsidR="00762B15" w:rsidRPr="00320A82">
        <w:rPr>
          <w:rFonts w:ascii="Times New Roman" w:hAnsi="Times New Roman" w:cs="Times New Roman"/>
          <w:sz w:val="24"/>
          <w:szCs w:val="24"/>
        </w:rPr>
        <w:t>Menkhoff</w:t>
      </w:r>
      <w:proofErr w:type="spellEnd"/>
      <w:r w:rsidR="00762B15" w:rsidRPr="00320A82">
        <w:rPr>
          <w:rFonts w:ascii="Times New Roman" w:hAnsi="Times New Roman" w:cs="Times New Roman"/>
          <w:sz w:val="24"/>
          <w:szCs w:val="24"/>
        </w:rPr>
        <w:t xml:space="preserve"> et al. (2012) as significant in the context of a range of markets.</w:t>
      </w:r>
    </w:p>
    <w:p w:rsidR="001212DF" w:rsidRPr="00320A82" w:rsidRDefault="001212DF" w:rsidP="001212DF">
      <w:pPr>
        <w:spacing w:after="0" w:line="360" w:lineRule="auto"/>
        <w:jc w:val="both"/>
        <w:rPr>
          <w:rFonts w:ascii="Times New Roman" w:hAnsi="Times New Roman" w:cs="Times New Roman"/>
          <w:sz w:val="24"/>
          <w:szCs w:val="24"/>
        </w:rPr>
      </w:pPr>
    </w:p>
    <w:p w:rsidR="00065705" w:rsidRPr="00320A82" w:rsidRDefault="00065705"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The results of thes</w:t>
      </w:r>
      <w:r w:rsidR="009F7A1E" w:rsidRPr="00320A82">
        <w:rPr>
          <w:rFonts w:ascii="Times New Roman" w:hAnsi="Times New Roman" w:cs="Times New Roman"/>
          <w:sz w:val="24"/>
          <w:szCs w:val="24"/>
        </w:rPr>
        <w:t xml:space="preserve">e </w:t>
      </w:r>
      <w:r w:rsidR="008D0F89" w:rsidRPr="00320A82">
        <w:rPr>
          <w:rFonts w:ascii="Times New Roman" w:hAnsi="Times New Roman" w:cs="Times New Roman"/>
          <w:sz w:val="24"/>
          <w:szCs w:val="24"/>
        </w:rPr>
        <w:t xml:space="preserve">two sets of regressions </w:t>
      </w:r>
      <w:r w:rsidR="009F7A1E" w:rsidRPr="00320A82">
        <w:rPr>
          <w:rFonts w:ascii="Times New Roman" w:hAnsi="Times New Roman" w:cs="Times New Roman"/>
          <w:sz w:val="24"/>
          <w:szCs w:val="24"/>
        </w:rPr>
        <w:t>are shown in Table 11</w:t>
      </w:r>
      <w:r w:rsidRPr="00320A82">
        <w:rPr>
          <w:rFonts w:ascii="Times New Roman" w:hAnsi="Times New Roman" w:cs="Times New Roman"/>
          <w:sz w:val="24"/>
          <w:szCs w:val="24"/>
        </w:rPr>
        <w:t xml:space="preserve"> where Newey</w:t>
      </w:r>
      <w:r w:rsidR="00762B15" w:rsidRPr="00320A82">
        <w:rPr>
          <w:rFonts w:ascii="Times New Roman" w:hAnsi="Times New Roman" w:cs="Times New Roman"/>
          <w:sz w:val="24"/>
          <w:szCs w:val="24"/>
        </w:rPr>
        <w:t xml:space="preserve"> and</w:t>
      </w:r>
      <w:r w:rsidR="00EC1D12">
        <w:rPr>
          <w:rFonts w:ascii="Times New Roman" w:hAnsi="Times New Roman" w:cs="Times New Roman"/>
          <w:sz w:val="24"/>
          <w:szCs w:val="24"/>
        </w:rPr>
        <w:t xml:space="preserve"> </w:t>
      </w:r>
      <w:r w:rsidRPr="00320A82">
        <w:rPr>
          <w:rFonts w:ascii="Times New Roman" w:hAnsi="Times New Roman" w:cs="Times New Roman"/>
          <w:sz w:val="24"/>
          <w:szCs w:val="24"/>
        </w:rPr>
        <w:t>West</w:t>
      </w:r>
      <w:r w:rsidR="00762B15" w:rsidRPr="00320A82">
        <w:rPr>
          <w:rFonts w:ascii="Times New Roman" w:hAnsi="Times New Roman" w:cs="Times New Roman"/>
          <w:sz w:val="24"/>
          <w:szCs w:val="24"/>
        </w:rPr>
        <w:t xml:space="preserve"> (1987)</w:t>
      </w:r>
      <w:r w:rsidRPr="00320A82">
        <w:rPr>
          <w:rFonts w:ascii="Times New Roman" w:hAnsi="Times New Roman" w:cs="Times New Roman"/>
          <w:sz w:val="24"/>
          <w:szCs w:val="24"/>
        </w:rPr>
        <w:t xml:space="preserve"> t-statistics are shown in square brackets. </w:t>
      </w:r>
      <w:r w:rsidR="00EA7FB9" w:rsidRPr="00320A82">
        <w:rPr>
          <w:rFonts w:ascii="Times New Roman" w:hAnsi="Times New Roman" w:cs="Times New Roman"/>
          <w:sz w:val="24"/>
          <w:szCs w:val="24"/>
        </w:rPr>
        <w:t xml:space="preserve"> </w:t>
      </w:r>
      <w:r w:rsidR="008D0F89" w:rsidRPr="00320A82">
        <w:rPr>
          <w:rFonts w:ascii="Times New Roman" w:hAnsi="Times New Roman" w:cs="Times New Roman"/>
          <w:sz w:val="24"/>
          <w:szCs w:val="24"/>
        </w:rPr>
        <w:t xml:space="preserve">However, for purposes of comparison, </w:t>
      </w:r>
      <w:r w:rsidR="008F3757" w:rsidRPr="00320A82">
        <w:rPr>
          <w:rFonts w:ascii="Times New Roman" w:hAnsi="Times New Roman" w:cs="Times New Roman"/>
          <w:sz w:val="24"/>
          <w:szCs w:val="24"/>
        </w:rPr>
        <w:lastRenderedPageBreak/>
        <w:t xml:space="preserve">the first column of </w:t>
      </w:r>
      <w:r w:rsidR="00EA7FB9" w:rsidRPr="00320A82">
        <w:rPr>
          <w:rFonts w:ascii="Times New Roman" w:hAnsi="Times New Roman" w:cs="Times New Roman"/>
          <w:sz w:val="24"/>
          <w:szCs w:val="24"/>
        </w:rPr>
        <w:t xml:space="preserve">Panel A </w:t>
      </w:r>
      <w:r w:rsidR="008F3757" w:rsidRPr="00320A82">
        <w:rPr>
          <w:rFonts w:ascii="Times New Roman" w:hAnsi="Times New Roman" w:cs="Times New Roman"/>
          <w:sz w:val="24"/>
          <w:szCs w:val="24"/>
        </w:rPr>
        <w:t>in</w:t>
      </w:r>
      <w:r w:rsidR="00EA7FB9" w:rsidRPr="00320A82">
        <w:rPr>
          <w:rFonts w:ascii="Times New Roman" w:hAnsi="Times New Roman" w:cs="Times New Roman"/>
          <w:sz w:val="24"/>
          <w:szCs w:val="24"/>
        </w:rPr>
        <w:t xml:space="preserve"> Table 11 shows </w:t>
      </w:r>
      <w:r w:rsidR="00FF4757" w:rsidRPr="00320A82">
        <w:rPr>
          <w:rFonts w:ascii="Times New Roman" w:hAnsi="Times New Roman" w:cs="Times New Roman"/>
          <w:sz w:val="24"/>
          <w:szCs w:val="24"/>
        </w:rPr>
        <w:t>the raw</w:t>
      </w:r>
      <w:r w:rsidR="008D0F89" w:rsidRPr="00320A82">
        <w:rPr>
          <w:rFonts w:ascii="Times New Roman" w:hAnsi="Times New Roman" w:cs="Times New Roman"/>
          <w:sz w:val="24"/>
          <w:szCs w:val="24"/>
        </w:rPr>
        <w:t>,</w:t>
      </w:r>
      <w:r w:rsidR="00FF4757" w:rsidRPr="00320A82">
        <w:rPr>
          <w:rFonts w:ascii="Times New Roman" w:hAnsi="Times New Roman" w:cs="Times New Roman"/>
          <w:sz w:val="24"/>
          <w:szCs w:val="24"/>
        </w:rPr>
        <w:t xml:space="preserve"> average monthly returns for the f</w:t>
      </w:r>
      <w:r w:rsidR="008F3757" w:rsidRPr="00320A82">
        <w:rPr>
          <w:rFonts w:ascii="Times New Roman" w:hAnsi="Times New Roman" w:cs="Times New Roman"/>
          <w:sz w:val="24"/>
          <w:szCs w:val="24"/>
        </w:rPr>
        <w:t>ive</w:t>
      </w:r>
      <w:r w:rsidR="00FF4757" w:rsidRPr="00320A82">
        <w:rPr>
          <w:rFonts w:ascii="Times New Roman" w:hAnsi="Times New Roman" w:cs="Times New Roman"/>
          <w:sz w:val="24"/>
          <w:szCs w:val="24"/>
        </w:rPr>
        <w:t xml:space="preserve"> strategies; the Newe</w:t>
      </w:r>
      <w:r w:rsidR="00762B15" w:rsidRPr="00320A82">
        <w:rPr>
          <w:rFonts w:ascii="Times New Roman" w:hAnsi="Times New Roman" w:cs="Times New Roman"/>
          <w:sz w:val="24"/>
          <w:szCs w:val="24"/>
        </w:rPr>
        <w:t xml:space="preserve">y </w:t>
      </w:r>
      <w:r w:rsidR="00FF4757" w:rsidRPr="00320A82">
        <w:rPr>
          <w:rFonts w:ascii="Times New Roman" w:hAnsi="Times New Roman" w:cs="Times New Roman"/>
          <w:sz w:val="24"/>
          <w:szCs w:val="24"/>
        </w:rPr>
        <w:t xml:space="preserve">West t-statistics show that all are highly, and significantly different from zero.  </w:t>
      </w:r>
      <w:r w:rsidRPr="00320A82">
        <w:rPr>
          <w:rFonts w:ascii="Times New Roman" w:hAnsi="Times New Roman" w:cs="Times New Roman"/>
          <w:sz w:val="24"/>
          <w:szCs w:val="24"/>
        </w:rPr>
        <w:t xml:space="preserve">Looking across all of the strategy returns and risk factors, there is little evidence that exposure to these factors is able to account for the returns from the strategies. </w:t>
      </w:r>
      <w:r w:rsidR="00FF4757" w:rsidRPr="00320A82">
        <w:rPr>
          <w:rFonts w:ascii="Times New Roman" w:hAnsi="Times New Roman" w:cs="Times New Roman"/>
          <w:sz w:val="24"/>
          <w:szCs w:val="24"/>
        </w:rPr>
        <w:t>A c</w:t>
      </w:r>
      <w:r w:rsidRPr="00320A82">
        <w:rPr>
          <w:rFonts w:ascii="Times New Roman" w:hAnsi="Times New Roman" w:cs="Times New Roman"/>
          <w:sz w:val="24"/>
          <w:szCs w:val="24"/>
        </w:rPr>
        <w:t xml:space="preserve">omparison of the estimated alphas from the two risk adjustment regressions </w:t>
      </w:r>
      <w:r w:rsidR="00FF4757" w:rsidRPr="00320A82">
        <w:rPr>
          <w:rFonts w:ascii="Times New Roman" w:hAnsi="Times New Roman" w:cs="Times New Roman"/>
          <w:sz w:val="24"/>
          <w:szCs w:val="24"/>
        </w:rPr>
        <w:t xml:space="preserve">shown in Panels </w:t>
      </w:r>
      <w:r w:rsidR="008F3757" w:rsidRPr="00320A82">
        <w:rPr>
          <w:rFonts w:ascii="Times New Roman" w:hAnsi="Times New Roman" w:cs="Times New Roman"/>
          <w:sz w:val="24"/>
          <w:szCs w:val="24"/>
        </w:rPr>
        <w:t>A</w:t>
      </w:r>
      <w:r w:rsidR="00FF4757" w:rsidRPr="00320A82">
        <w:rPr>
          <w:rFonts w:ascii="Times New Roman" w:hAnsi="Times New Roman" w:cs="Times New Roman"/>
          <w:sz w:val="24"/>
          <w:szCs w:val="24"/>
        </w:rPr>
        <w:t xml:space="preserve"> and </w:t>
      </w:r>
      <w:r w:rsidR="008F3757" w:rsidRPr="00320A82">
        <w:rPr>
          <w:rFonts w:ascii="Times New Roman" w:hAnsi="Times New Roman" w:cs="Times New Roman"/>
          <w:sz w:val="24"/>
          <w:szCs w:val="24"/>
        </w:rPr>
        <w:t>B</w:t>
      </w:r>
      <w:r w:rsidR="00FF4757" w:rsidRPr="00320A82">
        <w:rPr>
          <w:rFonts w:ascii="Times New Roman" w:hAnsi="Times New Roman" w:cs="Times New Roman"/>
          <w:sz w:val="24"/>
          <w:szCs w:val="24"/>
        </w:rPr>
        <w:t xml:space="preserve"> show that </w:t>
      </w:r>
      <w:r w:rsidRPr="00320A82">
        <w:rPr>
          <w:rFonts w:ascii="Times New Roman" w:hAnsi="Times New Roman" w:cs="Times New Roman"/>
          <w:sz w:val="24"/>
          <w:szCs w:val="24"/>
        </w:rPr>
        <w:t>the alphas remain large and significantly larger than zero</w:t>
      </w:r>
      <w:r w:rsidR="008F3757" w:rsidRPr="00320A82">
        <w:rPr>
          <w:rFonts w:ascii="Times New Roman" w:hAnsi="Times New Roman" w:cs="Times New Roman"/>
          <w:sz w:val="24"/>
          <w:szCs w:val="24"/>
        </w:rPr>
        <w:t xml:space="preserve"> in comparison to the raw, average returns</w:t>
      </w:r>
      <w:r w:rsidRPr="00320A82">
        <w:rPr>
          <w:rFonts w:ascii="Times New Roman" w:hAnsi="Times New Roman" w:cs="Times New Roman"/>
          <w:sz w:val="24"/>
          <w:szCs w:val="24"/>
        </w:rPr>
        <w:t xml:space="preserve">.  </w:t>
      </w:r>
      <w:r w:rsidR="00FF4757" w:rsidRPr="00320A82">
        <w:rPr>
          <w:rFonts w:ascii="Times New Roman" w:hAnsi="Times New Roman" w:cs="Times New Roman"/>
          <w:sz w:val="24"/>
          <w:szCs w:val="24"/>
        </w:rPr>
        <w:t>For example, the average return for the TF &amp; MOM VW strategy is 1.</w:t>
      </w:r>
      <w:r w:rsidR="0082572B">
        <w:rPr>
          <w:rFonts w:ascii="Times New Roman" w:hAnsi="Times New Roman" w:cs="Times New Roman"/>
          <w:sz w:val="24"/>
          <w:szCs w:val="24"/>
        </w:rPr>
        <w:t>196</w:t>
      </w:r>
      <w:r w:rsidR="00FF4757" w:rsidRPr="00320A82">
        <w:rPr>
          <w:rFonts w:ascii="Times New Roman" w:hAnsi="Times New Roman" w:cs="Times New Roman"/>
          <w:sz w:val="24"/>
          <w:szCs w:val="24"/>
        </w:rPr>
        <w:t xml:space="preserve">% per month; the </w:t>
      </w:r>
      <w:proofErr w:type="spellStart"/>
      <w:r w:rsidR="00FF4757" w:rsidRPr="00320A82">
        <w:rPr>
          <w:rFonts w:ascii="Times New Roman" w:hAnsi="Times New Roman" w:cs="Times New Roman"/>
          <w:sz w:val="24"/>
          <w:szCs w:val="24"/>
        </w:rPr>
        <w:t>Fama</w:t>
      </w:r>
      <w:proofErr w:type="spellEnd"/>
      <w:r w:rsidR="00FF4757" w:rsidRPr="00320A82">
        <w:rPr>
          <w:rFonts w:ascii="Times New Roman" w:hAnsi="Times New Roman" w:cs="Times New Roman"/>
          <w:sz w:val="24"/>
          <w:szCs w:val="24"/>
        </w:rPr>
        <w:t xml:space="preserve"> and French adjusted alpha is just over </w:t>
      </w:r>
      <w:r w:rsidR="0082572B">
        <w:rPr>
          <w:rFonts w:ascii="Times New Roman" w:hAnsi="Times New Roman" w:cs="Times New Roman"/>
          <w:sz w:val="24"/>
          <w:szCs w:val="24"/>
        </w:rPr>
        <w:t>0.8</w:t>
      </w:r>
      <w:r w:rsidR="00FF4757" w:rsidRPr="00320A82">
        <w:rPr>
          <w:rFonts w:ascii="Times New Roman" w:hAnsi="Times New Roman" w:cs="Times New Roman"/>
          <w:sz w:val="24"/>
          <w:szCs w:val="24"/>
        </w:rPr>
        <w:t>% per month.  We also find that the</w:t>
      </w:r>
      <w:r w:rsidR="009F7A1E" w:rsidRPr="00320A82">
        <w:rPr>
          <w:rFonts w:ascii="Times New Roman" w:hAnsi="Times New Roman" w:cs="Times New Roman"/>
          <w:sz w:val="24"/>
          <w:szCs w:val="24"/>
        </w:rPr>
        <w:t xml:space="preserve"> </w:t>
      </w:r>
      <w:proofErr w:type="spellStart"/>
      <w:r w:rsidR="009F7A1E" w:rsidRPr="00320A82">
        <w:rPr>
          <w:rFonts w:ascii="Times New Roman" w:hAnsi="Times New Roman" w:cs="Times New Roman"/>
          <w:sz w:val="24"/>
          <w:szCs w:val="24"/>
        </w:rPr>
        <w:t>Fama</w:t>
      </w:r>
      <w:proofErr w:type="spellEnd"/>
      <w:r w:rsidR="009F7A1E" w:rsidRPr="00320A82">
        <w:rPr>
          <w:rFonts w:ascii="Times New Roman" w:hAnsi="Times New Roman" w:cs="Times New Roman"/>
          <w:sz w:val="24"/>
          <w:szCs w:val="24"/>
        </w:rPr>
        <w:t xml:space="preserve">-French factors are jointly significantly different </w:t>
      </w:r>
      <w:r w:rsidR="00FF4757" w:rsidRPr="00320A82">
        <w:rPr>
          <w:rFonts w:ascii="Times New Roman" w:hAnsi="Times New Roman" w:cs="Times New Roman"/>
          <w:sz w:val="24"/>
          <w:szCs w:val="24"/>
        </w:rPr>
        <w:t xml:space="preserve">from </w:t>
      </w:r>
      <w:r w:rsidR="009F7A1E" w:rsidRPr="00320A82">
        <w:rPr>
          <w:rFonts w:ascii="Times New Roman" w:hAnsi="Times New Roman" w:cs="Times New Roman"/>
          <w:sz w:val="24"/>
          <w:szCs w:val="24"/>
        </w:rPr>
        <w:t>zero in all cases judging by the significance of the F-statistics shown in the final column of the table. This is due to the contribution of the excess market return and</w:t>
      </w:r>
      <w:r w:rsidRPr="00320A82">
        <w:rPr>
          <w:rFonts w:ascii="Times New Roman" w:hAnsi="Times New Roman" w:cs="Times New Roman"/>
          <w:sz w:val="24"/>
          <w:szCs w:val="24"/>
        </w:rPr>
        <w:t xml:space="preserve">, perhaps unsurprisingly, </w:t>
      </w:r>
      <w:r w:rsidR="00FF4757" w:rsidRPr="00320A82">
        <w:rPr>
          <w:rFonts w:ascii="Times New Roman" w:hAnsi="Times New Roman" w:cs="Times New Roman"/>
          <w:sz w:val="24"/>
          <w:szCs w:val="24"/>
        </w:rPr>
        <w:t xml:space="preserve">to </w:t>
      </w:r>
      <w:r w:rsidRPr="00320A82">
        <w:rPr>
          <w:rFonts w:ascii="Times New Roman" w:hAnsi="Times New Roman" w:cs="Times New Roman"/>
          <w:sz w:val="24"/>
          <w:szCs w:val="24"/>
        </w:rPr>
        <w:t xml:space="preserve">the return to the </w:t>
      </w:r>
      <w:proofErr w:type="spellStart"/>
      <w:r w:rsidRPr="00320A82">
        <w:rPr>
          <w:rFonts w:ascii="Times New Roman" w:hAnsi="Times New Roman" w:cs="Times New Roman"/>
          <w:sz w:val="24"/>
          <w:szCs w:val="24"/>
        </w:rPr>
        <w:t>Cahart</w:t>
      </w:r>
      <w:proofErr w:type="spellEnd"/>
      <w:r w:rsidRPr="00320A82">
        <w:rPr>
          <w:rFonts w:ascii="Times New Roman" w:hAnsi="Times New Roman" w:cs="Times New Roman"/>
          <w:sz w:val="24"/>
          <w:szCs w:val="24"/>
        </w:rPr>
        <w:t xml:space="preserve"> momentum factor (UMD) </w:t>
      </w:r>
      <w:r w:rsidR="009F7A1E" w:rsidRPr="00320A82">
        <w:rPr>
          <w:rFonts w:ascii="Times New Roman" w:hAnsi="Times New Roman" w:cs="Times New Roman"/>
          <w:sz w:val="24"/>
          <w:szCs w:val="24"/>
        </w:rPr>
        <w:t>which are both</w:t>
      </w:r>
      <w:r w:rsidRPr="00320A82">
        <w:rPr>
          <w:rFonts w:ascii="Times New Roman" w:hAnsi="Times New Roman" w:cs="Times New Roman"/>
          <w:sz w:val="24"/>
          <w:szCs w:val="24"/>
        </w:rPr>
        <w:t xml:space="preserve"> positive and individually significantly different to zero. </w:t>
      </w:r>
      <w:r w:rsidR="00FF4757" w:rsidRPr="00320A82">
        <w:rPr>
          <w:rFonts w:ascii="Times New Roman" w:hAnsi="Times New Roman" w:cs="Times New Roman"/>
          <w:sz w:val="24"/>
          <w:szCs w:val="24"/>
        </w:rPr>
        <w:t xml:space="preserve"> T</w:t>
      </w:r>
      <w:r w:rsidRPr="00320A82">
        <w:rPr>
          <w:rFonts w:ascii="Times New Roman" w:hAnsi="Times New Roman" w:cs="Times New Roman"/>
          <w:sz w:val="24"/>
          <w:szCs w:val="24"/>
        </w:rPr>
        <w:t xml:space="preserve">he </w:t>
      </w:r>
      <w:r w:rsidR="00FF4757" w:rsidRPr="00320A82">
        <w:rPr>
          <w:rFonts w:ascii="Times New Roman" w:hAnsi="Times New Roman" w:cs="Times New Roman"/>
          <w:sz w:val="24"/>
          <w:szCs w:val="24"/>
        </w:rPr>
        <w:t xml:space="preserve">alphas calculated using the wider </w:t>
      </w:r>
      <w:r w:rsidRPr="00320A82">
        <w:rPr>
          <w:rFonts w:ascii="Times New Roman" w:hAnsi="Times New Roman" w:cs="Times New Roman"/>
          <w:sz w:val="24"/>
          <w:szCs w:val="24"/>
        </w:rPr>
        <w:t>set of market factors</w:t>
      </w:r>
      <w:r w:rsidR="00FF4757" w:rsidRPr="00320A82">
        <w:rPr>
          <w:rFonts w:ascii="Times New Roman" w:hAnsi="Times New Roman" w:cs="Times New Roman"/>
          <w:sz w:val="24"/>
          <w:szCs w:val="24"/>
        </w:rPr>
        <w:t xml:space="preserve"> (</w:t>
      </w:r>
      <w:r w:rsidR="008F3757" w:rsidRPr="00320A82">
        <w:rPr>
          <w:rFonts w:ascii="Times New Roman" w:hAnsi="Times New Roman" w:cs="Times New Roman"/>
          <w:sz w:val="24"/>
          <w:szCs w:val="24"/>
        </w:rPr>
        <w:t>P</w:t>
      </w:r>
      <w:r w:rsidR="00FF4757" w:rsidRPr="00320A82">
        <w:rPr>
          <w:rFonts w:ascii="Times New Roman" w:hAnsi="Times New Roman" w:cs="Times New Roman"/>
          <w:sz w:val="24"/>
          <w:szCs w:val="24"/>
        </w:rPr>
        <w:t xml:space="preserve">anel </w:t>
      </w:r>
      <w:r w:rsidR="008F3757" w:rsidRPr="00320A82">
        <w:rPr>
          <w:rFonts w:ascii="Times New Roman" w:hAnsi="Times New Roman" w:cs="Times New Roman"/>
          <w:sz w:val="24"/>
          <w:szCs w:val="24"/>
        </w:rPr>
        <w:t>B</w:t>
      </w:r>
      <w:r w:rsidR="00FF4757" w:rsidRPr="00320A82">
        <w:rPr>
          <w:rFonts w:ascii="Times New Roman" w:hAnsi="Times New Roman" w:cs="Times New Roman"/>
          <w:sz w:val="24"/>
          <w:szCs w:val="24"/>
        </w:rPr>
        <w:t>)</w:t>
      </w:r>
      <w:r w:rsidRPr="00320A82">
        <w:rPr>
          <w:rFonts w:ascii="Times New Roman" w:hAnsi="Times New Roman" w:cs="Times New Roman"/>
          <w:sz w:val="24"/>
          <w:szCs w:val="24"/>
        </w:rPr>
        <w:t xml:space="preserve"> </w:t>
      </w:r>
      <w:r w:rsidR="00FF4757" w:rsidRPr="00320A82">
        <w:rPr>
          <w:rFonts w:ascii="Times New Roman" w:hAnsi="Times New Roman" w:cs="Times New Roman"/>
          <w:sz w:val="24"/>
          <w:szCs w:val="24"/>
        </w:rPr>
        <w:t xml:space="preserve">also remain highly and statistically different from zero; the estimated alpha for the TF &amp; MOM VW </w:t>
      </w:r>
      <w:r w:rsidR="0082572B">
        <w:rPr>
          <w:rFonts w:ascii="Times New Roman" w:hAnsi="Times New Roman" w:cs="Times New Roman"/>
          <w:sz w:val="24"/>
          <w:szCs w:val="24"/>
        </w:rPr>
        <w:t>strategy is estimated to be 1.25</w:t>
      </w:r>
      <w:r w:rsidR="00FF4757" w:rsidRPr="00320A82">
        <w:rPr>
          <w:rFonts w:ascii="Times New Roman" w:hAnsi="Times New Roman" w:cs="Times New Roman"/>
          <w:sz w:val="24"/>
          <w:szCs w:val="24"/>
        </w:rPr>
        <w:t>% per month.  T</w:t>
      </w:r>
      <w:r w:rsidRPr="00320A82">
        <w:rPr>
          <w:rFonts w:ascii="Times New Roman" w:hAnsi="Times New Roman" w:cs="Times New Roman"/>
          <w:sz w:val="24"/>
          <w:szCs w:val="24"/>
        </w:rPr>
        <w:t xml:space="preserve">he </w:t>
      </w:r>
      <w:r w:rsidR="009F7A1E" w:rsidRPr="00320A82">
        <w:rPr>
          <w:rFonts w:ascii="Times New Roman" w:hAnsi="Times New Roman" w:cs="Times New Roman"/>
          <w:sz w:val="24"/>
          <w:szCs w:val="24"/>
        </w:rPr>
        <w:t xml:space="preserve">world equity market return and aggregate commodity market futures </w:t>
      </w:r>
      <w:r w:rsidRPr="00320A82">
        <w:rPr>
          <w:rFonts w:ascii="Times New Roman" w:hAnsi="Times New Roman" w:cs="Times New Roman"/>
          <w:sz w:val="24"/>
          <w:szCs w:val="24"/>
        </w:rPr>
        <w:t>return</w:t>
      </w:r>
      <w:r w:rsidR="009F7A1E" w:rsidRPr="00320A82">
        <w:rPr>
          <w:rFonts w:ascii="Times New Roman" w:hAnsi="Times New Roman" w:cs="Times New Roman"/>
          <w:sz w:val="24"/>
          <w:szCs w:val="24"/>
        </w:rPr>
        <w:t>s have</w:t>
      </w:r>
      <w:r w:rsidRPr="00320A82">
        <w:rPr>
          <w:rFonts w:ascii="Times New Roman" w:hAnsi="Times New Roman" w:cs="Times New Roman"/>
          <w:sz w:val="24"/>
          <w:szCs w:val="24"/>
        </w:rPr>
        <w:t xml:space="preserve"> a positive and significant effect as do the short-term interest rate and stock market hedge fund look</w:t>
      </w:r>
      <w:r w:rsidR="004B523B" w:rsidRPr="00320A82">
        <w:rPr>
          <w:rFonts w:ascii="Times New Roman" w:hAnsi="Times New Roman" w:cs="Times New Roman"/>
          <w:sz w:val="24"/>
          <w:szCs w:val="24"/>
        </w:rPr>
        <w:t xml:space="preserve"> </w:t>
      </w:r>
      <w:r w:rsidRPr="00320A82">
        <w:rPr>
          <w:rFonts w:ascii="Times New Roman" w:hAnsi="Times New Roman" w:cs="Times New Roman"/>
          <w:sz w:val="24"/>
          <w:szCs w:val="24"/>
        </w:rPr>
        <w:t xml:space="preserve">back straddle factors. These positive </w:t>
      </w:r>
      <w:r w:rsidR="00717F98" w:rsidRPr="00320A82">
        <w:rPr>
          <w:rFonts w:ascii="Times New Roman" w:hAnsi="Times New Roman" w:cs="Times New Roman"/>
          <w:sz w:val="24"/>
          <w:szCs w:val="24"/>
        </w:rPr>
        <w:t xml:space="preserve">relationships </w:t>
      </w:r>
      <w:r w:rsidRPr="00320A82">
        <w:rPr>
          <w:rFonts w:ascii="Times New Roman" w:hAnsi="Times New Roman" w:cs="Times New Roman"/>
          <w:sz w:val="24"/>
          <w:szCs w:val="24"/>
        </w:rPr>
        <w:t xml:space="preserve">imply that the strategies we examine are providing a hedge against the risks that these factors represent. </w:t>
      </w:r>
    </w:p>
    <w:p w:rsidR="00411D0E" w:rsidRPr="00320A82" w:rsidRDefault="00411D0E" w:rsidP="001212DF">
      <w:pPr>
        <w:spacing w:after="0" w:line="360" w:lineRule="auto"/>
        <w:jc w:val="both"/>
        <w:rPr>
          <w:rFonts w:ascii="Times New Roman" w:hAnsi="Times New Roman" w:cs="Times New Roman"/>
          <w:sz w:val="24"/>
          <w:szCs w:val="24"/>
        </w:rPr>
      </w:pPr>
    </w:p>
    <w:p w:rsidR="0082572B" w:rsidRPr="00320A82" w:rsidRDefault="00411D0E"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The analysis of risk explanations for the trend following and momentum returns that we have found therefore suggests that </w:t>
      </w:r>
      <w:r w:rsidR="00717F98" w:rsidRPr="00320A82">
        <w:rPr>
          <w:rFonts w:ascii="Times New Roman" w:hAnsi="Times New Roman" w:cs="Times New Roman"/>
          <w:sz w:val="24"/>
          <w:szCs w:val="24"/>
        </w:rPr>
        <w:t xml:space="preserve">while </w:t>
      </w:r>
      <w:r w:rsidRPr="00320A82">
        <w:rPr>
          <w:rFonts w:ascii="Times New Roman" w:hAnsi="Times New Roman" w:cs="Times New Roman"/>
          <w:sz w:val="24"/>
          <w:szCs w:val="24"/>
        </w:rPr>
        <w:t>risk factors can provide a statistically significant contribution, there remains a significant unexplained alpha which is at least two-thirds of the level of the raw excess returns</w:t>
      </w:r>
      <w:r w:rsidR="008E05E8" w:rsidRPr="00320A82">
        <w:rPr>
          <w:rFonts w:ascii="Times New Roman" w:hAnsi="Times New Roman" w:cs="Times New Roman"/>
          <w:sz w:val="24"/>
          <w:szCs w:val="24"/>
        </w:rPr>
        <w:t>.</w:t>
      </w:r>
    </w:p>
    <w:p w:rsidR="00320A82" w:rsidRPr="00320A82" w:rsidRDefault="00320A82" w:rsidP="001212DF">
      <w:pPr>
        <w:spacing w:after="0" w:line="360" w:lineRule="auto"/>
        <w:jc w:val="both"/>
        <w:rPr>
          <w:rFonts w:ascii="Times New Roman" w:hAnsi="Times New Roman" w:cs="Times New Roman"/>
          <w:sz w:val="24"/>
          <w:szCs w:val="24"/>
        </w:rPr>
      </w:pPr>
    </w:p>
    <w:p w:rsidR="00320A82" w:rsidRPr="00B32A38" w:rsidRDefault="00991108" w:rsidP="001212DF">
      <w:pPr>
        <w:spacing w:after="0" w:line="360" w:lineRule="auto"/>
        <w:jc w:val="both"/>
        <w:rPr>
          <w:rFonts w:ascii="Times New Roman" w:hAnsi="Times New Roman" w:cs="Times New Roman"/>
          <w:b/>
          <w:sz w:val="24"/>
          <w:szCs w:val="24"/>
        </w:rPr>
      </w:pPr>
      <w:r w:rsidRPr="00B32A38">
        <w:rPr>
          <w:rFonts w:ascii="Times New Roman" w:hAnsi="Times New Roman" w:cs="Times New Roman"/>
          <w:b/>
          <w:sz w:val="24"/>
          <w:szCs w:val="24"/>
        </w:rPr>
        <w:t>6. Assessing the Value of Strategy Returns for I</w:t>
      </w:r>
      <w:r w:rsidR="00320A82" w:rsidRPr="00B32A38">
        <w:rPr>
          <w:rFonts w:ascii="Times New Roman" w:hAnsi="Times New Roman" w:cs="Times New Roman"/>
          <w:b/>
          <w:sz w:val="24"/>
          <w:szCs w:val="24"/>
        </w:rPr>
        <w:t>nvestors</w:t>
      </w:r>
    </w:p>
    <w:p w:rsidR="00EF41EA" w:rsidRDefault="00991108" w:rsidP="00121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analysis in this paper has demonstrated that the risk parity strategy out performs an equally-weighted approach in terms of both average returns and Sharpe ratio and both in raw and risk factor adjusted terms. Even more </w:t>
      </w:r>
      <w:r w:rsidR="003D16AB">
        <w:rPr>
          <w:rFonts w:ascii="Times New Roman" w:hAnsi="Times New Roman" w:cs="Times New Roman"/>
          <w:sz w:val="24"/>
          <w:szCs w:val="24"/>
        </w:rPr>
        <w:t>clear-cut</w:t>
      </w:r>
      <w:r>
        <w:rPr>
          <w:rFonts w:ascii="Times New Roman" w:hAnsi="Times New Roman" w:cs="Times New Roman"/>
          <w:sz w:val="24"/>
          <w:szCs w:val="24"/>
        </w:rPr>
        <w:t xml:space="preserve"> is the improvement in terms of raw returns of employing a trend following or momentum strategy or a combination of the two. However, much of the improvement in average returns achieved by the momentum strategy is at the cost of increased downside risk. </w:t>
      </w:r>
      <w:r w:rsidR="00B32A38">
        <w:rPr>
          <w:rFonts w:ascii="Times New Roman" w:hAnsi="Times New Roman" w:cs="Times New Roman"/>
          <w:sz w:val="24"/>
          <w:szCs w:val="24"/>
        </w:rPr>
        <w:t>Average raw or risk-factor adjusted returns or the Sharpe ratio do not provide a metric suitable for c</w:t>
      </w:r>
      <w:r>
        <w:rPr>
          <w:rFonts w:ascii="Times New Roman" w:hAnsi="Times New Roman" w:cs="Times New Roman"/>
          <w:sz w:val="24"/>
          <w:szCs w:val="24"/>
        </w:rPr>
        <w:t xml:space="preserve">omparisons of strategy performance </w:t>
      </w:r>
      <w:r w:rsidR="00B32A38">
        <w:rPr>
          <w:rFonts w:ascii="Times New Roman" w:hAnsi="Times New Roman" w:cs="Times New Roman"/>
          <w:sz w:val="24"/>
          <w:szCs w:val="24"/>
        </w:rPr>
        <w:t xml:space="preserve">where skewness or higher moments are significant. In this section we evaluate strategy returns using </w:t>
      </w:r>
      <w:r w:rsidR="00B32A38">
        <w:rPr>
          <w:rFonts w:ascii="Times New Roman" w:hAnsi="Times New Roman" w:cs="Times New Roman"/>
          <w:sz w:val="24"/>
          <w:szCs w:val="24"/>
        </w:rPr>
        <w:lastRenderedPageBreak/>
        <w:t xml:space="preserve">measures that take into account higher moments and, more importantly, provide a direct connection to the utility function of investors. </w:t>
      </w:r>
    </w:p>
    <w:p w:rsidR="00B32A38" w:rsidRDefault="00B32A38" w:rsidP="001212DF">
      <w:pPr>
        <w:spacing w:after="0" w:line="360" w:lineRule="auto"/>
        <w:jc w:val="both"/>
        <w:rPr>
          <w:rFonts w:ascii="Times New Roman" w:hAnsi="Times New Roman" w:cs="Times New Roman"/>
          <w:sz w:val="24"/>
          <w:szCs w:val="24"/>
        </w:rPr>
      </w:pPr>
    </w:p>
    <w:p w:rsidR="00B32A38" w:rsidRDefault="00B32A38" w:rsidP="00EE7F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measure that we consider is that </w:t>
      </w:r>
      <w:r w:rsidR="006E2FA2">
        <w:rPr>
          <w:rFonts w:ascii="Times New Roman" w:hAnsi="Times New Roman" w:cs="Times New Roman"/>
          <w:sz w:val="24"/>
          <w:szCs w:val="24"/>
        </w:rPr>
        <w:t>discussed</w:t>
      </w:r>
      <w:r>
        <w:rPr>
          <w:rFonts w:ascii="Times New Roman" w:hAnsi="Times New Roman" w:cs="Times New Roman"/>
          <w:sz w:val="24"/>
          <w:szCs w:val="24"/>
        </w:rPr>
        <w:t xml:space="preserve"> by </w:t>
      </w:r>
      <w:proofErr w:type="spellStart"/>
      <w:r>
        <w:rPr>
          <w:rFonts w:ascii="Times New Roman" w:hAnsi="Times New Roman" w:cs="Times New Roman"/>
          <w:sz w:val="24"/>
          <w:szCs w:val="24"/>
        </w:rPr>
        <w:t>Sortino</w:t>
      </w:r>
      <w:proofErr w:type="spellEnd"/>
      <w:r>
        <w:rPr>
          <w:rFonts w:ascii="Times New Roman" w:hAnsi="Times New Roman" w:cs="Times New Roman"/>
          <w:sz w:val="24"/>
          <w:szCs w:val="24"/>
        </w:rPr>
        <w:t xml:space="preserve"> </w:t>
      </w:r>
      <w:r w:rsidR="006E2FA2">
        <w:rPr>
          <w:rFonts w:ascii="Times New Roman" w:hAnsi="Times New Roman" w:cs="Times New Roman"/>
          <w:sz w:val="24"/>
          <w:szCs w:val="24"/>
        </w:rPr>
        <w:t>and Price (1994</w:t>
      </w:r>
      <w:r>
        <w:rPr>
          <w:rFonts w:ascii="Times New Roman" w:hAnsi="Times New Roman" w:cs="Times New Roman"/>
          <w:sz w:val="24"/>
          <w:szCs w:val="24"/>
        </w:rPr>
        <w:t>).</w:t>
      </w:r>
      <w:r w:rsidR="006E2FA2">
        <w:rPr>
          <w:rFonts w:ascii="Times New Roman" w:hAnsi="Times New Roman" w:cs="Times New Roman"/>
          <w:sz w:val="24"/>
          <w:szCs w:val="24"/>
        </w:rPr>
        <w:t xml:space="preserve"> The </w:t>
      </w:r>
      <w:proofErr w:type="spellStart"/>
      <w:r w:rsidR="006E2FA2">
        <w:rPr>
          <w:rFonts w:ascii="Times New Roman" w:hAnsi="Times New Roman" w:cs="Times New Roman"/>
          <w:sz w:val="24"/>
          <w:szCs w:val="24"/>
        </w:rPr>
        <w:t>Sortino</w:t>
      </w:r>
      <w:proofErr w:type="spellEnd"/>
      <w:r w:rsidR="006E2FA2">
        <w:rPr>
          <w:rFonts w:ascii="Times New Roman" w:hAnsi="Times New Roman" w:cs="Times New Roman"/>
          <w:sz w:val="24"/>
          <w:szCs w:val="24"/>
        </w:rPr>
        <w:t xml:space="preserve"> ratio is constructed as the ratio of the average excess return divided by the standard deviation of negative returns. It offers an </w:t>
      </w:r>
      <w:proofErr w:type="spellStart"/>
      <w:r w:rsidR="006E2FA2">
        <w:rPr>
          <w:rFonts w:ascii="Times New Roman" w:hAnsi="Times New Roman" w:cs="Times New Roman"/>
          <w:sz w:val="24"/>
          <w:szCs w:val="24"/>
        </w:rPr>
        <w:t>atheoretic</w:t>
      </w:r>
      <w:proofErr w:type="spellEnd"/>
      <w:r w:rsidR="006E2FA2">
        <w:rPr>
          <w:rFonts w:ascii="Times New Roman" w:hAnsi="Times New Roman" w:cs="Times New Roman"/>
          <w:sz w:val="24"/>
          <w:szCs w:val="24"/>
        </w:rPr>
        <w:t xml:space="preserve"> focus on the size of returns relative to downside risk which penalises strategy returns with significant negative skewness. </w:t>
      </w:r>
      <w:r>
        <w:rPr>
          <w:rFonts w:ascii="Times New Roman" w:hAnsi="Times New Roman" w:cs="Times New Roman"/>
          <w:sz w:val="24"/>
          <w:szCs w:val="24"/>
        </w:rPr>
        <w:t xml:space="preserve">Whilst the </w:t>
      </w:r>
      <w:proofErr w:type="spellStart"/>
      <w:r>
        <w:rPr>
          <w:rFonts w:ascii="Times New Roman" w:hAnsi="Times New Roman" w:cs="Times New Roman"/>
          <w:sz w:val="24"/>
          <w:szCs w:val="24"/>
        </w:rPr>
        <w:t>Sortino</w:t>
      </w:r>
      <w:proofErr w:type="spellEnd"/>
      <w:r>
        <w:rPr>
          <w:rFonts w:ascii="Times New Roman" w:hAnsi="Times New Roman" w:cs="Times New Roman"/>
          <w:sz w:val="24"/>
          <w:szCs w:val="24"/>
        </w:rPr>
        <w:t xml:space="preserve"> index allows for downside risk, it is not directly co</w:t>
      </w:r>
      <w:r w:rsidR="006E2FA2">
        <w:rPr>
          <w:rFonts w:ascii="Times New Roman" w:hAnsi="Times New Roman" w:cs="Times New Roman"/>
          <w:sz w:val="24"/>
          <w:szCs w:val="24"/>
        </w:rPr>
        <w:t xml:space="preserve">nnected to investor preferences. </w:t>
      </w:r>
      <w:r>
        <w:rPr>
          <w:rFonts w:ascii="Times New Roman" w:hAnsi="Times New Roman" w:cs="Times New Roman"/>
          <w:sz w:val="24"/>
          <w:szCs w:val="24"/>
        </w:rPr>
        <w:t xml:space="preserve">The second measure </w:t>
      </w:r>
      <w:r w:rsidR="0032022D">
        <w:rPr>
          <w:rFonts w:ascii="Times New Roman" w:hAnsi="Times New Roman" w:cs="Times New Roman"/>
          <w:sz w:val="24"/>
          <w:szCs w:val="24"/>
        </w:rPr>
        <w:t xml:space="preserve">for ranking investments </w:t>
      </w:r>
      <w:r>
        <w:rPr>
          <w:rFonts w:ascii="Times New Roman" w:hAnsi="Times New Roman" w:cs="Times New Roman"/>
          <w:sz w:val="24"/>
          <w:szCs w:val="24"/>
        </w:rPr>
        <w:t xml:space="preserve">that we consider is the generalized measure proposed by </w:t>
      </w:r>
      <w:proofErr w:type="spellStart"/>
      <w:r>
        <w:rPr>
          <w:rFonts w:ascii="Times New Roman" w:hAnsi="Times New Roman" w:cs="Times New Roman"/>
          <w:sz w:val="24"/>
          <w:szCs w:val="24"/>
        </w:rPr>
        <w:t>Smetters</w:t>
      </w:r>
      <w:proofErr w:type="spellEnd"/>
      <w:r>
        <w:rPr>
          <w:rFonts w:ascii="Times New Roman" w:hAnsi="Times New Roman" w:cs="Times New Roman"/>
          <w:sz w:val="24"/>
          <w:szCs w:val="24"/>
        </w:rPr>
        <w:t xml:space="preserve"> and Zhang (2013). </w:t>
      </w:r>
      <w:r w:rsidR="0032022D">
        <w:rPr>
          <w:rFonts w:ascii="Times New Roman" w:hAnsi="Times New Roman" w:cs="Times New Roman"/>
          <w:sz w:val="24"/>
          <w:szCs w:val="24"/>
        </w:rPr>
        <w:t xml:space="preserve">They show that in order to be valid for non-Normal distributions of returns, any measure cannot be independent of investor preferences. </w:t>
      </w:r>
      <w:r>
        <w:rPr>
          <w:rFonts w:ascii="Times New Roman" w:hAnsi="Times New Roman" w:cs="Times New Roman"/>
          <w:sz w:val="24"/>
          <w:szCs w:val="24"/>
        </w:rPr>
        <w:t>The version that we report is that based on the power utility function where the utility function can be written as:</w:t>
      </w:r>
    </w:p>
    <w:p w:rsidR="0073034A" w:rsidRDefault="0073034A" w:rsidP="0073034A">
      <w:pPr>
        <w:pStyle w:val="MTDisplayEquation"/>
      </w:pPr>
      <w:r>
        <w:tab/>
      </w:r>
      <w:r w:rsidRPr="0073034A">
        <w:rPr>
          <w:position w:val="-28"/>
        </w:rPr>
        <w:object w:dxaOrig="1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5.25pt" o:ole="">
            <v:imagedata r:id="rId10" o:title=""/>
          </v:shape>
          <o:OLEObject Type="Embed" ProgID="Equation.DSMT4" ShapeID="_x0000_i1025" DrawAspect="Content" ObjectID="_1511857528" r:id="rId11"/>
        </w:object>
      </w:r>
    </w:p>
    <w:p w:rsidR="00B32A38" w:rsidRDefault="00EE7FAC" w:rsidP="001212DF">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w:t>
      </w:r>
      <w:r w:rsidR="0073034A">
        <w:rPr>
          <w:rFonts w:ascii="Times New Roman" w:hAnsi="Times New Roman" w:cs="Times New Roman"/>
          <w:sz w:val="24"/>
          <w:szCs w:val="24"/>
        </w:rPr>
        <w:t>here</w:t>
      </w:r>
      <w:proofErr w:type="gramEnd"/>
      <w:r w:rsidR="0073034A">
        <w:rPr>
          <w:rFonts w:ascii="Times New Roman" w:hAnsi="Times New Roman" w:cs="Times New Roman"/>
          <w:sz w:val="24"/>
          <w:szCs w:val="24"/>
        </w:rPr>
        <w:t xml:space="preserve"> </w:t>
      </w:r>
      <w:r w:rsidR="0073034A" w:rsidRPr="0073034A">
        <w:rPr>
          <w:rFonts w:ascii="Times New Roman" w:hAnsi="Times New Roman" w:cs="Times New Roman"/>
          <w:position w:val="-10"/>
          <w:sz w:val="24"/>
          <w:szCs w:val="24"/>
        </w:rPr>
        <w:object w:dxaOrig="200" w:dyaOrig="260">
          <v:shape id="_x0000_i1026" type="#_x0000_t75" style="width:9.75pt;height:13.5pt" o:ole="">
            <v:imagedata r:id="rId12" o:title=""/>
          </v:shape>
          <o:OLEObject Type="Embed" ProgID="Equation.DSMT4" ShapeID="_x0000_i1026" DrawAspect="Content" ObjectID="_1511857529" r:id="rId13"/>
        </w:object>
      </w:r>
      <w:r w:rsidR="0073034A">
        <w:rPr>
          <w:rFonts w:ascii="Times New Roman" w:hAnsi="Times New Roman" w:cs="Times New Roman"/>
          <w:sz w:val="24"/>
          <w:szCs w:val="24"/>
        </w:rPr>
        <w:t xml:space="preserve"> is the (constan</w:t>
      </w:r>
      <w:r w:rsidR="00856480">
        <w:rPr>
          <w:rFonts w:ascii="Times New Roman" w:hAnsi="Times New Roman" w:cs="Times New Roman"/>
          <w:sz w:val="24"/>
          <w:szCs w:val="24"/>
        </w:rPr>
        <w:t>t) coefficient of relative risk aversion.</w:t>
      </w:r>
      <w:r w:rsidR="0073034A">
        <w:rPr>
          <w:rFonts w:ascii="Times New Roman" w:hAnsi="Times New Roman" w:cs="Times New Roman"/>
          <w:sz w:val="24"/>
          <w:szCs w:val="24"/>
        </w:rPr>
        <w:t xml:space="preserve"> </w:t>
      </w:r>
      <w:r w:rsidR="0032022D">
        <w:rPr>
          <w:rFonts w:ascii="Times New Roman" w:hAnsi="Times New Roman" w:cs="Times New Roman"/>
          <w:sz w:val="24"/>
          <w:szCs w:val="24"/>
        </w:rPr>
        <w:t xml:space="preserve">This is a suitable utility function because of its wide use in asset pricing studies and, </w:t>
      </w:r>
      <w:r w:rsidR="003330F4">
        <w:rPr>
          <w:rFonts w:ascii="Times New Roman" w:hAnsi="Times New Roman" w:cs="Times New Roman"/>
          <w:sz w:val="24"/>
          <w:szCs w:val="24"/>
        </w:rPr>
        <w:t>as Barroso and Santa-Clara (2015</w:t>
      </w:r>
      <w:r w:rsidR="0032022D">
        <w:rPr>
          <w:rFonts w:ascii="Times New Roman" w:hAnsi="Times New Roman" w:cs="Times New Roman"/>
          <w:sz w:val="24"/>
          <w:szCs w:val="24"/>
        </w:rPr>
        <w:t>) point out, it is sensitive to higher order moments in returns. The form of the generalised measure that we report is given by:</w:t>
      </w:r>
    </w:p>
    <w:p w:rsidR="00135E34" w:rsidRDefault="00135E34" w:rsidP="001212DF">
      <w:pPr>
        <w:spacing w:after="0" w:line="360" w:lineRule="auto"/>
        <w:jc w:val="both"/>
        <w:rPr>
          <w:rFonts w:ascii="Times New Roman" w:hAnsi="Times New Roman" w:cs="Times New Roman"/>
          <w:sz w:val="24"/>
          <w:szCs w:val="24"/>
        </w:rPr>
      </w:pPr>
    </w:p>
    <w:p w:rsidR="0032022D" w:rsidRDefault="0032022D" w:rsidP="0032022D">
      <w:pPr>
        <w:pStyle w:val="MTDisplayEquation"/>
      </w:pPr>
      <w:r>
        <w:tab/>
      </w:r>
      <w:r w:rsidR="0034396A" w:rsidRPr="0032022D">
        <w:rPr>
          <w:position w:val="-32"/>
        </w:rPr>
        <w:object w:dxaOrig="7560" w:dyaOrig="760">
          <v:shape id="_x0000_i1027" type="#_x0000_t75" style="width:377.25pt;height:37.5pt" o:ole="">
            <v:imagedata r:id="rId14" o:title=""/>
          </v:shape>
          <o:OLEObject Type="Embed" ProgID="Equation.DSMT4" ShapeID="_x0000_i1027" DrawAspect="Content" ObjectID="_1511857530" r:id="rId15"/>
        </w:object>
      </w:r>
    </w:p>
    <w:p w:rsidR="00085845" w:rsidRPr="00085845" w:rsidRDefault="00085845" w:rsidP="00085845"/>
    <w:p w:rsidR="0032022D" w:rsidRDefault="00EE7FAC" w:rsidP="001212DF">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w:t>
      </w:r>
      <w:r w:rsidR="0034396A">
        <w:rPr>
          <w:rFonts w:ascii="Times New Roman" w:hAnsi="Times New Roman" w:cs="Times New Roman"/>
          <w:sz w:val="24"/>
          <w:szCs w:val="24"/>
        </w:rPr>
        <w:t>here</w:t>
      </w:r>
      <w:proofErr w:type="gramEnd"/>
      <w:r w:rsidR="0034396A">
        <w:rPr>
          <w:rFonts w:ascii="Times New Roman" w:hAnsi="Times New Roman" w:cs="Times New Roman"/>
          <w:sz w:val="24"/>
          <w:szCs w:val="24"/>
        </w:rPr>
        <w:t xml:space="preserve"> </w:t>
      </w:r>
      <w:r w:rsidR="0034396A" w:rsidRPr="0034396A">
        <w:rPr>
          <w:rFonts w:ascii="Times New Roman" w:hAnsi="Times New Roman" w:cs="Times New Roman"/>
          <w:position w:val="-6"/>
          <w:sz w:val="24"/>
          <w:szCs w:val="24"/>
        </w:rPr>
        <w:object w:dxaOrig="360" w:dyaOrig="279">
          <v:shape id="_x0000_i1028" type="#_x0000_t75" style="width:18pt;height:14.25pt" o:ole="">
            <v:imagedata r:id="rId16" o:title=""/>
          </v:shape>
          <o:OLEObject Type="Embed" ProgID="Equation.DSMT4" ShapeID="_x0000_i1028" DrawAspect="Content" ObjectID="_1511857531" r:id="rId17"/>
        </w:object>
      </w:r>
      <w:r w:rsidR="0034396A">
        <w:rPr>
          <w:rFonts w:ascii="Times New Roman" w:hAnsi="Times New Roman" w:cs="Times New Roman"/>
          <w:sz w:val="24"/>
          <w:szCs w:val="24"/>
        </w:rPr>
        <w:t xml:space="preserve">is the Sharpe Ratio, </w:t>
      </w:r>
      <w:r w:rsidR="0034396A" w:rsidRPr="0034396A">
        <w:rPr>
          <w:rFonts w:ascii="Times New Roman" w:hAnsi="Times New Roman" w:cs="Times New Roman"/>
          <w:position w:val="-6"/>
          <w:sz w:val="24"/>
          <w:szCs w:val="24"/>
        </w:rPr>
        <w:object w:dxaOrig="560" w:dyaOrig="279">
          <v:shape id="_x0000_i1029" type="#_x0000_t75" style="width:27.75pt;height:14.25pt" o:ole="">
            <v:imagedata r:id="rId18" o:title=""/>
          </v:shape>
          <o:OLEObject Type="Embed" ProgID="Equation.DSMT4" ShapeID="_x0000_i1029" DrawAspect="Content" ObjectID="_1511857532" r:id="rId19"/>
        </w:object>
      </w:r>
      <w:r w:rsidR="0034396A">
        <w:rPr>
          <w:rFonts w:ascii="Times New Roman" w:hAnsi="Times New Roman" w:cs="Times New Roman"/>
          <w:sz w:val="24"/>
          <w:szCs w:val="24"/>
        </w:rPr>
        <w:t xml:space="preserve">is skewness and </w:t>
      </w:r>
      <w:r w:rsidR="0034396A" w:rsidRPr="0034396A">
        <w:rPr>
          <w:rFonts w:ascii="Times New Roman" w:hAnsi="Times New Roman" w:cs="Times New Roman"/>
          <w:position w:val="-6"/>
          <w:sz w:val="24"/>
          <w:szCs w:val="24"/>
        </w:rPr>
        <w:object w:dxaOrig="540" w:dyaOrig="279">
          <v:shape id="_x0000_i1030" type="#_x0000_t75" style="width:27pt;height:14.25pt" o:ole="">
            <v:imagedata r:id="rId20" o:title=""/>
          </v:shape>
          <o:OLEObject Type="Embed" ProgID="Equation.DSMT4" ShapeID="_x0000_i1030" DrawAspect="Content" ObjectID="_1511857533" r:id="rId21"/>
        </w:object>
      </w:r>
      <w:r w:rsidR="0034396A">
        <w:rPr>
          <w:rFonts w:ascii="Times New Roman" w:hAnsi="Times New Roman" w:cs="Times New Roman"/>
          <w:sz w:val="24"/>
          <w:szCs w:val="24"/>
        </w:rPr>
        <w:t xml:space="preserve">is kurtosis of the return series concerned. </w:t>
      </w:r>
      <w:r w:rsidR="00135E34">
        <w:rPr>
          <w:rFonts w:ascii="Times New Roman" w:hAnsi="Times New Roman" w:cs="Times New Roman"/>
          <w:sz w:val="24"/>
          <w:szCs w:val="24"/>
        </w:rPr>
        <w:t xml:space="preserve">We are required to calibrate the coefficient of relative risk aversion </w:t>
      </w:r>
      <w:r w:rsidR="00135E34" w:rsidRPr="00135E34">
        <w:rPr>
          <w:rFonts w:ascii="Times New Roman" w:hAnsi="Times New Roman" w:cs="Times New Roman"/>
          <w:position w:val="-10"/>
          <w:sz w:val="24"/>
          <w:szCs w:val="24"/>
        </w:rPr>
        <w:object w:dxaOrig="200" w:dyaOrig="260">
          <v:shape id="_x0000_i1031" type="#_x0000_t75" style="width:9.75pt;height:13.5pt" o:ole="">
            <v:imagedata r:id="rId22" o:title=""/>
          </v:shape>
          <o:OLEObject Type="Embed" ProgID="Equation.DSMT4" ShapeID="_x0000_i1031" DrawAspect="Content" ObjectID="_1511857534" r:id="rId23"/>
        </w:object>
      </w:r>
      <w:r w:rsidR="00135E34">
        <w:rPr>
          <w:rFonts w:ascii="Times New Roman" w:hAnsi="Times New Roman" w:cs="Times New Roman"/>
          <w:sz w:val="24"/>
          <w:szCs w:val="24"/>
        </w:rPr>
        <w:t xml:space="preserve"> which we set at 4 following Bliss and </w:t>
      </w:r>
      <w:proofErr w:type="spellStart"/>
      <w:r w:rsidR="00135E34">
        <w:rPr>
          <w:rFonts w:ascii="Times New Roman" w:hAnsi="Times New Roman" w:cs="Times New Roman"/>
          <w:sz w:val="24"/>
          <w:szCs w:val="24"/>
        </w:rPr>
        <w:t>Panigirtzoglu</w:t>
      </w:r>
      <w:proofErr w:type="spellEnd"/>
      <w:r w:rsidR="00135E34">
        <w:rPr>
          <w:rFonts w:ascii="Times New Roman" w:hAnsi="Times New Roman" w:cs="Times New Roman"/>
          <w:sz w:val="24"/>
          <w:szCs w:val="24"/>
        </w:rPr>
        <w:t xml:space="preserve"> (2004). The </w:t>
      </w:r>
      <w:r w:rsidR="006E2FA2">
        <w:rPr>
          <w:rFonts w:ascii="Times New Roman" w:hAnsi="Times New Roman" w:cs="Times New Roman"/>
          <w:sz w:val="24"/>
          <w:szCs w:val="24"/>
        </w:rPr>
        <w:t xml:space="preserve">ranking </w:t>
      </w:r>
      <w:r w:rsidR="00135E34">
        <w:rPr>
          <w:rFonts w:ascii="Times New Roman" w:hAnsi="Times New Roman" w:cs="Times New Roman"/>
          <w:sz w:val="24"/>
          <w:szCs w:val="24"/>
        </w:rPr>
        <w:t xml:space="preserve">results </w:t>
      </w:r>
      <w:r w:rsidR="006E2FA2">
        <w:rPr>
          <w:rFonts w:ascii="Times New Roman" w:hAnsi="Times New Roman" w:cs="Times New Roman"/>
          <w:sz w:val="24"/>
          <w:szCs w:val="24"/>
        </w:rPr>
        <w:t xml:space="preserve">that we find </w:t>
      </w:r>
      <w:r w:rsidR="00135E34">
        <w:rPr>
          <w:rFonts w:ascii="Times New Roman" w:hAnsi="Times New Roman" w:cs="Times New Roman"/>
          <w:sz w:val="24"/>
          <w:szCs w:val="24"/>
        </w:rPr>
        <w:t>are not sensitive to variation</w:t>
      </w:r>
      <w:r w:rsidR="003D16AB">
        <w:rPr>
          <w:rFonts w:ascii="Times New Roman" w:hAnsi="Times New Roman" w:cs="Times New Roman"/>
          <w:sz w:val="24"/>
          <w:szCs w:val="24"/>
        </w:rPr>
        <w:t>s</w:t>
      </w:r>
      <w:r w:rsidR="00135E34">
        <w:rPr>
          <w:rFonts w:ascii="Times New Roman" w:hAnsi="Times New Roman" w:cs="Times New Roman"/>
          <w:sz w:val="24"/>
          <w:szCs w:val="24"/>
        </w:rPr>
        <w:t xml:space="preserve"> in this parameter</w:t>
      </w:r>
      <w:r w:rsidR="00856480">
        <w:rPr>
          <w:rStyle w:val="FootnoteReference"/>
          <w:rFonts w:ascii="Times New Roman" w:hAnsi="Times New Roman"/>
          <w:sz w:val="24"/>
          <w:szCs w:val="24"/>
        </w:rPr>
        <w:footnoteReference w:id="6"/>
      </w:r>
      <w:r w:rsidR="00135E34">
        <w:rPr>
          <w:rFonts w:ascii="Times New Roman" w:hAnsi="Times New Roman" w:cs="Times New Roman"/>
          <w:sz w:val="24"/>
          <w:szCs w:val="24"/>
        </w:rPr>
        <w:t>.</w:t>
      </w:r>
      <w:r w:rsidR="0034396A">
        <w:rPr>
          <w:rFonts w:ascii="Times New Roman" w:hAnsi="Times New Roman" w:cs="Times New Roman"/>
          <w:sz w:val="24"/>
          <w:szCs w:val="24"/>
        </w:rPr>
        <w:t xml:space="preserve"> We also compute the </w:t>
      </w:r>
      <w:r w:rsidR="0034396A" w:rsidRPr="0034396A">
        <w:rPr>
          <w:rFonts w:ascii="Times New Roman" w:hAnsi="Times New Roman" w:cs="Times New Roman"/>
          <w:position w:val="-6"/>
          <w:sz w:val="24"/>
          <w:szCs w:val="24"/>
        </w:rPr>
        <w:object w:dxaOrig="460" w:dyaOrig="279">
          <v:shape id="_x0000_i1032" type="#_x0000_t75" style="width:23.25pt;height:14.25pt" o:ole="">
            <v:imagedata r:id="rId24" o:title=""/>
          </v:shape>
          <o:OLEObject Type="Embed" ProgID="Equation.DSMT4" ShapeID="_x0000_i1032" DrawAspect="Content" ObjectID="_1511857535" r:id="rId25"/>
        </w:object>
      </w:r>
      <w:r w:rsidR="0034396A">
        <w:rPr>
          <w:rFonts w:ascii="Times New Roman" w:hAnsi="Times New Roman" w:cs="Times New Roman"/>
          <w:sz w:val="24"/>
          <w:szCs w:val="24"/>
        </w:rPr>
        <w:t>measure which includes only the first three moments excluding the contribution of kurtosis.</w:t>
      </w:r>
    </w:p>
    <w:p w:rsidR="00135E34" w:rsidRDefault="00135E34" w:rsidP="001212DF">
      <w:pPr>
        <w:spacing w:after="0" w:line="360" w:lineRule="auto"/>
        <w:jc w:val="both"/>
        <w:rPr>
          <w:rFonts w:ascii="Times New Roman" w:hAnsi="Times New Roman" w:cs="Times New Roman"/>
          <w:sz w:val="24"/>
          <w:szCs w:val="24"/>
        </w:rPr>
      </w:pPr>
    </w:p>
    <w:p w:rsidR="0034396A" w:rsidRDefault="00135E34" w:rsidP="00EE7F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Values for the </w:t>
      </w:r>
      <w:proofErr w:type="spellStart"/>
      <w:r>
        <w:rPr>
          <w:rFonts w:ascii="Times New Roman" w:hAnsi="Times New Roman" w:cs="Times New Roman"/>
          <w:sz w:val="24"/>
          <w:szCs w:val="24"/>
        </w:rPr>
        <w:t>Sortino</w:t>
      </w:r>
      <w:proofErr w:type="spellEnd"/>
      <w:r>
        <w:rPr>
          <w:rFonts w:ascii="Times New Roman" w:hAnsi="Times New Roman" w:cs="Times New Roman"/>
          <w:sz w:val="24"/>
          <w:szCs w:val="24"/>
        </w:rPr>
        <w:t xml:space="preserve"> index and the </w:t>
      </w:r>
      <w:proofErr w:type="spellStart"/>
      <w:r>
        <w:rPr>
          <w:rFonts w:ascii="Times New Roman" w:hAnsi="Times New Roman" w:cs="Times New Roman"/>
          <w:sz w:val="24"/>
          <w:szCs w:val="24"/>
        </w:rPr>
        <w:t>Smetters</w:t>
      </w:r>
      <w:proofErr w:type="spellEnd"/>
      <w:r>
        <w:rPr>
          <w:rFonts w:ascii="Times New Roman" w:hAnsi="Times New Roman" w:cs="Times New Roman"/>
          <w:sz w:val="24"/>
          <w:szCs w:val="24"/>
        </w:rPr>
        <w:t>-Zhang generalised measure for the strategy returns examined in Section 5 are given in Table 1</w:t>
      </w:r>
      <w:r w:rsidR="003D16AB">
        <w:rPr>
          <w:rFonts w:ascii="Times New Roman" w:hAnsi="Times New Roman" w:cs="Times New Roman"/>
          <w:sz w:val="24"/>
          <w:szCs w:val="24"/>
        </w:rPr>
        <w:t>2</w:t>
      </w:r>
      <w:r>
        <w:rPr>
          <w:rFonts w:ascii="Times New Roman" w:hAnsi="Times New Roman" w:cs="Times New Roman"/>
          <w:sz w:val="24"/>
          <w:szCs w:val="24"/>
        </w:rPr>
        <w:t xml:space="preserve">. </w:t>
      </w:r>
      <w:r w:rsidR="0034396A">
        <w:rPr>
          <w:rFonts w:ascii="Times New Roman" w:hAnsi="Times New Roman" w:cs="Times New Roman"/>
          <w:sz w:val="24"/>
          <w:szCs w:val="24"/>
        </w:rPr>
        <w:t>These measures are indices and we assess their ranking and relative size as one would the Sharpe ratio. The values for these</w:t>
      </w:r>
      <w:r w:rsidR="00787171">
        <w:rPr>
          <w:rFonts w:ascii="Times New Roman" w:hAnsi="Times New Roman" w:cs="Times New Roman"/>
          <w:sz w:val="24"/>
          <w:szCs w:val="24"/>
        </w:rPr>
        <w:t xml:space="preserve"> measures show the pronounced improved performance of trend following and momentum over the equally-weighted strategy</w:t>
      </w:r>
      <w:r w:rsidR="00C00D29">
        <w:rPr>
          <w:rFonts w:ascii="Times New Roman" w:hAnsi="Times New Roman" w:cs="Times New Roman"/>
          <w:sz w:val="24"/>
          <w:szCs w:val="24"/>
        </w:rPr>
        <w:t xml:space="preserve">. However, most striking is the sharply improved performance of the trend following and combined momentum and trend following strategies with their low maximum drawdown and mild positive skewness when compared to the </w:t>
      </w:r>
      <w:r w:rsidR="00224724">
        <w:rPr>
          <w:rFonts w:ascii="Times New Roman" w:hAnsi="Times New Roman" w:cs="Times New Roman"/>
          <w:sz w:val="24"/>
          <w:szCs w:val="24"/>
        </w:rPr>
        <w:t>s</w:t>
      </w:r>
      <w:r w:rsidR="00C00D29">
        <w:rPr>
          <w:rFonts w:ascii="Times New Roman" w:hAnsi="Times New Roman" w:cs="Times New Roman"/>
          <w:sz w:val="24"/>
          <w:szCs w:val="24"/>
        </w:rPr>
        <w:t xml:space="preserve">harply negatively skewed momentum returns. The differences </w:t>
      </w:r>
      <w:r w:rsidR="0034396A">
        <w:rPr>
          <w:rFonts w:ascii="Times New Roman" w:hAnsi="Times New Roman" w:cs="Times New Roman"/>
          <w:sz w:val="24"/>
          <w:szCs w:val="24"/>
        </w:rPr>
        <w:t xml:space="preserve">shown in the SZ3 measure </w:t>
      </w:r>
      <w:r w:rsidR="00C00D29">
        <w:rPr>
          <w:rFonts w:ascii="Times New Roman" w:hAnsi="Times New Roman" w:cs="Times New Roman"/>
          <w:sz w:val="24"/>
          <w:szCs w:val="24"/>
        </w:rPr>
        <w:t>are more marked when kurtosis is considered a</w:t>
      </w:r>
      <w:r w:rsidR="0034396A">
        <w:rPr>
          <w:rFonts w:ascii="Times New Roman" w:hAnsi="Times New Roman" w:cs="Times New Roman"/>
          <w:sz w:val="24"/>
          <w:szCs w:val="24"/>
        </w:rPr>
        <w:t>s well in the SZ4 measure. These</w:t>
      </w:r>
      <w:r w:rsidR="00C00D29">
        <w:rPr>
          <w:rFonts w:ascii="Times New Roman" w:hAnsi="Times New Roman" w:cs="Times New Roman"/>
          <w:sz w:val="24"/>
          <w:szCs w:val="24"/>
        </w:rPr>
        <w:t xml:space="preserve"> rankings are consistent with that provided by the Sharpe ratio but are much more pronounced in scale. They demonstrate that trend following </w:t>
      </w:r>
      <w:r w:rsidR="003D16AB">
        <w:rPr>
          <w:rFonts w:ascii="Times New Roman" w:hAnsi="Times New Roman" w:cs="Times New Roman"/>
          <w:sz w:val="24"/>
          <w:szCs w:val="24"/>
        </w:rPr>
        <w:t xml:space="preserve">should be </w:t>
      </w:r>
      <w:r w:rsidR="00C00D29">
        <w:rPr>
          <w:rFonts w:ascii="Times New Roman" w:hAnsi="Times New Roman" w:cs="Times New Roman"/>
          <w:sz w:val="24"/>
          <w:szCs w:val="24"/>
        </w:rPr>
        <w:t>strongly favoured over momentum by risk averse investors.</w:t>
      </w:r>
    </w:p>
    <w:p w:rsidR="00B168E7" w:rsidRDefault="00B168E7" w:rsidP="00EE7FAC">
      <w:pPr>
        <w:spacing w:after="0" w:line="360" w:lineRule="auto"/>
        <w:ind w:firstLine="720"/>
        <w:jc w:val="both"/>
        <w:rPr>
          <w:rFonts w:ascii="Times New Roman" w:hAnsi="Times New Roman" w:cs="Times New Roman"/>
          <w:sz w:val="24"/>
          <w:szCs w:val="24"/>
        </w:rPr>
      </w:pPr>
    </w:p>
    <w:p w:rsidR="00B168E7" w:rsidRDefault="00B168E7" w:rsidP="00EE7F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returns to the strategies analysed in this paper in practice needs to be shown to be robust to the likely levels of transactions costs. The literature canvasses a range of values for these and we provide an indication of the impact of these costs on returns by assessing the number of trades and an estimate of the cost per trade. For the trend-following strategies, the average number of </w:t>
      </w:r>
      <w:r w:rsidR="0038538F">
        <w:rPr>
          <w:rFonts w:ascii="Times New Roman" w:hAnsi="Times New Roman" w:cs="Times New Roman"/>
          <w:sz w:val="24"/>
          <w:szCs w:val="24"/>
        </w:rPr>
        <w:t xml:space="preserve">one-way </w:t>
      </w:r>
      <w:r>
        <w:rPr>
          <w:rFonts w:ascii="Times New Roman" w:hAnsi="Times New Roman" w:cs="Times New Roman"/>
          <w:sz w:val="24"/>
          <w:szCs w:val="24"/>
        </w:rPr>
        <w:t xml:space="preserve">transactions per year, based on the 95 instruments available, varies between 1.97 for commodities to 1.53 for developed market equities. For the volatility weighted trend-following and momentum strategy this increases to </w:t>
      </w:r>
      <w:r w:rsidR="0038538F">
        <w:rPr>
          <w:rFonts w:ascii="Times New Roman" w:hAnsi="Times New Roman" w:cs="Times New Roman"/>
          <w:sz w:val="24"/>
          <w:szCs w:val="24"/>
        </w:rPr>
        <w:t>4.56 one-way transactions for the 20 position portfolio. In terms of cost per trade, e</w:t>
      </w:r>
      <w:r w:rsidR="008D0BFC">
        <w:rPr>
          <w:rFonts w:ascii="Times New Roman" w:hAnsi="Times New Roman" w:cs="Times New Roman"/>
          <w:sz w:val="24"/>
          <w:szCs w:val="24"/>
        </w:rPr>
        <w:t xml:space="preserve">stimates by </w:t>
      </w:r>
      <w:proofErr w:type="spellStart"/>
      <w:r w:rsidR="008D0BFC">
        <w:rPr>
          <w:rFonts w:ascii="Times New Roman" w:hAnsi="Times New Roman" w:cs="Times New Roman"/>
          <w:sz w:val="24"/>
          <w:szCs w:val="24"/>
        </w:rPr>
        <w:t>Frazzini</w:t>
      </w:r>
      <w:proofErr w:type="spellEnd"/>
      <w:r w:rsidR="008D0BFC">
        <w:rPr>
          <w:rFonts w:ascii="Times New Roman" w:hAnsi="Times New Roman" w:cs="Times New Roman"/>
          <w:sz w:val="24"/>
          <w:szCs w:val="24"/>
        </w:rPr>
        <w:t xml:space="preserve"> et al (2015</w:t>
      </w:r>
      <w:r w:rsidR="0038538F">
        <w:rPr>
          <w:rFonts w:ascii="Times New Roman" w:hAnsi="Times New Roman" w:cs="Times New Roman"/>
          <w:sz w:val="24"/>
          <w:szCs w:val="24"/>
        </w:rPr>
        <w:t xml:space="preserve">) for developed equity markets range between 0.10% and 0.15%, whilst those for commodities reported by </w:t>
      </w:r>
      <w:proofErr w:type="spellStart"/>
      <w:r w:rsidR="0038538F" w:rsidRPr="00320A82">
        <w:rPr>
          <w:rFonts w:ascii="Times New Roman" w:hAnsi="Times New Roman" w:cs="Times New Roman"/>
          <w:sz w:val="24"/>
          <w:szCs w:val="24"/>
        </w:rPr>
        <w:t>Szacmary</w:t>
      </w:r>
      <w:proofErr w:type="spellEnd"/>
      <w:r w:rsidR="0038538F" w:rsidRPr="00320A82">
        <w:rPr>
          <w:rFonts w:ascii="Times New Roman" w:hAnsi="Times New Roman" w:cs="Times New Roman"/>
          <w:sz w:val="24"/>
          <w:szCs w:val="24"/>
        </w:rPr>
        <w:t xml:space="preserve"> et al (2010)</w:t>
      </w:r>
      <w:r w:rsidR="0038538F">
        <w:rPr>
          <w:rFonts w:ascii="Times New Roman" w:hAnsi="Times New Roman" w:cs="Times New Roman"/>
          <w:sz w:val="24"/>
          <w:szCs w:val="24"/>
        </w:rPr>
        <w:t xml:space="preserve"> are somewhat lower at 0.08%</w:t>
      </w:r>
      <w:r w:rsidR="008D0BFC">
        <w:rPr>
          <w:rStyle w:val="FootnoteReference"/>
          <w:rFonts w:ascii="Times New Roman" w:hAnsi="Times New Roman"/>
          <w:sz w:val="24"/>
          <w:szCs w:val="24"/>
        </w:rPr>
        <w:footnoteReference w:id="7"/>
      </w:r>
      <w:r w:rsidR="0038538F">
        <w:rPr>
          <w:rFonts w:ascii="Times New Roman" w:hAnsi="Times New Roman" w:cs="Times New Roman"/>
          <w:sz w:val="24"/>
          <w:szCs w:val="24"/>
        </w:rPr>
        <w:t>. In order to provide a conservative estimate, we also assume costs of 0.55% for emerging market equities, 0.17% for bonds and 0.50% for REITs, informed by discussions with market professionals.  Having applied these costs the impact on net returns can be seen by comparison between columns1 and 6 of Table 12. The differences between net and gross returns rage from</w:t>
      </w:r>
      <w:r w:rsidR="008D0BFC">
        <w:rPr>
          <w:rFonts w:ascii="Times New Roman" w:hAnsi="Times New Roman" w:cs="Times New Roman"/>
          <w:sz w:val="24"/>
          <w:szCs w:val="24"/>
        </w:rPr>
        <w:t xml:space="preserve"> 0.49% and 1.39% which both lie well within the standard deviation of any of the returns shown in the table and do not change the ordering of the returns of the strategies shown in the table. To the extent that transactions costs have fallen over time due to improvements in transactions technologies, we would expect these average differences to over-estimate the current values.  </w:t>
      </w:r>
    </w:p>
    <w:p w:rsidR="00135E34" w:rsidRPr="00320A82" w:rsidRDefault="00135E34" w:rsidP="00121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74F34" w:rsidRPr="00320A82" w:rsidRDefault="00320A82" w:rsidP="001212DF">
      <w:pPr>
        <w:spacing w:after="0" w:line="360" w:lineRule="auto"/>
        <w:jc w:val="both"/>
        <w:rPr>
          <w:rFonts w:ascii="Times New Roman" w:hAnsi="Times New Roman" w:cs="Times New Roman"/>
          <w:b/>
          <w:sz w:val="24"/>
          <w:szCs w:val="24"/>
        </w:rPr>
      </w:pPr>
      <w:r w:rsidRPr="00320A82">
        <w:rPr>
          <w:rFonts w:ascii="Times New Roman" w:hAnsi="Times New Roman" w:cs="Times New Roman"/>
          <w:b/>
          <w:sz w:val="24"/>
          <w:szCs w:val="24"/>
        </w:rPr>
        <w:lastRenderedPageBreak/>
        <w:t>7</w:t>
      </w:r>
      <w:r w:rsidR="00624B0F" w:rsidRPr="00320A82">
        <w:rPr>
          <w:rFonts w:ascii="Times New Roman" w:hAnsi="Times New Roman" w:cs="Times New Roman"/>
          <w:b/>
          <w:sz w:val="24"/>
          <w:szCs w:val="24"/>
        </w:rPr>
        <w:t>.  Conclusions</w:t>
      </w:r>
    </w:p>
    <w:p w:rsidR="003162F3" w:rsidRDefault="003162F3" w:rsidP="001212DF">
      <w:pPr>
        <w:spacing w:after="0" w:line="360" w:lineRule="auto"/>
        <w:jc w:val="both"/>
        <w:rPr>
          <w:rFonts w:ascii="Times New Roman" w:hAnsi="Times New Roman" w:cs="Times New Roman"/>
          <w:sz w:val="24"/>
          <w:szCs w:val="24"/>
        </w:rPr>
      </w:pPr>
      <w:r w:rsidRPr="00474F34">
        <w:rPr>
          <w:rFonts w:ascii="Times New Roman" w:hAnsi="Times New Roman" w:cs="Times New Roman"/>
          <w:sz w:val="24"/>
          <w:szCs w:val="24"/>
        </w:rPr>
        <w:t>The purpose of this paper is to present a rule-driven investment and asset allocation strategy which takes advantage of known behavioural biases where appropriate and avoids them where necessary.</w:t>
      </w:r>
      <w:r w:rsidR="007F36CB" w:rsidRPr="00474F34">
        <w:rPr>
          <w:rFonts w:ascii="Times New Roman" w:hAnsi="Times New Roman" w:cs="Times New Roman"/>
          <w:sz w:val="24"/>
          <w:szCs w:val="24"/>
        </w:rPr>
        <w:t xml:space="preserve"> </w:t>
      </w:r>
      <w:r w:rsidRPr="00474F34">
        <w:rPr>
          <w:rFonts w:ascii="Times New Roman" w:hAnsi="Times New Roman" w:cs="Times New Roman"/>
          <w:sz w:val="24"/>
          <w:szCs w:val="24"/>
        </w:rPr>
        <w:t>It is frequently said that behavioural finance has important insights for investing though rarely is this followed through to an actual,</w:t>
      </w:r>
      <w:r w:rsidR="007F36CB" w:rsidRPr="00474F34">
        <w:rPr>
          <w:rFonts w:ascii="Times New Roman" w:hAnsi="Times New Roman" w:cs="Times New Roman"/>
          <w:sz w:val="24"/>
          <w:szCs w:val="24"/>
        </w:rPr>
        <w:t xml:space="preserve"> </w:t>
      </w:r>
      <w:r w:rsidRPr="00474F34">
        <w:rPr>
          <w:rFonts w:ascii="Times New Roman" w:hAnsi="Times New Roman" w:cs="Times New Roman"/>
          <w:sz w:val="24"/>
          <w:szCs w:val="24"/>
        </w:rPr>
        <w:t>implementable strategy.</w:t>
      </w:r>
      <w:r w:rsidR="007F36CB" w:rsidRPr="00474F34">
        <w:rPr>
          <w:rFonts w:ascii="Times New Roman" w:hAnsi="Times New Roman" w:cs="Times New Roman"/>
          <w:sz w:val="24"/>
          <w:szCs w:val="24"/>
        </w:rPr>
        <w:t xml:space="preserve"> </w:t>
      </w:r>
      <w:r w:rsidRPr="00474F34">
        <w:rPr>
          <w:rFonts w:ascii="Times New Roman" w:hAnsi="Times New Roman" w:cs="Times New Roman"/>
          <w:sz w:val="24"/>
          <w:szCs w:val="24"/>
        </w:rPr>
        <w:t>Here we present such a stra</w:t>
      </w:r>
      <w:r w:rsidR="007F36CB" w:rsidRPr="00474F34">
        <w:rPr>
          <w:rFonts w:ascii="Times New Roman" w:hAnsi="Times New Roman" w:cs="Times New Roman"/>
          <w:sz w:val="24"/>
          <w:szCs w:val="24"/>
        </w:rPr>
        <w:t>tegy which can have imp</w:t>
      </w:r>
      <w:r w:rsidRPr="00474F34">
        <w:rPr>
          <w:rFonts w:ascii="Times New Roman" w:hAnsi="Times New Roman" w:cs="Times New Roman"/>
          <w:sz w:val="24"/>
          <w:szCs w:val="24"/>
        </w:rPr>
        <w:t>ortant impl</w:t>
      </w:r>
      <w:r w:rsidR="007F36CB" w:rsidRPr="00474F34">
        <w:rPr>
          <w:rFonts w:ascii="Times New Roman" w:hAnsi="Times New Roman" w:cs="Times New Roman"/>
          <w:sz w:val="24"/>
          <w:szCs w:val="24"/>
        </w:rPr>
        <w:t>i</w:t>
      </w:r>
      <w:r w:rsidRPr="00474F34">
        <w:rPr>
          <w:rFonts w:ascii="Times New Roman" w:hAnsi="Times New Roman" w:cs="Times New Roman"/>
          <w:sz w:val="24"/>
          <w:szCs w:val="24"/>
        </w:rPr>
        <w:t>cations for financial planning where drawdown and sequencing risk are important issues for decumulation.</w:t>
      </w:r>
    </w:p>
    <w:p w:rsidR="003162F3" w:rsidRDefault="003162F3" w:rsidP="001212DF">
      <w:pPr>
        <w:spacing w:after="0" w:line="360" w:lineRule="auto"/>
        <w:jc w:val="both"/>
        <w:rPr>
          <w:rFonts w:ascii="Times New Roman" w:hAnsi="Times New Roman" w:cs="Times New Roman"/>
          <w:sz w:val="24"/>
          <w:szCs w:val="24"/>
        </w:rPr>
      </w:pPr>
    </w:p>
    <w:p w:rsidR="00286C85" w:rsidRPr="00320A82" w:rsidRDefault="005437FD" w:rsidP="00E91D38">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We have studied a number of different approaches to global asset allocation.</w:t>
      </w:r>
      <w:r w:rsidR="00DC4298" w:rsidRPr="00320A82">
        <w:rPr>
          <w:rFonts w:ascii="Times New Roman" w:hAnsi="Times New Roman" w:cs="Times New Roman"/>
          <w:sz w:val="24"/>
          <w:szCs w:val="24"/>
        </w:rPr>
        <w:t xml:space="preserve"> </w:t>
      </w:r>
      <w:r w:rsidR="008B1AAC" w:rsidRPr="00320A82">
        <w:rPr>
          <w:rFonts w:ascii="Times New Roman" w:hAnsi="Times New Roman" w:cs="Times New Roman"/>
          <w:sz w:val="24"/>
          <w:szCs w:val="24"/>
        </w:rPr>
        <w:t>W</w:t>
      </w:r>
      <w:r w:rsidR="00DC4298" w:rsidRPr="00320A82">
        <w:rPr>
          <w:rFonts w:ascii="Times New Roman" w:hAnsi="Times New Roman" w:cs="Times New Roman"/>
          <w:sz w:val="24"/>
          <w:szCs w:val="24"/>
        </w:rPr>
        <w:t>e observed that a basic risk-parity approach outperformed a</w:t>
      </w:r>
      <w:r w:rsidR="008B1AAC" w:rsidRPr="00320A82">
        <w:rPr>
          <w:rFonts w:ascii="Times New Roman" w:hAnsi="Times New Roman" w:cs="Times New Roman"/>
          <w:sz w:val="24"/>
          <w:szCs w:val="24"/>
        </w:rPr>
        <w:t>n</w:t>
      </w:r>
      <w:r w:rsidR="00DC4298" w:rsidRPr="00320A82">
        <w:rPr>
          <w:rFonts w:ascii="Times New Roman" w:hAnsi="Times New Roman" w:cs="Times New Roman"/>
          <w:sz w:val="24"/>
          <w:szCs w:val="24"/>
        </w:rPr>
        <w:t xml:space="preserve"> equal</w:t>
      </w:r>
      <w:r w:rsidR="008B1AAC" w:rsidRPr="00320A82">
        <w:rPr>
          <w:rFonts w:ascii="Times New Roman" w:hAnsi="Times New Roman" w:cs="Times New Roman"/>
          <w:sz w:val="24"/>
          <w:szCs w:val="24"/>
        </w:rPr>
        <w:t>ly</w:t>
      </w:r>
      <w:r w:rsidR="00DC4298" w:rsidRPr="00320A82">
        <w:rPr>
          <w:rFonts w:ascii="Times New Roman" w:hAnsi="Times New Roman" w:cs="Times New Roman"/>
          <w:sz w:val="24"/>
          <w:szCs w:val="24"/>
        </w:rPr>
        <w:t>-weight</w:t>
      </w:r>
      <w:r w:rsidR="008B1AAC" w:rsidRPr="00320A82">
        <w:rPr>
          <w:rFonts w:ascii="Times New Roman" w:hAnsi="Times New Roman" w:cs="Times New Roman"/>
          <w:sz w:val="24"/>
          <w:szCs w:val="24"/>
        </w:rPr>
        <w:t>ed</w:t>
      </w:r>
      <w:r w:rsidR="00DC4298" w:rsidRPr="00320A82">
        <w:rPr>
          <w:rFonts w:ascii="Times New Roman" w:hAnsi="Times New Roman" w:cs="Times New Roman"/>
          <w:sz w:val="24"/>
          <w:szCs w:val="24"/>
        </w:rPr>
        <w:t xml:space="preserve"> methodology across five major asset classes by offering a similar return but with approximately half the volatility. The success of this strategy is in part due to the outstanding risk-adjusted returns </w:t>
      </w:r>
      <w:r w:rsidR="00BC546E" w:rsidRPr="00320A82">
        <w:rPr>
          <w:rFonts w:ascii="Times New Roman" w:hAnsi="Times New Roman" w:cs="Times New Roman"/>
          <w:sz w:val="24"/>
          <w:szCs w:val="24"/>
        </w:rPr>
        <w:t xml:space="preserve">of bonds </w:t>
      </w:r>
      <w:r w:rsidR="00DC4298" w:rsidRPr="00320A82">
        <w:rPr>
          <w:rFonts w:ascii="Times New Roman" w:hAnsi="Times New Roman" w:cs="Times New Roman"/>
          <w:sz w:val="24"/>
          <w:szCs w:val="24"/>
        </w:rPr>
        <w:t>over the period of study.</w:t>
      </w:r>
      <w:r w:rsidR="00BC546E" w:rsidRPr="00320A82">
        <w:rPr>
          <w:rFonts w:ascii="Times New Roman" w:hAnsi="Times New Roman" w:cs="Times New Roman"/>
          <w:sz w:val="24"/>
          <w:szCs w:val="24"/>
        </w:rPr>
        <w:t xml:space="preserve"> When we examine</w:t>
      </w:r>
      <w:r w:rsidR="00A538E0" w:rsidRPr="00320A82">
        <w:rPr>
          <w:rFonts w:ascii="Times New Roman" w:hAnsi="Times New Roman" w:cs="Times New Roman"/>
          <w:sz w:val="24"/>
          <w:szCs w:val="24"/>
        </w:rPr>
        <w:t>d</w:t>
      </w:r>
      <w:r w:rsidR="00BC546E" w:rsidRPr="00320A82">
        <w:rPr>
          <w:rFonts w:ascii="Times New Roman" w:hAnsi="Times New Roman" w:cs="Times New Roman"/>
          <w:sz w:val="24"/>
          <w:szCs w:val="24"/>
        </w:rPr>
        <w:t xml:space="preserve"> risk parity within an asset class we observe</w:t>
      </w:r>
      <w:r w:rsidR="00A538E0" w:rsidRPr="00320A82">
        <w:rPr>
          <w:rFonts w:ascii="Times New Roman" w:hAnsi="Times New Roman" w:cs="Times New Roman"/>
          <w:sz w:val="24"/>
          <w:szCs w:val="24"/>
        </w:rPr>
        <w:t>d</w:t>
      </w:r>
      <w:r w:rsidR="00BC546E" w:rsidRPr="00320A82">
        <w:rPr>
          <w:rFonts w:ascii="Times New Roman" w:hAnsi="Times New Roman" w:cs="Times New Roman"/>
          <w:sz w:val="24"/>
          <w:szCs w:val="24"/>
        </w:rPr>
        <w:t xml:space="preserve"> little difference with equally-weighted portfolios.</w:t>
      </w:r>
    </w:p>
    <w:p w:rsidR="001212DF" w:rsidRPr="00320A82" w:rsidRDefault="001212DF" w:rsidP="001212DF">
      <w:pPr>
        <w:spacing w:after="0" w:line="360" w:lineRule="auto"/>
        <w:jc w:val="both"/>
        <w:rPr>
          <w:rFonts w:ascii="Times New Roman" w:hAnsi="Times New Roman" w:cs="Times New Roman"/>
          <w:sz w:val="24"/>
          <w:szCs w:val="24"/>
        </w:rPr>
      </w:pPr>
    </w:p>
    <w:p w:rsidR="00BC546E" w:rsidRPr="00320A82" w:rsidRDefault="00A538E0"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Another improvement on an equally-weighted buy-and-hold asset allocation was to use trend following. A simple rule was employed that switched out of risk assets and into cash when the former were in a downtrend. Consistent with Faber (200</w:t>
      </w:r>
      <w:r w:rsidR="00FC447E" w:rsidRPr="00320A82">
        <w:rPr>
          <w:rFonts w:ascii="Times New Roman" w:hAnsi="Times New Roman" w:cs="Times New Roman"/>
          <w:sz w:val="24"/>
          <w:szCs w:val="24"/>
        </w:rPr>
        <w:t>9</w:t>
      </w:r>
      <w:r w:rsidRPr="00320A82">
        <w:rPr>
          <w:rFonts w:ascii="Times New Roman" w:hAnsi="Times New Roman" w:cs="Times New Roman"/>
          <w:sz w:val="24"/>
          <w:szCs w:val="24"/>
        </w:rPr>
        <w:t>), we find this approach gives rise to substantially enhanced risk-adjusted returns</w:t>
      </w:r>
      <w:r w:rsidR="00B20CBA" w:rsidRPr="00320A82">
        <w:rPr>
          <w:rFonts w:ascii="Times New Roman" w:hAnsi="Times New Roman" w:cs="Times New Roman"/>
          <w:sz w:val="24"/>
          <w:szCs w:val="24"/>
        </w:rPr>
        <w:t xml:space="preserve"> in a multi-asset portfolio</w:t>
      </w:r>
      <w:r w:rsidRPr="00320A82">
        <w:rPr>
          <w:rFonts w:ascii="Times New Roman" w:hAnsi="Times New Roman" w:cs="Times New Roman"/>
          <w:sz w:val="24"/>
          <w:szCs w:val="24"/>
        </w:rPr>
        <w:t>.</w:t>
      </w:r>
      <w:r w:rsidR="00B20CBA" w:rsidRPr="00320A82">
        <w:rPr>
          <w:rFonts w:ascii="Times New Roman" w:hAnsi="Times New Roman" w:cs="Times New Roman"/>
          <w:sz w:val="24"/>
          <w:szCs w:val="24"/>
        </w:rPr>
        <w:t xml:space="preserve"> Unlike risk parity, we note that trend following also offers improved performance within four of the five asset classes we consider.</w:t>
      </w:r>
      <w:r w:rsidR="00DE2DDC" w:rsidRPr="00320A82">
        <w:rPr>
          <w:rFonts w:ascii="Times New Roman" w:hAnsi="Times New Roman" w:cs="Times New Roman"/>
          <w:sz w:val="24"/>
          <w:szCs w:val="24"/>
        </w:rPr>
        <w:t xml:space="preserve"> Perhaps the greatest benefit of trend following is the reduction in volatility that accrues to this approach by being out of markets during substantial periods of decline.</w:t>
      </w:r>
      <w:r w:rsidR="00ED5887" w:rsidRPr="00320A82">
        <w:rPr>
          <w:rFonts w:ascii="Times New Roman" w:hAnsi="Times New Roman" w:cs="Times New Roman"/>
          <w:sz w:val="24"/>
          <w:szCs w:val="24"/>
        </w:rPr>
        <w:t xml:space="preserve"> This in turn leads to huge reductions in the maximum drawdown an investor would experience.</w:t>
      </w:r>
      <w:r w:rsidR="006E2FA2">
        <w:rPr>
          <w:rFonts w:ascii="Times New Roman" w:hAnsi="Times New Roman" w:cs="Times New Roman"/>
          <w:sz w:val="24"/>
          <w:szCs w:val="24"/>
        </w:rPr>
        <w:t xml:space="preserve"> We show that this reduced negative skewness is also heavily favoured by risk </w:t>
      </w:r>
      <w:proofErr w:type="gramStart"/>
      <w:r w:rsidR="006E2FA2">
        <w:rPr>
          <w:rFonts w:ascii="Times New Roman" w:hAnsi="Times New Roman" w:cs="Times New Roman"/>
          <w:sz w:val="24"/>
          <w:szCs w:val="24"/>
        </w:rPr>
        <w:t>averse</w:t>
      </w:r>
      <w:proofErr w:type="gramEnd"/>
      <w:r w:rsidR="006E2FA2">
        <w:rPr>
          <w:rFonts w:ascii="Times New Roman" w:hAnsi="Times New Roman" w:cs="Times New Roman"/>
          <w:sz w:val="24"/>
          <w:szCs w:val="24"/>
        </w:rPr>
        <w:t xml:space="preserve"> investors.</w:t>
      </w:r>
    </w:p>
    <w:p w:rsidR="001212DF" w:rsidRPr="00320A82" w:rsidRDefault="001212DF" w:rsidP="001212DF">
      <w:pPr>
        <w:spacing w:after="0" w:line="360" w:lineRule="auto"/>
        <w:jc w:val="both"/>
        <w:rPr>
          <w:rFonts w:ascii="Times New Roman" w:hAnsi="Times New Roman" w:cs="Times New Roman"/>
          <w:sz w:val="24"/>
          <w:szCs w:val="24"/>
        </w:rPr>
      </w:pPr>
    </w:p>
    <w:p w:rsidR="00ED5887" w:rsidRPr="00320A82" w:rsidRDefault="003B4E3D"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Momentum</w:t>
      </w:r>
      <w:r w:rsidR="00F01166" w:rsidRPr="00320A82">
        <w:rPr>
          <w:rFonts w:ascii="Times New Roman" w:hAnsi="Times New Roman" w:cs="Times New Roman"/>
          <w:sz w:val="24"/>
          <w:szCs w:val="24"/>
        </w:rPr>
        <w:t xml:space="preserve"> has been well documented as an anomaly in the financial literature.</w:t>
      </w:r>
      <w:r w:rsidR="000616CC" w:rsidRPr="00320A82">
        <w:rPr>
          <w:rFonts w:ascii="Times New Roman" w:hAnsi="Times New Roman" w:cs="Times New Roman"/>
          <w:sz w:val="24"/>
          <w:szCs w:val="24"/>
        </w:rPr>
        <w:t xml:space="preserve"> We observe that momentum exists within a variety of asset classes, both adjusted and unadjusted for volatility. Pure momentum portfolios have a tendency though, to still experience relatively large drawdowns. One way to overcome this is to combine them with a trend following methodology, either based on the trend of the asset class or the individual instrument.</w:t>
      </w:r>
      <w:r w:rsidR="00B61E72" w:rsidRPr="00320A82">
        <w:rPr>
          <w:rFonts w:ascii="Times New Roman" w:hAnsi="Times New Roman" w:cs="Times New Roman"/>
          <w:sz w:val="24"/>
          <w:szCs w:val="24"/>
        </w:rPr>
        <w:t xml:space="preserve"> Portfolios that combine trend following and momentum show much improved risk-adjusted performance, smaller drawdowns and less negative skew that the latter alone.</w:t>
      </w:r>
      <w:r w:rsidR="00D675F0" w:rsidRPr="00320A82">
        <w:rPr>
          <w:rFonts w:ascii="Times New Roman" w:hAnsi="Times New Roman" w:cs="Times New Roman"/>
          <w:sz w:val="24"/>
          <w:szCs w:val="24"/>
        </w:rPr>
        <w:t xml:space="preserve"> We note though that </w:t>
      </w:r>
      <w:r w:rsidR="008B1AAC" w:rsidRPr="00320A82">
        <w:rPr>
          <w:rFonts w:ascii="Times New Roman" w:hAnsi="Times New Roman" w:cs="Times New Roman"/>
          <w:sz w:val="24"/>
          <w:szCs w:val="24"/>
        </w:rPr>
        <w:t xml:space="preserve">while </w:t>
      </w:r>
      <w:r w:rsidR="00D675F0" w:rsidRPr="00320A82">
        <w:rPr>
          <w:rFonts w:ascii="Times New Roman" w:hAnsi="Times New Roman" w:cs="Times New Roman"/>
          <w:sz w:val="24"/>
          <w:szCs w:val="24"/>
        </w:rPr>
        <w:t xml:space="preserve">these combined strategy portfolios have higher nominal returns </w:t>
      </w:r>
      <w:r w:rsidR="00D675F0" w:rsidRPr="00320A82">
        <w:rPr>
          <w:rFonts w:ascii="Times New Roman" w:hAnsi="Times New Roman" w:cs="Times New Roman"/>
          <w:sz w:val="24"/>
          <w:szCs w:val="24"/>
        </w:rPr>
        <w:lastRenderedPageBreak/>
        <w:t>than trend following alone, they do not display any improvement in risk-adjusted returns. The suggestion is thus that adding momentum increases the beta compared to the basic trend following portfolio.</w:t>
      </w:r>
      <w:r w:rsidR="005A1879">
        <w:rPr>
          <w:rFonts w:ascii="Times New Roman" w:hAnsi="Times New Roman" w:cs="Times New Roman"/>
          <w:sz w:val="24"/>
          <w:szCs w:val="24"/>
        </w:rPr>
        <w:t xml:space="preserve"> There is also some evidence that this also results in improved higher order behaviour when viewed from the perspective of a risk </w:t>
      </w:r>
      <w:proofErr w:type="gramStart"/>
      <w:r w:rsidR="005A1879">
        <w:rPr>
          <w:rFonts w:ascii="Times New Roman" w:hAnsi="Times New Roman" w:cs="Times New Roman"/>
          <w:sz w:val="24"/>
          <w:szCs w:val="24"/>
        </w:rPr>
        <w:t>averse</w:t>
      </w:r>
      <w:proofErr w:type="gramEnd"/>
      <w:r w:rsidR="005A1879">
        <w:rPr>
          <w:rFonts w:ascii="Times New Roman" w:hAnsi="Times New Roman" w:cs="Times New Roman"/>
          <w:sz w:val="24"/>
          <w:szCs w:val="24"/>
        </w:rPr>
        <w:t xml:space="preserve"> investor with constant relative risk aversion preferences.</w:t>
      </w:r>
    </w:p>
    <w:p w:rsidR="001212DF" w:rsidRPr="00320A82" w:rsidRDefault="001212DF" w:rsidP="001212DF">
      <w:pPr>
        <w:spacing w:after="0" w:line="360" w:lineRule="auto"/>
        <w:jc w:val="both"/>
        <w:rPr>
          <w:rFonts w:ascii="Times New Roman" w:hAnsi="Times New Roman" w:cs="Times New Roman"/>
          <w:sz w:val="24"/>
          <w:szCs w:val="24"/>
        </w:rPr>
      </w:pPr>
    </w:p>
    <w:p w:rsidR="00D675F0" w:rsidRPr="00320A82" w:rsidRDefault="00EE7FAC" w:rsidP="00EE7F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00922456" w:rsidRPr="00320A82">
        <w:rPr>
          <w:rFonts w:ascii="Times New Roman" w:hAnsi="Times New Roman" w:cs="Times New Roman"/>
          <w:sz w:val="24"/>
          <w:szCs w:val="24"/>
        </w:rPr>
        <w:t>e have offered a flexible asset allocation strategy.</w:t>
      </w:r>
      <w:r w:rsidR="00B65A64" w:rsidRPr="00320A82">
        <w:rPr>
          <w:rFonts w:ascii="Times New Roman" w:hAnsi="Times New Roman" w:cs="Times New Roman"/>
          <w:sz w:val="24"/>
          <w:szCs w:val="24"/>
        </w:rPr>
        <w:t xml:space="preserve"> A wide selection of instruments from a variety of asset classes were ranked according to their volatility-adjusted momentum and </w:t>
      </w:r>
      <w:r w:rsidR="008B1AAC" w:rsidRPr="00320A82">
        <w:rPr>
          <w:rFonts w:ascii="Times New Roman" w:hAnsi="Times New Roman" w:cs="Times New Roman"/>
          <w:sz w:val="24"/>
          <w:szCs w:val="24"/>
        </w:rPr>
        <w:t xml:space="preserve">before </w:t>
      </w:r>
      <w:r w:rsidR="00B65A64" w:rsidRPr="00320A82">
        <w:rPr>
          <w:rFonts w:ascii="Times New Roman" w:hAnsi="Times New Roman" w:cs="Times New Roman"/>
          <w:sz w:val="24"/>
          <w:szCs w:val="24"/>
        </w:rPr>
        <w:t xml:space="preserve">a trend following filter </w:t>
      </w:r>
      <w:r w:rsidR="008B1AAC" w:rsidRPr="00320A82">
        <w:rPr>
          <w:rFonts w:ascii="Times New Roman" w:hAnsi="Times New Roman" w:cs="Times New Roman"/>
          <w:sz w:val="24"/>
          <w:szCs w:val="24"/>
        </w:rPr>
        <w:t xml:space="preserve">was </w:t>
      </w:r>
      <w:r w:rsidR="00B65A64" w:rsidRPr="00320A82">
        <w:rPr>
          <w:rFonts w:ascii="Times New Roman" w:hAnsi="Times New Roman" w:cs="Times New Roman"/>
          <w:sz w:val="24"/>
          <w:szCs w:val="24"/>
        </w:rPr>
        <w:t xml:space="preserve">applied. By choosing only the winning </w:t>
      </w:r>
      <w:r w:rsidR="008B1AAC" w:rsidRPr="00320A82">
        <w:rPr>
          <w:rFonts w:ascii="Times New Roman" w:hAnsi="Times New Roman" w:cs="Times New Roman"/>
          <w:sz w:val="24"/>
          <w:szCs w:val="24"/>
        </w:rPr>
        <w:t xml:space="preserve">markets </w:t>
      </w:r>
      <w:r w:rsidR="00B65A64" w:rsidRPr="00320A82">
        <w:rPr>
          <w:rFonts w:ascii="Times New Roman" w:hAnsi="Times New Roman" w:cs="Times New Roman"/>
          <w:sz w:val="24"/>
          <w:szCs w:val="24"/>
        </w:rPr>
        <w:t xml:space="preserve">it was possible to achieve a high level of return with lower volatility than a developed equity index. The benefit of this approach is that one makes no judgements about the appropriate allocation to each asset </w:t>
      </w:r>
      <w:proofErr w:type="gramStart"/>
      <w:r w:rsidR="00B65A64" w:rsidRPr="00320A82">
        <w:rPr>
          <w:rFonts w:ascii="Times New Roman" w:hAnsi="Times New Roman" w:cs="Times New Roman"/>
          <w:sz w:val="24"/>
          <w:szCs w:val="24"/>
        </w:rPr>
        <w:t>class,</w:t>
      </w:r>
      <w:proofErr w:type="gramEnd"/>
      <w:r w:rsidR="00B65A64" w:rsidRPr="00320A82">
        <w:rPr>
          <w:rFonts w:ascii="Times New Roman" w:hAnsi="Times New Roman" w:cs="Times New Roman"/>
          <w:sz w:val="24"/>
          <w:szCs w:val="24"/>
        </w:rPr>
        <w:t xml:space="preserve"> instead the market makes the decision itself.</w:t>
      </w:r>
    </w:p>
    <w:p w:rsidR="001212DF" w:rsidRPr="00320A82" w:rsidRDefault="001212DF" w:rsidP="001212DF">
      <w:pPr>
        <w:spacing w:after="0" w:line="360" w:lineRule="auto"/>
        <w:jc w:val="both"/>
        <w:rPr>
          <w:rFonts w:ascii="Times New Roman" w:hAnsi="Times New Roman" w:cs="Times New Roman"/>
          <w:sz w:val="24"/>
          <w:szCs w:val="24"/>
        </w:rPr>
      </w:pPr>
    </w:p>
    <w:p w:rsidR="008B1AAC" w:rsidRPr="00320A82" w:rsidRDefault="008B1AAC" w:rsidP="00EE7FA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Finally, we examined whether the impressive returns generated by some of these strategies could be explained by their exposure to known risk factors.  Although, the alphas that we calculated were lower than unconditional mean returns, a significant proportion of the return could not be explained with reference to these risk factors.  </w:t>
      </w:r>
    </w:p>
    <w:p w:rsidR="00F55B90" w:rsidRPr="00320A82" w:rsidRDefault="00F55B90" w:rsidP="001212DF">
      <w:pPr>
        <w:spacing w:after="0" w:line="360" w:lineRule="auto"/>
        <w:jc w:val="both"/>
        <w:rPr>
          <w:rFonts w:ascii="Times New Roman" w:hAnsi="Times New Roman" w:cs="Times New Roman"/>
          <w:sz w:val="24"/>
          <w:szCs w:val="24"/>
        </w:rPr>
      </w:pPr>
    </w:p>
    <w:p w:rsidR="00085845" w:rsidRDefault="007108D8" w:rsidP="008D0BFC">
      <w:pPr>
        <w:spacing w:after="0" w:line="360" w:lineRule="auto"/>
        <w:ind w:firstLine="720"/>
        <w:jc w:val="both"/>
        <w:rPr>
          <w:rFonts w:ascii="Times New Roman" w:hAnsi="Times New Roman" w:cs="Times New Roman"/>
          <w:sz w:val="24"/>
          <w:szCs w:val="24"/>
        </w:rPr>
      </w:pPr>
      <w:r w:rsidRPr="00320A82">
        <w:rPr>
          <w:rFonts w:ascii="Times New Roman" w:hAnsi="Times New Roman" w:cs="Times New Roman"/>
          <w:sz w:val="24"/>
          <w:szCs w:val="24"/>
        </w:rPr>
        <w:t xml:space="preserve">Our results show then that a </w:t>
      </w:r>
      <w:r w:rsidR="00261595" w:rsidRPr="00320A82">
        <w:rPr>
          <w:rFonts w:ascii="Times New Roman" w:hAnsi="Times New Roman" w:cs="Times New Roman"/>
          <w:sz w:val="24"/>
          <w:szCs w:val="24"/>
        </w:rPr>
        <w:t xml:space="preserve">pure trend following strategy, or one </w:t>
      </w:r>
      <w:r w:rsidR="004623FC" w:rsidRPr="00320A82">
        <w:rPr>
          <w:rFonts w:ascii="Times New Roman" w:hAnsi="Times New Roman" w:cs="Times New Roman"/>
          <w:sz w:val="24"/>
          <w:szCs w:val="24"/>
        </w:rPr>
        <w:t>overlaid</w:t>
      </w:r>
      <w:r w:rsidR="00261595" w:rsidRPr="00320A82">
        <w:rPr>
          <w:rFonts w:ascii="Times New Roman" w:hAnsi="Times New Roman" w:cs="Times New Roman"/>
          <w:sz w:val="24"/>
          <w:szCs w:val="24"/>
        </w:rPr>
        <w:t xml:space="preserve"> on </w:t>
      </w:r>
      <w:r w:rsidR="003D16AB">
        <w:rPr>
          <w:rFonts w:ascii="Times New Roman" w:hAnsi="Times New Roman" w:cs="Times New Roman"/>
          <w:sz w:val="24"/>
          <w:szCs w:val="24"/>
        </w:rPr>
        <w:t xml:space="preserve">to </w:t>
      </w:r>
      <w:r w:rsidR="00261595" w:rsidRPr="00320A82">
        <w:rPr>
          <w:rFonts w:ascii="Times New Roman" w:hAnsi="Times New Roman" w:cs="Times New Roman"/>
          <w:sz w:val="24"/>
          <w:szCs w:val="24"/>
        </w:rPr>
        <w:t xml:space="preserve">a momentum strategy with volatility-adjusted weightings, </w:t>
      </w:r>
      <w:r w:rsidR="00561210" w:rsidRPr="00320A82">
        <w:rPr>
          <w:rFonts w:ascii="Times New Roman" w:hAnsi="Times New Roman" w:cs="Times New Roman"/>
          <w:sz w:val="24"/>
          <w:szCs w:val="24"/>
        </w:rPr>
        <w:t>produce</w:t>
      </w:r>
      <w:r w:rsidR="00261595" w:rsidRPr="00320A82">
        <w:rPr>
          <w:rFonts w:ascii="Times New Roman" w:hAnsi="Times New Roman" w:cs="Times New Roman"/>
          <w:sz w:val="24"/>
          <w:szCs w:val="24"/>
        </w:rPr>
        <w:t xml:space="preserve">s </w:t>
      </w:r>
      <w:r w:rsidR="00561210" w:rsidRPr="00320A82">
        <w:rPr>
          <w:rFonts w:ascii="Times New Roman" w:hAnsi="Times New Roman" w:cs="Times New Roman"/>
          <w:sz w:val="24"/>
          <w:szCs w:val="24"/>
        </w:rPr>
        <w:t xml:space="preserve">much lower </w:t>
      </w:r>
      <w:r w:rsidR="00261595" w:rsidRPr="00320A82">
        <w:rPr>
          <w:rFonts w:ascii="Times New Roman" w:hAnsi="Times New Roman" w:cs="Times New Roman"/>
          <w:sz w:val="24"/>
          <w:szCs w:val="24"/>
        </w:rPr>
        <w:t xml:space="preserve">drawdowns </w:t>
      </w:r>
      <w:r w:rsidR="00561210" w:rsidRPr="00320A82">
        <w:rPr>
          <w:rFonts w:ascii="Times New Roman" w:hAnsi="Times New Roman" w:cs="Times New Roman"/>
          <w:sz w:val="24"/>
          <w:szCs w:val="24"/>
        </w:rPr>
        <w:t xml:space="preserve">than a </w:t>
      </w:r>
      <w:r w:rsidR="00261595" w:rsidRPr="00320A82">
        <w:rPr>
          <w:rFonts w:ascii="Times New Roman" w:hAnsi="Times New Roman" w:cs="Times New Roman"/>
          <w:sz w:val="24"/>
          <w:szCs w:val="24"/>
        </w:rPr>
        <w:t>compar</w:t>
      </w:r>
      <w:r w:rsidR="00561210" w:rsidRPr="00320A82">
        <w:rPr>
          <w:rFonts w:ascii="Times New Roman" w:hAnsi="Times New Roman" w:cs="Times New Roman"/>
          <w:sz w:val="24"/>
          <w:szCs w:val="24"/>
        </w:rPr>
        <w:t>able</w:t>
      </w:r>
      <w:r w:rsidR="00261595" w:rsidRPr="00320A82">
        <w:rPr>
          <w:rFonts w:ascii="Times New Roman" w:hAnsi="Times New Roman" w:cs="Times New Roman"/>
          <w:sz w:val="24"/>
          <w:szCs w:val="24"/>
        </w:rPr>
        <w:t xml:space="preserve"> buy and hold strategy.  </w:t>
      </w:r>
      <w:r w:rsidR="005A1879">
        <w:rPr>
          <w:rFonts w:ascii="Times New Roman" w:hAnsi="Times New Roman" w:cs="Times New Roman"/>
          <w:sz w:val="24"/>
          <w:szCs w:val="24"/>
        </w:rPr>
        <w:t xml:space="preserve">In addition to improving the utility of a representative risk </w:t>
      </w:r>
      <w:proofErr w:type="gramStart"/>
      <w:r w:rsidR="005A1879">
        <w:rPr>
          <w:rFonts w:ascii="Times New Roman" w:hAnsi="Times New Roman" w:cs="Times New Roman"/>
          <w:sz w:val="24"/>
          <w:szCs w:val="24"/>
        </w:rPr>
        <w:t>averse</w:t>
      </w:r>
      <w:proofErr w:type="gramEnd"/>
      <w:r w:rsidR="005A1879">
        <w:rPr>
          <w:rFonts w:ascii="Times New Roman" w:hAnsi="Times New Roman" w:cs="Times New Roman"/>
          <w:sz w:val="24"/>
          <w:szCs w:val="24"/>
        </w:rPr>
        <w:t xml:space="preserve"> investor, in a world of heterogeneous investors, t</w:t>
      </w:r>
      <w:r w:rsidR="00261595" w:rsidRPr="00320A82">
        <w:rPr>
          <w:rFonts w:ascii="Times New Roman" w:hAnsi="Times New Roman" w:cs="Times New Roman"/>
          <w:sz w:val="24"/>
          <w:szCs w:val="24"/>
        </w:rPr>
        <w:t xml:space="preserve">he substantial reduction in the drawdown has important implications for </w:t>
      </w:r>
      <w:r w:rsidR="00561210" w:rsidRPr="00320A82">
        <w:rPr>
          <w:rFonts w:ascii="Times New Roman" w:hAnsi="Times New Roman" w:cs="Times New Roman"/>
          <w:sz w:val="24"/>
          <w:szCs w:val="24"/>
        </w:rPr>
        <w:t xml:space="preserve">very risk averse investors, for example, </w:t>
      </w:r>
      <w:r w:rsidR="00261595" w:rsidRPr="00320A82">
        <w:rPr>
          <w:rFonts w:ascii="Times New Roman" w:hAnsi="Times New Roman" w:cs="Times New Roman"/>
          <w:sz w:val="24"/>
          <w:szCs w:val="24"/>
        </w:rPr>
        <w:t xml:space="preserve">investors </w:t>
      </w:r>
      <w:r w:rsidR="00561210" w:rsidRPr="00320A82">
        <w:rPr>
          <w:rFonts w:ascii="Times New Roman" w:hAnsi="Times New Roman" w:cs="Times New Roman"/>
          <w:sz w:val="24"/>
          <w:szCs w:val="24"/>
        </w:rPr>
        <w:t xml:space="preserve">who are </w:t>
      </w:r>
      <w:r w:rsidR="00261595" w:rsidRPr="00320A82">
        <w:rPr>
          <w:rFonts w:ascii="Times New Roman" w:hAnsi="Times New Roman" w:cs="Times New Roman"/>
          <w:sz w:val="24"/>
          <w:szCs w:val="24"/>
        </w:rPr>
        <w:t xml:space="preserve">nearing retirement.  If one is looking to sell an investment portfolio in order to buy an annuity a large drawdown just prior to the purchase could dramatically affect future living standards. </w:t>
      </w:r>
      <w:r w:rsidR="00561210" w:rsidRPr="00320A82">
        <w:rPr>
          <w:rFonts w:ascii="Times New Roman" w:hAnsi="Times New Roman" w:cs="Times New Roman"/>
          <w:sz w:val="24"/>
          <w:szCs w:val="24"/>
        </w:rPr>
        <w:t xml:space="preserve"> To avoid such a shock u</w:t>
      </w:r>
      <w:r w:rsidR="00261595" w:rsidRPr="00320A82">
        <w:rPr>
          <w:rFonts w:ascii="Times New Roman" w:hAnsi="Times New Roman" w:cs="Times New Roman"/>
          <w:sz w:val="24"/>
          <w:szCs w:val="24"/>
        </w:rPr>
        <w:t xml:space="preserve">sing conventional </w:t>
      </w:r>
      <w:r w:rsidR="00561210" w:rsidRPr="00320A82">
        <w:rPr>
          <w:rFonts w:ascii="Times New Roman" w:hAnsi="Times New Roman" w:cs="Times New Roman"/>
          <w:sz w:val="24"/>
          <w:szCs w:val="24"/>
        </w:rPr>
        <w:t>asset allocation techniques</w:t>
      </w:r>
      <w:r w:rsidR="00261595" w:rsidRPr="00320A82">
        <w:rPr>
          <w:rFonts w:ascii="Times New Roman" w:hAnsi="Times New Roman" w:cs="Times New Roman"/>
          <w:sz w:val="24"/>
          <w:szCs w:val="24"/>
        </w:rPr>
        <w:t xml:space="preserve">, </w:t>
      </w:r>
      <w:r w:rsidR="00561210" w:rsidRPr="00320A82">
        <w:rPr>
          <w:rFonts w:ascii="Times New Roman" w:hAnsi="Times New Roman" w:cs="Times New Roman"/>
          <w:sz w:val="24"/>
          <w:szCs w:val="24"/>
        </w:rPr>
        <w:t>which might involve gradually moving out of high risk assets like equities, into low risk assets prior to retirement, clearly involves in the investor having to</w:t>
      </w:r>
      <w:r w:rsidR="00261595" w:rsidRPr="00320A82">
        <w:rPr>
          <w:rFonts w:ascii="Times New Roman" w:hAnsi="Times New Roman" w:cs="Times New Roman"/>
          <w:sz w:val="24"/>
          <w:szCs w:val="24"/>
        </w:rPr>
        <w:t xml:space="preserve"> accept much lower returns in order to keep </w:t>
      </w:r>
      <w:r w:rsidR="00561210" w:rsidRPr="00320A82">
        <w:rPr>
          <w:rFonts w:ascii="Times New Roman" w:hAnsi="Times New Roman" w:cs="Times New Roman"/>
          <w:sz w:val="24"/>
          <w:szCs w:val="24"/>
        </w:rPr>
        <w:t xml:space="preserve">possible </w:t>
      </w:r>
      <w:r w:rsidR="00261595" w:rsidRPr="00320A82">
        <w:rPr>
          <w:rFonts w:ascii="Times New Roman" w:hAnsi="Times New Roman" w:cs="Times New Roman"/>
          <w:sz w:val="24"/>
          <w:szCs w:val="24"/>
        </w:rPr>
        <w:t xml:space="preserve">drawdowns to an acceptable level. </w:t>
      </w:r>
      <w:r w:rsidR="00561210" w:rsidRPr="00320A82">
        <w:rPr>
          <w:rFonts w:ascii="Times New Roman" w:hAnsi="Times New Roman" w:cs="Times New Roman"/>
          <w:sz w:val="24"/>
          <w:szCs w:val="24"/>
        </w:rPr>
        <w:t xml:space="preserve"> </w:t>
      </w:r>
      <w:r w:rsidR="00261595" w:rsidRPr="00320A82">
        <w:rPr>
          <w:rFonts w:ascii="Times New Roman" w:hAnsi="Times New Roman" w:cs="Times New Roman"/>
          <w:sz w:val="24"/>
          <w:szCs w:val="24"/>
        </w:rPr>
        <w:t xml:space="preserve">This in turn reduces the purchasing power of the portfolio at retirement. </w:t>
      </w:r>
      <w:r w:rsidR="00561210" w:rsidRPr="00320A82">
        <w:rPr>
          <w:rFonts w:ascii="Times New Roman" w:hAnsi="Times New Roman" w:cs="Times New Roman"/>
          <w:sz w:val="24"/>
          <w:szCs w:val="24"/>
        </w:rPr>
        <w:t xml:space="preserve"> </w:t>
      </w:r>
      <w:r w:rsidR="00261595" w:rsidRPr="00320A82">
        <w:rPr>
          <w:rFonts w:ascii="Times New Roman" w:hAnsi="Times New Roman" w:cs="Times New Roman"/>
          <w:sz w:val="24"/>
          <w:szCs w:val="24"/>
        </w:rPr>
        <w:t>The trend following multi-asset portfolio improves on this.</w:t>
      </w:r>
    </w:p>
    <w:p w:rsidR="00E91D38" w:rsidRDefault="00E91D38" w:rsidP="008D0BFC">
      <w:pPr>
        <w:spacing w:after="0" w:line="360" w:lineRule="auto"/>
        <w:ind w:firstLine="720"/>
        <w:jc w:val="both"/>
        <w:rPr>
          <w:rFonts w:ascii="Times New Roman" w:hAnsi="Times New Roman" w:cs="Times New Roman"/>
          <w:sz w:val="24"/>
          <w:szCs w:val="24"/>
        </w:rPr>
      </w:pPr>
    </w:p>
    <w:p w:rsidR="003162F3" w:rsidRDefault="003162F3" w:rsidP="008D0BFC">
      <w:pPr>
        <w:spacing w:after="0" w:line="360" w:lineRule="auto"/>
        <w:ind w:firstLine="720"/>
        <w:jc w:val="both"/>
        <w:rPr>
          <w:rFonts w:ascii="Times New Roman" w:hAnsi="Times New Roman" w:cs="Times New Roman"/>
          <w:b/>
          <w:sz w:val="24"/>
          <w:szCs w:val="24"/>
        </w:rPr>
      </w:pPr>
      <w:r w:rsidRPr="00474F34">
        <w:rPr>
          <w:rFonts w:ascii="Times New Roman" w:hAnsi="Times New Roman" w:cs="Times New Roman"/>
          <w:sz w:val="24"/>
          <w:szCs w:val="24"/>
        </w:rPr>
        <w:t>The investment strategies presented here have firm roots in understanding the biases and opportunities arising from understanding behavioural finance.</w:t>
      </w:r>
    </w:p>
    <w:p w:rsidR="00CB1FF2" w:rsidRPr="00320A82" w:rsidRDefault="00CB1FF2" w:rsidP="00991108">
      <w:pPr>
        <w:spacing w:after="0" w:line="240" w:lineRule="auto"/>
        <w:jc w:val="both"/>
        <w:rPr>
          <w:rFonts w:ascii="Times New Roman" w:hAnsi="Times New Roman" w:cs="Times New Roman"/>
          <w:b/>
          <w:sz w:val="24"/>
          <w:szCs w:val="24"/>
        </w:rPr>
      </w:pPr>
      <w:r w:rsidRPr="00320A82">
        <w:rPr>
          <w:rFonts w:ascii="Times New Roman" w:hAnsi="Times New Roman" w:cs="Times New Roman"/>
          <w:b/>
          <w:sz w:val="24"/>
          <w:szCs w:val="24"/>
        </w:rPr>
        <w:lastRenderedPageBreak/>
        <w:t>R</w:t>
      </w:r>
      <w:r w:rsidR="001212DF" w:rsidRPr="00320A82">
        <w:rPr>
          <w:rFonts w:ascii="Times New Roman" w:hAnsi="Times New Roman" w:cs="Times New Roman"/>
          <w:b/>
          <w:sz w:val="24"/>
          <w:szCs w:val="24"/>
        </w:rPr>
        <w:t>eferences</w:t>
      </w:r>
    </w:p>
    <w:p w:rsidR="001212DF" w:rsidRPr="00320A82" w:rsidRDefault="001212DF" w:rsidP="00991108">
      <w:pPr>
        <w:spacing w:after="0" w:line="240" w:lineRule="auto"/>
        <w:jc w:val="both"/>
        <w:rPr>
          <w:rFonts w:ascii="Times New Roman" w:hAnsi="Times New Roman" w:cs="Times New Roman"/>
          <w:sz w:val="24"/>
          <w:szCs w:val="24"/>
        </w:rPr>
      </w:pPr>
    </w:p>
    <w:p w:rsidR="00FC447E" w:rsidRPr="00320A82" w:rsidRDefault="004B523B" w:rsidP="00991108">
      <w:pPr>
        <w:spacing w:after="0" w:line="240" w:lineRule="auto"/>
        <w:jc w:val="both"/>
        <w:rPr>
          <w:rFonts w:ascii="Times New Roman" w:hAnsi="Times New Roman" w:cs="Times New Roman"/>
          <w:sz w:val="24"/>
          <w:szCs w:val="24"/>
        </w:rPr>
      </w:pPr>
      <w:proofErr w:type="spellStart"/>
      <w:proofErr w:type="gramStart"/>
      <w:r w:rsidRPr="00320A82">
        <w:rPr>
          <w:rFonts w:ascii="Times New Roman" w:hAnsi="Times New Roman" w:cs="Times New Roman"/>
          <w:sz w:val="24"/>
          <w:szCs w:val="24"/>
        </w:rPr>
        <w:t>a</w:t>
      </w:r>
      <w:r w:rsidR="00FC447E" w:rsidRPr="00320A82">
        <w:rPr>
          <w:rFonts w:ascii="Times New Roman" w:hAnsi="Times New Roman" w:cs="Times New Roman"/>
          <w:sz w:val="24"/>
          <w:szCs w:val="24"/>
        </w:rPr>
        <w:t>p</w:t>
      </w:r>
      <w:proofErr w:type="spellEnd"/>
      <w:proofErr w:type="gramEnd"/>
      <w:r w:rsidRPr="00320A82">
        <w:rPr>
          <w:rFonts w:ascii="Times New Roman" w:hAnsi="Times New Roman" w:cs="Times New Roman"/>
          <w:sz w:val="24"/>
          <w:szCs w:val="24"/>
        </w:rPr>
        <w:t xml:space="preserve"> </w:t>
      </w:r>
      <w:proofErr w:type="spellStart"/>
      <w:r w:rsidR="00FC447E" w:rsidRPr="00320A82">
        <w:rPr>
          <w:rFonts w:ascii="Times New Roman" w:hAnsi="Times New Roman" w:cs="Times New Roman"/>
          <w:sz w:val="24"/>
          <w:szCs w:val="24"/>
        </w:rPr>
        <w:t>Gwilym</w:t>
      </w:r>
      <w:proofErr w:type="spellEnd"/>
      <w:r w:rsidR="00FC447E" w:rsidRPr="00320A82">
        <w:rPr>
          <w:rFonts w:ascii="Times New Roman" w:hAnsi="Times New Roman" w:cs="Times New Roman"/>
          <w:sz w:val="24"/>
          <w:szCs w:val="24"/>
        </w:rPr>
        <w:t xml:space="preserve"> O., Clare, A., Seaton, J., Thomas, S., (2010). </w:t>
      </w:r>
      <w:proofErr w:type="gramStart"/>
      <w:r w:rsidR="00FC447E" w:rsidRPr="00320A82">
        <w:rPr>
          <w:rFonts w:ascii="Times New Roman" w:hAnsi="Times New Roman" w:cs="Times New Roman"/>
          <w:sz w:val="24"/>
          <w:szCs w:val="24"/>
        </w:rPr>
        <w:t xml:space="preserve">"Price and Momentum as Robust Tactical Approaches to Global Equity Investing", </w:t>
      </w:r>
      <w:r w:rsidR="00FC447E" w:rsidRPr="00320A82">
        <w:rPr>
          <w:rFonts w:ascii="Times New Roman" w:hAnsi="Times New Roman" w:cs="Times New Roman"/>
          <w:i/>
          <w:sz w:val="24"/>
          <w:szCs w:val="24"/>
        </w:rPr>
        <w:t>Journal of Investing</w:t>
      </w:r>
      <w:r w:rsidR="00FC447E" w:rsidRPr="00320A82">
        <w:rPr>
          <w:rFonts w:ascii="Times New Roman" w:hAnsi="Times New Roman" w:cs="Times New Roman"/>
          <w:sz w:val="24"/>
          <w:szCs w:val="24"/>
        </w:rPr>
        <w:t>, 19, 80-92.</w:t>
      </w:r>
      <w:proofErr w:type="gramEnd"/>
    </w:p>
    <w:p w:rsidR="001F283B" w:rsidRPr="00320A82" w:rsidRDefault="001F283B" w:rsidP="00991108">
      <w:pPr>
        <w:spacing w:after="0" w:line="240" w:lineRule="auto"/>
        <w:jc w:val="both"/>
        <w:rPr>
          <w:rFonts w:ascii="Times New Roman" w:hAnsi="Times New Roman" w:cs="Times New Roman"/>
          <w:sz w:val="24"/>
          <w:szCs w:val="24"/>
        </w:rPr>
      </w:pPr>
    </w:p>
    <w:p w:rsidR="00860893" w:rsidRPr="00320A82" w:rsidRDefault="00860893" w:rsidP="00991108">
      <w:pPr>
        <w:spacing w:after="0" w:line="240" w:lineRule="auto"/>
        <w:jc w:val="both"/>
        <w:rPr>
          <w:rFonts w:ascii="Times New Roman" w:hAnsi="Times New Roman" w:cs="Times New Roman"/>
          <w:sz w:val="24"/>
          <w:szCs w:val="24"/>
        </w:rPr>
      </w:pPr>
      <w:proofErr w:type="spellStart"/>
      <w:r w:rsidRPr="00320A82">
        <w:rPr>
          <w:rFonts w:ascii="Times New Roman" w:hAnsi="Times New Roman" w:cs="Times New Roman"/>
          <w:sz w:val="24"/>
          <w:szCs w:val="24"/>
        </w:rPr>
        <w:t>Antonacci</w:t>
      </w:r>
      <w:proofErr w:type="spellEnd"/>
      <w:r w:rsidRPr="00320A82">
        <w:rPr>
          <w:rFonts w:ascii="Times New Roman" w:hAnsi="Times New Roman" w:cs="Times New Roman"/>
          <w:sz w:val="24"/>
          <w:szCs w:val="24"/>
        </w:rPr>
        <w:t xml:space="preserve">, G., (2012). "Risk </w:t>
      </w:r>
      <w:proofErr w:type="spellStart"/>
      <w:r w:rsidRPr="00320A82">
        <w:rPr>
          <w:rFonts w:ascii="Times New Roman" w:hAnsi="Times New Roman" w:cs="Times New Roman"/>
          <w:sz w:val="24"/>
          <w:szCs w:val="24"/>
        </w:rPr>
        <w:t>Premia</w:t>
      </w:r>
      <w:proofErr w:type="spellEnd"/>
      <w:r w:rsidRPr="00320A82">
        <w:rPr>
          <w:rFonts w:ascii="Times New Roman" w:hAnsi="Times New Roman" w:cs="Times New Roman"/>
          <w:sz w:val="24"/>
          <w:szCs w:val="24"/>
        </w:rPr>
        <w:t xml:space="preserve"> Harvesting Through Momentum", Portfolio Management Associates.</w:t>
      </w:r>
    </w:p>
    <w:p w:rsidR="001F283B" w:rsidRPr="00320A82" w:rsidRDefault="001F283B" w:rsidP="00991108">
      <w:pPr>
        <w:spacing w:after="0" w:line="240" w:lineRule="auto"/>
        <w:jc w:val="both"/>
        <w:rPr>
          <w:rFonts w:ascii="Times New Roman" w:hAnsi="Times New Roman" w:cs="Times New Roman"/>
          <w:sz w:val="24"/>
          <w:szCs w:val="24"/>
        </w:rPr>
      </w:pPr>
    </w:p>
    <w:p w:rsidR="00CA1424" w:rsidRPr="00320A82" w:rsidRDefault="00CA1424" w:rsidP="00991108">
      <w:pPr>
        <w:spacing w:after="0" w:line="240" w:lineRule="auto"/>
        <w:jc w:val="both"/>
        <w:rPr>
          <w:rFonts w:ascii="Times New Roman" w:hAnsi="Times New Roman" w:cs="Times New Roman"/>
          <w:sz w:val="24"/>
          <w:szCs w:val="24"/>
        </w:rPr>
      </w:pPr>
      <w:proofErr w:type="spellStart"/>
      <w:r w:rsidRPr="00320A82">
        <w:rPr>
          <w:rFonts w:ascii="Times New Roman" w:hAnsi="Times New Roman" w:cs="Times New Roman"/>
          <w:sz w:val="24"/>
          <w:szCs w:val="24"/>
        </w:rPr>
        <w:t>Asness</w:t>
      </w:r>
      <w:proofErr w:type="spellEnd"/>
      <w:proofErr w:type="gramStart"/>
      <w:r w:rsidRPr="00320A82">
        <w:rPr>
          <w:rFonts w:ascii="Times New Roman" w:hAnsi="Times New Roman" w:cs="Times New Roman"/>
          <w:sz w:val="24"/>
          <w:szCs w:val="24"/>
        </w:rPr>
        <w:t>,  C</w:t>
      </w:r>
      <w:proofErr w:type="gramEnd"/>
      <w:r w:rsidRPr="00320A82">
        <w:rPr>
          <w:rFonts w:ascii="Times New Roman" w:hAnsi="Times New Roman" w:cs="Times New Roman"/>
          <w:sz w:val="24"/>
          <w:szCs w:val="24"/>
        </w:rPr>
        <w:t xml:space="preserve">., </w:t>
      </w:r>
      <w:proofErr w:type="spellStart"/>
      <w:r w:rsidRPr="00320A82">
        <w:rPr>
          <w:rFonts w:ascii="Times New Roman" w:hAnsi="Times New Roman" w:cs="Times New Roman"/>
          <w:sz w:val="24"/>
          <w:szCs w:val="24"/>
        </w:rPr>
        <w:t>Frazzini</w:t>
      </w:r>
      <w:proofErr w:type="spellEnd"/>
      <w:r w:rsidRPr="00320A82">
        <w:rPr>
          <w:rFonts w:ascii="Times New Roman" w:hAnsi="Times New Roman" w:cs="Times New Roman"/>
          <w:sz w:val="24"/>
          <w:szCs w:val="24"/>
        </w:rPr>
        <w:t xml:space="preserve">, A., and Pedersen, L., (2011). </w:t>
      </w:r>
      <w:proofErr w:type="gramStart"/>
      <w:r w:rsidRPr="00320A82">
        <w:rPr>
          <w:rFonts w:ascii="Times New Roman" w:hAnsi="Times New Roman" w:cs="Times New Roman"/>
          <w:sz w:val="24"/>
          <w:szCs w:val="24"/>
        </w:rPr>
        <w:t>"Leverage Aversion and Risk Parity", AQR Capital Management working paper.</w:t>
      </w:r>
      <w:proofErr w:type="gramEnd"/>
    </w:p>
    <w:p w:rsidR="001F283B" w:rsidRPr="00320A82" w:rsidRDefault="001F283B" w:rsidP="00991108">
      <w:pPr>
        <w:spacing w:after="0" w:line="240" w:lineRule="auto"/>
        <w:jc w:val="both"/>
        <w:rPr>
          <w:rFonts w:ascii="Times New Roman" w:hAnsi="Times New Roman" w:cs="Times New Roman"/>
          <w:sz w:val="24"/>
          <w:szCs w:val="24"/>
        </w:rPr>
      </w:pPr>
    </w:p>
    <w:p w:rsidR="000A349B" w:rsidRPr="000A349B" w:rsidRDefault="000A349B" w:rsidP="000A349B">
      <w:pPr>
        <w:spacing w:line="240" w:lineRule="auto"/>
        <w:jc w:val="both"/>
        <w:rPr>
          <w:rFonts w:ascii="Times New Roman" w:eastAsia="Calibri" w:hAnsi="Times New Roman" w:cs="Times New Roman"/>
          <w:sz w:val="24"/>
          <w:szCs w:val="24"/>
          <w:lang w:eastAsia="en-US"/>
        </w:rPr>
      </w:pPr>
      <w:proofErr w:type="spellStart"/>
      <w:proofErr w:type="gramStart"/>
      <w:r w:rsidRPr="000A349B">
        <w:rPr>
          <w:rFonts w:ascii="Times New Roman" w:eastAsia="Calibri" w:hAnsi="Times New Roman" w:cs="Times New Roman"/>
          <w:sz w:val="24"/>
          <w:szCs w:val="24"/>
          <w:lang w:eastAsia="en-US"/>
        </w:rPr>
        <w:t>Asness</w:t>
      </w:r>
      <w:proofErr w:type="spellEnd"/>
      <w:r w:rsidRPr="000A349B">
        <w:rPr>
          <w:rFonts w:ascii="Times New Roman" w:eastAsia="Calibri" w:hAnsi="Times New Roman" w:cs="Times New Roman"/>
          <w:sz w:val="24"/>
          <w:szCs w:val="24"/>
          <w:lang w:eastAsia="en-US"/>
        </w:rPr>
        <w:t>, C., Moskowitz, T., and Pedersen, L., (2013).</w:t>
      </w:r>
      <w:proofErr w:type="gramEnd"/>
      <w:r w:rsidRPr="000A349B">
        <w:rPr>
          <w:rFonts w:ascii="Times New Roman" w:eastAsia="Calibri" w:hAnsi="Times New Roman" w:cs="Times New Roman"/>
          <w:sz w:val="24"/>
          <w:szCs w:val="24"/>
          <w:lang w:eastAsia="en-US"/>
        </w:rPr>
        <w:t xml:space="preserve"> "Value and Momentum Everywhere", </w:t>
      </w:r>
      <w:r w:rsidRPr="000A349B">
        <w:rPr>
          <w:rFonts w:ascii="Times New Roman" w:eastAsia="Calibri" w:hAnsi="Times New Roman" w:cs="Times New Roman"/>
          <w:i/>
          <w:sz w:val="24"/>
          <w:szCs w:val="24"/>
          <w:lang w:eastAsia="en-US"/>
        </w:rPr>
        <w:t>Journal of Finance</w:t>
      </w:r>
      <w:r w:rsidRPr="000A349B">
        <w:rPr>
          <w:rFonts w:ascii="Times New Roman" w:eastAsia="Calibri" w:hAnsi="Times New Roman" w:cs="Times New Roman"/>
          <w:sz w:val="24"/>
          <w:szCs w:val="24"/>
          <w:lang w:eastAsia="en-US"/>
        </w:rPr>
        <w:t>, 68, 3, 929–985.</w:t>
      </w:r>
    </w:p>
    <w:p w:rsidR="007702D0" w:rsidRDefault="007702D0" w:rsidP="00991108">
      <w:pPr>
        <w:spacing w:after="0" w:line="240" w:lineRule="auto"/>
        <w:jc w:val="both"/>
        <w:rPr>
          <w:rFonts w:ascii="Times New Roman" w:hAnsi="Times New Roman" w:cs="Times New Roman"/>
          <w:sz w:val="24"/>
          <w:szCs w:val="24"/>
        </w:rPr>
      </w:pPr>
      <w:r w:rsidRPr="00320A82">
        <w:rPr>
          <w:rFonts w:ascii="Times New Roman" w:hAnsi="Times New Roman" w:cs="Times New Roman"/>
          <w:sz w:val="24"/>
          <w:szCs w:val="24"/>
        </w:rPr>
        <w:t xml:space="preserve">Banerjee, A. and C. Hung, (2011), “Informed momentum trading versus uninformed “naive” investors strategies”, </w:t>
      </w:r>
      <w:r w:rsidRPr="00320A82">
        <w:rPr>
          <w:rFonts w:ascii="Times New Roman" w:hAnsi="Times New Roman" w:cs="Times New Roman"/>
          <w:i/>
          <w:sz w:val="24"/>
          <w:szCs w:val="24"/>
        </w:rPr>
        <w:t>Journal of Banking &amp; Finance</w:t>
      </w:r>
      <w:r w:rsidRPr="00320A82">
        <w:rPr>
          <w:rFonts w:ascii="Times New Roman" w:hAnsi="Times New Roman" w:cs="Times New Roman"/>
          <w:sz w:val="24"/>
          <w:szCs w:val="24"/>
        </w:rPr>
        <w:t>, 33, 3077-89.</w:t>
      </w:r>
    </w:p>
    <w:p w:rsidR="003330F4" w:rsidRDefault="003330F4" w:rsidP="00991108">
      <w:pPr>
        <w:spacing w:after="0" w:line="240" w:lineRule="auto"/>
        <w:jc w:val="both"/>
        <w:rPr>
          <w:rFonts w:ascii="Times New Roman" w:hAnsi="Times New Roman" w:cs="Times New Roman"/>
          <w:sz w:val="24"/>
          <w:szCs w:val="24"/>
        </w:rPr>
      </w:pPr>
    </w:p>
    <w:p w:rsidR="003330F4" w:rsidRDefault="003330F4" w:rsidP="0099110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Barberis</w:t>
      </w:r>
      <w:proofErr w:type="spellEnd"/>
      <w:r>
        <w:rPr>
          <w:rFonts w:ascii="Times New Roman" w:hAnsi="Times New Roman" w:cs="Times New Roman"/>
          <w:sz w:val="24"/>
          <w:szCs w:val="24"/>
        </w:rPr>
        <w:t xml:space="preserve">, N., (2013). </w:t>
      </w:r>
      <w:proofErr w:type="gramStart"/>
      <w:r>
        <w:rPr>
          <w:rFonts w:ascii="Times New Roman" w:hAnsi="Times New Roman" w:cs="Times New Roman"/>
          <w:sz w:val="24"/>
          <w:szCs w:val="24"/>
        </w:rPr>
        <w:t xml:space="preserve">“Thirty years of prospect theory in economics: a review and assessment”, </w:t>
      </w:r>
      <w:r w:rsidRPr="003330F4">
        <w:rPr>
          <w:rFonts w:ascii="Times New Roman" w:hAnsi="Times New Roman" w:cs="Times New Roman"/>
          <w:i/>
          <w:sz w:val="24"/>
          <w:szCs w:val="24"/>
        </w:rPr>
        <w:t>Journal of Economic Literature</w:t>
      </w:r>
      <w:r>
        <w:rPr>
          <w:rFonts w:ascii="Times New Roman" w:hAnsi="Times New Roman" w:cs="Times New Roman"/>
          <w:sz w:val="24"/>
          <w:szCs w:val="24"/>
        </w:rPr>
        <w:t>, 27, 1, 173-196.</w:t>
      </w:r>
      <w:proofErr w:type="gramEnd"/>
    </w:p>
    <w:p w:rsidR="00D517FD" w:rsidRDefault="00D517FD" w:rsidP="00991108">
      <w:pPr>
        <w:spacing w:after="0" w:line="240" w:lineRule="auto"/>
        <w:jc w:val="both"/>
        <w:rPr>
          <w:rFonts w:ascii="Times New Roman" w:hAnsi="Times New Roman" w:cs="Times New Roman"/>
          <w:sz w:val="24"/>
          <w:szCs w:val="24"/>
        </w:rPr>
      </w:pPr>
    </w:p>
    <w:p w:rsidR="00D517FD" w:rsidRDefault="00D517FD" w:rsidP="0099110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Barbaris</w:t>
      </w:r>
      <w:proofErr w:type="spellEnd"/>
      <w:r>
        <w:rPr>
          <w:rFonts w:ascii="Times New Roman" w:hAnsi="Times New Roman" w:cs="Times New Roman"/>
          <w:sz w:val="24"/>
          <w:szCs w:val="24"/>
        </w:rPr>
        <w:t xml:space="preserve">, N. and </w:t>
      </w:r>
      <w:proofErr w:type="spellStart"/>
      <w:r>
        <w:rPr>
          <w:rFonts w:ascii="Times New Roman" w:hAnsi="Times New Roman" w:cs="Times New Roman"/>
          <w:sz w:val="24"/>
          <w:szCs w:val="24"/>
        </w:rPr>
        <w:t>Xiong</w:t>
      </w:r>
      <w:proofErr w:type="spellEnd"/>
      <w:r>
        <w:rPr>
          <w:rFonts w:ascii="Times New Roman" w:hAnsi="Times New Roman" w:cs="Times New Roman"/>
          <w:sz w:val="24"/>
          <w:szCs w:val="24"/>
        </w:rPr>
        <w:t xml:space="preserve">, W., (2012), “Realization Utility”, </w:t>
      </w:r>
      <w:r w:rsidRPr="00D517FD">
        <w:rPr>
          <w:rFonts w:ascii="Times New Roman" w:hAnsi="Times New Roman" w:cs="Times New Roman"/>
          <w:i/>
          <w:sz w:val="24"/>
          <w:szCs w:val="24"/>
        </w:rPr>
        <w:t>Journal of Financial Economics</w:t>
      </w:r>
      <w:r>
        <w:rPr>
          <w:rFonts w:ascii="Times New Roman" w:hAnsi="Times New Roman" w:cs="Times New Roman"/>
          <w:sz w:val="24"/>
          <w:szCs w:val="24"/>
        </w:rPr>
        <w:t>, 104, 2, 251-271.</w:t>
      </w:r>
    </w:p>
    <w:p w:rsidR="000E5C61" w:rsidRDefault="000E5C61" w:rsidP="00991108">
      <w:pPr>
        <w:spacing w:after="0" w:line="240" w:lineRule="auto"/>
        <w:jc w:val="both"/>
        <w:rPr>
          <w:rFonts w:ascii="Times New Roman" w:hAnsi="Times New Roman" w:cs="Times New Roman"/>
          <w:sz w:val="24"/>
          <w:szCs w:val="24"/>
        </w:rPr>
      </w:pPr>
    </w:p>
    <w:p w:rsidR="000E5C61" w:rsidRDefault="000E5C61" w:rsidP="00333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Barros</w:t>
      </w:r>
      <w:r w:rsidR="003330F4">
        <w:rPr>
          <w:rFonts w:ascii="Times New Roman" w:hAnsi="Times New Roman" w:cs="Times New Roman"/>
          <w:sz w:val="24"/>
          <w:szCs w:val="24"/>
        </w:rPr>
        <w:t>o, P. and Santa-Clara, P., (2015</w:t>
      </w:r>
      <w:r>
        <w:rPr>
          <w:rFonts w:ascii="Times New Roman" w:hAnsi="Times New Roman" w:cs="Times New Roman"/>
          <w:sz w:val="24"/>
          <w:szCs w:val="24"/>
        </w:rPr>
        <w:t xml:space="preserve">), “Momentum has its Moments”, </w:t>
      </w:r>
      <w:r w:rsidR="003330F4" w:rsidRPr="003330F4">
        <w:rPr>
          <w:rFonts w:ascii="Times New Roman" w:hAnsi="Times New Roman" w:cs="Times New Roman"/>
          <w:i/>
          <w:sz w:val="24"/>
          <w:szCs w:val="24"/>
        </w:rPr>
        <w:t>Journal of Financial Economics</w:t>
      </w:r>
      <w:r w:rsidR="003330F4">
        <w:rPr>
          <w:rFonts w:ascii="Times New Roman" w:hAnsi="Times New Roman" w:cs="Times New Roman"/>
          <w:sz w:val="24"/>
          <w:szCs w:val="24"/>
        </w:rPr>
        <w:t>, 116, 1,</w:t>
      </w:r>
      <w:r w:rsidR="003330F4" w:rsidRPr="003330F4">
        <w:rPr>
          <w:rFonts w:ascii="Times New Roman" w:hAnsi="Times New Roman" w:cs="Times New Roman"/>
          <w:sz w:val="24"/>
          <w:szCs w:val="24"/>
        </w:rPr>
        <w:t xml:space="preserve"> 111–120</w:t>
      </w:r>
      <w:r w:rsidR="003330F4">
        <w:rPr>
          <w:rFonts w:ascii="Times New Roman" w:hAnsi="Times New Roman" w:cs="Times New Roman"/>
          <w:sz w:val="24"/>
          <w:szCs w:val="24"/>
        </w:rPr>
        <w:t>.</w:t>
      </w:r>
    </w:p>
    <w:p w:rsidR="003330F4" w:rsidRDefault="003330F4" w:rsidP="003330F4">
      <w:pPr>
        <w:spacing w:after="0" w:line="240" w:lineRule="auto"/>
        <w:jc w:val="both"/>
        <w:rPr>
          <w:rFonts w:ascii="Times New Roman" w:hAnsi="Times New Roman" w:cs="Times New Roman"/>
          <w:sz w:val="24"/>
          <w:szCs w:val="24"/>
        </w:rPr>
      </w:pPr>
    </w:p>
    <w:p w:rsidR="000E5C61" w:rsidRPr="00320A82" w:rsidRDefault="000E5C61" w:rsidP="00991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Bliss, R. and </w:t>
      </w:r>
      <w:proofErr w:type="spellStart"/>
      <w:r>
        <w:rPr>
          <w:rFonts w:ascii="Times New Roman" w:hAnsi="Times New Roman" w:cs="Times New Roman"/>
          <w:sz w:val="24"/>
          <w:szCs w:val="24"/>
        </w:rPr>
        <w:t>Panigirzoglu</w:t>
      </w:r>
      <w:proofErr w:type="spellEnd"/>
      <w:r>
        <w:rPr>
          <w:rFonts w:ascii="Times New Roman" w:hAnsi="Times New Roman" w:cs="Times New Roman"/>
          <w:sz w:val="24"/>
          <w:szCs w:val="24"/>
        </w:rPr>
        <w:t xml:space="preserve">, N., (2004), “Option-Implied Risk Aversion Estimates”, </w:t>
      </w:r>
      <w:r w:rsidRPr="000E5C61">
        <w:rPr>
          <w:rFonts w:ascii="Times New Roman" w:hAnsi="Times New Roman" w:cs="Times New Roman"/>
          <w:i/>
          <w:sz w:val="24"/>
          <w:szCs w:val="24"/>
        </w:rPr>
        <w:t>Journal of Finance</w:t>
      </w:r>
      <w:r>
        <w:rPr>
          <w:rFonts w:ascii="Times New Roman" w:hAnsi="Times New Roman" w:cs="Times New Roman"/>
          <w:sz w:val="24"/>
          <w:szCs w:val="24"/>
        </w:rPr>
        <w:t>, 59, 1, 407-446.</w:t>
      </w:r>
    </w:p>
    <w:p w:rsidR="001F283B" w:rsidRPr="00320A82" w:rsidRDefault="001F283B" w:rsidP="00991108">
      <w:pPr>
        <w:spacing w:after="0" w:line="240" w:lineRule="auto"/>
        <w:jc w:val="both"/>
        <w:rPr>
          <w:rFonts w:ascii="Times New Roman" w:hAnsi="Times New Roman" w:cs="Times New Roman"/>
          <w:sz w:val="24"/>
          <w:szCs w:val="24"/>
        </w:rPr>
      </w:pPr>
    </w:p>
    <w:p w:rsidR="00E91D38" w:rsidRDefault="001F05C4" w:rsidP="00991108">
      <w:pPr>
        <w:spacing w:after="0" w:line="240" w:lineRule="auto"/>
        <w:jc w:val="both"/>
        <w:rPr>
          <w:rFonts w:ascii="Times New Roman" w:hAnsi="Times New Roman" w:cs="Times New Roman"/>
          <w:sz w:val="24"/>
          <w:szCs w:val="24"/>
        </w:rPr>
      </w:pPr>
      <w:proofErr w:type="spellStart"/>
      <w:proofErr w:type="gramStart"/>
      <w:r w:rsidRPr="00320A82">
        <w:rPr>
          <w:rFonts w:ascii="Times New Roman" w:hAnsi="Times New Roman" w:cs="Times New Roman"/>
          <w:sz w:val="24"/>
          <w:szCs w:val="24"/>
        </w:rPr>
        <w:t>Carhart</w:t>
      </w:r>
      <w:proofErr w:type="spellEnd"/>
      <w:r w:rsidRPr="00320A82">
        <w:rPr>
          <w:rFonts w:ascii="Times New Roman" w:hAnsi="Times New Roman" w:cs="Times New Roman"/>
          <w:sz w:val="24"/>
          <w:szCs w:val="24"/>
        </w:rPr>
        <w:t xml:space="preserve">, </w:t>
      </w:r>
      <w:r w:rsidR="00B30F7F" w:rsidRPr="00320A82">
        <w:rPr>
          <w:rFonts w:ascii="Times New Roman" w:hAnsi="Times New Roman" w:cs="Times New Roman"/>
          <w:sz w:val="24"/>
          <w:szCs w:val="24"/>
        </w:rPr>
        <w:t>M., (1997).</w:t>
      </w:r>
      <w:proofErr w:type="gramEnd"/>
      <w:r w:rsidR="00B30F7F" w:rsidRPr="00320A82">
        <w:rPr>
          <w:rFonts w:ascii="Times New Roman" w:hAnsi="Times New Roman" w:cs="Times New Roman"/>
          <w:sz w:val="24"/>
          <w:szCs w:val="24"/>
        </w:rPr>
        <w:t xml:space="preserve"> “On Persistence in Mutual Fund Performance”, </w:t>
      </w:r>
      <w:r w:rsidR="00B30F7F" w:rsidRPr="00320A82">
        <w:rPr>
          <w:rFonts w:ascii="Times New Roman" w:hAnsi="Times New Roman" w:cs="Times New Roman"/>
          <w:i/>
          <w:sz w:val="24"/>
          <w:szCs w:val="24"/>
        </w:rPr>
        <w:t>Journal of Finance</w:t>
      </w:r>
      <w:r w:rsidR="00B30F7F" w:rsidRPr="00320A82">
        <w:rPr>
          <w:rFonts w:ascii="Times New Roman" w:hAnsi="Times New Roman" w:cs="Times New Roman"/>
          <w:sz w:val="24"/>
          <w:szCs w:val="24"/>
        </w:rPr>
        <w:t>, 52, 57-82.</w:t>
      </w:r>
    </w:p>
    <w:p w:rsidR="00E91D38" w:rsidRDefault="00E91D38" w:rsidP="00991108">
      <w:pPr>
        <w:spacing w:after="0" w:line="240" w:lineRule="auto"/>
        <w:jc w:val="both"/>
        <w:rPr>
          <w:rFonts w:ascii="Times New Roman" w:hAnsi="Times New Roman" w:cs="Times New Roman"/>
          <w:sz w:val="24"/>
          <w:szCs w:val="24"/>
        </w:rPr>
      </w:pPr>
    </w:p>
    <w:p w:rsidR="00E91D38" w:rsidRPr="00320A82" w:rsidRDefault="00E91D38" w:rsidP="00991108">
      <w:pPr>
        <w:spacing w:after="0" w:line="240" w:lineRule="auto"/>
        <w:jc w:val="both"/>
        <w:rPr>
          <w:rFonts w:ascii="Times New Roman" w:hAnsi="Times New Roman" w:cs="Times New Roman"/>
          <w:sz w:val="24"/>
          <w:szCs w:val="24"/>
        </w:rPr>
      </w:pPr>
      <w:proofErr w:type="spellStart"/>
      <w:r w:rsidRPr="00E91D38">
        <w:rPr>
          <w:rFonts w:ascii="Times New Roman" w:hAnsi="Times New Roman" w:cs="Times New Roman"/>
          <w:sz w:val="24"/>
          <w:szCs w:val="24"/>
        </w:rPr>
        <w:t>Chaves</w:t>
      </w:r>
      <w:proofErr w:type="spellEnd"/>
      <w:r w:rsidRPr="00E91D38">
        <w:rPr>
          <w:rFonts w:ascii="Times New Roman" w:hAnsi="Times New Roman" w:cs="Times New Roman"/>
          <w:sz w:val="24"/>
          <w:szCs w:val="24"/>
        </w:rPr>
        <w:t>,</w:t>
      </w:r>
      <w:r>
        <w:rPr>
          <w:rFonts w:ascii="Times New Roman" w:hAnsi="Times New Roman" w:cs="Times New Roman"/>
          <w:sz w:val="24"/>
          <w:szCs w:val="24"/>
        </w:rPr>
        <w:t xml:space="preserve"> D., </w:t>
      </w:r>
      <w:r w:rsidRPr="00E91D38">
        <w:rPr>
          <w:rFonts w:ascii="Times New Roman" w:hAnsi="Times New Roman" w:cs="Times New Roman"/>
          <w:sz w:val="24"/>
          <w:szCs w:val="24"/>
        </w:rPr>
        <w:t>H</w:t>
      </w:r>
      <w:r>
        <w:rPr>
          <w:rFonts w:ascii="Times New Roman" w:hAnsi="Times New Roman" w:cs="Times New Roman"/>
          <w:sz w:val="24"/>
          <w:szCs w:val="24"/>
        </w:rPr>
        <w:t xml:space="preserve">su, J., </w:t>
      </w:r>
      <w:r w:rsidRPr="00E91D38">
        <w:rPr>
          <w:rFonts w:ascii="Times New Roman" w:hAnsi="Times New Roman" w:cs="Times New Roman"/>
          <w:sz w:val="24"/>
          <w:szCs w:val="24"/>
        </w:rPr>
        <w:t>Li,</w:t>
      </w:r>
      <w:r>
        <w:rPr>
          <w:rFonts w:ascii="Times New Roman" w:hAnsi="Times New Roman" w:cs="Times New Roman"/>
          <w:sz w:val="24"/>
          <w:szCs w:val="24"/>
        </w:rPr>
        <w:t xml:space="preserve"> F. </w:t>
      </w:r>
      <w:r w:rsidRPr="00E91D38">
        <w:rPr>
          <w:rFonts w:ascii="Times New Roman" w:hAnsi="Times New Roman" w:cs="Times New Roman"/>
          <w:sz w:val="24"/>
          <w:szCs w:val="24"/>
        </w:rPr>
        <w:t xml:space="preserve">and </w:t>
      </w:r>
      <w:proofErr w:type="spellStart"/>
      <w:r w:rsidRPr="00E91D38">
        <w:rPr>
          <w:rFonts w:ascii="Times New Roman" w:hAnsi="Times New Roman" w:cs="Times New Roman"/>
          <w:sz w:val="24"/>
          <w:szCs w:val="24"/>
        </w:rPr>
        <w:t>Shakernia</w:t>
      </w:r>
      <w:proofErr w:type="spellEnd"/>
      <w:r>
        <w:rPr>
          <w:rFonts w:ascii="Times New Roman" w:hAnsi="Times New Roman" w:cs="Times New Roman"/>
          <w:sz w:val="24"/>
          <w:szCs w:val="24"/>
        </w:rPr>
        <w:t>, O., (2011)</w:t>
      </w:r>
      <w:r w:rsidRPr="00E91D38">
        <w:rPr>
          <w:rFonts w:ascii="Times New Roman" w:hAnsi="Times New Roman" w:cs="Times New Roman"/>
          <w:sz w:val="24"/>
          <w:szCs w:val="24"/>
        </w:rPr>
        <w:t xml:space="preserve">’’Risk Parity Portfolios vs. Other Asset Allocation Heuristic Portfolios’’, </w:t>
      </w:r>
      <w:r w:rsidRPr="00E91D38">
        <w:rPr>
          <w:rFonts w:ascii="Times New Roman" w:hAnsi="Times New Roman" w:cs="Times New Roman"/>
          <w:i/>
          <w:sz w:val="24"/>
          <w:szCs w:val="24"/>
        </w:rPr>
        <w:t>Journal of Investing</w:t>
      </w:r>
      <w:r>
        <w:rPr>
          <w:rFonts w:ascii="Times New Roman" w:hAnsi="Times New Roman" w:cs="Times New Roman"/>
          <w:sz w:val="24"/>
          <w:szCs w:val="24"/>
        </w:rPr>
        <w:t>, “0, 1, 108-118.</w:t>
      </w:r>
    </w:p>
    <w:p w:rsidR="001F05C4" w:rsidRPr="00320A82" w:rsidRDefault="001F05C4" w:rsidP="00991108">
      <w:pPr>
        <w:spacing w:after="0" w:line="240" w:lineRule="auto"/>
        <w:jc w:val="both"/>
        <w:rPr>
          <w:rFonts w:ascii="Times New Roman" w:hAnsi="Times New Roman" w:cs="Times New Roman"/>
          <w:sz w:val="24"/>
          <w:szCs w:val="24"/>
        </w:rPr>
      </w:pPr>
    </w:p>
    <w:p w:rsidR="000A349B" w:rsidRDefault="000A349B" w:rsidP="000A349B">
      <w:pPr>
        <w:spacing w:line="240" w:lineRule="auto"/>
        <w:jc w:val="both"/>
        <w:rPr>
          <w:rFonts w:ascii="Times New Roman" w:eastAsia="Calibri" w:hAnsi="Times New Roman" w:cs="Times New Roman"/>
          <w:sz w:val="24"/>
          <w:szCs w:val="24"/>
          <w:lang w:eastAsia="en-US"/>
        </w:rPr>
      </w:pPr>
      <w:proofErr w:type="gramStart"/>
      <w:r w:rsidRPr="000A349B">
        <w:rPr>
          <w:rFonts w:ascii="Times New Roman" w:eastAsia="Calibri" w:hAnsi="Times New Roman" w:cs="Times New Roman"/>
          <w:sz w:val="24"/>
          <w:szCs w:val="24"/>
          <w:lang w:eastAsia="en-US"/>
        </w:rPr>
        <w:t>Dan</w:t>
      </w:r>
      <w:r>
        <w:rPr>
          <w:rFonts w:ascii="Times New Roman" w:eastAsia="Calibri" w:hAnsi="Times New Roman" w:cs="Times New Roman"/>
          <w:sz w:val="24"/>
          <w:szCs w:val="24"/>
          <w:lang w:eastAsia="en-US"/>
        </w:rPr>
        <w:t>iel, K. and Moskowitz, T., (2013</w:t>
      </w:r>
      <w:r w:rsidRPr="000A349B">
        <w:rPr>
          <w:rFonts w:ascii="Times New Roman" w:eastAsia="Calibri" w:hAnsi="Times New Roman" w:cs="Times New Roman"/>
          <w:sz w:val="24"/>
          <w:szCs w:val="24"/>
          <w:lang w:eastAsia="en-US"/>
        </w:rPr>
        <w:t>).</w:t>
      </w:r>
      <w:proofErr w:type="gramEnd"/>
      <w:r w:rsidRPr="000A349B">
        <w:rPr>
          <w:rFonts w:ascii="Times New Roman" w:eastAsia="Calibri" w:hAnsi="Times New Roman" w:cs="Times New Roman"/>
          <w:sz w:val="24"/>
          <w:szCs w:val="24"/>
          <w:lang w:eastAsia="en-US"/>
        </w:rPr>
        <w:t xml:space="preserve"> </w:t>
      </w:r>
      <w:proofErr w:type="gramStart"/>
      <w:r w:rsidRPr="000A349B">
        <w:rPr>
          <w:rFonts w:ascii="Times New Roman" w:eastAsia="Calibri" w:hAnsi="Times New Roman" w:cs="Times New Roman"/>
          <w:sz w:val="24"/>
          <w:szCs w:val="24"/>
          <w:lang w:eastAsia="en-US"/>
        </w:rPr>
        <w:t>"Momentum Crashes", Columbia Business School Research Paper.</w:t>
      </w:r>
      <w:proofErr w:type="gramEnd"/>
    </w:p>
    <w:p w:rsidR="00B5068F" w:rsidRDefault="00B5068F" w:rsidP="00B5068F">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De Long, J B., </w:t>
      </w:r>
      <w:r w:rsidRPr="00B5068F">
        <w:rPr>
          <w:rFonts w:ascii="Times New Roman" w:eastAsia="Calibri" w:hAnsi="Times New Roman" w:cs="Times New Roman"/>
          <w:sz w:val="24"/>
          <w:szCs w:val="24"/>
          <w:lang w:eastAsia="en-US"/>
        </w:rPr>
        <w:t>Shleifer</w:t>
      </w:r>
      <w:r>
        <w:rPr>
          <w:rFonts w:ascii="Times New Roman" w:eastAsia="Calibri" w:hAnsi="Times New Roman" w:cs="Times New Roman"/>
          <w:sz w:val="24"/>
          <w:szCs w:val="24"/>
          <w:lang w:eastAsia="en-US"/>
        </w:rPr>
        <w:t xml:space="preserve">, A., </w:t>
      </w:r>
      <w:r w:rsidRPr="00B5068F">
        <w:rPr>
          <w:rFonts w:ascii="Times New Roman" w:eastAsia="Calibri" w:hAnsi="Times New Roman" w:cs="Times New Roman"/>
          <w:sz w:val="24"/>
          <w:szCs w:val="24"/>
          <w:lang w:eastAsia="en-US"/>
        </w:rPr>
        <w:t>Summers</w:t>
      </w:r>
      <w:r>
        <w:rPr>
          <w:rFonts w:ascii="Times New Roman" w:eastAsia="Calibri" w:hAnsi="Times New Roman" w:cs="Times New Roman"/>
          <w:sz w:val="24"/>
          <w:szCs w:val="24"/>
          <w:lang w:eastAsia="en-US"/>
        </w:rPr>
        <w:t xml:space="preserve">, L. and </w:t>
      </w:r>
      <w:proofErr w:type="spellStart"/>
      <w:r w:rsidRPr="00B5068F">
        <w:rPr>
          <w:rFonts w:ascii="Times New Roman" w:eastAsia="Calibri" w:hAnsi="Times New Roman" w:cs="Times New Roman"/>
          <w:sz w:val="24"/>
          <w:szCs w:val="24"/>
          <w:lang w:eastAsia="en-US"/>
        </w:rPr>
        <w:t>Waldmann</w:t>
      </w:r>
      <w:proofErr w:type="spellEnd"/>
      <w:r>
        <w:rPr>
          <w:rFonts w:ascii="Times New Roman" w:eastAsia="Calibri" w:hAnsi="Times New Roman" w:cs="Times New Roman"/>
          <w:sz w:val="24"/>
          <w:szCs w:val="24"/>
          <w:lang w:eastAsia="en-US"/>
        </w:rPr>
        <w:t>, R</w:t>
      </w:r>
      <w:proofErr w:type="gramStart"/>
      <w:r>
        <w:rPr>
          <w:rFonts w:ascii="Times New Roman" w:eastAsia="Calibri" w:hAnsi="Times New Roman" w:cs="Times New Roman"/>
          <w:sz w:val="24"/>
          <w:szCs w:val="24"/>
          <w:lang w:eastAsia="en-US"/>
        </w:rPr>
        <w:t xml:space="preserve">. </w:t>
      </w:r>
      <w:r w:rsidRPr="00B5068F">
        <w:rPr>
          <w:rFonts w:ascii="Times New Roman" w:eastAsia="Calibri" w:hAnsi="Times New Roman" w:cs="Times New Roman"/>
          <w:sz w:val="24"/>
          <w:szCs w:val="24"/>
          <w:lang w:eastAsia="en-US"/>
        </w:rPr>
        <w:t>,</w:t>
      </w:r>
      <w:proofErr w:type="gramEnd"/>
      <w:r w:rsidRPr="00B5068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Pr="00B5068F">
        <w:rPr>
          <w:rFonts w:ascii="Times New Roman" w:eastAsia="Calibri" w:hAnsi="Times New Roman" w:cs="Times New Roman"/>
          <w:sz w:val="24"/>
          <w:szCs w:val="24"/>
          <w:lang w:eastAsia="en-US"/>
        </w:rPr>
        <w:t>1990</w:t>
      </w:r>
      <w:r>
        <w:rPr>
          <w:rFonts w:ascii="Times New Roman" w:eastAsia="Calibri" w:hAnsi="Times New Roman" w:cs="Times New Roman"/>
          <w:sz w:val="24"/>
          <w:szCs w:val="24"/>
          <w:lang w:eastAsia="en-US"/>
        </w:rPr>
        <w:t>)</w:t>
      </w:r>
      <w:r w:rsidRPr="00B5068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w:t>
      </w:r>
      <w:proofErr w:type="gramStart"/>
      <w:r w:rsidRPr="00B5068F">
        <w:rPr>
          <w:rFonts w:ascii="Times New Roman" w:eastAsia="Calibri" w:hAnsi="Times New Roman" w:cs="Times New Roman"/>
          <w:sz w:val="24"/>
          <w:szCs w:val="24"/>
          <w:lang w:eastAsia="en-US"/>
        </w:rPr>
        <w:t xml:space="preserve">Noise Trader Risk in Financial Markets," </w:t>
      </w:r>
      <w:r w:rsidRPr="00B5068F">
        <w:rPr>
          <w:rFonts w:ascii="Times New Roman" w:eastAsia="Calibri" w:hAnsi="Times New Roman" w:cs="Times New Roman"/>
          <w:i/>
          <w:sz w:val="24"/>
          <w:szCs w:val="24"/>
          <w:lang w:eastAsia="en-US"/>
        </w:rPr>
        <w:t>Journal of Political Economy</w:t>
      </w:r>
      <w:r w:rsidRPr="00B5068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98(4), 703-38</w:t>
      </w:r>
      <w:r w:rsidRPr="00B5068F">
        <w:rPr>
          <w:rFonts w:ascii="Times New Roman" w:eastAsia="Calibri" w:hAnsi="Times New Roman" w:cs="Times New Roman"/>
          <w:sz w:val="24"/>
          <w:szCs w:val="24"/>
          <w:lang w:eastAsia="en-US"/>
        </w:rPr>
        <w:t>.</w:t>
      </w:r>
      <w:proofErr w:type="gramEnd"/>
    </w:p>
    <w:p w:rsidR="00B5068F" w:rsidRPr="000A349B" w:rsidRDefault="00B5068F" w:rsidP="00B5068F">
      <w:pPr>
        <w:spacing w:line="240" w:lineRule="auto"/>
        <w:jc w:val="both"/>
        <w:rPr>
          <w:rFonts w:ascii="Times New Roman" w:eastAsia="Calibri" w:hAnsi="Times New Roman" w:cs="Times New Roman"/>
          <w:sz w:val="24"/>
          <w:szCs w:val="24"/>
          <w:lang w:eastAsia="en-US"/>
        </w:rPr>
      </w:pPr>
      <w:proofErr w:type="gramStart"/>
      <w:r w:rsidRPr="00B5068F">
        <w:rPr>
          <w:rFonts w:ascii="Times New Roman" w:eastAsia="Calibri" w:hAnsi="Times New Roman" w:cs="Times New Roman"/>
          <w:sz w:val="24"/>
          <w:szCs w:val="24"/>
          <w:lang w:eastAsia="en-US"/>
        </w:rPr>
        <w:t>Edwards, W. (1968).</w:t>
      </w:r>
      <w:proofErr w:type="gramEnd"/>
      <w:r w:rsidRPr="00B5068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Pr="00B5068F">
        <w:rPr>
          <w:rFonts w:ascii="Times New Roman" w:eastAsia="Calibri" w:hAnsi="Times New Roman" w:cs="Times New Roman"/>
          <w:sz w:val="24"/>
          <w:szCs w:val="24"/>
          <w:lang w:eastAsia="en-US"/>
        </w:rPr>
        <w:t>Conservatism in Human Information</w:t>
      </w:r>
      <w:r>
        <w:rPr>
          <w:rFonts w:ascii="Times New Roman" w:eastAsia="Calibri" w:hAnsi="Times New Roman" w:cs="Times New Roman"/>
          <w:sz w:val="24"/>
          <w:szCs w:val="24"/>
          <w:lang w:eastAsia="en-US"/>
        </w:rPr>
        <w:t xml:space="preserve"> </w:t>
      </w:r>
      <w:r w:rsidRPr="00B5068F">
        <w:rPr>
          <w:rFonts w:ascii="Times New Roman" w:eastAsia="Calibri" w:hAnsi="Times New Roman" w:cs="Times New Roman"/>
          <w:sz w:val="24"/>
          <w:szCs w:val="24"/>
          <w:lang w:eastAsia="en-US"/>
        </w:rPr>
        <w:t>Processing</w:t>
      </w:r>
      <w:r>
        <w:rPr>
          <w:rFonts w:ascii="Times New Roman" w:eastAsia="Calibri" w:hAnsi="Times New Roman" w:cs="Times New Roman"/>
          <w:sz w:val="24"/>
          <w:szCs w:val="24"/>
          <w:lang w:eastAsia="en-US"/>
        </w:rPr>
        <w:t xml:space="preserve">”, in B. </w:t>
      </w:r>
      <w:proofErr w:type="spellStart"/>
      <w:r>
        <w:rPr>
          <w:rFonts w:ascii="Times New Roman" w:eastAsia="Calibri" w:hAnsi="Times New Roman" w:cs="Times New Roman"/>
          <w:sz w:val="24"/>
          <w:szCs w:val="24"/>
          <w:lang w:eastAsia="en-US"/>
        </w:rPr>
        <w:t>Kleinmuntz</w:t>
      </w:r>
      <w:proofErr w:type="spellEnd"/>
      <w:r>
        <w:rPr>
          <w:rFonts w:ascii="Times New Roman" w:eastAsia="Calibri" w:hAnsi="Times New Roman" w:cs="Times New Roman"/>
          <w:sz w:val="24"/>
          <w:szCs w:val="24"/>
          <w:lang w:eastAsia="en-US"/>
        </w:rPr>
        <w:t xml:space="preserve"> (e</w:t>
      </w:r>
      <w:r w:rsidRPr="00B5068F">
        <w:rPr>
          <w:rFonts w:ascii="Times New Roman" w:eastAsia="Calibri" w:hAnsi="Times New Roman" w:cs="Times New Roman"/>
          <w:sz w:val="24"/>
          <w:szCs w:val="24"/>
          <w:lang w:eastAsia="en-US"/>
        </w:rPr>
        <w:t xml:space="preserve">d.), </w:t>
      </w:r>
      <w:r w:rsidRPr="00B5068F">
        <w:rPr>
          <w:rFonts w:ascii="Times New Roman" w:eastAsia="Calibri" w:hAnsi="Times New Roman" w:cs="Times New Roman"/>
          <w:i/>
          <w:sz w:val="24"/>
          <w:szCs w:val="24"/>
          <w:lang w:eastAsia="en-US"/>
        </w:rPr>
        <w:t>Formal Representation of Human Judgment</w:t>
      </w:r>
      <w:r w:rsidRPr="00B5068F">
        <w:rPr>
          <w:rFonts w:ascii="Times New Roman" w:eastAsia="Calibri" w:hAnsi="Times New Roman" w:cs="Times New Roman"/>
          <w:sz w:val="24"/>
          <w:szCs w:val="24"/>
          <w:lang w:eastAsia="en-US"/>
        </w:rPr>
        <w:t xml:space="preserve"> (pp. 17-52). New York: Wiley.</w:t>
      </w:r>
    </w:p>
    <w:p w:rsidR="00511ACE" w:rsidRPr="00320A82" w:rsidRDefault="00511ACE" w:rsidP="00991108">
      <w:pPr>
        <w:spacing w:after="0" w:line="240" w:lineRule="auto"/>
        <w:jc w:val="both"/>
        <w:rPr>
          <w:rFonts w:ascii="Times New Roman" w:hAnsi="Times New Roman" w:cs="Times New Roman"/>
          <w:sz w:val="24"/>
          <w:szCs w:val="24"/>
        </w:rPr>
      </w:pPr>
      <w:proofErr w:type="spellStart"/>
      <w:r w:rsidRPr="00320A82">
        <w:rPr>
          <w:rFonts w:ascii="Times New Roman" w:hAnsi="Times New Roman" w:cs="Times New Roman"/>
          <w:sz w:val="24"/>
          <w:szCs w:val="24"/>
        </w:rPr>
        <w:t>Erb</w:t>
      </w:r>
      <w:proofErr w:type="spellEnd"/>
      <w:r w:rsidRPr="00320A82">
        <w:rPr>
          <w:rFonts w:ascii="Times New Roman" w:hAnsi="Times New Roman" w:cs="Times New Roman"/>
          <w:sz w:val="24"/>
          <w:szCs w:val="24"/>
        </w:rPr>
        <w:t xml:space="preserve">, C., and Harvey, C., (2006). "The Tactical and Strategic Value of Commodity Futures", </w:t>
      </w:r>
      <w:r w:rsidRPr="00320A82">
        <w:rPr>
          <w:rFonts w:ascii="Times New Roman" w:hAnsi="Times New Roman" w:cs="Times New Roman"/>
          <w:i/>
          <w:sz w:val="24"/>
          <w:szCs w:val="24"/>
        </w:rPr>
        <w:t>Financial Analysts Journal</w:t>
      </w:r>
      <w:r w:rsidRPr="00320A82">
        <w:rPr>
          <w:rFonts w:ascii="Times New Roman" w:hAnsi="Times New Roman" w:cs="Times New Roman"/>
          <w:sz w:val="24"/>
          <w:szCs w:val="24"/>
        </w:rPr>
        <w:t>, 62, 69-97.</w:t>
      </w:r>
    </w:p>
    <w:p w:rsidR="001F283B" w:rsidRPr="00320A82" w:rsidRDefault="001F283B" w:rsidP="00991108">
      <w:pPr>
        <w:spacing w:after="0" w:line="240" w:lineRule="auto"/>
        <w:jc w:val="both"/>
        <w:rPr>
          <w:rFonts w:ascii="Times New Roman" w:hAnsi="Times New Roman" w:cs="Times New Roman"/>
          <w:sz w:val="24"/>
          <w:szCs w:val="24"/>
        </w:rPr>
      </w:pPr>
    </w:p>
    <w:p w:rsidR="00FC447E" w:rsidRPr="00320A82" w:rsidRDefault="00FC447E" w:rsidP="00991108">
      <w:pPr>
        <w:spacing w:after="0" w:line="240" w:lineRule="auto"/>
        <w:jc w:val="both"/>
        <w:rPr>
          <w:rFonts w:ascii="Times New Roman" w:hAnsi="Times New Roman" w:cs="Times New Roman"/>
          <w:sz w:val="24"/>
          <w:szCs w:val="24"/>
        </w:rPr>
      </w:pPr>
      <w:proofErr w:type="gramStart"/>
      <w:r w:rsidRPr="00320A82">
        <w:rPr>
          <w:rFonts w:ascii="Times New Roman" w:hAnsi="Times New Roman" w:cs="Times New Roman"/>
          <w:sz w:val="24"/>
          <w:szCs w:val="24"/>
        </w:rPr>
        <w:t>Faber, M., (2007).</w:t>
      </w:r>
      <w:proofErr w:type="gramEnd"/>
      <w:r w:rsidRPr="00320A82">
        <w:rPr>
          <w:rFonts w:ascii="Times New Roman" w:hAnsi="Times New Roman" w:cs="Times New Roman"/>
          <w:sz w:val="24"/>
          <w:szCs w:val="24"/>
        </w:rPr>
        <w:t xml:space="preserve"> “A Quantitative Approach to Tactical Asset Allocation”, </w:t>
      </w:r>
      <w:r w:rsidRPr="00320A82">
        <w:rPr>
          <w:rFonts w:ascii="Times New Roman" w:hAnsi="Times New Roman" w:cs="Times New Roman"/>
          <w:i/>
          <w:sz w:val="24"/>
          <w:szCs w:val="24"/>
        </w:rPr>
        <w:t>Journal of Investing</w:t>
      </w:r>
      <w:r w:rsidRPr="00320A82">
        <w:rPr>
          <w:rFonts w:ascii="Times New Roman" w:hAnsi="Times New Roman" w:cs="Times New Roman"/>
          <w:sz w:val="24"/>
          <w:szCs w:val="24"/>
        </w:rPr>
        <w:t>, 16, 69-79.</w:t>
      </w:r>
    </w:p>
    <w:p w:rsidR="001F283B" w:rsidRPr="00320A82" w:rsidRDefault="001F283B" w:rsidP="00991108">
      <w:pPr>
        <w:spacing w:after="0" w:line="240" w:lineRule="auto"/>
        <w:jc w:val="both"/>
        <w:rPr>
          <w:rFonts w:ascii="Times New Roman" w:hAnsi="Times New Roman" w:cs="Times New Roman"/>
          <w:sz w:val="24"/>
          <w:szCs w:val="24"/>
        </w:rPr>
      </w:pPr>
    </w:p>
    <w:p w:rsidR="00865DE3" w:rsidRPr="00320A82" w:rsidRDefault="00865DE3" w:rsidP="00991108">
      <w:pPr>
        <w:spacing w:after="0" w:line="240" w:lineRule="auto"/>
        <w:jc w:val="both"/>
        <w:rPr>
          <w:rFonts w:ascii="Times New Roman" w:hAnsi="Times New Roman" w:cs="Times New Roman"/>
          <w:sz w:val="24"/>
          <w:szCs w:val="24"/>
        </w:rPr>
      </w:pPr>
      <w:proofErr w:type="gramStart"/>
      <w:r w:rsidRPr="00320A82">
        <w:rPr>
          <w:rFonts w:ascii="Times New Roman" w:hAnsi="Times New Roman" w:cs="Times New Roman"/>
          <w:sz w:val="24"/>
          <w:szCs w:val="24"/>
        </w:rPr>
        <w:lastRenderedPageBreak/>
        <w:t>Faber, M., (2010)."Relative Strength Strategies for Investing", Cambria Investment Management Working Paper.</w:t>
      </w:r>
      <w:proofErr w:type="gramEnd"/>
    </w:p>
    <w:p w:rsidR="00920523" w:rsidRPr="00320A82" w:rsidRDefault="00920523" w:rsidP="00991108">
      <w:pPr>
        <w:spacing w:after="0" w:line="240" w:lineRule="auto"/>
        <w:jc w:val="both"/>
        <w:rPr>
          <w:rFonts w:ascii="Times New Roman" w:hAnsi="Times New Roman" w:cs="Times New Roman"/>
          <w:sz w:val="24"/>
          <w:szCs w:val="24"/>
        </w:rPr>
      </w:pPr>
    </w:p>
    <w:p w:rsidR="00920523" w:rsidRPr="00320A82" w:rsidRDefault="00920523" w:rsidP="008D0BFC">
      <w:pPr>
        <w:spacing w:after="0" w:line="240" w:lineRule="auto"/>
        <w:jc w:val="both"/>
        <w:rPr>
          <w:rFonts w:ascii="Times New Roman" w:hAnsi="Times New Roman" w:cs="Times New Roman"/>
          <w:sz w:val="24"/>
          <w:szCs w:val="24"/>
        </w:rPr>
      </w:pPr>
      <w:proofErr w:type="spellStart"/>
      <w:r w:rsidRPr="00320A82">
        <w:rPr>
          <w:rFonts w:ascii="Times New Roman" w:hAnsi="Times New Roman" w:cs="Times New Roman"/>
          <w:sz w:val="24"/>
          <w:szCs w:val="24"/>
        </w:rPr>
        <w:t>Fama</w:t>
      </w:r>
      <w:proofErr w:type="spellEnd"/>
      <w:r w:rsidR="00B30F7F" w:rsidRPr="00320A82">
        <w:rPr>
          <w:rFonts w:ascii="Times New Roman" w:hAnsi="Times New Roman" w:cs="Times New Roman"/>
          <w:sz w:val="24"/>
          <w:szCs w:val="24"/>
        </w:rPr>
        <w:t xml:space="preserve">, E. and French, K., (1992). “The Cross-Section of Expected Stock Returns”, </w:t>
      </w:r>
      <w:r w:rsidR="00B30F7F" w:rsidRPr="00320A82">
        <w:rPr>
          <w:rFonts w:ascii="Times New Roman" w:hAnsi="Times New Roman" w:cs="Times New Roman"/>
          <w:i/>
          <w:sz w:val="24"/>
          <w:szCs w:val="24"/>
        </w:rPr>
        <w:t>Journal of Finance</w:t>
      </w:r>
      <w:r w:rsidR="00B30F7F" w:rsidRPr="00320A82">
        <w:rPr>
          <w:rFonts w:ascii="Times New Roman" w:hAnsi="Times New Roman" w:cs="Times New Roman"/>
          <w:sz w:val="24"/>
          <w:szCs w:val="24"/>
        </w:rPr>
        <w:t>, 47, 427-465.</w:t>
      </w:r>
    </w:p>
    <w:p w:rsidR="002B3D2B" w:rsidRPr="00320A82" w:rsidRDefault="002B3D2B" w:rsidP="008D0BFC">
      <w:pPr>
        <w:spacing w:after="0" w:line="240" w:lineRule="auto"/>
        <w:jc w:val="both"/>
        <w:rPr>
          <w:rFonts w:ascii="Times New Roman" w:hAnsi="Times New Roman" w:cs="Times New Roman"/>
          <w:sz w:val="24"/>
          <w:szCs w:val="24"/>
        </w:rPr>
      </w:pPr>
    </w:p>
    <w:p w:rsidR="00C6515C" w:rsidRDefault="002B3D2B" w:rsidP="008D0BFC">
      <w:pPr>
        <w:spacing w:line="240" w:lineRule="auto"/>
        <w:jc w:val="both"/>
        <w:rPr>
          <w:rFonts w:ascii="Times New Roman" w:hAnsi="Times New Roman" w:cs="Times New Roman"/>
          <w:sz w:val="24"/>
          <w:szCs w:val="24"/>
        </w:rPr>
      </w:pPr>
      <w:r w:rsidRPr="00320A82">
        <w:rPr>
          <w:rFonts w:ascii="Times New Roman" w:hAnsi="Times New Roman" w:cs="Times New Roman"/>
          <w:sz w:val="24"/>
          <w:szCs w:val="24"/>
        </w:rPr>
        <w:t xml:space="preserve">Friesen, G., Weller, P. and L. Dunham, (2009), “Price trends and patterns in technical analysis: A theoretical and empirical examination”, </w:t>
      </w:r>
      <w:r w:rsidRPr="00320A82">
        <w:rPr>
          <w:rFonts w:ascii="Times New Roman" w:hAnsi="Times New Roman" w:cs="Times New Roman"/>
          <w:i/>
          <w:sz w:val="24"/>
          <w:szCs w:val="24"/>
        </w:rPr>
        <w:t>Journal of Banking &amp; Finance</w:t>
      </w:r>
      <w:r w:rsidRPr="00320A82">
        <w:rPr>
          <w:rFonts w:ascii="Times New Roman" w:hAnsi="Times New Roman" w:cs="Times New Roman"/>
          <w:sz w:val="24"/>
          <w:szCs w:val="24"/>
        </w:rPr>
        <w:t>, 33, 1089-1100.</w:t>
      </w:r>
    </w:p>
    <w:p w:rsidR="008D0BFC" w:rsidRPr="008D0BFC" w:rsidRDefault="00C6515C" w:rsidP="008D0BFC">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Frazzini</w:t>
      </w:r>
      <w:proofErr w:type="spellEnd"/>
      <w:r>
        <w:rPr>
          <w:rFonts w:ascii="Times New Roman" w:hAnsi="Times New Roman" w:cs="Times New Roman"/>
          <w:sz w:val="24"/>
          <w:szCs w:val="24"/>
        </w:rPr>
        <w:t xml:space="preserve">, A. (2006), “The Disposition Effect and </w:t>
      </w:r>
      <w:proofErr w:type="spellStart"/>
      <w:r>
        <w:rPr>
          <w:rFonts w:ascii="Times New Roman" w:hAnsi="Times New Roman" w:cs="Times New Roman"/>
          <w:sz w:val="24"/>
          <w:szCs w:val="24"/>
        </w:rPr>
        <w:t>Underreaction</w:t>
      </w:r>
      <w:proofErr w:type="spellEnd"/>
      <w:r>
        <w:rPr>
          <w:rFonts w:ascii="Times New Roman" w:hAnsi="Times New Roman" w:cs="Times New Roman"/>
          <w:sz w:val="24"/>
          <w:szCs w:val="24"/>
        </w:rPr>
        <w:t xml:space="preserve"> to News”, </w:t>
      </w:r>
      <w:r w:rsidRPr="00C6515C">
        <w:rPr>
          <w:rFonts w:ascii="Times New Roman" w:hAnsi="Times New Roman" w:cs="Times New Roman"/>
          <w:i/>
          <w:sz w:val="24"/>
          <w:szCs w:val="24"/>
        </w:rPr>
        <w:t xml:space="preserve">Journal of </w:t>
      </w:r>
      <w:r w:rsidR="008D0BFC">
        <w:rPr>
          <w:rFonts w:ascii="Times New Roman" w:hAnsi="Times New Roman" w:cs="Times New Roman"/>
          <w:i/>
          <w:sz w:val="24"/>
          <w:szCs w:val="24"/>
        </w:rPr>
        <w:t>F</w:t>
      </w:r>
      <w:r w:rsidRPr="00C6515C">
        <w:rPr>
          <w:rFonts w:ascii="Times New Roman" w:hAnsi="Times New Roman" w:cs="Times New Roman"/>
          <w:i/>
          <w:sz w:val="24"/>
          <w:szCs w:val="24"/>
        </w:rPr>
        <w:t>inance</w:t>
      </w:r>
      <w:r>
        <w:rPr>
          <w:rFonts w:ascii="Times New Roman" w:hAnsi="Times New Roman" w:cs="Times New Roman"/>
          <w:sz w:val="24"/>
          <w:szCs w:val="24"/>
        </w:rPr>
        <w:t>, 61, 4, 2017-2046.</w:t>
      </w:r>
    </w:p>
    <w:p w:rsidR="008D0BFC" w:rsidRDefault="008D0BFC" w:rsidP="008D0BFC">
      <w:pPr>
        <w:spacing w:after="0" w:line="240" w:lineRule="auto"/>
        <w:jc w:val="both"/>
        <w:rPr>
          <w:rFonts w:ascii="Times New Roman" w:hAnsi="Times New Roman" w:cs="Times New Roman"/>
          <w:sz w:val="24"/>
          <w:szCs w:val="24"/>
        </w:rPr>
      </w:pPr>
      <w:proofErr w:type="spellStart"/>
      <w:proofErr w:type="gramStart"/>
      <w:r w:rsidRPr="008D0BFC">
        <w:rPr>
          <w:rFonts w:ascii="Times New Roman" w:hAnsi="Times New Roman" w:cs="Times New Roman"/>
          <w:sz w:val="24"/>
          <w:szCs w:val="24"/>
        </w:rPr>
        <w:t>Frazzini</w:t>
      </w:r>
      <w:proofErr w:type="spellEnd"/>
      <w:r w:rsidRPr="008D0BFC">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8D0BFC">
        <w:rPr>
          <w:rFonts w:ascii="Times New Roman" w:hAnsi="Times New Roman" w:cs="Times New Roman"/>
          <w:sz w:val="24"/>
          <w:szCs w:val="24"/>
        </w:rPr>
        <w:t xml:space="preserve">Israel </w:t>
      </w:r>
      <w:r>
        <w:rPr>
          <w:rFonts w:ascii="Times New Roman" w:hAnsi="Times New Roman" w:cs="Times New Roman"/>
          <w:sz w:val="24"/>
          <w:szCs w:val="24"/>
        </w:rPr>
        <w:t xml:space="preserve">R. </w:t>
      </w:r>
      <w:r w:rsidRPr="008D0BFC">
        <w:rPr>
          <w:rFonts w:ascii="Times New Roman" w:hAnsi="Times New Roman" w:cs="Times New Roman"/>
          <w:sz w:val="24"/>
          <w:szCs w:val="24"/>
        </w:rPr>
        <w:t xml:space="preserve">and </w:t>
      </w:r>
      <w:proofErr w:type="spellStart"/>
      <w:r w:rsidRPr="008D0BFC">
        <w:rPr>
          <w:rFonts w:ascii="Times New Roman" w:hAnsi="Times New Roman" w:cs="Times New Roman"/>
          <w:sz w:val="24"/>
          <w:szCs w:val="24"/>
        </w:rPr>
        <w:t>Moskawitz</w:t>
      </w:r>
      <w:proofErr w:type="spellEnd"/>
      <w:r>
        <w:rPr>
          <w:rFonts w:ascii="Times New Roman" w:hAnsi="Times New Roman" w:cs="Times New Roman"/>
          <w:sz w:val="24"/>
          <w:szCs w:val="24"/>
        </w:rPr>
        <w:t>, T., (2015</w:t>
      </w:r>
      <w:r w:rsidRPr="008D0BFC">
        <w:rPr>
          <w:rFonts w:ascii="Times New Roman" w:hAnsi="Times New Roman" w:cs="Times New Roman"/>
          <w:sz w:val="24"/>
          <w:szCs w:val="24"/>
        </w:rPr>
        <w:t>) “Trading costs of asset pricing anomalies”,</w:t>
      </w:r>
      <w:r>
        <w:rPr>
          <w:rFonts w:ascii="Times New Roman" w:hAnsi="Times New Roman" w:cs="Times New Roman"/>
          <w:sz w:val="24"/>
          <w:szCs w:val="24"/>
        </w:rPr>
        <w:t xml:space="preserve"> Working Paper, University of Chicago.</w:t>
      </w:r>
      <w:proofErr w:type="gramEnd"/>
    </w:p>
    <w:p w:rsidR="008D0BFC" w:rsidRDefault="008D0BFC" w:rsidP="008D0BFC">
      <w:pPr>
        <w:spacing w:after="0" w:line="240" w:lineRule="auto"/>
        <w:jc w:val="both"/>
        <w:rPr>
          <w:rFonts w:ascii="Times New Roman" w:hAnsi="Times New Roman" w:cs="Times New Roman"/>
          <w:sz w:val="24"/>
          <w:szCs w:val="24"/>
        </w:rPr>
      </w:pPr>
    </w:p>
    <w:p w:rsidR="00EA114A" w:rsidRPr="00320A82" w:rsidRDefault="00EA114A" w:rsidP="008D0BFC">
      <w:pPr>
        <w:spacing w:after="0" w:line="240" w:lineRule="auto"/>
        <w:jc w:val="both"/>
        <w:rPr>
          <w:rFonts w:ascii="Times New Roman" w:hAnsi="Times New Roman" w:cs="Times New Roman"/>
          <w:sz w:val="24"/>
          <w:szCs w:val="24"/>
        </w:rPr>
      </w:pPr>
      <w:r w:rsidRPr="00320A82">
        <w:rPr>
          <w:rFonts w:ascii="Times New Roman" w:hAnsi="Times New Roman" w:cs="Times New Roman"/>
          <w:sz w:val="24"/>
          <w:szCs w:val="24"/>
        </w:rPr>
        <w:t xml:space="preserve">Fuertes, A., </w:t>
      </w:r>
      <w:proofErr w:type="spellStart"/>
      <w:r w:rsidRPr="00320A82">
        <w:rPr>
          <w:rFonts w:ascii="Times New Roman" w:hAnsi="Times New Roman" w:cs="Times New Roman"/>
          <w:sz w:val="24"/>
          <w:szCs w:val="24"/>
        </w:rPr>
        <w:t>Miffre</w:t>
      </w:r>
      <w:proofErr w:type="spellEnd"/>
      <w:r w:rsidRPr="00320A82">
        <w:rPr>
          <w:rFonts w:ascii="Times New Roman" w:hAnsi="Times New Roman" w:cs="Times New Roman"/>
          <w:sz w:val="24"/>
          <w:szCs w:val="24"/>
        </w:rPr>
        <w:t xml:space="preserve">, J., Rallis, G., (2010), “Tactical allocation in commodity futures markets: Combining momentum and term structure signals”, </w:t>
      </w:r>
      <w:r w:rsidRPr="00320A82">
        <w:rPr>
          <w:rFonts w:ascii="Times New Roman" w:hAnsi="Times New Roman" w:cs="Times New Roman"/>
          <w:i/>
          <w:sz w:val="24"/>
          <w:szCs w:val="24"/>
        </w:rPr>
        <w:t>Journal of Banking &amp; Finance</w:t>
      </w:r>
      <w:r w:rsidRPr="00320A82">
        <w:rPr>
          <w:rFonts w:ascii="Times New Roman" w:hAnsi="Times New Roman" w:cs="Times New Roman"/>
          <w:sz w:val="24"/>
          <w:szCs w:val="24"/>
        </w:rPr>
        <w:t>, 34, 2530-48.</w:t>
      </w:r>
    </w:p>
    <w:p w:rsidR="00920523" w:rsidRPr="00320A82" w:rsidRDefault="00920523" w:rsidP="008D0BFC">
      <w:pPr>
        <w:spacing w:after="0" w:line="240" w:lineRule="auto"/>
        <w:jc w:val="both"/>
        <w:rPr>
          <w:rFonts w:ascii="Times New Roman" w:hAnsi="Times New Roman" w:cs="Times New Roman"/>
          <w:sz w:val="24"/>
          <w:szCs w:val="24"/>
        </w:rPr>
      </w:pPr>
    </w:p>
    <w:p w:rsidR="003330F4" w:rsidRPr="00320A82" w:rsidRDefault="00B30F7F" w:rsidP="008D0BFC">
      <w:pPr>
        <w:spacing w:after="0" w:line="240" w:lineRule="auto"/>
        <w:jc w:val="both"/>
        <w:rPr>
          <w:rFonts w:ascii="Times New Roman" w:hAnsi="Times New Roman" w:cs="Times New Roman"/>
          <w:sz w:val="24"/>
          <w:szCs w:val="24"/>
        </w:rPr>
      </w:pPr>
      <w:proofErr w:type="gramStart"/>
      <w:r w:rsidRPr="00320A82">
        <w:rPr>
          <w:rFonts w:ascii="Times New Roman" w:hAnsi="Times New Roman" w:cs="Times New Roman"/>
          <w:sz w:val="24"/>
          <w:szCs w:val="24"/>
        </w:rPr>
        <w:t>Fung, W. and Hsieh, D., (2001).</w:t>
      </w:r>
      <w:proofErr w:type="gramEnd"/>
      <w:r w:rsidRPr="00320A82">
        <w:rPr>
          <w:rFonts w:ascii="Times New Roman" w:hAnsi="Times New Roman" w:cs="Times New Roman"/>
          <w:sz w:val="24"/>
          <w:szCs w:val="24"/>
        </w:rPr>
        <w:t xml:space="preserve"> “The Risk in Hedge Fund Strategies: Theory and Evidence from Trend Followers”, </w:t>
      </w:r>
      <w:r w:rsidRPr="00320A82">
        <w:rPr>
          <w:rFonts w:ascii="Times New Roman" w:hAnsi="Times New Roman" w:cs="Times New Roman"/>
          <w:i/>
          <w:sz w:val="24"/>
          <w:szCs w:val="24"/>
        </w:rPr>
        <w:t>Review of Financial Studies</w:t>
      </w:r>
      <w:r w:rsidRPr="00320A82">
        <w:rPr>
          <w:rFonts w:ascii="Times New Roman" w:hAnsi="Times New Roman" w:cs="Times New Roman"/>
          <w:sz w:val="24"/>
          <w:szCs w:val="24"/>
        </w:rPr>
        <w:t>, 14, 2, 313-341.</w:t>
      </w:r>
    </w:p>
    <w:p w:rsidR="001F283B" w:rsidRPr="00320A82" w:rsidRDefault="001F283B" w:rsidP="008D0BFC">
      <w:pPr>
        <w:spacing w:after="0" w:line="240" w:lineRule="auto"/>
        <w:jc w:val="both"/>
        <w:rPr>
          <w:rFonts w:ascii="Times New Roman" w:hAnsi="Times New Roman" w:cs="Times New Roman"/>
          <w:sz w:val="24"/>
          <w:szCs w:val="24"/>
        </w:rPr>
      </w:pPr>
    </w:p>
    <w:p w:rsidR="00FB520A" w:rsidRPr="00320A82" w:rsidRDefault="00FB520A" w:rsidP="008D0BFC">
      <w:pPr>
        <w:spacing w:after="0" w:line="240" w:lineRule="auto"/>
        <w:jc w:val="both"/>
        <w:rPr>
          <w:rFonts w:ascii="Times New Roman" w:hAnsi="Times New Roman" w:cs="Times New Roman"/>
          <w:sz w:val="24"/>
          <w:szCs w:val="24"/>
        </w:rPr>
      </w:pPr>
      <w:proofErr w:type="spellStart"/>
      <w:proofErr w:type="gramStart"/>
      <w:r w:rsidRPr="00320A82">
        <w:rPr>
          <w:rFonts w:ascii="Times New Roman" w:hAnsi="Times New Roman" w:cs="Times New Roman"/>
          <w:sz w:val="24"/>
          <w:szCs w:val="24"/>
        </w:rPr>
        <w:t>Grinblatt</w:t>
      </w:r>
      <w:proofErr w:type="spellEnd"/>
      <w:r w:rsidRPr="00320A82">
        <w:rPr>
          <w:rFonts w:ascii="Times New Roman" w:hAnsi="Times New Roman" w:cs="Times New Roman"/>
          <w:sz w:val="24"/>
          <w:szCs w:val="24"/>
        </w:rPr>
        <w:t xml:space="preserve">, M., and Moskowitz, T., (2004)."Predicting Stock Price Movements from Past Returns: The Role of Consistency and Tax-Loss Selling", </w:t>
      </w:r>
      <w:r w:rsidRPr="00320A82">
        <w:rPr>
          <w:rFonts w:ascii="Times New Roman" w:hAnsi="Times New Roman" w:cs="Times New Roman"/>
          <w:i/>
          <w:sz w:val="24"/>
          <w:szCs w:val="24"/>
        </w:rPr>
        <w:t>Journal of Financial Economics</w:t>
      </w:r>
      <w:r w:rsidRPr="00320A82">
        <w:rPr>
          <w:rFonts w:ascii="Times New Roman" w:hAnsi="Times New Roman" w:cs="Times New Roman"/>
          <w:sz w:val="24"/>
          <w:szCs w:val="24"/>
        </w:rPr>
        <w:t>, 541-579.</w:t>
      </w:r>
      <w:proofErr w:type="gramEnd"/>
    </w:p>
    <w:p w:rsidR="001F283B" w:rsidRPr="00320A82" w:rsidRDefault="001F283B" w:rsidP="008D0BFC">
      <w:pPr>
        <w:spacing w:after="0" w:line="240" w:lineRule="auto"/>
        <w:jc w:val="both"/>
        <w:rPr>
          <w:rFonts w:ascii="Times New Roman" w:hAnsi="Times New Roman" w:cs="Times New Roman"/>
          <w:sz w:val="24"/>
          <w:szCs w:val="24"/>
        </w:rPr>
      </w:pPr>
    </w:p>
    <w:p w:rsidR="00FC447E" w:rsidRDefault="00FC447E" w:rsidP="008D0BFC">
      <w:pPr>
        <w:spacing w:after="0" w:line="240" w:lineRule="auto"/>
        <w:jc w:val="both"/>
        <w:rPr>
          <w:rFonts w:ascii="Times New Roman" w:hAnsi="Times New Roman" w:cs="Times New Roman"/>
          <w:sz w:val="24"/>
          <w:szCs w:val="24"/>
        </w:rPr>
      </w:pPr>
      <w:r w:rsidRPr="00320A82">
        <w:rPr>
          <w:rFonts w:ascii="Times New Roman" w:hAnsi="Times New Roman" w:cs="Times New Roman"/>
          <w:sz w:val="24"/>
          <w:szCs w:val="24"/>
        </w:rPr>
        <w:t xml:space="preserve">Hurst, B., </w:t>
      </w:r>
      <w:proofErr w:type="spellStart"/>
      <w:r w:rsidRPr="00320A82">
        <w:rPr>
          <w:rFonts w:ascii="Times New Roman" w:hAnsi="Times New Roman" w:cs="Times New Roman"/>
          <w:sz w:val="24"/>
          <w:szCs w:val="24"/>
        </w:rPr>
        <w:t>Ooi</w:t>
      </w:r>
      <w:proofErr w:type="spellEnd"/>
      <w:r w:rsidRPr="00320A82">
        <w:rPr>
          <w:rFonts w:ascii="Times New Roman" w:hAnsi="Times New Roman" w:cs="Times New Roman"/>
          <w:sz w:val="24"/>
          <w:szCs w:val="24"/>
        </w:rPr>
        <w:t>, Y.H., Pedersen L., (2010). "Understanding Managed Futures", AQR</w:t>
      </w:r>
      <w:r w:rsidR="007202A0" w:rsidRPr="00320A82">
        <w:rPr>
          <w:rFonts w:ascii="Times New Roman" w:hAnsi="Times New Roman" w:cs="Times New Roman"/>
          <w:sz w:val="24"/>
          <w:szCs w:val="24"/>
        </w:rPr>
        <w:t xml:space="preserve"> Capital Management</w:t>
      </w:r>
      <w:r w:rsidRPr="00320A82">
        <w:rPr>
          <w:rFonts w:ascii="Times New Roman" w:hAnsi="Times New Roman" w:cs="Times New Roman"/>
          <w:sz w:val="24"/>
          <w:szCs w:val="24"/>
        </w:rPr>
        <w:t xml:space="preserve"> Working Paper.</w:t>
      </w:r>
    </w:p>
    <w:p w:rsidR="00D8388F" w:rsidRDefault="00D8388F" w:rsidP="008D0BFC">
      <w:pPr>
        <w:spacing w:after="0" w:line="240" w:lineRule="auto"/>
        <w:jc w:val="both"/>
        <w:rPr>
          <w:rFonts w:ascii="Times New Roman" w:hAnsi="Times New Roman" w:cs="Times New Roman"/>
          <w:sz w:val="24"/>
          <w:szCs w:val="24"/>
        </w:rPr>
      </w:pPr>
    </w:p>
    <w:p w:rsidR="00D8388F" w:rsidRPr="00320A82" w:rsidRDefault="00D8388F" w:rsidP="008D0BFC">
      <w:pPr>
        <w:spacing w:after="0" w:line="240" w:lineRule="auto"/>
        <w:jc w:val="both"/>
        <w:rPr>
          <w:rFonts w:ascii="Times New Roman" w:hAnsi="Times New Roman" w:cs="Times New Roman"/>
          <w:sz w:val="24"/>
          <w:szCs w:val="24"/>
        </w:rPr>
      </w:pPr>
      <w:proofErr w:type="gramStart"/>
      <w:r w:rsidRPr="00320A82">
        <w:rPr>
          <w:rFonts w:ascii="Times New Roman" w:hAnsi="Times New Roman" w:cs="Times New Roman"/>
          <w:sz w:val="24"/>
          <w:szCs w:val="24"/>
        </w:rPr>
        <w:t>Hurst, B</w:t>
      </w:r>
      <w:r w:rsidR="00893656">
        <w:rPr>
          <w:rFonts w:ascii="Times New Roman" w:hAnsi="Times New Roman" w:cs="Times New Roman"/>
          <w:sz w:val="24"/>
          <w:szCs w:val="24"/>
        </w:rPr>
        <w:t xml:space="preserve">., </w:t>
      </w:r>
      <w:proofErr w:type="spellStart"/>
      <w:r w:rsidR="00893656">
        <w:rPr>
          <w:rFonts w:ascii="Times New Roman" w:hAnsi="Times New Roman" w:cs="Times New Roman"/>
          <w:sz w:val="24"/>
          <w:szCs w:val="24"/>
        </w:rPr>
        <w:t>Ooi</w:t>
      </w:r>
      <w:proofErr w:type="spellEnd"/>
      <w:r w:rsidR="00893656">
        <w:rPr>
          <w:rFonts w:ascii="Times New Roman" w:hAnsi="Times New Roman" w:cs="Times New Roman"/>
          <w:sz w:val="24"/>
          <w:szCs w:val="24"/>
        </w:rPr>
        <w:t xml:space="preserve">, Y.H., Pedersen L., </w:t>
      </w:r>
      <w:r>
        <w:rPr>
          <w:rFonts w:ascii="Times New Roman" w:hAnsi="Times New Roman" w:cs="Times New Roman"/>
          <w:sz w:val="24"/>
          <w:szCs w:val="24"/>
        </w:rPr>
        <w:t>(2012), “</w:t>
      </w:r>
      <w:r w:rsidRPr="00D8388F">
        <w:rPr>
          <w:rFonts w:ascii="Times New Roman" w:hAnsi="Times New Roman" w:cs="Times New Roman"/>
          <w:sz w:val="24"/>
          <w:szCs w:val="24"/>
        </w:rPr>
        <w:t>A Century of Evidence on Trend-Following Investing</w:t>
      </w:r>
      <w:r w:rsidR="00893656">
        <w:rPr>
          <w:rFonts w:ascii="Times New Roman" w:hAnsi="Times New Roman" w:cs="Times New Roman"/>
          <w:sz w:val="24"/>
          <w:szCs w:val="24"/>
        </w:rPr>
        <w:t xml:space="preserve">”, AQR </w:t>
      </w:r>
      <w:r w:rsidR="00893656" w:rsidRPr="00320A82">
        <w:rPr>
          <w:rFonts w:ascii="Times New Roman" w:hAnsi="Times New Roman" w:cs="Times New Roman"/>
          <w:sz w:val="24"/>
          <w:szCs w:val="24"/>
        </w:rPr>
        <w:t>Capital Management</w:t>
      </w:r>
      <w:r w:rsidR="00893656">
        <w:rPr>
          <w:rFonts w:ascii="Times New Roman" w:hAnsi="Times New Roman" w:cs="Times New Roman"/>
          <w:sz w:val="24"/>
          <w:szCs w:val="24"/>
        </w:rPr>
        <w:t xml:space="preserve"> Working Paper.</w:t>
      </w:r>
      <w:proofErr w:type="gramEnd"/>
    </w:p>
    <w:p w:rsidR="001F283B" w:rsidRPr="00320A82" w:rsidRDefault="001F283B" w:rsidP="008D0BFC">
      <w:pPr>
        <w:spacing w:after="0" w:line="240" w:lineRule="auto"/>
        <w:jc w:val="both"/>
        <w:rPr>
          <w:rFonts w:ascii="Times New Roman" w:hAnsi="Times New Roman" w:cs="Times New Roman"/>
          <w:sz w:val="24"/>
          <w:szCs w:val="24"/>
        </w:rPr>
      </w:pPr>
    </w:p>
    <w:p w:rsidR="00FC447E" w:rsidRDefault="001730D4" w:rsidP="008D0BFC">
      <w:pPr>
        <w:spacing w:after="0" w:line="240" w:lineRule="auto"/>
        <w:jc w:val="both"/>
        <w:rPr>
          <w:rFonts w:ascii="Times New Roman" w:hAnsi="Times New Roman" w:cs="Times New Roman"/>
          <w:sz w:val="24"/>
          <w:szCs w:val="24"/>
        </w:rPr>
      </w:pPr>
      <w:proofErr w:type="spellStart"/>
      <w:r w:rsidRPr="00320A82">
        <w:rPr>
          <w:rFonts w:ascii="Times New Roman" w:hAnsi="Times New Roman" w:cs="Times New Roman"/>
          <w:sz w:val="24"/>
          <w:szCs w:val="24"/>
        </w:rPr>
        <w:t>Ilmanen</w:t>
      </w:r>
      <w:proofErr w:type="spellEnd"/>
      <w:r w:rsidRPr="00320A82">
        <w:rPr>
          <w:rFonts w:ascii="Times New Roman" w:hAnsi="Times New Roman" w:cs="Times New Roman"/>
          <w:sz w:val="24"/>
          <w:szCs w:val="24"/>
        </w:rPr>
        <w:t xml:space="preserve"> A., (2011). </w:t>
      </w:r>
      <w:proofErr w:type="gramStart"/>
      <w:r w:rsidRPr="00320A82">
        <w:rPr>
          <w:rFonts w:ascii="Times New Roman" w:hAnsi="Times New Roman" w:cs="Times New Roman"/>
          <w:i/>
          <w:sz w:val="24"/>
          <w:szCs w:val="24"/>
        </w:rPr>
        <w:t>Expected Returns</w:t>
      </w:r>
      <w:r w:rsidR="0066236A" w:rsidRPr="00320A82">
        <w:rPr>
          <w:rFonts w:ascii="Times New Roman" w:hAnsi="Times New Roman" w:cs="Times New Roman"/>
          <w:sz w:val="24"/>
          <w:szCs w:val="24"/>
        </w:rPr>
        <w:t xml:space="preserve">, </w:t>
      </w:r>
      <w:r w:rsidRPr="00320A82">
        <w:rPr>
          <w:rFonts w:ascii="Times New Roman" w:hAnsi="Times New Roman" w:cs="Times New Roman"/>
          <w:sz w:val="24"/>
          <w:szCs w:val="24"/>
        </w:rPr>
        <w:t>John Wiley &amp; Sons.</w:t>
      </w:r>
      <w:proofErr w:type="gramEnd"/>
    </w:p>
    <w:p w:rsidR="00C6515C" w:rsidRDefault="00C6515C" w:rsidP="008D0BFC">
      <w:pPr>
        <w:spacing w:after="0" w:line="240" w:lineRule="auto"/>
        <w:jc w:val="both"/>
        <w:rPr>
          <w:rFonts w:ascii="Times New Roman" w:hAnsi="Times New Roman" w:cs="Times New Roman"/>
          <w:sz w:val="24"/>
          <w:szCs w:val="24"/>
        </w:rPr>
      </w:pPr>
    </w:p>
    <w:p w:rsidR="00C6515C" w:rsidRPr="00320A82" w:rsidRDefault="00C6515C" w:rsidP="008D0BFC">
      <w:pPr>
        <w:spacing w:after="0" w:line="240" w:lineRule="auto"/>
        <w:jc w:val="both"/>
        <w:rPr>
          <w:rFonts w:ascii="Times New Roman" w:hAnsi="Times New Roman" w:cs="Times New Roman"/>
          <w:sz w:val="24"/>
          <w:szCs w:val="24"/>
        </w:rPr>
      </w:pPr>
      <w:r w:rsidRPr="00320A82">
        <w:rPr>
          <w:rFonts w:ascii="Times New Roman" w:hAnsi="Times New Roman" w:cs="Times New Roman"/>
          <w:sz w:val="24"/>
          <w:szCs w:val="24"/>
        </w:rPr>
        <w:t>Inker, B., (2010)."</w:t>
      </w:r>
      <w:proofErr w:type="gramStart"/>
      <w:r w:rsidRPr="00320A82">
        <w:rPr>
          <w:rFonts w:ascii="Times New Roman" w:hAnsi="Times New Roman" w:cs="Times New Roman"/>
          <w:sz w:val="24"/>
          <w:szCs w:val="24"/>
        </w:rPr>
        <w:t>The Hidden Risks of Risk Parity Portfolios", GMO White Paper.</w:t>
      </w:r>
      <w:proofErr w:type="gramEnd"/>
    </w:p>
    <w:p w:rsidR="001F283B" w:rsidRPr="00320A82" w:rsidRDefault="001F283B" w:rsidP="008D0BFC">
      <w:pPr>
        <w:spacing w:after="0" w:line="240" w:lineRule="auto"/>
        <w:jc w:val="both"/>
        <w:rPr>
          <w:rFonts w:ascii="Times New Roman" w:hAnsi="Times New Roman" w:cs="Times New Roman"/>
          <w:sz w:val="24"/>
          <w:szCs w:val="24"/>
        </w:rPr>
      </w:pPr>
    </w:p>
    <w:p w:rsidR="0079653B" w:rsidRPr="00320A82" w:rsidRDefault="0079653B" w:rsidP="008D0BFC">
      <w:pPr>
        <w:spacing w:after="0" w:line="240" w:lineRule="auto"/>
        <w:jc w:val="both"/>
        <w:rPr>
          <w:rFonts w:ascii="Times New Roman" w:eastAsia="Calibri" w:hAnsi="Times New Roman" w:cs="Times New Roman"/>
          <w:sz w:val="24"/>
          <w:szCs w:val="24"/>
        </w:rPr>
      </w:pPr>
      <w:proofErr w:type="spellStart"/>
      <w:r w:rsidRPr="00320A82">
        <w:rPr>
          <w:rFonts w:ascii="Times New Roman" w:eastAsia="Calibri" w:hAnsi="Times New Roman" w:cs="Times New Roman"/>
          <w:sz w:val="24"/>
          <w:szCs w:val="24"/>
        </w:rPr>
        <w:t>Jegadeesh</w:t>
      </w:r>
      <w:proofErr w:type="spellEnd"/>
      <w:r w:rsidRPr="00320A82">
        <w:rPr>
          <w:rFonts w:ascii="Times New Roman" w:eastAsia="Calibri" w:hAnsi="Times New Roman" w:cs="Times New Roman"/>
          <w:sz w:val="24"/>
          <w:szCs w:val="24"/>
        </w:rPr>
        <w:t xml:space="preserve">, N. and Titman, S. (1993). “Returns to Buying Winners and Selling Losers: Implications for Stock Market Efficiency”, </w:t>
      </w:r>
      <w:r w:rsidRPr="00320A82">
        <w:rPr>
          <w:rFonts w:ascii="Times New Roman" w:eastAsia="Calibri" w:hAnsi="Times New Roman" w:cs="Times New Roman"/>
          <w:i/>
          <w:sz w:val="24"/>
          <w:szCs w:val="24"/>
        </w:rPr>
        <w:t>Journal of Finance</w:t>
      </w:r>
      <w:r w:rsidRPr="00320A82">
        <w:rPr>
          <w:rFonts w:ascii="Times New Roman" w:eastAsia="Calibri" w:hAnsi="Times New Roman" w:cs="Times New Roman"/>
          <w:sz w:val="24"/>
          <w:szCs w:val="24"/>
        </w:rPr>
        <w:t>, vol. 48, 65-91.</w:t>
      </w:r>
    </w:p>
    <w:p w:rsidR="001F283B" w:rsidRPr="00320A82" w:rsidRDefault="001F283B" w:rsidP="008D0BFC">
      <w:pPr>
        <w:spacing w:after="0" w:line="240" w:lineRule="auto"/>
        <w:jc w:val="both"/>
        <w:rPr>
          <w:rFonts w:ascii="Times New Roman" w:hAnsi="Times New Roman" w:cs="Times New Roman"/>
          <w:sz w:val="24"/>
          <w:szCs w:val="24"/>
        </w:rPr>
      </w:pPr>
    </w:p>
    <w:p w:rsidR="001730D4" w:rsidRDefault="001730D4" w:rsidP="008D0BFC">
      <w:pPr>
        <w:spacing w:after="0" w:line="240" w:lineRule="auto"/>
        <w:jc w:val="both"/>
        <w:rPr>
          <w:rFonts w:ascii="Times New Roman" w:hAnsi="Times New Roman" w:cs="Times New Roman"/>
          <w:sz w:val="24"/>
          <w:szCs w:val="24"/>
        </w:rPr>
      </w:pPr>
      <w:proofErr w:type="spellStart"/>
      <w:r w:rsidRPr="00320A82">
        <w:rPr>
          <w:rFonts w:ascii="Times New Roman" w:hAnsi="Times New Roman" w:cs="Times New Roman"/>
          <w:sz w:val="24"/>
          <w:szCs w:val="24"/>
        </w:rPr>
        <w:t>Jegadeesh</w:t>
      </w:r>
      <w:proofErr w:type="spellEnd"/>
      <w:r w:rsidRPr="00320A82">
        <w:rPr>
          <w:rFonts w:ascii="Times New Roman" w:hAnsi="Times New Roman" w:cs="Times New Roman"/>
          <w:sz w:val="24"/>
          <w:szCs w:val="24"/>
        </w:rPr>
        <w:t xml:space="preserve">, N., </w:t>
      </w:r>
      <w:r w:rsidR="00511ACE" w:rsidRPr="00320A82">
        <w:rPr>
          <w:rFonts w:ascii="Times New Roman" w:hAnsi="Times New Roman" w:cs="Times New Roman"/>
          <w:sz w:val="24"/>
          <w:szCs w:val="24"/>
        </w:rPr>
        <w:t xml:space="preserve">and </w:t>
      </w:r>
      <w:r w:rsidRPr="00320A82">
        <w:rPr>
          <w:rFonts w:ascii="Times New Roman" w:hAnsi="Times New Roman" w:cs="Times New Roman"/>
          <w:sz w:val="24"/>
          <w:szCs w:val="24"/>
        </w:rPr>
        <w:t xml:space="preserve">Titman, S., (2001). “Profitability of Momentum Strategies: An Evaluation of Alternative Explanations,” </w:t>
      </w:r>
      <w:r w:rsidRPr="00320A82">
        <w:rPr>
          <w:rFonts w:ascii="Times New Roman" w:hAnsi="Times New Roman" w:cs="Times New Roman"/>
          <w:i/>
          <w:sz w:val="24"/>
          <w:szCs w:val="24"/>
        </w:rPr>
        <w:t>Journal of Finance</w:t>
      </w:r>
      <w:r w:rsidRPr="00320A82">
        <w:rPr>
          <w:rFonts w:ascii="Times New Roman" w:hAnsi="Times New Roman" w:cs="Times New Roman"/>
          <w:sz w:val="24"/>
          <w:szCs w:val="24"/>
        </w:rPr>
        <w:t>, 54, 699-720.</w:t>
      </w:r>
    </w:p>
    <w:p w:rsidR="009B49C0" w:rsidRDefault="009B49C0" w:rsidP="008D0BFC">
      <w:pPr>
        <w:spacing w:after="0" w:line="240" w:lineRule="auto"/>
        <w:jc w:val="both"/>
        <w:rPr>
          <w:rFonts w:ascii="Times New Roman" w:hAnsi="Times New Roman" w:cs="Times New Roman"/>
          <w:sz w:val="24"/>
          <w:szCs w:val="24"/>
        </w:rPr>
      </w:pPr>
    </w:p>
    <w:p w:rsidR="009B49C0" w:rsidRPr="00320A82" w:rsidRDefault="009B49C0" w:rsidP="008D0BF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Kahneman</w:t>
      </w:r>
      <w:proofErr w:type="spellEnd"/>
      <w:r>
        <w:rPr>
          <w:rFonts w:ascii="Times New Roman" w:hAnsi="Times New Roman" w:cs="Times New Roman"/>
          <w:sz w:val="24"/>
          <w:szCs w:val="24"/>
        </w:rPr>
        <w:t xml:space="preserve">, D. and </w:t>
      </w:r>
      <w:proofErr w:type="spellStart"/>
      <w:r>
        <w:rPr>
          <w:rFonts w:ascii="Times New Roman" w:hAnsi="Times New Roman" w:cs="Times New Roman"/>
          <w:sz w:val="24"/>
          <w:szCs w:val="24"/>
        </w:rPr>
        <w:t>Tversky</w:t>
      </w:r>
      <w:proofErr w:type="spellEnd"/>
      <w:r>
        <w:rPr>
          <w:rFonts w:ascii="Times New Roman" w:hAnsi="Times New Roman" w:cs="Times New Roman"/>
          <w:sz w:val="24"/>
          <w:szCs w:val="24"/>
        </w:rPr>
        <w:t xml:space="preserve">, A., (1979), “Prospect Theory: an Analysis of Decision under Uncertainty”, </w:t>
      </w:r>
      <w:proofErr w:type="spellStart"/>
      <w:r w:rsidRPr="009B49C0">
        <w:rPr>
          <w:rFonts w:ascii="Times New Roman" w:hAnsi="Times New Roman" w:cs="Times New Roman"/>
          <w:i/>
          <w:sz w:val="24"/>
          <w:szCs w:val="24"/>
        </w:rPr>
        <w:t>Econometrica</w:t>
      </w:r>
      <w:proofErr w:type="spellEnd"/>
      <w:r w:rsidRPr="009B49C0">
        <w:rPr>
          <w:rFonts w:ascii="Times New Roman" w:hAnsi="Times New Roman" w:cs="Times New Roman"/>
          <w:i/>
          <w:sz w:val="24"/>
          <w:szCs w:val="24"/>
        </w:rPr>
        <w:t>,</w:t>
      </w:r>
      <w:r>
        <w:rPr>
          <w:rFonts w:ascii="Times New Roman" w:hAnsi="Times New Roman" w:cs="Times New Roman"/>
          <w:sz w:val="24"/>
          <w:szCs w:val="24"/>
        </w:rPr>
        <w:t xml:space="preserve"> 47, 2, 263-9291. </w:t>
      </w:r>
    </w:p>
    <w:p w:rsidR="001F283B" w:rsidRPr="00320A82" w:rsidRDefault="001F283B" w:rsidP="008D0BFC">
      <w:pPr>
        <w:spacing w:after="0" w:line="240" w:lineRule="auto"/>
        <w:jc w:val="both"/>
        <w:rPr>
          <w:rFonts w:ascii="Times New Roman" w:hAnsi="Times New Roman" w:cs="Times New Roman"/>
          <w:sz w:val="24"/>
          <w:szCs w:val="24"/>
        </w:rPr>
      </w:pPr>
    </w:p>
    <w:p w:rsidR="00EE0B3C" w:rsidRPr="00320A82" w:rsidRDefault="00EE0B3C" w:rsidP="008D0BFC">
      <w:pPr>
        <w:spacing w:after="0" w:line="240" w:lineRule="auto"/>
        <w:jc w:val="both"/>
        <w:rPr>
          <w:rFonts w:ascii="Times New Roman" w:eastAsia="Calibri" w:hAnsi="Times New Roman" w:cs="Times New Roman"/>
          <w:sz w:val="24"/>
          <w:szCs w:val="24"/>
        </w:rPr>
      </w:pPr>
      <w:proofErr w:type="gramStart"/>
      <w:r w:rsidRPr="00320A82">
        <w:rPr>
          <w:rFonts w:ascii="Times New Roman" w:eastAsia="Calibri" w:hAnsi="Times New Roman" w:cs="Times New Roman"/>
          <w:sz w:val="24"/>
          <w:szCs w:val="24"/>
        </w:rPr>
        <w:t>King, M., Silver, O.</w:t>
      </w:r>
      <w:r w:rsidR="00533C05" w:rsidRPr="00320A82">
        <w:rPr>
          <w:rFonts w:ascii="Times New Roman" w:eastAsia="Calibri" w:hAnsi="Times New Roman" w:cs="Times New Roman"/>
          <w:sz w:val="24"/>
          <w:szCs w:val="24"/>
        </w:rPr>
        <w:t>,</w:t>
      </w:r>
      <w:r w:rsidRPr="00320A82">
        <w:rPr>
          <w:rFonts w:ascii="Times New Roman" w:eastAsia="Calibri" w:hAnsi="Times New Roman" w:cs="Times New Roman"/>
          <w:sz w:val="24"/>
          <w:szCs w:val="24"/>
        </w:rPr>
        <w:t xml:space="preserve"> and Guo, B.</w:t>
      </w:r>
      <w:r w:rsidR="00533C05" w:rsidRPr="00320A82">
        <w:rPr>
          <w:rFonts w:ascii="Times New Roman" w:eastAsia="Calibri" w:hAnsi="Times New Roman" w:cs="Times New Roman"/>
          <w:sz w:val="24"/>
          <w:szCs w:val="24"/>
        </w:rPr>
        <w:t>,</w:t>
      </w:r>
      <w:r w:rsidRPr="00320A82">
        <w:rPr>
          <w:rFonts w:ascii="Times New Roman" w:eastAsia="Calibri" w:hAnsi="Times New Roman" w:cs="Times New Roman"/>
          <w:sz w:val="24"/>
          <w:szCs w:val="24"/>
        </w:rPr>
        <w:t xml:space="preserve"> (2002).</w:t>
      </w:r>
      <w:proofErr w:type="gramEnd"/>
      <w:r w:rsidRPr="00320A82">
        <w:rPr>
          <w:rFonts w:ascii="Times New Roman" w:eastAsia="Calibri" w:hAnsi="Times New Roman" w:cs="Times New Roman"/>
          <w:sz w:val="24"/>
          <w:szCs w:val="24"/>
        </w:rPr>
        <w:t xml:space="preserve"> “Passive Momentum Asset Allocation”, </w:t>
      </w:r>
      <w:r w:rsidRPr="00320A82">
        <w:rPr>
          <w:rFonts w:ascii="Times New Roman" w:eastAsia="Calibri" w:hAnsi="Times New Roman" w:cs="Times New Roman"/>
          <w:i/>
          <w:sz w:val="24"/>
          <w:szCs w:val="24"/>
        </w:rPr>
        <w:t>Journal of Wealth Management</w:t>
      </w:r>
      <w:r w:rsidRPr="00320A82">
        <w:rPr>
          <w:rFonts w:ascii="Times New Roman" w:eastAsia="Calibri" w:hAnsi="Times New Roman" w:cs="Times New Roman"/>
          <w:sz w:val="24"/>
          <w:szCs w:val="24"/>
        </w:rPr>
        <w:t>, 5, 34-41.</w:t>
      </w:r>
    </w:p>
    <w:p w:rsidR="001F283B" w:rsidRPr="00320A82" w:rsidRDefault="001F283B" w:rsidP="008D0BFC">
      <w:pPr>
        <w:spacing w:after="0" w:line="240" w:lineRule="auto"/>
        <w:jc w:val="both"/>
        <w:rPr>
          <w:rFonts w:ascii="Times New Roman" w:eastAsia="Calibri" w:hAnsi="Times New Roman" w:cs="Times New Roman"/>
          <w:sz w:val="24"/>
          <w:szCs w:val="24"/>
        </w:rPr>
      </w:pPr>
    </w:p>
    <w:p w:rsidR="00EA114A" w:rsidRDefault="00AB7E2E" w:rsidP="008D0BFC">
      <w:pPr>
        <w:spacing w:after="0" w:line="240" w:lineRule="auto"/>
        <w:jc w:val="both"/>
        <w:rPr>
          <w:rFonts w:ascii="Times New Roman" w:eastAsia="Calibri" w:hAnsi="Times New Roman" w:cs="Times New Roman"/>
          <w:sz w:val="24"/>
          <w:szCs w:val="24"/>
        </w:rPr>
      </w:pPr>
      <w:proofErr w:type="spellStart"/>
      <w:r w:rsidRPr="00320A82">
        <w:rPr>
          <w:rFonts w:ascii="Times New Roman" w:eastAsia="Calibri" w:hAnsi="Times New Roman" w:cs="Times New Roman"/>
          <w:sz w:val="24"/>
          <w:szCs w:val="24"/>
        </w:rPr>
        <w:t>Koulajian</w:t>
      </w:r>
      <w:proofErr w:type="spellEnd"/>
      <w:r w:rsidRPr="00320A82">
        <w:rPr>
          <w:rFonts w:ascii="Times New Roman" w:eastAsia="Calibri" w:hAnsi="Times New Roman" w:cs="Times New Roman"/>
          <w:sz w:val="24"/>
          <w:szCs w:val="24"/>
        </w:rPr>
        <w:t xml:space="preserve">, N., and </w:t>
      </w:r>
      <w:proofErr w:type="spellStart"/>
      <w:r w:rsidRPr="00320A82">
        <w:rPr>
          <w:rFonts w:ascii="Times New Roman" w:eastAsia="Calibri" w:hAnsi="Times New Roman" w:cs="Times New Roman"/>
          <w:sz w:val="24"/>
          <w:szCs w:val="24"/>
        </w:rPr>
        <w:t>Czkwianianc</w:t>
      </w:r>
      <w:proofErr w:type="spellEnd"/>
      <w:r w:rsidRPr="00320A82">
        <w:rPr>
          <w:rFonts w:ascii="Times New Roman" w:eastAsia="Calibri" w:hAnsi="Times New Roman" w:cs="Times New Roman"/>
          <w:sz w:val="24"/>
          <w:szCs w:val="24"/>
        </w:rPr>
        <w:t>, P., (2011). "Know Your Skew: Using Hedge Fund Return Volatility as a Predictor of Maximum Loss", Quest Partners LLC.</w:t>
      </w:r>
    </w:p>
    <w:p w:rsidR="00514B93" w:rsidRDefault="00514B93" w:rsidP="008D0BFC">
      <w:pPr>
        <w:spacing w:after="0" w:line="240" w:lineRule="auto"/>
        <w:jc w:val="both"/>
        <w:rPr>
          <w:rFonts w:ascii="Times New Roman" w:eastAsia="Calibri" w:hAnsi="Times New Roman" w:cs="Times New Roman"/>
          <w:sz w:val="24"/>
          <w:szCs w:val="24"/>
        </w:rPr>
      </w:pPr>
    </w:p>
    <w:p w:rsidR="00514B93" w:rsidRDefault="00514B93" w:rsidP="008D0BFC">
      <w:p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Liu, L. and Zhang, L. (2014).</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w:t>
      </w:r>
      <w:r w:rsidRPr="00514B93">
        <w:rPr>
          <w:rFonts w:ascii="Times New Roman" w:eastAsia="Calibri" w:hAnsi="Times New Roman" w:cs="Times New Roman"/>
          <w:sz w:val="24"/>
          <w:szCs w:val="24"/>
        </w:rPr>
        <w:t>A Neoclassical Interpretation of Momentum</w:t>
      </w:r>
      <w:r>
        <w:rPr>
          <w:rFonts w:ascii="Times New Roman" w:eastAsia="Calibri" w:hAnsi="Times New Roman" w:cs="Times New Roman"/>
          <w:sz w:val="24"/>
          <w:szCs w:val="24"/>
        </w:rPr>
        <w:t xml:space="preserve">”, </w:t>
      </w:r>
      <w:r w:rsidRPr="00514B93">
        <w:rPr>
          <w:rFonts w:ascii="Times New Roman" w:eastAsia="Calibri" w:hAnsi="Times New Roman" w:cs="Times New Roman"/>
          <w:i/>
          <w:sz w:val="24"/>
          <w:szCs w:val="24"/>
        </w:rPr>
        <w:t>Journal of Monetary Economics</w:t>
      </w:r>
      <w:r>
        <w:rPr>
          <w:rFonts w:ascii="Times New Roman" w:eastAsia="Calibri" w:hAnsi="Times New Roman" w:cs="Times New Roman"/>
          <w:sz w:val="24"/>
          <w:szCs w:val="24"/>
        </w:rPr>
        <w:t xml:space="preserve">, </w:t>
      </w:r>
      <w:r w:rsidRPr="00514B93">
        <w:rPr>
          <w:rFonts w:ascii="Times New Roman" w:eastAsia="Calibri" w:hAnsi="Times New Roman" w:cs="Times New Roman"/>
          <w:sz w:val="24"/>
          <w:szCs w:val="24"/>
        </w:rPr>
        <w:t>67,109–128</w:t>
      </w:r>
      <w:r>
        <w:rPr>
          <w:rFonts w:ascii="Times New Roman" w:eastAsia="Calibri" w:hAnsi="Times New Roman" w:cs="Times New Roman"/>
          <w:sz w:val="24"/>
          <w:szCs w:val="24"/>
        </w:rPr>
        <w:t>.</w:t>
      </w:r>
      <w:proofErr w:type="gramEnd"/>
    </w:p>
    <w:p w:rsidR="00514B93" w:rsidRPr="00320A82" w:rsidRDefault="00514B93" w:rsidP="008D0BFC">
      <w:pPr>
        <w:spacing w:after="0" w:line="240" w:lineRule="auto"/>
        <w:jc w:val="both"/>
        <w:rPr>
          <w:rFonts w:ascii="Times New Roman" w:eastAsia="Calibri" w:hAnsi="Times New Roman" w:cs="Times New Roman"/>
          <w:sz w:val="24"/>
          <w:szCs w:val="24"/>
        </w:rPr>
      </w:pPr>
    </w:p>
    <w:p w:rsidR="00EA114A" w:rsidRPr="00320A82" w:rsidRDefault="00EA114A" w:rsidP="008D0BFC">
      <w:pPr>
        <w:spacing w:after="0" w:line="240" w:lineRule="auto"/>
        <w:jc w:val="both"/>
        <w:rPr>
          <w:rFonts w:ascii="Times New Roman" w:eastAsia="Calibri" w:hAnsi="Times New Roman" w:cs="Times New Roman"/>
          <w:sz w:val="24"/>
          <w:szCs w:val="24"/>
        </w:rPr>
      </w:pPr>
      <w:proofErr w:type="spellStart"/>
      <w:r w:rsidRPr="00320A82">
        <w:rPr>
          <w:rFonts w:ascii="Times New Roman" w:eastAsia="Calibri" w:hAnsi="Times New Roman" w:cs="Times New Roman"/>
          <w:sz w:val="24"/>
          <w:szCs w:val="24"/>
        </w:rPr>
        <w:t>Menkhoff</w:t>
      </w:r>
      <w:proofErr w:type="spellEnd"/>
      <w:r w:rsidRPr="00320A82">
        <w:rPr>
          <w:rFonts w:ascii="Times New Roman" w:eastAsia="Calibri" w:hAnsi="Times New Roman" w:cs="Times New Roman"/>
          <w:sz w:val="24"/>
          <w:szCs w:val="24"/>
        </w:rPr>
        <w:t>, L. (2010), “The use of technical analysis by fund managers: International evidence”</w:t>
      </w:r>
      <w:r w:rsidRPr="00320A82">
        <w:rPr>
          <w:rFonts w:ascii="Times New Roman" w:hAnsi="Times New Roman" w:cs="Times New Roman"/>
          <w:sz w:val="24"/>
          <w:szCs w:val="24"/>
        </w:rPr>
        <w:t xml:space="preserve">, </w:t>
      </w:r>
      <w:r w:rsidRPr="00320A82">
        <w:rPr>
          <w:rFonts w:ascii="Times New Roman" w:eastAsia="Calibri" w:hAnsi="Times New Roman" w:cs="Times New Roman"/>
          <w:i/>
          <w:sz w:val="24"/>
          <w:szCs w:val="24"/>
        </w:rPr>
        <w:t>Journal of Banking &amp; Finance</w:t>
      </w:r>
      <w:r w:rsidRPr="00320A82">
        <w:rPr>
          <w:rFonts w:ascii="Times New Roman" w:eastAsia="Calibri" w:hAnsi="Times New Roman" w:cs="Times New Roman"/>
          <w:sz w:val="24"/>
          <w:szCs w:val="24"/>
        </w:rPr>
        <w:t>, 34, 2573-86.</w:t>
      </w:r>
    </w:p>
    <w:p w:rsidR="00762B15" w:rsidRPr="00320A82" w:rsidRDefault="00762B15" w:rsidP="008D0BFC">
      <w:pPr>
        <w:spacing w:after="0" w:line="240" w:lineRule="auto"/>
        <w:jc w:val="both"/>
        <w:rPr>
          <w:rFonts w:ascii="Times New Roman" w:eastAsia="Calibri" w:hAnsi="Times New Roman" w:cs="Times New Roman"/>
          <w:sz w:val="24"/>
          <w:szCs w:val="24"/>
        </w:rPr>
      </w:pPr>
    </w:p>
    <w:p w:rsidR="00762B15" w:rsidRDefault="00762B15" w:rsidP="008D0BFC">
      <w:pPr>
        <w:spacing w:after="0" w:line="240" w:lineRule="auto"/>
        <w:jc w:val="both"/>
        <w:rPr>
          <w:rFonts w:ascii="Times New Roman" w:eastAsia="Calibri" w:hAnsi="Times New Roman" w:cs="Times New Roman"/>
          <w:sz w:val="24"/>
          <w:szCs w:val="24"/>
        </w:rPr>
      </w:pPr>
      <w:proofErr w:type="spellStart"/>
      <w:proofErr w:type="gramStart"/>
      <w:r w:rsidRPr="00320A82">
        <w:rPr>
          <w:rFonts w:ascii="Times New Roman" w:eastAsia="Calibri" w:hAnsi="Times New Roman" w:cs="Times New Roman"/>
          <w:sz w:val="24"/>
          <w:szCs w:val="24"/>
        </w:rPr>
        <w:t>Menkhoff</w:t>
      </w:r>
      <w:proofErr w:type="spellEnd"/>
      <w:r w:rsidRPr="00320A82">
        <w:rPr>
          <w:rFonts w:ascii="Times New Roman" w:eastAsia="Calibri" w:hAnsi="Times New Roman" w:cs="Times New Roman"/>
          <w:sz w:val="24"/>
          <w:szCs w:val="24"/>
        </w:rPr>
        <w:t>, L., Sarno, L., Sc</w:t>
      </w:r>
      <w:r w:rsidR="00EA114A" w:rsidRPr="00320A82">
        <w:rPr>
          <w:rFonts w:ascii="Times New Roman" w:eastAsia="Calibri" w:hAnsi="Times New Roman" w:cs="Times New Roman"/>
          <w:sz w:val="24"/>
          <w:szCs w:val="24"/>
        </w:rPr>
        <w:t>h</w:t>
      </w:r>
      <w:r w:rsidRPr="00320A82">
        <w:rPr>
          <w:rFonts w:ascii="Times New Roman" w:eastAsia="Calibri" w:hAnsi="Times New Roman" w:cs="Times New Roman"/>
          <w:sz w:val="24"/>
          <w:szCs w:val="24"/>
        </w:rPr>
        <w:t xml:space="preserve">meling, M. and </w:t>
      </w:r>
      <w:proofErr w:type="spellStart"/>
      <w:r w:rsidRPr="00320A82">
        <w:rPr>
          <w:rFonts w:ascii="Times New Roman" w:eastAsia="Calibri" w:hAnsi="Times New Roman" w:cs="Times New Roman"/>
          <w:sz w:val="24"/>
          <w:szCs w:val="24"/>
        </w:rPr>
        <w:t>Schrimpf</w:t>
      </w:r>
      <w:proofErr w:type="spellEnd"/>
      <w:r w:rsidRPr="00320A82">
        <w:rPr>
          <w:rFonts w:ascii="Times New Roman" w:eastAsia="Calibri" w:hAnsi="Times New Roman" w:cs="Times New Roman"/>
          <w:sz w:val="24"/>
          <w:szCs w:val="24"/>
        </w:rPr>
        <w:t>, A., (2012).</w:t>
      </w:r>
      <w:proofErr w:type="gramEnd"/>
      <w:r w:rsidRPr="00320A82">
        <w:rPr>
          <w:rFonts w:ascii="Times New Roman" w:eastAsia="Calibri" w:hAnsi="Times New Roman" w:cs="Times New Roman"/>
          <w:sz w:val="24"/>
          <w:szCs w:val="24"/>
        </w:rPr>
        <w:t xml:space="preserve"> “Currency Momentum Strategies”, </w:t>
      </w:r>
      <w:r w:rsidRPr="00320A82">
        <w:rPr>
          <w:rFonts w:ascii="Times New Roman" w:eastAsia="Calibri" w:hAnsi="Times New Roman" w:cs="Times New Roman"/>
          <w:i/>
          <w:sz w:val="24"/>
          <w:szCs w:val="24"/>
        </w:rPr>
        <w:t>Journal of Financial Economics</w:t>
      </w:r>
      <w:r w:rsidRPr="00320A82">
        <w:rPr>
          <w:rFonts w:ascii="Times New Roman" w:eastAsia="Calibri" w:hAnsi="Times New Roman" w:cs="Times New Roman"/>
          <w:sz w:val="24"/>
          <w:szCs w:val="24"/>
        </w:rPr>
        <w:t>,</w:t>
      </w:r>
      <w:r w:rsidR="00030EA4">
        <w:rPr>
          <w:rFonts w:ascii="Times New Roman" w:eastAsia="Calibri" w:hAnsi="Times New Roman" w:cs="Times New Roman"/>
          <w:sz w:val="24"/>
          <w:szCs w:val="24"/>
        </w:rPr>
        <w:t xml:space="preserve"> 106(3), </w:t>
      </w:r>
      <w:r w:rsidR="00030EA4" w:rsidRPr="00030EA4">
        <w:rPr>
          <w:rFonts w:ascii="Times New Roman" w:eastAsia="Calibri" w:hAnsi="Times New Roman" w:cs="Times New Roman"/>
          <w:sz w:val="24"/>
          <w:szCs w:val="24"/>
        </w:rPr>
        <w:t>660-684</w:t>
      </w:r>
      <w:r w:rsidRPr="00320A82">
        <w:rPr>
          <w:rFonts w:ascii="Times New Roman" w:eastAsia="Calibri" w:hAnsi="Times New Roman" w:cs="Times New Roman"/>
          <w:sz w:val="24"/>
          <w:szCs w:val="24"/>
        </w:rPr>
        <w:t>.</w:t>
      </w:r>
    </w:p>
    <w:p w:rsidR="00E91D38" w:rsidRDefault="00E91D38" w:rsidP="008D0BFC">
      <w:pPr>
        <w:spacing w:after="0" w:line="240" w:lineRule="auto"/>
        <w:jc w:val="both"/>
        <w:rPr>
          <w:rFonts w:ascii="Times New Roman" w:eastAsia="Calibri" w:hAnsi="Times New Roman" w:cs="Times New Roman"/>
          <w:sz w:val="24"/>
          <w:szCs w:val="24"/>
        </w:rPr>
      </w:pPr>
    </w:p>
    <w:p w:rsidR="00E91D38" w:rsidRPr="00320A82" w:rsidRDefault="00E91D38" w:rsidP="008D0B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Michau</w:t>
      </w:r>
      <w:r w:rsidR="007F36CB">
        <w:rPr>
          <w:rFonts w:ascii="Times New Roman" w:eastAsia="Calibri" w:hAnsi="Times New Roman" w:cs="Times New Roman"/>
          <w:sz w:val="24"/>
          <w:szCs w:val="24"/>
        </w:rPr>
        <w:t>d</w:t>
      </w:r>
      <w:r>
        <w:rPr>
          <w:rFonts w:ascii="Times New Roman" w:eastAsia="Calibri" w:hAnsi="Times New Roman" w:cs="Times New Roman"/>
          <w:sz w:val="24"/>
          <w:szCs w:val="24"/>
        </w:rPr>
        <w:t>, R., (1989), “</w:t>
      </w:r>
      <w:r w:rsidRPr="00E91D38">
        <w:rPr>
          <w:rFonts w:ascii="Times New Roman" w:eastAsia="Calibri" w:hAnsi="Times New Roman" w:cs="Times New Roman"/>
          <w:sz w:val="24"/>
          <w:szCs w:val="24"/>
        </w:rPr>
        <w:t>The Markowitz Optimization Enigma: Is ‘Optimized’ Optimal?</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E91D38">
        <w:rPr>
          <w:rFonts w:ascii="Times New Roman" w:eastAsia="Calibri" w:hAnsi="Times New Roman" w:cs="Times New Roman"/>
          <w:i/>
          <w:sz w:val="24"/>
          <w:szCs w:val="24"/>
        </w:rPr>
        <w:t>Financial Analysts Journal</w:t>
      </w:r>
      <w:r>
        <w:rPr>
          <w:rFonts w:ascii="Times New Roman" w:eastAsia="Calibri" w:hAnsi="Times New Roman" w:cs="Times New Roman"/>
          <w:sz w:val="24"/>
          <w:szCs w:val="24"/>
        </w:rPr>
        <w:t>, 45, 1, 31-42.</w:t>
      </w:r>
    </w:p>
    <w:p w:rsidR="001F283B" w:rsidRPr="00320A82" w:rsidRDefault="001F283B" w:rsidP="008D0BFC">
      <w:pPr>
        <w:spacing w:after="0" w:line="240" w:lineRule="auto"/>
        <w:jc w:val="both"/>
        <w:rPr>
          <w:rFonts w:ascii="Times New Roman" w:hAnsi="Times New Roman" w:cs="Times New Roman"/>
          <w:sz w:val="24"/>
          <w:szCs w:val="24"/>
        </w:rPr>
      </w:pPr>
    </w:p>
    <w:p w:rsidR="00782A5E" w:rsidRPr="00320A82" w:rsidRDefault="00782A5E" w:rsidP="008D0BFC">
      <w:pPr>
        <w:spacing w:after="0" w:line="240" w:lineRule="auto"/>
        <w:jc w:val="both"/>
        <w:rPr>
          <w:rFonts w:ascii="Times New Roman" w:hAnsi="Times New Roman" w:cs="Times New Roman"/>
          <w:sz w:val="24"/>
          <w:szCs w:val="24"/>
        </w:rPr>
      </w:pPr>
      <w:proofErr w:type="spellStart"/>
      <w:r w:rsidRPr="00320A82">
        <w:rPr>
          <w:rFonts w:ascii="Times New Roman" w:hAnsi="Times New Roman" w:cs="Times New Roman"/>
          <w:sz w:val="24"/>
          <w:szCs w:val="24"/>
        </w:rPr>
        <w:t>Miffre</w:t>
      </w:r>
      <w:proofErr w:type="spellEnd"/>
      <w:r w:rsidRPr="00320A82">
        <w:rPr>
          <w:rFonts w:ascii="Times New Roman" w:hAnsi="Times New Roman" w:cs="Times New Roman"/>
          <w:sz w:val="24"/>
          <w:szCs w:val="24"/>
        </w:rPr>
        <w:t>, J.</w:t>
      </w:r>
      <w:proofErr w:type="gramStart"/>
      <w:r w:rsidRPr="00320A82">
        <w:rPr>
          <w:rFonts w:ascii="Times New Roman" w:hAnsi="Times New Roman" w:cs="Times New Roman"/>
          <w:sz w:val="24"/>
          <w:szCs w:val="24"/>
        </w:rPr>
        <w:t>,  Rallis</w:t>
      </w:r>
      <w:proofErr w:type="gramEnd"/>
      <w:r w:rsidRPr="00320A82">
        <w:rPr>
          <w:rFonts w:ascii="Times New Roman" w:hAnsi="Times New Roman" w:cs="Times New Roman"/>
          <w:sz w:val="24"/>
          <w:szCs w:val="24"/>
        </w:rPr>
        <w:t xml:space="preserve">, G., (2007), "Momentum Strategies in Commodity Futures Markets", </w:t>
      </w:r>
      <w:r w:rsidRPr="00320A82">
        <w:rPr>
          <w:rFonts w:ascii="Times New Roman" w:hAnsi="Times New Roman" w:cs="Times New Roman"/>
          <w:i/>
          <w:sz w:val="24"/>
          <w:szCs w:val="24"/>
        </w:rPr>
        <w:t>Journal of Banking &amp; Finance</w:t>
      </w:r>
      <w:r w:rsidRPr="00320A82">
        <w:rPr>
          <w:rFonts w:ascii="Times New Roman" w:hAnsi="Times New Roman" w:cs="Times New Roman"/>
          <w:sz w:val="24"/>
          <w:szCs w:val="24"/>
        </w:rPr>
        <w:t>, 31, 1863-1886.</w:t>
      </w:r>
    </w:p>
    <w:p w:rsidR="00C02C91" w:rsidRPr="00320A82" w:rsidRDefault="00C02C91" w:rsidP="008D0BFC">
      <w:pPr>
        <w:spacing w:after="0" w:line="240" w:lineRule="auto"/>
        <w:jc w:val="both"/>
        <w:rPr>
          <w:rFonts w:ascii="Times New Roman" w:hAnsi="Times New Roman" w:cs="Times New Roman"/>
          <w:sz w:val="24"/>
          <w:szCs w:val="24"/>
        </w:rPr>
      </w:pPr>
    </w:p>
    <w:p w:rsidR="00C02C91" w:rsidRPr="00320A82" w:rsidRDefault="00C02C91" w:rsidP="008D0BFC">
      <w:pPr>
        <w:spacing w:after="0" w:line="240" w:lineRule="auto"/>
        <w:jc w:val="both"/>
        <w:rPr>
          <w:rFonts w:ascii="Times New Roman" w:hAnsi="Times New Roman" w:cs="Times New Roman"/>
          <w:sz w:val="24"/>
          <w:szCs w:val="24"/>
        </w:rPr>
      </w:pPr>
      <w:r w:rsidRPr="00320A82">
        <w:rPr>
          <w:rFonts w:ascii="Times New Roman" w:hAnsi="Times New Roman" w:cs="Times New Roman"/>
          <w:sz w:val="24"/>
          <w:szCs w:val="24"/>
        </w:rPr>
        <w:t>Newey</w:t>
      </w:r>
      <w:r w:rsidR="00B30F7F" w:rsidRPr="00320A82">
        <w:rPr>
          <w:rFonts w:ascii="Times New Roman" w:hAnsi="Times New Roman" w:cs="Times New Roman"/>
          <w:sz w:val="24"/>
          <w:szCs w:val="24"/>
        </w:rPr>
        <w:t xml:space="preserve">, W. and West, K., (1987), “A Simple, Positive Semi-Definite, </w:t>
      </w:r>
      <w:proofErr w:type="spellStart"/>
      <w:r w:rsidR="00B30F7F" w:rsidRPr="00320A82">
        <w:rPr>
          <w:rFonts w:ascii="Times New Roman" w:hAnsi="Times New Roman" w:cs="Times New Roman"/>
          <w:sz w:val="24"/>
          <w:szCs w:val="24"/>
        </w:rPr>
        <w:t>Heteroskedasticity</w:t>
      </w:r>
      <w:proofErr w:type="spellEnd"/>
      <w:r w:rsidR="00B30F7F" w:rsidRPr="00320A82">
        <w:rPr>
          <w:rFonts w:ascii="Times New Roman" w:hAnsi="Times New Roman" w:cs="Times New Roman"/>
          <w:sz w:val="24"/>
          <w:szCs w:val="24"/>
        </w:rPr>
        <w:t xml:space="preserve"> and Autocorrelation Consistent Covariance Matrix”, </w:t>
      </w:r>
      <w:proofErr w:type="spellStart"/>
      <w:r w:rsidR="00B30F7F" w:rsidRPr="00320A82">
        <w:rPr>
          <w:rFonts w:ascii="Times New Roman" w:hAnsi="Times New Roman" w:cs="Times New Roman"/>
          <w:i/>
          <w:sz w:val="24"/>
          <w:szCs w:val="24"/>
        </w:rPr>
        <w:t>Econometrica</w:t>
      </w:r>
      <w:proofErr w:type="spellEnd"/>
      <w:r w:rsidR="00B30F7F" w:rsidRPr="00320A82">
        <w:rPr>
          <w:rFonts w:ascii="Times New Roman" w:hAnsi="Times New Roman" w:cs="Times New Roman"/>
          <w:sz w:val="24"/>
          <w:szCs w:val="24"/>
        </w:rPr>
        <w:t>, 55, 703-708.</w:t>
      </w:r>
    </w:p>
    <w:p w:rsidR="001F283B" w:rsidRPr="00320A82" w:rsidRDefault="001F283B" w:rsidP="008D0BFC">
      <w:pPr>
        <w:spacing w:after="0" w:line="240" w:lineRule="auto"/>
        <w:jc w:val="both"/>
        <w:rPr>
          <w:rFonts w:ascii="Times New Roman" w:hAnsi="Times New Roman" w:cs="Times New Roman"/>
          <w:sz w:val="24"/>
          <w:szCs w:val="24"/>
        </w:rPr>
      </w:pPr>
    </w:p>
    <w:p w:rsidR="0079653B" w:rsidRDefault="0079653B" w:rsidP="008D0BFC">
      <w:pPr>
        <w:spacing w:after="0" w:line="240" w:lineRule="auto"/>
        <w:jc w:val="both"/>
        <w:rPr>
          <w:rFonts w:ascii="Times New Roman" w:eastAsia="Calibri" w:hAnsi="Times New Roman" w:cs="Times New Roman"/>
          <w:sz w:val="24"/>
          <w:szCs w:val="24"/>
        </w:rPr>
      </w:pPr>
      <w:proofErr w:type="gramStart"/>
      <w:r w:rsidRPr="00320A82">
        <w:rPr>
          <w:rFonts w:ascii="Times New Roman" w:eastAsia="Calibri" w:hAnsi="Times New Roman" w:cs="Times New Roman"/>
          <w:sz w:val="24"/>
          <w:szCs w:val="24"/>
        </w:rPr>
        <w:t>Ostgaard, S. (2008)."On the Nature of Trend Following", Last Atlantis Capital Management.</w:t>
      </w:r>
      <w:proofErr w:type="gramEnd"/>
    </w:p>
    <w:p w:rsidR="00B445D7" w:rsidRDefault="00B445D7" w:rsidP="008D0BFC">
      <w:pPr>
        <w:spacing w:after="0" w:line="240" w:lineRule="auto"/>
        <w:jc w:val="both"/>
        <w:rPr>
          <w:rFonts w:ascii="Times New Roman" w:eastAsia="Calibri" w:hAnsi="Times New Roman" w:cs="Times New Roman"/>
          <w:sz w:val="24"/>
          <w:szCs w:val="24"/>
        </w:rPr>
      </w:pPr>
    </w:p>
    <w:p w:rsidR="00B445D7" w:rsidRDefault="00B445D7" w:rsidP="008D0BFC">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Shefrin</w:t>
      </w:r>
      <w:proofErr w:type="spellEnd"/>
      <w:r>
        <w:rPr>
          <w:rFonts w:ascii="Times New Roman" w:eastAsia="Calibri" w:hAnsi="Times New Roman" w:cs="Times New Roman"/>
          <w:sz w:val="24"/>
          <w:szCs w:val="24"/>
        </w:rPr>
        <w:t xml:space="preserve">, H. and </w:t>
      </w:r>
      <w:proofErr w:type="spellStart"/>
      <w:r>
        <w:rPr>
          <w:rFonts w:ascii="Times New Roman" w:eastAsia="Calibri" w:hAnsi="Times New Roman" w:cs="Times New Roman"/>
          <w:sz w:val="24"/>
          <w:szCs w:val="24"/>
        </w:rPr>
        <w:t>Statman</w:t>
      </w:r>
      <w:proofErr w:type="spellEnd"/>
      <w:r>
        <w:rPr>
          <w:rFonts w:ascii="Times New Roman" w:eastAsia="Calibri" w:hAnsi="Times New Roman" w:cs="Times New Roman"/>
          <w:sz w:val="24"/>
          <w:szCs w:val="24"/>
        </w:rPr>
        <w:t xml:space="preserve">, M. (1985), “The Disposition to Sell Winners Too Early and Ride Losers Too Long: Theory and Evidence”, </w:t>
      </w:r>
      <w:r w:rsidRPr="00B445D7">
        <w:rPr>
          <w:rFonts w:ascii="Times New Roman" w:eastAsia="Calibri" w:hAnsi="Times New Roman" w:cs="Times New Roman"/>
          <w:i/>
          <w:sz w:val="24"/>
          <w:szCs w:val="24"/>
        </w:rPr>
        <w:t>Journal of Finance</w:t>
      </w:r>
      <w:r>
        <w:rPr>
          <w:rFonts w:ascii="Times New Roman" w:eastAsia="Calibri" w:hAnsi="Times New Roman" w:cs="Times New Roman"/>
          <w:sz w:val="24"/>
          <w:szCs w:val="24"/>
        </w:rPr>
        <w:t>, 40, 3, 777-790.</w:t>
      </w:r>
    </w:p>
    <w:p w:rsidR="0034396A" w:rsidRDefault="0034396A" w:rsidP="008D0BFC">
      <w:pPr>
        <w:spacing w:after="0" w:line="240" w:lineRule="auto"/>
        <w:jc w:val="both"/>
        <w:rPr>
          <w:rFonts w:ascii="Times New Roman" w:eastAsia="Calibri" w:hAnsi="Times New Roman" w:cs="Times New Roman"/>
          <w:sz w:val="24"/>
          <w:szCs w:val="24"/>
        </w:rPr>
      </w:pPr>
    </w:p>
    <w:p w:rsidR="00957396" w:rsidRDefault="00957396" w:rsidP="008D0BFC">
      <w:pPr>
        <w:spacing w:after="0" w:line="240" w:lineRule="auto"/>
        <w:jc w:val="both"/>
        <w:rPr>
          <w:rFonts w:ascii="Times New Roman" w:eastAsia="Calibri" w:hAnsi="Times New Roman" w:cs="Times New Roman"/>
          <w:sz w:val="24"/>
          <w:szCs w:val="24"/>
        </w:rPr>
      </w:pPr>
      <w:proofErr w:type="spellStart"/>
      <w:r w:rsidRPr="00320A82">
        <w:rPr>
          <w:rFonts w:ascii="Times New Roman" w:eastAsia="Calibri" w:hAnsi="Times New Roman" w:cs="Times New Roman"/>
          <w:sz w:val="24"/>
          <w:szCs w:val="24"/>
        </w:rPr>
        <w:t>Shynkevich</w:t>
      </w:r>
      <w:proofErr w:type="spellEnd"/>
      <w:r w:rsidRPr="00320A82">
        <w:rPr>
          <w:rFonts w:ascii="Times New Roman" w:eastAsia="Calibri" w:hAnsi="Times New Roman" w:cs="Times New Roman"/>
          <w:sz w:val="24"/>
          <w:szCs w:val="24"/>
        </w:rPr>
        <w:t>, A. (2012), “Performance of technical analysis in growth and small cap segments of the US equity market”</w:t>
      </w:r>
      <w:r w:rsidRPr="00320A82">
        <w:rPr>
          <w:rFonts w:ascii="Times New Roman" w:hAnsi="Times New Roman" w:cs="Times New Roman"/>
          <w:sz w:val="24"/>
          <w:szCs w:val="24"/>
        </w:rPr>
        <w:t xml:space="preserve">, </w:t>
      </w:r>
      <w:r w:rsidRPr="00320A82">
        <w:rPr>
          <w:rFonts w:ascii="Times New Roman" w:eastAsia="Calibri" w:hAnsi="Times New Roman" w:cs="Times New Roman"/>
          <w:i/>
          <w:sz w:val="24"/>
          <w:szCs w:val="24"/>
        </w:rPr>
        <w:t>Journal of Banking &amp; Finance</w:t>
      </w:r>
      <w:r w:rsidR="00835AC2">
        <w:rPr>
          <w:rFonts w:ascii="Times New Roman" w:eastAsia="Calibri" w:hAnsi="Times New Roman" w:cs="Times New Roman"/>
          <w:sz w:val="24"/>
          <w:szCs w:val="24"/>
        </w:rPr>
        <w:t xml:space="preserve">, 36, </w:t>
      </w:r>
      <w:r w:rsidRPr="00320A82">
        <w:rPr>
          <w:rFonts w:ascii="Times New Roman" w:eastAsia="Calibri" w:hAnsi="Times New Roman" w:cs="Times New Roman"/>
          <w:sz w:val="24"/>
          <w:szCs w:val="24"/>
        </w:rPr>
        <w:t>193-208.</w:t>
      </w:r>
    </w:p>
    <w:p w:rsidR="00835AC2" w:rsidRDefault="00835AC2" w:rsidP="008D0BFC">
      <w:pPr>
        <w:spacing w:after="0" w:line="240" w:lineRule="auto"/>
        <w:jc w:val="both"/>
        <w:rPr>
          <w:rFonts w:ascii="Times New Roman" w:eastAsia="Calibri" w:hAnsi="Times New Roman" w:cs="Times New Roman"/>
          <w:sz w:val="24"/>
          <w:szCs w:val="24"/>
        </w:rPr>
      </w:pPr>
    </w:p>
    <w:p w:rsidR="00835AC2" w:rsidRDefault="00835AC2" w:rsidP="008D0BF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Smetters</w:t>
      </w:r>
      <w:proofErr w:type="spellEnd"/>
      <w:r w:rsidR="00B30A15">
        <w:rPr>
          <w:rFonts w:ascii="Times New Roman" w:hAnsi="Times New Roman" w:cs="Times New Roman"/>
          <w:sz w:val="24"/>
          <w:szCs w:val="24"/>
        </w:rPr>
        <w:t>, K.</w:t>
      </w:r>
      <w:r>
        <w:rPr>
          <w:rFonts w:ascii="Times New Roman" w:hAnsi="Times New Roman" w:cs="Times New Roman"/>
          <w:sz w:val="24"/>
          <w:szCs w:val="24"/>
        </w:rPr>
        <w:t xml:space="preserve"> and Zhang,</w:t>
      </w:r>
      <w:r w:rsidR="00B30A15">
        <w:rPr>
          <w:rFonts w:ascii="Times New Roman" w:hAnsi="Times New Roman" w:cs="Times New Roman"/>
          <w:sz w:val="24"/>
          <w:szCs w:val="24"/>
        </w:rPr>
        <w:t xml:space="preserve"> X.,</w:t>
      </w:r>
      <w:r>
        <w:rPr>
          <w:rFonts w:ascii="Times New Roman" w:hAnsi="Times New Roman" w:cs="Times New Roman"/>
          <w:sz w:val="24"/>
          <w:szCs w:val="24"/>
        </w:rPr>
        <w:t xml:space="preserve"> (2013),</w:t>
      </w:r>
      <w:r w:rsidR="00B30A15">
        <w:rPr>
          <w:rFonts w:ascii="Times New Roman" w:hAnsi="Times New Roman" w:cs="Times New Roman"/>
          <w:sz w:val="24"/>
          <w:szCs w:val="24"/>
        </w:rPr>
        <w:t xml:space="preserve"> </w:t>
      </w:r>
      <w:r w:rsidR="000E5C61">
        <w:rPr>
          <w:rFonts w:ascii="Times New Roman" w:hAnsi="Times New Roman" w:cs="Times New Roman"/>
          <w:sz w:val="24"/>
          <w:szCs w:val="24"/>
        </w:rPr>
        <w:t>“A Sharper Ratio: A General Measure for Ranking Non-Normal Investment Risks”, Wharton School, University of Pennsylvania, mimeo.</w:t>
      </w:r>
    </w:p>
    <w:p w:rsidR="00835AC2" w:rsidRDefault="00835AC2" w:rsidP="008D0BFC">
      <w:pPr>
        <w:spacing w:after="0" w:line="240" w:lineRule="auto"/>
        <w:jc w:val="both"/>
        <w:rPr>
          <w:rFonts w:ascii="Times New Roman" w:hAnsi="Times New Roman" w:cs="Times New Roman"/>
          <w:sz w:val="24"/>
          <w:szCs w:val="24"/>
        </w:rPr>
      </w:pPr>
    </w:p>
    <w:p w:rsidR="007F36CB" w:rsidRDefault="00835AC2" w:rsidP="008D0BF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Sortino</w:t>
      </w:r>
      <w:proofErr w:type="spellEnd"/>
      <w:r w:rsidR="000E5C61">
        <w:rPr>
          <w:rFonts w:ascii="Times New Roman" w:hAnsi="Times New Roman" w:cs="Times New Roman"/>
          <w:sz w:val="24"/>
          <w:szCs w:val="24"/>
        </w:rPr>
        <w:t xml:space="preserve">, F. and Price, L., (1994), “Performance Measurement in a Downside Risk Framework”, </w:t>
      </w:r>
      <w:r w:rsidR="000E5C61" w:rsidRPr="000E5C61">
        <w:rPr>
          <w:rFonts w:ascii="Times New Roman" w:hAnsi="Times New Roman" w:cs="Times New Roman"/>
          <w:i/>
          <w:sz w:val="24"/>
          <w:szCs w:val="24"/>
        </w:rPr>
        <w:t>Journal of Investing</w:t>
      </w:r>
      <w:r w:rsidR="000E5C61">
        <w:rPr>
          <w:rFonts w:ascii="Times New Roman" w:hAnsi="Times New Roman" w:cs="Times New Roman"/>
          <w:sz w:val="24"/>
          <w:szCs w:val="24"/>
        </w:rPr>
        <w:t>, 3, 3, 59-65.</w:t>
      </w:r>
    </w:p>
    <w:p w:rsidR="007F36CB" w:rsidRPr="007F36CB" w:rsidRDefault="007F36CB" w:rsidP="007F36CB">
      <w:pPr>
        <w:spacing w:after="0" w:line="240" w:lineRule="auto"/>
        <w:jc w:val="both"/>
        <w:rPr>
          <w:rFonts w:ascii="Times New Roman" w:eastAsia="Calibri" w:hAnsi="Times New Roman" w:cs="Times New Roman"/>
          <w:sz w:val="24"/>
          <w:szCs w:val="24"/>
        </w:rPr>
      </w:pPr>
    </w:p>
    <w:p w:rsidR="007F36CB" w:rsidRPr="00320A82" w:rsidRDefault="007F36CB" w:rsidP="008D0B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Suarez, D, Suarez, A. and </w:t>
      </w:r>
      <w:proofErr w:type="spellStart"/>
      <w:r>
        <w:rPr>
          <w:rFonts w:ascii="Times New Roman" w:eastAsia="Calibri" w:hAnsi="Times New Roman" w:cs="Times New Roman"/>
          <w:sz w:val="24"/>
          <w:szCs w:val="24"/>
        </w:rPr>
        <w:t>Walz</w:t>
      </w:r>
      <w:proofErr w:type="spellEnd"/>
      <w:r>
        <w:rPr>
          <w:rFonts w:ascii="Times New Roman" w:eastAsia="Calibri" w:hAnsi="Times New Roman" w:cs="Times New Roman"/>
          <w:sz w:val="24"/>
          <w:szCs w:val="24"/>
        </w:rPr>
        <w:t>, D., (2015), “</w:t>
      </w:r>
      <w:r w:rsidRPr="007F36CB">
        <w:rPr>
          <w:rFonts w:ascii="Times New Roman" w:eastAsia="Calibri" w:hAnsi="Times New Roman" w:cs="Times New Roman"/>
          <w:sz w:val="24"/>
          <w:szCs w:val="24"/>
        </w:rPr>
        <w:t>The Perfect Withdrawal Amount: A Methodology for Creating Retirement Account Distribution Strategies</w:t>
      </w:r>
      <w:r>
        <w:rPr>
          <w:rFonts w:ascii="Times New Roman" w:eastAsia="Calibri" w:hAnsi="Times New Roman" w:cs="Times New Roman"/>
          <w:sz w:val="24"/>
          <w:szCs w:val="24"/>
        </w:rPr>
        <w:t>”, Trinity University, mimeo.</w:t>
      </w:r>
    </w:p>
    <w:p w:rsidR="001F283B" w:rsidRPr="00320A82" w:rsidRDefault="001F283B" w:rsidP="008D0BFC">
      <w:pPr>
        <w:spacing w:after="0" w:line="240" w:lineRule="auto"/>
        <w:jc w:val="both"/>
        <w:rPr>
          <w:rFonts w:ascii="Times New Roman" w:hAnsi="Times New Roman" w:cs="Times New Roman"/>
          <w:sz w:val="24"/>
          <w:szCs w:val="24"/>
        </w:rPr>
      </w:pPr>
    </w:p>
    <w:p w:rsidR="00782A5E" w:rsidRDefault="00782A5E" w:rsidP="008D0BFC">
      <w:pPr>
        <w:spacing w:after="0" w:line="240" w:lineRule="auto"/>
        <w:jc w:val="both"/>
        <w:rPr>
          <w:rFonts w:ascii="Times New Roman" w:hAnsi="Times New Roman" w:cs="Times New Roman"/>
          <w:sz w:val="24"/>
          <w:szCs w:val="24"/>
        </w:rPr>
      </w:pPr>
      <w:proofErr w:type="spellStart"/>
      <w:r w:rsidRPr="00320A82">
        <w:rPr>
          <w:rFonts w:ascii="Times New Roman" w:hAnsi="Times New Roman" w:cs="Times New Roman"/>
          <w:sz w:val="24"/>
          <w:szCs w:val="24"/>
        </w:rPr>
        <w:t>Szakmary</w:t>
      </w:r>
      <w:proofErr w:type="spellEnd"/>
      <w:r w:rsidRPr="00320A82">
        <w:rPr>
          <w:rFonts w:ascii="Times New Roman" w:hAnsi="Times New Roman" w:cs="Times New Roman"/>
          <w:sz w:val="24"/>
          <w:szCs w:val="24"/>
        </w:rPr>
        <w:t xml:space="preserve">, A., Shen, Q., </w:t>
      </w:r>
      <w:r w:rsidR="00ED1FE0" w:rsidRPr="00320A82">
        <w:rPr>
          <w:rFonts w:ascii="Times New Roman" w:hAnsi="Times New Roman" w:cs="Times New Roman"/>
          <w:sz w:val="24"/>
          <w:szCs w:val="24"/>
        </w:rPr>
        <w:t>and</w:t>
      </w:r>
      <w:r w:rsidRPr="00320A82">
        <w:rPr>
          <w:rFonts w:ascii="Times New Roman" w:hAnsi="Times New Roman" w:cs="Times New Roman"/>
          <w:sz w:val="24"/>
          <w:szCs w:val="24"/>
        </w:rPr>
        <w:t xml:space="preserve"> Sharma, S., (2010). "Trend-Following Trading Strategies in Commodity Futures: A Re-Examination", </w:t>
      </w:r>
      <w:r w:rsidRPr="00320A82">
        <w:rPr>
          <w:rFonts w:ascii="Times New Roman" w:hAnsi="Times New Roman" w:cs="Times New Roman"/>
          <w:i/>
          <w:sz w:val="24"/>
          <w:szCs w:val="24"/>
        </w:rPr>
        <w:t>Journal of Banking and Finance</w:t>
      </w:r>
      <w:r w:rsidRPr="00320A82">
        <w:rPr>
          <w:rFonts w:ascii="Times New Roman" w:hAnsi="Times New Roman" w:cs="Times New Roman"/>
          <w:sz w:val="24"/>
          <w:szCs w:val="24"/>
        </w:rPr>
        <w:t>, 34, 409-426.</w:t>
      </w:r>
    </w:p>
    <w:p w:rsidR="00B5068F" w:rsidRDefault="00B5068F" w:rsidP="008D0BFC">
      <w:pPr>
        <w:spacing w:after="0" w:line="240" w:lineRule="auto"/>
        <w:jc w:val="both"/>
        <w:rPr>
          <w:rFonts w:ascii="Times New Roman" w:hAnsi="Times New Roman" w:cs="Times New Roman"/>
          <w:sz w:val="24"/>
          <w:szCs w:val="24"/>
        </w:rPr>
      </w:pPr>
    </w:p>
    <w:p w:rsidR="00B5068F" w:rsidRPr="00320A82" w:rsidRDefault="00B5068F" w:rsidP="008D0BFC">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Tversky</w:t>
      </w:r>
      <w:proofErr w:type="spellEnd"/>
      <w:r>
        <w:rPr>
          <w:rFonts w:ascii="Times New Roman" w:hAnsi="Times New Roman" w:cs="Times New Roman"/>
          <w:sz w:val="24"/>
          <w:szCs w:val="24"/>
        </w:rPr>
        <w:t>, A., and</w:t>
      </w:r>
      <w:r w:rsidRPr="00B5068F">
        <w:rPr>
          <w:rFonts w:ascii="Times New Roman" w:hAnsi="Times New Roman" w:cs="Times New Roman"/>
          <w:sz w:val="24"/>
          <w:szCs w:val="24"/>
        </w:rPr>
        <w:t xml:space="preserve"> </w:t>
      </w:r>
      <w:proofErr w:type="spellStart"/>
      <w:r w:rsidRPr="00B5068F">
        <w:rPr>
          <w:rFonts w:ascii="Times New Roman" w:hAnsi="Times New Roman" w:cs="Times New Roman"/>
          <w:sz w:val="24"/>
          <w:szCs w:val="24"/>
        </w:rPr>
        <w:t>Kahneman</w:t>
      </w:r>
      <w:proofErr w:type="spellEnd"/>
      <w:r w:rsidRPr="00B5068F">
        <w:rPr>
          <w:rFonts w:ascii="Times New Roman" w:hAnsi="Times New Roman" w:cs="Times New Roman"/>
          <w:sz w:val="24"/>
          <w:szCs w:val="24"/>
        </w:rPr>
        <w:t>, D. (1974).</w:t>
      </w:r>
      <w:proofErr w:type="gramEnd"/>
      <w:r>
        <w:rPr>
          <w:rFonts w:ascii="Times New Roman" w:hAnsi="Times New Roman" w:cs="Times New Roman"/>
          <w:sz w:val="24"/>
          <w:szCs w:val="24"/>
        </w:rPr>
        <w:t xml:space="preserve"> “</w:t>
      </w:r>
      <w:r w:rsidRPr="00B5068F">
        <w:rPr>
          <w:rFonts w:ascii="Times New Roman" w:hAnsi="Times New Roman" w:cs="Times New Roman"/>
          <w:sz w:val="24"/>
          <w:szCs w:val="24"/>
        </w:rPr>
        <w:t>Judgment under uncertainty: Heuristics and</w:t>
      </w:r>
      <w:r>
        <w:rPr>
          <w:rFonts w:ascii="Times New Roman" w:hAnsi="Times New Roman" w:cs="Times New Roman"/>
          <w:sz w:val="24"/>
          <w:szCs w:val="24"/>
        </w:rPr>
        <w:t xml:space="preserve"> </w:t>
      </w:r>
      <w:r w:rsidRPr="00B5068F">
        <w:rPr>
          <w:rFonts w:ascii="Times New Roman" w:hAnsi="Times New Roman" w:cs="Times New Roman"/>
          <w:sz w:val="24"/>
          <w:szCs w:val="24"/>
        </w:rPr>
        <w:t>biases.</w:t>
      </w:r>
      <w:r>
        <w:rPr>
          <w:rFonts w:ascii="Times New Roman" w:hAnsi="Times New Roman" w:cs="Times New Roman"/>
          <w:sz w:val="24"/>
          <w:szCs w:val="24"/>
        </w:rPr>
        <w:t>”</w:t>
      </w:r>
      <w:r w:rsidRPr="00B5068F">
        <w:rPr>
          <w:rFonts w:ascii="Times New Roman" w:hAnsi="Times New Roman" w:cs="Times New Roman"/>
          <w:sz w:val="24"/>
          <w:szCs w:val="24"/>
        </w:rPr>
        <w:t xml:space="preserve"> </w:t>
      </w:r>
      <w:r w:rsidRPr="00B5068F">
        <w:rPr>
          <w:rFonts w:ascii="Times New Roman" w:hAnsi="Times New Roman" w:cs="Times New Roman"/>
          <w:i/>
          <w:sz w:val="24"/>
          <w:szCs w:val="24"/>
        </w:rPr>
        <w:t>Science</w:t>
      </w:r>
      <w:r w:rsidRPr="00B5068F">
        <w:rPr>
          <w:rFonts w:ascii="Times New Roman" w:hAnsi="Times New Roman" w:cs="Times New Roman"/>
          <w:sz w:val="24"/>
          <w:szCs w:val="24"/>
        </w:rPr>
        <w:t xml:space="preserve">, 185, 1124–1130. </w:t>
      </w:r>
    </w:p>
    <w:p w:rsidR="00224724" w:rsidRDefault="00224724" w:rsidP="008D0BFC">
      <w:pPr>
        <w:spacing w:after="0" w:line="240" w:lineRule="auto"/>
        <w:jc w:val="both"/>
        <w:rPr>
          <w:rFonts w:ascii="Times New Roman" w:eastAsia="Calibri" w:hAnsi="Times New Roman" w:cs="Times New Roman"/>
          <w:sz w:val="24"/>
          <w:szCs w:val="24"/>
        </w:rPr>
      </w:pPr>
    </w:p>
    <w:p w:rsidR="001D31C5" w:rsidRDefault="00EE0B3C" w:rsidP="00991108">
      <w:pPr>
        <w:spacing w:after="0" w:line="240" w:lineRule="auto"/>
        <w:jc w:val="both"/>
        <w:rPr>
          <w:rFonts w:ascii="Times New Roman" w:eastAsia="Calibri" w:hAnsi="Times New Roman" w:cs="Times New Roman"/>
          <w:sz w:val="24"/>
          <w:szCs w:val="24"/>
        </w:rPr>
      </w:pPr>
      <w:proofErr w:type="gramStart"/>
      <w:r w:rsidRPr="00320A82">
        <w:rPr>
          <w:rFonts w:ascii="Times New Roman" w:eastAsia="Calibri" w:hAnsi="Times New Roman" w:cs="Times New Roman"/>
          <w:sz w:val="24"/>
          <w:szCs w:val="24"/>
        </w:rPr>
        <w:t>Wilcox, C. and Crittenden, E. (2005).</w:t>
      </w:r>
      <w:proofErr w:type="gramEnd"/>
      <w:r w:rsidRPr="00320A82">
        <w:rPr>
          <w:rFonts w:ascii="Times New Roman" w:eastAsia="Calibri" w:hAnsi="Times New Roman" w:cs="Times New Roman"/>
          <w:sz w:val="24"/>
          <w:szCs w:val="24"/>
        </w:rPr>
        <w:t xml:space="preserve"> “Does Trend-Following Work on Stocks?</w:t>
      </w:r>
      <w:proofErr w:type="gramStart"/>
      <w:r w:rsidRPr="00320A82">
        <w:rPr>
          <w:rFonts w:ascii="Times New Roman" w:eastAsia="Calibri" w:hAnsi="Times New Roman" w:cs="Times New Roman"/>
          <w:sz w:val="24"/>
          <w:szCs w:val="24"/>
        </w:rPr>
        <w:t>”,</w:t>
      </w:r>
      <w:proofErr w:type="gramEnd"/>
      <w:r w:rsidR="001212DF" w:rsidRPr="00320A82">
        <w:rPr>
          <w:rFonts w:ascii="Times New Roman" w:eastAsia="Calibri" w:hAnsi="Times New Roman" w:cs="Times New Roman"/>
          <w:sz w:val="24"/>
          <w:szCs w:val="24"/>
        </w:rPr>
        <w:t xml:space="preserve"> </w:t>
      </w:r>
      <w:proofErr w:type="spellStart"/>
      <w:r w:rsidRPr="00320A82">
        <w:rPr>
          <w:rFonts w:ascii="Times New Roman" w:eastAsia="Calibri" w:hAnsi="Times New Roman" w:cs="Times New Roman"/>
          <w:sz w:val="24"/>
          <w:szCs w:val="24"/>
        </w:rPr>
        <w:t>BlackStar</w:t>
      </w:r>
      <w:proofErr w:type="spellEnd"/>
      <w:r w:rsidRPr="00320A82">
        <w:rPr>
          <w:rFonts w:ascii="Times New Roman" w:eastAsia="Calibri" w:hAnsi="Times New Roman" w:cs="Times New Roman"/>
          <w:sz w:val="24"/>
          <w:szCs w:val="24"/>
        </w:rPr>
        <w:t xml:space="preserve"> Funds.</w:t>
      </w:r>
    </w:p>
    <w:p w:rsidR="001D31C5" w:rsidRPr="00320A82" w:rsidRDefault="001D31C5" w:rsidP="00991108">
      <w:pPr>
        <w:spacing w:after="0" w:line="240" w:lineRule="auto"/>
        <w:jc w:val="both"/>
        <w:rPr>
          <w:rFonts w:ascii="Times New Roman" w:eastAsia="Calibri" w:hAnsi="Times New Roman" w:cs="Times New Roman"/>
          <w:sz w:val="24"/>
          <w:szCs w:val="24"/>
        </w:rPr>
      </w:pPr>
    </w:p>
    <w:p w:rsidR="001D31C5" w:rsidRDefault="001D31C5" w:rsidP="001D31C5">
      <w:pPr>
        <w:spacing w:after="0" w:line="240" w:lineRule="auto"/>
        <w:jc w:val="center"/>
        <w:rPr>
          <w:rFonts w:ascii="Calibri" w:eastAsia="Times New Roman" w:hAnsi="Calibri" w:cs="Times New Roman"/>
        </w:rPr>
      </w:pPr>
      <w:r w:rsidRPr="001D31C5">
        <w:rPr>
          <w:rFonts w:ascii="Calibri" w:eastAsia="Times New Roman" w:hAnsi="Calibri" w:cs="Times New Roman"/>
        </w:rPr>
        <w:tab/>
      </w:r>
    </w:p>
    <w:p w:rsidR="001D31C5" w:rsidRDefault="001D31C5">
      <w:pPr>
        <w:rPr>
          <w:rFonts w:ascii="Calibri" w:eastAsia="Times New Roman" w:hAnsi="Calibri" w:cs="Times New Roman"/>
        </w:rPr>
      </w:pPr>
      <w:r>
        <w:rPr>
          <w:rFonts w:ascii="Calibri" w:eastAsia="Times New Roman" w:hAnsi="Calibri" w:cs="Times New Roman"/>
        </w:rPr>
        <w:br w:type="page"/>
      </w:r>
    </w:p>
    <w:p w:rsidR="001D31C5" w:rsidRPr="001D31C5" w:rsidRDefault="001D31C5" w:rsidP="001D31C5">
      <w:pPr>
        <w:spacing w:after="0" w:line="240" w:lineRule="auto"/>
        <w:jc w:val="center"/>
        <w:rPr>
          <w:rFonts w:ascii="Times New Roman" w:eastAsia="Times New Roman" w:hAnsi="Times New Roman" w:cs="Times New Roman"/>
          <w:b/>
          <w:bCs/>
          <w:color w:val="000000"/>
          <w:sz w:val="24"/>
          <w:szCs w:val="24"/>
        </w:rPr>
      </w:pPr>
      <w:r w:rsidRPr="001D31C5">
        <w:rPr>
          <w:rFonts w:ascii="Times New Roman" w:eastAsia="Times New Roman" w:hAnsi="Times New Roman" w:cs="Times New Roman"/>
          <w:b/>
          <w:bCs/>
          <w:color w:val="000000"/>
          <w:sz w:val="24"/>
          <w:szCs w:val="24"/>
        </w:rPr>
        <w:lastRenderedPageBreak/>
        <w:t>Table 1:  Performance statistics based on five broad asset classes (1994-2015)</w:t>
      </w:r>
    </w:p>
    <w:p w:rsidR="001D31C5" w:rsidRPr="001D31C5" w:rsidRDefault="001D31C5" w:rsidP="001D31C5">
      <w:pPr>
        <w:spacing w:after="120" w:line="240" w:lineRule="auto"/>
        <w:jc w:val="both"/>
        <w:rPr>
          <w:rFonts w:ascii="Times New Roman" w:eastAsia="Times New Roman" w:hAnsi="Times New Roman" w:cs="Times New Roman"/>
          <w:sz w:val="20"/>
          <w:szCs w:val="20"/>
        </w:rPr>
      </w:pPr>
      <w:r w:rsidRPr="001D31C5">
        <w:rPr>
          <w:rFonts w:ascii="Times New Roman" w:eastAsia="Times New Roman" w:hAnsi="Times New Roman" w:cs="Times New Roman"/>
          <w:sz w:val="20"/>
          <w:szCs w:val="20"/>
        </w:rPr>
        <w:t xml:space="preserve">This table presents performance statistics for: the five broad asset class categories (Panel A); for the equally-weighted return on these broad asset classes (Panel B, column 1); for the trend following portfolios based on these broad asset classes with varying trend following signal lengths, (Panel B, columns 2 to 5); for a portfolio comprising the five broad asset classes where the weights are determined by risk parity rules, where volatility has been calculated using 12 months of return data (Panel C, column 2); and for a portfolio comprised of the five main asset classes, where their weights were determined by risk parity rules with a trend following overlay (Panel C, column 2). The “risk off” asset class used in the portfolios that are constructed using trend following rules is US T-Bills. The performance statistics of the portfolios presented in Panels B and C were all based on monthly rebalancing. </w:t>
      </w:r>
    </w:p>
    <w:tbl>
      <w:tblPr>
        <w:tblW w:w="7603" w:type="dxa"/>
        <w:jc w:val="center"/>
        <w:tblLook w:val="04A0" w:firstRow="1" w:lastRow="0" w:firstColumn="1" w:lastColumn="0" w:noHBand="0" w:noVBand="1"/>
      </w:tblPr>
      <w:tblGrid>
        <w:gridCol w:w="2842"/>
        <w:gridCol w:w="1185"/>
        <w:gridCol w:w="817"/>
        <w:gridCol w:w="795"/>
        <w:gridCol w:w="1148"/>
        <w:gridCol w:w="816"/>
      </w:tblGrid>
      <w:tr w:rsidR="001D31C5" w:rsidRPr="001D31C5" w:rsidTr="00D8388F">
        <w:trPr>
          <w:trHeight w:val="300"/>
          <w:jc w:val="center"/>
        </w:trPr>
        <w:tc>
          <w:tcPr>
            <w:tcW w:w="4027" w:type="dxa"/>
            <w:gridSpan w:val="2"/>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A: Benchmark Returns</w:t>
            </w:r>
          </w:p>
        </w:tc>
        <w:tc>
          <w:tcPr>
            <w:tcW w:w="817"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p>
        </w:tc>
        <w:tc>
          <w:tcPr>
            <w:tcW w:w="795"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p>
        </w:tc>
        <w:tc>
          <w:tcPr>
            <w:tcW w:w="1148"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p>
        </w:tc>
        <w:tc>
          <w:tcPr>
            <w:tcW w:w="816"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p>
        </w:tc>
      </w:tr>
      <w:tr w:rsidR="001D31C5" w:rsidRPr="001D31C5" w:rsidTr="00D8388F">
        <w:trPr>
          <w:trHeight w:val="300"/>
          <w:jc w:val="center"/>
        </w:trPr>
        <w:tc>
          <w:tcPr>
            <w:tcW w:w="2842"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p>
        </w:tc>
        <w:tc>
          <w:tcPr>
            <w:tcW w:w="1185"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Dev. Equity</w:t>
            </w:r>
          </w:p>
        </w:tc>
        <w:tc>
          <w:tcPr>
            <w:tcW w:w="817"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Emer. Equity</w:t>
            </w:r>
          </w:p>
        </w:tc>
        <w:tc>
          <w:tcPr>
            <w:tcW w:w="795"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Bonds</w:t>
            </w:r>
          </w:p>
        </w:tc>
        <w:tc>
          <w:tcPr>
            <w:tcW w:w="1148"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roofErr w:type="spellStart"/>
            <w:r w:rsidRPr="001D31C5">
              <w:rPr>
                <w:rFonts w:ascii="Times New Roman" w:eastAsia="Times New Roman" w:hAnsi="Times New Roman" w:cs="Times New Roman"/>
                <w:color w:val="000000"/>
                <w:sz w:val="20"/>
                <w:szCs w:val="20"/>
              </w:rPr>
              <w:t>Comms</w:t>
            </w:r>
            <w:proofErr w:type="spellEnd"/>
            <w:r w:rsidRPr="001D31C5">
              <w:rPr>
                <w:rFonts w:ascii="Times New Roman" w:eastAsia="Times New Roman" w:hAnsi="Times New Roman" w:cs="Times New Roman"/>
                <w:color w:val="000000"/>
                <w:sz w:val="20"/>
                <w:szCs w:val="20"/>
              </w:rPr>
              <w:t>.</w:t>
            </w:r>
          </w:p>
        </w:tc>
        <w:tc>
          <w:tcPr>
            <w:tcW w:w="816"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REITs</w:t>
            </w:r>
          </w:p>
        </w:tc>
      </w:tr>
      <w:tr w:rsidR="001D31C5" w:rsidRPr="001D31C5" w:rsidTr="00D8388F">
        <w:trPr>
          <w:trHeight w:val="300"/>
          <w:jc w:val="center"/>
        </w:trPr>
        <w:tc>
          <w:tcPr>
            <w:tcW w:w="2842"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1185"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7.50</w:t>
            </w:r>
          </w:p>
        </w:tc>
        <w:tc>
          <w:tcPr>
            <w:tcW w:w="817"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5.38</w:t>
            </w:r>
          </w:p>
        </w:tc>
        <w:tc>
          <w:tcPr>
            <w:tcW w:w="795"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5.05</w:t>
            </w:r>
          </w:p>
        </w:tc>
        <w:tc>
          <w:tcPr>
            <w:tcW w:w="1148"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3.42</w:t>
            </w:r>
          </w:p>
        </w:tc>
        <w:tc>
          <w:tcPr>
            <w:tcW w:w="81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8.39</w:t>
            </w:r>
          </w:p>
        </w:tc>
      </w:tr>
      <w:tr w:rsidR="001D31C5" w:rsidRPr="001D31C5" w:rsidTr="00D8388F">
        <w:trPr>
          <w:trHeight w:val="300"/>
          <w:jc w:val="center"/>
        </w:trPr>
        <w:tc>
          <w:tcPr>
            <w:tcW w:w="2842"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118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15.05</w:t>
            </w:r>
          </w:p>
        </w:tc>
        <w:tc>
          <w:tcPr>
            <w:tcW w:w="817"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23.29</w:t>
            </w:r>
          </w:p>
        </w:tc>
        <w:tc>
          <w:tcPr>
            <w:tcW w:w="79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2.99</w:t>
            </w:r>
          </w:p>
        </w:tc>
        <w:tc>
          <w:tcPr>
            <w:tcW w:w="114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15.60</w:t>
            </w:r>
          </w:p>
        </w:tc>
        <w:tc>
          <w:tcPr>
            <w:tcW w:w="8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18.04</w:t>
            </w:r>
          </w:p>
        </w:tc>
      </w:tr>
      <w:tr w:rsidR="001D31C5" w:rsidRPr="001D31C5" w:rsidTr="00D8388F">
        <w:trPr>
          <w:trHeight w:val="300"/>
          <w:jc w:val="center"/>
        </w:trPr>
        <w:tc>
          <w:tcPr>
            <w:tcW w:w="2842"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118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0.32</w:t>
            </w:r>
          </w:p>
        </w:tc>
        <w:tc>
          <w:tcPr>
            <w:tcW w:w="817"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0.12</w:t>
            </w:r>
          </w:p>
        </w:tc>
        <w:tc>
          <w:tcPr>
            <w:tcW w:w="79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0.81</w:t>
            </w:r>
          </w:p>
        </w:tc>
        <w:tc>
          <w:tcPr>
            <w:tcW w:w="114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0.05</w:t>
            </w:r>
          </w:p>
        </w:tc>
        <w:tc>
          <w:tcPr>
            <w:tcW w:w="8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0.32</w:t>
            </w:r>
          </w:p>
        </w:tc>
      </w:tr>
      <w:tr w:rsidR="001D31C5" w:rsidRPr="001D31C5" w:rsidTr="00D8388F">
        <w:trPr>
          <w:trHeight w:val="300"/>
          <w:jc w:val="center"/>
        </w:trPr>
        <w:tc>
          <w:tcPr>
            <w:tcW w:w="2842"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118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11.32</w:t>
            </w:r>
          </w:p>
        </w:tc>
        <w:tc>
          <w:tcPr>
            <w:tcW w:w="817"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17.14</w:t>
            </w:r>
          </w:p>
        </w:tc>
        <w:tc>
          <w:tcPr>
            <w:tcW w:w="79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3.44</w:t>
            </w:r>
          </w:p>
        </w:tc>
        <w:tc>
          <w:tcPr>
            <w:tcW w:w="114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13.00</w:t>
            </w:r>
          </w:p>
        </w:tc>
        <w:tc>
          <w:tcPr>
            <w:tcW w:w="8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20.70</w:t>
            </w:r>
          </w:p>
        </w:tc>
      </w:tr>
      <w:tr w:rsidR="001D31C5" w:rsidRPr="001D31C5" w:rsidTr="00D8388F">
        <w:trPr>
          <w:trHeight w:val="300"/>
          <w:jc w:val="center"/>
        </w:trPr>
        <w:tc>
          <w:tcPr>
            <w:tcW w:w="2842"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118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-18.93</w:t>
            </w:r>
          </w:p>
        </w:tc>
        <w:tc>
          <w:tcPr>
            <w:tcW w:w="817"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-28.91</w:t>
            </w:r>
          </w:p>
        </w:tc>
        <w:tc>
          <w:tcPr>
            <w:tcW w:w="79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-1.89</w:t>
            </w:r>
          </w:p>
        </w:tc>
        <w:tc>
          <w:tcPr>
            <w:tcW w:w="114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-21.28</w:t>
            </w:r>
          </w:p>
        </w:tc>
        <w:tc>
          <w:tcPr>
            <w:tcW w:w="8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-27.85</w:t>
            </w:r>
          </w:p>
        </w:tc>
      </w:tr>
      <w:tr w:rsidR="001D31C5" w:rsidRPr="001D31C5" w:rsidTr="00D8388F">
        <w:trPr>
          <w:trHeight w:val="300"/>
          <w:jc w:val="center"/>
        </w:trPr>
        <w:tc>
          <w:tcPr>
            <w:tcW w:w="2842"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118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53.65</w:t>
            </w:r>
          </w:p>
        </w:tc>
        <w:tc>
          <w:tcPr>
            <w:tcW w:w="817"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61.44</w:t>
            </w:r>
          </w:p>
        </w:tc>
        <w:tc>
          <w:tcPr>
            <w:tcW w:w="79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4.69</w:t>
            </w:r>
          </w:p>
        </w:tc>
        <w:tc>
          <w:tcPr>
            <w:tcW w:w="114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57.44</w:t>
            </w:r>
          </w:p>
        </w:tc>
        <w:tc>
          <w:tcPr>
            <w:tcW w:w="8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67.20</w:t>
            </w:r>
          </w:p>
        </w:tc>
      </w:tr>
      <w:tr w:rsidR="001D31C5" w:rsidRPr="001D31C5" w:rsidTr="00D8388F">
        <w:trPr>
          <w:trHeight w:val="300"/>
          <w:jc w:val="center"/>
        </w:trPr>
        <w:tc>
          <w:tcPr>
            <w:tcW w:w="2842"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118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-0.77</w:t>
            </w:r>
          </w:p>
        </w:tc>
        <w:tc>
          <w:tcPr>
            <w:tcW w:w="817"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-0.71</w:t>
            </w:r>
          </w:p>
        </w:tc>
        <w:tc>
          <w:tcPr>
            <w:tcW w:w="79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-0.02</w:t>
            </w:r>
          </w:p>
        </w:tc>
        <w:tc>
          <w:tcPr>
            <w:tcW w:w="114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-0.51</w:t>
            </w:r>
          </w:p>
        </w:tc>
        <w:tc>
          <w:tcPr>
            <w:tcW w:w="8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-0.99</w:t>
            </w:r>
          </w:p>
        </w:tc>
      </w:tr>
      <w:tr w:rsidR="001D31C5" w:rsidRPr="001D31C5" w:rsidTr="00D8388F">
        <w:trPr>
          <w:trHeight w:val="300"/>
          <w:jc w:val="center"/>
        </w:trPr>
        <w:tc>
          <w:tcPr>
            <w:tcW w:w="4027" w:type="dxa"/>
            <w:gridSpan w:val="2"/>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B: Equal Weight Model</w:t>
            </w:r>
          </w:p>
        </w:tc>
        <w:tc>
          <w:tcPr>
            <w:tcW w:w="817"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p>
        </w:tc>
        <w:tc>
          <w:tcPr>
            <w:tcW w:w="795"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p>
        </w:tc>
        <w:tc>
          <w:tcPr>
            <w:tcW w:w="1148"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p>
        </w:tc>
        <w:tc>
          <w:tcPr>
            <w:tcW w:w="816"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p>
        </w:tc>
      </w:tr>
      <w:tr w:rsidR="001D31C5" w:rsidRPr="001D31C5" w:rsidTr="00D8388F">
        <w:trPr>
          <w:trHeight w:val="300"/>
          <w:jc w:val="center"/>
        </w:trPr>
        <w:tc>
          <w:tcPr>
            <w:tcW w:w="2842" w:type="dxa"/>
            <w:tcBorders>
              <w:top w:val="single" w:sz="4" w:space="0" w:color="auto"/>
              <w:left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185" w:type="dxa"/>
            <w:tcBorders>
              <w:top w:val="single" w:sz="4" w:space="0" w:color="auto"/>
              <w:left w:val="nil"/>
              <w:right w:val="nil"/>
            </w:tcBorders>
            <w:shd w:val="clear" w:color="auto" w:fill="auto"/>
            <w:noWrap/>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xml:space="preserve">Equal </w:t>
            </w:r>
            <w:proofErr w:type="spellStart"/>
            <w:r w:rsidRPr="001D31C5">
              <w:rPr>
                <w:rFonts w:ascii="Times New Roman" w:eastAsia="Times New Roman" w:hAnsi="Times New Roman" w:cs="Times New Roman"/>
                <w:color w:val="000000"/>
                <w:sz w:val="20"/>
                <w:szCs w:val="20"/>
              </w:rPr>
              <w:t>Wt</w:t>
            </w:r>
            <w:proofErr w:type="spellEnd"/>
          </w:p>
        </w:tc>
        <w:tc>
          <w:tcPr>
            <w:tcW w:w="3576" w:type="dxa"/>
            <w:gridSpan w:val="4"/>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Trend Following (signal length, months)</w:t>
            </w:r>
          </w:p>
        </w:tc>
      </w:tr>
      <w:tr w:rsidR="001D31C5" w:rsidRPr="001D31C5" w:rsidTr="00D8388F">
        <w:trPr>
          <w:trHeight w:val="300"/>
          <w:jc w:val="center"/>
        </w:trPr>
        <w:tc>
          <w:tcPr>
            <w:tcW w:w="2842" w:type="dxa"/>
            <w:tcBorders>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185" w:type="dxa"/>
            <w:tcBorders>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17"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6</w:t>
            </w:r>
          </w:p>
        </w:tc>
        <w:tc>
          <w:tcPr>
            <w:tcW w:w="795"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8</w:t>
            </w:r>
          </w:p>
        </w:tc>
        <w:tc>
          <w:tcPr>
            <w:tcW w:w="1148"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10</w:t>
            </w:r>
          </w:p>
        </w:tc>
        <w:tc>
          <w:tcPr>
            <w:tcW w:w="816"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12</w:t>
            </w:r>
          </w:p>
        </w:tc>
      </w:tr>
      <w:tr w:rsidR="001D31C5" w:rsidRPr="001D31C5" w:rsidTr="00D8388F">
        <w:trPr>
          <w:trHeight w:val="300"/>
          <w:jc w:val="center"/>
        </w:trPr>
        <w:tc>
          <w:tcPr>
            <w:tcW w:w="2842"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1185"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6.61</w:t>
            </w:r>
          </w:p>
        </w:tc>
        <w:tc>
          <w:tcPr>
            <w:tcW w:w="817"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7.45</w:t>
            </w:r>
          </w:p>
        </w:tc>
        <w:tc>
          <w:tcPr>
            <w:tcW w:w="795"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8.09</w:t>
            </w:r>
          </w:p>
        </w:tc>
        <w:tc>
          <w:tcPr>
            <w:tcW w:w="1148"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8.02</w:t>
            </w:r>
          </w:p>
        </w:tc>
        <w:tc>
          <w:tcPr>
            <w:tcW w:w="81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7.72</w:t>
            </w:r>
          </w:p>
        </w:tc>
      </w:tr>
      <w:tr w:rsidR="001D31C5" w:rsidRPr="001D31C5" w:rsidTr="00D8388F">
        <w:trPr>
          <w:trHeight w:val="300"/>
          <w:jc w:val="center"/>
        </w:trPr>
        <w:tc>
          <w:tcPr>
            <w:tcW w:w="2842"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118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12.09</w:t>
            </w:r>
          </w:p>
        </w:tc>
        <w:tc>
          <w:tcPr>
            <w:tcW w:w="817"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6.70</w:t>
            </w:r>
          </w:p>
        </w:tc>
        <w:tc>
          <w:tcPr>
            <w:tcW w:w="79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6.78</w:t>
            </w:r>
          </w:p>
        </w:tc>
        <w:tc>
          <w:tcPr>
            <w:tcW w:w="114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6.80</w:t>
            </w:r>
          </w:p>
        </w:tc>
        <w:tc>
          <w:tcPr>
            <w:tcW w:w="8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6.65</w:t>
            </w:r>
          </w:p>
        </w:tc>
      </w:tr>
      <w:tr w:rsidR="001D31C5" w:rsidRPr="001D31C5" w:rsidTr="00D8388F">
        <w:trPr>
          <w:trHeight w:val="300"/>
          <w:jc w:val="center"/>
        </w:trPr>
        <w:tc>
          <w:tcPr>
            <w:tcW w:w="2842"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118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0.33</w:t>
            </w:r>
          </w:p>
        </w:tc>
        <w:tc>
          <w:tcPr>
            <w:tcW w:w="817"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0.72</w:t>
            </w:r>
          </w:p>
        </w:tc>
        <w:tc>
          <w:tcPr>
            <w:tcW w:w="79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0.80</w:t>
            </w:r>
          </w:p>
        </w:tc>
        <w:tc>
          <w:tcPr>
            <w:tcW w:w="114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0.79</w:t>
            </w:r>
          </w:p>
        </w:tc>
        <w:tc>
          <w:tcPr>
            <w:tcW w:w="8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0.76</w:t>
            </w:r>
          </w:p>
        </w:tc>
      </w:tr>
      <w:tr w:rsidR="001D31C5" w:rsidRPr="001D31C5" w:rsidTr="00D8388F">
        <w:trPr>
          <w:trHeight w:val="300"/>
          <w:jc w:val="center"/>
        </w:trPr>
        <w:tc>
          <w:tcPr>
            <w:tcW w:w="2842"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118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10.21</w:t>
            </w:r>
          </w:p>
        </w:tc>
        <w:tc>
          <w:tcPr>
            <w:tcW w:w="817"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7.61</w:t>
            </w:r>
          </w:p>
        </w:tc>
        <w:tc>
          <w:tcPr>
            <w:tcW w:w="79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6.75</w:t>
            </w:r>
          </w:p>
        </w:tc>
        <w:tc>
          <w:tcPr>
            <w:tcW w:w="114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6.75</w:t>
            </w:r>
          </w:p>
        </w:tc>
        <w:tc>
          <w:tcPr>
            <w:tcW w:w="8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6.22</w:t>
            </w:r>
          </w:p>
        </w:tc>
      </w:tr>
      <w:tr w:rsidR="001D31C5" w:rsidRPr="001D31C5" w:rsidTr="00D8388F">
        <w:trPr>
          <w:trHeight w:val="300"/>
          <w:jc w:val="center"/>
        </w:trPr>
        <w:tc>
          <w:tcPr>
            <w:tcW w:w="2842"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118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-18.99</w:t>
            </w:r>
          </w:p>
        </w:tc>
        <w:tc>
          <w:tcPr>
            <w:tcW w:w="817"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-6.55</w:t>
            </w:r>
          </w:p>
        </w:tc>
        <w:tc>
          <w:tcPr>
            <w:tcW w:w="79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-6.55</w:t>
            </w:r>
          </w:p>
        </w:tc>
        <w:tc>
          <w:tcPr>
            <w:tcW w:w="114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-6.55</w:t>
            </w:r>
          </w:p>
        </w:tc>
        <w:tc>
          <w:tcPr>
            <w:tcW w:w="8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-6.55</w:t>
            </w:r>
          </w:p>
        </w:tc>
      </w:tr>
      <w:tr w:rsidR="001D31C5" w:rsidRPr="001D31C5" w:rsidTr="00D8388F">
        <w:trPr>
          <w:trHeight w:val="300"/>
          <w:jc w:val="center"/>
        </w:trPr>
        <w:tc>
          <w:tcPr>
            <w:tcW w:w="2842"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118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46.60</w:t>
            </w:r>
          </w:p>
        </w:tc>
        <w:tc>
          <w:tcPr>
            <w:tcW w:w="817"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10.27</w:t>
            </w:r>
          </w:p>
        </w:tc>
        <w:tc>
          <w:tcPr>
            <w:tcW w:w="79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6.86</w:t>
            </w:r>
          </w:p>
        </w:tc>
        <w:tc>
          <w:tcPr>
            <w:tcW w:w="114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11.58</w:t>
            </w:r>
          </w:p>
        </w:tc>
        <w:tc>
          <w:tcPr>
            <w:tcW w:w="8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11.73</w:t>
            </w:r>
          </w:p>
        </w:tc>
      </w:tr>
      <w:tr w:rsidR="001D31C5" w:rsidRPr="001D31C5" w:rsidTr="00D8388F">
        <w:trPr>
          <w:trHeight w:val="300"/>
          <w:jc w:val="center"/>
        </w:trPr>
        <w:tc>
          <w:tcPr>
            <w:tcW w:w="2842"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118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-1.06</w:t>
            </w:r>
          </w:p>
        </w:tc>
        <w:tc>
          <w:tcPr>
            <w:tcW w:w="817"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-0.09</w:t>
            </w:r>
          </w:p>
        </w:tc>
        <w:tc>
          <w:tcPr>
            <w:tcW w:w="79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-0.16</w:t>
            </w:r>
          </w:p>
        </w:tc>
        <w:tc>
          <w:tcPr>
            <w:tcW w:w="114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-0.24</w:t>
            </w:r>
          </w:p>
        </w:tc>
        <w:tc>
          <w:tcPr>
            <w:tcW w:w="8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-0.40</w:t>
            </w:r>
          </w:p>
        </w:tc>
      </w:tr>
      <w:tr w:rsidR="001D31C5" w:rsidRPr="001D31C5" w:rsidTr="00D8388F">
        <w:trPr>
          <w:trHeight w:val="300"/>
          <w:jc w:val="center"/>
        </w:trPr>
        <w:tc>
          <w:tcPr>
            <w:tcW w:w="2842"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C: Risk Parity</w:t>
            </w:r>
          </w:p>
        </w:tc>
        <w:tc>
          <w:tcPr>
            <w:tcW w:w="1185"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17"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795"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148"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16"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r>
      <w:tr w:rsidR="001D31C5" w:rsidRPr="001D31C5" w:rsidTr="00D8388F">
        <w:trPr>
          <w:trHeight w:val="300"/>
          <w:jc w:val="center"/>
        </w:trPr>
        <w:tc>
          <w:tcPr>
            <w:tcW w:w="2842"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185"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Risk Parity</w:t>
            </w:r>
          </w:p>
        </w:tc>
        <w:tc>
          <w:tcPr>
            <w:tcW w:w="817"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RP TF</w:t>
            </w:r>
          </w:p>
        </w:tc>
        <w:tc>
          <w:tcPr>
            <w:tcW w:w="795"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148"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16"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r>
      <w:tr w:rsidR="001D31C5" w:rsidRPr="001D31C5" w:rsidTr="00D8388F">
        <w:trPr>
          <w:trHeight w:val="300"/>
          <w:jc w:val="center"/>
        </w:trPr>
        <w:tc>
          <w:tcPr>
            <w:tcW w:w="2842"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1185"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6.59</w:t>
            </w:r>
          </w:p>
        </w:tc>
        <w:tc>
          <w:tcPr>
            <w:tcW w:w="817"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6.92</w:t>
            </w:r>
          </w:p>
        </w:tc>
        <w:tc>
          <w:tcPr>
            <w:tcW w:w="795"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148"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16"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r>
      <w:tr w:rsidR="001D31C5" w:rsidRPr="001D31C5" w:rsidTr="00D8388F">
        <w:trPr>
          <w:trHeight w:val="300"/>
          <w:jc w:val="center"/>
        </w:trPr>
        <w:tc>
          <w:tcPr>
            <w:tcW w:w="2842"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118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5.91</w:t>
            </w:r>
          </w:p>
        </w:tc>
        <w:tc>
          <w:tcPr>
            <w:tcW w:w="817"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4.05</w:t>
            </w:r>
          </w:p>
        </w:tc>
        <w:tc>
          <w:tcPr>
            <w:tcW w:w="795"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14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16"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r>
      <w:tr w:rsidR="001D31C5" w:rsidRPr="001D31C5" w:rsidTr="00D8388F">
        <w:trPr>
          <w:trHeight w:val="300"/>
          <w:jc w:val="center"/>
        </w:trPr>
        <w:tc>
          <w:tcPr>
            <w:tcW w:w="2842"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118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0.67</w:t>
            </w:r>
          </w:p>
        </w:tc>
        <w:tc>
          <w:tcPr>
            <w:tcW w:w="817"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1.06</w:t>
            </w:r>
          </w:p>
        </w:tc>
        <w:tc>
          <w:tcPr>
            <w:tcW w:w="795"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14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16"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r>
      <w:tr w:rsidR="001D31C5" w:rsidRPr="001D31C5" w:rsidTr="00D8388F">
        <w:trPr>
          <w:trHeight w:val="300"/>
          <w:jc w:val="center"/>
        </w:trPr>
        <w:tc>
          <w:tcPr>
            <w:tcW w:w="2842"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118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3.96</w:t>
            </w:r>
          </w:p>
        </w:tc>
        <w:tc>
          <w:tcPr>
            <w:tcW w:w="817"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3.80</w:t>
            </w:r>
          </w:p>
        </w:tc>
        <w:tc>
          <w:tcPr>
            <w:tcW w:w="795"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14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16"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r>
      <w:tr w:rsidR="001D31C5" w:rsidRPr="001D31C5" w:rsidTr="00D8388F">
        <w:trPr>
          <w:trHeight w:val="300"/>
          <w:jc w:val="center"/>
        </w:trPr>
        <w:tc>
          <w:tcPr>
            <w:tcW w:w="2842"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1185"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-8.40</w:t>
            </w:r>
          </w:p>
        </w:tc>
        <w:tc>
          <w:tcPr>
            <w:tcW w:w="817"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-4.92</w:t>
            </w:r>
          </w:p>
        </w:tc>
        <w:tc>
          <w:tcPr>
            <w:tcW w:w="795"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14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16"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r>
      <w:tr w:rsidR="001D31C5" w:rsidRPr="001D31C5" w:rsidTr="00D8388F">
        <w:trPr>
          <w:trHeight w:val="300"/>
          <w:jc w:val="center"/>
        </w:trPr>
        <w:tc>
          <w:tcPr>
            <w:tcW w:w="2842" w:type="dxa"/>
            <w:tcBorders>
              <w:top w:val="nil"/>
              <w:left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1185"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20.46</w:t>
            </w:r>
          </w:p>
        </w:tc>
        <w:tc>
          <w:tcPr>
            <w:tcW w:w="817"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4.92</w:t>
            </w:r>
          </w:p>
        </w:tc>
        <w:tc>
          <w:tcPr>
            <w:tcW w:w="795" w:type="dxa"/>
            <w:tcBorders>
              <w:top w:val="nil"/>
              <w:left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148" w:type="dxa"/>
            <w:tcBorders>
              <w:top w:val="nil"/>
              <w:left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16" w:type="dxa"/>
            <w:tcBorders>
              <w:top w:val="nil"/>
              <w:left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r>
      <w:tr w:rsidR="001D31C5" w:rsidRPr="001D31C5" w:rsidTr="00D8388F">
        <w:trPr>
          <w:trHeight w:val="300"/>
          <w:jc w:val="center"/>
        </w:trPr>
        <w:tc>
          <w:tcPr>
            <w:tcW w:w="2842"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1185"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-0.99</w:t>
            </w:r>
          </w:p>
        </w:tc>
        <w:tc>
          <w:tcPr>
            <w:tcW w:w="817"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-0.55</w:t>
            </w:r>
          </w:p>
        </w:tc>
        <w:tc>
          <w:tcPr>
            <w:tcW w:w="795"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148"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16"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r>
    </w:tbl>
    <w:p w:rsidR="001D31C5" w:rsidRPr="001D31C5" w:rsidRDefault="001D31C5" w:rsidP="001D31C5">
      <w:pPr>
        <w:spacing w:before="120" w:after="0" w:line="240" w:lineRule="auto"/>
        <w:jc w:val="both"/>
        <w:rPr>
          <w:rFonts w:ascii="Times New Roman" w:eastAsia="Times New Roman" w:hAnsi="Times New Roman" w:cs="Times New Roman"/>
          <w:sz w:val="20"/>
          <w:szCs w:val="20"/>
        </w:rPr>
      </w:pPr>
    </w:p>
    <w:p w:rsidR="001D31C5" w:rsidRPr="001D31C5" w:rsidRDefault="001D31C5" w:rsidP="001D31C5">
      <w:pPr>
        <w:rPr>
          <w:rFonts w:ascii="Times New Roman" w:eastAsia="Times New Roman" w:hAnsi="Times New Roman" w:cs="Times New Roman"/>
          <w:b/>
        </w:rPr>
      </w:pPr>
      <w:r w:rsidRPr="001D31C5">
        <w:rPr>
          <w:rFonts w:ascii="Times New Roman" w:eastAsia="Times New Roman" w:hAnsi="Times New Roman" w:cs="Times New Roman"/>
          <w:b/>
        </w:rPr>
        <w:br w:type="page"/>
      </w:r>
    </w:p>
    <w:p w:rsidR="001D31C5" w:rsidRPr="001D31C5" w:rsidRDefault="001D31C5" w:rsidP="001D31C5">
      <w:pPr>
        <w:spacing w:after="0" w:line="240" w:lineRule="auto"/>
        <w:jc w:val="center"/>
        <w:rPr>
          <w:rFonts w:ascii="Times New Roman" w:eastAsia="Times New Roman" w:hAnsi="Times New Roman" w:cs="Times New Roman"/>
          <w:b/>
          <w:bCs/>
          <w:color w:val="000000"/>
          <w:sz w:val="24"/>
          <w:szCs w:val="24"/>
        </w:rPr>
      </w:pPr>
      <w:r w:rsidRPr="001D31C5">
        <w:rPr>
          <w:rFonts w:ascii="Times New Roman" w:eastAsia="Times New Roman" w:hAnsi="Times New Roman" w:cs="Times New Roman"/>
          <w:b/>
          <w:sz w:val="24"/>
          <w:szCs w:val="24"/>
        </w:rPr>
        <w:lastRenderedPageBreak/>
        <w:t xml:space="preserve">Table 2: </w:t>
      </w:r>
      <w:r w:rsidRPr="001D31C5">
        <w:rPr>
          <w:rFonts w:ascii="Times New Roman" w:eastAsia="Times New Roman" w:hAnsi="Times New Roman" w:cs="Times New Roman"/>
          <w:b/>
          <w:bCs/>
          <w:color w:val="000000"/>
          <w:sz w:val="24"/>
          <w:szCs w:val="24"/>
        </w:rPr>
        <w:t>Trend following model by asset class (1994-2015)</w:t>
      </w:r>
    </w:p>
    <w:p w:rsidR="001D31C5" w:rsidRPr="001D31C5" w:rsidRDefault="001D31C5" w:rsidP="001D31C5">
      <w:pPr>
        <w:spacing w:after="120" w:line="240" w:lineRule="auto"/>
        <w:jc w:val="both"/>
        <w:rPr>
          <w:rFonts w:ascii="Times New Roman" w:eastAsia="Times New Roman" w:hAnsi="Times New Roman" w:cs="Times New Roman"/>
          <w:sz w:val="20"/>
          <w:szCs w:val="20"/>
        </w:rPr>
      </w:pPr>
      <w:r w:rsidRPr="001D31C5">
        <w:rPr>
          <w:rFonts w:ascii="Times New Roman" w:eastAsia="Times New Roman" w:hAnsi="Times New Roman" w:cs="Times New Roman"/>
          <w:sz w:val="20"/>
          <w:szCs w:val="20"/>
        </w:rPr>
        <w:t xml:space="preserve">This table presents performance statistics for the subcomponents of each broad asset class.  Column 1 presents the performance statistics for </w:t>
      </w:r>
      <w:proofErr w:type="spellStart"/>
      <w:proofErr w:type="gramStart"/>
      <w:r w:rsidRPr="001D31C5">
        <w:rPr>
          <w:rFonts w:ascii="Times New Roman" w:eastAsia="Times New Roman" w:hAnsi="Times New Roman" w:cs="Times New Roman"/>
          <w:sz w:val="20"/>
          <w:szCs w:val="20"/>
        </w:rPr>
        <w:t>a</w:t>
      </w:r>
      <w:proofErr w:type="spellEnd"/>
      <w:proofErr w:type="gramEnd"/>
      <w:r w:rsidRPr="001D31C5">
        <w:rPr>
          <w:rFonts w:ascii="Times New Roman" w:eastAsia="Times New Roman" w:hAnsi="Times New Roman" w:cs="Times New Roman"/>
          <w:sz w:val="20"/>
          <w:szCs w:val="20"/>
        </w:rPr>
        <w:t xml:space="preserve"> equally-weighted portfolios of the sub-components of each broad asset class category.  Columns 2 to 5 </w:t>
      </w:r>
      <w:proofErr w:type="gramStart"/>
      <w:r w:rsidRPr="001D31C5">
        <w:rPr>
          <w:rFonts w:ascii="Times New Roman" w:eastAsia="Times New Roman" w:hAnsi="Times New Roman" w:cs="Times New Roman"/>
          <w:sz w:val="20"/>
          <w:szCs w:val="20"/>
        </w:rPr>
        <w:t>presents</w:t>
      </w:r>
      <w:proofErr w:type="gramEnd"/>
      <w:r w:rsidRPr="001D31C5">
        <w:rPr>
          <w:rFonts w:ascii="Times New Roman" w:eastAsia="Times New Roman" w:hAnsi="Times New Roman" w:cs="Times New Roman"/>
          <w:sz w:val="20"/>
          <w:szCs w:val="20"/>
        </w:rPr>
        <w:t xml:space="preserve"> performance statistics for portfolios formed with the asset class sub components using trend following rules with a range of signal lengths, and where the “risk off” asset is US T-Bills.  The performance statistics are all based on monthly rebalancing. </w:t>
      </w:r>
    </w:p>
    <w:tbl>
      <w:tblPr>
        <w:tblW w:w="7732" w:type="dxa"/>
        <w:jc w:val="center"/>
        <w:tblLook w:val="04A0" w:firstRow="1" w:lastRow="0" w:firstColumn="1" w:lastColumn="0" w:noHBand="0" w:noVBand="1"/>
      </w:tblPr>
      <w:tblGrid>
        <w:gridCol w:w="3054"/>
        <w:gridCol w:w="1102"/>
        <w:gridCol w:w="894"/>
        <w:gridCol w:w="894"/>
        <w:gridCol w:w="894"/>
        <w:gridCol w:w="894"/>
      </w:tblGrid>
      <w:tr w:rsidR="001D31C5" w:rsidRPr="001D31C5" w:rsidTr="00D8388F">
        <w:trPr>
          <w:trHeight w:hRule="exact" w:val="283"/>
          <w:jc w:val="center"/>
        </w:trPr>
        <w:tc>
          <w:tcPr>
            <w:tcW w:w="3054"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102"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xml:space="preserve">Equal </w:t>
            </w:r>
            <w:proofErr w:type="spellStart"/>
            <w:r w:rsidRPr="001D31C5">
              <w:rPr>
                <w:rFonts w:ascii="Times New Roman" w:eastAsia="Times New Roman" w:hAnsi="Times New Roman" w:cs="Times New Roman"/>
                <w:color w:val="000000"/>
                <w:sz w:val="20"/>
                <w:szCs w:val="20"/>
              </w:rPr>
              <w:t>Wt</w:t>
            </w:r>
            <w:proofErr w:type="spellEnd"/>
          </w:p>
        </w:tc>
        <w:tc>
          <w:tcPr>
            <w:tcW w:w="3576" w:type="dxa"/>
            <w:gridSpan w:val="4"/>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Trend Following (signal length, months)</w:t>
            </w:r>
          </w:p>
        </w:tc>
      </w:tr>
      <w:tr w:rsidR="001D31C5" w:rsidRPr="001D31C5" w:rsidTr="00D8388F">
        <w:trPr>
          <w:trHeight w:hRule="exact" w:val="283"/>
          <w:jc w:val="center"/>
        </w:trPr>
        <w:tc>
          <w:tcPr>
            <w:tcW w:w="3054"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102"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94"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6</w:t>
            </w:r>
          </w:p>
        </w:tc>
        <w:tc>
          <w:tcPr>
            <w:tcW w:w="894"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8</w:t>
            </w:r>
          </w:p>
        </w:tc>
        <w:tc>
          <w:tcPr>
            <w:tcW w:w="894"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10</w:t>
            </w:r>
          </w:p>
        </w:tc>
        <w:tc>
          <w:tcPr>
            <w:tcW w:w="894"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12</w:t>
            </w:r>
          </w:p>
        </w:tc>
      </w:tr>
      <w:tr w:rsidR="001D31C5" w:rsidRPr="001D31C5" w:rsidTr="00D8388F">
        <w:trPr>
          <w:trHeight w:hRule="exact" w:val="283"/>
          <w:jc w:val="center"/>
        </w:trPr>
        <w:tc>
          <w:tcPr>
            <w:tcW w:w="305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A: Developed Equity</w:t>
            </w:r>
          </w:p>
        </w:tc>
        <w:tc>
          <w:tcPr>
            <w:tcW w:w="1102"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r>
      <w:tr w:rsidR="001D31C5" w:rsidRPr="001D31C5" w:rsidTr="00D8388F">
        <w:trPr>
          <w:trHeight w:hRule="exact" w:val="283"/>
          <w:jc w:val="center"/>
        </w:trPr>
        <w:tc>
          <w:tcPr>
            <w:tcW w:w="3054"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1102"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8.08</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9.59</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10.19</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10.16</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9.96</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18.03</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10.13</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9.97</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9.89</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9.76</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0.30</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0.69</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0.76</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0.76</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0.75</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14.55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13.25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9.58</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9.58</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7.87</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-24.54</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-9.21</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-10.13</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-10.13</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-10.13</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60.68</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15.09</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14.49</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16.29</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14.44</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-0.84</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-0.20</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-0.29</w:t>
            </w:r>
          </w:p>
        </w:tc>
      </w:tr>
      <w:tr w:rsidR="001D31C5" w:rsidRPr="001D31C5" w:rsidTr="00D8388F">
        <w:trPr>
          <w:trHeight w:hRule="exact" w:val="283"/>
          <w:jc w:val="center"/>
        </w:trPr>
        <w:tc>
          <w:tcPr>
            <w:tcW w:w="305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B: Emerging Equity</w:t>
            </w:r>
          </w:p>
        </w:tc>
        <w:tc>
          <w:tcPr>
            <w:tcW w:w="1102"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hRule="exact" w:val="283"/>
          <w:jc w:val="center"/>
        </w:trPr>
        <w:tc>
          <w:tcPr>
            <w:tcW w:w="3054"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1102"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9.23</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11.14</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10.61</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10.59</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10.34</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23.02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13.35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13.33</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13.06</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12.96</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0.29</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0.64</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0.60</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0.61</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0.59</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19.02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16.11</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15.88</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13.37</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12.65</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-28.57</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-11.05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-11.05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-11.05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-11.05</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56.95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18.31</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18.91</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25.36</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22.88</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-0.60</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0.73</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0.70</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0.44</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0.47</w:t>
            </w:r>
          </w:p>
        </w:tc>
      </w:tr>
      <w:tr w:rsidR="001D31C5" w:rsidRPr="001D31C5" w:rsidTr="00D8388F">
        <w:trPr>
          <w:trHeight w:hRule="exact" w:val="283"/>
          <w:jc w:val="center"/>
        </w:trPr>
        <w:tc>
          <w:tcPr>
            <w:tcW w:w="305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C: Bonds</w:t>
            </w:r>
          </w:p>
        </w:tc>
        <w:tc>
          <w:tcPr>
            <w:tcW w:w="1102"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hRule="exact" w:val="283"/>
          <w:jc w:val="center"/>
        </w:trPr>
        <w:tc>
          <w:tcPr>
            <w:tcW w:w="3054"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1102"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7.34</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7.49</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7.64</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7.71</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7.66</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9.43</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9.32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9.29</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9.26</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9.24</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0.50</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0.54</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0.54</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9.42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9.16</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9.16</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9.16</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9.16</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-8.72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-9.00</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-8.94</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-8.50</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-8.50</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20.85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19.62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19.11</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19.35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19.54</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0.00</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-0.01</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0.03</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0.04</w:t>
            </w:r>
          </w:p>
        </w:tc>
      </w:tr>
      <w:tr w:rsidR="001D31C5" w:rsidRPr="001D31C5" w:rsidTr="00D8388F">
        <w:trPr>
          <w:trHeight w:hRule="exact" w:val="283"/>
          <w:jc w:val="center"/>
        </w:trPr>
        <w:tc>
          <w:tcPr>
            <w:tcW w:w="305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D: Commodities</w:t>
            </w:r>
          </w:p>
        </w:tc>
        <w:tc>
          <w:tcPr>
            <w:tcW w:w="1102"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hRule="exact" w:val="283"/>
          <w:jc w:val="center"/>
        </w:trPr>
        <w:tc>
          <w:tcPr>
            <w:tcW w:w="3054"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1102"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4.49</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6.39</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6.38</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6.06</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6.09</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13.86</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8.38</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8.32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8.05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8.03</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0.13</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0.43</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13.26</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11.12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10.45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9.84</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10.65</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-21.16</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-7.91</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-8.22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-8.22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-8.22</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47.32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27.50</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29.59</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25.19</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26.16</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-0.70</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0.29</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0.11</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0.07</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0.18</w:t>
            </w:r>
          </w:p>
        </w:tc>
      </w:tr>
      <w:tr w:rsidR="001D31C5" w:rsidRPr="001D31C5" w:rsidTr="00D8388F">
        <w:trPr>
          <w:trHeight w:hRule="exact" w:val="283"/>
          <w:jc w:val="center"/>
        </w:trPr>
        <w:tc>
          <w:tcPr>
            <w:tcW w:w="305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E: REITs</w:t>
            </w:r>
          </w:p>
        </w:tc>
        <w:tc>
          <w:tcPr>
            <w:tcW w:w="1102"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894" w:type="dxa"/>
            <w:tcBorders>
              <w:top w:val="single" w:sz="4" w:space="0" w:color="auto"/>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hRule="exact" w:val="283"/>
          <w:jc w:val="center"/>
        </w:trPr>
        <w:tc>
          <w:tcPr>
            <w:tcW w:w="3054"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1102"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9.72</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10.53</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9.87</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9.72</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9.21</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17.58</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9.17</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9.18</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9.11</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9.15</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0.40</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0.86</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0.79</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0.78</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0.72</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15.96</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10.82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10.82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10.82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9.71</w:t>
            </w:r>
          </w:p>
        </w:tc>
      </w:tr>
      <w:tr w:rsidR="001D31C5" w:rsidRPr="001D31C5" w:rsidTr="00D8388F">
        <w:trPr>
          <w:trHeight w:hRule="exact" w:val="283"/>
          <w:jc w:val="center"/>
        </w:trPr>
        <w:tc>
          <w:tcPr>
            <w:tcW w:w="3054"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1102"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-26.77</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-8.77</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-8.77</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-8.77</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-8.77</w:t>
            </w:r>
          </w:p>
        </w:tc>
      </w:tr>
      <w:tr w:rsidR="001D31C5" w:rsidRPr="001D31C5" w:rsidTr="00D8388F">
        <w:trPr>
          <w:trHeight w:hRule="exact" w:val="283"/>
          <w:jc w:val="center"/>
        </w:trPr>
        <w:tc>
          <w:tcPr>
            <w:tcW w:w="3054" w:type="dxa"/>
            <w:tcBorders>
              <w:top w:val="nil"/>
              <w:left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1102"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62.16</w:t>
            </w:r>
          </w:p>
        </w:tc>
        <w:tc>
          <w:tcPr>
            <w:tcW w:w="894"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8.77</w:t>
            </w:r>
          </w:p>
        </w:tc>
        <w:tc>
          <w:tcPr>
            <w:tcW w:w="894"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13.32</w:t>
            </w:r>
          </w:p>
        </w:tc>
        <w:tc>
          <w:tcPr>
            <w:tcW w:w="894"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11.37</w:t>
            </w:r>
          </w:p>
        </w:tc>
        <w:tc>
          <w:tcPr>
            <w:tcW w:w="894"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12.01</w:t>
            </w:r>
          </w:p>
        </w:tc>
      </w:tr>
      <w:tr w:rsidR="001D31C5" w:rsidRPr="001D31C5" w:rsidTr="00D8388F">
        <w:trPr>
          <w:trHeight w:hRule="exact" w:val="283"/>
          <w:jc w:val="center"/>
        </w:trPr>
        <w:tc>
          <w:tcPr>
            <w:tcW w:w="3054"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1102"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-0.68</w:t>
            </w:r>
          </w:p>
        </w:tc>
        <w:tc>
          <w:tcPr>
            <w:tcW w:w="894"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0.33</w:t>
            </w:r>
          </w:p>
        </w:tc>
        <w:tc>
          <w:tcPr>
            <w:tcW w:w="894"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0.23</w:t>
            </w:r>
          </w:p>
        </w:tc>
        <w:tc>
          <w:tcPr>
            <w:tcW w:w="894"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0.07</w:t>
            </w:r>
          </w:p>
        </w:tc>
        <w:tc>
          <w:tcPr>
            <w:tcW w:w="894"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-0.16</w:t>
            </w:r>
          </w:p>
        </w:tc>
      </w:tr>
    </w:tbl>
    <w:p w:rsidR="001D31C5" w:rsidRPr="001D31C5" w:rsidRDefault="001D31C5" w:rsidP="001D31C5">
      <w:pPr>
        <w:spacing w:line="360" w:lineRule="auto"/>
        <w:jc w:val="both"/>
        <w:rPr>
          <w:rFonts w:ascii="Calibri" w:eastAsia="Times New Roman" w:hAnsi="Calibri" w:cs="Times New Roman"/>
        </w:rPr>
      </w:pPr>
    </w:p>
    <w:p w:rsidR="001D31C5" w:rsidRPr="001D31C5" w:rsidRDefault="001D31C5" w:rsidP="001D31C5">
      <w:pPr>
        <w:spacing w:after="0" w:line="240" w:lineRule="auto"/>
        <w:jc w:val="center"/>
        <w:rPr>
          <w:rFonts w:ascii="Times New Roman" w:eastAsia="Times New Roman" w:hAnsi="Times New Roman" w:cs="Times New Roman"/>
          <w:sz w:val="24"/>
          <w:szCs w:val="24"/>
        </w:rPr>
      </w:pPr>
      <w:r w:rsidRPr="001D31C5">
        <w:rPr>
          <w:rFonts w:ascii="Times New Roman" w:eastAsia="Times New Roman" w:hAnsi="Times New Roman" w:cs="Times New Roman"/>
          <w:b/>
          <w:bCs/>
          <w:color w:val="000000"/>
          <w:sz w:val="24"/>
          <w:szCs w:val="24"/>
        </w:rPr>
        <w:lastRenderedPageBreak/>
        <w:t>Table 3: Applying trend following within each broad asset class (1994-2015)</w:t>
      </w:r>
    </w:p>
    <w:p w:rsidR="001D31C5" w:rsidRPr="001D31C5" w:rsidRDefault="001D31C5" w:rsidP="001D31C5">
      <w:pPr>
        <w:spacing w:after="120" w:line="240" w:lineRule="auto"/>
        <w:jc w:val="both"/>
        <w:rPr>
          <w:rFonts w:ascii="Calibri" w:eastAsia="Times New Roman" w:hAnsi="Calibri" w:cs="Times New Roman"/>
        </w:rPr>
      </w:pPr>
      <w:r w:rsidRPr="001D31C5">
        <w:rPr>
          <w:rFonts w:ascii="Times New Roman" w:eastAsia="Times New Roman" w:hAnsi="Times New Roman" w:cs="Times New Roman"/>
          <w:sz w:val="20"/>
          <w:szCs w:val="20"/>
        </w:rPr>
        <w:t>This table presents performance statistics for portfolios that have a default weighting of 20% to each of the broad asset classes described in Table 1. Column 1 presents the performance statistics for an equally weighted portfolio of the five broad asset classes (20% in each asset class).  Columns 2 to 5 present the performance statistics for trend following portfolios, for a range of trend following signal lengths, where: the maximum that can be invested in any one of the broad asset classes is 20%; trend following rules have been applied to each of the sub-components of the main asset classes; and where the “risk off” asset class is US T-Bills.  The performance statistics of all the portfolios are based on monthly rebalancing.</w:t>
      </w:r>
    </w:p>
    <w:tbl>
      <w:tblPr>
        <w:tblW w:w="7769" w:type="dxa"/>
        <w:jc w:val="center"/>
        <w:tblLook w:val="04A0" w:firstRow="1" w:lastRow="0" w:firstColumn="1" w:lastColumn="0" w:noHBand="0" w:noVBand="1"/>
      </w:tblPr>
      <w:tblGrid>
        <w:gridCol w:w="3320"/>
        <w:gridCol w:w="873"/>
        <w:gridCol w:w="894"/>
        <w:gridCol w:w="894"/>
        <w:gridCol w:w="894"/>
        <w:gridCol w:w="894"/>
      </w:tblGrid>
      <w:tr w:rsidR="001D31C5" w:rsidRPr="001D31C5" w:rsidTr="00D8388F">
        <w:trPr>
          <w:trHeight w:val="300"/>
          <w:jc w:val="center"/>
        </w:trPr>
        <w:tc>
          <w:tcPr>
            <w:tcW w:w="3320" w:type="dxa"/>
            <w:tcBorders>
              <w:top w:val="single" w:sz="4" w:space="0" w:color="auto"/>
              <w:left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73" w:type="dxa"/>
            <w:tcBorders>
              <w:top w:val="single" w:sz="4" w:space="0" w:color="auto"/>
              <w:left w:val="nil"/>
              <w:right w:val="nil"/>
            </w:tcBorders>
            <w:shd w:val="clear" w:color="auto" w:fill="auto"/>
            <w:noWrap/>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3576" w:type="dxa"/>
            <w:gridSpan w:val="4"/>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Trend Following (signal length, months)</w:t>
            </w:r>
          </w:p>
        </w:tc>
      </w:tr>
      <w:tr w:rsidR="001D31C5" w:rsidRPr="001D31C5" w:rsidTr="00D8388F">
        <w:trPr>
          <w:trHeight w:val="300"/>
          <w:jc w:val="center"/>
        </w:trPr>
        <w:tc>
          <w:tcPr>
            <w:tcW w:w="3320"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73"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No TF</w:t>
            </w:r>
          </w:p>
        </w:tc>
        <w:tc>
          <w:tcPr>
            <w:tcW w:w="8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6</w:t>
            </w:r>
          </w:p>
        </w:tc>
        <w:tc>
          <w:tcPr>
            <w:tcW w:w="8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8</w:t>
            </w:r>
          </w:p>
        </w:tc>
        <w:tc>
          <w:tcPr>
            <w:tcW w:w="8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10</w:t>
            </w:r>
          </w:p>
        </w:tc>
        <w:tc>
          <w:tcPr>
            <w:tcW w:w="8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12</w:t>
            </w:r>
          </w:p>
        </w:tc>
      </w:tr>
      <w:tr w:rsidR="001D31C5" w:rsidRPr="001D31C5" w:rsidTr="00D8388F">
        <w:trPr>
          <w:trHeight w:val="300"/>
          <w:jc w:val="center"/>
        </w:trPr>
        <w:tc>
          <w:tcPr>
            <w:tcW w:w="3320"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873"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8.32</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9.26</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9.18</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9.09</w:t>
            </w:r>
          </w:p>
        </w:tc>
        <w:tc>
          <w:tcPr>
            <w:tcW w:w="8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8.89</w:t>
            </w:r>
          </w:p>
        </w:tc>
      </w:tr>
      <w:tr w:rsidR="001D31C5" w:rsidRPr="001D31C5" w:rsidTr="00D8388F">
        <w:trPr>
          <w:trHeight w:val="300"/>
          <w:jc w:val="center"/>
        </w:trPr>
        <w:tc>
          <w:tcPr>
            <w:tcW w:w="3320"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87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13.66</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7.55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7.48</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7.27</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7.24</w:t>
            </w:r>
          </w:p>
        </w:tc>
      </w:tr>
      <w:tr w:rsidR="001D31C5" w:rsidRPr="001D31C5" w:rsidTr="00D8388F">
        <w:trPr>
          <w:trHeight w:val="300"/>
          <w:jc w:val="center"/>
        </w:trPr>
        <w:tc>
          <w:tcPr>
            <w:tcW w:w="3320"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87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0.88</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0.87</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0.89</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0.86</w:t>
            </w:r>
          </w:p>
        </w:tc>
      </w:tr>
      <w:tr w:rsidR="001D31C5" w:rsidRPr="001D31C5" w:rsidTr="00D8388F">
        <w:trPr>
          <w:trHeight w:val="300"/>
          <w:jc w:val="center"/>
        </w:trPr>
        <w:tc>
          <w:tcPr>
            <w:tcW w:w="3320"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87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12.05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10.16</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8.28</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7.43</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7.43</w:t>
            </w:r>
          </w:p>
        </w:tc>
      </w:tr>
      <w:tr w:rsidR="001D31C5" w:rsidRPr="001D31C5" w:rsidTr="00D8388F">
        <w:trPr>
          <w:trHeight w:val="300"/>
          <w:jc w:val="center"/>
        </w:trPr>
        <w:tc>
          <w:tcPr>
            <w:tcW w:w="3320"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87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-21.95</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-6.22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-6.22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-5.92</w:t>
            </w:r>
          </w:p>
        </w:tc>
        <w:tc>
          <w:tcPr>
            <w:tcW w:w="8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-6.30</w:t>
            </w:r>
          </w:p>
        </w:tc>
      </w:tr>
      <w:tr w:rsidR="001D31C5" w:rsidRPr="001D31C5" w:rsidTr="00D8388F">
        <w:trPr>
          <w:trHeight w:val="300"/>
          <w:jc w:val="center"/>
        </w:trPr>
        <w:tc>
          <w:tcPr>
            <w:tcW w:w="3320" w:type="dxa"/>
            <w:tcBorders>
              <w:top w:val="nil"/>
              <w:left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873"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46.37</w:t>
            </w:r>
          </w:p>
        </w:tc>
        <w:tc>
          <w:tcPr>
            <w:tcW w:w="894"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9.37</w:t>
            </w:r>
          </w:p>
        </w:tc>
        <w:tc>
          <w:tcPr>
            <w:tcW w:w="894"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12.52</w:t>
            </w:r>
          </w:p>
        </w:tc>
        <w:tc>
          <w:tcPr>
            <w:tcW w:w="894"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11.70</w:t>
            </w:r>
          </w:p>
        </w:tc>
        <w:tc>
          <w:tcPr>
            <w:tcW w:w="894"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11.05</w:t>
            </w:r>
          </w:p>
        </w:tc>
      </w:tr>
      <w:tr w:rsidR="001D31C5" w:rsidRPr="001D31C5" w:rsidTr="00D8388F">
        <w:trPr>
          <w:trHeight w:val="300"/>
          <w:jc w:val="center"/>
        </w:trPr>
        <w:tc>
          <w:tcPr>
            <w:tcW w:w="3320"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873"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-0.99</w:t>
            </w:r>
          </w:p>
        </w:tc>
        <w:tc>
          <w:tcPr>
            <w:tcW w:w="894"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0.35</w:t>
            </w:r>
          </w:p>
        </w:tc>
        <w:tc>
          <w:tcPr>
            <w:tcW w:w="894"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0.24</w:t>
            </w:r>
          </w:p>
        </w:tc>
        <w:tc>
          <w:tcPr>
            <w:tcW w:w="894"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0.05</w:t>
            </w:r>
          </w:p>
        </w:tc>
        <w:tc>
          <w:tcPr>
            <w:tcW w:w="894"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0.02</w:t>
            </w:r>
          </w:p>
        </w:tc>
      </w:tr>
    </w:tbl>
    <w:p w:rsidR="001D31C5" w:rsidRPr="001D31C5" w:rsidRDefault="001D31C5" w:rsidP="001D31C5">
      <w:pPr>
        <w:spacing w:line="360" w:lineRule="auto"/>
        <w:jc w:val="both"/>
        <w:rPr>
          <w:rFonts w:ascii="Calibri" w:eastAsia="Times New Roman" w:hAnsi="Calibri" w:cs="Times New Roman"/>
        </w:rPr>
      </w:pPr>
    </w:p>
    <w:p w:rsidR="001D31C5" w:rsidRPr="001D31C5" w:rsidRDefault="001D31C5" w:rsidP="001D31C5">
      <w:pPr>
        <w:rPr>
          <w:rFonts w:ascii="Times New Roman" w:eastAsia="Times New Roman" w:hAnsi="Times New Roman" w:cs="Times New Roman"/>
          <w:b/>
          <w:bCs/>
          <w:color w:val="000000"/>
        </w:rPr>
      </w:pPr>
      <w:r w:rsidRPr="001D31C5">
        <w:rPr>
          <w:rFonts w:ascii="Times New Roman" w:eastAsia="Times New Roman" w:hAnsi="Times New Roman" w:cs="Times New Roman"/>
          <w:b/>
          <w:bCs/>
          <w:color w:val="000000"/>
        </w:rPr>
        <w:br w:type="page"/>
      </w:r>
    </w:p>
    <w:p w:rsidR="001D31C5" w:rsidRPr="001D31C5" w:rsidRDefault="001D31C5" w:rsidP="001D31C5">
      <w:pPr>
        <w:spacing w:after="0" w:line="240" w:lineRule="auto"/>
        <w:jc w:val="center"/>
        <w:rPr>
          <w:rFonts w:ascii="Times New Roman" w:eastAsia="Times New Roman" w:hAnsi="Times New Roman" w:cs="Times New Roman"/>
          <w:b/>
          <w:bCs/>
          <w:color w:val="000000"/>
          <w:sz w:val="24"/>
          <w:szCs w:val="24"/>
        </w:rPr>
      </w:pPr>
      <w:r w:rsidRPr="001D31C5">
        <w:rPr>
          <w:rFonts w:ascii="Times New Roman" w:eastAsia="Times New Roman" w:hAnsi="Times New Roman" w:cs="Times New Roman"/>
          <w:b/>
          <w:bCs/>
          <w:color w:val="000000"/>
          <w:sz w:val="24"/>
          <w:szCs w:val="24"/>
        </w:rPr>
        <w:lastRenderedPageBreak/>
        <w:t>Table 4: Risk parity and trend following within broad asset classes (1994-2015)</w:t>
      </w:r>
    </w:p>
    <w:p w:rsidR="001D31C5" w:rsidRPr="001D31C5" w:rsidRDefault="001D31C5" w:rsidP="001D31C5">
      <w:pPr>
        <w:spacing w:after="120" w:line="240" w:lineRule="auto"/>
        <w:jc w:val="both"/>
        <w:rPr>
          <w:rFonts w:ascii="Calibri" w:eastAsia="Times New Roman" w:hAnsi="Calibri" w:cs="Times New Roman"/>
        </w:rPr>
      </w:pPr>
      <w:r w:rsidRPr="001D31C5">
        <w:rPr>
          <w:rFonts w:ascii="Times New Roman" w:eastAsia="Times New Roman" w:hAnsi="Times New Roman" w:cs="Times New Roman"/>
          <w:sz w:val="20"/>
          <w:szCs w:val="20"/>
        </w:rPr>
        <w:t xml:space="preserve">Panel A of this table presents performance statistics for portfolios that have been constructed by applying risk parity rules to the sub components of the broad asset classes, where volatility has been calculated using 12 months of return data.  Panel B of this table presents performance statistics for portfolios that have been constructed by applying risk parity rules to the sub components of the broad asset classes, where volatility has been calculated using 12 months of return data, with the addition of a trend following rule, with a signal length of 10 months and where the “risk off” asset class is US T-Bills.  The performance statistics of all the portfolios are based on monthly rebalancing. </w:t>
      </w:r>
    </w:p>
    <w:tbl>
      <w:tblPr>
        <w:tblW w:w="7302" w:type="dxa"/>
        <w:jc w:val="center"/>
        <w:tblLayout w:type="fixed"/>
        <w:tblLook w:val="04A0" w:firstRow="1" w:lastRow="0" w:firstColumn="1" w:lastColumn="0" w:noHBand="0" w:noVBand="1"/>
      </w:tblPr>
      <w:tblGrid>
        <w:gridCol w:w="2998"/>
        <w:gridCol w:w="653"/>
        <w:gridCol w:w="207"/>
        <w:gridCol w:w="861"/>
        <w:gridCol w:w="757"/>
        <w:gridCol w:w="104"/>
        <w:gridCol w:w="861"/>
        <w:gridCol w:w="861"/>
      </w:tblGrid>
      <w:tr w:rsidR="001D31C5" w:rsidRPr="001D31C5" w:rsidTr="00D8388F">
        <w:trPr>
          <w:trHeight w:val="300"/>
          <w:jc w:val="center"/>
        </w:trPr>
        <w:tc>
          <w:tcPr>
            <w:tcW w:w="2998"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p>
        </w:tc>
        <w:tc>
          <w:tcPr>
            <w:tcW w:w="860" w:type="dxa"/>
            <w:gridSpan w:val="2"/>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Dev. Equity</w:t>
            </w:r>
          </w:p>
        </w:tc>
        <w:tc>
          <w:tcPr>
            <w:tcW w:w="861"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Emer. Equity</w:t>
            </w:r>
          </w:p>
        </w:tc>
        <w:tc>
          <w:tcPr>
            <w:tcW w:w="861" w:type="dxa"/>
            <w:gridSpan w:val="2"/>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Bonds</w:t>
            </w:r>
          </w:p>
        </w:tc>
        <w:tc>
          <w:tcPr>
            <w:tcW w:w="861"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roofErr w:type="spellStart"/>
            <w:r w:rsidRPr="001D31C5">
              <w:rPr>
                <w:rFonts w:ascii="Times New Roman" w:eastAsia="Times New Roman" w:hAnsi="Times New Roman" w:cs="Times New Roman"/>
                <w:color w:val="000000"/>
                <w:sz w:val="20"/>
                <w:szCs w:val="20"/>
              </w:rPr>
              <w:t>Comms</w:t>
            </w:r>
            <w:proofErr w:type="spellEnd"/>
          </w:p>
        </w:tc>
        <w:tc>
          <w:tcPr>
            <w:tcW w:w="861"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REITs</w:t>
            </w:r>
          </w:p>
        </w:tc>
      </w:tr>
      <w:tr w:rsidR="001D31C5" w:rsidRPr="001D31C5" w:rsidTr="00D8388F">
        <w:trPr>
          <w:trHeight w:val="300"/>
          <w:jc w:val="center"/>
        </w:trPr>
        <w:tc>
          <w:tcPr>
            <w:tcW w:w="2998"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A: Risk Parity Only</w:t>
            </w:r>
          </w:p>
        </w:tc>
        <w:tc>
          <w:tcPr>
            <w:tcW w:w="860" w:type="dxa"/>
            <w:gridSpan w:val="2"/>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61"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61" w:type="dxa"/>
            <w:gridSpan w:val="2"/>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61"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61"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r>
      <w:tr w:rsidR="001D31C5" w:rsidRPr="001D31C5" w:rsidTr="00D8388F">
        <w:trPr>
          <w:trHeight w:val="300"/>
          <w:jc w:val="center"/>
        </w:trPr>
        <w:tc>
          <w:tcPr>
            <w:tcW w:w="2998"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860" w:type="dxa"/>
            <w:gridSpan w:val="2"/>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8.46</w:t>
            </w:r>
          </w:p>
        </w:tc>
        <w:tc>
          <w:tcPr>
            <w:tcW w:w="86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9.04</w:t>
            </w:r>
          </w:p>
        </w:tc>
        <w:tc>
          <w:tcPr>
            <w:tcW w:w="861" w:type="dxa"/>
            <w:gridSpan w:val="2"/>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7.21</w:t>
            </w:r>
          </w:p>
        </w:tc>
        <w:tc>
          <w:tcPr>
            <w:tcW w:w="86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4.38</w:t>
            </w:r>
          </w:p>
        </w:tc>
        <w:tc>
          <w:tcPr>
            <w:tcW w:w="86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10.15</w:t>
            </w:r>
          </w:p>
        </w:tc>
      </w:tr>
      <w:tr w:rsidR="001D31C5" w:rsidRPr="001D31C5" w:rsidTr="00D8388F">
        <w:trPr>
          <w:trHeight w:val="300"/>
          <w:jc w:val="center"/>
        </w:trPr>
        <w:tc>
          <w:tcPr>
            <w:tcW w:w="299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860"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17.18</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21.75</w:t>
            </w:r>
          </w:p>
        </w:tc>
        <w:tc>
          <w:tcPr>
            <w:tcW w:w="861"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9.20</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12.88</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16.42</w:t>
            </w:r>
          </w:p>
        </w:tc>
      </w:tr>
      <w:tr w:rsidR="001D31C5" w:rsidRPr="001D31C5" w:rsidTr="00D8388F">
        <w:trPr>
          <w:trHeight w:val="300"/>
          <w:jc w:val="center"/>
        </w:trPr>
        <w:tc>
          <w:tcPr>
            <w:tcW w:w="299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860"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0.34</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0.29</w:t>
            </w:r>
          </w:p>
        </w:tc>
        <w:tc>
          <w:tcPr>
            <w:tcW w:w="861"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0.50</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0.14</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0.46</w:t>
            </w:r>
          </w:p>
        </w:tc>
      </w:tr>
      <w:tr w:rsidR="001D31C5" w:rsidRPr="001D31C5" w:rsidTr="00D8388F">
        <w:trPr>
          <w:trHeight w:val="300"/>
          <w:jc w:val="center"/>
        </w:trPr>
        <w:tc>
          <w:tcPr>
            <w:tcW w:w="299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860"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14.09</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16.27</w:t>
            </w:r>
          </w:p>
        </w:tc>
        <w:tc>
          <w:tcPr>
            <w:tcW w:w="861"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9.16</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13.33</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15.67</w:t>
            </w:r>
          </w:p>
        </w:tc>
      </w:tr>
      <w:tr w:rsidR="001D31C5" w:rsidRPr="001D31C5" w:rsidTr="00D8388F">
        <w:trPr>
          <w:trHeight w:val="300"/>
          <w:jc w:val="center"/>
        </w:trPr>
        <w:tc>
          <w:tcPr>
            <w:tcW w:w="299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860"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-23.05</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-27.98</w:t>
            </w:r>
          </w:p>
        </w:tc>
        <w:tc>
          <w:tcPr>
            <w:tcW w:w="861"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-8.84</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-20.83</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-27.15</w:t>
            </w:r>
          </w:p>
        </w:tc>
      </w:tr>
      <w:tr w:rsidR="001D31C5" w:rsidRPr="001D31C5" w:rsidTr="00D8388F">
        <w:trPr>
          <w:trHeight w:val="300"/>
          <w:jc w:val="center"/>
        </w:trPr>
        <w:tc>
          <w:tcPr>
            <w:tcW w:w="299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860"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59.14</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55.56</w:t>
            </w:r>
          </w:p>
        </w:tc>
        <w:tc>
          <w:tcPr>
            <w:tcW w:w="861"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20.95</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45.65</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58.87</w:t>
            </w:r>
          </w:p>
        </w:tc>
      </w:tr>
      <w:tr w:rsidR="001D31C5" w:rsidRPr="001D31C5" w:rsidTr="00D8388F">
        <w:trPr>
          <w:trHeight w:val="300"/>
          <w:jc w:val="center"/>
        </w:trPr>
        <w:tc>
          <w:tcPr>
            <w:tcW w:w="299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860"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-0.88</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-0.74</w:t>
            </w:r>
          </w:p>
        </w:tc>
        <w:tc>
          <w:tcPr>
            <w:tcW w:w="861"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0.01</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-0.83</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-0.90</w:t>
            </w:r>
          </w:p>
        </w:tc>
      </w:tr>
      <w:tr w:rsidR="001D31C5" w:rsidRPr="001D31C5" w:rsidTr="00D8388F">
        <w:trPr>
          <w:trHeight w:val="300"/>
          <w:jc w:val="center"/>
        </w:trPr>
        <w:tc>
          <w:tcPr>
            <w:tcW w:w="3651" w:type="dxa"/>
            <w:gridSpan w:val="2"/>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i/>
                <w:iCs/>
                <w:color w:val="000000"/>
                <w:sz w:val="20"/>
                <w:szCs w:val="20"/>
              </w:rPr>
              <w:t>Panel B: Risk Parity &amp; Trend Following</w:t>
            </w:r>
          </w:p>
        </w:tc>
        <w:tc>
          <w:tcPr>
            <w:tcW w:w="1825" w:type="dxa"/>
            <w:gridSpan w:val="3"/>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1826" w:type="dxa"/>
            <w:gridSpan w:val="3"/>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300"/>
          <w:jc w:val="center"/>
        </w:trPr>
        <w:tc>
          <w:tcPr>
            <w:tcW w:w="2998"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860" w:type="dxa"/>
            <w:gridSpan w:val="2"/>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10.15</w:t>
            </w:r>
          </w:p>
        </w:tc>
        <w:tc>
          <w:tcPr>
            <w:tcW w:w="86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10.51</w:t>
            </w:r>
          </w:p>
        </w:tc>
        <w:tc>
          <w:tcPr>
            <w:tcW w:w="861" w:type="dxa"/>
            <w:gridSpan w:val="2"/>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7.60</w:t>
            </w:r>
          </w:p>
        </w:tc>
        <w:tc>
          <w:tcPr>
            <w:tcW w:w="86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6.35</w:t>
            </w:r>
          </w:p>
        </w:tc>
        <w:tc>
          <w:tcPr>
            <w:tcW w:w="86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10.22</w:t>
            </w:r>
          </w:p>
        </w:tc>
      </w:tr>
      <w:tr w:rsidR="001D31C5" w:rsidRPr="001D31C5" w:rsidTr="00D8388F">
        <w:trPr>
          <w:trHeight w:val="300"/>
          <w:jc w:val="center"/>
        </w:trPr>
        <w:tc>
          <w:tcPr>
            <w:tcW w:w="299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860"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9.63</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12.50</w:t>
            </w:r>
          </w:p>
        </w:tc>
        <w:tc>
          <w:tcPr>
            <w:tcW w:w="861"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9.11</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7.69</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8.70</w:t>
            </w:r>
          </w:p>
        </w:tc>
      </w:tr>
      <w:tr w:rsidR="001D31C5" w:rsidRPr="001D31C5" w:rsidTr="00D8388F">
        <w:trPr>
          <w:trHeight w:val="300"/>
          <w:jc w:val="center"/>
        </w:trPr>
        <w:tc>
          <w:tcPr>
            <w:tcW w:w="299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860"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0.78</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0.63</w:t>
            </w:r>
          </w:p>
        </w:tc>
        <w:tc>
          <w:tcPr>
            <w:tcW w:w="861"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0.54</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0.48</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0.87</w:t>
            </w:r>
          </w:p>
        </w:tc>
      </w:tr>
      <w:tr w:rsidR="001D31C5" w:rsidRPr="001D31C5" w:rsidTr="00D8388F">
        <w:trPr>
          <w:trHeight w:val="300"/>
          <w:jc w:val="center"/>
        </w:trPr>
        <w:tc>
          <w:tcPr>
            <w:tcW w:w="299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860"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9.53</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11.45</w:t>
            </w:r>
          </w:p>
        </w:tc>
        <w:tc>
          <w:tcPr>
            <w:tcW w:w="861"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9.10</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10.72</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10.53</w:t>
            </w:r>
          </w:p>
        </w:tc>
      </w:tr>
      <w:tr w:rsidR="001D31C5" w:rsidRPr="001D31C5" w:rsidTr="00D8388F">
        <w:trPr>
          <w:trHeight w:val="300"/>
          <w:jc w:val="center"/>
        </w:trPr>
        <w:tc>
          <w:tcPr>
            <w:tcW w:w="299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860"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-9.91</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-9.43</w:t>
            </w:r>
          </w:p>
        </w:tc>
        <w:tc>
          <w:tcPr>
            <w:tcW w:w="861" w:type="dxa"/>
            <w:gridSpan w:val="2"/>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-8.25</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-8.10</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-7.97</w:t>
            </w:r>
          </w:p>
        </w:tc>
      </w:tr>
      <w:tr w:rsidR="001D31C5" w:rsidRPr="001D31C5" w:rsidTr="00D8388F">
        <w:trPr>
          <w:trHeight w:val="300"/>
          <w:jc w:val="center"/>
        </w:trPr>
        <w:tc>
          <w:tcPr>
            <w:tcW w:w="2998" w:type="dxa"/>
            <w:tcBorders>
              <w:top w:val="nil"/>
              <w:left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860" w:type="dxa"/>
            <w:gridSpan w:val="2"/>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15.91</w:t>
            </w:r>
          </w:p>
        </w:tc>
        <w:tc>
          <w:tcPr>
            <w:tcW w:w="861"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24.43</w:t>
            </w:r>
          </w:p>
        </w:tc>
        <w:tc>
          <w:tcPr>
            <w:tcW w:w="861" w:type="dxa"/>
            <w:gridSpan w:val="2"/>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19.54</w:t>
            </w:r>
          </w:p>
        </w:tc>
        <w:tc>
          <w:tcPr>
            <w:tcW w:w="861"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24.78</w:t>
            </w:r>
          </w:p>
        </w:tc>
        <w:tc>
          <w:tcPr>
            <w:tcW w:w="861"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10.17</w:t>
            </w:r>
          </w:p>
        </w:tc>
      </w:tr>
      <w:tr w:rsidR="001D31C5" w:rsidRPr="001D31C5" w:rsidTr="00D8388F">
        <w:trPr>
          <w:trHeight w:val="300"/>
          <w:jc w:val="center"/>
        </w:trPr>
        <w:tc>
          <w:tcPr>
            <w:tcW w:w="2998"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860" w:type="dxa"/>
            <w:gridSpan w:val="2"/>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-0.29</w:t>
            </w:r>
          </w:p>
        </w:tc>
        <w:tc>
          <w:tcPr>
            <w:tcW w:w="861"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0.33</w:t>
            </w:r>
          </w:p>
        </w:tc>
        <w:tc>
          <w:tcPr>
            <w:tcW w:w="861" w:type="dxa"/>
            <w:gridSpan w:val="2"/>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0.05</w:t>
            </w:r>
          </w:p>
        </w:tc>
        <w:tc>
          <w:tcPr>
            <w:tcW w:w="861"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0.14</w:t>
            </w:r>
          </w:p>
        </w:tc>
        <w:tc>
          <w:tcPr>
            <w:tcW w:w="861"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0.07</w:t>
            </w:r>
          </w:p>
        </w:tc>
      </w:tr>
    </w:tbl>
    <w:p w:rsidR="001D31C5" w:rsidRPr="001D31C5" w:rsidRDefault="001D31C5" w:rsidP="001D31C5">
      <w:pPr>
        <w:spacing w:line="360" w:lineRule="auto"/>
        <w:jc w:val="both"/>
        <w:rPr>
          <w:rFonts w:ascii="Calibri" w:eastAsia="Times New Roman" w:hAnsi="Calibri" w:cs="Times New Roman"/>
        </w:rPr>
      </w:pPr>
    </w:p>
    <w:p w:rsidR="001D31C5" w:rsidRPr="001D31C5" w:rsidRDefault="001D31C5" w:rsidP="001D31C5">
      <w:pPr>
        <w:rPr>
          <w:rFonts w:ascii="Times New Roman" w:eastAsia="Times New Roman" w:hAnsi="Times New Roman" w:cs="Times New Roman"/>
          <w:b/>
          <w:bCs/>
          <w:color w:val="000000"/>
        </w:rPr>
      </w:pPr>
      <w:r w:rsidRPr="001D31C5">
        <w:rPr>
          <w:rFonts w:ascii="Times New Roman" w:eastAsia="Times New Roman" w:hAnsi="Times New Roman" w:cs="Times New Roman"/>
          <w:b/>
          <w:bCs/>
          <w:color w:val="000000"/>
        </w:rPr>
        <w:br w:type="page"/>
      </w:r>
    </w:p>
    <w:p w:rsidR="001D31C5" w:rsidRPr="001D31C5" w:rsidRDefault="001D31C5" w:rsidP="001D31C5">
      <w:pPr>
        <w:spacing w:after="0" w:line="240" w:lineRule="auto"/>
        <w:jc w:val="center"/>
        <w:rPr>
          <w:rFonts w:ascii="Times New Roman" w:eastAsia="Times New Roman" w:hAnsi="Times New Roman" w:cs="Times New Roman"/>
          <w:sz w:val="24"/>
          <w:szCs w:val="24"/>
        </w:rPr>
      </w:pPr>
      <w:r w:rsidRPr="001D31C5">
        <w:rPr>
          <w:rFonts w:ascii="Times New Roman" w:eastAsia="Times New Roman" w:hAnsi="Times New Roman" w:cs="Times New Roman"/>
          <w:b/>
          <w:bCs/>
          <w:color w:val="000000"/>
          <w:sz w:val="24"/>
          <w:szCs w:val="24"/>
        </w:rPr>
        <w:lastRenderedPageBreak/>
        <w:t>Table 5: Momentum within asset class (1994-2015)</w:t>
      </w:r>
    </w:p>
    <w:p w:rsidR="001D31C5" w:rsidRPr="001D31C5" w:rsidRDefault="001D31C5" w:rsidP="001D31C5">
      <w:pPr>
        <w:spacing w:after="120" w:line="240" w:lineRule="auto"/>
        <w:jc w:val="both"/>
        <w:rPr>
          <w:rFonts w:ascii="Calibri" w:eastAsia="Times New Roman" w:hAnsi="Calibri" w:cs="Times New Roman"/>
        </w:rPr>
      </w:pPr>
      <w:r w:rsidRPr="001D31C5">
        <w:rPr>
          <w:rFonts w:ascii="Times New Roman" w:eastAsia="Times New Roman" w:hAnsi="Times New Roman" w:cs="Times New Roman"/>
          <w:sz w:val="20"/>
          <w:szCs w:val="20"/>
        </w:rPr>
        <w:t xml:space="preserve">This Table presents the performance statistics of portfolios formed on the basis of each asset class sub-components’ performance momentum.  The portfolios in Panel A are constructed by performance ranking the sub-components using 12 moths of return data and then by investing in the top 50% of sub-component performers, that is, the top half of ‘winners’.  Panel B is constructed in the same way but where the portfolio comprises the top 25% of ‘winners’.  The performance statistics of all the portfolios are based on monthly rebalancing.  NB: the portfolios do not consist of short positions in ‘losers’.  </w:t>
      </w:r>
    </w:p>
    <w:tbl>
      <w:tblPr>
        <w:tblW w:w="8261" w:type="dxa"/>
        <w:jc w:val="center"/>
        <w:tblLook w:val="04A0" w:firstRow="1" w:lastRow="0" w:firstColumn="1" w:lastColumn="0" w:noHBand="0" w:noVBand="1"/>
      </w:tblPr>
      <w:tblGrid>
        <w:gridCol w:w="3041"/>
        <w:gridCol w:w="851"/>
        <w:gridCol w:w="789"/>
        <w:gridCol w:w="769"/>
        <w:gridCol w:w="994"/>
        <w:gridCol w:w="789"/>
        <w:gridCol w:w="1028"/>
      </w:tblGrid>
      <w:tr w:rsidR="001D31C5" w:rsidRPr="001D31C5" w:rsidTr="00D8388F">
        <w:trPr>
          <w:trHeight w:val="300"/>
          <w:jc w:val="center"/>
        </w:trPr>
        <w:tc>
          <w:tcPr>
            <w:tcW w:w="3041"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p>
        </w:tc>
        <w:tc>
          <w:tcPr>
            <w:tcW w:w="851"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Dev. Equity</w:t>
            </w:r>
          </w:p>
        </w:tc>
        <w:tc>
          <w:tcPr>
            <w:tcW w:w="78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Emer. Equity</w:t>
            </w:r>
          </w:p>
        </w:tc>
        <w:tc>
          <w:tcPr>
            <w:tcW w:w="76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Bonds</w:t>
            </w:r>
          </w:p>
        </w:tc>
        <w:tc>
          <w:tcPr>
            <w:tcW w:w="9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roofErr w:type="spellStart"/>
            <w:r w:rsidRPr="001D31C5">
              <w:rPr>
                <w:rFonts w:ascii="Times New Roman" w:eastAsia="Times New Roman" w:hAnsi="Times New Roman" w:cs="Times New Roman"/>
                <w:color w:val="000000"/>
                <w:sz w:val="20"/>
                <w:szCs w:val="20"/>
              </w:rPr>
              <w:t>Comms</w:t>
            </w:r>
            <w:proofErr w:type="spellEnd"/>
            <w:r w:rsidRPr="001D31C5">
              <w:rPr>
                <w:rFonts w:ascii="Times New Roman" w:eastAsia="Times New Roman" w:hAnsi="Times New Roman" w:cs="Times New Roman"/>
                <w:color w:val="000000"/>
                <w:sz w:val="20"/>
                <w:szCs w:val="20"/>
              </w:rPr>
              <w:t>.</w:t>
            </w:r>
          </w:p>
        </w:tc>
        <w:tc>
          <w:tcPr>
            <w:tcW w:w="78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REITs</w:t>
            </w:r>
          </w:p>
        </w:tc>
        <w:tc>
          <w:tcPr>
            <w:tcW w:w="1028"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Equal Mom.</w:t>
            </w:r>
          </w:p>
        </w:tc>
      </w:tr>
      <w:tr w:rsidR="001D31C5" w:rsidRPr="001D31C5" w:rsidTr="00D8388F">
        <w:trPr>
          <w:trHeight w:val="300"/>
          <w:jc w:val="center"/>
        </w:trPr>
        <w:tc>
          <w:tcPr>
            <w:tcW w:w="3041"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A: Momentum - Top Half</w:t>
            </w:r>
          </w:p>
        </w:tc>
        <w:tc>
          <w:tcPr>
            <w:tcW w:w="851"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78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76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9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78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028"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r>
      <w:tr w:rsidR="001D31C5" w:rsidRPr="001D31C5" w:rsidTr="00D8388F">
        <w:trPr>
          <w:trHeight w:val="300"/>
          <w:jc w:val="center"/>
        </w:trPr>
        <w:tc>
          <w:tcPr>
            <w:tcW w:w="3041"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85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10.28</w:t>
            </w:r>
          </w:p>
        </w:tc>
        <w:tc>
          <w:tcPr>
            <w:tcW w:w="78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9.32</w:t>
            </w:r>
          </w:p>
        </w:tc>
        <w:tc>
          <w:tcPr>
            <w:tcW w:w="76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8.23</w:t>
            </w:r>
          </w:p>
        </w:tc>
        <w:tc>
          <w:tcPr>
            <w:tcW w:w="9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8.73</w:t>
            </w:r>
          </w:p>
        </w:tc>
        <w:tc>
          <w:tcPr>
            <w:tcW w:w="78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10.85</w:t>
            </w:r>
          </w:p>
        </w:tc>
        <w:tc>
          <w:tcPr>
            <w:tcW w:w="1028"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10.14</w:t>
            </w:r>
          </w:p>
        </w:tc>
      </w:tr>
      <w:tr w:rsidR="001D31C5" w:rsidRPr="001D31C5" w:rsidTr="00D8388F">
        <w:trPr>
          <w:trHeight w:val="300"/>
          <w:jc w:val="center"/>
        </w:trPr>
        <w:tc>
          <w:tcPr>
            <w:tcW w:w="3041"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85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17.39</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23.19</w:t>
            </w:r>
          </w:p>
        </w:tc>
        <w:tc>
          <w:tcPr>
            <w:tcW w:w="76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9.78</w:t>
            </w:r>
          </w:p>
        </w:tc>
        <w:tc>
          <w:tcPr>
            <w:tcW w:w="9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15.64</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16.85</w:t>
            </w:r>
          </w:p>
        </w:tc>
        <w:tc>
          <w:tcPr>
            <w:tcW w:w="102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13.20</w:t>
            </w:r>
          </w:p>
        </w:tc>
      </w:tr>
      <w:tr w:rsidR="001D31C5" w:rsidRPr="001D31C5" w:rsidTr="00D8388F">
        <w:trPr>
          <w:trHeight w:val="300"/>
          <w:jc w:val="center"/>
        </w:trPr>
        <w:tc>
          <w:tcPr>
            <w:tcW w:w="3041"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85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0.44</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0.29</w:t>
            </w:r>
          </w:p>
        </w:tc>
        <w:tc>
          <w:tcPr>
            <w:tcW w:w="76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0.57</w:t>
            </w:r>
          </w:p>
        </w:tc>
        <w:tc>
          <w:tcPr>
            <w:tcW w:w="9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0.39</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0.49</w:t>
            </w:r>
          </w:p>
        </w:tc>
        <w:tc>
          <w:tcPr>
            <w:tcW w:w="102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0.57</w:t>
            </w:r>
          </w:p>
        </w:tc>
      </w:tr>
      <w:tr w:rsidR="001D31C5" w:rsidRPr="001D31C5" w:rsidTr="00D8388F">
        <w:trPr>
          <w:trHeight w:val="300"/>
          <w:jc w:val="center"/>
        </w:trPr>
        <w:tc>
          <w:tcPr>
            <w:tcW w:w="3041"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85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12.66</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19.67</w:t>
            </w:r>
          </w:p>
        </w:tc>
        <w:tc>
          <w:tcPr>
            <w:tcW w:w="76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10.91</w:t>
            </w:r>
          </w:p>
        </w:tc>
        <w:tc>
          <w:tcPr>
            <w:tcW w:w="9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15.37</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16.21</w:t>
            </w:r>
          </w:p>
        </w:tc>
        <w:tc>
          <w:tcPr>
            <w:tcW w:w="102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11.00</w:t>
            </w:r>
          </w:p>
        </w:tc>
      </w:tr>
      <w:tr w:rsidR="001D31C5" w:rsidRPr="001D31C5" w:rsidTr="00D8388F">
        <w:trPr>
          <w:trHeight w:val="300"/>
          <w:jc w:val="center"/>
        </w:trPr>
        <w:tc>
          <w:tcPr>
            <w:tcW w:w="3041"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85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-21.52</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-30.05</w:t>
            </w:r>
          </w:p>
        </w:tc>
        <w:tc>
          <w:tcPr>
            <w:tcW w:w="76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-8.49</w:t>
            </w:r>
          </w:p>
        </w:tc>
        <w:tc>
          <w:tcPr>
            <w:tcW w:w="9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-21.32</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-24.18</w:t>
            </w:r>
          </w:p>
        </w:tc>
        <w:tc>
          <w:tcPr>
            <w:tcW w:w="102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-20.53</w:t>
            </w:r>
          </w:p>
        </w:tc>
      </w:tr>
      <w:tr w:rsidR="001D31C5" w:rsidRPr="001D31C5" w:rsidTr="00D8388F">
        <w:trPr>
          <w:trHeight w:val="300"/>
          <w:jc w:val="center"/>
        </w:trPr>
        <w:tc>
          <w:tcPr>
            <w:tcW w:w="3041"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85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56.02</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59.80</w:t>
            </w:r>
          </w:p>
        </w:tc>
        <w:tc>
          <w:tcPr>
            <w:tcW w:w="76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20.99</w:t>
            </w:r>
          </w:p>
        </w:tc>
        <w:tc>
          <w:tcPr>
            <w:tcW w:w="9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50.45</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56.01</w:t>
            </w:r>
          </w:p>
        </w:tc>
        <w:tc>
          <w:tcPr>
            <w:tcW w:w="102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43.83</w:t>
            </w:r>
          </w:p>
        </w:tc>
      </w:tr>
      <w:tr w:rsidR="001D31C5" w:rsidRPr="001D31C5" w:rsidTr="00D8388F">
        <w:trPr>
          <w:trHeight w:val="300"/>
          <w:jc w:val="center"/>
        </w:trPr>
        <w:tc>
          <w:tcPr>
            <w:tcW w:w="3041"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85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-0.74</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-0.73</w:t>
            </w:r>
          </w:p>
        </w:tc>
        <w:tc>
          <w:tcPr>
            <w:tcW w:w="76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0.23</w:t>
            </w:r>
          </w:p>
        </w:tc>
        <w:tc>
          <w:tcPr>
            <w:tcW w:w="9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-0.59</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-0.59</w:t>
            </w:r>
          </w:p>
        </w:tc>
        <w:tc>
          <w:tcPr>
            <w:tcW w:w="102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-0.98</w:t>
            </w:r>
          </w:p>
        </w:tc>
      </w:tr>
      <w:tr w:rsidR="001D31C5" w:rsidRPr="001D31C5" w:rsidTr="00D8388F">
        <w:trPr>
          <w:trHeight w:val="300"/>
          <w:jc w:val="center"/>
        </w:trPr>
        <w:tc>
          <w:tcPr>
            <w:tcW w:w="8261" w:type="dxa"/>
            <w:gridSpan w:val="7"/>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i/>
                <w:iCs/>
                <w:color w:val="000000"/>
                <w:sz w:val="20"/>
                <w:szCs w:val="20"/>
              </w:rPr>
              <w:t>Panel B: Momentum - Top Quarter</w:t>
            </w:r>
          </w:p>
        </w:tc>
      </w:tr>
      <w:tr w:rsidR="001D31C5" w:rsidRPr="001D31C5" w:rsidTr="00D8388F">
        <w:trPr>
          <w:trHeight w:val="300"/>
          <w:jc w:val="center"/>
        </w:trPr>
        <w:tc>
          <w:tcPr>
            <w:tcW w:w="3041"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85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10.94</w:t>
            </w:r>
          </w:p>
        </w:tc>
        <w:tc>
          <w:tcPr>
            <w:tcW w:w="78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6.11</w:t>
            </w:r>
          </w:p>
        </w:tc>
        <w:tc>
          <w:tcPr>
            <w:tcW w:w="76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8.91</w:t>
            </w:r>
          </w:p>
        </w:tc>
        <w:tc>
          <w:tcPr>
            <w:tcW w:w="9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10.65</w:t>
            </w:r>
          </w:p>
        </w:tc>
        <w:tc>
          <w:tcPr>
            <w:tcW w:w="78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9.58</w:t>
            </w:r>
          </w:p>
        </w:tc>
        <w:tc>
          <w:tcPr>
            <w:tcW w:w="1028"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10.13</w:t>
            </w:r>
          </w:p>
        </w:tc>
      </w:tr>
      <w:tr w:rsidR="001D31C5" w:rsidRPr="001D31C5" w:rsidTr="00D8388F">
        <w:trPr>
          <w:trHeight w:val="300"/>
          <w:jc w:val="center"/>
        </w:trPr>
        <w:tc>
          <w:tcPr>
            <w:tcW w:w="3041"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85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18.06</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25.42</w:t>
            </w:r>
          </w:p>
        </w:tc>
        <w:tc>
          <w:tcPr>
            <w:tcW w:w="76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9.64</w:t>
            </w:r>
          </w:p>
        </w:tc>
        <w:tc>
          <w:tcPr>
            <w:tcW w:w="9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19.56</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18.16</w:t>
            </w:r>
          </w:p>
        </w:tc>
        <w:tc>
          <w:tcPr>
            <w:tcW w:w="102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13.93</w:t>
            </w:r>
          </w:p>
        </w:tc>
      </w:tr>
      <w:tr w:rsidR="001D31C5" w:rsidRPr="001D31C5" w:rsidTr="00D8388F">
        <w:trPr>
          <w:trHeight w:val="300"/>
          <w:jc w:val="center"/>
        </w:trPr>
        <w:tc>
          <w:tcPr>
            <w:tcW w:w="3041"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85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0.46</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0.14</w:t>
            </w:r>
          </w:p>
        </w:tc>
        <w:tc>
          <w:tcPr>
            <w:tcW w:w="76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0.65</w:t>
            </w:r>
          </w:p>
        </w:tc>
        <w:tc>
          <w:tcPr>
            <w:tcW w:w="9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0.41</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0.38</w:t>
            </w:r>
          </w:p>
        </w:tc>
        <w:tc>
          <w:tcPr>
            <w:tcW w:w="102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0.54</w:t>
            </w:r>
          </w:p>
        </w:tc>
      </w:tr>
      <w:tr w:rsidR="001D31C5" w:rsidRPr="001D31C5" w:rsidTr="00D8388F">
        <w:trPr>
          <w:trHeight w:val="300"/>
          <w:jc w:val="center"/>
        </w:trPr>
        <w:tc>
          <w:tcPr>
            <w:tcW w:w="3041"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85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12.70</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23.75</w:t>
            </w:r>
          </w:p>
        </w:tc>
        <w:tc>
          <w:tcPr>
            <w:tcW w:w="76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10.71</w:t>
            </w:r>
          </w:p>
        </w:tc>
        <w:tc>
          <w:tcPr>
            <w:tcW w:w="9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15.91</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13.82</w:t>
            </w:r>
          </w:p>
        </w:tc>
        <w:tc>
          <w:tcPr>
            <w:tcW w:w="102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10.46</w:t>
            </w:r>
          </w:p>
        </w:tc>
      </w:tr>
      <w:tr w:rsidR="001D31C5" w:rsidRPr="001D31C5" w:rsidTr="00D8388F">
        <w:trPr>
          <w:trHeight w:val="300"/>
          <w:jc w:val="center"/>
        </w:trPr>
        <w:tc>
          <w:tcPr>
            <w:tcW w:w="3041"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85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-20.84</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-35.46</w:t>
            </w:r>
          </w:p>
        </w:tc>
        <w:tc>
          <w:tcPr>
            <w:tcW w:w="76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-7.55</w:t>
            </w:r>
          </w:p>
        </w:tc>
        <w:tc>
          <w:tcPr>
            <w:tcW w:w="9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-25.90</w:t>
            </w:r>
          </w:p>
        </w:tc>
        <w:tc>
          <w:tcPr>
            <w:tcW w:w="78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-26.28</w:t>
            </w:r>
          </w:p>
        </w:tc>
        <w:tc>
          <w:tcPr>
            <w:tcW w:w="1028"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-21.08</w:t>
            </w:r>
          </w:p>
        </w:tc>
      </w:tr>
      <w:tr w:rsidR="001D31C5" w:rsidRPr="001D31C5" w:rsidTr="00D8388F">
        <w:trPr>
          <w:trHeight w:val="300"/>
          <w:jc w:val="center"/>
        </w:trPr>
        <w:tc>
          <w:tcPr>
            <w:tcW w:w="3041" w:type="dxa"/>
            <w:tcBorders>
              <w:top w:val="nil"/>
              <w:left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851"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58.58</w:t>
            </w:r>
          </w:p>
        </w:tc>
        <w:tc>
          <w:tcPr>
            <w:tcW w:w="789"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64.21</w:t>
            </w:r>
          </w:p>
        </w:tc>
        <w:tc>
          <w:tcPr>
            <w:tcW w:w="769"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18.00</w:t>
            </w:r>
          </w:p>
        </w:tc>
        <w:tc>
          <w:tcPr>
            <w:tcW w:w="994"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47.09</w:t>
            </w:r>
          </w:p>
        </w:tc>
        <w:tc>
          <w:tcPr>
            <w:tcW w:w="789"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56.16</w:t>
            </w:r>
          </w:p>
        </w:tc>
        <w:tc>
          <w:tcPr>
            <w:tcW w:w="1028"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45.12</w:t>
            </w:r>
          </w:p>
        </w:tc>
      </w:tr>
      <w:tr w:rsidR="001D31C5" w:rsidRPr="001D31C5" w:rsidTr="00D8388F">
        <w:trPr>
          <w:trHeight w:val="300"/>
          <w:jc w:val="center"/>
        </w:trPr>
        <w:tc>
          <w:tcPr>
            <w:tcW w:w="3041"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851"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-0.68</w:t>
            </w:r>
          </w:p>
        </w:tc>
        <w:tc>
          <w:tcPr>
            <w:tcW w:w="789"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-0.66</w:t>
            </w:r>
          </w:p>
        </w:tc>
        <w:tc>
          <w:tcPr>
            <w:tcW w:w="769"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0.25</w:t>
            </w:r>
          </w:p>
        </w:tc>
        <w:tc>
          <w:tcPr>
            <w:tcW w:w="994"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-0.46</w:t>
            </w:r>
          </w:p>
        </w:tc>
        <w:tc>
          <w:tcPr>
            <w:tcW w:w="789"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-0.65</w:t>
            </w:r>
          </w:p>
        </w:tc>
        <w:tc>
          <w:tcPr>
            <w:tcW w:w="1028"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-0.89</w:t>
            </w:r>
          </w:p>
        </w:tc>
      </w:tr>
    </w:tbl>
    <w:p w:rsidR="001D31C5" w:rsidRPr="001D31C5" w:rsidRDefault="001D31C5" w:rsidP="001D31C5">
      <w:pPr>
        <w:spacing w:after="0" w:line="240" w:lineRule="auto"/>
        <w:jc w:val="both"/>
        <w:rPr>
          <w:rFonts w:ascii="Calibri" w:eastAsia="Times New Roman" w:hAnsi="Calibri" w:cs="Times New Roman"/>
        </w:rPr>
      </w:pPr>
    </w:p>
    <w:p w:rsidR="001D31C5" w:rsidRPr="001D31C5" w:rsidRDefault="001D31C5" w:rsidP="001D31C5">
      <w:pPr>
        <w:rPr>
          <w:rFonts w:ascii="Times New Roman" w:eastAsia="Times New Roman" w:hAnsi="Times New Roman" w:cs="Times New Roman"/>
          <w:b/>
        </w:rPr>
      </w:pPr>
      <w:r w:rsidRPr="001D31C5">
        <w:rPr>
          <w:rFonts w:ascii="Times New Roman" w:eastAsia="Times New Roman" w:hAnsi="Times New Roman" w:cs="Times New Roman"/>
          <w:b/>
        </w:rPr>
        <w:br w:type="page"/>
      </w:r>
    </w:p>
    <w:p w:rsidR="001D31C5" w:rsidRPr="001D31C5" w:rsidRDefault="001D31C5" w:rsidP="001D31C5">
      <w:pPr>
        <w:spacing w:after="0" w:line="240" w:lineRule="auto"/>
        <w:jc w:val="center"/>
        <w:rPr>
          <w:rFonts w:ascii="Times New Roman" w:eastAsia="Times New Roman" w:hAnsi="Times New Roman" w:cs="Times New Roman"/>
          <w:b/>
          <w:bCs/>
          <w:color w:val="000000"/>
          <w:sz w:val="24"/>
          <w:szCs w:val="24"/>
        </w:rPr>
      </w:pPr>
      <w:r w:rsidRPr="001D31C5">
        <w:rPr>
          <w:rFonts w:ascii="Times New Roman" w:eastAsia="Times New Roman" w:hAnsi="Times New Roman" w:cs="Times New Roman"/>
          <w:b/>
          <w:sz w:val="24"/>
          <w:szCs w:val="24"/>
        </w:rPr>
        <w:lastRenderedPageBreak/>
        <w:t xml:space="preserve">Table 6: </w:t>
      </w:r>
      <w:r w:rsidRPr="001D31C5">
        <w:rPr>
          <w:rFonts w:ascii="Times New Roman" w:eastAsia="Times New Roman" w:hAnsi="Times New Roman" w:cs="Times New Roman"/>
          <w:b/>
          <w:bCs/>
          <w:color w:val="000000"/>
          <w:sz w:val="24"/>
          <w:szCs w:val="24"/>
        </w:rPr>
        <w:t>Momentum and Trend Following within Asset Class (1994-2015)</w:t>
      </w:r>
    </w:p>
    <w:p w:rsidR="001D31C5" w:rsidRPr="001D31C5" w:rsidRDefault="001D31C5" w:rsidP="001D31C5">
      <w:pPr>
        <w:spacing w:after="120" w:line="240" w:lineRule="auto"/>
        <w:jc w:val="both"/>
        <w:rPr>
          <w:rFonts w:ascii="Calibri" w:eastAsia="Times New Roman" w:hAnsi="Calibri" w:cs="Times New Roman"/>
        </w:rPr>
      </w:pPr>
      <w:r w:rsidRPr="001D31C5">
        <w:rPr>
          <w:rFonts w:ascii="Times New Roman" w:eastAsia="Times New Roman" w:hAnsi="Times New Roman" w:cs="Times New Roman"/>
          <w:sz w:val="20"/>
          <w:szCs w:val="20"/>
        </w:rPr>
        <w:t xml:space="preserve">This Table presents the performance statistics of portfolios formed on the basis of each asset class sub-components’ performance momentum.  The portfolios in Panels A and C are constructed by performance ranking the sub-components using 12 months of return data and then by investing in the top 50% of sub-component performers, that is, the top half of ‘winners’.  Panels B and D are constructed in the same way but where the portfolio comprises the top 25% of ‘winners’.  In panels A and B a trend following filter, based on a 10 month signal, is applied to the indicated broad asset class; in the event that a broad asset class is estimated to be in a downtrend the asset class’ default holding of 20% is placed in the “risk off” asset class US T-Bills.  The portfolio statistics presented in Panels C and D have been generated by applying a trend following filter based on a 10 month signal applied to each sub component of the five broad asset classes, and where the “risk off asset” class is again US T-Bills.  In all four panels the maximum holding of any broad asset class is 20%.  The performance statistics of all the portfolios are based on monthly rebalancing. NB: the portfolios do not consist of short positions in ‘losers’.  </w:t>
      </w:r>
    </w:p>
    <w:tbl>
      <w:tblPr>
        <w:tblW w:w="8392" w:type="dxa"/>
        <w:jc w:val="center"/>
        <w:tblLook w:val="04A0" w:firstRow="1" w:lastRow="0" w:firstColumn="1" w:lastColumn="0" w:noHBand="0" w:noVBand="1"/>
      </w:tblPr>
      <w:tblGrid>
        <w:gridCol w:w="3018"/>
        <w:gridCol w:w="856"/>
        <w:gridCol w:w="794"/>
        <w:gridCol w:w="781"/>
        <w:gridCol w:w="1116"/>
        <w:gridCol w:w="794"/>
        <w:gridCol w:w="1033"/>
      </w:tblGrid>
      <w:tr w:rsidR="001D31C5" w:rsidRPr="001D31C5" w:rsidTr="00D8388F">
        <w:trPr>
          <w:trHeight w:val="300"/>
          <w:jc w:val="center"/>
        </w:trPr>
        <w:tc>
          <w:tcPr>
            <w:tcW w:w="3018"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p>
        </w:tc>
        <w:tc>
          <w:tcPr>
            <w:tcW w:w="856"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Dev. Equity</w:t>
            </w:r>
          </w:p>
        </w:tc>
        <w:tc>
          <w:tcPr>
            <w:tcW w:w="7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Emer. Equity</w:t>
            </w:r>
          </w:p>
        </w:tc>
        <w:tc>
          <w:tcPr>
            <w:tcW w:w="781"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Bonds</w:t>
            </w:r>
          </w:p>
        </w:tc>
        <w:tc>
          <w:tcPr>
            <w:tcW w:w="1116"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roofErr w:type="spellStart"/>
            <w:r w:rsidRPr="001D31C5">
              <w:rPr>
                <w:rFonts w:ascii="Times New Roman" w:eastAsia="Times New Roman" w:hAnsi="Times New Roman" w:cs="Times New Roman"/>
                <w:color w:val="000000"/>
                <w:sz w:val="20"/>
                <w:szCs w:val="20"/>
              </w:rPr>
              <w:t>Comms</w:t>
            </w:r>
            <w:proofErr w:type="spellEnd"/>
            <w:r w:rsidRPr="001D31C5">
              <w:rPr>
                <w:rFonts w:ascii="Times New Roman" w:eastAsia="Times New Roman" w:hAnsi="Times New Roman" w:cs="Times New Roman"/>
                <w:color w:val="000000"/>
                <w:sz w:val="20"/>
                <w:szCs w:val="20"/>
              </w:rPr>
              <w:t>.</w:t>
            </w:r>
          </w:p>
        </w:tc>
        <w:tc>
          <w:tcPr>
            <w:tcW w:w="7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REITs</w:t>
            </w:r>
          </w:p>
        </w:tc>
        <w:tc>
          <w:tcPr>
            <w:tcW w:w="1033"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Equal Mom.</w:t>
            </w:r>
          </w:p>
        </w:tc>
      </w:tr>
      <w:tr w:rsidR="001D31C5" w:rsidRPr="001D31C5" w:rsidTr="00D8388F">
        <w:trPr>
          <w:trHeight w:val="300"/>
          <w:jc w:val="center"/>
        </w:trPr>
        <w:tc>
          <w:tcPr>
            <w:tcW w:w="5449" w:type="dxa"/>
            <w:gridSpan w:val="4"/>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A: Momentum Only - Top Half, TF Asset Class Filter</w:t>
            </w:r>
          </w:p>
        </w:tc>
        <w:tc>
          <w:tcPr>
            <w:tcW w:w="1116"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7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033"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r>
      <w:tr w:rsidR="001D31C5" w:rsidRPr="001D31C5" w:rsidTr="00D8388F">
        <w:trPr>
          <w:trHeight w:val="300"/>
          <w:jc w:val="center"/>
        </w:trPr>
        <w:tc>
          <w:tcPr>
            <w:tcW w:w="3018"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85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13.08</w:t>
            </w:r>
          </w:p>
        </w:tc>
        <w:tc>
          <w:tcPr>
            <w:tcW w:w="7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11.74</w:t>
            </w:r>
          </w:p>
        </w:tc>
        <w:tc>
          <w:tcPr>
            <w:tcW w:w="78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6.58</w:t>
            </w:r>
          </w:p>
        </w:tc>
        <w:tc>
          <w:tcPr>
            <w:tcW w:w="111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10.38</w:t>
            </w:r>
          </w:p>
        </w:tc>
        <w:tc>
          <w:tcPr>
            <w:tcW w:w="7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9.11</w:t>
            </w:r>
          </w:p>
        </w:tc>
        <w:tc>
          <w:tcPr>
            <w:tcW w:w="1033"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10.62</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12.40</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16.24</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9.23</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12.23</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11.84</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8.50</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0.84</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0.56</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0.43</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0.63</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0.55</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0.94</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11.84</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19.67</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10.91</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15.37</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13.59</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8.66</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-15.43</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-15.68</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-8.49</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-16.78</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-9.96</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-9.10</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16.28</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30.31</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17.48</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31.24</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17.98</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12.39</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-0.25</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0.44</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0.29</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-0.18</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0.08</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0.00</w:t>
            </w:r>
          </w:p>
        </w:tc>
      </w:tr>
      <w:tr w:rsidR="001D31C5" w:rsidRPr="001D31C5" w:rsidTr="00D8388F">
        <w:trPr>
          <w:trHeight w:val="300"/>
          <w:jc w:val="center"/>
        </w:trPr>
        <w:tc>
          <w:tcPr>
            <w:tcW w:w="6565" w:type="dxa"/>
            <w:gridSpan w:val="5"/>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B: Momentum Only - Top Quarter, TF Asset Class Filter</w:t>
            </w:r>
          </w:p>
        </w:tc>
        <w:tc>
          <w:tcPr>
            <w:tcW w:w="7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1033"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300"/>
          <w:jc w:val="center"/>
        </w:trPr>
        <w:tc>
          <w:tcPr>
            <w:tcW w:w="3018"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85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13.97</w:t>
            </w:r>
          </w:p>
        </w:tc>
        <w:tc>
          <w:tcPr>
            <w:tcW w:w="7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10.78</w:t>
            </w:r>
          </w:p>
        </w:tc>
        <w:tc>
          <w:tcPr>
            <w:tcW w:w="78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7.16</w:t>
            </w:r>
          </w:p>
        </w:tc>
        <w:tc>
          <w:tcPr>
            <w:tcW w:w="111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12.17</w:t>
            </w:r>
          </w:p>
        </w:tc>
        <w:tc>
          <w:tcPr>
            <w:tcW w:w="7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7.25</w:t>
            </w:r>
          </w:p>
        </w:tc>
        <w:tc>
          <w:tcPr>
            <w:tcW w:w="1033"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10.87</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13.39</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18.13</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9.11</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15.70</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13.38</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9.24</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0.85</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0.45</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0.50</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0.61</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0.34</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0.89</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12.33</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23.75</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10.71</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15.91</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13.82</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8.68</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-16.47</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-19.37</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-7.55</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-16.27</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-11.71</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-8.92</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16.47</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38.22</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14.27</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34.85</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32.58</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10.76</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-0.17</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0.57</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0.35</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-0.01</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0.08</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0.07</w:t>
            </w:r>
          </w:p>
        </w:tc>
      </w:tr>
      <w:tr w:rsidR="001D31C5" w:rsidRPr="001D31C5" w:rsidTr="00D8388F">
        <w:trPr>
          <w:trHeight w:val="300"/>
          <w:jc w:val="center"/>
        </w:trPr>
        <w:tc>
          <w:tcPr>
            <w:tcW w:w="5449" w:type="dxa"/>
            <w:gridSpan w:val="4"/>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C: Momentum Only - Top Half, Individual TF</w:t>
            </w:r>
          </w:p>
        </w:tc>
        <w:tc>
          <w:tcPr>
            <w:tcW w:w="1116"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7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1033"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300"/>
          <w:jc w:val="center"/>
        </w:trPr>
        <w:tc>
          <w:tcPr>
            <w:tcW w:w="3018"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85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12.03</w:t>
            </w:r>
          </w:p>
        </w:tc>
        <w:tc>
          <w:tcPr>
            <w:tcW w:w="7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11.57</w:t>
            </w:r>
          </w:p>
        </w:tc>
        <w:tc>
          <w:tcPr>
            <w:tcW w:w="78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8.15</w:t>
            </w:r>
          </w:p>
        </w:tc>
        <w:tc>
          <w:tcPr>
            <w:tcW w:w="111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10.16</w:t>
            </w:r>
          </w:p>
        </w:tc>
        <w:tc>
          <w:tcPr>
            <w:tcW w:w="7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9.91</w:t>
            </w:r>
          </w:p>
        </w:tc>
        <w:tc>
          <w:tcPr>
            <w:tcW w:w="1033"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10.81</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12.74</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17.31</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9.65</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12.58</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11.57</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9.24</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0.74</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0.52</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0.57</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0.60</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0.63</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0.89</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11.84</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19.67</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9.46</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12.67</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11.02</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9.03</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-15.43</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-15.68</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-8.49</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-14.25</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-9.26</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-7.91</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20.39</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32.70</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22.01</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35.96</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18.14</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15.74</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-0.33</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0.33</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0.19</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-0.04</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-0.09</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0.01</w:t>
            </w:r>
          </w:p>
        </w:tc>
      </w:tr>
      <w:tr w:rsidR="001D31C5" w:rsidRPr="001D31C5" w:rsidTr="00D8388F">
        <w:trPr>
          <w:trHeight w:val="300"/>
          <w:jc w:val="center"/>
        </w:trPr>
        <w:tc>
          <w:tcPr>
            <w:tcW w:w="5449" w:type="dxa"/>
            <w:gridSpan w:val="4"/>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D: Momentum Only - Top Quarter, Individual TF</w:t>
            </w:r>
          </w:p>
        </w:tc>
        <w:tc>
          <w:tcPr>
            <w:tcW w:w="1116"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7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1033"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300"/>
          <w:jc w:val="center"/>
        </w:trPr>
        <w:tc>
          <w:tcPr>
            <w:tcW w:w="3018"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85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12.45</w:t>
            </w:r>
          </w:p>
        </w:tc>
        <w:tc>
          <w:tcPr>
            <w:tcW w:w="7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10.16</w:t>
            </w:r>
          </w:p>
        </w:tc>
        <w:tc>
          <w:tcPr>
            <w:tcW w:w="78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8.48</w:t>
            </w:r>
          </w:p>
        </w:tc>
        <w:tc>
          <w:tcPr>
            <w:tcW w:w="111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12.25</w:t>
            </w:r>
          </w:p>
        </w:tc>
        <w:tc>
          <w:tcPr>
            <w:tcW w:w="7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9.88</w:t>
            </w:r>
          </w:p>
        </w:tc>
        <w:tc>
          <w:tcPr>
            <w:tcW w:w="1033"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11.32</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14.38</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20.34</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9.62</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16.85</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14.32</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10.69</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0.68</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0.37</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0.61</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0.57</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0.51</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0.81</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12.33</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23.75</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9.59</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14.43</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13.82</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9.29</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-16.47</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-19.37</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-7.55</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-15.38</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-11.71</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-8.92</w:t>
            </w:r>
          </w:p>
        </w:tc>
      </w:tr>
      <w:tr w:rsidR="001D31C5" w:rsidRPr="001D31C5" w:rsidTr="00D8388F">
        <w:trPr>
          <w:trHeight w:val="300"/>
          <w:jc w:val="center"/>
        </w:trPr>
        <w:tc>
          <w:tcPr>
            <w:tcW w:w="3018" w:type="dxa"/>
            <w:tcBorders>
              <w:top w:val="nil"/>
              <w:left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856"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25.04</w:t>
            </w:r>
          </w:p>
        </w:tc>
        <w:tc>
          <w:tcPr>
            <w:tcW w:w="794"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35.26</w:t>
            </w:r>
          </w:p>
        </w:tc>
        <w:tc>
          <w:tcPr>
            <w:tcW w:w="781"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20.59</w:t>
            </w:r>
          </w:p>
        </w:tc>
        <w:tc>
          <w:tcPr>
            <w:tcW w:w="1116"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35.60</w:t>
            </w:r>
          </w:p>
        </w:tc>
        <w:tc>
          <w:tcPr>
            <w:tcW w:w="794"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25.67</w:t>
            </w:r>
          </w:p>
        </w:tc>
        <w:tc>
          <w:tcPr>
            <w:tcW w:w="1033"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15.69</w:t>
            </w:r>
          </w:p>
        </w:tc>
      </w:tr>
      <w:tr w:rsidR="001D31C5" w:rsidRPr="001D31C5" w:rsidTr="00D8388F">
        <w:trPr>
          <w:trHeight w:val="300"/>
          <w:jc w:val="center"/>
        </w:trPr>
        <w:tc>
          <w:tcPr>
            <w:tcW w:w="3018"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856"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-0.29</w:t>
            </w:r>
          </w:p>
        </w:tc>
        <w:tc>
          <w:tcPr>
            <w:tcW w:w="794"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0.25</w:t>
            </w:r>
          </w:p>
        </w:tc>
        <w:tc>
          <w:tcPr>
            <w:tcW w:w="781"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0.18</w:t>
            </w:r>
          </w:p>
        </w:tc>
        <w:tc>
          <w:tcPr>
            <w:tcW w:w="1116"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-0.04</w:t>
            </w:r>
          </w:p>
        </w:tc>
        <w:tc>
          <w:tcPr>
            <w:tcW w:w="794"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0.07</w:t>
            </w:r>
          </w:p>
        </w:tc>
        <w:tc>
          <w:tcPr>
            <w:tcW w:w="1033"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0.02</w:t>
            </w:r>
          </w:p>
        </w:tc>
      </w:tr>
    </w:tbl>
    <w:p w:rsidR="001D31C5" w:rsidRPr="001D31C5" w:rsidRDefault="001D31C5" w:rsidP="001D31C5">
      <w:pPr>
        <w:rPr>
          <w:rFonts w:ascii="Times New Roman" w:eastAsia="Times New Roman" w:hAnsi="Times New Roman" w:cs="Times New Roman"/>
          <w:b/>
        </w:rPr>
      </w:pPr>
      <w:r w:rsidRPr="001D31C5">
        <w:rPr>
          <w:rFonts w:ascii="Times New Roman" w:eastAsia="Times New Roman" w:hAnsi="Times New Roman" w:cs="Times New Roman"/>
          <w:b/>
        </w:rPr>
        <w:br w:type="page"/>
      </w:r>
    </w:p>
    <w:p w:rsidR="001D31C5" w:rsidRPr="001D31C5" w:rsidRDefault="001D31C5" w:rsidP="001D31C5">
      <w:pPr>
        <w:spacing w:after="0" w:line="240" w:lineRule="auto"/>
        <w:jc w:val="center"/>
        <w:rPr>
          <w:rFonts w:ascii="Times New Roman" w:eastAsia="Times New Roman" w:hAnsi="Times New Roman" w:cs="Times New Roman"/>
          <w:b/>
          <w:bCs/>
          <w:color w:val="000000"/>
          <w:sz w:val="24"/>
          <w:szCs w:val="24"/>
        </w:rPr>
      </w:pPr>
      <w:r w:rsidRPr="001D31C5">
        <w:rPr>
          <w:rFonts w:ascii="Times New Roman" w:eastAsia="Times New Roman" w:hAnsi="Times New Roman" w:cs="Times New Roman"/>
          <w:b/>
          <w:sz w:val="24"/>
          <w:szCs w:val="24"/>
        </w:rPr>
        <w:lastRenderedPageBreak/>
        <w:t xml:space="preserve">Table 7:  </w:t>
      </w:r>
      <w:r w:rsidRPr="001D31C5">
        <w:rPr>
          <w:rFonts w:ascii="Times New Roman" w:eastAsia="Times New Roman" w:hAnsi="Times New Roman" w:cs="Times New Roman"/>
          <w:b/>
          <w:bCs/>
          <w:color w:val="000000"/>
          <w:sz w:val="24"/>
          <w:szCs w:val="24"/>
        </w:rPr>
        <w:t>Volatility-adjusted momentum within asset class (1994-2015)</w:t>
      </w:r>
    </w:p>
    <w:p w:rsidR="001D31C5" w:rsidRPr="001D31C5" w:rsidRDefault="001D31C5" w:rsidP="001D31C5">
      <w:pPr>
        <w:spacing w:after="120" w:line="240" w:lineRule="auto"/>
        <w:jc w:val="both"/>
        <w:rPr>
          <w:rFonts w:ascii="Calibri" w:eastAsia="Times New Roman" w:hAnsi="Calibri" w:cs="Times New Roman"/>
        </w:rPr>
      </w:pPr>
      <w:r w:rsidRPr="001D31C5">
        <w:rPr>
          <w:rFonts w:ascii="Times New Roman" w:eastAsia="Times New Roman" w:hAnsi="Times New Roman" w:cs="Times New Roman"/>
          <w:sz w:val="20"/>
          <w:szCs w:val="20"/>
        </w:rPr>
        <w:t xml:space="preserve">This Table presents the performance statistics of portfolios formed on the basis of each asset class sub-components’ performance momentum. The portfolios in Panel A are constructed by performance ranking the sub-components of each asset class using 12 months of return data standardized by the prior 12-month volatility and then by investing in the top 50% of performers, that is, the top half of ‘winners’. Panel B is constructed in the same way but where the portfolio comprises the top 25% of ‘winners’. In both panels, the “winning” sub-asset classes are equally weighted. The 'Equal Momentum' column reports the performance of a strategy that invests 20% in each of the five asset class momentum portfolios. The performance statistics of all the portfolios are based on monthly rebalancing. NB: the portfolios do not consist of short positions in ‘losers’.  </w:t>
      </w:r>
    </w:p>
    <w:tbl>
      <w:tblPr>
        <w:tblW w:w="8392" w:type="dxa"/>
        <w:jc w:val="center"/>
        <w:tblLook w:val="04A0" w:firstRow="1" w:lastRow="0" w:firstColumn="1" w:lastColumn="0" w:noHBand="0" w:noVBand="1"/>
      </w:tblPr>
      <w:tblGrid>
        <w:gridCol w:w="3018"/>
        <w:gridCol w:w="856"/>
        <w:gridCol w:w="794"/>
        <w:gridCol w:w="781"/>
        <w:gridCol w:w="1116"/>
        <w:gridCol w:w="794"/>
        <w:gridCol w:w="1033"/>
      </w:tblGrid>
      <w:tr w:rsidR="001D31C5" w:rsidRPr="001D31C5" w:rsidTr="00D8388F">
        <w:trPr>
          <w:trHeight w:val="300"/>
          <w:jc w:val="center"/>
        </w:trPr>
        <w:tc>
          <w:tcPr>
            <w:tcW w:w="3018"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p>
        </w:tc>
        <w:tc>
          <w:tcPr>
            <w:tcW w:w="856"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Dev. Equity</w:t>
            </w:r>
          </w:p>
        </w:tc>
        <w:tc>
          <w:tcPr>
            <w:tcW w:w="7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Emer. Equity</w:t>
            </w:r>
          </w:p>
        </w:tc>
        <w:tc>
          <w:tcPr>
            <w:tcW w:w="781"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Bonds</w:t>
            </w:r>
          </w:p>
        </w:tc>
        <w:tc>
          <w:tcPr>
            <w:tcW w:w="1116"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roofErr w:type="spellStart"/>
            <w:r w:rsidRPr="001D31C5">
              <w:rPr>
                <w:rFonts w:ascii="Times New Roman" w:eastAsia="Times New Roman" w:hAnsi="Times New Roman" w:cs="Times New Roman"/>
                <w:color w:val="000000"/>
                <w:sz w:val="20"/>
                <w:szCs w:val="20"/>
              </w:rPr>
              <w:t>Comms</w:t>
            </w:r>
            <w:proofErr w:type="spellEnd"/>
            <w:r w:rsidRPr="001D31C5">
              <w:rPr>
                <w:rFonts w:ascii="Times New Roman" w:eastAsia="Times New Roman" w:hAnsi="Times New Roman" w:cs="Times New Roman"/>
                <w:color w:val="000000"/>
                <w:sz w:val="20"/>
                <w:szCs w:val="20"/>
              </w:rPr>
              <w:t>.</w:t>
            </w:r>
          </w:p>
        </w:tc>
        <w:tc>
          <w:tcPr>
            <w:tcW w:w="7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REITs</w:t>
            </w:r>
          </w:p>
        </w:tc>
        <w:tc>
          <w:tcPr>
            <w:tcW w:w="1033"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Equal Mom.</w:t>
            </w:r>
          </w:p>
        </w:tc>
      </w:tr>
      <w:tr w:rsidR="001D31C5" w:rsidRPr="001D31C5" w:rsidTr="00D8388F">
        <w:trPr>
          <w:trHeight w:val="300"/>
          <w:jc w:val="center"/>
        </w:trPr>
        <w:tc>
          <w:tcPr>
            <w:tcW w:w="3874" w:type="dxa"/>
            <w:gridSpan w:val="2"/>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A: Momentum - Top Half</w:t>
            </w:r>
          </w:p>
        </w:tc>
        <w:tc>
          <w:tcPr>
            <w:tcW w:w="7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781"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116"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7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033"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r>
      <w:tr w:rsidR="001D31C5" w:rsidRPr="001D31C5" w:rsidTr="00D8388F">
        <w:trPr>
          <w:trHeight w:val="300"/>
          <w:jc w:val="center"/>
        </w:trPr>
        <w:tc>
          <w:tcPr>
            <w:tcW w:w="3018"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85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10.11</w:t>
            </w:r>
          </w:p>
        </w:tc>
        <w:tc>
          <w:tcPr>
            <w:tcW w:w="7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10.36</w:t>
            </w:r>
          </w:p>
        </w:tc>
        <w:tc>
          <w:tcPr>
            <w:tcW w:w="78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8.43</w:t>
            </w:r>
          </w:p>
        </w:tc>
        <w:tc>
          <w:tcPr>
            <w:tcW w:w="111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8.45</w:t>
            </w:r>
          </w:p>
        </w:tc>
        <w:tc>
          <w:tcPr>
            <w:tcW w:w="7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10.99</w:t>
            </w:r>
          </w:p>
        </w:tc>
        <w:tc>
          <w:tcPr>
            <w:tcW w:w="1033"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10.34</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17.86</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23.94</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9.66</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15.80</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16.56</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13.42</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0.42</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0.32</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0.60</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0.37</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0.50</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0.57</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15.02</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20.01</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10.91</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15.37</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16.21</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11.37</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-26.03</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-31.58</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-8.49</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-21.04</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-24.91</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-22.03</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61.28</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61.42</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20.77</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48.65</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55.87</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45.22</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-0.88</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-0.65</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0.24</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-0.51</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-0.59</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-1.07</w:t>
            </w:r>
          </w:p>
        </w:tc>
      </w:tr>
      <w:tr w:rsidR="001D31C5" w:rsidRPr="001D31C5" w:rsidTr="00D8388F">
        <w:trPr>
          <w:trHeight w:val="300"/>
          <w:jc w:val="center"/>
        </w:trPr>
        <w:tc>
          <w:tcPr>
            <w:tcW w:w="3874" w:type="dxa"/>
            <w:gridSpan w:val="2"/>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B: Momentum - Top Quarter</w:t>
            </w:r>
          </w:p>
        </w:tc>
        <w:tc>
          <w:tcPr>
            <w:tcW w:w="7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781"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1116"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79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1033"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300"/>
          <w:jc w:val="center"/>
        </w:trPr>
        <w:tc>
          <w:tcPr>
            <w:tcW w:w="3018"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85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11.41</w:t>
            </w:r>
          </w:p>
        </w:tc>
        <w:tc>
          <w:tcPr>
            <w:tcW w:w="7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7.42</w:t>
            </w:r>
          </w:p>
        </w:tc>
        <w:tc>
          <w:tcPr>
            <w:tcW w:w="78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8.32</w:t>
            </w:r>
          </w:p>
        </w:tc>
        <w:tc>
          <w:tcPr>
            <w:tcW w:w="111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10.09</w:t>
            </w:r>
          </w:p>
        </w:tc>
        <w:tc>
          <w:tcPr>
            <w:tcW w:w="79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10.61</w:t>
            </w:r>
          </w:p>
        </w:tc>
        <w:tc>
          <w:tcPr>
            <w:tcW w:w="1033"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10.42</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18.04</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25.10</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9.30</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19.67</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17.59</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13.89</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0.49</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0.19</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0.61</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0.38</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0.45</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0.56</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13.28</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22.21</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10.49</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16.63</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15.09</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11.69</w:t>
            </w:r>
          </w:p>
        </w:tc>
      </w:tr>
      <w:tr w:rsidR="001D31C5" w:rsidRPr="001D31C5" w:rsidTr="00D8388F">
        <w:trPr>
          <w:trHeight w:val="300"/>
          <w:jc w:val="center"/>
        </w:trPr>
        <w:tc>
          <w:tcPr>
            <w:tcW w:w="3018"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85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-27.68</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-31.33</w:t>
            </w:r>
          </w:p>
        </w:tc>
        <w:tc>
          <w:tcPr>
            <w:tcW w:w="78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-7.17</w:t>
            </w:r>
          </w:p>
        </w:tc>
        <w:tc>
          <w:tcPr>
            <w:tcW w:w="111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-25.90</w:t>
            </w:r>
          </w:p>
        </w:tc>
        <w:tc>
          <w:tcPr>
            <w:tcW w:w="79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-26.28</w:t>
            </w:r>
          </w:p>
        </w:tc>
        <w:tc>
          <w:tcPr>
            <w:tcW w:w="1033"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-22.89</w:t>
            </w:r>
          </w:p>
        </w:tc>
      </w:tr>
      <w:tr w:rsidR="001D31C5" w:rsidRPr="001D31C5" w:rsidTr="00D8388F">
        <w:trPr>
          <w:trHeight w:val="300"/>
          <w:jc w:val="center"/>
        </w:trPr>
        <w:tc>
          <w:tcPr>
            <w:tcW w:w="3018" w:type="dxa"/>
            <w:tcBorders>
              <w:top w:val="nil"/>
              <w:left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856"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61.74</w:t>
            </w:r>
          </w:p>
        </w:tc>
        <w:tc>
          <w:tcPr>
            <w:tcW w:w="794"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68.12</w:t>
            </w:r>
          </w:p>
        </w:tc>
        <w:tc>
          <w:tcPr>
            <w:tcW w:w="781"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16.96</w:t>
            </w:r>
          </w:p>
        </w:tc>
        <w:tc>
          <w:tcPr>
            <w:tcW w:w="1116"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49.50</w:t>
            </w:r>
          </w:p>
        </w:tc>
        <w:tc>
          <w:tcPr>
            <w:tcW w:w="794"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52.81</w:t>
            </w:r>
          </w:p>
        </w:tc>
        <w:tc>
          <w:tcPr>
            <w:tcW w:w="1033"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46.35</w:t>
            </w:r>
          </w:p>
        </w:tc>
      </w:tr>
      <w:tr w:rsidR="001D31C5" w:rsidRPr="001D31C5" w:rsidTr="00D8388F">
        <w:trPr>
          <w:trHeight w:val="300"/>
          <w:jc w:val="center"/>
        </w:trPr>
        <w:tc>
          <w:tcPr>
            <w:tcW w:w="3018"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856"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-0.98</w:t>
            </w:r>
          </w:p>
        </w:tc>
        <w:tc>
          <w:tcPr>
            <w:tcW w:w="794"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-0.68</w:t>
            </w:r>
          </w:p>
        </w:tc>
        <w:tc>
          <w:tcPr>
            <w:tcW w:w="781"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0.25</w:t>
            </w:r>
          </w:p>
        </w:tc>
        <w:tc>
          <w:tcPr>
            <w:tcW w:w="1116"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-0.37</w:t>
            </w:r>
          </w:p>
        </w:tc>
        <w:tc>
          <w:tcPr>
            <w:tcW w:w="794"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-0.58</w:t>
            </w:r>
          </w:p>
        </w:tc>
        <w:tc>
          <w:tcPr>
            <w:tcW w:w="1033"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w:t>
            </w:r>
          </w:p>
        </w:tc>
      </w:tr>
    </w:tbl>
    <w:p w:rsidR="001D31C5" w:rsidRPr="001D31C5" w:rsidRDefault="001D31C5" w:rsidP="001D31C5">
      <w:pPr>
        <w:spacing w:line="360" w:lineRule="auto"/>
        <w:jc w:val="both"/>
        <w:rPr>
          <w:rFonts w:ascii="Calibri" w:eastAsia="Times New Roman" w:hAnsi="Calibri" w:cs="Times New Roman"/>
        </w:rPr>
      </w:pPr>
    </w:p>
    <w:p w:rsidR="001D31C5" w:rsidRPr="001D31C5" w:rsidRDefault="001D31C5" w:rsidP="001D31C5">
      <w:pPr>
        <w:rPr>
          <w:rFonts w:ascii="Times New Roman" w:eastAsia="Times New Roman" w:hAnsi="Times New Roman" w:cs="Times New Roman"/>
          <w:b/>
        </w:rPr>
      </w:pPr>
      <w:r w:rsidRPr="001D31C5">
        <w:rPr>
          <w:rFonts w:ascii="Times New Roman" w:eastAsia="Times New Roman" w:hAnsi="Times New Roman" w:cs="Times New Roman"/>
          <w:b/>
        </w:rPr>
        <w:br w:type="page"/>
      </w:r>
    </w:p>
    <w:p w:rsidR="001D31C5" w:rsidRPr="001D31C5" w:rsidRDefault="001D31C5" w:rsidP="001D31C5">
      <w:pPr>
        <w:spacing w:after="0" w:line="240" w:lineRule="auto"/>
        <w:jc w:val="center"/>
        <w:rPr>
          <w:rFonts w:ascii="Times New Roman" w:eastAsia="Times New Roman" w:hAnsi="Times New Roman" w:cs="Times New Roman"/>
          <w:b/>
          <w:sz w:val="24"/>
          <w:szCs w:val="24"/>
        </w:rPr>
      </w:pPr>
      <w:r w:rsidRPr="001D31C5">
        <w:rPr>
          <w:rFonts w:ascii="Times New Roman" w:eastAsia="Times New Roman" w:hAnsi="Times New Roman" w:cs="Times New Roman"/>
          <w:b/>
          <w:sz w:val="24"/>
          <w:szCs w:val="24"/>
        </w:rPr>
        <w:lastRenderedPageBreak/>
        <w:t xml:space="preserve">Table 8:  </w:t>
      </w:r>
      <w:r w:rsidRPr="001D31C5">
        <w:rPr>
          <w:rFonts w:ascii="Times New Roman" w:eastAsia="Times New Roman" w:hAnsi="Times New Roman" w:cs="Times New Roman"/>
          <w:b/>
          <w:bCs/>
          <w:color w:val="000000"/>
          <w:sz w:val="24"/>
          <w:szCs w:val="24"/>
        </w:rPr>
        <w:t xml:space="preserve">Volatility-Adjusted momentum and trend following within asset class </w:t>
      </w:r>
    </w:p>
    <w:p w:rsidR="001D31C5" w:rsidRPr="001D31C5" w:rsidRDefault="001D31C5" w:rsidP="001D31C5">
      <w:pPr>
        <w:spacing w:after="120" w:line="240" w:lineRule="auto"/>
        <w:jc w:val="both"/>
        <w:rPr>
          <w:rFonts w:ascii="Calibri" w:eastAsia="Times New Roman" w:hAnsi="Calibri" w:cs="Times New Roman"/>
        </w:rPr>
      </w:pPr>
      <w:r w:rsidRPr="001D31C5">
        <w:rPr>
          <w:rFonts w:ascii="Times New Roman" w:eastAsia="Times New Roman" w:hAnsi="Times New Roman" w:cs="Times New Roman"/>
          <w:sz w:val="20"/>
          <w:szCs w:val="20"/>
        </w:rPr>
        <w:t xml:space="preserve">This Table presents the performance statistics of portfolios formed on the basis of past performance over the previous 12 months. The portfolios in Panels A and C are constructed by performance ranking the sub-components within each asset class using 12 months of return data standardized by the prior 12-month volatility and then by investing in the top 50% of sub-component performers, that is, the top half of ‘winners’. Panels B and D are constructed in the same way but where the portfolio comprises the top 25% of ‘winners’. In panels A and B a trend following filter, based on a 10 month signal, is applied to the indicated broad asset class; in the event that a broad asset class is estimated to be in a downtrend the asset class’ default holding of 20% is placed in the “risk off” asset class, US T-Bills. The portfolio statistics presented in Panels C and D have been generated by applying a trend following filter based on a 10 month signal applied to each sub-component of the five broad asset classes, and where the “risk off” asset class is again US T-Bills. In all four panels the reported portfolios are equally weighted. The 'Equal Momentum' column reports the performance of a strategy that invests 20% in each of the five asset class momentum portfolios. The performance statistics of all the portfolios are based on monthly rebalancing. NB: the portfolios do not consist of short positions in ‘losers’.  </w:t>
      </w:r>
    </w:p>
    <w:tbl>
      <w:tblPr>
        <w:tblW w:w="8448" w:type="dxa"/>
        <w:jc w:val="center"/>
        <w:tblLook w:val="04A0" w:firstRow="1" w:lastRow="0" w:firstColumn="1" w:lastColumn="0" w:noHBand="0" w:noVBand="1"/>
      </w:tblPr>
      <w:tblGrid>
        <w:gridCol w:w="3039"/>
        <w:gridCol w:w="861"/>
        <w:gridCol w:w="799"/>
        <w:gridCol w:w="786"/>
        <w:gridCol w:w="1124"/>
        <w:gridCol w:w="799"/>
        <w:gridCol w:w="1040"/>
      </w:tblGrid>
      <w:tr w:rsidR="001D31C5" w:rsidRPr="001D31C5" w:rsidTr="00D8388F">
        <w:trPr>
          <w:trHeight w:val="300"/>
          <w:jc w:val="center"/>
        </w:trPr>
        <w:tc>
          <w:tcPr>
            <w:tcW w:w="303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p>
        </w:tc>
        <w:tc>
          <w:tcPr>
            <w:tcW w:w="861"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Dev. Equity</w:t>
            </w:r>
          </w:p>
        </w:tc>
        <w:tc>
          <w:tcPr>
            <w:tcW w:w="79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Emer. Equity</w:t>
            </w:r>
          </w:p>
        </w:tc>
        <w:tc>
          <w:tcPr>
            <w:tcW w:w="786"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Bonds</w:t>
            </w:r>
          </w:p>
        </w:tc>
        <w:tc>
          <w:tcPr>
            <w:tcW w:w="112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roofErr w:type="spellStart"/>
            <w:r w:rsidRPr="001D31C5">
              <w:rPr>
                <w:rFonts w:ascii="Times New Roman" w:eastAsia="Times New Roman" w:hAnsi="Times New Roman" w:cs="Times New Roman"/>
                <w:color w:val="000000"/>
                <w:sz w:val="20"/>
                <w:szCs w:val="20"/>
              </w:rPr>
              <w:t>Comms</w:t>
            </w:r>
            <w:proofErr w:type="spellEnd"/>
            <w:r w:rsidRPr="001D31C5">
              <w:rPr>
                <w:rFonts w:ascii="Times New Roman" w:eastAsia="Times New Roman" w:hAnsi="Times New Roman" w:cs="Times New Roman"/>
                <w:color w:val="000000"/>
                <w:sz w:val="20"/>
                <w:szCs w:val="20"/>
              </w:rPr>
              <w:t>.</w:t>
            </w:r>
          </w:p>
        </w:tc>
        <w:tc>
          <w:tcPr>
            <w:tcW w:w="79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REITs</w:t>
            </w:r>
          </w:p>
        </w:tc>
        <w:tc>
          <w:tcPr>
            <w:tcW w:w="1040"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Equal Mom.</w:t>
            </w:r>
          </w:p>
        </w:tc>
      </w:tr>
      <w:tr w:rsidR="001D31C5" w:rsidRPr="001D31C5" w:rsidTr="00D8388F">
        <w:trPr>
          <w:trHeight w:val="300"/>
          <w:jc w:val="center"/>
        </w:trPr>
        <w:tc>
          <w:tcPr>
            <w:tcW w:w="5485" w:type="dxa"/>
            <w:gridSpan w:val="4"/>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A: Momentum Only - Top Half, TF Asset Class Filter</w:t>
            </w:r>
          </w:p>
        </w:tc>
        <w:tc>
          <w:tcPr>
            <w:tcW w:w="112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79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1040"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r>
      <w:tr w:rsidR="001D31C5" w:rsidRPr="001D31C5" w:rsidTr="00D8388F">
        <w:trPr>
          <w:trHeight w:val="300"/>
          <w:jc w:val="center"/>
        </w:trPr>
        <w:tc>
          <w:tcPr>
            <w:tcW w:w="3039"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86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13.34</w:t>
            </w:r>
          </w:p>
        </w:tc>
        <w:tc>
          <w:tcPr>
            <w:tcW w:w="79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12.49</w:t>
            </w:r>
          </w:p>
        </w:tc>
        <w:tc>
          <w:tcPr>
            <w:tcW w:w="78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6.70</w:t>
            </w:r>
          </w:p>
        </w:tc>
        <w:tc>
          <w:tcPr>
            <w:tcW w:w="112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9.94</w:t>
            </w:r>
          </w:p>
        </w:tc>
        <w:tc>
          <w:tcPr>
            <w:tcW w:w="79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9.33</w:t>
            </w:r>
          </w:p>
        </w:tc>
        <w:tc>
          <w:tcPr>
            <w:tcW w:w="1040"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10.78</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11.97</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16.04</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9.11</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12.20</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11.19</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8.25</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0.89</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0.61</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0.45</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0.60</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0.60</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0.99</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11.45</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19.71</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10.91</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15.37</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13.59</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8.19</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-13.84</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-14.11</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-8.49</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-16.36</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-9.95</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-8.21</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16.05</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27.84</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17.12</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29.97</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17.65</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11.25</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-0.20</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0.68</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0.32</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-0.09</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0.17</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0.01</w:t>
            </w:r>
          </w:p>
        </w:tc>
      </w:tr>
      <w:tr w:rsidR="001D31C5" w:rsidRPr="001D31C5" w:rsidTr="00D8388F">
        <w:trPr>
          <w:trHeight w:val="300"/>
          <w:jc w:val="center"/>
        </w:trPr>
        <w:tc>
          <w:tcPr>
            <w:tcW w:w="6609" w:type="dxa"/>
            <w:gridSpan w:val="5"/>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B: Momentum Only - Top Quarter, TF Asset Class Filter</w:t>
            </w:r>
          </w:p>
        </w:tc>
        <w:tc>
          <w:tcPr>
            <w:tcW w:w="79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1040"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300"/>
          <w:jc w:val="center"/>
        </w:trPr>
        <w:tc>
          <w:tcPr>
            <w:tcW w:w="3039"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86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14.27</w:t>
            </w:r>
          </w:p>
        </w:tc>
        <w:tc>
          <w:tcPr>
            <w:tcW w:w="79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11.36</w:t>
            </w:r>
          </w:p>
        </w:tc>
        <w:tc>
          <w:tcPr>
            <w:tcW w:w="78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6.54</w:t>
            </w:r>
          </w:p>
        </w:tc>
        <w:tc>
          <w:tcPr>
            <w:tcW w:w="112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12.33</w:t>
            </w:r>
          </w:p>
        </w:tc>
        <w:tc>
          <w:tcPr>
            <w:tcW w:w="79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7.89</w:t>
            </w:r>
          </w:p>
        </w:tc>
        <w:tc>
          <w:tcPr>
            <w:tcW w:w="1040"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11.02</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12.64</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16.95</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8.77</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15.45</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12.58</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8.81</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0.92</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0.51</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0.44</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0.63</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0.42</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0.95</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13.28</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22.21</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10.49</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16.63</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13.82</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9.56</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tabs>
                <w:tab w:val="center" w:pos="4513"/>
                <w:tab w:val="right" w:pos="9026"/>
              </w:tabs>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-13.97</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-15.17</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-7.17</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-16.94</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-12.73</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-8.57</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tabs>
                <w:tab w:val="center" w:pos="4513"/>
                <w:tab w:val="right" w:pos="9026"/>
              </w:tabs>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14.39</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31.61</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13.66</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36.60</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31.03</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10.44</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tabs>
                <w:tab w:val="center" w:pos="4513"/>
                <w:tab w:val="right" w:pos="9026"/>
              </w:tabs>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0.05</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0.41</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0.38</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0.07</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0.01</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0.12</w:t>
            </w:r>
          </w:p>
        </w:tc>
      </w:tr>
      <w:tr w:rsidR="001D31C5" w:rsidRPr="001D31C5" w:rsidTr="00D8388F">
        <w:trPr>
          <w:trHeight w:val="300"/>
          <w:jc w:val="center"/>
        </w:trPr>
        <w:tc>
          <w:tcPr>
            <w:tcW w:w="5485" w:type="dxa"/>
            <w:gridSpan w:val="4"/>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C: Momentum Only - Top Half, Individual TF</w:t>
            </w:r>
          </w:p>
        </w:tc>
        <w:tc>
          <w:tcPr>
            <w:tcW w:w="112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79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1040"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300"/>
          <w:jc w:val="center"/>
        </w:trPr>
        <w:tc>
          <w:tcPr>
            <w:tcW w:w="3039"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86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11.93</w:t>
            </w:r>
          </w:p>
        </w:tc>
        <w:tc>
          <w:tcPr>
            <w:tcW w:w="79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12.27</w:t>
            </w:r>
          </w:p>
        </w:tc>
        <w:tc>
          <w:tcPr>
            <w:tcW w:w="78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8.23</w:t>
            </w:r>
          </w:p>
        </w:tc>
        <w:tc>
          <w:tcPr>
            <w:tcW w:w="112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9.96</w:t>
            </w:r>
          </w:p>
        </w:tc>
        <w:tc>
          <w:tcPr>
            <w:tcW w:w="79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9.79</w:t>
            </w:r>
          </w:p>
        </w:tc>
        <w:tc>
          <w:tcPr>
            <w:tcW w:w="1040"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10.87</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12.43</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17.34</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9.55</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12.71</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11.17</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9.15</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0.75</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0.56</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0.58</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0.58</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0.64</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0.90</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11.45</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19.24</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9.16</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12.67</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11.02</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8.67</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-13.84</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-14.11</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-8.49</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-13.83</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-7.84</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-7.57</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22.69</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36.09</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21.68</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35.60</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15.47</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15.25</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-0.33</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0.40</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0.20</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-0.02</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-0.02</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0.00</w:t>
            </w:r>
          </w:p>
        </w:tc>
      </w:tr>
      <w:tr w:rsidR="001D31C5" w:rsidRPr="001D31C5" w:rsidTr="00D8388F">
        <w:trPr>
          <w:trHeight w:val="300"/>
          <w:jc w:val="center"/>
        </w:trPr>
        <w:tc>
          <w:tcPr>
            <w:tcW w:w="5485" w:type="dxa"/>
            <w:gridSpan w:val="4"/>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i/>
                <w:iCs/>
                <w:color w:val="000000"/>
                <w:sz w:val="20"/>
                <w:szCs w:val="20"/>
              </w:rPr>
            </w:pPr>
            <w:r w:rsidRPr="001D31C5">
              <w:rPr>
                <w:rFonts w:ascii="Times New Roman" w:eastAsia="Times New Roman" w:hAnsi="Times New Roman" w:cs="Times New Roman"/>
                <w:i/>
                <w:iCs/>
                <w:color w:val="000000"/>
                <w:sz w:val="20"/>
                <w:szCs w:val="20"/>
              </w:rPr>
              <w:t>Panel D: Momentum Only - Top Quarter, Individual TF</w:t>
            </w:r>
          </w:p>
        </w:tc>
        <w:tc>
          <w:tcPr>
            <w:tcW w:w="1124"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79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1040"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300"/>
          <w:jc w:val="center"/>
        </w:trPr>
        <w:tc>
          <w:tcPr>
            <w:tcW w:w="3039"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861"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13.34</w:t>
            </w:r>
          </w:p>
        </w:tc>
        <w:tc>
          <w:tcPr>
            <w:tcW w:w="79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9.61</w:t>
            </w:r>
          </w:p>
        </w:tc>
        <w:tc>
          <w:tcPr>
            <w:tcW w:w="786"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8.07</w:t>
            </w:r>
          </w:p>
        </w:tc>
        <w:tc>
          <w:tcPr>
            <w:tcW w:w="1124"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12.60</w:t>
            </w:r>
          </w:p>
        </w:tc>
        <w:tc>
          <w:tcPr>
            <w:tcW w:w="79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10.58</w:t>
            </w:r>
          </w:p>
        </w:tc>
        <w:tc>
          <w:tcPr>
            <w:tcW w:w="1040"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11.47</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13.76</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19.46</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9.26</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17.04</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13.85</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10.48</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0.78</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0.36</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0.59</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0.58</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0.57</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0.84</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tabs>
                <w:tab w:val="center" w:pos="4513"/>
                <w:tab w:val="right" w:pos="9026"/>
              </w:tabs>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13.28</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22.21</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9.59</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16.63</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13.82</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9.44</w:t>
            </w:r>
          </w:p>
        </w:tc>
      </w:tr>
      <w:tr w:rsidR="001D31C5" w:rsidRPr="001D31C5" w:rsidTr="00D8388F">
        <w:trPr>
          <w:trHeight w:val="300"/>
          <w:jc w:val="center"/>
        </w:trPr>
        <w:tc>
          <w:tcPr>
            <w:tcW w:w="3039" w:type="dxa"/>
            <w:tcBorders>
              <w:top w:val="nil"/>
              <w:left w:val="nil"/>
              <w:bottom w:val="nil"/>
              <w:right w:val="nil"/>
            </w:tcBorders>
            <w:shd w:val="clear" w:color="auto" w:fill="auto"/>
            <w:noWrap/>
            <w:vAlign w:val="bottom"/>
            <w:hideMark/>
          </w:tcPr>
          <w:p w:rsidR="001D31C5" w:rsidRPr="001D31C5" w:rsidRDefault="001D31C5" w:rsidP="001D31C5">
            <w:pPr>
              <w:tabs>
                <w:tab w:val="center" w:pos="4513"/>
                <w:tab w:val="right" w:pos="9026"/>
              </w:tabs>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861"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-13.97</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-15.17</w:t>
            </w:r>
          </w:p>
        </w:tc>
        <w:tc>
          <w:tcPr>
            <w:tcW w:w="786"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-7.17</w:t>
            </w:r>
          </w:p>
        </w:tc>
        <w:tc>
          <w:tcPr>
            <w:tcW w:w="1124"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-16.94</w:t>
            </w:r>
          </w:p>
        </w:tc>
        <w:tc>
          <w:tcPr>
            <w:tcW w:w="79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-11.96</w:t>
            </w:r>
          </w:p>
        </w:tc>
        <w:tc>
          <w:tcPr>
            <w:tcW w:w="104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-8.57</w:t>
            </w:r>
          </w:p>
        </w:tc>
      </w:tr>
      <w:tr w:rsidR="001D31C5" w:rsidRPr="001D31C5" w:rsidTr="00D8388F">
        <w:trPr>
          <w:trHeight w:val="300"/>
          <w:jc w:val="center"/>
        </w:trPr>
        <w:tc>
          <w:tcPr>
            <w:tcW w:w="3039" w:type="dxa"/>
            <w:tcBorders>
              <w:top w:val="nil"/>
              <w:left w:val="nil"/>
              <w:right w:val="nil"/>
            </w:tcBorders>
            <w:shd w:val="clear" w:color="auto" w:fill="auto"/>
            <w:noWrap/>
            <w:vAlign w:val="bottom"/>
            <w:hideMark/>
          </w:tcPr>
          <w:p w:rsidR="001D31C5" w:rsidRPr="001D31C5" w:rsidRDefault="001D31C5" w:rsidP="001D31C5">
            <w:pPr>
              <w:tabs>
                <w:tab w:val="center" w:pos="4513"/>
                <w:tab w:val="right" w:pos="9026"/>
              </w:tabs>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861"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24.56</w:t>
            </w:r>
          </w:p>
        </w:tc>
        <w:tc>
          <w:tcPr>
            <w:tcW w:w="799"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43.13</w:t>
            </w:r>
          </w:p>
        </w:tc>
        <w:tc>
          <w:tcPr>
            <w:tcW w:w="786"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19.39</w:t>
            </w:r>
          </w:p>
        </w:tc>
        <w:tc>
          <w:tcPr>
            <w:tcW w:w="1124"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40.76</w:t>
            </w:r>
          </w:p>
        </w:tc>
        <w:tc>
          <w:tcPr>
            <w:tcW w:w="799"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25.73</w:t>
            </w:r>
          </w:p>
        </w:tc>
        <w:tc>
          <w:tcPr>
            <w:tcW w:w="1040"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15.46</w:t>
            </w:r>
          </w:p>
        </w:tc>
      </w:tr>
      <w:tr w:rsidR="001D31C5" w:rsidRPr="001D31C5" w:rsidTr="00D8388F">
        <w:trPr>
          <w:trHeight w:val="300"/>
          <w:jc w:val="center"/>
        </w:trPr>
        <w:tc>
          <w:tcPr>
            <w:tcW w:w="3039" w:type="dxa"/>
            <w:tcBorders>
              <w:top w:val="nil"/>
              <w:left w:val="nil"/>
              <w:bottom w:val="single" w:sz="4" w:space="0" w:color="auto"/>
              <w:right w:val="nil"/>
            </w:tcBorders>
            <w:shd w:val="clear" w:color="auto" w:fill="auto"/>
            <w:noWrap/>
            <w:vAlign w:val="bottom"/>
            <w:hideMark/>
          </w:tcPr>
          <w:p w:rsidR="001D31C5" w:rsidRPr="001D31C5" w:rsidRDefault="001D31C5" w:rsidP="001D31C5">
            <w:pPr>
              <w:tabs>
                <w:tab w:val="center" w:pos="4513"/>
                <w:tab w:val="right" w:pos="9026"/>
              </w:tabs>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861"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-0.07</w:t>
            </w:r>
          </w:p>
        </w:tc>
        <w:tc>
          <w:tcPr>
            <w:tcW w:w="799"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0.10</w:t>
            </w:r>
          </w:p>
        </w:tc>
        <w:tc>
          <w:tcPr>
            <w:tcW w:w="786"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0.19</w:t>
            </w:r>
          </w:p>
        </w:tc>
        <w:tc>
          <w:tcPr>
            <w:tcW w:w="1124"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0.08</w:t>
            </w:r>
          </w:p>
        </w:tc>
        <w:tc>
          <w:tcPr>
            <w:tcW w:w="799"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-0.02</w:t>
            </w:r>
          </w:p>
        </w:tc>
        <w:tc>
          <w:tcPr>
            <w:tcW w:w="1040"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0.06</w:t>
            </w:r>
          </w:p>
        </w:tc>
      </w:tr>
    </w:tbl>
    <w:p w:rsidR="001D31C5" w:rsidRPr="001D31C5" w:rsidRDefault="001D31C5" w:rsidP="001D31C5">
      <w:pPr>
        <w:spacing w:line="360" w:lineRule="auto"/>
        <w:jc w:val="both"/>
        <w:rPr>
          <w:rFonts w:ascii="Calibri" w:eastAsia="Times New Roman" w:hAnsi="Calibri" w:cs="Times New Roman"/>
        </w:rPr>
      </w:pPr>
    </w:p>
    <w:p w:rsidR="001D31C5" w:rsidRPr="001D31C5" w:rsidRDefault="001D31C5" w:rsidP="001D31C5">
      <w:pPr>
        <w:spacing w:line="360" w:lineRule="auto"/>
        <w:jc w:val="both"/>
        <w:rPr>
          <w:rFonts w:ascii="Calibri" w:eastAsia="Times New Roman" w:hAnsi="Calibri" w:cs="Times New Roman"/>
        </w:rPr>
        <w:sectPr w:rsidR="001D31C5" w:rsidRPr="001D31C5" w:rsidSect="00D8388F">
          <w:pgSz w:w="11906" w:h="16838"/>
          <w:pgMar w:top="1440" w:right="1440" w:bottom="1440" w:left="1440" w:header="708" w:footer="708" w:gutter="0"/>
          <w:cols w:space="708"/>
          <w:docGrid w:linePitch="360"/>
        </w:sectPr>
      </w:pPr>
    </w:p>
    <w:p w:rsidR="001D31C5" w:rsidRPr="001D31C5" w:rsidRDefault="001D31C5" w:rsidP="001D31C5">
      <w:pPr>
        <w:spacing w:after="0" w:line="240" w:lineRule="auto"/>
        <w:jc w:val="center"/>
        <w:rPr>
          <w:rFonts w:ascii="Times New Roman" w:eastAsia="Times New Roman" w:hAnsi="Times New Roman" w:cs="Times New Roman"/>
          <w:b/>
          <w:bCs/>
          <w:color w:val="000000"/>
          <w:sz w:val="24"/>
          <w:szCs w:val="24"/>
        </w:rPr>
      </w:pPr>
      <w:r w:rsidRPr="001D31C5">
        <w:rPr>
          <w:rFonts w:ascii="Times New Roman" w:eastAsia="Times New Roman" w:hAnsi="Times New Roman" w:cs="Times New Roman"/>
          <w:b/>
          <w:bCs/>
          <w:color w:val="000000"/>
          <w:sz w:val="24"/>
          <w:szCs w:val="24"/>
        </w:rPr>
        <w:lastRenderedPageBreak/>
        <w:t>Table 9:  Volatility-Adjusted Momentum across Asset Classes (1994-2015)</w:t>
      </w:r>
    </w:p>
    <w:p w:rsidR="001D31C5" w:rsidRPr="001D31C5" w:rsidRDefault="001D31C5" w:rsidP="001D31C5">
      <w:pPr>
        <w:spacing w:after="120" w:line="240" w:lineRule="auto"/>
        <w:ind w:left="1418" w:right="1342"/>
        <w:jc w:val="both"/>
        <w:rPr>
          <w:rFonts w:ascii="Times New Roman" w:eastAsia="Times New Roman" w:hAnsi="Times New Roman" w:cs="Times New Roman"/>
          <w:sz w:val="20"/>
          <w:szCs w:val="20"/>
        </w:rPr>
      </w:pPr>
      <w:r w:rsidRPr="001D31C5">
        <w:rPr>
          <w:rFonts w:ascii="Times New Roman" w:eastAsia="Times New Roman" w:hAnsi="Times New Roman" w:cs="Times New Roman"/>
          <w:sz w:val="20"/>
          <w:szCs w:val="20"/>
        </w:rPr>
        <w:t>This Table presents the performance statistics of portfolios formed on the basis of each asset class sub-components’ performance momentum.  The portfolio formation process was applied to all 95 individual sub-components, regardless of their asset class.  The portfolios are constructed by performance ranking the sub-components using 12 months of return data standardized by the prior 12-month volatility and then by investing in the top five performers (column 1), the top ten performers (column 2), etc.  Positions are equally-weighted within the portfolio.  The performance statistics of all the portfolios are based on monthly rebalancing.</w:t>
      </w:r>
      <w:r w:rsidRPr="001D31C5">
        <w:rPr>
          <w:rFonts w:ascii="Calibri" w:eastAsia="Times New Roman" w:hAnsi="Calibri" w:cs="Times New Roman"/>
          <w:sz w:val="20"/>
          <w:szCs w:val="20"/>
        </w:rPr>
        <w:t xml:space="preserve"> </w:t>
      </w:r>
      <w:r w:rsidRPr="001D31C5">
        <w:rPr>
          <w:rFonts w:ascii="Times New Roman" w:eastAsia="Times New Roman" w:hAnsi="Times New Roman" w:cs="Times New Roman"/>
          <w:sz w:val="20"/>
          <w:szCs w:val="20"/>
        </w:rPr>
        <w:t xml:space="preserve">NB: the portfolios do not consist of short positions in ‘losers’.  </w:t>
      </w:r>
    </w:p>
    <w:tbl>
      <w:tblPr>
        <w:tblW w:w="11140" w:type="dxa"/>
        <w:jc w:val="center"/>
        <w:tblLook w:val="04A0" w:firstRow="1" w:lastRow="0" w:firstColumn="1" w:lastColumn="0" w:noHBand="0" w:noVBand="1"/>
      </w:tblPr>
      <w:tblGrid>
        <w:gridCol w:w="3310"/>
        <w:gridCol w:w="870"/>
        <w:gridCol w:w="870"/>
        <w:gridCol w:w="870"/>
        <w:gridCol w:w="870"/>
        <w:gridCol w:w="870"/>
        <w:gridCol w:w="870"/>
        <w:gridCol w:w="870"/>
        <w:gridCol w:w="870"/>
        <w:gridCol w:w="870"/>
      </w:tblGrid>
      <w:tr w:rsidR="001D31C5" w:rsidRPr="001D31C5" w:rsidTr="00D8388F">
        <w:trPr>
          <w:trHeight w:val="300"/>
          <w:jc w:val="center"/>
        </w:trPr>
        <w:tc>
          <w:tcPr>
            <w:tcW w:w="3310" w:type="dxa"/>
            <w:tcBorders>
              <w:top w:val="single" w:sz="4" w:space="0" w:color="auto"/>
              <w:left w:val="nil"/>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p>
        </w:tc>
        <w:tc>
          <w:tcPr>
            <w:tcW w:w="7830" w:type="dxa"/>
            <w:gridSpan w:val="9"/>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Number of Positions</w:t>
            </w:r>
          </w:p>
        </w:tc>
      </w:tr>
      <w:tr w:rsidR="001D31C5" w:rsidRPr="001D31C5" w:rsidTr="00D8388F">
        <w:trPr>
          <w:trHeight w:val="300"/>
          <w:jc w:val="center"/>
        </w:trPr>
        <w:tc>
          <w:tcPr>
            <w:tcW w:w="3310"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870"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5</w:t>
            </w:r>
          </w:p>
        </w:tc>
        <w:tc>
          <w:tcPr>
            <w:tcW w:w="870"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10</w:t>
            </w:r>
          </w:p>
        </w:tc>
        <w:tc>
          <w:tcPr>
            <w:tcW w:w="870"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15</w:t>
            </w:r>
          </w:p>
        </w:tc>
        <w:tc>
          <w:tcPr>
            <w:tcW w:w="870"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20</w:t>
            </w:r>
          </w:p>
        </w:tc>
        <w:tc>
          <w:tcPr>
            <w:tcW w:w="870"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25</w:t>
            </w:r>
          </w:p>
        </w:tc>
        <w:tc>
          <w:tcPr>
            <w:tcW w:w="870"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30</w:t>
            </w:r>
          </w:p>
        </w:tc>
        <w:tc>
          <w:tcPr>
            <w:tcW w:w="870"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40</w:t>
            </w:r>
          </w:p>
        </w:tc>
        <w:tc>
          <w:tcPr>
            <w:tcW w:w="870"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50</w:t>
            </w:r>
          </w:p>
        </w:tc>
        <w:tc>
          <w:tcPr>
            <w:tcW w:w="870"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All</w:t>
            </w:r>
          </w:p>
        </w:tc>
      </w:tr>
      <w:tr w:rsidR="001D31C5" w:rsidRPr="001D31C5" w:rsidTr="00D8388F">
        <w:trPr>
          <w:trHeight w:val="300"/>
          <w:jc w:val="center"/>
        </w:trPr>
        <w:tc>
          <w:tcPr>
            <w:tcW w:w="3310"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870"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13.21</w:t>
            </w:r>
          </w:p>
        </w:tc>
        <w:tc>
          <w:tcPr>
            <w:tcW w:w="870"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13.55</w:t>
            </w:r>
          </w:p>
        </w:tc>
        <w:tc>
          <w:tcPr>
            <w:tcW w:w="870"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13.78</w:t>
            </w:r>
          </w:p>
        </w:tc>
        <w:tc>
          <w:tcPr>
            <w:tcW w:w="870"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13.80</w:t>
            </w:r>
          </w:p>
        </w:tc>
        <w:tc>
          <w:tcPr>
            <w:tcW w:w="870"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13.46</w:t>
            </w:r>
          </w:p>
        </w:tc>
        <w:tc>
          <w:tcPr>
            <w:tcW w:w="870"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13.27</w:t>
            </w:r>
          </w:p>
        </w:tc>
        <w:tc>
          <w:tcPr>
            <w:tcW w:w="870"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12.23</w:t>
            </w:r>
          </w:p>
        </w:tc>
        <w:tc>
          <w:tcPr>
            <w:tcW w:w="870"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11.07</w:t>
            </w:r>
          </w:p>
        </w:tc>
        <w:tc>
          <w:tcPr>
            <w:tcW w:w="870"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8.02</w:t>
            </w:r>
          </w:p>
        </w:tc>
      </w:tr>
      <w:tr w:rsidR="001D31C5" w:rsidRPr="001D31C5" w:rsidTr="00D8388F">
        <w:trPr>
          <w:trHeight w:val="300"/>
          <w:jc w:val="center"/>
        </w:trPr>
        <w:tc>
          <w:tcPr>
            <w:tcW w:w="3310"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17.47</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14.37</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13.62</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13.11</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12.69</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12.55</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12.48</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12.64</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13.32</w:t>
            </w:r>
          </w:p>
        </w:tc>
      </w:tr>
      <w:tr w:rsidR="001D31C5" w:rsidRPr="001D31C5" w:rsidTr="00D8388F">
        <w:trPr>
          <w:trHeight w:val="300"/>
          <w:jc w:val="center"/>
        </w:trPr>
        <w:tc>
          <w:tcPr>
            <w:tcW w:w="3310"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0.61</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0.76</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0.82</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0.85</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0.85</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0.85</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0.77</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0.67</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0.40</w:t>
            </w:r>
          </w:p>
        </w:tc>
      </w:tr>
      <w:tr w:rsidR="001D31C5" w:rsidRPr="001D31C5" w:rsidTr="00D8388F">
        <w:trPr>
          <w:trHeight w:val="300"/>
          <w:jc w:val="center"/>
        </w:trPr>
        <w:tc>
          <w:tcPr>
            <w:tcW w:w="3310"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20.58</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11.34</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11.38</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12.52</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11.17</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10.11</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9.95</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10.27</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11.84</w:t>
            </w:r>
          </w:p>
        </w:tc>
      </w:tr>
      <w:tr w:rsidR="001D31C5" w:rsidRPr="001D31C5" w:rsidTr="00D8388F">
        <w:trPr>
          <w:trHeight w:val="300"/>
          <w:jc w:val="center"/>
        </w:trPr>
        <w:tc>
          <w:tcPr>
            <w:tcW w:w="3310"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-12.77</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-15.40</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-15.67</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-14.37</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-14.36</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-14.79</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-15.67</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-18.80</w:t>
            </w:r>
          </w:p>
        </w:tc>
        <w:tc>
          <w:tcPr>
            <w:tcW w:w="870"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-21.54</w:t>
            </w:r>
          </w:p>
        </w:tc>
      </w:tr>
      <w:tr w:rsidR="001D31C5" w:rsidRPr="001D31C5" w:rsidTr="00D8388F">
        <w:trPr>
          <w:trHeight w:val="300"/>
          <w:jc w:val="center"/>
        </w:trPr>
        <w:tc>
          <w:tcPr>
            <w:tcW w:w="3310" w:type="dxa"/>
            <w:tcBorders>
              <w:top w:val="nil"/>
              <w:left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870"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35.67</w:t>
            </w:r>
          </w:p>
        </w:tc>
        <w:tc>
          <w:tcPr>
            <w:tcW w:w="870"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35.70</w:t>
            </w:r>
          </w:p>
        </w:tc>
        <w:tc>
          <w:tcPr>
            <w:tcW w:w="870"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33.51</w:t>
            </w:r>
          </w:p>
        </w:tc>
        <w:tc>
          <w:tcPr>
            <w:tcW w:w="870"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32.33</w:t>
            </w:r>
          </w:p>
        </w:tc>
        <w:tc>
          <w:tcPr>
            <w:tcW w:w="870"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29.02</w:t>
            </w:r>
          </w:p>
        </w:tc>
        <w:tc>
          <w:tcPr>
            <w:tcW w:w="870"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30.65</w:t>
            </w:r>
          </w:p>
        </w:tc>
        <w:tc>
          <w:tcPr>
            <w:tcW w:w="870"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35.69</w:t>
            </w:r>
          </w:p>
        </w:tc>
        <w:tc>
          <w:tcPr>
            <w:tcW w:w="870"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41.21</w:t>
            </w:r>
          </w:p>
        </w:tc>
        <w:tc>
          <w:tcPr>
            <w:tcW w:w="870"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45.48</w:t>
            </w:r>
          </w:p>
        </w:tc>
      </w:tr>
      <w:tr w:rsidR="001D31C5" w:rsidRPr="001D31C5" w:rsidTr="00D8388F">
        <w:trPr>
          <w:trHeight w:val="300"/>
          <w:jc w:val="center"/>
        </w:trPr>
        <w:tc>
          <w:tcPr>
            <w:tcW w:w="3310"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870"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0.19</w:t>
            </w:r>
          </w:p>
        </w:tc>
        <w:tc>
          <w:tcPr>
            <w:tcW w:w="870"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-0.13</w:t>
            </w:r>
          </w:p>
        </w:tc>
        <w:tc>
          <w:tcPr>
            <w:tcW w:w="870"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-0.25</w:t>
            </w:r>
          </w:p>
        </w:tc>
        <w:tc>
          <w:tcPr>
            <w:tcW w:w="870"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-0.30</w:t>
            </w:r>
          </w:p>
        </w:tc>
        <w:tc>
          <w:tcPr>
            <w:tcW w:w="870"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-0.36</w:t>
            </w:r>
          </w:p>
        </w:tc>
        <w:tc>
          <w:tcPr>
            <w:tcW w:w="870"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-0.37</w:t>
            </w:r>
          </w:p>
        </w:tc>
        <w:tc>
          <w:tcPr>
            <w:tcW w:w="870"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-0.55</w:t>
            </w:r>
          </w:p>
        </w:tc>
        <w:tc>
          <w:tcPr>
            <w:tcW w:w="870"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-0.82</w:t>
            </w:r>
          </w:p>
        </w:tc>
        <w:tc>
          <w:tcPr>
            <w:tcW w:w="870"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-1.02</w:t>
            </w:r>
          </w:p>
        </w:tc>
      </w:tr>
    </w:tbl>
    <w:p w:rsidR="001D31C5" w:rsidRPr="001D31C5" w:rsidRDefault="001D31C5" w:rsidP="001D31C5">
      <w:pPr>
        <w:spacing w:line="360" w:lineRule="auto"/>
        <w:jc w:val="both"/>
        <w:rPr>
          <w:rFonts w:ascii="Calibri" w:eastAsia="Times New Roman" w:hAnsi="Calibri" w:cs="Times New Roman"/>
        </w:rPr>
      </w:pPr>
    </w:p>
    <w:p w:rsidR="001D31C5" w:rsidRPr="001D31C5" w:rsidRDefault="001D31C5" w:rsidP="001D31C5">
      <w:pPr>
        <w:spacing w:line="360" w:lineRule="auto"/>
        <w:jc w:val="both"/>
        <w:rPr>
          <w:rFonts w:ascii="Calibri" w:eastAsia="Times New Roman" w:hAnsi="Calibri" w:cs="Times New Roman"/>
        </w:rPr>
      </w:pPr>
    </w:p>
    <w:p w:rsidR="001D31C5" w:rsidRPr="001D31C5" w:rsidRDefault="001D31C5" w:rsidP="001D31C5">
      <w:pPr>
        <w:rPr>
          <w:rFonts w:ascii="Times New Roman" w:eastAsia="Times New Roman" w:hAnsi="Times New Roman" w:cs="Times New Roman"/>
          <w:b/>
          <w:bCs/>
          <w:color w:val="000000"/>
        </w:rPr>
      </w:pPr>
      <w:r w:rsidRPr="001D31C5">
        <w:rPr>
          <w:rFonts w:ascii="Times New Roman" w:eastAsia="Times New Roman" w:hAnsi="Times New Roman" w:cs="Times New Roman"/>
          <w:b/>
          <w:bCs/>
          <w:color w:val="000000"/>
        </w:rPr>
        <w:br w:type="page"/>
      </w:r>
    </w:p>
    <w:p w:rsidR="001D31C5" w:rsidRPr="001D31C5" w:rsidRDefault="001D31C5" w:rsidP="001D31C5">
      <w:pPr>
        <w:spacing w:after="0" w:line="240" w:lineRule="auto"/>
        <w:jc w:val="center"/>
        <w:rPr>
          <w:rFonts w:ascii="Times New Roman" w:eastAsia="Times New Roman" w:hAnsi="Times New Roman" w:cs="Times New Roman"/>
          <w:b/>
          <w:bCs/>
          <w:color w:val="000000"/>
          <w:sz w:val="24"/>
          <w:szCs w:val="24"/>
        </w:rPr>
      </w:pPr>
      <w:r w:rsidRPr="001D31C5">
        <w:rPr>
          <w:rFonts w:ascii="Times New Roman" w:eastAsia="Times New Roman" w:hAnsi="Times New Roman" w:cs="Times New Roman"/>
          <w:b/>
          <w:bCs/>
          <w:color w:val="000000"/>
          <w:sz w:val="24"/>
          <w:szCs w:val="24"/>
        </w:rPr>
        <w:lastRenderedPageBreak/>
        <w:t>Table 10:  Volatility-Adjusted Momentum and Trend Following across Asset Classes (1994-2015)</w:t>
      </w:r>
    </w:p>
    <w:p w:rsidR="001D31C5" w:rsidRPr="001D31C5" w:rsidRDefault="001D31C5" w:rsidP="001D31C5">
      <w:pPr>
        <w:spacing w:after="120" w:line="240" w:lineRule="auto"/>
        <w:ind w:left="1418" w:right="1342"/>
        <w:jc w:val="both"/>
        <w:rPr>
          <w:rFonts w:ascii="Times New Roman" w:eastAsia="Times New Roman" w:hAnsi="Times New Roman" w:cs="Times New Roman"/>
          <w:sz w:val="20"/>
          <w:szCs w:val="20"/>
        </w:rPr>
      </w:pPr>
      <w:r w:rsidRPr="001D31C5">
        <w:rPr>
          <w:rFonts w:ascii="Times New Roman" w:eastAsia="Times New Roman" w:hAnsi="Times New Roman" w:cs="Times New Roman"/>
          <w:sz w:val="20"/>
          <w:szCs w:val="20"/>
        </w:rPr>
        <w:t>This Table presents the performance statistics of portfolios formed on the basis of each asset class sub-components’ performance momentum.  The portfolio formation process was applied to all 95 individual sub-components, regardless of their asset class.  The portfolios are constructed by performance ranking the sub-components using 12 months of return data standardized by the prior 12-month volatility and then by investing in the top 5 performers (column 1), the top ten performers (column 2), etc.  The positions within the portfolios are equally weighted.  However, the weight of any sub-component of the portfolio is set to 0.0% if that sub component is determined to be in a negative trend, where ten months of prior price data are used to determine the nature of the trend.  The proportion allocated to that market is then allocated instead to the “risk off” asset, US T-Bills.  The performance statistics of all the portfolios are based on monthly rebalancing.</w:t>
      </w:r>
      <w:r w:rsidRPr="001D31C5">
        <w:rPr>
          <w:rFonts w:ascii="Calibri" w:eastAsia="Times New Roman" w:hAnsi="Calibri" w:cs="Times New Roman"/>
          <w:sz w:val="20"/>
          <w:szCs w:val="20"/>
        </w:rPr>
        <w:t xml:space="preserve"> </w:t>
      </w:r>
      <w:r w:rsidRPr="001D31C5">
        <w:rPr>
          <w:rFonts w:ascii="Times New Roman" w:eastAsia="Times New Roman" w:hAnsi="Times New Roman" w:cs="Times New Roman"/>
          <w:sz w:val="20"/>
          <w:szCs w:val="20"/>
        </w:rPr>
        <w:t xml:space="preserve">NB: the portfolios do not consist of short positions in ‘losers’.  </w:t>
      </w:r>
    </w:p>
    <w:tbl>
      <w:tblPr>
        <w:tblW w:w="11140" w:type="dxa"/>
        <w:jc w:val="center"/>
        <w:tblLook w:val="04A0" w:firstRow="1" w:lastRow="0" w:firstColumn="1" w:lastColumn="0" w:noHBand="0" w:noVBand="1"/>
      </w:tblPr>
      <w:tblGrid>
        <w:gridCol w:w="3459"/>
        <w:gridCol w:w="909"/>
        <w:gridCol w:w="909"/>
        <w:gridCol w:w="909"/>
        <w:gridCol w:w="909"/>
        <w:gridCol w:w="809"/>
        <w:gridCol w:w="809"/>
        <w:gridCol w:w="809"/>
        <w:gridCol w:w="809"/>
        <w:gridCol w:w="809"/>
      </w:tblGrid>
      <w:tr w:rsidR="001D31C5" w:rsidRPr="001D31C5" w:rsidTr="00D8388F">
        <w:trPr>
          <w:trHeight w:val="300"/>
          <w:jc w:val="center"/>
        </w:trPr>
        <w:tc>
          <w:tcPr>
            <w:tcW w:w="3459" w:type="dxa"/>
            <w:tcBorders>
              <w:top w:val="single" w:sz="4" w:space="0" w:color="auto"/>
              <w:left w:val="nil"/>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p>
        </w:tc>
        <w:tc>
          <w:tcPr>
            <w:tcW w:w="7681" w:type="dxa"/>
            <w:gridSpan w:val="9"/>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Number of Positions</w:t>
            </w:r>
          </w:p>
        </w:tc>
      </w:tr>
      <w:tr w:rsidR="001D31C5" w:rsidRPr="001D31C5" w:rsidTr="00D8388F">
        <w:trPr>
          <w:trHeight w:val="300"/>
          <w:jc w:val="center"/>
        </w:trPr>
        <w:tc>
          <w:tcPr>
            <w:tcW w:w="3459" w:type="dxa"/>
            <w:tcBorders>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p>
        </w:tc>
        <w:tc>
          <w:tcPr>
            <w:tcW w:w="90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5</w:t>
            </w:r>
          </w:p>
        </w:tc>
        <w:tc>
          <w:tcPr>
            <w:tcW w:w="90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10</w:t>
            </w:r>
          </w:p>
        </w:tc>
        <w:tc>
          <w:tcPr>
            <w:tcW w:w="90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15</w:t>
            </w:r>
          </w:p>
        </w:tc>
        <w:tc>
          <w:tcPr>
            <w:tcW w:w="90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20</w:t>
            </w:r>
          </w:p>
        </w:tc>
        <w:tc>
          <w:tcPr>
            <w:tcW w:w="80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25</w:t>
            </w:r>
          </w:p>
        </w:tc>
        <w:tc>
          <w:tcPr>
            <w:tcW w:w="80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30</w:t>
            </w:r>
          </w:p>
        </w:tc>
        <w:tc>
          <w:tcPr>
            <w:tcW w:w="80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40</w:t>
            </w:r>
          </w:p>
        </w:tc>
        <w:tc>
          <w:tcPr>
            <w:tcW w:w="80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50</w:t>
            </w:r>
          </w:p>
        </w:tc>
        <w:tc>
          <w:tcPr>
            <w:tcW w:w="809" w:type="dxa"/>
            <w:tcBorders>
              <w:top w:val="single" w:sz="4" w:space="0" w:color="auto"/>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All</w:t>
            </w:r>
          </w:p>
        </w:tc>
      </w:tr>
      <w:tr w:rsidR="001D31C5" w:rsidRPr="001D31C5" w:rsidTr="00D8388F">
        <w:trPr>
          <w:trHeight w:val="300"/>
          <w:jc w:val="center"/>
        </w:trPr>
        <w:tc>
          <w:tcPr>
            <w:tcW w:w="3459" w:type="dxa"/>
            <w:tcBorders>
              <w:top w:val="single" w:sz="4" w:space="0" w:color="auto"/>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Return (%)</w:t>
            </w:r>
          </w:p>
        </w:tc>
        <w:tc>
          <w:tcPr>
            <w:tcW w:w="90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13.86</w:t>
            </w:r>
          </w:p>
        </w:tc>
        <w:tc>
          <w:tcPr>
            <w:tcW w:w="90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14.08</w:t>
            </w:r>
          </w:p>
        </w:tc>
        <w:tc>
          <w:tcPr>
            <w:tcW w:w="90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14.46</w:t>
            </w:r>
          </w:p>
        </w:tc>
        <w:tc>
          <w:tcPr>
            <w:tcW w:w="90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14.53</w:t>
            </w:r>
          </w:p>
        </w:tc>
        <w:tc>
          <w:tcPr>
            <w:tcW w:w="80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13.64</w:t>
            </w:r>
          </w:p>
        </w:tc>
        <w:tc>
          <w:tcPr>
            <w:tcW w:w="80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13.38</w:t>
            </w:r>
          </w:p>
        </w:tc>
        <w:tc>
          <w:tcPr>
            <w:tcW w:w="80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12.31</w:t>
            </w:r>
          </w:p>
        </w:tc>
        <w:tc>
          <w:tcPr>
            <w:tcW w:w="80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11.16</w:t>
            </w:r>
          </w:p>
        </w:tc>
        <w:tc>
          <w:tcPr>
            <w:tcW w:w="809" w:type="dxa"/>
            <w:tcBorders>
              <w:top w:val="single" w:sz="4" w:space="0" w:color="auto"/>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8.73</w:t>
            </w:r>
          </w:p>
        </w:tc>
      </w:tr>
      <w:tr w:rsidR="001D31C5" w:rsidRPr="001D31C5" w:rsidTr="00D8388F">
        <w:trPr>
          <w:trHeight w:val="300"/>
          <w:jc w:val="center"/>
        </w:trPr>
        <w:tc>
          <w:tcPr>
            <w:tcW w:w="345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Annualized Volatility (%)</w:t>
            </w:r>
          </w:p>
        </w:tc>
        <w:tc>
          <w:tcPr>
            <w:tcW w:w="9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16.95</w:t>
            </w:r>
          </w:p>
        </w:tc>
        <w:tc>
          <w:tcPr>
            <w:tcW w:w="9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13.56</w:t>
            </w:r>
          </w:p>
        </w:tc>
        <w:tc>
          <w:tcPr>
            <w:tcW w:w="9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12.58</w:t>
            </w:r>
          </w:p>
        </w:tc>
        <w:tc>
          <w:tcPr>
            <w:tcW w:w="9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12.00</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11.55</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11.23</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10.45</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9.72</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6.91</w:t>
            </w:r>
          </w:p>
        </w:tc>
      </w:tr>
      <w:tr w:rsidR="001D31C5" w:rsidRPr="001D31C5" w:rsidTr="00D8388F">
        <w:trPr>
          <w:trHeight w:val="300"/>
          <w:jc w:val="center"/>
        </w:trPr>
        <w:tc>
          <w:tcPr>
            <w:tcW w:w="345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Sharpe Ratio</w:t>
            </w:r>
          </w:p>
        </w:tc>
        <w:tc>
          <w:tcPr>
            <w:tcW w:w="9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0.66</w:t>
            </w:r>
          </w:p>
        </w:tc>
        <w:tc>
          <w:tcPr>
            <w:tcW w:w="9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0.84</w:t>
            </w:r>
          </w:p>
        </w:tc>
        <w:tc>
          <w:tcPr>
            <w:tcW w:w="9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0.94</w:t>
            </w:r>
          </w:p>
        </w:tc>
        <w:tc>
          <w:tcPr>
            <w:tcW w:w="9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0.99</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0.95</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0.96</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0.93</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0.88</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0.88</w:t>
            </w:r>
          </w:p>
        </w:tc>
      </w:tr>
      <w:tr w:rsidR="001D31C5" w:rsidRPr="001D31C5" w:rsidTr="00D8388F">
        <w:trPr>
          <w:trHeight w:val="300"/>
          <w:jc w:val="center"/>
        </w:trPr>
        <w:tc>
          <w:tcPr>
            <w:tcW w:w="345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 Monthly Return (%)</w:t>
            </w:r>
          </w:p>
        </w:tc>
        <w:tc>
          <w:tcPr>
            <w:tcW w:w="9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20.58</w:t>
            </w:r>
          </w:p>
        </w:tc>
        <w:tc>
          <w:tcPr>
            <w:tcW w:w="9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11.50</w:t>
            </w:r>
          </w:p>
        </w:tc>
        <w:tc>
          <w:tcPr>
            <w:tcW w:w="9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11.56</w:t>
            </w:r>
          </w:p>
        </w:tc>
        <w:tc>
          <w:tcPr>
            <w:tcW w:w="9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12.52</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11.17</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10.11</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9.31</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8.29</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7.27</w:t>
            </w:r>
          </w:p>
        </w:tc>
      </w:tr>
      <w:tr w:rsidR="001D31C5" w:rsidRPr="001D31C5" w:rsidTr="00D8388F">
        <w:trPr>
          <w:trHeight w:val="300"/>
          <w:jc w:val="center"/>
        </w:trPr>
        <w:tc>
          <w:tcPr>
            <w:tcW w:w="3459" w:type="dxa"/>
            <w:tcBorders>
              <w:top w:val="nil"/>
              <w:left w:val="nil"/>
              <w:bottom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Min. Monthly Return (%)</w:t>
            </w:r>
          </w:p>
        </w:tc>
        <w:tc>
          <w:tcPr>
            <w:tcW w:w="9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-12.77</w:t>
            </w:r>
          </w:p>
        </w:tc>
        <w:tc>
          <w:tcPr>
            <w:tcW w:w="9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-11.02</w:t>
            </w:r>
          </w:p>
        </w:tc>
        <w:tc>
          <w:tcPr>
            <w:tcW w:w="9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-11.70</w:t>
            </w:r>
          </w:p>
        </w:tc>
        <w:tc>
          <w:tcPr>
            <w:tcW w:w="9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-11.46</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-9.72</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-9.17</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-8.94</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-8.71</w:t>
            </w:r>
          </w:p>
        </w:tc>
        <w:tc>
          <w:tcPr>
            <w:tcW w:w="809" w:type="dxa"/>
            <w:tcBorders>
              <w:top w:val="nil"/>
              <w:left w:val="nil"/>
              <w:bottom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-5.59</w:t>
            </w:r>
          </w:p>
        </w:tc>
      </w:tr>
      <w:tr w:rsidR="001D31C5" w:rsidRPr="001D31C5" w:rsidTr="00D8388F">
        <w:trPr>
          <w:trHeight w:val="300"/>
          <w:jc w:val="center"/>
        </w:trPr>
        <w:tc>
          <w:tcPr>
            <w:tcW w:w="3459" w:type="dxa"/>
            <w:tcBorders>
              <w:top w:val="nil"/>
              <w:left w:val="nil"/>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Maximum Drawdown (%)</w:t>
            </w:r>
          </w:p>
        </w:tc>
        <w:tc>
          <w:tcPr>
            <w:tcW w:w="909"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28.27</w:t>
            </w:r>
          </w:p>
        </w:tc>
        <w:tc>
          <w:tcPr>
            <w:tcW w:w="909"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26.52</w:t>
            </w:r>
          </w:p>
        </w:tc>
        <w:tc>
          <w:tcPr>
            <w:tcW w:w="909"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20.80</w:t>
            </w:r>
          </w:p>
        </w:tc>
        <w:tc>
          <w:tcPr>
            <w:tcW w:w="909"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18.34</w:t>
            </w:r>
          </w:p>
        </w:tc>
        <w:tc>
          <w:tcPr>
            <w:tcW w:w="809"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16.57</w:t>
            </w:r>
          </w:p>
        </w:tc>
        <w:tc>
          <w:tcPr>
            <w:tcW w:w="809"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15.78</w:t>
            </w:r>
          </w:p>
        </w:tc>
        <w:tc>
          <w:tcPr>
            <w:tcW w:w="809"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15.43</w:t>
            </w:r>
          </w:p>
        </w:tc>
        <w:tc>
          <w:tcPr>
            <w:tcW w:w="809"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15.94</w:t>
            </w:r>
          </w:p>
        </w:tc>
        <w:tc>
          <w:tcPr>
            <w:tcW w:w="809" w:type="dxa"/>
            <w:tcBorders>
              <w:top w:val="nil"/>
              <w:left w:val="nil"/>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12.59</w:t>
            </w:r>
          </w:p>
        </w:tc>
      </w:tr>
      <w:tr w:rsidR="001D31C5" w:rsidRPr="001D31C5" w:rsidTr="00D8388F">
        <w:trPr>
          <w:trHeight w:val="300"/>
          <w:jc w:val="center"/>
        </w:trPr>
        <w:tc>
          <w:tcPr>
            <w:tcW w:w="3459" w:type="dxa"/>
            <w:tcBorders>
              <w:top w:val="nil"/>
              <w:left w:val="nil"/>
              <w:bottom w:val="single" w:sz="4" w:space="0" w:color="auto"/>
              <w:right w:val="nil"/>
            </w:tcBorders>
            <w:shd w:val="clear" w:color="auto" w:fill="auto"/>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Skew</w:t>
            </w:r>
          </w:p>
        </w:tc>
        <w:tc>
          <w:tcPr>
            <w:tcW w:w="909"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0.26</w:t>
            </w:r>
          </w:p>
        </w:tc>
        <w:tc>
          <w:tcPr>
            <w:tcW w:w="909"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0.12</w:t>
            </w:r>
          </w:p>
        </w:tc>
        <w:tc>
          <w:tcPr>
            <w:tcW w:w="909"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0.04</w:t>
            </w:r>
          </w:p>
        </w:tc>
        <w:tc>
          <w:tcPr>
            <w:tcW w:w="909"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0.05</w:t>
            </w:r>
          </w:p>
        </w:tc>
        <w:tc>
          <w:tcPr>
            <w:tcW w:w="809"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0.00</w:t>
            </w:r>
          </w:p>
        </w:tc>
        <w:tc>
          <w:tcPr>
            <w:tcW w:w="809"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0.02</w:t>
            </w:r>
          </w:p>
        </w:tc>
        <w:tc>
          <w:tcPr>
            <w:tcW w:w="809"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-0.02</w:t>
            </w:r>
          </w:p>
        </w:tc>
        <w:tc>
          <w:tcPr>
            <w:tcW w:w="809"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-0.06</w:t>
            </w:r>
          </w:p>
        </w:tc>
        <w:tc>
          <w:tcPr>
            <w:tcW w:w="809" w:type="dxa"/>
            <w:tcBorders>
              <w:top w:val="nil"/>
              <w:left w:val="nil"/>
              <w:bottom w:val="single" w:sz="4" w:space="0" w:color="auto"/>
              <w:right w:val="nil"/>
            </w:tcBorders>
            <w:shd w:val="clear" w:color="auto" w:fill="auto"/>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rPr>
            </w:pPr>
            <w:r w:rsidRPr="001D31C5">
              <w:rPr>
                <w:rFonts w:ascii="Times New Roman" w:eastAsia="Times New Roman" w:hAnsi="Times New Roman" w:cs="Times New Roman"/>
                <w:color w:val="000000"/>
                <w:sz w:val="20"/>
              </w:rPr>
              <w:t>0.11</w:t>
            </w:r>
          </w:p>
        </w:tc>
      </w:tr>
    </w:tbl>
    <w:p w:rsidR="001D31C5" w:rsidRPr="001D31C5" w:rsidRDefault="001D31C5" w:rsidP="001D31C5">
      <w:pPr>
        <w:spacing w:line="360" w:lineRule="auto"/>
        <w:jc w:val="both"/>
        <w:rPr>
          <w:rFonts w:ascii="Calibri" w:eastAsia="Times New Roman" w:hAnsi="Calibri" w:cs="Times New Roman"/>
        </w:rPr>
      </w:pPr>
    </w:p>
    <w:p w:rsidR="001D31C5" w:rsidRPr="001D31C5" w:rsidRDefault="001D31C5" w:rsidP="001D31C5">
      <w:pPr>
        <w:spacing w:line="360" w:lineRule="auto"/>
        <w:jc w:val="both"/>
        <w:rPr>
          <w:rFonts w:ascii="Calibri" w:eastAsia="Times New Roman" w:hAnsi="Calibri" w:cs="Times New Roman"/>
        </w:rPr>
      </w:pPr>
    </w:p>
    <w:p w:rsidR="001D31C5" w:rsidRPr="001D31C5" w:rsidRDefault="001D31C5" w:rsidP="001D31C5">
      <w:pPr>
        <w:rPr>
          <w:rFonts w:ascii="Times New Roman" w:eastAsia="Times New Roman" w:hAnsi="Times New Roman" w:cs="Times New Roman"/>
        </w:rPr>
      </w:pPr>
      <w:r w:rsidRPr="001D31C5">
        <w:rPr>
          <w:rFonts w:ascii="Times New Roman" w:eastAsia="Times New Roman" w:hAnsi="Times New Roman" w:cs="Times New Roman"/>
        </w:rPr>
        <w:br w:type="page"/>
      </w:r>
    </w:p>
    <w:p w:rsidR="001D31C5" w:rsidRPr="001D31C5" w:rsidRDefault="001D31C5" w:rsidP="001D31C5">
      <w:pPr>
        <w:spacing w:after="0" w:line="240" w:lineRule="auto"/>
        <w:jc w:val="center"/>
        <w:rPr>
          <w:rFonts w:ascii="Times New Roman" w:eastAsia="Times New Roman" w:hAnsi="Times New Roman" w:cs="Times New Roman"/>
          <w:b/>
          <w:sz w:val="24"/>
          <w:szCs w:val="24"/>
        </w:rPr>
      </w:pPr>
      <w:r w:rsidRPr="001D31C5">
        <w:rPr>
          <w:rFonts w:ascii="Times New Roman" w:eastAsia="Times New Roman" w:hAnsi="Times New Roman" w:cs="Times New Roman"/>
          <w:b/>
          <w:sz w:val="24"/>
          <w:szCs w:val="24"/>
        </w:rPr>
        <w:lastRenderedPageBreak/>
        <w:t>Table 11:  Alpha calculations for a selection of investment strategies (1994-2015)</w:t>
      </w:r>
    </w:p>
    <w:p w:rsidR="001D31C5" w:rsidRPr="001D31C5" w:rsidRDefault="001D31C5" w:rsidP="001D31C5">
      <w:pPr>
        <w:spacing w:after="120" w:line="240" w:lineRule="auto"/>
        <w:jc w:val="both"/>
        <w:rPr>
          <w:rFonts w:ascii="Calibri" w:eastAsia="Times New Roman" w:hAnsi="Calibri" w:cs="Times New Roman"/>
          <w:b/>
        </w:rPr>
      </w:pPr>
      <w:r w:rsidRPr="001D31C5">
        <w:rPr>
          <w:rFonts w:ascii="Times New Roman" w:eastAsia="Times New Roman" w:hAnsi="Times New Roman" w:cs="Times New Roman"/>
          <w:sz w:val="20"/>
          <w:szCs w:val="20"/>
        </w:rPr>
        <w:t xml:space="preserve">This table presents the unconditional mean returns (column 1, panel A) “Average”, generated by the different investment strategies: EW represents the returns on a portfolio consisting of all 95 markets and commodities with equal weighting; TF represents the returns generated by applying the 12-month trend following filter shown in the final column of Table 3; MOM EW represents the returns generated by equally weighted momentum portfolio shown in Panel A of Table 5 (last column); represents the returns from the momentum strategy; MOM VW represents the returns generated by momentum strategy, where the momentum weights are volatility adjusted and the number of positions in the portfolio was 20 (column 3, Table 9); and TF &amp; MOM VW represents the momentum strategy where weights are volatility-adjusted and where a trend following filter is applied to the individual markets (Table 10).  Panel A also reports the results of </w:t>
      </w:r>
      <w:proofErr w:type="gramStart"/>
      <w:r w:rsidRPr="001D31C5">
        <w:rPr>
          <w:rFonts w:ascii="Times New Roman" w:eastAsia="Times New Roman" w:hAnsi="Times New Roman" w:cs="Times New Roman"/>
          <w:sz w:val="20"/>
          <w:szCs w:val="20"/>
        </w:rPr>
        <w:t>regressing</w:t>
      </w:r>
      <w:proofErr w:type="gramEnd"/>
      <w:r w:rsidRPr="001D31C5">
        <w:rPr>
          <w:rFonts w:ascii="Times New Roman" w:eastAsia="Times New Roman" w:hAnsi="Times New Roman" w:cs="Times New Roman"/>
          <w:sz w:val="20"/>
          <w:szCs w:val="20"/>
        </w:rPr>
        <w:t xml:space="preserve"> the returns from these strategies using </w:t>
      </w:r>
      <w:proofErr w:type="spellStart"/>
      <w:r w:rsidRPr="001D31C5">
        <w:rPr>
          <w:rFonts w:ascii="Times New Roman" w:eastAsia="Times New Roman" w:hAnsi="Times New Roman" w:cs="Times New Roman"/>
          <w:sz w:val="20"/>
          <w:szCs w:val="20"/>
        </w:rPr>
        <w:t>Fama</w:t>
      </w:r>
      <w:proofErr w:type="spellEnd"/>
      <w:r w:rsidRPr="001D31C5">
        <w:rPr>
          <w:rFonts w:ascii="Times New Roman" w:eastAsia="Times New Roman" w:hAnsi="Times New Roman" w:cs="Times New Roman"/>
          <w:sz w:val="20"/>
          <w:szCs w:val="20"/>
        </w:rPr>
        <w:t xml:space="preserve"> and French (1992) three factors, MKT, SMB and HML, plus </w:t>
      </w:r>
      <w:proofErr w:type="spellStart"/>
      <w:r w:rsidRPr="001D31C5">
        <w:rPr>
          <w:rFonts w:ascii="Times New Roman" w:eastAsia="Times New Roman" w:hAnsi="Times New Roman" w:cs="Times New Roman"/>
          <w:sz w:val="20"/>
          <w:szCs w:val="20"/>
        </w:rPr>
        <w:t>Carhart’s</w:t>
      </w:r>
      <w:proofErr w:type="spellEnd"/>
      <w:r w:rsidRPr="001D31C5">
        <w:rPr>
          <w:rFonts w:ascii="Times New Roman" w:eastAsia="Times New Roman" w:hAnsi="Times New Roman" w:cs="Times New Roman"/>
          <w:sz w:val="20"/>
          <w:szCs w:val="20"/>
        </w:rPr>
        <w:t xml:space="preserve"> (1997) momentum factor, UMD.  Panel B reports the results of </w:t>
      </w:r>
      <w:proofErr w:type="gramStart"/>
      <w:r w:rsidRPr="001D31C5">
        <w:rPr>
          <w:rFonts w:ascii="Times New Roman" w:eastAsia="Times New Roman" w:hAnsi="Times New Roman" w:cs="Times New Roman"/>
          <w:sz w:val="20"/>
          <w:szCs w:val="20"/>
        </w:rPr>
        <w:t>regressing</w:t>
      </w:r>
      <w:proofErr w:type="gramEnd"/>
      <w:r w:rsidRPr="001D31C5">
        <w:rPr>
          <w:rFonts w:ascii="Times New Roman" w:eastAsia="Times New Roman" w:hAnsi="Times New Roman" w:cs="Times New Roman"/>
          <w:sz w:val="20"/>
          <w:szCs w:val="20"/>
        </w:rPr>
        <w:t xml:space="preserve"> the returns from these strategies against a set of wider risk factors described in Section 5 of this paper.  Newey and West (1997) t-statistics are shown in square brackets.  </w:t>
      </w:r>
      <w:proofErr w:type="spellStart"/>
      <w:r w:rsidRPr="001D31C5">
        <w:rPr>
          <w:rFonts w:ascii="Times New Roman" w:eastAsia="Times New Roman" w:hAnsi="Times New Roman" w:cs="Times New Roman"/>
          <w:sz w:val="20"/>
          <w:szCs w:val="20"/>
        </w:rPr>
        <w:t>Prob</w:t>
      </w:r>
      <w:proofErr w:type="spellEnd"/>
      <w:r w:rsidRPr="001D31C5">
        <w:rPr>
          <w:rFonts w:ascii="Times New Roman" w:eastAsia="Times New Roman" w:hAnsi="Times New Roman" w:cs="Times New Roman"/>
          <w:sz w:val="20"/>
          <w:szCs w:val="20"/>
        </w:rPr>
        <w:t xml:space="preserve"> F is based upon </w:t>
      </w:r>
      <w:proofErr w:type="gramStart"/>
      <w:r w:rsidRPr="001D31C5">
        <w:rPr>
          <w:rFonts w:ascii="Times New Roman" w:eastAsia="Times New Roman" w:hAnsi="Times New Roman" w:cs="Times New Roman"/>
          <w:sz w:val="20"/>
          <w:szCs w:val="20"/>
        </w:rPr>
        <w:t>a</w:t>
      </w:r>
      <w:proofErr w:type="gramEnd"/>
      <w:r w:rsidRPr="001D31C5">
        <w:rPr>
          <w:rFonts w:ascii="Times New Roman" w:eastAsia="Times New Roman" w:hAnsi="Times New Roman" w:cs="Times New Roman"/>
          <w:sz w:val="20"/>
          <w:szCs w:val="20"/>
        </w:rPr>
        <w:t xml:space="preserve"> F-statistic for the test of the joint significance of the independent </w:t>
      </w:r>
      <w:proofErr w:type="spellStart"/>
      <w:r w:rsidRPr="001D31C5">
        <w:rPr>
          <w:rFonts w:ascii="Times New Roman" w:eastAsia="Times New Roman" w:hAnsi="Times New Roman" w:cs="Times New Roman"/>
          <w:sz w:val="20"/>
          <w:szCs w:val="20"/>
        </w:rPr>
        <w:t>regressors</w:t>
      </w:r>
      <w:proofErr w:type="spellEnd"/>
      <w:r w:rsidRPr="001D31C5">
        <w:rPr>
          <w:rFonts w:ascii="Times New Roman" w:eastAsia="Times New Roman" w:hAnsi="Times New Roman" w:cs="Times New Roman"/>
          <w:sz w:val="20"/>
          <w:szCs w:val="20"/>
        </w:rPr>
        <w:t xml:space="preserve">. </w:t>
      </w:r>
    </w:p>
    <w:tbl>
      <w:tblPr>
        <w:tblW w:w="0" w:type="auto"/>
        <w:jc w:val="center"/>
        <w:tblLook w:val="04A0" w:firstRow="1" w:lastRow="0" w:firstColumn="1" w:lastColumn="0" w:noHBand="0" w:noVBand="1"/>
      </w:tblPr>
      <w:tblGrid>
        <w:gridCol w:w="1589"/>
        <w:gridCol w:w="894"/>
        <w:gridCol w:w="739"/>
        <w:gridCol w:w="800"/>
        <w:gridCol w:w="800"/>
        <w:gridCol w:w="766"/>
        <w:gridCol w:w="1033"/>
        <w:gridCol w:w="866"/>
        <w:gridCol w:w="933"/>
        <w:gridCol w:w="933"/>
        <w:gridCol w:w="933"/>
        <w:gridCol w:w="756"/>
      </w:tblGrid>
      <w:tr w:rsidR="001D31C5" w:rsidRPr="001D31C5" w:rsidTr="00D8388F">
        <w:trPr>
          <w:trHeight w:val="255"/>
          <w:jc w:val="center"/>
        </w:trPr>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b/>
                <w:bCs/>
                <w:color w:val="000000"/>
                <w:sz w:val="20"/>
                <w:szCs w:val="20"/>
              </w:rPr>
            </w:pPr>
            <w:r w:rsidRPr="001D31C5">
              <w:rPr>
                <w:rFonts w:ascii="Times New Roman" w:eastAsia="Times New Roman" w:hAnsi="Times New Roman" w:cs="Times New Roman"/>
                <w:b/>
                <w:bCs/>
                <w:color w:val="000000"/>
                <w:sz w:val="20"/>
                <w:szCs w:val="20"/>
              </w:rPr>
              <w:t>Panel A</w:t>
            </w:r>
          </w:p>
        </w:tc>
        <w:tc>
          <w:tcPr>
            <w:tcW w:w="0" w:type="auto"/>
            <w:tcBorders>
              <w:top w:val="single" w:sz="4" w:space="0" w:color="auto"/>
              <w:left w:val="dotted" w:sz="4" w:space="0" w:color="auto"/>
              <w:bottom w:val="single" w:sz="4" w:space="0" w:color="auto"/>
              <w:right w:val="dotted" w:sz="4" w:space="0" w:color="auto"/>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Average</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r w:rsidRPr="001D31C5">
              <w:rPr>
                <w:rFonts w:ascii="Times New Roman" w:eastAsia="Times New Roman" w:hAnsi="Times New Roman" w:cs="Times New Roman"/>
                <w:b/>
                <w:bCs/>
                <w:color w:val="000000"/>
                <w:sz w:val="20"/>
                <w:szCs w:val="20"/>
              </w:rPr>
              <w:t>Alpha</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MKT</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SMB</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HML</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UMD</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roofErr w:type="spellStart"/>
            <w:r w:rsidRPr="001D31C5">
              <w:rPr>
                <w:rFonts w:ascii="Times New Roman" w:eastAsia="Times New Roman" w:hAnsi="Times New Roman" w:cs="Times New Roman"/>
                <w:color w:val="000000"/>
                <w:sz w:val="20"/>
                <w:szCs w:val="20"/>
              </w:rPr>
              <w:t>Prob</w:t>
            </w:r>
            <w:proofErr w:type="spellEnd"/>
            <w:r w:rsidRPr="001D31C5">
              <w:rPr>
                <w:rFonts w:ascii="Times New Roman" w:eastAsia="Times New Roman" w:hAnsi="Times New Roman" w:cs="Times New Roman"/>
                <w:color w:val="000000"/>
                <w:sz w:val="20"/>
                <w:szCs w:val="20"/>
              </w:rPr>
              <w:t xml:space="preserve"> F</w:t>
            </w: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EW</w:t>
            </w:r>
          </w:p>
        </w:tc>
        <w:tc>
          <w:tcPr>
            <w:tcW w:w="0" w:type="auto"/>
            <w:tcBorders>
              <w:top w:val="nil"/>
              <w:left w:val="dotted" w:sz="4" w:space="0" w:color="auto"/>
              <w:bottom w:val="nil"/>
              <w:right w:val="dotted" w:sz="4" w:space="0" w:color="auto"/>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0.597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0.149</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0.644</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0.102</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0.162</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-0.0217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0.000</w:t>
            </w: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dotted" w:sz="4" w:space="0" w:color="auto"/>
              <w:bottom w:val="nil"/>
              <w:right w:val="dotted" w:sz="4" w:space="0" w:color="auto"/>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[2.28]</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[0.87]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[14.26]</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[2.38]</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[3.85]</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[0.75]</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TF</w:t>
            </w:r>
          </w:p>
        </w:tc>
        <w:tc>
          <w:tcPr>
            <w:tcW w:w="0" w:type="auto"/>
            <w:tcBorders>
              <w:top w:val="nil"/>
              <w:left w:val="dotted" w:sz="4" w:space="0" w:color="auto"/>
              <w:bottom w:val="nil"/>
              <w:right w:val="dotted" w:sz="4" w:space="0" w:color="auto"/>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0.734</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0.496</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0.275</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0.0674</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0.0894</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0.0822</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0.000</w:t>
            </w: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dotted" w:sz="4" w:space="0" w:color="auto"/>
              <w:bottom w:val="nil"/>
              <w:right w:val="dotted" w:sz="4" w:space="0" w:color="auto"/>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[5.01]</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[3.92]</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[8.14]</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[2.10]</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[2.07]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[4.27]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MOM EW</w:t>
            </w:r>
          </w:p>
        </w:tc>
        <w:tc>
          <w:tcPr>
            <w:tcW w:w="0" w:type="auto"/>
            <w:tcBorders>
              <w:top w:val="nil"/>
              <w:left w:val="dotted" w:sz="4" w:space="0" w:color="auto"/>
              <w:bottom w:val="nil"/>
              <w:right w:val="dotted" w:sz="4" w:space="0" w:color="auto"/>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0.882</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0.392</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0.652</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0.0976</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0.179</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0.0451</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0.000</w:t>
            </w: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dotted" w:sz="4" w:space="0" w:color="auto"/>
              <w:bottom w:val="nil"/>
              <w:right w:val="dotted" w:sz="4" w:space="0" w:color="auto"/>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[3.10]</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[1.85]</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[11.8]</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[1.87]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[3.70]</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[1.30]</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MOM VW</w:t>
            </w:r>
          </w:p>
        </w:tc>
        <w:tc>
          <w:tcPr>
            <w:tcW w:w="0" w:type="auto"/>
            <w:tcBorders>
              <w:top w:val="nil"/>
              <w:left w:val="dotted" w:sz="4" w:space="0" w:color="auto"/>
              <w:bottom w:val="nil"/>
              <w:right w:val="dotted" w:sz="4" w:space="0" w:color="auto"/>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1.155</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0.685</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0.548</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0.0946</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0.0878</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0.216</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0.000</w:t>
            </w: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dotted" w:sz="4" w:space="0" w:color="auto"/>
              <w:bottom w:val="nil"/>
              <w:right w:val="dotted" w:sz="4" w:space="0" w:color="auto"/>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[4.46]</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[3.19]</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[8.77]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[1.74]</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[1.66]</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[4.60]</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TF &amp; MOM VW</w:t>
            </w:r>
          </w:p>
        </w:tc>
        <w:tc>
          <w:tcPr>
            <w:tcW w:w="0" w:type="auto"/>
            <w:tcBorders>
              <w:top w:val="nil"/>
              <w:left w:val="dotted" w:sz="4" w:space="0" w:color="auto"/>
              <w:bottom w:val="nil"/>
              <w:right w:val="dotted" w:sz="4" w:space="0" w:color="auto"/>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1.196</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0.808</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0.426</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0.0761</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0.0495</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0.232</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0.000</w:t>
            </w: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dotted" w:sz="4" w:space="0" w:color="auto"/>
              <w:bottom w:val="nil"/>
              <w:right w:val="dotted" w:sz="4" w:space="0" w:color="auto"/>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[5.25]</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[4.04]</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[7.31]</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[1.43]</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[0.87]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[5.01]</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255"/>
          <w:jc w:val="center"/>
        </w:trPr>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b/>
                <w:bCs/>
                <w:color w:val="000000"/>
                <w:sz w:val="20"/>
                <w:szCs w:val="20"/>
              </w:rPr>
            </w:pPr>
            <w:r w:rsidRPr="001D31C5">
              <w:rPr>
                <w:rFonts w:ascii="Times New Roman" w:eastAsia="Times New Roman" w:hAnsi="Times New Roman" w:cs="Times New Roman"/>
                <w:b/>
                <w:bCs/>
                <w:color w:val="000000"/>
                <w:sz w:val="20"/>
                <w:szCs w:val="20"/>
              </w:rPr>
              <w:t>Panel B</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b/>
                <w:bCs/>
                <w:color w:val="000000"/>
                <w:sz w:val="20"/>
                <w:szCs w:val="20"/>
              </w:rPr>
            </w:pPr>
            <w:r w:rsidRPr="001D31C5">
              <w:rPr>
                <w:rFonts w:ascii="Times New Roman" w:eastAsia="Times New Roman" w:hAnsi="Times New Roman" w:cs="Times New Roman"/>
                <w:b/>
                <w:bCs/>
                <w:color w:val="000000"/>
                <w:sz w:val="20"/>
                <w:szCs w:val="20"/>
              </w:rPr>
              <w:t>Alpha</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GSCI</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MSCI</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BAR</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SBD</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SFX</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SIR</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STK</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COM</w:t>
            </w:r>
          </w:p>
        </w:tc>
        <w:tc>
          <w:tcPr>
            <w:tcW w:w="0" w:type="auto"/>
            <w:tcBorders>
              <w:top w:val="single" w:sz="4" w:space="0" w:color="auto"/>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roofErr w:type="spellStart"/>
            <w:r w:rsidRPr="001D31C5">
              <w:rPr>
                <w:rFonts w:ascii="Times New Roman" w:eastAsia="Times New Roman" w:hAnsi="Times New Roman" w:cs="Times New Roman"/>
                <w:color w:val="000000"/>
                <w:sz w:val="20"/>
                <w:szCs w:val="20"/>
              </w:rPr>
              <w:t>Prob</w:t>
            </w:r>
            <w:proofErr w:type="spellEnd"/>
            <w:r w:rsidRPr="001D31C5">
              <w:rPr>
                <w:rFonts w:ascii="Times New Roman" w:eastAsia="Times New Roman" w:hAnsi="Times New Roman" w:cs="Times New Roman"/>
                <w:color w:val="000000"/>
                <w:sz w:val="20"/>
                <w:szCs w:val="20"/>
              </w:rPr>
              <w:t xml:space="preserve"> F</w:t>
            </w: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EW</w:t>
            </w:r>
          </w:p>
        </w:tc>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0.309</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0.150</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0.630</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0.314</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-0.000898</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0.00579</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-0.00162</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-0.00741</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-0.00535</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0.000</w:t>
            </w: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[2.86]</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[11.09]</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[24.53]</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[3.27]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[0.17]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[1.36]</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[0.43]</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[0.86]</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[0.85]</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xml:space="preserve">TF </w:t>
            </w:r>
          </w:p>
        </w:tc>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0.727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0.0643</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0.277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0.278</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-0.0193</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0.00828</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-0.00160</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0.0182</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0.0129</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0.000</w:t>
            </w: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[5.53]</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[3.17]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[6.57]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[3.07]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[3.40]</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[1.40]</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[0.31]</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[2.08]</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[1.51]</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MOM EW</w:t>
            </w:r>
          </w:p>
        </w:tc>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0.672</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0.153</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0.635</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0.553</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-0.0131</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0.00810</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-0.00853</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0.00133</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0.00171</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0.000</w:t>
            </w: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[4.36]</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[7.22]</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[17.33]</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[3.83]</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[1.48]</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[1.09]</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[1.83]</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[0.13]</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[0.18]</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MON VW</w:t>
            </w:r>
          </w:p>
        </w:tc>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1.139</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0.145</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0.499</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0.589</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-0.00661</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0.0156</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-0.0155</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0.0234</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0.0161</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0.000</w:t>
            </w: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[5.15]</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[3.93]</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[7.32]</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[2.95]</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[0.51]</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[1.94]</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[2.70]</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[1.60]</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[0.94]</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r w:rsidR="001D31C5" w:rsidRPr="001D31C5" w:rsidTr="00D8388F">
        <w:trPr>
          <w:trHeight w:val="255"/>
          <w:jc w:val="center"/>
        </w:trPr>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TF &amp; MOM VW</w:t>
            </w:r>
          </w:p>
        </w:tc>
        <w:tc>
          <w:tcPr>
            <w:tcW w:w="0" w:type="auto"/>
            <w:tcBorders>
              <w:top w:val="nil"/>
              <w:left w:val="nil"/>
              <w:bottom w:val="nil"/>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1.248</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0.130</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0.391</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0.354</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-0.0207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0.0195</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-0.00578</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0.0387</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0.0202</w:t>
            </w:r>
          </w:p>
        </w:tc>
        <w:tc>
          <w:tcPr>
            <w:tcW w:w="0" w:type="auto"/>
            <w:tcBorders>
              <w:top w:val="nil"/>
              <w:left w:val="nil"/>
              <w:bottom w:val="nil"/>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0.000</w:t>
            </w:r>
          </w:p>
        </w:tc>
      </w:tr>
      <w:tr w:rsidR="001D31C5" w:rsidRPr="001D31C5" w:rsidTr="00D8388F">
        <w:trPr>
          <w:trHeight w:val="255"/>
          <w:jc w:val="center"/>
        </w:trPr>
        <w:tc>
          <w:tcPr>
            <w:tcW w:w="0" w:type="auto"/>
            <w:tcBorders>
              <w:top w:val="nil"/>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1D31C5" w:rsidRPr="001D31C5" w:rsidRDefault="001D31C5"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[5.58]</w:t>
            </w:r>
          </w:p>
        </w:tc>
        <w:tc>
          <w:tcPr>
            <w:tcW w:w="0" w:type="auto"/>
            <w:tcBorders>
              <w:top w:val="nil"/>
              <w:left w:val="nil"/>
              <w:bottom w:val="single" w:sz="4" w:space="0" w:color="auto"/>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[3.45]</w:t>
            </w:r>
          </w:p>
        </w:tc>
        <w:tc>
          <w:tcPr>
            <w:tcW w:w="0" w:type="auto"/>
            <w:tcBorders>
              <w:top w:val="nil"/>
              <w:left w:val="nil"/>
              <w:bottom w:val="single" w:sz="4" w:space="0" w:color="auto"/>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[5.22]</w:t>
            </w:r>
          </w:p>
        </w:tc>
        <w:tc>
          <w:tcPr>
            <w:tcW w:w="0" w:type="auto"/>
            <w:tcBorders>
              <w:top w:val="nil"/>
              <w:left w:val="nil"/>
              <w:bottom w:val="single" w:sz="4" w:space="0" w:color="auto"/>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[1.79]</w:t>
            </w:r>
          </w:p>
        </w:tc>
        <w:tc>
          <w:tcPr>
            <w:tcW w:w="0" w:type="auto"/>
            <w:tcBorders>
              <w:top w:val="nil"/>
              <w:left w:val="nil"/>
              <w:bottom w:val="single" w:sz="4" w:space="0" w:color="auto"/>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[1.66]</w:t>
            </w:r>
          </w:p>
        </w:tc>
        <w:tc>
          <w:tcPr>
            <w:tcW w:w="0" w:type="auto"/>
            <w:tcBorders>
              <w:top w:val="nil"/>
              <w:left w:val="nil"/>
              <w:bottom w:val="single" w:sz="4" w:space="0" w:color="auto"/>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[2.46]</w:t>
            </w:r>
          </w:p>
        </w:tc>
        <w:tc>
          <w:tcPr>
            <w:tcW w:w="0" w:type="auto"/>
            <w:tcBorders>
              <w:top w:val="nil"/>
              <w:left w:val="nil"/>
              <w:bottom w:val="single" w:sz="4" w:space="0" w:color="auto"/>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[0.65]</w:t>
            </w:r>
          </w:p>
        </w:tc>
        <w:tc>
          <w:tcPr>
            <w:tcW w:w="0" w:type="auto"/>
            <w:tcBorders>
              <w:top w:val="nil"/>
              <w:left w:val="nil"/>
              <w:bottom w:val="single" w:sz="4" w:space="0" w:color="auto"/>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[2.42]</w:t>
            </w:r>
          </w:p>
        </w:tc>
        <w:tc>
          <w:tcPr>
            <w:tcW w:w="0" w:type="auto"/>
            <w:tcBorders>
              <w:top w:val="nil"/>
              <w:left w:val="nil"/>
              <w:bottom w:val="single" w:sz="4" w:space="0" w:color="auto"/>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[1.13]</w:t>
            </w:r>
          </w:p>
        </w:tc>
        <w:tc>
          <w:tcPr>
            <w:tcW w:w="0" w:type="auto"/>
            <w:tcBorders>
              <w:top w:val="nil"/>
              <w:left w:val="nil"/>
              <w:bottom w:val="single" w:sz="4" w:space="0" w:color="auto"/>
              <w:right w:val="nil"/>
            </w:tcBorders>
            <w:shd w:val="clear" w:color="000000" w:fill="FFFFFF"/>
            <w:noWrap/>
            <w:vAlign w:val="bottom"/>
          </w:tcPr>
          <w:p w:rsidR="001D31C5" w:rsidRPr="001D31C5" w:rsidRDefault="001D31C5" w:rsidP="001D31C5">
            <w:pPr>
              <w:spacing w:after="0" w:line="240" w:lineRule="auto"/>
              <w:jc w:val="center"/>
              <w:rPr>
                <w:rFonts w:ascii="Times New Roman" w:eastAsia="Times New Roman" w:hAnsi="Times New Roman" w:cs="Times New Roman"/>
                <w:color w:val="000000"/>
                <w:sz w:val="20"/>
                <w:szCs w:val="20"/>
              </w:rPr>
            </w:pPr>
          </w:p>
        </w:tc>
      </w:tr>
    </w:tbl>
    <w:p w:rsidR="001D31C5" w:rsidRPr="001D31C5" w:rsidRDefault="001D31C5" w:rsidP="001D31C5">
      <w:pPr>
        <w:spacing w:after="0" w:line="240" w:lineRule="auto"/>
        <w:jc w:val="center"/>
        <w:rPr>
          <w:rFonts w:ascii="Calibri" w:eastAsia="Times New Roman" w:hAnsi="Calibri" w:cs="Times New Roman"/>
          <w:b/>
        </w:rPr>
      </w:pPr>
    </w:p>
    <w:p w:rsidR="001D31C5" w:rsidRPr="001D31C5" w:rsidRDefault="001D31C5" w:rsidP="001D31C5">
      <w:pPr>
        <w:rPr>
          <w:rFonts w:ascii="Calibri" w:eastAsia="Times New Roman" w:hAnsi="Calibri" w:cs="Times New Roman"/>
          <w:b/>
        </w:rPr>
      </w:pPr>
      <w:r w:rsidRPr="001D31C5">
        <w:rPr>
          <w:rFonts w:ascii="Calibri" w:eastAsia="Times New Roman" w:hAnsi="Calibri" w:cs="Times New Roman"/>
          <w:b/>
        </w:rPr>
        <w:br w:type="page"/>
      </w:r>
    </w:p>
    <w:p w:rsidR="001D31C5" w:rsidRDefault="001D31C5" w:rsidP="001D31C5">
      <w:pPr>
        <w:spacing w:after="0" w:line="240" w:lineRule="auto"/>
        <w:jc w:val="center"/>
        <w:rPr>
          <w:rFonts w:ascii="Times New Roman" w:eastAsia="Times New Roman" w:hAnsi="Times New Roman" w:cs="Times New Roman"/>
          <w:b/>
          <w:sz w:val="24"/>
          <w:szCs w:val="24"/>
        </w:rPr>
        <w:sectPr w:rsidR="001D31C5" w:rsidSect="00D8388F">
          <w:pgSz w:w="16838" w:h="11906" w:orient="landscape"/>
          <w:pgMar w:top="1440" w:right="1440" w:bottom="1440" w:left="1440" w:header="708" w:footer="708" w:gutter="0"/>
          <w:cols w:space="708"/>
          <w:docGrid w:linePitch="360"/>
        </w:sectPr>
      </w:pPr>
    </w:p>
    <w:p w:rsidR="001D31C5" w:rsidRPr="001D31C5" w:rsidRDefault="001D31C5" w:rsidP="001D31C5">
      <w:pPr>
        <w:spacing w:after="0" w:line="240" w:lineRule="auto"/>
        <w:jc w:val="center"/>
        <w:rPr>
          <w:rFonts w:ascii="Times New Roman" w:eastAsia="Times New Roman" w:hAnsi="Times New Roman" w:cs="Times New Roman"/>
          <w:b/>
          <w:sz w:val="24"/>
          <w:szCs w:val="24"/>
        </w:rPr>
      </w:pPr>
      <w:r w:rsidRPr="001D31C5">
        <w:rPr>
          <w:rFonts w:ascii="Times New Roman" w:eastAsia="Times New Roman" w:hAnsi="Times New Roman" w:cs="Times New Roman"/>
          <w:b/>
          <w:sz w:val="24"/>
          <w:szCs w:val="24"/>
        </w:rPr>
        <w:lastRenderedPageBreak/>
        <w:t>Table 12:  Ranking measures for a selection of investment strategies (1994-2015)</w:t>
      </w:r>
    </w:p>
    <w:p w:rsidR="001D31C5" w:rsidRPr="001D31C5" w:rsidRDefault="001D31C5" w:rsidP="001D31C5">
      <w:pPr>
        <w:spacing w:after="0" w:line="240" w:lineRule="auto"/>
        <w:jc w:val="center"/>
        <w:rPr>
          <w:rFonts w:ascii="Times New Roman" w:eastAsia="Times New Roman" w:hAnsi="Times New Roman" w:cs="Times New Roman"/>
          <w:b/>
          <w:sz w:val="24"/>
          <w:szCs w:val="24"/>
        </w:rPr>
      </w:pPr>
    </w:p>
    <w:p w:rsidR="001D31C5" w:rsidRPr="001D31C5" w:rsidRDefault="001D31C5" w:rsidP="001D31C5">
      <w:pPr>
        <w:spacing w:after="120" w:line="240" w:lineRule="auto"/>
        <w:jc w:val="both"/>
        <w:rPr>
          <w:rFonts w:ascii="Times New Roman" w:eastAsia="Times New Roman" w:hAnsi="Times New Roman" w:cs="Times New Roman"/>
          <w:sz w:val="20"/>
          <w:szCs w:val="20"/>
        </w:rPr>
      </w:pPr>
      <w:r w:rsidRPr="001D31C5">
        <w:rPr>
          <w:rFonts w:ascii="Times New Roman" w:eastAsia="Times New Roman" w:hAnsi="Times New Roman" w:cs="Times New Roman"/>
          <w:sz w:val="20"/>
          <w:szCs w:val="20"/>
        </w:rPr>
        <w:t xml:space="preserve">This table presents performance ranking measures for five investment strategies. </w:t>
      </w:r>
      <w:r w:rsidR="00A16C56">
        <w:rPr>
          <w:rFonts w:ascii="Times New Roman" w:eastAsia="Times New Roman" w:hAnsi="Times New Roman" w:cs="Times New Roman"/>
          <w:sz w:val="20"/>
          <w:szCs w:val="20"/>
        </w:rPr>
        <w:t xml:space="preserve">Average is the mean return, </w:t>
      </w:r>
      <w:r w:rsidRPr="001D31C5">
        <w:rPr>
          <w:rFonts w:ascii="Times New Roman" w:eastAsia="Times New Roman" w:hAnsi="Times New Roman" w:cs="Times New Roman"/>
          <w:sz w:val="20"/>
          <w:szCs w:val="20"/>
        </w:rPr>
        <w:t xml:space="preserve">SR is the Sharpe ratio, </w:t>
      </w:r>
      <w:proofErr w:type="spellStart"/>
      <w:r w:rsidRPr="001D31C5">
        <w:rPr>
          <w:rFonts w:ascii="Times New Roman" w:eastAsia="Times New Roman" w:hAnsi="Times New Roman" w:cs="Times New Roman"/>
          <w:sz w:val="20"/>
          <w:szCs w:val="20"/>
        </w:rPr>
        <w:t>Sortino</w:t>
      </w:r>
      <w:proofErr w:type="spellEnd"/>
      <w:r w:rsidRPr="001D31C5">
        <w:rPr>
          <w:rFonts w:ascii="Times New Roman" w:eastAsia="Times New Roman" w:hAnsi="Times New Roman" w:cs="Times New Roman"/>
          <w:sz w:val="20"/>
          <w:szCs w:val="20"/>
        </w:rPr>
        <w:t xml:space="preserve"> is the </w:t>
      </w:r>
      <w:proofErr w:type="spellStart"/>
      <w:r w:rsidRPr="001D31C5">
        <w:rPr>
          <w:rFonts w:ascii="Times New Roman" w:eastAsia="Times New Roman" w:hAnsi="Times New Roman" w:cs="Times New Roman"/>
          <w:sz w:val="20"/>
          <w:szCs w:val="20"/>
        </w:rPr>
        <w:t>sortino</w:t>
      </w:r>
      <w:proofErr w:type="spellEnd"/>
      <w:r w:rsidRPr="001D31C5">
        <w:rPr>
          <w:rFonts w:ascii="Times New Roman" w:eastAsia="Times New Roman" w:hAnsi="Times New Roman" w:cs="Times New Roman"/>
          <w:sz w:val="20"/>
          <w:szCs w:val="20"/>
        </w:rPr>
        <w:t xml:space="preserve"> index, SZ3 and SZ4 are the generalised measures proposed by </w:t>
      </w:r>
      <w:proofErr w:type="spellStart"/>
      <w:r w:rsidRPr="001D31C5">
        <w:rPr>
          <w:rFonts w:ascii="Times New Roman" w:eastAsia="Times New Roman" w:hAnsi="Times New Roman" w:cs="Times New Roman"/>
          <w:sz w:val="20"/>
          <w:szCs w:val="20"/>
        </w:rPr>
        <w:t>Smetters</w:t>
      </w:r>
      <w:proofErr w:type="spellEnd"/>
      <w:r w:rsidRPr="001D31C5">
        <w:rPr>
          <w:rFonts w:ascii="Times New Roman" w:eastAsia="Times New Roman" w:hAnsi="Times New Roman" w:cs="Times New Roman"/>
          <w:sz w:val="20"/>
          <w:szCs w:val="20"/>
        </w:rPr>
        <w:t xml:space="preserve"> and Zhang (2013) for up to three and up to four moments for each return, respectively</w:t>
      </w:r>
      <w:r w:rsidR="00A16C56">
        <w:rPr>
          <w:rFonts w:ascii="Times New Roman" w:eastAsia="Times New Roman" w:hAnsi="Times New Roman" w:cs="Times New Roman"/>
          <w:sz w:val="20"/>
          <w:szCs w:val="20"/>
        </w:rPr>
        <w:t>, Average Net is the mean return adjusted for transactions costs</w:t>
      </w:r>
      <w:r w:rsidRPr="001D31C5">
        <w:rPr>
          <w:rFonts w:ascii="Times New Roman" w:eastAsia="Times New Roman" w:hAnsi="Times New Roman" w:cs="Times New Roman"/>
          <w:sz w:val="20"/>
          <w:szCs w:val="20"/>
        </w:rPr>
        <w:t xml:space="preserve"> : EW represents the returns on a portfolio consisting of all 95 markets and commodities with equal weighting; TF represents the returns generated by applying the 12-month trend following filter shown in the final column of Table 3; MOM EW represents the returns generated by equally weighted momentum portfolio shown in Panel A of Table 5 (last column); represents the returns from the momentum strategy; MOM VW represents the returns generated by momentum strategy, where the momentum weights are volatility adjusted and the number of positions in the portfolio was 20 (column 4, Table 9); and TF &amp; MOM VW represents the momentum strategy where weights are volatility-adjusted and where a trend following filter is applied to the individual markets (Table 10). </w:t>
      </w:r>
    </w:p>
    <w:p w:rsidR="001D31C5" w:rsidRPr="001D31C5" w:rsidRDefault="001D31C5" w:rsidP="001D31C5">
      <w:pPr>
        <w:spacing w:after="120" w:line="240" w:lineRule="auto"/>
        <w:jc w:val="both"/>
        <w:rPr>
          <w:rFonts w:ascii="Times New Roman" w:eastAsia="Times New Roman" w:hAnsi="Times New Roman" w:cs="Times New Roman"/>
          <w:sz w:val="20"/>
          <w:szCs w:val="20"/>
        </w:rPr>
      </w:pPr>
    </w:p>
    <w:p w:rsidR="001D31C5" w:rsidRPr="001D31C5" w:rsidRDefault="001D31C5" w:rsidP="001D31C5">
      <w:pPr>
        <w:spacing w:after="120" w:line="240" w:lineRule="auto"/>
        <w:jc w:val="both"/>
        <w:rPr>
          <w:rFonts w:ascii="Calibri" w:eastAsia="Times New Roman" w:hAnsi="Calibri" w:cs="Times New Roman"/>
          <w:b/>
        </w:rPr>
      </w:pPr>
    </w:p>
    <w:tbl>
      <w:tblPr>
        <w:tblW w:w="0" w:type="auto"/>
        <w:jc w:val="center"/>
        <w:tblLook w:val="04A0" w:firstRow="1" w:lastRow="0" w:firstColumn="1" w:lastColumn="0" w:noHBand="0" w:noVBand="1"/>
      </w:tblPr>
      <w:tblGrid>
        <w:gridCol w:w="1589"/>
        <w:gridCol w:w="894"/>
        <w:gridCol w:w="666"/>
        <w:gridCol w:w="805"/>
        <w:gridCol w:w="833"/>
        <w:gridCol w:w="733"/>
        <w:gridCol w:w="1233"/>
      </w:tblGrid>
      <w:tr w:rsidR="00A16C56" w:rsidRPr="001D31C5" w:rsidTr="00A16C56">
        <w:trPr>
          <w:trHeight w:val="255"/>
          <w:jc w:val="center"/>
        </w:trPr>
        <w:tc>
          <w:tcPr>
            <w:tcW w:w="0" w:type="auto"/>
            <w:tcBorders>
              <w:top w:val="single" w:sz="4" w:space="0" w:color="auto"/>
              <w:left w:val="nil"/>
              <w:bottom w:val="single" w:sz="4" w:space="0" w:color="auto"/>
              <w:right w:val="nil"/>
            </w:tcBorders>
            <w:shd w:val="clear" w:color="000000" w:fill="FFFFFF"/>
            <w:noWrap/>
            <w:vAlign w:val="bottom"/>
            <w:hideMark/>
          </w:tcPr>
          <w:p w:rsidR="00A16C56" w:rsidRPr="001D31C5" w:rsidRDefault="00A16C56" w:rsidP="001D31C5">
            <w:pPr>
              <w:spacing w:after="0" w:line="240" w:lineRule="auto"/>
              <w:rPr>
                <w:rFonts w:ascii="Times New Roman" w:eastAsia="Times New Roman" w:hAnsi="Times New Roman" w:cs="Times New Roman"/>
                <w:b/>
                <w:bCs/>
                <w:color w:val="000000"/>
                <w:sz w:val="20"/>
                <w:szCs w:val="20"/>
              </w:rPr>
            </w:pPr>
          </w:p>
        </w:tc>
        <w:tc>
          <w:tcPr>
            <w:tcW w:w="0" w:type="auto"/>
            <w:tcBorders>
              <w:top w:val="single" w:sz="4" w:space="0" w:color="auto"/>
              <w:left w:val="dotted" w:sz="4" w:space="0" w:color="auto"/>
              <w:bottom w:val="single" w:sz="4" w:space="0" w:color="auto"/>
              <w:right w:val="dotted" w:sz="4" w:space="0" w:color="auto"/>
            </w:tcBorders>
            <w:shd w:val="clear" w:color="000000" w:fill="FFFFFF"/>
            <w:noWrap/>
            <w:vAlign w:val="bottom"/>
            <w:hideMark/>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Average</w:t>
            </w:r>
          </w:p>
        </w:tc>
        <w:tc>
          <w:tcPr>
            <w:tcW w:w="0" w:type="auto"/>
            <w:tcBorders>
              <w:top w:val="single" w:sz="4" w:space="0" w:color="auto"/>
              <w:left w:val="nil"/>
              <w:bottom w:val="single" w:sz="4" w:space="0" w:color="auto"/>
              <w:right w:val="nil"/>
            </w:tcBorders>
            <w:shd w:val="clear" w:color="000000" w:fill="FFFFFF"/>
            <w:noWrap/>
            <w:vAlign w:val="bottom"/>
            <w:hideMark/>
          </w:tcPr>
          <w:p w:rsidR="00A16C56" w:rsidRPr="001D31C5" w:rsidRDefault="00A16C56" w:rsidP="001D31C5">
            <w:pPr>
              <w:spacing w:after="0" w:line="240" w:lineRule="auto"/>
              <w:jc w:val="center"/>
              <w:rPr>
                <w:rFonts w:ascii="Times New Roman" w:eastAsia="Times New Roman" w:hAnsi="Times New Roman" w:cs="Times New Roman"/>
                <w:bCs/>
                <w:color w:val="000000"/>
                <w:sz w:val="20"/>
                <w:szCs w:val="20"/>
              </w:rPr>
            </w:pPr>
            <w:r w:rsidRPr="001D31C5">
              <w:rPr>
                <w:rFonts w:ascii="Times New Roman" w:eastAsia="Times New Roman" w:hAnsi="Times New Roman" w:cs="Times New Roman"/>
                <w:bCs/>
                <w:color w:val="000000"/>
                <w:sz w:val="20"/>
                <w:szCs w:val="20"/>
              </w:rPr>
              <w:t>SR</w:t>
            </w:r>
          </w:p>
        </w:tc>
        <w:tc>
          <w:tcPr>
            <w:tcW w:w="0" w:type="auto"/>
            <w:tcBorders>
              <w:top w:val="single" w:sz="4" w:space="0" w:color="auto"/>
              <w:left w:val="nil"/>
              <w:bottom w:val="single" w:sz="4" w:space="0" w:color="auto"/>
              <w:right w:val="nil"/>
            </w:tcBorders>
            <w:shd w:val="clear" w:color="000000" w:fill="FFFFFF"/>
            <w:noWrap/>
            <w:vAlign w:val="bottom"/>
            <w:hideMark/>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roofErr w:type="spellStart"/>
            <w:r w:rsidRPr="001D31C5">
              <w:rPr>
                <w:rFonts w:ascii="Times New Roman" w:eastAsia="Times New Roman" w:hAnsi="Times New Roman" w:cs="Times New Roman"/>
                <w:color w:val="000000"/>
                <w:sz w:val="20"/>
                <w:szCs w:val="20"/>
              </w:rPr>
              <w:t>Sortino</w:t>
            </w:r>
            <w:proofErr w:type="spellEnd"/>
          </w:p>
        </w:tc>
        <w:tc>
          <w:tcPr>
            <w:tcW w:w="0" w:type="auto"/>
            <w:tcBorders>
              <w:top w:val="single" w:sz="4" w:space="0" w:color="auto"/>
              <w:left w:val="nil"/>
              <w:bottom w:val="single" w:sz="4" w:space="0" w:color="auto"/>
              <w:right w:val="nil"/>
            </w:tcBorders>
            <w:shd w:val="clear" w:color="000000" w:fill="FFFFFF"/>
            <w:noWrap/>
            <w:vAlign w:val="bottom"/>
            <w:hideMark/>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SZ3</w:t>
            </w:r>
          </w:p>
        </w:tc>
        <w:tc>
          <w:tcPr>
            <w:tcW w:w="0" w:type="auto"/>
            <w:tcBorders>
              <w:top w:val="single" w:sz="4" w:space="0" w:color="auto"/>
              <w:left w:val="nil"/>
              <w:bottom w:val="single" w:sz="4" w:space="0" w:color="auto"/>
              <w:right w:val="nil"/>
            </w:tcBorders>
            <w:shd w:val="clear" w:color="000000" w:fill="FFFFFF"/>
            <w:noWrap/>
            <w:vAlign w:val="bottom"/>
            <w:hideMark/>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SZ4</w:t>
            </w:r>
          </w:p>
        </w:tc>
        <w:tc>
          <w:tcPr>
            <w:tcW w:w="0" w:type="auto"/>
            <w:tcBorders>
              <w:top w:val="single" w:sz="4" w:space="0" w:color="auto"/>
              <w:left w:val="nil"/>
              <w:bottom w:val="single" w:sz="4" w:space="0" w:color="auto"/>
              <w:right w:val="nil"/>
            </w:tcBorders>
            <w:shd w:val="clear" w:color="000000" w:fill="FFFFFF"/>
            <w:vAlign w:val="bottom"/>
          </w:tcPr>
          <w:p w:rsidR="00A16C56" w:rsidRPr="001D31C5" w:rsidRDefault="00A16C56" w:rsidP="00A16C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Average Net</w:t>
            </w:r>
          </w:p>
        </w:tc>
      </w:tr>
      <w:tr w:rsidR="00A16C56" w:rsidRPr="001D31C5" w:rsidTr="00A16C56">
        <w:trPr>
          <w:trHeight w:val="255"/>
          <w:jc w:val="center"/>
        </w:trPr>
        <w:tc>
          <w:tcPr>
            <w:tcW w:w="0" w:type="auto"/>
            <w:tcBorders>
              <w:top w:val="nil"/>
              <w:left w:val="nil"/>
              <w:bottom w:val="nil"/>
              <w:right w:val="nil"/>
            </w:tcBorders>
            <w:shd w:val="clear" w:color="000000" w:fill="FFFFFF"/>
            <w:noWrap/>
            <w:vAlign w:val="bottom"/>
            <w:hideMark/>
          </w:tcPr>
          <w:p w:rsidR="00A16C56" w:rsidRPr="001D31C5" w:rsidRDefault="00A16C56"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EW</w:t>
            </w:r>
          </w:p>
        </w:tc>
        <w:tc>
          <w:tcPr>
            <w:tcW w:w="0" w:type="auto"/>
            <w:tcBorders>
              <w:top w:val="nil"/>
              <w:left w:val="dotted" w:sz="4" w:space="0" w:color="auto"/>
              <w:bottom w:val="nil"/>
              <w:right w:val="dotted" w:sz="4" w:space="0" w:color="auto"/>
            </w:tcBorders>
            <w:shd w:val="clear" w:color="000000" w:fill="FFFFFF"/>
            <w:noWrap/>
            <w:vAlign w:val="bottom"/>
          </w:tcPr>
          <w:p w:rsidR="00A16C56" w:rsidRPr="001D31C5" w:rsidRDefault="00A16C56" w:rsidP="00A16C56">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6.61</w:t>
            </w: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0.290</w:t>
            </w: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0.457</w:t>
            </w: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-0.0808</w:t>
            </w: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-0.240</w:t>
            </w:r>
          </w:p>
        </w:tc>
        <w:tc>
          <w:tcPr>
            <w:tcW w:w="0" w:type="auto"/>
            <w:tcBorders>
              <w:top w:val="nil"/>
              <w:left w:val="nil"/>
              <w:bottom w:val="nil"/>
              <w:right w:val="nil"/>
            </w:tcBorders>
            <w:shd w:val="clear" w:color="000000" w:fill="FFFFFF"/>
            <w:vAlign w:val="bottom"/>
          </w:tcPr>
          <w:p w:rsidR="00A16C56" w:rsidRPr="001D31C5" w:rsidRDefault="00A16C56" w:rsidP="00A16C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6.12</w:t>
            </w:r>
          </w:p>
        </w:tc>
      </w:tr>
      <w:tr w:rsidR="00A16C56" w:rsidRPr="001D31C5" w:rsidTr="00B168E7">
        <w:trPr>
          <w:trHeight w:val="255"/>
          <w:jc w:val="center"/>
        </w:trPr>
        <w:tc>
          <w:tcPr>
            <w:tcW w:w="0" w:type="auto"/>
            <w:tcBorders>
              <w:top w:val="nil"/>
              <w:left w:val="nil"/>
              <w:bottom w:val="nil"/>
              <w:right w:val="nil"/>
            </w:tcBorders>
            <w:shd w:val="clear" w:color="000000" w:fill="FFFFFF"/>
            <w:noWrap/>
            <w:vAlign w:val="bottom"/>
            <w:hideMark/>
          </w:tcPr>
          <w:p w:rsidR="00A16C56" w:rsidRPr="001D31C5" w:rsidRDefault="00A16C56"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dotted" w:sz="4" w:space="0" w:color="auto"/>
              <w:bottom w:val="nil"/>
              <w:right w:val="dotted" w:sz="4" w:space="0" w:color="auto"/>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r>
      <w:tr w:rsidR="00A16C56" w:rsidRPr="001D31C5" w:rsidTr="00B168E7">
        <w:trPr>
          <w:trHeight w:val="255"/>
          <w:jc w:val="center"/>
        </w:trPr>
        <w:tc>
          <w:tcPr>
            <w:tcW w:w="0" w:type="auto"/>
            <w:tcBorders>
              <w:top w:val="nil"/>
              <w:left w:val="nil"/>
              <w:bottom w:val="nil"/>
              <w:right w:val="nil"/>
            </w:tcBorders>
            <w:shd w:val="clear" w:color="000000" w:fill="FFFFFF"/>
            <w:noWrap/>
            <w:vAlign w:val="bottom"/>
            <w:hideMark/>
          </w:tcPr>
          <w:p w:rsidR="00A16C56" w:rsidRPr="001D31C5" w:rsidRDefault="00A16C56"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TF</w:t>
            </w:r>
          </w:p>
        </w:tc>
        <w:tc>
          <w:tcPr>
            <w:tcW w:w="0" w:type="auto"/>
            <w:tcBorders>
              <w:top w:val="nil"/>
              <w:left w:val="dotted" w:sz="4" w:space="0" w:color="auto"/>
              <w:bottom w:val="nil"/>
              <w:right w:val="dotted" w:sz="4" w:space="0" w:color="auto"/>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8.90</w:t>
            </w: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0.800</w:t>
            </w: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1.643</w:t>
            </w: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0.122</w:t>
            </w: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-1.766</w:t>
            </w:r>
          </w:p>
        </w:tc>
        <w:tc>
          <w:tcPr>
            <w:tcW w:w="0" w:type="auto"/>
            <w:tcBorders>
              <w:top w:val="nil"/>
              <w:left w:val="nil"/>
              <w:bottom w:val="nil"/>
              <w:right w:val="nil"/>
            </w:tcBorders>
            <w:shd w:val="clear" w:color="000000" w:fill="FFFFFF"/>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8.40</w:t>
            </w:r>
          </w:p>
        </w:tc>
      </w:tr>
      <w:tr w:rsidR="00A16C56" w:rsidRPr="001D31C5" w:rsidTr="00B168E7">
        <w:trPr>
          <w:trHeight w:val="255"/>
          <w:jc w:val="center"/>
        </w:trPr>
        <w:tc>
          <w:tcPr>
            <w:tcW w:w="0" w:type="auto"/>
            <w:tcBorders>
              <w:top w:val="nil"/>
              <w:left w:val="nil"/>
              <w:bottom w:val="nil"/>
              <w:right w:val="nil"/>
            </w:tcBorders>
            <w:shd w:val="clear" w:color="000000" w:fill="FFFFFF"/>
            <w:noWrap/>
            <w:vAlign w:val="bottom"/>
            <w:hideMark/>
          </w:tcPr>
          <w:p w:rsidR="00A16C56" w:rsidRPr="001D31C5" w:rsidRDefault="00A16C56"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dotted" w:sz="4" w:space="0" w:color="auto"/>
              <w:bottom w:val="nil"/>
              <w:right w:val="dotted" w:sz="4" w:space="0" w:color="auto"/>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r>
      <w:tr w:rsidR="00A16C56" w:rsidRPr="001D31C5" w:rsidTr="00B168E7">
        <w:trPr>
          <w:trHeight w:val="255"/>
          <w:jc w:val="center"/>
        </w:trPr>
        <w:tc>
          <w:tcPr>
            <w:tcW w:w="0" w:type="auto"/>
            <w:tcBorders>
              <w:top w:val="nil"/>
              <w:left w:val="nil"/>
              <w:bottom w:val="nil"/>
              <w:right w:val="nil"/>
            </w:tcBorders>
            <w:shd w:val="clear" w:color="000000" w:fill="FFFFFF"/>
            <w:noWrap/>
            <w:vAlign w:val="bottom"/>
            <w:hideMark/>
          </w:tcPr>
          <w:p w:rsidR="00A16C56" w:rsidRPr="001D31C5" w:rsidRDefault="00A16C56"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MOM EW</w:t>
            </w:r>
          </w:p>
        </w:tc>
        <w:tc>
          <w:tcPr>
            <w:tcW w:w="0" w:type="auto"/>
            <w:tcBorders>
              <w:top w:val="nil"/>
              <w:left w:val="dotted" w:sz="4" w:space="0" w:color="auto"/>
              <w:bottom w:val="nil"/>
              <w:right w:val="dotted" w:sz="4" w:space="0" w:color="auto"/>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10.14</w:t>
            </w: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0.533</w:t>
            </w: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0.875</w:t>
            </w: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-0.508</w:t>
            </w: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-2.395</w:t>
            </w:r>
          </w:p>
        </w:tc>
        <w:tc>
          <w:tcPr>
            <w:tcW w:w="0" w:type="auto"/>
            <w:tcBorders>
              <w:top w:val="nil"/>
              <w:left w:val="nil"/>
              <w:bottom w:val="nil"/>
              <w:right w:val="nil"/>
            </w:tcBorders>
            <w:shd w:val="clear" w:color="000000" w:fill="FFFFFF"/>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9.60</w:t>
            </w:r>
          </w:p>
        </w:tc>
      </w:tr>
      <w:tr w:rsidR="00A16C56" w:rsidRPr="001D31C5" w:rsidTr="00B168E7">
        <w:trPr>
          <w:trHeight w:val="255"/>
          <w:jc w:val="center"/>
        </w:trPr>
        <w:tc>
          <w:tcPr>
            <w:tcW w:w="0" w:type="auto"/>
            <w:tcBorders>
              <w:top w:val="nil"/>
              <w:left w:val="nil"/>
              <w:bottom w:val="nil"/>
              <w:right w:val="nil"/>
            </w:tcBorders>
            <w:shd w:val="clear" w:color="000000" w:fill="FFFFFF"/>
            <w:noWrap/>
            <w:vAlign w:val="bottom"/>
            <w:hideMark/>
          </w:tcPr>
          <w:p w:rsidR="00A16C56" w:rsidRPr="001D31C5" w:rsidRDefault="00A16C56"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dotted" w:sz="4" w:space="0" w:color="auto"/>
              <w:bottom w:val="nil"/>
              <w:right w:val="dotted" w:sz="4" w:space="0" w:color="auto"/>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r>
      <w:tr w:rsidR="00A16C56" w:rsidRPr="001D31C5" w:rsidTr="00B168E7">
        <w:trPr>
          <w:trHeight w:val="255"/>
          <w:jc w:val="center"/>
        </w:trPr>
        <w:tc>
          <w:tcPr>
            <w:tcW w:w="0" w:type="auto"/>
            <w:tcBorders>
              <w:top w:val="nil"/>
              <w:left w:val="nil"/>
              <w:bottom w:val="nil"/>
              <w:right w:val="nil"/>
            </w:tcBorders>
            <w:shd w:val="clear" w:color="000000" w:fill="FFFFFF"/>
            <w:noWrap/>
            <w:vAlign w:val="bottom"/>
            <w:hideMark/>
          </w:tcPr>
          <w:p w:rsidR="00A16C56" w:rsidRPr="001D31C5" w:rsidRDefault="00A16C56"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MOM VW</w:t>
            </w:r>
          </w:p>
        </w:tc>
        <w:tc>
          <w:tcPr>
            <w:tcW w:w="0" w:type="auto"/>
            <w:tcBorders>
              <w:top w:val="nil"/>
              <w:left w:val="dotted" w:sz="4" w:space="0" w:color="auto"/>
              <w:bottom w:val="nil"/>
              <w:right w:val="dotted" w:sz="4" w:space="0" w:color="auto"/>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13.80</w:t>
            </w: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0.816</w:t>
            </w: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1.558</w:t>
            </w: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-0.518</w:t>
            </w: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-3.924</w:t>
            </w:r>
          </w:p>
        </w:tc>
        <w:tc>
          <w:tcPr>
            <w:tcW w:w="0" w:type="auto"/>
            <w:tcBorders>
              <w:top w:val="nil"/>
              <w:left w:val="nil"/>
              <w:bottom w:val="nil"/>
              <w:right w:val="nil"/>
            </w:tcBorders>
            <w:shd w:val="clear" w:color="000000" w:fill="FFFFFF"/>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12.42</w:t>
            </w:r>
          </w:p>
        </w:tc>
      </w:tr>
      <w:tr w:rsidR="00A16C56" w:rsidRPr="001D31C5" w:rsidTr="00B168E7">
        <w:trPr>
          <w:trHeight w:val="255"/>
          <w:jc w:val="center"/>
        </w:trPr>
        <w:tc>
          <w:tcPr>
            <w:tcW w:w="0" w:type="auto"/>
            <w:tcBorders>
              <w:top w:val="nil"/>
              <w:left w:val="nil"/>
              <w:bottom w:val="nil"/>
              <w:right w:val="nil"/>
            </w:tcBorders>
            <w:shd w:val="clear" w:color="000000" w:fill="FFFFFF"/>
            <w:noWrap/>
            <w:vAlign w:val="bottom"/>
            <w:hideMark/>
          </w:tcPr>
          <w:p w:rsidR="00A16C56" w:rsidRPr="001D31C5" w:rsidRDefault="00A16C56"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dotted" w:sz="4" w:space="0" w:color="auto"/>
              <w:bottom w:val="nil"/>
              <w:right w:val="dotted" w:sz="4" w:space="0" w:color="auto"/>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000000" w:fill="FFFFFF"/>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r>
      <w:tr w:rsidR="00A16C56" w:rsidRPr="001D31C5" w:rsidTr="00B168E7">
        <w:trPr>
          <w:trHeight w:val="255"/>
          <w:jc w:val="center"/>
        </w:trPr>
        <w:tc>
          <w:tcPr>
            <w:tcW w:w="0" w:type="auto"/>
            <w:tcBorders>
              <w:top w:val="nil"/>
              <w:left w:val="nil"/>
              <w:right w:val="nil"/>
            </w:tcBorders>
            <w:shd w:val="clear" w:color="000000" w:fill="FFFFFF"/>
            <w:noWrap/>
            <w:vAlign w:val="bottom"/>
            <w:hideMark/>
          </w:tcPr>
          <w:p w:rsidR="00A16C56" w:rsidRPr="001D31C5" w:rsidRDefault="00A16C56"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TF &amp; MOM VW</w:t>
            </w:r>
          </w:p>
        </w:tc>
        <w:tc>
          <w:tcPr>
            <w:tcW w:w="0" w:type="auto"/>
            <w:tcBorders>
              <w:top w:val="nil"/>
              <w:left w:val="dotted" w:sz="4" w:space="0" w:color="auto"/>
              <w:right w:val="dotted" w:sz="4" w:space="0" w:color="auto"/>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14.53</w:t>
            </w:r>
          </w:p>
        </w:tc>
        <w:tc>
          <w:tcPr>
            <w:tcW w:w="0" w:type="auto"/>
            <w:tcBorders>
              <w:top w:val="nil"/>
              <w:left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0.952</w:t>
            </w:r>
          </w:p>
        </w:tc>
        <w:tc>
          <w:tcPr>
            <w:tcW w:w="0" w:type="auto"/>
            <w:tcBorders>
              <w:top w:val="nil"/>
              <w:left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2.009</w:t>
            </w:r>
          </w:p>
        </w:tc>
        <w:tc>
          <w:tcPr>
            <w:tcW w:w="0" w:type="auto"/>
            <w:tcBorders>
              <w:top w:val="nil"/>
              <w:left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0.291</w:t>
            </w:r>
          </w:p>
        </w:tc>
        <w:tc>
          <w:tcPr>
            <w:tcW w:w="0" w:type="auto"/>
            <w:tcBorders>
              <w:top w:val="nil"/>
              <w:left w:val="nil"/>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-3.646</w:t>
            </w:r>
          </w:p>
        </w:tc>
        <w:tc>
          <w:tcPr>
            <w:tcW w:w="0" w:type="auto"/>
            <w:tcBorders>
              <w:top w:val="nil"/>
              <w:left w:val="nil"/>
              <w:right w:val="nil"/>
            </w:tcBorders>
            <w:shd w:val="clear" w:color="000000" w:fill="FFFFFF"/>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13.19</w:t>
            </w:r>
          </w:p>
        </w:tc>
      </w:tr>
      <w:tr w:rsidR="00A16C56" w:rsidRPr="001D31C5" w:rsidTr="00B168E7">
        <w:trPr>
          <w:trHeight w:val="255"/>
          <w:jc w:val="center"/>
        </w:trPr>
        <w:tc>
          <w:tcPr>
            <w:tcW w:w="0" w:type="auto"/>
            <w:tcBorders>
              <w:top w:val="nil"/>
              <w:left w:val="nil"/>
              <w:bottom w:val="single" w:sz="4" w:space="0" w:color="auto"/>
              <w:right w:val="nil"/>
            </w:tcBorders>
            <w:shd w:val="clear" w:color="000000" w:fill="FFFFFF"/>
            <w:noWrap/>
            <w:vAlign w:val="bottom"/>
            <w:hideMark/>
          </w:tcPr>
          <w:p w:rsidR="00A16C56" w:rsidRPr="001D31C5" w:rsidRDefault="00A16C56" w:rsidP="001D31C5">
            <w:pPr>
              <w:spacing w:after="0" w:line="240" w:lineRule="auto"/>
              <w:rPr>
                <w:rFonts w:ascii="Times New Roman" w:eastAsia="Times New Roman" w:hAnsi="Times New Roman" w:cs="Times New Roman"/>
                <w:color w:val="000000"/>
                <w:sz w:val="20"/>
                <w:szCs w:val="20"/>
              </w:rPr>
            </w:pPr>
            <w:r w:rsidRPr="001D31C5">
              <w:rPr>
                <w:rFonts w:ascii="Times New Roman" w:eastAsia="Times New Roman" w:hAnsi="Times New Roman" w:cs="Times New Roman"/>
                <w:color w:val="000000"/>
                <w:sz w:val="20"/>
                <w:szCs w:val="20"/>
              </w:rPr>
              <w:t> </w:t>
            </w:r>
          </w:p>
        </w:tc>
        <w:tc>
          <w:tcPr>
            <w:tcW w:w="0" w:type="auto"/>
            <w:tcBorders>
              <w:top w:val="nil"/>
              <w:left w:val="dotted" w:sz="4" w:space="0" w:color="auto"/>
              <w:bottom w:val="single" w:sz="4" w:space="0" w:color="auto"/>
              <w:right w:val="dotted" w:sz="4" w:space="0" w:color="auto"/>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nil"/>
            </w:tcBorders>
            <w:shd w:val="clear" w:color="000000" w:fill="FFFFFF"/>
            <w:noWrap/>
            <w:vAlign w:val="bottom"/>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nil"/>
            </w:tcBorders>
            <w:shd w:val="clear" w:color="000000" w:fill="FFFFFF"/>
          </w:tcPr>
          <w:p w:rsidR="00A16C56" w:rsidRPr="001D31C5" w:rsidRDefault="00A16C56" w:rsidP="001D31C5">
            <w:pPr>
              <w:spacing w:after="0" w:line="240" w:lineRule="auto"/>
              <w:jc w:val="center"/>
              <w:rPr>
                <w:rFonts w:ascii="Times New Roman" w:eastAsia="Times New Roman" w:hAnsi="Times New Roman" w:cs="Times New Roman"/>
                <w:color w:val="000000"/>
                <w:sz w:val="20"/>
                <w:szCs w:val="20"/>
              </w:rPr>
            </w:pPr>
          </w:p>
        </w:tc>
      </w:tr>
    </w:tbl>
    <w:p w:rsidR="001D31C5" w:rsidRPr="001D31C5" w:rsidRDefault="001D31C5" w:rsidP="001D31C5">
      <w:pPr>
        <w:spacing w:after="0" w:line="240" w:lineRule="auto"/>
        <w:jc w:val="center"/>
        <w:rPr>
          <w:rFonts w:ascii="Calibri" w:eastAsia="Times New Roman" w:hAnsi="Calibri" w:cs="Times New Roman"/>
          <w:b/>
        </w:rPr>
      </w:pPr>
    </w:p>
    <w:p w:rsidR="001D31C5" w:rsidRPr="001D31C5" w:rsidRDefault="001D31C5" w:rsidP="001D31C5">
      <w:pPr>
        <w:spacing w:after="0" w:line="240" w:lineRule="auto"/>
        <w:jc w:val="center"/>
        <w:rPr>
          <w:rFonts w:ascii="Calibri" w:eastAsia="Times New Roman" w:hAnsi="Calibri" w:cs="Times New Roman"/>
          <w:b/>
        </w:rPr>
      </w:pPr>
    </w:p>
    <w:p w:rsidR="001D31C5" w:rsidRPr="001D31C5" w:rsidRDefault="001D31C5" w:rsidP="001D31C5">
      <w:pPr>
        <w:rPr>
          <w:rFonts w:ascii="Calibri" w:eastAsia="Times New Roman" w:hAnsi="Calibri" w:cs="Times New Roman"/>
        </w:rPr>
        <w:sectPr w:rsidR="001D31C5" w:rsidRPr="001D31C5" w:rsidSect="001D31C5">
          <w:pgSz w:w="11906" w:h="16838"/>
          <w:pgMar w:top="1440" w:right="1440" w:bottom="1440" w:left="1440" w:header="709" w:footer="709" w:gutter="0"/>
          <w:cols w:space="708"/>
          <w:docGrid w:linePitch="360"/>
        </w:sectPr>
      </w:pPr>
    </w:p>
    <w:p w:rsidR="001D31C5" w:rsidRPr="001D31C5" w:rsidRDefault="001D31C5" w:rsidP="001D31C5">
      <w:pPr>
        <w:jc w:val="center"/>
        <w:rPr>
          <w:rFonts w:ascii="Calibri" w:eastAsia="Times New Roman" w:hAnsi="Calibri" w:cs="Times New Roman"/>
        </w:rPr>
        <w:sectPr w:rsidR="001D31C5" w:rsidRPr="001D31C5" w:rsidSect="001D31C5">
          <w:pgSz w:w="16838" w:h="11906" w:orient="landscape"/>
          <w:pgMar w:top="1440" w:right="1440" w:bottom="1440" w:left="1440" w:header="709" w:footer="709" w:gutter="0"/>
          <w:cols w:space="708"/>
          <w:docGrid w:linePitch="360"/>
        </w:sectPr>
      </w:pPr>
      <w:r w:rsidRPr="001D31C5">
        <w:rPr>
          <w:rFonts w:ascii="Calibri" w:eastAsia="Times New Roman" w:hAnsi="Calibri" w:cs="Times New Roman"/>
          <w:noProof/>
        </w:rPr>
        <w:lastRenderedPageBreak/>
        <w:drawing>
          <wp:inline distT="0" distB="0" distL="0" distR="0" wp14:anchorId="11B58844" wp14:editId="7C396188">
            <wp:extent cx="7937500" cy="590169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37500" cy="5901690"/>
                    </a:xfrm>
                    <a:prstGeom prst="rect">
                      <a:avLst/>
                    </a:prstGeom>
                    <a:noFill/>
                  </pic:spPr>
                </pic:pic>
              </a:graphicData>
            </a:graphic>
          </wp:inline>
        </w:drawing>
      </w:r>
    </w:p>
    <w:p w:rsidR="001375AF" w:rsidRDefault="001D31C5" w:rsidP="00F90118">
      <w:pPr>
        <w:jc w:val="center"/>
        <w:rPr>
          <w:rFonts w:ascii="Times New Roman" w:eastAsia="Times New Roman" w:hAnsi="Times New Roman" w:cs="Times New Roman"/>
          <w:b/>
          <w:bCs/>
          <w:color w:val="000000"/>
        </w:rPr>
      </w:pPr>
      <w:r w:rsidRPr="001D31C5">
        <w:rPr>
          <w:rFonts w:ascii="Calibri" w:eastAsia="Times New Roman" w:hAnsi="Calibri" w:cs="Times New Roman"/>
          <w:noProof/>
        </w:rPr>
        <w:lastRenderedPageBreak/>
        <w:drawing>
          <wp:inline distT="0" distB="0" distL="0" distR="0" wp14:anchorId="371EFBE2" wp14:editId="3AB1E72B">
            <wp:extent cx="8547100" cy="591375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47100" cy="5913755"/>
                    </a:xfrm>
                    <a:prstGeom prst="rect">
                      <a:avLst/>
                    </a:prstGeom>
                    <a:noFill/>
                  </pic:spPr>
                </pic:pic>
              </a:graphicData>
            </a:graphic>
          </wp:inline>
        </w:drawing>
      </w:r>
    </w:p>
    <w:sectPr w:rsidR="001375AF" w:rsidSect="001D31C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03" w:rsidRDefault="004F7D03" w:rsidP="00F61F61">
      <w:pPr>
        <w:spacing w:after="0" w:line="240" w:lineRule="auto"/>
      </w:pPr>
      <w:r>
        <w:separator/>
      </w:r>
    </w:p>
  </w:endnote>
  <w:endnote w:type="continuationSeparator" w:id="0">
    <w:p w:rsidR="004F7D03" w:rsidRDefault="004F7D03" w:rsidP="00F6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4592"/>
      <w:docPartObj>
        <w:docPartGallery w:val="Page Numbers (Bottom of Page)"/>
        <w:docPartUnique/>
      </w:docPartObj>
    </w:sdtPr>
    <w:sdtEndPr/>
    <w:sdtContent>
      <w:p w:rsidR="004F7D03" w:rsidRDefault="004F7D03">
        <w:pPr>
          <w:pStyle w:val="Footer"/>
          <w:jc w:val="center"/>
        </w:pPr>
        <w:r>
          <w:fldChar w:fldCharType="begin"/>
        </w:r>
        <w:r>
          <w:instrText xml:space="preserve"> PAGE   \* MERGEFORMAT </w:instrText>
        </w:r>
        <w:r>
          <w:fldChar w:fldCharType="separate"/>
        </w:r>
        <w:r w:rsidR="00474F34">
          <w:rPr>
            <w:noProof/>
          </w:rPr>
          <w:t>29</w:t>
        </w:r>
        <w:r>
          <w:rPr>
            <w:noProof/>
          </w:rPr>
          <w:fldChar w:fldCharType="end"/>
        </w:r>
      </w:p>
    </w:sdtContent>
  </w:sdt>
  <w:p w:rsidR="004F7D03" w:rsidRDefault="004F7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03" w:rsidRDefault="004F7D03" w:rsidP="00F61F61">
      <w:pPr>
        <w:spacing w:after="0" w:line="240" w:lineRule="auto"/>
      </w:pPr>
      <w:r>
        <w:separator/>
      </w:r>
    </w:p>
  </w:footnote>
  <w:footnote w:type="continuationSeparator" w:id="0">
    <w:p w:rsidR="004F7D03" w:rsidRDefault="004F7D03" w:rsidP="00F61F61">
      <w:pPr>
        <w:spacing w:after="0" w:line="240" w:lineRule="auto"/>
      </w:pPr>
      <w:r>
        <w:continuationSeparator/>
      </w:r>
    </w:p>
  </w:footnote>
  <w:footnote w:id="1">
    <w:p w:rsidR="004F7D03" w:rsidRPr="00B066CF" w:rsidRDefault="004F7D03">
      <w:pPr>
        <w:pStyle w:val="FootnoteText"/>
        <w:rPr>
          <w:rFonts w:ascii="Times New Roman" w:hAnsi="Times New Roman"/>
        </w:rPr>
      </w:pPr>
      <w:r>
        <w:rPr>
          <w:rStyle w:val="FootnoteReference"/>
        </w:rPr>
        <w:footnoteRef/>
      </w:r>
      <w:r>
        <w:t xml:space="preserve"> </w:t>
      </w:r>
      <w:r w:rsidRPr="00B066CF">
        <w:rPr>
          <w:rFonts w:ascii="Times New Roman" w:hAnsi="Times New Roman"/>
        </w:rPr>
        <w:t>Source:</w:t>
      </w:r>
      <w:r>
        <w:rPr>
          <w:rFonts w:ascii="Times New Roman" w:hAnsi="Times New Roman"/>
        </w:rPr>
        <w:t xml:space="preserve"> </w:t>
      </w:r>
      <w:proofErr w:type="spellStart"/>
      <w:r w:rsidRPr="00B066CF">
        <w:rPr>
          <w:rFonts w:ascii="Times New Roman" w:hAnsi="Times New Roman"/>
        </w:rPr>
        <w:t>Dalbar’s</w:t>
      </w:r>
      <w:proofErr w:type="spellEnd"/>
      <w:r w:rsidRPr="00B066CF">
        <w:rPr>
          <w:rFonts w:ascii="Times New Roman" w:hAnsi="Times New Roman"/>
        </w:rPr>
        <w:t xml:space="preserve"> 21st edition of the Quantitative Analysis of Investor Behaviour, quoted by John </w:t>
      </w:r>
      <w:proofErr w:type="spellStart"/>
      <w:r w:rsidRPr="00B066CF">
        <w:rPr>
          <w:rFonts w:ascii="Times New Roman" w:hAnsi="Times New Roman"/>
        </w:rPr>
        <w:t>Authers</w:t>
      </w:r>
      <w:proofErr w:type="spellEnd"/>
      <w:r w:rsidRPr="00B066CF">
        <w:rPr>
          <w:rFonts w:ascii="Times New Roman" w:hAnsi="Times New Roman"/>
        </w:rPr>
        <w:t>,</w:t>
      </w:r>
      <w:r>
        <w:rPr>
          <w:rFonts w:ascii="Times New Roman" w:hAnsi="Times New Roman"/>
        </w:rPr>
        <w:t xml:space="preserve"> </w:t>
      </w:r>
      <w:r w:rsidRPr="00B066CF">
        <w:rPr>
          <w:rFonts w:ascii="Times New Roman" w:hAnsi="Times New Roman"/>
          <w:i/>
        </w:rPr>
        <w:t>Financial Times</w:t>
      </w:r>
      <w:r w:rsidRPr="00B066CF">
        <w:rPr>
          <w:rFonts w:ascii="Times New Roman" w:hAnsi="Times New Roman"/>
        </w:rPr>
        <w:t>,</w:t>
      </w:r>
      <w:r>
        <w:rPr>
          <w:rFonts w:ascii="Times New Roman" w:hAnsi="Times New Roman"/>
        </w:rPr>
        <w:t xml:space="preserve"> </w:t>
      </w:r>
      <w:r w:rsidRPr="00B066CF">
        <w:rPr>
          <w:rFonts w:ascii="Times New Roman" w:hAnsi="Times New Roman"/>
        </w:rPr>
        <w:t>23rd April,</w:t>
      </w:r>
      <w:r>
        <w:rPr>
          <w:rFonts w:ascii="Times New Roman" w:hAnsi="Times New Roman"/>
        </w:rPr>
        <w:t xml:space="preserve"> </w:t>
      </w:r>
      <w:r w:rsidRPr="00B066CF">
        <w:rPr>
          <w:rFonts w:ascii="Times New Roman" w:hAnsi="Times New Roman"/>
        </w:rPr>
        <w:t xml:space="preserve">2015, </w:t>
      </w:r>
      <w:r>
        <w:rPr>
          <w:rFonts w:ascii="Times New Roman" w:hAnsi="Times New Roman"/>
        </w:rPr>
        <w:t>p.30</w:t>
      </w:r>
      <w:r w:rsidRPr="00B066CF">
        <w:rPr>
          <w:rFonts w:ascii="Times New Roman" w:hAnsi="Times New Roman"/>
        </w:rPr>
        <w:t>.</w:t>
      </w:r>
    </w:p>
  </w:footnote>
  <w:footnote w:id="2">
    <w:p w:rsidR="004F7D03" w:rsidRPr="00EA114A" w:rsidRDefault="004F7D03">
      <w:pPr>
        <w:pStyle w:val="FootnoteText"/>
        <w:rPr>
          <w:rFonts w:ascii="Times New Roman" w:hAnsi="Times New Roman"/>
        </w:rPr>
      </w:pPr>
      <w:r>
        <w:rPr>
          <w:rStyle w:val="FootnoteReference"/>
        </w:rPr>
        <w:footnoteRef/>
      </w:r>
      <w:r>
        <w:t xml:space="preserve"> </w:t>
      </w:r>
      <w:r w:rsidRPr="00EA114A">
        <w:rPr>
          <w:rFonts w:ascii="Times New Roman" w:hAnsi="Times New Roman"/>
        </w:rPr>
        <w:t xml:space="preserve">The importance of technical analysis for fund managers is assessed by </w:t>
      </w:r>
      <w:proofErr w:type="spellStart"/>
      <w:r w:rsidRPr="00EA114A">
        <w:rPr>
          <w:rFonts w:ascii="Times New Roman" w:hAnsi="Times New Roman"/>
        </w:rPr>
        <w:t>Menkhoff</w:t>
      </w:r>
      <w:proofErr w:type="spellEnd"/>
      <w:r w:rsidRPr="00EA114A">
        <w:rPr>
          <w:rFonts w:ascii="Times New Roman" w:hAnsi="Times New Roman"/>
        </w:rPr>
        <w:t xml:space="preserve"> (2010)</w:t>
      </w:r>
    </w:p>
  </w:footnote>
  <w:footnote w:id="3">
    <w:p w:rsidR="004F7D03" w:rsidRPr="007702D0" w:rsidRDefault="004F7D03">
      <w:pPr>
        <w:pStyle w:val="FootnoteText"/>
        <w:rPr>
          <w:rFonts w:ascii="Times New Roman" w:hAnsi="Times New Roman"/>
        </w:rPr>
      </w:pPr>
      <w:r w:rsidRPr="007702D0">
        <w:rPr>
          <w:rStyle w:val="FootnoteReference"/>
          <w:rFonts w:ascii="Times New Roman" w:hAnsi="Times New Roman"/>
        </w:rPr>
        <w:footnoteRef/>
      </w:r>
      <w:r w:rsidRPr="007702D0">
        <w:rPr>
          <w:rFonts w:ascii="Times New Roman" w:hAnsi="Times New Roman"/>
        </w:rPr>
        <w:t xml:space="preserve"> An alternative method for evaluating the success of momentum strategies is presented by Banerjee and Hung (2011).</w:t>
      </w:r>
    </w:p>
  </w:footnote>
  <w:footnote w:id="4">
    <w:p w:rsidR="004F7D03" w:rsidRPr="00EA114A" w:rsidRDefault="004F7D03">
      <w:pPr>
        <w:pStyle w:val="FootnoteText"/>
        <w:rPr>
          <w:rFonts w:ascii="Times New Roman" w:hAnsi="Times New Roman"/>
        </w:rPr>
      </w:pPr>
      <w:r w:rsidRPr="00EA114A">
        <w:rPr>
          <w:rStyle w:val="FootnoteReference"/>
          <w:rFonts w:ascii="Times New Roman" w:hAnsi="Times New Roman"/>
        </w:rPr>
        <w:footnoteRef/>
      </w:r>
      <w:r w:rsidRPr="00EA114A">
        <w:rPr>
          <w:rFonts w:ascii="Times New Roman" w:hAnsi="Times New Roman"/>
        </w:rPr>
        <w:t xml:space="preserve"> A further combination examined by Fuertes et al (2010) is of momentum and term structure strategies.</w:t>
      </w:r>
    </w:p>
  </w:footnote>
  <w:footnote w:id="5">
    <w:p w:rsidR="004F7D03" w:rsidRPr="00C723AE" w:rsidRDefault="004F7D03" w:rsidP="00065705">
      <w:pPr>
        <w:pStyle w:val="FootnoteText"/>
        <w:rPr>
          <w:rFonts w:ascii="Times New Roman" w:hAnsi="Times New Roman"/>
        </w:rPr>
      </w:pPr>
      <w:r w:rsidRPr="007108D8">
        <w:rPr>
          <w:rStyle w:val="FootnoteReference"/>
          <w:rFonts w:ascii="Times New Roman" w:hAnsi="Times New Roman"/>
        </w:rPr>
        <w:footnoteRef/>
      </w:r>
      <w:r w:rsidRPr="007108D8">
        <w:rPr>
          <w:rFonts w:ascii="Times New Roman" w:hAnsi="Times New Roman"/>
        </w:rPr>
        <w:t xml:space="preserve"> Data for these risk factors can be found at </w:t>
      </w:r>
      <w:hyperlink r:id="rId1" w:history="1">
        <w:r w:rsidRPr="007108D8">
          <w:rPr>
            <w:rStyle w:val="Hyperlink"/>
            <w:rFonts w:ascii="Times New Roman" w:hAnsi="Times New Roman"/>
            <w:sz w:val="20"/>
          </w:rPr>
          <w:t>http://faculty.fuqua.duke.edu/dah7/DataLibrary/TF-FAC.xls</w:t>
        </w:r>
      </w:hyperlink>
      <w:r w:rsidRPr="007108D8">
        <w:rPr>
          <w:rFonts w:ascii="Times New Roman" w:hAnsi="Times New Roman"/>
        </w:rPr>
        <w:t>.</w:t>
      </w:r>
    </w:p>
  </w:footnote>
  <w:footnote w:id="6">
    <w:p w:rsidR="004F7D03" w:rsidRPr="00856480" w:rsidRDefault="004F7D03">
      <w:pPr>
        <w:pStyle w:val="FootnoteText"/>
        <w:rPr>
          <w:rFonts w:ascii="Times New Roman" w:hAnsi="Times New Roman"/>
        </w:rPr>
      </w:pPr>
      <w:r>
        <w:rPr>
          <w:rStyle w:val="FootnoteReference"/>
        </w:rPr>
        <w:footnoteRef/>
      </w:r>
      <w:r>
        <w:t xml:space="preserve"> </w:t>
      </w:r>
      <w:r w:rsidRPr="00856480">
        <w:rPr>
          <w:rFonts w:ascii="Times New Roman" w:hAnsi="Times New Roman"/>
        </w:rPr>
        <w:t>Results for risk aversion equal to 5 and 10 are available from the authors. Both provide more substantial differences in performance but with the same ranking of strategies.</w:t>
      </w:r>
    </w:p>
  </w:footnote>
  <w:footnote w:id="7">
    <w:p w:rsidR="004F7D03" w:rsidRPr="008D0BFC" w:rsidRDefault="004F7D03">
      <w:pPr>
        <w:pStyle w:val="FootnoteText"/>
        <w:rPr>
          <w:rFonts w:ascii="Times New Roman" w:hAnsi="Times New Roman"/>
        </w:rPr>
      </w:pPr>
      <w:r w:rsidRPr="008D0BFC">
        <w:rPr>
          <w:rStyle w:val="FootnoteReference"/>
          <w:rFonts w:ascii="Times New Roman" w:hAnsi="Times New Roman"/>
        </w:rPr>
        <w:footnoteRef/>
      </w:r>
      <w:r w:rsidRPr="008D0BFC">
        <w:rPr>
          <w:rFonts w:ascii="Times New Roman" w:hAnsi="Times New Roman"/>
        </w:rPr>
        <w:t xml:space="preserve"> Fuertes et al (2010) use a lower figure of 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93E2C"/>
    <w:multiLevelType w:val="hybridMultilevel"/>
    <w:tmpl w:val="BA40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1400B4"/>
    <w:multiLevelType w:val="hybridMultilevel"/>
    <w:tmpl w:val="5714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047181"/>
    <w:multiLevelType w:val="hybridMultilevel"/>
    <w:tmpl w:val="B05C6A22"/>
    <w:lvl w:ilvl="0" w:tplc="88E65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275894"/>
    <w:multiLevelType w:val="hybridMultilevel"/>
    <w:tmpl w:val="88F4686A"/>
    <w:lvl w:ilvl="0" w:tplc="E80A5F0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8A33F2"/>
    <w:multiLevelType w:val="hybridMultilevel"/>
    <w:tmpl w:val="B6520CAC"/>
    <w:lvl w:ilvl="0" w:tplc="E752FB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9315CB9"/>
    <w:multiLevelType w:val="multilevel"/>
    <w:tmpl w:val="1C96E86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2B"/>
    <w:rsid w:val="00005BCD"/>
    <w:rsid w:val="00022356"/>
    <w:rsid w:val="00024693"/>
    <w:rsid w:val="0003040F"/>
    <w:rsid w:val="00030661"/>
    <w:rsid w:val="00030EA4"/>
    <w:rsid w:val="000465E5"/>
    <w:rsid w:val="00046FD3"/>
    <w:rsid w:val="0005448D"/>
    <w:rsid w:val="000616CC"/>
    <w:rsid w:val="00065705"/>
    <w:rsid w:val="00067D02"/>
    <w:rsid w:val="00076DBD"/>
    <w:rsid w:val="00081CD4"/>
    <w:rsid w:val="00085845"/>
    <w:rsid w:val="00090BD8"/>
    <w:rsid w:val="000939D5"/>
    <w:rsid w:val="000A107D"/>
    <w:rsid w:val="000A349B"/>
    <w:rsid w:val="000A76D0"/>
    <w:rsid w:val="000B3CDD"/>
    <w:rsid w:val="000C68AA"/>
    <w:rsid w:val="000D0DD5"/>
    <w:rsid w:val="000D243E"/>
    <w:rsid w:val="000E03F2"/>
    <w:rsid w:val="000E0B74"/>
    <w:rsid w:val="000E0DF4"/>
    <w:rsid w:val="000E5103"/>
    <w:rsid w:val="000E5C61"/>
    <w:rsid w:val="000E5D96"/>
    <w:rsid w:val="000E6E75"/>
    <w:rsid w:val="000F4E2B"/>
    <w:rsid w:val="000F5F65"/>
    <w:rsid w:val="000F6F13"/>
    <w:rsid w:val="000F7FD3"/>
    <w:rsid w:val="00101005"/>
    <w:rsid w:val="00114AC5"/>
    <w:rsid w:val="00120A8B"/>
    <w:rsid w:val="001212DF"/>
    <w:rsid w:val="001336D8"/>
    <w:rsid w:val="00133F14"/>
    <w:rsid w:val="00135E34"/>
    <w:rsid w:val="001375AF"/>
    <w:rsid w:val="001448FB"/>
    <w:rsid w:val="00150A67"/>
    <w:rsid w:val="00151C03"/>
    <w:rsid w:val="0017231D"/>
    <w:rsid w:val="001724FB"/>
    <w:rsid w:val="001730D4"/>
    <w:rsid w:val="00173EC7"/>
    <w:rsid w:val="0018307C"/>
    <w:rsid w:val="00195670"/>
    <w:rsid w:val="001A34F3"/>
    <w:rsid w:val="001A787B"/>
    <w:rsid w:val="001B2433"/>
    <w:rsid w:val="001B5C13"/>
    <w:rsid w:val="001B61E8"/>
    <w:rsid w:val="001B7F5E"/>
    <w:rsid w:val="001C43D8"/>
    <w:rsid w:val="001C4851"/>
    <w:rsid w:val="001D31C5"/>
    <w:rsid w:val="001D5922"/>
    <w:rsid w:val="001E1AF1"/>
    <w:rsid w:val="001F05C4"/>
    <w:rsid w:val="001F283B"/>
    <w:rsid w:val="00202969"/>
    <w:rsid w:val="00206BFB"/>
    <w:rsid w:val="002224BA"/>
    <w:rsid w:val="002245C7"/>
    <w:rsid w:val="00224724"/>
    <w:rsid w:val="00240A29"/>
    <w:rsid w:val="0025233E"/>
    <w:rsid w:val="00261595"/>
    <w:rsid w:val="00271173"/>
    <w:rsid w:val="00274AD9"/>
    <w:rsid w:val="00276025"/>
    <w:rsid w:val="00284676"/>
    <w:rsid w:val="0028531D"/>
    <w:rsid w:val="00286C85"/>
    <w:rsid w:val="00297BBC"/>
    <w:rsid w:val="002A069D"/>
    <w:rsid w:val="002A2D9D"/>
    <w:rsid w:val="002A4FBC"/>
    <w:rsid w:val="002A772D"/>
    <w:rsid w:val="002B024D"/>
    <w:rsid w:val="002B3D2B"/>
    <w:rsid w:val="002B60F6"/>
    <w:rsid w:val="002B69ED"/>
    <w:rsid w:val="002D05A0"/>
    <w:rsid w:val="002D35D3"/>
    <w:rsid w:val="002D54CC"/>
    <w:rsid w:val="002F3DD2"/>
    <w:rsid w:val="002F6C0A"/>
    <w:rsid w:val="0030216F"/>
    <w:rsid w:val="00302560"/>
    <w:rsid w:val="00304A7C"/>
    <w:rsid w:val="00313329"/>
    <w:rsid w:val="003162F3"/>
    <w:rsid w:val="0032022D"/>
    <w:rsid w:val="00320A82"/>
    <w:rsid w:val="00325E07"/>
    <w:rsid w:val="00326534"/>
    <w:rsid w:val="003330F4"/>
    <w:rsid w:val="00334487"/>
    <w:rsid w:val="003360F6"/>
    <w:rsid w:val="0034211E"/>
    <w:rsid w:val="0034396A"/>
    <w:rsid w:val="003463D1"/>
    <w:rsid w:val="00346A46"/>
    <w:rsid w:val="0035298C"/>
    <w:rsid w:val="00355C7E"/>
    <w:rsid w:val="00365DE7"/>
    <w:rsid w:val="00366F43"/>
    <w:rsid w:val="00367E7D"/>
    <w:rsid w:val="00374BFC"/>
    <w:rsid w:val="00384AE0"/>
    <w:rsid w:val="0038538F"/>
    <w:rsid w:val="003865DA"/>
    <w:rsid w:val="00392585"/>
    <w:rsid w:val="003A4C65"/>
    <w:rsid w:val="003B0D57"/>
    <w:rsid w:val="003B277B"/>
    <w:rsid w:val="003B4E3D"/>
    <w:rsid w:val="003C125B"/>
    <w:rsid w:val="003D12A7"/>
    <w:rsid w:val="003D16AB"/>
    <w:rsid w:val="003E046B"/>
    <w:rsid w:val="003E1110"/>
    <w:rsid w:val="003F231A"/>
    <w:rsid w:val="003F7982"/>
    <w:rsid w:val="00411D0E"/>
    <w:rsid w:val="00416C24"/>
    <w:rsid w:val="00426073"/>
    <w:rsid w:val="00433960"/>
    <w:rsid w:val="00444E1F"/>
    <w:rsid w:val="0044556A"/>
    <w:rsid w:val="00456A34"/>
    <w:rsid w:val="004623FC"/>
    <w:rsid w:val="004633E2"/>
    <w:rsid w:val="004634EF"/>
    <w:rsid w:val="00465260"/>
    <w:rsid w:val="0047329A"/>
    <w:rsid w:val="00474F34"/>
    <w:rsid w:val="00481F04"/>
    <w:rsid w:val="00482DCA"/>
    <w:rsid w:val="00483D9E"/>
    <w:rsid w:val="00486F19"/>
    <w:rsid w:val="0049007D"/>
    <w:rsid w:val="004938EC"/>
    <w:rsid w:val="00493D91"/>
    <w:rsid w:val="00493EF6"/>
    <w:rsid w:val="004964A5"/>
    <w:rsid w:val="004A00E4"/>
    <w:rsid w:val="004B523B"/>
    <w:rsid w:val="004C0651"/>
    <w:rsid w:val="004C2F83"/>
    <w:rsid w:val="004C35AE"/>
    <w:rsid w:val="004D3FD7"/>
    <w:rsid w:val="004E305C"/>
    <w:rsid w:val="004E3383"/>
    <w:rsid w:val="004E471C"/>
    <w:rsid w:val="004F1D66"/>
    <w:rsid w:val="004F39BB"/>
    <w:rsid w:val="004F76FA"/>
    <w:rsid w:val="004F7D03"/>
    <w:rsid w:val="00511ACE"/>
    <w:rsid w:val="00514B93"/>
    <w:rsid w:val="00517F08"/>
    <w:rsid w:val="00521816"/>
    <w:rsid w:val="00523CA1"/>
    <w:rsid w:val="00531226"/>
    <w:rsid w:val="00533C05"/>
    <w:rsid w:val="005437FD"/>
    <w:rsid w:val="005573BA"/>
    <w:rsid w:val="00561210"/>
    <w:rsid w:val="0056771B"/>
    <w:rsid w:val="00567758"/>
    <w:rsid w:val="00567BC2"/>
    <w:rsid w:val="00580C39"/>
    <w:rsid w:val="00584B6B"/>
    <w:rsid w:val="00587FC9"/>
    <w:rsid w:val="005934FA"/>
    <w:rsid w:val="005A1448"/>
    <w:rsid w:val="005A1879"/>
    <w:rsid w:val="005A2759"/>
    <w:rsid w:val="005B4301"/>
    <w:rsid w:val="005B66EF"/>
    <w:rsid w:val="005C1F9D"/>
    <w:rsid w:val="005C5CFE"/>
    <w:rsid w:val="005C5E3E"/>
    <w:rsid w:val="005D34CB"/>
    <w:rsid w:val="005D634D"/>
    <w:rsid w:val="005E0EC9"/>
    <w:rsid w:val="005F26C0"/>
    <w:rsid w:val="005F28EE"/>
    <w:rsid w:val="005F5F8A"/>
    <w:rsid w:val="0060304E"/>
    <w:rsid w:val="00605B30"/>
    <w:rsid w:val="00620BDA"/>
    <w:rsid w:val="00620FB2"/>
    <w:rsid w:val="00624B0F"/>
    <w:rsid w:val="00633069"/>
    <w:rsid w:val="00634452"/>
    <w:rsid w:val="00634898"/>
    <w:rsid w:val="006373D6"/>
    <w:rsid w:val="00652456"/>
    <w:rsid w:val="00652E9A"/>
    <w:rsid w:val="00657CD4"/>
    <w:rsid w:val="0066236A"/>
    <w:rsid w:val="00662568"/>
    <w:rsid w:val="00664877"/>
    <w:rsid w:val="00665158"/>
    <w:rsid w:val="00666B31"/>
    <w:rsid w:val="00670661"/>
    <w:rsid w:val="00672CAF"/>
    <w:rsid w:val="00682671"/>
    <w:rsid w:val="00691CF2"/>
    <w:rsid w:val="006A43E4"/>
    <w:rsid w:val="006C0BE3"/>
    <w:rsid w:val="006C3B97"/>
    <w:rsid w:val="006C5CD9"/>
    <w:rsid w:val="006C6462"/>
    <w:rsid w:val="006C7A0B"/>
    <w:rsid w:val="006E0F42"/>
    <w:rsid w:val="006E2FA2"/>
    <w:rsid w:val="006F5135"/>
    <w:rsid w:val="007108D8"/>
    <w:rsid w:val="00713320"/>
    <w:rsid w:val="00715F06"/>
    <w:rsid w:val="00717F98"/>
    <w:rsid w:val="007202A0"/>
    <w:rsid w:val="00724040"/>
    <w:rsid w:val="007251CD"/>
    <w:rsid w:val="0073034A"/>
    <w:rsid w:val="007347EE"/>
    <w:rsid w:val="00734BAA"/>
    <w:rsid w:val="00736D3D"/>
    <w:rsid w:val="00736EDC"/>
    <w:rsid w:val="00736EE8"/>
    <w:rsid w:val="00746C77"/>
    <w:rsid w:val="00762B15"/>
    <w:rsid w:val="0076300C"/>
    <w:rsid w:val="007700A1"/>
    <w:rsid w:val="007702D0"/>
    <w:rsid w:val="007731E2"/>
    <w:rsid w:val="007801E2"/>
    <w:rsid w:val="00780A94"/>
    <w:rsid w:val="00781C4F"/>
    <w:rsid w:val="00782A5E"/>
    <w:rsid w:val="00787171"/>
    <w:rsid w:val="0078758A"/>
    <w:rsid w:val="00787BDB"/>
    <w:rsid w:val="00787D32"/>
    <w:rsid w:val="007934A7"/>
    <w:rsid w:val="00794DDA"/>
    <w:rsid w:val="00795421"/>
    <w:rsid w:val="00795A8E"/>
    <w:rsid w:val="0079653B"/>
    <w:rsid w:val="007A4FC2"/>
    <w:rsid w:val="007C28A0"/>
    <w:rsid w:val="007C6406"/>
    <w:rsid w:val="007C736E"/>
    <w:rsid w:val="007D0602"/>
    <w:rsid w:val="007D1875"/>
    <w:rsid w:val="007D251A"/>
    <w:rsid w:val="007D5EC5"/>
    <w:rsid w:val="007E1502"/>
    <w:rsid w:val="007E25B4"/>
    <w:rsid w:val="007E30E8"/>
    <w:rsid w:val="007E6A2C"/>
    <w:rsid w:val="007F3436"/>
    <w:rsid w:val="007F36CB"/>
    <w:rsid w:val="008102E3"/>
    <w:rsid w:val="0081506F"/>
    <w:rsid w:val="0082572B"/>
    <w:rsid w:val="00832A90"/>
    <w:rsid w:val="00835480"/>
    <w:rsid w:val="00835AC2"/>
    <w:rsid w:val="00846681"/>
    <w:rsid w:val="00851F44"/>
    <w:rsid w:val="00852F4B"/>
    <w:rsid w:val="00856480"/>
    <w:rsid w:val="00860893"/>
    <w:rsid w:val="008615DD"/>
    <w:rsid w:val="00865DE3"/>
    <w:rsid w:val="008660C3"/>
    <w:rsid w:val="00872E63"/>
    <w:rsid w:val="008824F0"/>
    <w:rsid w:val="008934FB"/>
    <w:rsid w:val="00893656"/>
    <w:rsid w:val="008962C9"/>
    <w:rsid w:val="008A695F"/>
    <w:rsid w:val="008B1772"/>
    <w:rsid w:val="008B1AAC"/>
    <w:rsid w:val="008B60F3"/>
    <w:rsid w:val="008C06EC"/>
    <w:rsid w:val="008C30CC"/>
    <w:rsid w:val="008C740B"/>
    <w:rsid w:val="008D0BFC"/>
    <w:rsid w:val="008D0F89"/>
    <w:rsid w:val="008E05E8"/>
    <w:rsid w:val="008E4DAD"/>
    <w:rsid w:val="008E5846"/>
    <w:rsid w:val="008E73FB"/>
    <w:rsid w:val="008F3757"/>
    <w:rsid w:val="008F7EB0"/>
    <w:rsid w:val="009027C2"/>
    <w:rsid w:val="0091491B"/>
    <w:rsid w:val="00917C03"/>
    <w:rsid w:val="00920523"/>
    <w:rsid w:val="00922456"/>
    <w:rsid w:val="00927A42"/>
    <w:rsid w:val="00957396"/>
    <w:rsid w:val="009704BE"/>
    <w:rsid w:val="00982B8A"/>
    <w:rsid w:val="009831DB"/>
    <w:rsid w:val="00986435"/>
    <w:rsid w:val="00987269"/>
    <w:rsid w:val="009900BC"/>
    <w:rsid w:val="00991108"/>
    <w:rsid w:val="00994A50"/>
    <w:rsid w:val="0099516D"/>
    <w:rsid w:val="0099648D"/>
    <w:rsid w:val="009A6308"/>
    <w:rsid w:val="009A632A"/>
    <w:rsid w:val="009B49C0"/>
    <w:rsid w:val="009C0371"/>
    <w:rsid w:val="009C2EB1"/>
    <w:rsid w:val="009C6D37"/>
    <w:rsid w:val="009D0004"/>
    <w:rsid w:val="009D37F5"/>
    <w:rsid w:val="009D5539"/>
    <w:rsid w:val="009D6B69"/>
    <w:rsid w:val="009E507E"/>
    <w:rsid w:val="009E59BA"/>
    <w:rsid w:val="009E798D"/>
    <w:rsid w:val="009F290B"/>
    <w:rsid w:val="009F7A1E"/>
    <w:rsid w:val="00A0126D"/>
    <w:rsid w:val="00A03FDC"/>
    <w:rsid w:val="00A078F3"/>
    <w:rsid w:val="00A123D1"/>
    <w:rsid w:val="00A16C56"/>
    <w:rsid w:val="00A178B4"/>
    <w:rsid w:val="00A330F3"/>
    <w:rsid w:val="00A35768"/>
    <w:rsid w:val="00A37E73"/>
    <w:rsid w:val="00A427A9"/>
    <w:rsid w:val="00A427CD"/>
    <w:rsid w:val="00A446D6"/>
    <w:rsid w:val="00A52A36"/>
    <w:rsid w:val="00A538E0"/>
    <w:rsid w:val="00A64C8A"/>
    <w:rsid w:val="00A665F0"/>
    <w:rsid w:val="00A70A54"/>
    <w:rsid w:val="00A837A3"/>
    <w:rsid w:val="00AA6D9F"/>
    <w:rsid w:val="00AB27E6"/>
    <w:rsid w:val="00AB7E2E"/>
    <w:rsid w:val="00AC4355"/>
    <w:rsid w:val="00AC65F3"/>
    <w:rsid w:val="00AE118C"/>
    <w:rsid w:val="00AE1274"/>
    <w:rsid w:val="00AE34E0"/>
    <w:rsid w:val="00AE5293"/>
    <w:rsid w:val="00AF235B"/>
    <w:rsid w:val="00AF2795"/>
    <w:rsid w:val="00B05C68"/>
    <w:rsid w:val="00B066CF"/>
    <w:rsid w:val="00B168E7"/>
    <w:rsid w:val="00B20CBA"/>
    <w:rsid w:val="00B21EB8"/>
    <w:rsid w:val="00B2230E"/>
    <w:rsid w:val="00B22ED5"/>
    <w:rsid w:val="00B234C5"/>
    <w:rsid w:val="00B269F8"/>
    <w:rsid w:val="00B30A15"/>
    <w:rsid w:val="00B30F7F"/>
    <w:rsid w:val="00B32A38"/>
    <w:rsid w:val="00B37C64"/>
    <w:rsid w:val="00B42505"/>
    <w:rsid w:val="00B445D7"/>
    <w:rsid w:val="00B45528"/>
    <w:rsid w:val="00B4727C"/>
    <w:rsid w:val="00B472BC"/>
    <w:rsid w:val="00B475C0"/>
    <w:rsid w:val="00B50430"/>
    <w:rsid w:val="00B5048F"/>
    <w:rsid w:val="00B5068F"/>
    <w:rsid w:val="00B53778"/>
    <w:rsid w:val="00B53C6C"/>
    <w:rsid w:val="00B561B0"/>
    <w:rsid w:val="00B57E36"/>
    <w:rsid w:val="00B61404"/>
    <w:rsid w:val="00B61E72"/>
    <w:rsid w:val="00B65A64"/>
    <w:rsid w:val="00B6794C"/>
    <w:rsid w:val="00B70156"/>
    <w:rsid w:val="00B7314E"/>
    <w:rsid w:val="00B90874"/>
    <w:rsid w:val="00B93F61"/>
    <w:rsid w:val="00BA6922"/>
    <w:rsid w:val="00BA6D7F"/>
    <w:rsid w:val="00BA6FC3"/>
    <w:rsid w:val="00BB7D6E"/>
    <w:rsid w:val="00BC00B7"/>
    <w:rsid w:val="00BC50FD"/>
    <w:rsid w:val="00BC546E"/>
    <w:rsid w:val="00BC6BDD"/>
    <w:rsid w:val="00BC71DC"/>
    <w:rsid w:val="00BE61D6"/>
    <w:rsid w:val="00BF7DBF"/>
    <w:rsid w:val="00C0053D"/>
    <w:rsid w:val="00C00D29"/>
    <w:rsid w:val="00C00FC4"/>
    <w:rsid w:val="00C02C91"/>
    <w:rsid w:val="00C037F6"/>
    <w:rsid w:val="00C0648A"/>
    <w:rsid w:val="00C23B76"/>
    <w:rsid w:val="00C24CB8"/>
    <w:rsid w:val="00C25607"/>
    <w:rsid w:val="00C30DF0"/>
    <w:rsid w:val="00C33494"/>
    <w:rsid w:val="00C33680"/>
    <w:rsid w:val="00C40E76"/>
    <w:rsid w:val="00C420B7"/>
    <w:rsid w:val="00C45DA0"/>
    <w:rsid w:val="00C46F24"/>
    <w:rsid w:val="00C5748A"/>
    <w:rsid w:val="00C62C09"/>
    <w:rsid w:val="00C6515C"/>
    <w:rsid w:val="00C723AE"/>
    <w:rsid w:val="00C739B1"/>
    <w:rsid w:val="00C83592"/>
    <w:rsid w:val="00C84FAE"/>
    <w:rsid w:val="00C86B73"/>
    <w:rsid w:val="00C87D27"/>
    <w:rsid w:val="00C935CA"/>
    <w:rsid w:val="00C973BB"/>
    <w:rsid w:val="00CA1424"/>
    <w:rsid w:val="00CA50C9"/>
    <w:rsid w:val="00CA53C6"/>
    <w:rsid w:val="00CB1FF2"/>
    <w:rsid w:val="00CB26CE"/>
    <w:rsid w:val="00CB6987"/>
    <w:rsid w:val="00CC043C"/>
    <w:rsid w:val="00CD13F8"/>
    <w:rsid w:val="00CD73F2"/>
    <w:rsid w:val="00CD772B"/>
    <w:rsid w:val="00CD7F4A"/>
    <w:rsid w:val="00CE4C22"/>
    <w:rsid w:val="00CE69B9"/>
    <w:rsid w:val="00CF7111"/>
    <w:rsid w:val="00D0207B"/>
    <w:rsid w:val="00D13941"/>
    <w:rsid w:val="00D22BA3"/>
    <w:rsid w:val="00D26CCE"/>
    <w:rsid w:val="00D335F6"/>
    <w:rsid w:val="00D403D7"/>
    <w:rsid w:val="00D517FD"/>
    <w:rsid w:val="00D529A1"/>
    <w:rsid w:val="00D54FEC"/>
    <w:rsid w:val="00D556A7"/>
    <w:rsid w:val="00D572B1"/>
    <w:rsid w:val="00D675F0"/>
    <w:rsid w:val="00D7034C"/>
    <w:rsid w:val="00D760A8"/>
    <w:rsid w:val="00D8388F"/>
    <w:rsid w:val="00D91B43"/>
    <w:rsid w:val="00D978D3"/>
    <w:rsid w:val="00DA1CB4"/>
    <w:rsid w:val="00DA3F15"/>
    <w:rsid w:val="00DA5BF6"/>
    <w:rsid w:val="00DB2A0B"/>
    <w:rsid w:val="00DB6707"/>
    <w:rsid w:val="00DC1EC0"/>
    <w:rsid w:val="00DC4298"/>
    <w:rsid w:val="00DD14B3"/>
    <w:rsid w:val="00DD5B90"/>
    <w:rsid w:val="00DD77C7"/>
    <w:rsid w:val="00DD7918"/>
    <w:rsid w:val="00DD7FE6"/>
    <w:rsid w:val="00DE0CB2"/>
    <w:rsid w:val="00DE2308"/>
    <w:rsid w:val="00DE2B85"/>
    <w:rsid w:val="00DE2DDC"/>
    <w:rsid w:val="00DF1D98"/>
    <w:rsid w:val="00E01A25"/>
    <w:rsid w:val="00E23791"/>
    <w:rsid w:val="00E23B40"/>
    <w:rsid w:val="00E26D34"/>
    <w:rsid w:val="00E30DAB"/>
    <w:rsid w:val="00E34FA1"/>
    <w:rsid w:val="00E358DF"/>
    <w:rsid w:val="00E444C1"/>
    <w:rsid w:val="00E4450A"/>
    <w:rsid w:val="00E565B1"/>
    <w:rsid w:val="00E64CA2"/>
    <w:rsid w:val="00E65DB4"/>
    <w:rsid w:val="00E73F12"/>
    <w:rsid w:val="00E801F1"/>
    <w:rsid w:val="00E8233C"/>
    <w:rsid w:val="00E82C2A"/>
    <w:rsid w:val="00E85364"/>
    <w:rsid w:val="00E85C4F"/>
    <w:rsid w:val="00E917D0"/>
    <w:rsid w:val="00E91D38"/>
    <w:rsid w:val="00E92FF1"/>
    <w:rsid w:val="00EA114A"/>
    <w:rsid w:val="00EA69D5"/>
    <w:rsid w:val="00EA7FB9"/>
    <w:rsid w:val="00EB1289"/>
    <w:rsid w:val="00EB1A61"/>
    <w:rsid w:val="00EC1D12"/>
    <w:rsid w:val="00ED1FE0"/>
    <w:rsid w:val="00ED2FEA"/>
    <w:rsid w:val="00ED5887"/>
    <w:rsid w:val="00EE0B3C"/>
    <w:rsid w:val="00EE21FA"/>
    <w:rsid w:val="00EE4B0B"/>
    <w:rsid w:val="00EE7FAC"/>
    <w:rsid w:val="00EF41EA"/>
    <w:rsid w:val="00F01166"/>
    <w:rsid w:val="00F02B99"/>
    <w:rsid w:val="00F2462B"/>
    <w:rsid w:val="00F24DB1"/>
    <w:rsid w:val="00F30CD6"/>
    <w:rsid w:val="00F32110"/>
    <w:rsid w:val="00F351B8"/>
    <w:rsid w:val="00F50AC3"/>
    <w:rsid w:val="00F543C4"/>
    <w:rsid w:val="00F55B90"/>
    <w:rsid w:val="00F565E5"/>
    <w:rsid w:val="00F61F61"/>
    <w:rsid w:val="00F77AED"/>
    <w:rsid w:val="00F90118"/>
    <w:rsid w:val="00FB5032"/>
    <w:rsid w:val="00FB520A"/>
    <w:rsid w:val="00FC447E"/>
    <w:rsid w:val="00FD2530"/>
    <w:rsid w:val="00FD4FB7"/>
    <w:rsid w:val="00FD633B"/>
    <w:rsid w:val="00FE2D80"/>
    <w:rsid w:val="00FF1FDE"/>
    <w:rsid w:val="00FF3CF3"/>
    <w:rsid w:val="00FF40B2"/>
    <w:rsid w:val="00FF4757"/>
    <w:rsid w:val="00FF5BA7"/>
    <w:rsid w:val="00FF665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4C1"/>
    <w:pPr>
      <w:ind w:left="720"/>
      <w:contextualSpacing/>
    </w:pPr>
  </w:style>
  <w:style w:type="paragraph" w:styleId="BalloonText">
    <w:name w:val="Balloon Text"/>
    <w:basedOn w:val="Normal"/>
    <w:link w:val="BalloonTextChar"/>
    <w:uiPriority w:val="99"/>
    <w:semiHidden/>
    <w:unhideWhenUsed/>
    <w:rsid w:val="00E82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C2A"/>
    <w:rPr>
      <w:rFonts w:ascii="Tahoma" w:hAnsi="Tahoma" w:cs="Tahoma"/>
      <w:sz w:val="16"/>
      <w:szCs w:val="16"/>
    </w:rPr>
  </w:style>
  <w:style w:type="paragraph" w:styleId="Header">
    <w:name w:val="header"/>
    <w:basedOn w:val="Normal"/>
    <w:link w:val="HeaderChar"/>
    <w:uiPriority w:val="99"/>
    <w:semiHidden/>
    <w:unhideWhenUsed/>
    <w:rsid w:val="00F61F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1F61"/>
  </w:style>
  <w:style w:type="paragraph" w:styleId="Footer">
    <w:name w:val="footer"/>
    <w:basedOn w:val="Normal"/>
    <w:link w:val="FooterChar"/>
    <w:uiPriority w:val="99"/>
    <w:unhideWhenUsed/>
    <w:rsid w:val="00F61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F61"/>
  </w:style>
  <w:style w:type="paragraph" w:styleId="FootnoteText">
    <w:name w:val="footnote text"/>
    <w:basedOn w:val="Normal"/>
    <w:link w:val="FootnoteTextChar"/>
    <w:uiPriority w:val="99"/>
    <w:semiHidden/>
    <w:rsid w:val="00065705"/>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65705"/>
    <w:rPr>
      <w:rFonts w:ascii="Calibri" w:eastAsia="Calibri" w:hAnsi="Calibri" w:cs="Times New Roman"/>
      <w:sz w:val="20"/>
      <w:szCs w:val="20"/>
    </w:rPr>
  </w:style>
  <w:style w:type="character" w:styleId="FootnoteReference">
    <w:name w:val="footnote reference"/>
    <w:basedOn w:val="DefaultParagraphFont"/>
    <w:uiPriority w:val="99"/>
    <w:semiHidden/>
    <w:rsid w:val="00065705"/>
    <w:rPr>
      <w:rFonts w:cs="Times New Roman"/>
      <w:vertAlign w:val="superscript"/>
    </w:rPr>
  </w:style>
  <w:style w:type="character" w:styleId="Hyperlink">
    <w:name w:val="Hyperlink"/>
    <w:basedOn w:val="DefaultParagraphFont"/>
    <w:rsid w:val="00065705"/>
    <w:rPr>
      <w:rFonts w:ascii="Verdana" w:hAnsi="Verdana"/>
      <w:color w:val="auto"/>
      <w:sz w:val="22"/>
      <w:u w:val="none"/>
    </w:rPr>
  </w:style>
  <w:style w:type="character" w:styleId="CommentReference">
    <w:name w:val="annotation reference"/>
    <w:basedOn w:val="DefaultParagraphFont"/>
    <w:uiPriority w:val="99"/>
    <w:semiHidden/>
    <w:unhideWhenUsed/>
    <w:rsid w:val="00DE2308"/>
    <w:rPr>
      <w:sz w:val="16"/>
      <w:szCs w:val="16"/>
    </w:rPr>
  </w:style>
  <w:style w:type="paragraph" w:styleId="CommentText">
    <w:name w:val="annotation text"/>
    <w:basedOn w:val="Normal"/>
    <w:link w:val="CommentTextChar"/>
    <w:uiPriority w:val="99"/>
    <w:semiHidden/>
    <w:unhideWhenUsed/>
    <w:rsid w:val="00DE2308"/>
    <w:pPr>
      <w:spacing w:line="240" w:lineRule="auto"/>
    </w:pPr>
    <w:rPr>
      <w:sz w:val="20"/>
      <w:szCs w:val="20"/>
    </w:rPr>
  </w:style>
  <w:style w:type="character" w:customStyle="1" w:styleId="CommentTextChar">
    <w:name w:val="Comment Text Char"/>
    <w:basedOn w:val="DefaultParagraphFont"/>
    <w:link w:val="CommentText"/>
    <w:uiPriority w:val="99"/>
    <w:semiHidden/>
    <w:rsid w:val="00DE2308"/>
    <w:rPr>
      <w:sz w:val="20"/>
      <w:szCs w:val="20"/>
    </w:rPr>
  </w:style>
  <w:style w:type="paragraph" w:styleId="CommentSubject">
    <w:name w:val="annotation subject"/>
    <w:basedOn w:val="CommentText"/>
    <w:next w:val="CommentText"/>
    <w:link w:val="CommentSubjectChar"/>
    <w:uiPriority w:val="99"/>
    <w:semiHidden/>
    <w:unhideWhenUsed/>
    <w:rsid w:val="00DE2308"/>
    <w:rPr>
      <w:b/>
      <w:bCs/>
    </w:rPr>
  </w:style>
  <w:style w:type="character" w:customStyle="1" w:styleId="CommentSubjectChar">
    <w:name w:val="Comment Subject Char"/>
    <w:basedOn w:val="CommentTextChar"/>
    <w:link w:val="CommentSubject"/>
    <w:uiPriority w:val="99"/>
    <w:semiHidden/>
    <w:rsid w:val="00DE2308"/>
    <w:rPr>
      <w:b/>
      <w:bCs/>
      <w:sz w:val="20"/>
      <w:szCs w:val="20"/>
    </w:rPr>
  </w:style>
  <w:style w:type="paragraph" w:styleId="Revision">
    <w:name w:val="Revision"/>
    <w:hidden/>
    <w:uiPriority w:val="99"/>
    <w:semiHidden/>
    <w:rsid w:val="00DE2308"/>
    <w:pPr>
      <w:spacing w:after="0" w:line="240" w:lineRule="auto"/>
    </w:pPr>
  </w:style>
  <w:style w:type="paragraph" w:customStyle="1" w:styleId="MTDisplayEquation">
    <w:name w:val="MTDisplayEquation"/>
    <w:basedOn w:val="Normal"/>
    <w:next w:val="Normal"/>
    <w:link w:val="MTDisplayEquationChar"/>
    <w:rsid w:val="0073034A"/>
    <w:pPr>
      <w:tabs>
        <w:tab w:val="center" w:pos="4520"/>
        <w:tab w:val="right" w:pos="9020"/>
      </w:tabs>
      <w:spacing w:after="0" w:line="360" w:lineRule="auto"/>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3034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4C1"/>
    <w:pPr>
      <w:ind w:left="720"/>
      <w:contextualSpacing/>
    </w:pPr>
  </w:style>
  <w:style w:type="paragraph" w:styleId="BalloonText">
    <w:name w:val="Balloon Text"/>
    <w:basedOn w:val="Normal"/>
    <w:link w:val="BalloonTextChar"/>
    <w:uiPriority w:val="99"/>
    <w:semiHidden/>
    <w:unhideWhenUsed/>
    <w:rsid w:val="00E82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C2A"/>
    <w:rPr>
      <w:rFonts w:ascii="Tahoma" w:hAnsi="Tahoma" w:cs="Tahoma"/>
      <w:sz w:val="16"/>
      <w:szCs w:val="16"/>
    </w:rPr>
  </w:style>
  <w:style w:type="paragraph" w:styleId="Header">
    <w:name w:val="header"/>
    <w:basedOn w:val="Normal"/>
    <w:link w:val="HeaderChar"/>
    <w:uiPriority w:val="99"/>
    <w:semiHidden/>
    <w:unhideWhenUsed/>
    <w:rsid w:val="00F61F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1F61"/>
  </w:style>
  <w:style w:type="paragraph" w:styleId="Footer">
    <w:name w:val="footer"/>
    <w:basedOn w:val="Normal"/>
    <w:link w:val="FooterChar"/>
    <w:uiPriority w:val="99"/>
    <w:unhideWhenUsed/>
    <w:rsid w:val="00F61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F61"/>
  </w:style>
  <w:style w:type="paragraph" w:styleId="FootnoteText">
    <w:name w:val="footnote text"/>
    <w:basedOn w:val="Normal"/>
    <w:link w:val="FootnoteTextChar"/>
    <w:uiPriority w:val="99"/>
    <w:semiHidden/>
    <w:rsid w:val="00065705"/>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65705"/>
    <w:rPr>
      <w:rFonts w:ascii="Calibri" w:eastAsia="Calibri" w:hAnsi="Calibri" w:cs="Times New Roman"/>
      <w:sz w:val="20"/>
      <w:szCs w:val="20"/>
    </w:rPr>
  </w:style>
  <w:style w:type="character" w:styleId="FootnoteReference">
    <w:name w:val="footnote reference"/>
    <w:basedOn w:val="DefaultParagraphFont"/>
    <w:uiPriority w:val="99"/>
    <w:semiHidden/>
    <w:rsid w:val="00065705"/>
    <w:rPr>
      <w:rFonts w:cs="Times New Roman"/>
      <w:vertAlign w:val="superscript"/>
    </w:rPr>
  </w:style>
  <w:style w:type="character" w:styleId="Hyperlink">
    <w:name w:val="Hyperlink"/>
    <w:basedOn w:val="DefaultParagraphFont"/>
    <w:rsid w:val="00065705"/>
    <w:rPr>
      <w:rFonts w:ascii="Verdana" w:hAnsi="Verdana"/>
      <w:color w:val="auto"/>
      <w:sz w:val="22"/>
      <w:u w:val="none"/>
    </w:rPr>
  </w:style>
  <w:style w:type="character" w:styleId="CommentReference">
    <w:name w:val="annotation reference"/>
    <w:basedOn w:val="DefaultParagraphFont"/>
    <w:uiPriority w:val="99"/>
    <w:semiHidden/>
    <w:unhideWhenUsed/>
    <w:rsid w:val="00DE2308"/>
    <w:rPr>
      <w:sz w:val="16"/>
      <w:szCs w:val="16"/>
    </w:rPr>
  </w:style>
  <w:style w:type="paragraph" w:styleId="CommentText">
    <w:name w:val="annotation text"/>
    <w:basedOn w:val="Normal"/>
    <w:link w:val="CommentTextChar"/>
    <w:uiPriority w:val="99"/>
    <w:semiHidden/>
    <w:unhideWhenUsed/>
    <w:rsid w:val="00DE2308"/>
    <w:pPr>
      <w:spacing w:line="240" w:lineRule="auto"/>
    </w:pPr>
    <w:rPr>
      <w:sz w:val="20"/>
      <w:szCs w:val="20"/>
    </w:rPr>
  </w:style>
  <w:style w:type="character" w:customStyle="1" w:styleId="CommentTextChar">
    <w:name w:val="Comment Text Char"/>
    <w:basedOn w:val="DefaultParagraphFont"/>
    <w:link w:val="CommentText"/>
    <w:uiPriority w:val="99"/>
    <w:semiHidden/>
    <w:rsid w:val="00DE2308"/>
    <w:rPr>
      <w:sz w:val="20"/>
      <w:szCs w:val="20"/>
    </w:rPr>
  </w:style>
  <w:style w:type="paragraph" w:styleId="CommentSubject">
    <w:name w:val="annotation subject"/>
    <w:basedOn w:val="CommentText"/>
    <w:next w:val="CommentText"/>
    <w:link w:val="CommentSubjectChar"/>
    <w:uiPriority w:val="99"/>
    <w:semiHidden/>
    <w:unhideWhenUsed/>
    <w:rsid w:val="00DE2308"/>
    <w:rPr>
      <w:b/>
      <w:bCs/>
    </w:rPr>
  </w:style>
  <w:style w:type="character" w:customStyle="1" w:styleId="CommentSubjectChar">
    <w:name w:val="Comment Subject Char"/>
    <w:basedOn w:val="CommentTextChar"/>
    <w:link w:val="CommentSubject"/>
    <w:uiPriority w:val="99"/>
    <w:semiHidden/>
    <w:rsid w:val="00DE2308"/>
    <w:rPr>
      <w:b/>
      <w:bCs/>
      <w:sz w:val="20"/>
      <w:szCs w:val="20"/>
    </w:rPr>
  </w:style>
  <w:style w:type="paragraph" w:styleId="Revision">
    <w:name w:val="Revision"/>
    <w:hidden/>
    <w:uiPriority w:val="99"/>
    <w:semiHidden/>
    <w:rsid w:val="00DE2308"/>
    <w:pPr>
      <w:spacing w:after="0" w:line="240" w:lineRule="auto"/>
    </w:pPr>
  </w:style>
  <w:style w:type="paragraph" w:customStyle="1" w:styleId="MTDisplayEquation">
    <w:name w:val="MTDisplayEquation"/>
    <w:basedOn w:val="Normal"/>
    <w:next w:val="Normal"/>
    <w:link w:val="MTDisplayEquationChar"/>
    <w:rsid w:val="0073034A"/>
    <w:pPr>
      <w:tabs>
        <w:tab w:val="center" w:pos="4520"/>
        <w:tab w:val="right" w:pos="9020"/>
      </w:tabs>
      <w:spacing w:after="0" w:line="360" w:lineRule="auto"/>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303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69531">
      <w:bodyDiv w:val="1"/>
      <w:marLeft w:val="0"/>
      <w:marRight w:val="0"/>
      <w:marTop w:val="0"/>
      <w:marBottom w:val="0"/>
      <w:divBdr>
        <w:top w:val="none" w:sz="0" w:space="0" w:color="auto"/>
        <w:left w:val="none" w:sz="0" w:space="0" w:color="auto"/>
        <w:bottom w:val="none" w:sz="0" w:space="0" w:color="auto"/>
        <w:right w:val="none" w:sz="0" w:space="0" w:color="auto"/>
      </w:divBdr>
    </w:div>
    <w:div w:id="419446207">
      <w:bodyDiv w:val="1"/>
      <w:marLeft w:val="0"/>
      <w:marRight w:val="0"/>
      <w:marTop w:val="0"/>
      <w:marBottom w:val="0"/>
      <w:divBdr>
        <w:top w:val="none" w:sz="0" w:space="0" w:color="auto"/>
        <w:left w:val="none" w:sz="0" w:space="0" w:color="auto"/>
        <w:bottom w:val="none" w:sz="0" w:space="0" w:color="auto"/>
        <w:right w:val="none" w:sz="0" w:space="0" w:color="auto"/>
      </w:divBdr>
    </w:div>
    <w:div w:id="468010576">
      <w:bodyDiv w:val="1"/>
      <w:marLeft w:val="0"/>
      <w:marRight w:val="0"/>
      <w:marTop w:val="0"/>
      <w:marBottom w:val="0"/>
      <w:divBdr>
        <w:top w:val="none" w:sz="0" w:space="0" w:color="auto"/>
        <w:left w:val="none" w:sz="0" w:space="0" w:color="auto"/>
        <w:bottom w:val="none" w:sz="0" w:space="0" w:color="auto"/>
        <w:right w:val="none" w:sz="0" w:space="0" w:color="auto"/>
      </w:divBdr>
    </w:div>
    <w:div w:id="616836016">
      <w:bodyDiv w:val="1"/>
      <w:marLeft w:val="0"/>
      <w:marRight w:val="0"/>
      <w:marTop w:val="0"/>
      <w:marBottom w:val="0"/>
      <w:divBdr>
        <w:top w:val="none" w:sz="0" w:space="0" w:color="auto"/>
        <w:left w:val="none" w:sz="0" w:space="0" w:color="auto"/>
        <w:bottom w:val="none" w:sz="0" w:space="0" w:color="auto"/>
        <w:right w:val="none" w:sz="0" w:space="0" w:color="auto"/>
      </w:divBdr>
    </w:div>
    <w:div w:id="653412566">
      <w:bodyDiv w:val="1"/>
      <w:marLeft w:val="0"/>
      <w:marRight w:val="0"/>
      <w:marTop w:val="0"/>
      <w:marBottom w:val="0"/>
      <w:divBdr>
        <w:top w:val="none" w:sz="0" w:space="0" w:color="auto"/>
        <w:left w:val="none" w:sz="0" w:space="0" w:color="auto"/>
        <w:bottom w:val="none" w:sz="0" w:space="0" w:color="auto"/>
        <w:right w:val="none" w:sz="0" w:space="0" w:color="auto"/>
      </w:divBdr>
    </w:div>
    <w:div w:id="657657450">
      <w:bodyDiv w:val="1"/>
      <w:marLeft w:val="0"/>
      <w:marRight w:val="0"/>
      <w:marTop w:val="0"/>
      <w:marBottom w:val="0"/>
      <w:divBdr>
        <w:top w:val="none" w:sz="0" w:space="0" w:color="auto"/>
        <w:left w:val="none" w:sz="0" w:space="0" w:color="auto"/>
        <w:bottom w:val="none" w:sz="0" w:space="0" w:color="auto"/>
        <w:right w:val="none" w:sz="0" w:space="0" w:color="auto"/>
      </w:divBdr>
    </w:div>
    <w:div w:id="694309884">
      <w:bodyDiv w:val="1"/>
      <w:marLeft w:val="0"/>
      <w:marRight w:val="0"/>
      <w:marTop w:val="0"/>
      <w:marBottom w:val="0"/>
      <w:divBdr>
        <w:top w:val="none" w:sz="0" w:space="0" w:color="auto"/>
        <w:left w:val="none" w:sz="0" w:space="0" w:color="auto"/>
        <w:bottom w:val="none" w:sz="0" w:space="0" w:color="auto"/>
        <w:right w:val="none" w:sz="0" w:space="0" w:color="auto"/>
      </w:divBdr>
    </w:div>
    <w:div w:id="1046300398">
      <w:bodyDiv w:val="1"/>
      <w:marLeft w:val="0"/>
      <w:marRight w:val="0"/>
      <w:marTop w:val="0"/>
      <w:marBottom w:val="0"/>
      <w:divBdr>
        <w:top w:val="none" w:sz="0" w:space="0" w:color="auto"/>
        <w:left w:val="none" w:sz="0" w:space="0" w:color="auto"/>
        <w:bottom w:val="none" w:sz="0" w:space="0" w:color="auto"/>
        <w:right w:val="none" w:sz="0" w:space="0" w:color="auto"/>
      </w:divBdr>
    </w:div>
    <w:div w:id="1137911708">
      <w:bodyDiv w:val="1"/>
      <w:marLeft w:val="0"/>
      <w:marRight w:val="0"/>
      <w:marTop w:val="0"/>
      <w:marBottom w:val="0"/>
      <w:divBdr>
        <w:top w:val="none" w:sz="0" w:space="0" w:color="auto"/>
        <w:left w:val="none" w:sz="0" w:space="0" w:color="auto"/>
        <w:bottom w:val="none" w:sz="0" w:space="0" w:color="auto"/>
        <w:right w:val="none" w:sz="0" w:space="0" w:color="auto"/>
      </w:divBdr>
    </w:div>
    <w:div w:id="1198663000">
      <w:bodyDiv w:val="1"/>
      <w:marLeft w:val="0"/>
      <w:marRight w:val="0"/>
      <w:marTop w:val="0"/>
      <w:marBottom w:val="0"/>
      <w:divBdr>
        <w:top w:val="none" w:sz="0" w:space="0" w:color="auto"/>
        <w:left w:val="none" w:sz="0" w:space="0" w:color="auto"/>
        <w:bottom w:val="none" w:sz="0" w:space="0" w:color="auto"/>
        <w:right w:val="none" w:sz="0" w:space="0" w:color="auto"/>
      </w:divBdr>
    </w:div>
    <w:div w:id="1208105264">
      <w:bodyDiv w:val="1"/>
      <w:marLeft w:val="0"/>
      <w:marRight w:val="0"/>
      <w:marTop w:val="0"/>
      <w:marBottom w:val="0"/>
      <w:divBdr>
        <w:top w:val="none" w:sz="0" w:space="0" w:color="auto"/>
        <w:left w:val="none" w:sz="0" w:space="0" w:color="auto"/>
        <w:bottom w:val="none" w:sz="0" w:space="0" w:color="auto"/>
        <w:right w:val="none" w:sz="0" w:space="0" w:color="auto"/>
      </w:divBdr>
    </w:div>
    <w:div w:id="1266696258">
      <w:bodyDiv w:val="1"/>
      <w:marLeft w:val="0"/>
      <w:marRight w:val="0"/>
      <w:marTop w:val="0"/>
      <w:marBottom w:val="0"/>
      <w:divBdr>
        <w:top w:val="none" w:sz="0" w:space="0" w:color="auto"/>
        <w:left w:val="none" w:sz="0" w:space="0" w:color="auto"/>
        <w:bottom w:val="none" w:sz="0" w:space="0" w:color="auto"/>
        <w:right w:val="none" w:sz="0" w:space="0" w:color="auto"/>
      </w:divBdr>
    </w:div>
    <w:div w:id="1353337937">
      <w:bodyDiv w:val="1"/>
      <w:marLeft w:val="0"/>
      <w:marRight w:val="0"/>
      <w:marTop w:val="0"/>
      <w:marBottom w:val="0"/>
      <w:divBdr>
        <w:top w:val="none" w:sz="0" w:space="0" w:color="auto"/>
        <w:left w:val="none" w:sz="0" w:space="0" w:color="auto"/>
        <w:bottom w:val="none" w:sz="0" w:space="0" w:color="auto"/>
        <w:right w:val="none" w:sz="0" w:space="0" w:color="auto"/>
      </w:divBdr>
    </w:div>
    <w:div w:id="1553955680">
      <w:bodyDiv w:val="1"/>
      <w:marLeft w:val="0"/>
      <w:marRight w:val="0"/>
      <w:marTop w:val="0"/>
      <w:marBottom w:val="0"/>
      <w:divBdr>
        <w:top w:val="none" w:sz="0" w:space="0" w:color="auto"/>
        <w:left w:val="none" w:sz="0" w:space="0" w:color="auto"/>
        <w:bottom w:val="none" w:sz="0" w:space="0" w:color="auto"/>
        <w:right w:val="none" w:sz="0" w:space="0" w:color="auto"/>
      </w:divBdr>
    </w:div>
    <w:div w:id="1618751992">
      <w:bodyDiv w:val="1"/>
      <w:marLeft w:val="0"/>
      <w:marRight w:val="0"/>
      <w:marTop w:val="0"/>
      <w:marBottom w:val="0"/>
      <w:divBdr>
        <w:top w:val="none" w:sz="0" w:space="0" w:color="auto"/>
        <w:left w:val="none" w:sz="0" w:space="0" w:color="auto"/>
        <w:bottom w:val="none" w:sz="0" w:space="0" w:color="auto"/>
        <w:right w:val="none" w:sz="0" w:space="0" w:color="auto"/>
      </w:divBdr>
    </w:div>
    <w:div w:id="1802457648">
      <w:bodyDiv w:val="1"/>
      <w:marLeft w:val="0"/>
      <w:marRight w:val="0"/>
      <w:marTop w:val="0"/>
      <w:marBottom w:val="0"/>
      <w:divBdr>
        <w:top w:val="none" w:sz="0" w:space="0" w:color="auto"/>
        <w:left w:val="none" w:sz="0" w:space="0" w:color="auto"/>
        <w:bottom w:val="none" w:sz="0" w:space="0" w:color="auto"/>
        <w:right w:val="none" w:sz="0" w:space="0" w:color="auto"/>
      </w:divBdr>
    </w:div>
    <w:div w:id="1815640341">
      <w:bodyDiv w:val="1"/>
      <w:marLeft w:val="0"/>
      <w:marRight w:val="0"/>
      <w:marTop w:val="0"/>
      <w:marBottom w:val="0"/>
      <w:divBdr>
        <w:top w:val="none" w:sz="0" w:space="0" w:color="auto"/>
        <w:left w:val="none" w:sz="0" w:space="0" w:color="auto"/>
        <w:bottom w:val="none" w:sz="0" w:space="0" w:color="auto"/>
        <w:right w:val="none" w:sz="0" w:space="0" w:color="auto"/>
      </w:divBdr>
    </w:div>
    <w:div w:id="1848135112">
      <w:bodyDiv w:val="1"/>
      <w:marLeft w:val="0"/>
      <w:marRight w:val="0"/>
      <w:marTop w:val="0"/>
      <w:marBottom w:val="0"/>
      <w:divBdr>
        <w:top w:val="none" w:sz="0" w:space="0" w:color="auto"/>
        <w:left w:val="none" w:sz="0" w:space="0" w:color="auto"/>
        <w:bottom w:val="none" w:sz="0" w:space="0" w:color="auto"/>
        <w:right w:val="none" w:sz="0" w:space="0" w:color="auto"/>
      </w:divBdr>
    </w:div>
    <w:div w:id="20144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faculty.fuqua.duke.edu/dah7/DataLibrary/TF-FAC.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C0B35-D803-458E-B783-85EF417B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42</Pages>
  <Words>14066</Words>
  <Characters>80177</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94055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Seaton</dc:creator>
  <cp:lastModifiedBy>Peter Smith</cp:lastModifiedBy>
  <cp:revision>6</cp:revision>
  <cp:lastPrinted>2015-08-26T15:23:00Z</cp:lastPrinted>
  <dcterms:created xsi:type="dcterms:W3CDTF">2015-12-16T16:32:00Z</dcterms:created>
  <dcterms:modified xsi:type="dcterms:W3CDTF">2015-12-17T11:39:00Z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