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1D" w:rsidRDefault="00D353C5" w:rsidP="005B6C1D">
      <w:pPr>
        <w:pStyle w:val="MainTitle"/>
        <w:framePr w:wrap="notBeside"/>
      </w:pPr>
      <w:r>
        <w:t>S</w:t>
      </w:r>
      <w:r w:rsidR="00E81C6A">
        <w:t xml:space="preserve">ynthetic studies </w:t>
      </w:r>
      <w:r w:rsidR="00827A6F">
        <w:t xml:space="preserve">towards the </w:t>
      </w:r>
      <w:r w:rsidR="009B4C84">
        <w:t>a</w:t>
      </w:r>
      <w:r w:rsidR="00827A6F">
        <w:t>fricanane sesqu</w:t>
      </w:r>
      <w:r w:rsidR="007D138D">
        <w:t>i</w:t>
      </w:r>
      <w:r w:rsidR="00827A6F">
        <w:t>terpenes</w:t>
      </w:r>
      <w:r>
        <w:t xml:space="preserve"> via the Cope rearrangement of </w:t>
      </w:r>
      <w:r w:rsidRPr="00D353C5">
        <w:rPr>
          <w:i/>
        </w:rPr>
        <w:t>gem</w:t>
      </w:r>
      <w:r>
        <w:t>-dimethyl substituted divinyl cyclopropanes</w:t>
      </w:r>
    </w:p>
    <w:p w:rsidR="005B6C1D" w:rsidRDefault="00827A6F" w:rsidP="005B6C1D">
      <w:pPr>
        <w:pStyle w:val="Author"/>
        <w:framePr w:wrap="notBeside"/>
      </w:pPr>
      <w:r>
        <w:t xml:space="preserve">Jonathan D. Osler, William </w:t>
      </w:r>
      <w:r w:rsidR="00642C9C">
        <w:t>P</w:t>
      </w:r>
      <w:r>
        <w:t>. Unsworth,</w:t>
      </w:r>
      <w:r w:rsidR="00AE6475">
        <w:t>*</w:t>
      </w:r>
      <w:r>
        <w:t xml:space="preserve"> Richard J. K. Taylor*</w:t>
      </w:r>
    </w:p>
    <w:p w:rsidR="005B6C1D" w:rsidRDefault="007D138D" w:rsidP="005B6C1D">
      <w:pPr>
        <w:pStyle w:val="Address"/>
        <w:framePr w:wrap="notBeside"/>
      </w:pPr>
      <w:proofErr w:type="gramStart"/>
      <w:r w:rsidRPr="007D138D">
        <w:t>Department of Chemistry, University of York, York, UK, YO10 5DD</w:t>
      </w:r>
      <w:r w:rsidR="005B6C1D">
        <w:t>.</w:t>
      </w:r>
      <w:proofErr w:type="gramEnd"/>
    </w:p>
    <w:p w:rsidR="005B6C1D" w:rsidRDefault="005B6C1D" w:rsidP="005B6C1D">
      <w:pPr>
        <w:pStyle w:val="Fax"/>
        <w:framePr w:wrap="notBeside"/>
      </w:pPr>
      <w:r>
        <w:t xml:space="preserve">Fax: </w:t>
      </w:r>
      <w:r w:rsidR="007D138D" w:rsidRPr="007D138D">
        <w:t>01904 322516</w:t>
      </w:r>
    </w:p>
    <w:p w:rsidR="005B6C1D" w:rsidRDefault="005B6C1D" w:rsidP="005B6C1D">
      <w:pPr>
        <w:pStyle w:val="Email"/>
        <w:framePr w:wrap="notBeside"/>
      </w:pPr>
      <w:r>
        <w:t>E-</w:t>
      </w:r>
      <w:r w:rsidRPr="00EB3C0E">
        <w:rPr>
          <w:vertAlign w:val="subscript"/>
        </w:rPr>
        <w:t>mail</w:t>
      </w:r>
      <w:r>
        <w:t>:</w:t>
      </w:r>
      <w:r w:rsidR="007D138D">
        <w:t xml:space="preserve"> </w:t>
      </w:r>
      <w:r w:rsidR="00A85662" w:rsidRPr="00A85662">
        <w:t>william.unsworth@york.ac.uk</w:t>
      </w:r>
      <w:r w:rsidR="00A85662">
        <w:t xml:space="preserve">; </w:t>
      </w:r>
      <w:r w:rsidR="007D138D" w:rsidRPr="007D138D">
        <w:t>richard.taylor@york.ac.uk</w:t>
      </w:r>
    </w:p>
    <w:p w:rsidR="005B6C1D" w:rsidRDefault="005B6C1D" w:rsidP="005B6C1D">
      <w:pPr>
        <w:pStyle w:val="History"/>
        <w:framePr w:wrap="notBeside"/>
        <w:rPr>
          <w:i w:val="0"/>
        </w:rPr>
      </w:pPr>
      <w:r>
        <w:rPr>
          <w:b/>
        </w:rPr>
        <w:t>Received:</w:t>
      </w:r>
      <w:r>
        <w:rPr>
          <w:i w:val="0"/>
        </w:rPr>
        <w:t xml:space="preserve"> The date will be inserted once the manuscript is accepted.</w:t>
      </w:r>
    </w:p>
    <w:p w:rsidR="005B6C1D" w:rsidRDefault="005B6C1D" w:rsidP="005B6C1D">
      <w:pPr>
        <w:pStyle w:val="Dedication"/>
        <w:framePr w:wrap="notBeside"/>
      </w:pPr>
      <w:r>
        <w:t xml:space="preserve">Dedication </w:t>
      </w:r>
      <w:r w:rsidR="007E5F6D">
        <w:t>–</w:t>
      </w:r>
      <w:r>
        <w:t xml:space="preserve"> </w:t>
      </w:r>
      <w:r w:rsidR="007E5F6D">
        <w:t>To commemorate the 70</w:t>
      </w:r>
      <w:r w:rsidR="007E5F6D" w:rsidRPr="007E5F6D">
        <w:rPr>
          <w:vertAlign w:val="superscript"/>
        </w:rPr>
        <w:t>th</w:t>
      </w:r>
      <w:r w:rsidR="007E5F6D">
        <w:t xml:space="preserve"> birthday of Prof. Steven Ley, FRS; inspirational synthetic organic chemist, mentor and </w:t>
      </w:r>
      <w:proofErr w:type="gramStart"/>
      <w:r w:rsidR="007E5F6D">
        <w:t xml:space="preserve">friend </w:t>
      </w:r>
      <w:r>
        <w:t>.</w:t>
      </w:r>
      <w:proofErr w:type="gramEnd"/>
    </w:p>
    <w:p w:rsidR="005B6C1D" w:rsidRDefault="005B6C1D" w:rsidP="005B6C1D">
      <w:pPr>
        <w:pStyle w:val="Abstract"/>
      </w:pPr>
      <w:r>
        <w:rPr>
          <w:b/>
        </w:rPr>
        <w:t>Abstract:</w:t>
      </w:r>
      <w:r>
        <w:t xml:space="preserve"> </w:t>
      </w:r>
      <w:r w:rsidR="003C374D">
        <w:t xml:space="preserve">The </w:t>
      </w:r>
      <w:r w:rsidR="003C374D" w:rsidRPr="003C374D">
        <w:t>Cope rearrange</w:t>
      </w:r>
      <w:r w:rsidR="003C374D">
        <w:t xml:space="preserve">ment of </w:t>
      </w:r>
      <w:r w:rsidR="00114395" w:rsidRPr="00F4616D">
        <w:rPr>
          <w:i/>
        </w:rPr>
        <w:t>gem</w:t>
      </w:r>
      <w:r w:rsidR="00114395" w:rsidRPr="00114395">
        <w:t xml:space="preserve">-dimethyl substituted </w:t>
      </w:r>
      <w:proofErr w:type="spellStart"/>
      <w:r w:rsidR="003C374D">
        <w:t>divinylcyclopropane</w:t>
      </w:r>
      <w:r w:rsidR="00B87E19">
        <w:t>s</w:t>
      </w:r>
      <w:proofErr w:type="spellEnd"/>
      <w:r w:rsidR="00B87E19">
        <w:t xml:space="preserve"> </w:t>
      </w:r>
      <w:r w:rsidR="003C374D">
        <w:t>has been used to const</w:t>
      </w:r>
      <w:r w:rsidR="00086A57">
        <w:t xml:space="preserve">ruct </w:t>
      </w:r>
      <w:r w:rsidR="00F4616D">
        <w:t xml:space="preserve">functionalised </w:t>
      </w:r>
      <w:proofErr w:type="spellStart"/>
      <w:r w:rsidR="00086A57">
        <w:t>cycloheptad</w:t>
      </w:r>
      <w:r w:rsidR="003C374D">
        <w:t>ienes</w:t>
      </w:r>
      <w:proofErr w:type="spellEnd"/>
      <w:r w:rsidR="003C374D">
        <w:t>. These scaffolds ha</w:t>
      </w:r>
      <w:r w:rsidR="00714FC6">
        <w:t>ve</w:t>
      </w:r>
      <w:r w:rsidR="003C374D">
        <w:t xml:space="preserve"> been further elaborated to furnish advanced intermediates </w:t>
      </w:r>
      <w:proofErr w:type="spellStart"/>
      <w:r w:rsidR="00B10FED">
        <w:t>e</w:t>
      </w:r>
      <w:r w:rsidR="003C374D">
        <w:t>n</w:t>
      </w:r>
      <w:proofErr w:type="spellEnd"/>
      <w:r w:rsidR="003C374D">
        <w:t xml:space="preserve"> route to africanane </w:t>
      </w:r>
      <w:proofErr w:type="spellStart"/>
      <w:r w:rsidR="003C374D">
        <w:t>sesquiterpene</w:t>
      </w:r>
      <w:proofErr w:type="spellEnd"/>
      <w:r w:rsidR="003C374D">
        <w:t xml:space="preserve"> natural products, most notabl</w:t>
      </w:r>
      <w:r w:rsidR="00C51DF0">
        <w:t>y</w:t>
      </w:r>
      <w:r w:rsidR="003C374D">
        <w:t xml:space="preserve"> pyxidatol C</w:t>
      </w:r>
      <w:r>
        <w:t>.</w:t>
      </w:r>
    </w:p>
    <w:p w:rsidR="005B6C1D" w:rsidRDefault="005B6C1D" w:rsidP="005B6C1D">
      <w:pPr>
        <w:pStyle w:val="AbstractKW"/>
      </w:pPr>
      <w:r>
        <w:rPr>
          <w:b/>
        </w:rPr>
        <w:t>Key words:</w:t>
      </w:r>
      <w:r w:rsidR="00015A58">
        <w:t xml:space="preserve"> Pericyclic reactions, cyclopropanes, natural products, pyxidatol C, africananes</w:t>
      </w:r>
      <w:r>
        <w:t>.</w:t>
      </w:r>
    </w:p>
    <w:p w:rsidR="004E48FC" w:rsidRDefault="007D600E" w:rsidP="00807721">
      <w:r>
        <w:t xml:space="preserve">Pyxidatol C </w:t>
      </w:r>
      <w:r w:rsidR="000873C1">
        <w:rPr>
          <w:b/>
        </w:rPr>
        <w:t>1</w:t>
      </w:r>
      <w:r w:rsidR="009B4C84">
        <w:rPr>
          <w:b/>
        </w:rPr>
        <w:t xml:space="preserve"> </w:t>
      </w:r>
      <w:r w:rsidR="00E1716F">
        <w:t>is a</w:t>
      </w:r>
      <w:r>
        <w:t xml:space="preserve"> </w:t>
      </w:r>
      <w:r w:rsidR="00B31754">
        <w:t>tricyclic</w:t>
      </w:r>
      <w:r>
        <w:t xml:space="preserve"> </w:t>
      </w:r>
      <w:proofErr w:type="spellStart"/>
      <w:r>
        <w:t>sesquiterpene</w:t>
      </w:r>
      <w:proofErr w:type="spellEnd"/>
      <w:r>
        <w:t xml:space="preserve"> recently isolated by Zheng </w:t>
      </w:r>
      <w:r>
        <w:rPr>
          <w:i/>
        </w:rPr>
        <w:t xml:space="preserve">et al. </w:t>
      </w:r>
      <w:r>
        <w:t xml:space="preserve">from </w:t>
      </w:r>
      <w:proofErr w:type="spellStart"/>
      <w:r>
        <w:rPr>
          <w:i/>
        </w:rPr>
        <w:t>Clavicorona</w:t>
      </w:r>
      <w:proofErr w:type="spellEnd"/>
      <w:r>
        <w:rPr>
          <w:i/>
        </w:rPr>
        <w:t xml:space="preserve"> </w:t>
      </w:r>
      <w:proofErr w:type="spellStart"/>
      <w:r>
        <w:rPr>
          <w:i/>
        </w:rPr>
        <w:t>pyxidata</w:t>
      </w:r>
      <w:proofErr w:type="spellEnd"/>
      <w:r w:rsidR="00D520E8">
        <w:t>,</w:t>
      </w:r>
      <w:r>
        <w:t xml:space="preserve"> a wild mushroom used widely in traditional Chinese medicine for the treatment of gastric pain, dyspepsia, gout and heat toxicity.</w:t>
      </w:r>
      <w:r w:rsidR="00F04581" w:rsidRPr="00F04581">
        <w:rPr>
          <w:vertAlign w:val="superscript"/>
        </w:rPr>
        <w:t>1</w:t>
      </w:r>
      <w:r w:rsidR="009B4C84">
        <w:t xml:space="preserve"> It belongs to a wider family of natural products known as the africananes, </w:t>
      </w:r>
      <w:r w:rsidR="00E71715">
        <w:t>which include</w:t>
      </w:r>
      <w:r w:rsidR="009B4C84">
        <w:t xml:space="preserve"> </w:t>
      </w:r>
      <w:proofErr w:type="spellStart"/>
      <w:r w:rsidR="009B4C84">
        <w:t>omphadiol</w:t>
      </w:r>
      <w:proofErr w:type="spellEnd"/>
      <w:r w:rsidR="009B4C84">
        <w:t xml:space="preserve"> </w:t>
      </w:r>
      <w:r w:rsidR="000873C1">
        <w:rPr>
          <w:b/>
        </w:rPr>
        <w:t>2</w:t>
      </w:r>
      <w:proofErr w:type="gramStart"/>
      <w:r w:rsidR="009B4C84">
        <w:t>,</w:t>
      </w:r>
      <w:r w:rsidR="009B4C84" w:rsidRPr="009B4C84">
        <w:rPr>
          <w:vertAlign w:val="superscript"/>
        </w:rPr>
        <w:t>2</w:t>
      </w:r>
      <w:proofErr w:type="gramEnd"/>
      <w:r w:rsidR="009B4C84">
        <w:t xml:space="preserve"> </w:t>
      </w:r>
      <w:proofErr w:type="spellStart"/>
      <w:r w:rsidR="009B4C84">
        <w:t>africanol</w:t>
      </w:r>
      <w:proofErr w:type="spellEnd"/>
      <w:r w:rsidR="009B4C84">
        <w:t xml:space="preserve"> </w:t>
      </w:r>
      <w:r w:rsidR="000873C1">
        <w:rPr>
          <w:b/>
        </w:rPr>
        <w:t>3</w:t>
      </w:r>
      <w:r w:rsidR="009B4C84">
        <w:t>,</w:t>
      </w:r>
      <w:r w:rsidR="009B4C84" w:rsidRPr="000873C1">
        <w:rPr>
          <w:vertAlign w:val="superscript"/>
        </w:rPr>
        <w:t>3</w:t>
      </w:r>
      <w:r w:rsidR="009B4C84">
        <w:t xml:space="preserve"> and </w:t>
      </w:r>
      <w:proofErr w:type="spellStart"/>
      <w:r w:rsidR="009B4C84">
        <w:t>africanene</w:t>
      </w:r>
      <w:proofErr w:type="spellEnd"/>
      <w:r w:rsidR="009B4C84">
        <w:t xml:space="preserve"> </w:t>
      </w:r>
      <w:r w:rsidR="000873C1">
        <w:rPr>
          <w:b/>
        </w:rPr>
        <w:t>4</w:t>
      </w:r>
      <w:r w:rsidR="009B4C84">
        <w:t>,</w:t>
      </w:r>
      <w:r w:rsidR="009B4C84" w:rsidRPr="000873C1">
        <w:rPr>
          <w:vertAlign w:val="superscript"/>
        </w:rPr>
        <w:t>4</w:t>
      </w:r>
      <w:r w:rsidR="009B4C84">
        <w:t xml:space="preserve"> </w:t>
      </w:r>
      <w:r w:rsidR="00E71715">
        <w:t>and</w:t>
      </w:r>
      <w:r w:rsidR="009B4C84">
        <w:t xml:space="preserve"> are defined by the</w:t>
      </w:r>
      <w:r w:rsidR="00D520E8">
        <w:t>ir</w:t>
      </w:r>
      <w:r w:rsidR="009B4C84">
        <w:t xml:space="preserve"> decahydro-1</w:t>
      </w:r>
      <w:r w:rsidR="009B4C84">
        <w:rPr>
          <w:i/>
        </w:rPr>
        <w:t>H</w:t>
      </w:r>
      <w:r w:rsidR="009B4C84">
        <w:t>-cyclopropan[e]</w:t>
      </w:r>
      <w:proofErr w:type="spellStart"/>
      <w:r w:rsidR="009B4C84">
        <w:t>azulene</w:t>
      </w:r>
      <w:proofErr w:type="spellEnd"/>
      <w:r w:rsidR="009B4C84">
        <w:t xml:space="preserve"> core </w:t>
      </w:r>
      <w:r w:rsidR="003C374D">
        <w:t>(Figure 1)</w:t>
      </w:r>
      <w:r w:rsidR="009B4C84">
        <w:t>.</w:t>
      </w:r>
      <w:r w:rsidR="00C3744D">
        <w:t xml:space="preserve"> </w:t>
      </w:r>
      <w:r w:rsidR="00D520E8">
        <w:t>Several s</w:t>
      </w:r>
      <w:r w:rsidR="008E317E">
        <w:t>tudies concerning the</w:t>
      </w:r>
      <w:r w:rsidR="00D520E8">
        <w:t>ir</w:t>
      </w:r>
      <w:r w:rsidR="008E317E">
        <w:t xml:space="preserve"> </w:t>
      </w:r>
      <w:r w:rsidR="00C3744D">
        <w:t xml:space="preserve">biological activity and biosynthetic origins have been </w:t>
      </w:r>
      <w:r w:rsidR="008E317E">
        <w:t>reported</w:t>
      </w:r>
      <w:r w:rsidR="00C3744D">
        <w:t>.</w:t>
      </w:r>
      <w:r w:rsidR="00C3744D" w:rsidRPr="00C3744D">
        <w:rPr>
          <w:vertAlign w:val="superscript"/>
        </w:rPr>
        <w:t>5</w:t>
      </w:r>
    </w:p>
    <w:p w:rsidR="004E48FC" w:rsidRPr="00807721" w:rsidRDefault="00132E8C" w:rsidP="004E48FC">
      <w:pPr>
        <w:pStyle w:val="FigImage"/>
        <w:jc w:val="center"/>
      </w:pPr>
      <w:r>
        <w:object w:dxaOrig="3820" w:dyaOrig="3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27.5pt" o:ole="">
            <v:imagedata r:id="rId9" o:title=""/>
          </v:shape>
          <o:OLEObject Type="Embed" ProgID="ChemDraw.Document.6.0" ShapeID="_x0000_i1025" DrawAspect="Content" ObjectID="_1514282585" r:id="rId10"/>
        </w:object>
      </w:r>
    </w:p>
    <w:p w:rsidR="005B6C1D" w:rsidRDefault="005B6C1D" w:rsidP="005B6C1D">
      <w:pPr>
        <w:pStyle w:val="FigCaption"/>
      </w:pPr>
      <w:r>
        <w:rPr>
          <w:b/>
        </w:rPr>
        <w:t>Figure 1</w:t>
      </w:r>
      <w:r w:rsidR="004E48FC">
        <w:t xml:space="preserve"> </w:t>
      </w:r>
      <w:r w:rsidR="004D5DE3">
        <w:t>Selected a</w:t>
      </w:r>
      <w:r w:rsidR="004E48FC">
        <w:t>fricanane sesquiterpenes</w:t>
      </w:r>
      <w:r>
        <w:t>.</w:t>
      </w:r>
    </w:p>
    <w:p w:rsidR="009C713D" w:rsidRDefault="00BA466D" w:rsidP="009C713D">
      <w:pPr>
        <w:rPr>
          <w:vertAlign w:val="superscript"/>
        </w:rPr>
      </w:pPr>
      <w:r>
        <w:t>I</w:t>
      </w:r>
      <w:r w:rsidR="00D520E8">
        <w:t>nterest</w:t>
      </w:r>
      <w:r>
        <w:t xml:space="preserve"> in the</w:t>
      </w:r>
      <w:r w:rsidR="00D520E8">
        <w:t xml:space="preserve"> biological properties </w:t>
      </w:r>
      <w:r>
        <w:t xml:space="preserve">of the africananes, </w:t>
      </w:r>
      <w:r w:rsidR="00D520E8">
        <w:t>a</w:t>
      </w:r>
      <w:r>
        <w:t>s well as</w:t>
      </w:r>
      <w:r w:rsidR="00D520E8">
        <w:t xml:space="preserve"> the challenge of assembling the unusual decahydro-1</w:t>
      </w:r>
      <w:r w:rsidR="00D520E8">
        <w:rPr>
          <w:i/>
        </w:rPr>
        <w:t>H</w:t>
      </w:r>
      <w:r w:rsidR="00D520E8">
        <w:t>-cyclopropan[e]</w:t>
      </w:r>
      <w:proofErr w:type="spellStart"/>
      <w:r w:rsidR="00D520E8">
        <w:t>azulene</w:t>
      </w:r>
      <w:proofErr w:type="spellEnd"/>
      <w:r w:rsidR="00D520E8">
        <w:t xml:space="preserve"> core</w:t>
      </w:r>
      <w:r>
        <w:t xml:space="preserve"> unit,</w:t>
      </w:r>
      <w:r w:rsidR="00D520E8">
        <w:t xml:space="preserve"> has led to significant effort</w:t>
      </w:r>
      <w:r w:rsidR="00F5786B">
        <w:t>s</w:t>
      </w:r>
      <w:r w:rsidR="00D520E8">
        <w:t xml:space="preserve"> from the synthetic community towards the</w:t>
      </w:r>
      <w:r>
        <w:t>ir</w:t>
      </w:r>
      <w:r w:rsidR="00D520E8">
        <w:t xml:space="preserve"> total synthesis. </w:t>
      </w:r>
      <w:r w:rsidR="009C713D">
        <w:t>The first synthesis of an</w:t>
      </w:r>
      <w:r w:rsidR="004D5DE3">
        <w:t>y member of the</w:t>
      </w:r>
      <w:r w:rsidR="009C713D">
        <w:t xml:space="preserve"> africanane</w:t>
      </w:r>
      <w:r w:rsidR="004D5DE3">
        <w:t xml:space="preserve"> family</w:t>
      </w:r>
      <w:r w:rsidR="009C713D">
        <w:t xml:space="preserve"> (</w:t>
      </w:r>
      <w:proofErr w:type="spellStart"/>
      <w:r w:rsidR="009C713D">
        <w:t>africanol</w:t>
      </w:r>
      <w:proofErr w:type="spellEnd"/>
      <w:r w:rsidR="009C713D">
        <w:t xml:space="preserve"> </w:t>
      </w:r>
      <w:r w:rsidR="009C713D" w:rsidRPr="009C713D">
        <w:rPr>
          <w:b/>
        </w:rPr>
        <w:t>3</w:t>
      </w:r>
      <w:r w:rsidR="009C713D">
        <w:t xml:space="preserve">) </w:t>
      </w:r>
      <w:r w:rsidR="009C713D" w:rsidRPr="009C713D">
        <w:t>was</w:t>
      </w:r>
      <w:r w:rsidR="009C713D">
        <w:t xml:space="preserve"> reported in 1980 by </w:t>
      </w:r>
      <w:proofErr w:type="spellStart"/>
      <w:r w:rsidR="009C713D">
        <w:t>Shirahama</w:t>
      </w:r>
      <w:proofErr w:type="spellEnd"/>
      <w:r w:rsidR="009C713D">
        <w:t xml:space="preserve"> </w:t>
      </w:r>
      <w:r w:rsidR="009C713D">
        <w:rPr>
          <w:i/>
        </w:rPr>
        <w:t>et al.</w:t>
      </w:r>
      <w:r w:rsidR="009C713D" w:rsidRPr="009C713D">
        <w:rPr>
          <w:vertAlign w:val="superscript"/>
        </w:rPr>
        <w:t>6a</w:t>
      </w:r>
      <w:r w:rsidR="009C713D">
        <w:rPr>
          <w:i/>
        </w:rPr>
        <w:t xml:space="preserve"> </w:t>
      </w:r>
      <w:r w:rsidR="009C713D">
        <w:t xml:space="preserve">and several </w:t>
      </w:r>
      <w:r w:rsidR="00E71715">
        <w:t>total</w:t>
      </w:r>
      <w:r w:rsidR="009C713D">
        <w:t xml:space="preserve"> syntheses </w:t>
      </w:r>
      <w:r w:rsidR="00B31754">
        <w:t xml:space="preserve">of products </w:t>
      </w:r>
      <w:r w:rsidR="00B31754">
        <w:rPr>
          <w:b/>
        </w:rPr>
        <w:t xml:space="preserve">2–4 </w:t>
      </w:r>
      <w:r w:rsidR="009C713D">
        <w:t>have since been published.</w:t>
      </w:r>
      <w:r w:rsidR="009C713D" w:rsidRPr="009C713D">
        <w:rPr>
          <w:vertAlign w:val="superscript"/>
        </w:rPr>
        <w:t>6-8</w:t>
      </w:r>
      <w:r w:rsidR="00B31754">
        <w:rPr>
          <w:vertAlign w:val="superscript"/>
        </w:rPr>
        <w:t xml:space="preserve"> </w:t>
      </w:r>
      <w:r w:rsidR="00B31754">
        <w:t xml:space="preserve">The most recent africanane to succumb to total synthesis </w:t>
      </w:r>
      <w:r w:rsidR="00D520E8">
        <w:t>is pyxidatol C, the</w:t>
      </w:r>
      <w:r w:rsidR="00B31754">
        <w:t xml:space="preserve"> </w:t>
      </w:r>
      <w:r w:rsidR="00642C9C">
        <w:t xml:space="preserve">first </w:t>
      </w:r>
      <w:r w:rsidR="00B31754">
        <w:t xml:space="preserve">synthesis and structural confirmation </w:t>
      </w:r>
      <w:r w:rsidR="00D520E8">
        <w:t xml:space="preserve">of which </w:t>
      </w:r>
      <w:r w:rsidR="001161B9">
        <w:t xml:space="preserve">was reported in 2014 by Liang </w:t>
      </w:r>
      <w:r w:rsidR="001161B9">
        <w:rPr>
          <w:i/>
        </w:rPr>
        <w:t>et al.</w:t>
      </w:r>
      <w:r w:rsidR="001161B9" w:rsidRPr="001161B9">
        <w:rPr>
          <w:vertAlign w:val="superscript"/>
        </w:rPr>
        <w:t>7b</w:t>
      </w:r>
    </w:p>
    <w:p w:rsidR="00316260" w:rsidRPr="00AE6475" w:rsidRDefault="00316260" w:rsidP="005B6C1D">
      <w:r>
        <w:t>As part of a</w:t>
      </w:r>
      <w:r w:rsidR="001779C3">
        <w:t>n ongoing</w:t>
      </w:r>
      <w:r>
        <w:t xml:space="preserve"> research program geared towards the development of new tandem</w:t>
      </w:r>
      <w:r w:rsidR="00AD3F75">
        <w:t>/telescoped</w:t>
      </w:r>
      <w:r>
        <w:t xml:space="preserve"> reaction sequences,</w:t>
      </w:r>
      <w:r w:rsidR="00AD5617">
        <w:rPr>
          <w:vertAlign w:val="superscript"/>
        </w:rPr>
        <w:t>9</w:t>
      </w:r>
      <w:r>
        <w:t xml:space="preserve"> we recently reported a study </w:t>
      </w:r>
      <w:r w:rsidR="000256FC">
        <w:t>into</w:t>
      </w:r>
      <w:r>
        <w:t xml:space="preserve"> the Cope rearrangement of </w:t>
      </w:r>
      <w:r>
        <w:rPr>
          <w:i/>
        </w:rPr>
        <w:t>gem</w:t>
      </w:r>
      <w:r>
        <w:t>-dimethyl divinyl cyclopropanes</w:t>
      </w:r>
      <w:r w:rsidR="000256FC">
        <w:t>,</w:t>
      </w:r>
      <w:r>
        <w:t xml:space="preserve"> as a strategy to generate s</w:t>
      </w:r>
      <w:r w:rsidR="00086A57">
        <w:t>ynthetically useful cycloheptad</w:t>
      </w:r>
      <w:r>
        <w:t>iene scaffolds</w:t>
      </w:r>
      <w:r w:rsidR="003C374D">
        <w:t xml:space="preserve"> (</w:t>
      </w:r>
      <w:r w:rsidR="00CF3D7F">
        <w:rPr>
          <w:i/>
        </w:rPr>
        <w:t>e</w:t>
      </w:r>
      <w:r w:rsidR="00B10FED">
        <w:rPr>
          <w:i/>
        </w:rPr>
        <w:t>.</w:t>
      </w:r>
      <w:r w:rsidR="00CF3D7F">
        <w:rPr>
          <w:i/>
        </w:rPr>
        <w:t xml:space="preserve">g. </w:t>
      </w:r>
      <w:r w:rsidR="00CF3D7F" w:rsidRPr="00CF3D7F">
        <w:rPr>
          <w:b/>
        </w:rPr>
        <w:t xml:space="preserve">5 </w:t>
      </w:r>
      <w:r w:rsidR="00CF3D7F" w:rsidRPr="00CF3D7F">
        <w:rPr>
          <w:rFonts w:ascii="Arial" w:hAnsi="Arial" w:cs="Arial"/>
        </w:rPr>
        <w:t>→</w:t>
      </w:r>
      <w:r w:rsidR="00CF3D7F" w:rsidRPr="00CF3D7F">
        <w:rPr>
          <w:b/>
        </w:rPr>
        <w:t xml:space="preserve"> 6</w:t>
      </w:r>
      <w:r w:rsidR="00CF3D7F" w:rsidRPr="00CF3D7F">
        <w:t>,</w:t>
      </w:r>
      <w:r w:rsidR="00CF3D7F">
        <w:rPr>
          <w:i/>
        </w:rPr>
        <w:t xml:space="preserve"> </w:t>
      </w:r>
      <w:r w:rsidR="003C374D" w:rsidRPr="00CF3D7F">
        <w:t>Figure</w:t>
      </w:r>
      <w:r w:rsidR="003C374D">
        <w:t xml:space="preserve"> 2)</w:t>
      </w:r>
      <w:r>
        <w:t>.</w:t>
      </w:r>
      <w:r w:rsidR="00AD5617" w:rsidRPr="00AD5617">
        <w:rPr>
          <w:vertAlign w:val="superscript"/>
        </w:rPr>
        <w:t>10</w:t>
      </w:r>
      <w:r w:rsidR="00AD5617">
        <w:t xml:space="preserve"> </w:t>
      </w:r>
      <w:r w:rsidR="00CD3C97">
        <w:t xml:space="preserve">It was decided to investigate the possibility of using this methodology to generate </w:t>
      </w:r>
      <w:r w:rsidR="00512B05" w:rsidRPr="00512B05">
        <w:rPr>
          <w:i/>
        </w:rPr>
        <w:t>gem</w:t>
      </w:r>
      <w:r w:rsidR="00512B05" w:rsidRPr="00512B05">
        <w:t xml:space="preserve">-dimethyl substituted </w:t>
      </w:r>
      <w:proofErr w:type="spellStart"/>
      <w:r w:rsidR="00CD3C97">
        <w:t>cyclohepta</w:t>
      </w:r>
      <w:r w:rsidR="00086A57">
        <w:t>d</w:t>
      </w:r>
      <w:r w:rsidR="00CD3C97">
        <w:t>iene</w:t>
      </w:r>
      <w:r w:rsidR="00512B05">
        <w:t>s</w:t>
      </w:r>
      <w:proofErr w:type="spellEnd"/>
      <w:r w:rsidR="00CD3C97">
        <w:t xml:space="preserve"> </w:t>
      </w:r>
      <w:r w:rsidR="00512B05">
        <w:t>as</w:t>
      </w:r>
      <w:r w:rsidR="001779C3">
        <w:t xml:space="preserve"> </w:t>
      </w:r>
      <w:r w:rsidR="00CD3C97">
        <w:t xml:space="preserve">precursors for the africananes, </w:t>
      </w:r>
      <w:r w:rsidR="000256FC">
        <w:t>leading to</w:t>
      </w:r>
      <w:r w:rsidR="00CD3C97">
        <w:t xml:space="preserve"> the retrosynthetic strategy </w:t>
      </w:r>
      <w:r w:rsidR="00E10DDE">
        <w:t xml:space="preserve">depicted </w:t>
      </w:r>
      <w:r w:rsidR="00CD3C97">
        <w:t>below</w:t>
      </w:r>
      <w:r w:rsidR="00512B05">
        <w:t xml:space="preserve"> (Figure 2)</w:t>
      </w:r>
      <w:r w:rsidR="00CD3C97">
        <w:t>. Note that our primary focus was to complete the synthesis</w:t>
      </w:r>
      <w:r w:rsidR="00E25BBC">
        <w:t xml:space="preserve"> of pyxidatol C </w:t>
      </w:r>
      <w:r w:rsidR="00E25BBC">
        <w:rPr>
          <w:b/>
        </w:rPr>
        <w:t>1</w:t>
      </w:r>
      <w:r w:rsidR="00096D85">
        <w:t>,</w:t>
      </w:r>
      <w:r w:rsidR="00E25BBC">
        <w:rPr>
          <w:b/>
        </w:rPr>
        <w:t xml:space="preserve"> </w:t>
      </w:r>
      <w:r w:rsidR="001779C3">
        <w:t xml:space="preserve">as shown </w:t>
      </w:r>
      <w:r w:rsidR="00E25BBC">
        <w:t>(</w:t>
      </w:r>
      <w:r w:rsidR="00CD3C97">
        <w:t xml:space="preserve">because at the time that this work </w:t>
      </w:r>
      <w:r w:rsidR="00E10DDE">
        <w:t xml:space="preserve">was </w:t>
      </w:r>
      <w:r w:rsidR="000256FC">
        <w:t>performed</w:t>
      </w:r>
      <w:r w:rsidR="00CD3C97">
        <w:t>, no to</w:t>
      </w:r>
      <w:r w:rsidR="00E25BBC">
        <w:t>tal synthesis has been reported)</w:t>
      </w:r>
      <w:r w:rsidR="00096D85">
        <w:t>,</w:t>
      </w:r>
      <w:r w:rsidR="00CD3C97">
        <w:t xml:space="preserve"> but </w:t>
      </w:r>
      <w:r w:rsidR="00E25BBC">
        <w:t>it was also considered</w:t>
      </w:r>
      <w:r w:rsidR="00096D85">
        <w:t xml:space="preserve"> that with minor modifications,</w:t>
      </w:r>
      <w:r w:rsidR="00E25BBC">
        <w:t xml:space="preserve"> the synthesis of other africananes (</w:t>
      </w:r>
      <w:r w:rsidR="00E25BBC">
        <w:rPr>
          <w:i/>
        </w:rPr>
        <w:t xml:space="preserve">e.g. </w:t>
      </w:r>
      <w:r w:rsidR="00E25BBC">
        <w:rPr>
          <w:b/>
        </w:rPr>
        <w:t>2</w:t>
      </w:r>
      <w:r w:rsidR="00E25BBC">
        <w:t>–</w:t>
      </w:r>
      <w:r w:rsidR="00E25BBC">
        <w:rPr>
          <w:b/>
        </w:rPr>
        <w:t>4</w:t>
      </w:r>
      <w:r w:rsidR="00E25BBC">
        <w:t>)</w:t>
      </w:r>
      <w:r w:rsidR="009843D8">
        <w:t xml:space="preserve"> would be possible</w:t>
      </w:r>
      <w:r w:rsidR="00E25BBC">
        <w:t xml:space="preserve">. It was planned </w:t>
      </w:r>
      <w:r w:rsidR="00E83D52">
        <w:t xml:space="preserve">to </w:t>
      </w:r>
      <w:r w:rsidR="00E25BBC">
        <w:t xml:space="preserve">construct the fused </w:t>
      </w:r>
      <w:bookmarkStart w:id="0" w:name="_GoBack"/>
      <w:bookmarkEnd w:id="0"/>
      <w:proofErr w:type="spellStart"/>
      <w:r w:rsidR="00E25BBC">
        <w:t>cyclopentyl</w:t>
      </w:r>
      <w:proofErr w:type="spellEnd"/>
      <w:r w:rsidR="00E25BBC">
        <w:t xml:space="preserve"> ring via a reductive cyclisation reaction of a methyl ketone onto an alkene (</w:t>
      </w:r>
      <w:r w:rsidR="00E25BBC">
        <w:rPr>
          <w:i/>
        </w:rPr>
        <w:t xml:space="preserve">e.g. </w:t>
      </w:r>
      <w:r w:rsidR="00E25BBC">
        <w:t>using SmI</w:t>
      </w:r>
      <w:r w:rsidR="00E25BBC" w:rsidRPr="00E25BBC">
        <w:rPr>
          <w:vertAlign w:val="subscript"/>
        </w:rPr>
        <w:t>2</w:t>
      </w:r>
      <w:r w:rsidR="00E25BBC">
        <w:t xml:space="preserve">, disconnection </w:t>
      </w:r>
      <w:r w:rsidR="00E25BBC" w:rsidRPr="00CF3D7F">
        <w:rPr>
          <w:b/>
        </w:rPr>
        <w:t>A</w:t>
      </w:r>
      <w:r w:rsidR="00E25BBC">
        <w:t xml:space="preserve">), while the cyclopropyl ring could be formed using a Simmons-Smith </w:t>
      </w:r>
      <w:r w:rsidR="009843D8">
        <w:t xml:space="preserve">cyclopropanation </w:t>
      </w:r>
      <w:r w:rsidR="00E25BBC">
        <w:t>reaction</w:t>
      </w:r>
      <w:r w:rsidR="000949F0">
        <w:t xml:space="preserve"> (disconnection </w:t>
      </w:r>
      <w:r w:rsidR="000949F0" w:rsidRPr="00CF3D7F">
        <w:rPr>
          <w:b/>
        </w:rPr>
        <w:t>B</w:t>
      </w:r>
      <w:r w:rsidR="000949F0">
        <w:t>)</w:t>
      </w:r>
      <w:r w:rsidR="00E83D52">
        <w:t>.</w:t>
      </w:r>
      <w:r w:rsidR="009843D8" w:rsidRPr="009843D8">
        <w:rPr>
          <w:vertAlign w:val="superscript"/>
        </w:rPr>
        <w:t>11</w:t>
      </w:r>
      <w:r w:rsidR="00E83D52">
        <w:t xml:space="preserve"> It was expected that</w:t>
      </w:r>
      <w:r w:rsidR="00B10FED">
        <w:t>,</w:t>
      </w:r>
      <w:r w:rsidR="00E83D52">
        <w:t xml:space="preserve"> following functional group interconversion and alkene isomerism, </w:t>
      </w:r>
      <w:r w:rsidR="00AE6475">
        <w:t xml:space="preserve">key </w:t>
      </w:r>
      <w:r w:rsidR="002C7A02">
        <w:t>building block</w:t>
      </w:r>
      <w:r w:rsidR="00E83D52">
        <w:t xml:space="preserve"> </w:t>
      </w:r>
      <w:r w:rsidR="00E83D52">
        <w:rPr>
          <w:b/>
        </w:rPr>
        <w:t xml:space="preserve">7 </w:t>
      </w:r>
      <w:r w:rsidR="00E83D52" w:rsidRPr="00E83D52">
        <w:t xml:space="preserve">(or a </w:t>
      </w:r>
      <w:r w:rsidR="00E10DDE">
        <w:t xml:space="preserve">suitably </w:t>
      </w:r>
      <w:r w:rsidR="00E83D52" w:rsidRPr="00E83D52">
        <w:t>protected variant)</w:t>
      </w:r>
      <w:r w:rsidR="00E83D52">
        <w:rPr>
          <w:b/>
        </w:rPr>
        <w:t xml:space="preserve"> </w:t>
      </w:r>
      <w:r w:rsidR="00E83D52">
        <w:t>cou</w:t>
      </w:r>
      <w:r w:rsidR="00086A57">
        <w:t>ld be formed from a cycloheptad</w:t>
      </w:r>
      <w:r w:rsidR="00E83D52">
        <w:t xml:space="preserve">iene of the form </w:t>
      </w:r>
      <w:r w:rsidR="00E83D52">
        <w:rPr>
          <w:b/>
        </w:rPr>
        <w:t>6</w:t>
      </w:r>
      <w:r w:rsidR="004362C6">
        <w:t>;</w:t>
      </w:r>
      <w:r w:rsidR="00E83D52">
        <w:t xml:space="preserve"> </w:t>
      </w:r>
      <w:r w:rsidR="004362C6">
        <w:t>this</w:t>
      </w:r>
      <w:r w:rsidR="00096D85">
        <w:t xml:space="preserve"> framework </w:t>
      </w:r>
      <w:r w:rsidR="00E83D52">
        <w:t>is known</w:t>
      </w:r>
      <w:r w:rsidR="00E83D52" w:rsidRPr="00E83D52">
        <w:t xml:space="preserve"> be accessible</w:t>
      </w:r>
      <w:r w:rsidR="00096D85">
        <w:t xml:space="preserve"> with variable functionality (R</w:t>
      </w:r>
      <w:r w:rsidR="00096D85" w:rsidRPr="00E83D52">
        <w:rPr>
          <w:vertAlign w:val="superscript"/>
        </w:rPr>
        <w:t>1</w:t>
      </w:r>
      <w:r w:rsidR="00096D85">
        <w:t xml:space="preserve"> and R</w:t>
      </w:r>
      <w:r w:rsidR="00096D85" w:rsidRPr="00E83D52">
        <w:rPr>
          <w:vertAlign w:val="superscript"/>
        </w:rPr>
        <w:t>2</w:t>
      </w:r>
      <w:r w:rsidR="00096D85">
        <w:t xml:space="preserve">) </w:t>
      </w:r>
      <w:r w:rsidR="00E83D52">
        <w:t>from divinyl cyclopropane</w:t>
      </w:r>
      <w:r w:rsidR="00096D85">
        <w:t>s</w:t>
      </w:r>
      <w:r w:rsidR="00E83D52">
        <w:t xml:space="preserve"> </w:t>
      </w:r>
      <w:r w:rsidR="00E83D52">
        <w:rPr>
          <w:b/>
        </w:rPr>
        <w:t>5</w:t>
      </w:r>
      <w:r w:rsidR="00E83D52">
        <w:t>,</w:t>
      </w:r>
      <w:r w:rsidR="00096D85">
        <w:rPr>
          <w:b/>
        </w:rPr>
        <w:t xml:space="preserve"> </w:t>
      </w:r>
      <w:r w:rsidR="00E83D52">
        <w:t>using our published Cope rearrangement methodology.</w:t>
      </w:r>
      <w:r w:rsidR="00E83D52" w:rsidRPr="00E83D52">
        <w:rPr>
          <w:vertAlign w:val="superscript"/>
        </w:rPr>
        <w:t>10</w:t>
      </w:r>
      <w:r w:rsidR="00AE6475">
        <w:rPr>
          <w:vertAlign w:val="superscript"/>
        </w:rPr>
        <w:t xml:space="preserve"> </w:t>
      </w:r>
      <w:r w:rsidR="00AE6475">
        <w:t xml:space="preserve">Herein, we report preliminary studies leading to the synthesis of building block </w:t>
      </w:r>
      <w:r w:rsidR="00AE6475">
        <w:rPr>
          <w:b/>
        </w:rPr>
        <w:t xml:space="preserve">7 </w:t>
      </w:r>
      <w:r w:rsidR="00AE6475">
        <w:t>(where R</w:t>
      </w:r>
      <w:r w:rsidR="00AE6475" w:rsidRPr="00AE6475">
        <w:rPr>
          <w:vertAlign w:val="superscript"/>
        </w:rPr>
        <w:t>2</w:t>
      </w:r>
      <w:r w:rsidR="00AE6475">
        <w:t xml:space="preserve"> = CO</w:t>
      </w:r>
      <w:r w:rsidR="00AE6475" w:rsidRPr="00AE6475">
        <w:rPr>
          <w:vertAlign w:val="subscript"/>
        </w:rPr>
        <w:t>2</w:t>
      </w:r>
      <w:r w:rsidR="00AE6475">
        <w:t xml:space="preserve">Et), as well as the installation of the cyclopropyl group (disconnection </w:t>
      </w:r>
      <w:r w:rsidR="00AE6475" w:rsidRPr="00EF22C5">
        <w:rPr>
          <w:b/>
        </w:rPr>
        <w:t>B</w:t>
      </w:r>
      <w:r w:rsidR="00AE6475">
        <w:t>) on a model system.</w:t>
      </w:r>
    </w:p>
    <w:p w:rsidR="00B060CF" w:rsidRDefault="00F5786B" w:rsidP="00B060CF">
      <w:pPr>
        <w:pStyle w:val="FigImage"/>
        <w:jc w:val="center"/>
      </w:pPr>
      <w:r>
        <w:object w:dxaOrig="4821" w:dyaOrig="3995">
          <v:shape id="_x0000_i1026" type="#_x0000_t75" style="width:192.75pt;height:159.75pt" o:ole="">
            <v:imagedata r:id="rId11" o:title=""/>
          </v:shape>
          <o:OLEObject Type="Embed" ProgID="ChemDraw.Document.6.0" ShapeID="_x0000_i1026" DrawAspect="Content" ObjectID="_1514282586" r:id="rId12"/>
        </w:object>
      </w:r>
    </w:p>
    <w:p w:rsidR="00B060CF" w:rsidRDefault="00B060CF" w:rsidP="00B060CF">
      <w:pPr>
        <w:pStyle w:val="FigCaption"/>
      </w:pPr>
      <w:r>
        <w:rPr>
          <w:b/>
        </w:rPr>
        <w:t xml:space="preserve">Figure </w:t>
      </w:r>
      <w:r w:rsidR="00CF3D7F">
        <w:rPr>
          <w:b/>
        </w:rPr>
        <w:t>2</w:t>
      </w:r>
      <w:r>
        <w:t xml:space="preserve"> </w:t>
      </w:r>
      <w:r w:rsidR="00E10DDE">
        <w:t>Retrosynthetic strategy</w:t>
      </w:r>
      <w:r w:rsidR="00CF3D7F">
        <w:t>, utilizing a key divinyl cyclopropane Cope rearrangement</w:t>
      </w:r>
      <w:r>
        <w:t>.</w:t>
      </w:r>
    </w:p>
    <w:p w:rsidR="00B060CF" w:rsidRPr="00B873B6" w:rsidRDefault="002F46D7" w:rsidP="005B6C1D">
      <w:r>
        <w:lastRenderedPageBreak/>
        <w:t>Initial work</w:t>
      </w:r>
      <w:r w:rsidR="00EA67F7">
        <w:t xml:space="preserve"> </w:t>
      </w:r>
      <w:r w:rsidR="00E10DDE">
        <w:t xml:space="preserve">centered on </w:t>
      </w:r>
      <w:r w:rsidR="00EA67F7">
        <w:t xml:space="preserve">the manipulation of </w:t>
      </w:r>
      <w:proofErr w:type="spellStart"/>
      <w:r w:rsidR="00E10DDE">
        <w:rPr>
          <w:i/>
        </w:rPr>
        <w:t>meso</w:t>
      </w:r>
      <w:proofErr w:type="spellEnd"/>
      <w:r w:rsidR="00E10DDE">
        <w:t xml:space="preserve">-diol </w:t>
      </w:r>
      <w:r w:rsidR="00EA4D55">
        <w:rPr>
          <w:b/>
        </w:rPr>
        <w:t>11</w:t>
      </w:r>
      <w:r w:rsidR="008B1899">
        <w:t xml:space="preserve"> which </w:t>
      </w:r>
      <w:r w:rsidR="00EA67F7">
        <w:t xml:space="preserve">was </w:t>
      </w:r>
      <w:r w:rsidR="008B1899">
        <w:t>made</w:t>
      </w:r>
      <w:r w:rsidR="00EA67F7">
        <w:t xml:space="preserve"> </w:t>
      </w:r>
      <w:r w:rsidR="00A92213">
        <w:t>by</w:t>
      </w:r>
      <w:r w:rsidR="00EA67F7">
        <w:t xml:space="preserve"> heating </w:t>
      </w:r>
      <w:r w:rsidR="00A92213">
        <w:t xml:space="preserve">divinyl cyclopropane </w:t>
      </w:r>
      <w:r w:rsidR="00EA4D55">
        <w:rPr>
          <w:b/>
        </w:rPr>
        <w:t>8</w:t>
      </w:r>
      <w:r w:rsidR="00A92213">
        <w:rPr>
          <w:b/>
        </w:rPr>
        <w:t xml:space="preserve"> </w:t>
      </w:r>
      <w:r w:rsidR="00B10FED">
        <w:t>(</w:t>
      </w:r>
      <w:r>
        <w:t>which was itself synthesised</w:t>
      </w:r>
      <w:r w:rsidR="00B10FED">
        <w:t xml:space="preserve"> in 7 steps from ethyl </w:t>
      </w:r>
      <w:proofErr w:type="spellStart"/>
      <w:r w:rsidR="00B10FED">
        <w:t>chrysanthemate</w:t>
      </w:r>
      <w:proofErr w:type="spellEnd"/>
      <w:r w:rsidR="00B10FED">
        <w:t>)</w:t>
      </w:r>
      <w:r w:rsidR="00B10FED" w:rsidRPr="00B10FED">
        <w:rPr>
          <w:vertAlign w:val="superscript"/>
        </w:rPr>
        <w:t>10</w:t>
      </w:r>
      <w:r w:rsidR="00B10FED">
        <w:t xml:space="preserve"> </w:t>
      </w:r>
      <w:r w:rsidR="00A92213">
        <w:t>to 100 °C in toluene</w:t>
      </w:r>
      <w:r w:rsidR="000256FC">
        <w:t>,</w:t>
      </w:r>
      <w:r w:rsidR="00EA4D55">
        <w:t xml:space="preserve"> </w:t>
      </w:r>
      <w:r w:rsidR="00A92213">
        <w:t>effect</w:t>
      </w:r>
      <w:r w:rsidR="00EA4D55">
        <w:t>ing</w:t>
      </w:r>
      <w:r w:rsidR="00A92213">
        <w:t xml:space="preserve"> Cope rearrangement</w:t>
      </w:r>
      <w:r w:rsidR="000256FC">
        <w:t xml:space="preserve"> to</w:t>
      </w:r>
      <w:r w:rsidR="00A92213">
        <w:t xml:space="preserve"> </w:t>
      </w:r>
      <w:r w:rsidR="00EA4D55">
        <w:t>form</w:t>
      </w:r>
      <w:r w:rsidR="00CC484E">
        <w:t xml:space="preserve"> cycloheptad</w:t>
      </w:r>
      <w:r w:rsidR="00A92213">
        <w:t xml:space="preserve">iene </w:t>
      </w:r>
      <w:r w:rsidR="00EA4D55">
        <w:rPr>
          <w:b/>
        </w:rPr>
        <w:t>10</w:t>
      </w:r>
      <w:r w:rsidR="00A92213">
        <w:t xml:space="preserve">, </w:t>
      </w:r>
      <w:r w:rsidR="00EA4D55">
        <w:t>which was then</w:t>
      </w:r>
      <w:r w:rsidR="00A92213">
        <w:t xml:space="preserve"> reduc</w:t>
      </w:r>
      <w:r w:rsidR="00EA4D55">
        <w:t>ed</w:t>
      </w:r>
      <w:r w:rsidR="0019797E">
        <w:t xml:space="preserve"> with</w:t>
      </w:r>
      <w:r w:rsidR="00A92213">
        <w:t xml:space="preserve"> LiAlH</w:t>
      </w:r>
      <w:r w:rsidR="00A92213" w:rsidRPr="0019797E">
        <w:rPr>
          <w:vertAlign w:val="subscript"/>
        </w:rPr>
        <w:t>4</w:t>
      </w:r>
      <w:r w:rsidR="00431E6B">
        <w:rPr>
          <w:vertAlign w:val="subscript"/>
        </w:rPr>
        <w:t xml:space="preserve"> </w:t>
      </w:r>
      <w:r w:rsidR="00431E6B">
        <w:t>(Scheme 1)</w:t>
      </w:r>
      <w:r w:rsidR="00A92213">
        <w:t xml:space="preserve">. Alternatively, diol </w:t>
      </w:r>
      <w:r w:rsidR="00EA4D55">
        <w:rPr>
          <w:b/>
        </w:rPr>
        <w:t>11</w:t>
      </w:r>
      <w:r w:rsidR="00A92213">
        <w:rPr>
          <w:b/>
        </w:rPr>
        <w:t xml:space="preserve"> </w:t>
      </w:r>
      <w:r w:rsidR="00A92213">
        <w:t xml:space="preserve">could be </w:t>
      </w:r>
      <w:r w:rsidR="008B1899">
        <w:t>made</w:t>
      </w:r>
      <w:r w:rsidR="00A92213">
        <w:t xml:space="preserve"> directly from divinyl cyclopropane </w:t>
      </w:r>
      <w:r w:rsidR="00EA4D55">
        <w:rPr>
          <w:b/>
        </w:rPr>
        <w:t>9</w:t>
      </w:r>
      <w:r w:rsidR="00F5786B" w:rsidRPr="00B10FED">
        <w:rPr>
          <w:vertAlign w:val="superscript"/>
        </w:rPr>
        <w:t>10</w:t>
      </w:r>
      <w:r w:rsidR="00A92213">
        <w:rPr>
          <w:b/>
        </w:rPr>
        <w:t xml:space="preserve"> </w:t>
      </w:r>
      <w:r w:rsidR="00F5786B">
        <w:t xml:space="preserve">under the same Cope </w:t>
      </w:r>
      <w:r w:rsidR="00A92213">
        <w:t xml:space="preserve">rearrangement </w:t>
      </w:r>
      <w:r w:rsidR="00EA4D55">
        <w:t>conditions.</w:t>
      </w:r>
      <w:r w:rsidR="00B10FED">
        <w:rPr>
          <w:vertAlign w:val="superscript"/>
        </w:rPr>
        <w:t xml:space="preserve"> </w:t>
      </w:r>
      <w:r w:rsidR="00573A65">
        <w:t>Next, it was planned to protect one of the alcohol</w:t>
      </w:r>
      <w:r w:rsidR="000256FC">
        <w:t xml:space="preserve"> </w:t>
      </w:r>
      <w:r w:rsidR="00512B05">
        <w:t>groups</w:t>
      </w:r>
      <w:r w:rsidR="00573A65">
        <w:t xml:space="preserve"> of diol </w:t>
      </w:r>
      <w:r w:rsidR="00573A65">
        <w:rPr>
          <w:b/>
        </w:rPr>
        <w:t>11</w:t>
      </w:r>
      <w:proofErr w:type="gramStart"/>
      <w:r w:rsidR="00573A65">
        <w:t>,</w:t>
      </w:r>
      <w:r w:rsidR="00FC4F90" w:rsidRPr="00FC4F90">
        <w:rPr>
          <w:vertAlign w:val="superscript"/>
        </w:rPr>
        <w:t>1</w:t>
      </w:r>
      <w:r w:rsidR="00FC4F90">
        <w:rPr>
          <w:vertAlign w:val="superscript"/>
        </w:rPr>
        <w:t>2</w:t>
      </w:r>
      <w:proofErr w:type="gramEnd"/>
      <w:r w:rsidR="00573A65">
        <w:t xml:space="preserve"> before installing </w:t>
      </w:r>
      <w:r w:rsidR="008B1899">
        <w:t>a</w:t>
      </w:r>
      <w:r w:rsidR="00573A65">
        <w:t xml:space="preserve"> methyl ketone side chain (</w:t>
      </w:r>
      <w:r w:rsidR="00573A65">
        <w:rPr>
          <w:b/>
        </w:rPr>
        <w:t>14</w:t>
      </w:r>
      <w:r w:rsidR="00573A65">
        <w:t xml:space="preserve">) via a haloalkane of the form </w:t>
      </w:r>
      <w:r w:rsidR="00573A65">
        <w:rPr>
          <w:b/>
        </w:rPr>
        <w:t>13</w:t>
      </w:r>
      <w:r w:rsidR="00573A65">
        <w:t xml:space="preserve">. Unfortunately, we were unable to synthesise the requisite haloalkane; three strategies </w:t>
      </w:r>
      <w:r w:rsidR="00CC484E">
        <w:t xml:space="preserve">to mono-protect and iodinate diol </w:t>
      </w:r>
      <w:r w:rsidR="00CC484E">
        <w:rPr>
          <w:b/>
        </w:rPr>
        <w:t xml:space="preserve">11 </w:t>
      </w:r>
      <w:r w:rsidR="00573A65">
        <w:t xml:space="preserve">were tested, but </w:t>
      </w:r>
      <w:r w:rsidR="0072705B">
        <w:t>in each case</w:t>
      </w:r>
      <w:r w:rsidR="00B873B6">
        <w:t>,</w:t>
      </w:r>
      <w:r w:rsidR="004B74EC">
        <w:t xml:space="preserve"> cyclic ether </w:t>
      </w:r>
      <w:r w:rsidR="004B74EC">
        <w:rPr>
          <w:b/>
        </w:rPr>
        <w:t>1</w:t>
      </w:r>
      <w:r w:rsidR="00114395">
        <w:rPr>
          <w:b/>
        </w:rPr>
        <w:t>6</w:t>
      </w:r>
      <w:r w:rsidR="004B74EC">
        <w:rPr>
          <w:b/>
        </w:rPr>
        <w:t xml:space="preserve"> </w:t>
      </w:r>
      <w:r w:rsidR="004B74EC">
        <w:t xml:space="preserve">was the major </w:t>
      </w:r>
      <w:r w:rsidR="00512B05">
        <w:t>product formed</w:t>
      </w:r>
      <w:r w:rsidR="004B74EC">
        <w:t xml:space="preserve">, with no evidence for the formation of </w:t>
      </w:r>
      <w:r w:rsidR="001B6901">
        <w:t xml:space="preserve">the </w:t>
      </w:r>
      <w:r w:rsidR="004B74EC">
        <w:t xml:space="preserve">requisite iodides </w:t>
      </w:r>
      <w:r w:rsidR="004B74EC">
        <w:rPr>
          <w:b/>
        </w:rPr>
        <w:t>13a–c</w:t>
      </w:r>
      <w:r w:rsidR="004B74EC">
        <w:t xml:space="preserve">. </w:t>
      </w:r>
      <w:r w:rsidR="00B873B6">
        <w:t xml:space="preserve">This unexpected product presumably forms via </w:t>
      </w:r>
      <w:r w:rsidR="000256FC">
        <w:t xml:space="preserve">an </w:t>
      </w:r>
      <w:r w:rsidR="00B873B6">
        <w:t xml:space="preserve">initial iodination </w:t>
      </w:r>
      <w:r w:rsidR="00CC484E">
        <w:t xml:space="preserve">of the mono-protected diols </w:t>
      </w:r>
      <w:r w:rsidR="00CC484E">
        <w:rPr>
          <w:b/>
        </w:rPr>
        <w:t xml:space="preserve">12a-c </w:t>
      </w:r>
      <w:r w:rsidR="00B873B6">
        <w:t xml:space="preserve">as planned, </w:t>
      </w:r>
      <w:r w:rsidR="00512B05">
        <w:t>but</w:t>
      </w:r>
      <w:r w:rsidR="00B873B6">
        <w:t xml:space="preserve"> </w:t>
      </w:r>
      <w:r w:rsidR="00512B05">
        <w:t>then the iodide (</w:t>
      </w:r>
      <w:r w:rsidR="00512B05">
        <w:rPr>
          <w:b/>
        </w:rPr>
        <w:t>13a</w:t>
      </w:r>
      <w:r w:rsidR="00512B05" w:rsidRPr="00512B05">
        <w:t>-</w:t>
      </w:r>
      <w:r w:rsidR="00512B05" w:rsidRPr="00512B05">
        <w:rPr>
          <w:b/>
        </w:rPr>
        <w:t>c</w:t>
      </w:r>
      <w:r w:rsidR="00512B05">
        <w:t xml:space="preserve">) </w:t>
      </w:r>
      <w:proofErr w:type="spellStart"/>
      <w:r w:rsidR="00B873B6">
        <w:t>cyclis</w:t>
      </w:r>
      <w:r w:rsidR="00CC484E">
        <w:t>es</w:t>
      </w:r>
      <w:proofErr w:type="spellEnd"/>
      <w:r>
        <w:t>,</w:t>
      </w:r>
      <w:r w:rsidR="00B873B6">
        <w:t xml:space="preserve"> to generate a cyclic </w:t>
      </w:r>
      <w:proofErr w:type="spellStart"/>
      <w:r w:rsidR="00B873B6">
        <w:t>oxycation</w:t>
      </w:r>
      <w:proofErr w:type="spellEnd"/>
      <w:r w:rsidR="00114395">
        <w:t xml:space="preserve"> (</w:t>
      </w:r>
      <w:r w:rsidR="00114395">
        <w:rPr>
          <w:b/>
        </w:rPr>
        <w:t>15a-c</w:t>
      </w:r>
      <w:r w:rsidR="00114395">
        <w:t>)</w:t>
      </w:r>
      <w:r w:rsidR="00B873B6">
        <w:t xml:space="preserve">, </w:t>
      </w:r>
      <w:r w:rsidR="00CC484E">
        <w:t>before</w:t>
      </w:r>
      <w:r w:rsidR="00B873B6">
        <w:t xml:space="preserve"> protecting group cleavage</w:t>
      </w:r>
      <w:r w:rsidR="00CC484E">
        <w:t xml:space="preserve"> takes place </w:t>
      </w:r>
      <w:r w:rsidR="00CC484E">
        <w:rPr>
          <w:i/>
        </w:rPr>
        <w:t>in situ</w:t>
      </w:r>
      <w:r w:rsidR="00B873B6">
        <w:t xml:space="preserve">. The fact that </w:t>
      </w:r>
      <w:r w:rsidR="00A36290">
        <w:t xml:space="preserve">cyclic ether </w:t>
      </w:r>
      <w:r w:rsidR="00A36290">
        <w:rPr>
          <w:b/>
        </w:rPr>
        <w:t>1</w:t>
      </w:r>
      <w:r w:rsidR="00114395">
        <w:rPr>
          <w:b/>
        </w:rPr>
        <w:t>6</w:t>
      </w:r>
      <w:r w:rsidR="00B873B6">
        <w:t xml:space="preserve"> </w:t>
      </w:r>
      <w:r w:rsidR="001B6901">
        <w:t xml:space="preserve">is </w:t>
      </w:r>
      <w:r w:rsidR="00B873B6">
        <w:t>form</w:t>
      </w:r>
      <w:r w:rsidR="001B6901">
        <w:t>ed</w:t>
      </w:r>
      <w:r w:rsidR="008B1899">
        <w:t>,</w:t>
      </w:r>
      <w:r w:rsidR="00B873B6">
        <w:t xml:space="preserve"> despite the use of </w:t>
      </w:r>
      <w:r w:rsidR="00945670">
        <w:t xml:space="preserve">normally </w:t>
      </w:r>
      <w:r w:rsidR="00B873B6">
        <w:t>robust protecting groups</w:t>
      </w:r>
      <w:r w:rsidR="008B1899">
        <w:t>,</w:t>
      </w:r>
      <w:r w:rsidR="00B873B6">
        <w:t xml:space="preserve"> indicates that this cyclisation process is particularly favourable. Indeed, when diol </w:t>
      </w:r>
      <w:r w:rsidR="00B873B6">
        <w:rPr>
          <w:b/>
        </w:rPr>
        <w:t>11</w:t>
      </w:r>
      <w:r w:rsidR="00B873B6">
        <w:t xml:space="preserve"> was heated at reflux </w:t>
      </w:r>
      <w:r w:rsidR="00A702C7">
        <w:t xml:space="preserve">in benzene with </w:t>
      </w:r>
      <w:r w:rsidR="00A702C7" w:rsidRPr="00B10FED">
        <w:rPr>
          <w:i/>
        </w:rPr>
        <w:t>p</w:t>
      </w:r>
      <w:r w:rsidR="00A702C7">
        <w:t>-TSA and</w:t>
      </w:r>
      <w:r w:rsidR="00B873B6">
        <w:t xml:space="preserve"> </w:t>
      </w:r>
      <w:r w:rsidR="00B873B6">
        <w:rPr>
          <w:i/>
        </w:rPr>
        <w:t>p</w:t>
      </w:r>
      <w:r w:rsidR="00B873B6">
        <w:t>-</w:t>
      </w:r>
      <w:proofErr w:type="spellStart"/>
      <w:r w:rsidR="00B873B6">
        <w:t>anisaldehyde</w:t>
      </w:r>
      <w:proofErr w:type="spellEnd"/>
      <w:r w:rsidR="00B873B6">
        <w:t xml:space="preserve"> (in an attempt to form a </w:t>
      </w:r>
      <w:proofErr w:type="spellStart"/>
      <w:r w:rsidR="00B873B6">
        <w:t>benzylidene</w:t>
      </w:r>
      <w:proofErr w:type="spellEnd"/>
      <w:r w:rsidR="00B873B6">
        <w:t xml:space="preserve"> acetal) cyclic ether </w:t>
      </w:r>
      <w:r w:rsidR="00B873B6">
        <w:rPr>
          <w:b/>
        </w:rPr>
        <w:t>1</w:t>
      </w:r>
      <w:r w:rsidR="00114395">
        <w:rPr>
          <w:b/>
        </w:rPr>
        <w:t>6</w:t>
      </w:r>
      <w:r w:rsidR="00B873B6">
        <w:rPr>
          <w:b/>
        </w:rPr>
        <w:t xml:space="preserve"> </w:t>
      </w:r>
      <w:r w:rsidR="00B873B6">
        <w:t>again formed, further highlighting th</w:t>
      </w:r>
      <w:r w:rsidR="00A36290">
        <w:t>e facility of this cyclisation.</w:t>
      </w:r>
    </w:p>
    <w:p w:rsidR="005B6C1D" w:rsidRDefault="00F5786B" w:rsidP="005B6C1D">
      <w:pPr>
        <w:pStyle w:val="SchemeImage"/>
      </w:pPr>
      <w:r>
        <w:object w:dxaOrig="5721" w:dyaOrig="8231">
          <v:shape id="_x0000_i1027" type="#_x0000_t75" style="width:230.25pt;height:330.75pt" o:ole="">
            <v:imagedata r:id="rId13" o:title=""/>
          </v:shape>
          <o:OLEObject Type="Embed" ProgID="ChemDraw.Document.6.0" ShapeID="_x0000_i1027" DrawAspect="Content" ObjectID="_1514282587" r:id="rId14"/>
        </w:object>
      </w:r>
    </w:p>
    <w:p w:rsidR="005B6C1D" w:rsidRDefault="005B6C1D" w:rsidP="005B6C1D">
      <w:pPr>
        <w:pStyle w:val="SchemeCaption"/>
      </w:pPr>
      <w:r>
        <w:rPr>
          <w:b/>
        </w:rPr>
        <w:t>Scheme 1</w:t>
      </w:r>
      <w:r w:rsidR="00B873B6">
        <w:t xml:space="preserve"> Attempts to elaborate diol </w:t>
      </w:r>
      <w:r w:rsidR="00B873B6">
        <w:rPr>
          <w:b/>
        </w:rPr>
        <w:t xml:space="preserve">11 </w:t>
      </w:r>
      <w:r w:rsidR="00B873B6">
        <w:t xml:space="preserve">towards ketone </w:t>
      </w:r>
      <w:r w:rsidR="00B873B6" w:rsidRPr="00B873B6">
        <w:rPr>
          <w:b/>
        </w:rPr>
        <w:t>14</w:t>
      </w:r>
      <w:r>
        <w:t>.</w:t>
      </w:r>
    </w:p>
    <w:p w:rsidR="005B6C1D" w:rsidRPr="005C66DC" w:rsidRDefault="00FF1F12" w:rsidP="005B6C1D">
      <w:r>
        <w:lastRenderedPageBreak/>
        <w:t xml:space="preserve">The relative ease with which </w:t>
      </w:r>
      <w:r w:rsidR="005D7A62">
        <w:t xml:space="preserve">this cyclisation takes place led us </w:t>
      </w:r>
      <w:r w:rsidR="000822A2">
        <w:t xml:space="preserve">to consider an alternative synthetic strategy, in which the steps </w:t>
      </w:r>
      <w:r w:rsidR="00A36290">
        <w:t xml:space="preserve">are </w:t>
      </w:r>
      <w:r w:rsidR="009E2872">
        <w:t>order</w:t>
      </w:r>
      <w:r w:rsidR="000822A2">
        <w:t>ed</w:t>
      </w:r>
      <w:r w:rsidR="009E2872">
        <w:t xml:space="preserve"> </w:t>
      </w:r>
      <w:r w:rsidR="00A36290">
        <w:t>such</w:t>
      </w:r>
      <w:r w:rsidR="009E2872">
        <w:t xml:space="preserve"> that</w:t>
      </w:r>
      <w:r w:rsidR="005D7A62">
        <w:t xml:space="preserve"> this problem is avoided</w:t>
      </w:r>
      <w:r w:rsidR="00A702C7">
        <w:t xml:space="preserve"> (</w:t>
      </w:r>
      <w:r w:rsidR="00A702C7">
        <w:rPr>
          <w:i/>
        </w:rPr>
        <w:t>vide infra</w:t>
      </w:r>
      <w:r w:rsidR="00A702C7">
        <w:t>)</w:t>
      </w:r>
      <w:r w:rsidR="005B6C1D">
        <w:t>.</w:t>
      </w:r>
      <w:r w:rsidR="005D7A62">
        <w:t xml:space="preserve"> Nonetheless, concurrent studies performed on </w:t>
      </w:r>
      <w:r w:rsidR="002F46D7">
        <w:t xml:space="preserve">alcohol </w:t>
      </w:r>
      <w:r w:rsidR="002F46D7">
        <w:rPr>
          <w:b/>
        </w:rPr>
        <w:t>12a</w:t>
      </w:r>
      <w:r w:rsidR="002F46D7" w:rsidRPr="002F46D7">
        <w:t>,</w:t>
      </w:r>
      <w:r w:rsidR="002F46D7">
        <w:rPr>
          <w:b/>
        </w:rPr>
        <w:t xml:space="preserve"> </w:t>
      </w:r>
      <w:r w:rsidR="002F46D7">
        <w:t xml:space="preserve">an intermediate from this route, </w:t>
      </w:r>
      <w:r w:rsidR="005D7A62">
        <w:t xml:space="preserve">provided reassurance that our </w:t>
      </w:r>
      <w:r w:rsidR="002F46D7">
        <w:t xml:space="preserve">planned </w:t>
      </w:r>
      <w:r w:rsidR="005D7A62">
        <w:t>synthetic stra</w:t>
      </w:r>
      <w:r w:rsidR="00F5786B">
        <w:t xml:space="preserve">tegy to install the cyclopropane moiety </w:t>
      </w:r>
      <w:r w:rsidR="005D7A62">
        <w:t xml:space="preserve">common in africananes </w:t>
      </w:r>
      <w:r w:rsidR="005D7A62">
        <w:rPr>
          <w:b/>
        </w:rPr>
        <w:t xml:space="preserve">1–4 </w:t>
      </w:r>
      <w:r w:rsidR="00F5786B">
        <w:t xml:space="preserve">via alkene isomerisation and </w:t>
      </w:r>
      <w:r w:rsidR="005C66DC">
        <w:t>Simons–</w:t>
      </w:r>
      <w:r w:rsidR="005D7A62">
        <w:t>Smith</w:t>
      </w:r>
      <w:r w:rsidR="001B6901">
        <w:t xml:space="preserve"> cyclopropanation</w:t>
      </w:r>
      <w:r w:rsidR="005D7A62">
        <w:t xml:space="preserve"> </w:t>
      </w:r>
      <w:r w:rsidR="00F5786B">
        <w:t>(</w:t>
      </w:r>
      <w:r w:rsidR="005D7A62">
        <w:t xml:space="preserve">see Figure 2, disconnection </w:t>
      </w:r>
      <w:r w:rsidR="005D7A62">
        <w:rPr>
          <w:b/>
        </w:rPr>
        <w:t>B</w:t>
      </w:r>
      <w:r w:rsidR="005D7A62">
        <w:t xml:space="preserve">) is feasible. </w:t>
      </w:r>
      <w:r w:rsidR="00604005">
        <w:t>The</w:t>
      </w:r>
      <w:r w:rsidR="00C37432">
        <w:t xml:space="preserve"> alkene </w:t>
      </w:r>
      <w:r w:rsidR="00604005">
        <w:t xml:space="preserve">isomerisation was achieved </w:t>
      </w:r>
      <w:r w:rsidR="00C37432">
        <w:t>using</w:t>
      </w:r>
      <w:r w:rsidR="00604005">
        <w:t xml:space="preserve"> an efficient three</w:t>
      </w:r>
      <w:r w:rsidR="00C37432">
        <w:t>-</w:t>
      </w:r>
      <w:r w:rsidR="00604005">
        <w:t xml:space="preserve">step telescoped sequence; oxidation with </w:t>
      </w:r>
      <w:proofErr w:type="spellStart"/>
      <w:r w:rsidR="00604005">
        <w:t>Dess</w:t>
      </w:r>
      <w:proofErr w:type="spellEnd"/>
      <w:r w:rsidR="00604005">
        <w:t xml:space="preserve">–Martin </w:t>
      </w:r>
      <w:proofErr w:type="spellStart"/>
      <w:r w:rsidR="00604005">
        <w:t>periodinane</w:t>
      </w:r>
      <w:proofErr w:type="spellEnd"/>
      <w:r w:rsidR="00604005">
        <w:t xml:space="preserve">, base-mediated alkene isomerisation with DBU and sodium borohydride reduction furnished the isomerised alkene </w:t>
      </w:r>
      <w:r w:rsidR="00604005">
        <w:rPr>
          <w:b/>
        </w:rPr>
        <w:t>1</w:t>
      </w:r>
      <w:r w:rsidR="00D11596">
        <w:rPr>
          <w:b/>
        </w:rPr>
        <w:t>9</w:t>
      </w:r>
      <w:r w:rsidR="00604005">
        <w:rPr>
          <w:b/>
        </w:rPr>
        <w:t xml:space="preserve"> </w:t>
      </w:r>
      <w:r w:rsidR="00604005">
        <w:t xml:space="preserve">in good overall yield. </w:t>
      </w:r>
      <w:r w:rsidR="005C66DC">
        <w:t>The Simmons–Smith cyclopro</w:t>
      </w:r>
      <w:r w:rsidR="00EE3D02">
        <w:t>pa</w:t>
      </w:r>
      <w:r w:rsidR="005C66DC">
        <w:t xml:space="preserve">nation was then performed by treating alkene </w:t>
      </w:r>
      <w:r w:rsidR="005C66DC">
        <w:rPr>
          <w:b/>
        </w:rPr>
        <w:t>1</w:t>
      </w:r>
      <w:r w:rsidR="00D11596">
        <w:rPr>
          <w:b/>
        </w:rPr>
        <w:t>9</w:t>
      </w:r>
      <w:r w:rsidR="005C66DC">
        <w:rPr>
          <w:b/>
        </w:rPr>
        <w:t xml:space="preserve"> </w:t>
      </w:r>
      <w:r w:rsidR="005C66DC">
        <w:t xml:space="preserve">with </w:t>
      </w:r>
      <w:proofErr w:type="spellStart"/>
      <w:r w:rsidR="005C66DC">
        <w:t>diiodomethane</w:t>
      </w:r>
      <w:proofErr w:type="spellEnd"/>
      <w:r w:rsidR="005C66DC">
        <w:t xml:space="preserve"> and </w:t>
      </w:r>
      <w:proofErr w:type="spellStart"/>
      <w:r w:rsidR="005C66DC">
        <w:t>diethylzinc</w:t>
      </w:r>
      <w:proofErr w:type="spellEnd"/>
      <w:r w:rsidR="005C66DC">
        <w:t xml:space="preserve"> in DCM at 0 °C for 40 minutes. Two separable diaster</w:t>
      </w:r>
      <w:r w:rsidR="00EE3D02">
        <w:t>eo</w:t>
      </w:r>
      <w:r w:rsidR="005C66DC">
        <w:t xml:space="preserve">meric products </w:t>
      </w:r>
      <w:r w:rsidR="00D11596">
        <w:rPr>
          <w:b/>
        </w:rPr>
        <w:t>20</w:t>
      </w:r>
      <w:r w:rsidR="005C66DC">
        <w:rPr>
          <w:b/>
        </w:rPr>
        <w:t xml:space="preserve">a </w:t>
      </w:r>
      <w:r w:rsidR="005C66DC">
        <w:t xml:space="preserve">and </w:t>
      </w:r>
      <w:r w:rsidR="00D11596">
        <w:rPr>
          <w:b/>
        </w:rPr>
        <w:t>20</w:t>
      </w:r>
      <w:r w:rsidR="005C66DC">
        <w:rPr>
          <w:b/>
        </w:rPr>
        <w:t xml:space="preserve">b </w:t>
      </w:r>
      <w:r w:rsidR="005C66DC">
        <w:t xml:space="preserve">were isolated in reasonable overall yield and, crucially, the reaction was highly regioselective, which is likely to be a consequence of the cyclopropanation </w:t>
      </w:r>
      <w:r w:rsidR="00A36290">
        <w:t xml:space="preserve">reaction </w:t>
      </w:r>
      <w:r w:rsidR="005C66DC">
        <w:t>being directed by the alcohol.</w:t>
      </w:r>
      <w:r w:rsidR="005C66DC" w:rsidRPr="005C66DC">
        <w:rPr>
          <w:vertAlign w:val="superscript"/>
        </w:rPr>
        <w:t>1</w:t>
      </w:r>
      <w:r w:rsidR="00FC4F90">
        <w:rPr>
          <w:vertAlign w:val="superscript"/>
        </w:rPr>
        <w:t>3</w:t>
      </w:r>
      <w:proofErr w:type="gramStart"/>
      <w:r w:rsidR="009C41AA">
        <w:rPr>
          <w:vertAlign w:val="superscript"/>
        </w:rPr>
        <w:t>,14</w:t>
      </w:r>
      <w:proofErr w:type="gramEnd"/>
    </w:p>
    <w:p w:rsidR="00C31D99" w:rsidRDefault="00947B50" w:rsidP="00C31D99">
      <w:pPr>
        <w:pStyle w:val="SchemeImage"/>
      </w:pPr>
      <w:r>
        <w:object w:dxaOrig="5807" w:dyaOrig="6858">
          <v:shape id="_x0000_i1028" type="#_x0000_t75" style="width:234pt;height:276pt" o:ole="">
            <v:imagedata r:id="rId15" o:title=""/>
          </v:shape>
          <o:OLEObject Type="Embed" ProgID="ChemDraw.Document.6.0" ShapeID="_x0000_i1028" DrawAspect="Content" ObjectID="_1514282588" r:id="rId16"/>
        </w:object>
      </w:r>
    </w:p>
    <w:p w:rsidR="00C31D99" w:rsidRDefault="00C31D99" w:rsidP="00C31D99">
      <w:pPr>
        <w:pStyle w:val="SchemeCaption"/>
      </w:pPr>
      <w:proofErr w:type="gramStart"/>
      <w:r>
        <w:rPr>
          <w:b/>
        </w:rPr>
        <w:t>Scheme 2</w:t>
      </w:r>
      <w:r>
        <w:t xml:space="preserve"> Cyclopropane installation using a Simmons-Smith reaction.</w:t>
      </w:r>
      <w:proofErr w:type="gramEnd"/>
    </w:p>
    <w:p w:rsidR="000E783C" w:rsidRDefault="00026469" w:rsidP="008E1533">
      <w:r>
        <w:t xml:space="preserve">To avoid the </w:t>
      </w:r>
      <w:r w:rsidR="002F46D7">
        <w:t>unwanted formation</w:t>
      </w:r>
      <w:r>
        <w:t xml:space="preserve"> of cyclic ether </w:t>
      </w:r>
      <w:r w:rsidR="002F46D7">
        <w:rPr>
          <w:b/>
        </w:rPr>
        <w:t>16</w:t>
      </w:r>
      <w:r w:rsidR="002F46D7">
        <w:t xml:space="preserve"> as</w:t>
      </w:r>
      <w:r>
        <w:t xml:space="preserve"> described </w:t>
      </w:r>
      <w:r w:rsidR="00B44C73">
        <w:t>above,</w:t>
      </w:r>
      <w:r>
        <w:t xml:space="preserve"> it was decided to </w:t>
      </w:r>
      <w:r w:rsidR="008B1899">
        <w:t>construct</w:t>
      </w:r>
      <w:r>
        <w:t xml:space="preserve"> the methyl ketone containing side chain</w:t>
      </w:r>
      <w:r w:rsidR="000E783C">
        <w:t xml:space="preserve"> </w:t>
      </w:r>
      <w:r w:rsidR="000E783C" w:rsidRPr="00A702C7">
        <w:rPr>
          <w:i/>
        </w:rPr>
        <w:t>before</w:t>
      </w:r>
      <w:r w:rsidR="000E783C">
        <w:t xml:space="preserve"> </w:t>
      </w:r>
      <w:r w:rsidR="00A36290">
        <w:t xml:space="preserve">performing </w:t>
      </w:r>
      <w:r w:rsidR="008B1899">
        <w:t>the Cope rearrangement (Scheme 3).</w:t>
      </w:r>
      <w:r w:rsidR="000E783C">
        <w:t xml:space="preserve"> </w:t>
      </w:r>
      <w:r w:rsidR="008332F7">
        <w:t>Thus, s</w:t>
      </w:r>
      <w:r w:rsidR="000E783C">
        <w:t xml:space="preserve">tarting from known ester </w:t>
      </w:r>
      <w:r w:rsidR="000E783C">
        <w:rPr>
          <w:b/>
        </w:rPr>
        <w:t>2</w:t>
      </w:r>
      <w:r w:rsidR="00535ED5">
        <w:rPr>
          <w:b/>
        </w:rPr>
        <w:t>1</w:t>
      </w:r>
      <w:proofErr w:type="gramStart"/>
      <w:r w:rsidR="00F1228A" w:rsidRPr="00F1228A">
        <w:t>,</w:t>
      </w:r>
      <w:r w:rsidR="000E783C" w:rsidRPr="000E783C">
        <w:rPr>
          <w:vertAlign w:val="superscript"/>
        </w:rPr>
        <w:t>10</w:t>
      </w:r>
      <w:proofErr w:type="gramEnd"/>
      <w:r w:rsidR="008B1899">
        <w:t xml:space="preserve"> r</w:t>
      </w:r>
      <w:r w:rsidR="000E783C">
        <w:t xml:space="preserve">eduction with DIBAL afforded alcohol </w:t>
      </w:r>
      <w:r w:rsidR="000E783C" w:rsidRPr="000E783C">
        <w:rPr>
          <w:b/>
        </w:rPr>
        <w:t>2</w:t>
      </w:r>
      <w:r w:rsidR="00535ED5">
        <w:rPr>
          <w:b/>
        </w:rPr>
        <w:t>2</w:t>
      </w:r>
      <w:r w:rsidR="000E783C">
        <w:t>, which was then converted into c</w:t>
      </w:r>
      <w:r w:rsidR="000E783C" w:rsidRPr="000E783C">
        <w:t>arbonate</w:t>
      </w:r>
      <w:r w:rsidR="000E783C">
        <w:t xml:space="preserve"> </w:t>
      </w:r>
      <w:r w:rsidR="000E783C" w:rsidRPr="000E783C">
        <w:rPr>
          <w:b/>
        </w:rPr>
        <w:t>2</w:t>
      </w:r>
      <w:r w:rsidR="00535ED5">
        <w:rPr>
          <w:b/>
        </w:rPr>
        <w:t>3</w:t>
      </w:r>
      <w:r w:rsidR="000E783C">
        <w:t xml:space="preserve"> </w:t>
      </w:r>
      <w:r w:rsidR="008B1899">
        <w:t>upon reaction with</w:t>
      </w:r>
      <w:r w:rsidR="000E783C">
        <w:t xml:space="preserve"> ethyl </w:t>
      </w:r>
      <w:proofErr w:type="spellStart"/>
      <w:r w:rsidR="000E783C">
        <w:lastRenderedPageBreak/>
        <w:t>chloroformate</w:t>
      </w:r>
      <w:proofErr w:type="spellEnd"/>
      <w:r w:rsidR="000E783C">
        <w:t xml:space="preserve">, DMAP and pyridine. </w:t>
      </w:r>
      <w:r w:rsidR="00A36290">
        <w:t>This</w:t>
      </w:r>
      <w:r w:rsidR="000E783C">
        <w:t xml:space="preserve"> was then used</w:t>
      </w:r>
      <w:r w:rsidR="00A36290">
        <w:t>,</w:t>
      </w:r>
      <w:r w:rsidR="000E783C">
        <w:t xml:space="preserve"> without purification</w:t>
      </w:r>
      <w:r w:rsidR="00A36290">
        <w:t>,</w:t>
      </w:r>
      <w:r w:rsidR="000E783C">
        <w:t xml:space="preserve"> </w:t>
      </w:r>
      <w:r w:rsidR="00A36290">
        <w:t xml:space="preserve">in </w:t>
      </w:r>
      <w:r w:rsidR="000E783C">
        <w:t>a</w:t>
      </w:r>
      <w:r w:rsidR="00B44C73">
        <w:t xml:space="preserve"> Tsuji–</w:t>
      </w:r>
      <w:proofErr w:type="spellStart"/>
      <w:r w:rsidR="000E783C">
        <w:t>Trost</w:t>
      </w:r>
      <w:proofErr w:type="spellEnd"/>
      <w:r w:rsidR="000E783C">
        <w:t xml:space="preserve"> </w:t>
      </w:r>
      <w:r w:rsidR="00B44C73">
        <w:t xml:space="preserve">type allylation </w:t>
      </w:r>
      <w:r w:rsidR="000E783C">
        <w:t xml:space="preserve">reaction; </w:t>
      </w:r>
      <w:r w:rsidR="00B44C73">
        <w:t>the</w:t>
      </w:r>
      <w:r w:rsidR="000E783C">
        <w:t xml:space="preserve"> treatment</w:t>
      </w:r>
      <w:r w:rsidR="00B44C73">
        <w:t xml:space="preserve"> of carbonate </w:t>
      </w:r>
      <w:r w:rsidR="00B44C73">
        <w:rPr>
          <w:b/>
        </w:rPr>
        <w:t>2</w:t>
      </w:r>
      <w:r w:rsidR="00535ED5">
        <w:rPr>
          <w:b/>
        </w:rPr>
        <w:t>3</w:t>
      </w:r>
      <w:r w:rsidR="000E783C">
        <w:t xml:space="preserve"> with </w:t>
      </w:r>
      <w:proofErr w:type="spellStart"/>
      <w:proofErr w:type="gramStart"/>
      <w:r w:rsidR="00B44C73">
        <w:t>Pd</w:t>
      </w:r>
      <w:proofErr w:type="spellEnd"/>
      <w:r w:rsidR="00B44C73">
        <w:t>(</w:t>
      </w:r>
      <w:proofErr w:type="gramEnd"/>
      <w:r w:rsidR="00A36290">
        <w:t>P</w:t>
      </w:r>
      <w:r w:rsidR="00B44C73">
        <w:t>Ph</w:t>
      </w:r>
      <w:r w:rsidR="00B44C73" w:rsidRPr="00B44C73">
        <w:rPr>
          <w:vertAlign w:val="subscript"/>
        </w:rPr>
        <w:t>3</w:t>
      </w:r>
      <w:r w:rsidR="00B44C73">
        <w:t>)</w:t>
      </w:r>
      <w:r w:rsidR="00B44C73" w:rsidRPr="00B44C73">
        <w:rPr>
          <w:vertAlign w:val="subscript"/>
        </w:rPr>
        <w:t>4</w:t>
      </w:r>
      <w:r w:rsidR="000E783C">
        <w:t xml:space="preserve"> and </w:t>
      </w:r>
      <w:proofErr w:type="spellStart"/>
      <w:r w:rsidR="000E783C" w:rsidRPr="00B44C73">
        <w:rPr>
          <w:i/>
        </w:rPr>
        <w:t>tert</w:t>
      </w:r>
      <w:proofErr w:type="spellEnd"/>
      <w:r w:rsidR="000E783C">
        <w:t>-butyl 3-oxobutanoate at 50 °C in THF</w:t>
      </w:r>
      <w:r w:rsidR="00B44C73">
        <w:t>,</w:t>
      </w:r>
      <w:r w:rsidR="000E783C">
        <w:t xml:space="preserve"> afforded </w:t>
      </w:r>
      <w:r w:rsidR="000E783C">
        <w:sym w:font="Symbol" w:char="F062"/>
      </w:r>
      <w:r w:rsidR="000E783C">
        <w:t>-</w:t>
      </w:r>
      <w:proofErr w:type="spellStart"/>
      <w:r w:rsidR="000E783C">
        <w:t>ketoester</w:t>
      </w:r>
      <w:proofErr w:type="spellEnd"/>
      <w:r w:rsidR="000E783C">
        <w:t xml:space="preserve"> </w:t>
      </w:r>
      <w:r w:rsidR="000E783C">
        <w:rPr>
          <w:b/>
        </w:rPr>
        <w:t>2</w:t>
      </w:r>
      <w:r w:rsidR="00535ED5">
        <w:rPr>
          <w:b/>
        </w:rPr>
        <w:t>4</w:t>
      </w:r>
      <w:r w:rsidR="000E783C">
        <w:t xml:space="preserve"> in an excell</w:t>
      </w:r>
      <w:r w:rsidR="00B44C73">
        <w:t>ent 92% yield over two step</w:t>
      </w:r>
      <w:r w:rsidR="00A36290">
        <w:t>s</w:t>
      </w:r>
      <w:r w:rsidR="000E783C">
        <w:t>. Silyl cleavage with TBAF was straightforward</w:t>
      </w:r>
      <w:r w:rsidR="00B44C73">
        <w:t>,</w:t>
      </w:r>
      <w:r w:rsidR="000E783C">
        <w:t xml:space="preserve"> furnish</w:t>
      </w:r>
      <w:r w:rsidR="00B44C73">
        <w:t>ing</w:t>
      </w:r>
      <w:r w:rsidR="000E783C">
        <w:t xml:space="preserve"> alcohol </w:t>
      </w:r>
      <w:r w:rsidR="00D417C8">
        <w:rPr>
          <w:b/>
        </w:rPr>
        <w:t>2</w:t>
      </w:r>
      <w:r w:rsidR="00535ED5">
        <w:rPr>
          <w:b/>
        </w:rPr>
        <w:t>5</w:t>
      </w:r>
      <w:r w:rsidR="000E783C">
        <w:t xml:space="preserve">, which was then </w:t>
      </w:r>
      <w:r w:rsidR="00D417C8">
        <w:t xml:space="preserve">converted into diene </w:t>
      </w:r>
      <w:r w:rsidR="00D417C8">
        <w:rPr>
          <w:b/>
        </w:rPr>
        <w:t>2</w:t>
      </w:r>
      <w:r w:rsidR="00535ED5">
        <w:rPr>
          <w:b/>
        </w:rPr>
        <w:t>7</w:t>
      </w:r>
      <w:r w:rsidR="00D417C8">
        <w:rPr>
          <w:b/>
        </w:rPr>
        <w:t xml:space="preserve"> </w:t>
      </w:r>
      <w:r w:rsidR="00D417C8">
        <w:t>via a telescoped</w:t>
      </w:r>
      <w:r w:rsidR="000E783C">
        <w:t xml:space="preserve"> </w:t>
      </w:r>
      <w:proofErr w:type="spellStart"/>
      <w:r w:rsidR="000E783C">
        <w:t>Dess</w:t>
      </w:r>
      <w:proofErr w:type="spellEnd"/>
      <w:r w:rsidR="000E783C">
        <w:t xml:space="preserve">–Martin </w:t>
      </w:r>
      <w:proofErr w:type="spellStart"/>
      <w:r w:rsidR="000E783C">
        <w:t>periodinane</w:t>
      </w:r>
      <w:proofErr w:type="spellEnd"/>
      <w:r w:rsidR="000E783C">
        <w:t xml:space="preserve"> </w:t>
      </w:r>
      <w:r w:rsidR="00D417C8">
        <w:t xml:space="preserve">oxidation and </w:t>
      </w:r>
      <w:r w:rsidR="000E783C">
        <w:t xml:space="preserve">Wittig </w:t>
      </w:r>
      <w:r w:rsidR="00D417C8">
        <w:t xml:space="preserve">olefination </w:t>
      </w:r>
      <w:r w:rsidR="00D417C8">
        <w:lastRenderedPageBreak/>
        <w:t>sequence</w:t>
      </w:r>
      <w:r w:rsidR="000E783C">
        <w:t>.</w:t>
      </w:r>
      <w:r w:rsidR="00FE55A7" w:rsidRPr="00FE55A7">
        <w:rPr>
          <w:vertAlign w:val="superscript"/>
        </w:rPr>
        <w:t>1</w:t>
      </w:r>
      <w:r w:rsidR="009C41AA">
        <w:rPr>
          <w:vertAlign w:val="superscript"/>
        </w:rPr>
        <w:t>5</w:t>
      </w:r>
      <w:r w:rsidR="00D417C8">
        <w:t xml:space="preserve"> </w:t>
      </w:r>
      <w:proofErr w:type="gramStart"/>
      <w:r w:rsidR="00D417C8">
        <w:t>The</w:t>
      </w:r>
      <w:proofErr w:type="gramEnd"/>
      <w:r w:rsidR="00D417C8">
        <w:t xml:space="preserve"> key Cope rearrangement was then performed by heating diene </w:t>
      </w:r>
      <w:r w:rsidR="00D417C8">
        <w:rPr>
          <w:b/>
        </w:rPr>
        <w:t>2</w:t>
      </w:r>
      <w:r w:rsidR="00535ED5">
        <w:rPr>
          <w:b/>
        </w:rPr>
        <w:t>7</w:t>
      </w:r>
      <w:r w:rsidR="000E783C">
        <w:t xml:space="preserve"> </w:t>
      </w:r>
      <w:r w:rsidR="00D417C8">
        <w:t>to 100 °C in toluene f</w:t>
      </w:r>
      <w:r w:rsidR="00086A57">
        <w:t>or 16 h, furnishing cycloheptad</w:t>
      </w:r>
      <w:r w:rsidR="00D417C8">
        <w:t xml:space="preserve">iene </w:t>
      </w:r>
      <w:r w:rsidR="00D417C8">
        <w:rPr>
          <w:b/>
        </w:rPr>
        <w:t>2</w:t>
      </w:r>
      <w:r w:rsidR="00535ED5">
        <w:rPr>
          <w:b/>
        </w:rPr>
        <w:t>8</w:t>
      </w:r>
      <w:r w:rsidR="002F46D7">
        <w:t>. This intermediate</w:t>
      </w:r>
      <w:r w:rsidR="00D417C8">
        <w:t xml:space="preserve"> was then treated with TFA in refluxing DCM</w:t>
      </w:r>
      <w:r w:rsidR="002F46D7">
        <w:t>,</w:t>
      </w:r>
      <w:r w:rsidR="00D417C8">
        <w:t xml:space="preserve"> to effect ester hydrolysis and decarboxylation, </w:t>
      </w:r>
      <w:r w:rsidR="00A718EA">
        <w:t>furnishing</w:t>
      </w:r>
      <w:r w:rsidR="00D417C8">
        <w:t xml:space="preserve"> </w:t>
      </w:r>
      <w:r w:rsidR="00B44B71">
        <w:t xml:space="preserve">the </w:t>
      </w:r>
      <w:r w:rsidR="00D417C8">
        <w:t xml:space="preserve">methyl ketone containing intermediate </w:t>
      </w:r>
      <w:r w:rsidR="00D417C8" w:rsidRPr="00D417C8">
        <w:rPr>
          <w:b/>
        </w:rPr>
        <w:t>2</w:t>
      </w:r>
      <w:r w:rsidR="00535ED5">
        <w:rPr>
          <w:b/>
        </w:rPr>
        <w:t>9</w:t>
      </w:r>
      <w:r w:rsidR="00D417C8" w:rsidRPr="00504263">
        <w:t>.</w:t>
      </w:r>
      <w:r w:rsidR="00FC4F90" w:rsidRPr="00FC4F90">
        <w:rPr>
          <w:vertAlign w:val="superscript"/>
        </w:rPr>
        <w:t>1</w:t>
      </w:r>
      <w:r w:rsidR="009C41AA">
        <w:rPr>
          <w:vertAlign w:val="superscript"/>
        </w:rPr>
        <w:t>6</w:t>
      </w:r>
      <w:r w:rsidR="00D417C8">
        <w:t xml:space="preserve"> </w:t>
      </w:r>
      <w:proofErr w:type="gramStart"/>
      <w:r w:rsidR="007D6A3A">
        <w:t>Finally</w:t>
      </w:r>
      <w:proofErr w:type="gramEnd"/>
      <w:r w:rsidR="007D6A3A">
        <w:t xml:space="preserve">, </w:t>
      </w:r>
      <w:r w:rsidR="00410571">
        <w:t xml:space="preserve">base-mediated </w:t>
      </w:r>
      <w:r w:rsidR="007D6A3A">
        <w:t>alkene isomerisation with DBU in THF at 60 °C</w:t>
      </w:r>
      <w:r w:rsidR="00B44B71">
        <w:t xml:space="preserve"> afford</w:t>
      </w:r>
      <w:r w:rsidR="00A702C7">
        <w:t>ed</w:t>
      </w:r>
      <w:r w:rsidR="00B44B71">
        <w:t xml:space="preserve"> compound </w:t>
      </w:r>
      <w:r w:rsidR="00535ED5">
        <w:rPr>
          <w:b/>
        </w:rPr>
        <w:t>30</w:t>
      </w:r>
      <w:r w:rsidR="00B44B71">
        <w:rPr>
          <w:b/>
        </w:rPr>
        <w:t xml:space="preserve"> </w:t>
      </w:r>
      <w:r w:rsidR="00B44B71">
        <w:t>in high yield</w:t>
      </w:r>
      <w:r w:rsidR="00C95B64">
        <w:t xml:space="preserve"> (Scheme 3).</w:t>
      </w:r>
    </w:p>
    <w:p w:rsidR="007D6A3A" w:rsidRPr="000E783C" w:rsidRDefault="007D6A3A" w:rsidP="008E1533">
      <w:pPr>
        <w:sectPr w:rsidR="007D6A3A" w:rsidRPr="000E783C" w:rsidSect="00727376">
          <w:type w:val="continuous"/>
          <w:pgSz w:w="11906" w:h="16838" w:code="9"/>
          <w:pgMar w:top="1418" w:right="992" w:bottom="1134" w:left="992" w:header="709" w:footer="709" w:gutter="0"/>
          <w:cols w:num="2" w:space="720"/>
          <w:docGrid w:linePitch="360"/>
        </w:sectPr>
      </w:pPr>
    </w:p>
    <w:p w:rsidR="008E1533" w:rsidRDefault="00C95B64" w:rsidP="008E1533">
      <w:pPr>
        <w:pStyle w:val="SchemeImage"/>
      </w:pPr>
      <w:r>
        <w:object w:dxaOrig="12031" w:dyaOrig="6036">
          <v:shape id="_x0000_i1029" type="#_x0000_t75" style="width:495.75pt;height:249pt" o:ole="">
            <v:imagedata r:id="rId17" o:title=""/>
          </v:shape>
          <o:OLEObject Type="Embed" ProgID="ChemDraw.Document.6.0" ShapeID="_x0000_i1029" DrawAspect="Content" ObjectID="_1514282589" r:id="rId18"/>
        </w:object>
      </w:r>
    </w:p>
    <w:p w:rsidR="008E1533" w:rsidRPr="009D5093" w:rsidRDefault="008E1533" w:rsidP="008E1533">
      <w:pPr>
        <w:pStyle w:val="SchemeCaption"/>
        <w:sectPr w:rsidR="008E1533" w:rsidRPr="009D5093" w:rsidSect="008E1533">
          <w:type w:val="continuous"/>
          <w:pgSz w:w="11906" w:h="16838" w:code="9"/>
          <w:pgMar w:top="1418" w:right="992" w:bottom="1134" w:left="992" w:header="709" w:footer="709" w:gutter="0"/>
          <w:cols w:space="720"/>
          <w:docGrid w:linePitch="360"/>
        </w:sectPr>
      </w:pPr>
      <w:r>
        <w:rPr>
          <w:b/>
        </w:rPr>
        <w:t>Scheme 3</w:t>
      </w:r>
      <w:r>
        <w:t xml:space="preserve"> </w:t>
      </w:r>
      <w:r w:rsidR="00177402">
        <w:t xml:space="preserve">The synthesis of cycloheptadiene </w:t>
      </w:r>
      <w:r w:rsidR="000A55D3">
        <w:rPr>
          <w:b/>
        </w:rPr>
        <w:t>30</w:t>
      </w:r>
      <w:r w:rsidR="009D5093">
        <w:t>.</w:t>
      </w:r>
    </w:p>
    <w:p w:rsidR="000A7AA1" w:rsidRDefault="00012932" w:rsidP="005B6C1D">
      <w:r>
        <w:lastRenderedPageBreak/>
        <w:t>Next, i</w:t>
      </w:r>
      <w:r w:rsidR="003F4BB0">
        <w:t xml:space="preserve">t was hoped to </w:t>
      </w:r>
      <w:r w:rsidR="00A36290">
        <w:t>install</w:t>
      </w:r>
      <w:r w:rsidR="002F4F41">
        <w:t xml:space="preserve"> the </w:t>
      </w:r>
      <w:proofErr w:type="spellStart"/>
      <w:r w:rsidR="002F4F41">
        <w:t>cyclopentane</w:t>
      </w:r>
      <w:proofErr w:type="spellEnd"/>
      <w:r w:rsidR="002F4F41">
        <w:t xml:space="preserve"> ring via </w:t>
      </w:r>
      <w:r>
        <w:t xml:space="preserve">a </w:t>
      </w:r>
      <w:r w:rsidR="002F4F41">
        <w:t xml:space="preserve">samarium </w:t>
      </w:r>
      <w:proofErr w:type="spellStart"/>
      <w:r w:rsidR="002F4F41">
        <w:t>diiodid</w:t>
      </w:r>
      <w:r w:rsidR="003F63D5">
        <w:t>e</w:t>
      </w:r>
      <w:proofErr w:type="spellEnd"/>
      <w:r w:rsidR="003F63D5">
        <w:t xml:space="preserve"> mediated cyclisation</w:t>
      </w:r>
      <w:r w:rsidR="009140E6">
        <w:t xml:space="preserve"> (</w:t>
      </w:r>
      <w:r w:rsidR="009140E6">
        <w:rPr>
          <w:i/>
        </w:rPr>
        <w:t xml:space="preserve">e.g. </w:t>
      </w:r>
      <w:r w:rsidR="002C12C4">
        <w:rPr>
          <w:b/>
        </w:rPr>
        <w:t>30</w:t>
      </w:r>
      <w:r w:rsidR="009140E6">
        <w:rPr>
          <w:b/>
        </w:rPr>
        <w:t xml:space="preserve"> </w:t>
      </w:r>
      <w:r w:rsidR="009140E6">
        <w:rPr>
          <w:rFonts w:ascii="Arial" w:hAnsi="Arial" w:cs="Arial"/>
          <w:b/>
        </w:rPr>
        <w:t>→</w:t>
      </w:r>
      <w:r w:rsidR="009140E6">
        <w:rPr>
          <w:b/>
        </w:rPr>
        <w:t xml:space="preserve"> 3</w:t>
      </w:r>
      <w:r w:rsidR="002C12C4">
        <w:rPr>
          <w:b/>
        </w:rPr>
        <w:t>1</w:t>
      </w:r>
      <w:r w:rsidR="009140E6">
        <w:t>)</w:t>
      </w:r>
      <w:r w:rsidR="003F63D5">
        <w:t>, before completing the synthesis via ester reduction and Simmons–Smith cyclopropanation</w:t>
      </w:r>
      <w:r w:rsidR="000A7AA1">
        <w:t xml:space="preserve"> (</w:t>
      </w:r>
      <w:r w:rsidR="009140E6">
        <w:rPr>
          <w:b/>
        </w:rPr>
        <w:t>3</w:t>
      </w:r>
      <w:r w:rsidR="002C12C4">
        <w:rPr>
          <w:b/>
        </w:rPr>
        <w:t>1</w:t>
      </w:r>
      <w:r w:rsidR="009140E6">
        <w:rPr>
          <w:b/>
        </w:rPr>
        <w:t xml:space="preserve"> </w:t>
      </w:r>
      <w:r w:rsidR="009140E6">
        <w:rPr>
          <w:rFonts w:ascii="Arial" w:hAnsi="Arial" w:cs="Arial"/>
          <w:b/>
        </w:rPr>
        <w:t>→</w:t>
      </w:r>
      <w:r w:rsidR="009140E6">
        <w:rPr>
          <w:b/>
        </w:rPr>
        <w:t xml:space="preserve"> </w:t>
      </w:r>
      <w:r w:rsidR="009140E6" w:rsidRPr="009140E6">
        <w:rPr>
          <w:b/>
        </w:rPr>
        <w:t>1</w:t>
      </w:r>
      <w:r w:rsidR="009140E6">
        <w:t xml:space="preserve">, </w:t>
      </w:r>
      <w:r w:rsidR="000A7AA1" w:rsidRPr="009140E6">
        <w:t>Scheme</w:t>
      </w:r>
      <w:r w:rsidR="000A7AA1">
        <w:t xml:space="preserve"> 4)</w:t>
      </w:r>
      <w:r w:rsidR="003F63D5">
        <w:t>.</w:t>
      </w:r>
      <w:r w:rsidR="00001FB1">
        <w:t xml:space="preserve"> Samarium </w:t>
      </w:r>
      <w:proofErr w:type="spellStart"/>
      <w:r w:rsidR="00001FB1">
        <w:t>diiodide</w:t>
      </w:r>
      <w:proofErr w:type="spellEnd"/>
      <w:r w:rsidR="00001FB1">
        <w:t xml:space="preserve"> mediated ketone-olefin coupling reactions are reasonably well established in the literature</w:t>
      </w:r>
      <w:r w:rsidR="00001FB1" w:rsidRPr="00FE2EFE">
        <w:rPr>
          <w:vertAlign w:val="superscript"/>
        </w:rPr>
        <w:t>1</w:t>
      </w:r>
      <w:r w:rsidR="009C41AA">
        <w:rPr>
          <w:vertAlign w:val="superscript"/>
        </w:rPr>
        <w:t>7</w:t>
      </w:r>
      <w:proofErr w:type="gramStart"/>
      <w:r w:rsidR="00001FB1" w:rsidRPr="00A36290">
        <w:rPr>
          <w:vertAlign w:val="superscript"/>
        </w:rPr>
        <w:t>,</w:t>
      </w:r>
      <w:r w:rsidR="00001FB1" w:rsidRPr="000C07A0">
        <w:rPr>
          <w:vertAlign w:val="superscript"/>
        </w:rPr>
        <w:t>1</w:t>
      </w:r>
      <w:r w:rsidR="009C41AA">
        <w:rPr>
          <w:vertAlign w:val="superscript"/>
        </w:rPr>
        <w:t>8</w:t>
      </w:r>
      <w:proofErr w:type="gramEnd"/>
      <w:r w:rsidR="00001FB1">
        <w:rPr>
          <w:vertAlign w:val="superscript"/>
        </w:rPr>
        <w:t xml:space="preserve"> </w:t>
      </w:r>
      <w:r w:rsidR="00001FB1">
        <w:t>and based on this precedent, methyl ketone substrate</w:t>
      </w:r>
      <w:r w:rsidR="009140E6">
        <w:t>s</w:t>
      </w:r>
      <w:r w:rsidR="00001FB1">
        <w:t xml:space="preserve"> </w:t>
      </w:r>
      <w:r w:rsidR="002C12C4">
        <w:rPr>
          <w:b/>
        </w:rPr>
        <w:t>30</w:t>
      </w:r>
      <w:r w:rsidR="00001FB1">
        <w:rPr>
          <w:b/>
        </w:rPr>
        <w:t xml:space="preserve"> </w:t>
      </w:r>
      <w:r w:rsidR="007346EC" w:rsidRPr="007346EC">
        <w:t>and</w:t>
      </w:r>
      <w:r w:rsidR="007346EC">
        <w:rPr>
          <w:b/>
        </w:rPr>
        <w:t xml:space="preserve"> </w:t>
      </w:r>
      <w:r w:rsidR="002C12C4">
        <w:rPr>
          <w:b/>
        </w:rPr>
        <w:t>29</w:t>
      </w:r>
      <w:r w:rsidR="007346EC">
        <w:rPr>
          <w:b/>
        </w:rPr>
        <w:t xml:space="preserve"> </w:t>
      </w:r>
      <w:r w:rsidR="007346EC">
        <w:t xml:space="preserve">(not shown) </w:t>
      </w:r>
      <w:r w:rsidR="00001FB1">
        <w:t>were each treated with three equivalents of samarium diiodide</w:t>
      </w:r>
      <w:r w:rsidR="008332F7" w:rsidRPr="008332F7">
        <w:rPr>
          <w:vertAlign w:val="superscript"/>
        </w:rPr>
        <w:t>1</w:t>
      </w:r>
      <w:r w:rsidR="009C41AA">
        <w:rPr>
          <w:vertAlign w:val="superscript"/>
        </w:rPr>
        <w:t>8</w:t>
      </w:r>
      <w:r w:rsidR="00001FB1">
        <w:t xml:space="preserve"> in </w:t>
      </w:r>
      <w:proofErr w:type="spellStart"/>
      <w:r w:rsidR="00001FB1">
        <w:rPr>
          <w:i/>
        </w:rPr>
        <w:t>tert</w:t>
      </w:r>
      <w:proofErr w:type="spellEnd"/>
      <w:r w:rsidR="00001FB1">
        <w:t xml:space="preserve">-butanol as </w:t>
      </w:r>
      <w:r w:rsidR="002F46D7">
        <w:t xml:space="preserve">the </w:t>
      </w:r>
      <w:r w:rsidR="00001FB1">
        <w:t>solvent</w:t>
      </w:r>
      <w:r w:rsidR="002F46D7">
        <w:t>,</w:t>
      </w:r>
      <w:r w:rsidR="00001FB1">
        <w:t xml:space="preserve"> at RT for 18 h.</w:t>
      </w:r>
      <w:r w:rsidR="00001FB1" w:rsidRPr="003A65C6">
        <w:rPr>
          <w:vertAlign w:val="superscript"/>
        </w:rPr>
        <w:t>1</w:t>
      </w:r>
      <w:r w:rsidR="009C41AA">
        <w:rPr>
          <w:vertAlign w:val="superscript"/>
        </w:rPr>
        <w:t>7</w:t>
      </w:r>
      <w:r w:rsidR="00001FB1">
        <w:rPr>
          <w:vertAlign w:val="superscript"/>
        </w:rPr>
        <w:t xml:space="preserve"> </w:t>
      </w:r>
      <w:r w:rsidR="00001FB1">
        <w:t>Unfortunately, in both cases, no reaction took place and the starting materials were recovered cleanly. The addition of a solution of HMPA in THF is known to increase the reactivity of samarium diiodide</w:t>
      </w:r>
      <w:r w:rsidR="00001FB1" w:rsidRPr="006131D3">
        <w:rPr>
          <w:vertAlign w:val="superscript"/>
        </w:rPr>
        <w:t>1</w:t>
      </w:r>
      <w:r w:rsidR="009C41AA">
        <w:rPr>
          <w:vertAlign w:val="superscript"/>
        </w:rPr>
        <w:t>7</w:t>
      </w:r>
      <w:r w:rsidR="00001FB1">
        <w:rPr>
          <w:vertAlign w:val="superscript"/>
        </w:rPr>
        <w:t xml:space="preserve"> </w:t>
      </w:r>
      <w:r w:rsidR="00001FB1">
        <w:t xml:space="preserve">in related systems, however, its inclusion as an additive in each of the above reactions (both were performed at </w:t>
      </w:r>
      <w:r w:rsidR="00001FB1">
        <w:rPr>
          <w:rFonts w:ascii="Arial" w:hAnsi="Arial" w:cs="Arial"/>
        </w:rPr>
        <w:t>−</w:t>
      </w:r>
      <w:r w:rsidR="00001FB1">
        <w:t xml:space="preserve">78 °C and 0 °C for 10 min) led to the formation of complex product mixtures, from which none of the desired </w:t>
      </w:r>
      <w:proofErr w:type="spellStart"/>
      <w:r w:rsidR="00001FB1">
        <w:t>cyclopentyl</w:t>
      </w:r>
      <w:proofErr w:type="spellEnd"/>
      <w:r w:rsidR="00001FB1">
        <w:t xml:space="preserve"> product (</w:t>
      </w:r>
      <w:r w:rsidR="00001FB1">
        <w:rPr>
          <w:i/>
        </w:rPr>
        <w:t xml:space="preserve">e.g. </w:t>
      </w:r>
      <w:r w:rsidR="00001FB1">
        <w:rPr>
          <w:b/>
        </w:rPr>
        <w:t>3</w:t>
      </w:r>
      <w:r w:rsidR="002C12C4">
        <w:rPr>
          <w:b/>
        </w:rPr>
        <w:t>1</w:t>
      </w:r>
      <w:r w:rsidR="00001FB1">
        <w:t>) could be isolated.</w:t>
      </w:r>
      <w:r w:rsidR="003F63D5">
        <w:t xml:space="preserve"> </w:t>
      </w:r>
    </w:p>
    <w:p w:rsidR="000A7AA1" w:rsidRDefault="00C95B64" w:rsidP="000A7AA1">
      <w:pPr>
        <w:pStyle w:val="SchemeImage"/>
      </w:pPr>
      <w:r>
        <w:object w:dxaOrig="5750" w:dyaOrig="4022">
          <v:shape id="_x0000_i1030" type="#_x0000_t75" style="width:231.75pt;height:161.25pt" o:ole="">
            <v:imagedata r:id="rId19" o:title=""/>
          </v:shape>
          <o:OLEObject Type="Embed" ProgID="ChemDraw.Document.6.0" ShapeID="_x0000_i1030" DrawAspect="Content" ObjectID="_1514282590" r:id="rId20"/>
        </w:object>
      </w:r>
    </w:p>
    <w:p w:rsidR="00026469" w:rsidRDefault="000A7AA1" w:rsidP="00001FB1">
      <w:pPr>
        <w:pStyle w:val="SchemeCaption"/>
      </w:pPr>
      <w:r>
        <w:rPr>
          <w:b/>
        </w:rPr>
        <w:t>Scheme 4</w:t>
      </w:r>
      <w:r>
        <w:t xml:space="preserve"> Planned </w:t>
      </w:r>
      <w:r w:rsidR="00FE2EFE">
        <w:t>synthesis of pyxidatol C from advanced intermediate</w:t>
      </w:r>
      <w:r w:rsidR="000A55D3">
        <w:t>s</w:t>
      </w:r>
      <w:r w:rsidR="00FE2EFE">
        <w:t xml:space="preserve"> </w:t>
      </w:r>
      <w:r w:rsidR="000A55D3">
        <w:rPr>
          <w:b/>
        </w:rPr>
        <w:t xml:space="preserve">30 </w:t>
      </w:r>
      <w:r w:rsidR="000A55D3">
        <w:t xml:space="preserve">and </w:t>
      </w:r>
      <w:r w:rsidR="000A55D3">
        <w:rPr>
          <w:b/>
        </w:rPr>
        <w:t>32</w:t>
      </w:r>
      <w:r>
        <w:t>.</w:t>
      </w:r>
    </w:p>
    <w:p w:rsidR="006131D3" w:rsidRDefault="008332F7" w:rsidP="005B6C1D">
      <w:r>
        <w:t xml:space="preserve">In summary, </w:t>
      </w:r>
      <w:r w:rsidR="00720A12">
        <w:t>progress to date</w:t>
      </w:r>
      <w:r w:rsidR="00933241">
        <w:t xml:space="preserve"> towards the synthesis of pyxidatol C</w:t>
      </w:r>
      <w:r w:rsidR="0024223D">
        <w:t xml:space="preserve"> is described, culminating in</w:t>
      </w:r>
      <w:r w:rsidR="009140E6">
        <w:t xml:space="preserve"> the synthesis of </w:t>
      </w:r>
      <w:r>
        <w:t>advanced</w:t>
      </w:r>
      <w:r w:rsidR="009140E6">
        <w:t xml:space="preserve"> synthetic building block </w:t>
      </w:r>
      <w:r w:rsidR="002C12C4">
        <w:rPr>
          <w:b/>
        </w:rPr>
        <w:t>30</w:t>
      </w:r>
      <w:r w:rsidR="00720A12">
        <w:t xml:space="preserve">. </w:t>
      </w:r>
      <w:r>
        <w:t>T</w:t>
      </w:r>
      <w:r w:rsidR="00235C2A">
        <w:t xml:space="preserve">he utility of our Cope rearrangement methodology to generate complex </w:t>
      </w:r>
      <w:r w:rsidR="00235C2A" w:rsidRPr="00235C2A">
        <w:t>gem-d</w:t>
      </w:r>
      <w:r w:rsidR="00086A57">
        <w:t xml:space="preserve">imethyl substituted </w:t>
      </w:r>
      <w:proofErr w:type="spellStart"/>
      <w:r w:rsidR="00086A57">
        <w:t>cycloheptad</w:t>
      </w:r>
      <w:r w:rsidR="00235C2A" w:rsidRPr="00235C2A">
        <w:t>ienes</w:t>
      </w:r>
      <w:proofErr w:type="spellEnd"/>
      <w:r w:rsidR="00235C2A">
        <w:t xml:space="preserve"> has been </w:t>
      </w:r>
      <w:r w:rsidR="00F824DB">
        <w:t xml:space="preserve">well </w:t>
      </w:r>
      <w:r w:rsidR="00235C2A">
        <w:t xml:space="preserve">demonstrated, </w:t>
      </w:r>
      <w:r w:rsidR="009140E6">
        <w:t>and a</w:t>
      </w:r>
      <w:r w:rsidR="00235C2A">
        <w:t xml:space="preserve"> viable strategy for cyclopropyl installation on related compound </w:t>
      </w:r>
      <w:r w:rsidR="00235C2A">
        <w:rPr>
          <w:b/>
        </w:rPr>
        <w:t>1</w:t>
      </w:r>
      <w:r w:rsidR="002C12C4">
        <w:rPr>
          <w:b/>
        </w:rPr>
        <w:t>9</w:t>
      </w:r>
      <w:r w:rsidR="00235C2A">
        <w:t xml:space="preserve"> has </w:t>
      </w:r>
      <w:r w:rsidR="00235C2A">
        <w:lastRenderedPageBreak/>
        <w:t xml:space="preserve">also been </w:t>
      </w:r>
      <w:r w:rsidR="00F824DB">
        <w:t>developed</w:t>
      </w:r>
      <w:r w:rsidR="00235C2A">
        <w:t>.</w:t>
      </w:r>
      <w:r w:rsidR="00F824DB">
        <w:t xml:space="preserve"> </w:t>
      </w:r>
      <w:r w:rsidR="008B0077">
        <w:t xml:space="preserve">In order to complete the synthesis, we envisage </w:t>
      </w:r>
      <w:r w:rsidR="006B554B">
        <w:t xml:space="preserve">a </w:t>
      </w:r>
      <w:r>
        <w:t xml:space="preserve">modified </w:t>
      </w:r>
      <w:r w:rsidR="008B0077">
        <w:t xml:space="preserve">synthetic strategy in which the </w:t>
      </w:r>
      <w:proofErr w:type="spellStart"/>
      <w:r w:rsidR="008B0077">
        <w:t>cyclopentyl</w:t>
      </w:r>
      <w:proofErr w:type="spellEnd"/>
      <w:r w:rsidR="008B0077">
        <w:t xml:space="preserve"> ring is assembled prior to the Cope reaction</w:t>
      </w:r>
      <w:r w:rsidR="006B554B">
        <w:t>, thus avoiding the problematic reductive ring closure (</w:t>
      </w:r>
      <w:r w:rsidR="00B90C09">
        <w:t xml:space="preserve">see </w:t>
      </w:r>
      <w:r w:rsidR="009140E6">
        <w:rPr>
          <w:b/>
        </w:rPr>
        <w:t>3</w:t>
      </w:r>
      <w:r w:rsidR="002C12C4">
        <w:rPr>
          <w:b/>
        </w:rPr>
        <w:t>2</w:t>
      </w:r>
      <w:r w:rsidR="009140E6">
        <w:rPr>
          <w:b/>
        </w:rPr>
        <w:t xml:space="preserve"> </w:t>
      </w:r>
      <w:r w:rsidR="009140E6">
        <w:rPr>
          <w:rFonts w:ascii="Arial" w:hAnsi="Arial" w:cs="Arial"/>
          <w:b/>
        </w:rPr>
        <w:t>→</w:t>
      </w:r>
      <w:r w:rsidR="009140E6">
        <w:rPr>
          <w:b/>
        </w:rPr>
        <w:t xml:space="preserve"> 3</w:t>
      </w:r>
      <w:r w:rsidR="002C12C4">
        <w:rPr>
          <w:b/>
        </w:rPr>
        <w:t>3</w:t>
      </w:r>
      <w:r w:rsidR="009140E6">
        <w:t>, Scheme 4</w:t>
      </w:r>
      <w:r w:rsidR="006B554B">
        <w:t xml:space="preserve">). </w:t>
      </w:r>
      <w:r w:rsidR="00933241">
        <w:t>For example, t</w:t>
      </w:r>
      <w:r w:rsidR="006B554B">
        <w:t xml:space="preserve">reating </w:t>
      </w:r>
      <w:r w:rsidR="00933241">
        <w:t xml:space="preserve">a </w:t>
      </w:r>
      <w:proofErr w:type="spellStart"/>
      <w:r w:rsidR="00933241">
        <w:t>cyclopentenone</w:t>
      </w:r>
      <w:proofErr w:type="spellEnd"/>
      <w:r w:rsidR="00933241">
        <w:t xml:space="preserve">-containing </w:t>
      </w:r>
      <w:r w:rsidR="006B554B">
        <w:t xml:space="preserve">divinylcyclopropane </w:t>
      </w:r>
      <w:r w:rsidR="00933241">
        <w:t>(</w:t>
      </w:r>
      <w:r w:rsidR="00933241">
        <w:rPr>
          <w:i/>
        </w:rPr>
        <w:t xml:space="preserve">e.g. </w:t>
      </w:r>
      <w:r w:rsidR="006B554B">
        <w:rPr>
          <w:b/>
        </w:rPr>
        <w:t>3</w:t>
      </w:r>
      <w:r w:rsidR="002C12C4">
        <w:rPr>
          <w:b/>
        </w:rPr>
        <w:t>2</w:t>
      </w:r>
      <w:r w:rsidR="00933241" w:rsidRPr="00933241">
        <w:t>)</w:t>
      </w:r>
      <w:r w:rsidR="006B554B" w:rsidRPr="006B554B">
        <w:rPr>
          <w:vertAlign w:val="superscript"/>
        </w:rPr>
        <w:t>1</w:t>
      </w:r>
      <w:r w:rsidR="00A94E72">
        <w:rPr>
          <w:vertAlign w:val="superscript"/>
        </w:rPr>
        <w:t>9</w:t>
      </w:r>
      <w:r w:rsidR="006B554B">
        <w:rPr>
          <w:b/>
        </w:rPr>
        <w:t xml:space="preserve"> </w:t>
      </w:r>
      <w:r w:rsidR="006B554B">
        <w:t xml:space="preserve">under our standard Cope rearrangement conditions is expected to furnish </w:t>
      </w:r>
      <w:r w:rsidR="008B1899">
        <w:t xml:space="preserve">a </w:t>
      </w:r>
      <w:r w:rsidR="006B554B">
        <w:t xml:space="preserve">fused ring system </w:t>
      </w:r>
      <w:r w:rsidR="00933241">
        <w:t>(</w:t>
      </w:r>
      <w:r w:rsidR="00933241">
        <w:rPr>
          <w:i/>
        </w:rPr>
        <w:t xml:space="preserve">e.g. </w:t>
      </w:r>
      <w:r w:rsidR="006B554B">
        <w:rPr>
          <w:b/>
        </w:rPr>
        <w:t>3</w:t>
      </w:r>
      <w:r w:rsidR="002C12C4">
        <w:rPr>
          <w:b/>
        </w:rPr>
        <w:t>3</w:t>
      </w:r>
      <w:r w:rsidR="00933241">
        <w:t>)</w:t>
      </w:r>
      <w:r w:rsidR="00E45AB0">
        <w:t xml:space="preserve"> closely related to the africanane framework</w:t>
      </w:r>
      <w:r w:rsidR="00933241">
        <w:t>.</w:t>
      </w:r>
      <w:r w:rsidR="00810718">
        <w:t xml:space="preserve"> </w:t>
      </w:r>
      <w:r w:rsidR="00933241">
        <w:t>Subsequent</w:t>
      </w:r>
      <w:r w:rsidR="00810718">
        <w:t xml:space="preserve"> </w:t>
      </w:r>
      <w:r w:rsidR="00933241">
        <w:t xml:space="preserve">methyl addition, </w:t>
      </w:r>
      <w:r w:rsidR="00810718">
        <w:t xml:space="preserve">reduction steps, alkene isomerisation and Simmons–Smith cyclopropanation, should </w:t>
      </w:r>
      <w:r w:rsidR="00933241">
        <w:t>then</w:t>
      </w:r>
      <w:r w:rsidR="00810718">
        <w:t xml:space="preserve"> allow for the completion of the </w:t>
      </w:r>
      <w:r w:rsidR="006208D3">
        <w:t xml:space="preserve">total </w:t>
      </w:r>
      <w:r w:rsidR="00810718">
        <w:t>synthesis</w:t>
      </w:r>
      <w:r w:rsidR="00933241">
        <w:t xml:space="preserve"> of pyxidatol C and</w:t>
      </w:r>
      <w:r w:rsidR="00CD6143">
        <w:t>,</w:t>
      </w:r>
      <w:r w:rsidR="00933241">
        <w:t xml:space="preserve"> ultimately</w:t>
      </w:r>
      <w:r w:rsidR="00CD6143">
        <w:t>,</w:t>
      </w:r>
      <w:r w:rsidR="00933241">
        <w:t xml:space="preserve"> other members of the africanane family</w:t>
      </w:r>
      <w:r w:rsidR="00810718">
        <w:t xml:space="preserve">.  </w:t>
      </w:r>
      <w:r w:rsidR="006B554B">
        <w:t xml:space="preserve">  </w:t>
      </w:r>
    </w:p>
    <w:p w:rsidR="004D7921" w:rsidRPr="00F824DB" w:rsidRDefault="004D7921" w:rsidP="005B6C1D">
      <w:pPr>
        <w:rPr>
          <w:b/>
        </w:rPr>
      </w:pPr>
    </w:p>
    <w:p w:rsidR="002C06C7" w:rsidRDefault="002C06C7" w:rsidP="002C06C7">
      <w:pPr>
        <w:pStyle w:val="Experimental"/>
      </w:pPr>
      <w:r>
        <w:rPr>
          <w:b/>
        </w:rPr>
        <w:t>Supporting Information</w:t>
      </w:r>
      <w:r>
        <w:t xml:space="preserve"> for this article is available online at </w:t>
      </w:r>
      <w:hyperlink r:id="rId21" w:history="1">
        <w:r w:rsidR="004F3939" w:rsidRPr="004846F0">
          <w:rPr>
            <w:rStyle w:val="Hyperlink"/>
          </w:rPr>
          <w:t>http://www.thieme-connect.com/products/ejournals/journal/10.1055/s-00000083</w:t>
        </w:r>
      </w:hyperlink>
      <w:r w:rsidR="004F3939">
        <w:t xml:space="preserve">, including synthetic procedures and full spectral data for all of the novel compounds and processes described </w:t>
      </w:r>
      <w:r w:rsidR="00A702C7">
        <w:t>above</w:t>
      </w:r>
      <w:r w:rsidR="004F3939">
        <w:t xml:space="preserve">. </w:t>
      </w:r>
    </w:p>
    <w:p w:rsidR="002C06C7" w:rsidRDefault="002C06C7" w:rsidP="002C06C7">
      <w:pPr>
        <w:pStyle w:val="HeadAckno"/>
      </w:pPr>
      <w:r>
        <w:t>Acknowledgment</w:t>
      </w:r>
    </w:p>
    <w:p w:rsidR="002C06C7" w:rsidRDefault="0041173B" w:rsidP="002C06C7">
      <w:pPr>
        <w:pStyle w:val="Ackno"/>
      </w:pPr>
      <w:r>
        <w:t>The authors wish to thank the University of York (J. D. O., W. P. U.) for generous financial support</w:t>
      </w:r>
      <w:r w:rsidR="002C06C7">
        <w:t>.</w:t>
      </w:r>
    </w:p>
    <w:p w:rsidR="002C06C7" w:rsidRDefault="002C06C7" w:rsidP="002C06C7">
      <w:pPr>
        <w:pStyle w:val="HeadRefs"/>
      </w:pPr>
      <w:r>
        <w:t>References</w:t>
      </w:r>
    </w:p>
    <w:p w:rsidR="002C06C7" w:rsidRDefault="002C06C7" w:rsidP="002C06C7">
      <w:pPr>
        <w:pStyle w:val="Ref"/>
      </w:pPr>
      <w:r>
        <w:t xml:space="preserve">Zheng, Y. B.; Lu, C-H.; Zheng, Z-H.; Lin, X-J.; Su, W-J.; Shen, Y-M. </w:t>
      </w:r>
      <w:proofErr w:type="spellStart"/>
      <w:r w:rsidRPr="007C5862">
        <w:rPr>
          <w:i/>
        </w:rPr>
        <w:t>Helv</w:t>
      </w:r>
      <w:proofErr w:type="spellEnd"/>
      <w:r w:rsidRPr="007C5862">
        <w:rPr>
          <w:i/>
        </w:rPr>
        <w:t xml:space="preserve">. </w:t>
      </w:r>
      <w:proofErr w:type="spellStart"/>
      <w:r w:rsidRPr="007C5862">
        <w:rPr>
          <w:i/>
        </w:rPr>
        <w:t>Chim</w:t>
      </w:r>
      <w:proofErr w:type="spellEnd"/>
      <w:r w:rsidRPr="007C5862">
        <w:rPr>
          <w:i/>
        </w:rPr>
        <w:t xml:space="preserve">. </w:t>
      </w:r>
      <w:proofErr w:type="spellStart"/>
      <w:r w:rsidRPr="007C5862">
        <w:rPr>
          <w:i/>
        </w:rPr>
        <w:t>Acta</w:t>
      </w:r>
      <w:proofErr w:type="spellEnd"/>
      <w:r>
        <w:t xml:space="preserve">, </w:t>
      </w:r>
      <w:r w:rsidRPr="007C5862">
        <w:rPr>
          <w:b/>
        </w:rPr>
        <w:t>2008</w:t>
      </w:r>
      <w:r>
        <w:t>, 2174.</w:t>
      </w:r>
    </w:p>
    <w:p w:rsidR="002C06C7" w:rsidRDefault="002C06C7" w:rsidP="002C06C7">
      <w:pPr>
        <w:pStyle w:val="Ref"/>
      </w:pPr>
      <w:proofErr w:type="spellStart"/>
      <w:r>
        <w:t>McMorris</w:t>
      </w:r>
      <w:proofErr w:type="spellEnd"/>
      <w:r>
        <w:t xml:space="preserve">, T. C. ; Lira, R.; </w:t>
      </w:r>
      <w:proofErr w:type="spellStart"/>
      <w:r>
        <w:t>Gantzel</w:t>
      </w:r>
      <w:proofErr w:type="spellEnd"/>
      <w:r>
        <w:t xml:space="preserve">, P. K.; </w:t>
      </w:r>
      <w:proofErr w:type="spellStart"/>
      <w:r>
        <w:t>Kelner</w:t>
      </w:r>
      <w:proofErr w:type="spellEnd"/>
      <w:r>
        <w:t xml:space="preserve">, M. J. ; Dawe, R.;  </w:t>
      </w:r>
      <w:r w:rsidRPr="00807721">
        <w:rPr>
          <w:i/>
        </w:rPr>
        <w:t>J. Nat. Prod</w:t>
      </w:r>
      <w:r>
        <w:t xml:space="preserve">., </w:t>
      </w:r>
      <w:r w:rsidRPr="00807721">
        <w:rPr>
          <w:b/>
        </w:rPr>
        <w:t>2006</w:t>
      </w:r>
      <w:r>
        <w:t xml:space="preserve">, </w:t>
      </w:r>
      <w:r w:rsidRPr="00807721">
        <w:rPr>
          <w:i/>
        </w:rPr>
        <w:t>63</w:t>
      </w:r>
      <w:r>
        <w:t>, 1557.</w:t>
      </w:r>
    </w:p>
    <w:p w:rsidR="002C06C7" w:rsidRDefault="002C06C7" w:rsidP="002C06C7">
      <w:pPr>
        <w:pStyle w:val="Ref"/>
      </w:pPr>
      <w:proofErr w:type="spellStart"/>
      <w:r>
        <w:t>Tursch</w:t>
      </w:r>
      <w:proofErr w:type="spellEnd"/>
      <w:r>
        <w:t xml:space="preserve">, B.; </w:t>
      </w:r>
      <w:proofErr w:type="spellStart"/>
      <w:r>
        <w:t>Braekman</w:t>
      </w:r>
      <w:proofErr w:type="spellEnd"/>
      <w:r>
        <w:t xml:space="preserve">, J. C.; </w:t>
      </w:r>
      <w:proofErr w:type="spellStart"/>
      <w:r>
        <w:t>Daloze</w:t>
      </w:r>
      <w:proofErr w:type="spellEnd"/>
      <w:r>
        <w:t xml:space="preserve">, D.; Fritz, P.; </w:t>
      </w:r>
      <w:proofErr w:type="spellStart"/>
      <w:r>
        <w:t>Kelecom</w:t>
      </w:r>
      <w:proofErr w:type="spellEnd"/>
      <w:r>
        <w:t xml:space="preserve">, A.; </w:t>
      </w:r>
      <w:proofErr w:type="spellStart"/>
      <w:r>
        <w:t>Karlsson</w:t>
      </w:r>
      <w:proofErr w:type="spellEnd"/>
      <w:r>
        <w:t xml:space="preserve">, R.; </w:t>
      </w:r>
      <w:proofErr w:type="spellStart"/>
      <w:r>
        <w:t>Losman</w:t>
      </w:r>
      <w:proofErr w:type="spellEnd"/>
      <w:r>
        <w:t xml:space="preserve">, D. </w:t>
      </w:r>
      <w:r w:rsidRPr="00807721">
        <w:rPr>
          <w:i/>
        </w:rPr>
        <w:t>Tetrahedron Lett</w:t>
      </w:r>
      <w:r>
        <w:t xml:space="preserve">., </w:t>
      </w:r>
      <w:r w:rsidRPr="00807721">
        <w:rPr>
          <w:b/>
        </w:rPr>
        <w:t>1974</w:t>
      </w:r>
      <w:r>
        <w:t xml:space="preserve">, </w:t>
      </w:r>
      <w:r w:rsidRPr="00807721">
        <w:rPr>
          <w:i/>
        </w:rPr>
        <w:t>15</w:t>
      </w:r>
      <w:r>
        <w:t>, 747.</w:t>
      </w:r>
    </w:p>
    <w:p w:rsidR="002C06C7" w:rsidRDefault="002C06C7" w:rsidP="002C06C7">
      <w:pPr>
        <w:pStyle w:val="Ref"/>
      </w:pPr>
      <w:proofErr w:type="spellStart"/>
      <w:r>
        <w:t>Kashman</w:t>
      </w:r>
      <w:proofErr w:type="spellEnd"/>
      <w:r>
        <w:t xml:space="preserve">, Y.; </w:t>
      </w:r>
      <w:proofErr w:type="spellStart"/>
      <w:r>
        <w:t>Bodner</w:t>
      </w:r>
      <w:proofErr w:type="spellEnd"/>
      <w:r>
        <w:t xml:space="preserve">, M.; Finer-Moore, J. S.; </w:t>
      </w:r>
      <w:proofErr w:type="spellStart"/>
      <w:r>
        <w:t>Clardy</w:t>
      </w:r>
      <w:proofErr w:type="spellEnd"/>
      <w:r>
        <w:t xml:space="preserve">, J.; </w:t>
      </w:r>
      <w:proofErr w:type="spellStart"/>
      <w:r w:rsidRPr="00807721">
        <w:rPr>
          <w:i/>
        </w:rPr>
        <w:t>Experientia</w:t>
      </w:r>
      <w:proofErr w:type="spellEnd"/>
      <w:r>
        <w:t xml:space="preserve">, </w:t>
      </w:r>
      <w:r w:rsidRPr="00807721">
        <w:rPr>
          <w:b/>
        </w:rPr>
        <w:t>1980</w:t>
      </w:r>
      <w:r>
        <w:t xml:space="preserve">, </w:t>
      </w:r>
      <w:r w:rsidRPr="00807721">
        <w:rPr>
          <w:i/>
        </w:rPr>
        <w:t>36</w:t>
      </w:r>
      <w:r>
        <w:t>, 891.</w:t>
      </w:r>
    </w:p>
    <w:p w:rsidR="002C06C7" w:rsidRDefault="002C06C7" w:rsidP="002C06C7">
      <w:pPr>
        <w:pStyle w:val="Ref"/>
      </w:pPr>
      <w:r>
        <w:t xml:space="preserve">(a) Reddy, B. S. G.; Rao, V. D.; Rao, B. C. H.; </w:t>
      </w:r>
      <w:proofErr w:type="spellStart"/>
      <w:r>
        <w:t>Dhananjaya</w:t>
      </w:r>
      <w:proofErr w:type="spellEnd"/>
      <w:r>
        <w:t xml:space="preserve">, N.; </w:t>
      </w:r>
      <w:proofErr w:type="spellStart"/>
      <w:r>
        <w:t>Kuttan</w:t>
      </w:r>
      <w:proofErr w:type="spellEnd"/>
      <w:r>
        <w:t xml:space="preserve">, R.; </w:t>
      </w:r>
      <w:proofErr w:type="spellStart"/>
      <w:r>
        <w:t>Babu</w:t>
      </w:r>
      <w:proofErr w:type="spellEnd"/>
      <w:r>
        <w:t xml:space="preserve">, T. D. </w:t>
      </w:r>
      <w:r w:rsidRPr="00C3744D">
        <w:rPr>
          <w:i/>
        </w:rPr>
        <w:t>Chem. Pharm. Bull</w:t>
      </w:r>
      <w:r>
        <w:t xml:space="preserve">., </w:t>
      </w:r>
      <w:r w:rsidRPr="00C3744D">
        <w:rPr>
          <w:b/>
        </w:rPr>
        <w:t>1999</w:t>
      </w:r>
      <w:r>
        <w:t xml:space="preserve">, </w:t>
      </w:r>
      <w:r w:rsidRPr="00C3744D">
        <w:rPr>
          <w:i/>
        </w:rPr>
        <w:t>47</w:t>
      </w:r>
      <w:r>
        <w:t xml:space="preserve">, 1214. (b) Yang, X.; </w:t>
      </w:r>
      <w:proofErr w:type="spellStart"/>
      <w:r>
        <w:t>Deinze</w:t>
      </w:r>
      <w:proofErr w:type="spellEnd"/>
      <w:r>
        <w:t xml:space="preserve">, M. L.; </w:t>
      </w:r>
      <w:r w:rsidRPr="00AC1503">
        <w:rPr>
          <w:i/>
        </w:rPr>
        <w:t>J. Org. Chem</w:t>
      </w:r>
      <w:r>
        <w:t xml:space="preserve">., </w:t>
      </w:r>
      <w:r w:rsidRPr="00AC1503">
        <w:rPr>
          <w:b/>
        </w:rPr>
        <w:t>1992</w:t>
      </w:r>
      <w:r>
        <w:t xml:space="preserve">, </w:t>
      </w:r>
      <w:r w:rsidRPr="00AC1503">
        <w:rPr>
          <w:i/>
        </w:rPr>
        <w:t>57</w:t>
      </w:r>
      <w:r>
        <w:t xml:space="preserve">, 4717. (c) </w:t>
      </w:r>
      <w:proofErr w:type="spellStart"/>
      <w:r>
        <w:t>Tursch</w:t>
      </w:r>
      <w:proofErr w:type="spellEnd"/>
      <w:r>
        <w:t xml:space="preserve">, B.; </w:t>
      </w:r>
      <w:proofErr w:type="spellStart"/>
      <w:r>
        <w:t>Braekman</w:t>
      </w:r>
      <w:proofErr w:type="spellEnd"/>
      <w:r>
        <w:t xml:space="preserve">, J. C.; </w:t>
      </w:r>
      <w:proofErr w:type="spellStart"/>
      <w:r>
        <w:t>Daloze</w:t>
      </w:r>
      <w:proofErr w:type="spellEnd"/>
      <w:r>
        <w:t xml:space="preserve">, D.; Fritz, P.; </w:t>
      </w:r>
      <w:proofErr w:type="spellStart"/>
      <w:r>
        <w:t>Losman</w:t>
      </w:r>
      <w:proofErr w:type="spellEnd"/>
      <w:r>
        <w:t xml:space="preserve">, D. </w:t>
      </w:r>
      <w:r w:rsidRPr="00AC1503">
        <w:rPr>
          <w:i/>
        </w:rPr>
        <w:t xml:space="preserve">Tetrahedron. </w:t>
      </w:r>
      <w:proofErr w:type="gramStart"/>
      <w:r w:rsidRPr="00AC1503">
        <w:rPr>
          <w:i/>
        </w:rPr>
        <w:t>Lett.</w:t>
      </w:r>
      <w:r>
        <w:t>,</w:t>
      </w:r>
      <w:proofErr w:type="gramEnd"/>
      <w:r>
        <w:t xml:space="preserve"> </w:t>
      </w:r>
      <w:r w:rsidRPr="00AC1503">
        <w:rPr>
          <w:b/>
        </w:rPr>
        <w:t>1974</w:t>
      </w:r>
      <w:r>
        <w:t xml:space="preserve">, </w:t>
      </w:r>
      <w:r w:rsidRPr="00AC1503">
        <w:rPr>
          <w:i/>
        </w:rPr>
        <w:t>9</w:t>
      </w:r>
      <w:r>
        <w:t xml:space="preserve">, 747. (d) </w:t>
      </w:r>
      <w:proofErr w:type="spellStart"/>
      <w:r>
        <w:t>Bohlmann</w:t>
      </w:r>
      <w:proofErr w:type="spellEnd"/>
      <w:r>
        <w:t xml:space="preserve">, F.; </w:t>
      </w:r>
      <w:proofErr w:type="spellStart"/>
      <w:r>
        <w:t>Zdero</w:t>
      </w:r>
      <w:proofErr w:type="spellEnd"/>
      <w:r>
        <w:t xml:space="preserve">, C. </w:t>
      </w:r>
      <w:proofErr w:type="spellStart"/>
      <w:r w:rsidRPr="00AC1503">
        <w:rPr>
          <w:i/>
        </w:rPr>
        <w:t>Phytochemistry</w:t>
      </w:r>
      <w:proofErr w:type="spellEnd"/>
      <w:r>
        <w:t xml:space="preserve">, </w:t>
      </w:r>
      <w:r w:rsidRPr="00AC1503">
        <w:rPr>
          <w:b/>
        </w:rPr>
        <w:t>1978</w:t>
      </w:r>
      <w:r>
        <w:t xml:space="preserve">, </w:t>
      </w:r>
      <w:r w:rsidRPr="00AC1503">
        <w:rPr>
          <w:i/>
        </w:rPr>
        <w:t>17</w:t>
      </w:r>
      <w:r>
        <w:t>, 1669.</w:t>
      </w:r>
    </w:p>
    <w:p w:rsidR="00F635A7" w:rsidRDefault="00F635A7" w:rsidP="00F635A7">
      <w:pPr>
        <w:pStyle w:val="Ref"/>
      </w:pPr>
      <w:r>
        <w:t xml:space="preserve">For syntheses of </w:t>
      </w:r>
      <w:proofErr w:type="spellStart"/>
      <w:r>
        <w:t>africanol</w:t>
      </w:r>
      <w:proofErr w:type="spellEnd"/>
      <w:r>
        <w:t xml:space="preserve"> </w:t>
      </w:r>
      <w:r>
        <w:rPr>
          <w:b/>
        </w:rPr>
        <w:t xml:space="preserve">3 </w:t>
      </w:r>
      <w:r>
        <w:t xml:space="preserve">see: (a) </w:t>
      </w:r>
      <w:proofErr w:type="spellStart"/>
      <w:r>
        <w:t>Shirahama</w:t>
      </w:r>
      <w:proofErr w:type="spellEnd"/>
      <w:r>
        <w:t xml:space="preserve">, H.; </w:t>
      </w:r>
      <w:proofErr w:type="spellStart"/>
      <w:r>
        <w:t>Hayano</w:t>
      </w:r>
      <w:proofErr w:type="spellEnd"/>
      <w:r>
        <w:t xml:space="preserve">, K.; </w:t>
      </w:r>
      <w:proofErr w:type="spellStart"/>
      <w:r>
        <w:t>Kanemoto</w:t>
      </w:r>
      <w:proofErr w:type="spellEnd"/>
      <w:r>
        <w:t xml:space="preserve">, Y.; </w:t>
      </w:r>
      <w:proofErr w:type="spellStart"/>
      <w:r>
        <w:t>Misumi</w:t>
      </w:r>
      <w:proofErr w:type="spellEnd"/>
      <w:r>
        <w:t xml:space="preserve">, S.; </w:t>
      </w:r>
      <w:proofErr w:type="spellStart"/>
      <w:r>
        <w:t>Ohtsuka</w:t>
      </w:r>
      <w:proofErr w:type="spellEnd"/>
      <w:r>
        <w:t xml:space="preserve">, T.; </w:t>
      </w:r>
      <w:proofErr w:type="spellStart"/>
      <w:r>
        <w:t>Hashiba</w:t>
      </w:r>
      <w:proofErr w:type="spellEnd"/>
      <w:r>
        <w:t xml:space="preserve">, N.; </w:t>
      </w:r>
      <w:proofErr w:type="spellStart"/>
      <w:r>
        <w:t>Furusaki</w:t>
      </w:r>
      <w:proofErr w:type="spellEnd"/>
      <w:r>
        <w:t xml:space="preserve">, A.; Murata, S.; </w:t>
      </w:r>
      <w:proofErr w:type="spellStart"/>
      <w:r>
        <w:t>Noyori</w:t>
      </w:r>
      <w:proofErr w:type="spellEnd"/>
      <w:r>
        <w:t xml:space="preserve">, R.; Matsumoto, T. </w:t>
      </w:r>
      <w:r w:rsidRPr="00F635A7">
        <w:rPr>
          <w:i/>
        </w:rPr>
        <w:t>Tetrahedron Lett.</w:t>
      </w:r>
      <w:r>
        <w:t xml:space="preserve">, </w:t>
      </w:r>
      <w:r w:rsidRPr="00F635A7">
        <w:rPr>
          <w:b/>
        </w:rPr>
        <w:t>1980</w:t>
      </w:r>
      <w:r>
        <w:t xml:space="preserve">, </w:t>
      </w:r>
      <w:r w:rsidRPr="00F635A7">
        <w:rPr>
          <w:i/>
        </w:rPr>
        <w:t>21</w:t>
      </w:r>
      <w:r>
        <w:t xml:space="preserve">, 4835. (b). </w:t>
      </w:r>
      <w:proofErr w:type="spellStart"/>
      <w:r>
        <w:t>Cossy</w:t>
      </w:r>
      <w:proofErr w:type="spellEnd"/>
      <w:r>
        <w:t xml:space="preserve">, J.; </w:t>
      </w:r>
      <w:proofErr w:type="spellStart"/>
      <w:r>
        <w:t>BouzBouz</w:t>
      </w:r>
      <w:proofErr w:type="spellEnd"/>
      <w:r>
        <w:t xml:space="preserve">, S.; </w:t>
      </w:r>
      <w:proofErr w:type="spellStart"/>
      <w:r>
        <w:t>Mouzza</w:t>
      </w:r>
      <w:proofErr w:type="spellEnd"/>
      <w:r>
        <w:t xml:space="preserve">, C. </w:t>
      </w:r>
      <w:proofErr w:type="spellStart"/>
      <w:r w:rsidRPr="00F635A7">
        <w:rPr>
          <w:i/>
        </w:rPr>
        <w:t>Synlett</w:t>
      </w:r>
      <w:proofErr w:type="spellEnd"/>
      <w:r>
        <w:t xml:space="preserve">, </w:t>
      </w:r>
      <w:r w:rsidRPr="00F635A7">
        <w:rPr>
          <w:b/>
        </w:rPr>
        <w:t>1998</w:t>
      </w:r>
      <w:r>
        <w:t xml:space="preserve">, 621. (c). Marquez, </w:t>
      </w:r>
      <w:r w:rsidR="005D3669">
        <w:t xml:space="preserve">F.; </w:t>
      </w:r>
      <w:r>
        <w:t xml:space="preserve">De, </w:t>
      </w:r>
      <w:r w:rsidR="005D3669">
        <w:t xml:space="preserve">A.; </w:t>
      </w:r>
      <w:r>
        <w:t xml:space="preserve">Ferreira, </w:t>
      </w:r>
      <w:r w:rsidR="005D3669">
        <w:t xml:space="preserve">J. T. B.; </w:t>
      </w:r>
      <w:r>
        <w:t xml:space="preserve">Piers, </w:t>
      </w:r>
      <w:r w:rsidR="005D3669">
        <w:t xml:space="preserve">E.; </w:t>
      </w:r>
      <w:r w:rsidR="005D3669" w:rsidRPr="005D3669">
        <w:rPr>
          <w:i/>
        </w:rPr>
        <w:t xml:space="preserve">J. </w:t>
      </w:r>
      <w:r w:rsidRPr="005D3669">
        <w:rPr>
          <w:i/>
        </w:rPr>
        <w:t>Braz. Chem. Soc</w:t>
      </w:r>
      <w:r>
        <w:t xml:space="preserve">., </w:t>
      </w:r>
      <w:r w:rsidRPr="005D3669">
        <w:rPr>
          <w:b/>
        </w:rPr>
        <w:t>2000</w:t>
      </w:r>
      <w:r>
        <w:t xml:space="preserve">, </w:t>
      </w:r>
      <w:r w:rsidRPr="005D3669">
        <w:rPr>
          <w:i/>
        </w:rPr>
        <w:t>11</w:t>
      </w:r>
      <w:r>
        <w:t xml:space="preserve">, </w:t>
      </w:r>
      <w:r w:rsidR="005D3669">
        <w:t>502</w:t>
      </w:r>
      <w:r>
        <w:t xml:space="preserve">. </w:t>
      </w:r>
      <w:r w:rsidR="005D3669">
        <w:t>(d)</w:t>
      </w:r>
      <w:r>
        <w:t xml:space="preserve"> Paquette, </w:t>
      </w:r>
      <w:r w:rsidR="005D3669">
        <w:t xml:space="preserve">L. A. </w:t>
      </w:r>
      <w:r>
        <w:t>Ham,</w:t>
      </w:r>
      <w:r w:rsidR="005D3669">
        <w:t xml:space="preserve"> W. H.</w:t>
      </w:r>
      <w:r>
        <w:t xml:space="preserve"> </w:t>
      </w:r>
      <w:r w:rsidRPr="005D3669">
        <w:rPr>
          <w:i/>
        </w:rPr>
        <w:t>J. Am. Chem. Soc</w:t>
      </w:r>
      <w:r>
        <w:t xml:space="preserve">., </w:t>
      </w:r>
      <w:r w:rsidRPr="005D3669">
        <w:rPr>
          <w:b/>
        </w:rPr>
        <w:t>1987</w:t>
      </w:r>
      <w:r>
        <w:t xml:space="preserve">, </w:t>
      </w:r>
      <w:r w:rsidRPr="005D3669">
        <w:rPr>
          <w:i/>
        </w:rPr>
        <w:t>109</w:t>
      </w:r>
      <w:r w:rsidR="005D3669">
        <w:t>, 3025</w:t>
      </w:r>
      <w:r>
        <w:t xml:space="preserve">. </w:t>
      </w:r>
      <w:r w:rsidR="005D3669">
        <w:t>(e)</w:t>
      </w:r>
      <w:r>
        <w:t xml:space="preserve"> Sugimura, T.</w:t>
      </w:r>
      <w:r w:rsidR="005D3669">
        <w:t>;</w:t>
      </w:r>
      <w:r>
        <w:t xml:space="preserve"> </w:t>
      </w:r>
      <w:proofErr w:type="spellStart"/>
      <w:r>
        <w:t>Futagawa</w:t>
      </w:r>
      <w:proofErr w:type="spellEnd"/>
      <w:r>
        <w:t xml:space="preserve">, </w:t>
      </w:r>
      <w:r w:rsidR="005D3669">
        <w:t xml:space="preserve">T.; </w:t>
      </w:r>
      <w:r>
        <w:t xml:space="preserve">Tai, </w:t>
      </w:r>
      <w:r w:rsidR="005D3669">
        <w:t xml:space="preserve">A. </w:t>
      </w:r>
      <w:r w:rsidRPr="005D3669">
        <w:rPr>
          <w:i/>
        </w:rPr>
        <w:t>Chem. Lett</w:t>
      </w:r>
      <w:r>
        <w:t xml:space="preserve">., </w:t>
      </w:r>
      <w:r w:rsidRPr="005D3669">
        <w:rPr>
          <w:b/>
        </w:rPr>
        <w:t>1990</w:t>
      </w:r>
      <w:r w:rsidR="005D3669">
        <w:t>, 2295</w:t>
      </w:r>
      <w:r>
        <w:t xml:space="preserve">. </w:t>
      </w:r>
      <w:r w:rsidR="005D3669">
        <w:t>(f)</w:t>
      </w:r>
      <w:r>
        <w:t xml:space="preserve"> Fan, </w:t>
      </w:r>
      <w:r w:rsidR="005D3669">
        <w:t xml:space="preserve">W.; </w:t>
      </w:r>
      <w:r>
        <w:t xml:space="preserve">White, </w:t>
      </w:r>
      <w:r w:rsidR="005D3669">
        <w:t xml:space="preserve">J. B. </w:t>
      </w:r>
      <w:r w:rsidRPr="005D3669">
        <w:rPr>
          <w:i/>
        </w:rPr>
        <w:t>J. Org. Chem</w:t>
      </w:r>
      <w:r>
        <w:t xml:space="preserve">., </w:t>
      </w:r>
      <w:r w:rsidRPr="005D3669">
        <w:rPr>
          <w:b/>
        </w:rPr>
        <w:t>1993</w:t>
      </w:r>
      <w:r>
        <w:t xml:space="preserve">, </w:t>
      </w:r>
      <w:r w:rsidRPr="005D3669">
        <w:rPr>
          <w:i/>
        </w:rPr>
        <w:t>58</w:t>
      </w:r>
      <w:r>
        <w:t>, 3557.</w:t>
      </w:r>
    </w:p>
    <w:p w:rsidR="001F343E" w:rsidRDefault="001F343E" w:rsidP="001161B9">
      <w:pPr>
        <w:pStyle w:val="Ref"/>
      </w:pPr>
      <w:r>
        <w:t xml:space="preserve">For syntheses of </w:t>
      </w:r>
      <w:proofErr w:type="spellStart"/>
      <w:r>
        <w:t>omphadiol</w:t>
      </w:r>
      <w:proofErr w:type="spellEnd"/>
      <w:r>
        <w:t xml:space="preserve"> </w:t>
      </w:r>
      <w:r>
        <w:rPr>
          <w:b/>
        </w:rPr>
        <w:t xml:space="preserve">2 </w:t>
      </w:r>
      <w:r>
        <w:t>see:</w:t>
      </w:r>
      <w:r w:rsidR="008553D1">
        <w:t xml:space="preserve"> </w:t>
      </w:r>
      <w:r w:rsidR="001161B9">
        <w:t xml:space="preserve">(a) </w:t>
      </w:r>
      <w:r w:rsidR="008553D1" w:rsidRPr="008553D1">
        <w:t xml:space="preserve">Liu, </w:t>
      </w:r>
      <w:r w:rsidR="008553D1">
        <w:t xml:space="preserve">G.; </w:t>
      </w:r>
      <w:proofErr w:type="spellStart"/>
      <w:r w:rsidR="008553D1" w:rsidRPr="008553D1">
        <w:t>Romo</w:t>
      </w:r>
      <w:proofErr w:type="spellEnd"/>
      <w:r w:rsidR="008553D1" w:rsidRPr="008553D1">
        <w:t xml:space="preserve">, </w:t>
      </w:r>
      <w:r w:rsidR="008553D1">
        <w:t xml:space="preserve">D. </w:t>
      </w:r>
      <w:proofErr w:type="spellStart"/>
      <w:r w:rsidR="008553D1" w:rsidRPr="008553D1">
        <w:rPr>
          <w:i/>
        </w:rPr>
        <w:t>Angew</w:t>
      </w:r>
      <w:proofErr w:type="spellEnd"/>
      <w:r w:rsidR="008553D1" w:rsidRPr="008553D1">
        <w:rPr>
          <w:i/>
        </w:rPr>
        <w:t>. Chem. Int. Ed.</w:t>
      </w:r>
      <w:r w:rsidR="008553D1" w:rsidRPr="008553D1">
        <w:t xml:space="preserve">, </w:t>
      </w:r>
      <w:r w:rsidR="008553D1" w:rsidRPr="008553D1">
        <w:rPr>
          <w:b/>
        </w:rPr>
        <w:t>2011</w:t>
      </w:r>
      <w:r w:rsidR="008553D1" w:rsidRPr="008553D1">
        <w:t xml:space="preserve">, </w:t>
      </w:r>
      <w:r w:rsidR="008553D1" w:rsidRPr="008553D1">
        <w:rPr>
          <w:i/>
        </w:rPr>
        <w:t>50</w:t>
      </w:r>
      <w:r w:rsidR="008553D1" w:rsidRPr="008553D1">
        <w:t>, 7537</w:t>
      </w:r>
      <w:r w:rsidR="001161B9">
        <w:t xml:space="preserve">. (b) </w:t>
      </w:r>
      <w:r w:rsidR="001161B9" w:rsidRPr="001161B9">
        <w:t xml:space="preserve">Zhou, </w:t>
      </w:r>
      <w:r w:rsidR="001161B9">
        <w:t xml:space="preserve">L.; </w:t>
      </w:r>
      <w:r w:rsidR="001161B9" w:rsidRPr="001161B9">
        <w:t xml:space="preserve">Yao, </w:t>
      </w:r>
      <w:r w:rsidR="001161B9">
        <w:t xml:space="preserve">Y.; </w:t>
      </w:r>
      <w:r w:rsidR="001161B9" w:rsidRPr="001161B9">
        <w:t xml:space="preserve">Xu, </w:t>
      </w:r>
      <w:r w:rsidR="001161B9">
        <w:t xml:space="preserve">W.; </w:t>
      </w:r>
      <w:r w:rsidR="001161B9" w:rsidRPr="001161B9">
        <w:t xml:space="preserve">Liang, </w:t>
      </w:r>
      <w:r w:rsidR="001161B9">
        <w:t xml:space="preserve">G. </w:t>
      </w:r>
      <w:r w:rsidR="001161B9" w:rsidRPr="001161B9">
        <w:rPr>
          <w:i/>
        </w:rPr>
        <w:t>J. Org. Chem</w:t>
      </w:r>
      <w:r w:rsidR="001161B9" w:rsidRPr="001161B9">
        <w:t xml:space="preserve">., </w:t>
      </w:r>
      <w:r w:rsidR="001161B9" w:rsidRPr="001161B9">
        <w:rPr>
          <w:b/>
        </w:rPr>
        <w:t>2014</w:t>
      </w:r>
      <w:r w:rsidR="001161B9" w:rsidRPr="001161B9">
        <w:t xml:space="preserve">, </w:t>
      </w:r>
      <w:r w:rsidR="001161B9" w:rsidRPr="001161B9">
        <w:rPr>
          <w:i/>
        </w:rPr>
        <w:t>79</w:t>
      </w:r>
      <w:r w:rsidR="001161B9" w:rsidRPr="001161B9">
        <w:t>, 5345</w:t>
      </w:r>
    </w:p>
    <w:p w:rsidR="00F635A7" w:rsidRDefault="001F343E" w:rsidP="00E71715">
      <w:pPr>
        <w:pStyle w:val="Ref"/>
      </w:pPr>
      <w:r>
        <w:t xml:space="preserve">For </w:t>
      </w:r>
      <w:r w:rsidR="00114395">
        <w:t xml:space="preserve">the </w:t>
      </w:r>
      <w:r>
        <w:t>synthes</w:t>
      </w:r>
      <w:r w:rsidR="00114395">
        <w:t>i</w:t>
      </w:r>
      <w:r>
        <w:t xml:space="preserve">s of </w:t>
      </w:r>
      <w:proofErr w:type="spellStart"/>
      <w:r>
        <w:t>african</w:t>
      </w:r>
      <w:r w:rsidR="001701B2">
        <w:t>e</w:t>
      </w:r>
      <w:r>
        <w:t>ne</w:t>
      </w:r>
      <w:proofErr w:type="spellEnd"/>
      <w:r>
        <w:t xml:space="preserve"> </w:t>
      </w:r>
      <w:r>
        <w:rPr>
          <w:b/>
        </w:rPr>
        <w:t xml:space="preserve">4 </w:t>
      </w:r>
      <w:r>
        <w:t>see:</w:t>
      </w:r>
      <w:r w:rsidR="00E71715">
        <w:t xml:space="preserve"> Matsuda, Y.; Endo, Y.; </w:t>
      </w:r>
      <w:proofErr w:type="spellStart"/>
      <w:r w:rsidR="00E71715">
        <w:t>Saikawa</w:t>
      </w:r>
      <w:proofErr w:type="spellEnd"/>
      <w:r w:rsidR="00E71715">
        <w:t xml:space="preserve">, Y.; Nakata, M. </w:t>
      </w:r>
      <w:r w:rsidR="00E71715" w:rsidRPr="00E71715">
        <w:rPr>
          <w:i/>
        </w:rPr>
        <w:t>J. Org. Chem</w:t>
      </w:r>
      <w:r w:rsidR="00E71715">
        <w:t xml:space="preserve">., </w:t>
      </w:r>
      <w:r w:rsidR="00E71715" w:rsidRPr="00E71715">
        <w:rPr>
          <w:b/>
        </w:rPr>
        <w:t>2011</w:t>
      </w:r>
      <w:r w:rsidR="00E71715">
        <w:t xml:space="preserve">, </w:t>
      </w:r>
      <w:r w:rsidR="00E71715" w:rsidRPr="00E71715">
        <w:rPr>
          <w:i/>
        </w:rPr>
        <w:t>76</w:t>
      </w:r>
      <w:r w:rsidR="00E71715">
        <w:t>, 6258.</w:t>
      </w:r>
    </w:p>
    <w:p w:rsidR="00E71715" w:rsidRPr="00EE3D02" w:rsidRDefault="008543C4" w:rsidP="008543C4">
      <w:pPr>
        <w:pStyle w:val="Ref"/>
      </w:pPr>
      <w:r>
        <w:t>(a</w:t>
      </w:r>
      <w:r w:rsidR="00AD5617" w:rsidRPr="00EE3D02">
        <w:t xml:space="preserve">) Burns, A. R.; McAllister, G. D.; Shanahan S. E.; Taylor, R. J. K </w:t>
      </w:r>
      <w:proofErr w:type="spellStart"/>
      <w:r w:rsidR="00AD5617" w:rsidRPr="00EE3D02">
        <w:rPr>
          <w:i/>
        </w:rPr>
        <w:t>Angew</w:t>
      </w:r>
      <w:proofErr w:type="spellEnd"/>
      <w:r w:rsidR="00AD5617" w:rsidRPr="00EE3D02">
        <w:rPr>
          <w:i/>
        </w:rPr>
        <w:t xml:space="preserve">. </w:t>
      </w:r>
      <w:proofErr w:type="spellStart"/>
      <w:r w:rsidR="00AD5617" w:rsidRPr="00EE3D02">
        <w:rPr>
          <w:i/>
        </w:rPr>
        <w:t>Chemie</w:t>
      </w:r>
      <w:proofErr w:type="spellEnd"/>
      <w:r w:rsidR="00AD5617" w:rsidRPr="00EE3D02">
        <w:rPr>
          <w:i/>
        </w:rPr>
        <w:t xml:space="preserve"> Int. Ed</w:t>
      </w:r>
      <w:r w:rsidR="00AD5617" w:rsidRPr="00EE3D02">
        <w:t xml:space="preserve">., </w:t>
      </w:r>
      <w:r w:rsidR="00AD5617" w:rsidRPr="00EE3D02">
        <w:rPr>
          <w:b/>
        </w:rPr>
        <w:t>2010</w:t>
      </w:r>
      <w:r w:rsidR="00AD5617" w:rsidRPr="00EE3D02">
        <w:t xml:space="preserve">, </w:t>
      </w:r>
      <w:r w:rsidR="00AD5617" w:rsidRPr="00EE3D02">
        <w:rPr>
          <w:i/>
        </w:rPr>
        <w:t>49</w:t>
      </w:r>
      <w:r w:rsidR="00AD5617" w:rsidRPr="00EE3D02">
        <w:t>, 5574; (</w:t>
      </w:r>
      <w:r>
        <w:t>b</w:t>
      </w:r>
      <w:r w:rsidR="00AD5617" w:rsidRPr="00EE3D02">
        <w:t xml:space="preserve">) Moody, C. L.; Pugh D. S.; Taylor, R. J. K. </w:t>
      </w:r>
      <w:r w:rsidR="00AD5617" w:rsidRPr="00EE3D02">
        <w:rPr>
          <w:i/>
        </w:rPr>
        <w:lastRenderedPageBreak/>
        <w:t>Tetrahedron Lett</w:t>
      </w:r>
      <w:r w:rsidR="00AD5617" w:rsidRPr="00EE3D02">
        <w:t xml:space="preserve">., </w:t>
      </w:r>
      <w:r w:rsidR="00AD5617" w:rsidRPr="00EE3D02">
        <w:rPr>
          <w:b/>
        </w:rPr>
        <w:t>2011</w:t>
      </w:r>
      <w:r w:rsidR="00AD5617" w:rsidRPr="00EE3D02">
        <w:t xml:space="preserve">, </w:t>
      </w:r>
      <w:r w:rsidR="00AD5617" w:rsidRPr="00EE3D02">
        <w:rPr>
          <w:i/>
        </w:rPr>
        <w:t>52</w:t>
      </w:r>
      <w:r w:rsidR="00AD5617" w:rsidRPr="00EE3D02">
        <w:t>, 2511; (</w:t>
      </w:r>
      <w:r>
        <w:t>c</w:t>
      </w:r>
      <w:r w:rsidR="00AD5617" w:rsidRPr="00EE3D02">
        <w:t xml:space="preserve">) Unsworth, W. P.; </w:t>
      </w:r>
      <w:proofErr w:type="spellStart"/>
      <w:r w:rsidR="00AD5617" w:rsidRPr="00EE3D02">
        <w:t>Kitsiou</w:t>
      </w:r>
      <w:proofErr w:type="spellEnd"/>
      <w:r w:rsidR="00AD5617" w:rsidRPr="00EE3D02">
        <w:t xml:space="preserve"> C.; Taylor, R. J. K. </w:t>
      </w:r>
      <w:r w:rsidR="00AD5617" w:rsidRPr="00EE3D02">
        <w:rPr>
          <w:i/>
        </w:rPr>
        <w:t>Org. Lett</w:t>
      </w:r>
      <w:r w:rsidR="00AD5617" w:rsidRPr="00EE3D02">
        <w:t xml:space="preserve">., </w:t>
      </w:r>
      <w:r w:rsidR="00AD5617" w:rsidRPr="00EE3D02">
        <w:rPr>
          <w:b/>
        </w:rPr>
        <w:t>2013</w:t>
      </w:r>
      <w:r w:rsidR="00AD5617" w:rsidRPr="00EE3D02">
        <w:t xml:space="preserve">, </w:t>
      </w:r>
      <w:r w:rsidR="00AD5617" w:rsidRPr="00EE3D02">
        <w:rPr>
          <w:i/>
        </w:rPr>
        <w:t>15</w:t>
      </w:r>
      <w:r w:rsidR="004D082C" w:rsidRPr="00EE3D02">
        <w:t>, 258</w:t>
      </w:r>
      <w:r w:rsidR="00AD5617" w:rsidRPr="00EE3D02">
        <w:t>; (</w:t>
      </w:r>
      <w:r>
        <w:t>d</w:t>
      </w:r>
      <w:r w:rsidR="00AD5617" w:rsidRPr="00EE3D02">
        <w:t xml:space="preserve">) Unsworth, </w:t>
      </w:r>
      <w:r w:rsidR="004D082C" w:rsidRPr="00EE3D02">
        <w:t xml:space="preserve">W. P.; </w:t>
      </w:r>
      <w:proofErr w:type="spellStart"/>
      <w:r w:rsidR="004D082C" w:rsidRPr="00EE3D02">
        <w:t>Coulthard</w:t>
      </w:r>
      <w:proofErr w:type="spellEnd"/>
      <w:r w:rsidR="004D082C" w:rsidRPr="00EE3D02">
        <w:t xml:space="preserve"> G.; </w:t>
      </w:r>
      <w:proofErr w:type="spellStart"/>
      <w:r w:rsidR="004D082C" w:rsidRPr="00EE3D02">
        <w:t>Kitsiou</w:t>
      </w:r>
      <w:proofErr w:type="spellEnd"/>
      <w:r w:rsidR="004D082C" w:rsidRPr="00EE3D02">
        <w:t xml:space="preserve"> C.; </w:t>
      </w:r>
      <w:r w:rsidR="00AD5617" w:rsidRPr="00EE3D02">
        <w:t xml:space="preserve">Taylor, </w:t>
      </w:r>
      <w:r w:rsidR="004D082C" w:rsidRPr="00EE3D02">
        <w:t xml:space="preserve">R. J. K. </w:t>
      </w:r>
      <w:r w:rsidR="004D082C" w:rsidRPr="00EE3D02">
        <w:rPr>
          <w:i/>
        </w:rPr>
        <w:t xml:space="preserve">J. </w:t>
      </w:r>
      <w:r w:rsidR="00AD5617" w:rsidRPr="00EE3D02">
        <w:rPr>
          <w:i/>
        </w:rPr>
        <w:t xml:space="preserve">Org. </w:t>
      </w:r>
      <w:r w:rsidR="004D082C" w:rsidRPr="00EE3D02">
        <w:rPr>
          <w:i/>
        </w:rPr>
        <w:t>Chem</w:t>
      </w:r>
      <w:r w:rsidR="00AD5617" w:rsidRPr="00EE3D02">
        <w:t xml:space="preserve">., </w:t>
      </w:r>
      <w:r w:rsidR="00AD5617" w:rsidRPr="00EE3D02">
        <w:rPr>
          <w:b/>
        </w:rPr>
        <w:t>201</w:t>
      </w:r>
      <w:r w:rsidR="004D082C" w:rsidRPr="00EE3D02">
        <w:rPr>
          <w:b/>
        </w:rPr>
        <w:t>4</w:t>
      </w:r>
      <w:r w:rsidR="00AD5617" w:rsidRPr="00EE3D02">
        <w:t xml:space="preserve">, </w:t>
      </w:r>
      <w:r w:rsidR="004D082C" w:rsidRPr="00EE3D02">
        <w:rPr>
          <w:i/>
        </w:rPr>
        <w:t>79</w:t>
      </w:r>
      <w:r w:rsidR="00AD5617" w:rsidRPr="00EE3D02">
        <w:t xml:space="preserve">, </w:t>
      </w:r>
      <w:r w:rsidR="004D082C" w:rsidRPr="00EE3D02">
        <w:t>1368</w:t>
      </w:r>
      <w:r w:rsidR="00AD3F75">
        <w:t>; (</w:t>
      </w:r>
      <w:r>
        <w:t>e</w:t>
      </w:r>
      <w:r w:rsidR="00AD3F75">
        <w:t xml:space="preserve">) Lloyd, M. G.; Taylor, R. J. K.; Unsworth, W. P. </w:t>
      </w:r>
      <w:r w:rsidR="00AD3F75" w:rsidRPr="00EE3D02">
        <w:rPr>
          <w:i/>
        </w:rPr>
        <w:t>Org. Lett</w:t>
      </w:r>
      <w:r w:rsidR="00AD3F75" w:rsidRPr="00EE3D02">
        <w:t xml:space="preserve">., </w:t>
      </w:r>
      <w:r w:rsidR="00AD3F75" w:rsidRPr="00EE3D02">
        <w:rPr>
          <w:b/>
        </w:rPr>
        <w:t>201</w:t>
      </w:r>
      <w:r w:rsidR="00AD3F75">
        <w:rPr>
          <w:b/>
        </w:rPr>
        <w:t>4</w:t>
      </w:r>
      <w:r w:rsidR="00AD3F75" w:rsidRPr="00EE3D02">
        <w:t xml:space="preserve">, </w:t>
      </w:r>
      <w:r w:rsidR="00AD3F75" w:rsidRPr="00EE3D02">
        <w:rPr>
          <w:i/>
        </w:rPr>
        <w:t>1</w:t>
      </w:r>
      <w:r w:rsidR="00AD3F75">
        <w:rPr>
          <w:i/>
        </w:rPr>
        <w:t>6</w:t>
      </w:r>
      <w:r>
        <w:t xml:space="preserve">, 2772; (f) </w:t>
      </w:r>
      <w:r w:rsidRPr="008543C4">
        <w:t xml:space="preserve">James, M. J.; Cuthbertson, J. D.; O’Brien, P.; Taylor, R. J. K.; Unsworth, W. P. </w:t>
      </w:r>
      <w:proofErr w:type="spellStart"/>
      <w:r w:rsidRPr="008543C4">
        <w:rPr>
          <w:i/>
        </w:rPr>
        <w:t>Angew</w:t>
      </w:r>
      <w:proofErr w:type="spellEnd"/>
      <w:r w:rsidRPr="008543C4">
        <w:rPr>
          <w:i/>
        </w:rPr>
        <w:t>. Chem. Int. Ed</w:t>
      </w:r>
      <w:r w:rsidRPr="008543C4">
        <w:t xml:space="preserve">. </w:t>
      </w:r>
      <w:r w:rsidRPr="008543C4">
        <w:rPr>
          <w:b/>
        </w:rPr>
        <w:t>2015</w:t>
      </w:r>
      <w:r w:rsidRPr="008543C4">
        <w:t xml:space="preserve">, </w:t>
      </w:r>
      <w:r w:rsidRPr="008543C4">
        <w:rPr>
          <w:i/>
        </w:rPr>
        <w:t>54</w:t>
      </w:r>
      <w:r w:rsidRPr="008543C4">
        <w:t>, 7640.</w:t>
      </w:r>
    </w:p>
    <w:p w:rsidR="004D082C" w:rsidRDefault="004D082C" w:rsidP="004D082C">
      <w:pPr>
        <w:pStyle w:val="Ref"/>
      </w:pPr>
      <w:r w:rsidRPr="00EE3D02">
        <w:t xml:space="preserve">Osler, J. D.; Unsworth, W. P.; Taylor, R. J. K. </w:t>
      </w:r>
      <w:r w:rsidRPr="00EE3D02">
        <w:rPr>
          <w:i/>
        </w:rPr>
        <w:t xml:space="preserve">Org. </w:t>
      </w:r>
      <w:proofErr w:type="spellStart"/>
      <w:r w:rsidRPr="00EE3D02">
        <w:rPr>
          <w:i/>
        </w:rPr>
        <w:t>Biomol</w:t>
      </w:r>
      <w:proofErr w:type="spellEnd"/>
      <w:r w:rsidRPr="00EE3D02">
        <w:rPr>
          <w:i/>
        </w:rPr>
        <w:t>. Chem</w:t>
      </w:r>
      <w:r w:rsidRPr="00EE3D02">
        <w:t xml:space="preserve">., </w:t>
      </w:r>
      <w:r w:rsidRPr="00EE3D02">
        <w:rPr>
          <w:b/>
        </w:rPr>
        <w:t>2013</w:t>
      </w:r>
      <w:r w:rsidRPr="00EE3D02">
        <w:t xml:space="preserve">, </w:t>
      </w:r>
      <w:r w:rsidRPr="00EE3D02">
        <w:rPr>
          <w:i/>
        </w:rPr>
        <w:t>11</w:t>
      </w:r>
      <w:r w:rsidRPr="00EE3D02">
        <w:t>, 7587</w:t>
      </w:r>
      <w:r w:rsidR="005C66DC" w:rsidRPr="00EE3D02">
        <w:t>.</w:t>
      </w:r>
    </w:p>
    <w:p w:rsidR="0066480A" w:rsidRDefault="00C80471" w:rsidP="004D082C">
      <w:pPr>
        <w:pStyle w:val="Ref"/>
      </w:pPr>
      <w:r>
        <w:t xml:space="preserve">(a) Simmons, H. E.; Smith, R. D. </w:t>
      </w:r>
      <w:r>
        <w:rPr>
          <w:i/>
        </w:rPr>
        <w:t xml:space="preserve">J. Am. Chem. Soc. </w:t>
      </w:r>
      <w:r>
        <w:rPr>
          <w:b/>
        </w:rPr>
        <w:t>1959</w:t>
      </w:r>
      <w:r>
        <w:t xml:space="preserve">, </w:t>
      </w:r>
      <w:r>
        <w:rPr>
          <w:i/>
        </w:rPr>
        <w:t>80</w:t>
      </w:r>
      <w:r>
        <w:t xml:space="preserve">, 5323; (b) </w:t>
      </w:r>
      <w:proofErr w:type="spellStart"/>
      <w:r>
        <w:t>Charette</w:t>
      </w:r>
      <w:proofErr w:type="spellEnd"/>
      <w:r>
        <w:t xml:space="preserve">, A. B.; </w:t>
      </w:r>
      <w:proofErr w:type="spellStart"/>
      <w:r>
        <w:t>Beauchemin</w:t>
      </w:r>
      <w:proofErr w:type="spellEnd"/>
      <w:r>
        <w:t xml:space="preserve">, A. </w:t>
      </w:r>
      <w:r>
        <w:rPr>
          <w:i/>
        </w:rPr>
        <w:t xml:space="preserve">Org. React. </w:t>
      </w:r>
      <w:r>
        <w:rPr>
          <w:b/>
        </w:rPr>
        <w:t>2001</w:t>
      </w:r>
      <w:r>
        <w:t xml:space="preserve">, </w:t>
      </w:r>
      <w:r>
        <w:rPr>
          <w:i/>
        </w:rPr>
        <w:t>58</w:t>
      </w:r>
      <w:r>
        <w:t>, 1.</w:t>
      </w:r>
    </w:p>
    <w:p w:rsidR="009843D8" w:rsidRPr="00EE3D02" w:rsidRDefault="0066480A" w:rsidP="0066480A">
      <w:pPr>
        <w:pStyle w:val="Ref"/>
      </w:pPr>
      <w:r>
        <w:t>It is envisaged that</w:t>
      </w:r>
      <w:r w:rsidR="00625DC6">
        <w:t>, if required,</w:t>
      </w:r>
      <w:r>
        <w:t xml:space="preserve"> </w:t>
      </w:r>
      <w:proofErr w:type="spellStart"/>
      <w:r>
        <w:t>meso</w:t>
      </w:r>
      <w:proofErr w:type="spellEnd"/>
      <w:r>
        <w:t xml:space="preserve">-diol </w:t>
      </w:r>
      <w:r>
        <w:rPr>
          <w:b/>
        </w:rPr>
        <w:t xml:space="preserve">11 </w:t>
      </w:r>
      <w:r>
        <w:t xml:space="preserve">may also be converted into enantioenriched versions of compounds </w:t>
      </w:r>
      <w:r>
        <w:rPr>
          <w:b/>
        </w:rPr>
        <w:t>12a-</w:t>
      </w:r>
      <w:r w:rsidRPr="0066480A">
        <w:rPr>
          <w:b/>
        </w:rPr>
        <w:t>c</w:t>
      </w:r>
      <w:r>
        <w:t>, via an enzymatic desymmetrisation reaction sequence</w:t>
      </w:r>
      <w:r w:rsidR="00625DC6">
        <w:t xml:space="preserve">. For a related example of this </w:t>
      </w:r>
      <w:r w:rsidR="003065A0">
        <w:t xml:space="preserve">type of process </w:t>
      </w:r>
      <w:r w:rsidR="00625DC6">
        <w:t>used in a total synthesis</w:t>
      </w:r>
      <w:r>
        <w:t xml:space="preserve"> see: </w:t>
      </w:r>
      <w:r w:rsidRPr="0066480A">
        <w:t xml:space="preserve">Unsworth, W. P.; Gallagher, K. A.; Jean, M.; Schmidt, J. P.; </w:t>
      </w:r>
      <w:proofErr w:type="spellStart"/>
      <w:r w:rsidRPr="0066480A">
        <w:t>Diorazio</w:t>
      </w:r>
      <w:proofErr w:type="spellEnd"/>
      <w:r w:rsidRPr="0066480A">
        <w:t xml:space="preserve">, L. J.; Taylor, R. J. K. </w:t>
      </w:r>
      <w:r w:rsidRPr="0066480A">
        <w:rPr>
          <w:i/>
        </w:rPr>
        <w:t>Org. Lett</w:t>
      </w:r>
      <w:r w:rsidRPr="0066480A">
        <w:t xml:space="preserve">., </w:t>
      </w:r>
      <w:r w:rsidRPr="0066480A">
        <w:rPr>
          <w:b/>
        </w:rPr>
        <w:t>2013</w:t>
      </w:r>
      <w:r w:rsidRPr="0066480A">
        <w:t xml:space="preserve">, </w:t>
      </w:r>
      <w:r w:rsidRPr="0066480A">
        <w:rPr>
          <w:i/>
        </w:rPr>
        <w:t>15</w:t>
      </w:r>
      <w:r w:rsidRPr="0066480A">
        <w:t>, 262</w:t>
      </w:r>
      <w:r>
        <w:t>.</w:t>
      </w:r>
    </w:p>
    <w:p w:rsidR="00FE2EFE" w:rsidRDefault="00EE3D02" w:rsidP="00FE2EFE">
      <w:pPr>
        <w:pStyle w:val="Ref"/>
      </w:pPr>
      <w:r w:rsidRPr="00EE3D02">
        <w:t xml:space="preserve">Nakamura, M.; Hirai, A.; Nakamura, E. </w:t>
      </w:r>
      <w:r w:rsidRPr="00EE3D02">
        <w:rPr>
          <w:i/>
        </w:rPr>
        <w:t>J. Am. Chem. Soc</w:t>
      </w:r>
      <w:r w:rsidRPr="00EE3D02">
        <w:t xml:space="preserve">., </w:t>
      </w:r>
      <w:r w:rsidRPr="00EE3D02">
        <w:rPr>
          <w:b/>
        </w:rPr>
        <w:t>2003</w:t>
      </w:r>
      <w:r w:rsidRPr="00EE3D02">
        <w:t xml:space="preserve">, </w:t>
      </w:r>
      <w:r w:rsidRPr="00EE3D02">
        <w:rPr>
          <w:i/>
        </w:rPr>
        <w:t>125</w:t>
      </w:r>
      <w:r w:rsidRPr="00EE3D02">
        <w:t>, 2341</w:t>
      </w:r>
      <w:r w:rsidR="00FE2EFE">
        <w:t>.</w:t>
      </w:r>
    </w:p>
    <w:p w:rsidR="00A94E72" w:rsidRDefault="00A94E72" w:rsidP="00A94E72">
      <w:pPr>
        <w:pStyle w:val="Ref"/>
      </w:pPr>
      <w:r w:rsidRPr="00A94E72">
        <w:t>To a stirred solution of Et</w:t>
      </w:r>
      <w:r w:rsidRPr="00A94E72">
        <w:rPr>
          <w:vertAlign w:val="subscript"/>
        </w:rPr>
        <w:t>2</w:t>
      </w:r>
      <w:r w:rsidRPr="00A94E72">
        <w:t xml:space="preserve">Zn (170 </w:t>
      </w:r>
      <w:proofErr w:type="spellStart"/>
      <w:r w:rsidRPr="00A94E72">
        <w:t>μL</w:t>
      </w:r>
      <w:proofErr w:type="spellEnd"/>
      <w:r w:rsidRPr="00A94E72">
        <w:t xml:space="preserve">, 1 M in hexanes, 0.170 </w:t>
      </w:r>
      <w:proofErr w:type="spellStart"/>
      <w:r w:rsidRPr="00A94E72">
        <w:t>mmol</w:t>
      </w:r>
      <w:proofErr w:type="spellEnd"/>
      <w:r w:rsidRPr="00A94E72">
        <w:t>) in CH</w:t>
      </w:r>
      <w:r w:rsidRPr="00A94E72">
        <w:rPr>
          <w:vertAlign w:val="subscript"/>
        </w:rPr>
        <w:t>2</w:t>
      </w:r>
      <w:r w:rsidRPr="00A94E72">
        <w:t>Cl</w:t>
      </w:r>
      <w:r w:rsidRPr="00A94E72">
        <w:rPr>
          <w:vertAlign w:val="subscript"/>
        </w:rPr>
        <w:t>2</w:t>
      </w:r>
      <w:r w:rsidRPr="00A94E72">
        <w:t xml:space="preserve"> (1 mL) at 0 °C was added </w:t>
      </w:r>
      <w:proofErr w:type="spellStart"/>
      <w:r w:rsidRPr="00A94E72">
        <w:t>diiodomethane</w:t>
      </w:r>
      <w:proofErr w:type="spellEnd"/>
      <w:r w:rsidRPr="00A94E72">
        <w:t xml:space="preserve"> (27 </w:t>
      </w:r>
      <w:proofErr w:type="spellStart"/>
      <w:r w:rsidRPr="00A94E72">
        <w:t>μL</w:t>
      </w:r>
      <w:proofErr w:type="spellEnd"/>
      <w:r w:rsidRPr="00A94E72">
        <w:t xml:space="preserve">, 0.340 </w:t>
      </w:r>
      <w:proofErr w:type="spellStart"/>
      <w:r w:rsidRPr="00A94E72">
        <w:t>mmol</w:t>
      </w:r>
      <w:proofErr w:type="spellEnd"/>
      <w:r w:rsidRPr="00A94E72">
        <w:t xml:space="preserve">). This was stirred for 10 min before the addition of </w:t>
      </w:r>
      <w:r w:rsidRPr="00A94E72">
        <w:rPr>
          <w:b/>
        </w:rPr>
        <w:t>19</w:t>
      </w:r>
      <w:r w:rsidRPr="00A94E72">
        <w:t xml:space="preserve"> (25 mg, 0.0850 </w:t>
      </w:r>
      <w:proofErr w:type="spellStart"/>
      <w:r w:rsidRPr="00A94E72">
        <w:t>mmol</w:t>
      </w:r>
      <w:proofErr w:type="spellEnd"/>
      <w:r w:rsidRPr="00A94E72">
        <w:t>) in CH</w:t>
      </w:r>
      <w:r w:rsidRPr="00A94E72">
        <w:rPr>
          <w:vertAlign w:val="subscript"/>
        </w:rPr>
        <w:t>2</w:t>
      </w:r>
      <w:r w:rsidRPr="00A94E72">
        <w:t>Cl</w:t>
      </w:r>
      <w:r w:rsidRPr="00A94E72">
        <w:rPr>
          <w:vertAlign w:val="subscript"/>
        </w:rPr>
        <w:t>2</w:t>
      </w:r>
      <w:r w:rsidRPr="00A94E72">
        <w:t xml:space="preserve"> (1 mL) via cannula. The reaction was stirred at 0 °C for 30 min before it was quenched by the addition of sat. NH</w:t>
      </w:r>
      <w:r w:rsidRPr="00A94E72">
        <w:rPr>
          <w:vertAlign w:val="subscript"/>
        </w:rPr>
        <w:t>4</w:t>
      </w:r>
      <w:r w:rsidRPr="00A94E72">
        <w:t>Cl (aq.) (5 mL). The organic layer was separated and the aqueous layer extracted with further portions of CH</w:t>
      </w:r>
      <w:r w:rsidRPr="00A94E72">
        <w:rPr>
          <w:vertAlign w:val="subscript"/>
        </w:rPr>
        <w:t>2</w:t>
      </w:r>
      <w:r w:rsidRPr="00A94E72">
        <w:t>Cl</w:t>
      </w:r>
      <w:r w:rsidRPr="00A94E72">
        <w:rPr>
          <w:vertAlign w:val="subscript"/>
        </w:rPr>
        <w:t>2</w:t>
      </w:r>
      <w:r w:rsidRPr="00A94E72">
        <w:t xml:space="preserve"> (2 × 10 mL). The combined organic extracts were dried (MgSO</w:t>
      </w:r>
      <w:r w:rsidRPr="00A94E72">
        <w:rPr>
          <w:vertAlign w:val="subscript"/>
        </w:rPr>
        <w:t>4</w:t>
      </w:r>
      <w:r w:rsidRPr="00A94E72">
        <w:t>), filtered and concentrated under reduced pressure. The resulting crude product was purified by flash column chromatography on silica gel, eluting with pet. ether:Et</w:t>
      </w:r>
      <w:r w:rsidRPr="00A94E72">
        <w:rPr>
          <w:vertAlign w:val="subscript"/>
        </w:rPr>
        <w:t>2</w:t>
      </w:r>
      <w:r w:rsidRPr="00A94E72">
        <w:t xml:space="preserve">O (15:1) to afford compound </w:t>
      </w:r>
      <w:r w:rsidRPr="00A94E72">
        <w:rPr>
          <w:b/>
        </w:rPr>
        <w:t>20a</w:t>
      </w:r>
      <w:r w:rsidRPr="00A94E72">
        <w:t xml:space="preserve"> as a </w:t>
      </w:r>
      <w:proofErr w:type="spellStart"/>
      <w:r w:rsidRPr="00A94E72">
        <w:t>colourless</w:t>
      </w:r>
      <w:proofErr w:type="spellEnd"/>
      <w:r w:rsidRPr="00A94E72">
        <w:t xml:space="preserve"> oil (8 mg, 32%) and </w:t>
      </w:r>
      <w:r w:rsidRPr="00A94E72">
        <w:rPr>
          <w:b/>
        </w:rPr>
        <w:t>20b</w:t>
      </w:r>
      <w:r w:rsidRPr="00A94E72">
        <w:t xml:space="preserve"> as a </w:t>
      </w:r>
      <w:proofErr w:type="spellStart"/>
      <w:r w:rsidRPr="00A94E72">
        <w:t>colourless</w:t>
      </w:r>
      <w:proofErr w:type="spellEnd"/>
      <w:r w:rsidRPr="00A94E72">
        <w:t xml:space="preserve"> oil (7 mg, 27%); </w:t>
      </w:r>
      <w:r w:rsidRPr="00A94E72">
        <w:rPr>
          <w:b/>
        </w:rPr>
        <w:t>20a</w:t>
      </w:r>
      <w:r w:rsidRPr="00A94E72">
        <w:t xml:space="preserve"> </w:t>
      </w:r>
      <w:proofErr w:type="spellStart"/>
      <w:r w:rsidRPr="00A94E72">
        <w:t>R</w:t>
      </w:r>
      <w:r w:rsidRPr="00A94E72">
        <w:rPr>
          <w:vertAlign w:val="subscript"/>
        </w:rPr>
        <w:t>f</w:t>
      </w:r>
      <w:proofErr w:type="spellEnd"/>
      <w:r w:rsidRPr="00A94E72">
        <w:t xml:space="preserve"> (4:1 pet. ether:Et</w:t>
      </w:r>
      <w:r w:rsidRPr="00A94E72">
        <w:rPr>
          <w:vertAlign w:val="subscript"/>
        </w:rPr>
        <w:t>2</w:t>
      </w:r>
      <w:r w:rsidRPr="00A94E72">
        <w:t xml:space="preserve">O) 0.21; </w:t>
      </w:r>
      <w:proofErr w:type="spellStart"/>
      <w:r w:rsidRPr="00A94E72">
        <w:t>υ</w:t>
      </w:r>
      <w:r w:rsidRPr="00A94E72">
        <w:rPr>
          <w:vertAlign w:val="subscript"/>
        </w:rPr>
        <w:t>max</w:t>
      </w:r>
      <w:proofErr w:type="spellEnd"/>
      <w:r w:rsidRPr="00A94E72">
        <w:t xml:space="preserve"> (thin film)/cm</w:t>
      </w:r>
      <w:r w:rsidRPr="00A94E72">
        <w:rPr>
          <w:vertAlign w:val="superscript"/>
        </w:rPr>
        <w:t xml:space="preserve">-1 </w:t>
      </w:r>
      <w:r w:rsidRPr="00A94E72">
        <w:t xml:space="preserve">3340, 2909, 2886, 2816; </w:t>
      </w:r>
      <w:r w:rsidRPr="00A94E72">
        <w:rPr>
          <w:vertAlign w:val="superscript"/>
        </w:rPr>
        <w:t>1</w:t>
      </w:r>
      <w:r w:rsidRPr="00A94E72">
        <w:t>H NMR (400 MHz; CDCl</w:t>
      </w:r>
      <w:r w:rsidRPr="00A94E72">
        <w:rPr>
          <w:vertAlign w:val="subscript"/>
        </w:rPr>
        <w:t>3</w:t>
      </w:r>
      <w:r>
        <w:t>) δ 5.25−5.15 (2H, m</w:t>
      </w:r>
      <w:r w:rsidRPr="00A94E72">
        <w:t>), 3.82−3.73 (3H, m</w:t>
      </w:r>
      <w:r>
        <w:t>)</w:t>
      </w:r>
      <w:r w:rsidRPr="00A94E72">
        <w:t xml:space="preserve">, 3.04 (1H, d, </w:t>
      </w:r>
      <w:r w:rsidRPr="00A94E72">
        <w:rPr>
          <w:i/>
        </w:rPr>
        <w:t>J</w:t>
      </w:r>
      <w:r w:rsidRPr="00A94E72">
        <w:t xml:space="preserve"> </w:t>
      </w:r>
      <w:r>
        <w:t>1</w:t>
      </w:r>
      <w:r w:rsidR="00922209">
        <w:t>0</w:t>
      </w:r>
      <w:r>
        <w:t>.5</w:t>
      </w:r>
      <w:r w:rsidRPr="00A94E72">
        <w:t xml:space="preserve">), 2.37−2.31 (1H, m), 1.80−1.74 (1H, m), 1.57−1.43 (1H, m), 1.06 (3H, s), 0.98 (3H, s), 0.92 (9H, s), 0.90−0.88 (1H, m), 0.82−0.77 (2H, m), 0.10 (3H, s), 0.10 (3H, s); </w:t>
      </w:r>
      <w:r w:rsidRPr="00A94E72">
        <w:rPr>
          <w:vertAlign w:val="superscript"/>
        </w:rPr>
        <w:t>13</w:t>
      </w:r>
      <w:r w:rsidRPr="00A94E72">
        <w:t>C NMR (101 MHz; CDCl</w:t>
      </w:r>
      <w:r w:rsidRPr="00A94E72">
        <w:rPr>
          <w:vertAlign w:val="subscript"/>
        </w:rPr>
        <w:t>3</w:t>
      </w:r>
      <w:r w:rsidRPr="00A94E72">
        <w:t>) δ 140.9, 125.0, 68.9, 65.3, 48.2, 42.7, 40.2, 39.0, 32.3, 30.7</w:t>
      </w:r>
      <w:r w:rsidR="00922209">
        <w:t xml:space="preserve">, </w:t>
      </w:r>
      <w:r w:rsidRPr="00A94E72">
        <w:t>27.7, 25.9, 19.3, 18.3, −5.3, −5.3; m/z (ESI): 333 [</w:t>
      </w:r>
      <w:proofErr w:type="spellStart"/>
      <w:r w:rsidRPr="00A94E72">
        <w:t>MNa</w:t>
      </w:r>
      <w:proofErr w:type="spellEnd"/>
      <w:r w:rsidRPr="00A94E72">
        <w:t xml:space="preserve">+]; HRMS: </w:t>
      </w:r>
      <w:proofErr w:type="spellStart"/>
      <w:r w:rsidRPr="00A94E72">
        <w:t>calcd</w:t>
      </w:r>
      <w:proofErr w:type="spellEnd"/>
      <w:r w:rsidRPr="00A94E72">
        <w:t>. for C</w:t>
      </w:r>
      <w:r w:rsidRPr="00A94E72">
        <w:rPr>
          <w:vertAlign w:val="subscript"/>
        </w:rPr>
        <w:t>18</w:t>
      </w:r>
      <w:r w:rsidRPr="00A94E72">
        <w:t>H</w:t>
      </w:r>
      <w:r w:rsidRPr="00A94E72">
        <w:rPr>
          <w:vertAlign w:val="subscript"/>
        </w:rPr>
        <w:t>34</w:t>
      </w:r>
      <w:r w:rsidRPr="00A94E72">
        <w:t>NaO</w:t>
      </w:r>
      <w:r w:rsidRPr="00A94E72">
        <w:rPr>
          <w:vertAlign w:val="subscript"/>
        </w:rPr>
        <w:t>2</w:t>
      </w:r>
      <w:r w:rsidRPr="00A94E72">
        <w:t>Si, 333.2220. Found: [</w:t>
      </w:r>
      <w:proofErr w:type="spellStart"/>
      <w:r w:rsidRPr="00A94E72">
        <w:t>MNa</w:t>
      </w:r>
      <w:proofErr w:type="spellEnd"/>
      <w:r w:rsidRPr="00A94E72">
        <w:t xml:space="preserve">+], 333.2220; </w:t>
      </w:r>
      <w:r w:rsidRPr="00A94E72">
        <w:rPr>
          <w:b/>
        </w:rPr>
        <w:t>20b</w:t>
      </w:r>
      <w:r w:rsidRPr="00A94E72">
        <w:t xml:space="preserve"> </w:t>
      </w:r>
      <w:proofErr w:type="spellStart"/>
      <w:r w:rsidRPr="00A94E72">
        <w:t>R</w:t>
      </w:r>
      <w:r w:rsidRPr="00A94E72">
        <w:rPr>
          <w:vertAlign w:val="subscript"/>
        </w:rPr>
        <w:t>f</w:t>
      </w:r>
      <w:proofErr w:type="spellEnd"/>
      <w:r w:rsidRPr="00A94E72">
        <w:t xml:space="preserve"> (4:1 pet. ether:Et</w:t>
      </w:r>
      <w:r w:rsidRPr="00A94E72">
        <w:rPr>
          <w:vertAlign w:val="subscript"/>
        </w:rPr>
        <w:t>2</w:t>
      </w:r>
      <w:r w:rsidRPr="00A94E72">
        <w:t xml:space="preserve">O) 0.16; </w:t>
      </w:r>
      <w:proofErr w:type="spellStart"/>
      <w:r w:rsidRPr="00A94E72">
        <w:t>υ</w:t>
      </w:r>
      <w:r w:rsidRPr="00A94E72">
        <w:rPr>
          <w:vertAlign w:val="subscript"/>
        </w:rPr>
        <w:t>max</w:t>
      </w:r>
      <w:proofErr w:type="spellEnd"/>
      <w:r w:rsidRPr="00A94E72">
        <w:t xml:space="preserve"> (thin film)/cm</w:t>
      </w:r>
      <w:r w:rsidRPr="00A94E72">
        <w:rPr>
          <w:vertAlign w:val="superscript"/>
        </w:rPr>
        <w:t>-1</w:t>
      </w:r>
      <w:r w:rsidRPr="00A94E72">
        <w:t xml:space="preserve"> 3354, 2910, 2884, 2814; </w:t>
      </w:r>
      <w:r w:rsidRPr="00A94E72">
        <w:rPr>
          <w:vertAlign w:val="superscript"/>
        </w:rPr>
        <w:t>1</w:t>
      </w:r>
      <w:r w:rsidRPr="00A94E72">
        <w:t xml:space="preserve">H NMR δ 5.38−5.28 (2H, m), 3.54−3.50 (2H, m), 3.36 (1H, </w:t>
      </w:r>
      <w:proofErr w:type="spellStart"/>
      <w:r w:rsidRPr="00A94E72">
        <w:t>dd</w:t>
      </w:r>
      <w:proofErr w:type="spellEnd"/>
      <w:r w:rsidRPr="00A94E72">
        <w:t xml:space="preserve">, </w:t>
      </w:r>
      <w:r w:rsidRPr="00A94E72">
        <w:rPr>
          <w:i/>
        </w:rPr>
        <w:t>J</w:t>
      </w:r>
      <w:r w:rsidRPr="00A94E72">
        <w:t xml:space="preserve"> 10.0, 8.5), 3.06 (1H, d, </w:t>
      </w:r>
      <w:r w:rsidRPr="00A94E72">
        <w:rPr>
          <w:i/>
        </w:rPr>
        <w:t>J</w:t>
      </w:r>
      <w:r w:rsidRPr="00A94E72">
        <w:t xml:space="preserve"> 10.0), 2.93−2.88 (1H, m), 1.84 (1H, </w:t>
      </w:r>
      <w:proofErr w:type="spellStart"/>
      <w:r w:rsidRPr="00A94E72">
        <w:t>ddd</w:t>
      </w:r>
      <w:proofErr w:type="spellEnd"/>
      <w:r w:rsidRPr="00A94E72">
        <w:t xml:space="preserve">, </w:t>
      </w:r>
      <w:r w:rsidRPr="00922209">
        <w:rPr>
          <w:i/>
        </w:rPr>
        <w:t>J</w:t>
      </w:r>
      <w:r w:rsidRPr="00A94E72">
        <w:t xml:space="preserve"> 14.0, 5.0, 2.0), 1.44−1.22 (2H, m), 1.09 (3H, s), 0.93 (3H, s), 0.89 (9H, s), 0.63−0.53 (2H, m), 0.06 (6H, s); </w:t>
      </w:r>
      <w:r w:rsidRPr="00922209">
        <w:rPr>
          <w:vertAlign w:val="superscript"/>
        </w:rPr>
        <w:t>13</w:t>
      </w:r>
      <w:r w:rsidRPr="00A94E72">
        <w:t>C NMR (101 MHz; CDCl</w:t>
      </w:r>
      <w:r w:rsidRPr="00922209">
        <w:rPr>
          <w:vertAlign w:val="subscript"/>
        </w:rPr>
        <w:t>3</w:t>
      </w:r>
      <w:r w:rsidRPr="00A94E72">
        <w:t>) δ 142.5, 124.7, 77.4</w:t>
      </w:r>
      <w:r w:rsidR="00922209">
        <w:t>,</w:t>
      </w:r>
      <w:r w:rsidRPr="00A94E72">
        <w:t xml:space="preserve"> 73.5, 66.5, 42.5, 41.4, 38.0, 32.7, 28.4, 27.0, 26.0, 18.3, 16.1, −5.2; m/z (ESI): 333 [</w:t>
      </w:r>
      <w:proofErr w:type="spellStart"/>
      <w:r w:rsidRPr="00A94E72">
        <w:t>MNa</w:t>
      </w:r>
      <w:proofErr w:type="spellEnd"/>
      <w:r w:rsidRPr="00A94E72">
        <w:t xml:space="preserve">+]; HRMS: </w:t>
      </w:r>
      <w:proofErr w:type="spellStart"/>
      <w:r w:rsidRPr="00A94E72">
        <w:t>calcd</w:t>
      </w:r>
      <w:proofErr w:type="spellEnd"/>
      <w:r w:rsidRPr="00A94E72">
        <w:t xml:space="preserve">. </w:t>
      </w:r>
      <w:proofErr w:type="gramStart"/>
      <w:r w:rsidRPr="00A94E72">
        <w:t>for</w:t>
      </w:r>
      <w:proofErr w:type="gramEnd"/>
      <w:r w:rsidRPr="00A94E72">
        <w:t xml:space="preserve"> C</w:t>
      </w:r>
      <w:r w:rsidRPr="00922209">
        <w:rPr>
          <w:vertAlign w:val="subscript"/>
        </w:rPr>
        <w:t>18</w:t>
      </w:r>
      <w:r w:rsidRPr="00A94E72">
        <w:t>H</w:t>
      </w:r>
      <w:r w:rsidRPr="00922209">
        <w:rPr>
          <w:vertAlign w:val="subscript"/>
        </w:rPr>
        <w:t>34</w:t>
      </w:r>
      <w:r w:rsidRPr="00A94E72">
        <w:t>NaO</w:t>
      </w:r>
      <w:r w:rsidRPr="00922209">
        <w:rPr>
          <w:vertAlign w:val="subscript"/>
        </w:rPr>
        <w:t>2</w:t>
      </w:r>
      <w:r w:rsidRPr="00A94E72">
        <w:t>Si, 333.2220. Found: [</w:t>
      </w:r>
      <w:proofErr w:type="spellStart"/>
      <w:r w:rsidRPr="00A94E72">
        <w:t>MNa</w:t>
      </w:r>
      <w:proofErr w:type="spellEnd"/>
      <w:r w:rsidRPr="00A94E72">
        <w:t>+], 333.2222.</w:t>
      </w:r>
    </w:p>
    <w:p w:rsidR="00FE55A7" w:rsidRDefault="00FE55A7" w:rsidP="00FE2EFE">
      <w:pPr>
        <w:pStyle w:val="Ref"/>
      </w:pPr>
      <w:r>
        <w:t xml:space="preserve">Compound </w:t>
      </w:r>
      <w:r>
        <w:rPr>
          <w:b/>
        </w:rPr>
        <w:t xml:space="preserve">27 </w:t>
      </w:r>
      <w:r>
        <w:t>exists as a mixture of diastereoisomers and keto/enol tautomers in solution in CDCl</w:t>
      </w:r>
      <w:r w:rsidRPr="00FE55A7">
        <w:rPr>
          <w:vertAlign w:val="subscript"/>
        </w:rPr>
        <w:t>3</w:t>
      </w:r>
      <w:r w:rsidR="002025D6">
        <w:t>,</w:t>
      </w:r>
      <w:r>
        <w:t xml:space="preserve"> complicat</w:t>
      </w:r>
      <w:r w:rsidR="002025D6">
        <w:t>ing</w:t>
      </w:r>
      <w:r>
        <w:t xml:space="preserve"> its NMR spectra such that it was not possible to determine its </w:t>
      </w:r>
      <w:r>
        <w:rPr>
          <w:i/>
        </w:rPr>
        <w:t>E</w:t>
      </w:r>
      <w:proofErr w:type="gramStart"/>
      <w:r>
        <w:rPr>
          <w:i/>
        </w:rPr>
        <w:t>:Z</w:t>
      </w:r>
      <w:proofErr w:type="gramEnd"/>
      <w:r>
        <w:rPr>
          <w:i/>
        </w:rPr>
        <w:t xml:space="preserve"> </w:t>
      </w:r>
      <w:r>
        <w:t xml:space="preserve">ratio; based on precedent for similar transformations (see reference 10) and the stereochemical outcome of the subsequent step, it is likely that the </w:t>
      </w:r>
      <w:r>
        <w:rPr>
          <w:i/>
        </w:rPr>
        <w:t>E</w:t>
      </w:r>
      <w:r>
        <w:rPr>
          <w:i/>
        </w:rPr>
        <w:softHyphen/>
        <w:t>-</w:t>
      </w:r>
      <w:r>
        <w:t>isomer predominates.</w:t>
      </w:r>
    </w:p>
    <w:p w:rsidR="00FC4F90" w:rsidRDefault="00FC4F90" w:rsidP="00FC4F90">
      <w:pPr>
        <w:pStyle w:val="Ref"/>
      </w:pPr>
      <w:r w:rsidRPr="00FC4F90">
        <w:t xml:space="preserve">A stirred solution of </w:t>
      </w:r>
      <w:r w:rsidRPr="00FC4F90">
        <w:rPr>
          <w:b/>
        </w:rPr>
        <w:t>27</w:t>
      </w:r>
      <w:r w:rsidRPr="00FC4F90">
        <w:t xml:space="preserve"> (1.00 g, 2.74 </w:t>
      </w:r>
      <w:proofErr w:type="spellStart"/>
      <w:r w:rsidRPr="00FC4F90">
        <w:t>mmol</w:t>
      </w:r>
      <w:proofErr w:type="spellEnd"/>
      <w:r w:rsidRPr="00FC4F90">
        <w:t xml:space="preserve">) in toluene (100 mL) was heated to 100 °C for 16 h. After being cooled to RT the solution was concentrated under reduced pressure. The resulting light yellow oil was </w:t>
      </w:r>
      <w:r w:rsidRPr="00FC4F90">
        <w:lastRenderedPageBreak/>
        <w:t>dissolved in CH</w:t>
      </w:r>
      <w:r w:rsidRPr="00FC4F90">
        <w:rPr>
          <w:vertAlign w:val="subscript"/>
        </w:rPr>
        <w:t>2</w:t>
      </w:r>
      <w:r w:rsidRPr="00FC4F90">
        <w:t>Cl</w:t>
      </w:r>
      <w:r w:rsidRPr="00FC4F90">
        <w:rPr>
          <w:vertAlign w:val="subscript"/>
        </w:rPr>
        <w:t>2</w:t>
      </w:r>
      <w:r w:rsidRPr="00FC4F90">
        <w:t xml:space="preserve"> (50 mL) and stirred. TFA (2.8 mL) was then added and the reaction mixture was refluxed for a further 16 h before concentrating under reduced pressure. The resulting crude product was purified by flash column chromatography on silica gel, eluting with pet. </w:t>
      </w:r>
      <w:proofErr w:type="spellStart"/>
      <w:r w:rsidRPr="00FC4F90">
        <w:t>ether:EtOAc</w:t>
      </w:r>
      <w:proofErr w:type="spellEnd"/>
      <w:r w:rsidRPr="00FC4F90">
        <w:t xml:space="preserve"> (20:1) to afford compound </w:t>
      </w:r>
      <w:r w:rsidRPr="00FC4F90">
        <w:rPr>
          <w:b/>
        </w:rPr>
        <w:t>29</w:t>
      </w:r>
      <w:r w:rsidRPr="00FC4F90">
        <w:t xml:space="preserve"> as a </w:t>
      </w:r>
      <w:proofErr w:type="spellStart"/>
      <w:r w:rsidRPr="00FC4F90">
        <w:t>colourless</w:t>
      </w:r>
      <w:proofErr w:type="spellEnd"/>
      <w:r w:rsidRPr="00FC4F90">
        <w:t xml:space="preserve"> oil (369 mg, 51%); </w:t>
      </w:r>
      <w:proofErr w:type="spellStart"/>
      <w:r w:rsidRPr="00FC4F90">
        <w:t>R</w:t>
      </w:r>
      <w:r w:rsidRPr="00AD1E23">
        <w:rPr>
          <w:vertAlign w:val="subscript"/>
        </w:rPr>
        <w:t>f</w:t>
      </w:r>
      <w:proofErr w:type="spellEnd"/>
      <w:r w:rsidRPr="00FC4F90">
        <w:t xml:space="preserve"> (20:1 pet. </w:t>
      </w:r>
      <w:proofErr w:type="spellStart"/>
      <w:r w:rsidRPr="00FC4F90">
        <w:t>ether:EtOAc</w:t>
      </w:r>
      <w:proofErr w:type="spellEnd"/>
      <w:r w:rsidRPr="00FC4F90">
        <w:t xml:space="preserve">) 0.18; </w:t>
      </w:r>
      <w:proofErr w:type="spellStart"/>
      <w:r w:rsidRPr="00AD1E23">
        <w:t>υ</w:t>
      </w:r>
      <w:r w:rsidRPr="00AD1E23">
        <w:rPr>
          <w:vertAlign w:val="subscript"/>
        </w:rPr>
        <w:t>max</w:t>
      </w:r>
      <w:proofErr w:type="spellEnd"/>
      <w:r w:rsidRPr="00FC4F90">
        <w:t xml:space="preserve"> (thin film)/cm</w:t>
      </w:r>
      <w:r w:rsidRPr="00FC4F90">
        <w:rPr>
          <w:vertAlign w:val="superscript"/>
        </w:rPr>
        <w:t>-1</w:t>
      </w:r>
      <w:r w:rsidRPr="00FC4F90">
        <w:t xml:space="preserve"> 2954, 2930, 2858, 1745; </w:t>
      </w:r>
      <w:r w:rsidRPr="00FC4F90">
        <w:rPr>
          <w:vertAlign w:val="superscript"/>
        </w:rPr>
        <w:t>1</w:t>
      </w:r>
      <w:r w:rsidRPr="00FC4F90">
        <w:t xml:space="preserve">H NMR (400 MHz; CDCl3) δ 5.83 (1H, </w:t>
      </w:r>
      <w:proofErr w:type="spellStart"/>
      <w:r w:rsidRPr="00FC4F90">
        <w:t>dd</w:t>
      </w:r>
      <w:proofErr w:type="spellEnd"/>
      <w:r w:rsidRPr="00FC4F90">
        <w:t xml:space="preserve">, </w:t>
      </w:r>
      <w:r w:rsidRPr="00A94E72">
        <w:rPr>
          <w:i/>
        </w:rPr>
        <w:t>J</w:t>
      </w:r>
      <w:r w:rsidRPr="00FC4F90">
        <w:t xml:space="preserve"> 11.5, 6.0)</w:t>
      </w:r>
      <w:r>
        <w:t xml:space="preserve">, 5.56 (1H, </w:t>
      </w:r>
      <w:proofErr w:type="spellStart"/>
      <w:r>
        <w:t>dd</w:t>
      </w:r>
      <w:proofErr w:type="spellEnd"/>
      <w:r>
        <w:t xml:space="preserve">, </w:t>
      </w:r>
      <w:r w:rsidRPr="00A94E72">
        <w:rPr>
          <w:i/>
        </w:rPr>
        <w:t>J</w:t>
      </w:r>
      <w:r>
        <w:t xml:space="preserve"> 12.0, 7.0), 5.50 (1H, </w:t>
      </w:r>
      <w:proofErr w:type="spellStart"/>
      <w:r>
        <w:t>dt</w:t>
      </w:r>
      <w:proofErr w:type="spellEnd"/>
      <w:r>
        <w:t xml:space="preserve">, </w:t>
      </w:r>
      <w:r w:rsidR="00A94E72">
        <w:rPr>
          <w:i/>
        </w:rPr>
        <w:t xml:space="preserve">J </w:t>
      </w:r>
      <w:r>
        <w:t xml:space="preserve">11.5, 2.0), 5.33 (1H, d, </w:t>
      </w:r>
      <w:r w:rsidR="00A94E72">
        <w:rPr>
          <w:i/>
        </w:rPr>
        <w:t xml:space="preserve">J </w:t>
      </w:r>
      <w:r>
        <w:t xml:space="preserve">12.0), 4.15 (2H, q, </w:t>
      </w:r>
      <w:r w:rsidRPr="00A94E72">
        <w:rPr>
          <w:i/>
        </w:rPr>
        <w:t>J</w:t>
      </w:r>
      <w:r>
        <w:t xml:space="preserve"> 7.0), 3.67−3.58 (1H, m), 2.76−2.65 (1H, m), 2.53−2.35 (2H, m), 2.11 (3H, s), 1.79-1.63 (2H, m), 1.26 (3H, t, J 7.0</w:t>
      </w:r>
      <w:r w:rsidRPr="00FC4F90">
        <w:t xml:space="preserve">), 1.13 (3H, s, H-5), 1.10 (3H, s, H-6); </w:t>
      </w:r>
      <w:r w:rsidRPr="00FC4F90">
        <w:rPr>
          <w:vertAlign w:val="superscript"/>
        </w:rPr>
        <w:t>13</w:t>
      </w:r>
      <w:r w:rsidRPr="00FC4F90">
        <w:t>C NMR (101 MHz; CDCl</w:t>
      </w:r>
      <w:r w:rsidRPr="00FC4F90">
        <w:rPr>
          <w:vertAlign w:val="subscript"/>
        </w:rPr>
        <w:t>3</w:t>
      </w:r>
      <w:r w:rsidRPr="00FC4F90">
        <w:t>) δ 208.9</w:t>
      </w:r>
      <w:r>
        <w:t>, 173.2</w:t>
      </w:r>
      <w:r w:rsidRPr="00FC4F90">
        <w:t>, 139.9</w:t>
      </w:r>
      <w:r>
        <w:t>, 139.2, 128.7, 123.2, 60.9, 47.4, 41.9</w:t>
      </w:r>
      <w:r w:rsidRPr="00FC4F90">
        <w:t>, 39.4, 39.1, 32.5, 29.9, 29.5, 27.0, 14.4; m/z (ESI): 287 [</w:t>
      </w:r>
      <w:proofErr w:type="spellStart"/>
      <w:r w:rsidRPr="00FC4F90">
        <w:t>MNa</w:t>
      </w:r>
      <w:proofErr w:type="spellEnd"/>
      <w:r w:rsidRPr="00FC4F90">
        <w:t xml:space="preserve">+]; HRMS: </w:t>
      </w:r>
      <w:proofErr w:type="spellStart"/>
      <w:r w:rsidRPr="00FC4F90">
        <w:t>calcd</w:t>
      </w:r>
      <w:proofErr w:type="spellEnd"/>
      <w:r w:rsidRPr="00FC4F90">
        <w:t>. for C</w:t>
      </w:r>
      <w:r w:rsidRPr="00FC4F90">
        <w:rPr>
          <w:vertAlign w:val="subscript"/>
        </w:rPr>
        <w:t>16</w:t>
      </w:r>
      <w:r w:rsidRPr="00FC4F90">
        <w:t>H</w:t>
      </w:r>
      <w:r w:rsidRPr="00FC4F90">
        <w:rPr>
          <w:vertAlign w:val="subscript"/>
        </w:rPr>
        <w:t>24</w:t>
      </w:r>
      <w:r w:rsidRPr="00FC4F90">
        <w:t>NaO</w:t>
      </w:r>
      <w:r w:rsidRPr="00FC4F90">
        <w:rPr>
          <w:vertAlign w:val="subscript"/>
        </w:rPr>
        <w:t>3</w:t>
      </w:r>
      <w:r w:rsidRPr="00FC4F90">
        <w:t>, 287.1618. Found: [</w:t>
      </w:r>
      <w:proofErr w:type="spellStart"/>
      <w:r w:rsidRPr="00FC4F90">
        <w:t>MNa</w:t>
      </w:r>
      <w:proofErr w:type="spellEnd"/>
      <w:r w:rsidRPr="00FC4F90">
        <w:t>+], 287.1610.</w:t>
      </w:r>
    </w:p>
    <w:p w:rsidR="00FE2EFE" w:rsidRDefault="00FE2EFE" w:rsidP="0096639E">
      <w:pPr>
        <w:pStyle w:val="Ref"/>
      </w:pPr>
      <w:r>
        <w:lastRenderedPageBreak/>
        <w:t xml:space="preserve">(a) </w:t>
      </w:r>
      <w:proofErr w:type="spellStart"/>
      <w:r>
        <w:t>Nicolaou</w:t>
      </w:r>
      <w:proofErr w:type="spellEnd"/>
      <w:r>
        <w:t xml:space="preserve">, </w:t>
      </w:r>
      <w:r w:rsidR="004D7921">
        <w:t>K. C.</w:t>
      </w:r>
      <w:r>
        <w:t xml:space="preserve">; Ellery, S. P.; Chen, J. S. </w:t>
      </w:r>
      <w:proofErr w:type="spellStart"/>
      <w:r w:rsidRPr="00FE2EFE">
        <w:rPr>
          <w:i/>
        </w:rPr>
        <w:t>Angew</w:t>
      </w:r>
      <w:proofErr w:type="spellEnd"/>
      <w:r w:rsidRPr="00FE2EFE">
        <w:rPr>
          <w:i/>
        </w:rPr>
        <w:t>. Chem., Int. Ed</w:t>
      </w:r>
      <w:r>
        <w:t xml:space="preserve">., </w:t>
      </w:r>
      <w:r w:rsidRPr="00FE2EFE">
        <w:rPr>
          <w:b/>
        </w:rPr>
        <w:t>2009</w:t>
      </w:r>
      <w:r>
        <w:t xml:space="preserve">, </w:t>
      </w:r>
      <w:r w:rsidRPr="00FE2EFE">
        <w:rPr>
          <w:i/>
        </w:rPr>
        <w:t>48</w:t>
      </w:r>
      <w:r>
        <w:t xml:space="preserve">, 7140; </w:t>
      </w:r>
      <w:r w:rsidR="0096639E">
        <w:t xml:space="preserve">(b) </w:t>
      </w:r>
      <w:proofErr w:type="spellStart"/>
      <w:r w:rsidR="0096639E">
        <w:t>Banwell</w:t>
      </w:r>
      <w:proofErr w:type="spellEnd"/>
      <w:r w:rsidR="0096639E">
        <w:t xml:space="preserve">, M. G.; </w:t>
      </w:r>
      <w:proofErr w:type="spellStart"/>
      <w:r w:rsidR="0096639E">
        <w:t>Hockless</w:t>
      </w:r>
      <w:proofErr w:type="spellEnd"/>
      <w:r w:rsidR="0096639E">
        <w:t xml:space="preserve">, D. C. R.; McLeod, M. D. </w:t>
      </w:r>
      <w:r w:rsidR="0096639E" w:rsidRPr="0096639E">
        <w:rPr>
          <w:i/>
        </w:rPr>
        <w:t>New J. Chem</w:t>
      </w:r>
      <w:r w:rsidR="0096639E">
        <w:t xml:space="preserve">. </w:t>
      </w:r>
      <w:r w:rsidR="0096639E" w:rsidRPr="0096639E">
        <w:rPr>
          <w:b/>
        </w:rPr>
        <w:t>2003</w:t>
      </w:r>
      <w:r w:rsidR="0096639E">
        <w:t xml:space="preserve">, </w:t>
      </w:r>
      <w:r w:rsidR="0096639E" w:rsidRPr="0096639E">
        <w:rPr>
          <w:i/>
        </w:rPr>
        <w:t>27</w:t>
      </w:r>
      <w:r w:rsidR="0096639E">
        <w:t xml:space="preserve">, 50; </w:t>
      </w:r>
      <w:proofErr w:type="spellStart"/>
      <w:r w:rsidR="0096639E">
        <w:t>Molander</w:t>
      </w:r>
      <w:proofErr w:type="spellEnd"/>
      <w:r w:rsidR="0096639E">
        <w:t xml:space="preserve">, G. A.; George, K. M.; </w:t>
      </w:r>
      <w:proofErr w:type="spellStart"/>
      <w:r w:rsidR="0096639E">
        <w:t>Monovich</w:t>
      </w:r>
      <w:proofErr w:type="spellEnd"/>
      <w:r w:rsidR="0096639E">
        <w:t xml:space="preserve">, L. G. </w:t>
      </w:r>
      <w:r w:rsidR="0096639E" w:rsidRPr="0096639E">
        <w:rPr>
          <w:i/>
        </w:rPr>
        <w:t>J. Org. Chem</w:t>
      </w:r>
      <w:r w:rsidR="0096639E">
        <w:t xml:space="preserve">., </w:t>
      </w:r>
      <w:r w:rsidR="0096639E" w:rsidRPr="0096639E">
        <w:rPr>
          <w:b/>
        </w:rPr>
        <w:t>2003</w:t>
      </w:r>
      <w:r w:rsidR="0096639E">
        <w:t xml:space="preserve">, </w:t>
      </w:r>
      <w:r w:rsidR="0096639E" w:rsidRPr="0096639E">
        <w:rPr>
          <w:i/>
        </w:rPr>
        <w:t>68</w:t>
      </w:r>
      <w:r w:rsidR="0096639E">
        <w:t xml:space="preserve">, 9533; (c) Chen, P. ; Wang, J.; Liu, K.; Li, C. </w:t>
      </w:r>
      <w:r w:rsidR="0096639E" w:rsidRPr="0096639E">
        <w:rPr>
          <w:i/>
        </w:rPr>
        <w:t>J. Org. Chem</w:t>
      </w:r>
      <w:r w:rsidR="0096639E">
        <w:t xml:space="preserve">., </w:t>
      </w:r>
      <w:r w:rsidR="0096639E" w:rsidRPr="0096639E">
        <w:rPr>
          <w:b/>
        </w:rPr>
        <w:t>2008</w:t>
      </w:r>
      <w:r w:rsidR="0096639E">
        <w:t xml:space="preserve">, </w:t>
      </w:r>
      <w:r w:rsidR="0096639E" w:rsidRPr="0096639E">
        <w:rPr>
          <w:i/>
        </w:rPr>
        <w:t>73</w:t>
      </w:r>
      <w:r w:rsidR="0096639E">
        <w:t xml:space="preserve">, 339; (d) </w:t>
      </w:r>
      <w:proofErr w:type="spellStart"/>
      <w:r w:rsidR="0096639E">
        <w:t>Nicolaou</w:t>
      </w:r>
      <w:proofErr w:type="spellEnd"/>
      <w:r w:rsidR="0096639E">
        <w:t xml:space="preserve">, K. C.; Li, A.; Edmonds, D. J. </w:t>
      </w:r>
      <w:proofErr w:type="spellStart"/>
      <w:r w:rsidR="0096639E" w:rsidRPr="0096639E">
        <w:rPr>
          <w:i/>
        </w:rPr>
        <w:t>Angew</w:t>
      </w:r>
      <w:proofErr w:type="spellEnd"/>
      <w:r w:rsidR="0096639E" w:rsidRPr="0096639E">
        <w:rPr>
          <w:i/>
        </w:rPr>
        <w:t>. Chem. Int. Ed.</w:t>
      </w:r>
      <w:r w:rsidR="0096639E">
        <w:t xml:space="preserve">, </w:t>
      </w:r>
      <w:r w:rsidR="0096639E" w:rsidRPr="0096639E">
        <w:rPr>
          <w:b/>
        </w:rPr>
        <w:t>2006</w:t>
      </w:r>
      <w:r w:rsidR="0096639E">
        <w:t xml:space="preserve">, </w:t>
      </w:r>
      <w:r w:rsidR="0096639E" w:rsidRPr="0096639E">
        <w:rPr>
          <w:i/>
        </w:rPr>
        <w:t>45</w:t>
      </w:r>
      <w:r w:rsidR="0096639E">
        <w:t>, 7086.</w:t>
      </w:r>
    </w:p>
    <w:p w:rsidR="000C07A0" w:rsidRDefault="00A36290" w:rsidP="00A36290">
      <w:pPr>
        <w:pStyle w:val="Ref"/>
      </w:pPr>
      <w:r w:rsidRPr="00A36290">
        <w:t xml:space="preserve">In all of the experiments described, the samarium </w:t>
      </w:r>
      <w:proofErr w:type="spellStart"/>
      <w:r w:rsidRPr="00A36290">
        <w:t>diiodide</w:t>
      </w:r>
      <w:proofErr w:type="spellEnd"/>
      <w:r w:rsidRPr="00A36290">
        <w:t xml:space="preserve"> was generated using Procter’s published method</w:t>
      </w:r>
      <w:proofErr w:type="gramStart"/>
      <w:r>
        <w:t>:</w:t>
      </w:r>
      <w:r w:rsidRPr="00A36290">
        <w:t>.</w:t>
      </w:r>
      <w:proofErr w:type="spellStart"/>
      <w:proofErr w:type="gramEnd"/>
      <w:r w:rsidR="000C07A0" w:rsidRPr="000C07A0">
        <w:t>Szostak</w:t>
      </w:r>
      <w:proofErr w:type="spellEnd"/>
      <w:r w:rsidR="000C07A0" w:rsidRPr="000C07A0">
        <w:t xml:space="preserve">, </w:t>
      </w:r>
      <w:r w:rsidR="000C07A0">
        <w:t xml:space="preserve">M.; </w:t>
      </w:r>
      <w:r w:rsidR="000C07A0" w:rsidRPr="000C07A0">
        <w:t>Spain</w:t>
      </w:r>
      <w:r w:rsidR="000C07A0">
        <w:t xml:space="preserve">, M.; Procter, D. J. </w:t>
      </w:r>
      <w:r w:rsidR="000C07A0" w:rsidRPr="000C07A0">
        <w:rPr>
          <w:i/>
        </w:rPr>
        <w:t>J. Org. Chem</w:t>
      </w:r>
      <w:r w:rsidR="000C07A0">
        <w:t xml:space="preserve">., </w:t>
      </w:r>
      <w:r w:rsidR="000C07A0" w:rsidRPr="000C07A0">
        <w:rPr>
          <w:b/>
        </w:rPr>
        <w:t>2012</w:t>
      </w:r>
      <w:r w:rsidR="000C07A0" w:rsidRPr="000C07A0">
        <w:t xml:space="preserve">, </w:t>
      </w:r>
      <w:r w:rsidR="000C07A0" w:rsidRPr="000C07A0">
        <w:rPr>
          <w:i/>
        </w:rPr>
        <w:t>77</w:t>
      </w:r>
      <w:r w:rsidR="000C07A0" w:rsidRPr="000C07A0">
        <w:t>, 3049</w:t>
      </w:r>
      <w:r w:rsidR="000C07A0">
        <w:t>.</w:t>
      </w:r>
    </w:p>
    <w:p w:rsidR="006B554B" w:rsidRDefault="00C51DF0" w:rsidP="000C07A0">
      <w:pPr>
        <w:pStyle w:val="Ref"/>
      </w:pPr>
      <w:r>
        <w:t>The synthes</w:t>
      </w:r>
      <w:r w:rsidR="00F4616D">
        <w:t>e</w:t>
      </w:r>
      <w:r>
        <w:t>s of c</w:t>
      </w:r>
      <w:r w:rsidR="006B554B">
        <w:t xml:space="preserve">yclopropane intermediates similar to compound </w:t>
      </w:r>
      <w:r w:rsidR="006B554B">
        <w:rPr>
          <w:b/>
        </w:rPr>
        <w:t>3</w:t>
      </w:r>
      <w:r w:rsidR="00F4616D">
        <w:rPr>
          <w:b/>
        </w:rPr>
        <w:t>2</w:t>
      </w:r>
      <w:r w:rsidR="006B554B">
        <w:t xml:space="preserve"> </w:t>
      </w:r>
      <w:r w:rsidR="00F4616D">
        <w:t>were</w:t>
      </w:r>
      <w:r w:rsidR="006B554B">
        <w:t xml:space="preserve"> reported </w:t>
      </w:r>
      <w:r w:rsidR="00F4616D">
        <w:t>during</w:t>
      </w:r>
      <w:r w:rsidR="006B554B">
        <w:t xml:space="preserve"> Kerr’s synthesis of (+)-</w:t>
      </w:r>
      <w:proofErr w:type="spellStart"/>
      <w:r>
        <w:t>t</w:t>
      </w:r>
      <w:r w:rsidR="006B554B">
        <w:t>aylorione</w:t>
      </w:r>
      <w:proofErr w:type="spellEnd"/>
      <w:r w:rsidR="006B554B">
        <w:t xml:space="preserve">: Johnstone C.; Kerr, W. J.; Lange, U. </w:t>
      </w:r>
      <w:r w:rsidR="006B554B">
        <w:rPr>
          <w:i/>
        </w:rPr>
        <w:t>J. Chem. Soc.</w:t>
      </w:r>
      <w:r w:rsidR="007346EC">
        <w:rPr>
          <w:i/>
        </w:rPr>
        <w:t>,</w:t>
      </w:r>
      <w:r w:rsidR="006B554B">
        <w:rPr>
          <w:i/>
        </w:rPr>
        <w:t xml:space="preserve"> Chem. </w:t>
      </w:r>
      <w:proofErr w:type="spellStart"/>
      <w:r w:rsidR="006B554B">
        <w:rPr>
          <w:i/>
        </w:rPr>
        <w:t>Commun</w:t>
      </w:r>
      <w:proofErr w:type="spellEnd"/>
      <w:r w:rsidR="006B554B">
        <w:rPr>
          <w:i/>
        </w:rPr>
        <w:t xml:space="preserve">. </w:t>
      </w:r>
      <w:r w:rsidR="006B554B">
        <w:rPr>
          <w:b/>
        </w:rPr>
        <w:t>1995</w:t>
      </w:r>
      <w:r w:rsidR="006B554B">
        <w:t>, 457.</w:t>
      </w:r>
    </w:p>
    <w:p w:rsidR="00FE2EFE" w:rsidRDefault="00FE2EFE" w:rsidP="00FE2EFE">
      <w:pPr>
        <w:pStyle w:val="Ref"/>
        <w:numPr>
          <w:ilvl w:val="0"/>
          <w:numId w:val="0"/>
        </w:numPr>
        <w:ind w:left="510" w:hanging="510"/>
      </w:pPr>
    </w:p>
    <w:p w:rsidR="00FE2EFE" w:rsidRPr="00EE3D02" w:rsidRDefault="00FE2EFE" w:rsidP="00FE2EFE">
      <w:pPr>
        <w:pStyle w:val="Ref"/>
        <w:numPr>
          <w:ilvl w:val="0"/>
          <w:numId w:val="0"/>
        </w:numPr>
        <w:ind w:left="510" w:hanging="510"/>
        <w:sectPr w:rsidR="00FE2EFE" w:rsidRPr="00EE3D02" w:rsidSect="00727376">
          <w:type w:val="continuous"/>
          <w:pgSz w:w="11906" w:h="16838" w:code="9"/>
          <w:pgMar w:top="1418" w:right="992" w:bottom="1134" w:left="992" w:header="709" w:footer="709" w:gutter="0"/>
          <w:cols w:num="2" w:space="720"/>
          <w:docGrid w:linePitch="360"/>
        </w:sectPr>
      </w:pPr>
    </w:p>
    <w:p w:rsidR="002C06C7" w:rsidRDefault="002C06C7" w:rsidP="005B6C1D">
      <w:pPr>
        <w:sectPr w:rsidR="002C06C7" w:rsidSect="00727376">
          <w:headerReference w:type="default" r:id="rId22"/>
          <w:footerReference w:type="default" r:id="rId23"/>
          <w:type w:val="continuous"/>
          <w:pgSz w:w="11906" w:h="16838" w:code="9"/>
          <w:pgMar w:top="1418" w:right="992" w:bottom="1134" w:left="992" w:header="709" w:footer="709" w:gutter="0"/>
          <w:cols w:num="2" w:space="720"/>
          <w:docGrid w:linePitch="360"/>
        </w:sectPr>
      </w:pPr>
    </w:p>
    <w:tbl>
      <w:tblPr>
        <w:tblW w:w="0" w:type="auto"/>
        <w:jc w:val="center"/>
        <w:tblLayout w:type="fixed"/>
        <w:tblLook w:val="0000" w:firstRow="0" w:lastRow="0" w:firstColumn="0" w:lastColumn="0" w:noHBand="0" w:noVBand="0"/>
      </w:tblPr>
      <w:tblGrid>
        <w:gridCol w:w="5069"/>
      </w:tblGrid>
      <w:tr w:rsidR="002C06C7" w:rsidTr="005B6C1D">
        <w:trPr>
          <w:jc w:val="center"/>
        </w:trPr>
        <w:tc>
          <w:tcPr>
            <w:tcW w:w="5069" w:type="dxa"/>
          </w:tcPr>
          <w:p w:rsidR="002C06C7" w:rsidRDefault="002C06C7" w:rsidP="005B6C1D">
            <w:pPr>
              <w:pStyle w:val="TD"/>
            </w:pPr>
          </w:p>
        </w:tc>
      </w:tr>
    </w:tbl>
    <w:p w:rsidR="005B6C1D" w:rsidRDefault="005B6C1D" w:rsidP="005B6C1D">
      <w:pPr>
        <w:sectPr w:rsidR="005B6C1D" w:rsidSect="005B6C1D">
          <w:type w:val="continuous"/>
          <w:pgSz w:w="11906" w:h="16838" w:code="9"/>
          <w:pgMar w:top="1418" w:right="992" w:bottom="1134" w:left="992" w:header="709" w:footer="709" w:gutter="0"/>
          <w:cols w:space="720"/>
          <w:docGrid w:linePitch="360"/>
        </w:sectPr>
      </w:pPr>
    </w:p>
    <w:p w:rsidR="00C51DF0" w:rsidRPr="00C51DF0" w:rsidRDefault="005B6C1D" w:rsidP="00C51DF0">
      <w:r>
        <w:rPr>
          <w:b/>
        </w:rPr>
        <w:lastRenderedPageBreak/>
        <w:t>Please place the graphical abstract and short title of the article here. The short title will be used as a running header.</w:t>
      </w:r>
    </w:p>
    <w:p w:rsidR="005B6C1D" w:rsidRDefault="005B6C1D" w:rsidP="005B6C1D">
      <w:pPr>
        <w:pStyle w:val="Head1"/>
      </w:pPr>
      <w:r>
        <w:t>Manuscript submission checklist</w:t>
      </w:r>
    </w:p>
    <w:p w:rsidR="005B6C1D" w:rsidRDefault="005B6C1D" w:rsidP="005B6C1D">
      <w:r>
        <w:t xml:space="preserve"> • Statement of significance of work.</w:t>
      </w:r>
    </w:p>
    <w:p w:rsidR="005B6C1D" w:rsidRDefault="005B6C1D" w:rsidP="005B6C1D">
      <w:r>
        <w:t xml:space="preserve"> • Full mailing address, telephone, and fax numbers and e-mail address of the corresponding author.</w:t>
      </w:r>
    </w:p>
    <w:p w:rsidR="005B6C1D" w:rsidRDefault="005B6C1D" w:rsidP="005B6C1D">
      <w:r>
        <w:t xml:space="preserve"> • Graphical abstract.</w:t>
      </w:r>
    </w:p>
    <w:p w:rsidR="005B6C1D" w:rsidRDefault="005B6C1D" w:rsidP="005B6C1D">
      <w:r>
        <w:t xml:space="preserve"> • 5 key words.</w:t>
      </w:r>
    </w:p>
    <w:p w:rsidR="005B6C1D" w:rsidRDefault="005B6C1D" w:rsidP="005B6C1D">
      <w:r>
        <w:t xml:space="preserve"> • Original Word file.</w:t>
      </w:r>
    </w:p>
    <w:p w:rsidR="005B6C1D" w:rsidRDefault="005B6C1D" w:rsidP="005B6C1D">
      <w:r>
        <w:t xml:space="preserve"> • Original graphics files.</w:t>
      </w:r>
    </w:p>
    <w:p w:rsidR="005B6C1D" w:rsidRDefault="005B6C1D" w:rsidP="005B6C1D">
      <w:r>
        <w:t>Proceed to submit your article via our online submission system at http://mc.manuscriptcentral.com/synlett.</w:t>
      </w:r>
    </w:p>
    <w:p w:rsidR="005B6C1D" w:rsidRDefault="005B6C1D" w:rsidP="005B6C1D"/>
    <w:p w:rsidR="00C51DF0" w:rsidRPr="00C51DF0" w:rsidRDefault="00C51DF0" w:rsidP="005B6C1D">
      <w:pPr>
        <w:rPr>
          <w:b/>
        </w:rPr>
      </w:pPr>
      <w:r>
        <w:rPr>
          <w:b/>
        </w:rPr>
        <w:t>Graphical Abstract</w:t>
      </w:r>
    </w:p>
    <w:p w:rsidR="00C51DF0" w:rsidRDefault="00467678" w:rsidP="00E26C24">
      <w:pPr>
        <w:pStyle w:val="FigImage"/>
        <w:jc w:val="center"/>
      </w:pPr>
      <w:r>
        <w:object w:dxaOrig="8836" w:dyaOrig="1749">
          <v:shape id="_x0000_i1031" type="#_x0000_t75" style="width:441.75pt;height:87.75pt" o:ole="">
            <v:imagedata r:id="rId24" o:title=""/>
          </v:shape>
          <o:OLEObject Type="Embed" ProgID="ChemDraw.Document.6.0" ShapeID="_x0000_i1031" DrawAspect="Content" ObjectID="_1514282591" r:id="rId25"/>
        </w:object>
      </w:r>
    </w:p>
    <w:p w:rsidR="00C51DF0" w:rsidRDefault="00C51DF0" w:rsidP="00C51DF0">
      <w:pPr>
        <w:pStyle w:val="FigCaption"/>
      </w:pPr>
    </w:p>
    <w:p w:rsidR="003D6900" w:rsidRDefault="003D6900" w:rsidP="003D6900">
      <w:pPr>
        <w:rPr>
          <w:b/>
        </w:rPr>
      </w:pPr>
      <w:r>
        <w:rPr>
          <w:b/>
        </w:rPr>
        <w:t>Short Title</w:t>
      </w:r>
    </w:p>
    <w:p w:rsidR="003D6900" w:rsidRPr="003D6900" w:rsidRDefault="00D353C5" w:rsidP="003D6900">
      <w:r>
        <w:t>A</w:t>
      </w:r>
      <w:r w:rsidRPr="003D6900">
        <w:t>fricanane</w:t>
      </w:r>
      <w:r w:rsidR="00B93643">
        <w:t xml:space="preserve">s </w:t>
      </w:r>
      <w:r>
        <w:t xml:space="preserve">via </w:t>
      </w:r>
      <w:r w:rsidR="003D6900" w:rsidRPr="003D6900">
        <w:t>Cope rearrangemen</w:t>
      </w:r>
      <w:r w:rsidR="003D6900">
        <w:t xml:space="preserve">t of </w:t>
      </w:r>
      <w:proofErr w:type="spellStart"/>
      <w:r>
        <w:t>divinylcyclopropanes</w:t>
      </w:r>
      <w:proofErr w:type="spellEnd"/>
    </w:p>
    <w:sectPr w:rsidR="003D6900" w:rsidRPr="003D6900" w:rsidSect="005B6C1D">
      <w:pgSz w:w="11906" w:h="16838" w:code="9"/>
      <w:pgMar w:top="1418" w:right="992" w:bottom="1134"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1D" w:rsidRDefault="005B6C1D">
      <w:r>
        <w:separator/>
      </w:r>
    </w:p>
  </w:endnote>
  <w:endnote w:type="continuationSeparator" w:id="0">
    <w:p w:rsidR="005B6C1D" w:rsidRDefault="005B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23" w:rsidRDefault="00A93523">
    <w:pPr>
      <w:pStyle w:val="Footer"/>
    </w:pPr>
    <w:r>
      <w:t xml:space="preserve">Template for </w:t>
    </w:r>
    <w:r w:rsidRPr="00B32C0E">
      <w:rPr>
        <w:i/>
      </w:rPr>
      <w:t>SYNLETT</w:t>
    </w:r>
    <w:r>
      <w:t xml:space="preserve"> and SYNTHESIS © </w:t>
    </w:r>
    <w:proofErr w:type="gramStart"/>
    <w:r>
      <w:t>Thieme  Stuttgart</w:t>
    </w:r>
    <w:proofErr w:type="gramEnd"/>
    <w:r>
      <w:t xml:space="preserve"> · New York</w:t>
    </w:r>
    <w:r>
      <w:tab/>
    </w:r>
    <w:r>
      <w:fldChar w:fldCharType="begin"/>
    </w:r>
    <w:r>
      <w:rPr>
        <w:lang w:val="de-DE"/>
      </w:rPr>
      <w:instrText xml:space="preserve"> DATE \@ "yyyy-MM-dd" </w:instrText>
    </w:r>
    <w:r>
      <w:fldChar w:fldCharType="separate"/>
    </w:r>
    <w:r w:rsidR="00E1716F">
      <w:rPr>
        <w:noProof/>
        <w:lang w:val="de-DE"/>
      </w:rPr>
      <w:t>2016-01-14</w:t>
    </w:r>
    <w: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sidR="00E1716F">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716F">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1D" w:rsidRDefault="005B6C1D">
      <w:r>
        <w:separator/>
      </w:r>
    </w:p>
  </w:footnote>
  <w:footnote w:type="continuationSeparator" w:id="0">
    <w:p w:rsidR="005B6C1D" w:rsidRDefault="005B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23" w:rsidRDefault="00A93523">
    <w:pPr>
      <w:pStyle w:val="Header"/>
      <w:rPr>
        <w:lang w:val="fr-FR"/>
      </w:rPr>
    </w:pPr>
    <w:r>
      <w:rPr>
        <w:rStyle w:val="PageNumber"/>
      </w:rPr>
      <w:fldChar w:fldCharType="begin"/>
    </w:r>
    <w:r>
      <w:rPr>
        <w:rStyle w:val="PageNumber"/>
        <w:lang w:val="fr-FR"/>
      </w:rPr>
      <w:instrText xml:space="preserve"> PAGE </w:instrText>
    </w:r>
    <w:r>
      <w:rPr>
        <w:rStyle w:val="PageNumber"/>
      </w:rPr>
      <w:fldChar w:fldCharType="separate"/>
    </w:r>
    <w:r w:rsidR="00E1716F">
      <w:rPr>
        <w:rStyle w:val="PageNumber"/>
        <w:noProof/>
        <w:lang w:val="fr-FR"/>
      </w:rPr>
      <w:t>6</w:t>
    </w:r>
    <w:r>
      <w:rPr>
        <w:rStyle w:val="PageNumber"/>
      </w:rPr>
      <w:fldChar w:fldCharType="end"/>
    </w:r>
    <w:r>
      <w:rPr>
        <w:rStyle w:val="PageNumber"/>
        <w:lang w:val="fr-FR"/>
      </w:rPr>
      <w:tab/>
    </w:r>
    <w:r w:rsidR="005B6C1D">
      <w:rPr>
        <w:rStyle w:val="PageNumber"/>
        <w:lang w:val="fr-FR"/>
      </w:rPr>
      <w:t>SYNLETT: LETTER</w:t>
    </w:r>
    <w:r>
      <w:rPr>
        <w:lang w:val="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3E"/>
    <w:multiLevelType w:val="hybridMultilevel"/>
    <w:tmpl w:val="B3D81228"/>
    <w:lvl w:ilvl="0" w:tplc="C3DA0FB6">
      <w:start w:val="1"/>
      <w:numFmt w:val="decimal"/>
      <w:pStyle w:val="Ref"/>
      <w:lvlText w:val="(%1)"/>
      <w:lvlJc w:val="left"/>
      <w:pPr>
        <w:tabs>
          <w:tab w:val="num" w:pos="510"/>
        </w:tabs>
        <w:ind w:left="510" w:hanging="510"/>
      </w:pPr>
      <w:rPr>
        <w:rFonts w:hint="default"/>
      </w:rPr>
    </w:lvl>
    <w:lvl w:ilvl="1" w:tplc="1402ED14" w:tentative="1">
      <w:start w:val="1"/>
      <w:numFmt w:val="lowerLetter"/>
      <w:lvlText w:val="%2."/>
      <w:lvlJc w:val="left"/>
      <w:pPr>
        <w:tabs>
          <w:tab w:val="num" w:pos="1440"/>
        </w:tabs>
        <w:ind w:left="1440" w:hanging="360"/>
      </w:pPr>
    </w:lvl>
    <w:lvl w:ilvl="2" w:tplc="9E2ECB2C" w:tentative="1">
      <w:start w:val="1"/>
      <w:numFmt w:val="lowerRoman"/>
      <w:lvlText w:val="%3."/>
      <w:lvlJc w:val="right"/>
      <w:pPr>
        <w:tabs>
          <w:tab w:val="num" w:pos="2160"/>
        </w:tabs>
        <w:ind w:left="2160" w:hanging="180"/>
      </w:pPr>
    </w:lvl>
    <w:lvl w:ilvl="3" w:tplc="D3D401DC" w:tentative="1">
      <w:start w:val="1"/>
      <w:numFmt w:val="decimal"/>
      <w:lvlText w:val="%4."/>
      <w:lvlJc w:val="left"/>
      <w:pPr>
        <w:tabs>
          <w:tab w:val="num" w:pos="2880"/>
        </w:tabs>
        <w:ind w:left="2880" w:hanging="360"/>
      </w:pPr>
    </w:lvl>
    <w:lvl w:ilvl="4" w:tplc="AD46C794" w:tentative="1">
      <w:start w:val="1"/>
      <w:numFmt w:val="lowerLetter"/>
      <w:lvlText w:val="%5."/>
      <w:lvlJc w:val="left"/>
      <w:pPr>
        <w:tabs>
          <w:tab w:val="num" w:pos="3600"/>
        </w:tabs>
        <w:ind w:left="3600" w:hanging="360"/>
      </w:pPr>
    </w:lvl>
    <w:lvl w:ilvl="5" w:tplc="06CAC4E2" w:tentative="1">
      <w:start w:val="1"/>
      <w:numFmt w:val="lowerRoman"/>
      <w:lvlText w:val="%6."/>
      <w:lvlJc w:val="right"/>
      <w:pPr>
        <w:tabs>
          <w:tab w:val="num" w:pos="4320"/>
        </w:tabs>
        <w:ind w:left="4320" w:hanging="180"/>
      </w:pPr>
    </w:lvl>
    <w:lvl w:ilvl="6" w:tplc="8CE0E6C8" w:tentative="1">
      <w:start w:val="1"/>
      <w:numFmt w:val="decimal"/>
      <w:lvlText w:val="%7."/>
      <w:lvlJc w:val="left"/>
      <w:pPr>
        <w:tabs>
          <w:tab w:val="num" w:pos="5040"/>
        </w:tabs>
        <w:ind w:left="5040" w:hanging="360"/>
      </w:pPr>
    </w:lvl>
    <w:lvl w:ilvl="7" w:tplc="377E61AC" w:tentative="1">
      <w:start w:val="1"/>
      <w:numFmt w:val="lowerLetter"/>
      <w:lvlText w:val="%8."/>
      <w:lvlJc w:val="left"/>
      <w:pPr>
        <w:tabs>
          <w:tab w:val="num" w:pos="5760"/>
        </w:tabs>
        <w:ind w:left="5760" w:hanging="360"/>
      </w:pPr>
    </w:lvl>
    <w:lvl w:ilvl="8" w:tplc="95F452DA" w:tentative="1">
      <w:start w:val="1"/>
      <w:numFmt w:val="lowerRoman"/>
      <w:lvlText w:val="%9."/>
      <w:lvlJc w:val="right"/>
      <w:pPr>
        <w:tabs>
          <w:tab w:val="num" w:pos="6480"/>
        </w:tabs>
        <w:ind w:left="6480" w:hanging="180"/>
      </w:pPr>
    </w:lvl>
  </w:abstractNum>
  <w:abstractNum w:abstractNumId="1">
    <w:nsid w:val="3A907928"/>
    <w:multiLevelType w:val="hybridMultilevel"/>
    <w:tmpl w:val="BB30C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CDocType" w:val="CHOOSE AN ARTICLE TYPE"/>
    <w:docVar w:name="SysArtType_0" w:val="Synthesis: Paper@Use this template for Synthesis Papers; original research which has not been previously published except in the form of an abstract or preliminary communication@&lt;MainTitle&gt;Print out this copy of the sample article._x000d__x000a_&lt;MainTitle&gt;Main Title - Please overwrite this text with the title of the article._x000d__x000a_&lt;Author&gt;Authors - Please overwrite this text with the full names of all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Then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1" w:val="Synlett: Letter@Use this template for Synlett Letters; preliminary reports of new scientific research resul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docVar w:name="SysArtType_10" w:val="Synlett: Cluster (invited article)@Use this template for Synthesis Cluste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hen prompted to &quot;Add an Editor&quot;, please select the Editor who invited you to submit this Cluster article."/>
    <w:docVar w:name="SysArtType_2" w:val="Synthesis: PSP@Use this template for Synthesis Practical Synthetic Procedures (PSP); useful and reliable procedures presented in a compact form@&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chemeImage&gt;Please insert a 2 column scheme here providing an overview of the practial synthetic procedure provided in the manuscript._x000d__x000a_&lt;SchemeCaption&gt;&lt;B&gt;Scheme 1&lt;/B&gt; Insert the scheme legend here after the Scheme number and delete this text. All schemes must be numbered and mentioned in the text._x000d__x000a_&lt;Standard&gt;Note the Abstract, Key words, and Scheme 1 in a PSP are presented over 2 columns; please insert a 2-column scheme, the remaining formating will take place during production. 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2&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3" w:val="Synthesis: Review or Short Review (invited article)@Use this template for Synthesis Reviews or Short Reviews; critical evaluation of developments in a specific area of interest to the readership@&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Table of Contents entry - if required please overwrite this section with the table of contents for the article._x000d__x000a_&lt;ToC&gt;2_x000d__x000a_&lt;ToC&gt;2.1_x000d__x000a_&lt;ToC&gt;2.2_x000d__x000a_&lt;ToC&gt;2.3_x000d__x000a_&lt;ToC&gt;3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hort Review) or second page (Review)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Editor who invited you to submit this Review or Short Review."/>
    <w:docVar w:name="SysArtType_4" w:val="Synthesis: Feature (invited article)@Use this template for Synthesis Feature Articles; research papers with special prominence due to their high scientific standard and general interest@&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ToC&gt;1 Table of Contents entry - if required please overwrite this section with the table of contents for the article._x000d__x000a_&lt;ToC&gt;2_x000d__x000a_&lt;ToC&gt;2.1_x000d__x000a_&lt;ToC&gt;2.1.1_x000d__x000a_&lt;ToC&gt;3_x000d__x000a_&lt;ToC&gt;4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Regional Editor who invited you to submit this Feature Article._x000d__x000a_"/>
    <w:docVar w:name="SysArtType_5" w:val="Synlett: Account or Synpacts (invited article)@Use this template for Synlett Accounts or Synpacts; reviews of significant recent work from the research group of the principal autho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 Table of Contents entry - if required please overwrite this section with the table of contents for the article._x000d__x000a_&lt;ToC&gt;1.1_x000d__x000a_&lt;ToC&gt;2_x000d__x000a_&lt;ToC&gt;2.1_x000d__x000a_&lt;ToC&gt;3_x000d__x000a_&lt;ToC&gt;4_x000d__x000a_&lt;ToC&gt;5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ynpacts) or second page (Accounts)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lett. When prompted to &quot;Add an Editor&quot;, please select the Editor who invited you to submit this Account or Synpacts article."/>
    <w:docVar w:name="SysArtType_6" w:val="Synlett: New Tools@Use this template for Synlett New Tools; reviews of conceptual methodological or technical developments of areas of synthetic stragegy and methods that are of importance to synthetic chemis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lett/for-authors.html.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New Tools in Synthesis are generally invited; however, uninvited proposals or manuscripts will be considered. Please contact Michael Binanzer (michael.binanzer@thieme.de) at the Editorial Office."/>
    <w:docVar w:name="SysArtType_7" w:val="Synlett: Spotlight@Use this template for Synlett Spotlights, which focus on reagents chosen by graduate students; reagents must be approved prior to manuscript submission, consult the Instruction for Authors for more details@&lt;SYNLETT&gt;_x000d__x000a_&lt;MainTitle&gt;Print out a copy of this sample article. There is a 2-page limit for Spotlight articles. Please contact spotlights@thieme.de to get your reagent approved, before preparing the manuscript._x000d__x000a_&lt;MainTitle&gt;Please overwrite this text with the title of the article._x000d__x000a_&lt;Author&gt;Compiled by - Please enter your full name here and place the biographical sketch under your name. You may also place your  photograph here, alternatively you can send it by regular mail to the editorial office._x000d__x000a_&lt;Address&gt;Correspondence information - Please overwrite this text with the institution(s) and full mailing address where you are a student._x000d__x000a_&lt;Email&gt;E-mail: Insert your email address after the colon._x000d__x000a_&lt;Head1&gt;Introduction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page of the article at the galley proof stage. You may also place the photograph of the author here, alternatively you can send it by regular mail to the editorial office._x000d__x000a_&lt;Head1&gt;Manuscript submission checklist_x000d__x000a_&lt;Standard&gt; • Statement of significance of work._x000d__x000a_&lt;Standard&gt; • Full mailing address, telephone, and fax numbers, and email address of the corresponding author._x000d__x000a_&lt;Standard&gt; • Original Word file._x000d__x000a_&lt;Standard&gt; • Original graphics files._x000d__x000a_&lt;Standard&gt; • Biographical sketch of the author._x000d__x000a_&lt;Standard&gt; • Photograph of the author._x000d__x000a_&lt;Standard&gt;Inquiries concerning this section should be directed to the Editorial Office prior to manuscript preparation (spotlights@thieme.de)."/>
    <w:docVar w:name="SysArtType_8" w:val="Synthesis: Special Topic (invited article)@Use this template for Synthesis Special Topic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6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hen prompted to &quot;Add an Editor&quot;, please select the Editor who invited you to submit this Special Topic article._x000d__x000a_"/>
  </w:docVars>
  <w:rsids>
    <w:rsidRoot w:val="005B6C1D"/>
    <w:rsid w:val="00001FB1"/>
    <w:rsid w:val="000049E8"/>
    <w:rsid w:val="00012932"/>
    <w:rsid w:val="000145B9"/>
    <w:rsid w:val="00015A58"/>
    <w:rsid w:val="00025530"/>
    <w:rsid w:val="000256FC"/>
    <w:rsid w:val="00026469"/>
    <w:rsid w:val="000329DC"/>
    <w:rsid w:val="0003546D"/>
    <w:rsid w:val="00037521"/>
    <w:rsid w:val="00041F80"/>
    <w:rsid w:val="00053E0D"/>
    <w:rsid w:val="000603E8"/>
    <w:rsid w:val="00074545"/>
    <w:rsid w:val="000822A2"/>
    <w:rsid w:val="00086A57"/>
    <w:rsid w:val="000873C1"/>
    <w:rsid w:val="000949F0"/>
    <w:rsid w:val="00096D85"/>
    <w:rsid w:val="00097852"/>
    <w:rsid w:val="000A55D3"/>
    <w:rsid w:val="000A7AA1"/>
    <w:rsid w:val="000B5269"/>
    <w:rsid w:val="000B5F16"/>
    <w:rsid w:val="000C07A0"/>
    <w:rsid w:val="000D183D"/>
    <w:rsid w:val="000E783C"/>
    <w:rsid w:val="00103F7E"/>
    <w:rsid w:val="00106593"/>
    <w:rsid w:val="001113E8"/>
    <w:rsid w:val="00114395"/>
    <w:rsid w:val="001161B9"/>
    <w:rsid w:val="00132E8C"/>
    <w:rsid w:val="001409E2"/>
    <w:rsid w:val="00165EA7"/>
    <w:rsid w:val="0016789D"/>
    <w:rsid w:val="001701B2"/>
    <w:rsid w:val="00170426"/>
    <w:rsid w:val="00177402"/>
    <w:rsid w:val="001779C3"/>
    <w:rsid w:val="00196548"/>
    <w:rsid w:val="0019797E"/>
    <w:rsid w:val="001A31BF"/>
    <w:rsid w:val="001B6901"/>
    <w:rsid w:val="001D292E"/>
    <w:rsid w:val="001D4266"/>
    <w:rsid w:val="001F343E"/>
    <w:rsid w:val="002025D6"/>
    <w:rsid w:val="00215EDA"/>
    <w:rsid w:val="00221075"/>
    <w:rsid w:val="00222369"/>
    <w:rsid w:val="00235C2A"/>
    <w:rsid w:val="0024223D"/>
    <w:rsid w:val="00242C83"/>
    <w:rsid w:val="00260D90"/>
    <w:rsid w:val="00264769"/>
    <w:rsid w:val="0026704E"/>
    <w:rsid w:val="002728AD"/>
    <w:rsid w:val="00280BC2"/>
    <w:rsid w:val="00285533"/>
    <w:rsid w:val="002B2138"/>
    <w:rsid w:val="002C06C7"/>
    <w:rsid w:val="002C12C4"/>
    <w:rsid w:val="002C2372"/>
    <w:rsid w:val="002C4E5D"/>
    <w:rsid w:val="002C5E23"/>
    <w:rsid w:val="002C7A02"/>
    <w:rsid w:val="002D6BC6"/>
    <w:rsid w:val="002E198B"/>
    <w:rsid w:val="002F04EA"/>
    <w:rsid w:val="002F46D7"/>
    <w:rsid w:val="002F4F41"/>
    <w:rsid w:val="003065A0"/>
    <w:rsid w:val="00316260"/>
    <w:rsid w:val="00317422"/>
    <w:rsid w:val="00322173"/>
    <w:rsid w:val="00326ED2"/>
    <w:rsid w:val="003308C8"/>
    <w:rsid w:val="00355664"/>
    <w:rsid w:val="00356A12"/>
    <w:rsid w:val="00392471"/>
    <w:rsid w:val="00397E4B"/>
    <w:rsid w:val="003A65C6"/>
    <w:rsid w:val="003C374D"/>
    <w:rsid w:val="003D1490"/>
    <w:rsid w:val="003D6900"/>
    <w:rsid w:val="003F1608"/>
    <w:rsid w:val="003F4BB0"/>
    <w:rsid w:val="003F63D5"/>
    <w:rsid w:val="004062B3"/>
    <w:rsid w:val="00410571"/>
    <w:rsid w:val="0041173B"/>
    <w:rsid w:val="0042554D"/>
    <w:rsid w:val="00431E6B"/>
    <w:rsid w:val="004362C6"/>
    <w:rsid w:val="004454E2"/>
    <w:rsid w:val="00445C3B"/>
    <w:rsid w:val="00452AD8"/>
    <w:rsid w:val="004600F8"/>
    <w:rsid w:val="00467678"/>
    <w:rsid w:val="00480234"/>
    <w:rsid w:val="0049355E"/>
    <w:rsid w:val="004B6219"/>
    <w:rsid w:val="004B74EC"/>
    <w:rsid w:val="004C0EE9"/>
    <w:rsid w:val="004C5824"/>
    <w:rsid w:val="004D082C"/>
    <w:rsid w:val="004D10ED"/>
    <w:rsid w:val="004D17E6"/>
    <w:rsid w:val="004D5DE3"/>
    <w:rsid w:val="004D7921"/>
    <w:rsid w:val="004E1A68"/>
    <w:rsid w:val="004E48FC"/>
    <w:rsid w:val="004F3939"/>
    <w:rsid w:val="00504263"/>
    <w:rsid w:val="00504ECB"/>
    <w:rsid w:val="00512B05"/>
    <w:rsid w:val="00534057"/>
    <w:rsid w:val="00535ED5"/>
    <w:rsid w:val="00567AF0"/>
    <w:rsid w:val="00573A65"/>
    <w:rsid w:val="005816ED"/>
    <w:rsid w:val="00595552"/>
    <w:rsid w:val="005A5156"/>
    <w:rsid w:val="005B6C1D"/>
    <w:rsid w:val="005C45B5"/>
    <w:rsid w:val="005C66DC"/>
    <w:rsid w:val="005D3669"/>
    <w:rsid w:val="005D7A62"/>
    <w:rsid w:val="005E4833"/>
    <w:rsid w:val="006019BC"/>
    <w:rsid w:val="00604005"/>
    <w:rsid w:val="006131D3"/>
    <w:rsid w:val="00616F86"/>
    <w:rsid w:val="006208D3"/>
    <w:rsid w:val="00625DC6"/>
    <w:rsid w:val="00642C9C"/>
    <w:rsid w:val="00657CF1"/>
    <w:rsid w:val="006641F0"/>
    <w:rsid w:val="0066480A"/>
    <w:rsid w:val="00684BAA"/>
    <w:rsid w:val="00693CB6"/>
    <w:rsid w:val="006B554B"/>
    <w:rsid w:val="006C24CA"/>
    <w:rsid w:val="006E071F"/>
    <w:rsid w:val="006E1A10"/>
    <w:rsid w:val="00701755"/>
    <w:rsid w:val="00714FC6"/>
    <w:rsid w:val="00720A12"/>
    <w:rsid w:val="0072264A"/>
    <w:rsid w:val="0072705B"/>
    <w:rsid w:val="00727376"/>
    <w:rsid w:val="007346EC"/>
    <w:rsid w:val="00736F04"/>
    <w:rsid w:val="00743E0E"/>
    <w:rsid w:val="00753C7C"/>
    <w:rsid w:val="00770808"/>
    <w:rsid w:val="007739AD"/>
    <w:rsid w:val="0078325A"/>
    <w:rsid w:val="00785ECB"/>
    <w:rsid w:val="00791B18"/>
    <w:rsid w:val="007933A2"/>
    <w:rsid w:val="00796940"/>
    <w:rsid w:val="0079782F"/>
    <w:rsid w:val="007A4061"/>
    <w:rsid w:val="007C52B8"/>
    <w:rsid w:val="007C5862"/>
    <w:rsid w:val="007D138D"/>
    <w:rsid w:val="007D600E"/>
    <w:rsid w:val="007D6A3A"/>
    <w:rsid w:val="007E5F6D"/>
    <w:rsid w:val="007F0385"/>
    <w:rsid w:val="008035D2"/>
    <w:rsid w:val="00807721"/>
    <w:rsid w:val="00810718"/>
    <w:rsid w:val="00813117"/>
    <w:rsid w:val="00827A6F"/>
    <w:rsid w:val="008331B8"/>
    <w:rsid w:val="008332F7"/>
    <w:rsid w:val="0084793C"/>
    <w:rsid w:val="008543C4"/>
    <w:rsid w:val="008553D1"/>
    <w:rsid w:val="0086051D"/>
    <w:rsid w:val="00866367"/>
    <w:rsid w:val="0087210B"/>
    <w:rsid w:val="00880EAC"/>
    <w:rsid w:val="008A4481"/>
    <w:rsid w:val="008A44B4"/>
    <w:rsid w:val="008B0077"/>
    <w:rsid w:val="008B1899"/>
    <w:rsid w:val="008B4DA1"/>
    <w:rsid w:val="008B6611"/>
    <w:rsid w:val="008E1533"/>
    <w:rsid w:val="008E317E"/>
    <w:rsid w:val="008E4D19"/>
    <w:rsid w:val="008F4CE2"/>
    <w:rsid w:val="009140E6"/>
    <w:rsid w:val="00914387"/>
    <w:rsid w:val="00922209"/>
    <w:rsid w:val="00923066"/>
    <w:rsid w:val="00933241"/>
    <w:rsid w:val="00937D47"/>
    <w:rsid w:val="00942A44"/>
    <w:rsid w:val="00945670"/>
    <w:rsid w:val="00947B50"/>
    <w:rsid w:val="0096639E"/>
    <w:rsid w:val="009843D8"/>
    <w:rsid w:val="00995817"/>
    <w:rsid w:val="009A31EE"/>
    <w:rsid w:val="009B4C84"/>
    <w:rsid w:val="009B6612"/>
    <w:rsid w:val="009C41AA"/>
    <w:rsid w:val="009C713D"/>
    <w:rsid w:val="009D5093"/>
    <w:rsid w:val="009E2872"/>
    <w:rsid w:val="009F28A6"/>
    <w:rsid w:val="00A013F9"/>
    <w:rsid w:val="00A33482"/>
    <w:rsid w:val="00A36290"/>
    <w:rsid w:val="00A4463A"/>
    <w:rsid w:val="00A608B1"/>
    <w:rsid w:val="00A65A1B"/>
    <w:rsid w:val="00A66C6F"/>
    <w:rsid w:val="00A702C7"/>
    <w:rsid w:val="00A718EA"/>
    <w:rsid w:val="00A836AA"/>
    <w:rsid w:val="00A8415C"/>
    <w:rsid w:val="00A85662"/>
    <w:rsid w:val="00A92213"/>
    <w:rsid w:val="00A93523"/>
    <w:rsid w:val="00A93800"/>
    <w:rsid w:val="00A94E72"/>
    <w:rsid w:val="00AB3FE8"/>
    <w:rsid w:val="00AC1503"/>
    <w:rsid w:val="00AC7002"/>
    <w:rsid w:val="00AD1E23"/>
    <w:rsid w:val="00AD3F75"/>
    <w:rsid w:val="00AD5617"/>
    <w:rsid w:val="00AE6475"/>
    <w:rsid w:val="00AF02E6"/>
    <w:rsid w:val="00B011C0"/>
    <w:rsid w:val="00B060CF"/>
    <w:rsid w:val="00B10FED"/>
    <w:rsid w:val="00B31754"/>
    <w:rsid w:val="00B32C0E"/>
    <w:rsid w:val="00B41840"/>
    <w:rsid w:val="00B44B71"/>
    <w:rsid w:val="00B44C73"/>
    <w:rsid w:val="00B47B59"/>
    <w:rsid w:val="00B52E41"/>
    <w:rsid w:val="00B600BC"/>
    <w:rsid w:val="00B873B6"/>
    <w:rsid w:val="00B87E19"/>
    <w:rsid w:val="00B90C09"/>
    <w:rsid w:val="00B9354B"/>
    <w:rsid w:val="00B93643"/>
    <w:rsid w:val="00BA1F6E"/>
    <w:rsid w:val="00BA466D"/>
    <w:rsid w:val="00BC0932"/>
    <w:rsid w:val="00BC2E7A"/>
    <w:rsid w:val="00BC7E99"/>
    <w:rsid w:val="00BD245C"/>
    <w:rsid w:val="00BD24B7"/>
    <w:rsid w:val="00BD5903"/>
    <w:rsid w:val="00BD63B1"/>
    <w:rsid w:val="00BE3D92"/>
    <w:rsid w:val="00BF1197"/>
    <w:rsid w:val="00C22477"/>
    <w:rsid w:val="00C31D99"/>
    <w:rsid w:val="00C37432"/>
    <w:rsid w:val="00C3744D"/>
    <w:rsid w:val="00C448D3"/>
    <w:rsid w:val="00C51DF0"/>
    <w:rsid w:val="00C54E48"/>
    <w:rsid w:val="00C630EC"/>
    <w:rsid w:val="00C635EB"/>
    <w:rsid w:val="00C72E8C"/>
    <w:rsid w:val="00C80471"/>
    <w:rsid w:val="00C941D9"/>
    <w:rsid w:val="00C95B64"/>
    <w:rsid w:val="00C97935"/>
    <w:rsid w:val="00CC484E"/>
    <w:rsid w:val="00CD3C97"/>
    <w:rsid w:val="00CD6143"/>
    <w:rsid w:val="00CE5C6E"/>
    <w:rsid w:val="00CF0679"/>
    <w:rsid w:val="00CF2A1B"/>
    <w:rsid w:val="00CF3C95"/>
    <w:rsid w:val="00CF3D7F"/>
    <w:rsid w:val="00D01FC3"/>
    <w:rsid w:val="00D06473"/>
    <w:rsid w:val="00D11596"/>
    <w:rsid w:val="00D1170B"/>
    <w:rsid w:val="00D27FB0"/>
    <w:rsid w:val="00D348DD"/>
    <w:rsid w:val="00D353C5"/>
    <w:rsid w:val="00D417C8"/>
    <w:rsid w:val="00D440A6"/>
    <w:rsid w:val="00D520E8"/>
    <w:rsid w:val="00D52AB3"/>
    <w:rsid w:val="00D53512"/>
    <w:rsid w:val="00D54D33"/>
    <w:rsid w:val="00D7188E"/>
    <w:rsid w:val="00DA231A"/>
    <w:rsid w:val="00DC18C4"/>
    <w:rsid w:val="00DD3D2C"/>
    <w:rsid w:val="00DF1D82"/>
    <w:rsid w:val="00DF4E22"/>
    <w:rsid w:val="00E10DDE"/>
    <w:rsid w:val="00E1716F"/>
    <w:rsid w:val="00E20CA4"/>
    <w:rsid w:val="00E25BBC"/>
    <w:rsid w:val="00E26C24"/>
    <w:rsid w:val="00E27FD6"/>
    <w:rsid w:val="00E41F3D"/>
    <w:rsid w:val="00E45AB0"/>
    <w:rsid w:val="00E47FE1"/>
    <w:rsid w:val="00E54CC2"/>
    <w:rsid w:val="00E642CD"/>
    <w:rsid w:val="00E71715"/>
    <w:rsid w:val="00E7688B"/>
    <w:rsid w:val="00E81C6A"/>
    <w:rsid w:val="00E83D52"/>
    <w:rsid w:val="00EA4D55"/>
    <w:rsid w:val="00EA67F7"/>
    <w:rsid w:val="00EB3241"/>
    <w:rsid w:val="00EB3C0E"/>
    <w:rsid w:val="00EE3D02"/>
    <w:rsid w:val="00EF22C5"/>
    <w:rsid w:val="00F02532"/>
    <w:rsid w:val="00F04581"/>
    <w:rsid w:val="00F079C5"/>
    <w:rsid w:val="00F1086D"/>
    <w:rsid w:val="00F1228A"/>
    <w:rsid w:val="00F4616D"/>
    <w:rsid w:val="00F5786B"/>
    <w:rsid w:val="00F60BCC"/>
    <w:rsid w:val="00F635A7"/>
    <w:rsid w:val="00F67E12"/>
    <w:rsid w:val="00F824DB"/>
    <w:rsid w:val="00FB3A32"/>
    <w:rsid w:val="00FB52D1"/>
    <w:rsid w:val="00FB60F7"/>
    <w:rsid w:val="00FC39BE"/>
    <w:rsid w:val="00FC3A03"/>
    <w:rsid w:val="00FC4F90"/>
    <w:rsid w:val="00FD2153"/>
    <w:rsid w:val="00FE0011"/>
    <w:rsid w:val="00FE2EFE"/>
    <w:rsid w:val="00FE55A7"/>
    <w:rsid w:val="00FE7A16"/>
    <w:rsid w:val="00FF1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line="235" w:lineRule="exact"/>
      <w:jc w:val="both"/>
    </w:pPr>
    <w:rPr>
      <w:kern w:val="18"/>
      <w:sz w:val="21"/>
      <w:lang w:val="en-US" w:eastAsia="de-DE"/>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1" w:color="auto"/>
      </w:pBdr>
      <w:tabs>
        <w:tab w:val="right" w:pos="9900"/>
      </w:tabs>
    </w:pPr>
    <w:rPr>
      <w:sz w:val="20"/>
    </w:rPr>
  </w:style>
  <w:style w:type="paragraph" w:customStyle="1" w:styleId="MainTitle">
    <w:name w:val="MainTitle"/>
    <w:basedOn w:val="Heading1"/>
    <w:next w:val="Author"/>
    <w:pPr>
      <w:keepLines/>
      <w:framePr w:w="9923" w:hSpace="142" w:vSpace="142" w:wrap="notBeside" w:vAnchor="text" w:hAnchor="text" w:y="1" w:anchorLock="1"/>
      <w:spacing w:after="120" w:line="340" w:lineRule="exact"/>
    </w:pPr>
    <w:rPr>
      <w:rFonts w:ascii="Times New Roman" w:hAnsi="Times New Roman"/>
      <w:sz w:val="30"/>
    </w:rPr>
  </w:style>
  <w:style w:type="paragraph" w:customStyle="1" w:styleId="Author">
    <w:name w:val="Author"/>
    <w:basedOn w:val="Normal"/>
    <w:next w:val="Address"/>
    <w:pPr>
      <w:framePr w:w="9923" w:hSpace="142" w:vSpace="142" w:wrap="notBeside" w:vAnchor="text" w:hAnchor="text" w:y="1"/>
      <w:spacing w:line="230" w:lineRule="exact"/>
      <w:jc w:val="left"/>
    </w:pPr>
  </w:style>
  <w:style w:type="paragraph" w:customStyle="1" w:styleId="Address">
    <w:name w:val="Address"/>
    <w:basedOn w:val="Normal"/>
    <w:next w:val="History"/>
    <w:pPr>
      <w:framePr w:w="9923" w:hSpace="142" w:vSpace="142" w:wrap="notBeside" w:vAnchor="text" w:hAnchor="text" w:y="1"/>
      <w:spacing w:after="40" w:line="205" w:lineRule="exact"/>
      <w:jc w:val="left"/>
    </w:pPr>
    <w:rPr>
      <w:sz w:val="18"/>
    </w:rPr>
  </w:style>
  <w:style w:type="paragraph" w:customStyle="1" w:styleId="History">
    <w:name w:val="History"/>
    <w:basedOn w:val="Normal"/>
    <w:next w:val="Abstract"/>
    <w:pPr>
      <w:framePr w:w="9923" w:hSpace="142" w:vSpace="142" w:wrap="notBeside" w:vAnchor="text" w:hAnchor="text" w:y="1"/>
      <w:spacing w:after="40" w:line="200" w:lineRule="exact"/>
      <w:jc w:val="left"/>
    </w:pPr>
    <w:rPr>
      <w:i/>
      <w:sz w:val="18"/>
    </w:rPr>
  </w:style>
  <w:style w:type="paragraph" w:customStyle="1" w:styleId="Abstract">
    <w:name w:val="Abstract"/>
    <w:basedOn w:val="Normal"/>
    <w:next w:val="AbstractKW"/>
    <w:pPr>
      <w:pBdr>
        <w:top w:val="single" w:sz="8" w:space="6" w:color="999999"/>
      </w:pBdr>
      <w:spacing w:line="205" w:lineRule="exact"/>
    </w:pPr>
    <w:rPr>
      <w:sz w:val="18"/>
    </w:rPr>
  </w:style>
  <w:style w:type="paragraph" w:customStyle="1" w:styleId="AbstractKW">
    <w:name w:val="AbstractKW"/>
    <w:basedOn w:val="Normal"/>
    <w:next w:val="Head1"/>
    <w:pPr>
      <w:pBdr>
        <w:bottom w:val="single" w:sz="8" w:space="6" w:color="999999"/>
      </w:pBdr>
      <w:spacing w:line="205" w:lineRule="exact"/>
    </w:pPr>
    <w:rPr>
      <w:sz w:val="18"/>
    </w:rPr>
  </w:style>
  <w:style w:type="paragraph" w:customStyle="1" w:styleId="Head1">
    <w:name w:val="Head1"/>
    <w:basedOn w:val="Heading2"/>
    <w:next w:val="Normal"/>
    <w:pPr>
      <w:tabs>
        <w:tab w:val="left" w:pos="709"/>
      </w:tabs>
      <w:spacing w:before="470" w:after="235"/>
      <w:ind w:left="709" w:hanging="709"/>
    </w:pPr>
    <w:rPr>
      <w:rFonts w:ascii="Times New Roman" w:hAnsi="Times New Roman"/>
      <w:i w:val="0"/>
      <w:sz w:val="22"/>
    </w:rPr>
  </w:style>
  <w:style w:type="paragraph" w:customStyle="1" w:styleId="FigCaption">
    <w:name w:val="FigCaption"/>
    <w:basedOn w:val="Normal"/>
    <w:next w:val="Normal"/>
    <w:pPr>
      <w:spacing w:before="80" w:after="315" w:line="200" w:lineRule="exact"/>
      <w:jc w:val="left"/>
    </w:pPr>
    <w:rPr>
      <w:sz w:val="17"/>
    </w:rPr>
  </w:style>
  <w:style w:type="paragraph" w:customStyle="1" w:styleId="FigImage">
    <w:name w:val="FigImage"/>
    <w:basedOn w:val="Normal"/>
    <w:next w:val="FigCaption"/>
    <w:pPr>
      <w:keepNext/>
      <w:keepLines/>
      <w:pBdr>
        <w:top w:val="single" w:sz="8" w:space="1" w:color="999999"/>
        <w:left w:val="single" w:sz="8" w:space="4" w:color="999999"/>
        <w:bottom w:val="single" w:sz="8" w:space="1" w:color="999999"/>
        <w:right w:val="single" w:sz="8" w:space="4" w:color="999999"/>
      </w:pBdr>
      <w:spacing w:before="315" w:after="0" w:line="240" w:lineRule="auto"/>
      <w:jc w:val="left"/>
    </w:pPr>
  </w:style>
  <w:style w:type="paragraph" w:customStyle="1" w:styleId="TDL">
    <w:name w:val="TDL"/>
    <w:basedOn w:val="Normal"/>
    <w:next w:val="TDLImage"/>
    <w:pPr>
      <w:shd w:val="clear" w:color="auto" w:fill="99CCFF"/>
      <w:spacing w:before="240" w:line="200" w:lineRule="exact"/>
      <w:jc w:val="left"/>
    </w:pPr>
    <w:rPr>
      <w:sz w:val="17"/>
    </w:rPr>
  </w:style>
  <w:style w:type="paragraph" w:customStyle="1" w:styleId="TDLImage">
    <w:name w:val="TDLImage"/>
    <w:basedOn w:val="TDL"/>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DH">
    <w:name w:val="TDH"/>
    <w:basedOn w:val="Normal"/>
    <w:pPr>
      <w:shd w:val="clear" w:color="auto" w:fill="E6E6E6"/>
      <w:spacing w:after="0" w:line="200" w:lineRule="atLeast"/>
      <w:jc w:val="left"/>
    </w:pPr>
    <w:rPr>
      <w:sz w:val="17"/>
    </w:rPr>
  </w:style>
  <w:style w:type="paragraph" w:customStyle="1" w:styleId="TD">
    <w:name w:val="TD"/>
    <w:basedOn w:val="Normal"/>
    <w:pPr>
      <w:spacing w:after="0" w:line="200" w:lineRule="atLeast"/>
      <w:jc w:val="left"/>
    </w:pPr>
    <w:rPr>
      <w:sz w:val="17"/>
    </w:rPr>
  </w:style>
  <w:style w:type="paragraph" w:customStyle="1" w:styleId="TDFN">
    <w:name w:val="TDFN"/>
    <w:basedOn w:val="TD"/>
    <w:pPr>
      <w:shd w:val="clear" w:color="auto" w:fill="F3F3F3"/>
    </w:pPr>
  </w:style>
  <w:style w:type="paragraph" w:customStyle="1" w:styleId="TDImage">
    <w:name w:val="TDImage"/>
    <w:basedOn w:val="TD"/>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Head2">
    <w:name w:val="Head2"/>
    <w:basedOn w:val="Heading3"/>
    <w:next w:val="Normal"/>
    <w:pPr>
      <w:spacing w:before="470" w:after="235"/>
      <w:ind w:left="709" w:hanging="709"/>
    </w:pPr>
    <w:rPr>
      <w:rFonts w:ascii="Times New Roman" w:hAnsi="Times New Roman"/>
      <w:sz w:val="22"/>
    </w:rPr>
  </w:style>
  <w:style w:type="paragraph" w:customStyle="1" w:styleId="HeadAckno">
    <w:name w:val="HeadAckno"/>
    <w:basedOn w:val="Heading3"/>
    <w:next w:val="Ackno"/>
    <w:pPr>
      <w:spacing w:before="235" w:after="120"/>
    </w:pPr>
    <w:rPr>
      <w:rFonts w:ascii="Times New Roman" w:hAnsi="Times New Roman"/>
      <w:sz w:val="21"/>
    </w:rPr>
  </w:style>
  <w:style w:type="paragraph" w:customStyle="1" w:styleId="Ackno">
    <w:name w:val="Ackno"/>
    <w:basedOn w:val="Normal"/>
    <w:pPr>
      <w:spacing w:line="205" w:lineRule="exact"/>
    </w:pPr>
    <w:rPr>
      <w:sz w:val="18"/>
    </w:rPr>
  </w:style>
  <w:style w:type="paragraph" w:customStyle="1" w:styleId="HeadRefs">
    <w:name w:val="HeadRefs"/>
    <w:basedOn w:val="Heading3"/>
    <w:next w:val="Ref"/>
    <w:pPr>
      <w:spacing w:before="235" w:after="120"/>
    </w:pPr>
    <w:rPr>
      <w:rFonts w:ascii="Times New Roman" w:hAnsi="Times New Roman"/>
      <w:sz w:val="21"/>
    </w:rPr>
  </w:style>
  <w:style w:type="paragraph" w:customStyle="1" w:styleId="Ref">
    <w:name w:val="Ref"/>
    <w:basedOn w:val="Normal"/>
    <w:pPr>
      <w:numPr>
        <w:numId w:val="1"/>
      </w:numPr>
      <w:spacing w:after="0" w:line="205" w:lineRule="exact"/>
      <w:jc w:val="left"/>
    </w:pPr>
    <w:rPr>
      <w:sz w:val="18"/>
    </w:rPr>
  </w:style>
  <w:style w:type="paragraph" w:styleId="Footer">
    <w:name w:val="footer"/>
    <w:basedOn w:val="Normal"/>
    <w:pPr>
      <w:tabs>
        <w:tab w:val="center" w:pos="7020"/>
        <w:tab w:val="right" w:pos="9900"/>
      </w:tabs>
    </w:pPr>
    <w:rPr>
      <w:sz w:val="16"/>
    </w:rPr>
  </w:style>
  <w:style w:type="character" w:styleId="PageNumber">
    <w:name w:val="page number"/>
    <w:basedOn w:val="DefaultParagraphFont"/>
  </w:style>
  <w:style w:type="paragraph" w:customStyle="1" w:styleId="Fax">
    <w:name w:val="Fax"/>
    <w:basedOn w:val="Address"/>
    <w:pPr>
      <w:framePr w:wrap="notBeside"/>
    </w:pPr>
    <w:rPr>
      <w:szCs w:val="24"/>
    </w:rPr>
  </w:style>
  <w:style w:type="paragraph" w:customStyle="1" w:styleId="ToC">
    <w:name w:val="ToC"/>
    <w:basedOn w:val="Abstract"/>
    <w:next w:val="AbstractKW"/>
    <w:pPr>
      <w:pBdr>
        <w:top w:val="none" w:sz="0" w:space="0" w:color="auto"/>
      </w:pBdr>
      <w:spacing w:after="0"/>
      <w:ind w:left="510" w:hanging="510"/>
    </w:pPr>
  </w:style>
  <w:style w:type="paragraph" w:customStyle="1" w:styleId="Email">
    <w:name w:val="Email"/>
    <w:basedOn w:val="Fax"/>
    <w:next w:val="History"/>
    <w:pPr>
      <w:framePr w:wrap="notBeside"/>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ioSketch">
    <w:name w:val="BioSketch"/>
    <w:basedOn w:val="Normal"/>
    <w:pPr>
      <w:pBdr>
        <w:left w:val="single" w:sz="8" w:space="4" w:color="999999"/>
      </w:pBdr>
      <w:spacing w:before="320" w:after="0" w:line="235" w:lineRule="atLeast"/>
    </w:pPr>
  </w:style>
  <w:style w:type="paragraph" w:customStyle="1" w:styleId="Head3">
    <w:name w:val="Head3"/>
    <w:basedOn w:val="Heading4"/>
    <w:next w:val="Normal"/>
    <w:pPr>
      <w:spacing w:before="470" w:after="235"/>
      <w:ind w:left="709" w:hanging="709"/>
    </w:pPr>
    <w:rPr>
      <w:sz w:val="22"/>
    </w:rPr>
  </w:style>
  <w:style w:type="paragraph" w:customStyle="1" w:styleId="Head4">
    <w:name w:val="Head4"/>
    <w:basedOn w:val="Heading5"/>
    <w:next w:val="Normal"/>
    <w:pPr>
      <w:spacing w:before="470" w:after="235"/>
      <w:ind w:left="709" w:hanging="709"/>
    </w:pPr>
    <w:rPr>
      <w:i w:val="0"/>
      <w:sz w:val="22"/>
    </w:rPr>
  </w:style>
  <w:style w:type="paragraph" w:customStyle="1" w:styleId="Head5">
    <w:name w:val="Head5"/>
    <w:basedOn w:val="Heading6"/>
    <w:next w:val="Normal"/>
    <w:pPr>
      <w:spacing w:before="470" w:after="235"/>
      <w:ind w:left="709" w:hanging="709"/>
    </w:pPr>
  </w:style>
  <w:style w:type="paragraph" w:customStyle="1" w:styleId="SchemeImage">
    <w:name w:val="SchemeImage"/>
    <w:basedOn w:val="FigImage"/>
    <w:next w:val="SchemeCaption"/>
  </w:style>
  <w:style w:type="paragraph" w:customStyle="1" w:styleId="SchemeCaption">
    <w:name w:val="SchemeCaption"/>
    <w:basedOn w:val="FigCaption"/>
    <w:next w:val="Normal"/>
  </w:style>
  <w:style w:type="paragraph" w:customStyle="1" w:styleId="EquImage">
    <w:name w:val="EquImage"/>
    <w:basedOn w:val="FigImage"/>
    <w:next w:val="EquCaption"/>
  </w:style>
  <w:style w:type="paragraph" w:customStyle="1" w:styleId="EquCaption">
    <w:name w:val="EquCaption"/>
    <w:basedOn w:val="FigCaption"/>
    <w:next w:val="Normal"/>
  </w:style>
  <w:style w:type="paragraph" w:customStyle="1" w:styleId="Dedication">
    <w:name w:val="Dedication"/>
    <w:basedOn w:val="History"/>
    <w:next w:val="Abstract"/>
    <w:pPr>
      <w:framePr w:wrap="notBeside"/>
    </w:pPr>
  </w:style>
  <w:style w:type="paragraph" w:customStyle="1" w:styleId="BioSketchT">
    <w:name w:val="BioSketchT"/>
    <w:basedOn w:val="Author"/>
    <w:next w:val="Address"/>
    <w:pPr>
      <w:framePr w:wrap="notBeside"/>
    </w:pPr>
  </w:style>
  <w:style w:type="paragraph" w:styleId="BalloonText">
    <w:name w:val="Balloon Text"/>
    <w:basedOn w:val="Normal"/>
    <w:link w:val="BalloonTextChar"/>
    <w:rsid w:val="005B6C1D"/>
    <w:pPr>
      <w:spacing w:after="0" w:line="240" w:lineRule="auto"/>
    </w:pPr>
    <w:rPr>
      <w:rFonts w:ascii="Tahoma" w:hAnsi="Tahoma" w:cs="Tahoma"/>
      <w:sz w:val="16"/>
      <w:szCs w:val="16"/>
    </w:rPr>
  </w:style>
  <w:style w:type="paragraph" w:customStyle="1" w:styleId="Experimental">
    <w:name w:val="Experimental"/>
    <w:basedOn w:val="Normal"/>
  </w:style>
  <w:style w:type="character" w:customStyle="1" w:styleId="BalloonTextChar">
    <w:name w:val="Balloon Text Char"/>
    <w:basedOn w:val="DefaultParagraphFont"/>
    <w:link w:val="BalloonText"/>
    <w:rsid w:val="005B6C1D"/>
    <w:rPr>
      <w:rFonts w:ascii="Tahoma" w:hAnsi="Tahoma" w:cs="Tahoma"/>
      <w:kern w:val="18"/>
      <w:sz w:val="16"/>
      <w:szCs w:val="16"/>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line="235" w:lineRule="exact"/>
      <w:jc w:val="both"/>
    </w:pPr>
    <w:rPr>
      <w:kern w:val="18"/>
      <w:sz w:val="21"/>
      <w:lang w:val="en-US" w:eastAsia="de-DE"/>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1" w:color="auto"/>
      </w:pBdr>
      <w:tabs>
        <w:tab w:val="right" w:pos="9900"/>
      </w:tabs>
    </w:pPr>
    <w:rPr>
      <w:sz w:val="20"/>
    </w:rPr>
  </w:style>
  <w:style w:type="paragraph" w:customStyle="1" w:styleId="MainTitle">
    <w:name w:val="MainTitle"/>
    <w:basedOn w:val="Heading1"/>
    <w:next w:val="Author"/>
    <w:pPr>
      <w:keepLines/>
      <w:framePr w:w="9923" w:hSpace="142" w:vSpace="142" w:wrap="notBeside" w:vAnchor="text" w:hAnchor="text" w:y="1" w:anchorLock="1"/>
      <w:spacing w:after="120" w:line="340" w:lineRule="exact"/>
    </w:pPr>
    <w:rPr>
      <w:rFonts w:ascii="Times New Roman" w:hAnsi="Times New Roman"/>
      <w:sz w:val="30"/>
    </w:rPr>
  </w:style>
  <w:style w:type="paragraph" w:customStyle="1" w:styleId="Author">
    <w:name w:val="Author"/>
    <w:basedOn w:val="Normal"/>
    <w:next w:val="Address"/>
    <w:pPr>
      <w:framePr w:w="9923" w:hSpace="142" w:vSpace="142" w:wrap="notBeside" w:vAnchor="text" w:hAnchor="text" w:y="1"/>
      <w:spacing w:line="230" w:lineRule="exact"/>
      <w:jc w:val="left"/>
    </w:pPr>
  </w:style>
  <w:style w:type="paragraph" w:customStyle="1" w:styleId="Address">
    <w:name w:val="Address"/>
    <w:basedOn w:val="Normal"/>
    <w:next w:val="History"/>
    <w:pPr>
      <w:framePr w:w="9923" w:hSpace="142" w:vSpace="142" w:wrap="notBeside" w:vAnchor="text" w:hAnchor="text" w:y="1"/>
      <w:spacing w:after="40" w:line="205" w:lineRule="exact"/>
      <w:jc w:val="left"/>
    </w:pPr>
    <w:rPr>
      <w:sz w:val="18"/>
    </w:rPr>
  </w:style>
  <w:style w:type="paragraph" w:customStyle="1" w:styleId="History">
    <w:name w:val="History"/>
    <w:basedOn w:val="Normal"/>
    <w:next w:val="Abstract"/>
    <w:pPr>
      <w:framePr w:w="9923" w:hSpace="142" w:vSpace="142" w:wrap="notBeside" w:vAnchor="text" w:hAnchor="text" w:y="1"/>
      <w:spacing w:after="40" w:line="200" w:lineRule="exact"/>
      <w:jc w:val="left"/>
    </w:pPr>
    <w:rPr>
      <w:i/>
      <w:sz w:val="18"/>
    </w:rPr>
  </w:style>
  <w:style w:type="paragraph" w:customStyle="1" w:styleId="Abstract">
    <w:name w:val="Abstract"/>
    <w:basedOn w:val="Normal"/>
    <w:next w:val="AbstractKW"/>
    <w:pPr>
      <w:pBdr>
        <w:top w:val="single" w:sz="8" w:space="6" w:color="999999"/>
      </w:pBdr>
      <w:spacing w:line="205" w:lineRule="exact"/>
    </w:pPr>
    <w:rPr>
      <w:sz w:val="18"/>
    </w:rPr>
  </w:style>
  <w:style w:type="paragraph" w:customStyle="1" w:styleId="AbstractKW">
    <w:name w:val="AbstractKW"/>
    <w:basedOn w:val="Normal"/>
    <w:next w:val="Head1"/>
    <w:pPr>
      <w:pBdr>
        <w:bottom w:val="single" w:sz="8" w:space="6" w:color="999999"/>
      </w:pBdr>
      <w:spacing w:line="205" w:lineRule="exact"/>
    </w:pPr>
    <w:rPr>
      <w:sz w:val="18"/>
    </w:rPr>
  </w:style>
  <w:style w:type="paragraph" w:customStyle="1" w:styleId="Head1">
    <w:name w:val="Head1"/>
    <w:basedOn w:val="Heading2"/>
    <w:next w:val="Normal"/>
    <w:pPr>
      <w:tabs>
        <w:tab w:val="left" w:pos="709"/>
      </w:tabs>
      <w:spacing w:before="470" w:after="235"/>
      <w:ind w:left="709" w:hanging="709"/>
    </w:pPr>
    <w:rPr>
      <w:rFonts w:ascii="Times New Roman" w:hAnsi="Times New Roman"/>
      <w:i w:val="0"/>
      <w:sz w:val="22"/>
    </w:rPr>
  </w:style>
  <w:style w:type="paragraph" w:customStyle="1" w:styleId="FigCaption">
    <w:name w:val="FigCaption"/>
    <w:basedOn w:val="Normal"/>
    <w:next w:val="Normal"/>
    <w:pPr>
      <w:spacing w:before="80" w:after="315" w:line="200" w:lineRule="exact"/>
      <w:jc w:val="left"/>
    </w:pPr>
    <w:rPr>
      <w:sz w:val="17"/>
    </w:rPr>
  </w:style>
  <w:style w:type="paragraph" w:customStyle="1" w:styleId="FigImage">
    <w:name w:val="FigImage"/>
    <w:basedOn w:val="Normal"/>
    <w:next w:val="FigCaption"/>
    <w:pPr>
      <w:keepNext/>
      <w:keepLines/>
      <w:pBdr>
        <w:top w:val="single" w:sz="8" w:space="1" w:color="999999"/>
        <w:left w:val="single" w:sz="8" w:space="4" w:color="999999"/>
        <w:bottom w:val="single" w:sz="8" w:space="1" w:color="999999"/>
        <w:right w:val="single" w:sz="8" w:space="4" w:color="999999"/>
      </w:pBdr>
      <w:spacing w:before="315" w:after="0" w:line="240" w:lineRule="auto"/>
      <w:jc w:val="left"/>
    </w:pPr>
  </w:style>
  <w:style w:type="paragraph" w:customStyle="1" w:styleId="TDL">
    <w:name w:val="TDL"/>
    <w:basedOn w:val="Normal"/>
    <w:next w:val="TDLImage"/>
    <w:pPr>
      <w:shd w:val="clear" w:color="auto" w:fill="99CCFF"/>
      <w:spacing w:before="240" w:line="200" w:lineRule="exact"/>
      <w:jc w:val="left"/>
    </w:pPr>
    <w:rPr>
      <w:sz w:val="17"/>
    </w:rPr>
  </w:style>
  <w:style w:type="paragraph" w:customStyle="1" w:styleId="TDLImage">
    <w:name w:val="TDLImage"/>
    <w:basedOn w:val="TDL"/>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DH">
    <w:name w:val="TDH"/>
    <w:basedOn w:val="Normal"/>
    <w:pPr>
      <w:shd w:val="clear" w:color="auto" w:fill="E6E6E6"/>
      <w:spacing w:after="0" w:line="200" w:lineRule="atLeast"/>
      <w:jc w:val="left"/>
    </w:pPr>
    <w:rPr>
      <w:sz w:val="17"/>
    </w:rPr>
  </w:style>
  <w:style w:type="paragraph" w:customStyle="1" w:styleId="TD">
    <w:name w:val="TD"/>
    <w:basedOn w:val="Normal"/>
    <w:pPr>
      <w:spacing w:after="0" w:line="200" w:lineRule="atLeast"/>
      <w:jc w:val="left"/>
    </w:pPr>
    <w:rPr>
      <w:sz w:val="17"/>
    </w:rPr>
  </w:style>
  <w:style w:type="paragraph" w:customStyle="1" w:styleId="TDFN">
    <w:name w:val="TDFN"/>
    <w:basedOn w:val="TD"/>
    <w:pPr>
      <w:shd w:val="clear" w:color="auto" w:fill="F3F3F3"/>
    </w:pPr>
  </w:style>
  <w:style w:type="paragraph" w:customStyle="1" w:styleId="TDImage">
    <w:name w:val="TDImage"/>
    <w:basedOn w:val="TD"/>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Head2">
    <w:name w:val="Head2"/>
    <w:basedOn w:val="Heading3"/>
    <w:next w:val="Normal"/>
    <w:pPr>
      <w:spacing w:before="470" w:after="235"/>
      <w:ind w:left="709" w:hanging="709"/>
    </w:pPr>
    <w:rPr>
      <w:rFonts w:ascii="Times New Roman" w:hAnsi="Times New Roman"/>
      <w:sz w:val="22"/>
    </w:rPr>
  </w:style>
  <w:style w:type="paragraph" w:customStyle="1" w:styleId="HeadAckno">
    <w:name w:val="HeadAckno"/>
    <w:basedOn w:val="Heading3"/>
    <w:next w:val="Ackno"/>
    <w:pPr>
      <w:spacing w:before="235" w:after="120"/>
    </w:pPr>
    <w:rPr>
      <w:rFonts w:ascii="Times New Roman" w:hAnsi="Times New Roman"/>
      <w:sz w:val="21"/>
    </w:rPr>
  </w:style>
  <w:style w:type="paragraph" w:customStyle="1" w:styleId="Ackno">
    <w:name w:val="Ackno"/>
    <w:basedOn w:val="Normal"/>
    <w:pPr>
      <w:spacing w:line="205" w:lineRule="exact"/>
    </w:pPr>
    <w:rPr>
      <w:sz w:val="18"/>
    </w:rPr>
  </w:style>
  <w:style w:type="paragraph" w:customStyle="1" w:styleId="HeadRefs">
    <w:name w:val="HeadRefs"/>
    <w:basedOn w:val="Heading3"/>
    <w:next w:val="Ref"/>
    <w:pPr>
      <w:spacing w:before="235" w:after="120"/>
    </w:pPr>
    <w:rPr>
      <w:rFonts w:ascii="Times New Roman" w:hAnsi="Times New Roman"/>
      <w:sz w:val="21"/>
    </w:rPr>
  </w:style>
  <w:style w:type="paragraph" w:customStyle="1" w:styleId="Ref">
    <w:name w:val="Ref"/>
    <w:basedOn w:val="Normal"/>
    <w:pPr>
      <w:numPr>
        <w:numId w:val="1"/>
      </w:numPr>
      <w:spacing w:after="0" w:line="205" w:lineRule="exact"/>
      <w:jc w:val="left"/>
    </w:pPr>
    <w:rPr>
      <w:sz w:val="18"/>
    </w:rPr>
  </w:style>
  <w:style w:type="paragraph" w:styleId="Footer">
    <w:name w:val="footer"/>
    <w:basedOn w:val="Normal"/>
    <w:pPr>
      <w:tabs>
        <w:tab w:val="center" w:pos="7020"/>
        <w:tab w:val="right" w:pos="9900"/>
      </w:tabs>
    </w:pPr>
    <w:rPr>
      <w:sz w:val="16"/>
    </w:rPr>
  </w:style>
  <w:style w:type="character" w:styleId="PageNumber">
    <w:name w:val="page number"/>
    <w:basedOn w:val="DefaultParagraphFont"/>
  </w:style>
  <w:style w:type="paragraph" w:customStyle="1" w:styleId="Fax">
    <w:name w:val="Fax"/>
    <w:basedOn w:val="Address"/>
    <w:pPr>
      <w:framePr w:wrap="notBeside"/>
    </w:pPr>
    <w:rPr>
      <w:szCs w:val="24"/>
    </w:rPr>
  </w:style>
  <w:style w:type="paragraph" w:customStyle="1" w:styleId="ToC">
    <w:name w:val="ToC"/>
    <w:basedOn w:val="Abstract"/>
    <w:next w:val="AbstractKW"/>
    <w:pPr>
      <w:pBdr>
        <w:top w:val="none" w:sz="0" w:space="0" w:color="auto"/>
      </w:pBdr>
      <w:spacing w:after="0"/>
      <w:ind w:left="510" w:hanging="510"/>
    </w:pPr>
  </w:style>
  <w:style w:type="paragraph" w:customStyle="1" w:styleId="Email">
    <w:name w:val="Email"/>
    <w:basedOn w:val="Fax"/>
    <w:next w:val="History"/>
    <w:pPr>
      <w:framePr w:wrap="notBeside"/>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ioSketch">
    <w:name w:val="BioSketch"/>
    <w:basedOn w:val="Normal"/>
    <w:pPr>
      <w:pBdr>
        <w:left w:val="single" w:sz="8" w:space="4" w:color="999999"/>
      </w:pBdr>
      <w:spacing w:before="320" w:after="0" w:line="235" w:lineRule="atLeast"/>
    </w:pPr>
  </w:style>
  <w:style w:type="paragraph" w:customStyle="1" w:styleId="Head3">
    <w:name w:val="Head3"/>
    <w:basedOn w:val="Heading4"/>
    <w:next w:val="Normal"/>
    <w:pPr>
      <w:spacing w:before="470" w:after="235"/>
      <w:ind w:left="709" w:hanging="709"/>
    </w:pPr>
    <w:rPr>
      <w:sz w:val="22"/>
    </w:rPr>
  </w:style>
  <w:style w:type="paragraph" w:customStyle="1" w:styleId="Head4">
    <w:name w:val="Head4"/>
    <w:basedOn w:val="Heading5"/>
    <w:next w:val="Normal"/>
    <w:pPr>
      <w:spacing w:before="470" w:after="235"/>
      <w:ind w:left="709" w:hanging="709"/>
    </w:pPr>
    <w:rPr>
      <w:i w:val="0"/>
      <w:sz w:val="22"/>
    </w:rPr>
  </w:style>
  <w:style w:type="paragraph" w:customStyle="1" w:styleId="Head5">
    <w:name w:val="Head5"/>
    <w:basedOn w:val="Heading6"/>
    <w:next w:val="Normal"/>
    <w:pPr>
      <w:spacing w:before="470" w:after="235"/>
      <w:ind w:left="709" w:hanging="709"/>
    </w:pPr>
  </w:style>
  <w:style w:type="paragraph" w:customStyle="1" w:styleId="SchemeImage">
    <w:name w:val="SchemeImage"/>
    <w:basedOn w:val="FigImage"/>
    <w:next w:val="SchemeCaption"/>
  </w:style>
  <w:style w:type="paragraph" w:customStyle="1" w:styleId="SchemeCaption">
    <w:name w:val="SchemeCaption"/>
    <w:basedOn w:val="FigCaption"/>
    <w:next w:val="Normal"/>
  </w:style>
  <w:style w:type="paragraph" w:customStyle="1" w:styleId="EquImage">
    <w:name w:val="EquImage"/>
    <w:basedOn w:val="FigImage"/>
    <w:next w:val="EquCaption"/>
  </w:style>
  <w:style w:type="paragraph" w:customStyle="1" w:styleId="EquCaption">
    <w:name w:val="EquCaption"/>
    <w:basedOn w:val="FigCaption"/>
    <w:next w:val="Normal"/>
  </w:style>
  <w:style w:type="paragraph" w:customStyle="1" w:styleId="Dedication">
    <w:name w:val="Dedication"/>
    <w:basedOn w:val="History"/>
    <w:next w:val="Abstract"/>
    <w:pPr>
      <w:framePr w:wrap="notBeside"/>
    </w:pPr>
  </w:style>
  <w:style w:type="paragraph" w:customStyle="1" w:styleId="BioSketchT">
    <w:name w:val="BioSketchT"/>
    <w:basedOn w:val="Author"/>
    <w:next w:val="Address"/>
    <w:pPr>
      <w:framePr w:wrap="notBeside"/>
    </w:pPr>
  </w:style>
  <w:style w:type="paragraph" w:styleId="BalloonText">
    <w:name w:val="Balloon Text"/>
    <w:basedOn w:val="Normal"/>
    <w:link w:val="BalloonTextChar"/>
    <w:rsid w:val="005B6C1D"/>
    <w:pPr>
      <w:spacing w:after="0" w:line="240" w:lineRule="auto"/>
    </w:pPr>
    <w:rPr>
      <w:rFonts w:ascii="Tahoma" w:hAnsi="Tahoma" w:cs="Tahoma"/>
      <w:sz w:val="16"/>
      <w:szCs w:val="16"/>
    </w:rPr>
  </w:style>
  <w:style w:type="paragraph" w:customStyle="1" w:styleId="Experimental">
    <w:name w:val="Experimental"/>
    <w:basedOn w:val="Normal"/>
  </w:style>
  <w:style w:type="character" w:customStyle="1" w:styleId="BalloonTextChar">
    <w:name w:val="Balloon Text Char"/>
    <w:basedOn w:val="DefaultParagraphFont"/>
    <w:link w:val="BalloonText"/>
    <w:rsid w:val="005B6C1D"/>
    <w:rPr>
      <w:rFonts w:ascii="Tahoma" w:hAnsi="Tahoma" w:cs="Tahoma"/>
      <w:kern w:val="18"/>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ieme-connect.com/products/ejournals/journal/10.1055/s-00000083"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Local\Temp\Temp1_CFZ-Synthesis-Synlett-Template-v1.3.2.zip\CFZ-Synthesis-Synlett-Template-v1.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5409-08AA-4508-A82D-2174C3FF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CFZ-Synthesis-Synlett-Template-v1.3.2</Template>
  <TotalTime>3095</TotalTime>
  <Pages>6</Pages>
  <Words>2873</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Template for Writing Articles for Thieme Chemistry Journals</vt:lpstr>
    </vt:vector>
  </TitlesOfParts>
  <Company>University of York</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Writing Articles for Thieme Chemistry Journals</dc:title>
  <dc:creator>Will Unsworth</dc:creator>
  <dc:description>Template for Writing Articles for Thieme Chemistry Journals</dc:description>
  <cp:lastModifiedBy>Will Unsworth</cp:lastModifiedBy>
  <cp:revision>42</cp:revision>
  <cp:lastPrinted>2015-06-16T08:46:00Z</cp:lastPrinted>
  <dcterms:created xsi:type="dcterms:W3CDTF">2014-12-09T11:02:00Z</dcterms:created>
  <dcterms:modified xsi:type="dcterms:W3CDTF">2016-01-14T13:17:00Z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2002 Ziegler + Müller, programming: Marc Jung</vt:lpwstr>
  </property>
</Properties>
</file>