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7AC" w:rsidRPr="00AF36A7" w:rsidRDefault="00A447AC" w:rsidP="00D05EFD">
      <w:pPr>
        <w:spacing w:line="360" w:lineRule="auto"/>
        <w:jc w:val="both"/>
        <w:rPr>
          <w:b/>
          <w:sz w:val="28"/>
        </w:rPr>
      </w:pPr>
      <w:r w:rsidRPr="00AF36A7">
        <w:rPr>
          <w:b/>
          <w:sz w:val="28"/>
        </w:rPr>
        <w:t xml:space="preserve">Allelic variation in the vacuolar TPK1 channel affects </w:t>
      </w:r>
      <w:r w:rsidR="00E14032" w:rsidRPr="00AF36A7">
        <w:rPr>
          <w:b/>
          <w:sz w:val="28"/>
        </w:rPr>
        <w:t xml:space="preserve">its </w:t>
      </w:r>
      <w:r w:rsidRPr="00AF36A7">
        <w:rPr>
          <w:b/>
          <w:sz w:val="28"/>
        </w:rPr>
        <w:t>calcium dependence</w:t>
      </w:r>
      <w:r w:rsidR="00527EDD" w:rsidRPr="00AF36A7">
        <w:rPr>
          <w:b/>
          <w:sz w:val="28"/>
        </w:rPr>
        <w:t xml:space="preserve"> and may impact on stomatal conductance</w:t>
      </w:r>
    </w:p>
    <w:p w:rsidR="00E14032" w:rsidRPr="00AF36A7" w:rsidRDefault="00E14032" w:rsidP="00D05EFD">
      <w:pPr>
        <w:spacing w:line="360" w:lineRule="auto"/>
        <w:jc w:val="both"/>
      </w:pPr>
    </w:p>
    <w:p w:rsidR="00E14032" w:rsidRPr="00AF36A7" w:rsidRDefault="00A856D3" w:rsidP="00D05EFD">
      <w:pPr>
        <w:spacing w:line="360" w:lineRule="auto"/>
        <w:jc w:val="both"/>
      </w:pPr>
      <w:r w:rsidRPr="00AF36A7">
        <w:t xml:space="preserve">Tom N Hartley and </w:t>
      </w:r>
      <w:r w:rsidR="00E14032" w:rsidRPr="00AF36A7">
        <w:t>Frans JM Maathuis</w:t>
      </w:r>
    </w:p>
    <w:p w:rsidR="00E14032" w:rsidRPr="00AF36A7" w:rsidRDefault="00E14032" w:rsidP="00D05EFD">
      <w:pPr>
        <w:spacing w:line="360" w:lineRule="auto"/>
        <w:jc w:val="both"/>
      </w:pPr>
    </w:p>
    <w:p w:rsidR="00E14032" w:rsidRPr="00AF36A7" w:rsidRDefault="00E14032" w:rsidP="00D05EFD">
      <w:pPr>
        <w:spacing w:line="360" w:lineRule="auto"/>
        <w:jc w:val="both"/>
      </w:pPr>
      <w:r w:rsidRPr="00AF36A7">
        <w:t>Department of Biology, University of York, York YO10 5DD United Kingdom</w:t>
      </w:r>
    </w:p>
    <w:p w:rsidR="00E14032" w:rsidRPr="00AF36A7" w:rsidRDefault="00E14032" w:rsidP="00D05EFD">
      <w:pPr>
        <w:spacing w:line="360" w:lineRule="auto"/>
        <w:jc w:val="both"/>
      </w:pPr>
      <w:r w:rsidRPr="00AF36A7">
        <w:t xml:space="preserve">Corresponding author: Frans J.M. Maathuis </w:t>
      </w:r>
    </w:p>
    <w:p w:rsidR="00A447AC" w:rsidRPr="00AF36A7" w:rsidRDefault="00E14032" w:rsidP="00D05EFD">
      <w:pPr>
        <w:spacing w:line="360" w:lineRule="auto"/>
        <w:jc w:val="both"/>
      </w:pPr>
      <w:r w:rsidRPr="00AF36A7">
        <w:t>Department of Biology; University of York, York YO10 5DD, United Kingdom. Tel: +44 1904 328652, email: fjm3@york.ac.uk</w:t>
      </w:r>
    </w:p>
    <w:p w:rsidR="00A447AC" w:rsidRPr="00AF36A7" w:rsidRDefault="00A447AC" w:rsidP="00D05EFD">
      <w:pPr>
        <w:spacing w:line="360" w:lineRule="auto"/>
        <w:jc w:val="both"/>
      </w:pPr>
    </w:p>
    <w:p w:rsidR="00E14032" w:rsidRPr="00AF36A7" w:rsidRDefault="00D57664" w:rsidP="00D05EFD">
      <w:pPr>
        <w:spacing w:line="360" w:lineRule="auto"/>
        <w:jc w:val="both"/>
        <w:rPr>
          <w:b/>
        </w:rPr>
      </w:pPr>
      <w:r w:rsidRPr="00AF36A7">
        <w:rPr>
          <w:b/>
        </w:rPr>
        <w:t>S</w:t>
      </w:r>
      <w:r w:rsidR="00252121" w:rsidRPr="00AF36A7">
        <w:rPr>
          <w:b/>
        </w:rPr>
        <w:t>UMMARY</w:t>
      </w:r>
    </w:p>
    <w:p w:rsidR="001878A3" w:rsidRPr="00AF36A7" w:rsidRDefault="001878A3" w:rsidP="00D05EFD">
      <w:pPr>
        <w:spacing w:line="360" w:lineRule="auto"/>
        <w:jc w:val="both"/>
      </w:pPr>
      <w:r w:rsidRPr="00AF36A7">
        <w:t>Natural variation can be exploited to identify allelic variants of proteins. In this study patch clamp was used to determine transport properties of two AtTPK1 alleles from Landsberg and Kas-2 ecotypes. No difference in conductance or ion selectivity was observed but t</w:t>
      </w:r>
      <w:r w:rsidR="00D57664" w:rsidRPr="00AF36A7">
        <w:t>he</w:t>
      </w:r>
      <w:r w:rsidRPr="00AF36A7">
        <w:t xml:space="preserve"> Kas version of TPK1 showed different Ca</w:t>
      </w:r>
      <w:r w:rsidR="00E209AB" w:rsidRPr="00AF36A7">
        <w:rPr>
          <w:vertAlign w:val="superscript"/>
        </w:rPr>
        <w:t>2+</w:t>
      </w:r>
      <w:r w:rsidRPr="00AF36A7">
        <w:t xml:space="preserve"> dependence in its open probability compared to Ler. </w:t>
      </w:r>
      <w:r w:rsidR="009C2C55" w:rsidRPr="00AF36A7">
        <w:t>L</w:t>
      </w:r>
      <w:r w:rsidRPr="00AF36A7">
        <w:t xml:space="preserve">eaves from Kas showed </w:t>
      </w:r>
      <w:r w:rsidR="00A86EAA" w:rsidRPr="00AF36A7">
        <w:t>lower rates of</w:t>
      </w:r>
      <w:r w:rsidR="00252121" w:rsidRPr="00AF36A7">
        <w:t xml:space="preserve"> </w:t>
      </w:r>
      <w:r w:rsidRPr="00AF36A7">
        <w:t>water loss</w:t>
      </w:r>
      <w:r w:rsidR="007116D6" w:rsidRPr="00AF36A7">
        <w:t xml:space="preserve"> than those of Ler, in either the absence or presence of ABA, an observation that is </w:t>
      </w:r>
      <w:r w:rsidRPr="00AF36A7">
        <w:t>consistent</w:t>
      </w:r>
      <w:r w:rsidR="00252121" w:rsidRPr="00AF36A7">
        <w:t xml:space="preserve"> with</w:t>
      </w:r>
      <w:r w:rsidR="009C2C55" w:rsidRPr="00AF36A7">
        <w:t xml:space="preserve"> </w:t>
      </w:r>
      <w:r w:rsidR="007116D6" w:rsidRPr="00AF36A7">
        <w:t>higher TPK1</w:t>
      </w:r>
      <w:r w:rsidRPr="00AF36A7">
        <w:t xml:space="preserve"> channel activity at comparable cytoplasmic Ca</w:t>
      </w:r>
      <w:r w:rsidR="00E209AB" w:rsidRPr="00AF36A7">
        <w:rPr>
          <w:vertAlign w:val="superscript"/>
        </w:rPr>
        <w:t>2+</w:t>
      </w:r>
      <w:r w:rsidRPr="00AF36A7">
        <w:t xml:space="preserve"> concentrations. A model that explains the results is </w:t>
      </w:r>
      <w:r w:rsidR="00252121" w:rsidRPr="00AF36A7">
        <w:t>presented</w:t>
      </w:r>
      <w:r w:rsidRPr="00AF36A7">
        <w:t xml:space="preserve">. </w:t>
      </w:r>
    </w:p>
    <w:p w:rsidR="00D05EFD" w:rsidRPr="00AF36A7" w:rsidRDefault="00D05EFD" w:rsidP="00D05EFD">
      <w:pPr>
        <w:spacing w:line="360" w:lineRule="auto"/>
        <w:jc w:val="both"/>
      </w:pPr>
    </w:p>
    <w:p w:rsidR="00D05EFD" w:rsidRPr="00AF36A7" w:rsidRDefault="00D05EFD" w:rsidP="00D05EFD">
      <w:pPr>
        <w:spacing w:line="360" w:lineRule="auto"/>
        <w:jc w:val="both"/>
        <w:rPr>
          <w:b/>
        </w:rPr>
      </w:pPr>
      <w:r w:rsidRPr="00AF36A7">
        <w:rPr>
          <w:b/>
        </w:rPr>
        <w:t>KEY WORDS</w:t>
      </w:r>
    </w:p>
    <w:p w:rsidR="00D05EFD" w:rsidRPr="00AF36A7" w:rsidRDefault="00C02C82" w:rsidP="00D05EFD">
      <w:pPr>
        <w:spacing w:line="360" w:lineRule="auto"/>
        <w:jc w:val="both"/>
      </w:pPr>
      <w:r w:rsidRPr="00AF36A7">
        <w:t xml:space="preserve">Arabidopsis, </w:t>
      </w:r>
      <w:r w:rsidR="00D05EFD" w:rsidRPr="00AF36A7">
        <w:t>TPK1, stomata, patch clamp, SNP, polymorphism, water loss</w:t>
      </w:r>
    </w:p>
    <w:p w:rsidR="00D05EFD" w:rsidRPr="00AF36A7" w:rsidRDefault="00D05EFD" w:rsidP="00D05EFD">
      <w:pPr>
        <w:spacing w:line="360" w:lineRule="auto"/>
        <w:jc w:val="both"/>
      </w:pPr>
    </w:p>
    <w:p w:rsidR="00D05EFD" w:rsidRPr="00AF36A7" w:rsidRDefault="00D05EFD" w:rsidP="00D05EFD">
      <w:pPr>
        <w:spacing w:line="360" w:lineRule="auto"/>
        <w:jc w:val="both"/>
        <w:rPr>
          <w:b/>
        </w:rPr>
      </w:pPr>
      <w:r w:rsidRPr="00AF36A7">
        <w:rPr>
          <w:b/>
        </w:rPr>
        <w:t>HIGHLIGHTS</w:t>
      </w:r>
    </w:p>
    <w:p w:rsidR="00D05EFD" w:rsidRPr="00AF36A7" w:rsidRDefault="00D05EFD" w:rsidP="00D05EFD">
      <w:pPr>
        <w:spacing w:line="360" w:lineRule="auto"/>
        <w:jc w:val="both"/>
      </w:pPr>
      <w:r w:rsidRPr="00AF36A7">
        <w:t>-Kas and Ler TPK1 sequences differ in 5 SNPs</w:t>
      </w:r>
    </w:p>
    <w:p w:rsidR="00D05EFD" w:rsidRPr="00AF36A7" w:rsidRDefault="00D05EFD" w:rsidP="00D05EFD">
      <w:pPr>
        <w:spacing w:line="360" w:lineRule="auto"/>
        <w:jc w:val="both"/>
      </w:pPr>
      <w:r w:rsidRPr="00AF36A7">
        <w:t>-The Kas TPK1 allele shows different Ca</w:t>
      </w:r>
      <w:r w:rsidRPr="00AF36A7">
        <w:rPr>
          <w:vertAlign w:val="superscript"/>
        </w:rPr>
        <w:t>2+</w:t>
      </w:r>
      <w:r w:rsidRPr="00AF36A7">
        <w:t xml:space="preserve"> dependent open probability</w:t>
      </w:r>
    </w:p>
    <w:p w:rsidR="00D05EFD" w:rsidRPr="00AF36A7" w:rsidRDefault="00D05EFD" w:rsidP="00D05EFD">
      <w:pPr>
        <w:spacing w:line="360" w:lineRule="auto"/>
        <w:jc w:val="both"/>
      </w:pPr>
      <w:r w:rsidRPr="00AF36A7">
        <w:t>-Increased Kas TPK1 open probability may be caused by an SNP in the C-terminal EF hand</w:t>
      </w:r>
    </w:p>
    <w:p w:rsidR="00D05EFD" w:rsidRPr="00AF36A7" w:rsidRDefault="00D05EFD" w:rsidP="00D05EFD">
      <w:pPr>
        <w:spacing w:line="360" w:lineRule="auto"/>
        <w:jc w:val="both"/>
      </w:pPr>
      <w:r w:rsidRPr="00AF36A7">
        <w:t>-Kas leaves show less water loss compared to Ler leaves which may result from lower stomatal conductance in Kas</w:t>
      </w:r>
    </w:p>
    <w:p w:rsidR="000B5EF1" w:rsidRPr="00AF36A7" w:rsidRDefault="000B5EF1" w:rsidP="00D05EFD">
      <w:pPr>
        <w:spacing w:line="360" w:lineRule="auto"/>
        <w:jc w:val="both"/>
      </w:pPr>
    </w:p>
    <w:p w:rsidR="00D57664" w:rsidRPr="00AF36A7" w:rsidRDefault="001878A3" w:rsidP="00D05EFD">
      <w:pPr>
        <w:spacing w:line="360" w:lineRule="auto"/>
        <w:jc w:val="both"/>
        <w:rPr>
          <w:b/>
        </w:rPr>
      </w:pPr>
      <w:r w:rsidRPr="00AF36A7">
        <w:rPr>
          <w:b/>
        </w:rPr>
        <w:t xml:space="preserve"> </w:t>
      </w:r>
      <w:r w:rsidR="00D57664" w:rsidRPr="00AF36A7">
        <w:rPr>
          <w:b/>
        </w:rPr>
        <w:t xml:space="preserve"> </w:t>
      </w:r>
    </w:p>
    <w:p w:rsidR="000B5EF1" w:rsidRPr="00AF36A7" w:rsidRDefault="000B5EF1" w:rsidP="00D05EFD">
      <w:pPr>
        <w:spacing w:line="360" w:lineRule="auto"/>
        <w:jc w:val="both"/>
      </w:pPr>
    </w:p>
    <w:p w:rsidR="00A447AC" w:rsidRPr="00AF36A7" w:rsidRDefault="00A447AC" w:rsidP="00D05EFD">
      <w:pPr>
        <w:spacing w:line="360" w:lineRule="auto"/>
        <w:jc w:val="both"/>
        <w:rPr>
          <w:b/>
        </w:rPr>
      </w:pPr>
      <w:r w:rsidRPr="00AF36A7">
        <w:rPr>
          <w:b/>
        </w:rPr>
        <w:lastRenderedPageBreak/>
        <w:t>I</w:t>
      </w:r>
      <w:r w:rsidR="00D57664" w:rsidRPr="00AF36A7">
        <w:rPr>
          <w:b/>
        </w:rPr>
        <w:t>NTRODUCTION</w:t>
      </w:r>
    </w:p>
    <w:p w:rsidR="008A2078" w:rsidRPr="00AF36A7" w:rsidRDefault="003E07D6" w:rsidP="00D05EFD">
      <w:pPr>
        <w:spacing w:line="360" w:lineRule="auto"/>
        <w:jc w:val="both"/>
      </w:pPr>
      <w:r w:rsidRPr="00AF36A7">
        <w:t>TPK (two pore K</w:t>
      </w:r>
      <w:r w:rsidRPr="00AF36A7">
        <w:rPr>
          <w:vertAlign w:val="superscript"/>
        </w:rPr>
        <w:t>+</w:t>
      </w:r>
      <w:r w:rsidRPr="00AF36A7">
        <w:t xml:space="preserve">) proteins are potassium selective ion channels encoded by small gene families. In Arabidopsis, four out of five </w:t>
      </w:r>
      <w:r w:rsidR="0061049C" w:rsidRPr="00AF36A7">
        <w:t xml:space="preserve">TPK </w:t>
      </w:r>
      <w:r w:rsidRPr="00AF36A7">
        <w:t>isoforms are expressed on the vacuolar membrane (tonoplast) whereas in rice at least two tonoplast isoforms have been reported. TPK activity is controlled by cytoplasmic factors such as Ca</w:t>
      </w:r>
      <w:r w:rsidR="00E209AB" w:rsidRPr="00AF36A7">
        <w:rPr>
          <w:vertAlign w:val="superscript"/>
        </w:rPr>
        <w:t>2+</w:t>
      </w:r>
      <w:r w:rsidRPr="00AF36A7">
        <w:t xml:space="preserve"> and 14-3-3 proteins </w:t>
      </w:r>
      <w:r w:rsidR="008F56FF" w:rsidRPr="00AF36A7">
        <w:t>(Latz et al</w:t>
      </w:r>
      <w:r w:rsidR="00314016" w:rsidRPr="00AF36A7">
        <w:t xml:space="preserve">., 2007; </w:t>
      </w:r>
      <w:r w:rsidR="008F56FF" w:rsidRPr="00AF36A7">
        <w:t>Isayenkov et al</w:t>
      </w:r>
      <w:r w:rsidR="00314016" w:rsidRPr="00AF36A7">
        <w:t xml:space="preserve">., </w:t>
      </w:r>
      <w:r w:rsidR="008F56FF" w:rsidRPr="00AF36A7">
        <w:t xml:space="preserve">2011) </w:t>
      </w:r>
      <w:r w:rsidRPr="00AF36A7">
        <w:t>but also by mechano-stimuli (</w:t>
      </w:r>
      <w:r w:rsidR="008F56FF" w:rsidRPr="00AF36A7">
        <w:t>M</w:t>
      </w:r>
      <w:r w:rsidR="00314016" w:rsidRPr="00AF36A7">
        <w:t>aathuis,</w:t>
      </w:r>
      <w:r w:rsidR="008F56FF" w:rsidRPr="00AF36A7">
        <w:t xml:space="preserve"> 2010</w:t>
      </w:r>
      <w:r w:rsidRPr="00AF36A7">
        <w:t xml:space="preserve">). TPKs can catalyse both inward (into the cytoplasm) and outward </w:t>
      </w:r>
      <w:r w:rsidR="00D109EA" w:rsidRPr="00AF36A7">
        <w:t xml:space="preserve">(into the vacuole) </w:t>
      </w:r>
      <w:r w:rsidRPr="00AF36A7">
        <w:t>current but, due to prevalent electrochemical gradients, are likely to mediate vacuolar K</w:t>
      </w:r>
      <w:r w:rsidR="00E209AB" w:rsidRPr="00AF36A7">
        <w:rPr>
          <w:vertAlign w:val="superscript"/>
        </w:rPr>
        <w:t>+</w:t>
      </w:r>
      <w:r w:rsidRPr="00AF36A7">
        <w:t xml:space="preserve"> efflux in most cells. </w:t>
      </w:r>
    </w:p>
    <w:p w:rsidR="0061049C" w:rsidRPr="00AF36A7" w:rsidRDefault="0061049C" w:rsidP="00D05EFD">
      <w:pPr>
        <w:spacing w:line="360" w:lineRule="auto"/>
        <w:jc w:val="both"/>
      </w:pPr>
    </w:p>
    <w:p w:rsidR="006215D2" w:rsidRPr="00AF36A7" w:rsidRDefault="0061049C" w:rsidP="00D05EFD">
      <w:pPr>
        <w:spacing w:line="360" w:lineRule="auto"/>
        <w:jc w:val="both"/>
      </w:pPr>
      <w:r w:rsidRPr="00AF36A7">
        <w:t xml:space="preserve">The physiological role of most vacuolar TPKs is unclear but all four were able to complement </w:t>
      </w:r>
      <w:r w:rsidRPr="00AF36A7">
        <w:rPr>
          <w:i/>
        </w:rPr>
        <w:t>Escherichia coli</w:t>
      </w:r>
      <w:r w:rsidRPr="00AF36A7">
        <w:t xml:space="preserve"> cells deficient in K</w:t>
      </w:r>
      <w:r w:rsidR="00E209AB" w:rsidRPr="00AF36A7">
        <w:rPr>
          <w:vertAlign w:val="superscript"/>
        </w:rPr>
        <w:t>+</w:t>
      </w:r>
      <w:r w:rsidRPr="00AF36A7">
        <w:t xml:space="preserve"> uptake (Isayenkov and Maathuis</w:t>
      </w:r>
      <w:r w:rsidR="00E209AB" w:rsidRPr="00AF36A7">
        <w:t>,</w:t>
      </w:r>
      <w:r w:rsidRPr="00AF36A7">
        <w:t xml:space="preserve"> 2013). Out of these, </w:t>
      </w:r>
      <w:r w:rsidR="00D109EA" w:rsidRPr="00AF36A7">
        <w:t>At</w:t>
      </w:r>
      <w:r w:rsidR="003E07D6" w:rsidRPr="00AF36A7">
        <w:t>TPK</w:t>
      </w:r>
      <w:r w:rsidR="00D109EA" w:rsidRPr="00AF36A7">
        <w:t>1</w:t>
      </w:r>
      <w:r w:rsidR="003E07D6" w:rsidRPr="00AF36A7">
        <w:t xml:space="preserve"> </w:t>
      </w:r>
      <w:r w:rsidR="00D109EA" w:rsidRPr="00AF36A7">
        <w:t>is the best characterised TPK channel. It</w:t>
      </w:r>
      <w:r w:rsidR="00855144" w:rsidRPr="00AF36A7">
        <w:t xml:space="preserve"> was initially identified as the vacuolar K</w:t>
      </w:r>
      <w:r w:rsidR="00855144" w:rsidRPr="00AF36A7">
        <w:rPr>
          <w:vertAlign w:val="superscript"/>
        </w:rPr>
        <w:t>+</w:t>
      </w:r>
      <w:r w:rsidR="00855144" w:rsidRPr="00AF36A7">
        <w:t xml:space="preserve"> (VK) current by Ward and Schroeder (1994). It</w:t>
      </w:r>
      <w:r w:rsidR="00D109EA" w:rsidRPr="00AF36A7">
        <w:t xml:space="preserve">s </w:t>
      </w:r>
      <w:r w:rsidR="003E07D6" w:rsidRPr="00AF36A7">
        <w:t xml:space="preserve">expression is ubiquitous </w:t>
      </w:r>
      <w:r w:rsidR="00D109EA" w:rsidRPr="00AF36A7">
        <w:t>and</w:t>
      </w:r>
      <w:r w:rsidR="003E07D6" w:rsidRPr="00AF36A7">
        <w:t xml:space="preserve"> a number of physiological functions has been ascribed to </w:t>
      </w:r>
      <w:r w:rsidR="00D109EA" w:rsidRPr="00AF36A7">
        <w:t>AtTPK1 and its close orthologues</w:t>
      </w:r>
      <w:r w:rsidR="003E07D6" w:rsidRPr="00AF36A7">
        <w:t>, including a role in stomatal closure (</w:t>
      </w:r>
      <w:r w:rsidR="00EC7984" w:rsidRPr="00AF36A7">
        <w:t xml:space="preserve">Ward and Schroeder, 1994; </w:t>
      </w:r>
      <w:proofErr w:type="spellStart"/>
      <w:r w:rsidR="003E07D6" w:rsidRPr="00AF36A7">
        <w:t>Gob</w:t>
      </w:r>
      <w:r w:rsidR="008F56FF" w:rsidRPr="00AF36A7">
        <w:t>ert</w:t>
      </w:r>
      <w:proofErr w:type="spellEnd"/>
      <w:r w:rsidR="003E07D6" w:rsidRPr="00AF36A7">
        <w:t xml:space="preserve"> et al</w:t>
      </w:r>
      <w:r w:rsidR="00314016" w:rsidRPr="00AF36A7">
        <w:t>.,</w:t>
      </w:r>
      <w:r w:rsidR="008F56FF" w:rsidRPr="00AF36A7">
        <w:t xml:space="preserve"> 2007</w:t>
      </w:r>
      <w:r w:rsidR="003E07D6" w:rsidRPr="00AF36A7">
        <w:t>), salt tolerance (Latz</w:t>
      </w:r>
      <w:r w:rsidR="008F56FF" w:rsidRPr="00AF36A7">
        <w:t xml:space="preserve"> et al</w:t>
      </w:r>
      <w:r w:rsidR="00314016" w:rsidRPr="00AF36A7">
        <w:t>.,</w:t>
      </w:r>
      <w:r w:rsidR="008F56FF" w:rsidRPr="00AF36A7">
        <w:t xml:space="preserve"> 2013</w:t>
      </w:r>
      <w:r w:rsidR="003E07D6" w:rsidRPr="00AF36A7">
        <w:t>) and general K homeostasis (</w:t>
      </w:r>
      <w:r w:rsidR="008F56FF" w:rsidRPr="00AF36A7">
        <w:t>Gobert et al., 2007</w:t>
      </w:r>
      <w:r w:rsidRPr="00AF36A7">
        <w:t>; Hamamoto et al., 2008</w:t>
      </w:r>
      <w:r w:rsidR="003E07D6" w:rsidRPr="00AF36A7">
        <w:t xml:space="preserve">). </w:t>
      </w:r>
      <w:r w:rsidR="006215D2" w:rsidRPr="00AF36A7">
        <w:t>At</w:t>
      </w:r>
      <w:r w:rsidR="003E07D6" w:rsidRPr="00AF36A7">
        <w:t>TPK</w:t>
      </w:r>
      <w:r w:rsidR="006215D2" w:rsidRPr="00AF36A7">
        <w:t>1 is</w:t>
      </w:r>
      <w:r w:rsidR="003E07D6" w:rsidRPr="00AF36A7">
        <w:t xml:space="preserve"> </w:t>
      </w:r>
      <w:r w:rsidR="00272B4A" w:rsidRPr="00AF36A7">
        <w:t>very well characterised in terms of transport properties (</w:t>
      </w:r>
      <w:r w:rsidR="00D109EA" w:rsidRPr="00AF36A7">
        <w:t xml:space="preserve">e.g. </w:t>
      </w:r>
      <w:r w:rsidR="00272B4A" w:rsidRPr="00AF36A7">
        <w:t xml:space="preserve">conductance, voltage dependence, </w:t>
      </w:r>
      <w:r w:rsidR="00D109EA" w:rsidRPr="00AF36A7">
        <w:t xml:space="preserve">ion </w:t>
      </w:r>
      <w:r w:rsidR="00272B4A" w:rsidRPr="00AF36A7">
        <w:t>selectivity, pH</w:t>
      </w:r>
      <w:r w:rsidR="00D109EA" w:rsidRPr="00AF36A7">
        <w:t xml:space="preserve"> dependence</w:t>
      </w:r>
      <w:r w:rsidR="00272B4A" w:rsidRPr="00AF36A7">
        <w:t>, Ca</w:t>
      </w:r>
      <w:r w:rsidR="00E209AB" w:rsidRPr="00AF36A7">
        <w:rPr>
          <w:vertAlign w:val="superscript"/>
        </w:rPr>
        <w:t>2+</w:t>
      </w:r>
      <w:r w:rsidR="00D109EA" w:rsidRPr="00AF36A7">
        <w:t xml:space="preserve"> dependence</w:t>
      </w:r>
      <w:r w:rsidR="00272B4A" w:rsidRPr="00AF36A7">
        <w:t>)</w:t>
      </w:r>
      <w:r w:rsidR="008A2078" w:rsidRPr="00AF36A7">
        <w:t xml:space="preserve"> </w:t>
      </w:r>
      <w:r w:rsidR="006215D2" w:rsidRPr="00AF36A7">
        <w:t xml:space="preserve">but it is unknown if and how these properties are modulated by </w:t>
      </w:r>
      <w:r w:rsidR="000E3901" w:rsidRPr="00AF36A7">
        <w:t>natural variation</w:t>
      </w:r>
      <w:r w:rsidR="006215D2" w:rsidRPr="00AF36A7">
        <w:t>.</w:t>
      </w:r>
      <w:r w:rsidR="001133A8" w:rsidRPr="00AF36A7">
        <w:t xml:space="preserve"> </w:t>
      </w:r>
    </w:p>
    <w:p w:rsidR="006215D2" w:rsidRPr="00AF36A7" w:rsidRDefault="006215D2" w:rsidP="00D05EFD">
      <w:pPr>
        <w:spacing w:line="360" w:lineRule="auto"/>
        <w:jc w:val="both"/>
      </w:pPr>
    </w:p>
    <w:p w:rsidR="006215D2" w:rsidRPr="00AF36A7" w:rsidRDefault="006215D2" w:rsidP="00D05EFD">
      <w:pPr>
        <w:spacing w:line="360" w:lineRule="auto"/>
        <w:jc w:val="both"/>
      </w:pPr>
      <w:r w:rsidRPr="00AF36A7">
        <w:t>The ‘1001 genome sequencing’ project (</w:t>
      </w:r>
      <w:r w:rsidR="008F56FF" w:rsidRPr="00AF36A7">
        <w:t>http://1001genomes.org/datacenter/</w:t>
      </w:r>
      <w:r w:rsidRPr="00AF36A7">
        <w:t>) has revealed a wealth of information regarding natural variation in both coding and non-coding sequences of the Arabidopsis genome. However, in the majority of cases it is completely obscure whether any of the identified polymorphisms has physiological relevance in the sense that they impact on plant phenotype. The AtTPK1 coding sequence is 363 amino-acids in length and, using the genome of the Col-0 ecotype as a reference, can contain up to 7 SNPs (single nucleotide polymorphisms).  SNPs can drastically alter protein function. For example, a single SNP in an arsenate reductase rendered this protein virtually inactive in the Arabidopsis Kr-0 ecotype, leading to large changes in tissue arsenic contents (Chao et al</w:t>
      </w:r>
      <w:r w:rsidR="00314016" w:rsidRPr="00AF36A7">
        <w:t>.,</w:t>
      </w:r>
      <w:r w:rsidRPr="00AF36A7">
        <w:t xml:space="preserve"> 2014).</w:t>
      </w:r>
    </w:p>
    <w:p w:rsidR="006215D2" w:rsidRPr="00AF36A7" w:rsidRDefault="006215D2" w:rsidP="00D05EFD">
      <w:pPr>
        <w:spacing w:line="360" w:lineRule="auto"/>
        <w:jc w:val="both"/>
      </w:pPr>
    </w:p>
    <w:p w:rsidR="006215D2" w:rsidRPr="00AF36A7" w:rsidRDefault="006215D2" w:rsidP="00D05EFD">
      <w:pPr>
        <w:spacing w:line="360" w:lineRule="auto"/>
        <w:jc w:val="both"/>
      </w:pPr>
      <w:r w:rsidRPr="00AF36A7">
        <w:t>With the publication of multiple Arabidopsis thaliana genomes we are now in a position to evaluate if and how allelic variation affects TPK protein function. The electrophysiological properties of two allelic variants of AtTPK1 derived from two Arabidopsis ecotypes (Landsberg</w:t>
      </w:r>
      <w:r w:rsidR="0061049C" w:rsidRPr="00AF36A7">
        <w:t>,</w:t>
      </w:r>
      <w:r w:rsidRPr="00AF36A7">
        <w:t xml:space="preserve"> or Ler-0</w:t>
      </w:r>
      <w:r w:rsidR="0061049C" w:rsidRPr="00AF36A7">
        <w:t>,</w:t>
      </w:r>
      <w:r w:rsidRPr="00AF36A7">
        <w:t xml:space="preserve"> and Kas-2) </w:t>
      </w:r>
      <w:r w:rsidRPr="00AF36A7">
        <w:lastRenderedPageBreak/>
        <w:t>were compared. No difference in unitary conductance or ion selectivity was observed but a distinct difference in Ca</w:t>
      </w:r>
      <w:r w:rsidR="00E209AB" w:rsidRPr="00AF36A7">
        <w:rPr>
          <w:vertAlign w:val="superscript"/>
        </w:rPr>
        <w:t>2+</w:t>
      </w:r>
      <w:r w:rsidRPr="00AF36A7">
        <w:t xml:space="preserve"> dependent channel open probability was recorded with the </w:t>
      </w:r>
      <w:r w:rsidR="000C3E39" w:rsidRPr="00AF36A7">
        <w:t xml:space="preserve">Kas </w:t>
      </w:r>
      <w:r w:rsidRPr="00AF36A7">
        <w:t>variant consistently showing more channel activity at comparable cytoplasmic Ca</w:t>
      </w:r>
      <w:r w:rsidR="00E209AB" w:rsidRPr="00AF36A7">
        <w:rPr>
          <w:vertAlign w:val="superscript"/>
        </w:rPr>
        <w:t>2+</w:t>
      </w:r>
      <w:r w:rsidRPr="00AF36A7">
        <w:t xml:space="preserve"> concentrations. A  model that explains the results </w:t>
      </w:r>
      <w:r w:rsidR="00437811" w:rsidRPr="00AF36A7">
        <w:t xml:space="preserve">in the context of TPK1 channel gating </w:t>
      </w:r>
      <w:r w:rsidRPr="00AF36A7">
        <w:t xml:space="preserve">is discussed. </w:t>
      </w:r>
    </w:p>
    <w:p w:rsidR="006D4598" w:rsidRPr="00AF36A7" w:rsidRDefault="006D4598" w:rsidP="00D05EFD">
      <w:pPr>
        <w:spacing w:line="360" w:lineRule="auto"/>
        <w:jc w:val="both"/>
      </w:pPr>
    </w:p>
    <w:p w:rsidR="00D109EA" w:rsidRPr="00AF36A7" w:rsidRDefault="00D109EA" w:rsidP="00D05EFD">
      <w:pPr>
        <w:spacing w:line="360" w:lineRule="auto"/>
        <w:jc w:val="both"/>
        <w:rPr>
          <w:b/>
        </w:rPr>
      </w:pPr>
      <w:r w:rsidRPr="00AF36A7">
        <w:rPr>
          <w:b/>
        </w:rPr>
        <w:t>METHODS</w:t>
      </w:r>
    </w:p>
    <w:p w:rsidR="00D109EA" w:rsidRPr="00AF36A7" w:rsidRDefault="00D109EA" w:rsidP="00D05EFD">
      <w:pPr>
        <w:spacing w:line="360" w:lineRule="auto"/>
        <w:jc w:val="both"/>
      </w:pPr>
      <w:r w:rsidRPr="00AF36A7">
        <w:rPr>
          <w:b/>
        </w:rPr>
        <w:t>Plant material and growth:</w:t>
      </w:r>
      <w:r w:rsidRPr="00AF36A7">
        <w:t xml:space="preserve"> </w:t>
      </w:r>
      <w:r w:rsidRPr="00AF36A7">
        <w:rPr>
          <w:i/>
        </w:rPr>
        <w:t>Arabidopsis thaliana</w:t>
      </w:r>
      <w:r w:rsidRPr="00AF36A7">
        <w:t xml:space="preserve"> (L) ecotypes Landsberg</w:t>
      </w:r>
      <w:r w:rsidR="007116D6" w:rsidRPr="00AF36A7">
        <w:t>-0</w:t>
      </w:r>
      <w:r w:rsidRPr="00AF36A7">
        <w:t xml:space="preserve"> (Ler) and Kas-</w:t>
      </w:r>
      <w:r w:rsidR="00AD629D" w:rsidRPr="00AF36A7">
        <w:t>2 (Kas)</w:t>
      </w:r>
      <w:r w:rsidRPr="00AF36A7">
        <w:t xml:space="preserve"> w</w:t>
      </w:r>
      <w:r w:rsidR="00AD629D" w:rsidRPr="00AF36A7">
        <w:t>ere</w:t>
      </w:r>
      <w:r w:rsidRPr="00AF36A7">
        <w:t xml:space="preserve"> grown hydroponically as described previously (Gobert et al., 200</w:t>
      </w:r>
      <w:r w:rsidR="008F56FF" w:rsidRPr="00AF36A7">
        <w:t>7</w:t>
      </w:r>
      <w:r w:rsidRPr="00AF36A7">
        <w:t xml:space="preserve">) in a growth </w:t>
      </w:r>
      <w:r w:rsidR="00734A04" w:rsidRPr="00AF36A7">
        <w:t>room</w:t>
      </w:r>
      <w:r w:rsidRPr="00AF36A7">
        <w:t xml:space="preserve"> under short day conditions (10 h light at 200 µmol.m</w:t>
      </w:r>
      <w:r w:rsidRPr="00AF36A7">
        <w:rPr>
          <w:vertAlign w:val="superscript"/>
        </w:rPr>
        <w:t>-2</w:t>
      </w:r>
      <w:r w:rsidRPr="00AF36A7">
        <w:t>.s</w:t>
      </w:r>
      <w:r w:rsidRPr="00AF36A7">
        <w:rPr>
          <w:vertAlign w:val="superscript"/>
        </w:rPr>
        <w:t>-1</w:t>
      </w:r>
      <w:r w:rsidRPr="00AF36A7">
        <w:t xml:space="preserve"> intensity, 14 h dark, 23°C day, 17°C night</w:t>
      </w:r>
      <w:r w:rsidR="00734A04" w:rsidRPr="00AF36A7">
        <w:t xml:space="preserve"> temperature</w:t>
      </w:r>
      <w:r w:rsidRPr="00AF36A7">
        <w:t>). The growth medium contained 1.25 mM KNO</w:t>
      </w:r>
      <w:r w:rsidRPr="00AF36A7">
        <w:rPr>
          <w:vertAlign w:val="subscript"/>
        </w:rPr>
        <w:t>3</w:t>
      </w:r>
      <w:r w:rsidRPr="00AF36A7">
        <w:t>, 0.5 mM Ca(NO</w:t>
      </w:r>
      <w:r w:rsidRPr="00AF36A7">
        <w:rPr>
          <w:vertAlign w:val="subscript"/>
        </w:rPr>
        <w:t>3</w:t>
      </w:r>
      <w:r w:rsidRPr="00AF36A7">
        <w:t>)</w:t>
      </w:r>
      <w:r w:rsidRPr="00AF36A7">
        <w:rPr>
          <w:vertAlign w:val="subscript"/>
        </w:rPr>
        <w:t>2</w:t>
      </w:r>
      <w:r w:rsidRPr="00AF36A7">
        <w:t>, 0.5 mM MgSO</w:t>
      </w:r>
      <w:r w:rsidRPr="00AF36A7">
        <w:rPr>
          <w:vertAlign w:val="subscript"/>
        </w:rPr>
        <w:t>4</w:t>
      </w:r>
      <w:r w:rsidRPr="00AF36A7">
        <w:t>, 0.625 mM KH</w:t>
      </w:r>
      <w:r w:rsidRPr="00AF36A7">
        <w:rPr>
          <w:vertAlign w:val="subscript"/>
        </w:rPr>
        <w:t>2</w:t>
      </w:r>
      <w:r w:rsidRPr="00AF36A7">
        <w:t>PO</w:t>
      </w:r>
      <w:r w:rsidRPr="00AF36A7">
        <w:rPr>
          <w:vertAlign w:val="subscript"/>
        </w:rPr>
        <w:t>4</w:t>
      </w:r>
      <w:r w:rsidRPr="00AF36A7">
        <w:t xml:space="preserve"> as macronutrients and was renewed weekly.</w:t>
      </w:r>
    </w:p>
    <w:p w:rsidR="00AD629D" w:rsidRPr="00AF36A7" w:rsidRDefault="00AD629D" w:rsidP="00D05EFD">
      <w:pPr>
        <w:spacing w:line="360" w:lineRule="auto"/>
        <w:jc w:val="both"/>
        <w:rPr>
          <w:lang w:eastAsia="en-GB"/>
        </w:rPr>
      </w:pPr>
      <w:r w:rsidRPr="00AF36A7">
        <w:rPr>
          <w:b/>
        </w:rPr>
        <w:t>Protoplast and vacuole isolation:</w:t>
      </w:r>
      <w:r w:rsidRPr="00AF36A7">
        <w:t xml:space="preserve"> Leaf protoplasts were isolated as described </w:t>
      </w:r>
      <w:r w:rsidR="00527EDD" w:rsidRPr="00AF36A7">
        <w:t>previously (</w:t>
      </w:r>
      <w:r w:rsidRPr="00AF36A7">
        <w:t>M</w:t>
      </w:r>
      <w:r w:rsidR="00527EDD" w:rsidRPr="00AF36A7">
        <w:t>aathuis</w:t>
      </w:r>
      <w:r w:rsidRPr="00AF36A7">
        <w:t xml:space="preserve"> et al</w:t>
      </w:r>
      <w:r w:rsidR="00527EDD" w:rsidRPr="00AF36A7">
        <w:t>.,</w:t>
      </w:r>
      <w:r w:rsidRPr="00AF36A7">
        <w:t xml:space="preserve"> 1998</w:t>
      </w:r>
      <w:r w:rsidR="00527EDD" w:rsidRPr="00AF36A7">
        <w:t>)</w:t>
      </w:r>
      <w:r w:rsidRPr="00AF36A7">
        <w:t xml:space="preserve"> and vacuoles were released by washing protoplasts with a solution containing 10 mM EDTA, 10 mM EGTA, pH 8 with an osmolarity of 350 mOsM. Patch clamp apparatus and methodology were as described (Maathuis, 201</w:t>
      </w:r>
      <w:r w:rsidR="00314016" w:rsidRPr="00AF36A7">
        <w:t>1</w:t>
      </w:r>
      <w:r w:rsidR="00E209AB" w:rsidRPr="00AF36A7">
        <w:t>; Maathuis et al., 1998</w:t>
      </w:r>
      <w:r w:rsidRPr="00AF36A7">
        <w:t>). Briefly, current was recorded using an EPC7  (List , Darmstadt, Germany) amplifier and data acquisition occurred through a CED (Cambridge, UK) A/D converter at 1 to 3 kHz and data were filtered at 0.5 kHz. CED  Patch v5.5 software was used for data analysis. Glass pipettes were pulled from Kimax (Kimble, Ohio, USA) glass using a List electrode puller. Standard experimental solutions for bath and pipette contained 100 mM KCl, 0.1 mM CaCl</w:t>
      </w:r>
      <w:r w:rsidRPr="00AF36A7">
        <w:rPr>
          <w:vertAlign w:val="subscript"/>
        </w:rPr>
        <w:t>2</w:t>
      </w:r>
      <w:r w:rsidRPr="00AF36A7">
        <w:t>, 5 mM MES/Tris pH 6.</w:t>
      </w:r>
      <w:r w:rsidR="00734A04" w:rsidRPr="00AF36A7">
        <w:t>0</w:t>
      </w:r>
      <w:r w:rsidRPr="00AF36A7">
        <w:t xml:space="preserve"> and sorbitol adjusted to 430 mOsm total osmolarity. To control free cytoplasmic Ca</w:t>
      </w:r>
      <w:r w:rsidR="00E209AB" w:rsidRPr="00AF36A7">
        <w:rPr>
          <w:vertAlign w:val="superscript"/>
        </w:rPr>
        <w:t>2+</w:t>
      </w:r>
      <w:r w:rsidRPr="00AF36A7">
        <w:t xml:space="preserve"> concentrations, solutions containing 100 mM KCl, 1 mM CaCl</w:t>
      </w:r>
      <w:r w:rsidRPr="00AF36A7">
        <w:rPr>
          <w:vertAlign w:val="subscript"/>
        </w:rPr>
        <w:t>2</w:t>
      </w:r>
      <w:r w:rsidRPr="00AF36A7">
        <w:t>, 5 mM MES/Tris pH 7 were buffered with various concentrations EGTA to obtain free [Ca</w:t>
      </w:r>
      <w:r w:rsidR="00E209AB" w:rsidRPr="00AF36A7">
        <w:rPr>
          <w:vertAlign w:val="superscript"/>
        </w:rPr>
        <w:t>2+</w:t>
      </w:r>
      <w:r w:rsidRPr="00AF36A7">
        <w:t>]</w:t>
      </w:r>
      <w:r w:rsidRPr="00AF36A7">
        <w:rPr>
          <w:vertAlign w:val="subscript"/>
        </w:rPr>
        <w:t>cyt</w:t>
      </w:r>
      <w:r w:rsidRPr="00AF36A7">
        <w:t xml:space="preserve"> of </w:t>
      </w:r>
      <w:r w:rsidR="008068C0" w:rsidRPr="00AF36A7">
        <w:t>0, 0.01, 0.05, 0.1, 0.5, 1, 10 and 100</w:t>
      </w:r>
      <w:r w:rsidR="00734A04" w:rsidRPr="00AF36A7">
        <w:t xml:space="preserve"> µM</w:t>
      </w:r>
      <w:r w:rsidRPr="00AF36A7">
        <w:t>.</w:t>
      </w:r>
      <w:r w:rsidR="00134EB0" w:rsidRPr="00AF36A7">
        <w:t xml:space="preserve"> Free</w:t>
      </w:r>
      <w:r w:rsidRPr="00AF36A7">
        <w:t xml:space="preserve"> </w:t>
      </w:r>
      <w:r w:rsidR="00134EB0" w:rsidRPr="00AF36A7">
        <w:t>[Ca</w:t>
      </w:r>
      <w:r w:rsidR="00E209AB" w:rsidRPr="00AF36A7">
        <w:rPr>
          <w:vertAlign w:val="superscript"/>
        </w:rPr>
        <w:t>2+</w:t>
      </w:r>
      <w:r w:rsidR="00134EB0" w:rsidRPr="00AF36A7">
        <w:t>]</w:t>
      </w:r>
      <w:r w:rsidR="00134EB0" w:rsidRPr="00AF36A7">
        <w:rPr>
          <w:vertAlign w:val="subscript"/>
        </w:rPr>
        <w:t xml:space="preserve">cyt </w:t>
      </w:r>
      <w:r w:rsidR="00134EB0" w:rsidRPr="00AF36A7">
        <w:t>was calculated using the ‘Calcium’ software</w:t>
      </w:r>
      <w:r w:rsidR="00506907" w:rsidRPr="00AF36A7">
        <w:t xml:space="preserve"> (</w:t>
      </w:r>
      <w:proofErr w:type="spellStart"/>
      <w:r w:rsidR="008C393C" w:rsidRPr="00AF36A7">
        <w:t>Foehr</w:t>
      </w:r>
      <w:proofErr w:type="spellEnd"/>
      <w:r w:rsidR="008C393C" w:rsidRPr="00AF36A7">
        <w:t xml:space="preserve"> and </w:t>
      </w:r>
      <w:proofErr w:type="spellStart"/>
      <w:r w:rsidR="008C393C" w:rsidRPr="00AF36A7">
        <w:t>Warchol</w:t>
      </w:r>
      <w:proofErr w:type="spellEnd"/>
      <w:r w:rsidR="008C393C" w:rsidRPr="00AF36A7">
        <w:t xml:space="preserve">, unpublished, </w:t>
      </w:r>
      <w:proofErr w:type="spellStart"/>
      <w:r w:rsidR="008C393C" w:rsidRPr="00AF36A7">
        <w:t>Dept</w:t>
      </w:r>
      <w:proofErr w:type="spellEnd"/>
      <w:r w:rsidR="008C393C" w:rsidRPr="00AF36A7">
        <w:t xml:space="preserve"> of Biophysics, </w:t>
      </w:r>
      <w:proofErr w:type="spellStart"/>
      <w:r w:rsidR="008C393C" w:rsidRPr="00AF36A7">
        <w:t>Pozan</w:t>
      </w:r>
      <w:proofErr w:type="spellEnd"/>
      <w:r w:rsidR="008C393C" w:rsidRPr="00AF36A7">
        <w:t>, Poland</w:t>
      </w:r>
      <w:r w:rsidR="00506907" w:rsidRPr="00AF36A7">
        <w:t>)</w:t>
      </w:r>
      <w:r w:rsidR="00134EB0" w:rsidRPr="00AF36A7">
        <w:t xml:space="preserve">. </w:t>
      </w:r>
      <w:r w:rsidRPr="00AF36A7">
        <w:t>Open probabilit</w:t>
      </w:r>
      <w:r w:rsidR="006768F1" w:rsidRPr="00AF36A7">
        <w:t>y</w:t>
      </w:r>
      <w:r w:rsidRPr="00AF36A7">
        <w:t xml:space="preserve"> </w:t>
      </w:r>
      <w:r w:rsidR="006768F1" w:rsidRPr="00AF36A7">
        <w:t>(Po) is</w:t>
      </w:r>
      <w:r w:rsidRPr="00AF36A7">
        <w:t xml:space="preserve"> ex</w:t>
      </w:r>
      <w:r w:rsidRPr="00AF36A7">
        <w:rPr>
          <w:lang w:eastAsia="en-GB"/>
        </w:rPr>
        <w:t xml:space="preserve">pressed as Po = (t_open/t_total)/n *100 where ‘n’ is the number of channels in the membrane patch (Gobert et al., 2007). </w:t>
      </w:r>
      <w:r w:rsidR="00131ABB" w:rsidRPr="00AF36A7">
        <w:rPr>
          <w:lang w:eastAsia="en-GB"/>
        </w:rPr>
        <w:t xml:space="preserve">Open probabilities were normalised </w:t>
      </w:r>
      <w:r w:rsidR="006768F1" w:rsidRPr="00AF36A7">
        <w:rPr>
          <w:lang w:eastAsia="en-GB"/>
        </w:rPr>
        <w:t>to the maximum Po at saturating free [Ca</w:t>
      </w:r>
      <w:r w:rsidR="00E209AB" w:rsidRPr="00AF36A7">
        <w:rPr>
          <w:vertAlign w:val="superscript"/>
          <w:lang w:eastAsia="en-GB"/>
        </w:rPr>
        <w:t>2+</w:t>
      </w:r>
      <w:r w:rsidR="006768F1" w:rsidRPr="00AF36A7">
        <w:rPr>
          <w:lang w:eastAsia="en-GB"/>
        </w:rPr>
        <w:t>]</w:t>
      </w:r>
      <w:r w:rsidR="006768F1" w:rsidRPr="00AF36A7">
        <w:rPr>
          <w:vertAlign w:val="subscript"/>
          <w:lang w:eastAsia="en-GB"/>
        </w:rPr>
        <w:t>cyt</w:t>
      </w:r>
      <w:r w:rsidR="006768F1" w:rsidRPr="00AF36A7">
        <w:rPr>
          <w:lang w:eastAsia="en-GB"/>
        </w:rPr>
        <w:t xml:space="preserve"> of 1 mM. </w:t>
      </w:r>
      <w:r w:rsidRPr="00AF36A7">
        <w:rPr>
          <w:lang w:eastAsia="en-GB"/>
        </w:rPr>
        <w:t xml:space="preserve">Recordings of 60 s duration at a membrane potential of 50 mV were used to determine Po. Open probability data are given as the average ± SD using vacuoles from </w:t>
      </w:r>
      <w:r w:rsidR="006768F1" w:rsidRPr="00AF36A7">
        <w:rPr>
          <w:lang w:eastAsia="en-GB"/>
        </w:rPr>
        <w:t>4</w:t>
      </w:r>
      <w:r w:rsidRPr="00AF36A7">
        <w:rPr>
          <w:lang w:eastAsia="en-GB"/>
        </w:rPr>
        <w:t xml:space="preserve"> to </w:t>
      </w:r>
      <w:r w:rsidR="008067E7" w:rsidRPr="00AF36A7">
        <w:rPr>
          <w:lang w:eastAsia="en-GB"/>
        </w:rPr>
        <w:t>11</w:t>
      </w:r>
      <w:r w:rsidRPr="00AF36A7">
        <w:rPr>
          <w:lang w:eastAsia="en-GB"/>
        </w:rPr>
        <w:t xml:space="preserve"> individual protoplasts</w:t>
      </w:r>
      <w:r w:rsidR="007F315A" w:rsidRPr="00AF36A7">
        <w:t xml:space="preserve"> </w:t>
      </w:r>
      <w:r w:rsidR="007F315A" w:rsidRPr="00AF36A7">
        <w:rPr>
          <w:lang w:eastAsia="en-GB"/>
        </w:rPr>
        <w:t xml:space="preserve">for each ecotype and </w:t>
      </w:r>
      <w:proofErr w:type="spellStart"/>
      <w:r w:rsidR="007F315A" w:rsidRPr="00AF36A7">
        <w:rPr>
          <w:lang w:eastAsia="en-GB"/>
        </w:rPr>
        <w:t>Ca</w:t>
      </w:r>
      <w:r w:rsidR="007F315A" w:rsidRPr="00AF36A7">
        <w:rPr>
          <w:vertAlign w:val="subscript"/>
          <w:lang w:eastAsia="en-GB"/>
        </w:rPr>
        <w:t>cyt</w:t>
      </w:r>
      <w:proofErr w:type="spellEnd"/>
      <w:r w:rsidR="007F315A" w:rsidRPr="00AF36A7">
        <w:rPr>
          <w:lang w:eastAsia="en-GB"/>
        </w:rPr>
        <w:t xml:space="preserve"> concentration</w:t>
      </w:r>
      <w:r w:rsidRPr="00AF36A7">
        <w:rPr>
          <w:lang w:eastAsia="en-GB"/>
        </w:rPr>
        <w:t xml:space="preserve">. </w:t>
      </w:r>
      <w:proofErr w:type="spellStart"/>
      <w:r w:rsidR="00061BFB" w:rsidRPr="00AF36A7">
        <w:rPr>
          <w:lang w:eastAsia="en-GB"/>
        </w:rPr>
        <w:t>Kd</w:t>
      </w:r>
      <w:proofErr w:type="spellEnd"/>
      <w:r w:rsidR="00061BFB" w:rsidRPr="00AF36A7">
        <w:rPr>
          <w:lang w:eastAsia="en-GB"/>
        </w:rPr>
        <w:t xml:space="preserve"> values for Ca</w:t>
      </w:r>
      <w:r w:rsidR="00EC7984" w:rsidRPr="00AF36A7">
        <w:rPr>
          <w:vertAlign w:val="superscript"/>
          <w:lang w:eastAsia="en-GB"/>
        </w:rPr>
        <w:t>2+</w:t>
      </w:r>
      <w:r w:rsidR="00061BFB" w:rsidRPr="00AF36A7">
        <w:rPr>
          <w:lang w:eastAsia="en-GB"/>
        </w:rPr>
        <w:t xml:space="preserve"> induced changes in Po were calculated by fitting the </w:t>
      </w:r>
      <w:proofErr w:type="spellStart"/>
      <w:r w:rsidR="00061BFB" w:rsidRPr="00AF36A7">
        <w:rPr>
          <w:lang w:eastAsia="en-GB"/>
        </w:rPr>
        <w:t>semilog</w:t>
      </w:r>
      <w:proofErr w:type="spellEnd"/>
      <w:r w:rsidR="00061BFB" w:rsidRPr="00AF36A7">
        <w:rPr>
          <w:lang w:eastAsia="en-GB"/>
        </w:rPr>
        <w:t xml:space="preserve"> data to a sigmoidal curve using the following equation: y=a-d/1+(x/c)^b.</w:t>
      </w:r>
    </w:p>
    <w:p w:rsidR="00506907" w:rsidRPr="00AF36A7" w:rsidRDefault="00506907" w:rsidP="00D05EFD">
      <w:pPr>
        <w:spacing w:line="360" w:lineRule="auto"/>
        <w:jc w:val="both"/>
        <w:rPr>
          <w:lang w:eastAsia="en-GB"/>
        </w:rPr>
      </w:pPr>
    </w:p>
    <w:p w:rsidR="003127F2" w:rsidRPr="00AF36A7" w:rsidRDefault="003127F2" w:rsidP="003127F2">
      <w:pPr>
        <w:spacing w:line="360" w:lineRule="auto"/>
        <w:jc w:val="both"/>
        <w:rPr>
          <w:lang w:eastAsia="en-GB"/>
        </w:rPr>
      </w:pPr>
      <w:r w:rsidRPr="00AF36A7">
        <w:rPr>
          <w:b/>
          <w:lang w:eastAsia="en-GB"/>
        </w:rPr>
        <w:lastRenderedPageBreak/>
        <w:t>Protoplast transformation and TPK1 expression:</w:t>
      </w:r>
      <w:r w:rsidRPr="00AF36A7">
        <w:rPr>
          <w:lang w:eastAsia="en-GB"/>
        </w:rPr>
        <w:t xml:space="preserve"> </w:t>
      </w:r>
      <w:proofErr w:type="spellStart"/>
      <w:r w:rsidR="00FE0B13" w:rsidRPr="00AF36A7">
        <w:rPr>
          <w:lang w:eastAsia="en-GB"/>
        </w:rPr>
        <w:t>mEYFP</w:t>
      </w:r>
      <w:proofErr w:type="spellEnd"/>
      <w:r w:rsidR="00FE0B13" w:rsidRPr="00AF36A7">
        <w:rPr>
          <w:lang w:eastAsia="en-GB"/>
        </w:rPr>
        <w:t xml:space="preserve"> cDNA was amplified using primers containing the </w:t>
      </w:r>
      <w:proofErr w:type="spellStart"/>
      <w:r w:rsidR="00FE0B13" w:rsidRPr="00AF36A7">
        <w:rPr>
          <w:lang w:eastAsia="en-GB"/>
        </w:rPr>
        <w:t>BamHI</w:t>
      </w:r>
      <w:proofErr w:type="spellEnd"/>
      <w:r w:rsidR="00FE0B13" w:rsidRPr="00AF36A7">
        <w:rPr>
          <w:lang w:eastAsia="en-GB"/>
        </w:rPr>
        <w:t xml:space="preserve"> site and inserted into pART7 (Isaye</w:t>
      </w:r>
      <w:r w:rsidR="00C37194" w:rsidRPr="00AF36A7">
        <w:rPr>
          <w:lang w:eastAsia="en-GB"/>
        </w:rPr>
        <w:t>n</w:t>
      </w:r>
      <w:r w:rsidR="00FE0B13" w:rsidRPr="00AF36A7">
        <w:rPr>
          <w:lang w:eastAsia="en-GB"/>
        </w:rPr>
        <w:t xml:space="preserve">kov et al., 2011) to create pART7-EYFP. </w:t>
      </w:r>
      <w:r w:rsidR="00ED48B2" w:rsidRPr="00AF36A7">
        <w:rPr>
          <w:lang w:eastAsia="en-GB"/>
        </w:rPr>
        <w:t xml:space="preserve">Ler-0 and Kas-2 specific TPK1 </w:t>
      </w:r>
      <w:proofErr w:type="spellStart"/>
      <w:r w:rsidR="00ED48B2" w:rsidRPr="00AF36A7">
        <w:rPr>
          <w:lang w:eastAsia="en-GB"/>
        </w:rPr>
        <w:t>cDNA</w:t>
      </w:r>
      <w:r w:rsidR="00C37194" w:rsidRPr="00AF36A7">
        <w:rPr>
          <w:lang w:eastAsia="en-GB"/>
        </w:rPr>
        <w:t>s</w:t>
      </w:r>
      <w:proofErr w:type="spellEnd"/>
      <w:r w:rsidR="00ED48B2" w:rsidRPr="00AF36A7">
        <w:rPr>
          <w:lang w:eastAsia="en-GB"/>
        </w:rPr>
        <w:t xml:space="preserve"> </w:t>
      </w:r>
      <w:r w:rsidR="00E24894" w:rsidRPr="00AF36A7">
        <w:rPr>
          <w:lang w:eastAsia="en-GB"/>
        </w:rPr>
        <w:t xml:space="preserve">were </w:t>
      </w:r>
      <w:r w:rsidR="00FE0B13" w:rsidRPr="00AF36A7">
        <w:rPr>
          <w:lang w:eastAsia="en-GB"/>
        </w:rPr>
        <w:t>amplified</w:t>
      </w:r>
      <w:r w:rsidR="00E24894" w:rsidRPr="00AF36A7">
        <w:rPr>
          <w:lang w:eastAsia="en-GB"/>
        </w:rPr>
        <w:t xml:space="preserve"> from leaf RNA using the forward primer </w:t>
      </w:r>
      <w:proofErr w:type="spellStart"/>
      <w:r w:rsidR="00E24894" w:rsidRPr="00AF36A7">
        <w:rPr>
          <w:lang w:eastAsia="en-GB"/>
        </w:rPr>
        <w:t>TPK_Xho_for</w:t>
      </w:r>
      <w:proofErr w:type="spellEnd"/>
      <w:r w:rsidR="00E24894" w:rsidRPr="00AF36A7">
        <w:rPr>
          <w:lang w:eastAsia="en-GB"/>
        </w:rPr>
        <w:t xml:space="preserve"> GCCTCGAGATGTCGAGTGATGCAGCT and reverse primer </w:t>
      </w:r>
      <w:proofErr w:type="spellStart"/>
      <w:r w:rsidR="00E24894" w:rsidRPr="00AF36A7">
        <w:rPr>
          <w:lang w:eastAsia="en-GB"/>
        </w:rPr>
        <w:t>TPK_Sma_rev</w:t>
      </w:r>
      <w:proofErr w:type="spellEnd"/>
      <w:r w:rsidR="00E24894" w:rsidRPr="00AF36A7">
        <w:rPr>
          <w:lang w:eastAsia="en-GB"/>
        </w:rPr>
        <w:t xml:space="preserve"> </w:t>
      </w:r>
      <w:r w:rsidR="00E24894" w:rsidRPr="00AF36A7">
        <w:t>GCCCCGGGCCTTTGAATCTGAG</w:t>
      </w:r>
      <w:r w:rsidR="001B2F8B" w:rsidRPr="00AF36A7">
        <w:t>ACGT</w:t>
      </w:r>
      <w:r w:rsidR="00BC5758" w:rsidRPr="00AF36A7">
        <w:rPr>
          <w:lang w:eastAsia="en-GB"/>
        </w:rPr>
        <w:t xml:space="preserve"> and inserted into </w:t>
      </w:r>
      <w:r w:rsidR="001B2F8B" w:rsidRPr="00AF36A7">
        <w:rPr>
          <w:lang w:eastAsia="en-GB"/>
        </w:rPr>
        <w:t xml:space="preserve">the </w:t>
      </w:r>
      <w:r w:rsidR="00BC5758" w:rsidRPr="00AF36A7">
        <w:rPr>
          <w:lang w:eastAsia="en-GB"/>
        </w:rPr>
        <w:t>pART7</w:t>
      </w:r>
      <w:r w:rsidR="00E24894" w:rsidRPr="00AF36A7">
        <w:rPr>
          <w:lang w:eastAsia="en-GB"/>
        </w:rPr>
        <w:t xml:space="preserve"> vector</w:t>
      </w:r>
      <w:r w:rsidR="00FE0B13" w:rsidRPr="00AF36A7">
        <w:rPr>
          <w:lang w:eastAsia="en-GB"/>
        </w:rPr>
        <w:t xml:space="preserve"> to</w:t>
      </w:r>
      <w:r w:rsidR="00BC5758" w:rsidRPr="00AF36A7">
        <w:rPr>
          <w:lang w:eastAsia="en-GB"/>
        </w:rPr>
        <w:t xml:space="preserve"> create pART7-EYFP</w:t>
      </w:r>
      <w:r w:rsidR="00FE0B13" w:rsidRPr="00AF36A7">
        <w:rPr>
          <w:lang w:eastAsia="en-GB"/>
        </w:rPr>
        <w:t>-TPK1</w:t>
      </w:r>
      <w:r w:rsidR="00BC5758" w:rsidRPr="00AF36A7">
        <w:rPr>
          <w:lang w:eastAsia="en-GB"/>
        </w:rPr>
        <w:t xml:space="preserve"> under control of </w:t>
      </w:r>
      <w:r w:rsidR="00FE0B13" w:rsidRPr="00AF36A7">
        <w:rPr>
          <w:lang w:eastAsia="en-GB"/>
        </w:rPr>
        <w:t>the</w:t>
      </w:r>
      <w:r w:rsidR="00BC5758" w:rsidRPr="00AF36A7">
        <w:rPr>
          <w:lang w:eastAsia="en-GB"/>
        </w:rPr>
        <w:t xml:space="preserve"> </w:t>
      </w:r>
      <w:proofErr w:type="spellStart"/>
      <w:r w:rsidR="00BC5758" w:rsidRPr="00AF36A7">
        <w:rPr>
          <w:lang w:eastAsia="en-GB"/>
        </w:rPr>
        <w:t>CaMV</w:t>
      </w:r>
      <w:proofErr w:type="spellEnd"/>
      <w:r w:rsidR="00BC5758" w:rsidRPr="00AF36A7">
        <w:rPr>
          <w:lang w:eastAsia="en-GB"/>
        </w:rPr>
        <w:t xml:space="preserve"> 35S promoter. </w:t>
      </w:r>
      <w:r w:rsidRPr="00AF36A7">
        <w:rPr>
          <w:lang w:eastAsia="en-GB"/>
        </w:rPr>
        <w:t xml:space="preserve">Mesophyll protoplasts isolated from a </w:t>
      </w:r>
      <w:r w:rsidRPr="00AF36A7">
        <w:rPr>
          <w:i/>
          <w:lang w:eastAsia="en-GB"/>
        </w:rPr>
        <w:t>tpk1</w:t>
      </w:r>
      <w:r w:rsidRPr="00AF36A7">
        <w:rPr>
          <w:lang w:eastAsia="en-GB"/>
        </w:rPr>
        <w:t xml:space="preserve"> null mutant (</w:t>
      </w:r>
      <w:proofErr w:type="spellStart"/>
      <w:r w:rsidRPr="00AF36A7">
        <w:rPr>
          <w:lang w:eastAsia="en-GB"/>
        </w:rPr>
        <w:t>Gobert</w:t>
      </w:r>
      <w:proofErr w:type="spellEnd"/>
      <w:r w:rsidRPr="00AF36A7">
        <w:rPr>
          <w:lang w:eastAsia="en-GB"/>
        </w:rPr>
        <w:t xml:space="preserve"> et al., 2007) were transformed according to the protocol described by </w:t>
      </w:r>
      <w:r w:rsidR="00ED48B2" w:rsidRPr="00AF36A7">
        <w:rPr>
          <w:lang w:eastAsia="en-GB"/>
        </w:rPr>
        <w:t xml:space="preserve">Abel and </w:t>
      </w:r>
      <w:proofErr w:type="spellStart"/>
      <w:r w:rsidR="00ED48B2" w:rsidRPr="00AF36A7">
        <w:rPr>
          <w:lang w:eastAsia="en-GB"/>
        </w:rPr>
        <w:t>Theologis</w:t>
      </w:r>
      <w:proofErr w:type="spellEnd"/>
      <w:r w:rsidR="00ED48B2" w:rsidRPr="00AF36A7">
        <w:rPr>
          <w:lang w:eastAsia="en-GB"/>
        </w:rPr>
        <w:t xml:space="preserve"> (1994). </w:t>
      </w:r>
      <w:r w:rsidR="00FE0B13" w:rsidRPr="00AF36A7">
        <w:rPr>
          <w:lang w:eastAsia="en-GB"/>
        </w:rPr>
        <w:t xml:space="preserve">Fluorescent vacuoles were patch clamped 24-48h after transformation. </w:t>
      </w:r>
    </w:p>
    <w:p w:rsidR="00506907" w:rsidRPr="00AF36A7" w:rsidRDefault="00506907" w:rsidP="00D05EFD">
      <w:pPr>
        <w:spacing w:line="360" w:lineRule="auto"/>
        <w:jc w:val="both"/>
        <w:rPr>
          <w:lang w:eastAsia="en-GB"/>
        </w:rPr>
      </w:pPr>
      <w:r w:rsidRPr="00AF36A7">
        <w:rPr>
          <w:b/>
          <w:lang w:eastAsia="en-GB"/>
        </w:rPr>
        <w:t>TPK1 and EF-hand modelling:</w:t>
      </w:r>
      <w:r w:rsidRPr="00AF36A7">
        <w:rPr>
          <w:lang w:eastAsia="en-GB"/>
        </w:rPr>
        <w:t xml:space="preserve"> Using a locally run version of ‘Deep </w:t>
      </w:r>
      <w:r w:rsidR="00E14032" w:rsidRPr="00AF36A7">
        <w:rPr>
          <w:lang w:eastAsia="en-GB"/>
        </w:rPr>
        <w:t>V</w:t>
      </w:r>
      <w:r w:rsidRPr="00AF36A7">
        <w:rPr>
          <w:lang w:eastAsia="en-GB"/>
        </w:rPr>
        <w:t>iew Swiss PdbViewer’</w:t>
      </w:r>
      <w:r w:rsidR="00E14032" w:rsidRPr="00AF36A7">
        <w:rPr>
          <w:lang w:eastAsia="en-GB"/>
        </w:rPr>
        <w:t xml:space="preserve"> (</w:t>
      </w:r>
      <w:r w:rsidRPr="00AF36A7">
        <w:rPr>
          <w:lang w:eastAsia="en-GB"/>
        </w:rPr>
        <w:t xml:space="preserve">v4.0.1. </w:t>
      </w:r>
      <w:r w:rsidR="00314016" w:rsidRPr="00AF36A7">
        <w:rPr>
          <w:lang w:eastAsia="en-GB"/>
        </w:rPr>
        <w:t>G</w:t>
      </w:r>
      <w:r w:rsidR="000E0BCC" w:rsidRPr="00AF36A7">
        <w:rPr>
          <w:lang w:eastAsia="en-GB"/>
        </w:rPr>
        <w:t>uex</w:t>
      </w:r>
      <w:r w:rsidR="00314016" w:rsidRPr="00AF36A7">
        <w:rPr>
          <w:lang w:eastAsia="en-GB"/>
        </w:rPr>
        <w:t xml:space="preserve"> et al., 1997</w:t>
      </w:r>
      <w:r w:rsidRPr="00AF36A7">
        <w:rPr>
          <w:lang w:eastAsia="en-GB"/>
        </w:rPr>
        <w:t>), a model of the AtTPK1 monomer was created using the human two pore domain K</w:t>
      </w:r>
      <w:r w:rsidR="00E209AB" w:rsidRPr="00AF36A7">
        <w:rPr>
          <w:vertAlign w:val="superscript"/>
          <w:lang w:eastAsia="en-GB"/>
        </w:rPr>
        <w:t>+</w:t>
      </w:r>
      <w:r w:rsidRPr="00AF36A7">
        <w:rPr>
          <w:lang w:eastAsia="en-GB"/>
        </w:rPr>
        <w:t xml:space="preserve"> channel TRAAK (</w:t>
      </w:r>
      <w:r w:rsidR="000923F1" w:rsidRPr="00AF36A7">
        <w:rPr>
          <w:lang w:eastAsia="en-GB"/>
        </w:rPr>
        <w:t xml:space="preserve">KCNK4 or </w:t>
      </w:r>
      <w:r w:rsidRPr="00AF36A7">
        <w:rPr>
          <w:lang w:eastAsia="en-GB"/>
        </w:rPr>
        <w:t>K2P4.1</w:t>
      </w:r>
      <w:r w:rsidR="000923F1" w:rsidRPr="00AF36A7">
        <w:rPr>
          <w:lang w:eastAsia="en-GB"/>
        </w:rPr>
        <w:t>)</w:t>
      </w:r>
      <w:r w:rsidRPr="00AF36A7">
        <w:rPr>
          <w:lang w:eastAsia="en-GB"/>
        </w:rPr>
        <w:t xml:space="preserve"> </w:t>
      </w:r>
      <w:r w:rsidR="000923F1" w:rsidRPr="00AF36A7">
        <w:rPr>
          <w:lang w:eastAsia="en-GB"/>
        </w:rPr>
        <w:t xml:space="preserve">and 4I9W (RCSB PDB: http://www.rcsb.org/pdb/explore.do?structureId=4I9W) </w:t>
      </w:r>
      <w:r w:rsidRPr="00AF36A7">
        <w:rPr>
          <w:lang w:eastAsia="en-GB"/>
        </w:rPr>
        <w:t xml:space="preserve">as a template. An approximate dimer was generated by superimposition of the modelled monomers onto the two subunits of the TRAAK channel. </w:t>
      </w:r>
      <w:r w:rsidR="00093A09" w:rsidRPr="00AF36A7">
        <w:rPr>
          <w:lang w:eastAsia="en-GB"/>
        </w:rPr>
        <w:t xml:space="preserve">The first TPK1 EF-hand </w:t>
      </w:r>
      <w:r w:rsidR="00E14032" w:rsidRPr="00AF36A7">
        <w:rPr>
          <w:lang w:eastAsia="en-GB"/>
        </w:rPr>
        <w:t xml:space="preserve">motif </w:t>
      </w:r>
      <w:r w:rsidR="00093A09" w:rsidRPr="00AF36A7">
        <w:rPr>
          <w:lang w:eastAsia="en-GB"/>
        </w:rPr>
        <w:t>(</w:t>
      </w:r>
      <w:r w:rsidR="00E14032" w:rsidRPr="00AF36A7">
        <w:rPr>
          <w:lang w:eastAsia="en-GB"/>
        </w:rPr>
        <w:t xml:space="preserve">amino acid 292-313, </w:t>
      </w:r>
      <w:r w:rsidR="00093A09" w:rsidRPr="00AF36A7">
        <w:rPr>
          <w:lang w:eastAsia="en-GB"/>
        </w:rPr>
        <w:t xml:space="preserve">containing the </w:t>
      </w:r>
      <w:r w:rsidR="00A25C53" w:rsidRPr="00AF36A7">
        <w:rPr>
          <w:lang w:eastAsia="en-GB"/>
        </w:rPr>
        <w:t>N</w:t>
      </w:r>
      <w:r w:rsidR="00093A09" w:rsidRPr="00AF36A7">
        <w:rPr>
          <w:lang w:eastAsia="en-GB"/>
        </w:rPr>
        <w:t>295</w:t>
      </w:r>
      <w:r w:rsidR="00A25C53" w:rsidRPr="00AF36A7">
        <w:rPr>
          <w:lang w:eastAsia="en-GB"/>
        </w:rPr>
        <w:t>S</w:t>
      </w:r>
      <w:r w:rsidR="00093A09" w:rsidRPr="00AF36A7">
        <w:rPr>
          <w:lang w:eastAsia="en-GB"/>
        </w:rPr>
        <w:t xml:space="preserve"> SNP) was modelled on the parvalbumin</w:t>
      </w:r>
      <w:r w:rsidR="00E14032" w:rsidRPr="00AF36A7">
        <w:rPr>
          <w:lang w:eastAsia="en-GB"/>
        </w:rPr>
        <w:t xml:space="preserve"> EF-hand 1A75 (PDB entry domain 17216) and the effect of residue substitution was assessed using the ‘mutation’ facility in Deep View. </w:t>
      </w:r>
    </w:p>
    <w:p w:rsidR="00A856D3" w:rsidRPr="00AF36A7" w:rsidRDefault="00A856D3" w:rsidP="00A856D3">
      <w:pPr>
        <w:spacing w:line="360" w:lineRule="auto"/>
        <w:jc w:val="both"/>
        <w:rPr>
          <w:b/>
          <w:lang w:eastAsia="en-GB"/>
        </w:rPr>
      </w:pPr>
      <w:r w:rsidRPr="00AF36A7">
        <w:rPr>
          <w:b/>
          <w:lang w:eastAsia="en-GB"/>
        </w:rPr>
        <w:t>Leaf Dehydration Assay</w:t>
      </w:r>
    </w:p>
    <w:p w:rsidR="00A856D3" w:rsidRPr="00AF36A7" w:rsidRDefault="00A856D3" w:rsidP="00A856D3">
      <w:pPr>
        <w:spacing w:line="360" w:lineRule="auto"/>
        <w:jc w:val="both"/>
        <w:rPr>
          <w:lang w:eastAsia="en-GB"/>
        </w:rPr>
      </w:pPr>
      <w:r w:rsidRPr="00AF36A7">
        <w:rPr>
          <w:lang w:eastAsia="en-GB"/>
        </w:rPr>
        <w:t>The 4th-7th leaves of four week old plants were detached at midday and placed in petri dishes with 25 ml of stomatal opening buffer (50 mM KCl, 0.1 mM CaCl</w:t>
      </w:r>
      <w:r w:rsidRPr="00AF36A7">
        <w:rPr>
          <w:vertAlign w:val="subscript"/>
          <w:lang w:eastAsia="en-GB"/>
        </w:rPr>
        <w:t>2</w:t>
      </w:r>
      <w:r w:rsidRPr="00AF36A7">
        <w:rPr>
          <w:lang w:eastAsia="en-GB"/>
        </w:rPr>
        <w:t xml:space="preserve"> in </w:t>
      </w:r>
      <w:proofErr w:type="spellStart"/>
      <w:r w:rsidRPr="00AF36A7">
        <w:rPr>
          <w:lang w:eastAsia="en-GB"/>
        </w:rPr>
        <w:t>Mes</w:t>
      </w:r>
      <w:proofErr w:type="spellEnd"/>
      <w:r w:rsidRPr="00AF36A7">
        <w:rPr>
          <w:lang w:eastAsia="en-GB"/>
        </w:rPr>
        <w:t xml:space="preserve">-KOH at pH 6.15) for 90 minutes. Three leaves from each genotype were then treated with 50 </w:t>
      </w:r>
      <w:proofErr w:type="spellStart"/>
      <w:r w:rsidRPr="00AF36A7">
        <w:rPr>
          <w:lang w:eastAsia="en-GB"/>
        </w:rPr>
        <w:t>μM</w:t>
      </w:r>
      <w:proofErr w:type="spellEnd"/>
      <w:r w:rsidRPr="00AF36A7">
        <w:rPr>
          <w:lang w:eastAsia="en-GB"/>
        </w:rPr>
        <w:t xml:space="preserve"> ABA for 30 minutes. Control leaves received ethanol only. Leaves were then blotted dry and weighed before being placed in a fume hood. Each leaf was then re-weighed every half hour for three hours. Experiments were repeated three times.</w:t>
      </w:r>
      <w:r w:rsidR="0078160C" w:rsidRPr="00AF36A7">
        <w:t xml:space="preserve"> </w:t>
      </w:r>
      <w:r w:rsidR="0078160C" w:rsidRPr="00AF36A7">
        <w:rPr>
          <w:lang w:eastAsia="en-GB"/>
        </w:rPr>
        <w:t>Log transformation of data was carried out and gradient differences of linear regressions were tested (P &lt; 0.05) between ecotypes and treatments using a mixed linear model with leaf identity added as a random effect to account for self-similarity between repeated measurements of leaves (</w:t>
      </w:r>
      <w:proofErr w:type="spellStart"/>
      <w:r w:rsidR="0078160C" w:rsidRPr="00AF36A7">
        <w:rPr>
          <w:lang w:eastAsia="en-GB"/>
        </w:rPr>
        <w:t>Kuznetsova</w:t>
      </w:r>
      <w:proofErr w:type="spellEnd"/>
      <w:r w:rsidR="0078160C" w:rsidRPr="00AF36A7">
        <w:rPr>
          <w:lang w:eastAsia="en-GB"/>
        </w:rPr>
        <w:t xml:space="preserve"> et al., 2013).</w:t>
      </w:r>
    </w:p>
    <w:p w:rsidR="00C37194" w:rsidRPr="00AF36A7" w:rsidRDefault="00C37194" w:rsidP="00C37194">
      <w:pPr>
        <w:pStyle w:val="Heading1"/>
        <w:tabs>
          <w:tab w:val="clear" w:pos="0"/>
        </w:tabs>
        <w:suppressAutoHyphens w:val="0"/>
        <w:spacing w:line="360" w:lineRule="auto"/>
        <w:rPr>
          <w:spacing w:val="0"/>
          <w:lang w:val="en-US"/>
        </w:rPr>
      </w:pPr>
      <w:r w:rsidRPr="00AF36A7">
        <w:rPr>
          <w:spacing w:val="0"/>
          <w:lang w:val="en-US"/>
        </w:rPr>
        <w:t>Whole leaf conductance measurements</w:t>
      </w:r>
    </w:p>
    <w:p w:rsidR="00C37194" w:rsidRPr="00AF36A7" w:rsidRDefault="00C37194" w:rsidP="00C37194">
      <w:pPr>
        <w:tabs>
          <w:tab w:val="left" w:pos="0"/>
        </w:tabs>
        <w:suppressAutoHyphens/>
        <w:spacing w:line="360" w:lineRule="auto"/>
        <w:jc w:val="both"/>
        <w:rPr>
          <w:lang w:val="en-US"/>
        </w:rPr>
      </w:pPr>
      <w:r w:rsidRPr="00AF36A7">
        <w:rPr>
          <w:lang w:val="en-US"/>
        </w:rPr>
        <w:t xml:space="preserve">Leaves of mature plants were incubated in </w:t>
      </w:r>
      <w:r w:rsidRPr="00AF36A7">
        <w:rPr>
          <w:bCs/>
          <w:lang w:val="en-US"/>
        </w:rPr>
        <w:t xml:space="preserve">‘opening’ buffer consisting of 10 </w:t>
      </w:r>
      <w:proofErr w:type="spellStart"/>
      <w:r w:rsidRPr="00AF36A7">
        <w:rPr>
          <w:bCs/>
          <w:lang w:val="en-US"/>
        </w:rPr>
        <w:t>mM</w:t>
      </w:r>
      <w:proofErr w:type="spellEnd"/>
      <w:r w:rsidRPr="00AF36A7">
        <w:rPr>
          <w:bCs/>
          <w:lang w:val="en-US"/>
        </w:rPr>
        <w:t xml:space="preserve"> </w:t>
      </w:r>
      <w:proofErr w:type="spellStart"/>
      <w:r w:rsidRPr="00AF36A7">
        <w:rPr>
          <w:bCs/>
          <w:lang w:val="en-US"/>
        </w:rPr>
        <w:t>KCl</w:t>
      </w:r>
      <w:proofErr w:type="spellEnd"/>
      <w:r w:rsidRPr="00AF36A7">
        <w:rPr>
          <w:bCs/>
          <w:lang w:val="en-US"/>
        </w:rPr>
        <w:t xml:space="preserve">, 10 </w:t>
      </w:r>
      <w:proofErr w:type="spellStart"/>
      <w:r w:rsidRPr="00AF36A7">
        <w:rPr>
          <w:bCs/>
          <w:lang w:val="en-US"/>
        </w:rPr>
        <w:t>mM</w:t>
      </w:r>
      <w:proofErr w:type="spellEnd"/>
      <w:r w:rsidRPr="00AF36A7">
        <w:rPr>
          <w:bCs/>
          <w:lang w:val="en-US"/>
        </w:rPr>
        <w:t xml:space="preserve"> MES-KOH pH 6.15 for 2 h in the light to induce maximum opening. </w:t>
      </w:r>
      <w:r w:rsidRPr="00AF36A7">
        <w:rPr>
          <w:lang w:val="en-US"/>
        </w:rPr>
        <w:t xml:space="preserve">Subsequently, </w:t>
      </w:r>
      <w:r w:rsidR="0050095F" w:rsidRPr="00AF36A7">
        <w:rPr>
          <w:lang w:val="en-US"/>
        </w:rPr>
        <w:t xml:space="preserve">leaves were treated as described above and </w:t>
      </w:r>
      <w:r w:rsidRPr="00AF36A7">
        <w:rPr>
          <w:lang w:val="en-US"/>
        </w:rPr>
        <w:t>H</w:t>
      </w:r>
      <w:r w:rsidRPr="00AF36A7">
        <w:rPr>
          <w:vertAlign w:val="subscript"/>
          <w:lang w:val="en-US"/>
        </w:rPr>
        <w:t>2</w:t>
      </w:r>
      <w:r w:rsidRPr="00AF36A7">
        <w:rPr>
          <w:lang w:val="en-US"/>
        </w:rPr>
        <w:t xml:space="preserve">O gas exchange was determined using a Infrared Gas </w:t>
      </w:r>
      <w:proofErr w:type="spellStart"/>
      <w:r w:rsidRPr="00AF36A7">
        <w:rPr>
          <w:lang w:val="en-US"/>
        </w:rPr>
        <w:t>Analyser</w:t>
      </w:r>
      <w:proofErr w:type="spellEnd"/>
      <w:r w:rsidRPr="00AF36A7">
        <w:rPr>
          <w:lang w:val="en-US"/>
        </w:rPr>
        <w:t>, Li-</w:t>
      </w:r>
      <w:proofErr w:type="spellStart"/>
      <w:r w:rsidRPr="00AF36A7">
        <w:rPr>
          <w:lang w:val="en-US"/>
        </w:rPr>
        <w:t>Cor</w:t>
      </w:r>
      <w:proofErr w:type="spellEnd"/>
      <w:r w:rsidRPr="00AF36A7">
        <w:rPr>
          <w:lang w:val="en-US"/>
        </w:rPr>
        <w:t xml:space="preserve"> 6400 (LI-COR, </w:t>
      </w:r>
      <w:smartTag w:uri="urn:schemas-microsoft-com:office:smarttags" w:element="place">
        <w:smartTag w:uri="urn:schemas-microsoft-com:office:smarttags" w:element="City">
          <w:r w:rsidRPr="00AF36A7">
            <w:rPr>
              <w:lang w:val="en-US"/>
            </w:rPr>
            <w:t>Cambridge</w:t>
          </w:r>
        </w:smartTag>
        <w:r w:rsidRPr="00AF36A7">
          <w:rPr>
            <w:lang w:val="en-US"/>
          </w:rPr>
          <w:t xml:space="preserve">, </w:t>
        </w:r>
        <w:smartTag w:uri="urn:schemas-microsoft-com:office:smarttags" w:element="country-region">
          <w:r w:rsidRPr="00AF36A7">
            <w:rPr>
              <w:lang w:val="en-US"/>
            </w:rPr>
            <w:t>UK</w:t>
          </w:r>
        </w:smartTag>
      </w:smartTag>
      <w:r w:rsidRPr="00AF36A7">
        <w:rPr>
          <w:lang w:val="en-US"/>
        </w:rPr>
        <w:t>)</w:t>
      </w:r>
      <w:r w:rsidRPr="00AF36A7">
        <w:rPr>
          <w:lang w:val="en-US"/>
        </w:rPr>
        <w:t xml:space="preserve"> at t=0, 30 and 90 minutes. </w:t>
      </w:r>
      <w:r w:rsidR="0050095F" w:rsidRPr="00AF36A7">
        <w:rPr>
          <w:lang w:val="en-US"/>
        </w:rPr>
        <w:t xml:space="preserve">A total of 9 leaves, derived from </w:t>
      </w:r>
      <w:r w:rsidR="0050095F" w:rsidRPr="00AF36A7">
        <w:rPr>
          <w:lang w:val="en-US"/>
        </w:rPr>
        <w:lastRenderedPageBreak/>
        <w:t xml:space="preserve">3-4 different plants, per ecotype was used and data are presented as the </w:t>
      </w:r>
      <w:proofErr w:type="spellStart"/>
      <w:r w:rsidR="0050095F" w:rsidRPr="00AF36A7">
        <w:rPr>
          <w:lang w:val="en-US"/>
        </w:rPr>
        <w:t>mean±SE</w:t>
      </w:r>
      <w:proofErr w:type="spellEnd"/>
      <w:r w:rsidR="0050095F" w:rsidRPr="00AF36A7">
        <w:rPr>
          <w:lang w:val="en-US"/>
        </w:rPr>
        <w:t>.</w:t>
      </w:r>
      <w:r w:rsidR="0078160C" w:rsidRPr="00AF36A7">
        <w:t xml:space="preserve"> Ecotype differences were statistically tested using </w:t>
      </w:r>
      <w:r w:rsidR="0078160C" w:rsidRPr="00AF36A7">
        <w:rPr>
          <w:lang w:val="en-US"/>
        </w:rPr>
        <w:t>Student’s t-test at P &lt; 0.05.</w:t>
      </w:r>
    </w:p>
    <w:p w:rsidR="00A856D3" w:rsidRPr="00AF36A7" w:rsidRDefault="00A856D3" w:rsidP="00A856D3">
      <w:pPr>
        <w:spacing w:line="360" w:lineRule="auto"/>
        <w:jc w:val="both"/>
        <w:rPr>
          <w:b/>
          <w:lang w:eastAsia="en-GB"/>
        </w:rPr>
      </w:pPr>
      <w:r w:rsidRPr="00AF36A7">
        <w:rPr>
          <w:b/>
          <w:lang w:eastAsia="en-GB"/>
        </w:rPr>
        <w:t>Stomatal Density</w:t>
      </w:r>
      <w:r w:rsidR="001C02D8" w:rsidRPr="00AF36A7">
        <w:rPr>
          <w:b/>
          <w:lang w:eastAsia="en-GB"/>
        </w:rPr>
        <w:t xml:space="preserve"> Assays</w:t>
      </w:r>
    </w:p>
    <w:p w:rsidR="0061049C" w:rsidRPr="00AF36A7" w:rsidRDefault="00A856D3" w:rsidP="00A856D3">
      <w:pPr>
        <w:spacing w:line="360" w:lineRule="auto"/>
        <w:jc w:val="both"/>
        <w:rPr>
          <w:lang w:eastAsia="en-GB"/>
        </w:rPr>
      </w:pPr>
      <w:r w:rsidRPr="00AF36A7">
        <w:rPr>
          <w:lang w:eastAsia="en-GB"/>
        </w:rPr>
        <w:t>Three detached 4th-7th leaves of four week old plants of each genotype had clear nail polish applied to the abaxial side. Clear adhesive tape was used to remove the nail polish once dried and stomata were counted at three locations across the leaf surface, avoiding the mid-vein. Leaf impressions were viewed at 40x magnification</w:t>
      </w:r>
      <w:r w:rsidR="00DB5ECC" w:rsidRPr="00AF36A7">
        <w:rPr>
          <w:lang w:eastAsia="en-GB"/>
        </w:rPr>
        <w:t xml:space="preserve"> and </w:t>
      </w:r>
      <w:r w:rsidR="00DB5ECC" w:rsidRPr="00AF36A7">
        <w:t>the number of stomata was determined in 3 different regions of mature leaves.</w:t>
      </w:r>
      <w:r w:rsidRPr="00AF36A7">
        <w:rPr>
          <w:lang w:eastAsia="en-GB"/>
        </w:rPr>
        <w:t xml:space="preserve"> </w:t>
      </w:r>
    </w:p>
    <w:p w:rsidR="00D109EA" w:rsidRPr="00AF36A7" w:rsidRDefault="00D109EA" w:rsidP="00D05EFD">
      <w:pPr>
        <w:spacing w:line="360" w:lineRule="auto"/>
        <w:jc w:val="both"/>
      </w:pPr>
    </w:p>
    <w:p w:rsidR="003E07D6" w:rsidRPr="00AF36A7" w:rsidRDefault="003E07D6" w:rsidP="00D05EFD">
      <w:pPr>
        <w:spacing w:line="360" w:lineRule="auto"/>
        <w:jc w:val="both"/>
        <w:rPr>
          <w:b/>
        </w:rPr>
      </w:pPr>
      <w:r w:rsidRPr="00AF36A7">
        <w:rPr>
          <w:b/>
        </w:rPr>
        <w:t>RESULTS</w:t>
      </w:r>
      <w:r w:rsidR="00D57664" w:rsidRPr="00AF36A7">
        <w:rPr>
          <w:b/>
        </w:rPr>
        <w:t xml:space="preserve"> AND DISCUSSION</w:t>
      </w:r>
    </w:p>
    <w:p w:rsidR="003E07D6" w:rsidRPr="00AF36A7" w:rsidRDefault="003E07D6" w:rsidP="00D05EFD">
      <w:pPr>
        <w:spacing w:line="360" w:lineRule="auto"/>
        <w:jc w:val="both"/>
      </w:pPr>
    </w:p>
    <w:p w:rsidR="00675B82" w:rsidRPr="00AF36A7" w:rsidRDefault="003E07D6" w:rsidP="00D05EFD">
      <w:pPr>
        <w:spacing w:line="360" w:lineRule="auto"/>
        <w:jc w:val="both"/>
      </w:pPr>
      <w:r w:rsidRPr="00AF36A7">
        <w:rPr>
          <w:i/>
        </w:rPr>
        <w:t>TPK</w:t>
      </w:r>
      <w:r w:rsidR="00B23139" w:rsidRPr="00AF36A7">
        <w:rPr>
          <w:i/>
        </w:rPr>
        <w:t>1 proteins contain two non-synonymous</w:t>
      </w:r>
      <w:r w:rsidR="00675B82" w:rsidRPr="00AF36A7">
        <w:rPr>
          <w:i/>
        </w:rPr>
        <w:t xml:space="preserve"> SNPs</w:t>
      </w:r>
    </w:p>
    <w:p w:rsidR="00C91BA3" w:rsidRPr="00AF36A7" w:rsidRDefault="006215D2" w:rsidP="00D05EFD">
      <w:pPr>
        <w:spacing w:line="360" w:lineRule="auto"/>
        <w:jc w:val="both"/>
      </w:pPr>
      <w:r w:rsidRPr="00AF36A7">
        <w:t xml:space="preserve">Of the </w:t>
      </w:r>
      <w:r w:rsidR="00805FF3" w:rsidRPr="00AF36A7">
        <w:t>7</w:t>
      </w:r>
      <w:r w:rsidR="00675B82" w:rsidRPr="00AF36A7">
        <w:t xml:space="preserve"> </w:t>
      </w:r>
      <w:r w:rsidRPr="00AF36A7">
        <w:t xml:space="preserve">identified </w:t>
      </w:r>
      <w:r w:rsidR="00675B82" w:rsidRPr="00AF36A7">
        <w:t>SNPs</w:t>
      </w:r>
      <w:r w:rsidRPr="00AF36A7">
        <w:t xml:space="preserve"> in the TPK1 coding sequence, 5</w:t>
      </w:r>
      <w:r w:rsidR="00675B82" w:rsidRPr="00AF36A7">
        <w:t xml:space="preserve"> are synonymous (N26; T91; A199; S243 and L269) </w:t>
      </w:r>
      <w:r w:rsidR="00805FF3" w:rsidRPr="00AF36A7">
        <w:t>and 2 (S261T and N295S)</w:t>
      </w:r>
      <w:r w:rsidR="001532CA" w:rsidRPr="00AF36A7">
        <w:t xml:space="preserve"> </w:t>
      </w:r>
      <w:r w:rsidR="006A4107" w:rsidRPr="00AF36A7">
        <w:t xml:space="preserve">are non-synonymous </w:t>
      </w:r>
      <w:r w:rsidR="001532CA" w:rsidRPr="00AF36A7">
        <w:t>(Fig</w:t>
      </w:r>
      <w:r w:rsidR="00314016" w:rsidRPr="00AF36A7">
        <w:t>.</w:t>
      </w:r>
      <w:r w:rsidR="001532CA" w:rsidRPr="00AF36A7">
        <w:t xml:space="preserve"> 1)</w:t>
      </w:r>
      <w:r w:rsidR="00805FF3" w:rsidRPr="00AF36A7">
        <w:t xml:space="preserve">. Synonymous substitutions </w:t>
      </w:r>
      <w:r w:rsidRPr="00AF36A7">
        <w:t xml:space="preserve">do not change protein sequence and therefore </w:t>
      </w:r>
      <w:r w:rsidR="00805FF3" w:rsidRPr="00AF36A7">
        <w:t>are unlikely to affect protein function</w:t>
      </w:r>
      <w:r w:rsidR="006A4107" w:rsidRPr="00AF36A7">
        <w:t xml:space="preserve"> (</w:t>
      </w:r>
      <w:r w:rsidR="0081696C" w:rsidRPr="00AF36A7">
        <w:t>Ng and Henikoff, 2006</w:t>
      </w:r>
      <w:r w:rsidR="006A4107" w:rsidRPr="00AF36A7">
        <w:t>)</w:t>
      </w:r>
      <w:r w:rsidRPr="00AF36A7">
        <w:t>.</w:t>
      </w:r>
      <w:r w:rsidR="000E3901" w:rsidRPr="00AF36A7">
        <w:t xml:space="preserve"> The non-synonymous SNPs in TPK1 are found in the 4</w:t>
      </w:r>
      <w:r w:rsidR="000E3901" w:rsidRPr="00AF36A7">
        <w:rPr>
          <w:vertAlign w:val="superscript"/>
        </w:rPr>
        <w:t>th</w:t>
      </w:r>
      <w:r w:rsidR="000E3901" w:rsidRPr="00AF36A7">
        <w:t xml:space="preserve"> transmembrane domain (TMD) and in the 1</w:t>
      </w:r>
      <w:r w:rsidR="000E3901" w:rsidRPr="00AF36A7">
        <w:rPr>
          <w:vertAlign w:val="superscript"/>
        </w:rPr>
        <w:t>st</w:t>
      </w:r>
      <w:r w:rsidR="000E3901" w:rsidRPr="00AF36A7">
        <w:t xml:space="preserve"> EF-hand which is present in the cytoplasmic C-terminus. </w:t>
      </w:r>
      <w:r w:rsidR="00805FF3" w:rsidRPr="00AF36A7">
        <w:t xml:space="preserve">Apart from </w:t>
      </w:r>
      <w:r w:rsidRPr="00AF36A7">
        <w:t>very</w:t>
      </w:r>
      <w:r w:rsidR="00805FF3" w:rsidRPr="00AF36A7">
        <w:t xml:space="preserve"> few exception</w:t>
      </w:r>
      <w:r w:rsidR="00C91BA3" w:rsidRPr="00AF36A7">
        <w:t>s</w:t>
      </w:r>
      <w:r w:rsidR="00805FF3" w:rsidRPr="00AF36A7">
        <w:t>, ecotypes either show the S261; N295 or the T261; S295 genotype</w:t>
      </w:r>
      <w:r w:rsidR="00AB77C5" w:rsidRPr="00AF36A7">
        <w:t xml:space="preserve"> in</w:t>
      </w:r>
      <w:r w:rsidR="008A2078" w:rsidRPr="00AF36A7">
        <w:t xml:space="preserve"> an</w:t>
      </w:r>
      <w:r w:rsidR="00AB77C5" w:rsidRPr="00AF36A7">
        <w:t xml:space="preserve"> approximate ratio of 5 to 1 across the 1001 SALK listed ecotypes. The S261; N295 or the T261; S295 genotypes </w:t>
      </w:r>
      <w:r w:rsidR="00C91BA3" w:rsidRPr="00AF36A7">
        <w:t xml:space="preserve">from now on </w:t>
      </w:r>
      <w:r w:rsidR="00AB77C5" w:rsidRPr="00AF36A7">
        <w:t xml:space="preserve">will be </w:t>
      </w:r>
      <w:r w:rsidR="00C91BA3" w:rsidRPr="00AF36A7">
        <w:t xml:space="preserve">referred to as the </w:t>
      </w:r>
      <w:r w:rsidR="00113A0E" w:rsidRPr="00AF36A7">
        <w:t>‘</w:t>
      </w:r>
      <w:r w:rsidR="00C91BA3" w:rsidRPr="00AF36A7">
        <w:t>Ler</w:t>
      </w:r>
      <w:r w:rsidR="00113A0E" w:rsidRPr="00AF36A7">
        <w:t>’</w:t>
      </w:r>
      <w:r w:rsidR="00C91BA3" w:rsidRPr="00AF36A7">
        <w:t xml:space="preserve"> and </w:t>
      </w:r>
      <w:r w:rsidR="00113A0E" w:rsidRPr="00AF36A7">
        <w:t>‘</w:t>
      </w:r>
      <w:r w:rsidR="00C91BA3" w:rsidRPr="00AF36A7">
        <w:t>Kas</w:t>
      </w:r>
      <w:r w:rsidR="00113A0E" w:rsidRPr="00AF36A7">
        <w:t>’</w:t>
      </w:r>
      <w:r w:rsidR="00C91BA3" w:rsidRPr="00AF36A7">
        <w:t xml:space="preserve"> genotypes. </w:t>
      </w:r>
    </w:p>
    <w:p w:rsidR="00D05EFD" w:rsidRPr="00AF36A7" w:rsidRDefault="00C37194" w:rsidP="00D05EFD">
      <w:pPr>
        <w:spacing w:line="360" w:lineRule="auto"/>
        <w:jc w:val="both"/>
      </w:pPr>
      <w:r w:rsidRPr="00AF36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210.55pt">
            <v:imagedata r:id="rId7" o:title=""/>
          </v:shape>
        </w:pict>
      </w:r>
    </w:p>
    <w:p w:rsidR="00C91BA3" w:rsidRPr="00AF36A7" w:rsidRDefault="00C91BA3" w:rsidP="00D05EFD">
      <w:pPr>
        <w:spacing w:line="360" w:lineRule="auto"/>
        <w:jc w:val="both"/>
        <w:rPr>
          <w:i/>
        </w:rPr>
      </w:pPr>
      <w:r w:rsidRPr="00AF36A7">
        <w:rPr>
          <w:i/>
        </w:rPr>
        <w:t>Ler and Kas genotypes show different Ca</w:t>
      </w:r>
      <w:r w:rsidR="00E209AB" w:rsidRPr="00AF36A7">
        <w:rPr>
          <w:i/>
          <w:vertAlign w:val="superscript"/>
        </w:rPr>
        <w:t>2+</w:t>
      </w:r>
      <w:r w:rsidRPr="00AF36A7">
        <w:rPr>
          <w:i/>
        </w:rPr>
        <w:t xml:space="preserve"> dependence.</w:t>
      </w:r>
    </w:p>
    <w:p w:rsidR="00113A0E" w:rsidRPr="00AF36A7" w:rsidRDefault="00C91BA3" w:rsidP="00D05EFD">
      <w:pPr>
        <w:spacing w:line="360" w:lineRule="auto"/>
        <w:jc w:val="both"/>
      </w:pPr>
      <w:r w:rsidRPr="00AF36A7">
        <w:lastRenderedPageBreak/>
        <w:t xml:space="preserve">Both Ler and Kas </w:t>
      </w:r>
      <w:r w:rsidR="00AB77C5" w:rsidRPr="00AF36A7">
        <w:t xml:space="preserve">vacuoles </w:t>
      </w:r>
      <w:r w:rsidRPr="00AF36A7">
        <w:t>were subjected to extensive patch clamp analyses, predominantly using cytoplasmic side out excised tonoplast patches</w:t>
      </w:r>
      <w:r w:rsidR="00AB77C5" w:rsidRPr="00AF36A7">
        <w:t>, to assess if there were any differences in channel properties between these ecotypes.</w:t>
      </w:r>
      <w:r w:rsidRPr="00AF36A7">
        <w:t xml:space="preserve"> Fig.</w:t>
      </w:r>
      <w:r w:rsidR="001532CA" w:rsidRPr="00AF36A7">
        <w:t xml:space="preserve"> 2</w:t>
      </w:r>
      <w:r w:rsidRPr="00AF36A7">
        <w:t xml:space="preserve"> shows </w:t>
      </w:r>
      <w:r w:rsidR="006108B0" w:rsidRPr="00AF36A7">
        <w:t xml:space="preserve">representative currents from </w:t>
      </w:r>
      <w:r w:rsidR="00113A0E" w:rsidRPr="00AF36A7">
        <w:t xml:space="preserve">a </w:t>
      </w:r>
      <w:r w:rsidR="006108B0" w:rsidRPr="00AF36A7">
        <w:t xml:space="preserve">Ler and a Kas patch, showing </w:t>
      </w:r>
      <w:r w:rsidR="007429DD" w:rsidRPr="00AF36A7">
        <w:t>increasing</w:t>
      </w:r>
      <w:r w:rsidR="006108B0" w:rsidRPr="00AF36A7">
        <w:t xml:space="preserve"> channel </w:t>
      </w:r>
      <w:r w:rsidR="007429DD" w:rsidRPr="00AF36A7">
        <w:t xml:space="preserve">activity when the </w:t>
      </w:r>
      <w:r w:rsidR="006108B0" w:rsidRPr="00AF36A7">
        <w:t>cytoplasmic Ca</w:t>
      </w:r>
      <w:r w:rsidR="00E209AB" w:rsidRPr="00AF36A7">
        <w:rPr>
          <w:vertAlign w:val="superscript"/>
        </w:rPr>
        <w:t>2+</w:t>
      </w:r>
      <w:r w:rsidR="006108B0" w:rsidRPr="00AF36A7">
        <w:t xml:space="preserve"> concentration</w:t>
      </w:r>
      <w:r w:rsidR="007429DD" w:rsidRPr="00AF36A7">
        <w:t xml:space="preserve"> ([Ca]</w:t>
      </w:r>
      <w:r w:rsidR="007429DD" w:rsidRPr="00AF36A7">
        <w:rPr>
          <w:vertAlign w:val="subscript"/>
        </w:rPr>
        <w:t>cyt</w:t>
      </w:r>
      <w:r w:rsidR="007429DD" w:rsidRPr="00AF36A7">
        <w:t>) is raised</w:t>
      </w:r>
      <w:r w:rsidR="006108B0" w:rsidRPr="00AF36A7">
        <w:t>.</w:t>
      </w:r>
    </w:p>
    <w:p w:rsidR="008D6619" w:rsidRPr="00AF36A7" w:rsidRDefault="00C37194" w:rsidP="00D05EFD">
      <w:pPr>
        <w:spacing w:line="360" w:lineRule="auto"/>
        <w:jc w:val="both"/>
      </w:pPr>
      <w:r w:rsidRPr="00AF36A7">
        <w:pict>
          <v:shape id="_x0000_i1026" type="#_x0000_t75" style="width:481.65pt;height:244.9pt">
            <v:imagedata r:id="rId8" o:title=""/>
          </v:shape>
        </w:pict>
      </w:r>
    </w:p>
    <w:p w:rsidR="00744D0D" w:rsidRPr="00AF36A7" w:rsidRDefault="00AA7B63" w:rsidP="00D05EFD">
      <w:pPr>
        <w:spacing w:line="360" w:lineRule="auto"/>
        <w:jc w:val="both"/>
      </w:pPr>
      <w:r w:rsidRPr="00AF36A7">
        <w:t>T</w:t>
      </w:r>
      <w:r w:rsidR="00C91BA3" w:rsidRPr="00AF36A7">
        <w:t>he single channel conductance was the same for Ler and Kas with</w:t>
      </w:r>
      <w:r w:rsidR="00BB44A0" w:rsidRPr="00AF36A7">
        <w:t xml:space="preserve"> 53±</w:t>
      </w:r>
      <w:r w:rsidR="006108B0" w:rsidRPr="00AF36A7">
        <w:t>3</w:t>
      </w:r>
      <w:r w:rsidR="00BB44A0" w:rsidRPr="00AF36A7">
        <w:t xml:space="preserve">.4 and </w:t>
      </w:r>
      <w:r w:rsidR="006108B0" w:rsidRPr="00AF36A7">
        <w:t>26</w:t>
      </w:r>
      <w:r w:rsidR="00BB44A0" w:rsidRPr="00AF36A7">
        <w:t>±2.</w:t>
      </w:r>
      <w:r w:rsidR="006108B0" w:rsidRPr="00AF36A7">
        <w:t>1</w:t>
      </w:r>
      <w:r w:rsidR="00BB44A0" w:rsidRPr="00AF36A7">
        <w:t xml:space="preserve"> pS </w:t>
      </w:r>
      <w:r w:rsidR="00C91BA3" w:rsidRPr="00AF36A7">
        <w:t>for inward and outward current in the presence of 100 mM KCl</w:t>
      </w:r>
      <w:r w:rsidR="00BB44A0" w:rsidRPr="00AF36A7">
        <w:t xml:space="preserve"> for Ler and 57.6±5.5 and </w:t>
      </w:r>
      <w:r w:rsidR="006108B0" w:rsidRPr="00AF36A7">
        <w:t>28</w:t>
      </w:r>
      <w:r w:rsidR="00BB44A0" w:rsidRPr="00AF36A7">
        <w:t>±2.5 pS for Kas</w:t>
      </w:r>
      <w:r w:rsidR="00C91BA3" w:rsidRPr="00AF36A7">
        <w:t xml:space="preserve">. </w:t>
      </w:r>
      <w:r w:rsidRPr="00AF36A7">
        <w:t>Similarly, t</w:t>
      </w:r>
      <w:r w:rsidR="00C91BA3" w:rsidRPr="00AF36A7">
        <w:t>he K:Na selectivity (calculated from the Nernst potential using 100/100 KCl/NaCl</w:t>
      </w:r>
      <w:r w:rsidRPr="00AF36A7">
        <w:t>)</w:t>
      </w:r>
      <w:r w:rsidR="00C91BA3" w:rsidRPr="00AF36A7">
        <w:t xml:space="preserve"> </w:t>
      </w:r>
      <w:r w:rsidRPr="00AF36A7">
        <w:t xml:space="preserve">did not differ and </w:t>
      </w:r>
      <w:r w:rsidR="00C91BA3" w:rsidRPr="00AF36A7">
        <w:t xml:space="preserve">was </w:t>
      </w:r>
      <w:r w:rsidR="00113A0E" w:rsidRPr="00AF36A7">
        <w:t>43</w:t>
      </w:r>
      <w:r w:rsidR="00C91BA3" w:rsidRPr="00AF36A7">
        <w:t xml:space="preserve">±5 (n=3). </w:t>
      </w:r>
      <w:r w:rsidRPr="00AF36A7">
        <w:t>One regulatory mechanism that modulates TPK1 open probability, and therefore protein activity, is [Ca]</w:t>
      </w:r>
      <w:r w:rsidRPr="00AF36A7">
        <w:rPr>
          <w:vertAlign w:val="subscript"/>
        </w:rPr>
        <w:t>cyt</w:t>
      </w:r>
      <w:r w:rsidRPr="00AF36A7">
        <w:t xml:space="preserve"> (</w:t>
      </w:r>
      <w:r w:rsidR="00113A0E" w:rsidRPr="00AF36A7">
        <w:t>Gobert et al</w:t>
      </w:r>
      <w:r w:rsidR="00314016" w:rsidRPr="00AF36A7">
        <w:t>.,</w:t>
      </w:r>
      <w:r w:rsidR="00113A0E" w:rsidRPr="00AF36A7">
        <w:t xml:space="preserve"> 2007; Hamamoto</w:t>
      </w:r>
      <w:r w:rsidR="00314016" w:rsidRPr="00AF36A7">
        <w:t xml:space="preserve"> et al., 2008</w:t>
      </w:r>
      <w:r w:rsidR="00113A0E" w:rsidRPr="00AF36A7">
        <w:t>)</w:t>
      </w:r>
      <w:r w:rsidRPr="00AF36A7">
        <w:t>. The impact of a range of [Ca]</w:t>
      </w:r>
      <w:r w:rsidRPr="00AF36A7">
        <w:rPr>
          <w:vertAlign w:val="subscript"/>
        </w:rPr>
        <w:t>cyt</w:t>
      </w:r>
      <w:r w:rsidRPr="00AF36A7">
        <w:t xml:space="preserve"> </w:t>
      </w:r>
      <w:r w:rsidR="00BB44A0" w:rsidRPr="00AF36A7">
        <w:t>(from nominally 0 to 0.</w:t>
      </w:r>
      <w:r w:rsidR="0075712D" w:rsidRPr="00AF36A7">
        <w:t>5</w:t>
      </w:r>
      <w:r w:rsidR="00BB44A0" w:rsidRPr="00AF36A7">
        <w:t xml:space="preserve"> mM) </w:t>
      </w:r>
      <w:r w:rsidRPr="00AF36A7">
        <w:t xml:space="preserve">was therefore tested on both genotypes. Fig. </w:t>
      </w:r>
      <w:r w:rsidR="0081696C" w:rsidRPr="00AF36A7">
        <w:t>3</w:t>
      </w:r>
      <w:r w:rsidRPr="00AF36A7">
        <w:t xml:space="preserve"> shows that TPK1 Ca</w:t>
      </w:r>
      <w:r w:rsidR="00E209AB" w:rsidRPr="00AF36A7">
        <w:rPr>
          <w:vertAlign w:val="superscript"/>
        </w:rPr>
        <w:t>2+</w:t>
      </w:r>
      <w:r w:rsidRPr="00AF36A7">
        <w:t xml:space="preserve"> dependence in the </w:t>
      </w:r>
      <w:r w:rsidR="000C3E39" w:rsidRPr="00AF36A7">
        <w:t>Ler</w:t>
      </w:r>
      <w:r w:rsidRPr="00AF36A7">
        <w:t xml:space="preserve"> background is less steep than that for </w:t>
      </w:r>
      <w:r w:rsidR="000C3E39" w:rsidRPr="00AF36A7">
        <w:t>Kas</w:t>
      </w:r>
      <w:r w:rsidR="003D5415" w:rsidRPr="00AF36A7">
        <w:t xml:space="preserve">. </w:t>
      </w:r>
      <w:r w:rsidR="00855144" w:rsidRPr="00AF36A7">
        <w:t xml:space="preserve">Fitting of the </w:t>
      </w:r>
      <w:proofErr w:type="spellStart"/>
      <w:r w:rsidR="00855144" w:rsidRPr="00AF36A7">
        <w:t>semilog</w:t>
      </w:r>
      <w:proofErr w:type="spellEnd"/>
      <w:r w:rsidR="00855144" w:rsidRPr="00AF36A7">
        <w:t xml:space="preserve"> data using a sigmoid function to calculate values for Ca</w:t>
      </w:r>
      <w:r w:rsidR="00855144" w:rsidRPr="00AF36A7">
        <w:rPr>
          <w:vertAlign w:val="superscript"/>
        </w:rPr>
        <w:t>2+</w:t>
      </w:r>
      <w:r w:rsidR="00855144" w:rsidRPr="00AF36A7">
        <w:t xml:space="preserve"> binding revealed </w:t>
      </w:r>
      <w:proofErr w:type="spellStart"/>
      <w:r w:rsidR="00855144" w:rsidRPr="00AF36A7">
        <w:t>Kd</w:t>
      </w:r>
      <w:proofErr w:type="spellEnd"/>
      <w:r w:rsidR="00855144" w:rsidRPr="00AF36A7">
        <w:t xml:space="preserve"> values of 8.3 (R</w:t>
      </w:r>
      <w:r w:rsidR="00855144" w:rsidRPr="00AF36A7">
        <w:rPr>
          <w:vertAlign w:val="superscript"/>
        </w:rPr>
        <w:t>2</w:t>
      </w:r>
      <w:r w:rsidR="00855144" w:rsidRPr="00AF36A7">
        <w:t xml:space="preserve">=0.984) and 23.2 </w:t>
      </w:r>
      <w:r w:rsidR="0050095F" w:rsidRPr="00AF36A7">
        <w:t>µ</w:t>
      </w:r>
      <w:r w:rsidR="00855144" w:rsidRPr="00AF36A7">
        <w:t>M (R</w:t>
      </w:r>
      <w:r w:rsidR="00855144" w:rsidRPr="00AF36A7">
        <w:rPr>
          <w:vertAlign w:val="superscript"/>
        </w:rPr>
        <w:t>2</w:t>
      </w:r>
      <w:r w:rsidR="00855144" w:rsidRPr="00AF36A7">
        <w:t xml:space="preserve">=0.991) respectively for </w:t>
      </w:r>
      <w:proofErr w:type="spellStart"/>
      <w:r w:rsidR="00855144" w:rsidRPr="00AF36A7">
        <w:t>Ler</w:t>
      </w:r>
      <w:proofErr w:type="spellEnd"/>
      <w:r w:rsidR="00855144" w:rsidRPr="00AF36A7">
        <w:t xml:space="preserve"> and </w:t>
      </w:r>
      <w:proofErr w:type="spellStart"/>
      <w:r w:rsidR="00855144" w:rsidRPr="00AF36A7">
        <w:t>Kas</w:t>
      </w:r>
      <w:proofErr w:type="spellEnd"/>
      <w:r w:rsidR="00855144" w:rsidRPr="00AF36A7">
        <w:t xml:space="preserve">. </w:t>
      </w:r>
    </w:p>
    <w:p w:rsidR="00496DE3" w:rsidRPr="00AF36A7" w:rsidRDefault="008F3864" w:rsidP="00D05EFD">
      <w:pPr>
        <w:spacing w:line="360" w:lineRule="auto"/>
        <w:jc w:val="both"/>
      </w:pPr>
      <w:r w:rsidRPr="00AF36A7">
        <w:t xml:space="preserve">Although it has been shown that AtTPK1 most likely functions as a </w:t>
      </w:r>
      <w:proofErr w:type="spellStart"/>
      <w:r w:rsidRPr="00AF36A7">
        <w:t>homodimer</w:t>
      </w:r>
      <w:proofErr w:type="spellEnd"/>
      <w:r w:rsidRPr="00AF36A7">
        <w:t xml:space="preserve"> (</w:t>
      </w:r>
      <w:proofErr w:type="spellStart"/>
      <w:r w:rsidR="00496DE3" w:rsidRPr="00AF36A7">
        <w:t>Voelker</w:t>
      </w:r>
      <w:proofErr w:type="spellEnd"/>
      <w:r w:rsidR="00496DE3" w:rsidRPr="00AF36A7">
        <w:t xml:space="preserve"> et al., 2006</w:t>
      </w:r>
      <w:r w:rsidRPr="00AF36A7">
        <w:t xml:space="preserve">) other TPK isoforms </w:t>
      </w:r>
      <w:r w:rsidR="00496DE3" w:rsidRPr="00AF36A7">
        <w:t xml:space="preserve">(TPK2, 3 and 5) </w:t>
      </w:r>
      <w:r w:rsidRPr="00AF36A7">
        <w:t xml:space="preserve">also express at the tonoplast </w:t>
      </w:r>
      <w:r w:rsidR="00496DE3" w:rsidRPr="00AF36A7">
        <w:t>(</w:t>
      </w:r>
      <w:proofErr w:type="spellStart"/>
      <w:r w:rsidR="00496DE3" w:rsidRPr="00AF36A7">
        <w:t>Voelker</w:t>
      </w:r>
      <w:proofErr w:type="spellEnd"/>
      <w:r w:rsidR="00496DE3" w:rsidRPr="00AF36A7">
        <w:t xml:space="preserve"> et al., 2006) and </w:t>
      </w:r>
      <w:r w:rsidRPr="00AF36A7">
        <w:t xml:space="preserve">SNPs in these could therefore in principle affect TPK1 current properties. </w:t>
      </w:r>
      <w:r w:rsidR="00496DE3" w:rsidRPr="00AF36A7">
        <w:t xml:space="preserve">Supplemental figure 1 shows that TPK2 and TPK5 do not contain any SNPs between </w:t>
      </w:r>
      <w:proofErr w:type="spellStart"/>
      <w:r w:rsidR="00496DE3" w:rsidRPr="00AF36A7">
        <w:t>Ler</w:t>
      </w:r>
      <w:proofErr w:type="spellEnd"/>
      <w:r w:rsidR="00496DE3" w:rsidRPr="00AF36A7">
        <w:t xml:space="preserve"> and </w:t>
      </w:r>
      <w:proofErr w:type="spellStart"/>
      <w:r w:rsidR="00496DE3" w:rsidRPr="00AF36A7">
        <w:t>Kas</w:t>
      </w:r>
      <w:proofErr w:type="spellEnd"/>
      <w:r w:rsidR="00496DE3" w:rsidRPr="00AF36A7">
        <w:t>. In contrast, TPK3 has a serine at position 434 (</w:t>
      </w:r>
      <w:proofErr w:type="spellStart"/>
      <w:r w:rsidR="00496DE3" w:rsidRPr="00AF36A7">
        <w:t>Kas</w:t>
      </w:r>
      <w:proofErr w:type="spellEnd"/>
      <w:r w:rsidR="00496DE3" w:rsidRPr="00AF36A7">
        <w:t>) or glycine (</w:t>
      </w:r>
      <w:proofErr w:type="spellStart"/>
      <w:r w:rsidR="00496DE3" w:rsidRPr="00AF36A7">
        <w:t>Ler</w:t>
      </w:r>
      <w:proofErr w:type="spellEnd"/>
      <w:r w:rsidR="00496DE3" w:rsidRPr="00AF36A7">
        <w:t>) at the C terminus. Recently it was shown that TPK3 expresses at the thylakoid membrane (</w:t>
      </w:r>
      <w:proofErr w:type="spellStart"/>
      <w:r w:rsidR="00FC4291" w:rsidRPr="00AF36A7">
        <w:t>Carraretto</w:t>
      </w:r>
      <w:proofErr w:type="spellEnd"/>
      <w:r w:rsidR="00FC4291" w:rsidRPr="00AF36A7">
        <w:t xml:space="preserve"> et al., 2013</w:t>
      </w:r>
      <w:r w:rsidR="00496DE3" w:rsidRPr="00AF36A7">
        <w:t>) and therefore the S434G SNP is extremely unlikely to affect the data reported in figure 3.</w:t>
      </w:r>
    </w:p>
    <w:p w:rsidR="00E82371" w:rsidRPr="00AF36A7" w:rsidRDefault="00496DE3" w:rsidP="00D05EFD">
      <w:pPr>
        <w:spacing w:line="360" w:lineRule="auto"/>
        <w:jc w:val="both"/>
      </w:pPr>
      <w:r w:rsidRPr="00AF36A7">
        <w:lastRenderedPageBreak/>
        <w:t>To obtain more certainty that the differential [Ca]</w:t>
      </w:r>
      <w:proofErr w:type="spellStart"/>
      <w:r w:rsidRPr="00AF36A7">
        <w:rPr>
          <w:vertAlign w:val="subscript"/>
        </w:rPr>
        <w:t>cyt</w:t>
      </w:r>
      <w:proofErr w:type="spellEnd"/>
      <w:r w:rsidRPr="00AF36A7">
        <w:t xml:space="preserve"> effect is an innate TPK1 property, we repeated</w:t>
      </w:r>
      <w:r w:rsidR="00744D0D" w:rsidRPr="00AF36A7">
        <w:t xml:space="preserve"> a number of [Ca]</w:t>
      </w:r>
      <w:proofErr w:type="spellStart"/>
      <w:r w:rsidR="00744D0D" w:rsidRPr="00AF36A7">
        <w:rPr>
          <w:vertAlign w:val="subscript"/>
        </w:rPr>
        <w:t>cyt</w:t>
      </w:r>
      <w:proofErr w:type="spellEnd"/>
      <w:r w:rsidR="00744D0D" w:rsidRPr="00AF36A7">
        <w:t xml:space="preserve"> values using transient expression of </w:t>
      </w:r>
      <w:proofErr w:type="spellStart"/>
      <w:r w:rsidR="00744D0D" w:rsidRPr="00AF36A7">
        <w:t>Ler</w:t>
      </w:r>
      <w:proofErr w:type="spellEnd"/>
      <w:r w:rsidR="00744D0D" w:rsidRPr="00AF36A7">
        <w:t xml:space="preserve"> and </w:t>
      </w:r>
      <w:proofErr w:type="spellStart"/>
      <w:r w:rsidR="00744D0D" w:rsidRPr="00AF36A7">
        <w:t>Kas</w:t>
      </w:r>
      <w:proofErr w:type="spellEnd"/>
      <w:r w:rsidR="00744D0D" w:rsidRPr="00AF36A7">
        <w:t xml:space="preserve"> TPK1 in the </w:t>
      </w:r>
      <w:r w:rsidR="00744D0D" w:rsidRPr="00AF36A7">
        <w:rPr>
          <w:i/>
        </w:rPr>
        <w:t>tpk1</w:t>
      </w:r>
      <w:r w:rsidR="00744D0D" w:rsidRPr="00AF36A7">
        <w:t xml:space="preserve"> null mutant background (</w:t>
      </w:r>
      <w:proofErr w:type="spellStart"/>
      <w:r w:rsidR="00744D0D" w:rsidRPr="00AF36A7">
        <w:t>Gobert</w:t>
      </w:r>
      <w:proofErr w:type="spellEnd"/>
      <w:r w:rsidR="00744D0D" w:rsidRPr="00AF36A7">
        <w:t xml:space="preserve"> et al., 2007). The figure</w:t>
      </w:r>
      <w:r w:rsidR="003D5415" w:rsidRPr="00AF36A7">
        <w:t xml:space="preserve"> </w:t>
      </w:r>
      <w:r w:rsidR="0081696C" w:rsidRPr="00AF36A7">
        <w:t>3</w:t>
      </w:r>
      <w:r w:rsidR="003D5415" w:rsidRPr="00AF36A7">
        <w:t xml:space="preserve"> </w:t>
      </w:r>
      <w:r w:rsidR="00744D0D" w:rsidRPr="00AF36A7">
        <w:t>inset shows that the difference in Ca</w:t>
      </w:r>
      <w:r w:rsidR="00744D0D" w:rsidRPr="00AF36A7">
        <w:rPr>
          <w:vertAlign w:val="superscript"/>
        </w:rPr>
        <w:t>2+</w:t>
      </w:r>
      <w:r w:rsidR="00744D0D" w:rsidRPr="00AF36A7">
        <w:t xml:space="preserve"> dependence between </w:t>
      </w:r>
      <w:proofErr w:type="spellStart"/>
      <w:r w:rsidR="00744D0D" w:rsidRPr="00AF36A7">
        <w:t>Ler</w:t>
      </w:r>
      <w:proofErr w:type="spellEnd"/>
      <w:r w:rsidR="00744D0D" w:rsidRPr="00AF36A7">
        <w:t xml:space="preserve"> and </w:t>
      </w:r>
      <w:proofErr w:type="spellStart"/>
      <w:r w:rsidR="00744D0D" w:rsidRPr="00AF36A7">
        <w:t>Kas</w:t>
      </w:r>
      <w:proofErr w:type="spellEnd"/>
      <w:r w:rsidR="00744D0D" w:rsidRPr="00AF36A7">
        <w:t xml:space="preserve"> is still apparent when using this homologous expression strategy. The similarity between native membrane properties and those of </w:t>
      </w:r>
      <w:r w:rsidR="00FC4291" w:rsidRPr="00AF36A7">
        <w:t xml:space="preserve">vacuoles that </w:t>
      </w:r>
      <w:r w:rsidR="00744D0D" w:rsidRPr="00AF36A7">
        <w:t>transiently express</w:t>
      </w:r>
      <w:r w:rsidR="00FC4291" w:rsidRPr="00AF36A7">
        <w:t xml:space="preserve"> </w:t>
      </w:r>
      <w:proofErr w:type="spellStart"/>
      <w:r w:rsidR="00FC4291" w:rsidRPr="00AF36A7">
        <w:t>Ler</w:t>
      </w:r>
      <w:proofErr w:type="spellEnd"/>
      <w:r w:rsidR="00FC4291" w:rsidRPr="00AF36A7">
        <w:t xml:space="preserve"> or </w:t>
      </w:r>
      <w:proofErr w:type="spellStart"/>
      <w:r w:rsidR="00FC4291" w:rsidRPr="00AF36A7">
        <w:t>Kas</w:t>
      </w:r>
      <w:proofErr w:type="spellEnd"/>
      <w:r w:rsidR="00FC4291" w:rsidRPr="00AF36A7">
        <w:t xml:space="preserve"> TPK1,</w:t>
      </w:r>
      <w:r w:rsidR="00744D0D" w:rsidRPr="00AF36A7">
        <w:t xml:space="preserve"> is strong evidence that the observed difference in Po </w:t>
      </w:r>
      <w:r w:rsidR="00E82371" w:rsidRPr="00AF36A7">
        <w:t>calcium</w:t>
      </w:r>
      <w:r w:rsidR="00744D0D" w:rsidRPr="00AF36A7">
        <w:t xml:space="preserve">-dependence is linked to TPK1 protein properties and not to other, ecotype related phenotypes.  </w:t>
      </w:r>
    </w:p>
    <w:p w:rsidR="008D6619" w:rsidRPr="00AF36A7" w:rsidRDefault="00E82371" w:rsidP="00D05EFD">
      <w:pPr>
        <w:spacing w:line="360" w:lineRule="auto"/>
        <w:jc w:val="both"/>
      </w:pPr>
      <w:r w:rsidRPr="00AF36A7">
        <w:t xml:space="preserve">Figure 3 </w:t>
      </w:r>
      <w:r w:rsidR="003D5415" w:rsidRPr="00AF36A7">
        <w:t xml:space="preserve">also shows that there is a residual open probability in the </w:t>
      </w:r>
      <w:r w:rsidR="000C3E39" w:rsidRPr="00AF36A7">
        <w:t>Kas</w:t>
      </w:r>
      <w:r w:rsidR="003D5415" w:rsidRPr="00AF36A7">
        <w:t xml:space="preserve"> background, even when the free [Ca]</w:t>
      </w:r>
      <w:r w:rsidR="003D5415" w:rsidRPr="00AF36A7">
        <w:rPr>
          <w:vertAlign w:val="subscript"/>
        </w:rPr>
        <w:t>cyt</w:t>
      </w:r>
      <w:r w:rsidR="003D5415" w:rsidRPr="00AF36A7">
        <w:t xml:space="preserve"> is nominally zero (no added Ca</w:t>
      </w:r>
      <w:r w:rsidR="00E209AB" w:rsidRPr="00AF36A7">
        <w:rPr>
          <w:vertAlign w:val="superscript"/>
        </w:rPr>
        <w:t>2+</w:t>
      </w:r>
      <w:r w:rsidR="003D5415" w:rsidRPr="00AF36A7">
        <w:t xml:space="preserve"> and </w:t>
      </w:r>
      <w:r w:rsidR="00113A0E" w:rsidRPr="00AF36A7">
        <w:t>5</w:t>
      </w:r>
      <w:r w:rsidR="003D5415" w:rsidRPr="00AF36A7">
        <w:t xml:space="preserve"> mM EGTA). </w:t>
      </w:r>
      <w:r w:rsidR="004403F8" w:rsidRPr="00AF36A7">
        <w:t>In this sense Kas resembles rice (</w:t>
      </w:r>
      <w:r w:rsidR="000E0BCC" w:rsidRPr="00AF36A7">
        <w:t>Isayenkov</w:t>
      </w:r>
      <w:r w:rsidR="00314016" w:rsidRPr="00AF36A7">
        <w:t xml:space="preserve"> et al., 2011</w:t>
      </w:r>
      <w:r w:rsidR="004403F8" w:rsidRPr="00AF36A7">
        <w:t>) and tobacco (</w:t>
      </w:r>
      <w:r w:rsidR="00314016" w:rsidRPr="00AF36A7">
        <w:t>H</w:t>
      </w:r>
      <w:r w:rsidR="000E0BCC" w:rsidRPr="00AF36A7">
        <w:t>amamoto</w:t>
      </w:r>
      <w:r w:rsidR="00314016" w:rsidRPr="00AF36A7">
        <w:t xml:space="preserve"> et al., 2008</w:t>
      </w:r>
      <w:r w:rsidR="004403F8" w:rsidRPr="00AF36A7">
        <w:t>) TPKs which also show residual TPK activity when [Ca]</w:t>
      </w:r>
      <w:r w:rsidR="004403F8" w:rsidRPr="00AF36A7">
        <w:rPr>
          <w:vertAlign w:val="subscript"/>
        </w:rPr>
        <w:t>cyt</w:t>
      </w:r>
      <w:r w:rsidR="004403F8" w:rsidRPr="00AF36A7">
        <w:t xml:space="preserve"> is zero. </w:t>
      </w:r>
      <w:r w:rsidR="00FC4291" w:rsidRPr="00AF36A7">
        <w:t>Interestingly, both rice TPKa and TPKb contain a methi</w:t>
      </w:r>
      <w:r w:rsidR="00FC3CEE" w:rsidRPr="00AF36A7">
        <w:t>o</w:t>
      </w:r>
      <w:r w:rsidR="00FC4291" w:rsidRPr="00AF36A7">
        <w:t>nine</w:t>
      </w:r>
      <w:r w:rsidR="00FC3CEE" w:rsidRPr="00AF36A7">
        <w:t xml:space="preserve"> at the corresponding position (Suppl. Fig 2).</w:t>
      </w:r>
      <w:r w:rsidR="00FC4291" w:rsidRPr="00AF36A7">
        <w:t xml:space="preserve">  </w:t>
      </w:r>
      <w:r w:rsidR="004403F8" w:rsidRPr="00AF36A7">
        <w:t>In contrast, the Ler Ca</w:t>
      </w:r>
      <w:r w:rsidR="00E209AB" w:rsidRPr="00AF36A7">
        <w:rPr>
          <w:vertAlign w:val="superscript"/>
        </w:rPr>
        <w:t>2+</w:t>
      </w:r>
      <w:r w:rsidR="004403F8" w:rsidRPr="00AF36A7">
        <w:t xml:space="preserve"> dependence resembles that of Col-0 (</w:t>
      </w:r>
      <w:r w:rsidR="00314016" w:rsidRPr="00AF36A7">
        <w:t>G</w:t>
      </w:r>
      <w:r w:rsidR="004403F8" w:rsidRPr="00AF36A7">
        <w:t>obert et al</w:t>
      </w:r>
      <w:r w:rsidR="00314016" w:rsidRPr="00AF36A7">
        <w:t>.,</w:t>
      </w:r>
      <w:r w:rsidR="004403F8" w:rsidRPr="00AF36A7">
        <w:t xml:space="preserve"> 2007)</w:t>
      </w:r>
      <w:r w:rsidRPr="00AF36A7">
        <w:t xml:space="preserve"> and </w:t>
      </w:r>
      <w:proofErr w:type="spellStart"/>
      <w:r w:rsidRPr="00AF36A7">
        <w:rPr>
          <w:i/>
        </w:rPr>
        <w:t>Vicia</w:t>
      </w:r>
      <w:proofErr w:type="spellEnd"/>
      <w:r w:rsidRPr="00AF36A7">
        <w:rPr>
          <w:i/>
        </w:rPr>
        <w:t xml:space="preserve"> </w:t>
      </w:r>
      <w:proofErr w:type="spellStart"/>
      <w:r w:rsidRPr="00AF36A7">
        <w:rPr>
          <w:i/>
        </w:rPr>
        <w:t>faba</w:t>
      </w:r>
      <w:proofErr w:type="spellEnd"/>
      <w:r w:rsidRPr="00AF36A7">
        <w:t xml:space="preserve"> (Ward and Schroeder, 1994)</w:t>
      </w:r>
      <w:r w:rsidR="004403F8" w:rsidRPr="00AF36A7">
        <w:t xml:space="preserve">. Thus, </w:t>
      </w:r>
      <w:r w:rsidR="00113A0E" w:rsidRPr="00AF36A7">
        <w:t xml:space="preserve">everything else equal, </w:t>
      </w:r>
      <w:r w:rsidR="004403F8" w:rsidRPr="00AF36A7">
        <w:t>one could argue that at 'resting' levels of [Ca]</w:t>
      </w:r>
      <w:r w:rsidR="004403F8" w:rsidRPr="00AF36A7">
        <w:rPr>
          <w:vertAlign w:val="subscript"/>
        </w:rPr>
        <w:t>cyt</w:t>
      </w:r>
      <w:r w:rsidR="004403F8" w:rsidRPr="00AF36A7">
        <w:t xml:space="preserve">, which are typically around </w:t>
      </w:r>
      <w:r w:rsidR="0075712D" w:rsidRPr="00AF36A7">
        <w:t>2</w:t>
      </w:r>
      <w:r w:rsidR="004403F8" w:rsidRPr="00AF36A7">
        <w:t xml:space="preserve">00 nM, Kas </w:t>
      </w:r>
    </w:p>
    <w:p w:rsidR="008D6619" w:rsidRPr="00AF36A7" w:rsidRDefault="005C6D4E" w:rsidP="00D05EFD">
      <w:pPr>
        <w:spacing w:line="360" w:lineRule="auto"/>
        <w:jc w:val="both"/>
      </w:pPr>
      <w:r w:rsidRPr="00AF36A7">
        <w:pict>
          <v:shape id="_x0000_i1029" type="#_x0000_t75" style="width:481.65pt;height:253.65pt">
            <v:imagedata r:id="rId9" o:title=""/>
          </v:shape>
        </w:pict>
      </w:r>
    </w:p>
    <w:p w:rsidR="00DE3588" w:rsidRPr="00AF36A7" w:rsidRDefault="004403F8" w:rsidP="00D05EFD">
      <w:pPr>
        <w:spacing w:line="360" w:lineRule="auto"/>
        <w:jc w:val="both"/>
      </w:pPr>
      <w:r w:rsidRPr="00AF36A7">
        <w:t xml:space="preserve">TPK1 activity would be greater than </w:t>
      </w:r>
      <w:r w:rsidR="0081696C" w:rsidRPr="00AF36A7">
        <w:t xml:space="preserve">that of </w:t>
      </w:r>
      <w:r w:rsidRPr="00AF36A7">
        <w:t>Ler TPK1 and this may also be the case in the presence of a Ca</w:t>
      </w:r>
      <w:r w:rsidR="00E209AB" w:rsidRPr="00AF36A7">
        <w:rPr>
          <w:vertAlign w:val="superscript"/>
        </w:rPr>
        <w:t>2+</w:t>
      </w:r>
      <w:r w:rsidRPr="00AF36A7">
        <w:t xml:space="preserve"> signal </w:t>
      </w:r>
      <w:r w:rsidR="0081696C" w:rsidRPr="00AF36A7">
        <w:t xml:space="preserve">(which </w:t>
      </w:r>
      <w:r w:rsidRPr="00AF36A7">
        <w:t>typically remain below a few micromolar</w:t>
      </w:r>
      <w:r w:rsidR="0081696C" w:rsidRPr="00AF36A7">
        <w:t>)</w:t>
      </w:r>
      <w:r w:rsidRPr="00AF36A7">
        <w:t xml:space="preserve">. </w:t>
      </w:r>
    </w:p>
    <w:p w:rsidR="004403F8" w:rsidRPr="00AF36A7" w:rsidRDefault="004403F8" w:rsidP="00D05EFD">
      <w:pPr>
        <w:spacing w:line="360" w:lineRule="auto"/>
        <w:jc w:val="both"/>
        <w:rPr>
          <w:i/>
        </w:rPr>
      </w:pPr>
      <w:r w:rsidRPr="00AF36A7">
        <w:rPr>
          <w:i/>
        </w:rPr>
        <w:t xml:space="preserve">Different TPK1 versions affect water loss </w:t>
      </w:r>
    </w:p>
    <w:p w:rsidR="00710D13" w:rsidRPr="00AF36A7" w:rsidRDefault="004403F8" w:rsidP="00D05EFD">
      <w:pPr>
        <w:spacing w:line="360" w:lineRule="auto"/>
        <w:jc w:val="both"/>
      </w:pPr>
      <w:r w:rsidRPr="00AF36A7">
        <w:t>The most significant role of TPK1 channels is probably in vacuolar K</w:t>
      </w:r>
      <w:r w:rsidR="00E209AB" w:rsidRPr="00AF36A7">
        <w:rPr>
          <w:vertAlign w:val="superscript"/>
        </w:rPr>
        <w:t>+</w:t>
      </w:r>
      <w:r w:rsidRPr="00AF36A7">
        <w:t xml:space="preserve"> release during stomatal closure</w:t>
      </w:r>
      <w:r w:rsidR="00E82371" w:rsidRPr="00AF36A7">
        <w:t xml:space="preserve"> (Ward and Schroeder, 1994; </w:t>
      </w:r>
      <w:proofErr w:type="spellStart"/>
      <w:r w:rsidR="00E82371" w:rsidRPr="00AF36A7">
        <w:t>Gobert</w:t>
      </w:r>
      <w:proofErr w:type="spellEnd"/>
      <w:r w:rsidR="00E82371" w:rsidRPr="00AF36A7">
        <w:t xml:space="preserve"> et al., 2007)</w:t>
      </w:r>
      <w:r w:rsidRPr="00AF36A7">
        <w:t>. To assess whether the different Ca</w:t>
      </w:r>
      <w:r w:rsidR="00E209AB" w:rsidRPr="00AF36A7">
        <w:rPr>
          <w:vertAlign w:val="superscript"/>
        </w:rPr>
        <w:t>2+</w:t>
      </w:r>
      <w:r w:rsidRPr="00AF36A7">
        <w:t xml:space="preserve"> </w:t>
      </w:r>
      <w:r w:rsidR="005C6D4E" w:rsidRPr="00AF36A7">
        <w:lastRenderedPageBreak/>
        <w:pict>
          <v:shape id="_x0000_i1030" type="#_x0000_t75" style="width:466.9pt;height:425.45pt">
            <v:imagedata r:id="rId10" o:title=""/>
          </v:shape>
        </w:pict>
      </w:r>
      <w:r w:rsidRPr="00AF36A7">
        <w:t xml:space="preserve">dependencies of </w:t>
      </w:r>
      <w:proofErr w:type="spellStart"/>
      <w:r w:rsidRPr="00AF36A7">
        <w:t>Ler</w:t>
      </w:r>
      <w:proofErr w:type="spellEnd"/>
      <w:r w:rsidRPr="00AF36A7">
        <w:t xml:space="preserve"> and Kas TPK1 are translated into different stomatal phenotypes, we grew Ler and Kas ecotypes to maturity and recorded water loss from their rosette</w:t>
      </w:r>
      <w:r w:rsidR="0081696C" w:rsidRPr="00AF36A7">
        <w:t xml:space="preserve"> leaves</w:t>
      </w:r>
      <w:r w:rsidRPr="00AF36A7">
        <w:t>. Fig</w:t>
      </w:r>
      <w:r w:rsidR="0081696C" w:rsidRPr="00AF36A7">
        <w:t>ure</w:t>
      </w:r>
      <w:r w:rsidRPr="00AF36A7">
        <w:t xml:space="preserve"> </w:t>
      </w:r>
      <w:r w:rsidR="0081696C" w:rsidRPr="00AF36A7">
        <w:t>4</w:t>
      </w:r>
      <w:r w:rsidRPr="00AF36A7">
        <w:t xml:space="preserve"> shows that </w:t>
      </w:r>
      <w:r w:rsidR="00A86EAA" w:rsidRPr="00AF36A7">
        <w:t xml:space="preserve">Ler leaves have a higher rate of water loss than those of Kas. When leaves were treated with ABA before water loss measurements, the rate of evaporation was reduced in both ecotypes but remained significantly higher in Ler. </w:t>
      </w:r>
      <w:r w:rsidR="005A0630" w:rsidRPr="00AF36A7">
        <w:t xml:space="preserve">The data suggest that leaf conductance in </w:t>
      </w:r>
      <w:proofErr w:type="spellStart"/>
      <w:r w:rsidR="005A0630" w:rsidRPr="00AF36A7">
        <w:t>Ler</w:t>
      </w:r>
      <w:proofErr w:type="spellEnd"/>
      <w:r w:rsidR="005A0630" w:rsidRPr="00AF36A7">
        <w:t xml:space="preserve"> is higher</w:t>
      </w:r>
      <w:r w:rsidR="005C6D4E" w:rsidRPr="00AF36A7">
        <w:t>.</w:t>
      </w:r>
      <w:r w:rsidR="005A0630" w:rsidRPr="00AF36A7">
        <w:t xml:space="preserve"> We therefore measured whole leaf conductance using an infra red gas analyser. Fig 4c shows that</w:t>
      </w:r>
      <w:r w:rsidR="00DB5ECC" w:rsidRPr="00AF36A7">
        <w:t xml:space="preserve">, although slightly lower in </w:t>
      </w:r>
      <w:proofErr w:type="spellStart"/>
      <w:r w:rsidR="00DB5ECC" w:rsidRPr="00AF36A7">
        <w:t>Kas</w:t>
      </w:r>
      <w:proofErr w:type="spellEnd"/>
      <w:r w:rsidR="00DB5ECC" w:rsidRPr="00AF36A7">
        <w:t xml:space="preserve">, initial leaf </w:t>
      </w:r>
      <w:proofErr w:type="spellStart"/>
      <w:r w:rsidR="00DB5ECC" w:rsidRPr="00AF36A7">
        <w:t>conductances</w:t>
      </w:r>
      <w:proofErr w:type="spellEnd"/>
      <w:r w:rsidR="00DB5ECC" w:rsidRPr="00AF36A7">
        <w:t xml:space="preserve"> are similar. During water loss assays, conductance drops in both ecotypes but more quickly in </w:t>
      </w:r>
      <w:proofErr w:type="spellStart"/>
      <w:r w:rsidR="00DB5ECC" w:rsidRPr="00AF36A7">
        <w:t>Kas</w:t>
      </w:r>
      <w:proofErr w:type="spellEnd"/>
      <w:r w:rsidR="00DB5ECC" w:rsidRPr="00AF36A7">
        <w:t>, culminating in a significantly lower (p&lt;0.02) value in this ecotype after 90 minutes</w:t>
      </w:r>
      <w:r w:rsidR="005A0630" w:rsidRPr="00AF36A7">
        <w:t xml:space="preserve">. </w:t>
      </w:r>
      <w:r w:rsidR="00A86EAA" w:rsidRPr="00AF36A7">
        <w:t>T</w:t>
      </w:r>
      <w:r w:rsidR="00DB5ECC" w:rsidRPr="00AF36A7">
        <w:t xml:space="preserve">his </w:t>
      </w:r>
      <w:r w:rsidR="00A86EAA" w:rsidRPr="00AF36A7">
        <w:t xml:space="preserve">difference </w:t>
      </w:r>
      <w:r w:rsidR="00DB5ECC" w:rsidRPr="00AF36A7">
        <w:t>was not</w:t>
      </w:r>
      <w:r w:rsidR="00A86EAA" w:rsidRPr="00AF36A7">
        <w:t xml:space="preserve"> due to stomatal density</w:t>
      </w:r>
      <w:r w:rsidR="00DB5ECC" w:rsidRPr="00AF36A7">
        <w:t xml:space="preserve"> which is actually </w:t>
      </w:r>
      <w:r w:rsidR="00710D13" w:rsidRPr="00AF36A7">
        <w:t>15-20%</w:t>
      </w:r>
      <w:r w:rsidR="00A86EAA" w:rsidRPr="00AF36A7">
        <w:t xml:space="preserve"> lower </w:t>
      </w:r>
      <w:r w:rsidR="00DB5ECC" w:rsidRPr="00AF36A7">
        <w:t xml:space="preserve">in </w:t>
      </w:r>
      <w:proofErr w:type="spellStart"/>
      <w:r w:rsidR="00DB5ECC" w:rsidRPr="00AF36A7">
        <w:t>Ler</w:t>
      </w:r>
      <w:proofErr w:type="spellEnd"/>
      <w:r w:rsidR="00DB5ECC" w:rsidRPr="00AF36A7">
        <w:t xml:space="preserve"> </w:t>
      </w:r>
      <w:r w:rsidR="00A86EAA" w:rsidRPr="00AF36A7">
        <w:t xml:space="preserve">than in </w:t>
      </w:r>
      <w:proofErr w:type="spellStart"/>
      <w:r w:rsidR="00A86EAA" w:rsidRPr="00AF36A7">
        <w:t>Kas</w:t>
      </w:r>
      <w:proofErr w:type="spellEnd"/>
      <w:r w:rsidR="00710D13" w:rsidRPr="00AF36A7">
        <w:t xml:space="preserve"> and as such would lead to </w:t>
      </w:r>
      <w:r w:rsidR="00DB5ECC" w:rsidRPr="00AF36A7">
        <w:t xml:space="preserve">less </w:t>
      </w:r>
      <w:r w:rsidR="00710D13" w:rsidRPr="00AF36A7">
        <w:t>evaporation rather than more</w:t>
      </w:r>
      <w:r w:rsidR="00A86EAA" w:rsidRPr="00AF36A7">
        <w:t>.</w:t>
      </w:r>
      <w:r w:rsidR="00710D13" w:rsidRPr="00AF36A7">
        <w:t xml:space="preserve"> </w:t>
      </w:r>
    </w:p>
    <w:p w:rsidR="00A86EAA" w:rsidRPr="00AF36A7" w:rsidRDefault="00710D13" w:rsidP="00D05EFD">
      <w:pPr>
        <w:spacing w:line="360" w:lineRule="auto"/>
        <w:jc w:val="both"/>
      </w:pPr>
      <w:r w:rsidRPr="00AF36A7">
        <w:lastRenderedPageBreak/>
        <w:t>I</w:t>
      </w:r>
      <w:r w:rsidR="00281549" w:rsidRPr="00AF36A7">
        <w:t xml:space="preserve">n </w:t>
      </w:r>
      <w:r w:rsidR="00A86EAA" w:rsidRPr="00AF36A7">
        <w:t xml:space="preserve">combination </w:t>
      </w:r>
      <w:r w:rsidR="00281549" w:rsidRPr="00AF36A7">
        <w:t xml:space="preserve">our </w:t>
      </w:r>
      <w:r w:rsidR="00A86EAA" w:rsidRPr="00AF36A7">
        <w:t xml:space="preserve">results </w:t>
      </w:r>
      <w:r w:rsidR="00281549" w:rsidRPr="00AF36A7">
        <w:t xml:space="preserve">therefore </w:t>
      </w:r>
      <w:r w:rsidR="00A86EAA" w:rsidRPr="00AF36A7">
        <w:t xml:space="preserve">suggest that </w:t>
      </w:r>
      <w:r w:rsidR="00DB5ECC" w:rsidRPr="00AF36A7">
        <w:t>e</w:t>
      </w:r>
      <w:r w:rsidR="00A86EAA" w:rsidRPr="00AF36A7">
        <w:t xml:space="preserve">vaporation in </w:t>
      </w:r>
      <w:proofErr w:type="spellStart"/>
      <w:r w:rsidR="00A86EAA" w:rsidRPr="00AF36A7">
        <w:t>Ler</w:t>
      </w:r>
      <w:proofErr w:type="spellEnd"/>
      <w:r w:rsidR="00A86EAA" w:rsidRPr="00AF36A7">
        <w:t xml:space="preserve"> leaves exceeds that of Kas leaves because of greater stomatal apertures. </w:t>
      </w:r>
      <w:r w:rsidRPr="00AF36A7">
        <w:t>At the same time, o</w:t>
      </w:r>
      <w:r w:rsidR="00281549" w:rsidRPr="00AF36A7">
        <w:t xml:space="preserve">ur transient expression data </w:t>
      </w:r>
      <w:r w:rsidR="007F315A" w:rsidRPr="00AF36A7">
        <w:t>strongly suggest</w:t>
      </w:r>
      <w:r w:rsidR="00281549" w:rsidRPr="00AF36A7">
        <w:t xml:space="preserve"> that the difference between </w:t>
      </w:r>
      <w:proofErr w:type="spellStart"/>
      <w:r w:rsidR="00281549" w:rsidRPr="00AF36A7">
        <w:t>Ler</w:t>
      </w:r>
      <w:proofErr w:type="spellEnd"/>
      <w:r w:rsidR="00281549" w:rsidRPr="00AF36A7">
        <w:t xml:space="preserve"> and </w:t>
      </w:r>
      <w:proofErr w:type="spellStart"/>
      <w:r w:rsidR="00281549" w:rsidRPr="00AF36A7">
        <w:t>Kas</w:t>
      </w:r>
      <w:proofErr w:type="spellEnd"/>
      <w:r w:rsidR="00281549" w:rsidRPr="00AF36A7">
        <w:t xml:space="preserve"> in calcium dependent Po is an intrinsic property of the various TPK1 isoforms. </w:t>
      </w:r>
      <w:r w:rsidR="007F315A" w:rsidRPr="00AF36A7">
        <w:t>Although conclusive proof is not available from our data, it is tempting to relate the</w:t>
      </w:r>
      <w:r w:rsidR="003817AA" w:rsidRPr="00AF36A7">
        <w:t>se</w:t>
      </w:r>
      <w:r w:rsidR="007F315A" w:rsidRPr="00AF36A7">
        <w:t xml:space="preserve"> differences in channel properties </w:t>
      </w:r>
      <w:r w:rsidR="003817AA" w:rsidRPr="00AF36A7">
        <w:t>to</w:t>
      </w:r>
      <w:r w:rsidR="007F315A" w:rsidRPr="00AF36A7">
        <w:t xml:space="preserve"> the altered phenotype that was found in the intact leaves.</w:t>
      </w:r>
      <w:r w:rsidR="003817AA" w:rsidRPr="00AF36A7">
        <w:t xml:space="preserve"> Thus, our hypothesis is that the reduced calcium responsiveness in </w:t>
      </w:r>
      <w:proofErr w:type="spellStart"/>
      <w:r w:rsidR="003817AA" w:rsidRPr="00AF36A7">
        <w:t>Ler</w:t>
      </w:r>
      <w:proofErr w:type="spellEnd"/>
      <w:r w:rsidR="003817AA" w:rsidRPr="00AF36A7">
        <w:t xml:space="preserve"> may translate in a higher steady state stomatal conductance and/or less responsiveness to ABA.</w:t>
      </w:r>
      <w:r w:rsidR="007F315A" w:rsidRPr="00AF36A7">
        <w:t xml:space="preserve"> </w:t>
      </w:r>
    </w:p>
    <w:p w:rsidR="00DE3588" w:rsidRPr="00AF36A7" w:rsidRDefault="00D57D6A" w:rsidP="00D05EFD">
      <w:pPr>
        <w:spacing w:line="360" w:lineRule="auto"/>
        <w:jc w:val="both"/>
        <w:rPr>
          <w:i/>
        </w:rPr>
      </w:pPr>
      <w:r w:rsidRPr="00AF36A7">
        <w:rPr>
          <w:i/>
        </w:rPr>
        <w:t>Natural variation in the C-terminal EF-hand could alter gating</w:t>
      </w:r>
      <w:r w:rsidR="00DB4BE9" w:rsidRPr="00AF36A7">
        <w:rPr>
          <w:i/>
        </w:rPr>
        <w:t xml:space="preserve"> properties</w:t>
      </w:r>
      <w:r w:rsidRPr="00AF36A7">
        <w:rPr>
          <w:i/>
        </w:rPr>
        <w:t xml:space="preserve"> </w:t>
      </w:r>
    </w:p>
    <w:p w:rsidR="008D6619" w:rsidRPr="00AF36A7" w:rsidRDefault="00DE3588" w:rsidP="00D05EFD">
      <w:pPr>
        <w:spacing w:line="360" w:lineRule="auto"/>
        <w:jc w:val="both"/>
      </w:pPr>
      <w:r w:rsidRPr="00AF36A7">
        <w:t xml:space="preserve">The non-synonymous SNPs are at positions 261 and 295. Position </w:t>
      </w:r>
      <w:r w:rsidR="007F3BF2" w:rsidRPr="00AF36A7">
        <w:t>S</w:t>
      </w:r>
      <w:r w:rsidRPr="00AF36A7">
        <w:t>261</w:t>
      </w:r>
      <w:r w:rsidR="007F3BF2" w:rsidRPr="00AF36A7">
        <w:t>T</w:t>
      </w:r>
      <w:r w:rsidRPr="00AF36A7">
        <w:t xml:space="preserve"> is approximately in the middle of TMD4. Thre</w:t>
      </w:r>
      <w:r w:rsidR="00A052B0" w:rsidRPr="00AF36A7">
        <w:t>onine is slightly less polar and</w:t>
      </w:r>
      <w:r w:rsidRPr="00AF36A7">
        <w:t xml:space="preserve"> has an extra methyl group compared to </w:t>
      </w:r>
      <w:r w:rsidR="00A052B0" w:rsidRPr="00AF36A7">
        <w:t>s</w:t>
      </w:r>
      <w:r w:rsidR="007F3BF2" w:rsidRPr="00AF36A7">
        <w:t>er</w:t>
      </w:r>
      <w:r w:rsidR="00A052B0" w:rsidRPr="00AF36A7">
        <w:t>ine. These minor differences are</w:t>
      </w:r>
      <w:r w:rsidR="007F3BF2" w:rsidRPr="00AF36A7">
        <w:t xml:space="preserve"> unlikely to affect </w:t>
      </w:r>
      <w:r w:rsidR="006543A4" w:rsidRPr="00AF36A7">
        <w:t xml:space="preserve">either the membrane spanning helix or </w:t>
      </w:r>
      <w:r w:rsidR="007F3BF2" w:rsidRPr="00AF36A7">
        <w:t>channel function</w:t>
      </w:r>
      <w:r w:rsidR="006543A4" w:rsidRPr="00AF36A7">
        <w:t xml:space="preserve"> at large</w:t>
      </w:r>
      <w:r w:rsidR="007F3BF2" w:rsidRPr="00AF36A7">
        <w:t>.</w:t>
      </w:r>
      <w:r w:rsidR="006543A4" w:rsidRPr="00AF36A7">
        <w:t xml:space="preserve"> It is even less likely to affect channel Ca</w:t>
      </w:r>
      <w:r w:rsidR="00E209AB" w:rsidRPr="00AF36A7">
        <w:rPr>
          <w:vertAlign w:val="superscript"/>
        </w:rPr>
        <w:t>2+</w:t>
      </w:r>
      <w:r w:rsidR="006543A4" w:rsidRPr="00AF36A7">
        <w:t xml:space="preserve"> kinetics. In contrast, t</w:t>
      </w:r>
      <w:r w:rsidR="007F3BF2" w:rsidRPr="00AF36A7">
        <w:t xml:space="preserve">he second SNP is </w:t>
      </w:r>
      <w:r w:rsidR="00C37194" w:rsidRPr="00AF36A7">
        <w:pict>
          <v:shape id="_x0000_i1027" type="#_x0000_t75" style="width:481.1pt;height:253.65pt">
            <v:imagedata r:id="rId11" o:title=""/>
          </v:shape>
        </w:pict>
      </w:r>
      <w:r w:rsidR="007F3BF2" w:rsidRPr="00AF36A7">
        <w:t>in the first EF-hand motif</w:t>
      </w:r>
      <w:r w:rsidR="00A25C53" w:rsidRPr="00AF36A7">
        <w:t xml:space="preserve"> where it changes the bulky asparagine side group for the much smaller serine side group. N295S </w:t>
      </w:r>
      <w:r w:rsidR="006543A4" w:rsidRPr="00AF36A7">
        <w:t xml:space="preserve">could </w:t>
      </w:r>
      <w:r w:rsidR="00A25C53" w:rsidRPr="00AF36A7">
        <w:t xml:space="preserve">therefore </w:t>
      </w:r>
      <w:r w:rsidR="006543A4" w:rsidRPr="00AF36A7">
        <w:t>interfere with Ca</w:t>
      </w:r>
      <w:r w:rsidR="00E209AB" w:rsidRPr="00AF36A7">
        <w:rPr>
          <w:vertAlign w:val="superscript"/>
        </w:rPr>
        <w:t>2+</w:t>
      </w:r>
      <w:r w:rsidR="006543A4" w:rsidRPr="00AF36A7">
        <w:t xml:space="preserve"> binding or </w:t>
      </w:r>
      <w:r w:rsidR="00D57D6A" w:rsidRPr="00AF36A7">
        <w:t xml:space="preserve">it might affect </w:t>
      </w:r>
      <w:r w:rsidR="006543A4" w:rsidRPr="00AF36A7">
        <w:t>the interaction of the EF domains with the channel gate</w:t>
      </w:r>
      <w:r w:rsidR="007F3BF2" w:rsidRPr="00AF36A7">
        <w:t>. EF hands typically consist of a 9 residue heli</w:t>
      </w:r>
      <w:r w:rsidR="006543A4" w:rsidRPr="00AF36A7">
        <w:t>x</w:t>
      </w:r>
      <w:r w:rsidR="0081696C" w:rsidRPr="00AF36A7">
        <w:t>,</w:t>
      </w:r>
      <w:r w:rsidR="007F3BF2" w:rsidRPr="00AF36A7">
        <w:t xml:space="preserve"> followed by a </w:t>
      </w:r>
      <w:r w:rsidR="006543A4" w:rsidRPr="00AF36A7">
        <w:t xml:space="preserve">loop </w:t>
      </w:r>
      <w:r w:rsidR="007F3BF2" w:rsidRPr="00AF36A7">
        <w:t xml:space="preserve">stretch of </w:t>
      </w:r>
      <w:r w:rsidR="00DB4BE9" w:rsidRPr="00AF36A7">
        <w:t>9</w:t>
      </w:r>
      <w:r w:rsidR="007F3BF2" w:rsidRPr="00AF36A7">
        <w:t xml:space="preserve"> residues </w:t>
      </w:r>
      <w:r w:rsidR="006543A4" w:rsidRPr="00AF36A7">
        <w:t xml:space="preserve">that is </w:t>
      </w:r>
      <w:r w:rsidR="007F3BF2" w:rsidRPr="00AF36A7">
        <w:t>involved in Ca</w:t>
      </w:r>
      <w:r w:rsidR="00E209AB" w:rsidRPr="00AF36A7">
        <w:rPr>
          <w:vertAlign w:val="superscript"/>
        </w:rPr>
        <w:t>2+</w:t>
      </w:r>
      <w:r w:rsidR="007F3BF2" w:rsidRPr="00AF36A7">
        <w:t xml:space="preserve"> coordination</w:t>
      </w:r>
      <w:r w:rsidR="0081696C" w:rsidRPr="00AF36A7">
        <w:t>,</w:t>
      </w:r>
      <w:r w:rsidR="007F3BF2" w:rsidRPr="00AF36A7">
        <w:t xml:space="preserve"> and a second </w:t>
      </w:r>
      <w:r w:rsidR="00DB4BE9" w:rsidRPr="00AF36A7">
        <w:t xml:space="preserve">11 residue </w:t>
      </w:r>
      <w:r w:rsidR="007F3BF2" w:rsidRPr="00AF36A7">
        <w:t>heli</w:t>
      </w:r>
      <w:r w:rsidR="006543A4" w:rsidRPr="00AF36A7">
        <w:t>x</w:t>
      </w:r>
      <w:r w:rsidR="007F3BF2" w:rsidRPr="00AF36A7">
        <w:t xml:space="preserve"> (Fig </w:t>
      </w:r>
      <w:r w:rsidR="0081696C" w:rsidRPr="00AF36A7">
        <w:t>5a</w:t>
      </w:r>
      <w:r w:rsidR="007F3BF2" w:rsidRPr="00AF36A7">
        <w:t xml:space="preserve">). </w:t>
      </w:r>
      <w:r w:rsidR="00A25C53" w:rsidRPr="00AF36A7">
        <w:t>N</w:t>
      </w:r>
      <w:r w:rsidR="007F3BF2" w:rsidRPr="00AF36A7">
        <w:t>295</w:t>
      </w:r>
      <w:r w:rsidR="00A25C53" w:rsidRPr="00AF36A7">
        <w:t>S</w:t>
      </w:r>
      <w:r w:rsidR="007F3BF2" w:rsidRPr="00AF36A7">
        <w:t xml:space="preserve"> is located in the first </w:t>
      </w:r>
      <w:r w:rsidR="006543A4" w:rsidRPr="00AF36A7">
        <w:t xml:space="preserve">helix </w:t>
      </w:r>
      <w:r w:rsidR="007F3BF2" w:rsidRPr="00AF36A7">
        <w:t>at the 3</w:t>
      </w:r>
      <w:r w:rsidR="007F3BF2" w:rsidRPr="00AF36A7">
        <w:rPr>
          <w:vertAlign w:val="superscript"/>
        </w:rPr>
        <w:t>rd</w:t>
      </w:r>
      <w:r w:rsidR="007F3BF2" w:rsidRPr="00AF36A7">
        <w:t xml:space="preserve"> residue position. </w:t>
      </w:r>
      <w:r w:rsidR="00B86E4D" w:rsidRPr="00AF36A7">
        <w:t xml:space="preserve">Since </w:t>
      </w:r>
      <w:r w:rsidR="007F3BF2" w:rsidRPr="00AF36A7">
        <w:t>it is not in the Ca</w:t>
      </w:r>
      <w:r w:rsidR="00E209AB" w:rsidRPr="00AF36A7">
        <w:rPr>
          <w:vertAlign w:val="superscript"/>
        </w:rPr>
        <w:t>2+</w:t>
      </w:r>
      <w:r w:rsidR="007F3BF2" w:rsidRPr="00AF36A7">
        <w:t xml:space="preserve"> coordination </w:t>
      </w:r>
      <w:r w:rsidR="00B86E4D" w:rsidRPr="00AF36A7">
        <w:t xml:space="preserve">loop, it is unlikely that </w:t>
      </w:r>
      <w:r w:rsidR="000D15EF" w:rsidRPr="00AF36A7">
        <w:t>N</w:t>
      </w:r>
      <w:r w:rsidR="00B86E4D" w:rsidRPr="00AF36A7">
        <w:t>295</w:t>
      </w:r>
      <w:r w:rsidR="000D15EF" w:rsidRPr="00AF36A7">
        <w:t>S</w:t>
      </w:r>
      <w:r w:rsidR="00B86E4D" w:rsidRPr="00AF36A7">
        <w:t xml:space="preserve"> directly impacts on Ca</w:t>
      </w:r>
      <w:r w:rsidR="00E209AB" w:rsidRPr="00AF36A7">
        <w:rPr>
          <w:vertAlign w:val="superscript"/>
        </w:rPr>
        <w:t>2+</w:t>
      </w:r>
      <w:r w:rsidR="00B86E4D" w:rsidRPr="00AF36A7">
        <w:t xml:space="preserve"> binding. How</w:t>
      </w:r>
      <w:r w:rsidR="006543A4" w:rsidRPr="00AF36A7">
        <w:t xml:space="preserve">ever, </w:t>
      </w:r>
      <w:r w:rsidR="000D15EF" w:rsidRPr="00AF36A7">
        <w:t>N</w:t>
      </w:r>
      <w:r w:rsidR="006543A4" w:rsidRPr="00AF36A7">
        <w:t>295</w:t>
      </w:r>
      <w:r w:rsidR="000D15EF" w:rsidRPr="00AF36A7">
        <w:t>S</w:t>
      </w:r>
      <w:r w:rsidR="006543A4" w:rsidRPr="00AF36A7">
        <w:t xml:space="preserve"> could alter the </w:t>
      </w:r>
      <w:r w:rsidR="000D15EF" w:rsidRPr="00AF36A7">
        <w:t>interaction</w:t>
      </w:r>
      <w:r w:rsidR="006543A4" w:rsidRPr="00AF36A7">
        <w:t xml:space="preserve"> between </w:t>
      </w:r>
      <w:r w:rsidR="00DB4BE9" w:rsidRPr="00AF36A7">
        <w:t>EF-</w:t>
      </w:r>
      <w:r w:rsidR="006543A4" w:rsidRPr="00AF36A7">
        <w:t xml:space="preserve">motif and channel gate. </w:t>
      </w:r>
      <w:r w:rsidR="001347F9" w:rsidRPr="00AF36A7">
        <w:t xml:space="preserve">How </w:t>
      </w:r>
      <w:r w:rsidR="00B86E4D" w:rsidRPr="00AF36A7">
        <w:t>Ca</w:t>
      </w:r>
      <w:r w:rsidR="00E209AB" w:rsidRPr="00AF36A7">
        <w:rPr>
          <w:vertAlign w:val="superscript"/>
        </w:rPr>
        <w:t>2+</w:t>
      </w:r>
      <w:r w:rsidR="00B86E4D" w:rsidRPr="00AF36A7">
        <w:t xml:space="preserve"> binding translates into changes in TPK1 open probability is unknown. </w:t>
      </w:r>
      <w:r w:rsidR="000D15EF" w:rsidRPr="00AF36A7">
        <w:t>Somehow</w:t>
      </w:r>
      <w:r w:rsidR="00B86E4D" w:rsidRPr="00AF36A7">
        <w:t>, conformational change</w:t>
      </w:r>
      <w:r w:rsidR="000D15EF" w:rsidRPr="00AF36A7">
        <w:t>s</w:t>
      </w:r>
      <w:r w:rsidR="00B86E4D" w:rsidRPr="00AF36A7">
        <w:t xml:space="preserve"> in the EF-</w:t>
      </w:r>
      <w:r w:rsidR="00B86E4D" w:rsidRPr="00AF36A7">
        <w:lastRenderedPageBreak/>
        <w:t>hand lead to interaction of the EF domain with the channel gate</w:t>
      </w:r>
      <w:r w:rsidR="000D15EF" w:rsidRPr="00AF36A7">
        <w:t xml:space="preserve">. For example, during the transition of </w:t>
      </w:r>
      <w:r w:rsidR="0081696C" w:rsidRPr="00AF36A7">
        <w:t>an EF domain with bound Ca</w:t>
      </w:r>
      <w:r w:rsidR="00E209AB" w:rsidRPr="00AF36A7">
        <w:rPr>
          <w:vertAlign w:val="superscript"/>
        </w:rPr>
        <w:t>2+</w:t>
      </w:r>
      <w:r w:rsidR="0081696C" w:rsidRPr="00AF36A7">
        <w:t xml:space="preserve"> bound to an empty</w:t>
      </w:r>
      <w:r w:rsidR="000D15EF" w:rsidRPr="00AF36A7">
        <w:t xml:space="preserve"> EF-hand, the helices move from a more antiparallel arrangement </w:t>
      </w:r>
      <w:r w:rsidR="0075712D" w:rsidRPr="00AF36A7">
        <w:t xml:space="preserve">in </w:t>
      </w:r>
      <w:r w:rsidR="0081696C" w:rsidRPr="00AF36A7">
        <w:t>the non binding configuration</w:t>
      </w:r>
      <w:r w:rsidR="0075712D" w:rsidRPr="00AF36A7">
        <w:t xml:space="preserve">, </w:t>
      </w:r>
      <w:r w:rsidR="000D15EF" w:rsidRPr="00AF36A7">
        <w:t xml:space="preserve">to being nearly perpendicular </w:t>
      </w:r>
      <w:r w:rsidR="0075712D" w:rsidRPr="00AF36A7">
        <w:t>when</w:t>
      </w:r>
      <w:r w:rsidR="000D15EF" w:rsidRPr="00AF36A7">
        <w:t xml:space="preserve"> Ca</w:t>
      </w:r>
      <w:r w:rsidR="00E209AB" w:rsidRPr="00AF36A7">
        <w:rPr>
          <w:vertAlign w:val="superscript"/>
        </w:rPr>
        <w:t>2+</w:t>
      </w:r>
      <w:r w:rsidR="0075712D" w:rsidRPr="00AF36A7">
        <w:t xml:space="preserve"> is </w:t>
      </w:r>
      <w:r w:rsidR="0081696C" w:rsidRPr="00AF36A7">
        <w:t>fully coordinated</w:t>
      </w:r>
      <w:r w:rsidR="000D15EF" w:rsidRPr="00AF36A7">
        <w:t xml:space="preserve"> (</w:t>
      </w:r>
      <w:r w:rsidR="00314016" w:rsidRPr="00AF36A7">
        <w:t>G</w:t>
      </w:r>
      <w:r w:rsidR="000E0BCC" w:rsidRPr="00AF36A7">
        <w:t>ifford</w:t>
      </w:r>
      <w:r w:rsidR="00314016" w:rsidRPr="00AF36A7">
        <w:t xml:space="preserve"> et al., </w:t>
      </w:r>
      <w:r w:rsidR="000E0BCC" w:rsidRPr="00AF36A7">
        <w:t>2007</w:t>
      </w:r>
      <w:r w:rsidR="000D15EF" w:rsidRPr="00AF36A7">
        <w:t xml:space="preserve">). </w:t>
      </w:r>
    </w:p>
    <w:p w:rsidR="00945B48" w:rsidRPr="00AF36A7" w:rsidRDefault="000D15EF" w:rsidP="00D05EFD">
      <w:pPr>
        <w:spacing w:line="360" w:lineRule="auto"/>
        <w:jc w:val="both"/>
      </w:pPr>
      <w:r w:rsidRPr="00AF36A7">
        <w:t>Such a structural rearrangement could trigger association of the EF-hand with the channel gate</w:t>
      </w:r>
      <w:r w:rsidR="001347F9" w:rsidRPr="00AF36A7">
        <w:t xml:space="preserve"> which is typically located near the cytoplasmic side of the membrane</w:t>
      </w:r>
      <w:r w:rsidR="00E209AB" w:rsidRPr="00AF36A7">
        <w:t xml:space="preserve"> (Fig. 6a)</w:t>
      </w:r>
      <w:r w:rsidR="00B86E4D" w:rsidRPr="00AF36A7">
        <w:t xml:space="preserve">. </w:t>
      </w:r>
      <w:r w:rsidR="001347F9" w:rsidRPr="00AF36A7">
        <w:t xml:space="preserve">In analogy with K2P </w:t>
      </w:r>
      <w:r w:rsidR="00F7044F" w:rsidRPr="00AF36A7">
        <w:t xml:space="preserve">type </w:t>
      </w:r>
      <w:r w:rsidR="001347F9" w:rsidRPr="00AF36A7">
        <w:t>mammalian channels</w:t>
      </w:r>
      <w:r w:rsidR="00F7044F" w:rsidRPr="00AF36A7">
        <w:t xml:space="preserve"> (Lolicato et al</w:t>
      </w:r>
      <w:r w:rsidR="00314016" w:rsidRPr="00AF36A7">
        <w:t>.,</w:t>
      </w:r>
      <w:r w:rsidR="00F7044F" w:rsidRPr="00AF36A7">
        <w:t xml:space="preserve"> 2014)</w:t>
      </w:r>
      <w:r w:rsidR="001347F9" w:rsidRPr="00AF36A7">
        <w:t xml:space="preserve">, gating may rely on the </w:t>
      </w:r>
      <w:r w:rsidR="008D446B" w:rsidRPr="00AF36A7">
        <w:t xml:space="preserve">position of the cytoplasmic </w:t>
      </w:r>
      <w:r w:rsidR="001347F9" w:rsidRPr="00AF36A7">
        <w:t>C-termini</w:t>
      </w:r>
      <w:r w:rsidRPr="00AF36A7">
        <w:t>;</w:t>
      </w:r>
      <w:r w:rsidR="008D446B" w:rsidRPr="00AF36A7">
        <w:t xml:space="preserve"> </w:t>
      </w:r>
      <w:r w:rsidRPr="00AF36A7">
        <w:t>w</w:t>
      </w:r>
      <w:r w:rsidR="008D446B" w:rsidRPr="00AF36A7">
        <w:t xml:space="preserve">hen these are suspended in the cytoplasm they force membrane helices 2 and 4 to buckle and occlude the pore </w:t>
      </w:r>
      <w:r w:rsidR="001347F9" w:rsidRPr="00AF36A7">
        <w:t>(Fig</w:t>
      </w:r>
      <w:r w:rsidR="00E209AB" w:rsidRPr="00AF36A7">
        <w:t>. 6b</w:t>
      </w:r>
      <w:r w:rsidR="001347F9" w:rsidRPr="00AF36A7">
        <w:t xml:space="preserve">). </w:t>
      </w:r>
      <w:r w:rsidR="008D446B" w:rsidRPr="00AF36A7">
        <w:t>When the C-termini ‘swing apart’ mechanical strain in the membrane coils is relieved allowing the protein to attain the open conformation</w:t>
      </w:r>
      <w:r w:rsidR="00E209AB" w:rsidRPr="00AF36A7">
        <w:t xml:space="preserve"> (Fig. 6c)</w:t>
      </w:r>
      <w:r w:rsidR="008D446B" w:rsidRPr="00AF36A7">
        <w:t>. In an analogous model for TPK type channels, C-terminal movement would be facilitated by Ca</w:t>
      </w:r>
      <w:r w:rsidR="00E209AB" w:rsidRPr="00AF36A7">
        <w:rPr>
          <w:vertAlign w:val="superscript"/>
        </w:rPr>
        <w:t>2+</w:t>
      </w:r>
      <w:r w:rsidR="008D446B" w:rsidRPr="00AF36A7">
        <w:t xml:space="preserve"> binding, after which </w:t>
      </w:r>
      <w:r w:rsidR="00945B48" w:rsidRPr="00AF36A7">
        <w:t>contact</w:t>
      </w:r>
      <w:r w:rsidR="008D446B" w:rsidRPr="00AF36A7">
        <w:t xml:space="preserve"> between the EF-hand helices and other parts of the channel protein </w:t>
      </w:r>
      <w:r w:rsidR="00C37194" w:rsidRPr="00AF36A7">
        <w:pict>
          <v:shape id="_x0000_i1028" type="#_x0000_t75" style="width:481.1pt;height:4in">
            <v:imagedata r:id="rId12" o:title=""/>
          </v:shape>
        </w:pict>
      </w:r>
      <w:r w:rsidR="008D446B" w:rsidRPr="00AF36A7">
        <w:t xml:space="preserve">may be important to </w:t>
      </w:r>
      <w:r w:rsidR="00945B48" w:rsidRPr="00AF36A7">
        <w:t>maintain</w:t>
      </w:r>
      <w:r w:rsidR="008D446B" w:rsidRPr="00AF36A7">
        <w:t xml:space="preserve"> the open position. Th</w:t>
      </w:r>
      <w:r w:rsidR="00945B48" w:rsidRPr="00AF36A7">
        <w:t>us, in this model</w:t>
      </w:r>
      <w:r w:rsidR="008D446B" w:rsidRPr="00AF36A7">
        <w:t xml:space="preserve"> </w:t>
      </w:r>
      <w:r w:rsidR="00945B48" w:rsidRPr="00AF36A7">
        <w:t xml:space="preserve">the </w:t>
      </w:r>
      <w:r w:rsidR="00B33D8C" w:rsidRPr="00AF36A7">
        <w:t>smaller</w:t>
      </w:r>
      <w:r w:rsidR="00945B48" w:rsidRPr="00AF36A7">
        <w:t xml:space="preserve"> side group </w:t>
      </w:r>
      <w:r w:rsidR="008D446B" w:rsidRPr="00AF36A7">
        <w:t xml:space="preserve">of the </w:t>
      </w:r>
      <w:r w:rsidR="00B33D8C" w:rsidRPr="00AF36A7">
        <w:t>Ser</w:t>
      </w:r>
      <w:r w:rsidR="00945B48" w:rsidRPr="00AF36A7">
        <w:t xml:space="preserve"> in the </w:t>
      </w:r>
      <w:r w:rsidR="00B33D8C" w:rsidRPr="00AF36A7">
        <w:t>Kas</w:t>
      </w:r>
      <w:r w:rsidR="00945B48" w:rsidRPr="00AF36A7">
        <w:t xml:space="preserve"> genotype could </w:t>
      </w:r>
      <w:r w:rsidR="00B33D8C" w:rsidRPr="00AF36A7">
        <w:t>promote</w:t>
      </w:r>
      <w:r w:rsidR="00945B48" w:rsidRPr="00AF36A7">
        <w:t xml:space="preserve"> stabilis</w:t>
      </w:r>
      <w:r w:rsidR="001878A3" w:rsidRPr="00AF36A7">
        <w:t>ation of</w:t>
      </w:r>
      <w:r w:rsidR="00945B48" w:rsidRPr="00AF36A7">
        <w:t xml:space="preserve"> the interaction between EF-hand and TMD spans.</w:t>
      </w:r>
    </w:p>
    <w:p w:rsidR="003C123F" w:rsidRPr="00AF36A7" w:rsidRDefault="003C123F" w:rsidP="00D05EFD">
      <w:pPr>
        <w:spacing w:line="360" w:lineRule="auto"/>
        <w:jc w:val="both"/>
      </w:pPr>
    </w:p>
    <w:p w:rsidR="001878A3" w:rsidRPr="00AF36A7" w:rsidRDefault="006768F1" w:rsidP="00D05EFD">
      <w:pPr>
        <w:spacing w:line="360" w:lineRule="auto"/>
        <w:jc w:val="both"/>
        <w:rPr>
          <w:b/>
        </w:rPr>
      </w:pPr>
      <w:r w:rsidRPr="00AF36A7">
        <w:rPr>
          <w:b/>
        </w:rPr>
        <w:t>ACKNOWLEDGEMENT</w:t>
      </w:r>
    </w:p>
    <w:p w:rsidR="006768F1" w:rsidRPr="00AF36A7" w:rsidRDefault="007C3E41" w:rsidP="00D05EFD">
      <w:pPr>
        <w:spacing w:line="360" w:lineRule="auto"/>
        <w:jc w:val="both"/>
      </w:pPr>
      <w:r w:rsidRPr="00AF36A7">
        <w:lastRenderedPageBreak/>
        <w:t>M</w:t>
      </w:r>
      <w:r w:rsidR="006768F1" w:rsidRPr="00AF36A7">
        <w:t>odel</w:t>
      </w:r>
      <w:r w:rsidRPr="00AF36A7">
        <w:t>ling</w:t>
      </w:r>
      <w:r w:rsidR="006768F1" w:rsidRPr="00AF36A7">
        <w:t xml:space="preserve"> of the TPK1 </w:t>
      </w:r>
      <w:r w:rsidRPr="00AF36A7">
        <w:t>channel structure was done by the late Steve Baldwin, University of Leeds, UK.</w:t>
      </w:r>
      <w:r w:rsidR="00C02C82" w:rsidRPr="00AF36A7">
        <w:t xml:space="preserve"> Part of this work was made possible via a BBSRC DTP scholarship to TNH</w:t>
      </w:r>
    </w:p>
    <w:p w:rsidR="008F56FF" w:rsidRPr="00AF36A7" w:rsidRDefault="008F56FF" w:rsidP="00D05EFD">
      <w:pPr>
        <w:spacing w:line="360" w:lineRule="auto"/>
        <w:jc w:val="both"/>
      </w:pPr>
    </w:p>
    <w:p w:rsidR="008F56FF" w:rsidRPr="00AF36A7" w:rsidRDefault="008F56FF" w:rsidP="00D05EFD">
      <w:pPr>
        <w:spacing w:line="360" w:lineRule="auto"/>
        <w:jc w:val="both"/>
        <w:rPr>
          <w:b/>
        </w:rPr>
      </w:pPr>
      <w:r w:rsidRPr="00AF36A7">
        <w:rPr>
          <w:b/>
        </w:rPr>
        <w:t>REFERENCES</w:t>
      </w:r>
    </w:p>
    <w:p w:rsidR="000E0BCC" w:rsidRPr="00AF36A7" w:rsidRDefault="000E0BCC" w:rsidP="00D05EFD">
      <w:pPr>
        <w:spacing w:line="360" w:lineRule="auto"/>
        <w:jc w:val="both"/>
      </w:pPr>
    </w:p>
    <w:p w:rsidR="00ED48B2" w:rsidRPr="00AF36A7" w:rsidRDefault="00ED48B2" w:rsidP="00ED48B2">
      <w:pPr>
        <w:spacing w:line="360" w:lineRule="auto"/>
        <w:jc w:val="both"/>
      </w:pPr>
      <w:r w:rsidRPr="00AF36A7">
        <w:t xml:space="preserve">Abel S, </w:t>
      </w:r>
      <w:proofErr w:type="spellStart"/>
      <w:r w:rsidRPr="00AF36A7">
        <w:t>Theologis</w:t>
      </w:r>
      <w:proofErr w:type="spellEnd"/>
      <w:r w:rsidRPr="00AF36A7">
        <w:t xml:space="preserve"> A (1994) </w:t>
      </w:r>
      <w:r w:rsidR="003127F2" w:rsidRPr="00AF36A7">
        <w:t>Transient transformation of Arabidopsis leaf protoplasts: a versatile experimental system to study gene expression.</w:t>
      </w:r>
      <w:r w:rsidRPr="00AF36A7">
        <w:t xml:space="preserve"> Plant J 5:421-7.</w:t>
      </w:r>
    </w:p>
    <w:p w:rsidR="009E2966" w:rsidRPr="00AF36A7" w:rsidRDefault="009E2966" w:rsidP="00ED48B2">
      <w:pPr>
        <w:spacing w:line="360" w:lineRule="auto"/>
        <w:jc w:val="both"/>
      </w:pPr>
    </w:p>
    <w:p w:rsidR="009E2966" w:rsidRPr="00AF36A7" w:rsidRDefault="009E2966" w:rsidP="009E2966">
      <w:pPr>
        <w:spacing w:line="360" w:lineRule="auto"/>
        <w:jc w:val="both"/>
      </w:pPr>
      <w:r w:rsidRPr="00AF36A7">
        <w:t xml:space="preserve">Becker D, Geiger D, </w:t>
      </w:r>
      <w:proofErr w:type="spellStart"/>
      <w:r w:rsidRPr="00AF36A7">
        <w:t>Dunkel</w:t>
      </w:r>
      <w:proofErr w:type="spellEnd"/>
      <w:r w:rsidRPr="00AF36A7">
        <w:t xml:space="preserve"> M, Roller A, </w:t>
      </w:r>
      <w:proofErr w:type="spellStart"/>
      <w:r w:rsidRPr="00AF36A7">
        <w:t>Bertl</w:t>
      </w:r>
      <w:proofErr w:type="spellEnd"/>
      <w:r w:rsidRPr="00AF36A7">
        <w:t xml:space="preserve"> A, </w:t>
      </w:r>
      <w:proofErr w:type="spellStart"/>
      <w:r w:rsidRPr="00AF36A7">
        <w:t>Latz</w:t>
      </w:r>
      <w:proofErr w:type="spellEnd"/>
      <w:r w:rsidRPr="00AF36A7">
        <w:t xml:space="preserve"> A, </w:t>
      </w:r>
      <w:proofErr w:type="spellStart"/>
      <w:r w:rsidRPr="00AF36A7">
        <w:t>Carpaneto</w:t>
      </w:r>
      <w:proofErr w:type="spellEnd"/>
      <w:r w:rsidRPr="00AF36A7">
        <w:t xml:space="preserve"> A, Dietrich P, </w:t>
      </w:r>
      <w:proofErr w:type="spellStart"/>
      <w:r w:rsidRPr="00AF36A7">
        <w:t>Roelfsema</w:t>
      </w:r>
      <w:proofErr w:type="spellEnd"/>
      <w:r w:rsidRPr="00AF36A7">
        <w:t xml:space="preserve"> MR, </w:t>
      </w:r>
      <w:proofErr w:type="spellStart"/>
      <w:r w:rsidRPr="00AF36A7">
        <w:t>Voelker</w:t>
      </w:r>
      <w:proofErr w:type="spellEnd"/>
      <w:r w:rsidRPr="00AF36A7">
        <w:t xml:space="preserve"> C, Schmidt D, Mueller-</w:t>
      </w:r>
      <w:proofErr w:type="spellStart"/>
      <w:r w:rsidRPr="00AF36A7">
        <w:t>Roeber</w:t>
      </w:r>
      <w:proofErr w:type="spellEnd"/>
      <w:r w:rsidRPr="00AF36A7">
        <w:t xml:space="preserve"> B, </w:t>
      </w:r>
      <w:proofErr w:type="spellStart"/>
      <w:r w:rsidRPr="00AF36A7">
        <w:t>Czempinski</w:t>
      </w:r>
      <w:proofErr w:type="spellEnd"/>
      <w:r w:rsidRPr="00AF36A7">
        <w:t xml:space="preserve"> K, </w:t>
      </w:r>
      <w:proofErr w:type="spellStart"/>
      <w:r w:rsidRPr="00AF36A7">
        <w:t>Hedrich</w:t>
      </w:r>
      <w:proofErr w:type="spellEnd"/>
      <w:r w:rsidRPr="00AF36A7">
        <w:t xml:space="preserve"> R (2004) AtTPK4, an Arabidopsis tandem-pore K+ channel, poised to control the pollen membrane voltage in a pH- and Ca2+-dependent manner. </w:t>
      </w:r>
      <w:proofErr w:type="spellStart"/>
      <w:r w:rsidRPr="00AF36A7">
        <w:t>Proc</w:t>
      </w:r>
      <w:proofErr w:type="spellEnd"/>
      <w:r w:rsidRPr="00AF36A7">
        <w:t xml:space="preserve"> </w:t>
      </w:r>
      <w:proofErr w:type="spellStart"/>
      <w:r w:rsidRPr="00AF36A7">
        <w:t>Natl</w:t>
      </w:r>
      <w:proofErr w:type="spellEnd"/>
      <w:r w:rsidRPr="00AF36A7">
        <w:t xml:space="preserve"> </w:t>
      </w:r>
      <w:proofErr w:type="spellStart"/>
      <w:r w:rsidRPr="00AF36A7">
        <w:t>Acad</w:t>
      </w:r>
      <w:proofErr w:type="spellEnd"/>
      <w:r w:rsidRPr="00AF36A7">
        <w:t xml:space="preserve"> </w:t>
      </w:r>
      <w:proofErr w:type="spellStart"/>
      <w:r w:rsidRPr="00AF36A7">
        <w:t>Sci</w:t>
      </w:r>
      <w:proofErr w:type="spellEnd"/>
      <w:r w:rsidRPr="00AF36A7">
        <w:t xml:space="preserve"> USA 101:15621-6.</w:t>
      </w:r>
    </w:p>
    <w:p w:rsidR="003127F2" w:rsidRPr="00AF36A7" w:rsidRDefault="003127F2" w:rsidP="003127F2">
      <w:pPr>
        <w:spacing w:line="360" w:lineRule="auto"/>
        <w:jc w:val="both"/>
      </w:pPr>
    </w:p>
    <w:p w:rsidR="00FC4291" w:rsidRPr="00AF36A7" w:rsidRDefault="00FC4291" w:rsidP="003127F2">
      <w:pPr>
        <w:spacing w:line="360" w:lineRule="auto"/>
        <w:jc w:val="both"/>
      </w:pPr>
      <w:proofErr w:type="spellStart"/>
      <w:r w:rsidRPr="00AF36A7">
        <w:t>Carraretto</w:t>
      </w:r>
      <w:proofErr w:type="spellEnd"/>
      <w:r w:rsidRPr="00AF36A7">
        <w:t xml:space="preserve"> L, </w:t>
      </w:r>
      <w:proofErr w:type="spellStart"/>
      <w:r w:rsidRPr="00AF36A7">
        <w:t>Formentin</w:t>
      </w:r>
      <w:proofErr w:type="spellEnd"/>
      <w:r w:rsidRPr="00AF36A7">
        <w:t xml:space="preserve"> E, </w:t>
      </w:r>
      <w:proofErr w:type="spellStart"/>
      <w:r w:rsidRPr="00AF36A7">
        <w:t>Teardo</w:t>
      </w:r>
      <w:proofErr w:type="spellEnd"/>
      <w:r w:rsidRPr="00AF36A7">
        <w:t xml:space="preserve"> E, </w:t>
      </w:r>
      <w:proofErr w:type="spellStart"/>
      <w:r w:rsidRPr="00AF36A7">
        <w:t>Checchetto</w:t>
      </w:r>
      <w:proofErr w:type="spellEnd"/>
      <w:r w:rsidRPr="00AF36A7">
        <w:t xml:space="preserve"> V, </w:t>
      </w:r>
      <w:proofErr w:type="spellStart"/>
      <w:r w:rsidRPr="00AF36A7">
        <w:t>Tomizioli</w:t>
      </w:r>
      <w:proofErr w:type="spellEnd"/>
      <w:r w:rsidRPr="00AF36A7">
        <w:t xml:space="preserve"> M, </w:t>
      </w:r>
      <w:proofErr w:type="spellStart"/>
      <w:r w:rsidRPr="00AF36A7">
        <w:t>Morosinotto</w:t>
      </w:r>
      <w:proofErr w:type="spellEnd"/>
      <w:r w:rsidRPr="00AF36A7">
        <w:t xml:space="preserve"> T, Giacometti GM, </w:t>
      </w:r>
      <w:proofErr w:type="spellStart"/>
      <w:r w:rsidRPr="00AF36A7">
        <w:t>Finazzi</w:t>
      </w:r>
      <w:proofErr w:type="spellEnd"/>
      <w:r w:rsidRPr="00AF36A7">
        <w:t xml:space="preserve"> G, Szabo I (2013) A Thylakoid-Located Two-Pore Potassium Channel Controls Photosynthetic Light Utilization in Plants. Science 342:114-118</w:t>
      </w:r>
    </w:p>
    <w:p w:rsidR="0078160C" w:rsidRPr="00AF36A7" w:rsidRDefault="0078160C" w:rsidP="003127F2">
      <w:pPr>
        <w:spacing w:line="360" w:lineRule="auto"/>
        <w:jc w:val="both"/>
      </w:pPr>
    </w:p>
    <w:p w:rsidR="0078160C" w:rsidRPr="00AF36A7" w:rsidRDefault="0078160C" w:rsidP="003127F2">
      <w:pPr>
        <w:spacing w:line="360" w:lineRule="auto"/>
        <w:jc w:val="both"/>
      </w:pPr>
      <w:proofErr w:type="spellStart"/>
      <w:r w:rsidRPr="00AF36A7">
        <w:t>Kuznetsova</w:t>
      </w:r>
      <w:proofErr w:type="spellEnd"/>
      <w:r w:rsidRPr="00AF36A7">
        <w:t xml:space="preserve"> A, </w:t>
      </w:r>
      <w:proofErr w:type="spellStart"/>
      <w:r w:rsidRPr="00AF36A7">
        <w:t>Brockhoff</w:t>
      </w:r>
      <w:proofErr w:type="spellEnd"/>
      <w:r w:rsidRPr="00AF36A7">
        <w:t xml:space="preserve"> PB, Christensen RHB. (2013). </w:t>
      </w:r>
      <w:proofErr w:type="spellStart"/>
      <w:r w:rsidRPr="00AF36A7">
        <w:t>lmerTest</w:t>
      </w:r>
      <w:proofErr w:type="spellEnd"/>
      <w:r w:rsidRPr="00AF36A7">
        <w:t>: tests for random and fixed effects for linear mixed effect models (</w:t>
      </w:r>
      <w:proofErr w:type="spellStart"/>
      <w:r w:rsidRPr="00AF36A7">
        <w:t>lmer</w:t>
      </w:r>
      <w:proofErr w:type="spellEnd"/>
      <w:r w:rsidRPr="00AF36A7">
        <w:t xml:space="preserve"> objects of lme4 package). http://CRAN.R-project.org/package=lmerTest</w:t>
      </w:r>
    </w:p>
    <w:p w:rsidR="00FC4291" w:rsidRPr="00AF36A7" w:rsidRDefault="00FC4291" w:rsidP="003127F2">
      <w:pPr>
        <w:spacing w:line="360" w:lineRule="auto"/>
        <w:jc w:val="both"/>
      </w:pPr>
    </w:p>
    <w:p w:rsidR="00314016" w:rsidRPr="00AF36A7" w:rsidRDefault="00314016" w:rsidP="00D05EFD">
      <w:pPr>
        <w:spacing w:line="360" w:lineRule="auto"/>
        <w:jc w:val="both"/>
      </w:pPr>
      <w:r w:rsidRPr="00AF36A7">
        <w:t>Gifford JL, Michael P, Walsch MP, Vogel HJ (2007) Structures and metal-ion-binding properties of the Ca</w:t>
      </w:r>
      <w:r w:rsidR="00E209AB" w:rsidRPr="00AF36A7">
        <w:rPr>
          <w:vertAlign w:val="superscript"/>
        </w:rPr>
        <w:t>2+</w:t>
      </w:r>
      <w:r w:rsidRPr="00AF36A7">
        <w:t>-binding helix–loop–helix EF-hand motifs. Biochem J 405</w:t>
      </w:r>
      <w:r w:rsidR="00E209AB" w:rsidRPr="00AF36A7">
        <w:t>:</w:t>
      </w:r>
      <w:r w:rsidRPr="00AF36A7">
        <w:t>199–221</w:t>
      </w:r>
      <w:r w:rsidR="00E209AB" w:rsidRPr="00AF36A7">
        <w:t>.</w:t>
      </w:r>
    </w:p>
    <w:p w:rsidR="00314016" w:rsidRPr="00AF36A7" w:rsidRDefault="00314016" w:rsidP="00D05EFD">
      <w:pPr>
        <w:spacing w:line="360" w:lineRule="auto"/>
        <w:jc w:val="both"/>
      </w:pPr>
    </w:p>
    <w:p w:rsidR="008F56FF" w:rsidRPr="00AF36A7" w:rsidRDefault="008F56FF" w:rsidP="00D05EFD">
      <w:pPr>
        <w:spacing w:line="360" w:lineRule="auto"/>
        <w:jc w:val="both"/>
      </w:pPr>
      <w:r w:rsidRPr="00AF36A7">
        <w:t>Gobert A, Isayenkov S, Voelker C, Czempinski K, Maathuis FJM (2007) The two pore channel TPK1 gene encodes the vacuolar K</w:t>
      </w:r>
      <w:r w:rsidR="00E209AB" w:rsidRPr="00AF36A7">
        <w:rPr>
          <w:vertAlign w:val="superscript"/>
        </w:rPr>
        <w:t>+</w:t>
      </w:r>
      <w:r w:rsidRPr="00AF36A7">
        <w:t xml:space="preserve"> (VK) conductance and plays a role in K</w:t>
      </w:r>
      <w:r w:rsidR="00E209AB" w:rsidRPr="00AF36A7">
        <w:rPr>
          <w:vertAlign w:val="superscript"/>
        </w:rPr>
        <w:t>+</w:t>
      </w:r>
      <w:r w:rsidRPr="00AF36A7">
        <w:t xml:space="preserve"> homeostasis. </w:t>
      </w:r>
      <w:proofErr w:type="spellStart"/>
      <w:r w:rsidRPr="00AF36A7">
        <w:t>Proc</w:t>
      </w:r>
      <w:proofErr w:type="spellEnd"/>
      <w:r w:rsidRPr="00AF36A7">
        <w:t xml:space="preserve"> </w:t>
      </w:r>
      <w:proofErr w:type="spellStart"/>
      <w:r w:rsidRPr="00AF36A7">
        <w:t>Natl</w:t>
      </w:r>
      <w:proofErr w:type="spellEnd"/>
      <w:r w:rsidRPr="00AF36A7">
        <w:t xml:space="preserve"> </w:t>
      </w:r>
      <w:proofErr w:type="spellStart"/>
      <w:r w:rsidRPr="00AF36A7">
        <w:t>Acad</w:t>
      </w:r>
      <w:proofErr w:type="spellEnd"/>
      <w:r w:rsidRPr="00AF36A7">
        <w:t xml:space="preserve"> </w:t>
      </w:r>
      <w:proofErr w:type="spellStart"/>
      <w:r w:rsidRPr="00AF36A7">
        <w:t>Sci</w:t>
      </w:r>
      <w:proofErr w:type="spellEnd"/>
      <w:r w:rsidRPr="00AF36A7">
        <w:t xml:space="preserve"> USA, 104:10726-10731</w:t>
      </w:r>
      <w:r w:rsidR="000E0BCC" w:rsidRPr="00AF36A7">
        <w:t>.</w:t>
      </w:r>
    </w:p>
    <w:p w:rsidR="000E0BCC" w:rsidRPr="00AF36A7" w:rsidRDefault="000E0BCC" w:rsidP="00D05EFD">
      <w:pPr>
        <w:spacing w:line="360" w:lineRule="auto"/>
        <w:jc w:val="both"/>
      </w:pPr>
    </w:p>
    <w:p w:rsidR="000E0BCC" w:rsidRPr="00AF36A7" w:rsidRDefault="000E0BCC" w:rsidP="00D05EFD">
      <w:pPr>
        <w:spacing w:line="360" w:lineRule="auto"/>
        <w:jc w:val="both"/>
      </w:pPr>
      <w:r w:rsidRPr="00AF36A7">
        <w:t xml:space="preserve">Guex, N. and </w:t>
      </w:r>
      <w:proofErr w:type="spellStart"/>
      <w:r w:rsidRPr="00AF36A7">
        <w:t>Peitsch</w:t>
      </w:r>
      <w:proofErr w:type="spellEnd"/>
      <w:r w:rsidRPr="00AF36A7">
        <w:t xml:space="preserve">, M.C. (1997) SWISS-MODEL and the Swiss-PdbViewer: An environment for comparative protein </w:t>
      </w:r>
      <w:proofErr w:type="spellStart"/>
      <w:r w:rsidRPr="00AF36A7">
        <w:t>modeling</w:t>
      </w:r>
      <w:proofErr w:type="spellEnd"/>
      <w:r w:rsidRPr="00AF36A7">
        <w:t>. Electrophoresis 18</w:t>
      </w:r>
      <w:r w:rsidR="00E209AB" w:rsidRPr="00AF36A7">
        <w:t>:</w:t>
      </w:r>
      <w:r w:rsidRPr="00AF36A7">
        <w:t>2714-2723.</w:t>
      </w:r>
    </w:p>
    <w:p w:rsidR="000E0BCC" w:rsidRPr="00AF36A7" w:rsidRDefault="000E0BCC" w:rsidP="00D05EFD">
      <w:pPr>
        <w:spacing w:line="360" w:lineRule="auto"/>
        <w:jc w:val="both"/>
      </w:pPr>
    </w:p>
    <w:p w:rsidR="008F56FF" w:rsidRPr="00AF36A7" w:rsidRDefault="000E0BCC" w:rsidP="00D05EFD">
      <w:pPr>
        <w:spacing w:line="360" w:lineRule="auto"/>
        <w:jc w:val="both"/>
      </w:pPr>
      <w:r w:rsidRPr="00AF36A7">
        <w:lastRenderedPageBreak/>
        <w:t>Hamamoto, S., et al. (2008). Characterization of a tobacco TPK-type K</w:t>
      </w:r>
      <w:r w:rsidR="00E209AB" w:rsidRPr="00AF36A7">
        <w:rPr>
          <w:vertAlign w:val="superscript"/>
        </w:rPr>
        <w:t>+</w:t>
      </w:r>
      <w:r w:rsidRPr="00AF36A7">
        <w:t xml:space="preserve"> channel as a novel tonoplast K</w:t>
      </w:r>
      <w:r w:rsidR="00E209AB" w:rsidRPr="00AF36A7">
        <w:rPr>
          <w:vertAlign w:val="superscript"/>
        </w:rPr>
        <w:t>+</w:t>
      </w:r>
      <w:r w:rsidRPr="00AF36A7">
        <w:t xml:space="preserve"> channel using yeast tonoplasts. J </w:t>
      </w:r>
      <w:proofErr w:type="spellStart"/>
      <w:r w:rsidRPr="00AF36A7">
        <w:t>Biol</w:t>
      </w:r>
      <w:proofErr w:type="spellEnd"/>
      <w:r w:rsidRPr="00AF36A7">
        <w:t xml:space="preserve"> </w:t>
      </w:r>
      <w:proofErr w:type="spellStart"/>
      <w:r w:rsidRPr="00AF36A7">
        <w:t>Chem</w:t>
      </w:r>
      <w:proofErr w:type="spellEnd"/>
      <w:r w:rsidRPr="00AF36A7">
        <w:t xml:space="preserve"> 283(4):1911-1920.</w:t>
      </w:r>
    </w:p>
    <w:p w:rsidR="000E0BCC" w:rsidRPr="00AF36A7" w:rsidRDefault="000E0BCC" w:rsidP="00D05EFD">
      <w:pPr>
        <w:spacing w:line="360" w:lineRule="auto"/>
        <w:jc w:val="both"/>
      </w:pPr>
    </w:p>
    <w:p w:rsidR="008F56FF" w:rsidRPr="00AF36A7" w:rsidRDefault="008F56FF" w:rsidP="00D05EFD">
      <w:pPr>
        <w:spacing w:line="360" w:lineRule="auto"/>
        <w:jc w:val="both"/>
      </w:pPr>
      <w:r w:rsidRPr="00AF36A7">
        <w:t xml:space="preserve">Isayenkov SV, </w:t>
      </w:r>
      <w:proofErr w:type="spellStart"/>
      <w:r w:rsidRPr="00AF36A7">
        <w:t>Isner</w:t>
      </w:r>
      <w:proofErr w:type="spellEnd"/>
      <w:r w:rsidRPr="00AF36A7">
        <w:t xml:space="preserve"> JC and Maathuis FJM (2011) Rice Two Pore K</w:t>
      </w:r>
      <w:r w:rsidR="00E209AB" w:rsidRPr="00AF36A7">
        <w:rPr>
          <w:vertAlign w:val="superscript"/>
        </w:rPr>
        <w:t>+</w:t>
      </w:r>
      <w:r w:rsidRPr="00AF36A7">
        <w:t xml:space="preserve"> channels express in different types of vacuole. Plant Cell. 23:756-768</w:t>
      </w:r>
    </w:p>
    <w:p w:rsidR="00A052B0" w:rsidRPr="00AF36A7" w:rsidRDefault="00A052B0" w:rsidP="00D05EFD">
      <w:pPr>
        <w:spacing w:line="360" w:lineRule="auto"/>
        <w:jc w:val="both"/>
      </w:pPr>
    </w:p>
    <w:p w:rsidR="00A052B0" w:rsidRPr="00AF36A7" w:rsidRDefault="00A052B0" w:rsidP="00D05EFD">
      <w:pPr>
        <w:spacing w:line="360" w:lineRule="auto"/>
        <w:jc w:val="both"/>
      </w:pPr>
      <w:r w:rsidRPr="00AF36A7">
        <w:t>Isayenkov SV, Maathuis FJM (2013) Arabidopsis thaliana vacuolar TPK channels form functional K</w:t>
      </w:r>
      <w:r w:rsidR="00E209AB" w:rsidRPr="00AF36A7">
        <w:rPr>
          <w:vertAlign w:val="superscript"/>
        </w:rPr>
        <w:t>+</w:t>
      </w:r>
      <w:r w:rsidRPr="00AF36A7">
        <w:t xml:space="preserve"> uptake pathways in </w:t>
      </w:r>
      <w:r w:rsidRPr="00AF36A7">
        <w:rPr>
          <w:i/>
        </w:rPr>
        <w:t>Escherichia coli</w:t>
      </w:r>
      <w:r w:rsidRPr="00AF36A7">
        <w:t xml:space="preserve">. Plant Signal </w:t>
      </w:r>
      <w:proofErr w:type="spellStart"/>
      <w:r w:rsidRPr="00AF36A7">
        <w:t>Behavior</w:t>
      </w:r>
      <w:proofErr w:type="spellEnd"/>
      <w:r w:rsidRPr="00AF36A7">
        <w:t>. 8: e24665</w:t>
      </w:r>
      <w:r w:rsidR="00E209AB" w:rsidRPr="00AF36A7">
        <w:t>.</w:t>
      </w:r>
    </w:p>
    <w:p w:rsidR="001347F9" w:rsidRPr="00AF36A7" w:rsidRDefault="009C44A5" w:rsidP="00D05EFD">
      <w:pPr>
        <w:spacing w:line="360" w:lineRule="auto"/>
        <w:jc w:val="both"/>
      </w:pPr>
      <w:r w:rsidRPr="00AF36A7">
        <w:t xml:space="preserve"> </w:t>
      </w:r>
      <w:r w:rsidR="00C91BA3" w:rsidRPr="00AF36A7">
        <w:t xml:space="preserve"> </w:t>
      </w:r>
    </w:p>
    <w:p w:rsidR="001347F9" w:rsidRPr="00AF36A7" w:rsidRDefault="001347F9" w:rsidP="00D05EFD">
      <w:pPr>
        <w:spacing w:line="360" w:lineRule="auto"/>
        <w:jc w:val="both"/>
      </w:pPr>
      <w:proofErr w:type="spellStart"/>
      <w:r w:rsidRPr="00AF36A7">
        <w:t>Lolicato</w:t>
      </w:r>
      <w:proofErr w:type="spellEnd"/>
      <w:r w:rsidRPr="00AF36A7">
        <w:t xml:space="preserve"> M, </w:t>
      </w:r>
      <w:proofErr w:type="spellStart"/>
      <w:r w:rsidRPr="00AF36A7">
        <w:t>Riegelhaupt</w:t>
      </w:r>
      <w:proofErr w:type="spellEnd"/>
      <w:r w:rsidRPr="00AF36A7">
        <w:t xml:space="preserve"> PM, </w:t>
      </w:r>
      <w:proofErr w:type="spellStart"/>
      <w:r w:rsidRPr="00AF36A7">
        <w:t>Arrigoni</w:t>
      </w:r>
      <w:proofErr w:type="spellEnd"/>
      <w:r w:rsidRPr="00AF36A7">
        <w:t xml:space="preserve"> C, Clark KA, Minor DL (2014) Transmembrane Helix Straightening and Buckling Underlies Activation of Mechanosensitive and </w:t>
      </w:r>
      <w:proofErr w:type="spellStart"/>
      <w:r w:rsidRPr="00AF36A7">
        <w:t>Thermosensitive</w:t>
      </w:r>
      <w:proofErr w:type="spellEnd"/>
      <w:r w:rsidRPr="00AF36A7">
        <w:t xml:space="preserve"> K2P Channels. 84:1198-212. </w:t>
      </w:r>
      <w:proofErr w:type="spellStart"/>
      <w:r w:rsidRPr="00AF36A7">
        <w:t>doi</w:t>
      </w:r>
      <w:proofErr w:type="spellEnd"/>
      <w:r w:rsidRPr="00AF36A7">
        <w:t>: 10.1016/j.neuron.2014.11.017</w:t>
      </w:r>
      <w:r w:rsidR="00E209AB" w:rsidRPr="00AF36A7">
        <w:t>.</w:t>
      </w:r>
    </w:p>
    <w:p w:rsidR="008F56FF" w:rsidRPr="00AF36A7" w:rsidRDefault="008F56FF" w:rsidP="00D05EFD">
      <w:pPr>
        <w:spacing w:line="360" w:lineRule="auto"/>
        <w:jc w:val="both"/>
      </w:pPr>
    </w:p>
    <w:p w:rsidR="008F56FF" w:rsidRPr="00AF36A7" w:rsidRDefault="00314016" w:rsidP="00D05EFD">
      <w:pPr>
        <w:spacing w:line="360" w:lineRule="auto"/>
        <w:jc w:val="both"/>
      </w:pPr>
      <w:r w:rsidRPr="00AF36A7">
        <w:rPr>
          <w:rFonts w:hint="eastAsia"/>
        </w:rPr>
        <w:t xml:space="preserve">Latz A, Becker D, </w:t>
      </w:r>
      <w:proofErr w:type="spellStart"/>
      <w:r w:rsidRPr="00AF36A7">
        <w:rPr>
          <w:rFonts w:hint="eastAsia"/>
        </w:rPr>
        <w:t>Hekman</w:t>
      </w:r>
      <w:proofErr w:type="spellEnd"/>
      <w:r w:rsidRPr="00AF36A7">
        <w:rPr>
          <w:rFonts w:hint="eastAsia"/>
        </w:rPr>
        <w:t xml:space="preserve"> M, Müller T, </w:t>
      </w:r>
      <w:proofErr w:type="spellStart"/>
      <w:r w:rsidRPr="00AF36A7">
        <w:rPr>
          <w:rFonts w:hint="eastAsia"/>
        </w:rPr>
        <w:t>Beyhl</w:t>
      </w:r>
      <w:proofErr w:type="spellEnd"/>
      <w:r w:rsidRPr="00AF36A7">
        <w:rPr>
          <w:rFonts w:hint="eastAsia"/>
        </w:rPr>
        <w:t xml:space="preserve"> D, Marten I, </w:t>
      </w:r>
      <w:proofErr w:type="spellStart"/>
      <w:r w:rsidRPr="00AF36A7">
        <w:rPr>
          <w:rFonts w:hint="eastAsia"/>
        </w:rPr>
        <w:t>Eing</w:t>
      </w:r>
      <w:proofErr w:type="spellEnd"/>
      <w:r w:rsidRPr="00AF36A7">
        <w:rPr>
          <w:rFonts w:hint="eastAsia"/>
        </w:rPr>
        <w:t xml:space="preserve"> C, Fischer A, </w:t>
      </w:r>
      <w:proofErr w:type="spellStart"/>
      <w:r w:rsidRPr="00AF36A7">
        <w:rPr>
          <w:rFonts w:hint="eastAsia"/>
        </w:rPr>
        <w:t>Dunkel</w:t>
      </w:r>
      <w:proofErr w:type="spellEnd"/>
      <w:r w:rsidRPr="00AF36A7">
        <w:rPr>
          <w:rFonts w:hint="eastAsia"/>
        </w:rPr>
        <w:t xml:space="preserve"> A, </w:t>
      </w:r>
      <w:proofErr w:type="spellStart"/>
      <w:r w:rsidRPr="00AF36A7">
        <w:rPr>
          <w:rFonts w:hint="eastAsia"/>
        </w:rPr>
        <w:t>Bertl</w:t>
      </w:r>
      <w:proofErr w:type="spellEnd"/>
      <w:r w:rsidRPr="00AF36A7">
        <w:rPr>
          <w:rFonts w:hint="eastAsia"/>
        </w:rPr>
        <w:t xml:space="preserve"> A, Rapp UR, </w:t>
      </w:r>
      <w:proofErr w:type="spellStart"/>
      <w:r w:rsidRPr="00AF36A7">
        <w:rPr>
          <w:rFonts w:hint="eastAsia"/>
        </w:rPr>
        <w:t>Hedrich</w:t>
      </w:r>
      <w:proofErr w:type="spellEnd"/>
      <w:r w:rsidRPr="00AF36A7">
        <w:rPr>
          <w:rFonts w:hint="eastAsia"/>
        </w:rPr>
        <w:t xml:space="preserve"> R (2007) TPK1, a Ca</w:t>
      </w:r>
      <w:r w:rsidR="00E209AB" w:rsidRPr="00AF36A7">
        <w:rPr>
          <w:rFonts w:hint="eastAsia"/>
          <w:vertAlign w:val="superscript"/>
        </w:rPr>
        <w:t>2+</w:t>
      </w:r>
      <w:r w:rsidRPr="00AF36A7">
        <w:rPr>
          <w:rFonts w:hint="eastAsia"/>
        </w:rPr>
        <w:t>‐</w:t>
      </w:r>
      <w:r w:rsidRPr="00AF36A7">
        <w:rPr>
          <w:rFonts w:hint="eastAsia"/>
        </w:rPr>
        <w:t>regulated Arabidopsis vacuole two</w:t>
      </w:r>
      <w:r w:rsidRPr="00AF36A7">
        <w:rPr>
          <w:rFonts w:hint="eastAsia"/>
        </w:rPr>
        <w:t>‐</w:t>
      </w:r>
      <w:r w:rsidRPr="00AF36A7">
        <w:rPr>
          <w:rFonts w:hint="eastAsia"/>
        </w:rPr>
        <w:t>pore K</w:t>
      </w:r>
      <w:r w:rsidR="00E209AB" w:rsidRPr="00AF36A7">
        <w:rPr>
          <w:rFonts w:hint="eastAsia"/>
          <w:vertAlign w:val="superscript"/>
        </w:rPr>
        <w:t>+</w:t>
      </w:r>
      <w:r w:rsidRPr="00AF36A7">
        <w:rPr>
          <w:rFonts w:hint="eastAsia"/>
        </w:rPr>
        <w:t xml:space="preserve"> channel is activated by 14</w:t>
      </w:r>
      <w:r w:rsidRPr="00AF36A7">
        <w:rPr>
          <w:rFonts w:hint="eastAsia"/>
        </w:rPr>
        <w:t>‐</w:t>
      </w:r>
      <w:r w:rsidRPr="00AF36A7">
        <w:rPr>
          <w:rFonts w:hint="eastAsia"/>
        </w:rPr>
        <w:t>3</w:t>
      </w:r>
      <w:r w:rsidRPr="00AF36A7">
        <w:rPr>
          <w:rFonts w:hint="eastAsia"/>
        </w:rPr>
        <w:t>‐</w:t>
      </w:r>
      <w:r w:rsidRPr="00AF36A7">
        <w:rPr>
          <w:rFonts w:hint="eastAsia"/>
        </w:rPr>
        <w:t>3 proteins. Plant J 52</w:t>
      </w:r>
      <w:r w:rsidRPr="00AF36A7">
        <w:t xml:space="preserve">:449-459. </w:t>
      </w:r>
    </w:p>
    <w:p w:rsidR="008F56FF" w:rsidRPr="00AF36A7" w:rsidRDefault="008F56FF" w:rsidP="00D05EFD">
      <w:pPr>
        <w:spacing w:line="360" w:lineRule="auto"/>
        <w:jc w:val="both"/>
      </w:pPr>
    </w:p>
    <w:p w:rsidR="008F56FF" w:rsidRPr="00AF36A7" w:rsidRDefault="008F56FF" w:rsidP="00D05EFD">
      <w:pPr>
        <w:spacing w:line="360" w:lineRule="auto"/>
        <w:jc w:val="both"/>
      </w:pPr>
      <w:r w:rsidRPr="00AF36A7">
        <w:t xml:space="preserve">Maathuis FJM, May ST, Graham W, </w:t>
      </w:r>
      <w:proofErr w:type="spellStart"/>
      <w:r w:rsidRPr="00AF36A7">
        <w:t>Moone</w:t>
      </w:r>
      <w:proofErr w:type="spellEnd"/>
      <w:r w:rsidRPr="00AF36A7">
        <w:t xml:space="preserve"> HC, Trimmer PB, Bennett MJ, Sanders D, White PJ (1998). Cell-marking in Arabidopsis thaliana and its application to patch clamp studies. Plant J 15: 843-851.</w:t>
      </w:r>
    </w:p>
    <w:p w:rsidR="008F56FF" w:rsidRPr="00AF36A7" w:rsidRDefault="008F56FF" w:rsidP="00D05EFD">
      <w:pPr>
        <w:spacing w:line="360" w:lineRule="auto"/>
        <w:jc w:val="both"/>
      </w:pPr>
    </w:p>
    <w:p w:rsidR="008F56FF" w:rsidRPr="00AF36A7" w:rsidRDefault="008F56FF" w:rsidP="00D05EFD">
      <w:pPr>
        <w:spacing w:line="360" w:lineRule="auto"/>
        <w:jc w:val="both"/>
      </w:pPr>
      <w:r w:rsidRPr="00AF36A7">
        <w:t>Maathuis FJM (2011) Vacuolar Two Pore K</w:t>
      </w:r>
      <w:r w:rsidR="00E209AB" w:rsidRPr="00AF36A7">
        <w:rPr>
          <w:vertAlign w:val="superscript"/>
        </w:rPr>
        <w:t>+</w:t>
      </w:r>
      <w:r w:rsidRPr="00AF36A7">
        <w:t xml:space="preserve"> channels act as vacuolar osmosensors. New </w:t>
      </w:r>
      <w:proofErr w:type="spellStart"/>
      <w:r w:rsidRPr="00AF36A7">
        <w:t>Phytol</w:t>
      </w:r>
      <w:proofErr w:type="spellEnd"/>
      <w:r w:rsidRPr="00AF36A7">
        <w:t xml:space="preserve"> 191: 84-91</w:t>
      </w:r>
      <w:r w:rsidR="0081696C" w:rsidRPr="00AF36A7">
        <w:t>.</w:t>
      </w:r>
    </w:p>
    <w:p w:rsidR="0081696C" w:rsidRPr="00AF36A7" w:rsidRDefault="0081696C" w:rsidP="00D05EFD">
      <w:pPr>
        <w:spacing w:line="360" w:lineRule="auto"/>
        <w:jc w:val="both"/>
      </w:pPr>
    </w:p>
    <w:p w:rsidR="0081696C" w:rsidRPr="00AF36A7" w:rsidRDefault="0081696C" w:rsidP="00D05EFD">
      <w:pPr>
        <w:spacing w:line="360" w:lineRule="auto"/>
        <w:jc w:val="both"/>
      </w:pPr>
      <w:r w:rsidRPr="00AF36A7">
        <w:t xml:space="preserve">Ng PC, Henikoff S (2006) Predicting the Effects of Amino Acid Substitutions on Protein Function. </w:t>
      </w:r>
      <w:proofErr w:type="spellStart"/>
      <w:r w:rsidRPr="00AF36A7">
        <w:t>Annu</w:t>
      </w:r>
      <w:proofErr w:type="spellEnd"/>
      <w:r w:rsidRPr="00AF36A7">
        <w:t xml:space="preserve"> Rev Genomics Hum Genet 7:61–80.</w:t>
      </w:r>
    </w:p>
    <w:p w:rsidR="00496DE3" w:rsidRPr="00AF36A7" w:rsidRDefault="00496DE3" w:rsidP="00D05EFD">
      <w:pPr>
        <w:spacing w:line="360" w:lineRule="auto"/>
        <w:jc w:val="both"/>
      </w:pPr>
    </w:p>
    <w:p w:rsidR="00496DE3" w:rsidRPr="00AF36A7" w:rsidRDefault="00496DE3" w:rsidP="00D05EFD">
      <w:pPr>
        <w:spacing w:line="360" w:lineRule="auto"/>
        <w:jc w:val="both"/>
      </w:pPr>
      <w:proofErr w:type="spellStart"/>
      <w:r w:rsidRPr="00AF36A7">
        <w:t>Voelker</w:t>
      </w:r>
      <w:proofErr w:type="spellEnd"/>
      <w:r w:rsidRPr="00AF36A7">
        <w:t xml:space="preserve"> C, Schmidt D, Mueller-</w:t>
      </w:r>
      <w:proofErr w:type="spellStart"/>
      <w:r w:rsidRPr="00AF36A7">
        <w:t>Roeber</w:t>
      </w:r>
      <w:proofErr w:type="spellEnd"/>
      <w:r w:rsidRPr="00AF36A7">
        <w:t xml:space="preserve"> B, </w:t>
      </w:r>
      <w:proofErr w:type="spellStart"/>
      <w:r w:rsidRPr="00AF36A7">
        <w:t>Czempinski</w:t>
      </w:r>
      <w:proofErr w:type="spellEnd"/>
      <w:r w:rsidRPr="00AF36A7">
        <w:t xml:space="preserve"> K (2006) Members of the Arabidopsis </w:t>
      </w:r>
      <w:proofErr w:type="spellStart"/>
      <w:r w:rsidRPr="00AF36A7">
        <w:t>AtTPK</w:t>
      </w:r>
      <w:proofErr w:type="spellEnd"/>
      <w:r w:rsidRPr="00AF36A7">
        <w:t>/KCO family form homomeric vacuolar channels in planta. Plant J 48: 296–306.</w:t>
      </w:r>
    </w:p>
    <w:p w:rsidR="00EC7984" w:rsidRPr="00AF36A7" w:rsidRDefault="00EC7984" w:rsidP="00D05EFD">
      <w:pPr>
        <w:spacing w:line="360" w:lineRule="auto"/>
        <w:jc w:val="both"/>
      </w:pPr>
    </w:p>
    <w:p w:rsidR="00EC7984" w:rsidRPr="00AF36A7" w:rsidRDefault="00EC7984" w:rsidP="00D05EFD">
      <w:pPr>
        <w:spacing w:line="360" w:lineRule="auto"/>
        <w:jc w:val="both"/>
      </w:pPr>
      <w:r w:rsidRPr="00AF36A7">
        <w:lastRenderedPageBreak/>
        <w:t xml:space="preserve">Ward JM, Schroeder JI (1994) </w:t>
      </w:r>
      <w:r w:rsidR="00D4642A" w:rsidRPr="00AF36A7">
        <w:t>Calcium-activated K</w:t>
      </w:r>
      <w:r w:rsidR="00D4642A" w:rsidRPr="00AF36A7">
        <w:rPr>
          <w:vertAlign w:val="superscript"/>
        </w:rPr>
        <w:t>+</w:t>
      </w:r>
      <w:r w:rsidR="00D4642A" w:rsidRPr="00AF36A7">
        <w:t xml:space="preserve"> channels and calcium-induced calcium release by slow vacuolar ion channels in guard cell vacuoles implicated in the control of stomatal closure. </w:t>
      </w:r>
      <w:r w:rsidRPr="00AF36A7">
        <w:t>Plant Cell 6, 669-683.</w:t>
      </w:r>
    </w:p>
    <w:p w:rsidR="0081696C" w:rsidRPr="00AF36A7" w:rsidRDefault="0081696C" w:rsidP="00D05EFD">
      <w:pPr>
        <w:spacing w:line="360" w:lineRule="auto"/>
        <w:jc w:val="both"/>
      </w:pPr>
    </w:p>
    <w:p w:rsidR="007C3E41" w:rsidRPr="00AF36A7" w:rsidRDefault="005D3E40" w:rsidP="00D05EFD">
      <w:pPr>
        <w:spacing w:line="360" w:lineRule="auto"/>
        <w:jc w:val="both"/>
        <w:rPr>
          <w:b/>
        </w:rPr>
      </w:pPr>
      <w:r w:rsidRPr="00AF36A7">
        <w:rPr>
          <w:b/>
        </w:rPr>
        <w:t>Figure legends</w:t>
      </w:r>
    </w:p>
    <w:p w:rsidR="005D3E40" w:rsidRPr="00AF36A7" w:rsidRDefault="005D3E40" w:rsidP="00D05EFD">
      <w:pPr>
        <w:spacing w:line="360" w:lineRule="auto"/>
        <w:jc w:val="both"/>
      </w:pPr>
    </w:p>
    <w:p w:rsidR="005D3E40" w:rsidRPr="00AF36A7" w:rsidRDefault="005D3E40" w:rsidP="00D05EFD">
      <w:pPr>
        <w:spacing w:line="360" w:lineRule="auto"/>
        <w:rPr>
          <w:rFonts w:eastAsia="Times New Roman"/>
          <w:color w:val="000000"/>
          <w:kern w:val="24"/>
          <w:lang w:eastAsia="en-GB"/>
        </w:rPr>
      </w:pPr>
      <w:r w:rsidRPr="00AF36A7">
        <w:rPr>
          <w:rFonts w:eastAsia="Times New Roman"/>
          <w:b/>
          <w:bCs/>
          <w:color w:val="000000"/>
          <w:kern w:val="24"/>
          <w:lang w:eastAsia="en-GB"/>
        </w:rPr>
        <w:t>Figure 1:</w:t>
      </w:r>
      <w:r w:rsidRPr="00AF36A7">
        <w:rPr>
          <w:rFonts w:eastAsia="Times New Roman"/>
          <w:color w:val="000000"/>
          <w:kern w:val="24"/>
          <w:lang w:eastAsia="en-GB"/>
        </w:rPr>
        <w:t xml:space="preserve"> Protein sequence of </w:t>
      </w:r>
      <w:r w:rsidRPr="00AF36A7">
        <w:rPr>
          <w:rFonts w:eastAsia="Times New Roman"/>
          <w:i/>
          <w:color w:val="000000"/>
          <w:kern w:val="24"/>
          <w:lang w:eastAsia="en-GB"/>
        </w:rPr>
        <w:t>A thaliana</w:t>
      </w:r>
      <w:r w:rsidRPr="00AF36A7">
        <w:rPr>
          <w:rFonts w:eastAsia="Times New Roman"/>
          <w:color w:val="000000"/>
          <w:kern w:val="24"/>
          <w:lang w:eastAsia="en-GB"/>
        </w:rPr>
        <w:t xml:space="preserve"> </w:t>
      </w:r>
      <w:proofErr w:type="spellStart"/>
      <w:r w:rsidRPr="00AF36A7">
        <w:rPr>
          <w:rFonts w:eastAsia="Times New Roman"/>
          <w:color w:val="000000"/>
          <w:kern w:val="24"/>
          <w:lang w:eastAsia="en-GB"/>
        </w:rPr>
        <w:t>cvs</w:t>
      </w:r>
      <w:proofErr w:type="spellEnd"/>
      <w:r w:rsidRPr="00AF36A7">
        <w:rPr>
          <w:rFonts w:eastAsia="Times New Roman"/>
          <w:color w:val="000000"/>
          <w:kern w:val="24"/>
          <w:lang w:eastAsia="en-GB"/>
        </w:rPr>
        <w:t xml:space="preserve"> </w:t>
      </w:r>
      <w:proofErr w:type="spellStart"/>
      <w:r w:rsidRPr="00AF36A7">
        <w:rPr>
          <w:rFonts w:eastAsia="Times New Roman"/>
          <w:color w:val="000000"/>
          <w:kern w:val="24"/>
          <w:lang w:eastAsia="en-GB"/>
        </w:rPr>
        <w:t>Landsberg</w:t>
      </w:r>
      <w:proofErr w:type="spellEnd"/>
      <w:r w:rsidRPr="00AF36A7">
        <w:rPr>
          <w:rFonts w:eastAsia="Times New Roman"/>
          <w:color w:val="000000"/>
          <w:kern w:val="24"/>
          <w:lang w:eastAsia="en-GB"/>
        </w:rPr>
        <w:t xml:space="preserve"> 0 and Kas-2 isoforms of AtTPK1. </w:t>
      </w:r>
      <w:r w:rsidR="00EC7984" w:rsidRPr="00AF36A7">
        <w:rPr>
          <w:rFonts w:eastAsia="Times New Roman"/>
          <w:color w:val="000000"/>
          <w:kern w:val="24"/>
          <w:lang w:eastAsia="en-GB"/>
        </w:rPr>
        <w:t>Dark g</w:t>
      </w:r>
      <w:r w:rsidRPr="00AF36A7">
        <w:rPr>
          <w:rFonts w:eastAsia="Times New Roman"/>
          <w:color w:val="000000"/>
          <w:kern w:val="24"/>
          <w:lang w:eastAsia="en-GB"/>
        </w:rPr>
        <w:t xml:space="preserve">reen and red highlights identify synonymous and non-synonymous polymorphisms (relative to the reference sequence of </w:t>
      </w:r>
      <w:r w:rsidRPr="00AF36A7">
        <w:rPr>
          <w:rFonts w:eastAsia="Times New Roman"/>
          <w:i/>
          <w:color w:val="000000"/>
          <w:kern w:val="24"/>
          <w:lang w:eastAsia="en-GB"/>
        </w:rPr>
        <w:t>A thaliana</w:t>
      </w:r>
      <w:r w:rsidRPr="00AF36A7">
        <w:rPr>
          <w:rFonts w:eastAsia="Times New Roman"/>
          <w:color w:val="000000"/>
          <w:kern w:val="24"/>
          <w:lang w:eastAsia="en-GB"/>
        </w:rPr>
        <w:t xml:space="preserve"> cv Col-0 ). </w:t>
      </w:r>
      <w:r w:rsidR="00EC7984" w:rsidRPr="00AF36A7">
        <w:rPr>
          <w:rFonts w:eastAsia="Times New Roman"/>
          <w:color w:val="000000"/>
          <w:kern w:val="24"/>
          <w:lang w:eastAsia="en-GB"/>
        </w:rPr>
        <w:t>Turquoise indicates EF hand domains and green sequence denotes transmembrane spans with GYGD pore region in bold.</w:t>
      </w:r>
    </w:p>
    <w:p w:rsidR="00314016" w:rsidRPr="00AF36A7" w:rsidRDefault="00314016" w:rsidP="00D05EFD">
      <w:pPr>
        <w:spacing w:line="360" w:lineRule="auto"/>
        <w:rPr>
          <w:rFonts w:eastAsia="Times New Roman"/>
          <w:lang w:eastAsia="en-GB"/>
        </w:rPr>
      </w:pPr>
      <w:r w:rsidRPr="00AF36A7">
        <w:rPr>
          <w:rFonts w:eastAsia="Times New Roman"/>
          <w:b/>
          <w:bCs/>
          <w:color w:val="000000"/>
          <w:kern w:val="24"/>
          <w:lang w:eastAsia="en-GB"/>
        </w:rPr>
        <w:t>Figure 2:</w:t>
      </w:r>
      <w:r w:rsidRPr="00AF36A7">
        <w:rPr>
          <w:rFonts w:eastAsia="Times New Roman"/>
          <w:color w:val="000000"/>
          <w:kern w:val="24"/>
          <w:lang w:eastAsia="en-GB"/>
        </w:rPr>
        <w:t xml:space="preserve"> Representative patch clamp recordings of cytoplasmic side out, excised patches from mesophyll vacuoles derived from Landsberg-0 (a) and Kas-2 (b). Arrows on the left denote closing levels at </w:t>
      </w:r>
      <w:r w:rsidR="008C393C" w:rsidRPr="00AF36A7">
        <w:rPr>
          <w:rFonts w:eastAsia="Times New Roman"/>
          <w:color w:val="000000"/>
          <w:kern w:val="24"/>
          <w:lang w:eastAsia="en-GB"/>
        </w:rPr>
        <w:t>5</w:t>
      </w:r>
      <w:r w:rsidRPr="00AF36A7">
        <w:rPr>
          <w:rFonts w:eastAsia="Times New Roman"/>
          <w:color w:val="000000"/>
          <w:kern w:val="24"/>
          <w:lang w:eastAsia="en-GB"/>
        </w:rPr>
        <w:t>0 mV holding potential. Numbers on the right indicate cytoplasmic [Ca</w:t>
      </w:r>
      <w:r w:rsidR="00E209AB" w:rsidRPr="00AF36A7">
        <w:rPr>
          <w:rFonts w:eastAsia="Times New Roman"/>
          <w:color w:val="000000"/>
          <w:kern w:val="24"/>
          <w:position w:val="7"/>
          <w:vertAlign w:val="superscript"/>
          <w:lang w:eastAsia="en-GB"/>
        </w:rPr>
        <w:t>2+</w:t>
      </w:r>
      <w:r w:rsidRPr="00AF36A7">
        <w:rPr>
          <w:rFonts w:eastAsia="Times New Roman"/>
          <w:color w:val="000000"/>
          <w:kern w:val="24"/>
          <w:lang w:eastAsia="en-GB"/>
        </w:rPr>
        <w:t>] in µM. The I/V (current/voltage) plot (c) shows no difference in channel conductance between cultivars</w:t>
      </w:r>
      <w:r w:rsidR="007F315A" w:rsidRPr="00AF36A7">
        <w:rPr>
          <w:rFonts w:eastAsia="Times New Roman"/>
          <w:color w:val="000000"/>
          <w:kern w:val="24"/>
          <w:lang w:eastAsia="en-GB"/>
        </w:rPr>
        <w:t xml:space="preserve"> (bars denote SE and n=3)</w:t>
      </w:r>
      <w:r w:rsidRPr="00AF36A7">
        <w:rPr>
          <w:rFonts w:eastAsia="Times New Roman"/>
          <w:color w:val="000000"/>
          <w:kern w:val="24"/>
          <w:lang w:eastAsia="en-GB"/>
        </w:rPr>
        <w:t>.</w:t>
      </w:r>
    </w:p>
    <w:p w:rsidR="005D3E40" w:rsidRPr="00AF36A7" w:rsidRDefault="005D3E40" w:rsidP="00D05EFD">
      <w:pPr>
        <w:spacing w:line="360" w:lineRule="auto"/>
        <w:rPr>
          <w:rFonts w:eastAsia="Times New Roman"/>
          <w:color w:val="000000"/>
          <w:kern w:val="24"/>
          <w:lang w:eastAsia="en-GB"/>
        </w:rPr>
      </w:pPr>
      <w:r w:rsidRPr="00AF36A7">
        <w:rPr>
          <w:rFonts w:eastAsia="Times New Roman"/>
          <w:b/>
          <w:bCs/>
          <w:color w:val="000000"/>
          <w:kern w:val="24"/>
          <w:lang w:eastAsia="en-GB"/>
        </w:rPr>
        <w:t>Figure 3:</w:t>
      </w:r>
      <w:r w:rsidRPr="00AF36A7">
        <w:rPr>
          <w:rFonts w:eastAsia="Times New Roman"/>
          <w:color w:val="000000"/>
          <w:kern w:val="24"/>
          <w:lang w:eastAsia="en-GB"/>
        </w:rPr>
        <w:t xml:space="preserve"> </w:t>
      </w:r>
      <w:r w:rsidR="006D2405" w:rsidRPr="00AF36A7">
        <w:rPr>
          <w:rFonts w:eastAsia="Times New Roman"/>
          <w:b/>
          <w:bCs/>
          <w:color w:val="000000"/>
          <w:kern w:val="24"/>
          <w:lang w:eastAsia="en-GB"/>
        </w:rPr>
        <w:t>Figure 3:</w:t>
      </w:r>
      <w:r w:rsidR="006D2405" w:rsidRPr="00AF36A7">
        <w:rPr>
          <w:rFonts w:eastAsia="Times New Roman"/>
          <w:color w:val="000000"/>
          <w:kern w:val="24"/>
          <w:lang w:eastAsia="en-GB"/>
        </w:rPr>
        <w:t xml:space="preserve"> The sensitivity of TPK1 open probability to cytoplasmic Ca</w:t>
      </w:r>
      <w:r w:rsidR="006D2405" w:rsidRPr="00AF36A7">
        <w:rPr>
          <w:rFonts w:eastAsia="Times New Roman"/>
          <w:color w:val="000000"/>
          <w:kern w:val="24"/>
          <w:vertAlign w:val="superscript"/>
          <w:lang w:eastAsia="en-GB"/>
        </w:rPr>
        <w:t>2+</w:t>
      </w:r>
      <w:r w:rsidR="006D2405" w:rsidRPr="00AF36A7">
        <w:rPr>
          <w:rFonts w:eastAsia="Times New Roman"/>
          <w:color w:val="000000"/>
          <w:kern w:val="24"/>
          <w:lang w:eastAsia="en-GB"/>
        </w:rPr>
        <w:t xml:space="preserve"> is different between Ler-0 and Kas-2 cultivars. Cytoplasmic Ca</w:t>
      </w:r>
      <w:r w:rsidR="006D2405" w:rsidRPr="00AF36A7">
        <w:rPr>
          <w:rFonts w:eastAsia="Times New Roman"/>
          <w:color w:val="000000"/>
          <w:kern w:val="24"/>
          <w:vertAlign w:val="superscript"/>
          <w:lang w:eastAsia="en-GB"/>
        </w:rPr>
        <w:t>2+</w:t>
      </w:r>
      <w:r w:rsidR="006D2405" w:rsidRPr="00AF36A7">
        <w:rPr>
          <w:rFonts w:eastAsia="Times New Roman"/>
          <w:color w:val="000000"/>
          <w:kern w:val="24"/>
          <w:lang w:eastAsia="en-GB"/>
        </w:rPr>
        <w:t xml:space="preserve"> was varied from 1 nM to 0.5 mM and open probability  measured of native </w:t>
      </w:r>
      <w:proofErr w:type="spellStart"/>
      <w:r w:rsidR="006D2405" w:rsidRPr="00AF36A7">
        <w:rPr>
          <w:rFonts w:eastAsia="Times New Roman"/>
          <w:color w:val="000000"/>
          <w:kern w:val="24"/>
          <w:lang w:eastAsia="en-GB"/>
        </w:rPr>
        <w:t>Kas</w:t>
      </w:r>
      <w:proofErr w:type="spellEnd"/>
      <w:r w:rsidR="006D2405" w:rsidRPr="00AF36A7">
        <w:rPr>
          <w:rFonts w:eastAsia="Times New Roman"/>
          <w:color w:val="000000"/>
          <w:kern w:val="24"/>
          <w:lang w:eastAsia="en-GB"/>
        </w:rPr>
        <w:t xml:space="preserve"> and </w:t>
      </w:r>
      <w:proofErr w:type="spellStart"/>
      <w:r w:rsidR="006D2405" w:rsidRPr="00AF36A7">
        <w:rPr>
          <w:rFonts w:eastAsia="Times New Roman"/>
          <w:color w:val="000000"/>
          <w:kern w:val="24"/>
          <w:lang w:eastAsia="en-GB"/>
        </w:rPr>
        <w:t>Ler</w:t>
      </w:r>
      <w:proofErr w:type="spellEnd"/>
      <w:r w:rsidR="006D2405" w:rsidRPr="00AF36A7">
        <w:rPr>
          <w:rFonts w:eastAsia="Times New Roman"/>
          <w:color w:val="000000"/>
          <w:kern w:val="24"/>
          <w:lang w:eastAsia="en-GB"/>
        </w:rPr>
        <w:t xml:space="preserve"> tonoplasts. </w:t>
      </w:r>
      <w:proofErr w:type="spellStart"/>
      <w:r w:rsidR="006D2405" w:rsidRPr="00AF36A7">
        <w:rPr>
          <w:rFonts w:eastAsia="Times New Roman"/>
          <w:color w:val="000000"/>
          <w:kern w:val="24"/>
          <w:lang w:eastAsia="en-GB"/>
        </w:rPr>
        <w:t>Kas</w:t>
      </w:r>
      <w:proofErr w:type="spellEnd"/>
      <w:r w:rsidR="006D2405" w:rsidRPr="00AF36A7">
        <w:rPr>
          <w:rFonts w:eastAsia="Times New Roman"/>
          <w:color w:val="000000"/>
          <w:kern w:val="24"/>
          <w:lang w:eastAsia="en-GB"/>
        </w:rPr>
        <w:t xml:space="preserve"> cultivar shows more open probability at low [Ca</w:t>
      </w:r>
      <w:r w:rsidR="006D2405" w:rsidRPr="00AF36A7">
        <w:rPr>
          <w:rFonts w:eastAsia="Times New Roman"/>
          <w:color w:val="000000"/>
          <w:kern w:val="24"/>
          <w:vertAlign w:val="superscript"/>
          <w:lang w:eastAsia="en-GB"/>
        </w:rPr>
        <w:t>2+</w:t>
      </w:r>
      <w:r w:rsidR="006D2405" w:rsidRPr="00AF36A7">
        <w:rPr>
          <w:rFonts w:eastAsia="Times New Roman"/>
          <w:color w:val="000000"/>
          <w:kern w:val="24"/>
          <w:lang w:eastAsia="en-GB"/>
        </w:rPr>
        <w:t xml:space="preserve">] and a steeper increase, especially in the range of around 0.5 to 10 µM. Inset shows similar results using homologous expression of either </w:t>
      </w:r>
      <w:proofErr w:type="spellStart"/>
      <w:r w:rsidR="006D2405" w:rsidRPr="00AF36A7">
        <w:rPr>
          <w:rFonts w:eastAsia="Times New Roman"/>
          <w:color w:val="000000"/>
          <w:kern w:val="24"/>
          <w:lang w:eastAsia="en-GB"/>
        </w:rPr>
        <w:t>Ler</w:t>
      </w:r>
      <w:proofErr w:type="spellEnd"/>
      <w:r w:rsidR="006D2405" w:rsidRPr="00AF36A7">
        <w:rPr>
          <w:rFonts w:eastAsia="Times New Roman"/>
          <w:color w:val="000000"/>
          <w:kern w:val="24"/>
          <w:lang w:eastAsia="en-GB"/>
        </w:rPr>
        <w:t xml:space="preserve"> or </w:t>
      </w:r>
      <w:proofErr w:type="spellStart"/>
      <w:r w:rsidR="006D2405" w:rsidRPr="00AF36A7">
        <w:rPr>
          <w:rFonts w:eastAsia="Times New Roman"/>
          <w:color w:val="000000"/>
          <w:kern w:val="24"/>
          <w:lang w:eastAsia="en-GB"/>
        </w:rPr>
        <w:t>Kas</w:t>
      </w:r>
      <w:proofErr w:type="spellEnd"/>
      <w:r w:rsidR="006D2405" w:rsidRPr="00AF36A7">
        <w:rPr>
          <w:rFonts w:eastAsia="Times New Roman"/>
          <w:color w:val="000000"/>
          <w:kern w:val="24"/>
          <w:lang w:eastAsia="en-GB"/>
        </w:rPr>
        <w:t xml:space="preserve"> TPK1 in a </w:t>
      </w:r>
      <w:r w:rsidR="006D2405" w:rsidRPr="00AF36A7">
        <w:rPr>
          <w:rFonts w:eastAsia="Times New Roman"/>
          <w:i/>
          <w:iCs/>
          <w:color w:val="000000"/>
          <w:kern w:val="24"/>
          <w:lang w:eastAsia="en-GB"/>
        </w:rPr>
        <w:t>tpk1</w:t>
      </w:r>
      <w:r w:rsidR="006D2405" w:rsidRPr="00AF36A7">
        <w:rPr>
          <w:rFonts w:eastAsia="Times New Roman"/>
          <w:color w:val="000000"/>
          <w:kern w:val="24"/>
          <w:lang w:eastAsia="en-GB"/>
        </w:rPr>
        <w:t xml:space="preserve"> null mutant. </w:t>
      </w:r>
      <w:r w:rsidR="00061BFB" w:rsidRPr="00AF36A7">
        <w:rPr>
          <w:rFonts w:eastAsia="Times New Roman"/>
          <w:color w:val="000000"/>
          <w:kern w:val="24"/>
          <w:lang w:eastAsia="en-GB"/>
        </w:rPr>
        <w:t xml:space="preserve">Data were fitted to a sigmoidal function and yielded a </w:t>
      </w:r>
      <w:proofErr w:type="spellStart"/>
      <w:r w:rsidR="00061BFB" w:rsidRPr="00AF36A7">
        <w:rPr>
          <w:rFonts w:eastAsia="Times New Roman"/>
          <w:color w:val="000000"/>
          <w:kern w:val="24"/>
          <w:lang w:eastAsia="en-GB"/>
        </w:rPr>
        <w:t>Kd</w:t>
      </w:r>
      <w:proofErr w:type="spellEnd"/>
      <w:r w:rsidR="00061BFB" w:rsidRPr="00AF36A7">
        <w:rPr>
          <w:rFonts w:eastAsia="Times New Roman"/>
          <w:color w:val="000000"/>
          <w:kern w:val="24"/>
          <w:lang w:eastAsia="en-GB"/>
        </w:rPr>
        <w:t xml:space="preserve"> value of 8.3 µM (R</w:t>
      </w:r>
      <w:r w:rsidR="00061BFB" w:rsidRPr="00AF36A7">
        <w:rPr>
          <w:rFonts w:eastAsia="Times New Roman"/>
          <w:color w:val="000000"/>
          <w:kern w:val="24"/>
          <w:vertAlign w:val="superscript"/>
          <w:lang w:eastAsia="en-GB"/>
        </w:rPr>
        <w:t>2</w:t>
      </w:r>
      <w:r w:rsidR="00061BFB" w:rsidRPr="00AF36A7">
        <w:rPr>
          <w:rFonts w:eastAsia="Times New Roman"/>
          <w:color w:val="000000"/>
          <w:kern w:val="24"/>
          <w:lang w:eastAsia="en-GB"/>
        </w:rPr>
        <w:t xml:space="preserve"> =0.984) and 23.2 µM (R</w:t>
      </w:r>
      <w:r w:rsidR="00061BFB" w:rsidRPr="00AF36A7">
        <w:rPr>
          <w:rFonts w:eastAsia="Times New Roman"/>
          <w:color w:val="000000"/>
          <w:kern w:val="24"/>
          <w:vertAlign w:val="superscript"/>
          <w:lang w:eastAsia="en-GB"/>
        </w:rPr>
        <w:t>2</w:t>
      </w:r>
      <w:r w:rsidR="00061BFB" w:rsidRPr="00AF36A7">
        <w:rPr>
          <w:rFonts w:eastAsia="Times New Roman"/>
          <w:color w:val="000000"/>
          <w:kern w:val="24"/>
          <w:lang w:eastAsia="en-GB"/>
        </w:rPr>
        <w:t xml:space="preserve"> =0.991) for </w:t>
      </w:r>
      <w:proofErr w:type="spellStart"/>
      <w:r w:rsidR="00061BFB" w:rsidRPr="00AF36A7">
        <w:rPr>
          <w:rFonts w:eastAsia="Times New Roman"/>
          <w:color w:val="000000"/>
          <w:kern w:val="24"/>
          <w:lang w:eastAsia="en-GB"/>
        </w:rPr>
        <w:t>Ler</w:t>
      </w:r>
      <w:proofErr w:type="spellEnd"/>
      <w:r w:rsidR="00061BFB" w:rsidRPr="00AF36A7">
        <w:rPr>
          <w:rFonts w:eastAsia="Times New Roman"/>
          <w:color w:val="000000"/>
          <w:kern w:val="24"/>
          <w:lang w:eastAsia="en-GB"/>
        </w:rPr>
        <w:t xml:space="preserve"> and </w:t>
      </w:r>
      <w:proofErr w:type="spellStart"/>
      <w:r w:rsidR="00061BFB" w:rsidRPr="00AF36A7">
        <w:rPr>
          <w:rFonts w:eastAsia="Times New Roman"/>
          <w:color w:val="000000"/>
          <w:kern w:val="24"/>
          <w:lang w:eastAsia="en-GB"/>
        </w:rPr>
        <w:t>Kas</w:t>
      </w:r>
      <w:proofErr w:type="spellEnd"/>
      <w:r w:rsidR="00061BFB" w:rsidRPr="00AF36A7">
        <w:rPr>
          <w:rFonts w:eastAsia="Times New Roman"/>
          <w:color w:val="000000"/>
          <w:kern w:val="24"/>
          <w:lang w:eastAsia="en-GB"/>
        </w:rPr>
        <w:t xml:space="preserve"> respectively.</w:t>
      </w:r>
    </w:p>
    <w:p w:rsidR="006D2405" w:rsidRPr="00AF36A7" w:rsidRDefault="006D2405" w:rsidP="00D05EFD">
      <w:pPr>
        <w:spacing w:line="360" w:lineRule="auto"/>
        <w:rPr>
          <w:rFonts w:eastAsia="Times New Roman"/>
          <w:b/>
          <w:color w:val="000000"/>
          <w:kern w:val="24"/>
          <w:lang w:eastAsia="en-GB"/>
        </w:rPr>
      </w:pPr>
      <w:r w:rsidRPr="00AF36A7">
        <w:rPr>
          <w:rFonts w:eastAsia="Times New Roman"/>
          <w:b/>
          <w:color w:val="000000"/>
          <w:kern w:val="24"/>
          <w:lang w:eastAsia="en-GB"/>
        </w:rPr>
        <w:t xml:space="preserve">Figure 4: </w:t>
      </w:r>
      <w:r w:rsidRPr="00AF36A7">
        <w:rPr>
          <w:rFonts w:eastAsia="Times New Roman"/>
          <w:color w:val="000000"/>
          <w:kern w:val="24"/>
          <w:lang w:eastAsia="en-GB"/>
        </w:rPr>
        <w:t xml:space="preserve">Dehydration assay carried out on </w:t>
      </w:r>
      <w:proofErr w:type="spellStart"/>
      <w:r w:rsidRPr="00AF36A7">
        <w:rPr>
          <w:rFonts w:eastAsia="Times New Roman"/>
          <w:color w:val="000000"/>
          <w:kern w:val="24"/>
          <w:lang w:eastAsia="en-GB"/>
        </w:rPr>
        <w:t>Kas</w:t>
      </w:r>
      <w:proofErr w:type="spellEnd"/>
      <w:r w:rsidRPr="00AF36A7">
        <w:rPr>
          <w:rFonts w:eastAsia="Times New Roman"/>
          <w:color w:val="000000"/>
          <w:kern w:val="24"/>
          <w:lang w:eastAsia="en-GB"/>
        </w:rPr>
        <w:t xml:space="preserve"> and </w:t>
      </w:r>
      <w:proofErr w:type="spellStart"/>
      <w:r w:rsidRPr="00AF36A7">
        <w:rPr>
          <w:rFonts w:eastAsia="Times New Roman"/>
          <w:color w:val="000000"/>
          <w:kern w:val="24"/>
          <w:lang w:eastAsia="en-GB"/>
        </w:rPr>
        <w:t>Ler</w:t>
      </w:r>
      <w:proofErr w:type="spellEnd"/>
      <w:r w:rsidRPr="00AF36A7">
        <w:rPr>
          <w:rFonts w:eastAsia="Times New Roman"/>
          <w:color w:val="000000"/>
          <w:kern w:val="24"/>
          <w:lang w:eastAsia="en-GB"/>
        </w:rPr>
        <w:t xml:space="preserve"> leaves. The main plot (a) shows how mass declined for three hours in control and ABA treated leaves. The bar chart (b) shows the average rate of water loss over the first 30 minutes in control and ABA treated leaves. (c) Leaf conductance in the two ecotypes during the first 90 minutes of dehydration assays. (d) Relative stomatal density of </w:t>
      </w:r>
      <w:proofErr w:type="spellStart"/>
      <w:r w:rsidRPr="00AF36A7">
        <w:rPr>
          <w:rFonts w:eastAsia="Times New Roman"/>
          <w:color w:val="000000"/>
          <w:kern w:val="24"/>
          <w:lang w:eastAsia="en-GB"/>
        </w:rPr>
        <w:t>Kas</w:t>
      </w:r>
      <w:proofErr w:type="spellEnd"/>
      <w:r w:rsidRPr="00AF36A7">
        <w:rPr>
          <w:rFonts w:eastAsia="Times New Roman"/>
          <w:color w:val="000000"/>
          <w:kern w:val="24"/>
          <w:lang w:eastAsia="en-GB"/>
        </w:rPr>
        <w:t xml:space="preserve"> and </w:t>
      </w:r>
      <w:proofErr w:type="spellStart"/>
      <w:r w:rsidRPr="00AF36A7">
        <w:rPr>
          <w:rFonts w:eastAsia="Times New Roman"/>
          <w:color w:val="000000"/>
          <w:kern w:val="24"/>
          <w:lang w:eastAsia="en-GB"/>
        </w:rPr>
        <w:t>Ler</w:t>
      </w:r>
      <w:proofErr w:type="spellEnd"/>
      <w:r w:rsidRPr="00AF36A7">
        <w:rPr>
          <w:rFonts w:eastAsia="Times New Roman"/>
          <w:color w:val="000000"/>
          <w:kern w:val="24"/>
          <w:lang w:eastAsia="en-GB"/>
        </w:rPr>
        <w:t xml:space="preserve"> ecotypes. Points and bars are the mean of 9 leaves from 3 experiments and error bars indicate the S.E.M.</w:t>
      </w:r>
      <w:r w:rsidRPr="00AF36A7">
        <w:rPr>
          <w:rFonts w:eastAsia="Times New Roman"/>
          <w:b/>
          <w:color w:val="000000"/>
          <w:kern w:val="24"/>
          <w:lang w:eastAsia="en-GB"/>
        </w:rPr>
        <w:t xml:space="preserve"> </w:t>
      </w:r>
    </w:p>
    <w:p w:rsidR="005D3E40" w:rsidRPr="00AF36A7" w:rsidRDefault="005D3E40" w:rsidP="00D05EFD">
      <w:pPr>
        <w:spacing w:line="360" w:lineRule="auto"/>
        <w:rPr>
          <w:rFonts w:eastAsia="Times New Roman"/>
          <w:color w:val="000000"/>
          <w:kern w:val="24"/>
          <w:lang w:eastAsia="en-GB"/>
        </w:rPr>
      </w:pPr>
      <w:r w:rsidRPr="00AF36A7">
        <w:rPr>
          <w:rFonts w:eastAsia="Times New Roman"/>
          <w:b/>
          <w:bCs/>
          <w:color w:val="000000"/>
          <w:kern w:val="24"/>
          <w:lang w:eastAsia="en-GB"/>
        </w:rPr>
        <w:t xml:space="preserve">Figure </w:t>
      </w:r>
      <w:r w:rsidR="00E209AB" w:rsidRPr="00AF36A7">
        <w:rPr>
          <w:rFonts w:eastAsia="Times New Roman"/>
          <w:b/>
          <w:bCs/>
          <w:color w:val="000000"/>
          <w:kern w:val="24"/>
          <w:lang w:eastAsia="en-GB"/>
        </w:rPr>
        <w:t>5</w:t>
      </w:r>
      <w:r w:rsidRPr="00AF36A7">
        <w:rPr>
          <w:rFonts w:eastAsia="Times New Roman"/>
          <w:b/>
          <w:bCs/>
          <w:color w:val="000000"/>
          <w:kern w:val="24"/>
          <w:lang w:eastAsia="en-GB"/>
        </w:rPr>
        <w:t>:</w:t>
      </w:r>
      <w:r w:rsidRPr="00AF36A7">
        <w:rPr>
          <w:rFonts w:eastAsia="Times New Roman"/>
          <w:color w:val="000000"/>
          <w:kern w:val="24"/>
          <w:lang w:eastAsia="en-GB"/>
        </w:rPr>
        <w:t xml:space="preserve"> </w:t>
      </w:r>
      <w:r w:rsidRPr="00AF36A7">
        <w:rPr>
          <w:rFonts w:eastAsia="Times New Roman"/>
          <w:b/>
          <w:bCs/>
          <w:color w:val="000000"/>
          <w:kern w:val="24"/>
          <w:lang w:eastAsia="en-GB"/>
        </w:rPr>
        <w:t>(a)</w:t>
      </w:r>
      <w:r w:rsidRPr="00AF36A7">
        <w:rPr>
          <w:rFonts w:eastAsia="Times New Roman"/>
          <w:color w:val="000000"/>
          <w:kern w:val="24"/>
          <w:lang w:eastAsia="en-GB"/>
        </w:rPr>
        <w:t xml:space="preserve"> Generalised Ca</w:t>
      </w:r>
      <w:r w:rsidR="00E209AB" w:rsidRPr="00AF36A7">
        <w:rPr>
          <w:rFonts w:eastAsia="Times New Roman"/>
          <w:color w:val="000000"/>
          <w:kern w:val="24"/>
          <w:position w:val="7"/>
          <w:vertAlign w:val="superscript"/>
          <w:lang w:eastAsia="en-GB"/>
        </w:rPr>
        <w:t>2+</w:t>
      </w:r>
      <w:r w:rsidRPr="00AF36A7">
        <w:rPr>
          <w:rFonts w:eastAsia="Times New Roman"/>
          <w:color w:val="000000"/>
          <w:kern w:val="24"/>
          <w:lang w:eastAsia="en-GB"/>
        </w:rPr>
        <w:t xml:space="preserve"> coordination and topology of EF Ca</w:t>
      </w:r>
      <w:r w:rsidR="00E209AB" w:rsidRPr="00AF36A7">
        <w:rPr>
          <w:rFonts w:eastAsia="Times New Roman"/>
          <w:color w:val="000000"/>
          <w:kern w:val="24"/>
          <w:position w:val="7"/>
          <w:vertAlign w:val="superscript"/>
          <w:lang w:eastAsia="en-GB"/>
        </w:rPr>
        <w:t>2+</w:t>
      </w:r>
      <w:r w:rsidRPr="00AF36A7">
        <w:rPr>
          <w:rFonts w:eastAsia="Times New Roman"/>
          <w:color w:val="000000"/>
          <w:kern w:val="24"/>
          <w:lang w:eastAsia="en-GB"/>
        </w:rPr>
        <w:t xml:space="preserve"> binding motif with the Ca</w:t>
      </w:r>
      <w:r w:rsidR="00E209AB" w:rsidRPr="00AF36A7">
        <w:rPr>
          <w:rFonts w:eastAsia="Times New Roman"/>
          <w:color w:val="000000"/>
          <w:kern w:val="24"/>
          <w:position w:val="7"/>
          <w:vertAlign w:val="superscript"/>
          <w:lang w:eastAsia="en-GB"/>
        </w:rPr>
        <w:t>2+</w:t>
      </w:r>
      <w:r w:rsidRPr="00AF36A7">
        <w:rPr>
          <w:rFonts w:eastAsia="Times New Roman"/>
          <w:color w:val="000000"/>
          <w:kern w:val="24"/>
          <w:lang w:eastAsia="en-GB"/>
        </w:rPr>
        <w:t xml:space="preserve"> ion depicted as green sphere.  In </w:t>
      </w:r>
      <w:r w:rsidRPr="00AF36A7">
        <w:rPr>
          <w:rFonts w:eastAsia="Times New Roman"/>
          <w:b/>
          <w:bCs/>
          <w:color w:val="000000"/>
          <w:kern w:val="24"/>
          <w:lang w:eastAsia="en-GB"/>
        </w:rPr>
        <w:t>(b)</w:t>
      </w:r>
      <w:r w:rsidRPr="00AF36A7">
        <w:rPr>
          <w:rFonts w:eastAsia="Times New Roman"/>
          <w:color w:val="000000"/>
          <w:kern w:val="24"/>
          <w:lang w:eastAsia="en-GB"/>
        </w:rPr>
        <w:t xml:space="preserve"> and </w:t>
      </w:r>
      <w:r w:rsidRPr="00AF36A7">
        <w:rPr>
          <w:rFonts w:eastAsia="Times New Roman"/>
          <w:b/>
          <w:bCs/>
          <w:color w:val="000000"/>
          <w:kern w:val="24"/>
          <w:lang w:eastAsia="en-GB"/>
        </w:rPr>
        <w:t>(c)</w:t>
      </w:r>
      <w:r w:rsidRPr="00AF36A7">
        <w:rPr>
          <w:rFonts w:eastAsia="Times New Roman"/>
          <w:color w:val="000000"/>
          <w:kern w:val="24"/>
          <w:lang w:eastAsia="en-GB"/>
        </w:rPr>
        <w:t xml:space="preserve"> the first helix of the EF 'helix-loop-helix' configuration </w:t>
      </w:r>
      <w:r w:rsidRPr="00AF36A7">
        <w:rPr>
          <w:rFonts w:eastAsia="Times New Roman"/>
          <w:color w:val="000000"/>
          <w:kern w:val="24"/>
          <w:lang w:eastAsia="en-GB"/>
        </w:rPr>
        <w:lastRenderedPageBreak/>
        <w:t xml:space="preserve">is shown for respectively Ler-0 and Kas-2. Note the presence of the much larger side chain of asparagine in Ler-0 compared to the serine </w:t>
      </w:r>
      <w:r w:rsidR="00E209AB" w:rsidRPr="00AF36A7">
        <w:rPr>
          <w:rFonts w:eastAsia="Times New Roman"/>
          <w:color w:val="000000"/>
          <w:kern w:val="24"/>
          <w:lang w:eastAsia="en-GB"/>
        </w:rPr>
        <w:t>at</w:t>
      </w:r>
      <w:r w:rsidRPr="00AF36A7">
        <w:rPr>
          <w:rFonts w:eastAsia="Times New Roman"/>
          <w:color w:val="000000"/>
          <w:kern w:val="24"/>
          <w:lang w:eastAsia="en-GB"/>
        </w:rPr>
        <w:t xml:space="preserve"> the same position in Kas-2.</w:t>
      </w:r>
    </w:p>
    <w:p w:rsidR="005D3E40" w:rsidRPr="00AF36A7" w:rsidRDefault="005D3E40" w:rsidP="00D05EFD">
      <w:pPr>
        <w:spacing w:line="360" w:lineRule="auto"/>
        <w:rPr>
          <w:rFonts w:eastAsia="Times New Roman"/>
          <w:color w:val="000000"/>
          <w:kern w:val="24"/>
          <w:lang w:eastAsia="en-GB"/>
        </w:rPr>
      </w:pPr>
      <w:r w:rsidRPr="00AF36A7">
        <w:rPr>
          <w:rFonts w:eastAsia="Times New Roman"/>
          <w:b/>
          <w:bCs/>
          <w:color w:val="000000"/>
          <w:kern w:val="24"/>
          <w:lang w:eastAsia="en-GB"/>
        </w:rPr>
        <w:t xml:space="preserve">Figure </w:t>
      </w:r>
      <w:r w:rsidR="00E209AB" w:rsidRPr="00AF36A7">
        <w:rPr>
          <w:rFonts w:eastAsia="Times New Roman"/>
          <w:b/>
          <w:bCs/>
          <w:color w:val="000000"/>
          <w:kern w:val="24"/>
          <w:lang w:eastAsia="en-GB"/>
        </w:rPr>
        <w:t>6</w:t>
      </w:r>
      <w:r w:rsidRPr="00AF36A7">
        <w:rPr>
          <w:rFonts w:eastAsia="Times New Roman"/>
          <w:b/>
          <w:bCs/>
          <w:color w:val="000000"/>
          <w:kern w:val="24"/>
          <w:lang w:eastAsia="en-GB"/>
        </w:rPr>
        <w:t>:</w:t>
      </w:r>
      <w:r w:rsidRPr="00AF36A7">
        <w:rPr>
          <w:rFonts w:eastAsia="Times New Roman"/>
          <w:color w:val="000000"/>
          <w:kern w:val="24"/>
          <w:lang w:eastAsia="en-GB"/>
        </w:rPr>
        <w:t xml:space="preserve"> </w:t>
      </w:r>
      <w:r w:rsidRPr="00AF36A7">
        <w:rPr>
          <w:rFonts w:eastAsia="Times New Roman"/>
          <w:b/>
          <w:bCs/>
          <w:color w:val="000000"/>
          <w:kern w:val="24"/>
          <w:lang w:eastAsia="en-GB"/>
        </w:rPr>
        <w:t>(a)</w:t>
      </w:r>
      <w:r w:rsidRPr="00AF36A7">
        <w:rPr>
          <w:rFonts w:eastAsia="Times New Roman"/>
          <w:color w:val="000000"/>
          <w:kern w:val="24"/>
          <w:lang w:eastAsia="en-GB"/>
        </w:rPr>
        <w:t xml:space="preserve"> Topographic model of TPK1 based on  mammalian TRAAK K</w:t>
      </w:r>
      <w:r w:rsidR="00E209AB" w:rsidRPr="00AF36A7">
        <w:rPr>
          <w:rFonts w:eastAsia="Times New Roman"/>
          <w:color w:val="000000"/>
          <w:kern w:val="24"/>
          <w:position w:val="7"/>
          <w:vertAlign w:val="superscript"/>
          <w:lang w:eastAsia="en-GB"/>
        </w:rPr>
        <w:t>+</w:t>
      </w:r>
      <w:r w:rsidRPr="00AF36A7">
        <w:rPr>
          <w:rFonts w:eastAsia="Times New Roman"/>
          <w:color w:val="000000"/>
          <w:kern w:val="24"/>
          <w:lang w:eastAsia="en-GB"/>
        </w:rPr>
        <w:t xml:space="preserve"> channel (code K2P4.1) showing position of K</w:t>
      </w:r>
      <w:r w:rsidR="00E209AB" w:rsidRPr="00AF36A7">
        <w:rPr>
          <w:rFonts w:eastAsia="Times New Roman"/>
          <w:color w:val="000000"/>
          <w:kern w:val="24"/>
          <w:position w:val="7"/>
          <w:vertAlign w:val="superscript"/>
          <w:lang w:eastAsia="en-GB"/>
        </w:rPr>
        <w:t>+</w:t>
      </w:r>
      <w:r w:rsidRPr="00AF36A7">
        <w:rPr>
          <w:rFonts w:eastAsia="Times New Roman"/>
          <w:color w:val="000000"/>
          <w:kern w:val="24"/>
          <w:lang w:eastAsia="en-GB"/>
        </w:rPr>
        <w:t xml:space="preserve"> pore on the luminal side and the C-terminal EF hands with coordinated calcium on the cytoplasmic side. A hypothetical model of how EF hand Ca</w:t>
      </w:r>
      <w:r w:rsidR="00E209AB" w:rsidRPr="00AF36A7">
        <w:rPr>
          <w:rFonts w:eastAsia="Times New Roman"/>
          <w:color w:val="000000"/>
          <w:kern w:val="24"/>
          <w:position w:val="7"/>
          <w:vertAlign w:val="superscript"/>
          <w:lang w:eastAsia="en-GB"/>
        </w:rPr>
        <w:t>2+</w:t>
      </w:r>
      <w:r w:rsidRPr="00AF36A7">
        <w:rPr>
          <w:rFonts w:eastAsia="Times New Roman"/>
          <w:color w:val="000000"/>
          <w:kern w:val="24"/>
          <w:lang w:eastAsia="en-GB"/>
        </w:rPr>
        <w:t xml:space="preserve"> binding could lead to conformational changes in transmembrane domains is based on that proposed by Lolicato et al</w:t>
      </w:r>
      <w:r w:rsidR="00211C48" w:rsidRPr="00AF36A7">
        <w:rPr>
          <w:rFonts w:eastAsia="Times New Roman"/>
          <w:color w:val="000000"/>
          <w:kern w:val="24"/>
          <w:lang w:eastAsia="en-GB"/>
        </w:rPr>
        <w:t>.,</w:t>
      </w:r>
      <w:r w:rsidRPr="00AF36A7">
        <w:rPr>
          <w:rFonts w:eastAsia="Times New Roman"/>
          <w:color w:val="000000"/>
          <w:kern w:val="24"/>
          <w:lang w:eastAsia="en-GB"/>
        </w:rPr>
        <w:t xml:space="preserve"> 2014 for K2P channels. </w:t>
      </w:r>
      <w:r w:rsidRPr="00AF36A7">
        <w:rPr>
          <w:rFonts w:eastAsia="Times New Roman"/>
          <w:b/>
          <w:bCs/>
          <w:color w:val="000000"/>
          <w:kern w:val="24"/>
          <w:lang w:eastAsia="en-GB"/>
        </w:rPr>
        <w:t>(b)</w:t>
      </w:r>
      <w:r w:rsidRPr="00AF36A7">
        <w:rPr>
          <w:rFonts w:eastAsia="Times New Roman"/>
          <w:color w:val="000000"/>
          <w:kern w:val="24"/>
          <w:lang w:eastAsia="en-GB"/>
        </w:rPr>
        <w:t xml:space="preserve"> </w:t>
      </w:r>
      <w:r w:rsidR="001C02D8" w:rsidRPr="00AF36A7">
        <w:rPr>
          <w:rFonts w:eastAsia="Times New Roman"/>
          <w:color w:val="000000"/>
          <w:kern w:val="24"/>
          <w:lang w:eastAsia="en-GB"/>
        </w:rPr>
        <w:t>The absence of Ca</w:t>
      </w:r>
      <w:r w:rsidR="001C02D8" w:rsidRPr="00AF36A7">
        <w:rPr>
          <w:rFonts w:eastAsia="Times New Roman"/>
          <w:color w:val="000000"/>
          <w:kern w:val="24"/>
          <w:vertAlign w:val="superscript"/>
          <w:lang w:eastAsia="en-GB"/>
        </w:rPr>
        <w:t>2+</w:t>
      </w:r>
      <w:r w:rsidR="001C02D8" w:rsidRPr="00AF36A7">
        <w:rPr>
          <w:rFonts w:eastAsia="Times New Roman"/>
          <w:color w:val="000000"/>
          <w:kern w:val="24"/>
          <w:lang w:eastAsia="en-GB"/>
        </w:rPr>
        <w:t xml:space="preserve"> keeps transmembrane domains 2 and 4 in a kinked configuration which occludes the pore. </w:t>
      </w:r>
      <w:r w:rsidR="001C02D8" w:rsidRPr="00AF36A7">
        <w:rPr>
          <w:rFonts w:eastAsia="Times New Roman"/>
          <w:b/>
          <w:color w:val="000000"/>
          <w:kern w:val="24"/>
          <w:lang w:eastAsia="en-GB"/>
        </w:rPr>
        <w:t>(c)</w:t>
      </w:r>
      <w:r w:rsidR="001C02D8" w:rsidRPr="00AF36A7">
        <w:rPr>
          <w:rFonts w:eastAsia="Times New Roman"/>
          <w:color w:val="000000"/>
          <w:kern w:val="24"/>
          <w:lang w:eastAsia="en-GB"/>
        </w:rPr>
        <w:t xml:space="preserve"> Ca</w:t>
      </w:r>
      <w:r w:rsidR="001C02D8" w:rsidRPr="00AF36A7">
        <w:rPr>
          <w:rFonts w:eastAsia="Times New Roman"/>
          <w:color w:val="000000"/>
          <w:kern w:val="24"/>
          <w:vertAlign w:val="superscript"/>
          <w:lang w:eastAsia="en-GB"/>
        </w:rPr>
        <w:t>2+</w:t>
      </w:r>
      <w:r w:rsidR="001C02D8" w:rsidRPr="00AF36A7">
        <w:rPr>
          <w:rFonts w:eastAsia="Times New Roman"/>
          <w:color w:val="000000"/>
          <w:kern w:val="24"/>
          <w:lang w:eastAsia="en-GB"/>
        </w:rPr>
        <w:t xml:space="preserve"> binding releases strain on transmembrane domains and allows ion conduction.</w:t>
      </w:r>
    </w:p>
    <w:p w:rsidR="00D166FE" w:rsidRPr="00AF36A7" w:rsidRDefault="00D166FE" w:rsidP="00D05EFD">
      <w:pPr>
        <w:spacing w:line="360" w:lineRule="auto"/>
        <w:rPr>
          <w:rFonts w:eastAsia="Times New Roman"/>
          <w:color w:val="000000"/>
          <w:kern w:val="24"/>
          <w:lang w:eastAsia="en-GB"/>
        </w:rPr>
      </w:pPr>
    </w:p>
    <w:p w:rsidR="00BE6EA1" w:rsidRPr="00AF36A7" w:rsidRDefault="00BE6EA1" w:rsidP="00D05EFD">
      <w:pPr>
        <w:spacing w:line="360" w:lineRule="auto"/>
        <w:rPr>
          <w:rFonts w:eastAsia="Times New Roman"/>
          <w:b/>
          <w:color w:val="000000"/>
          <w:kern w:val="24"/>
          <w:lang w:eastAsia="en-GB"/>
        </w:rPr>
      </w:pPr>
    </w:p>
    <w:p w:rsidR="00D166FE" w:rsidRPr="00AF36A7" w:rsidRDefault="00D166FE" w:rsidP="00D05EFD">
      <w:pPr>
        <w:spacing w:line="360" w:lineRule="auto"/>
        <w:rPr>
          <w:rFonts w:eastAsia="Times New Roman"/>
          <w:b/>
          <w:color w:val="000000"/>
          <w:kern w:val="24"/>
          <w:lang w:eastAsia="en-GB"/>
        </w:rPr>
      </w:pPr>
      <w:r w:rsidRPr="00AF36A7">
        <w:rPr>
          <w:rFonts w:eastAsia="Times New Roman"/>
          <w:b/>
          <w:color w:val="000000"/>
          <w:kern w:val="24"/>
          <w:lang w:eastAsia="en-GB"/>
        </w:rPr>
        <w:t>Supplementary figures</w:t>
      </w:r>
    </w:p>
    <w:p w:rsidR="00D166FE" w:rsidRPr="00AF36A7" w:rsidRDefault="00D166FE" w:rsidP="00D166FE">
      <w:pPr>
        <w:spacing w:line="360" w:lineRule="auto"/>
        <w:rPr>
          <w:rFonts w:eastAsia="Times New Roman"/>
          <w:lang w:eastAsia="en-GB"/>
        </w:rPr>
      </w:pPr>
      <w:r w:rsidRPr="00AF36A7">
        <w:rPr>
          <w:rFonts w:eastAsia="Times New Roman"/>
          <w:b/>
          <w:color w:val="000000"/>
          <w:kern w:val="24"/>
          <w:lang w:eastAsia="en-GB"/>
        </w:rPr>
        <w:t>Figure S1:</w:t>
      </w:r>
      <w:r w:rsidRPr="00AF36A7">
        <w:rPr>
          <w:rFonts w:eastAsia="Times New Roman"/>
          <w:color w:val="000000"/>
          <w:kern w:val="24"/>
          <w:lang w:eastAsia="en-GB"/>
        </w:rPr>
        <w:t xml:space="preserve"> Alignments of other  TPK isoforms from Arabidopsis. Red highlights identify non-synonymous polymorphisms (relative to the reference sequence of A thaliana cv Col-0 ). Turquoise indicates EF hand domains. TPK4 expresses in the plasma membrane specifically in pollen tissue (Becker et al., 2001) whereas TPK3 expresses in thylakoid membranes (</w:t>
      </w:r>
      <w:proofErr w:type="spellStart"/>
      <w:r w:rsidRPr="00AF36A7">
        <w:rPr>
          <w:rFonts w:eastAsia="Times New Roman"/>
          <w:color w:val="000000"/>
          <w:kern w:val="24"/>
          <w:lang w:eastAsia="en-GB"/>
        </w:rPr>
        <w:t>Carraretto</w:t>
      </w:r>
      <w:proofErr w:type="spellEnd"/>
      <w:r w:rsidRPr="00AF36A7">
        <w:rPr>
          <w:rFonts w:eastAsia="Times New Roman"/>
          <w:color w:val="000000"/>
          <w:kern w:val="24"/>
          <w:lang w:eastAsia="en-GB"/>
        </w:rPr>
        <w:t xml:space="preserve"> et al., 2013).</w:t>
      </w:r>
    </w:p>
    <w:p w:rsidR="005D3E40" w:rsidRPr="00AF36A7" w:rsidRDefault="005D3E40" w:rsidP="00D05EFD">
      <w:pPr>
        <w:spacing w:line="360" w:lineRule="auto"/>
        <w:jc w:val="both"/>
      </w:pPr>
    </w:p>
    <w:p w:rsidR="00D166FE" w:rsidRPr="00211C48" w:rsidRDefault="00D166FE" w:rsidP="00D05EFD">
      <w:pPr>
        <w:spacing w:line="360" w:lineRule="auto"/>
        <w:jc w:val="both"/>
      </w:pPr>
      <w:r w:rsidRPr="00AF36A7">
        <w:rPr>
          <w:rFonts w:eastAsia="Times New Roman"/>
          <w:b/>
          <w:color w:val="000000"/>
          <w:kern w:val="24"/>
          <w:lang w:eastAsia="en-GB"/>
        </w:rPr>
        <w:t>Figure S2:</w:t>
      </w:r>
      <w:r w:rsidRPr="00AF36A7">
        <w:rPr>
          <w:rFonts w:eastAsia="Times New Roman"/>
          <w:color w:val="000000"/>
          <w:kern w:val="24"/>
          <w:lang w:eastAsia="en-GB"/>
        </w:rPr>
        <w:t xml:space="preserve"> Alignment of </w:t>
      </w:r>
      <w:r w:rsidR="009E2966" w:rsidRPr="00AF36A7">
        <w:rPr>
          <w:rFonts w:eastAsia="Times New Roman"/>
          <w:color w:val="000000"/>
          <w:kern w:val="24"/>
          <w:lang w:eastAsia="en-GB"/>
        </w:rPr>
        <w:t>C terminal section with non-synonymous SNPs in Arabidopsis (Col-0 ecotype) and the rice OsTPKa and TPKb.</w:t>
      </w:r>
    </w:p>
    <w:p w:rsidR="009C2C55" w:rsidRPr="00211C48" w:rsidRDefault="009C2C55" w:rsidP="00D05EFD">
      <w:pPr>
        <w:tabs>
          <w:tab w:val="left" w:pos="9600"/>
        </w:tabs>
        <w:spacing w:line="360" w:lineRule="auto"/>
        <w:jc w:val="both"/>
      </w:pPr>
      <w:bookmarkStart w:id="0" w:name="_GoBack"/>
      <w:bookmarkEnd w:id="0"/>
    </w:p>
    <w:sectPr w:rsidR="009C2C55" w:rsidRPr="00211C48" w:rsidSect="001A6034">
      <w:footerReference w:type="default" r:id="rId13"/>
      <w:pgSz w:w="12240" w:h="15840"/>
      <w:pgMar w:top="1304" w:right="1304" w:bottom="1304" w:left="130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85F" w:rsidRDefault="0018185F" w:rsidP="0050095F">
      <w:r>
        <w:separator/>
      </w:r>
    </w:p>
  </w:endnote>
  <w:endnote w:type="continuationSeparator" w:id="0">
    <w:p w:rsidR="0018185F" w:rsidRDefault="0018185F" w:rsidP="0050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95F" w:rsidRDefault="0050095F">
    <w:pPr>
      <w:pStyle w:val="Footer"/>
      <w:jc w:val="right"/>
    </w:pPr>
    <w:r>
      <w:fldChar w:fldCharType="begin"/>
    </w:r>
    <w:r>
      <w:instrText xml:space="preserve"> PAGE   \* MERGEFORMAT </w:instrText>
    </w:r>
    <w:r>
      <w:fldChar w:fldCharType="separate"/>
    </w:r>
    <w:r w:rsidR="00AF36A7">
      <w:rPr>
        <w:noProof/>
      </w:rPr>
      <w:t>14</w:t>
    </w:r>
    <w:r>
      <w:rPr>
        <w:noProof/>
      </w:rPr>
      <w:fldChar w:fldCharType="end"/>
    </w:r>
  </w:p>
  <w:p w:rsidR="0050095F" w:rsidRDefault="00500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85F" w:rsidRDefault="0018185F" w:rsidP="0050095F">
      <w:r>
        <w:separator/>
      </w:r>
    </w:p>
  </w:footnote>
  <w:footnote w:type="continuationSeparator" w:id="0">
    <w:p w:rsidR="0018185F" w:rsidRDefault="0018185F" w:rsidP="00500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2945"/>
    <w:rsid w:val="00043D9F"/>
    <w:rsid w:val="00061BFB"/>
    <w:rsid w:val="000923F1"/>
    <w:rsid w:val="00093A09"/>
    <w:rsid w:val="000B5EF1"/>
    <w:rsid w:val="000C3E39"/>
    <w:rsid w:val="000D15EF"/>
    <w:rsid w:val="000E0BCC"/>
    <w:rsid w:val="000E3901"/>
    <w:rsid w:val="001133A8"/>
    <w:rsid w:val="00113A0E"/>
    <w:rsid w:val="00131ABB"/>
    <w:rsid w:val="001347F9"/>
    <w:rsid w:val="00134EB0"/>
    <w:rsid w:val="001532CA"/>
    <w:rsid w:val="0018185F"/>
    <w:rsid w:val="001878A3"/>
    <w:rsid w:val="001A6034"/>
    <w:rsid w:val="001B2F8B"/>
    <w:rsid w:val="001C02D8"/>
    <w:rsid w:val="00211C48"/>
    <w:rsid w:val="00213A55"/>
    <w:rsid w:val="00224C9E"/>
    <w:rsid w:val="00252121"/>
    <w:rsid w:val="00265C60"/>
    <w:rsid w:val="00272B4A"/>
    <w:rsid w:val="00281549"/>
    <w:rsid w:val="002E53CF"/>
    <w:rsid w:val="0030246B"/>
    <w:rsid w:val="003127F2"/>
    <w:rsid w:val="00314016"/>
    <w:rsid w:val="00337E8E"/>
    <w:rsid w:val="0037040E"/>
    <w:rsid w:val="003817AA"/>
    <w:rsid w:val="0039209E"/>
    <w:rsid w:val="003C036C"/>
    <w:rsid w:val="003C123F"/>
    <w:rsid w:val="003D5415"/>
    <w:rsid w:val="003E07D6"/>
    <w:rsid w:val="003E4723"/>
    <w:rsid w:val="004002E0"/>
    <w:rsid w:val="00437811"/>
    <w:rsid w:val="004403F8"/>
    <w:rsid w:val="00466286"/>
    <w:rsid w:val="0049577C"/>
    <w:rsid w:val="00496DE3"/>
    <w:rsid w:val="004B6D20"/>
    <w:rsid w:val="0050095F"/>
    <w:rsid w:val="00500AEF"/>
    <w:rsid w:val="00506907"/>
    <w:rsid w:val="00527EDD"/>
    <w:rsid w:val="005A0630"/>
    <w:rsid w:val="005B781E"/>
    <w:rsid w:val="005C6D4E"/>
    <w:rsid w:val="005D3E40"/>
    <w:rsid w:val="0061049C"/>
    <w:rsid w:val="006108B0"/>
    <w:rsid w:val="006215D2"/>
    <w:rsid w:val="00625715"/>
    <w:rsid w:val="006543A4"/>
    <w:rsid w:val="00662391"/>
    <w:rsid w:val="00675B82"/>
    <w:rsid w:val="006768F1"/>
    <w:rsid w:val="006A4107"/>
    <w:rsid w:val="006D2405"/>
    <w:rsid w:val="006D4598"/>
    <w:rsid w:val="00705C34"/>
    <w:rsid w:val="00710D13"/>
    <w:rsid w:val="007116D6"/>
    <w:rsid w:val="00734A04"/>
    <w:rsid w:val="007429DD"/>
    <w:rsid w:val="00744D0D"/>
    <w:rsid w:val="00754015"/>
    <w:rsid w:val="0075712D"/>
    <w:rsid w:val="0078160C"/>
    <w:rsid w:val="007C3E41"/>
    <w:rsid w:val="007F315A"/>
    <w:rsid w:val="007F3BF2"/>
    <w:rsid w:val="00805FF3"/>
    <w:rsid w:val="008067E7"/>
    <w:rsid w:val="008068C0"/>
    <w:rsid w:val="0081696C"/>
    <w:rsid w:val="008328F4"/>
    <w:rsid w:val="00855144"/>
    <w:rsid w:val="00882CCA"/>
    <w:rsid w:val="008967DA"/>
    <w:rsid w:val="008A2078"/>
    <w:rsid w:val="008A2368"/>
    <w:rsid w:val="008C393C"/>
    <w:rsid w:val="008D446B"/>
    <w:rsid w:val="008D5498"/>
    <w:rsid w:val="008D6619"/>
    <w:rsid w:val="008E431D"/>
    <w:rsid w:val="008F3864"/>
    <w:rsid w:val="008F56FF"/>
    <w:rsid w:val="00945B48"/>
    <w:rsid w:val="009C2BB3"/>
    <w:rsid w:val="009C2C55"/>
    <w:rsid w:val="009C44A5"/>
    <w:rsid w:val="009E2966"/>
    <w:rsid w:val="009E2CDD"/>
    <w:rsid w:val="00A052B0"/>
    <w:rsid w:val="00A25C53"/>
    <w:rsid w:val="00A447AC"/>
    <w:rsid w:val="00A856D3"/>
    <w:rsid w:val="00A86EAA"/>
    <w:rsid w:val="00AA7B63"/>
    <w:rsid w:val="00AB77C5"/>
    <w:rsid w:val="00AD629D"/>
    <w:rsid w:val="00AE319C"/>
    <w:rsid w:val="00AF36A7"/>
    <w:rsid w:val="00AF375E"/>
    <w:rsid w:val="00B23139"/>
    <w:rsid w:val="00B33D8C"/>
    <w:rsid w:val="00B37E4B"/>
    <w:rsid w:val="00B41766"/>
    <w:rsid w:val="00B62945"/>
    <w:rsid w:val="00B86CAD"/>
    <w:rsid w:val="00B86E4D"/>
    <w:rsid w:val="00B94B90"/>
    <w:rsid w:val="00BB44A0"/>
    <w:rsid w:val="00BC5758"/>
    <w:rsid w:val="00BC717C"/>
    <w:rsid w:val="00BE3C25"/>
    <w:rsid w:val="00BE5F6B"/>
    <w:rsid w:val="00BE6EA1"/>
    <w:rsid w:val="00C02C82"/>
    <w:rsid w:val="00C32F2F"/>
    <w:rsid w:val="00C37194"/>
    <w:rsid w:val="00C91BA3"/>
    <w:rsid w:val="00D05EFD"/>
    <w:rsid w:val="00D109EA"/>
    <w:rsid w:val="00D166FE"/>
    <w:rsid w:val="00D4642A"/>
    <w:rsid w:val="00D5005C"/>
    <w:rsid w:val="00D57664"/>
    <w:rsid w:val="00D57D6A"/>
    <w:rsid w:val="00DA6D1D"/>
    <w:rsid w:val="00DB4BE9"/>
    <w:rsid w:val="00DB5ECC"/>
    <w:rsid w:val="00DC0B52"/>
    <w:rsid w:val="00DD05C5"/>
    <w:rsid w:val="00DE3588"/>
    <w:rsid w:val="00DF60F4"/>
    <w:rsid w:val="00E14032"/>
    <w:rsid w:val="00E209AB"/>
    <w:rsid w:val="00E24894"/>
    <w:rsid w:val="00E40340"/>
    <w:rsid w:val="00E558A7"/>
    <w:rsid w:val="00E82371"/>
    <w:rsid w:val="00EC7984"/>
    <w:rsid w:val="00ED48B2"/>
    <w:rsid w:val="00EF51EE"/>
    <w:rsid w:val="00F40A8E"/>
    <w:rsid w:val="00F7044F"/>
    <w:rsid w:val="00F779A8"/>
    <w:rsid w:val="00F87C66"/>
    <w:rsid w:val="00FC3CEE"/>
    <w:rsid w:val="00FC4291"/>
    <w:rsid w:val="00FE0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qFormat/>
    <w:rsid w:val="00C37194"/>
    <w:pPr>
      <w:keepNext/>
      <w:tabs>
        <w:tab w:val="left" w:pos="0"/>
      </w:tabs>
      <w:suppressAutoHyphens/>
      <w:overflowPunct w:val="0"/>
      <w:autoSpaceDE w:val="0"/>
      <w:autoSpaceDN w:val="0"/>
      <w:adjustRightInd w:val="0"/>
      <w:jc w:val="both"/>
      <w:textAlignment w:val="baseline"/>
      <w:outlineLvl w:val="0"/>
    </w:pPr>
    <w:rPr>
      <w:rFonts w:eastAsia="Times New Roman"/>
      <w:b/>
      <w:bCs/>
      <w:spacing w:val="-3"/>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39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NormalWeb">
    <w:name w:val="Normal (Web)"/>
    <w:basedOn w:val="Normal"/>
    <w:uiPriority w:val="99"/>
    <w:rsid w:val="0039209E"/>
    <w:pPr>
      <w:spacing w:before="100" w:beforeAutospacing="1" w:after="100" w:afterAutospacing="1"/>
    </w:pPr>
    <w:rPr>
      <w:lang w:val="en-US"/>
    </w:rPr>
  </w:style>
  <w:style w:type="character" w:customStyle="1" w:styleId="HTMLPreformattedChar">
    <w:name w:val="HTML Preformatted Char"/>
    <w:link w:val="HTMLPreformatted"/>
    <w:uiPriority w:val="99"/>
    <w:rsid w:val="000C3E39"/>
    <w:rPr>
      <w:rFonts w:ascii="Courier New" w:hAnsi="Courier New" w:cs="Courier New"/>
      <w:lang w:val="en-US" w:eastAsia="ja-JP"/>
    </w:rPr>
  </w:style>
  <w:style w:type="character" w:customStyle="1" w:styleId="Heading1Char">
    <w:name w:val="Heading 1 Char"/>
    <w:link w:val="Heading1"/>
    <w:rsid w:val="00C37194"/>
    <w:rPr>
      <w:rFonts w:eastAsia="Times New Roman"/>
      <w:b/>
      <w:bCs/>
      <w:spacing w:val="-3"/>
      <w:sz w:val="24"/>
      <w:lang w:eastAsia="en-US"/>
    </w:rPr>
  </w:style>
  <w:style w:type="paragraph" w:styleId="Header">
    <w:name w:val="header"/>
    <w:basedOn w:val="Normal"/>
    <w:link w:val="HeaderChar"/>
    <w:rsid w:val="0050095F"/>
    <w:pPr>
      <w:tabs>
        <w:tab w:val="center" w:pos="4513"/>
        <w:tab w:val="right" w:pos="9026"/>
      </w:tabs>
    </w:pPr>
  </w:style>
  <w:style w:type="character" w:customStyle="1" w:styleId="HeaderChar">
    <w:name w:val="Header Char"/>
    <w:link w:val="Header"/>
    <w:rsid w:val="0050095F"/>
    <w:rPr>
      <w:sz w:val="24"/>
      <w:szCs w:val="24"/>
      <w:lang w:eastAsia="ja-JP"/>
    </w:rPr>
  </w:style>
  <w:style w:type="paragraph" w:styleId="Footer">
    <w:name w:val="footer"/>
    <w:basedOn w:val="Normal"/>
    <w:link w:val="FooterChar"/>
    <w:uiPriority w:val="99"/>
    <w:rsid w:val="0050095F"/>
    <w:pPr>
      <w:tabs>
        <w:tab w:val="center" w:pos="4513"/>
        <w:tab w:val="right" w:pos="9026"/>
      </w:tabs>
    </w:pPr>
  </w:style>
  <w:style w:type="character" w:customStyle="1" w:styleId="FooterChar">
    <w:name w:val="Footer Char"/>
    <w:link w:val="Footer"/>
    <w:uiPriority w:val="99"/>
    <w:rsid w:val="0050095F"/>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8426">
      <w:bodyDiv w:val="1"/>
      <w:marLeft w:val="0"/>
      <w:marRight w:val="0"/>
      <w:marTop w:val="0"/>
      <w:marBottom w:val="0"/>
      <w:divBdr>
        <w:top w:val="none" w:sz="0" w:space="0" w:color="auto"/>
        <w:left w:val="none" w:sz="0" w:space="0" w:color="auto"/>
        <w:bottom w:val="none" w:sz="0" w:space="0" w:color="auto"/>
        <w:right w:val="none" w:sz="0" w:space="0" w:color="auto"/>
      </w:divBdr>
    </w:div>
    <w:div w:id="120851640">
      <w:bodyDiv w:val="1"/>
      <w:marLeft w:val="0"/>
      <w:marRight w:val="0"/>
      <w:marTop w:val="0"/>
      <w:marBottom w:val="0"/>
      <w:divBdr>
        <w:top w:val="none" w:sz="0" w:space="0" w:color="auto"/>
        <w:left w:val="none" w:sz="0" w:space="0" w:color="auto"/>
        <w:bottom w:val="none" w:sz="0" w:space="0" w:color="auto"/>
        <w:right w:val="none" w:sz="0" w:space="0" w:color="auto"/>
      </w:divBdr>
    </w:div>
    <w:div w:id="128598640">
      <w:bodyDiv w:val="1"/>
      <w:marLeft w:val="0"/>
      <w:marRight w:val="0"/>
      <w:marTop w:val="0"/>
      <w:marBottom w:val="0"/>
      <w:divBdr>
        <w:top w:val="none" w:sz="0" w:space="0" w:color="auto"/>
        <w:left w:val="none" w:sz="0" w:space="0" w:color="auto"/>
        <w:bottom w:val="none" w:sz="0" w:space="0" w:color="auto"/>
        <w:right w:val="none" w:sz="0" w:space="0" w:color="auto"/>
      </w:divBdr>
    </w:div>
    <w:div w:id="254288618">
      <w:bodyDiv w:val="1"/>
      <w:marLeft w:val="0"/>
      <w:marRight w:val="0"/>
      <w:marTop w:val="0"/>
      <w:marBottom w:val="0"/>
      <w:divBdr>
        <w:top w:val="none" w:sz="0" w:space="0" w:color="auto"/>
        <w:left w:val="none" w:sz="0" w:space="0" w:color="auto"/>
        <w:bottom w:val="none" w:sz="0" w:space="0" w:color="auto"/>
        <w:right w:val="none" w:sz="0" w:space="0" w:color="auto"/>
      </w:divBdr>
    </w:div>
    <w:div w:id="297952722">
      <w:bodyDiv w:val="1"/>
      <w:marLeft w:val="0"/>
      <w:marRight w:val="0"/>
      <w:marTop w:val="0"/>
      <w:marBottom w:val="0"/>
      <w:divBdr>
        <w:top w:val="none" w:sz="0" w:space="0" w:color="auto"/>
        <w:left w:val="none" w:sz="0" w:space="0" w:color="auto"/>
        <w:bottom w:val="none" w:sz="0" w:space="0" w:color="auto"/>
        <w:right w:val="none" w:sz="0" w:space="0" w:color="auto"/>
      </w:divBdr>
    </w:div>
    <w:div w:id="331298378">
      <w:bodyDiv w:val="1"/>
      <w:marLeft w:val="0"/>
      <w:marRight w:val="0"/>
      <w:marTop w:val="0"/>
      <w:marBottom w:val="0"/>
      <w:divBdr>
        <w:top w:val="none" w:sz="0" w:space="0" w:color="auto"/>
        <w:left w:val="none" w:sz="0" w:space="0" w:color="auto"/>
        <w:bottom w:val="none" w:sz="0" w:space="0" w:color="auto"/>
        <w:right w:val="none" w:sz="0" w:space="0" w:color="auto"/>
      </w:divBdr>
    </w:div>
    <w:div w:id="385955915">
      <w:bodyDiv w:val="1"/>
      <w:marLeft w:val="0"/>
      <w:marRight w:val="0"/>
      <w:marTop w:val="0"/>
      <w:marBottom w:val="0"/>
      <w:divBdr>
        <w:top w:val="none" w:sz="0" w:space="0" w:color="auto"/>
        <w:left w:val="none" w:sz="0" w:space="0" w:color="auto"/>
        <w:bottom w:val="none" w:sz="0" w:space="0" w:color="auto"/>
        <w:right w:val="none" w:sz="0" w:space="0" w:color="auto"/>
      </w:divBdr>
      <w:divsChild>
        <w:div w:id="451216832">
          <w:marLeft w:val="0"/>
          <w:marRight w:val="0"/>
          <w:marTop w:val="0"/>
          <w:marBottom w:val="0"/>
          <w:divBdr>
            <w:top w:val="none" w:sz="0" w:space="0" w:color="auto"/>
            <w:left w:val="none" w:sz="0" w:space="0" w:color="auto"/>
            <w:bottom w:val="none" w:sz="0" w:space="0" w:color="auto"/>
            <w:right w:val="none" w:sz="0" w:space="0" w:color="auto"/>
          </w:divBdr>
          <w:divsChild>
            <w:div w:id="7051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5576">
      <w:bodyDiv w:val="1"/>
      <w:marLeft w:val="0"/>
      <w:marRight w:val="0"/>
      <w:marTop w:val="0"/>
      <w:marBottom w:val="0"/>
      <w:divBdr>
        <w:top w:val="none" w:sz="0" w:space="0" w:color="auto"/>
        <w:left w:val="none" w:sz="0" w:space="0" w:color="auto"/>
        <w:bottom w:val="none" w:sz="0" w:space="0" w:color="auto"/>
        <w:right w:val="none" w:sz="0" w:space="0" w:color="auto"/>
      </w:divBdr>
    </w:div>
    <w:div w:id="625889597">
      <w:bodyDiv w:val="1"/>
      <w:marLeft w:val="0"/>
      <w:marRight w:val="0"/>
      <w:marTop w:val="0"/>
      <w:marBottom w:val="0"/>
      <w:divBdr>
        <w:top w:val="none" w:sz="0" w:space="0" w:color="auto"/>
        <w:left w:val="none" w:sz="0" w:space="0" w:color="auto"/>
        <w:bottom w:val="none" w:sz="0" w:space="0" w:color="auto"/>
        <w:right w:val="none" w:sz="0" w:space="0" w:color="auto"/>
      </w:divBdr>
    </w:div>
    <w:div w:id="698549914">
      <w:bodyDiv w:val="1"/>
      <w:marLeft w:val="0"/>
      <w:marRight w:val="0"/>
      <w:marTop w:val="0"/>
      <w:marBottom w:val="0"/>
      <w:divBdr>
        <w:top w:val="none" w:sz="0" w:space="0" w:color="auto"/>
        <w:left w:val="none" w:sz="0" w:space="0" w:color="auto"/>
        <w:bottom w:val="none" w:sz="0" w:space="0" w:color="auto"/>
        <w:right w:val="none" w:sz="0" w:space="0" w:color="auto"/>
      </w:divBdr>
    </w:div>
    <w:div w:id="928347821">
      <w:bodyDiv w:val="1"/>
      <w:marLeft w:val="0"/>
      <w:marRight w:val="0"/>
      <w:marTop w:val="0"/>
      <w:marBottom w:val="0"/>
      <w:divBdr>
        <w:top w:val="none" w:sz="0" w:space="0" w:color="auto"/>
        <w:left w:val="none" w:sz="0" w:space="0" w:color="auto"/>
        <w:bottom w:val="none" w:sz="0" w:space="0" w:color="auto"/>
        <w:right w:val="none" w:sz="0" w:space="0" w:color="auto"/>
      </w:divBdr>
    </w:div>
    <w:div w:id="934827374">
      <w:bodyDiv w:val="1"/>
      <w:marLeft w:val="0"/>
      <w:marRight w:val="0"/>
      <w:marTop w:val="0"/>
      <w:marBottom w:val="0"/>
      <w:divBdr>
        <w:top w:val="none" w:sz="0" w:space="0" w:color="auto"/>
        <w:left w:val="none" w:sz="0" w:space="0" w:color="auto"/>
        <w:bottom w:val="none" w:sz="0" w:space="0" w:color="auto"/>
        <w:right w:val="none" w:sz="0" w:space="0" w:color="auto"/>
      </w:divBdr>
    </w:div>
    <w:div w:id="941842124">
      <w:bodyDiv w:val="1"/>
      <w:marLeft w:val="0"/>
      <w:marRight w:val="0"/>
      <w:marTop w:val="0"/>
      <w:marBottom w:val="0"/>
      <w:divBdr>
        <w:top w:val="none" w:sz="0" w:space="0" w:color="auto"/>
        <w:left w:val="none" w:sz="0" w:space="0" w:color="auto"/>
        <w:bottom w:val="none" w:sz="0" w:space="0" w:color="auto"/>
        <w:right w:val="none" w:sz="0" w:space="0" w:color="auto"/>
      </w:divBdr>
    </w:div>
    <w:div w:id="984041559">
      <w:bodyDiv w:val="1"/>
      <w:marLeft w:val="0"/>
      <w:marRight w:val="0"/>
      <w:marTop w:val="0"/>
      <w:marBottom w:val="0"/>
      <w:divBdr>
        <w:top w:val="none" w:sz="0" w:space="0" w:color="auto"/>
        <w:left w:val="none" w:sz="0" w:space="0" w:color="auto"/>
        <w:bottom w:val="none" w:sz="0" w:space="0" w:color="auto"/>
        <w:right w:val="none" w:sz="0" w:space="0" w:color="auto"/>
      </w:divBdr>
    </w:div>
    <w:div w:id="1076509445">
      <w:bodyDiv w:val="1"/>
      <w:marLeft w:val="0"/>
      <w:marRight w:val="0"/>
      <w:marTop w:val="0"/>
      <w:marBottom w:val="0"/>
      <w:divBdr>
        <w:top w:val="none" w:sz="0" w:space="0" w:color="auto"/>
        <w:left w:val="none" w:sz="0" w:space="0" w:color="auto"/>
        <w:bottom w:val="none" w:sz="0" w:space="0" w:color="auto"/>
        <w:right w:val="none" w:sz="0" w:space="0" w:color="auto"/>
      </w:divBdr>
    </w:div>
    <w:div w:id="1175000158">
      <w:bodyDiv w:val="1"/>
      <w:marLeft w:val="0"/>
      <w:marRight w:val="0"/>
      <w:marTop w:val="0"/>
      <w:marBottom w:val="0"/>
      <w:divBdr>
        <w:top w:val="none" w:sz="0" w:space="0" w:color="auto"/>
        <w:left w:val="none" w:sz="0" w:space="0" w:color="auto"/>
        <w:bottom w:val="none" w:sz="0" w:space="0" w:color="auto"/>
        <w:right w:val="none" w:sz="0" w:space="0" w:color="auto"/>
      </w:divBdr>
    </w:div>
    <w:div w:id="1220433667">
      <w:bodyDiv w:val="1"/>
      <w:marLeft w:val="0"/>
      <w:marRight w:val="0"/>
      <w:marTop w:val="0"/>
      <w:marBottom w:val="0"/>
      <w:divBdr>
        <w:top w:val="none" w:sz="0" w:space="0" w:color="auto"/>
        <w:left w:val="none" w:sz="0" w:space="0" w:color="auto"/>
        <w:bottom w:val="none" w:sz="0" w:space="0" w:color="auto"/>
        <w:right w:val="none" w:sz="0" w:space="0" w:color="auto"/>
      </w:divBdr>
    </w:div>
    <w:div w:id="1276979250">
      <w:bodyDiv w:val="1"/>
      <w:marLeft w:val="0"/>
      <w:marRight w:val="0"/>
      <w:marTop w:val="0"/>
      <w:marBottom w:val="0"/>
      <w:divBdr>
        <w:top w:val="none" w:sz="0" w:space="0" w:color="auto"/>
        <w:left w:val="none" w:sz="0" w:space="0" w:color="auto"/>
        <w:bottom w:val="none" w:sz="0" w:space="0" w:color="auto"/>
        <w:right w:val="none" w:sz="0" w:space="0" w:color="auto"/>
      </w:divBdr>
    </w:div>
    <w:div w:id="1304389814">
      <w:bodyDiv w:val="1"/>
      <w:marLeft w:val="0"/>
      <w:marRight w:val="0"/>
      <w:marTop w:val="0"/>
      <w:marBottom w:val="0"/>
      <w:divBdr>
        <w:top w:val="none" w:sz="0" w:space="0" w:color="auto"/>
        <w:left w:val="none" w:sz="0" w:space="0" w:color="auto"/>
        <w:bottom w:val="none" w:sz="0" w:space="0" w:color="auto"/>
        <w:right w:val="none" w:sz="0" w:space="0" w:color="auto"/>
      </w:divBdr>
    </w:div>
    <w:div w:id="1323045808">
      <w:bodyDiv w:val="1"/>
      <w:marLeft w:val="0"/>
      <w:marRight w:val="0"/>
      <w:marTop w:val="0"/>
      <w:marBottom w:val="0"/>
      <w:divBdr>
        <w:top w:val="none" w:sz="0" w:space="0" w:color="auto"/>
        <w:left w:val="none" w:sz="0" w:space="0" w:color="auto"/>
        <w:bottom w:val="none" w:sz="0" w:space="0" w:color="auto"/>
        <w:right w:val="none" w:sz="0" w:space="0" w:color="auto"/>
      </w:divBdr>
    </w:div>
    <w:div w:id="1329288261">
      <w:bodyDiv w:val="1"/>
      <w:marLeft w:val="0"/>
      <w:marRight w:val="0"/>
      <w:marTop w:val="0"/>
      <w:marBottom w:val="0"/>
      <w:divBdr>
        <w:top w:val="none" w:sz="0" w:space="0" w:color="auto"/>
        <w:left w:val="none" w:sz="0" w:space="0" w:color="auto"/>
        <w:bottom w:val="none" w:sz="0" w:space="0" w:color="auto"/>
        <w:right w:val="none" w:sz="0" w:space="0" w:color="auto"/>
      </w:divBdr>
    </w:div>
    <w:div w:id="1386375075">
      <w:bodyDiv w:val="1"/>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9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0147">
      <w:bodyDiv w:val="1"/>
      <w:marLeft w:val="0"/>
      <w:marRight w:val="0"/>
      <w:marTop w:val="0"/>
      <w:marBottom w:val="0"/>
      <w:divBdr>
        <w:top w:val="none" w:sz="0" w:space="0" w:color="auto"/>
        <w:left w:val="none" w:sz="0" w:space="0" w:color="auto"/>
        <w:bottom w:val="none" w:sz="0" w:space="0" w:color="auto"/>
        <w:right w:val="none" w:sz="0" w:space="0" w:color="auto"/>
      </w:divBdr>
    </w:div>
    <w:div w:id="1449548840">
      <w:bodyDiv w:val="1"/>
      <w:marLeft w:val="0"/>
      <w:marRight w:val="0"/>
      <w:marTop w:val="0"/>
      <w:marBottom w:val="0"/>
      <w:divBdr>
        <w:top w:val="none" w:sz="0" w:space="0" w:color="auto"/>
        <w:left w:val="none" w:sz="0" w:space="0" w:color="auto"/>
        <w:bottom w:val="none" w:sz="0" w:space="0" w:color="auto"/>
        <w:right w:val="none" w:sz="0" w:space="0" w:color="auto"/>
      </w:divBdr>
    </w:div>
    <w:div w:id="1517770108">
      <w:bodyDiv w:val="1"/>
      <w:marLeft w:val="0"/>
      <w:marRight w:val="0"/>
      <w:marTop w:val="0"/>
      <w:marBottom w:val="0"/>
      <w:divBdr>
        <w:top w:val="none" w:sz="0" w:space="0" w:color="auto"/>
        <w:left w:val="none" w:sz="0" w:space="0" w:color="auto"/>
        <w:bottom w:val="none" w:sz="0" w:space="0" w:color="auto"/>
        <w:right w:val="none" w:sz="0" w:space="0" w:color="auto"/>
      </w:divBdr>
    </w:div>
    <w:div w:id="1522620744">
      <w:bodyDiv w:val="1"/>
      <w:marLeft w:val="0"/>
      <w:marRight w:val="0"/>
      <w:marTop w:val="0"/>
      <w:marBottom w:val="0"/>
      <w:divBdr>
        <w:top w:val="none" w:sz="0" w:space="0" w:color="auto"/>
        <w:left w:val="none" w:sz="0" w:space="0" w:color="auto"/>
        <w:bottom w:val="none" w:sz="0" w:space="0" w:color="auto"/>
        <w:right w:val="none" w:sz="0" w:space="0" w:color="auto"/>
      </w:divBdr>
    </w:div>
    <w:div w:id="1702587603">
      <w:bodyDiv w:val="1"/>
      <w:marLeft w:val="0"/>
      <w:marRight w:val="0"/>
      <w:marTop w:val="0"/>
      <w:marBottom w:val="0"/>
      <w:divBdr>
        <w:top w:val="none" w:sz="0" w:space="0" w:color="auto"/>
        <w:left w:val="none" w:sz="0" w:space="0" w:color="auto"/>
        <w:bottom w:val="none" w:sz="0" w:space="0" w:color="auto"/>
        <w:right w:val="none" w:sz="0" w:space="0" w:color="auto"/>
      </w:divBdr>
    </w:div>
    <w:div w:id="1813596223">
      <w:bodyDiv w:val="1"/>
      <w:marLeft w:val="0"/>
      <w:marRight w:val="0"/>
      <w:marTop w:val="0"/>
      <w:marBottom w:val="0"/>
      <w:divBdr>
        <w:top w:val="none" w:sz="0" w:space="0" w:color="auto"/>
        <w:left w:val="none" w:sz="0" w:space="0" w:color="auto"/>
        <w:bottom w:val="none" w:sz="0" w:space="0" w:color="auto"/>
        <w:right w:val="none" w:sz="0" w:space="0" w:color="auto"/>
      </w:divBdr>
    </w:div>
    <w:div w:id="1840073026">
      <w:bodyDiv w:val="1"/>
      <w:marLeft w:val="0"/>
      <w:marRight w:val="0"/>
      <w:marTop w:val="0"/>
      <w:marBottom w:val="0"/>
      <w:divBdr>
        <w:top w:val="none" w:sz="0" w:space="0" w:color="auto"/>
        <w:left w:val="none" w:sz="0" w:space="0" w:color="auto"/>
        <w:bottom w:val="none" w:sz="0" w:space="0" w:color="auto"/>
        <w:right w:val="none" w:sz="0" w:space="0" w:color="auto"/>
      </w:divBdr>
      <w:divsChild>
        <w:div w:id="1242763029">
          <w:marLeft w:val="0"/>
          <w:marRight w:val="0"/>
          <w:marTop w:val="0"/>
          <w:marBottom w:val="0"/>
          <w:divBdr>
            <w:top w:val="none" w:sz="0" w:space="0" w:color="auto"/>
            <w:left w:val="none" w:sz="0" w:space="0" w:color="auto"/>
            <w:bottom w:val="none" w:sz="0" w:space="0" w:color="auto"/>
            <w:right w:val="none" w:sz="0" w:space="0" w:color="auto"/>
          </w:divBdr>
        </w:div>
        <w:div w:id="480737182">
          <w:marLeft w:val="0"/>
          <w:marRight w:val="0"/>
          <w:marTop w:val="0"/>
          <w:marBottom w:val="0"/>
          <w:divBdr>
            <w:top w:val="none" w:sz="0" w:space="0" w:color="auto"/>
            <w:left w:val="none" w:sz="0" w:space="0" w:color="auto"/>
            <w:bottom w:val="none" w:sz="0" w:space="0" w:color="auto"/>
            <w:right w:val="none" w:sz="0" w:space="0" w:color="auto"/>
          </w:divBdr>
        </w:div>
        <w:div w:id="521289565">
          <w:marLeft w:val="0"/>
          <w:marRight w:val="0"/>
          <w:marTop w:val="0"/>
          <w:marBottom w:val="0"/>
          <w:divBdr>
            <w:top w:val="none" w:sz="0" w:space="0" w:color="auto"/>
            <w:left w:val="none" w:sz="0" w:space="0" w:color="auto"/>
            <w:bottom w:val="none" w:sz="0" w:space="0" w:color="auto"/>
            <w:right w:val="none" w:sz="0" w:space="0" w:color="auto"/>
          </w:divBdr>
        </w:div>
      </w:divsChild>
    </w:div>
    <w:div w:id="1860510325">
      <w:bodyDiv w:val="1"/>
      <w:marLeft w:val="0"/>
      <w:marRight w:val="0"/>
      <w:marTop w:val="0"/>
      <w:marBottom w:val="0"/>
      <w:divBdr>
        <w:top w:val="none" w:sz="0" w:space="0" w:color="auto"/>
        <w:left w:val="none" w:sz="0" w:space="0" w:color="auto"/>
        <w:bottom w:val="none" w:sz="0" w:space="0" w:color="auto"/>
        <w:right w:val="none" w:sz="0" w:space="0" w:color="auto"/>
      </w:divBdr>
    </w:div>
    <w:div w:id="1884058152">
      <w:bodyDiv w:val="1"/>
      <w:marLeft w:val="0"/>
      <w:marRight w:val="0"/>
      <w:marTop w:val="0"/>
      <w:marBottom w:val="0"/>
      <w:divBdr>
        <w:top w:val="none" w:sz="0" w:space="0" w:color="auto"/>
        <w:left w:val="none" w:sz="0" w:space="0" w:color="auto"/>
        <w:bottom w:val="none" w:sz="0" w:space="0" w:color="auto"/>
        <w:right w:val="none" w:sz="0" w:space="0" w:color="auto"/>
      </w:divBdr>
    </w:div>
    <w:div w:id="197089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F2955954.dotm</Template>
  <TotalTime>0</TotalTime>
  <Pages>14</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&gt;AtTPC1</vt:lpstr>
    </vt:vector>
  </TitlesOfParts>
  <Company>University of York</Company>
  <LinksUpToDate>false</LinksUpToDate>
  <CharactersWithSpaces>25398</CharactersWithSpaces>
  <SharedDoc>false</SharedDoc>
  <HLinks>
    <vt:vector size="6" baseType="variant">
      <vt:variant>
        <vt:i4>327705</vt:i4>
      </vt:variant>
      <vt:variant>
        <vt:i4>0</vt:i4>
      </vt:variant>
      <vt:variant>
        <vt:i4>0</vt:i4>
      </vt:variant>
      <vt:variant>
        <vt:i4>5</vt:i4>
      </vt:variant>
      <vt:variant>
        <vt:lpwstr>http://www.ncbi.nlm.nih.gov/About/disclaimer.html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&gt;AtTPC1</dc:title>
  <dc:creator>fjm3</dc:creator>
  <cp:lastModifiedBy>Frans Maathuis</cp:lastModifiedBy>
  <cp:revision>2</cp:revision>
  <dcterms:created xsi:type="dcterms:W3CDTF">2015-10-30T15:30:00Z</dcterms:created>
  <dcterms:modified xsi:type="dcterms:W3CDTF">2015-10-30T15:30:00Z</dcterms:modified>
</cp:coreProperties>
</file>