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14" w:rsidRDefault="00D73714" w:rsidP="00D73714">
      <w:pPr>
        <w:pStyle w:val="Head"/>
      </w:pPr>
      <w:r>
        <w:t xml:space="preserve">Title:  </w:t>
      </w:r>
      <w:proofErr w:type="spellStart"/>
      <w:r w:rsidR="00DF137F">
        <w:t>Monodehydroascorbate</w:t>
      </w:r>
      <w:proofErr w:type="spellEnd"/>
      <w:r w:rsidR="00DF137F">
        <w:t xml:space="preserve"> reductase mediates TNT toxicity in </w:t>
      </w:r>
      <w:r w:rsidR="0071027E">
        <w:t>p</w:t>
      </w:r>
      <w:r w:rsidR="00DF137F">
        <w:t>lants</w:t>
      </w:r>
      <w:r>
        <w:t xml:space="preserve"> </w:t>
      </w:r>
    </w:p>
    <w:p w:rsidR="00DF137F" w:rsidRPr="00DF137F" w:rsidRDefault="00D73714" w:rsidP="00DF137F">
      <w:pPr>
        <w:jc w:val="center"/>
        <w:rPr>
          <w:sz w:val="24"/>
          <w:szCs w:val="24"/>
          <w:vertAlign w:val="superscript"/>
        </w:rPr>
      </w:pPr>
      <w:r w:rsidRPr="00DF137F">
        <w:rPr>
          <w:b/>
          <w:sz w:val="24"/>
          <w:szCs w:val="24"/>
        </w:rPr>
        <w:t>Authors:</w:t>
      </w:r>
      <w:r w:rsidR="00DF137F" w:rsidRPr="00DF137F">
        <w:rPr>
          <w:sz w:val="24"/>
          <w:szCs w:val="24"/>
        </w:rPr>
        <w:t xml:space="preserve"> Emily J. Johnston</w:t>
      </w:r>
      <w:r w:rsidR="00DF137F" w:rsidRPr="00DF137F">
        <w:rPr>
          <w:sz w:val="24"/>
          <w:szCs w:val="24"/>
          <w:vertAlign w:val="superscript"/>
        </w:rPr>
        <w:t>1</w:t>
      </w:r>
      <w:r w:rsidR="00CE38C3" w:rsidRPr="00CE38C3">
        <w:rPr>
          <w:vertAlign w:val="superscript"/>
        </w:rPr>
        <w:t>†</w:t>
      </w:r>
      <w:r w:rsidR="00DF137F" w:rsidRPr="00DF137F">
        <w:rPr>
          <w:sz w:val="24"/>
          <w:szCs w:val="24"/>
        </w:rPr>
        <w:t>, Elizabeth L. Rylott</w:t>
      </w:r>
      <w:r w:rsidR="00DF137F" w:rsidRPr="00DF137F">
        <w:rPr>
          <w:sz w:val="24"/>
          <w:szCs w:val="24"/>
          <w:vertAlign w:val="superscript"/>
        </w:rPr>
        <w:t>1</w:t>
      </w:r>
      <w:r w:rsidR="00CE38C3" w:rsidRPr="00CE38C3">
        <w:rPr>
          <w:vertAlign w:val="superscript"/>
        </w:rPr>
        <w:t>†</w:t>
      </w:r>
      <w:r w:rsidR="00DF137F" w:rsidRPr="00DF137F">
        <w:rPr>
          <w:sz w:val="24"/>
          <w:szCs w:val="24"/>
          <w:vertAlign w:val="superscript"/>
        </w:rPr>
        <w:t>*</w:t>
      </w:r>
      <w:r w:rsidR="00DF137F" w:rsidRPr="00DF137F">
        <w:rPr>
          <w:sz w:val="24"/>
          <w:szCs w:val="24"/>
        </w:rPr>
        <w:t>, Emily Beynon</w:t>
      </w:r>
      <w:r w:rsidR="00DF137F" w:rsidRPr="00DF137F">
        <w:rPr>
          <w:sz w:val="24"/>
          <w:szCs w:val="24"/>
          <w:vertAlign w:val="superscript"/>
        </w:rPr>
        <w:t>1</w:t>
      </w:r>
      <w:r w:rsidR="00DF137F" w:rsidRPr="00DF137F">
        <w:rPr>
          <w:sz w:val="24"/>
          <w:szCs w:val="24"/>
        </w:rPr>
        <w:t>, Astrid Lorenz</w:t>
      </w:r>
      <w:r w:rsidR="00DF137F" w:rsidRPr="00DF137F">
        <w:rPr>
          <w:sz w:val="24"/>
          <w:szCs w:val="24"/>
          <w:vertAlign w:val="superscript"/>
        </w:rPr>
        <w:t>1</w:t>
      </w:r>
      <w:r w:rsidR="00DF137F" w:rsidRPr="00DF137F">
        <w:rPr>
          <w:sz w:val="24"/>
          <w:szCs w:val="24"/>
        </w:rPr>
        <w:t>, Victor Chechik</w:t>
      </w:r>
      <w:r w:rsidR="00DF137F" w:rsidRPr="00DF137F">
        <w:rPr>
          <w:sz w:val="24"/>
          <w:szCs w:val="24"/>
          <w:vertAlign w:val="superscript"/>
        </w:rPr>
        <w:t>2</w:t>
      </w:r>
      <w:r w:rsidR="00DF137F" w:rsidRPr="00DF137F">
        <w:rPr>
          <w:sz w:val="24"/>
          <w:szCs w:val="24"/>
        </w:rPr>
        <w:t>, Neil C. Bruce</w:t>
      </w:r>
      <w:r w:rsidR="00DF137F" w:rsidRPr="00DF137F">
        <w:rPr>
          <w:sz w:val="24"/>
          <w:szCs w:val="24"/>
          <w:vertAlign w:val="superscript"/>
        </w:rPr>
        <w:t xml:space="preserve">1 </w:t>
      </w:r>
      <w:r w:rsidR="00CE38C3">
        <w:rPr>
          <w:sz w:val="24"/>
          <w:szCs w:val="24"/>
          <w:vertAlign w:val="superscript"/>
        </w:rPr>
        <w:t>*</w:t>
      </w:r>
    </w:p>
    <w:p w:rsidR="00DF137F" w:rsidRPr="008E391A" w:rsidRDefault="00DF137F" w:rsidP="00DF137F">
      <w:pPr>
        <w:pStyle w:val="Paragraph"/>
        <w:ind w:firstLine="0"/>
        <w:rPr>
          <w:b/>
        </w:rPr>
      </w:pPr>
      <w:r w:rsidRPr="008E391A">
        <w:rPr>
          <w:b/>
        </w:rPr>
        <w:t>Affiliations:</w:t>
      </w:r>
    </w:p>
    <w:p w:rsidR="00DF137F" w:rsidRDefault="00DF137F" w:rsidP="00CE38C3">
      <w:pPr>
        <w:pStyle w:val="Authors"/>
        <w:spacing w:after="0"/>
        <w:jc w:val="left"/>
      </w:pPr>
      <w:proofErr w:type="gramStart"/>
      <w:r w:rsidRPr="00DF137F">
        <w:rPr>
          <w:vertAlign w:val="superscript"/>
        </w:rPr>
        <w:t>1</w:t>
      </w:r>
      <w:r>
        <w:t>Centre for Novel Agricultural Products, Department of Biology, University of York, York YO10 5DD, UK.</w:t>
      </w:r>
      <w:proofErr w:type="gramEnd"/>
    </w:p>
    <w:p w:rsidR="00DF137F" w:rsidRDefault="00DF137F" w:rsidP="00CE38C3">
      <w:pPr>
        <w:pStyle w:val="Authors"/>
        <w:spacing w:after="0"/>
        <w:jc w:val="left"/>
      </w:pPr>
      <w:proofErr w:type="gramStart"/>
      <w:r w:rsidRPr="00DF137F">
        <w:rPr>
          <w:vertAlign w:val="superscript"/>
        </w:rPr>
        <w:t>2</w:t>
      </w:r>
      <w:r>
        <w:t>Department of Chemistry, University of York, York YO10 5DD, UK.</w:t>
      </w:r>
      <w:proofErr w:type="gramEnd"/>
    </w:p>
    <w:p w:rsidR="00CE38C3" w:rsidRDefault="00CE38C3" w:rsidP="00CE38C3">
      <w:pPr>
        <w:pStyle w:val="Authors"/>
        <w:spacing w:after="0"/>
        <w:jc w:val="left"/>
        <w:rPr>
          <w:vertAlign w:val="superscript"/>
        </w:rPr>
      </w:pPr>
      <w:r>
        <w:t>†Contributed equally to the work.</w:t>
      </w:r>
    </w:p>
    <w:p w:rsidR="00DF137F" w:rsidRPr="00DF137F" w:rsidRDefault="00DF137F" w:rsidP="00CE38C3">
      <w:pPr>
        <w:pStyle w:val="Authors"/>
        <w:spacing w:after="0"/>
        <w:jc w:val="left"/>
      </w:pPr>
      <w:r w:rsidRPr="00DF137F">
        <w:rPr>
          <w:vertAlign w:val="superscript"/>
        </w:rPr>
        <w:t>*</w:t>
      </w:r>
      <w:r w:rsidR="00CE38C3">
        <w:t>To whom correspondence should be addressed. Email:</w:t>
      </w:r>
      <w:r w:rsidR="00CE38C3" w:rsidRPr="00CE38C3">
        <w:t xml:space="preserve"> </w:t>
      </w:r>
      <w:r w:rsidR="009C4A4F">
        <w:t xml:space="preserve">liz.rylott@york.ac.uk, </w:t>
      </w:r>
      <w:hyperlink r:id="rId9" w:history="1">
        <w:r w:rsidR="009C4A4F" w:rsidRPr="00CE38C3">
          <w:rPr>
            <w:rStyle w:val="Hyperlink"/>
            <w:color w:val="auto"/>
            <w:u w:val="none"/>
          </w:rPr>
          <w:t>neil.bruce@york.ac.uk</w:t>
        </w:r>
      </w:hyperlink>
      <w:r w:rsidR="009C4A4F">
        <w:t>.</w:t>
      </w:r>
    </w:p>
    <w:p w:rsidR="002A5E25" w:rsidRDefault="002A5E25" w:rsidP="00D73714">
      <w:pPr>
        <w:pStyle w:val="AbstractSummary"/>
        <w:rPr>
          <w:b/>
        </w:rPr>
      </w:pPr>
    </w:p>
    <w:p w:rsidR="00D73714" w:rsidRDefault="00D73714" w:rsidP="00D73714">
      <w:pPr>
        <w:pStyle w:val="AbstractSummary"/>
      </w:pPr>
      <w:r w:rsidRPr="00987EE5">
        <w:rPr>
          <w:b/>
        </w:rPr>
        <w:t>Abstract</w:t>
      </w:r>
      <w:r>
        <w:t xml:space="preserve">: </w:t>
      </w:r>
    </w:p>
    <w:p w:rsidR="00AE20A2" w:rsidRPr="00AE20A2" w:rsidRDefault="00AE20A2" w:rsidP="00017466">
      <w:pPr>
        <w:spacing w:before="120"/>
        <w:rPr>
          <w:sz w:val="24"/>
          <w:szCs w:val="24"/>
        </w:rPr>
      </w:pPr>
      <w:r w:rsidRPr="00AE20A2">
        <w:rPr>
          <w:sz w:val="24"/>
          <w:szCs w:val="24"/>
        </w:rPr>
        <w:t>The explosive 2</w:t>
      </w:r>
      <w:proofErr w:type="gramStart"/>
      <w:r w:rsidRPr="00AE20A2">
        <w:rPr>
          <w:sz w:val="24"/>
          <w:szCs w:val="24"/>
        </w:rPr>
        <w:t>,4,6</w:t>
      </w:r>
      <w:proofErr w:type="gramEnd"/>
      <w:r w:rsidRPr="00AE20A2">
        <w:rPr>
          <w:sz w:val="24"/>
          <w:szCs w:val="24"/>
        </w:rPr>
        <w:t>-trinitrotoluene (TNT) is a highly toxic and persistent environmental pollutant.</w:t>
      </w:r>
      <w:r>
        <w:rPr>
          <w:sz w:val="24"/>
          <w:szCs w:val="24"/>
        </w:rPr>
        <w:t xml:space="preserve"> </w:t>
      </w:r>
      <w:r w:rsidRPr="00AE20A2">
        <w:rPr>
          <w:sz w:val="24"/>
          <w:szCs w:val="24"/>
        </w:rPr>
        <w:t xml:space="preserve">Due to the scale of affected areas, one of the most cost-effective and environmentally-friendly means of removing explosives pollution could be the use of plants. However, mechanisms of TNT </w:t>
      </w:r>
      <w:proofErr w:type="spellStart"/>
      <w:r w:rsidRPr="00AE20A2">
        <w:rPr>
          <w:sz w:val="24"/>
          <w:szCs w:val="24"/>
        </w:rPr>
        <w:t>phytotoxicity</w:t>
      </w:r>
      <w:proofErr w:type="spellEnd"/>
      <w:r w:rsidRPr="00AE20A2">
        <w:rPr>
          <w:sz w:val="24"/>
          <w:szCs w:val="24"/>
        </w:rPr>
        <w:t xml:space="preserve"> </w:t>
      </w:r>
      <w:r w:rsidR="0065665A">
        <w:rPr>
          <w:sz w:val="24"/>
          <w:szCs w:val="24"/>
        </w:rPr>
        <w:t>have been</w:t>
      </w:r>
      <w:r w:rsidR="0065665A" w:rsidRPr="00AE20A2">
        <w:rPr>
          <w:sz w:val="24"/>
          <w:szCs w:val="24"/>
        </w:rPr>
        <w:t xml:space="preserve"> </w:t>
      </w:r>
      <w:r w:rsidRPr="00AE20A2">
        <w:rPr>
          <w:sz w:val="24"/>
          <w:szCs w:val="24"/>
        </w:rPr>
        <w:t xml:space="preserve">elusive. Here we reveal that </w:t>
      </w:r>
      <w:proofErr w:type="spellStart"/>
      <w:r w:rsidR="0065665A">
        <w:rPr>
          <w:sz w:val="24"/>
          <w:szCs w:val="24"/>
        </w:rPr>
        <w:t>phyto</w:t>
      </w:r>
      <w:r w:rsidRPr="00AE20A2">
        <w:rPr>
          <w:sz w:val="24"/>
          <w:szCs w:val="24"/>
        </w:rPr>
        <w:t>toxicity</w:t>
      </w:r>
      <w:proofErr w:type="spellEnd"/>
      <w:r w:rsidRPr="00AE20A2">
        <w:rPr>
          <w:sz w:val="24"/>
          <w:szCs w:val="24"/>
        </w:rPr>
        <w:t xml:space="preserve"> is caused by reduction of TNT</w:t>
      </w:r>
      <w:r w:rsidR="00611B8A" w:rsidRPr="00611B8A">
        <w:rPr>
          <w:sz w:val="24"/>
          <w:szCs w:val="24"/>
        </w:rPr>
        <w:t xml:space="preserve"> </w:t>
      </w:r>
      <w:r w:rsidR="00611B8A">
        <w:rPr>
          <w:sz w:val="24"/>
          <w:szCs w:val="24"/>
        </w:rPr>
        <w:t>in the mitochondria</w:t>
      </w:r>
      <w:r w:rsidR="0065665A">
        <w:rPr>
          <w:sz w:val="24"/>
          <w:szCs w:val="24"/>
        </w:rPr>
        <w:t>,</w:t>
      </w:r>
      <w:r w:rsidRPr="00AE20A2">
        <w:rPr>
          <w:sz w:val="24"/>
          <w:szCs w:val="24"/>
        </w:rPr>
        <w:t xml:space="preserve"> forming a </w:t>
      </w:r>
      <w:r w:rsidR="00472626">
        <w:rPr>
          <w:sz w:val="24"/>
          <w:szCs w:val="24"/>
        </w:rPr>
        <w:t xml:space="preserve">nitro </w:t>
      </w:r>
      <w:r w:rsidRPr="00AE20A2">
        <w:rPr>
          <w:sz w:val="24"/>
          <w:szCs w:val="24"/>
        </w:rPr>
        <w:t xml:space="preserve">radical which </w:t>
      </w:r>
      <w:r w:rsidR="009A7E37">
        <w:rPr>
          <w:sz w:val="24"/>
          <w:szCs w:val="24"/>
        </w:rPr>
        <w:t>reacts with atmospheric oxygen</w:t>
      </w:r>
      <w:r w:rsidRPr="00AE20A2">
        <w:rPr>
          <w:sz w:val="24"/>
          <w:szCs w:val="24"/>
        </w:rPr>
        <w:t>, generating reactive superoxide. The reaction is cataly</w:t>
      </w:r>
      <w:r>
        <w:rPr>
          <w:sz w:val="24"/>
          <w:szCs w:val="24"/>
        </w:rPr>
        <w:t>z</w:t>
      </w:r>
      <w:r w:rsidRPr="00AE20A2">
        <w:rPr>
          <w:sz w:val="24"/>
          <w:szCs w:val="24"/>
        </w:rPr>
        <w:t xml:space="preserve">ed by </w:t>
      </w:r>
      <w:proofErr w:type="spellStart"/>
      <w:r w:rsidRPr="00AE20A2">
        <w:rPr>
          <w:sz w:val="24"/>
          <w:szCs w:val="24"/>
        </w:rPr>
        <w:t>monodehydroascorbate</w:t>
      </w:r>
      <w:proofErr w:type="spellEnd"/>
      <w:r w:rsidRPr="00AE20A2">
        <w:rPr>
          <w:sz w:val="24"/>
          <w:szCs w:val="24"/>
        </w:rPr>
        <w:t xml:space="preserve"> reductase 6</w:t>
      </w:r>
      <w:r w:rsidR="00336E0A">
        <w:rPr>
          <w:sz w:val="24"/>
          <w:szCs w:val="24"/>
        </w:rPr>
        <w:t>,</w:t>
      </w:r>
      <w:r w:rsidRPr="00AE20A2">
        <w:rPr>
          <w:sz w:val="24"/>
          <w:szCs w:val="24"/>
        </w:rPr>
        <w:t xml:space="preserve"> with </w:t>
      </w:r>
      <w:r w:rsidRPr="00AE20A2">
        <w:rPr>
          <w:i/>
          <w:sz w:val="24"/>
          <w:szCs w:val="24"/>
        </w:rPr>
        <w:t>Arabidopsis</w:t>
      </w:r>
      <w:r w:rsidRPr="00AE20A2">
        <w:rPr>
          <w:sz w:val="24"/>
          <w:szCs w:val="24"/>
        </w:rPr>
        <w:t xml:space="preserve"> deficient in </w:t>
      </w:r>
      <w:r w:rsidR="00196770">
        <w:rPr>
          <w:sz w:val="24"/>
          <w:szCs w:val="24"/>
        </w:rPr>
        <w:t xml:space="preserve">MDHAR6 </w:t>
      </w:r>
      <w:r w:rsidRPr="00AE20A2">
        <w:rPr>
          <w:sz w:val="24"/>
          <w:szCs w:val="24"/>
        </w:rPr>
        <w:t xml:space="preserve">displaying enhanced </w:t>
      </w:r>
      <w:r w:rsidR="0065665A">
        <w:rPr>
          <w:sz w:val="24"/>
          <w:szCs w:val="24"/>
        </w:rPr>
        <w:t xml:space="preserve">TNT </w:t>
      </w:r>
      <w:r w:rsidRPr="00AE20A2">
        <w:rPr>
          <w:sz w:val="24"/>
          <w:szCs w:val="24"/>
        </w:rPr>
        <w:t xml:space="preserve">tolerance. </w:t>
      </w:r>
      <w:r w:rsidR="0065665A" w:rsidRPr="00AE20A2">
        <w:rPr>
          <w:sz w:val="24"/>
          <w:szCs w:val="24"/>
        </w:rPr>
        <w:t>Th</w:t>
      </w:r>
      <w:r w:rsidR="0065665A">
        <w:rPr>
          <w:sz w:val="24"/>
          <w:szCs w:val="24"/>
        </w:rPr>
        <w:t>is</w:t>
      </w:r>
      <w:r w:rsidR="0065665A" w:rsidRPr="00AE20A2">
        <w:rPr>
          <w:sz w:val="24"/>
          <w:szCs w:val="24"/>
        </w:rPr>
        <w:t xml:space="preserve"> </w:t>
      </w:r>
      <w:r w:rsidRPr="00AE20A2">
        <w:rPr>
          <w:sz w:val="24"/>
          <w:szCs w:val="24"/>
        </w:rPr>
        <w:t xml:space="preserve">discovery will contribute towards the remediation of contaminated sites.  Moreover, in an environment of increasing herbicide resistance, with a shortage in new herbicide </w:t>
      </w:r>
      <w:r>
        <w:rPr>
          <w:sz w:val="24"/>
          <w:szCs w:val="24"/>
        </w:rPr>
        <w:t>classes</w:t>
      </w:r>
      <w:r w:rsidRPr="00AE20A2">
        <w:rPr>
          <w:sz w:val="24"/>
          <w:szCs w:val="24"/>
        </w:rPr>
        <w:t>, our findings reveal MDHAR6 as a valuable plant-specific target.</w:t>
      </w:r>
    </w:p>
    <w:p w:rsidR="00EE6CD9" w:rsidRDefault="00EE6CD9" w:rsidP="00017466">
      <w:pPr>
        <w:pStyle w:val="Teaser"/>
        <w:rPr>
          <w:b/>
        </w:rPr>
      </w:pPr>
    </w:p>
    <w:p w:rsidR="00D60C6D" w:rsidRDefault="00D73714" w:rsidP="00C1405E">
      <w:pPr>
        <w:pStyle w:val="Teaser"/>
      </w:pPr>
      <w:r w:rsidRPr="00D47899">
        <w:rPr>
          <w:b/>
        </w:rPr>
        <w:t>One Sentence Summary:</w:t>
      </w:r>
      <w:r>
        <w:rPr>
          <w:b/>
        </w:rPr>
        <w:t xml:space="preserve"> </w:t>
      </w:r>
    </w:p>
    <w:p w:rsidR="00D60C6D" w:rsidRPr="00384200" w:rsidRDefault="00403B40" w:rsidP="00E80156">
      <w:pPr>
        <w:pStyle w:val="Teaser"/>
        <w:spacing w:beforeLines="120" w:before="288"/>
        <w:rPr>
          <w:b/>
        </w:rPr>
      </w:pPr>
      <w:r>
        <w:rPr>
          <w:b/>
        </w:rPr>
        <w:t>Subversion of a biochemical pathw</w:t>
      </w:r>
      <w:r w:rsidR="008D02D1">
        <w:rPr>
          <w:b/>
        </w:rPr>
        <w:t>a</w:t>
      </w:r>
      <w:r>
        <w:rPr>
          <w:b/>
        </w:rPr>
        <w:t xml:space="preserve">y in plant mitochondria and plastids normally leads to toxicity but also suggests an avenue for bioremediation. </w:t>
      </w:r>
    </w:p>
    <w:p w:rsidR="00905BAB" w:rsidRPr="00C1405E" w:rsidRDefault="00D73714" w:rsidP="00E80156">
      <w:pPr>
        <w:pStyle w:val="Paragraph"/>
        <w:spacing w:beforeLines="120" w:before="288"/>
        <w:ind w:firstLine="0"/>
        <w:rPr>
          <w:b/>
        </w:rPr>
      </w:pPr>
      <w:r w:rsidRPr="00EE6CD9">
        <w:rPr>
          <w:b/>
        </w:rPr>
        <w:t xml:space="preserve">Main Text: </w:t>
      </w:r>
    </w:p>
    <w:p w:rsidR="00EE6CD9" w:rsidRPr="00EE6CD9" w:rsidRDefault="005C54F1" w:rsidP="00E80156">
      <w:pPr>
        <w:spacing w:beforeLines="120" w:before="288"/>
        <w:rPr>
          <w:sz w:val="24"/>
          <w:szCs w:val="24"/>
        </w:rPr>
      </w:pPr>
      <w:r w:rsidRPr="00C1405E">
        <w:rPr>
          <w:rFonts w:eastAsia="Times New Roman"/>
          <w:sz w:val="24"/>
          <w:szCs w:val="24"/>
          <w:lang w:eastAsia="en-GB"/>
        </w:rPr>
        <w:t>Recalcitrant to degradation, 2,4,6-trinitrotoluene (TNT) is a worldwide pollutant, contaminating manufacturing waste sites, mines, current and former conflict zones, and military land (</w:t>
      </w:r>
      <w:r w:rsidRPr="00C1405E">
        <w:rPr>
          <w:rFonts w:eastAsia="Times New Roman"/>
          <w:i/>
          <w:sz w:val="24"/>
          <w:szCs w:val="24"/>
          <w:lang w:eastAsia="en-GB"/>
        </w:rPr>
        <w:t>1</w:t>
      </w:r>
      <w:r w:rsidRPr="00C1405E">
        <w:rPr>
          <w:rFonts w:eastAsia="Times New Roman"/>
          <w:sz w:val="24"/>
          <w:szCs w:val="24"/>
          <w:lang w:eastAsia="en-GB"/>
        </w:rPr>
        <w:t>); the U</w:t>
      </w:r>
      <w:r w:rsidR="00017466">
        <w:rPr>
          <w:rFonts w:eastAsia="Times New Roman"/>
          <w:sz w:val="24"/>
          <w:szCs w:val="24"/>
          <w:lang w:eastAsia="en-GB"/>
        </w:rPr>
        <w:t>.</w:t>
      </w:r>
      <w:r w:rsidRPr="00C1405E">
        <w:rPr>
          <w:rFonts w:eastAsia="Times New Roman"/>
          <w:sz w:val="24"/>
          <w:szCs w:val="24"/>
          <w:lang w:eastAsia="en-GB"/>
        </w:rPr>
        <w:t>S</w:t>
      </w:r>
      <w:r w:rsidR="00017466">
        <w:rPr>
          <w:rFonts w:eastAsia="Times New Roman"/>
          <w:sz w:val="24"/>
          <w:szCs w:val="24"/>
          <w:lang w:eastAsia="en-GB"/>
        </w:rPr>
        <w:t>. Department of Defens</w:t>
      </w:r>
      <w:r w:rsidRPr="00C1405E">
        <w:rPr>
          <w:rFonts w:eastAsia="Times New Roman"/>
          <w:sz w:val="24"/>
          <w:szCs w:val="24"/>
          <w:lang w:eastAsia="en-GB"/>
        </w:rPr>
        <w:t xml:space="preserve">e has an estimated 10 million hectares of operational ranges </w:t>
      </w:r>
      <w:r w:rsidR="00017466">
        <w:rPr>
          <w:rFonts w:eastAsia="Times New Roman"/>
          <w:sz w:val="24"/>
          <w:szCs w:val="24"/>
          <w:lang w:eastAsia="en-GB"/>
        </w:rPr>
        <w:t xml:space="preserve">contaminated with munitions constituents </w:t>
      </w:r>
      <w:r w:rsidRPr="00C1405E">
        <w:rPr>
          <w:rFonts w:eastAsia="Times New Roman"/>
          <w:sz w:val="24"/>
          <w:szCs w:val="24"/>
          <w:lang w:eastAsia="en-GB"/>
        </w:rPr>
        <w:t>(</w:t>
      </w:r>
      <w:r w:rsidRPr="00C1405E">
        <w:rPr>
          <w:rFonts w:eastAsia="Times New Roman"/>
          <w:i/>
          <w:sz w:val="24"/>
          <w:szCs w:val="24"/>
          <w:lang w:eastAsia="en-GB"/>
        </w:rPr>
        <w:t>2</w:t>
      </w:r>
      <w:r w:rsidRPr="00C1405E">
        <w:rPr>
          <w:rFonts w:eastAsia="Times New Roman"/>
          <w:sz w:val="24"/>
          <w:szCs w:val="24"/>
          <w:lang w:eastAsia="en-GB"/>
        </w:rPr>
        <w:t>)</w:t>
      </w:r>
      <w:r w:rsidR="00017466">
        <w:rPr>
          <w:rFonts w:eastAsia="Times New Roman"/>
          <w:sz w:val="24"/>
          <w:szCs w:val="24"/>
          <w:lang w:eastAsia="en-GB"/>
        </w:rPr>
        <w:t>.</w:t>
      </w:r>
      <w:r w:rsidR="004C1AD9" w:rsidRPr="00C1405E">
        <w:rPr>
          <w:rFonts w:eastAsia="Times New Roman"/>
          <w:sz w:val="24"/>
          <w:szCs w:val="24"/>
          <w:lang w:eastAsia="en-GB"/>
        </w:rPr>
        <w:t xml:space="preserve"> Rated a class C carcinogen by the Environmental Protection Agency, TNT has toxic effects on all living organisms; in animals causing hepatitis, anemia, hyperplasia of bone marrow and cataracts (</w:t>
      </w:r>
      <w:r w:rsidR="004C1AD9" w:rsidRPr="00C1405E">
        <w:rPr>
          <w:rFonts w:eastAsia="Times New Roman"/>
          <w:i/>
          <w:sz w:val="24"/>
          <w:szCs w:val="24"/>
          <w:lang w:eastAsia="en-GB"/>
        </w:rPr>
        <w:t>3</w:t>
      </w:r>
      <w:r w:rsidR="004C1AD9" w:rsidRPr="00C1405E">
        <w:rPr>
          <w:rFonts w:eastAsia="Times New Roman"/>
          <w:sz w:val="24"/>
          <w:szCs w:val="24"/>
          <w:lang w:eastAsia="en-GB"/>
        </w:rPr>
        <w:t>)</w:t>
      </w:r>
      <w:r w:rsidR="00EE6CD9" w:rsidRPr="004C1AD9">
        <w:rPr>
          <w:sz w:val="24"/>
          <w:szCs w:val="24"/>
        </w:rPr>
        <w:t>, and in soil severely impacting</w:t>
      </w:r>
      <w:r w:rsidR="00EE6CD9" w:rsidRPr="00EE6CD9">
        <w:rPr>
          <w:sz w:val="24"/>
          <w:szCs w:val="24"/>
        </w:rPr>
        <w:t xml:space="preserve"> microbial diversity</w:t>
      </w:r>
      <w:r w:rsidR="00EE6CD9">
        <w:rPr>
          <w:sz w:val="24"/>
          <w:szCs w:val="24"/>
        </w:rPr>
        <w:t xml:space="preserve"> (</w:t>
      </w:r>
      <w:r w:rsidR="00EE6CD9" w:rsidRPr="00EE6CD9">
        <w:rPr>
          <w:i/>
          <w:sz w:val="24"/>
          <w:szCs w:val="24"/>
        </w:rPr>
        <w:t>4</w:t>
      </w:r>
      <w:r w:rsidR="00EE6CD9">
        <w:rPr>
          <w:sz w:val="24"/>
          <w:szCs w:val="24"/>
        </w:rPr>
        <w:t>)</w:t>
      </w:r>
      <w:r w:rsidR="00EE6CD9" w:rsidRPr="00EE6CD9">
        <w:rPr>
          <w:sz w:val="24"/>
          <w:szCs w:val="24"/>
        </w:rPr>
        <w:t xml:space="preserve"> and the establishment of vegetation</w:t>
      </w:r>
      <w:r w:rsidR="00EE6CD9">
        <w:rPr>
          <w:sz w:val="24"/>
          <w:szCs w:val="24"/>
        </w:rPr>
        <w:t xml:space="preserve"> (</w:t>
      </w:r>
      <w:r w:rsidR="00EE6CD9" w:rsidRPr="00EE6CD9">
        <w:rPr>
          <w:i/>
          <w:sz w:val="24"/>
          <w:szCs w:val="24"/>
        </w:rPr>
        <w:t>5</w:t>
      </w:r>
      <w:r w:rsidR="00EE6CD9">
        <w:rPr>
          <w:sz w:val="24"/>
          <w:szCs w:val="24"/>
        </w:rPr>
        <w:t>)</w:t>
      </w:r>
      <w:r w:rsidR="00EE6CD9" w:rsidRPr="00EE6CD9">
        <w:rPr>
          <w:sz w:val="24"/>
          <w:szCs w:val="24"/>
        </w:rPr>
        <w:t xml:space="preserve">. In plants, the majority of TNT remains in </w:t>
      </w:r>
      <w:r w:rsidR="0035631B">
        <w:rPr>
          <w:sz w:val="24"/>
          <w:szCs w:val="24"/>
        </w:rPr>
        <w:t xml:space="preserve">the </w:t>
      </w:r>
      <w:r w:rsidR="00EE6CD9" w:rsidRPr="00EE6CD9">
        <w:rPr>
          <w:sz w:val="24"/>
          <w:szCs w:val="24"/>
        </w:rPr>
        <w:t>roots</w:t>
      </w:r>
      <w:r w:rsidR="00EE6CD9">
        <w:rPr>
          <w:sz w:val="24"/>
          <w:szCs w:val="24"/>
        </w:rPr>
        <w:t xml:space="preserve"> (</w:t>
      </w:r>
      <w:r w:rsidR="00EE6CD9" w:rsidRPr="00EE6CD9">
        <w:rPr>
          <w:i/>
          <w:sz w:val="24"/>
          <w:szCs w:val="24"/>
        </w:rPr>
        <w:t>6</w:t>
      </w:r>
      <w:r w:rsidR="00EE6CD9">
        <w:rPr>
          <w:sz w:val="24"/>
          <w:szCs w:val="24"/>
        </w:rPr>
        <w:t>)</w:t>
      </w:r>
      <w:r w:rsidR="00EE6CD9" w:rsidRPr="00EE6CD9">
        <w:rPr>
          <w:sz w:val="24"/>
          <w:szCs w:val="24"/>
        </w:rPr>
        <w:t>, where growt</w:t>
      </w:r>
      <w:r w:rsidR="00343427">
        <w:rPr>
          <w:sz w:val="24"/>
          <w:szCs w:val="24"/>
        </w:rPr>
        <w:t>h and development is inhibited</w:t>
      </w:r>
      <w:proofErr w:type="gramStart"/>
      <w:r w:rsidR="0035631B">
        <w:rPr>
          <w:sz w:val="24"/>
          <w:szCs w:val="24"/>
        </w:rPr>
        <w:t xml:space="preserve">, </w:t>
      </w:r>
      <w:r w:rsidR="00017466">
        <w:rPr>
          <w:sz w:val="24"/>
          <w:szCs w:val="24"/>
        </w:rPr>
        <w:t>reducing</w:t>
      </w:r>
      <w:proofErr w:type="gramEnd"/>
      <w:r w:rsidR="00017466">
        <w:rPr>
          <w:sz w:val="24"/>
          <w:szCs w:val="24"/>
        </w:rPr>
        <w:t xml:space="preserve"> overall</w:t>
      </w:r>
      <w:r w:rsidR="00EE6CD9" w:rsidRPr="00EE6CD9">
        <w:rPr>
          <w:sz w:val="24"/>
          <w:szCs w:val="24"/>
        </w:rPr>
        <w:t xml:space="preserve"> biomass</w:t>
      </w:r>
      <w:r w:rsidR="00EE6CD9">
        <w:rPr>
          <w:sz w:val="24"/>
          <w:szCs w:val="24"/>
        </w:rPr>
        <w:t xml:space="preserve"> (</w:t>
      </w:r>
      <w:r w:rsidR="00EE6CD9" w:rsidRPr="00EE6CD9">
        <w:rPr>
          <w:i/>
          <w:sz w:val="24"/>
          <w:szCs w:val="24"/>
        </w:rPr>
        <w:t>5</w:t>
      </w:r>
      <w:r w:rsidR="00EE6CD9">
        <w:rPr>
          <w:sz w:val="24"/>
          <w:szCs w:val="24"/>
        </w:rPr>
        <w:t>)</w:t>
      </w:r>
      <w:r w:rsidR="00EE6CD9" w:rsidRPr="00EE6CD9">
        <w:rPr>
          <w:sz w:val="24"/>
          <w:szCs w:val="24"/>
        </w:rPr>
        <w:t>.</w:t>
      </w:r>
    </w:p>
    <w:p w:rsidR="00EE6CD9" w:rsidRPr="00EE6CD9" w:rsidRDefault="00EE6CD9" w:rsidP="00E80156">
      <w:pPr>
        <w:spacing w:beforeLines="120" w:before="288"/>
        <w:rPr>
          <w:sz w:val="24"/>
          <w:szCs w:val="24"/>
        </w:rPr>
      </w:pPr>
      <w:r w:rsidRPr="00EE6CD9">
        <w:rPr>
          <w:sz w:val="24"/>
          <w:szCs w:val="24"/>
        </w:rPr>
        <w:t>Despite these inhibitory effects, TNT can be detoxified by plants to a limited extent</w:t>
      </w:r>
      <w:r>
        <w:rPr>
          <w:sz w:val="24"/>
          <w:szCs w:val="24"/>
        </w:rPr>
        <w:t xml:space="preserve"> (</w:t>
      </w:r>
      <w:r w:rsidRPr="00EE6CD9">
        <w:rPr>
          <w:i/>
          <w:sz w:val="24"/>
          <w:szCs w:val="24"/>
        </w:rPr>
        <w:t>7-9</w:t>
      </w:r>
      <w:r>
        <w:rPr>
          <w:sz w:val="24"/>
          <w:szCs w:val="24"/>
        </w:rPr>
        <w:t>)</w:t>
      </w:r>
      <w:r w:rsidRPr="00EE6CD9">
        <w:rPr>
          <w:sz w:val="24"/>
          <w:szCs w:val="24"/>
        </w:rPr>
        <w:t>, and there is great inter</w:t>
      </w:r>
      <w:r w:rsidR="00343427">
        <w:rPr>
          <w:sz w:val="24"/>
          <w:szCs w:val="24"/>
        </w:rPr>
        <w:t>est in the development of plant-</w:t>
      </w:r>
      <w:r w:rsidRPr="00EE6CD9">
        <w:rPr>
          <w:sz w:val="24"/>
          <w:szCs w:val="24"/>
        </w:rPr>
        <w:t>based explosives remediation</w:t>
      </w:r>
      <w:r>
        <w:rPr>
          <w:sz w:val="24"/>
          <w:szCs w:val="24"/>
        </w:rPr>
        <w:t xml:space="preserve"> (</w:t>
      </w:r>
      <w:r w:rsidRPr="00EE6CD9">
        <w:rPr>
          <w:i/>
          <w:sz w:val="24"/>
          <w:szCs w:val="24"/>
        </w:rPr>
        <w:t>10</w:t>
      </w:r>
      <w:r>
        <w:rPr>
          <w:sz w:val="24"/>
          <w:szCs w:val="24"/>
        </w:rPr>
        <w:t>)</w:t>
      </w:r>
      <w:r w:rsidRPr="00EE6CD9">
        <w:rPr>
          <w:sz w:val="24"/>
          <w:szCs w:val="24"/>
        </w:rPr>
        <w:t xml:space="preserve">. Seeking to </w:t>
      </w:r>
      <w:r w:rsidRPr="00EE6CD9">
        <w:rPr>
          <w:sz w:val="24"/>
          <w:szCs w:val="24"/>
        </w:rPr>
        <w:lastRenderedPageBreak/>
        <w:t xml:space="preserve">identify plant TNT-detoxifying enzymes, we screened </w:t>
      </w:r>
      <w:proofErr w:type="spellStart"/>
      <w:r w:rsidRPr="00EE6CD9">
        <w:rPr>
          <w:sz w:val="24"/>
          <w:szCs w:val="24"/>
        </w:rPr>
        <w:t>Weigel</w:t>
      </w:r>
      <w:proofErr w:type="spellEnd"/>
      <w:r w:rsidRPr="00EE6CD9">
        <w:rPr>
          <w:sz w:val="24"/>
          <w:szCs w:val="24"/>
        </w:rPr>
        <w:t xml:space="preserve"> activation-tagged </w:t>
      </w:r>
      <w:r w:rsidRPr="00EE6CD9">
        <w:rPr>
          <w:i/>
          <w:sz w:val="24"/>
          <w:szCs w:val="24"/>
        </w:rPr>
        <w:t xml:space="preserve">Arabidopsis thaliana </w:t>
      </w:r>
      <w:r w:rsidR="00542029">
        <w:rPr>
          <w:sz w:val="24"/>
          <w:szCs w:val="24"/>
        </w:rPr>
        <w:t xml:space="preserve">plant </w:t>
      </w:r>
      <w:r w:rsidRPr="00EE6CD9">
        <w:rPr>
          <w:sz w:val="24"/>
          <w:szCs w:val="24"/>
        </w:rPr>
        <w:t>lines</w:t>
      </w:r>
      <w:r>
        <w:rPr>
          <w:sz w:val="24"/>
          <w:szCs w:val="24"/>
        </w:rPr>
        <w:t xml:space="preserve"> (</w:t>
      </w:r>
      <w:r w:rsidRPr="00EE6CD9">
        <w:rPr>
          <w:i/>
          <w:sz w:val="24"/>
          <w:szCs w:val="24"/>
        </w:rPr>
        <w:t>11</w:t>
      </w:r>
      <w:r>
        <w:rPr>
          <w:sz w:val="24"/>
          <w:szCs w:val="24"/>
        </w:rPr>
        <w:t>)</w:t>
      </w:r>
      <w:r w:rsidRPr="00EE6CD9">
        <w:rPr>
          <w:sz w:val="24"/>
          <w:szCs w:val="24"/>
        </w:rPr>
        <w:t xml:space="preserve"> for greater roo</w:t>
      </w:r>
      <w:r w:rsidR="00017466">
        <w:rPr>
          <w:sz w:val="24"/>
          <w:szCs w:val="24"/>
        </w:rPr>
        <w:t>t growth in the presence of</w:t>
      </w:r>
      <w:r w:rsidRPr="00EE6CD9">
        <w:rPr>
          <w:sz w:val="24"/>
          <w:szCs w:val="24"/>
        </w:rPr>
        <w:t xml:space="preserve"> TNT, </w:t>
      </w:r>
      <w:r w:rsidR="005C396A">
        <w:rPr>
          <w:sz w:val="24"/>
          <w:szCs w:val="24"/>
        </w:rPr>
        <w:t xml:space="preserve">and </w:t>
      </w:r>
      <w:r w:rsidRPr="00EE6CD9">
        <w:rPr>
          <w:sz w:val="24"/>
          <w:szCs w:val="24"/>
        </w:rPr>
        <w:t>isolat</w:t>
      </w:r>
      <w:r w:rsidR="005C396A">
        <w:rPr>
          <w:sz w:val="24"/>
          <w:szCs w:val="24"/>
        </w:rPr>
        <w:t>ed</w:t>
      </w:r>
      <w:r w:rsidRPr="00EE6CD9">
        <w:rPr>
          <w:sz w:val="24"/>
          <w:szCs w:val="24"/>
        </w:rPr>
        <w:t xml:space="preserve"> </w:t>
      </w:r>
      <w:r w:rsidR="0035631B">
        <w:rPr>
          <w:sz w:val="24"/>
          <w:szCs w:val="24"/>
        </w:rPr>
        <w:t>a</w:t>
      </w:r>
      <w:r w:rsidRPr="00EE6CD9">
        <w:rPr>
          <w:sz w:val="24"/>
          <w:szCs w:val="24"/>
        </w:rPr>
        <w:t xml:space="preserve"> mutant with enhanced </w:t>
      </w:r>
      <w:r w:rsidR="0065665A">
        <w:rPr>
          <w:sz w:val="24"/>
          <w:szCs w:val="24"/>
        </w:rPr>
        <w:t xml:space="preserve">TNT </w:t>
      </w:r>
      <w:r w:rsidRPr="00EE6CD9">
        <w:rPr>
          <w:sz w:val="24"/>
          <w:szCs w:val="24"/>
        </w:rPr>
        <w:t xml:space="preserve">tolerance.  Through outcrossing with single nucleotide polymorphism analysis, bulk </w:t>
      </w:r>
      <w:proofErr w:type="spellStart"/>
      <w:r w:rsidRPr="00EE6CD9">
        <w:rPr>
          <w:sz w:val="24"/>
          <w:szCs w:val="24"/>
        </w:rPr>
        <w:t>segregant</w:t>
      </w:r>
      <w:proofErr w:type="spellEnd"/>
      <w:r w:rsidRPr="00EE6CD9">
        <w:rPr>
          <w:sz w:val="24"/>
          <w:szCs w:val="24"/>
        </w:rPr>
        <w:t xml:space="preserve"> analysis and sequencing of candidate genes, this phenotype was mapped to </w:t>
      </w:r>
      <w:r w:rsidRPr="00EE6CD9">
        <w:rPr>
          <w:i/>
          <w:sz w:val="24"/>
          <w:szCs w:val="24"/>
        </w:rPr>
        <w:t xml:space="preserve">mdhar6-1 </w:t>
      </w:r>
      <w:r w:rsidRPr="00EE6CD9">
        <w:rPr>
          <w:sz w:val="24"/>
          <w:szCs w:val="24"/>
        </w:rPr>
        <w:t xml:space="preserve">(At1g63940) (Fig. </w:t>
      </w:r>
      <w:r w:rsidR="005C396A">
        <w:rPr>
          <w:sz w:val="24"/>
          <w:szCs w:val="24"/>
        </w:rPr>
        <w:t>S</w:t>
      </w:r>
      <w:r w:rsidR="0035631B">
        <w:rPr>
          <w:sz w:val="24"/>
          <w:szCs w:val="24"/>
        </w:rPr>
        <w:t>1</w:t>
      </w:r>
      <w:r w:rsidR="00017466">
        <w:rPr>
          <w:sz w:val="24"/>
          <w:szCs w:val="24"/>
        </w:rPr>
        <w:t xml:space="preserve">). The </w:t>
      </w:r>
      <w:r w:rsidR="00017466" w:rsidRPr="00EE6CD9">
        <w:rPr>
          <w:i/>
          <w:sz w:val="24"/>
          <w:szCs w:val="24"/>
        </w:rPr>
        <w:t xml:space="preserve">mdhar6-1 </w:t>
      </w:r>
      <w:r w:rsidR="00017466">
        <w:rPr>
          <w:sz w:val="24"/>
          <w:szCs w:val="24"/>
        </w:rPr>
        <w:t xml:space="preserve">mutant </w:t>
      </w:r>
      <w:r w:rsidRPr="00EE6CD9">
        <w:rPr>
          <w:sz w:val="24"/>
          <w:szCs w:val="24"/>
        </w:rPr>
        <w:t>was found to have a thymine deletion 2,</w:t>
      </w:r>
      <w:r w:rsidR="004F19CB">
        <w:rPr>
          <w:sz w:val="24"/>
          <w:szCs w:val="24"/>
        </w:rPr>
        <w:t>181</w:t>
      </w:r>
      <w:r w:rsidRPr="00EE6CD9">
        <w:rPr>
          <w:sz w:val="24"/>
          <w:szCs w:val="24"/>
        </w:rPr>
        <w:t xml:space="preserve"> bases from the start codon, introducing a fram</w:t>
      </w:r>
      <w:r w:rsidR="00017466">
        <w:rPr>
          <w:sz w:val="24"/>
          <w:szCs w:val="24"/>
        </w:rPr>
        <w:t>e shift and an early stop codon and</w:t>
      </w:r>
      <w:r w:rsidRPr="00EE6CD9">
        <w:rPr>
          <w:sz w:val="24"/>
          <w:szCs w:val="24"/>
        </w:rPr>
        <w:t xml:space="preserve"> predicted to truncate over a third of the protein.</w:t>
      </w:r>
      <w:r w:rsidR="0035631B" w:rsidRPr="0035631B">
        <w:rPr>
          <w:sz w:val="24"/>
          <w:szCs w:val="24"/>
        </w:rPr>
        <w:t xml:space="preserve"> </w:t>
      </w:r>
      <w:r w:rsidR="00BB7FBC">
        <w:rPr>
          <w:sz w:val="24"/>
          <w:szCs w:val="24"/>
        </w:rPr>
        <w:t>T</w:t>
      </w:r>
      <w:r w:rsidR="0035631B" w:rsidRPr="00EE6CD9">
        <w:rPr>
          <w:sz w:val="24"/>
          <w:szCs w:val="24"/>
        </w:rPr>
        <w:t xml:space="preserve">wo further </w:t>
      </w:r>
      <w:r w:rsidR="0035631B" w:rsidRPr="00EE6CD9">
        <w:rPr>
          <w:i/>
          <w:sz w:val="24"/>
          <w:szCs w:val="24"/>
        </w:rPr>
        <w:t xml:space="preserve">mdhar6 </w:t>
      </w:r>
      <w:r w:rsidR="0035631B" w:rsidRPr="00EE6CD9">
        <w:rPr>
          <w:sz w:val="24"/>
          <w:szCs w:val="24"/>
        </w:rPr>
        <w:t xml:space="preserve">mutant lines were sourced (Fig. </w:t>
      </w:r>
      <w:r w:rsidR="0035631B">
        <w:rPr>
          <w:sz w:val="24"/>
          <w:szCs w:val="24"/>
        </w:rPr>
        <w:t>1A</w:t>
      </w:r>
      <w:r w:rsidR="004B2818">
        <w:rPr>
          <w:sz w:val="24"/>
          <w:szCs w:val="24"/>
        </w:rPr>
        <w:t>,</w:t>
      </w:r>
      <w:r w:rsidR="0035631B">
        <w:rPr>
          <w:sz w:val="24"/>
          <w:szCs w:val="24"/>
        </w:rPr>
        <w:t xml:space="preserve"> B</w:t>
      </w:r>
      <w:r w:rsidR="004B2818">
        <w:rPr>
          <w:sz w:val="24"/>
          <w:szCs w:val="24"/>
        </w:rPr>
        <w:t xml:space="preserve"> and S1</w:t>
      </w:r>
      <w:r w:rsidR="0035631B" w:rsidRPr="00EE6CD9">
        <w:rPr>
          <w:sz w:val="24"/>
          <w:szCs w:val="24"/>
        </w:rPr>
        <w:t xml:space="preserve">), and all three had enhanced shoot and root biomass when grown in TNT-treated soil (Fig. </w:t>
      </w:r>
      <w:r w:rsidR="0035631B">
        <w:rPr>
          <w:sz w:val="24"/>
          <w:szCs w:val="24"/>
        </w:rPr>
        <w:t>1</w:t>
      </w:r>
      <w:r w:rsidR="00E13F09">
        <w:rPr>
          <w:sz w:val="24"/>
          <w:szCs w:val="24"/>
        </w:rPr>
        <w:t>A, B</w:t>
      </w:r>
      <w:r w:rsidR="0035631B">
        <w:rPr>
          <w:sz w:val="24"/>
          <w:szCs w:val="24"/>
        </w:rPr>
        <w:t xml:space="preserve"> and S2</w:t>
      </w:r>
      <w:r w:rsidR="0035631B" w:rsidRPr="00EE6CD9">
        <w:rPr>
          <w:sz w:val="24"/>
          <w:szCs w:val="24"/>
        </w:rPr>
        <w:t>).</w:t>
      </w:r>
    </w:p>
    <w:p w:rsidR="00017466" w:rsidRDefault="00017466" w:rsidP="00E80156">
      <w:pPr>
        <w:spacing w:beforeLines="120" w:before="288"/>
        <w:rPr>
          <w:b/>
          <w:sz w:val="24"/>
          <w:szCs w:val="24"/>
        </w:rPr>
      </w:pPr>
      <w:r>
        <w:rPr>
          <w:b/>
          <w:sz w:val="24"/>
          <w:szCs w:val="24"/>
        </w:rPr>
        <w:t>The role of MDHAR</w:t>
      </w:r>
    </w:p>
    <w:p w:rsidR="00EE6CD9" w:rsidRPr="00EE6CD9" w:rsidRDefault="00EE6CD9" w:rsidP="00E80156">
      <w:pPr>
        <w:spacing w:beforeLines="120" w:before="288"/>
        <w:rPr>
          <w:sz w:val="24"/>
          <w:szCs w:val="24"/>
        </w:rPr>
      </w:pPr>
      <w:r w:rsidRPr="00EE6CD9">
        <w:rPr>
          <w:sz w:val="24"/>
          <w:szCs w:val="24"/>
        </w:rPr>
        <w:t xml:space="preserve">The finding that the TNT tolerant line had a frame shift in </w:t>
      </w:r>
      <w:r w:rsidRPr="00EE6CD9">
        <w:rPr>
          <w:i/>
          <w:sz w:val="24"/>
          <w:szCs w:val="24"/>
        </w:rPr>
        <w:t>MDHAR6</w:t>
      </w:r>
      <w:r w:rsidRPr="00EE6CD9">
        <w:rPr>
          <w:sz w:val="24"/>
          <w:szCs w:val="24"/>
        </w:rPr>
        <w:t xml:space="preserve">, rather than overexpression of a TNT-detoxifying enzyme, was surprising, as MDHARs are considered to protect plants from oxidative stress by recycling the antioxidant ascorbic acid; MDHARs are FAD-dependent </w:t>
      </w:r>
      <w:proofErr w:type="spellStart"/>
      <w:r w:rsidRPr="00EE6CD9">
        <w:rPr>
          <w:sz w:val="24"/>
          <w:szCs w:val="24"/>
        </w:rPr>
        <w:t>oxidoreductases</w:t>
      </w:r>
      <w:proofErr w:type="spellEnd"/>
      <w:r w:rsidRPr="00EE6CD9">
        <w:rPr>
          <w:sz w:val="24"/>
          <w:szCs w:val="24"/>
        </w:rPr>
        <w:t xml:space="preserve"> which reduce </w:t>
      </w:r>
      <w:proofErr w:type="spellStart"/>
      <w:r w:rsidRPr="00EE6CD9">
        <w:rPr>
          <w:sz w:val="24"/>
          <w:szCs w:val="24"/>
        </w:rPr>
        <w:t>monodehydroascorbate</w:t>
      </w:r>
      <w:proofErr w:type="spellEnd"/>
      <w:r w:rsidRPr="00EE6CD9">
        <w:rPr>
          <w:sz w:val="24"/>
          <w:szCs w:val="24"/>
        </w:rPr>
        <w:t xml:space="preserve"> (MDA), the free radical oxidation product of ascorbic acid</w:t>
      </w:r>
      <w:r>
        <w:rPr>
          <w:sz w:val="24"/>
          <w:szCs w:val="24"/>
        </w:rPr>
        <w:t xml:space="preserve"> (</w:t>
      </w:r>
      <w:r w:rsidRPr="00EE6CD9">
        <w:rPr>
          <w:i/>
          <w:sz w:val="24"/>
          <w:szCs w:val="24"/>
        </w:rPr>
        <w:t>12, 13</w:t>
      </w:r>
      <w:r>
        <w:rPr>
          <w:sz w:val="24"/>
          <w:szCs w:val="24"/>
        </w:rPr>
        <w:t>)</w:t>
      </w:r>
      <w:r w:rsidRPr="00EE6CD9">
        <w:rPr>
          <w:sz w:val="24"/>
          <w:szCs w:val="24"/>
        </w:rPr>
        <w:t xml:space="preserve">. Analysis of the </w:t>
      </w:r>
      <w:r w:rsidRPr="00EE6CD9">
        <w:rPr>
          <w:i/>
          <w:sz w:val="24"/>
          <w:szCs w:val="24"/>
        </w:rPr>
        <w:t xml:space="preserve">Arabidopsis </w:t>
      </w:r>
      <w:r w:rsidRPr="00EE6CD9">
        <w:rPr>
          <w:sz w:val="24"/>
          <w:szCs w:val="24"/>
        </w:rPr>
        <w:t>genome has revealed five MDHARs; MDHAR1 (At3g52880) and 4 (At3g27820) are targeted to peroxisome matrices and membranes respectively, while MDHAR2 (At5g03630) and 3 (At3g09940) are cytosolic</w:t>
      </w:r>
      <w:r>
        <w:rPr>
          <w:sz w:val="24"/>
          <w:szCs w:val="24"/>
        </w:rPr>
        <w:t xml:space="preserve"> (</w:t>
      </w:r>
      <w:r w:rsidRPr="00EE6CD9">
        <w:rPr>
          <w:i/>
          <w:sz w:val="24"/>
          <w:szCs w:val="24"/>
        </w:rPr>
        <w:t>14</w:t>
      </w:r>
      <w:r>
        <w:rPr>
          <w:sz w:val="24"/>
          <w:szCs w:val="24"/>
        </w:rPr>
        <w:t>)</w:t>
      </w:r>
      <w:r w:rsidRPr="00EE6CD9">
        <w:rPr>
          <w:sz w:val="24"/>
          <w:szCs w:val="24"/>
        </w:rPr>
        <w:t xml:space="preserve">. MDHAR6 is targeted to </w:t>
      </w:r>
      <w:r w:rsidR="00E13F09">
        <w:rPr>
          <w:sz w:val="24"/>
          <w:szCs w:val="24"/>
        </w:rPr>
        <w:t>mitochondria or plastids</w:t>
      </w:r>
      <w:r w:rsidRPr="00EE6CD9">
        <w:rPr>
          <w:sz w:val="24"/>
          <w:szCs w:val="24"/>
        </w:rPr>
        <w:t>, depending on the transcription start site used</w:t>
      </w:r>
      <w:r w:rsidR="00A13E1A">
        <w:rPr>
          <w:sz w:val="24"/>
          <w:szCs w:val="24"/>
        </w:rPr>
        <w:t xml:space="preserve"> (Fig. S1)</w:t>
      </w:r>
      <w:r>
        <w:rPr>
          <w:sz w:val="24"/>
          <w:szCs w:val="24"/>
        </w:rPr>
        <w:t xml:space="preserve"> (</w:t>
      </w:r>
      <w:r w:rsidRPr="00EE6CD9">
        <w:rPr>
          <w:i/>
          <w:sz w:val="24"/>
          <w:szCs w:val="24"/>
        </w:rPr>
        <w:t>15</w:t>
      </w:r>
      <w:r>
        <w:rPr>
          <w:sz w:val="24"/>
          <w:szCs w:val="24"/>
        </w:rPr>
        <w:t>)</w:t>
      </w:r>
      <w:r w:rsidRPr="00EE6CD9">
        <w:rPr>
          <w:sz w:val="24"/>
          <w:szCs w:val="24"/>
        </w:rPr>
        <w:t xml:space="preserve">, and is expressed highly in </w:t>
      </w:r>
      <w:r w:rsidR="00F7677F" w:rsidRPr="00F7677F">
        <w:rPr>
          <w:sz w:val="24"/>
          <w:szCs w:val="24"/>
        </w:rPr>
        <w:t>all tissues and developmental stages</w:t>
      </w:r>
      <w:r w:rsidR="00F7677F" w:rsidRPr="00F7677F" w:rsidDel="00F7677F">
        <w:rPr>
          <w:sz w:val="24"/>
          <w:szCs w:val="24"/>
        </w:rPr>
        <w:t xml:space="preserve"> </w:t>
      </w:r>
      <w:r>
        <w:rPr>
          <w:sz w:val="24"/>
          <w:szCs w:val="24"/>
        </w:rPr>
        <w:t>(</w:t>
      </w:r>
      <w:r w:rsidRPr="00EE6CD9">
        <w:rPr>
          <w:i/>
          <w:sz w:val="24"/>
          <w:szCs w:val="24"/>
        </w:rPr>
        <w:t>16</w:t>
      </w:r>
      <w:r>
        <w:rPr>
          <w:sz w:val="24"/>
          <w:szCs w:val="24"/>
        </w:rPr>
        <w:t>)</w:t>
      </w:r>
      <w:r w:rsidRPr="00EE6CD9">
        <w:rPr>
          <w:sz w:val="24"/>
          <w:szCs w:val="24"/>
        </w:rPr>
        <w:t>.</w:t>
      </w:r>
    </w:p>
    <w:p w:rsidR="00EE6CD9" w:rsidRPr="00EE6CD9" w:rsidRDefault="00EE6CD9" w:rsidP="00E80156">
      <w:pPr>
        <w:spacing w:beforeLines="120" w:before="288"/>
        <w:rPr>
          <w:sz w:val="24"/>
          <w:szCs w:val="24"/>
        </w:rPr>
      </w:pPr>
      <w:r w:rsidRPr="00EE6CD9">
        <w:rPr>
          <w:sz w:val="24"/>
          <w:szCs w:val="24"/>
        </w:rPr>
        <w:t xml:space="preserve">To confirm whether MDHAR6 deficiency increases TNT tolerance, binary vectors expressing mitochondria or plastid-targeted </w:t>
      </w:r>
      <w:r w:rsidRPr="00EE6CD9">
        <w:rPr>
          <w:i/>
          <w:sz w:val="24"/>
          <w:szCs w:val="24"/>
        </w:rPr>
        <w:t xml:space="preserve">MDHAR6 </w:t>
      </w:r>
      <w:r w:rsidRPr="00EE6CD9">
        <w:rPr>
          <w:sz w:val="24"/>
          <w:szCs w:val="24"/>
        </w:rPr>
        <w:t xml:space="preserve">were stably transformed into </w:t>
      </w:r>
      <w:r w:rsidRPr="00EE6CD9">
        <w:rPr>
          <w:i/>
          <w:sz w:val="24"/>
          <w:szCs w:val="24"/>
        </w:rPr>
        <w:t xml:space="preserve">mdhar6-1 </w:t>
      </w:r>
      <w:r w:rsidRPr="00EE6CD9">
        <w:rPr>
          <w:sz w:val="24"/>
          <w:szCs w:val="24"/>
        </w:rPr>
        <w:t xml:space="preserve">and the Col7 background line. Plastidial </w:t>
      </w:r>
      <w:r w:rsidRPr="00EE6CD9">
        <w:rPr>
          <w:i/>
          <w:sz w:val="24"/>
          <w:szCs w:val="24"/>
        </w:rPr>
        <w:t>MDHAR6</w:t>
      </w:r>
      <w:r w:rsidRPr="00EE6CD9">
        <w:rPr>
          <w:sz w:val="24"/>
          <w:szCs w:val="24"/>
        </w:rPr>
        <w:t xml:space="preserve"> partially restored TNT toxicity, while expression of the mitochondrial form completely restored TNT toxicity (Fig. </w:t>
      </w:r>
      <w:r w:rsidR="000E4AD3">
        <w:rPr>
          <w:sz w:val="24"/>
          <w:szCs w:val="24"/>
        </w:rPr>
        <w:t>2</w:t>
      </w:r>
      <w:r w:rsidR="004B2818">
        <w:rPr>
          <w:sz w:val="24"/>
          <w:szCs w:val="24"/>
        </w:rPr>
        <w:t>, S3 and S4</w:t>
      </w:r>
      <w:r w:rsidRPr="00EE6CD9">
        <w:rPr>
          <w:sz w:val="24"/>
          <w:szCs w:val="24"/>
        </w:rPr>
        <w:t xml:space="preserve">). </w:t>
      </w:r>
    </w:p>
    <w:p w:rsidR="00EE6CD9" w:rsidRPr="00EE6CD9" w:rsidRDefault="00EE6CD9" w:rsidP="00E80156">
      <w:pPr>
        <w:spacing w:beforeLines="120" w:before="288"/>
        <w:rPr>
          <w:sz w:val="24"/>
          <w:szCs w:val="24"/>
        </w:rPr>
      </w:pPr>
      <w:r w:rsidRPr="00EE6CD9">
        <w:rPr>
          <w:sz w:val="24"/>
          <w:szCs w:val="24"/>
        </w:rPr>
        <w:t xml:space="preserve">To investigate whether the enhanced tolerance was due to reduced TNT uptake, seedlings were transferred to liquid media, which was dosed with TNT, and the media sampled over three days. The mutants removed TNT from the media at equivalent rates to their </w:t>
      </w:r>
      <w:r w:rsidR="009A7E37">
        <w:rPr>
          <w:sz w:val="24"/>
          <w:szCs w:val="24"/>
        </w:rPr>
        <w:t>wild-type</w:t>
      </w:r>
      <w:r w:rsidRPr="00EE6CD9">
        <w:rPr>
          <w:sz w:val="24"/>
          <w:szCs w:val="24"/>
        </w:rPr>
        <w:t xml:space="preserve"> backgrounds, indicating that the TNT tolerance is not due to reduction in TNT uptake (Fig. </w:t>
      </w:r>
      <w:r w:rsidR="004B2818">
        <w:rPr>
          <w:sz w:val="24"/>
          <w:szCs w:val="24"/>
        </w:rPr>
        <w:t>S2</w:t>
      </w:r>
      <w:r w:rsidRPr="00EE6CD9">
        <w:rPr>
          <w:sz w:val="24"/>
          <w:szCs w:val="24"/>
        </w:rPr>
        <w:t xml:space="preserve">). </w:t>
      </w:r>
    </w:p>
    <w:p w:rsidR="00EE6CD9" w:rsidRPr="00EE6CD9" w:rsidRDefault="00EE6CD9" w:rsidP="00E80156">
      <w:pPr>
        <w:spacing w:beforeLines="120" w:before="288"/>
        <w:rPr>
          <w:sz w:val="24"/>
          <w:szCs w:val="24"/>
        </w:rPr>
      </w:pPr>
      <w:r w:rsidRPr="00EE6CD9">
        <w:rPr>
          <w:sz w:val="24"/>
          <w:szCs w:val="24"/>
        </w:rPr>
        <w:t xml:space="preserve">Uptake of TNT from soil by Col7 and </w:t>
      </w:r>
      <w:r w:rsidRPr="00EE6CD9">
        <w:rPr>
          <w:i/>
          <w:sz w:val="24"/>
          <w:szCs w:val="24"/>
        </w:rPr>
        <w:t xml:space="preserve">mdhar6-1 </w:t>
      </w:r>
      <w:r w:rsidRPr="00EE6CD9">
        <w:rPr>
          <w:sz w:val="24"/>
          <w:szCs w:val="24"/>
        </w:rPr>
        <w:t xml:space="preserve">was also tested; TNT binds strongly to </w:t>
      </w:r>
      <w:proofErr w:type="spellStart"/>
      <w:r w:rsidRPr="00EE6CD9">
        <w:rPr>
          <w:sz w:val="24"/>
          <w:szCs w:val="24"/>
        </w:rPr>
        <w:t>humic</w:t>
      </w:r>
      <w:proofErr w:type="spellEnd"/>
      <w:r w:rsidRPr="00EE6CD9">
        <w:rPr>
          <w:sz w:val="24"/>
          <w:szCs w:val="24"/>
        </w:rPr>
        <w:t xml:space="preserve"> fractions of soil, and on artillery ranges reaches </w:t>
      </w:r>
      <w:r w:rsidR="00542029">
        <w:rPr>
          <w:sz w:val="24"/>
          <w:szCs w:val="24"/>
        </w:rPr>
        <w:t xml:space="preserve">concentrations </w:t>
      </w:r>
      <w:r w:rsidRPr="00EE6CD9">
        <w:rPr>
          <w:sz w:val="24"/>
          <w:szCs w:val="24"/>
        </w:rPr>
        <w:t>over 100 mg TNT/kg soil</w:t>
      </w:r>
      <w:r>
        <w:rPr>
          <w:sz w:val="24"/>
          <w:szCs w:val="24"/>
        </w:rPr>
        <w:t xml:space="preserve"> (</w:t>
      </w:r>
      <w:r w:rsidRPr="00EE6CD9">
        <w:rPr>
          <w:i/>
          <w:sz w:val="24"/>
          <w:szCs w:val="24"/>
        </w:rPr>
        <w:t>17</w:t>
      </w:r>
      <w:r>
        <w:rPr>
          <w:sz w:val="24"/>
          <w:szCs w:val="24"/>
        </w:rPr>
        <w:t>)</w:t>
      </w:r>
      <w:r w:rsidRPr="00EE6CD9">
        <w:rPr>
          <w:sz w:val="24"/>
          <w:szCs w:val="24"/>
        </w:rPr>
        <w:t xml:space="preserve">.  When young </w:t>
      </w:r>
      <w:r w:rsidR="00542029">
        <w:rPr>
          <w:sz w:val="24"/>
          <w:szCs w:val="24"/>
        </w:rPr>
        <w:t xml:space="preserve">Arabidopsis </w:t>
      </w:r>
      <w:r w:rsidRPr="00EE6CD9">
        <w:rPr>
          <w:sz w:val="24"/>
          <w:szCs w:val="24"/>
        </w:rPr>
        <w:t xml:space="preserve">seedlings were transferred to 100 mg TNT/kg soil and grown for 5 weeks, </w:t>
      </w:r>
      <w:r w:rsidR="00BB7FBC">
        <w:rPr>
          <w:sz w:val="24"/>
          <w:szCs w:val="24"/>
        </w:rPr>
        <w:t>40</w:t>
      </w:r>
      <w:r w:rsidR="00BB7FBC" w:rsidRPr="00EE6CD9">
        <w:rPr>
          <w:sz w:val="24"/>
          <w:szCs w:val="24"/>
        </w:rPr>
        <w:t xml:space="preserve"> </w:t>
      </w:r>
      <w:r w:rsidRPr="00EE6CD9">
        <w:rPr>
          <w:sz w:val="24"/>
          <w:szCs w:val="24"/>
        </w:rPr>
        <w:t xml:space="preserve">% more TNT was recoverable from soil treated with Col7 plants compared with </w:t>
      </w:r>
      <w:r w:rsidRPr="00EE6CD9">
        <w:rPr>
          <w:i/>
          <w:sz w:val="24"/>
          <w:szCs w:val="24"/>
        </w:rPr>
        <w:t xml:space="preserve">mdhar6-1 </w:t>
      </w:r>
      <w:r w:rsidRPr="00EE6CD9">
        <w:rPr>
          <w:sz w:val="24"/>
          <w:szCs w:val="24"/>
        </w:rPr>
        <w:t>(</w:t>
      </w:r>
      <w:r w:rsidR="00BB7FBC">
        <w:rPr>
          <w:sz w:val="24"/>
          <w:szCs w:val="24"/>
        </w:rPr>
        <w:t xml:space="preserve">Table </w:t>
      </w:r>
      <w:r w:rsidR="00E13F09">
        <w:rPr>
          <w:sz w:val="24"/>
          <w:szCs w:val="24"/>
        </w:rPr>
        <w:t>S</w:t>
      </w:r>
      <w:r w:rsidR="00BB7FBC">
        <w:rPr>
          <w:sz w:val="24"/>
          <w:szCs w:val="24"/>
        </w:rPr>
        <w:t>1</w:t>
      </w:r>
      <w:r w:rsidRPr="00EE6CD9">
        <w:rPr>
          <w:sz w:val="24"/>
          <w:szCs w:val="24"/>
        </w:rPr>
        <w:t>).</w:t>
      </w:r>
    </w:p>
    <w:p w:rsidR="00905BAB" w:rsidRPr="00C1405E" w:rsidRDefault="00493476" w:rsidP="00E80156">
      <w:pPr>
        <w:spacing w:beforeLines="120" w:before="288"/>
        <w:rPr>
          <w:b/>
          <w:sz w:val="24"/>
          <w:szCs w:val="24"/>
        </w:rPr>
      </w:pPr>
      <w:r>
        <w:rPr>
          <w:b/>
          <w:sz w:val="24"/>
          <w:szCs w:val="24"/>
        </w:rPr>
        <w:t>S</w:t>
      </w:r>
      <w:r w:rsidR="00905BAB">
        <w:rPr>
          <w:b/>
          <w:sz w:val="24"/>
          <w:szCs w:val="24"/>
        </w:rPr>
        <w:t xml:space="preserve">tress tolerance of </w:t>
      </w:r>
      <w:r w:rsidR="00905BAB">
        <w:rPr>
          <w:b/>
          <w:i/>
          <w:sz w:val="24"/>
          <w:szCs w:val="24"/>
        </w:rPr>
        <w:t xml:space="preserve">mdhar6 </w:t>
      </w:r>
      <w:r w:rsidR="00905BAB">
        <w:rPr>
          <w:b/>
          <w:sz w:val="24"/>
          <w:szCs w:val="24"/>
        </w:rPr>
        <w:t>mutants is specific to TNT</w:t>
      </w:r>
    </w:p>
    <w:p w:rsidR="00EE6CD9" w:rsidRPr="00EE6CD9" w:rsidRDefault="00EE6CD9" w:rsidP="00E80156">
      <w:pPr>
        <w:spacing w:beforeLines="120" w:before="288"/>
        <w:rPr>
          <w:sz w:val="24"/>
          <w:szCs w:val="24"/>
        </w:rPr>
      </w:pPr>
      <w:r w:rsidRPr="00EE6CD9">
        <w:rPr>
          <w:sz w:val="24"/>
          <w:szCs w:val="24"/>
        </w:rPr>
        <w:t xml:space="preserve">To investigate whether MDHAR6 deficiency confers resistance to other stresses, Col7 and </w:t>
      </w:r>
      <w:r w:rsidRPr="00EE6CD9">
        <w:rPr>
          <w:i/>
          <w:sz w:val="24"/>
          <w:szCs w:val="24"/>
        </w:rPr>
        <w:t xml:space="preserve">mdhar6-1 </w:t>
      </w:r>
      <w:r w:rsidRPr="00EE6CD9">
        <w:rPr>
          <w:sz w:val="24"/>
          <w:szCs w:val="24"/>
        </w:rPr>
        <w:t xml:space="preserve">were germinated on media supplemented with </w:t>
      </w:r>
      <w:proofErr w:type="spellStart"/>
      <w:r w:rsidRPr="00EE6CD9">
        <w:rPr>
          <w:sz w:val="24"/>
          <w:szCs w:val="24"/>
        </w:rPr>
        <w:t>NaCl</w:t>
      </w:r>
      <w:proofErr w:type="spellEnd"/>
      <w:r w:rsidRPr="00EE6CD9">
        <w:rPr>
          <w:sz w:val="24"/>
          <w:szCs w:val="24"/>
        </w:rPr>
        <w:t xml:space="preserve">, sorbitol, methyl </w:t>
      </w:r>
      <w:proofErr w:type="spellStart"/>
      <w:r w:rsidRPr="00EE6CD9">
        <w:rPr>
          <w:sz w:val="24"/>
          <w:szCs w:val="24"/>
        </w:rPr>
        <w:t>viologen</w:t>
      </w:r>
      <w:proofErr w:type="spellEnd"/>
      <w:r w:rsidRPr="00EE6CD9">
        <w:rPr>
          <w:sz w:val="24"/>
          <w:szCs w:val="24"/>
        </w:rPr>
        <w:t xml:space="preserve"> (</w:t>
      </w:r>
      <w:proofErr w:type="spellStart"/>
      <w:r w:rsidRPr="00EE6CD9">
        <w:rPr>
          <w:sz w:val="24"/>
          <w:szCs w:val="24"/>
        </w:rPr>
        <w:t>Paraquat</w:t>
      </w:r>
      <w:proofErr w:type="spellEnd"/>
      <w:r w:rsidRPr="00EE6CD9">
        <w:rPr>
          <w:sz w:val="24"/>
          <w:szCs w:val="24"/>
        </w:rPr>
        <w:t>)</w:t>
      </w:r>
      <w:r w:rsidR="00542029">
        <w:rPr>
          <w:sz w:val="24"/>
          <w:szCs w:val="24"/>
        </w:rPr>
        <w:t>,</w:t>
      </w:r>
      <w:r w:rsidRPr="00EE6CD9">
        <w:rPr>
          <w:sz w:val="24"/>
          <w:szCs w:val="24"/>
        </w:rPr>
        <w:t xml:space="preserve"> or hydrogen peroxide up to lethal concentrations, and root lengths were measured. No enhanced tolerance in </w:t>
      </w:r>
      <w:r w:rsidRPr="00EE6CD9">
        <w:rPr>
          <w:i/>
          <w:sz w:val="24"/>
          <w:szCs w:val="24"/>
        </w:rPr>
        <w:t>mdhar6-1</w:t>
      </w:r>
      <w:r w:rsidRPr="00EE6CD9">
        <w:rPr>
          <w:sz w:val="24"/>
          <w:szCs w:val="24"/>
        </w:rPr>
        <w:t xml:space="preserve"> was identified (Fig. </w:t>
      </w:r>
      <w:r w:rsidR="00A0408E">
        <w:rPr>
          <w:sz w:val="24"/>
          <w:szCs w:val="24"/>
        </w:rPr>
        <w:t>S5</w:t>
      </w:r>
      <w:r w:rsidRPr="00EE6CD9">
        <w:rPr>
          <w:sz w:val="24"/>
          <w:szCs w:val="24"/>
        </w:rPr>
        <w:t>), indicating that the tolerance to TNT is not due to enhanced general defen</w:t>
      </w:r>
      <w:r w:rsidR="005C396A">
        <w:rPr>
          <w:sz w:val="24"/>
          <w:szCs w:val="24"/>
        </w:rPr>
        <w:t>s</w:t>
      </w:r>
      <w:r w:rsidRPr="00EE6CD9">
        <w:rPr>
          <w:sz w:val="24"/>
          <w:szCs w:val="24"/>
        </w:rPr>
        <w:t>es.</w:t>
      </w:r>
    </w:p>
    <w:p w:rsidR="00EE6CD9" w:rsidRPr="00EE6CD9" w:rsidRDefault="00EE6CD9" w:rsidP="00E80156">
      <w:pPr>
        <w:spacing w:beforeLines="120" w:before="288"/>
        <w:rPr>
          <w:sz w:val="24"/>
          <w:szCs w:val="24"/>
        </w:rPr>
      </w:pPr>
      <w:r w:rsidRPr="00EE6CD9">
        <w:rPr>
          <w:sz w:val="24"/>
          <w:szCs w:val="24"/>
        </w:rPr>
        <w:lastRenderedPageBreak/>
        <w:t xml:space="preserve">Considering that MDHAR6 is the only </w:t>
      </w:r>
      <w:r w:rsidR="00E13F09">
        <w:rPr>
          <w:sz w:val="24"/>
          <w:szCs w:val="24"/>
        </w:rPr>
        <w:t>mitochondria and plastid</w:t>
      </w:r>
      <w:r w:rsidRPr="00EE6CD9">
        <w:rPr>
          <w:sz w:val="24"/>
          <w:szCs w:val="24"/>
        </w:rPr>
        <w:t xml:space="preserve">-targeted MDHAR in </w:t>
      </w:r>
      <w:r w:rsidRPr="00EE6CD9">
        <w:rPr>
          <w:i/>
          <w:sz w:val="24"/>
          <w:szCs w:val="24"/>
        </w:rPr>
        <w:t>Arabidopsis</w:t>
      </w:r>
      <w:r w:rsidRPr="00EE6CD9">
        <w:rPr>
          <w:sz w:val="24"/>
          <w:szCs w:val="24"/>
        </w:rPr>
        <w:t>, it is surprising that</w:t>
      </w:r>
      <w:r w:rsidR="00AE15CF">
        <w:rPr>
          <w:sz w:val="24"/>
          <w:szCs w:val="24"/>
        </w:rPr>
        <w:t xml:space="preserve"> plants carrying mutations in MDHAR6 were not</w:t>
      </w:r>
      <w:r w:rsidRPr="00EE6CD9">
        <w:rPr>
          <w:sz w:val="24"/>
          <w:szCs w:val="24"/>
        </w:rPr>
        <w:t xml:space="preserve"> more susceptible to </w:t>
      </w:r>
      <w:r w:rsidR="00493476">
        <w:rPr>
          <w:sz w:val="24"/>
          <w:szCs w:val="24"/>
        </w:rPr>
        <w:t>environmental</w:t>
      </w:r>
      <w:r w:rsidRPr="00EE6CD9">
        <w:rPr>
          <w:sz w:val="24"/>
          <w:szCs w:val="24"/>
        </w:rPr>
        <w:t xml:space="preserve"> stresses.  The </w:t>
      </w:r>
      <w:r w:rsidRPr="00EE6CD9">
        <w:rPr>
          <w:i/>
          <w:sz w:val="24"/>
          <w:szCs w:val="24"/>
        </w:rPr>
        <w:t xml:space="preserve">mdhar6-1 </w:t>
      </w:r>
      <w:r w:rsidRPr="00EE6CD9">
        <w:rPr>
          <w:sz w:val="24"/>
          <w:szCs w:val="24"/>
        </w:rPr>
        <w:t>plants are indistinguishable from wild</w:t>
      </w:r>
      <w:r w:rsidR="005E309F">
        <w:rPr>
          <w:sz w:val="24"/>
          <w:szCs w:val="24"/>
        </w:rPr>
        <w:t>-</w:t>
      </w:r>
      <w:r w:rsidRPr="00EE6CD9">
        <w:rPr>
          <w:sz w:val="24"/>
          <w:szCs w:val="24"/>
        </w:rPr>
        <w:t>type throughout development, and as robust as wild</w:t>
      </w:r>
      <w:r w:rsidR="005E309F">
        <w:rPr>
          <w:sz w:val="24"/>
          <w:szCs w:val="24"/>
        </w:rPr>
        <w:t>-</w:t>
      </w:r>
      <w:r w:rsidRPr="00EE6CD9">
        <w:rPr>
          <w:sz w:val="24"/>
          <w:szCs w:val="24"/>
        </w:rPr>
        <w:t>type when grown in uncontaminated soil. This raises new questions as to the role of plastidial and mitochondrial MDHAR6 in protecting plants from</w:t>
      </w:r>
      <w:r w:rsidR="00493476">
        <w:rPr>
          <w:sz w:val="24"/>
          <w:szCs w:val="24"/>
        </w:rPr>
        <w:t xml:space="preserve"> oxidative stress.</w:t>
      </w:r>
      <w:r w:rsidRPr="00EE6CD9">
        <w:rPr>
          <w:sz w:val="24"/>
          <w:szCs w:val="24"/>
        </w:rPr>
        <w:t xml:space="preserve"> </w:t>
      </w:r>
      <w:r w:rsidR="00493476">
        <w:rPr>
          <w:sz w:val="24"/>
          <w:szCs w:val="24"/>
        </w:rPr>
        <w:t>Ascorbate</w:t>
      </w:r>
      <w:r w:rsidRPr="00EE6CD9">
        <w:rPr>
          <w:sz w:val="24"/>
          <w:szCs w:val="24"/>
        </w:rPr>
        <w:t xml:space="preserve"> deficiency could be complemented by other antioxidant and/or </w:t>
      </w:r>
      <w:r w:rsidR="00FD0CF9">
        <w:rPr>
          <w:sz w:val="24"/>
          <w:szCs w:val="24"/>
        </w:rPr>
        <w:t xml:space="preserve">enzyme </w:t>
      </w:r>
      <w:r w:rsidRPr="00EE6CD9">
        <w:rPr>
          <w:sz w:val="24"/>
          <w:szCs w:val="24"/>
        </w:rPr>
        <w:t xml:space="preserve">activity, including </w:t>
      </w:r>
      <w:proofErr w:type="spellStart"/>
      <w:r w:rsidRPr="00EE6CD9">
        <w:rPr>
          <w:sz w:val="24"/>
          <w:szCs w:val="24"/>
        </w:rPr>
        <w:t>dehydroascorbate</w:t>
      </w:r>
      <w:proofErr w:type="spellEnd"/>
      <w:r w:rsidRPr="00EE6CD9">
        <w:rPr>
          <w:sz w:val="24"/>
          <w:szCs w:val="24"/>
        </w:rPr>
        <w:t xml:space="preserve"> reductase, which reduces </w:t>
      </w:r>
      <w:proofErr w:type="spellStart"/>
      <w:r w:rsidRPr="00EE6CD9">
        <w:rPr>
          <w:sz w:val="24"/>
          <w:szCs w:val="24"/>
        </w:rPr>
        <w:t>dehydroascorbate</w:t>
      </w:r>
      <w:proofErr w:type="spellEnd"/>
      <w:r w:rsidRPr="00EE6CD9">
        <w:rPr>
          <w:sz w:val="24"/>
          <w:szCs w:val="24"/>
        </w:rPr>
        <w:t xml:space="preserve">, </w:t>
      </w:r>
      <w:r w:rsidR="00E34072">
        <w:rPr>
          <w:sz w:val="24"/>
          <w:szCs w:val="24"/>
        </w:rPr>
        <w:t>using gl</w:t>
      </w:r>
      <w:r w:rsidR="00493476">
        <w:rPr>
          <w:sz w:val="24"/>
          <w:szCs w:val="24"/>
        </w:rPr>
        <w:t>utathione as the electron donor</w:t>
      </w:r>
      <w:r>
        <w:rPr>
          <w:sz w:val="24"/>
          <w:szCs w:val="24"/>
        </w:rPr>
        <w:t xml:space="preserve"> (</w:t>
      </w:r>
      <w:r w:rsidRPr="00EE6CD9">
        <w:rPr>
          <w:i/>
          <w:sz w:val="24"/>
          <w:szCs w:val="24"/>
        </w:rPr>
        <w:t>18</w:t>
      </w:r>
      <w:r>
        <w:rPr>
          <w:sz w:val="24"/>
          <w:szCs w:val="24"/>
        </w:rPr>
        <w:t>)</w:t>
      </w:r>
      <w:r w:rsidRPr="00EE6CD9">
        <w:rPr>
          <w:sz w:val="24"/>
          <w:szCs w:val="24"/>
        </w:rPr>
        <w:t>.</w:t>
      </w:r>
    </w:p>
    <w:p w:rsidR="00F85F0A" w:rsidRDefault="00EE6CD9" w:rsidP="00E80156">
      <w:pPr>
        <w:spacing w:beforeLines="120" w:before="288"/>
        <w:rPr>
          <w:sz w:val="24"/>
          <w:szCs w:val="24"/>
        </w:rPr>
      </w:pPr>
      <w:r w:rsidRPr="00EE6CD9">
        <w:rPr>
          <w:sz w:val="24"/>
          <w:szCs w:val="24"/>
        </w:rPr>
        <w:t xml:space="preserve">Conjugation of reduced glutathione to TNT </w:t>
      </w:r>
      <w:r w:rsidR="00AE15CF">
        <w:rPr>
          <w:sz w:val="24"/>
          <w:szCs w:val="24"/>
        </w:rPr>
        <w:t xml:space="preserve">serves to </w:t>
      </w:r>
      <w:r w:rsidRPr="00EE6CD9">
        <w:rPr>
          <w:sz w:val="24"/>
          <w:szCs w:val="24"/>
        </w:rPr>
        <w:t>detoxify the pollutant</w:t>
      </w:r>
      <w:r>
        <w:rPr>
          <w:sz w:val="24"/>
          <w:szCs w:val="24"/>
        </w:rPr>
        <w:t xml:space="preserve"> (</w:t>
      </w:r>
      <w:r w:rsidRPr="00EE6CD9">
        <w:rPr>
          <w:i/>
          <w:sz w:val="24"/>
          <w:szCs w:val="24"/>
        </w:rPr>
        <w:t>9</w:t>
      </w:r>
      <w:r>
        <w:rPr>
          <w:sz w:val="24"/>
          <w:szCs w:val="24"/>
        </w:rPr>
        <w:t>)</w:t>
      </w:r>
      <w:r w:rsidR="00AE15CF">
        <w:rPr>
          <w:sz w:val="24"/>
          <w:szCs w:val="24"/>
        </w:rPr>
        <w:t>. A</w:t>
      </w:r>
      <w:r w:rsidRPr="00EE6CD9">
        <w:rPr>
          <w:sz w:val="24"/>
          <w:szCs w:val="24"/>
        </w:rPr>
        <w:t>s ascorbate and glutathione are coupled antioxidants</w:t>
      </w:r>
      <w:r>
        <w:rPr>
          <w:sz w:val="24"/>
          <w:szCs w:val="24"/>
        </w:rPr>
        <w:t xml:space="preserve"> (</w:t>
      </w:r>
      <w:r w:rsidRPr="00EE6CD9">
        <w:rPr>
          <w:i/>
          <w:sz w:val="24"/>
          <w:szCs w:val="24"/>
        </w:rPr>
        <w:t>18</w:t>
      </w:r>
      <w:r>
        <w:rPr>
          <w:sz w:val="24"/>
          <w:szCs w:val="24"/>
        </w:rPr>
        <w:t>)</w:t>
      </w:r>
      <w:r w:rsidRPr="00EE6CD9">
        <w:rPr>
          <w:sz w:val="24"/>
          <w:szCs w:val="24"/>
        </w:rPr>
        <w:t xml:space="preserve">, </w:t>
      </w:r>
      <w:r w:rsidR="00AE15CF">
        <w:rPr>
          <w:sz w:val="24"/>
          <w:szCs w:val="24"/>
        </w:rPr>
        <w:t xml:space="preserve">we investigated </w:t>
      </w:r>
      <w:r w:rsidRPr="00EE6CD9">
        <w:rPr>
          <w:sz w:val="24"/>
          <w:szCs w:val="24"/>
        </w:rPr>
        <w:t>the effect of MDHAR6 deficiency on ascorbate and glutathione levels</w:t>
      </w:r>
      <w:r w:rsidR="00AE15CF">
        <w:rPr>
          <w:sz w:val="24"/>
          <w:szCs w:val="24"/>
        </w:rPr>
        <w:t>.  T</w:t>
      </w:r>
      <w:r w:rsidRPr="00EE6CD9">
        <w:rPr>
          <w:sz w:val="24"/>
          <w:szCs w:val="24"/>
        </w:rPr>
        <w:t xml:space="preserve">here were no differences between Col7 and </w:t>
      </w:r>
      <w:r w:rsidRPr="00EE6CD9">
        <w:rPr>
          <w:i/>
          <w:sz w:val="24"/>
          <w:szCs w:val="24"/>
        </w:rPr>
        <w:t xml:space="preserve">mdhar6-1 </w:t>
      </w:r>
      <w:r w:rsidRPr="00EE6CD9">
        <w:rPr>
          <w:sz w:val="24"/>
          <w:szCs w:val="24"/>
        </w:rPr>
        <w:t xml:space="preserve">seedling </w:t>
      </w:r>
      <w:proofErr w:type="gramStart"/>
      <w:r w:rsidRPr="00EE6CD9">
        <w:rPr>
          <w:sz w:val="24"/>
          <w:szCs w:val="24"/>
        </w:rPr>
        <w:t>leaves,</w:t>
      </w:r>
      <w:proofErr w:type="gramEnd"/>
      <w:r w:rsidRPr="00EE6CD9">
        <w:rPr>
          <w:sz w:val="24"/>
          <w:szCs w:val="24"/>
        </w:rPr>
        <w:t xml:space="preserve"> however </w:t>
      </w:r>
      <w:r w:rsidRPr="00EE6CD9">
        <w:rPr>
          <w:i/>
          <w:sz w:val="24"/>
          <w:szCs w:val="24"/>
        </w:rPr>
        <w:t xml:space="preserve">mdhar6-1 </w:t>
      </w:r>
      <w:r w:rsidRPr="00EE6CD9">
        <w:rPr>
          <w:sz w:val="24"/>
          <w:szCs w:val="24"/>
        </w:rPr>
        <w:t xml:space="preserve">roots contained 26 % more glutathione than </w:t>
      </w:r>
      <w:r w:rsidR="009A7E37">
        <w:rPr>
          <w:sz w:val="24"/>
          <w:szCs w:val="24"/>
        </w:rPr>
        <w:t>wild-type</w:t>
      </w:r>
      <w:r w:rsidRPr="00EE6CD9">
        <w:rPr>
          <w:sz w:val="24"/>
          <w:szCs w:val="24"/>
        </w:rPr>
        <w:t xml:space="preserve">, with no difference in percentage oxidation (Fig. </w:t>
      </w:r>
      <w:r w:rsidR="00A0408E">
        <w:rPr>
          <w:sz w:val="24"/>
          <w:szCs w:val="24"/>
        </w:rPr>
        <w:t>S6</w:t>
      </w:r>
      <w:r w:rsidR="00283B6A">
        <w:rPr>
          <w:sz w:val="24"/>
          <w:szCs w:val="24"/>
        </w:rPr>
        <w:t xml:space="preserve">). </w:t>
      </w:r>
      <w:r w:rsidR="00F85F0A">
        <w:rPr>
          <w:sz w:val="24"/>
          <w:szCs w:val="24"/>
        </w:rPr>
        <w:t>W</w:t>
      </w:r>
      <w:r w:rsidRPr="00EE6CD9">
        <w:rPr>
          <w:sz w:val="24"/>
          <w:szCs w:val="24"/>
        </w:rPr>
        <w:t xml:space="preserve">hen whole seedlings were grown in the already more stressful conditions of liquid culture, and treated with TNT or a control treatment, </w:t>
      </w:r>
      <w:r w:rsidR="00AE15CF">
        <w:rPr>
          <w:sz w:val="24"/>
          <w:szCs w:val="24"/>
        </w:rPr>
        <w:t xml:space="preserve">we found </w:t>
      </w:r>
      <w:r w:rsidRPr="00EE6CD9">
        <w:rPr>
          <w:sz w:val="24"/>
          <w:szCs w:val="24"/>
        </w:rPr>
        <w:t xml:space="preserve">no significant differences between Col7 and </w:t>
      </w:r>
      <w:r w:rsidRPr="00EE6CD9">
        <w:rPr>
          <w:i/>
          <w:sz w:val="24"/>
          <w:szCs w:val="24"/>
        </w:rPr>
        <w:t xml:space="preserve">mdhar6-1 </w:t>
      </w:r>
      <w:r w:rsidRPr="00EE6CD9">
        <w:rPr>
          <w:sz w:val="24"/>
          <w:szCs w:val="24"/>
        </w:rPr>
        <w:t>ascorbate and glutathione levels and percentage oxidation (Fig</w:t>
      </w:r>
      <w:r w:rsidR="00343427">
        <w:rPr>
          <w:sz w:val="24"/>
          <w:szCs w:val="24"/>
        </w:rPr>
        <w:t>.</w:t>
      </w:r>
      <w:r w:rsidRPr="00EE6CD9">
        <w:rPr>
          <w:sz w:val="24"/>
          <w:szCs w:val="24"/>
        </w:rPr>
        <w:t xml:space="preserve"> </w:t>
      </w:r>
      <w:r w:rsidR="00A0408E">
        <w:rPr>
          <w:sz w:val="24"/>
          <w:szCs w:val="24"/>
        </w:rPr>
        <w:t>S6</w:t>
      </w:r>
      <w:r w:rsidRPr="00EE6CD9">
        <w:rPr>
          <w:sz w:val="24"/>
          <w:szCs w:val="24"/>
        </w:rPr>
        <w:t>), suggesting that differences in glutathione levels do not account for the increase in TNT tolerance.</w:t>
      </w:r>
    </w:p>
    <w:p w:rsidR="00F85F0A" w:rsidRPr="00D33A95" w:rsidRDefault="00F85F0A" w:rsidP="00A4599B">
      <w:pPr>
        <w:spacing w:beforeLines="120" w:before="288"/>
      </w:pPr>
      <w:r>
        <w:rPr>
          <w:sz w:val="24"/>
          <w:szCs w:val="24"/>
        </w:rPr>
        <w:t xml:space="preserve">To </w:t>
      </w:r>
      <w:r w:rsidR="008751CB">
        <w:rPr>
          <w:sz w:val="24"/>
          <w:szCs w:val="24"/>
        </w:rPr>
        <w:t xml:space="preserve">further </w:t>
      </w:r>
      <w:r>
        <w:rPr>
          <w:sz w:val="24"/>
          <w:szCs w:val="24"/>
        </w:rPr>
        <w:t xml:space="preserve">test if the increased glutathione level observed in </w:t>
      </w:r>
      <w:r>
        <w:rPr>
          <w:i/>
          <w:sz w:val="24"/>
          <w:szCs w:val="24"/>
        </w:rPr>
        <w:t xml:space="preserve">mdhar6-1 </w:t>
      </w:r>
      <w:r>
        <w:rPr>
          <w:sz w:val="24"/>
          <w:szCs w:val="24"/>
        </w:rPr>
        <w:t>roots (Fig</w:t>
      </w:r>
      <w:r w:rsidR="00D10164">
        <w:rPr>
          <w:sz w:val="24"/>
          <w:szCs w:val="24"/>
        </w:rPr>
        <w:t>. S6) is involved in promoting TNT tolerance, studies using</w:t>
      </w:r>
      <w:r w:rsidR="00550FB3">
        <w:rPr>
          <w:sz w:val="24"/>
          <w:szCs w:val="24"/>
        </w:rPr>
        <w:t xml:space="preserve"> the</w:t>
      </w:r>
      <w:bookmarkStart w:id="0" w:name="_GoBack"/>
      <w:bookmarkEnd w:id="0"/>
      <w:r w:rsidR="00D10164">
        <w:rPr>
          <w:sz w:val="24"/>
          <w:szCs w:val="24"/>
        </w:rPr>
        <w:t xml:space="preserve"> glutathione synthesis blocker </w:t>
      </w:r>
      <w:proofErr w:type="spellStart"/>
      <w:r w:rsidR="00D10164">
        <w:rPr>
          <w:sz w:val="24"/>
          <w:szCs w:val="24"/>
        </w:rPr>
        <w:t>buthionine</w:t>
      </w:r>
      <w:proofErr w:type="spellEnd"/>
      <w:r w:rsidR="00D10164">
        <w:rPr>
          <w:sz w:val="24"/>
          <w:szCs w:val="24"/>
        </w:rPr>
        <w:t xml:space="preserve"> </w:t>
      </w:r>
      <w:proofErr w:type="spellStart"/>
      <w:r w:rsidR="00D10164">
        <w:rPr>
          <w:sz w:val="24"/>
          <w:szCs w:val="24"/>
        </w:rPr>
        <w:t>sulfoxi</w:t>
      </w:r>
      <w:r w:rsidR="00973510">
        <w:rPr>
          <w:sz w:val="24"/>
          <w:szCs w:val="24"/>
        </w:rPr>
        <w:t>mine</w:t>
      </w:r>
      <w:proofErr w:type="spellEnd"/>
      <w:r w:rsidR="00D10164">
        <w:rPr>
          <w:sz w:val="24"/>
          <w:szCs w:val="24"/>
        </w:rPr>
        <w:t xml:space="preserve"> (BSO), which inhibits γ-</w:t>
      </w:r>
      <w:proofErr w:type="spellStart"/>
      <w:r w:rsidR="00D10164">
        <w:rPr>
          <w:sz w:val="24"/>
          <w:szCs w:val="24"/>
        </w:rPr>
        <w:t>glutamylcysteine</w:t>
      </w:r>
      <w:proofErr w:type="spellEnd"/>
      <w:r w:rsidR="00D10164">
        <w:rPr>
          <w:sz w:val="24"/>
          <w:szCs w:val="24"/>
        </w:rPr>
        <w:t xml:space="preserve"> </w:t>
      </w:r>
      <w:proofErr w:type="spellStart"/>
      <w:r w:rsidR="00D10164">
        <w:rPr>
          <w:sz w:val="24"/>
          <w:szCs w:val="24"/>
        </w:rPr>
        <w:t>synthetase</w:t>
      </w:r>
      <w:proofErr w:type="spellEnd"/>
      <w:r w:rsidR="00D10164">
        <w:rPr>
          <w:sz w:val="24"/>
          <w:szCs w:val="24"/>
        </w:rPr>
        <w:t xml:space="preserve"> (</w:t>
      </w:r>
      <w:r w:rsidR="00D10164">
        <w:rPr>
          <w:i/>
          <w:sz w:val="24"/>
          <w:szCs w:val="24"/>
        </w:rPr>
        <w:t>19</w:t>
      </w:r>
      <w:r w:rsidR="00D10164">
        <w:rPr>
          <w:sz w:val="24"/>
          <w:szCs w:val="24"/>
        </w:rPr>
        <w:t>)</w:t>
      </w:r>
      <w:r w:rsidR="009E3C21">
        <w:rPr>
          <w:sz w:val="24"/>
          <w:szCs w:val="24"/>
        </w:rPr>
        <w:t>,</w:t>
      </w:r>
      <w:r w:rsidR="00D10164">
        <w:rPr>
          <w:sz w:val="24"/>
          <w:szCs w:val="24"/>
        </w:rPr>
        <w:t xml:space="preserve"> were performed. Seedlings were grown for seven days on agar plates containing increasing levels of BSO in the presence or absence of TNT. In plates containing 250 </w:t>
      </w:r>
      <w:proofErr w:type="spellStart"/>
      <w:r w:rsidR="00D10164">
        <w:rPr>
          <w:sz w:val="24"/>
          <w:szCs w:val="24"/>
        </w:rPr>
        <w:t>μM</w:t>
      </w:r>
      <w:proofErr w:type="spellEnd"/>
      <w:r w:rsidR="00D10164">
        <w:rPr>
          <w:sz w:val="24"/>
          <w:szCs w:val="24"/>
        </w:rPr>
        <w:t xml:space="preserve"> BSO, </w:t>
      </w:r>
      <w:r w:rsidR="00D10164">
        <w:rPr>
          <w:i/>
          <w:sz w:val="24"/>
          <w:szCs w:val="24"/>
        </w:rPr>
        <w:t xml:space="preserve">mdhar6-1 </w:t>
      </w:r>
      <w:r w:rsidR="00D10164">
        <w:rPr>
          <w:sz w:val="24"/>
          <w:szCs w:val="24"/>
        </w:rPr>
        <w:t xml:space="preserve">seedlings remained more tolerant to 7 </w:t>
      </w:r>
      <w:proofErr w:type="spellStart"/>
      <w:r w:rsidR="00D10164">
        <w:rPr>
          <w:sz w:val="24"/>
          <w:szCs w:val="24"/>
        </w:rPr>
        <w:t>μM</w:t>
      </w:r>
      <w:proofErr w:type="spellEnd"/>
      <w:r w:rsidR="00D10164">
        <w:rPr>
          <w:sz w:val="24"/>
          <w:szCs w:val="24"/>
        </w:rPr>
        <w:t xml:space="preserve"> TNT than Col7 (Fig. S</w:t>
      </w:r>
      <w:r w:rsidR="00D33A95">
        <w:rPr>
          <w:sz w:val="24"/>
          <w:szCs w:val="24"/>
        </w:rPr>
        <w:t>7</w:t>
      </w:r>
      <w:r w:rsidR="00D10164">
        <w:rPr>
          <w:sz w:val="24"/>
          <w:szCs w:val="24"/>
        </w:rPr>
        <w:t xml:space="preserve">), indicating that the tolerance of </w:t>
      </w:r>
      <w:r w:rsidR="00D33A95">
        <w:rPr>
          <w:i/>
          <w:sz w:val="24"/>
          <w:szCs w:val="24"/>
        </w:rPr>
        <w:t xml:space="preserve">mdhar6-1 </w:t>
      </w:r>
      <w:r w:rsidR="00D33A95">
        <w:rPr>
          <w:sz w:val="24"/>
          <w:szCs w:val="24"/>
        </w:rPr>
        <w:t xml:space="preserve">to TNT is not coupled to a glutathione detoxification system. We also observed that </w:t>
      </w:r>
      <w:r w:rsidR="00D33A95">
        <w:rPr>
          <w:i/>
          <w:sz w:val="24"/>
          <w:szCs w:val="24"/>
        </w:rPr>
        <w:t xml:space="preserve">mdhar6-1 </w:t>
      </w:r>
      <w:r w:rsidR="00D33A95">
        <w:rPr>
          <w:sz w:val="24"/>
          <w:szCs w:val="24"/>
        </w:rPr>
        <w:t xml:space="preserve">seedlings had enhanced tolerance to BSO compared to Col7 seedlings, in the absence of TNT, indicating that the </w:t>
      </w:r>
      <w:r w:rsidR="00D33A95">
        <w:rPr>
          <w:i/>
          <w:sz w:val="24"/>
          <w:szCs w:val="24"/>
        </w:rPr>
        <w:t xml:space="preserve">mdhar6-1 </w:t>
      </w:r>
      <w:r w:rsidR="00D33A95">
        <w:rPr>
          <w:sz w:val="24"/>
          <w:szCs w:val="24"/>
        </w:rPr>
        <w:t xml:space="preserve">mutation causes additional </w:t>
      </w:r>
      <w:r w:rsidR="007D55ED">
        <w:rPr>
          <w:sz w:val="24"/>
          <w:szCs w:val="24"/>
        </w:rPr>
        <w:t>subcellular effects</w:t>
      </w:r>
      <w:r w:rsidR="00D33A95">
        <w:rPr>
          <w:sz w:val="24"/>
          <w:szCs w:val="24"/>
        </w:rPr>
        <w:t>.</w:t>
      </w:r>
    </w:p>
    <w:p w:rsidR="00EE6CD9" w:rsidRDefault="000E1716" w:rsidP="00A4599B">
      <w:pPr>
        <w:spacing w:beforeLines="120" w:before="288"/>
        <w:rPr>
          <w:rFonts w:eastAsia="Times New Roman"/>
          <w:sz w:val="24"/>
          <w:szCs w:val="24"/>
          <w:lang w:eastAsia="en-GB"/>
        </w:rPr>
      </w:pPr>
      <w:r w:rsidRPr="00EE6CD9">
        <w:rPr>
          <w:sz w:val="24"/>
          <w:szCs w:val="24"/>
        </w:rPr>
        <w:t>While</w:t>
      </w:r>
      <w:r w:rsidR="00EE6CD9" w:rsidRPr="00EE6CD9">
        <w:rPr>
          <w:sz w:val="24"/>
          <w:szCs w:val="24"/>
        </w:rPr>
        <w:t xml:space="preserve"> phenotyping our mutant lines, </w:t>
      </w:r>
      <w:r w:rsidR="00AE15CF">
        <w:rPr>
          <w:sz w:val="24"/>
          <w:szCs w:val="24"/>
        </w:rPr>
        <w:t xml:space="preserve">we </w:t>
      </w:r>
      <w:r w:rsidR="00283B6A">
        <w:rPr>
          <w:sz w:val="24"/>
          <w:szCs w:val="24"/>
        </w:rPr>
        <w:t>assayed</w:t>
      </w:r>
      <w:r w:rsidR="00AE15CF">
        <w:rPr>
          <w:sz w:val="24"/>
          <w:szCs w:val="24"/>
        </w:rPr>
        <w:t xml:space="preserve"> </w:t>
      </w:r>
      <w:r w:rsidR="00EE6CD9" w:rsidRPr="00EE6CD9">
        <w:rPr>
          <w:sz w:val="24"/>
          <w:szCs w:val="24"/>
        </w:rPr>
        <w:t>the activity of crude protein extract towards both the endogenous substrate MDA and towards TNT</w:t>
      </w:r>
      <w:r w:rsidR="00F87888">
        <w:rPr>
          <w:sz w:val="24"/>
          <w:szCs w:val="24"/>
        </w:rPr>
        <w:t>.</w:t>
      </w:r>
      <w:r w:rsidR="00EE6CD9" w:rsidRPr="00EE6CD9">
        <w:rPr>
          <w:sz w:val="24"/>
          <w:szCs w:val="24"/>
        </w:rPr>
        <w:t xml:space="preserve"> </w:t>
      </w:r>
      <w:r w:rsidR="00F87888" w:rsidRPr="00C1405E">
        <w:rPr>
          <w:rFonts w:eastAsia="Times New Roman"/>
          <w:sz w:val="24"/>
          <w:szCs w:val="24"/>
          <w:lang w:eastAsia="en-GB"/>
        </w:rPr>
        <w:t>Crude extract MDHAR act</w:t>
      </w:r>
      <w:r w:rsidR="00F87888">
        <w:rPr>
          <w:rFonts w:eastAsia="Times New Roman"/>
          <w:sz w:val="24"/>
          <w:szCs w:val="24"/>
          <w:lang w:eastAsia="en-GB"/>
        </w:rPr>
        <w:t>ivity differed between the wild-</w:t>
      </w:r>
      <w:r w:rsidR="00F87888" w:rsidRPr="00C1405E">
        <w:rPr>
          <w:rFonts w:eastAsia="Times New Roman"/>
          <w:sz w:val="24"/>
          <w:szCs w:val="24"/>
          <w:lang w:eastAsia="en-GB"/>
        </w:rPr>
        <w:t>type lines</w:t>
      </w:r>
      <w:r w:rsidR="00F87888">
        <w:rPr>
          <w:rFonts w:eastAsia="Times New Roman"/>
          <w:sz w:val="24"/>
          <w:szCs w:val="24"/>
          <w:lang w:eastAsia="en-GB"/>
        </w:rPr>
        <w:t xml:space="preserve"> (</w:t>
      </w:r>
      <w:r w:rsidR="00B71330">
        <w:rPr>
          <w:rFonts w:eastAsia="Times New Roman"/>
          <w:sz w:val="24"/>
          <w:szCs w:val="24"/>
          <w:lang w:eastAsia="en-GB"/>
        </w:rPr>
        <w:t xml:space="preserve">in roots, </w:t>
      </w:r>
      <w:r w:rsidR="00F87888">
        <w:rPr>
          <w:rFonts w:eastAsia="Times New Roman"/>
          <w:sz w:val="24"/>
          <w:szCs w:val="24"/>
          <w:lang w:eastAsia="en-GB"/>
        </w:rPr>
        <w:t>Col7</w:t>
      </w:r>
      <w:r w:rsidR="00D27F90">
        <w:rPr>
          <w:rFonts w:eastAsia="Times New Roman"/>
          <w:sz w:val="24"/>
          <w:szCs w:val="24"/>
          <w:lang w:eastAsia="en-GB"/>
        </w:rPr>
        <w:t xml:space="preserve"> </w:t>
      </w:r>
      <w:r w:rsidR="009E3C21">
        <w:rPr>
          <w:rFonts w:eastAsia="Times New Roman"/>
          <w:sz w:val="24"/>
          <w:szCs w:val="24"/>
          <w:lang w:eastAsia="en-GB"/>
        </w:rPr>
        <w:t>659</w:t>
      </w:r>
      <w:r w:rsidR="00F87888">
        <w:rPr>
          <w:rFonts w:eastAsia="Times New Roman"/>
          <w:sz w:val="24"/>
          <w:szCs w:val="24"/>
          <w:lang w:eastAsia="en-GB"/>
        </w:rPr>
        <w:t xml:space="preserve"> </w:t>
      </w:r>
      <w:r w:rsidR="00F87888" w:rsidRPr="00C1405E">
        <w:rPr>
          <w:rFonts w:eastAsia="Times New Roman"/>
          <w:sz w:val="24"/>
          <w:szCs w:val="24"/>
          <w:lang w:eastAsia="en-GB"/>
        </w:rPr>
        <w:t>μmol.min</w:t>
      </w:r>
      <w:r w:rsidR="00F87888" w:rsidRPr="00C1405E">
        <w:rPr>
          <w:rFonts w:eastAsia="Times New Roman"/>
          <w:sz w:val="24"/>
          <w:szCs w:val="24"/>
          <w:vertAlign w:val="superscript"/>
          <w:lang w:eastAsia="en-GB"/>
        </w:rPr>
        <w:t>-1</w:t>
      </w:r>
      <w:r w:rsidR="00F87888" w:rsidRPr="00C1405E">
        <w:rPr>
          <w:rFonts w:eastAsia="Times New Roman"/>
          <w:sz w:val="24"/>
          <w:szCs w:val="24"/>
          <w:lang w:eastAsia="en-GB"/>
        </w:rPr>
        <w:t>.mg</w:t>
      </w:r>
      <w:r w:rsidR="00F87888" w:rsidRPr="00C1405E">
        <w:rPr>
          <w:rFonts w:eastAsia="Times New Roman"/>
          <w:sz w:val="24"/>
          <w:szCs w:val="24"/>
          <w:vertAlign w:val="superscript"/>
          <w:lang w:eastAsia="en-GB"/>
        </w:rPr>
        <w:t>-1</w:t>
      </w:r>
      <w:r w:rsidR="00D27F90">
        <w:rPr>
          <w:rFonts w:eastAsia="Times New Roman"/>
          <w:sz w:val="24"/>
          <w:szCs w:val="24"/>
          <w:lang w:eastAsia="en-GB"/>
        </w:rPr>
        <w:t xml:space="preserve">, </w:t>
      </w:r>
      <w:proofErr w:type="spellStart"/>
      <w:r w:rsidR="00D27F90">
        <w:rPr>
          <w:rFonts w:eastAsia="Times New Roman"/>
          <w:sz w:val="24"/>
          <w:szCs w:val="24"/>
          <w:lang w:eastAsia="en-GB"/>
        </w:rPr>
        <w:t>Nossen</w:t>
      </w:r>
      <w:proofErr w:type="spellEnd"/>
      <w:r w:rsidR="00D27F90">
        <w:rPr>
          <w:rFonts w:eastAsia="Times New Roman"/>
          <w:sz w:val="24"/>
          <w:szCs w:val="24"/>
          <w:lang w:eastAsia="en-GB"/>
        </w:rPr>
        <w:t xml:space="preserve"> </w:t>
      </w:r>
      <w:r w:rsidR="009E3C21">
        <w:rPr>
          <w:rFonts w:eastAsia="Times New Roman"/>
          <w:sz w:val="24"/>
          <w:szCs w:val="24"/>
          <w:lang w:eastAsia="en-GB"/>
        </w:rPr>
        <w:t>505</w:t>
      </w:r>
      <w:r w:rsidR="00D27F90">
        <w:rPr>
          <w:rFonts w:eastAsia="Times New Roman"/>
          <w:sz w:val="24"/>
          <w:szCs w:val="24"/>
          <w:lang w:eastAsia="en-GB"/>
        </w:rPr>
        <w:t xml:space="preserve"> </w:t>
      </w:r>
      <w:r w:rsidR="00D27F90" w:rsidRPr="00C1405E">
        <w:rPr>
          <w:rFonts w:eastAsia="Times New Roman"/>
          <w:sz w:val="24"/>
          <w:szCs w:val="24"/>
          <w:lang w:eastAsia="en-GB"/>
        </w:rPr>
        <w:t>μmol.min</w:t>
      </w:r>
      <w:r w:rsidR="00D27F90" w:rsidRPr="00C1405E">
        <w:rPr>
          <w:rFonts w:eastAsia="Times New Roman"/>
          <w:sz w:val="24"/>
          <w:szCs w:val="24"/>
          <w:vertAlign w:val="superscript"/>
          <w:lang w:eastAsia="en-GB"/>
        </w:rPr>
        <w:t>-1</w:t>
      </w:r>
      <w:r w:rsidR="00D27F90" w:rsidRPr="00C1405E">
        <w:rPr>
          <w:rFonts w:eastAsia="Times New Roman"/>
          <w:sz w:val="24"/>
          <w:szCs w:val="24"/>
          <w:lang w:eastAsia="en-GB"/>
        </w:rPr>
        <w:t>.mg</w:t>
      </w:r>
      <w:r w:rsidR="00D27F90" w:rsidRPr="00C1405E">
        <w:rPr>
          <w:rFonts w:eastAsia="Times New Roman"/>
          <w:sz w:val="24"/>
          <w:szCs w:val="24"/>
          <w:vertAlign w:val="superscript"/>
          <w:lang w:eastAsia="en-GB"/>
        </w:rPr>
        <w:t>-1</w:t>
      </w:r>
      <w:r w:rsidR="00D27F90">
        <w:rPr>
          <w:rFonts w:eastAsia="Times New Roman"/>
          <w:sz w:val="24"/>
          <w:szCs w:val="24"/>
          <w:lang w:eastAsia="en-GB"/>
        </w:rPr>
        <w:t xml:space="preserve"> and Col0 </w:t>
      </w:r>
      <w:r w:rsidR="009E3C21">
        <w:rPr>
          <w:rFonts w:eastAsia="Times New Roman"/>
          <w:sz w:val="24"/>
          <w:szCs w:val="24"/>
          <w:lang w:eastAsia="en-GB"/>
        </w:rPr>
        <w:t>353</w:t>
      </w:r>
      <w:r w:rsidR="00D27F90">
        <w:rPr>
          <w:rFonts w:eastAsia="Times New Roman"/>
          <w:sz w:val="24"/>
          <w:szCs w:val="24"/>
          <w:lang w:eastAsia="en-GB"/>
        </w:rPr>
        <w:t xml:space="preserve"> </w:t>
      </w:r>
      <w:r w:rsidR="00D27F90" w:rsidRPr="00C1405E">
        <w:rPr>
          <w:rFonts w:eastAsia="Times New Roman"/>
          <w:sz w:val="24"/>
          <w:szCs w:val="24"/>
          <w:lang w:eastAsia="en-GB"/>
        </w:rPr>
        <w:t>μmol.min</w:t>
      </w:r>
      <w:r w:rsidR="00D27F90" w:rsidRPr="00C1405E">
        <w:rPr>
          <w:rFonts w:eastAsia="Times New Roman"/>
          <w:sz w:val="24"/>
          <w:szCs w:val="24"/>
          <w:vertAlign w:val="superscript"/>
          <w:lang w:eastAsia="en-GB"/>
        </w:rPr>
        <w:t>-1</w:t>
      </w:r>
      <w:r w:rsidR="00D27F90" w:rsidRPr="00C1405E">
        <w:rPr>
          <w:rFonts w:eastAsia="Times New Roman"/>
          <w:sz w:val="24"/>
          <w:szCs w:val="24"/>
          <w:lang w:eastAsia="en-GB"/>
        </w:rPr>
        <w:t>.mg</w:t>
      </w:r>
      <w:r w:rsidR="00D27F90" w:rsidRPr="00C1405E">
        <w:rPr>
          <w:rFonts w:eastAsia="Times New Roman"/>
          <w:sz w:val="24"/>
          <w:szCs w:val="24"/>
          <w:vertAlign w:val="superscript"/>
          <w:lang w:eastAsia="en-GB"/>
        </w:rPr>
        <w:t>-1</w:t>
      </w:r>
      <w:r w:rsidR="00D27F90">
        <w:rPr>
          <w:rFonts w:eastAsia="Times New Roman"/>
          <w:sz w:val="24"/>
          <w:szCs w:val="24"/>
          <w:lang w:eastAsia="en-GB"/>
        </w:rPr>
        <w:t xml:space="preserve">) </w:t>
      </w:r>
      <w:r w:rsidR="00283B6A">
        <w:rPr>
          <w:sz w:val="24"/>
          <w:szCs w:val="24"/>
        </w:rPr>
        <w:t xml:space="preserve">and </w:t>
      </w:r>
      <w:r w:rsidR="00EE6CD9" w:rsidRPr="00EE6CD9">
        <w:rPr>
          <w:sz w:val="24"/>
          <w:szCs w:val="24"/>
        </w:rPr>
        <w:t>was reduced in the mutants</w:t>
      </w:r>
      <w:r w:rsidR="00EE6CD9" w:rsidRPr="00EE6CD9">
        <w:rPr>
          <w:i/>
          <w:sz w:val="24"/>
          <w:szCs w:val="24"/>
        </w:rPr>
        <w:t xml:space="preserve"> </w:t>
      </w:r>
      <w:r w:rsidR="00EE6CD9" w:rsidRPr="00EE6CD9">
        <w:rPr>
          <w:sz w:val="24"/>
          <w:szCs w:val="24"/>
        </w:rPr>
        <w:t xml:space="preserve">(Fig. </w:t>
      </w:r>
      <w:r w:rsidR="00590D65">
        <w:rPr>
          <w:sz w:val="24"/>
          <w:szCs w:val="24"/>
        </w:rPr>
        <w:t>3</w:t>
      </w:r>
      <w:r w:rsidR="00A0408E">
        <w:rPr>
          <w:sz w:val="24"/>
          <w:szCs w:val="24"/>
        </w:rPr>
        <w:t>A</w:t>
      </w:r>
      <w:r w:rsidR="00EE6CD9" w:rsidRPr="00EE6CD9">
        <w:rPr>
          <w:sz w:val="24"/>
          <w:szCs w:val="24"/>
        </w:rPr>
        <w:t>)</w:t>
      </w:r>
      <w:r w:rsidR="00AE15CF">
        <w:rPr>
          <w:sz w:val="24"/>
          <w:szCs w:val="24"/>
        </w:rPr>
        <w:t>. T</w:t>
      </w:r>
      <w:r w:rsidR="00EE6CD9" w:rsidRPr="00EE6CD9">
        <w:rPr>
          <w:sz w:val="24"/>
          <w:szCs w:val="24"/>
        </w:rPr>
        <w:t xml:space="preserve">he results indicate that in Col7, </w:t>
      </w:r>
      <w:proofErr w:type="spellStart"/>
      <w:r w:rsidR="00EE6CD9" w:rsidRPr="00EE6CD9">
        <w:rPr>
          <w:sz w:val="24"/>
          <w:szCs w:val="24"/>
        </w:rPr>
        <w:t>Nossen</w:t>
      </w:r>
      <w:proofErr w:type="spellEnd"/>
      <w:r w:rsidR="00EE6CD9" w:rsidRPr="00EE6CD9">
        <w:rPr>
          <w:sz w:val="24"/>
          <w:szCs w:val="24"/>
        </w:rPr>
        <w:t xml:space="preserve"> and Col0, MDHAR6 contributes 13, </w:t>
      </w:r>
      <w:r w:rsidR="00EE6CD9" w:rsidRPr="002270D7">
        <w:rPr>
          <w:sz w:val="24"/>
          <w:szCs w:val="24"/>
        </w:rPr>
        <w:t>50 and 24 % of leaf MDHAR activity, and 32, 36 a</w:t>
      </w:r>
      <w:r w:rsidR="00EE6CD9" w:rsidRPr="00084E0A">
        <w:rPr>
          <w:sz w:val="24"/>
          <w:szCs w:val="24"/>
        </w:rPr>
        <w:t>nd 20 % of root MDHAR activity</w:t>
      </w:r>
      <w:r w:rsidR="00FD0CF9" w:rsidRPr="00E35D40">
        <w:rPr>
          <w:sz w:val="24"/>
          <w:szCs w:val="24"/>
        </w:rPr>
        <w:t>,</w:t>
      </w:r>
      <w:r w:rsidR="00EE6CD9" w:rsidRPr="00D34AE2">
        <w:rPr>
          <w:sz w:val="24"/>
          <w:szCs w:val="24"/>
        </w:rPr>
        <w:t xml:space="preserve"> respectively. </w:t>
      </w:r>
      <w:r w:rsidR="00F87888">
        <w:rPr>
          <w:rFonts w:eastAsia="Times New Roman"/>
          <w:sz w:val="24"/>
          <w:szCs w:val="24"/>
          <w:lang w:eastAsia="en-GB"/>
        </w:rPr>
        <w:t>T</w:t>
      </w:r>
      <w:r w:rsidR="002270D7" w:rsidRPr="00C1405E">
        <w:rPr>
          <w:rFonts w:eastAsia="Times New Roman"/>
          <w:sz w:val="24"/>
          <w:szCs w:val="24"/>
          <w:lang w:eastAsia="en-GB"/>
        </w:rPr>
        <w:t xml:space="preserve">he decrease in crude extract MDHAR activity from the roots of </w:t>
      </w:r>
      <w:r w:rsidR="002270D7" w:rsidRPr="00C1405E">
        <w:rPr>
          <w:rFonts w:eastAsia="Times New Roman"/>
          <w:i/>
          <w:iCs/>
          <w:sz w:val="24"/>
          <w:szCs w:val="24"/>
          <w:lang w:eastAsia="en-GB"/>
        </w:rPr>
        <w:t>mdhar6-1</w:t>
      </w:r>
      <w:r w:rsidR="002270D7" w:rsidRPr="00C1405E">
        <w:rPr>
          <w:rFonts w:eastAsia="Times New Roman"/>
          <w:sz w:val="24"/>
          <w:szCs w:val="24"/>
          <w:lang w:eastAsia="en-GB"/>
        </w:rPr>
        <w:t xml:space="preserve"> and </w:t>
      </w:r>
      <w:r w:rsidR="002270D7" w:rsidRPr="00C1405E">
        <w:rPr>
          <w:rFonts w:eastAsia="Times New Roman"/>
          <w:i/>
          <w:iCs/>
          <w:sz w:val="24"/>
          <w:szCs w:val="24"/>
          <w:lang w:eastAsia="en-GB"/>
        </w:rPr>
        <w:t xml:space="preserve">mdhar6-2 </w:t>
      </w:r>
      <w:r w:rsidR="002270D7" w:rsidRPr="00C1405E">
        <w:rPr>
          <w:rFonts w:eastAsia="Times New Roman"/>
          <w:iCs/>
          <w:sz w:val="24"/>
          <w:szCs w:val="24"/>
          <w:lang w:eastAsia="en-GB"/>
        </w:rPr>
        <w:t>(</w:t>
      </w:r>
      <w:r w:rsidR="002270D7" w:rsidRPr="00C1405E">
        <w:rPr>
          <w:rFonts w:eastAsia="Times New Roman"/>
          <w:sz w:val="24"/>
          <w:szCs w:val="24"/>
          <w:lang w:eastAsia="en-GB"/>
        </w:rPr>
        <w:t>209 and 198 μmol.min</w:t>
      </w:r>
      <w:r w:rsidR="002270D7" w:rsidRPr="00C1405E">
        <w:rPr>
          <w:rFonts w:eastAsia="Times New Roman"/>
          <w:sz w:val="24"/>
          <w:szCs w:val="24"/>
          <w:vertAlign w:val="superscript"/>
          <w:lang w:eastAsia="en-GB"/>
        </w:rPr>
        <w:t>-1</w:t>
      </w:r>
      <w:r w:rsidR="002270D7" w:rsidRPr="00C1405E">
        <w:rPr>
          <w:rFonts w:eastAsia="Times New Roman"/>
          <w:sz w:val="24"/>
          <w:szCs w:val="24"/>
          <w:lang w:eastAsia="en-GB"/>
        </w:rPr>
        <w:t>.mg</w:t>
      </w:r>
      <w:r w:rsidR="002270D7" w:rsidRPr="00C1405E">
        <w:rPr>
          <w:rFonts w:eastAsia="Times New Roman"/>
          <w:sz w:val="24"/>
          <w:szCs w:val="24"/>
          <w:vertAlign w:val="superscript"/>
          <w:lang w:eastAsia="en-GB"/>
        </w:rPr>
        <w:t>-1</w:t>
      </w:r>
      <w:r w:rsidR="002270D7" w:rsidRPr="00C1405E">
        <w:rPr>
          <w:rFonts w:eastAsia="Times New Roman"/>
          <w:sz w:val="24"/>
          <w:szCs w:val="24"/>
          <w:lang w:eastAsia="en-GB"/>
        </w:rPr>
        <w:t xml:space="preserve">, respectively) was far greater than the decrease in activity for </w:t>
      </w:r>
      <w:r w:rsidR="002270D7" w:rsidRPr="00C1405E">
        <w:rPr>
          <w:rFonts w:eastAsia="Times New Roman"/>
          <w:i/>
          <w:iCs/>
          <w:sz w:val="24"/>
          <w:szCs w:val="24"/>
          <w:lang w:eastAsia="en-GB"/>
        </w:rPr>
        <w:t>mdhar6-3</w:t>
      </w:r>
      <w:r w:rsidR="002270D7" w:rsidRPr="00C1405E">
        <w:rPr>
          <w:rFonts w:eastAsia="Times New Roman"/>
          <w:sz w:val="24"/>
          <w:szCs w:val="24"/>
          <w:lang w:eastAsia="en-GB"/>
        </w:rPr>
        <w:t xml:space="preserve"> (70 μmol.min</w:t>
      </w:r>
      <w:r w:rsidR="002270D7" w:rsidRPr="00C1405E">
        <w:rPr>
          <w:rFonts w:eastAsia="Times New Roman"/>
          <w:sz w:val="24"/>
          <w:szCs w:val="24"/>
          <w:vertAlign w:val="superscript"/>
          <w:lang w:eastAsia="en-GB"/>
        </w:rPr>
        <w:t>-1</w:t>
      </w:r>
      <w:r w:rsidR="002270D7" w:rsidRPr="00C1405E">
        <w:rPr>
          <w:rFonts w:eastAsia="Times New Roman"/>
          <w:sz w:val="24"/>
          <w:szCs w:val="24"/>
          <w:lang w:eastAsia="en-GB"/>
        </w:rPr>
        <w:t>.mg</w:t>
      </w:r>
      <w:r w:rsidR="002270D7" w:rsidRPr="00C1405E">
        <w:rPr>
          <w:rFonts w:eastAsia="Times New Roman"/>
          <w:sz w:val="24"/>
          <w:szCs w:val="24"/>
          <w:vertAlign w:val="superscript"/>
          <w:lang w:eastAsia="en-GB"/>
        </w:rPr>
        <w:t>-1</w:t>
      </w:r>
      <w:r w:rsidR="002270D7" w:rsidRPr="00C1405E">
        <w:rPr>
          <w:rFonts w:eastAsia="Times New Roman"/>
          <w:sz w:val="24"/>
          <w:szCs w:val="24"/>
          <w:lang w:eastAsia="en-GB"/>
        </w:rPr>
        <w:t xml:space="preserve">) respectively, which corresponds with the degree of enhanced TNT tolerance in the different mutants. The </w:t>
      </w:r>
      <w:r w:rsidR="002270D7" w:rsidRPr="00C1405E">
        <w:rPr>
          <w:rFonts w:eastAsia="Times New Roman"/>
          <w:i/>
          <w:iCs/>
          <w:sz w:val="24"/>
          <w:szCs w:val="24"/>
          <w:lang w:eastAsia="en-GB"/>
        </w:rPr>
        <w:t>mdhar6-3</w:t>
      </w:r>
      <w:r w:rsidR="002270D7" w:rsidRPr="00C1405E">
        <w:rPr>
          <w:rFonts w:eastAsia="Times New Roman"/>
          <w:sz w:val="24"/>
          <w:szCs w:val="24"/>
          <w:lang w:eastAsia="en-GB"/>
        </w:rPr>
        <w:t xml:space="preserve"> line contains a T-DNA insert 76 </w:t>
      </w:r>
      <w:proofErr w:type="spellStart"/>
      <w:r w:rsidR="002270D7" w:rsidRPr="00C1405E">
        <w:rPr>
          <w:rFonts w:eastAsia="Times New Roman"/>
          <w:sz w:val="24"/>
          <w:szCs w:val="24"/>
          <w:lang w:eastAsia="en-GB"/>
        </w:rPr>
        <w:t>bp</w:t>
      </w:r>
      <w:proofErr w:type="spellEnd"/>
      <w:r w:rsidR="002270D7" w:rsidRPr="00C1405E">
        <w:rPr>
          <w:rFonts w:eastAsia="Times New Roman"/>
          <w:sz w:val="24"/>
          <w:szCs w:val="24"/>
          <w:lang w:eastAsia="en-GB"/>
        </w:rPr>
        <w:t xml:space="preserve"> upstream of the MDHAR6 start ATG, and is likely to be a weaker allele </w:t>
      </w:r>
      <w:r w:rsidR="002270D7" w:rsidRPr="00C1405E">
        <w:rPr>
          <w:rFonts w:eastAsia="Times New Roman"/>
          <w:iCs/>
          <w:sz w:val="24"/>
          <w:szCs w:val="24"/>
          <w:lang w:eastAsia="en-GB"/>
        </w:rPr>
        <w:t>explaining why it is not so tolerant to TNT toxicity</w:t>
      </w:r>
      <w:r w:rsidR="002270D7" w:rsidRPr="00C1405E">
        <w:rPr>
          <w:rFonts w:eastAsia="Times New Roman"/>
          <w:sz w:val="24"/>
          <w:szCs w:val="24"/>
          <w:lang w:eastAsia="en-GB"/>
        </w:rPr>
        <w:t>. The reduced NADH-dependent activity in crude extracts towards TNT in the mutants indicated that MDHAR6 could have activity towards TNT.</w:t>
      </w:r>
    </w:p>
    <w:p w:rsidR="00FA2DFD" w:rsidRDefault="00FA2DFD" w:rsidP="00A4599B">
      <w:pPr>
        <w:spacing w:beforeLines="120" w:before="288"/>
        <w:rPr>
          <w:rFonts w:eastAsia="Times New Roman"/>
          <w:sz w:val="24"/>
          <w:szCs w:val="24"/>
          <w:lang w:eastAsia="en-GB"/>
        </w:rPr>
      </w:pPr>
    </w:p>
    <w:p w:rsidR="00FA2DFD" w:rsidRPr="00084E0A" w:rsidRDefault="00FA2DFD" w:rsidP="00A4599B">
      <w:pPr>
        <w:spacing w:beforeLines="120" w:before="288"/>
        <w:rPr>
          <w:sz w:val="24"/>
          <w:szCs w:val="24"/>
        </w:rPr>
      </w:pPr>
    </w:p>
    <w:p w:rsidR="00905BAB" w:rsidRPr="00C1405E" w:rsidRDefault="00905BAB" w:rsidP="00A4599B">
      <w:pPr>
        <w:spacing w:beforeLines="120" w:before="288"/>
        <w:rPr>
          <w:b/>
          <w:sz w:val="24"/>
          <w:szCs w:val="24"/>
        </w:rPr>
      </w:pPr>
      <w:r>
        <w:rPr>
          <w:b/>
          <w:sz w:val="24"/>
          <w:szCs w:val="24"/>
        </w:rPr>
        <w:lastRenderedPageBreak/>
        <w:t xml:space="preserve">MDHAR6 </w:t>
      </w:r>
      <w:r w:rsidR="00283B6A">
        <w:rPr>
          <w:b/>
          <w:sz w:val="24"/>
          <w:szCs w:val="24"/>
        </w:rPr>
        <w:t>generates</w:t>
      </w:r>
      <w:r>
        <w:rPr>
          <w:b/>
          <w:sz w:val="24"/>
          <w:szCs w:val="24"/>
        </w:rPr>
        <w:t xml:space="preserve"> superoxide</w:t>
      </w:r>
      <w:r w:rsidR="00283B6A">
        <w:rPr>
          <w:b/>
          <w:sz w:val="24"/>
          <w:szCs w:val="24"/>
        </w:rPr>
        <w:t xml:space="preserve"> from TNT</w:t>
      </w:r>
    </w:p>
    <w:p w:rsidR="00EE6CD9" w:rsidRPr="00EE6CD9" w:rsidRDefault="00EE6CD9" w:rsidP="00A4599B">
      <w:pPr>
        <w:spacing w:beforeLines="120" w:before="288"/>
        <w:rPr>
          <w:sz w:val="24"/>
          <w:szCs w:val="24"/>
        </w:rPr>
      </w:pPr>
      <w:r w:rsidRPr="00EE6CD9">
        <w:rPr>
          <w:sz w:val="24"/>
          <w:szCs w:val="24"/>
        </w:rPr>
        <w:t xml:space="preserve">To investigate </w:t>
      </w:r>
      <w:r w:rsidR="00F13F33">
        <w:rPr>
          <w:sz w:val="24"/>
          <w:szCs w:val="24"/>
        </w:rPr>
        <w:t>MDHAR6</w:t>
      </w:r>
      <w:r w:rsidRPr="00EE6CD9">
        <w:rPr>
          <w:sz w:val="24"/>
          <w:szCs w:val="24"/>
        </w:rPr>
        <w:t xml:space="preserve"> activity</w:t>
      </w:r>
      <w:r w:rsidR="00F13F33">
        <w:rPr>
          <w:sz w:val="24"/>
          <w:szCs w:val="24"/>
        </w:rPr>
        <w:t xml:space="preserve"> towards TNT</w:t>
      </w:r>
      <w:r w:rsidRPr="00EE6CD9">
        <w:rPr>
          <w:sz w:val="24"/>
          <w:szCs w:val="24"/>
        </w:rPr>
        <w:t xml:space="preserve">, and whether it could account for TNT </w:t>
      </w:r>
      <w:proofErr w:type="spellStart"/>
      <w:r w:rsidRPr="00EE6CD9">
        <w:rPr>
          <w:sz w:val="24"/>
          <w:szCs w:val="24"/>
        </w:rPr>
        <w:t>phytotoxicity</w:t>
      </w:r>
      <w:proofErr w:type="spellEnd"/>
      <w:r w:rsidRPr="00EE6CD9">
        <w:rPr>
          <w:sz w:val="24"/>
          <w:szCs w:val="24"/>
        </w:rPr>
        <w:t>,</w:t>
      </w:r>
      <w:r w:rsidR="00AE15CF">
        <w:rPr>
          <w:sz w:val="24"/>
          <w:szCs w:val="24"/>
        </w:rPr>
        <w:t xml:space="preserve"> we expressed</w:t>
      </w:r>
      <w:r w:rsidRPr="00EE6CD9">
        <w:rPr>
          <w:sz w:val="24"/>
          <w:szCs w:val="24"/>
        </w:rPr>
        <w:t xml:space="preserve"> </w:t>
      </w:r>
      <w:r w:rsidRPr="00336E0A">
        <w:rPr>
          <w:i/>
          <w:sz w:val="24"/>
          <w:szCs w:val="24"/>
        </w:rPr>
        <w:t>MDHAR6</w:t>
      </w:r>
      <w:r w:rsidRPr="00EE6CD9">
        <w:rPr>
          <w:sz w:val="24"/>
          <w:szCs w:val="24"/>
        </w:rPr>
        <w:t xml:space="preserve"> </w:t>
      </w:r>
      <w:proofErr w:type="spellStart"/>
      <w:r w:rsidRPr="00EE6CD9">
        <w:rPr>
          <w:sz w:val="24"/>
          <w:szCs w:val="24"/>
        </w:rPr>
        <w:t>recombinantly</w:t>
      </w:r>
      <w:proofErr w:type="spellEnd"/>
      <w:r w:rsidRPr="00EE6CD9">
        <w:rPr>
          <w:sz w:val="24"/>
          <w:szCs w:val="24"/>
        </w:rPr>
        <w:t xml:space="preserve"> in </w:t>
      </w:r>
      <w:r w:rsidRPr="00EE6CD9">
        <w:rPr>
          <w:i/>
          <w:sz w:val="24"/>
          <w:szCs w:val="24"/>
        </w:rPr>
        <w:t xml:space="preserve">Escherichia coli </w:t>
      </w:r>
      <w:r w:rsidRPr="00EE6CD9">
        <w:rPr>
          <w:sz w:val="24"/>
          <w:szCs w:val="24"/>
        </w:rPr>
        <w:t xml:space="preserve">and purified </w:t>
      </w:r>
      <w:r w:rsidR="00AE15CF">
        <w:rPr>
          <w:sz w:val="24"/>
          <w:szCs w:val="24"/>
        </w:rPr>
        <w:t xml:space="preserve">the protein </w:t>
      </w:r>
      <w:r w:rsidRPr="00EE6CD9">
        <w:rPr>
          <w:sz w:val="24"/>
          <w:szCs w:val="24"/>
        </w:rPr>
        <w:t xml:space="preserve">by affinity chromatography (Fig. </w:t>
      </w:r>
      <w:r w:rsidR="000E1716">
        <w:rPr>
          <w:sz w:val="24"/>
          <w:szCs w:val="24"/>
        </w:rPr>
        <w:t>S</w:t>
      </w:r>
      <w:r w:rsidR="00D27F90">
        <w:rPr>
          <w:sz w:val="24"/>
          <w:szCs w:val="24"/>
        </w:rPr>
        <w:t>8</w:t>
      </w:r>
      <w:r w:rsidR="008751CB">
        <w:rPr>
          <w:sz w:val="24"/>
          <w:szCs w:val="24"/>
        </w:rPr>
        <w:t>)</w:t>
      </w:r>
      <w:r w:rsidRPr="00EE6CD9">
        <w:rPr>
          <w:sz w:val="24"/>
          <w:szCs w:val="24"/>
        </w:rPr>
        <w:t>. Oxidation of cofactor NADH in the presence of TNT confirmed that MDHAR6 has activity towards TNT</w:t>
      </w:r>
      <w:r w:rsidR="00AE15CF">
        <w:rPr>
          <w:sz w:val="24"/>
          <w:szCs w:val="24"/>
        </w:rPr>
        <w:t xml:space="preserve">.  </w:t>
      </w:r>
      <w:r w:rsidR="00BE3ED3">
        <w:rPr>
          <w:sz w:val="24"/>
          <w:szCs w:val="24"/>
        </w:rPr>
        <w:t xml:space="preserve">Kinetics analysis </w:t>
      </w:r>
      <w:r w:rsidRPr="00EE6CD9">
        <w:rPr>
          <w:sz w:val="24"/>
          <w:szCs w:val="24"/>
        </w:rPr>
        <w:t xml:space="preserve">of this activity </w:t>
      </w:r>
      <w:r w:rsidR="00BE3ED3">
        <w:rPr>
          <w:sz w:val="24"/>
          <w:szCs w:val="24"/>
        </w:rPr>
        <w:t>gave</w:t>
      </w:r>
      <w:r w:rsidRPr="00EE6CD9">
        <w:rPr>
          <w:sz w:val="24"/>
          <w:szCs w:val="24"/>
        </w:rPr>
        <w:t xml:space="preserve"> K</w:t>
      </w:r>
      <w:r w:rsidRPr="00EE6CD9">
        <w:rPr>
          <w:sz w:val="24"/>
          <w:szCs w:val="24"/>
          <w:vertAlign w:val="subscript"/>
        </w:rPr>
        <w:t xml:space="preserve">m </w:t>
      </w:r>
      <w:r w:rsidRPr="00EE6CD9">
        <w:rPr>
          <w:sz w:val="24"/>
          <w:szCs w:val="24"/>
        </w:rPr>
        <w:t xml:space="preserve">and </w:t>
      </w:r>
      <w:proofErr w:type="spellStart"/>
      <w:r w:rsidRPr="00EE6CD9">
        <w:rPr>
          <w:sz w:val="24"/>
          <w:szCs w:val="24"/>
        </w:rPr>
        <w:t>V</w:t>
      </w:r>
      <w:r w:rsidRPr="00EE6CD9">
        <w:rPr>
          <w:sz w:val="24"/>
          <w:szCs w:val="24"/>
          <w:vertAlign w:val="subscript"/>
        </w:rPr>
        <w:t>max</w:t>
      </w:r>
      <w:proofErr w:type="spellEnd"/>
      <w:r w:rsidRPr="00EE6CD9">
        <w:rPr>
          <w:sz w:val="24"/>
          <w:szCs w:val="24"/>
        </w:rPr>
        <w:t xml:space="preserve"> </w:t>
      </w:r>
      <w:r w:rsidR="00BE3ED3">
        <w:rPr>
          <w:sz w:val="24"/>
          <w:szCs w:val="24"/>
        </w:rPr>
        <w:t xml:space="preserve">values </w:t>
      </w:r>
      <w:r w:rsidRPr="00EE6CD9">
        <w:rPr>
          <w:sz w:val="24"/>
          <w:szCs w:val="24"/>
        </w:rPr>
        <w:t xml:space="preserve">for MDA </w:t>
      </w:r>
      <w:r w:rsidR="00AE15CF">
        <w:rPr>
          <w:sz w:val="24"/>
          <w:szCs w:val="24"/>
        </w:rPr>
        <w:t>of</w:t>
      </w:r>
      <w:r w:rsidRPr="00EE6CD9">
        <w:rPr>
          <w:sz w:val="24"/>
          <w:szCs w:val="24"/>
        </w:rPr>
        <w:t xml:space="preserve"> </w:t>
      </w:r>
      <w:r w:rsidR="00E15C40">
        <w:rPr>
          <w:sz w:val="24"/>
          <w:szCs w:val="24"/>
        </w:rPr>
        <w:t>4.1</w:t>
      </w:r>
      <w:r w:rsidRPr="00EE6CD9">
        <w:rPr>
          <w:sz w:val="24"/>
          <w:szCs w:val="24"/>
        </w:rPr>
        <w:t xml:space="preserve"> </w:t>
      </w:r>
      <w:r w:rsidR="00472626">
        <w:rPr>
          <w:sz w:val="24"/>
          <w:szCs w:val="24"/>
        </w:rPr>
        <w:t>±</w:t>
      </w:r>
      <w:r w:rsidR="009A7E37" w:rsidRPr="00472626">
        <w:rPr>
          <w:sz w:val="24"/>
          <w:szCs w:val="24"/>
        </w:rPr>
        <w:t xml:space="preserve"> </w:t>
      </w:r>
      <w:r w:rsidR="009A7E37" w:rsidRPr="00747119">
        <w:rPr>
          <w:sz w:val="24"/>
          <w:szCs w:val="24"/>
        </w:rPr>
        <w:t>1</w:t>
      </w:r>
      <w:r w:rsidR="009A7E37">
        <w:rPr>
          <w:sz w:val="24"/>
          <w:szCs w:val="24"/>
        </w:rPr>
        <w:t xml:space="preserve"> </w:t>
      </w:r>
      <w:proofErr w:type="spellStart"/>
      <w:r w:rsidRPr="00EE6CD9">
        <w:rPr>
          <w:sz w:val="24"/>
          <w:szCs w:val="24"/>
        </w:rPr>
        <w:t>μM</w:t>
      </w:r>
      <w:proofErr w:type="spellEnd"/>
      <w:r w:rsidRPr="00EE6CD9">
        <w:rPr>
          <w:sz w:val="24"/>
          <w:szCs w:val="24"/>
        </w:rPr>
        <w:t xml:space="preserve"> and 109 </w:t>
      </w:r>
      <w:r w:rsidR="00472626">
        <w:rPr>
          <w:sz w:val="24"/>
          <w:szCs w:val="24"/>
        </w:rPr>
        <w:t xml:space="preserve">± </w:t>
      </w:r>
      <w:proofErr w:type="gramStart"/>
      <w:r w:rsidR="00F31879" w:rsidRPr="00747119">
        <w:rPr>
          <w:sz w:val="24"/>
          <w:szCs w:val="24"/>
        </w:rPr>
        <w:t>1.7</w:t>
      </w:r>
      <w:r w:rsidR="00675BFA">
        <w:rPr>
          <w:sz w:val="24"/>
          <w:szCs w:val="24"/>
        </w:rPr>
        <w:t xml:space="preserve"> </w:t>
      </w:r>
      <w:r w:rsidRPr="00EE6CD9">
        <w:rPr>
          <w:sz w:val="24"/>
          <w:szCs w:val="24"/>
        </w:rPr>
        <w:t>mmol.min</w:t>
      </w:r>
      <w:r w:rsidRPr="00EE6CD9">
        <w:rPr>
          <w:sz w:val="24"/>
          <w:szCs w:val="24"/>
          <w:vertAlign w:val="superscript"/>
        </w:rPr>
        <w:t>-1</w:t>
      </w:r>
      <w:r w:rsidRPr="00EE6CD9">
        <w:rPr>
          <w:sz w:val="24"/>
          <w:szCs w:val="24"/>
        </w:rPr>
        <w:t>.mg</w:t>
      </w:r>
      <w:r w:rsidRPr="00EE6CD9">
        <w:rPr>
          <w:sz w:val="24"/>
          <w:szCs w:val="24"/>
          <w:vertAlign w:val="superscript"/>
        </w:rPr>
        <w:t>-1</w:t>
      </w:r>
      <w:proofErr w:type="gramEnd"/>
      <w:r w:rsidRPr="00EE6CD9">
        <w:rPr>
          <w:sz w:val="24"/>
          <w:szCs w:val="24"/>
        </w:rPr>
        <w:t xml:space="preserve"> and </w:t>
      </w:r>
      <w:r w:rsidR="00AE15CF">
        <w:rPr>
          <w:sz w:val="24"/>
          <w:szCs w:val="24"/>
        </w:rPr>
        <w:t xml:space="preserve">for TNT of </w:t>
      </w:r>
      <w:r w:rsidRPr="00EE6CD9">
        <w:rPr>
          <w:sz w:val="24"/>
          <w:szCs w:val="24"/>
        </w:rPr>
        <w:t xml:space="preserve">522 </w:t>
      </w:r>
      <w:r w:rsidR="00472626" w:rsidRPr="00472626">
        <w:rPr>
          <w:sz w:val="24"/>
          <w:szCs w:val="24"/>
        </w:rPr>
        <w:t>±</w:t>
      </w:r>
      <w:r w:rsidR="009A7E37" w:rsidRPr="00472626">
        <w:rPr>
          <w:sz w:val="24"/>
          <w:szCs w:val="24"/>
        </w:rPr>
        <w:t xml:space="preserve"> </w:t>
      </w:r>
      <w:r w:rsidR="009A7E37" w:rsidRPr="00747119">
        <w:rPr>
          <w:sz w:val="24"/>
          <w:szCs w:val="24"/>
        </w:rPr>
        <w:t>57</w:t>
      </w:r>
      <w:r w:rsidR="009A7E37" w:rsidRPr="00FF5277">
        <w:rPr>
          <w:sz w:val="24"/>
          <w:szCs w:val="24"/>
        </w:rPr>
        <w:t xml:space="preserve"> </w:t>
      </w:r>
      <w:proofErr w:type="spellStart"/>
      <w:r w:rsidRPr="00EE6CD9">
        <w:rPr>
          <w:sz w:val="24"/>
          <w:szCs w:val="24"/>
        </w:rPr>
        <w:t>μM</w:t>
      </w:r>
      <w:proofErr w:type="spellEnd"/>
      <w:r w:rsidRPr="00EE6CD9">
        <w:rPr>
          <w:sz w:val="24"/>
          <w:szCs w:val="24"/>
        </w:rPr>
        <w:t xml:space="preserve"> and 0.143 </w:t>
      </w:r>
      <w:r w:rsidR="00F31879">
        <w:rPr>
          <w:sz w:val="24"/>
          <w:szCs w:val="24"/>
        </w:rPr>
        <w:softHyphen/>
      </w:r>
      <w:r w:rsidR="00472626">
        <w:rPr>
          <w:sz w:val="24"/>
          <w:szCs w:val="24"/>
        </w:rPr>
        <w:t xml:space="preserve">± </w:t>
      </w:r>
      <w:r w:rsidR="00F31879" w:rsidRPr="00747119">
        <w:rPr>
          <w:sz w:val="24"/>
          <w:szCs w:val="24"/>
        </w:rPr>
        <w:t>0.0067</w:t>
      </w:r>
      <w:r w:rsidR="00F31879" w:rsidRPr="00472626">
        <w:rPr>
          <w:sz w:val="24"/>
          <w:szCs w:val="24"/>
        </w:rPr>
        <w:t xml:space="preserve"> </w:t>
      </w:r>
      <w:r w:rsidRPr="00EE6CD9">
        <w:rPr>
          <w:sz w:val="24"/>
          <w:szCs w:val="24"/>
        </w:rPr>
        <w:t>mmol.min</w:t>
      </w:r>
      <w:r w:rsidRPr="00EE6CD9">
        <w:rPr>
          <w:sz w:val="24"/>
          <w:szCs w:val="24"/>
          <w:vertAlign w:val="superscript"/>
        </w:rPr>
        <w:t>-1</w:t>
      </w:r>
      <w:r w:rsidRPr="00EE6CD9">
        <w:rPr>
          <w:sz w:val="24"/>
          <w:szCs w:val="24"/>
        </w:rPr>
        <w:t>.mg</w:t>
      </w:r>
      <w:r w:rsidRPr="00EE6CD9">
        <w:rPr>
          <w:sz w:val="24"/>
          <w:szCs w:val="24"/>
          <w:vertAlign w:val="superscript"/>
        </w:rPr>
        <w:t>-1</w:t>
      </w:r>
      <w:r w:rsidRPr="00EE6CD9">
        <w:rPr>
          <w:sz w:val="24"/>
          <w:szCs w:val="24"/>
        </w:rPr>
        <w:t>, respectively</w:t>
      </w:r>
      <w:r w:rsidR="00461262">
        <w:rPr>
          <w:sz w:val="24"/>
          <w:szCs w:val="24"/>
        </w:rPr>
        <w:t xml:space="preserve"> </w:t>
      </w:r>
      <w:r w:rsidR="006E3E60">
        <w:rPr>
          <w:sz w:val="24"/>
          <w:szCs w:val="24"/>
        </w:rPr>
        <w:t>(Fig.</w:t>
      </w:r>
      <w:r w:rsidR="009E1B4E">
        <w:rPr>
          <w:sz w:val="24"/>
          <w:szCs w:val="24"/>
        </w:rPr>
        <w:t xml:space="preserve"> </w:t>
      </w:r>
      <w:r w:rsidR="00461262">
        <w:rPr>
          <w:sz w:val="24"/>
          <w:szCs w:val="24"/>
        </w:rPr>
        <w:t>S8</w:t>
      </w:r>
      <w:r w:rsidR="00461262" w:rsidRPr="00EE6CD9">
        <w:rPr>
          <w:sz w:val="24"/>
          <w:szCs w:val="24"/>
        </w:rPr>
        <w:t>)</w:t>
      </w:r>
      <w:r w:rsidRPr="00EE6CD9">
        <w:rPr>
          <w:sz w:val="24"/>
          <w:szCs w:val="24"/>
        </w:rPr>
        <w:t>.</w:t>
      </w:r>
    </w:p>
    <w:p w:rsidR="00EE6CD9" w:rsidRPr="00EE6CD9" w:rsidRDefault="00EE6CD9" w:rsidP="00A4599B">
      <w:pPr>
        <w:spacing w:beforeLines="120" w:before="288"/>
        <w:rPr>
          <w:sz w:val="24"/>
          <w:szCs w:val="24"/>
        </w:rPr>
      </w:pPr>
      <w:r w:rsidRPr="00EE6CD9">
        <w:rPr>
          <w:sz w:val="24"/>
          <w:szCs w:val="24"/>
        </w:rPr>
        <w:t>MDHAR6 activity towards TNT did not result in a decrease in TNT concentration when measured by High Performance Liquid Chromatography (HPLC)</w:t>
      </w:r>
      <w:r w:rsidR="00E34072">
        <w:rPr>
          <w:sz w:val="24"/>
          <w:szCs w:val="24"/>
        </w:rPr>
        <w:t xml:space="preserve"> (Fig. </w:t>
      </w:r>
      <w:r w:rsidR="00461262">
        <w:rPr>
          <w:sz w:val="24"/>
          <w:szCs w:val="24"/>
        </w:rPr>
        <w:t>S8</w:t>
      </w:r>
      <w:r w:rsidR="00E34072">
        <w:rPr>
          <w:sz w:val="24"/>
          <w:szCs w:val="24"/>
        </w:rPr>
        <w:t>)</w:t>
      </w:r>
      <w:r w:rsidRPr="00EE6CD9">
        <w:rPr>
          <w:sz w:val="24"/>
          <w:szCs w:val="24"/>
        </w:rPr>
        <w:t xml:space="preserve">. Electron Paramagnetic Resonance (EPR) spectrometry was therefore used to determine whether the reaction </w:t>
      </w:r>
      <w:r w:rsidR="003F7DEE">
        <w:rPr>
          <w:sz w:val="24"/>
          <w:szCs w:val="24"/>
        </w:rPr>
        <w:t>is</w:t>
      </w:r>
      <w:r w:rsidR="003F7DEE" w:rsidRPr="00EE6CD9">
        <w:rPr>
          <w:sz w:val="24"/>
          <w:szCs w:val="24"/>
        </w:rPr>
        <w:t xml:space="preserve"> </w:t>
      </w:r>
      <w:r w:rsidRPr="00EE6CD9">
        <w:rPr>
          <w:sz w:val="24"/>
          <w:szCs w:val="24"/>
        </w:rPr>
        <w:t xml:space="preserve">a </w:t>
      </w:r>
      <w:r w:rsidR="00BE3ED3">
        <w:rPr>
          <w:sz w:val="24"/>
          <w:szCs w:val="24"/>
        </w:rPr>
        <w:t>one electron reduction of</w:t>
      </w:r>
      <w:r w:rsidRPr="00EE6CD9">
        <w:rPr>
          <w:sz w:val="24"/>
          <w:szCs w:val="24"/>
        </w:rPr>
        <w:t xml:space="preserve"> TNT to</w:t>
      </w:r>
      <w:r w:rsidR="00BE3ED3">
        <w:rPr>
          <w:sz w:val="24"/>
          <w:szCs w:val="24"/>
        </w:rPr>
        <w:t xml:space="preserve"> produce</w:t>
      </w:r>
      <w:r w:rsidRPr="00EE6CD9">
        <w:rPr>
          <w:sz w:val="24"/>
          <w:szCs w:val="24"/>
        </w:rPr>
        <w:t xml:space="preserve"> a nitro radical, which </w:t>
      </w:r>
      <w:r w:rsidR="00AE15CF">
        <w:rPr>
          <w:sz w:val="24"/>
          <w:szCs w:val="24"/>
        </w:rPr>
        <w:t>would</w:t>
      </w:r>
      <w:r w:rsidR="00AE15CF" w:rsidRPr="00EE6CD9">
        <w:rPr>
          <w:sz w:val="24"/>
          <w:szCs w:val="24"/>
        </w:rPr>
        <w:t xml:space="preserve"> </w:t>
      </w:r>
      <w:r w:rsidR="00BE3ED3">
        <w:rPr>
          <w:sz w:val="24"/>
          <w:szCs w:val="24"/>
        </w:rPr>
        <w:t xml:space="preserve">then </w:t>
      </w:r>
      <w:r w:rsidRPr="00EE6CD9">
        <w:rPr>
          <w:sz w:val="24"/>
          <w:szCs w:val="24"/>
        </w:rPr>
        <w:t>autoxidi</w:t>
      </w:r>
      <w:r w:rsidR="00FD0CF9">
        <w:rPr>
          <w:sz w:val="24"/>
          <w:szCs w:val="24"/>
        </w:rPr>
        <w:t>z</w:t>
      </w:r>
      <w:r w:rsidRPr="00EE6CD9">
        <w:rPr>
          <w:sz w:val="24"/>
          <w:szCs w:val="24"/>
        </w:rPr>
        <w:t>e generating reactive superoxide. This cyclic reaction would explain why no decrease in TNT concentration was observed by HPLC</w:t>
      </w:r>
      <w:r w:rsidR="00AE15CF">
        <w:rPr>
          <w:sz w:val="24"/>
          <w:szCs w:val="24"/>
        </w:rPr>
        <w:t xml:space="preserve">. Reactive oxygen species (ROS) generation </w:t>
      </w:r>
      <w:r w:rsidRPr="00EE6CD9">
        <w:rPr>
          <w:sz w:val="24"/>
          <w:szCs w:val="24"/>
        </w:rPr>
        <w:t xml:space="preserve">has previously been </w:t>
      </w:r>
      <w:r w:rsidR="00AE15CF">
        <w:rPr>
          <w:sz w:val="24"/>
          <w:szCs w:val="24"/>
        </w:rPr>
        <w:t>hypothesized as the cause of</w:t>
      </w:r>
      <w:r w:rsidRPr="00EE6CD9">
        <w:rPr>
          <w:sz w:val="24"/>
          <w:szCs w:val="24"/>
        </w:rPr>
        <w:t xml:space="preserve"> TNT-induced cataracts when catalyzed by zeta-</w:t>
      </w:r>
      <w:proofErr w:type="spellStart"/>
      <w:r w:rsidRPr="00EE6CD9">
        <w:rPr>
          <w:sz w:val="24"/>
          <w:szCs w:val="24"/>
        </w:rPr>
        <w:t>crystallin</w:t>
      </w:r>
      <w:proofErr w:type="spellEnd"/>
      <w:r>
        <w:rPr>
          <w:sz w:val="24"/>
          <w:szCs w:val="24"/>
        </w:rPr>
        <w:t xml:space="preserve"> (</w:t>
      </w:r>
      <w:r w:rsidR="007505E1">
        <w:rPr>
          <w:i/>
          <w:sz w:val="24"/>
          <w:szCs w:val="24"/>
        </w:rPr>
        <w:t>20</w:t>
      </w:r>
      <w:r>
        <w:rPr>
          <w:sz w:val="24"/>
          <w:szCs w:val="24"/>
        </w:rPr>
        <w:t>)</w:t>
      </w:r>
      <w:r w:rsidRPr="00EE6CD9">
        <w:rPr>
          <w:sz w:val="24"/>
          <w:szCs w:val="24"/>
        </w:rPr>
        <w:t>, and neuronal damage when catalyzed by neuronal nitric oxide synthase</w:t>
      </w:r>
      <w:r>
        <w:rPr>
          <w:sz w:val="24"/>
          <w:szCs w:val="24"/>
        </w:rPr>
        <w:t xml:space="preserve"> (</w:t>
      </w:r>
      <w:r w:rsidR="007505E1">
        <w:rPr>
          <w:i/>
          <w:sz w:val="24"/>
          <w:szCs w:val="24"/>
        </w:rPr>
        <w:t>21</w:t>
      </w:r>
      <w:r>
        <w:rPr>
          <w:sz w:val="24"/>
          <w:szCs w:val="24"/>
        </w:rPr>
        <w:t>)</w:t>
      </w:r>
      <w:r w:rsidRPr="00EE6CD9">
        <w:rPr>
          <w:sz w:val="24"/>
          <w:szCs w:val="24"/>
        </w:rPr>
        <w:t>.</w:t>
      </w:r>
    </w:p>
    <w:p w:rsidR="00AA2971" w:rsidRDefault="00391324" w:rsidP="00E80156">
      <w:pPr>
        <w:spacing w:beforeLines="120" w:before="288"/>
        <w:rPr>
          <w:sz w:val="24"/>
          <w:szCs w:val="24"/>
        </w:rPr>
      </w:pPr>
      <w:r>
        <w:rPr>
          <w:sz w:val="24"/>
          <w:szCs w:val="24"/>
        </w:rPr>
        <w:t>Analyzing</w:t>
      </w:r>
      <w:r w:rsidRPr="00FD0CF9">
        <w:rPr>
          <w:sz w:val="24"/>
          <w:szCs w:val="24"/>
        </w:rPr>
        <w:t xml:space="preserve"> </w:t>
      </w:r>
      <w:r w:rsidR="00EE6CD9" w:rsidRPr="00FD0CF9">
        <w:rPr>
          <w:sz w:val="24"/>
          <w:szCs w:val="24"/>
        </w:rPr>
        <w:t xml:space="preserve">this </w:t>
      </w:r>
      <w:r>
        <w:rPr>
          <w:sz w:val="24"/>
          <w:szCs w:val="24"/>
        </w:rPr>
        <w:t>hypothesis</w:t>
      </w:r>
      <w:r w:rsidR="00EE6CD9" w:rsidRPr="00FD0CF9">
        <w:rPr>
          <w:sz w:val="24"/>
          <w:szCs w:val="24"/>
        </w:rPr>
        <w:t xml:space="preserve">, </w:t>
      </w:r>
      <w:r>
        <w:rPr>
          <w:sz w:val="24"/>
          <w:szCs w:val="24"/>
        </w:rPr>
        <w:t>we used</w:t>
      </w:r>
      <w:r w:rsidR="00EE6CD9" w:rsidRPr="00FD0CF9">
        <w:rPr>
          <w:sz w:val="24"/>
          <w:szCs w:val="24"/>
        </w:rPr>
        <w:t xml:space="preserve"> </w:t>
      </w:r>
      <w:r w:rsidR="00D124BB">
        <w:rPr>
          <w:sz w:val="24"/>
          <w:szCs w:val="24"/>
        </w:rPr>
        <w:t xml:space="preserve">EPR spectrometry with </w:t>
      </w:r>
      <w:r w:rsidR="00EE6CD9" w:rsidRPr="00FD0CF9">
        <w:rPr>
          <w:sz w:val="24"/>
          <w:szCs w:val="24"/>
        </w:rPr>
        <w:t xml:space="preserve">either spin trap </w:t>
      </w:r>
      <w:r w:rsidR="00FD0CF9" w:rsidRPr="00FD0CF9">
        <w:rPr>
          <w:sz w:val="24"/>
          <w:szCs w:val="24"/>
        </w:rPr>
        <w:t>5,5-dimethyl-pyrroline N-oxide (</w:t>
      </w:r>
      <w:r w:rsidR="00EE6CD9" w:rsidRPr="00FD0CF9">
        <w:rPr>
          <w:sz w:val="24"/>
          <w:szCs w:val="24"/>
        </w:rPr>
        <w:t>DMPO</w:t>
      </w:r>
      <w:r w:rsidR="00FD0CF9" w:rsidRPr="00FD0CF9">
        <w:rPr>
          <w:sz w:val="24"/>
          <w:szCs w:val="24"/>
        </w:rPr>
        <w:t>)</w:t>
      </w:r>
      <w:r w:rsidR="00EE6CD9" w:rsidRPr="00FD0CF9">
        <w:rPr>
          <w:sz w:val="24"/>
          <w:szCs w:val="24"/>
        </w:rPr>
        <w:t xml:space="preserve"> or </w:t>
      </w:r>
      <w:r w:rsidR="00FD0CF9" w:rsidRPr="00FD0CF9">
        <w:rPr>
          <w:sz w:val="24"/>
          <w:szCs w:val="24"/>
        </w:rPr>
        <w:t>5-diethoxyphosphoryl-5-methyl-1-pyrroline-</w:t>
      </w:r>
      <w:r w:rsidR="00D13EB8">
        <w:rPr>
          <w:sz w:val="24"/>
          <w:szCs w:val="24"/>
        </w:rPr>
        <w:t>N</w:t>
      </w:r>
      <w:r w:rsidR="00FD0CF9" w:rsidRPr="00FD0CF9">
        <w:rPr>
          <w:sz w:val="24"/>
          <w:szCs w:val="24"/>
        </w:rPr>
        <w:t>-oxide (</w:t>
      </w:r>
      <w:r w:rsidR="00EE6CD9" w:rsidRPr="00FD0CF9">
        <w:rPr>
          <w:sz w:val="24"/>
          <w:szCs w:val="24"/>
        </w:rPr>
        <w:t>DEPMPO</w:t>
      </w:r>
      <w:r w:rsidR="00FD0CF9" w:rsidRPr="00FD0CF9">
        <w:rPr>
          <w:sz w:val="24"/>
          <w:szCs w:val="24"/>
        </w:rPr>
        <w:t>)</w:t>
      </w:r>
      <w:r w:rsidR="00D124BB">
        <w:rPr>
          <w:sz w:val="24"/>
          <w:szCs w:val="24"/>
        </w:rPr>
        <w:t xml:space="preserve">, and spectra correlating with </w:t>
      </w:r>
      <w:r w:rsidR="00EE6CD9" w:rsidRPr="00FD0CF9">
        <w:rPr>
          <w:sz w:val="24"/>
          <w:szCs w:val="24"/>
        </w:rPr>
        <w:t xml:space="preserve">superoxide production </w:t>
      </w:r>
      <w:r w:rsidR="00D124BB">
        <w:rPr>
          <w:sz w:val="24"/>
          <w:szCs w:val="24"/>
        </w:rPr>
        <w:t xml:space="preserve">were observed </w:t>
      </w:r>
      <w:r w:rsidR="00EE6CD9" w:rsidRPr="00FD0CF9">
        <w:rPr>
          <w:sz w:val="24"/>
          <w:szCs w:val="24"/>
        </w:rPr>
        <w:t xml:space="preserve">(Fig. </w:t>
      </w:r>
      <w:r w:rsidR="00D124BB">
        <w:rPr>
          <w:sz w:val="24"/>
          <w:szCs w:val="24"/>
        </w:rPr>
        <w:t>3B, C and D</w:t>
      </w:r>
      <w:r w:rsidR="00EE6CD9" w:rsidRPr="00FD0CF9">
        <w:rPr>
          <w:sz w:val="24"/>
          <w:szCs w:val="24"/>
        </w:rPr>
        <w:t xml:space="preserve">).  The DMPO-superoxide spectrum was not observed in the presence of superoxide dismutase, or when TNT was omitted, or </w:t>
      </w:r>
      <w:r>
        <w:rPr>
          <w:sz w:val="24"/>
          <w:szCs w:val="24"/>
        </w:rPr>
        <w:t xml:space="preserve">when </w:t>
      </w:r>
      <w:r w:rsidR="00EE6CD9" w:rsidRPr="00FD0CF9">
        <w:rPr>
          <w:sz w:val="24"/>
          <w:szCs w:val="24"/>
        </w:rPr>
        <w:t xml:space="preserve">denatured MDHAR6 </w:t>
      </w:r>
      <w:r w:rsidR="00BE3ED3">
        <w:rPr>
          <w:sz w:val="24"/>
          <w:szCs w:val="24"/>
        </w:rPr>
        <w:t xml:space="preserve">was </w:t>
      </w:r>
      <w:r w:rsidR="00EE6CD9" w:rsidRPr="00AA2971">
        <w:rPr>
          <w:sz w:val="24"/>
          <w:szCs w:val="24"/>
        </w:rPr>
        <w:t>used.</w:t>
      </w:r>
      <w:r w:rsidR="00AA2971" w:rsidRPr="00EC58C2">
        <w:rPr>
          <w:sz w:val="24"/>
          <w:szCs w:val="24"/>
        </w:rPr>
        <w:t xml:space="preserve"> </w:t>
      </w:r>
      <w:r w:rsidR="00F94D2D" w:rsidRPr="00E80156">
        <w:rPr>
          <w:sz w:val="24"/>
        </w:rPr>
        <w:t xml:space="preserve">These results unambiguously confirm superoxide production during reduction of TNT by MDHAR6. In order to confirm that this process </w:t>
      </w:r>
      <w:r w:rsidR="00F94D2D" w:rsidRPr="00E80156">
        <w:rPr>
          <w:i/>
          <w:sz w:val="24"/>
        </w:rPr>
        <w:t>in planta</w:t>
      </w:r>
      <w:r w:rsidR="00F94D2D" w:rsidRPr="00E80156">
        <w:rPr>
          <w:sz w:val="24"/>
        </w:rPr>
        <w:t xml:space="preserve"> leads to oxidative stress, we used </w:t>
      </w:r>
      <w:r w:rsidR="000A1CAA" w:rsidRPr="000A1CAA">
        <w:rPr>
          <w:color w:val="000000" w:themeColor="text1"/>
          <w:sz w:val="24"/>
          <w:szCs w:val="24"/>
          <w:lang w:eastAsia="en-GB"/>
        </w:rPr>
        <w:t>3</w:t>
      </w:r>
      <w:proofErr w:type="gramStart"/>
      <w:r w:rsidR="000A1CAA" w:rsidRPr="000A1CAA">
        <w:rPr>
          <w:color w:val="000000" w:themeColor="text1"/>
          <w:sz w:val="24"/>
          <w:szCs w:val="24"/>
          <w:lang w:eastAsia="en-GB"/>
        </w:rPr>
        <w:t>,3’</w:t>
      </w:r>
      <w:proofErr w:type="gramEnd"/>
      <w:r w:rsidR="000A1CAA" w:rsidRPr="000A1CAA">
        <w:rPr>
          <w:color w:val="000000" w:themeColor="text1"/>
          <w:sz w:val="24"/>
          <w:szCs w:val="24"/>
          <w:lang w:eastAsia="en-GB"/>
        </w:rPr>
        <w:t>-diaminobenzidine (DAB) to visualize H</w:t>
      </w:r>
      <w:r w:rsidR="000A1CAA" w:rsidRPr="000A1CAA">
        <w:rPr>
          <w:color w:val="000000" w:themeColor="text1"/>
          <w:sz w:val="24"/>
          <w:szCs w:val="24"/>
          <w:vertAlign w:val="subscript"/>
          <w:lang w:eastAsia="en-GB"/>
        </w:rPr>
        <w:t>2</w:t>
      </w:r>
      <w:r w:rsidR="000A1CAA" w:rsidRPr="000A1CAA">
        <w:rPr>
          <w:color w:val="000000" w:themeColor="text1"/>
          <w:sz w:val="24"/>
          <w:szCs w:val="24"/>
          <w:lang w:eastAsia="en-GB"/>
        </w:rPr>
        <w:t>O</w:t>
      </w:r>
      <w:r w:rsidR="000A1CAA" w:rsidRPr="000A1CAA">
        <w:rPr>
          <w:color w:val="000000" w:themeColor="text1"/>
          <w:sz w:val="24"/>
          <w:szCs w:val="24"/>
          <w:vertAlign w:val="subscript"/>
          <w:lang w:eastAsia="en-GB"/>
        </w:rPr>
        <w:t xml:space="preserve">2 </w:t>
      </w:r>
      <w:r w:rsidR="000A1CAA" w:rsidRPr="000A1CAA">
        <w:rPr>
          <w:color w:val="000000" w:themeColor="text1"/>
          <w:sz w:val="24"/>
          <w:szCs w:val="24"/>
          <w:lang w:eastAsia="en-GB"/>
        </w:rPr>
        <w:t>generation</w:t>
      </w:r>
      <w:r w:rsidR="000A1CAA">
        <w:rPr>
          <w:color w:val="000000" w:themeColor="text1"/>
          <w:sz w:val="24"/>
          <w:szCs w:val="24"/>
          <w:lang w:eastAsia="en-GB"/>
        </w:rPr>
        <w:t xml:space="preserve">. </w:t>
      </w:r>
      <w:r w:rsidR="00AA2971" w:rsidRPr="00C1405E">
        <w:rPr>
          <w:rFonts w:eastAsia="Times New Roman"/>
          <w:color w:val="000000" w:themeColor="text1"/>
          <w:sz w:val="24"/>
          <w:szCs w:val="24"/>
          <w:lang w:eastAsia="en-GB"/>
        </w:rPr>
        <w:t xml:space="preserve">In </w:t>
      </w:r>
      <w:r w:rsidR="00AA2971" w:rsidRPr="00C1405E">
        <w:rPr>
          <w:rFonts w:eastAsia="Times New Roman"/>
          <w:iCs/>
          <w:color w:val="000000" w:themeColor="text1"/>
          <w:sz w:val="24"/>
          <w:szCs w:val="24"/>
          <w:lang w:eastAsia="en-GB"/>
        </w:rPr>
        <w:t>seedlings</w:t>
      </w:r>
      <w:r w:rsidR="00AA2971" w:rsidRPr="00C1405E">
        <w:rPr>
          <w:rFonts w:eastAsia="Times New Roman"/>
          <w:color w:val="000000" w:themeColor="text1"/>
          <w:sz w:val="24"/>
          <w:szCs w:val="24"/>
          <w:lang w:eastAsia="en-GB"/>
        </w:rPr>
        <w:t xml:space="preserve"> grown on agar plates containing 15 µM TNT, </w:t>
      </w:r>
      <w:r w:rsidR="00F94D2D" w:rsidRPr="00E80156">
        <w:rPr>
          <w:sz w:val="24"/>
        </w:rPr>
        <w:t>the intensity of color (due to DAB oxidation by peroxide) was much higher</w:t>
      </w:r>
      <w:r w:rsidR="00BE3ED3" w:rsidRPr="000A1CAA">
        <w:rPr>
          <w:rFonts w:eastAsia="Times New Roman"/>
          <w:color w:val="000000" w:themeColor="text1"/>
          <w:sz w:val="24"/>
          <w:szCs w:val="24"/>
          <w:lang w:eastAsia="en-GB"/>
        </w:rPr>
        <w:t xml:space="preserve"> in wi</w:t>
      </w:r>
      <w:r w:rsidR="00F94D2D">
        <w:rPr>
          <w:rFonts w:eastAsia="Times New Roman"/>
          <w:color w:val="000000" w:themeColor="text1"/>
          <w:sz w:val="24"/>
          <w:szCs w:val="24"/>
          <w:lang w:eastAsia="en-GB"/>
        </w:rPr>
        <w:t xml:space="preserve">ld-type roots than in </w:t>
      </w:r>
      <w:r w:rsidR="00F94D2D">
        <w:rPr>
          <w:rFonts w:eastAsia="Times New Roman"/>
          <w:i/>
          <w:iCs/>
          <w:color w:val="000000" w:themeColor="text1"/>
          <w:sz w:val="24"/>
          <w:szCs w:val="24"/>
          <w:lang w:eastAsia="en-GB"/>
        </w:rPr>
        <w:t>mdh</w:t>
      </w:r>
      <w:r w:rsidR="00AA2971" w:rsidRPr="00C1405E">
        <w:rPr>
          <w:rFonts w:eastAsia="Times New Roman"/>
          <w:i/>
          <w:iCs/>
          <w:color w:val="000000" w:themeColor="text1"/>
          <w:sz w:val="24"/>
          <w:szCs w:val="24"/>
          <w:lang w:eastAsia="en-GB"/>
        </w:rPr>
        <w:t xml:space="preserve">ar6-1 </w:t>
      </w:r>
      <w:r w:rsidR="00AA2971" w:rsidRPr="00C1405E">
        <w:rPr>
          <w:rFonts w:eastAsia="Times New Roman"/>
          <w:color w:val="000000" w:themeColor="text1"/>
          <w:sz w:val="24"/>
          <w:szCs w:val="24"/>
          <w:lang w:eastAsia="en-GB"/>
        </w:rPr>
        <w:t xml:space="preserve">roots (Fig. 3E). This finding is indicative of </w:t>
      </w:r>
      <w:r w:rsidR="000A1CAA">
        <w:rPr>
          <w:rFonts w:eastAsia="Times New Roman"/>
          <w:color w:val="000000" w:themeColor="text1"/>
          <w:sz w:val="24"/>
          <w:szCs w:val="24"/>
          <w:lang w:eastAsia="en-GB"/>
        </w:rPr>
        <w:t>superoxide production</w:t>
      </w:r>
      <w:r w:rsidR="00AA2971" w:rsidRPr="00C1405E">
        <w:rPr>
          <w:rFonts w:eastAsia="Times New Roman"/>
          <w:color w:val="000000" w:themeColor="text1"/>
          <w:sz w:val="24"/>
          <w:szCs w:val="24"/>
          <w:lang w:eastAsia="en-GB"/>
        </w:rPr>
        <w:t xml:space="preserve"> by MDHAR6 activity</w:t>
      </w:r>
      <w:r w:rsidR="000A1CAA">
        <w:rPr>
          <w:rFonts w:eastAsia="Times New Roman"/>
          <w:color w:val="000000" w:themeColor="text1"/>
          <w:sz w:val="24"/>
          <w:szCs w:val="24"/>
          <w:lang w:eastAsia="en-GB"/>
        </w:rPr>
        <w:t xml:space="preserve"> with TNT</w:t>
      </w:r>
      <w:r w:rsidR="00AA2971" w:rsidRPr="00C1405E">
        <w:rPr>
          <w:rFonts w:eastAsia="Times New Roman"/>
          <w:color w:val="000000" w:themeColor="text1"/>
          <w:sz w:val="24"/>
          <w:szCs w:val="24"/>
          <w:lang w:eastAsia="en-GB"/>
        </w:rPr>
        <w:t>.</w:t>
      </w:r>
    </w:p>
    <w:p w:rsidR="00EB316E" w:rsidRPr="00EB316E" w:rsidRDefault="00391324" w:rsidP="00E80156">
      <w:pPr>
        <w:spacing w:beforeLines="120" w:before="288"/>
        <w:rPr>
          <w:sz w:val="24"/>
          <w:szCs w:val="24"/>
        </w:rPr>
      </w:pPr>
      <w:r>
        <w:rPr>
          <w:sz w:val="24"/>
          <w:szCs w:val="24"/>
        </w:rPr>
        <w:t xml:space="preserve">Because </w:t>
      </w:r>
      <w:r w:rsidRPr="00EE6CD9">
        <w:rPr>
          <w:i/>
          <w:sz w:val="24"/>
          <w:szCs w:val="24"/>
        </w:rPr>
        <w:t xml:space="preserve">mdhar6 </w:t>
      </w:r>
      <w:r>
        <w:rPr>
          <w:sz w:val="24"/>
          <w:szCs w:val="24"/>
        </w:rPr>
        <w:t xml:space="preserve">plants show enhanced tolerance to TNT but not to other stresses, </w:t>
      </w:r>
      <w:r w:rsidR="00EE6CD9" w:rsidRPr="00EE6CD9">
        <w:rPr>
          <w:sz w:val="24"/>
          <w:szCs w:val="24"/>
        </w:rPr>
        <w:t xml:space="preserve">we propose that </w:t>
      </w:r>
      <w:r>
        <w:rPr>
          <w:sz w:val="24"/>
          <w:szCs w:val="24"/>
        </w:rPr>
        <w:t xml:space="preserve">production of </w:t>
      </w:r>
      <w:r w:rsidR="004509F8">
        <w:rPr>
          <w:sz w:val="24"/>
          <w:szCs w:val="24"/>
        </w:rPr>
        <w:t xml:space="preserve">superoxide </w:t>
      </w:r>
      <w:r>
        <w:rPr>
          <w:sz w:val="24"/>
          <w:szCs w:val="24"/>
        </w:rPr>
        <w:t xml:space="preserve">by MDHAR6 with TNT as a substrate </w:t>
      </w:r>
      <w:r w:rsidR="00EE6CD9" w:rsidRPr="00EE6CD9">
        <w:rPr>
          <w:sz w:val="24"/>
          <w:szCs w:val="24"/>
        </w:rPr>
        <w:t>is the main mechanism for TNT toxicity in plants.</w:t>
      </w:r>
      <w:r>
        <w:rPr>
          <w:sz w:val="24"/>
          <w:szCs w:val="24"/>
        </w:rPr>
        <w:t xml:space="preserve"> T</w:t>
      </w:r>
      <w:r w:rsidR="00EE6CD9" w:rsidRPr="00EE6CD9">
        <w:rPr>
          <w:sz w:val="24"/>
          <w:szCs w:val="24"/>
        </w:rPr>
        <w:t xml:space="preserve">he cyclic </w:t>
      </w:r>
      <w:r w:rsidRPr="00EE6CD9">
        <w:rPr>
          <w:sz w:val="24"/>
          <w:szCs w:val="24"/>
        </w:rPr>
        <w:t>nature</w:t>
      </w:r>
      <w:r>
        <w:rPr>
          <w:sz w:val="24"/>
          <w:szCs w:val="24"/>
        </w:rPr>
        <w:t xml:space="preserve"> of the reaction</w:t>
      </w:r>
      <w:r w:rsidRPr="00EE6CD9">
        <w:rPr>
          <w:sz w:val="24"/>
          <w:szCs w:val="24"/>
        </w:rPr>
        <w:t xml:space="preserve"> </w:t>
      </w:r>
      <w:r w:rsidR="00EE6CD9" w:rsidRPr="00EE6CD9">
        <w:rPr>
          <w:sz w:val="24"/>
          <w:szCs w:val="24"/>
        </w:rPr>
        <w:t xml:space="preserve">is such that only catalytic amounts of TNT are needed to </w:t>
      </w:r>
      <w:r>
        <w:rPr>
          <w:sz w:val="24"/>
          <w:szCs w:val="24"/>
        </w:rPr>
        <w:t>generate</w:t>
      </w:r>
      <w:r w:rsidRPr="00EE6CD9">
        <w:rPr>
          <w:sz w:val="24"/>
          <w:szCs w:val="24"/>
        </w:rPr>
        <w:t xml:space="preserve"> </w:t>
      </w:r>
      <w:r w:rsidR="00EE6CD9" w:rsidRPr="00EE6CD9">
        <w:rPr>
          <w:sz w:val="24"/>
          <w:szCs w:val="24"/>
        </w:rPr>
        <w:t>damaging levels of ROS</w:t>
      </w:r>
      <w:r w:rsidR="000E1716">
        <w:rPr>
          <w:sz w:val="24"/>
          <w:szCs w:val="24"/>
        </w:rPr>
        <w:t xml:space="preserve"> within the mitochondria and plastids</w:t>
      </w:r>
      <w:r w:rsidR="005B5AD6">
        <w:rPr>
          <w:sz w:val="24"/>
          <w:szCs w:val="24"/>
        </w:rPr>
        <w:t xml:space="preserve"> (Fig. </w:t>
      </w:r>
      <w:r w:rsidR="00C80CDC">
        <w:rPr>
          <w:sz w:val="24"/>
          <w:szCs w:val="24"/>
        </w:rPr>
        <w:t>4</w:t>
      </w:r>
      <w:r w:rsidR="005B5AD6">
        <w:rPr>
          <w:sz w:val="24"/>
          <w:szCs w:val="24"/>
        </w:rPr>
        <w:t>)</w:t>
      </w:r>
      <w:r>
        <w:rPr>
          <w:sz w:val="24"/>
          <w:szCs w:val="24"/>
        </w:rPr>
        <w:t xml:space="preserve">.  The reaction also requires </w:t>
      </w:r>
      <w:r w:rsidR="00EE6CD9" w:rsidRPr="00EE6CD9">
        <w:rPr>
          <w:sz w:val="24"/>
          <w:szCs w:val="24"/>
        </w:rPr>
        <w:t>NADH</w:t>
      </w:r>
      <w:r>
        <w:rPr>
          <w:sz w:val="24"/>
          <w:szCs w:val="24"/>
        </w:rPr>
        <w:t>, use of which</w:t>
      </w:r>
      <w:r w:rsidR="00EE6CD9" w:rsidRPr="00EE6CD9">
        <w:rPr>
          <w:sz w:val="24"/>
          <w:szCs w:val="24"/>
        </w:rPr>
        <w:t xml:space="preserve"> could induce an energy deficit, impeding ATP generation </w:t>
      </w:r>
      <w:r w:rsidR="00BE3ED3">
        <w:rPr>
          <w:sz w:val="24"/>
          <w:szCs w:val="24"/>
        </w:rPr>
        <w:t xml:space="preserve">in the mitochondria </w:t>
      </w:r>
      <w:r w:rsidR="00EE6CD9" w:rsidRPr="00EE6CD9">
        <w:rPr>
          <w:sz w:val="24"/>
          <w:szCs w:val="24"/>
        </w:rPr>
        <w:t xml:space="preserve">and </w:t>
      </w:r>
      <w:r w:rsidR="00C97596">
        <w:rPr>
          <w:sz w:val="24"/>
          <w:szCs w:val="24"/>
        </w:rPr>
        <w:t xml:space="preserve">subsequent </w:t>
      </w:r>
      <w:r w:rsidR="00EE6CD9" w:rsidRPr="00EE6CD9">
        <w:rPr>
          <w:sz w:val="24"/>
          <w:szCs w:val="24"/>
        </w:rPr>
        <w:t>plant growth.</w:t>
      </w:r>
      <w:r w:rsidR="000E1716">
        <w:rPr>
          <w:sz w:val="24"/>
          <w:szCs w:val="24"/>
        </w:rPr>
        <w:t xml:space="preserve"> </w:t>
      </w:r>
      <w:r w:rsidR="00FC5431" w:rsidRPr="00FC5431">
        <w:rPr>
          <w:sz w:val="24"/>
          <w:szCs w:val="24"/>
        </w:rPr>
        <w:t>The results presented (Fig 1B, S</w:t>
      </w:r>
      <w:r w:rsidR="00EC58C2">
        <w:rPr>
          <w:sz w:val="24"/>
          <w:szCs w:val="24"/>
        </w:rPr>
        <w:t>4</w:t>
      </w:r>
      <w:r w:rsidR="00FC5431" w:rsidRPr="00FC5431">
        <w:rPr>
          <w:sz w:val="24"/>
          <w:szCs w:val="24"/>
        </w:rPr>
        <w:t>) demonstrate that MDHAR6 contributes to the majority of TNT toxicity in Arabidopsis. Further toxicity could derive from reduction of TNT by one or more of the remaining fou</w:t>
      </w:r>
      <w:r w:rsidR="00C97596">
        <w:rPr>
          <w:sz w:val="24"/>
          <w:szCs w:val="24"/>
        </w:rPr>
        <w:t>r members of the MDHAR family. However, t</w:t>
      </w:r>
      <w:r w:rsidR="00FC5431" w:rsidRPr="00FC5431">
        <w:rPr>
          <w:sz w:val="24"/>
          <w:szCs w:val="24"/>
        </w:rPr>
        <w:t>he biochemical environment of the peroxisome, which contains high levels of catalase, would be predicted to ame</w:t>
      </w:r>
      <w:r w:rsidR="00C97596">
        <w:rPr>
          <w:sz w:val="24"/>
          <w:szCs w:val="24"/>
        </w:rPr>
        <w:t>liorate the production of ROS. While i</w:t>
      </w:r>
      <w:r w:rsidR="00FC5431" w:rsidRPr="00FC5431">
        <w:rPr>
          <w:sz w:val="24"/>
          <w:szCs w:val="24"/>
        </w:rPr>
        <w:t>n the cytosol, it is predicted that conjugation to glutathione and glucose would mitigate toxicity by reducing TNT availability (</w:t>
      </w:r>
      <w:r w:rsidR="00EB316E" w:rsidRPr="00EB316E">
        <w:rPr>
          <w:i/>
          <w:sz w:val="24"/>
          <w:szCs w:val="24"/>
        </w:rPr>
        <w:t>7</w:t>
      </w:r>
      <w:r w:rsidR="00EB316E">
        <w:rPr>
          <w:sz w:val="24"/>
          <w:szCs w:val="24"/>
        </w:rPr>
        <w:t xml:space="preserve">, </w:t>
      </w:r>
      <w:r w:rsidR="00EB316E" w:rsidRPr="00EB316E">
        <w:rPr>
          <w:i/>
          <w:sz w:val="24"/>
          <w:szCs w:val="24"/>
        </w:rPr>
        <w:t>9</w:t>
      </w:r>
      <w:r w:rsidR="007505E1">
        <w:rPr>
          <w:sz w:val="24"/>
          <w:szCs w:val="24"/>
        </w:rPr>
        <w:t>).</w:t>
      </w:r>
    </w:p>
    <w:p w:rsidR="00EE6CD9" w:rsidRDefault="00EE6CD9" w:rsidP="00E80156">
      <w:pPr>
        <w:spacing w:beforeLines="120" w:before="288"/>
        <w:rPr>
          <w:sz w:val="24"/>
          <w:szCs w:val="24"/>
        </w:rPr>
      </w:pPr>
      <w:r w:rsidRPr="00EE6CD9">
        <w:rPr>
          <w:sz w:val="24"/>
          <w:szCs w:val="24"/>
        </w:rPr>
        <w:t>Protein sequence alignment</w:t>
      </w:r>
      <w:r w:rsidR="00E011DA">
        <w:rPr>
          <w:sz w:val="24"/>
          <w:szCs w:val="24"/>
        </w:rPr>
        <w:t xml:space="preserve"> (</w:t>
      </w:r>
      <w:r w:rsidR="008751CB">
        <w:rPr>
          <w:i/>
          <w:sz w:val="24"/>
          <w:szCs w:val="24"/>
        </w:rPr>
        <w:t>22</w:t>
      </w:r>
      <w:r w:rsidR="00E011DA">
        <w:rPr>
          <w:sz w:val="24"/>
          <w:szCs w:val="24"/>
        </w:rPr>
        <w:t>)</w:t>
      </w:r>
      <w:r w:rsidRPr="00EE6CD9">
        <w:rPr>
          <w:sz w:val="24"/>
          <w:szCs w:val="24"/>
        </w:rPr>
        <w:t xml:space="preserve"> against the National Center for Biotechnology Information database indicates that MDHAR6 is specific to plants</w:t>
      </w:r>
      <w:r w:rsidR="0029155A">
        <w:rPr>
          <w:sz w:val="24"/>
          <w:szCs w:val="24"/>
        </w:rPr>
        <w:t xml:space="preserve"> (</w:t>
      </w:r>
      <w:r w:rsidR="0029155A" w:rsidRPr="00E34072">
        <w:rPr>
          <w:sz w:val="24"/>
          <w:szCs w:val="24"/>
        </w:rPr>
        <w:t xml:space="preserve">Table </w:t>
      </w:r>
      <w:r w:rsidR="0057198A" w:rsidRPr="00E34072">
        <w:rPr>
          <w:sz w:val="24"/>
          <w:szCs w:val="24"/>
        </w:rPr>
        <w:t>S</w:t>
      </w:r>
      <w:r w:rsidR="003F7DEE">
        <w:rPr>
          <w:sz w:val="24"/>
          <w:szCs w:val="24"/>
        </w:rPr>
        <w:t>2)</w:t>
      </w:r>
      <w:r w:rsidR="00391324">
        <w:rPr>
          <w:sz w:val="24"/>
          <w:szCs w:val="24"/>
        </w:rPr>
        <w:t xml:space="preserve">. </w:t>
      </w:r>
      <w:r w:rsidR="00C97596">
        <w:rPr>
          <w:sz w:val="24"/>
          <w:szCs w:val="24"/>
        </w:rPr>
        <w:t xml:space="preserve"> MDHAR6 has homolog</w:t>
      </w:r>
      <w:r w:rsidRPr="00EE6CD9">
        <w:rPr>
          <w:sz w:val="24"/>
          <w:szCs w:val="24"/>
        </w:rPr>
        <w:t xml:space="preserve">s with high sequence similarity </w:t>
      </w:r>
      <w:r w:rsidR="00336E0A">
        <w:rPr>
          <w:sz w:val="24"/>
          <w:szCs w:val="24"/>
        </w:rPr>
        <w:t>among</w:t>
      </w:r>
      <w:r w:rsidRPr="00EE6CD9">
        <w:rPr>
          <w:sz w:val="24"/>
          <w:szCs w:val="24"/>
        </w:rPr>
        <w:t xml:space="preserve"> monocots</w:t>
      </w:r>
      <w:r w:rsidR="0029155A">
        <w:rPr>
          <w:sz w:val="24"/>
          <w:szCs w:val="24"/>
        </w:rPr>
        <w:t>,</w:t>
      </w:r>
      <w:r w:rsidRPr="00EE6CD9">
        <w:rPr>
          <w:sz w:val="24"/>
          <w:szCs w:val="24"/>
        </w:rPr>
        <w:t xml:space="preserve"> dicots, </w:t>
      </w:r>
      <w:r w:rsidR="0029155A">
        <w:rPr>
          <w:sz w:val="24"/>
          <w:szCs w:val="24"/>
        </w:rPr>
        <w:t>and</w:t>
      </w:r>
      <w:r w:rsidR="00336E0A">
        <w:rPr>
          <w:sz w:val="24"/>
          <w:szCs w:val="24"/>
        </w:rPr>
        <w:t xml:space="preserve"> in</w:t>
      </w:r>
      <w:r w:rsidRPr="00EE6CD9">
        <w:rPr>
          <w:sz w:val="24"/>
          <w:szCs w:val="24"/>
        </w:rPr>
        <w:t xml:space="preserve"> </w:t>
      </w:r>
      <w:proofErr w:type="spellStart"/>
      <w:r w:rsidRPr="00EE6CD9">
        <w:rPr>
          <w:i/>
          <w:sz w:val="24"/>
          <w:szCs w:val="24"/>
        </w:rPr>
        <w:t>Amborella</w:t>
      </w:r>
      <w:proofErr w:type="spellEnd"/>
      <w:r w:rsidRPr="00EE6CD9">
        <w:rPr>
          <w:i/>
          <w:sz w:val="24"/>
          <w:szCs w:val="24"/>
        </w:rPr>
        <w:t xml:space="preserve"> </w:t>
      </w:r>
      <w:proofErr w:type="spellStart"/>
      <w:r w:rsidRPr="00EE6CD9">
        <w:rPr>
          <w:i/>
          <w:sz w:val="24"/>
          <w:szCs w:val="24"/>
        </w:rPr>
        <w:t>trichopoda</w:t>
      </w:r>
      <w:proofErr w:type="spellEnd"/>
      <w:r w:rsidRPr="00EE6CD9">
        <w:rPr>
          <w:i/>
          <w:sz w:val="24"/>
          <w:szCs w:val="24"/>
        </w:rPr>
        <w:t xml:space="preserve"> </w:t>
      </w:r>
      <w:r w:rsidRPr="00EE6CD9">
        <w:rPr>
          <w:sz w:val="24"/>
          <w:szCs w:val="24"/>
        </w:rPr>
        <w:t xml:space="preserve">at the base of the </w:t>
      </w:r>
      <w:r w:rsidRPr="00EE6CD9">
        <w:rPr>
          <w:sz w:val="24"/>
          <w:szCs w:val="24"/>
        </w:rPr>
        <w:lastRenderedPageBreak/>
        <w:t>Angiosp</w:t>
      </w:r>
      <w:r w:rsidR="00C97596">
        <w:rPr>
          <w:sz w:val="24"/>
          <w:szCs w:val="24"/>
        </w:rPr>
        <w:t>erm lineage. There are homolog</w:t>
      </w:r>
      <w:r w:rsidRPr="00EE6CD9">
        <w:rPr>
          <w:sz w:val="24"/>
          <w:szCs w:val="24"/>
        </w:rPr>
        <w:t>s with less similar</w:t>
      </w:r>
      <w:r w:rsidR="00C97596">
        <w:rPr>
          <w:sz w:val="24"/>
          <w:szCs w:val="24"/>
        </w:rPr>
        <w:t>ity in lower plants and algae and s</w:t>
      </w:r>
      <w:r w:rsidRPr="00EE6CD9">
        <w:rPr>
          <w:sz w:val="24"/>
          <w:szCs w:val="24"/>
        </w:rPr>
        <w:t xml:space="preserve">imilarity with proteins outside of </w:t>
      </w:r>
      <w:r w:rsidR="00C97596">
        <w:rPr>
          <w:sz w:val="24"/>
          <w:szCs w:val="24"/>
        </w:rPr>
        <w:t xml:space="preserve">the </w:t>
      </w:r>
      <w:r w:rsidRPr="00EE6CD9">
        <w:rPr>
          <w:sz w:val="24"/>
          <w:szCs w:val="24"/>
        </w:rPr>
        <w:t>Plantae is very low.</w:t>
      </w:r>
    </w:p>
    <w:p w:rsidR="00BA6C11" w:rsidRDefault="00C97596" w:rsidP="00E80156">
      <w:pPr>
        <w:spacing w:beforeLines="120" w:before="288"/>
        <w:rPr>
          <w:b/>
          <w:sz w:val="24"/>
          <w:szCs w:val="24"/>
        </w:rPr>
      </w:pPr>
      <w:r>
        <w:rPr>
          <w:b/>
          <w:sz w:val="24"/>
          <w:szCs w:val="24"/>
        </w:rPr>
        <w:t>Applications</w:t>
      </w:r>
    </w:p>
    <w:p w:rsidR="00C97596" w:rsidRDefault="00C97596" w:rsidP="00DE002F">
      <w:pPr>
        <w:spacing w:line="276" w:lineRule="auto"/>
        <w:rPr>
          <w:b/>
          <w:sz w:val="24"/>
          <w:szCs w:val="24"/>
        </w:rPr>
      </w:pPr>
    </w:p>
    <w:p w:rsidR="00EE6CD9" w:rsidRPr="00596A2B" w:rsidRDefault="00B733C2" w:rsidP="00596A2B">
      <w:pPr>
        <w:rPr>
          <w:bCs/>
          <w:sz w:val="24"/>
          <w:szCs w:val="24"/>
          <w:lang w:val="en-GB"/>
        </w:rPr>
      </w:pPr>
      <w:r>
        <w:rPr>
          <w:sz w:val="24"/>
          <w:szCs w:val="24"/>
        </w:rPr>
        <w:t>A</w:t>
      </w:r>
      <w:r w:rsidR="00EE6CD9" w:rsidRPr="00EE6CD9">
        <w:rPr>
          <w:sz w:val="24"/>
          <w:szCs w:val="24"/>
        </w:rPr>
        <w:t>lthough herbicide resistance has been increasing steadily since the 1970s</w:t>
      </w:r>
      <w:r w:rsidR="00E011DA">
        <w:rPr>
          <w:sz w:val="24"/>
          <w:szCs w:val="24"/>
        </w:rPr>
        <w:t xml:space="preserve"> (</w:t>
      </w:r>
      <w:r w:rsidR="008751CB">
        <w:rPr>
          <w:i/>
          <w:sz w:val="24"/>
          <w:szCs w:val="24"/>
        </w:rPr>
        <w:t>23</w:t>
      </w:r>
      <w:r w:rsidR="00E011DA">
        <w:rPr>
          <w:sz w:val="24"/>
          <w:szCs w:val="24"/>
        </w:rPr>
        <w:t>)</w:t>
      </w:r>
      <w:r w:rsidR="00EE6CD9" w:rsidRPr="00EE6CD9">
        <w:rPr>
          <w:sz w:val="24"/>
          <w:szCs w:val="24"/>
        </w:rPr>
        <w:t>, no new herbicide mode of action has been commercialized since the 1980s</w:t>
      </w:r>
      <w:r w:rsidR="00E011DA">
        <w:rPr>
          <w:sz w:val="24"/>
          <w:szCs w:val="24"/>
        </w:rPr>
        <w:t xml:space="preserve"> (</w:t>
      </w:r>
      <w:r w:rsidR="008751CB" w:rsidRPr="00E011DA">
        <w:rPr>
          <w:i/>
          <w:sz w:val="24"/>
          <w:szCs w:val="24"/>
        </w:rPr>
        <w:t>2</w:t>
      </w:r>
      <w:r w:rsidR="008751CB">
        <w:rPr>
          <w:i/>
          <w:sz w:val="24"/>
          <w:szCs w:val="24"/>
        </w:rPr>
        <w:t>4</w:t>
      </w:r>
      <w:r w:rsidR="00E011DA">
        <w:rPr>
          <w:sz w:val="24"/>
          <w:szCs w:val="24"/>
        </w:rPr>
        <w:t>)</w:t>
      </w:r>
      <w:r w:rsidR="00EE6CD9" w:rsidRPr="00EE6CD9">
        <w:rPr>
          <w:sz w:val="24"/>
          <w:szCs w:val="24"/>
        </w:rPr>
        <w:t xml:space="preserve">. </w:t>
      </w:r>
      <w:r>
        <w:rPr>
          <w:sz w:val="24"/>
          <w:szCs w:val="24"/>
        </w:rPr>
        <w:t>T</w:t>
      </w:r>
      <w:r w:rsidRPr="00EE6CD9">
        <w:rPr>
          <w:sz w:val="24"/>
          <w:szCs w:val="24"/>
        </w:rPr>
        <w:t xml:space="preserve">he toxic effect of the </w:t>
      </w:r>
      <w:r>
        <w:rPr>
          <w:sz w:val="24"/>
          <w:szCs w:val="24"/>
        </w:rPr>
        <w:t xml:space="preserve">plant-specific </w:t>
      </w:r>
      <w:r w:rsidRPr="00EE6CD9">
        <w:rPr>
          <w:sz w:val="24"/>
          <w:szCs w:val="24"/>
        </w:rPr>
        <w:t>MDHAR6 reaction with TNT</w:t>
      </w:r>
      <w:r>
        <w:rPr>
          <w:sz w:val="24"/>
          <w:szCs w:val="24"/>
        </w:rPr>
        <w:t xml:space="preserve"> could be leveraged to develop </w:t>
      </w:r>
      <w:r w:rsidRPr="00EE6CD9">
        <w:rPr>
          <w:sz w:val="24"/>
          <w:szCs w:val="24"/>
        </w:rPr>
        <w:t>environmentally-</w:t>
      </w:r>
      <w:r w:rsidR="007B08B8">
        <w:rPr>
          <w:sz w:val="24"/>
          <w:szCs w:val="24"/>
        </w:rPr>
        <w:t>acceptable</w:t>
      </w:r>
      <w:r w:rsidRPr="00EE6CD9">
        <w:rPr>
          <w:sz w:val="24"/>
          <w:szCs w:val="24"/>
        </w:rPr>
        <w:t xml:space="preserve"> substrates for MDHAR6 as a new class of herbicide</w:t>
      </w:r>
      <w:r w:rsidR="007B08B8">
        <w:rPr>
          <w:sz w:val="24"/>
          <w:szCs w:val="24"/>
        </w:rPr>
        <w:t>.</w:t>
      </w:r>
      <w:r>
        <w:rPr>
          <w:sz w:val="24"/>
          <w:szCs w:val="24"/>
        </w:rPr>
        <w:t xml:space="preserve"> </w:t>
      </w:r>
      <w:r w:rsidR="00000F02">
        <w:rPr>
          <w:sz w:val="24"/>
          <w:szCs w:val="24"/>
        </w:rPr>
        <w:t xml:space="preserve">We therefore </w:t>
      </w:r>
      <w:r>
        <w:rPr>
          <w:sz w:val="24"/>
          <w:szCs w:val="24"/>
        </w:rPr>
        <w:t xml:space="preserve">investigated </w:t>
      </w:r>
      <w:r w:rsidR="00C97596">
        <w:rPr>
          <w:sz w:val="24"/>
          <w:szCs w:val="24"/>
        </w:rPr>
        <w:t>activity of MDHAR6 towards</w:t>
      </w:r>
      <w:r w:rsidR="00DE002F">
        <w:rPr>
          <w:sz w:val="24"/>
          <w:szCs w:val="24"/>
        </w:rPr>
        <w:t xml:space="preserve"> </w:t>
      </w:r>
      <w:r w:rsidR="00000F02">
        <w:rPr>
          <w:sz w:val="24"/>
          <w:szCs w:val="24"/>
        </w:rPr>
        <w:t xml:space="preserve">two </w:t>
      </w:r>
      <w:r w:rsidR="00DE002F">
        <w:rPr>
          <w:sz w:val="24"/>
          <w:szCs w:val="24"/>
        </w:rPr>
        <w:t>additional</w:t>
      </w:r>
      <w:r w:rsidR="00EE6CD9" w:rsidRPr="00EE6CD9">
        <w:rPr>
          <w:sz w:val="24"/>
          <w:szCs w:val="24"/>
        </w:rPr>
        <w:t xml:space="preserve"> </w:t>
      </w:r>
      <w:r w:rsidR="00C97596">
        <w:rPr>
          <w:sz w:val="24"/>
          <w:szCs w:val="24"/>
        </w:rPr>
        <w:t>nitro-</w:t>
      </w:r>
      <w:r w:rsidR="00EE6CD9" w:rsidRPr="00EE6CD9">
        <w:rPr>
          <w:sz w:val="24"/>
          <w:szCs w:val="24"/>
        </w:rPr>
        <w:t>group containing chemicals</w:t>
      </w:r>
      <w:r w:rsidR="00DE002F">
        <w:rPr>
          <w:sz w:val="24"/>
          <w:szCs w:val="24"/>
        </w:rPr>
        <w:t xml:space="preserve">, </w:t>
      </w:r>
      <w:r w:rsidR="00DE002F" w:rsidRPr="00EE6CD9">
        <w:rPr>
          <w:sz w:val="24"/>
          <w:szCs w:val="24"/>
        </w:rPr>
        <w:t>1-chloro-2</w:t>
      </w:r>
      <w:proofErr w:type="gramStart"/>
      <w:r w:rsidR="00DE002F" w:rsidRPr="00EE6CD9">
        <w:rPr>
          <w:sz w:val="24"/>
          <w:szCs w:val="24"/>
        </w:rPr>
        <w:t>,4</w:t>
      </w:r>
      <w:proofErr w:type="gramEnd"/>
      <w:r w:rsidR="00DE002F" w:rsidRPr="00EE6CD9">
        <w:rPr>
          <w:sz w:val="24"/>
          <w:szCs w:val="24"/>
        </w:rPr>
        <w:t>-dinitrobenzene</w:t>
      </w:r>
      <w:r w:rsidR="00DE002F">
        <w:rPr>
          <w:sz w:val="24"/>
          <w:szCs w:val="24"/>
        </w:rPr>
        <w:t xml:space="preserve"> (CDNB) and </w:t>
      </w:r>
      <w:r w:rsidR="00FC5431">
        <w:rPr>
          <w:sz w:val="24"/>
          <w:szCs w:val="24"/>
        </w:rPr>
        <w:t>1</w:t>
      </w:r>
      <w:r w:rsidR="00DE002F" w:rsidRPr="00DE002F">
        <w:rPr>
          <w:sz w:val="24"/>
          <w:szCs w:val="24"/>
        </w:rPr>
        <w:t>-chloro-4-nitro-</w:t>
      </w:r>
      <w:r w:rsidR="000C426B">
        <w:rPr>
          <w:sz w:val="24"/>
          <w:szCs w:val="24"/>
        </w:rPr>
        <w:t>b</w:t>
      </w:r>
      <w:r w:rsidR="00DE002F" w:rsidRPr="00DE002F">
        <w:rPr>
          <w:sz w:val="24"/>
          <w:szCs w:val="24"/>
        </w:rPr>
        <w:t>enzene</w:t>
      </w:r>
      <w:r w:rsidR="00DE002F">
        <w:rPr>
          <w:sz w:val="24"/>
          <w:szCs w:val="24"/>
        </w:rPr>
        <w:t xml:space="preserve"> </w:t>
      </w:r>
      <w:r w:rsidR="00DE002F" w:rsidRPr="00DE002F">
        <w:rPr>
          <w:sz w:val="24"/>
          <w:szCs w:val="24"/>
        </w:rPr>
        <w:t>(CNB)</w:t>
      </w:r>
      <w:r w:rsidR="00DE002F">
        <w:rPr>
          <w:sz w:val="24"/>
          <w:szCs w:val="24"/>
        </w:rPr>
        <w:t>, shown in Fig. 5A</w:t>
      </w:r>
      <w:r w:rsidR="007B08B8">
        <w:rPr>
          <w:sz w:val="24"/>
          <w:szCs w:val="24"/>
        </w:rPr>
        <w:t xml:space="preserve">. </w:t>
      </w:r>
      <w:r w:rsidR="000C426B">
        <w:rPr>
          <w:sz w:val="24"/>
          <w:szCs w:val="24"/>
        </w:rPr>
        <w:t>Activity of</w:t>
      </w:r>
      <w:r w:rsidR="00DE002F">
        <w:rPr>
          <w:sz w:val="24"/>
          <w:szCs w:val="24"/>
        </w:rPr>
        <w:t xml:space="preserve"> purified</w:t>
      </w:r>
      <w:r>
        <w:rPr>
          <w:sz w:val="24"/>
          <w:szCs w:val="24"/>
        </w:rPr>
        <w:t xml:space="preserve"> MDHAR6</w:t>
      </w:r>
      <w:r w:rsidR="00DE002F">
        <w:rPr>
          <w:sz w:val="24"/>
          <w:szCs w:val="24"/>
        </w:rPr>
        <w:t xml:space="preserve">, </w:t>
      </w:r>
      <w:r w:rsidR="005E4280">
        <w:rPr>
          <w:sz w:val="24"/>
          <w:szCs w:val="24"/>
        </w:rPr>
        <w:t xml:space="preserve">measured </w:t>
      </w:r>
      <w:r w:rsidR="000C426B">
        <w:rPr>
          <w:sz w:val="24"/>
          <w:szCs w:val="24"/>
        </w:rPr>
        <w:t xml:space="preserve">by following </w:t>
      </w:r>
      <w:r w:rsidR="000C426B" w:rsidRPr="000C426B">
        <w:rPr>
          <w:sz w:val="24"/>
          <w:szCs w:val="24"/>
        </w:rPr>
        <w:t xml:space="preserve">NADH </w:t>
      </w:r>
      <w:r w:rsidR="007B08B8">
        <w:rPr>
          <w:sz w:val="24"/>
          <w:szCs w:val="24"/>
        </w:rPr>
        <w:t>oxidation</w:t>
      </w:r>
      <w:r w:rsidR="000C426B">
        <w:rPr>
          <w:sz w:val="24"/>
          <w:szCs w:val="24"/>
        </w:rPr>
        <w:t>, was detected towards</w:t>
      </w:r>
      <w:r w:rsidR="000C426B" w:rsidRPr="000C426B">
        <w:t xml:space="preserve"> </w:t>
      </w:r>
      <w:r w:rsidR="00DE002F">
        <w:rPr>
          <w:sz w:val="24"/>
          <w:szCs w:val="24"/>
        </w:rPr>
        <w:t xml:space="preserve">CDNB </w:t>
      </w:r>
      <w:r w:rsidR="0000382A">
        <w:rPr>
          <w:sz w:val="24"/>
          <w:szCs w:val="24"/>
        </w:rPr>
        <w:t xml:space="preserve">but not CNB </w:t>
      </w:r>
      <w:r w:rsidR="00DE002F">
        <w:rPr>
          <w:sz w:val="24"/>
          <w:szCs w:val="24"/>
        </w:rPr>
        <w:t>(Fig. 5B and S8F)</w:t>
      </w:r>
      <w:r w:rsidR="005E4280">
        <w:rPr>
          <w:sz w:val="24"/>
          <w:szCs w:val="24"/>
        </w:rPr>
        <w:t xml:space="preserve">. Measurement using HPLC demonstrated that CDNB </w:t>
      </w:r>
      <w:r w:rsidR="000C426B">
        <w:rPr>
          <w:sz w:val="24"/>
          <w:szCs w:val="24"/>
        </w:rPr>
        <w:t xml:space="preserve">was not depleted </w:t>
      </w:r>
      <w:r w:rsidR="007B08B8">
        <w:rPr>
          <w:sz w:val="24"/>
          <w:szCs w:val="24"/>
        </w:rPr>
        <w:t xml:space="preserve">in assay mixtures </w:t>
      </w:r>
      <w:r w:rsidR="000C426B">
        <w:rPr>
          <w:sz w:val="24"/>
          <w:szCs w:val="24"/>
        </w:rPr>
        <w:t>(Fig 5C)</w:t>
      </w:r>
      <w:r w:rsidR="005E4280">
        <w:rPr>
          <w:sz w:val="24"/>
          <w:szCs w:val="24"/>
        </w:rPr>
        <w:t>. As observed for TNT, CDNB inhibit</w:t>
      </w:r>
      <w:r w:rsidR="0000382A">
        <w:rPr>
          <w:sz w:val="24"/>
          <w:szCs w:val="24"/>
        </w:rPr>
        <w:t>ed</w:t>
      </w:r>
      <w:r w:rsidR="005E4280">
        <w:rPr>
          <w:sz w:val="24"/>
          <w:szCs w:val="24"/>
        </w:rPr>
        <w:t xml:space="preserve"> seedling root </w:t>
      </w:r>
      <w:r w:rsidR="007B08B8">
        <w:rPr>
          <w:sz w:val="24"/>
          <w:szCs w:val="24"/>
        </w:rPr>
        <w:t>growth in wild-type Col7</w:t>
      </w:r>
      <w:r w:rsidR="007B08B8" w:rsidRPr="007B08B8">
        <w:rPr>
          <w:sz w:val="24"/>
          <w:szCs w:val="24"/>
        </w:rPr>
        <w:t xml:space="preserve"> </w:t>
      </w:r>
      <w:r w:rsidR="007B08B8">
        <w:rPr>
          <w:sz w:val="24"/>
          <w:szCs w:val="24"/>
        </w:rPr>
        <w:t>seedlings on agar plates containing CDNB</w:t>
      </w:r>
      <w:r w:rsidR="005E4280">
        <w:rPr>
          <w:sz w:val="24"/>
          <w:szCs w:val="24"/>
        </w:rPr>
        <w:t xml:space="preserve">, </w:t>
      </w:r>
      <w:r w:rsidR="0000382A">
        <w:rPr>
          <w:sz w:val="24"/>
          <w:szCs w:val="24"/>
        </w:rPr>
        <w:t>with</w:t>
      </w:r>
      <w:r w:rsidR="005E4280">
        <w:rPr>
          <w:sz w:val="24"/>
          <w:szCs w:val="24"/>
        </w:rPr>
        <w:t xml:space="preserve"> </w:t>
      </w:r>
      <w:r w:rsidR="005E4280">
        <w:rPr>
          <w:i/>
          <w:sz w:val="24"/>
          <w:szCs w:val="24"/>
        </w:rPr>
        <w:t xml:space="preserve">mdhar6-1 </w:t>
      </w:r>
      <w:r w:rsidR="005E4280">
        <w:rPr>
          <w:sz w:val="24"/>
          <w:szCs w:val="24"/>
        </w:rPr>
        <w:t xml:space="preserve">seedlings </w:t>
      </w:r>
      <w:r w:rsidR="0000382A">
        <w:rPr>
          <w:sz w:val="24"/>
          <w:szCs w:val="24"/>
        </w:rPr>
        <w:t>exhibiting</w:t>
      </w:r>
      <w:r w:rsidR="005E4280">
        <w:rPr>
          <w:sz w:val="24"/>
          <w:szCs w:val="24"/>
        </w:rPr>
        <w:t xml:space="preserve"> signi</w:t>
      </w:r>
      <w:r w:rsidR="007B08B8">
        <w:rPr>
          <w:sz w:val="24"/>
          <w:szCs w:val="24"/>
        </w:rPr>
        <w:t>ficantly longer roots than wild-type</w:t>
      </w:r>
      <w:r w:rsidR="005E4280">
        <w:rPr>
          <w:sz w:val="24"/>
          <w:szCs w:val="24"/>
        </w:rPr>
        <w:t xml:space="preserve"> (Fig 5D). These results demonstrate that MDHAR6</w:t>
      </w:r>
      <w:r w:rsidR="000C426B">
        <w:rPr>
          <w:sz w:val="24"/>
          <w:szCs w:val="24"/>
        </w:rPr>
        <w:t xml:space="preserve"> </w:t>
      </w:r>
      <w:r>
        <w:rPr>
          <w:sz w:val="24"/>
          <w:szCs w:val="24"/>
        </w:rPr>
        <w:t>can</w:t>
      </w:r>
      <w:r w:rsidR="00EE6CD9" w:rsidRPr="00EE6CD9">
        <w:rPr>
          <w:sz w:val="24"/>
          <w:szCs w:val="24"/>
        </w:rPr>
        <w:t xml:space="preserve"> reduce </w:t>
      </w:r>
      <w:r w:rsidR="005E4280">
        <w:rPr>
          <w:sz w:val="24"/>
          <w:szCs w:val="24"/>
        </w:rPr>
        <w:t>CDNB</w:t>
      </w:r>
      <w:r w:rsidR="00EE6CD9" w:rsidRPr="00EE6CD9">
        <w:rPr>
          <w:sz w:val="24"/>
          <w:szCs w:val="24"/>
        </w:rPr>
        <w:t xml:space="preserve">, with toxic effect to </w:t>
      </w:r>
      <w:r w:rsidR="00EE6CD9" w:rsidRPr="00EE6CD9">
        <w:rPr>
          <w:i/>
          <w:sz w:val="24"/>
          <w:szCs w:val="24"/>
        </w:rPr>
        <w:t>Arabidopsis</w:t>
      </w:r>
      <w:r w:rsidR="00EE6CD9" w:rsidRPr="00EE6CD9">
        <w:rPr>
          <w:sz w:val="24"/>
          <w:szCs w:val="24"/>
        </w:rPr>
        <w:t xml:space="preserve">, </w:t>
      </w:r>
      <w:r w:rsidR="005B5AD6">
        <w:rPr>
          <w:sz w:val="24"/>
          <w:szCs w:val="24"/>
        </w:rPr>
        <w:t xml:space="preserve">further </w:t>
      </w:r>
      <w:r w:rsidR="00EE6CD9" w:rsidRPr="00EE6CD9">
        <w:rPr>
          <w:sz w:val="24"/>
          <w:szCs w:val="24"/>
        </w:rPr>
        <w:t xml:space="preserve">supporting </w:t>
      </w:r>
      <w:r w:rsidR="00E34072">
        <w:rPr>
          <w:sz w:val="24"/>
          <w:szCs w:val="24"/>
        </w:rPr>
        <w:t xml:space="preserve">the idea that </w:t>
      </w:r>
      <w:r w:rsidR="00C516E6">
        <w:rPr>
          <w:sz w:val="24"/>
          <w:szCs w:val="24"/>
        </w:rPr>
        <w:t xml:space="preserve">herbicidal </w:t>
      </w:r>
      <w:r w:rsidR="00E34072">
        <w:rPr>
          <w:sz w:val="24"/>
          <w:szCs w:val="24"/>
        </w:rPr>
        <w:t>substrates could be developed</w:t>
      </w:r>
      <w:r w:rsidR="00EE6CD9" w:rsidRPr="00EE6CD9">
        <w:rPr>
          <w:sz w:val="24"/>
          <w:szCs w:val="24"/>
        </w:rPr>
        <w:t xml:space="preserve">. </w:t>
      </w:r>
      <w:r w:rsidR="008C07E0">
        <w:rPr>
          <w:sz w:val="24"/>
          <w:szCs w:val="24"/>
        </w:rPr>
        <w:t>W</w:t>
      </w:r>
      <w:proofErr w:type="spellStart"/>
      <w:r w:rsidR="00596A2B">
        <w:rPr>
          <w:bCs/>
          <w:sz w:val="24"/>
          <w:szCs w:val="24"/>
          <w:lang w:val="en-GB"/>
        </w:rPr>
        <w:t>hile</w:t>
      </w:r>
      <w:proofErr w:type="spellEnd"/>
      <w:r w:rsidR="00596A2B">
        <w:rPr>
          <w:bCs/>
          <w:sz w:val="24"/>
          <w:szCs w:val="24"/>
          <w:lang w:val="en-GB"/>
        </w:rPr>
        <w:t xml:space="preserve"> wild-</w:t>
      </w:r>
      <w:r w:rsidR="00DE002F" w:rsidRPr="00DE002F">
        <w:rPr>
          <w:bCs/>
          <w:sz w:val="24"/>
          <w:szCs w:val="24"/>
          <w:lang w:val="en-GB"/>
        </w:rPr>
        <w:t xml:space="preserve">type seedling root lengths </w:t>
      </w:r>
      <w:r w:rsidR="005E4280">
        <w:rPr>
          <w:bCs/>
          <w:sz w:val="24"/>
          <w:szCs w:val="24"/>
          <w:lang w:val="en-GB"/>
        </w:rPr>
        <w:t>were</w:t>
      </w:r>
      <w:r w:rsidR="00DE002F" w:rsidRPr="00DE002F">
        <w:rPr>
          <w:bCs/>
          <w:sz w:val="24"/>
          <w:szCs w:val="24"/>
          <w:lang w:val="en-GB"/>
        </w:rPr>
        <w:t xml:space="preserve"> reduced by approximately 50</w:t>
      </w:r>
      <w:r w:rsidR="005E4280">
        <w:rPr>
          <w:bCs/>
          <w:sz w:val="24"/>
          <w:szCs w:val="24"/>
          <w:lang w:val="en-GB"/>
        </w:rPr>
        <w:t xml:space="preserve"> </w:t>
      </w:r>
      <w:r w:rsidR="00DE002F" w:rsidRPr="00DE002F">
        <w:rPr>
          <w:bCs/>
          <w:sz w:val="24"/>
          <w:szCs w:val="24"/>
          <w:lang w:val="en-GB"/>
        </w:rPr>
        <w:t>% in the presence of 2 µM CDNB, root lengths on 2 µM CNB</w:t>
      </w:r>
      <w:r w:rsidR="00596A2B" w:rsidRPr="00596A2B">
        <w:rPr>
          <w:bCs/>
          <w:sz w:val="24"/>
          <w:szCs w:val="24"/>
          <w:lang w:val="en-GB"/>
        </w:rPr>
        <w:t xml:space="preserve"> </w:t>
      </w:r>
      <w:r w:rsidR="00596A2B">
        <w:rPr>
          <w:bCs/>
          <w:sz w:val="24"/>
          <w:szCs w:val="24"/>
          <w:lang w:val="en-GB"/>
        </w:rPr>
        <w:t>were</w:t>
      </w:r>
      <w:r w:rsidR="00596A2B" w:rsidRPr="00DE002F">
        <w:rPr>
          <w:bCs/>
          <w:sz w:val="24"/>
          <w:szCs w:val="24"/>
          <w:lang w:val="en-GB"/>
        </w:rPr>
        <w:t xml:space="preserve"> unaffected</w:t>
      </w:r>
      <w:r w:rsidR="008C07E0">
        <w:rPr>
          <w:bCs/>
          <w:sz w:val="24"/>
          <w:szCs w:val="24"/>
          <w:lang w:val="en-GB"/>
        </w:rPr>
        <w:t>,</w:t>
      </w:r>
      <w:r w:rsidR="00596A2B">
        <w:rPr>
          <w:bCs/>
          <w:sz w:val="24"/>
          <w:szCs w:val="24"/>
          <w:lang w:val="en-GB"/>
        </w:rPr>
        <w:t xml:space="preserve"> demonstrating that CNB is significantly less phytotoxic. Alongside this result</w:t>
      </w:r>
      <w:r w:rsidR="00DE002F" w:rsidRPr="00DE002F">
        <w:rPr>
          <w:bCs/>
          <w:sz w:val="24"/>
          <w:szCs w:val="24"/>
          <w:lang w:val="en-GB"/>
        </w:rPr>
        <w:t xml:space="preserve"> we were unable to detect activity </w:t>
      </w:r>
      <w:r w:rsidR="005B5AD6">
        <w:rPr>
          <w:bCs/>
          <w:sz w:val="24"/>
          <w:szCs w:val="24"/>
          <w:lang w:val="en-GB"/>
        </w:rPr>
        <w:t xml:space="preserve">toward CNB </w:t>
      </w:r>
      <w:r w:rsidR="00DE002F" w:rsidRPr="00DE002F">
        <w:rPr>
          <w:bCs/>
          <w:sz w:val="24"/>
          <w:szCs w:val="24"/>
          <w:lang w:val="en-GB"/>
        </w:rPr>
        <w:t>usin</w:t>
      </w:r>
      <w:r w:rsidR="00596A2B">
        <w:rPr>
          <w:bCs/>
          <w:sz w:val="24"/>
          <w:szCs w:val="24"/>
          <w:lang w:val="en-GB"/>
        </w:rPr>
        <w:t xml:space="preserve">g recombinant protein (Fig. </w:t>
      </w:r>
      <w:r w:rsidR="008C07E0">
        <w:rPr>
          <w:bCs/>
          <w:sz w:val="24"/>
          <w:szCs w:val="24"/>
          <w:lang w:val="en-GB"/>
        </w:rPr>
        <w:t>S</w:t>
      </w:r>
      <w:r w:rsidR="00596A2B">
        <w:rPr>
          <w:bCs/>
          <w:sz w:val="24"/>
          <w:szCs w:val="24"/>
          <w:lang w:val="en-GB"/>
        </w:rPr>
        <w:t>8B)</w:t>
      </w:r>
      <w:r w:rsidR="00DE002F" w:rsidRPr="00DE002F">
        <w:rPr>
          <w:bCs/>
          <w:sz w:val="24"/>
          <w:szCs w:val="24"/>
          <w:lang w:val="en-GB"/>
        </w:rPr>
        <w:t xml:space="preserve">. These results are in agreement with our hypothesis that </w:t>
      </w:r>
      <w:r w:rsidR="005B5AD6">
        <w:rPr>
          <w:bCs/>
          <w:sz w:val="24"/>
          <w:szCs w:val="24"/>
          <w:lang w:val="en-GB"/>
        </w:rPr>
        <w:t>formation of a nitro radical</w:t>
      </w:r>
      <w:r w:rsidR="00DE002F" w:rsidRPr="00DE002F">
        <w:rPr>
          <w:bCs/>
          <w:sz w:val="24"/>
          <w:szCs w:val="24"/>
          <w:lang w:val="en-GB"/>
        </w:rPr>
        <w:t xml:space="preserve"> is the major cause of </w:t>
      </w:r>
      <w:r w:rsidR="005E4280">
        <w:rPr>
          <w:bCs/>
          <w:sz w:val="24"/>
          <w:szCs w:val="24"/>
          <w:lang w:val="en-GB"/>
        </w:rPr>
        <w:t xml:space="preserve">TNT </w:t>
      </w:r>
      <w:r w:rsidR="00DE002F" w:rsidRPr="00DE002F">
        <w:rPr>
          <w:bCs/>
          <w:sz w:val="24"/>
          <w:szCs w:val="24"/>
          <w:lang w:val="en-GB"/>
        </w:rPr>
        <w:t>toxicity in plants.</w:t>
      </w:r>
    </w:p>
    <w:p w:rsidR="00EE6CD9" w:rsidRPr="00EE6CD9" w:rsidRDefault="00C516E6" w:rsidP="00E80156">
      <w:pPr>
        <w:spacing w:beforeLines="120" w:before="288"/>
        <w:rPr>
          <w:sz w:val="24"/>
          <w:szCs w:val="24"/>
        </w:rPr>
      </w:pPr>
      <w:r>
        <w:rPr>
          <w:sz w:val="24"/>
          <w:szCs w:val="24"/>
        </w:rPr>
        <w:t xml:space="preserve">Although </w:t>
      </w:r>
      <w:r w:rsidR="00EE6CD9" w:rsidRPr="00EE6CD9">
        <w:rPr>
          <w:sz w:val="24"/>
          <w:szCs w:val="24"/>
        </w:rPr>
        <w:t>TNT binds to the organic and clay fractions of soil</w:t>
      </w:r>
      <w:r>
        <w:rPr>
          <w:sz w:val="24"/>
          <w:szCs w:val="24"/>
        </w:rPr>
        <w:t>, and is thus not readily mobile in water</w:t>
      </w:r>
      <w:r w:rsidR="00EE6CD9" w:rsidRPr="00EE6CD9">
        <w:rPr>
          <w:sz w:val="24"/>
          <w:szCs w:val="24"/>
        </w:rPr>
        <w:t xml:space="preserve">, </w:t>
      </w:r>
      <w:r>
        <w:rPr>
          <w:sz w:val="24"/>
          <w:szCs w:val="24"/>
        </w:rPr>
        <w:t>a common co-pollutant in sites contaminated with explosives is</w:t>
      </w:r>
      <w:r w:rsidRPr="00EE6CD9">
        <w:rPr>
          <w:sz w:val="24"/>
          <w:szCs w:val="24"/>
        </w:rPr>
        <w:t xml:space="preserve"> </w:t>
      </w:r>
      <w:r w:rsidR="00EE6CD9" w:rsidRPr="00EE6CD9">
        <w:rPr>
          <w:sz w:val="24"/>
          <w:szCs w:val="24"/>
        </w:rPr>
        <w:t>Royal Demolition Explosive (hexahydro-1</w:t>
      </w:r>
      <w:proofErr w:type="gramStart"/>
      <w:r w:rsidR="00EE6CD9" w:rsidRPr="00EE6CD9">
        <w:rPr>
          <w:sz w:val="24"/>
          <w:szCs w:val="24"/>
        </w:rPr>
        <w:t>,3,5</w:t>
      </w:r>
      <w:proofErr w:type="gramEnd"/>
      <w:r w:rsidR="00EE6CD9" w:rsidRPr="00EE6CD9">
        <w:rPr>
          <w:sz w:val="24"/>
          <w:szCs w:val="24"/>
        </w:rPr>
        <w:t>-trinitro-1,3,5-triazine, RDX), which is highly mobile in soils and readily contaminates water supplies</w:t>
      </w:r>
      <w:r w:rsidR="00E011DA">
        <w:rPr>
          <w:sz w:val="24"/>
          <w:szCs w:val="24"/>
        </w:rPr>
        <w:t xml:space="preserve"> (</w:t>
      </w:r>
      <w:r w:rsidR="008751CB" w:rsidRPr="00E011DA">
        <w:rPr>
          <w:i/>
          <w:sz w:val="24"/>
          <w:szCs w:val="24"/>
        </w:rPr>
        <w:t>2</w:t>
      </w:r>
      <w:r w:rsidR="008751CB">
        <w:rPr>
          <w:i/>
          <w:sz w:val="24"/>
          <w:szCs w:val="24"/>
        </w:rPr>
        <w:t>5</w:t>
      </w:r>
      <w:r w:rsidR="00E011DA">
        <w:rPr>
          <w:sz w:val="24"/>
          <w:szCs w:val="24"/>
        </w:rPr>
        <w:t>)</w:t>
      </w:r>
      <w:r w:rsidR="00EE6CD9" w:rsidRPr="00EE6CD9">
        <w:rPr>
          <w:sz w:val="24"/>
          <w:szCs w:val="24"/>
        </w:rPr>
        <w:t xml:space="preserve">.  Previous work on </w:t>
      </w:r>
      <w:r w:rsidR="000E1716">
        <w:rPr>
          <w:sz w:val="24"/>
          <w:szCs w:val="24"/>
        </w:rPr>
        <w:t>e</w:t>
      </w:r>
      <w:r w:rsidR="00E700CB">
        <w:rPr>
          <w:sz w:val="24"/>
          <w:szCs w:val="24"/>
        </w:rPr>
        <w:t xml:space="preserve">ffective bioremediation of </w:t>
      </w:r>
      <w:r w:rsidR="00EE6CD9" w:rsidRPr="00EE6CD9">
        <w:rPr>
          <w:sz w:val="24"/>
          <w:szCs w:val="24"/>
        </w:rPr>
        <w:t xml:space="preserve">explosives </w:t>
      </w:r>
      <w:r w:rsidR="00E700CB">
        <w:rPr>
          <w:sz w:val="24"/>
          <w:szCs w:val="24"/>
        </w:rPr>
        <w:t xml:space="preserve">contamination </w:t>
      </w:r>
      <w:r w:rsidR="00F925CD">
        <w:rPr>
          <w:sz w:val="24"/>
          <w:szCs w:val="24"/>
        </w:rPr>
        <w:t>will need both</w:t>
      </w:r>
      <w:r w:rsidR="00EE6CD9" w:rsidRPr="00EE6CD9">
        <w:rPr>
          <w:sz w:val="24"/>
          <w:szCs w:val="24"/>
        </w:rPr>
        <w:t xml:space="preserve"> </w:t>
      </w:r>
      <w:r w:rsidR="00F925CD">
        <w:rPr>
          <w:sz w:val="24"/>
          <w:szCs w:val="24"/>
        </w:rPr>
        <w:t xml:space="preserve">existing </w:t>
      </w:r>
      <w:r w:rsidR="00EE6CD9" w:rsidRPr="00EE6CD9">
        <w:rPr>
          <w:sz w:val="24"/>
          <w:szCs w:val="24"/>
        </w:rPr>
        <w:t xml:space="preserve">RDX-degrading capabilities </w:t>
      </w:r>
      <w:r w:rsidR="00E011DA">
        <w:rPr>
          <w:sz w:val="24"/>
          <w:szCs w:val="24"/>
        </w:rPr>
        <w:t>(</w:t>
      </w:r>
      <w:r w:rsidR="008751CB">
        <w:rPr>
          <w:i/>
          <w:sz w:val="24"/>
          <w:szCs w:val="24"/>
        </w:rPr>
        <w:t>26</w:t>
      </w:r>
      <w:r w:rsidR="00E011DA" w:rsidRPr="00E011DA">
        <w:rPr>
          <w:i/>
          <w:sz w:val="24"/>
          <w:szCs w:val="24"/>
        </w:rPr>
        <w:t xml:space="preserve">, </w:t>
      </w:r>
      <w:r w:rsidR="008751CB" w:rsidRPr="00E011DA">
        <w:rPr>
          <w:i/>
          <w:sz w:val="24"/>
          <w:szCs w:val="24"/>
        </w:rPr>
        <w:t>2</w:t>
      </w:r>
      <w:r w:rsidR="008751CB">
        <w:rPr>
          <w:i/>
          <w:sz w:val="24"/>
          <w:szCs w:val="24"/>
        </w:rPr>
        <w:t>7</w:t>
      </w:r>
      <w:r w:rsidR="00E011DA">
        <w:rPr>
          <w:sz w:val="24"/>
          <w:szCs w:val="24"/>
        </w:rPr>
        <w:t>)</w:t>
      </w:r>
      <w:r w:rsidR="00F925CD">
        <w:rPr>
          <w:sz w:val="24"/>
          <w:szCs w:val="24"/>
        </w:rPr>
        <w:t xml:space="preserve"> and</w:t>
      </w:r>
      <w:r w:rsidR="00EE6CD9" w:rsidRPr="00EE6CD9">
        <w:rPr>
          <w:sz w:val="24"/>
          <w:szCs w:val="24"/>
        </w:rPr>
        <w:t xml:space="preserve"> also resistance </w:t>
      </w:r>
      <w:r w:rsidR="00F925CD">
        <w:rPr>
          <w:sz w:val="24"/>
          <w:szCs w:val="24"/>
        </w:rPr>
        <w:t>to</w:t>
      </w:r>
      <w:r w:rsidR="00F925CD" w:rsidRPr="00EE6CD9">
        <w:rPr>
          <w:sz w:val="24"/>
          <w:szCs w:val="24"/>
        </w:rPr>
        <w:t xml:space="preserve"> </w:t>
      </w:r>
      <w:r w:rsidR="00EE2B37">
        <w:rPr>
          <w:sz w:val="24"/>
          <w:szCs w:val="24"/>
        </w:rPr>
        <w:t xml:space="preserve">the toxic co-pollutant TNT. </w:t>
      </w:r>
      <w:r w:rsidR="00F925CD" w:rsidRPr="00EE6CD9">
        <w:rPr>
          <w:sz w:val="24"/>
          <w:szCs w:val="24"/>
        </w:rPr>
        <w:t>Our</w:t>
      </w:r>
      <w:r w:rsidR="00EE6CD9" w:rsidRPr="00EE6CD9">
        <w:rPr>
          <w:sz w:val="24"/>
          <w:szCs w:val="24"/>
        </w:rPr>
        <w:t xml:space="preserve"> findings explain the acute toxicity of TNT to plants </w:t>
      </w:r>
      <w:r w:rsidR="00F925CD">
        <w:rPr>
          <w:sz w:val="24"/>
          <w:szCs w:val="24"/>
        </w:rPr>
        <w:t xml:space="preserve">and also provide an avenue, </w:t>
      </w:r>
      <w:r w:rsidR="00EE2B37">
        <w:rPr>
          <w:sz w:val="24"/>
          <w:szCs w:val="24"/>
        </w:rPr>
        <w:t>by which</w:t>
      </w:r>
      <w:r w:rsidR="00F925CD" w:rsidRPr="00EE6CD9">
        <w:rPr>
          <w:sz w:val="24"/>
          <w:szCs w:val="24"/>
        </w:rPr>
        <w:t xml:space="preserve"> </w:t>
      </w:r>
      <w:r w:rsidR="00EE6CD9" w:rsidRPr="00EE6CD9">
        <w:rPr>
          <w:sz w:val="24"/>
          <w:szCs w:val="24"/>
        </w:rPr>
        <w:t>MDHAR6 deficiency</w:t>
      </w:r>
      <w:r w:rsidR="00EE2B37">
        <w:rPr>
          <w:sz w:val="24"/>
          <w:szCs w:val="24"/>
        </w:rPr>
        <w:t xml:space="preserve"> can be exploited to increase </w:t>
      </w:r>
      <w:r w:rsidR="00EE6CD9" w:rsidRPr="00EE6CD9">
        <w:rPr>
          <w:sz w:val="24"/>
          <w:szCs w:val="24"/>
        </w:rPr>
        <w:t xml:space="preserve">plant biomass in the presence of TNT, permitting </w:t>
      </w:r>
      <w:r w:rsidR="00F925CD">
        <w:rPr>
          <w:sz w:val="24"/>
          <w:szCs w:val="24"/>
        </w:rPr>
        <w:t xml:space="preserve">greater rates of remediation for both TNT and RDX.  </w:t>
      </w:r>
      <w:r w:rsidR="00EB316E" w:rsidRPr="00EB316E">
        <w:rPr>
          <w:sz w:val="24"/>
          <w:szCs w:val="24"/>
        </w:rPr>
        <w:t xml:space="preserve">Molecular breeding approaches could be used to identify deletions in </w:t>
      </w:r>
      <w:r w:rsidR="00EB316E" w:rsidRPr="00C1405E">
        <w:rPr>
          <w:i/>
          <w:sz w:val="24"/>
          <w:szCs w:val="24"/>
        </w:rPr>
        <w:t>MDHAR6</w:t>
      </w:r>
      <w:r w:rsidR="00EE2B37">
        <w:rPr>
          <w:sz w:val="24"/>
          <w:szCs w:val="24"/>
        </w:rPr>
        <w:t xml:space="preserve"> </w:t>
      </w:r>
      <w:proofErr w:type="spellStart"/>
      <w:r w:rsidR="00EE2B37">
        <w:rPr>
          <w:sz w:val="24"/>
          <w:szCs w:val="24"/>
        </w:rPr>
        <w:t>ortholog</w:t>
      </w:r>
      <w:r w:rsidR="00EB316E" w:rsidRPr="00EB316E">
        <w:rPr>
          <w:sz w:val="24"/>
          <w:szCs w:val="24"/>
        </w:rPr>
        <w:t>s</w:t>
      </w:r>
      <w:proofErr w:type="spellEnd"/>
      <w:r w:rsidR="00EB316E" w:rsidRPr="00EB316E">
        <w:rPr>
          <w:sz w:val="24"/>
          <w:szCs w:val="24"/>
        </w:rPr>
        <w:t xml:space="preserve">, potentially enhancing TNT tolerance in </w:t>
      </w:r>
      <w:r w:rsidR="007D1788">
        <w:rPr>
          <w:sz w:val="24"/>
          <w:szCs w:val="24"/>
        </w:rPr>
        <w:t>relevant plant</w:t>
      </w:r>
      <w:r w:rsidR="00EB316E" w:rsidRPr="00EB316E">
        <w:rPr>
          <w:sz w:val="24"/>
          <w:szCs w:val="24"/>
        </w:rPr>
        <w:t xml:space="preserve"> species such as </w:t>
      </w:r>
      <w:proofErr w:type="spellStart"/>
      <w:r w:rsidR="00EB316E" w:rsidRPr="00EB316E">
        <w:rPr>
          <w:sz w:val="24"/>
          <w:szCs w:val="24"/>
        </w:rPr>
        <w:t>switchgrass</w:t>
      </w:r>
      <w:proofErr w:type="spellEnd"/>
      <w:r w:rsidR="00EB316E" w:rsidRPr="00EB316E">
        <w:rPr>
          <w:sz w:val="24"/>
          <w:szCs w:val="24"/>
        </w:rPr>
        <w:t xml:space="preserve"> (</w:t>
      </w:r>
      <w:proofErr w:type="spellStart"/>
      <w:r w:rsidR="00EB316E" w:rsidRPr="00C1405E">
        <w:rPr>
          <w:i/>
          <w:sz w:val="24"/>
          <w:szCs w:val="24"/>
        </w:rPr>
        <w:t>Panicum</w:t>
      </w:r>
      <w:proofErr w:type="spellEnd"/>
      <w:r w:rsidR="00EB316E" w:rsidRPr="00C1405E">
        <w:rPr>
          <w:i/>
          <w:sz w:val="24"/>
          <w:szCs w:val="24"/>
        </w:rPr>
        <w:t xml:space="preserve"> </w:t>
      </w:r>
      <w:proofErr w:type="spellStart"/>
      <w:r w:rsidR="00EB316E" w:rsidRPr="00C1405E">
        <w:rPr>
          <w:i/>
          <w:sz w:val="24"/>
          <w:szCs w:val="24"/>
        </w:rPr>
        <w:t>virgatum</w:t>
      </w:r>
      <w:proofErr w:type="spellEnd"/>
      <w:r w:rsidR="00EB316E" w:rsidRPr="00EB316E">
        <w:rPr>
          <w:sz w:val="24"/>
          <w:szCs w:val="24"/>
        </w:rPr>
        <w:t>)</w:t>
      </w:r>
      <w:r w:rsidR="00EE2B37">
        <w:rPr>
          <w:sz w:val="24"/>
          <w:szCs w:val="24"/>
        </w:rPr>
        <w:t xml:space="preserve"> </w:t>
      </w:r>
      <w:r w:rsidR="007D1788">
        <w:rPr>
          <w:sz w:val="24"/>
          <w:szCs w:val="24"/>
        </w:rPr>
        <w:t>thus enabling</w:t>
      </w:r>
      <w:r w:rsidR="00EE6CD9" w:rsidRPr="00EE6CD9">
        <w:rPr>
          <w:sz w:val="24"/>
          <w:szCs w:val="24"/>
        </w:rPr>
        <w:t xml:space="preserve"> </w:t>
      </w:r>
      <w:proofErr w:type="spellStart"/>
      <w:r w:rsidR="00EE6CD9" w:rsidRPr="00EE6CD9">
        <w:rPr>
          <w:sz w:val="24"/>
          <w:szCs w:val="24"/>
        </w:rPr>
        <w:t>revegetati</w:t>
      </w:r>
      <w:r w:rsidR="00F925CD">
        <w:rPr>
          <w:sz w:val="24"/>
          <w:szCs w:val="24"/>
        </w:rPr>
        <w:t>on</w:t>
      </w:r>
      <w:proofErr w:type="spellEnd"/>
      <w:r w:rsidR="00EE6CD9" w:rsidRPr="00EE6CD9">
        <w:rPr>
          <w:sz w:val="24"/>
          <w:szCs w:val="24"/>
        </w:rPr>
        <w:t xml:space="preserve"> and remediati</w:t>
      </w:r>
      <w:r w:rsidR="00F925CD">
        <w:rPr>
          <w:sz w:val="24"/>
          <w:szCs w:val="24"/>
        </w:rPr>
        <w:t>on of</w:t>
      </w:r>
      <w:r w:rsidR="00EE6CD9" w:rsidRPr="00EE6CD9">
        <w:rPr>
          <w:sz w:val="24"/>
          <w:szCs w:val="24"/>
        </w:rPr>
        <w:t xml:space="preserve"> explosives contaminated sites.</w:t>
      </w:r>
    </w:p>
    <w:p w:rsidR="00EE6CD9" w:rsidRPr="00EE6CD9" w:rsidRDefault="00EE6CD9" w:rsidP="00E80156">
      <w:pPr>
        <w:pStyle w:val="Refhead"/>
        <w:spacing w:beforeLines="120" w:before="288" w:after="0"/>
      </w:pPr>
    </w:p>
    <w:p w:rsidR="00213FB2" w:rsidRDefault="00213FB2">
      <w:pPr>
        <w:rPr>
          <w:rFonts w:eastAsia="Times New Roman"/>
          <w:b/>
          <w:bCs/>
          <w:kern w:val="28"/>
          <w:sz w:val="24"/>
          <w:szCs w:val="24"/>
        </w:rPr>
      </w:pPr>
      <w:r>
        <w:br w:type="page"/>
      </w:r>
    </w:p>
    <w:p w:rsidR="00D73714" w:rsidRDefault="00D73714" w:rsidP="00D73714">
      <w:pPr>
        <w:pStyle w:val="Refhead"/>
      </w:pPr>
      <w:r>
        <w:lastRenderedPageBreak/>
        <w:t>References and Notes:</w:t>
      </w:r>
    </w:p>
    <w:p w:rsidR="00EE6CD9" w:rsidRPr="00F70122" w:rsidRDefault="006B2314" w:rsidP="00F70122">
      <w:pPr>
        <w:tabs>
          <w:tab w:val="left" w:pos="4820"/>
        </w:tabs>
        <w:ind w:left="426" w:hanging="426"/>
        <w:rPr>
          <w:rFonts w:eastAsia="Times New Roman"/>
          <w:sz w:val="24"/>
          <w:szCs w:val="24"/>
          <w:lang w:eastAsia="en-GB"/>
        </w:rPr>
      </w:pPr>
      <w:r w:rsidRPr="00747119">
        <w:rPr>
          <w:sz w:val="24"/>
          <w:szCs w:val="24"/>
        </w:rPr>
        <w:t>1.</w:t>
      </w:r>
      <w:r w:rsidRPr="00747119">
        <w:rPr>
          <w:sz w:val="24"/>
          <w:szCs w:val="24"/>
        </w:rPr>
        <w:tab/>
      </w:r>
      <w:r w:rsidR="005C54F1" w:rsidRPr="003322F7">
        <w:rPr>
          <w:rFonts w:eastAsia="Times New Roman"/>
          <w:sz w:val="24"/>
          <w:szCs w:val="24"/>
          <w:lang w:eastAsia="en-GB"/>
        </w:rPr>
        <w:t>J.</w:t>
      </w:r>
      <w:r w:rsidR="005C54F1" w:rsidRPr="00C1405E">
        <w:rPr>
          <w:rFonts w:eastAsia="Times New Roman"/>
          <w:sz w:val="24"/>
          <w:szCs w:val="24"/>
          <w:lang w:eastAsia="en-GB"/>
        </w:rPr>
        <w:t xml:space="preserve"> </w:t>
      </w:r>
      <w:proofErr w:type="spellStart"/>
      <w:r w:rsidR="005C54F1" w:rsidRPr="00C1405E">
        <w:rPr>
          <w:rFonts w:eastAsia="Times New Roman"/>
          <w:sz w:val="24"/>
          <w:szCs w:val="24"/>
          <w:lang w:eastAsia="en-GB"/>
        </w:rPr>
        <w:t>Pechtel</w:t>
      </w:r>
      <w:proofErr w:type="spellEnd"/>
      <w:r w:rsidR="005C54F1" w:rsidRPr="00C1405E">
        <w:rPr>
          <w:rFonts w:eastAsia="Times New Roman"/>
          <w:sz w:val="24"/>
          <w:szCs w:val="24"/>
          <w:lang w:eastAsia="en-GB"/>
        </w:rPr>
        <w:t>, Distribution and fate of military explosives and propellants in soil: a review</w:t>
      </w:r>
      <w:r w:rsidR="005C54F1" w:rsidRPr="00C1405E">
        <w:rPr>
          <w:rFonts w:eastAsia="Times New Roman"/>
          <w:i/>
          <w:sz w:val="24"/>
          <w:szCs w:val="24"/>
          <w:lang w:eastAsia="en-GB"/>
        </w:rPr>
        <w:t xml:space="preserve">. </w:t>
      </w:r>
      <w:r w:rsidR="005C54F1" w:rsidRPr="00747119">
        <w:rPr>
          <w:rFonts w:eastAsia="Times New Roman"/>
          <w:i/>
          <w:sz w:val="24"/>
          <w:szCs w:val="24"/>
          <w:lang w:eastAsia="en-GB"/>
        </w:rPr>
        <w:t>Appl</w:t>
      </w:r>
      <w:r w:rsidR="0085352E" w:rsidRPr="00747119">
        <w:rPr>
          <w:rFonts w:eastAsia="Times New Roman"/>
          <w:i/>
          <w:sz w:val="24"/>
          <w:szCs w:val="24"/>
          <w:lang w:eastAsia="en-GB"/>
        </w:rPr>
        <w:t>.</w:t>
      </w:r>
      <w:r w:rsidR="005C54F1" w:rsidRPr="00747119">
        <w:rPr>
          <w:rFonts w:eastAsia="Times New Roman"/>
          <w:i/>
          <w:sz w:val="24"/>
          <w:szCs w:val="24"/>
          <w:lang w:eastAsia="en-GB"/>
        </w:rPr>
        <w:t xml:space="preserve"> and Environ</w:t>
      </w:r>
      <w:r w:rsidR="00515EB5" w:rsidRPr="00747119">
        <w:rPr>
          <w:rFonts w:eastAsia="Times New Roman"/>
          <w:i/>
          <w:sz w:val="24"/>
          <w:szCs w:val="24"/>
          <w:lang w:eastAsia="en-GB"/>
        </w:rPr>
        <w:t>.</w:t>
      </w:r>
      <w:r w:rsidR="003B01FE">
        <w:rPr>
          <w:rFonts w:eastAsia="Times New Roman"/>
          <w:i/>
          <w:sz w:val="24"/>
          <w:szCs w:val="24"/>
          <w:lang w:eastAsia="en-GB"/>
        </w:rPr>
        <w:t xml:space="preserve"> </w:t>
      </w:r>
      <w:r w:rsidR="005C54F1" w:rsidRPr="00747119">
        <w:rPr>
          <w:rFonts w:eastAsia="Times New Roman"/>
          <w:i/>
          <w:sz w:val="24"/>
          <w:szCs w:val="24"/>
          <w:lang w:eastAsia="en-GB"/>
        </w:rPr>
        <w:t>Soil Sci</w:t>
      </w:r>
      <w:r w:rsidR="00515EB5" w:rsidRPr="00747119">
        <w:rPr>
          <w:rFonts w:eastAsia="Times New Roman"/>
          <w:i/>
          <w:sz w:val="24"/>
          <w:szCs w:val="24"/>
          <w:lang w:eastAsia="en-GB"/>
        </w:rPr>
        <w:t>.</w:t>
      </w:r>
      <w:r w:rsidR="005C54F1" w:rsidRPr="00515EB5">
        <w:rPr>
          <w:rFonts w:eastAsia="Times New Roman"/>
          <w:sz w:val="24"/>
          <w:szCs w:val="24"/>
          <w:lang w:eastAsia="en-GB"/>
        </w:rPr>
        <w:t xml:space="preserve">, </w:t>
      </w:r>
      <w:r w:rsidR="00515EB5" w:rsidRPr="00747119">
        <w:rPr>
          <w:rFonts w:eastAsia="Times New Roman"/>
          <w:sz w:val="24"/>
          <w:szCs w:val="24"/>
          <w:lang w:eastAsia="en-GB"/>
        </w:rPr>
        <w:t>http://dx.doi.org/10.1155/2012/617236</w:t>
      </w:r>
      <w:r w:rsidR="00515EB5">
        <w:rPr>
          <w:rFonts w:eastAsia="Times New Roman"/>
          <w:sz w:val="24"/>
          <w:szCs w:val="24"/>
          <w:lang w:eastAsia="en-GB"/>
        </w:rPr>
        <w:t xml:space="preserve"> </w:t>
      </w:r>
      <w:r w:rsidR="005C54F1" w:rsidRPr="00C1405E">
        <w:rPr>
          <w:rFonts w:eastAsia="Times New Roman"/>
          <w:sz w:val="24"/>
          <w:szCs w:val="24"/>
          <w:lang w:eastAsia="en-GB"/>
        </w:rPr>
        <w:t>(2012).</w:t>
      </w:r>
    </w:p>
    <w:p w:rsidR="0021072B" w:rsidRDefault="006B2314" w:rsidP="00747119">
      <w:pPr>
        <w:pStyle w:val="Acknowledgement"/>
        <w:ind w:left="425" w:hanging="425"/>
      </w:pPr>
      <w:r>
        <w:t>2.</w:t>
      </w:r>
      <w:r>
        <w:tab/>
      </w:r>
      <w:r w:rsidR="005C54F1" w:rsidRPr="00E011DA">
        <w:t>U</w:t>
      </w:r>
      <w:r w:rsidR="005C54F1">
        <w:t>.</w:t>
      </w:r>
      <w:r w:rsidR="005C54F1" w:rsidRPr="00E011DA">
        <w:t>S</w:t>
      </w:r>
      <w:r w:rsidR="005C54F1">
        <w:t>.</w:t>
      </w:r>
      <w:r w:rsidR="005C54F1" w:rsidRPr="00E011DA">
        <w:t xml:space="preserve"> General Account</w:t>
      </w:r>
      <w:r w:rsidR="005C54F1">
        <w:t>ability</w:t>
      </w:r>
      <w:r w:rsidR="005C54F1" w:rsidRPr="00E011DA">
        <w:t xml:space="preserve"> Office</w:t>
      </w:r>
      <w:r w:rsidR="005C54F1">
        <w:t xml:space="preserve">, </w:t>
      </w:r>
      <w:r w:rsidR="005C54F1">
        <w:rPr>
          <w:i/>
        </w:rPr>
        <w:t xml:space="preserve">Department of Defense Operational Ranges, </w:t>
      </w:r>
      <w:r w:rsidR="005C54F1" w:rsidRPr="0021072B">
        <w:rPr>
          <w:i/>
        </w:rPr>
        <w:t xml:space="preserve">More Reliable Cleanup Cost Estimates and a Proactive Approach to Identifying Contamination Are Needed </w:t>
      </w:r>
      <w:r w:rsidR="005C54F1" w:rsidRPr="0021072B">
        <w:t>(</w:t>
      </w:r>
      <w:r w:rsidR="005C54F1">
        <w:t xml:space="preserve">GAO </w:t>
      </w:r>
      <w:r w:rsidR="005C54F1" w:rsidRPr="0021072B">
        <w:t xml:space="preserve">Publication GAO-04-601, 2004; </w:t>
      </w:r>
      <w:hyperlink r:id="rId10" w:history="1">
        <w:r w:rsidR="005C54F1" w:rsidRPr="0021072B">
          <w:rPr>
            <w:rStyle w:val="Hyperlink"/>
            <w:color w:val="auto"/>
            <w:u w:val="none"/>
          </w:rPr>
          <w:t>http://www.gao.gov/products/GAO-04-601</w:t>
        </w:r>
      </w:hyperlink>
      <w:r w:rsidR="005C54F1" w:rsidRPr="0021072B">
        <w:t>).</w:t>
      </w:r>
    </w:p>
    <w:p w:rsidR="00653B32" w:rsidRPr="009770DF" w:rsidRDefault="006B2314" w:rsidP="00747119">
      <w:pPr>
        <w:spacing w:before="120"/>
        <w:ind w:left="425" w:hanging="425"/>
      </w:pPr>
      <w:r w:rsidRPr="00747119">
        <w:rPr>
          <w:sz w:val="24"/>
          <w:szCs w:val="24"/>
        </w:rPr>
        <w:t>3.</w:t>
      </w:r>
      <w:r>
        <w:tab/>
      </w:r>
      <w:r w:rsidR="004C1AD9" w:rsidRPr="00C1405E">
        <w:rPr>
          <w:rFonts w:eastAsia="Times New Roman"/>
          <w:sz w:val="24"/>
          <w:szCs w:val="24"/>
          <w:lang w:eastAsia="en-GB"/>
        </w:rPr>
        <w:t xml:space="preserve">U.S. Agency for Toxic Substances and Disease Registry, </w:t>
      </w:r>
      <w:r w:rsidR="004C1AD9" w:rsidRPr="00C1405E">
        <w:rPr>
          <w:rFonts w:eastAsia="Times New Roman"/>
          <w:i/>
          <w:sz w:val="24"/>
          <w:szCs w:val="24"/>
          <w:lang w:eastAsia="en-GB"/>
        </w:rPr>
        <w:t>Toxicological profile for 2</w:t>
      </w:r>
      <w:proofErr w:type="gramStart"/>
      <w:r w:rsidR="004C1AD9" w:rsidRPr="00C1405E">
        <w:rPr>
          <w:rFonts w:eastAsia="Times New Roman"/>
          <w:i/>
          <w:sz w:val="24"/>
          <w:szCs w:val="24"/>
          <w:lang w:eastAsia="en-GB"/>
        </w:rPr>
        <w:t>,4,6</w:t>
      </w:r>
      <w:proofErr w:type="gramEnd"/>
      <w:r w:rsidR="004C1AD9" w:rsidRPr="00C1405E">
        <w:rPr>
          <w:rFonts w:eastAsia="Times New Roman"/>
          <w:i/>
          <w:sz w:val="24"/>
          <w:szCs w:val="24"/>
          <w:lang w:eastAsia="en-GB"/>
        </w:rPr>
        <w:t xml:space="preserve">-trinitrotoluene (TNT) </w:t>
      </w:r>
      <w:r w:rsidR="004C1AD9" w:rsidRPr="00C1405E">
        <w:rPr>
          <w:rFonts w:eastAsia="Times New Roman"/>
          <w:sz w:val="24"/>
          <w:szCs w:val="24"/>
          <w:lang w:eastAsia="en-GB"/>
        </w:rPr>
        <w:t>(ATSDR publication CAS 118-97-7, 1995; http://www.atsdr.cdc.gov/toxprofiles/tp.asp?id=677&amp;tid=125).</w:t>
      </w:r>
    </w:p>
    <w:p w:rsidR="009770DF" w:rsidRDefault="006B2314" w:rsidP="006B2314">
      <w:pPr>
        <w:pStyle w:val="Acknowledgement"/>
        <w:ind w:left="426" w:hanging="426"/>
      </w:pPr>
      <w:r>
        <w:t>4.</w:t>
      </w:r>
      <w:r>
        <w:tab/>
      </w:r>
      <w:r w:rsidR="009770DF">
        <w:t>E.</w:t>
      </w:r>
      <w:r w:rsidR="00B0160A">
        <w:t xml:space="preserve"> </w:t>
      </w:r>
      <w:r w:rsidR="009770DF">
        <w:t xml:space="preserve">R. Travis, </w:t>
      </w:r>
      <w:r w:rsidR="009770DF">
        <w:rPr>
          <w:i/>
        </w:rPr>
        <w:t>et al</w:t>
      </w:r>
      <w:r w:rsidR="00902D03">
        <w:rPr>
          <w:i/>
        </w:rPr>
        <w:t>.</w:t>
      </w:r>
      <w:r w:rsidR="009770DF">
        <w:t xml:space="preserve">, Impact of </w:t>
      </w:r>
      <w:r w:rsidR="00A76B14">
        <w:t>t</w:t>
      </w:r>
      <w:r w:rsidR="009770DF">
        <w:t xml:space="preserve">ransgenic </w:t>
      </w:r>
      <w:r w:rsidR="00A76B14">
        <w:t>t</w:t>
      </w:r>
      <w:r w:rsidR="009770DF">
        <w:t xml:space="preserve">obacco on </w:t>
      </w:r>
      <w:r w:rsidR="00A76B14">
        <w:t>t</w:t>
      </w:r>
      <w:r w:rsidR="009770DF">
        <w:t xml:space="preserve">rinitrotoluene (TNT) </w:t>
      </w:r>
      <w:r w:rsidR="00A76B14">
        <w:t>c</w:t>
      </w:r>
      <w:r w:rsidR="009770DF">
        <w:t xml:space="preserve">ontaminated </w:t>
      </w:r>
      <w:r w:rsidR="00A76B14">
        <w:t>s</w:t>
      </w:r>
      <w:r w:rsidR="009770DF">
        <w:t xml:space="preserve">oil </w:t>
      </w:r>
      <w:r w:rsidR="00A76B14">
        <w:t>c</w:t>
      </w:r>
      <w:r w:rsidR="009770DF">
        <w:t xml:space="preserve">ommunity. </w:t>
      </w:r>
      <w:r w:rsidR="009770DF">
        <w:rPr>
          <w:i/>
        </w:rPr>
        <w:t xml:space="preserve">Environ. </w:t>
      </w:r>
      <w:proofErr w:type="gramStart"/>
      <w:r w:rsidR="009770DF">
        <w:rPr>
          <w:i/>
        </w:rPr>
        <w:t xml:space="preserve">Sci. Technol. </w:t>
      </w:r>
      <w:r w:rsidR="00B0160A">
        <w:rPr>
          <w:b/>
        </w:rPr>
        <w:t>41</w:t>
      </w:r>
      <w:r w:rsidR="00B0160A">
        <w:t>, 5854-5861 (2007).</w:t>
      </w:r>
      <w:proofErr w:type="gramEnd"/>
    </w:p>
    <w:p w:rsidR="00B0160A" w:rsidRDefault="006B2314" w:rsidP="006B2314">
      <w:pPr>
        <w:pStyle w:val="Acknowledgement"/>
        <w:ind w:left="426" w:hanging="426"/>
      </w:pPr>
      <w:r>
        <w:t>5.</w:t>
      </w:r>
      <w:r>
        <w:tab/>
      </w:r>
      <w:r w:rsidR="00B0160A">
        <w:t>E. R. Travis, N. C. Bruce, S. J. Rosser</w:t>
      </w:r>
      <w:r w:rsidR="00902D03">
        <w:t>,</w:t>
      </w:r>
      <w:r w:rsidR="00B0160A">
        <w:t xml:space="preserve"> Microbial and </w:t>
      </w:r>
      <w:r w:rsidR="00A76B14">
        <w:t>p</w:t>
      </w:r>
      <w:r w:rsidR="00B0160A">
        <w:t xml:space="preserve">lant </w:t>
      </w:r>
      <w:r w:rsidR="00A76B14">
        <w:t>e</w:t>
      </w:r>
      <w:r w:rsidR="00B0160A">
        <w:t xml:space="preserve">cology of a long-term TNT-contaminated Site. </w:t>
      </w:r>
      <w:r w:rsidR="00B0160A">
        <w:rPr>
          <w:i/>
        </w:rPr>
        <w:t xml:space="preserve">Environ. </w:t>
      </w:r>
      <w:proofErr w:type="spellStart"/>
      <w:proofErr w:type="gramStart"/>
      <w:r w:rsidR="00B0160A">
        <w:rPr>
          <w:i/>
        </w:rPr>
        <w:t>Pollut</w:t>
      </w:r>
      <w:proofErr w:type="spellEnd"/>
      <w:r w:rsidR="00B0160A">
        <w:rPr>
          <w:i/>
        </w:rPr>
        <w:t>.</w:t>
      </w:r>
      <w:proofErr w:type="gramEnd"/>
      <w:r w:rsidR="00B0160A">
        <w:rPr>
          <w:i/>
        </w:rPr>
        <w:t xml:space="preserve"> </w:t>
      </w:r>
      <w:proofErr w:type="gramStart"/>
      <w:r w:rsidR="00B0160A">
        <w:rPr>
          <w:b/>
        </w:rPr>
        <w:t>153</w:t>
      </w:r>
      <w:r w:rsidR="00B0160A">
        <w:t>, 119-126 (2008).</w:t>
      </w:r>
      <w:proofErr w:type="gramEnd"/>
    </w:p>
    <w:p w:rsidR="00B0160A" w:rsidRDefault="006B2314" w:rsidP="006B2314">
      <w:pPr>
        <w:pStyle w:val="Acknowledgement"/>
        <w:ind w:left="426" w:hanging="426"/>
      </w:pPr>
      <w:r>
        <w:t>6.</w:t>
      </w:r>
      <w:r>
        <w:tab/>
      </w:r>
      <w:r w:rsidR="00B0160A">
        <w:t xml:space="preserve">L. B. </w:t>
      </w:r>
      <w:proofErr w:type="spellStart"/>
      <w:r w:rsidR="00B0160A">
        <w:t>Bre</w:t>
      </w:r>
      <w:r w:rsidR="00CE2357">
        <w:t>n</w:t>
      </w:r>
      <w:r w:rsidR="00B0160A">
        <w:t>tner</w:t>
      </w:r>
      <w:proofErr w:type="spellEnd"/>
      <w:r w:rsidR="00CE2357">
        <w:t xml:space="preserve">, S.T. </w:t>
      </w:r>
      <w:proofErr w:type="spellStart"/>
      <w:r w:rsidR="00CE2357">
        <w:t>Mukherji</w:t>
      </w:r>
      <w:proofErr w:type="spellEnd"/>
      <w:r w:rsidR="00CE2357">
        <w:t xml:space="preserve">, S. A. Walsh, J. L. </w:t>
      </w:r>
      <w:proofErr w:type="spellStart"/>
      <w:r w:rsidR="00CE2357">
        <w:t>Schno</w:t>
      </w:r>
      <w:r w:rsidR="00902D03">
        <w:t>or</w:t>
      </w:r>
      <w:proofErr w:type="spellEnd"/>
      <w:r w:rsidR="00902D03">
        <w:t xml:space="preserve">, Localization of </w:t>
      </w:r>
      <w:r w:rsidR="00A76B14">
        <w:t>h</w:t>
      </w:r>
      <w:r w:rsidR="00902D03">
        <w:t xml:space="preserve">exahydro-1,3,5-trinitro-1,3,5-triazine (RDX) and 2,4,6-trinitrotoluene (TNT) in </w:t>
      </w:r>
      <w:r w:rsidR="00A76B14">
        <w:t>p</w:t>
      </w:r>
      <w:r w:rsidR="00902D03">
        <w:t xml:space="preserve">oplar and </w:t>
      </w:r>
      <w:r w:rsidR="00A76B14">
        <w:t>s</w:t>
      </w:r>
      <w:r w:rsidR="00902D03">
        <w:t xml:space="preserve">witchgrass </w:t>
      </w:r>
      <w:r w:rsidR="00A76B14">
        <w:t>p</w:t>
      </w:r>
      <w:r w:rsidR="00902D03">
        <w:t xml:space="preserve">lants using </w:t>
      </w:r>
      <w:r w:rsidR="00A76B14">
        <w:t>p</w:t>
      </w:r>
      <w:r w:rsidR="00902D03">
        <w:t xml:space="preserve">hosphor </w:t>
      </w:r>
      <w:r w:rsidR="00A76B14">
        <w:t>i</w:t>
      </w:r>
      <w:r w:rsidR="00902D03">
        <w:t>ma</w:t>
      </w:r>
      <w:r w:rsidR="00A76B14">
        <w:t>g</w:t>
      </w:r>
      <w:r w:rsidR="00902D03">
        <w:t xml:space="preserve">er </w:t>
      </w:r>
      <w:r w:rsidR="00A76B14">
        <w:t>a</w:t>
      </w:r>
      <w:r w:rsidR="00902D03">
        <w:t xml:space="preserve">utoradiography. </w:t>
      </w:r>
      <w:r w:rsidR="00902D03">
        <w:rPr>
          <w:i/>
        </w:rPr>
        <w:t xml:space="preserve">Environ. </w:t>
      </w:r>
      <w:proofErr w:type="spellStart"/>
      <w:proofErr w:type="gramStart"/>
      <w:r w:rsidR="00902D03">
        <w:rPr>
          <w:i/>
        </w:rPr>
        <w:t>Pollut</w:t>
      </w:r>
      <w:proofErr w:type="spellEnd"/>
      <w:r w:rsidR="00902D03">
        <w:rPr>
          <w:i/>
        </w:rPr>
        <w:t>.</w:t>
      </w:r>
      <w:proofErr w:type="gramEnd"/>
      <w:r w:rsidR="00902D03">
        <w:rPr>
          <w:i/>
        </w:rPr>
        <w:t xml:space="preserve"> </w:t>
      </w:r>
      <w:proofErr w:type="gramStart"/>
      <w:r w:rsidR="00902D03">
        <w:rPr>
          <w:b/>
        </w:rPr>
        <w:t>158</w:t>
      </w:r>
      <w:r w:rsidR="00902D03">
        <w:t>, 470-475 (2010).</w:t>
      </w:r>
      <w:proofErr w:type="gramEnd"/>
    </w:p>
    <w:p w:rsidR="00902D03" w:rsidRDefault="006B2314" w:rsidP="006B2314">
      <w:pPr>
        <w:pStyle w:val="Acknowledgement"/>
        <w:ind w:left="426" w:hanging="426"/>
      </w:pPr>
      <w:r>
        <w:t>7.</w:t>
      </w:r>
      <w:r>
        <w:tab/>
      </w:r>
      <w:r w:rsidR="00902D03">
        <w:t xml:space="preserve">F. </w:t>
      </w:r>
      <w:proofErr w:type="spellStart"/>
      <w:r w:rsidR="00902D03">
        <w:t>Gandia-Herrero</w:t>
      </w:r>
      <w:proofErr w:type="spellEnd"/>
      <w:r w:rsidR="00902D03">
        <w:t xml:space="preserve"> </w:t>
      </w:r>
      <w:r w:rsidR="00902D03">
        <w:rPr>
          <w:i/>
        </w:rPr>
        <w:t>et al.</w:t>
      </w:r>
      <w:r w:rsidR="00902D03">
        <w:t xml:space="preserve">, Detoxification of the </w:t>
      </w:r>
      <w:r w:rsidR="00A76B14">
        <w:t>e</w:t>
      </w:r>
      <w:r w:rsidR="00902D03">
        <w:t>xplosive 2</w:t>
      </w:r>
      <w:proofErr w:type="gramStart"/>
      <w:r w:rsidR="00902D03">
        <w:t>,4,6</w:t>
      </w:r>
      <w:proofErr w:type="gramEnd"/>
      <w:r w:rsidR="00902D03">
        <w:t>-trinitrotoluene in Arabidopsis: discover</w:t>
      </w:r>
      <w:r w:rsidR="00A76B14">
        <w:t>y</w:t>
      </w:r>
      <w:r w:rsidR="00902D03">
        <w:t xml:space="preserve"> of </w:t>
      </w:r>
      <w:proofErr w:type="spellStart"/>
      <w:r w:rsidR="00902D03">
        <w:t>bifunctional</w:t>
      </w:r>
      <w:proofErr w:type="spellEnd"/>
      <w:r w:rsidR="00902D03">
        <w:t xml:space="preserve"> </w:t>
      </w:r>
      <w:r w:rsidR="00902D03">
        <w:rPr>
          <w:i/>
        </w:rPr>
        <w:t xml:space="preserve">O- </w:t>
      </w:r>
      <w:r w:rsidR="00902D03">
        <w:t xml:space="preserve">and </w:t>
      </w:r>
      <w:r w:rsidR="00902D03">
        <w:rPr>
          <w:i/>
        </w:rPr>
        <w:t>C-</w:t>
      </w:r>
      <w:proofErr w:type="spellStart"/>
      <w:r w:rsidR="00902D03">
        <w:t>glucosyltransferases</w:t>
      </w:r>
      <w:proofErr w:type="spellEnd"/>
      <w:r w:rsidR="00902D03">
        <w:t xml:space="preserve">. </w:t>
      </w:r>
      <w:r w:rsidR="00902D03">
        <w:rPr>
          <w:i/>
        </w:rPr>
        <w:t xml:space="preserve">Plant J. </w:t>
      </w:r>
      <w:r w:rsidR="00902D03">
        <w:rPr>
          <w:b/>
        </w:rPr>
        <w:t>56</w:t>
      </w:r>
      <w:r w:rsidR="00902D03">
        <w:t>, 963-974 (2008).</w:t>
      </w:r>
    </w:p>
    <w:p w:rsidR="00902D03" w:rsidRDefault="006B2314" w:rsidP="006B2314">
      <w:pPr>
        <w:pStyle w:val="Acknowledgement"/>
        <w:ind w:left="426" w:hanging="426"/>
      </w:pPr>
      <w:r>
        <w:t>8.</w:t>
      </w:r>
      <w:r>
        <w:tab/>
      </w:r>
      <w:r w:rsidR="00902D03">
        <w:t xml:space="preserve">E. R. </w:t>
      </w:r>
      <w:proofErr w:type="spellStart"/>
      <w:r w:rsidR="00902D03">
        <w:t>Beynon</w:t>
      </w:r>
      <w:proofErr w:type="spellEnd"/>
      <w:r w:rsidR="00902D03">
        <w:t xml:space="preserve"> </w:t>
      </w:r>
      <w:r w:rsidR="00902D03">
        <w:rPr>
          <w:i/>
        </w:rPr>
        <w:t>et al.</w:t>
      </w:r>
      <w:r w:rsidR="00902D03">
        <w:t xml:space="preserve">, The </w:t>
      </w:r>
      <w:r w:rsidR="008B0D52">
        <w:t>r</w:t>
      </w:r>
      <w:r w:rsidR="00902D03">
        <w:t xml:space="preserve">ole of </w:t>
      </w:r>
      <w:proofErr w:type="spellStart"/>
      <w:r w:rsidR="008B0D52">
        <w:t>o</w:t>
      </w:r>
      <w:r w:rsidR="00902D03">
        <w:t>xophytodienoate</w:t>
      </w:r>
      <w:proofErr w:type="spellEnd"/>
      <w:r w:rsidR="00902D03">
        <w:t xml:space="preserve"> </w:t>
      </w:r>
      <w:r w:rsidR="008B0D52">
        <w:t>r</w:t>
      </w:r>
      <w:r w:rsidR="00902D03">
        <w:t xml:space="preserve">eductases in the </w:t>
      </w:r>
      <w:r w:rsidR="008B0D52">
        <w:t>d</w:t>
      </w:r>
      <w:r w:rsidR="00902D03">
        <w:t xml:space="preserve">etoxification of the </w:t>
      </w:r>
      <w:r w:rsidR="008B0D52">
        <w:t>e</w:t>
      </w:r>
      <w:r w:rsidR="00902D03">
        <w:t>xplosive 2</w:t>
      </w:r>
      <w:proofErr w:type="gramStart"/>
      <w:r w:rsidR="00902D03">
        <w:t>,4,6</w:t>
      </w:r>
      <w:proofErr w:type="gramEnd"/>
      <w:r w:rsidR="00902D03">
        <w:t>-</w:t>
      </w:r>
      <w:r w:rsidR="008B0D52">
        <w:t>t</w:t>
      </w:r>
      <w:r w:rsidR="00902D03">
        <w:t xml:space="preserve">rinitrotoluene by Arabidopsis. </w:t>
      </w:r>
      <w:r w:rsidR="00902D03">
        <w:rPr>
          <w:i/>
        </w:rPr>
        <w:t>Plant Phys</w:t>
      </w:r>
      <w:r w:rsidR="00A76B14">
        <w:rPr>
          <w:i/>
        </w:rPr>
        <w:t>iol</w:t>
      </w:r>
      <w:r w:rsidR="00902D03">
        <w:rPr>
          <w:i/>
        </w:rPr>
        <w:t xml:space="preserve">. </w:t>
      </w:r>
      <w:r w:rsidR="00902D03">
        <w:rPr>
          <w:b/>
        </w:rPr>
        <w:t>151</w:t>
      </w:r>
      <w:r w:rsidR="00902D03">
        <w:t>, 253-261 (2009).</w:t>
      </w:r>
    </w:p>
    <w:p w:rsidR="00902D03" w:rsidRDefault="006B2314" w:rsidP="006B2314">
      <w:pPr>
        <w:pStyle w:val="Acknowledgement"/>
        <w:ind w:left="426" w:hanging="426"/>
      </w:pPr>
      <w:r>
        <w:t>9.</w:t>
      </w:r>
      <w:r>
        <w:tab/>
      </w:r>
      <w:r w:rsidR="00902D03">
        <w:t xml:space="preserve">V. Gunning </w:t>
      </w:r>
      <w:r w:rsidR="00902D03">
        <w:rPr>
          <w:i/>
        </w:rPr>
        <w:t>et al.</w:t>
      </w:r>
      <w:r w:rsidR="00902D03">
        <w:t xml:space="preserve">, Arabidopsis </w:t>
      </w:r>
      <w:r w:rsidR="00A76B14">
        <w:t>g</w:t>
      </w:r>
      <w:r w:rsidR="00902D03">
        <w:t xml:space="preserve">lutathione </w:t>
      </w:r>
      <w:r w:rsidR="00A76B14">
        <w:t>t</w:t>
      </w:r>
      <w:r w:rsidR="00902D03">
        <w:t>ransferases U24 and U25 exhibit a rang</w:t>
      </w:r>
      <w:r w:rsidR="00A76B14">
        <w:t xml:space="preserve">e of detoxification activities with the environmental pollutant, and explosive, 2,4,6-trinitrotoluene. </w:t>
      </w:r>
      <w:r w:rsidR="00A76B14">
        <w:rPr>
          <w:i/>
        </w:rPr>
        <w:t xml:space="preserve">Plant Physiol. </w:t>
      </w:r>
      <w:r w:rsidR="00A76B14">
        <w:rPr>
          <w:b/>
        </w:rPr>
        <w:t>165</w:t>
      </w:r>
      <w:r w:rsidR="00A76B14">
        <w:t>, 854-865 (2014).</w:t>
      </w:r>
    </w:p>
    <w:p w:rsidR="00A76B14" w:rsidRDefault="006B2314" w:rsidP="006B2314">
      <w:pPr>
        <w:pStyle w:val="Acknowledgement"/>
        <w:ind w:left="426" w:hanging="426"/>
      </w:pPr>
      <w:r>
        <w:t>10.</w:t>
      </w:r>
      <w:r>
        <w:tab/>
      </w:r>
      <w:r w:rsidR="00A76B14">
        <w:t xml:space="preserve">E. L. Rylott, A. Lorenz, N. C. Bruce, Biodegradation and biotransformation of explosives. </w:t>
      </w:r>
      <w:proofErr w:type="spellStart"/>
      <w:proofErr w:type="gramStart"/>
      <w:r w:rsidR="00A76B14">
        <w:rPr>
          <w:i/>
        </w:rPr>
        <w:t>Curr</w:t>
      </w:r>
      <w:proofErr w:type="spellEnd"/>
      <w:r w:rsidR="00A76B14">
        <w:rPr>
          <w:i/>
        </w:rPr>
        <w:t>.</w:t>
      </w:r>
      <w:proofErr w:type="gramEnd"/>
      <w:r w:rsidR="00A76B14">
        <w:rPr>
          <w:i/>
        </w:rPr>
        <w:t xml:space="preserve"> </w:t>
      </w:r>
      <w:proofErr w:type="spellStart"/>
      <w:proofErr w:type="gramStart"/>
      <w:r w:rsidR="00A76B14">
        <w:rPr>
          <w:i/>
        </w:rPr>
        <w:t>Opin</w:t>
      </w:r>
      <w:proofErr w:type="spellEnd"/>
      <w:r w:rsidR="00A76B14">
        <w:rPr>
          <w:i/>
        </w:rPr>
        <w:t>.</w:t>
      </w:r>
      <w:proofErr w:type="gramEnd"/>
      <w:r w:rsidR="00F70122">
        <w:rPr>
          <w:i/>
        </w:rPr>
        <w:t xml:space="preserve"> </w:t>
      </w:r>
      <w:proofErr w:type="spellStart"/>
      <w:proofErr w:type="gramStart"/>
      <w:r w:rsidR="00A76B14">
        <w:rPr>
          <w:i/>
        </w:rPr>
        <w:t>Biotechnol</w:t>
      </w:r>
      <w:proofErr w:type="spellEnd"/>
      <w:r w:rsidR="00A76B14">
        <w:rPr>
          <w:i/>
        </w:rPr>
        <w:t>.</w:t>
      </w:r>
      <w:proofErr w:type="gramEnd"/>
      <w:r w:rsidR="00A76B14">
        <w:rPr>
          <w:i/>
        </w:rPr>
        <w:t xml:space="preserve"> </w:t>
      </w:r>
      <w:proofErr w:type="gramStart"/>
      <w:r w:rsidR="00A76B14">
        <w:rPr>
          <w:b/>
        </w:rPr>
        <w:t>22</w:t>
      </w:r>
      <w:r w:rsidR="00A76B14">
        <w:t>, 424-440 (2011).</w:t>
      </w:r>
      <w:proofErr w:type="gramEnd"/>
    </w:p>
    <w:p w:rsidR="00A76B14" w:rsidRDefault="006B2314" w:rsidP="006B2314">
      <w:pPr>
        <w:pStyle w:val="Acknowledgement"/>
        <w:ind w:left="426" w:hanging="426"/>
      </w:pPr>
      <w:r>
        <w:t>11.</w:t>
      </w:r>
      <w:r>
        <w:tab/>
      </w:r>
      <w:r w:rsidR="00A76B14">
        <w:t xml:space="preserve">D. </w:t>
      </w:r>
      <w:proofErr w:type="spellStart"/>
      <w:r w:rsidR="00A76B14">
        <w:t>Weigel</w:t>
      </w:r>
      <w:proofErr w:type="spellEnd"/>
      <w:r w:rsidR="00A76B14">
        <w:t xml:space="preserve"> </w:t>
      </w:r>
      <w:r w:rsidR="00A76B14">
        <w:rPr>
          <w:i/>
        </w:rPr>
        <w:t xml:space="preserve">et al. </w:t>
      </w:r>
      <w:r w:rsidR="00A76B14">
        <w:t xml:space="preserve">Activation tagging in Arabidopsis. </w:t>
      </w:r>
      <w:proofErr w:type="gramStart"/>
      <w:r w:rsidR="00A76B14">
        <w:rPr>
          <w:i/>
        </w:rPr>
        <w:t xml:space="preserve">Plant Physiol. </w:t>
      </w:r>
      <w:r w:rsidR="00A76B14">
        <w:rPr>
          <w:b/>
        </w:rPr>
        <w:t>122</w:t>
      </w:r>
      <w:r w:rsidR="00A76B14">
        <w:t>, 1003-1014 (2000).</w:t>
      </w:r>
      <w:proofErr w:type="gramEnd"/>
    </w:p>
    <w:p w:rsidR="00A76B14" w:rsidRDefault="006B2314" w:rsidP="006B2314">
      <w:pPr>
        <w:pStyle w:val="Acknowledgement"/>
        <w:ind w:left="426" w:hanging="426"/>
      </w:pPr>
      <w:r>
        <w:t>12.</w:t>
      </w:r>
      <w:r>
        <w:tab/>
      </w:r>
      <w:r w:rsidR="00A76B14">
        <w:t xml:space="preserve">O. </w:t>
      </w:r>
      <w:proofErr w:type="spellStart"/>
      <w:r w:rsidR="00A76B14">
        <w:t>Arrigoni</w:t>
      </w:r>
      <w:proofErr w:type="spellEnd"/>
      <w:r w:rsidR="00A76B14">
        <w:t xml:space="preserve">, S. </w:t>
      </w:r>
      <w:proofErr w:type="spellStart"/>
      <w:r w:rsidR="00A76B14">
        <w:t>Dipierro</w:t>
      </w:r>
      <w:proofErr w:type="spellEnd"/>
      <w:r w:rsidR="00A76B14">
        <w:t xml:space="preserve">, G. </w:t>
      </w:r>
      <w:proofErr w:type="spellStart"/>
      <w:r w:rsidR="00A76B14">
        <w:t>Borraccino</w:t>
      </w:r>
      <w:proofErr w:type="spellEnd"/>
      <w:r w:rsidR="00A76B14">
        <w:t xml:space="preserve">, </w:t>
      </w:r>
      <w:proofErr w:type="spellStart"/>
      <w:r w:rsidR="00A76B14">
        <w:t>Ascorbate</w:t>
      </w:r>
      <w:proofErr w:type="spellEnd"/>
      <w:r w:rsidR="00A76B14">
        <w:t xml:space="preserve"> free radical reductase, a key enzyme of the ascorbic acid system. </w:t>
      </w:r>
      <w:proofErr w:type="gramStart"/>
      <w:r w:rsidR="00A76B14">
        <w:rPr>
          <w:i/>
        </w:rPr>
        <w:t>FEBS Lett.</w:t>
      </w:r>
      <w:proofErr w:type="gramEnd"/>
      <w:r w:rsidR="00A76B14">
        <w:rPr>
          <w:i/>
        </w:rPr>
        <w:t xml:space="preserve"> </w:t>
      </w:r>
      <w:proofErr w:type="gramStart"/>
      <w:r w:rsidR="008B0D52">
        <w:rPr>
          <w:b/>
        </w:rPr>
        <w:t>125</w:t>
      </w:r>
      <w:r w:rsidR="008B0D52">
        <w:t>, 242-244 (1981).</w:t>
      </w:r>
      <w:proofErr w:type="gramEnd"/>
    </w:p>
    <w:p w:rsidR="008B0D52" w:rsidRDefault="006B2314" w:rsidP="006B2314">
      <w:pPr>
        <w:pStyle w:val="Acknowledgement"/>
        <w:ind w:left="426" w:hanging="426"/>
      </w:pPr>
      <w:r>
        <w:t>13.</w:t>
      </w:r>
      <w:r>
        <w:tab/>
      </w:r>
      <w:r w:rsidR="008B0D52">
        <w:t xml:space="preserve">M. A. Hossain, K. Asada, </w:t>
      </w:r>
      <w:proofErr w:type="spellStart"/>
      <w:r w:rsidR="008B0D52">
        <w:t>Monodehydroasc</w:t>
      </w:r>
      <w:r w:rsidR="00C011AE">
        <w:t>o</w:t>
      </w:r>
      <w:r w:rsidR="008B0D52">
        <w:t>rbate</w:t>
      </w:r>
      <w:proofErr w:type="spellEnd"/>
      <w:r w:rsidR="008B0D52">
        <w:t xml:space="preserve"> reductase from cucumber is a </w:t>
      </w:r>
      <w:proofErr w:type="spellStart"/>
      <w:r w:rsidR="00196770">
        <w:t>f</w:t>
      </w:r>
      <w:r w:rsidR="008B0D52">
        <w:t>lavin</w:t>
      </w:r>
      <w:proofErr w:type="spellEnd"/>
      <w:r w:rsidR="008B0D52">
        <w:t xml:space="preserve"> adenine dinucleotide enzyme. </w:t>
      </w:r>
      <w:proofErr w:type="gramStart"/>
      <w:r w:rsidR="008B0D52">
        <w:rPr>
          <w:i/>
        </w:rPr>
        <w:t xml:space="preserve">J. Biol. Chem. </w:t>
      </w:r>
      <w:r w:rsidR="008B0D52">
        <w:rPr>
          <w:b/>
        </w:rPr>
        <w:t>260</w:t>
      </w:r>
      <w:r w:rsidR="008B0D52">
        <w:t>, 12920-12926 (1985).</w:t>
      </w:r>
      <w:proofErr w:type="gramEnd"/>
    </w:p>
    <w:p w:rsidR="008B0D52" w:rsidRDefault="006B2314" w:rsidP="006B2314">
      <w:pPr>
        <w:pStyle w:val="Acknowledgement"/>
        <w:ind w:left="426" w:hanging="426"/>
      </w:pPr>
      <w:r>
        <w:t>14.</w:t>
      </w:r>
      <w:r>
        <w:tab/>
      </w:r>
      <w:r w:rsidR="008B0D52">
        <w:t xml:space="preserve">C. S. </w:t>
      </w:r>
      <w:proofErr w:type="spellStart"/>
      <w:r w:rsidR="008B0D52">
        <w:t>Lisenbee</w:t>
      </w:r>
      <w:proofErr w:type="spellEnd"/>
      <w:r w:rsidR="008B0D52">
        <w:t xml:space="preserve">, M. J. </w:t>
      </w:r>
      <w:proofErr w:type="spellStart"/>
      <w:r w:rsidR="008B0D52">
        <w:t>Lingard</w:t>
      </w:r>
      <w:proofErr w:type="spellEnd"/>
      <w:r w:rsidR="008B0D52">
        <w:t xml:space="preserve">, R. N. </w:t>
      </w:r>
      <w:proofErr w:type="spellStart"/>
      <w:r w:rsidR="008B0D52">
        <w:t>Trelease</w:t>
      </w:r>
      <w:proofErr w:type="spellEnd"/>
      <w:r w:rsidR="008B0D52">
        <w:t xml:space="preserve">, Arabidopsis peroxisomes possess functionally redundant membrane and matrix isoforms of </w:t>
      </w:r>
      <w:proofErr w:type="spellStart"/>
      <w:r w:rsidR="008B0D52">
        <w:t>monodehydroascorbate</w:t>
      </w:r>
      <w:proofErr w:type="spellEnd"/>
      <w:r w:rsidR="008B0D52">
        <w:t xml:space="preserve"> reductase. </w:t>
      </w:r>
      <w:r w:rsidR="008B0D52">
        <w:rPr>
          <w:i/>
        </w:rPr>
        <w:t xml:space="preserve">Plant J. </w:t>
      </w:r>
      <w:r w:rsidR="008B0D52">
        <w:rPr>
          <w:b/>
        </w:rPr>
        <w:t>43</w:t>
      </w:r>
      <w:r w:rsidR="008B0D52">
        <w:t>, 900-914 (2005).</w:t>
      </w:r>
    </w:p>
    <w:p w:rsidR="008B0D52" w:rsidRDefault="006B2314" w:rsidP="006B2314">
      <w:pPr>
        <w:pStyle w:val="Acknowledgement"/>
        <w:ind w:left="426" w:hanging="426"/>
      </w:pPr>
      <w:r>
        <w:t>15.</w:t>
      </w:r>
      <w:r>
        <w:tab/>
      </w:r>
      <w:r w:rsidR="008B0D52">
        <w:t xml:space="preserve">K. </w:t>
      </w:r>
      <w:proofErr w:type="spellStart"/>
      <w:r w:rsidR="008B0D52">
        <w:t>Obara</w:t>
      </w:r>
      <w:proofErr w:type="spellEnd"/>
      <w:r w:rsidR="008B0D52">
        <w:t xml:space="preserve">, K. Sumi, H. Fukuda, The use of multiple transcription starts causes the dual targeting of Arabidopsis putative </w:t>
      </w:r>
      <w:proofErr w:type="spellStart"/>
      <w:r w:rsidR="008B0D52">
        <w:t>monodehydroascorbate</w:t>
      </w:r>
      <w:proofErr w:type="spellEnd"/>
      <w:r w:rsidR="008B0D52">
        <w:t xml:space="preserve"> reductase to both mitochondria and chloroplasts. </w:t>
      </w:r>
      <w:r w:rsidR="008B0D52">
        <w:rPr>
          <w:i/>
        </w:rPr>
        <w:t xml:space="preserve">Plant Cell Physiol. </w:t>
      </w:r>
      <w:r w:rsidR="008B0D52">
        <w:rPr>
          <w:b/>
        </w:rPr>
        <w:t>43</w:t>
      </w:r>
      <w:r w:rsidR="008B0D52">
        <w:t>, 697-705 (2002).</w:t>
      </w:r>
    </w:p>
    <w:p w:rsidR="008B0D52" w:rsidRDefault="006B2314" w:rsidP="006B2314">
      <w:pPr>
        <w:pStyle w:val="Acknowledgement"/>
        <w:ind w:left="426" w:hanging="426"/>
      </w:pPr>
      <w:r>
        <w:t>16.</w:t>
      </w:r>
      <w:r>
        <w:tab/>
      </w:r>
      <w:r w:rsidR="008B0D52">
        <w:t xml:space="preserve">T. </w:t>
      </w:r>
      <w:proofErr w:type="spellStart"/>
      <w:r w:rsidR="008B0D52">
        <w:t>Hruz</w:t>
      </w:r>
      <w:proofErr w:type="spellEnd"/>
      <w:r w:rsidR="008B0D52">
        <w:t xml:space="preserve"> </w:t>
      </w:r>
      <w:r w:rsidR="008B0D52">
        <w:rPr>
          <w:i/>
        </w:rPr>
        <w:t>et al.</w:t>
      </w:r>
      <w:r w:rsidR="008B0D52">
        <w:t xml:space="preserve">, </w:t>
      </w:r>
      <w:proofErr w:type="spellStart"/>
      <w:r w:rsidR="008B0D52">
        <w:t>Genevestigator</w:t>
      </w:r>
      <w:proofErr w:type="spellEnd"/>
      <w:r w:rsidR="008B0D52">
        <w:t xml:space="preserve"> v3: a reference expression database for the meta-analysis of transcriptomes. </w:t>
      </w:r>
      <w:r w:rsidR="008B0D52">
        <w:rPr>
          <w:i/>
        </w:rPr>
        <w:t>Adv</w:t>
      </w:r>
      <w:r w:rsidR="00F9313B">
        <w:rPr>
          <w:i/>
        </w:rPr>
        <w:t>.</w:t>
      </w:r>
      <w:r w:rsidR="008B0D52">
        <w:rPr>
          <w:i/>
        </w:rPr>
        <w:t xml:space="preserve"> Bioinformatics</w:t>
      </w:r>
      <w:r w:rsidR="008B0D52">
        <w:t xml:space="preserve"> </w:t>
      </w:r>
      <w:r w:rsidR="00515EB5" w:rsidRPr="00747119">
        <w:rPr>
          <w:lang w:eastAsia="en-GB"/>
        </w:rPr>
        <w:t>http://dx.doi.org/10.1155/2008/</w:t>
      </w:r>
      <w:proofErr w:type="gramStart"/>
      <w:r w:rsidR="00515EB5">
        <w:t>420747</w:t>
      </w:r>
      <w:r w:rsidR="008B0D52">
        <w:t>(</w:t>
      </w:r>
      <w:proofErr w:type="gramEnd"/>
      <w:r w:rsidR="008B0D52">
        <w:t>2008).</w:t>
      </w:r>
    </w:p>
    <w:p w:rsidR="008B0D52" w:rsidRDefault="006B2314" w:rsidP="006B2314">
      <w:pPr>
        <w:pStyle w:val="Acknowledgement"/>
        <w:ind w:left="426" w:hanging="426"/>
      </w:pPr>
      <w:r>
        <w:lastRenderedPageBreak/>
        <w:t>17.</w:t>
      </w:r>
      <w:r>
        <w:tab/>
      </w:r>
      <w:r w:rsidR="008B0D52">
        <w:t xml:space="preserve">T. F. Jenkins </w:t>
      </w:r>
      <w:r w:rsidR="008B0D52">
        <w:rPr>
          <w:i/>
        </w:rPr>
        <w:t>et al.</w:t>
      </w:r>
      <w:r w:rsidR="008B0D52">
        <w:t xml:space="preserve">, Identity and distribution of residues of energetic compounds at army live-fire training ranges. </w:t>
      </w:r>
      <w:proofErr w:type="gramStart"/>
      <w:r w:rsidR="008B0D52">
        <w:rPr>
          <w:i/>
        </w:rPr>
        <w:t xml:space="preserve">Chemosphere </w:t>
      </w:r>
      <w:r w:rsidR="008B0D52">
        <w:rPr>
          <w:b/>
        </w:rPr>
        <w:t>63</w:t>
      </w:r>
      <w:r w:rsidR="008B0D52">
        <w:t>, 1280-1290 (2006).</w:t>
      </w:r>
      <w:proofErr w:type="gramEnd"/>
    </w:p>
    <w:p w:rsidR="008B0D52" w:rsidRDefault="006B2314" w:rsidP="006B2314">
      <w:pPr>
        <w:pStyle w:val="Acknowledgement"/>
        <w:ind w:left="426" w:hanging="426"/>
      </w:pPr>
      <w:r>
        <w:t>18</w:t>
      </w:r>
      <w:r>
        <w:tab/>
      </w:r>
      <w:r w:rsidR="008B0D52">
        <w:t xml:space="preserve">C. H. Foyer, G. </w:t>
      </w:r>
      <w:proofErr w:type="spellStart"/>
      <w:r w:rsidR="008B0D52">
        <w:t>Noctor</w:t>
      </w:r>
      <w:proofErr w:type="spellEnd"/>
      <w:r w:rsidR="008B0D52">
        <w:t xml:space="preserve">, </w:t>
      </w:r>
      <w:proofErr w:type="spellStart"/>
      <w:r w:rsidR="008B0D52">
        <w:t>Ascorbate</w:t>
      </w:r>
      <w:proofErr w:type="spellEnd"/>
      <w:r w:rsidR="008B0D52">
        <w:t xml:space="preserve"> and glutathione: the heart of the redox hub. </w:t>
      </w:r>
      <w:r w:rsidR="008B0D52">
        <w:rPr>
          <w:i/>
        </w:rPr>
        <w:t xml:space="preserve">Plant Physiol. </w:t>
      </w:r>
      <w:r w:rsidR="008B0D52">
        <w:rPr>
          <w:b/>
        </w:rPr>
        <w:t>155</w:t>
      </w:r>
      <w:r w:rsidR="008B0D52">
        <w:t>, 2-18 (2011).</w:t>
      </w:r>
    </w:p>
    <w:p w:rsidR="00973510" w:rsidRPr="00747119" w:rsidRDefault="00BA6C11" w:rsidP="00747119">
      <w:pPr>
        <w:spacing w:before="120"/>
        <w:ind w:left="425" w:hanging="425"/>
        <w:rPr>
          <w:rFonts w:eastAsia="Times New Roman"/>
          <w:sz w:val="24"/>
          <w:szCs w:val="24"/>
          <w:lang w:val="en-GB"/>
        </w:rPr>
      </w:pPr>
      <w:r w:rsidRPr="00C1405E">
        <w:rPr>
          <w:sz w:val="24"/>
          <w:szCs w:val="24"/>
        </w:rPr>
        <w:t xml:space="preserve">19. </w:t>
      </w:r>
      <w:r w:rsidR="00973510">
        <w:rPr>
          <w:sz w:val="24"/>
          <w:szCs w:val="24"/>
        </w:rPr>
        <w:t xml:space="preserve"> O. W. </w:t>
      </w:r>
      <w:r w:rsidR="00973510" w:rsidRPr="00747119">
        <w:rPr>
          <w:rFonts w:eastAsia="Times New Roman"/>
          <w:color w:val="222222"/>
          <w:sz w:val="24"/>
          <w:szCs w:val="24"/>
          <w:shd w:val="clear" w:color="auto" w:fill="FFFFFF"/>
          <w:lang w:val="en-GB"/>
        </w:rPr>
        <w:t xml:space="preserve">Griffith, </w:t>
      </w:r>
      <w:r w:rsidR="00973510">
        <w:rPr>
          <w:rFonts w:eastAsia="Times New Roman"/>
          <w:color w:val="222222"/>
          <w:sz w:val="24"/>
          <w:szCs w:val="24"/>
          <w:shd w:val="clear" w:color="auto" w:fill="FFFFFF"/>
          <w:lang w:val="en-GB"/>
        </w:rPr>
        <w:t xml:space="preserve">A. </w:t>
      </w:r>
      <w:r w:rsidR="00973510" w:rsidRPr="00973510">
        <w:rPr>
          <w:rFonts w:eastAsia="Times New Roman"/>
          <w:color w:val="222222"/>
          <w:sz w:val="24"/>
          <w:szCs w:val="24"/>
          <w:shd w:val="clear" w:color="auto" w:fill="FFFFFF"/>
          <w:lang w:val="en-GB"/>
        </w:rPr>
        <w:t>Meister,</w:t>
      </w:r>
      <w:r w:rsidR="00973510" w:rsidRPr="00747119">
        <w:rPr>
          <w:rFonts w:eastAsia="Times New Roman"/>
          <w:color w:val="222222"/>
          <w:sz w:val="24"/>
          <w:szCs w:val="24"/>
          <w:shd w:val="clear" w:color="auto" w:fill="FFFFFF"/>
          <w:lang w:val="en-GB"/>
        </w:rPr>
        <w:t xml:space="preserve"> Potent and specific inhibition of glutathione synthesis by </w:t>
      </w:r>
      <w:proofErr w:type="spellStart"/>
      <w:r w:rsidR="00973510" w:rsidRPr="00747119">
        <w:rPr>
          <w:rFonts w:eastAsia="Times New Roman"/>
          <w:color w:val="222222"/>
          <w:sz w:val="24"/>
          <w:szCs w:val="24"/>
          <w:shd w:val="clear" w:color="auto" w:fill="FFFFFF"/>
          <w:lang w:val="en-GB"/>
        </w:rPr>
        <w:t>buthionine</w:t>
      </w:r>
      <w:proofErr w:type="spellEnd"/>
      <w:r w:rsidR="00973510" w:rsidRPr="00747119">
        <w:rPr>
          <w:rFonts w:eastAsia="Times New Roman"/>
          <w:color w:val="222222"/>
          <w:sz w:val="24"/>
          <w:szCs w:val="24"/>
          <w:shd w:val="clear" w:color="auto" w:fill="FFFFFF"/>
          <w:lang w:val="en-GB"/>
        </w:rPr>
        <w:t xml:space="preserve"> </w:t>
      </w:r>
      <w:proofErr w:type="spellStart"/>
      <w:r w:rsidR="00973510" w:rsidRPr="00747119">
        <w:rPr>
          <w:rFonts w:eastAsia="Times New Roman"/>
          <w:color w:val="222222"/>
          <w:sz w:val="24"/>
          <w:szCs w:val="24"/>
          <w:shd w:val="clear" w:color="auto" w:fill="FFFFFF"/>
          <w:lang w:val="en-GB"/>
        </w:rPr>
        <w:t>sulfoximine</w:t>
      </w:r>
      <w:proofErr w:type="spellEnd"/>
      <w:r w:rsidR="00973510" w:rsidRPr="00747119">
        <w:rPr>
          <w:rFonts w:eastAsia="Times New Roman"/>
          <w:color w:val="222222"/>
          <w:sz w:val="24"/>
          <w:szCs w:val="24"/>
          <w:shd w:val="clear" w:color="auto" w:fill="FFFFFF"/>
          <w:lang w:val="en-GB"/>
        </w:rPr>
        <w:t xml:space="preserve"> (S-n butyl homocysteine </w:t>
      </w:r>
      <w:proofErr w:type="spellStart"/>
      <w:r w:rsidR="00973510" w:rsidRPr="00747119">
        <w:rPr>
          <w:rFonts w:eastAsia="Times New Roman"/>
          <w:color w:val="222222"/>
          <w:sz w:val="24"/>
          <w:szCs w:val="24"/>
          <w:shd w:val="clear" w:color="auto" w:fill="FFFFFF"/>
          <w:lang w:val="en-GB"/>
        </w:rPr>
        <w:t>sulfoximine</w:t>
      </w:r>
      <w:proofErr w:type="spellEnd"/>
      <w:r w:rsidR="00973510" w:rsidRPr="00747119">
        <w:rPr>
          <w:rFonts w:eastAsia="Times New Roman"/>
          <w:color w:val="222222"/>
          <w:sz w:val="24"/>
          <w:szCs w:val="24"/>
          <w:shd w:val="clear" w:color="auto" w:fill="FFFFFF"/>
          <w:lang w:val="en-GB"/>
        </w:rPr>
        <w:t xml:space="preserve">). </w:t>
      </w:r>
      <w:r w:rsidR="00973510" w:rsidRPr="00747119">
        <w:rPr>
          <w:rFonts w:eastAsia="Times New Roman"/>
          <w:i/>
          <w:color w:val="222222"/>
          <w:sz w:val="24"/>
          <w:szCs w:val="24"/>
          <w:shd w:val="clear" w:color="auto" w:fill="FFFFFF"/>
          <w:lang w:val="en-GB"/>
        </w:rPr>
        <w:t>J. Biol. Chem.</w:t>
      </w:r>
      <w:r w:rsidR="00973510" w:rsidRPr="00747119">
        <w:rPr>
          <w:rFonts w:eastAsia="Times New Roman"/>
          <w:color w:val="222222"/>
          <w:sz w:val="24"/>
          <w:szCs w:val="24"/>
          <w:shd w:val="clear" w:color="auto" w:fill="FFFFFF"/>
          <w:lang w:val="en-GB"/>
        </w:rPr>
        <w:t xml:space="preserve"> </w:t>
      </w:r>
      <w:r w:rsidR="00973510" w:rsidRPr="00747119">
        <w:rPr>
          <w:rFonts w:eastAsia="Times New Roman"/>
          <w:b/>
          <w:color w:val="222222"/>
          <w:sz w:val="24"/>
          <w:szCs w:val="24"/>
          <w:shd w:val="clear" w:color="auto" w:fill="FFFFFF"/>
          <w:lang w:val="en-GB"/>
        </w:rPr>
        <w:t>254</w:t>
      </w:r>
      <w:r w:rsidR="00973510">
        <w:rPr>
          <w:rFonts w:eastAsia="Times New Roman"/>
          <w:color w:val="222222"/>
          <w:sz w:val="24"/>
          <w:szCs w:val="24"/>
          <w:shd w:val="clear" w:color="auto" w:fill="FFFFFF"/>
          <w:lang w:val="en-GB"/>
        </w:rPr>
        <w:t>,</w:t>
      </w:r>
      <w:r w:rsidR="00973510" w:rsidRPr="00747119">
        <w:rPr>
          <w:rFonts w:eastAsia="Times New Roman"/>
          <w:color w:val="222222"/>
          <w:sz w:val="24"/>
          <w:szCs w:val="24"/>
          <w:shd w:val="clear" w:color="auto" w:fill="FFFFFF"/>
          <w:lang w:val="en-GB"/>
        </w:rPr>
        <w:t xml:space="preserve"> 7558-7560</w:t>
      </w:r>
      <w:r w:rsidR="00973510">
        <w:rPr>
          <w:rFonts w:eastAsia="Times New Roman"/>
          <w:color w:val="222222"/>
          <w:sz w:val="24"/>
          <w:szCs w:val="24"/>
          <w:shd w:val="clear" w:color="auto" w:fill="FFFFFF"/>
          <w:lang w:val="en-GB"/>
        </w:rPr>
        <w:t xml:space="preserve"> (1979)</w:t>
      </w:r>
    </w:p>
    <w:p w:rsidR="008B0D52" w:rsidRDefault="00BA6C11" w:rsidP="006B2314">
      <w:pPr>
        <w:pStyle w:val="Acknowledgement"/>
        <w:ind w:left="426" w:hanging="426"/>
      </w:pPr>
      <w:r>
        <w:t>20</w:t>
      </w:r>
      <w:r w:rsidR="006B2314">
        <w:t>.</w:t>
      </w:r>
      <w:r w:rsidR="006B2314">
        <w:tab/>
      </w:r>
      <w:r w:rsidR="00F9313B">
        <w:t xml:space="preserve">Y. </w:t>
      </w:r>
      <w:proofErr w:type="spellStart"/>
      <w:r w:rsidR="00F9313B">
        <w:t>Kumagai</w:t>
      </w:r>
      <w:proofErr w:type="spellEnd"/>
      <w:r w:rsidR="00F9313B">
        <w:t xml:space="preserve"> </w:t>
      </w:r>
      <w:r w:rsidR="00F9313B">
        <w:rPr>
          <w:i/>
        </w:rPr>
        <w:t>et al.</w:t>
      </w:r>
      <w:r w:rsidR="00F9313B">
        <w:t>, Zeta-</w:t>
      </w:r>
      <w:proofErr w:type="spellStart"/>
      <w:r w:rsidR="00F9313B">
        <w:t>crystallin</w:t>
      </w:r>
      <w:proofErr w:type="spellEnd"/>
      <w:r w:rsidR="00F9313B">
        <w:t xml:space="preserve"> catalyzes the reductive activation of 2</w:t>
      </w:r>
      <w:proofErr w:type="gramStart"/>
      <w:r w:rsidR="00F9313B">
        <w:t>,4,6</w:t>
      </w:r>
      <w:proofErr w:type="gramEnd"/>
      <w:r w:rsidR="00F9313B">
        <w:t>-trinitrotoluene to generate reactive o</w:t>
      </w:r>
      <w:r w:rsidR="00196770">
        <w:t>x</w:t>
      </w:r>
      <w:r w:rsidR="00F9313B">
        <w:t xml:space="preserve">ygen species: a proposed mechanism for the induction of cataracts. </w:t>
      </w:r>
      <w:proofErr w:type="gramStart"/>
      <w:r w:rsidR="00F9313B">
        <w:rPr>
          <w:i/>
        </w:rPr>
        <w:t>FEBS Lett.</w:t>
      </w:r>
      <w:proofErr w:type="gramEnd"/>
      <w:r w:rsidR="00F9313B">
        <w:rPr>
          <w:i/>
        </w:rPr>
        <w:t xml:space="preserve"> </w:t>
      </w:r>
      <w:proofErr w:type="gramStart"/>
      <w:r w:rsidR="00F9313B">
        <w:rPr>
          <w:b/>
        </w:rPr>
        <w:t>478</w:t>
      </w:r>
      <w:r w:rsidR="00F9313B">
        <w:t>, 295-298 (2000).</w:t>
      </w:r>
      <w:proofErr w:type="gramEnd"/>
    </w:p>
    <w:p w:rsidR="00F9313B" w:rsidRDefault="00BA6C11" w:rsidP="006B2314">
      <w:pPr>
        <w:pStyle w:val="Acknowledgement"/>
        <w:ind w:left="426" w:hanging="426"/>
      </w:pPr>
      <w:r>
        <w:t>21</w:t>
      </w:r>
      <w:r w:rsidR="006B2314">
        <w:tab/>
      </w:r>
      <w:r w:rsidR="00F9313B">
        <w:t xml:space="preserve">Y. </w:t>
      </w:r>
      <w:proofErr w:type="spellStart"/>
      <w:r w:rsidR="00F9313B">
        <w:t>Kumagai</w:t>
      </w:r>
      <w:proofErr w:type="spellEnd"/>
      <w:r w:rsidR="00F9313B">
        <w:t xml:space="preserve">, M. </w:t>
      </w:r>
      <w:proofErr w:type="spellStart"/>
      <w:r w:rsidR="00F9313B">
        <w:t>Kikushima</w:t>
      </w:r>
      <w:proofErr w:type="spellEnd"/>
      <w:r w:rsidR="00F9313B">
        <w:t xml:space="preserve">, Y. </w:t>
      </w:r>
      <w:proofErr w:type="spellStart"/>
      <w:r w:rsidR="00F9313B">
        <w:t>Nakai</w:t>
      </w:r>
      <w:proofErr w:type="spellEnd"/>
      <w:r w:rsidR="00F9313B">
        <w:t xml:space="preserve">, N. </w:t>
      </w:r>
      <w:proofErr w:type="spellStart"/>
      <w:r w:rsidR="00F9313B">
        <w:t>Shimojo</w:t>
      </w:r>
      <w:proofErr w:type="spellEnd"/>
      <w:r w:rsidR="00F9313B">
        <w:t xml:space="preserve">, M. </w:t>
      </w:r>
      <w:proofErr w:type="spellStart"/>
      <w:r w:rsidR="00F9313B">
        <w:t>Kunimoto</w:t>
      </w:r>
      <w:proofErr w:type="spellEnd"/>
      <w:r w:rsidR="00F9313B">
        <w:t>, Neuronal nitric oxide synthase (</w:t>
      </w:r>
      <w:proofErr w:type="spellStart"/>
      <w:r w:rsidR="00F9313B">
        <w:t>nNOS</w:t>
      </w:r>
      <w:proofErr w:type="spellEnd"/>
      <w:r w:rsidR="00F9313B">
        <w:t xml:space="preserve">) catalyzes one-electron reduction of 2,4,6-trinitrotoluene, resulting in decreased nitric oxide production and increased </w:t>
      </w:r>
      <w:proofErr w:type="spellStart"/>
      <w:r w:rsidR="00F9313B">
        <w:t>nNOS</w:t>
      </w:r>
      <w:proofErr w:type="spellEnd"/>
      <w:r w:rsidR="00F9313B">
        <w:t xml:space="preserve"> gene expression: implication for oxidative stress. </w:t>
      </w:r>
      <w:r w:rsidR="00F9313B">
        <w:rPr>
          <w:i/>
        </w:rPr>
        <w:t xml:space="preserve">Free </w:t>
      </w:r>
      <w:proofErr w:type="spellStart"/>
      <w:r w:rsidR="00F9313B">
        <w:rPr>
          <w:i/>
        </w:rPr>
        <w:t>Radic</w:t>
      </w:r>
      <w:proofErr w:type="spellEnd"/>
      <w:r w:rsidR="00F9313B">
        <w:rPr>
          <w:i/>
        </w:rPr>
        <w:t xml:space="preserve">. </w:t>
      </w:r>
      <w:proofErr w:type="gramStart"/>
      <w:r w:rsidR="00F9313B">
        <w:rPr>
          <w:i/>
        </w:rPr>
        <w:t xml:space="preserve">Biol. Med. </w:t>
      </w:r>
      <w:r w:rsidR="00F9313B">
        <w:rPr>
          <w:b/>
        </w:rPr>
        <w:t>37</w:t>
      </w:r>
      <w:r w:rsidR="00F9313B">
        <w:t>, 350-357 (2004).</w:t>
      </w:r>
      <w:proofErr w:type="gramEnd"/>
    </w:p>
    <w:p w:rsidR="00F9313B" w:rsidRDefault="00973510" w:rsidP="006B2314">
      <w:pPr>
        <w:pStyle w:val="Acknowledgement"/>
        <w:ind w:left="426" w:hanging="426"/>
      </w:pPr>
      <w:proofErr w:type="gramStart"/>
      <w:r>
        <w:t>2</w:t>
      </w:r>
      <w:r w:rsidR="00EB316E">
        <w:t>2</w:t>
      </w:r>
      <w:r w:rsidR="006B2314">
        <w:t>.</w:t>
      </w:r>
      <w:r w:rsidR="006B2314">
        <w:tab/>
      </w:r>
      <w:r w:rsidR="00F9313B">
        <w:t xml:space="preserve">S. F. </w:t>
      </w:r>
      <w:proofErr w:type="spellStart"/>
      <w:r w:rsidR="00F9313B">
        <w:t>Altschul</w:t>
      </w:r>
      <w:proofErr w:type="spellEnd"/>
      <w:r w:rsidR="00F9313B">
        <w:t xml:space="preserve">, W. Gish, W. Miller, E. W. Myers, D. J. </w:t>
      </w:r>
      <w:proofErr w:type="spellStart"/>
      <w:r w:rsidR="00F9313B">
        <w:t>Lipman</w:t>
      </w:r>
      <w:proofErr w:type="spellEnd"/>
      <w:r w:rsidR="00F9313B">
        <w:t>, Basic local alignment search tool.</w:t>
      </w:r>
      <w:proofErr w:type="gramEnd"/>
      <w:r w:rsidR="00F9313B">
        <w:t xml:space="preserve"> </w:t>
      </w:r>
      <w:proofErr w:type="gramStart"/>
      <w:r w:rsidR="00F9313B">
        <w:rPr>
          <w:i/>
        </w:rPr>
        <w:t xml:space="preserve">J. Mol. Biol. </w:t>
      </w:r>
      <w:r w:rsidR="00F9313B">
        <w:rPr>
          <w:b/>
        </w:rPr>
        <w:t>215</w:t>
      </w:r>
      <w:r w:rsidR="00F9313B">
        <w:t>, 403-410 (1990).</w:t>
      </w:r>
      <w:proofErr w:type="gramEnd"/>
    </w:p>
    <w:p w:rsidR="00F9313B" w:rsidRDefault="00973510" w:rsidP="006B2314">
      <w:pPr>
        <w:pStyle w:val="Acknowledgement"/>
        <w:ind w:left="426" w:hanging="426"/>
      </w:pPr>
      <w:r>
        <w:t>2</w:t>
      </w:r>
      <w:r w:rsidR="00BA6C11">
        <w:t>3</w:t>
      </w:r>
      <w:r w:rsidR="006B2314">
        <w:t>.</w:t>
      </w:r>
      <w:r w:rsidR="006B2314">
        <w:tab/>
      </w:r>
      <w:r w:rsidR="00201D21">
        <w:t xml:space="preserve">I. Heap, The </w:t>
      </w:r>
      <w:r w:rsidR="001E76DB">
        <w:t xml:space="preserve">International Survey </w:t>
      </w:r>
      <w:r w:rsidR="00201D21">
        <w:t xml:space="preserve">of </w:t>
      </w:r>
      <w:r w:rsidR="001E76DB">
        <w:t>Herbicide Resistant W</w:t>
      </w:r>
      <w:r w:rsidR="001E76DB" w:rsidRPr="00251047">
        <w:t xml:space="preserve">eeds </w:t>
      </w:r>
      <w:r w:rsidR="00201D21" w:rsidRPr="00251047">
        <w:t>(</w:t>
      </w:r>
      <w:r w:rsidR="00251047">
        <w:t xml:space="preserve">Online, available </w:t>
      </w:r>
      <w:hyperlink r:id="rId11" w:history="1">
        <w:r w:rsidR="00251047" w:rsidRPr="00251047">
          <w:rPr>
            <w:rStyle w:val="Hyperlink"/>
            <w:color w:val="auto"/>
            <w:u w:val="none"/>
          </w:rPr>
          <w:t>www.weedscience.org</w:t>
        </w:r>
      </w:hyperlink>
      <w:r w:rsidR="001E76DB">
        <w:rPr>
          <w:rStyle w:val="Hyperlink"/>
          <w:color w:val="auto"/>
          <w:u w:val="none"/>
        </w:rPr>
        <w:t>, accessed 26</w:t>
      </w:r>
      <w:r w:rsidR="001E76DB" w:rsidRPr="00C1405E">
        <w:rPr>
          <w:rStyle w:val="Hyperlink"/>
          <w:color w:val="auto"/>
          <w:u w:val="none"/>
          <w:vertAlign w:val="superscript"/>
        </w:rPr>
        <w:t>th</w:t>
      </w:r>
      <w:r w:rsidR="001E76DB">
        <w:rPr>
          <w:rStyle w:val="Hyperlink"/>
          <w:color w:val="auto"/>
          <w:u w:val="none"/>
        </w:rPr>
        <w:t xml:space="preserve"> June 2015</w:t>
      </w:r>
      <w:r w:rsidR="00201D21" w:rsidRPr="00251047">
        <w:t>)</w:t>
      </w:r>
      <w:r w:rsidR="00251047" w:rsidRPr="00251047">
        <w:t>.</w:t>
      </w:r>
    </w:p>
    <w:p w:rsidR="00251047" w:rsidRDefault="00BA6C11" w:rsidP="006B2314">
      <w:pPr>
        <w:pStyle w:val="Acknowledgement"/>
        <w:ind w:left="426" w:hanging="426"/>
      </w:pPr>
      <w:r>
        <w:t>24</w:t>
      </w:r>
      <w:r w:rsidR="006B2314">
        <w:t>.</w:t>
      </w:r>
      <w:r w:rsidR="006B2314">
        <w:tab/>
      </w:r>
      <w:r w:rsidR="00251047">
        <w:t xml:space="preserve">S. O. Duke, Why have no new herbicide modes of action appeared in recent years? </w:t>
      </w:r>
      <w:proofErr w:type="gramStart"/>
      <w:r w:rsidR="00251047">
        <w:rPr>
          <w:i/>
        </w:rPr>
        <w:t>Pest.</w:t>
      </w:r>
      <w:proofErr w:type="gramEnd"/>
      <w:r w:rsidR="00251047">
        <w:rPr>
          <w:i/>
        </w:rPr>
        <w:t xml:space="preserve"> </w:t>
      </w:r>
      <w:proofErr w:type="spellStart"/>
      <w:proofErr w:type="gramStart"/>
      <w:r w:rsidR="00251047">
        <w:rPr>
          <w:i/>
        </w:rPr>
        <w:t>Manag</w:t>
      </w:r>
      <w:proofErr w:type="spellEnd"/>
      <w:r w:rsidR="00251047">
        <w:rPr>
          <w:i/>
        </w:rPr>
        <w:t>.</w:t>
      </w:r>
      <w:proofErr w:type="gramEnd"/>
      <w:r w:rsidR="00251047">
        <w:rPr>
          <w:i/>
        </w:rPr>
        <w:t xml:space="preserve"> </w:t>
      </w:r>
      <w:proofErr w:type="gramStart"/>
      <w:r w:rsidR="00251047">
        <w:rPr>
          <w:i/>
        </w:rPr>
        <w:t xml:space="preserve">Sci. </w:t>
      </w:r>
      <w:r w:rsidR="00251047">
        <w:rPr>
          <w:b/>
        </w:rPr>
        <w:t>68</w:t>
      </w:r>
      <w:r w:rsidR="00251047">
        <w:t>, 505-512 (2012).</w:t>
      </w:r>
      <w:proofErr w:type="gramEnd"/>
    </w:p>
    <w:p w:rsidR="00251047" w:rsidRDefault="00973510" w:rsidP="006B2314">
      <w:pPr>
        <w:pStyle w:val="Acknowledgement"/>
        <w:ind w:left="426" w:hanging="426"/>
      </w:pPr>
      <w:r>
        <w:t>2</w:t>
      </w:r>
      <w:r w:rsidR="00BA6C11">
        <w:t>5</w:t>
      </w:r>
      <w:r w:rsidR="006B2314">
        <w:t>.</w:t>
      </w:r>
      <w:r w:rsidR="006B2314">
        <w:tab/>
      </w:r>
      <w:r w:rsidR="00251047">
        <w:t xml:space="preserve">J. Clausen, J. Robb, D. Curry, N. A. </w:t>
      </w:r>
      <w:proofErr w:type="spellStart"/>
      <w:r w:rsidR="00251047">
        <w:t>Korte</w:t>
      </w:r>
      <w:proofErr w:type="spellEnd"/>
      <w:r w:rsidR="00251047">
        <w:t xml:space="preserve">, A case study of contaminants on military ranges: Camp Edwards, Massachusetts, USA. </w:t>
      </w:r>
      <w:r w:rsidR="00251047">
        <w:rPr>
          <w:i/>
        </w:rPr>
        <w:t xml:space="preserve">Environ. </w:t>
      </w:r>
      <w:proofErr w:type="spellStart"/>
      <w:proofErr w:type="gramStart"/>
      <w:r w:rsidR="00251047">
        <w:rPr>
          <w:i/>
        </w:rPr>
        <w:t>Pollut</w:t>
      </w:r>
      <w:proofErr w:type="spellEnd"/>
      <w:r w:rsidR="00251047">
        <w:rPr>
          <w:i/>
        </w:rPr>
        <w:t>.</w:t>
      </w:r>
      <w:proofErr w:type="gramEnd"/>
      <w:r w:rsidR="00251047">
        <w:rPr>
          <w:i/>
        </w:rPr>
        <w:t xml:space="preserve"> </w:t>
      </w:r>
      <w:proofErr w:type="gramStart"/>
      <w:r w:rsidR="00251047">
        <w:rPr>
          <w:b/>
        </w:rPr>
        <w:t>129</w:t>
      </w:r>
      <w:r w:rsidR="00251047">
        <w:t>, 13-21 (2004).</w:t>
      </w:r>
      <w:proofErr w:type="gramEnd"/>
    </w:p>
    <w:p w:rsidR="00251047" w:rsidRDefault="00EB316E" w:rsidP="006B2314">
      <w:pPr>
        <w:pStyle w:val="Acknowledgement"/>
        <w:ind w:left="426" w:hanging="426"/>
      </w:pPr>
      <w:r>
        <w:t>2</w:t>
      </w:r>
      <w:r w:rsidR="00BA6C11">
        <w:t>6</w:t>
      </w:r>
      <w:r w:rsidR="006B2314">
        <w:t>.</w:t>
      </w:r>
      <w:r w:rsidR="006B2314">
        <w:tab/>
      </w:r>
      <w:r w:rsidR="00251047">
        <w:t xml:space="preserve">E. L. Rylott </w:t>
      </w:r>
      <w:r w:rsidR="00251047">
        <w:rPr>
          <w:i/>
        </w:rPr>
        <w:t>et al.</w:t>
      </w:r>
      <w:r w:rsidR="00251047">
        <w:t xml:space="preserve">, An explosive-degrading cytochrome P450 activity and its targeted application for the phytoremediation of RDX. </w:t>
      </w:r>
      <w:r w:rsidR="00251047">
        <w:rPr>
          <w:i/>
        </w:rPr>
        <w:t xml:space="preserve">Nat. Biotech. </w:t>
      </w:r>
      <w:proofErr w:type="gramStart"/>
      <w:r w:rsidR="00251047">
        <w:rPr>
          <w:b/>
        </w:rPr>
        <w:t>24</w:t>
      </w:r>
      <w:r w:rsidR="00251047">
        <w:t>, 216-219 (2006).</w:t>
      </w:r>
      <w:proofErr w:type="gramEnd"/>
    </w:p>
    <w:p w:rsidR="007505E1" w:rsidRDefault="00EB316E" w:rsidP="003B01FE">
      <w:pPr>
        <w:pStyle w:val="Acknowledgement"/>
        <w:ind w:left="426" w:hanging="426"/>
      </w:pPr>
      <w:r>
        <w:t>2</w:t>
      </w:r>
      <w:r w:rsidR="00BA6C11">
        <w:t>7</w:t>
      </w:r>
      <w:r w:rsidR="006B2314">
        <w:t>.</w:t>
      </w:r>
      <w:r w:rsidR="006B2314">
        <w:tab/>
      </w:r>
      <w:r w:rsidR="00251047">
        <w:t xml:space="preserve">R. G. Jackson, E. L. Rylott, D. Fournier, J. </w:t>
      </w:r>
      <w:proofErr w:type="spellStart"/>
      <w:r w:rsidR="00251047">
        <w:t>Hawari</w:t>
      </w:r>
      <w:proofErr w:type="spellEnd"/>
      <w:r w:rsidR="00251047">
        <w:t xml:space="preserve">, N. C. Bruce, Exploring the biochemical properties and remediation applications of the unusual explosive-degrading P450 system </w:t>
      </w:r>
      <w:proofErr w:type="spellStart"/>
      <w:r w:rsidR="00251047">
        <w:t>XplA</w:t>
      </w:r>
      <w:proofErr w:type="spellEnd"/>
      <w:r w:rsidR="00251047">
        <w:t xml:space="preserve">/B. </w:t>
      </w:r>
      <w:r w:rsidR="00F70122">
        <w:rPr>
          <w:i/>
        </w:rPr>
        <w:t>Proc. Nat. Acad. Sci. USA</w:t>
      </w:r>
      <w:r w:rsidR="00251047">
        <w:rPr>
          <w:i/>
        </w:rPr>
        <w:t xml:space="preserve"> </w:t>
      </w:r>
      <w:r w:rsidR="00251047">
        <w:rPr>
          <w:b/>
        </w:rPr>
        <w:t>104</w:t>
      </w:r>
      <w:r w:rsidR="00251047">
        <w:t>, 16822-16827 (2007).</w:t>
      </w:r>
    </w:p>
    <w:p w:rsidR="002073F0" w:rsidRPr="00CC153A" w:rsidRDefault="008751CB" w:rsidP="006B2314">
      <w:pPr>
        <w:pStyle w:val="Acknowledgement"/>
        <w:ind w:left="426" w:hanging="426"/>
      </w:pPr>
      <w:r>
        <w:t>28</w:t>
      </w:r>
      <w:r w:rsidR="002073F0">
        <w:t>.  E. Finkel</w:t>
      </w:r>
      <w:r w:rsidR="00CC153A">
        <w:t xml:space="preserve">stein, G. M. Rosen, E. J. </w:t>
      </w:r>
      <w:proofErr w:type="spellStart"/>
      <w:r w:rsidR="00CC153A">
        <w:t>Rauckman</w:t>
      </w:r>
      <w:proofErr w:type="spellEnd"/>
      <w:r w:rsidR="00CC153A">
        <w:t xml:space="preserve">, </w:t>
      </w:r>
      <w:proofErr w:type="gramStart"/>
      <w:r w:rsidR="00CC153A">
        <w:t>Production</w:t>
      </w:r>
      <w:proofErr w:type="gramEnd"/>
      <w:r w:rsidR="00CC153A">
        <w:t xml:space="preserve"> of hydroxyl radical by decomposition of superoxide spin-trapped adducts. </w:t>
      </w:r>
      <w:r w:rsidR="00CC153A">
        <w:rPr>
          <w:i/>
        </w:rPr>
        <w:t xml:space="preserve">Mol. </w:t>
      </w:r>
      <w:proofErr w:type="spellStart"/>
      <w:r w:rsidR="00CC153A">
        <w:rPr>
          <w:i/>
        </w:rPr>
        <w:t>Pharmacol</w:t>
      </w:r>
      <w:proofErr w:type="spellEnd"/>
      <w:r w:rsidR="00CC153A">
        <w:rPr>
          <w:i/>
        </w:rPr>
        <w:t xml:space="preserve">. </w:t>
      </w:r>
      <w:proofErr w:type="gramStart"/>
      <w:r w:rsidR="00CC153A">
        <w:rPr>
          <w:b/>
        </w:rPr>
        <w:t>21</w:t>
      </w:r>
      <w:r w:rsidR="00CC153A">
        <w:t>, 262-265 (1981).</w:t>
      </w:r>
      <w:proofErr w:type="gramEnd"/>
    </w:p>
    <w:p w:rsidR="00F9313B" w:rsidRDefault="00F9313B" w:rsidP="00AE20A2">
      <w:pPr>
        <w:pStyle w:val="Acknowledgement"/>
        <w:rPr>
          <w:b/>
        </w:rPr>
      </w:pPr>
    </w:p>
    <w:p w:rsidR="00972D9B" w:rsidRDefault="00D73714" w:rsidP="00AE20A2">
      <w:pPr>
        <w:pStyle w:val="Acknowledgement"/>
      </w:pPr>
      <w:r w:rsidRPr="0064261D">
        <w:rPr>
          <w:b/>
        </w:rPr>
        <w:t>Acknowledgments:</w:t>
      </w:r>
    </w:p>
    <w:p w:rsidR="00515EB5" w:rsidRDefault="00AE20A2" w:rsidP="00972D9B">
      <w:pPr>
        <w:pStyle w:val="Acknowledgement"/>
        <w:ind w:left="0" w:hanging="11"/>
      </w:pPr>
      <w:r>
        <w:t xml:space="preserve">The authors gratefully acknowledge the assistance of Maria V. </w:t>
      </w:r>
      <w:proofErr w:type="spellStart"/>
      <w:r>
        <w:t>Budarina</w:t>
      </w:r>
      <w:proofErr w:type="spellEnd"/>
      <w:r>
        <w:t xml:space="preserve"> for technical support.  E.J.J., E.B., and A.L. were supported by PhD studentships from the BBSRC, the Burgess family and Garfield Weston Foundation, respectively. This work was supported by funding from the Strategic Environmental Research and Development Program of the U.S. Department of Defense to E.L.R, and N.C.B.</w:t>
      </w:r>
      <w:r w:rsidR="00C33813">
        <w:t xml:space="preserve"> Supplement contains additional data.</w:t>
      </w:r>
    </w:p>
    <w:p w:rsidR="00515EB5" w:rsidRDefault="00515EB5">
      <w:pPr>
        <w:rPr>
          <w:rFonts w:eastAsia="Times New Roman"/>
          <w:sz w:val="24"/>
          <w:szCs w:val="24"/>
        </w:rPr>
      </w:pPr>
      <w:r>
        <w:br w:type="page"/>
      </w:r>
    </w:p>
    <w:p w:rsidR="00D73714" w:rsidRDefault="00D73714" w:rsidP="00972D9B">
      <w:pPr>
        <w:pStyle w:val="Acknowledgement"/>
        <w:ind w:left="0" w:hanging="11"/>
      </w:pPr>
    </w:p>
    <w:p w:rsidR="00F9313B" w:rsidRDefault="00747119" w:rsidP="000E1716">
      <w:pPr>
        <w:pStyle w:val="Legend"/>
        <w:jc w:val="center"/>
        <w:rPr>
          <w:b/>
        </w:rPr>
      </w:pPr>
      <w:r>
        <w:rPr>
          <w:b/>
          <w:noProof/>
          <w:lang w:val="en-GB" w:eastAsia="en-GB"/>
        </w:rPr>
        <w:drawing>
          <wp:inline distT="0" distB="0" distL="0" distR="0">
            <wp:extent cx="4239217" cy="4058217"/>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png"/>
                    <pic:cNvPicPr/>
                  </pic:nvPicPr>
                  <pic:blipFill>
                    <a:blip r:embed="rId12">
                      <a:extLst>
                        <a:ext uri="{28A0092B-C50C-407E-A947-70E740481C1C}">
                          <a14:useLocalDpi xmlns:a14="http://schemas.microsoft.com/office/drawing/2010/main" val="0"/>
                        </a:ext>
                      </a:extLst>
                    </a:blip>
                    <a:stretch>
                      <a:fillRect/>
                    </a:stretch>
                  </pic:blipFill>
                  <pic:spPr>
                    <a:xfrm>
                      <a:off x="0" y="0"/>
                      <a:ext cx="4239217" cy="4058217"/>
                    </a:xfrm>
                    <a:prstGeom prst="rect">
                      <a:avLst/>
                    </a:prstGeom>
                  </pic:spPr>
                </pic:pic>
              </a:graphicData>
            </a:graphic>
          </wp:inline>
        </w:drawing>
      </w:r>
    </w:p>
    <w:p w:rsidR="00F716A2" w:rsidRDefault="00D73714" w:rsidP="00F716A2">
      <w:pPr>
        <w:pStyle w:val="Legend"/>
        <w:jc w:val="both"/>
      </w:pPr>
      <w:proofErr w:type="gramStart"/>
      <w:r w:rsidRPr="007443BB">
        <w:rPr>
          <w:b/>
        </w:rPr>
        <w:t>Fig. 1</w:t>
      </w:r>
      <w:r>
        <w:t>.</w:t>
      </w:r>
      <w:proofErr w:type="gramEnd"/>
      <w:r>
        <w:t xml:space="preserve"> </w:t>
      </w:r>
      <w:r w:rsidR="0055212B">
        <w:t xml:space="preserve">Plants deficient in </w:t>
      </w:r>
      <w:r w:rsidR="002A5E25">
        <w:rPr>
          <w:i/>
        </w:rPr>
        <w:t>MDHAR</w:t>
      </w:r>
      <w:r w:rsidR="0055212B" w:rsidRPr="002A5E25">
        <w:rPr>
          <w:i/>
        </w:rPr>
        <w:t>6</w:t>
      </w:r>
      <w:r w:rsidR="0055212B">
        <w:t xml:space="preserve"> are more tolerant to TNT</w:t>
      </w:r>
    </w:p>
    <w:p w:rsidR="0055212B" w:rsidRDefault="002A5E25" w:rsidP="00F716A2">
      <w:pPr>
        <w:pStyle w:val="Legend"/>
        <w:jc w:val="both"/>
      </w:pPr>
      <w:r w:rsidRPr="002A5E25">
        <w:t>(</w:t>
      </w:r>
      <w:r w:rsidR="00F716A2" w:rsidRPr="00F716A2">
        <w:rPr>
          <w:b/>
        </w:rPr>
        <w:t>A</w:t>
      </w:r>
      <w:r w:rsidRPr="002A5E25">
        <w:t>)</w:t>
      </w:r>
      <w:r w:rsidR="0055212B">
        <w:t xml:space="preserve"> Seven-day old </w:t>
      </w:r>
      <w:r w:rsidR="0055212B" w:rsidRPr="00F716A2">
        <w:rPr>
          <w:i/>
        </w:rPr>
        <w:t>mdhar6</w:t>
      </w:r>
      <w:r w:rsidR="0055212B">
        <w:t xml:space="preserve"> mutant and wild</w:t>
      </w:r>
      <w:r w:rsidR="006228B5">
        <w:t>-</w:t>
      </w:r>
      <w:r w:rsidR="0055212B">
        <w:t xml:space="preserve">type seedlings germinated on </w:t>
      </w:r>
      <w:r w:rsidR="00084E0A">
        <w:t xml:space="preserve">0 or </w:t>
      </w:r>
      <w:r w:rsidR="0055212B">
        <w:t xml:space="preserve">7 </w:t>
      </w:r>
      <w:proofErr w:type="spellStart"/>
      <w:r w:rsidR="0055212B">
        <w:t>μM</w:t>
      </w:r>
      <w:proofErr w:type="spellEnd"/>
      <w:r w:rsidR="0055212B">
        <w:t xml:space="preserve"> TNT ½ MS agar.  </w:t>
      </w:r>
      <w:r>
        <w:t>(</w:t>
      </w:r>
      <w:r w:rsidR="00F716A2">
        <w:rPr>
          <w:b/>
        </w:rPr>
        <w:t>B</w:t>
      </w:r>
      <w:r w:rsidRPr="002A5E25">
        <w:t>)</w:t>
      </w:r>
      <w:r w:rsidR="0055212B">
        <w:t xml:space="preserve"> Appearance of six-week old </w:t>
      </w:r>
      <w:r w:rsidR="0055212B" w:rsidRPr="00F716A2">
        <w:rPr>
          <w:i/>
        </w:rPr>
        <w:t>mdhar6</w:t>
      </w:r>
      <w:r w:rsidR="0055212B">
        <w:t xml:space="preserve"> plants (right) adjacent to </w:t>
      </w:r>
      <w:r w:rsidR="006228B5">
        <w:t>wild-</w:t>
      </w:r>
      <w:r w:rsidR="0055212B">
        <w:t xml:space="preserve">type backgrounds (left), which were transferred to TNT-treated or </w:t>
      </w:r>
      <w:r w:rsidR="00F70122">
        <w:t>un</w:t>
      </w:r>
      <w:r w:rsidR="0055212B">
        <w:t xml:space="preserve">treated soil at 5 d of age. </w:t>
      </w:r>
    </w:p>
    <w:p w:rsidR="0055212B" w:rsidRDefault="0055212B" w:rsidP="0055212B">
      <w:pPr>
        <w:pStyle w:val="Legend"/>
      </w:pPr>
    </w:p>
    <w:p w:rsidR="00F716A2" w:rsidRDefault="00F716A2">
      <w:pPr>
        <w:rPr>
          <w:rFonts w:eastAsia="Times New Roman"/>
          <w:kern w:val="28"/>
          <w:sz w:val="24"/>
          <w:szCs w:val="24"/>
        </w:rPr>
      </w:pPr>
    </w:p>
    <w:p w:rsidR="000E1716" w:rsidRDefault="000E1716" w:rsidP="000E1716">
      <w:pPr>
        <w:pStyle w:val="Legend"/>
        <w:jc w:val="both"/>
      </w:pPr>
    </w:p>
    <w:p w:rsidR="000E1716" w:rsidRDefault="00747119" w:rsidP="000E1716">
      <w:pPr>
        <w:pStyle w:val="Legend"/>
        <w:jc w:val="center"/>
      </w:pPr>
      <w:r>
        <w:rPr>
          <w:noProof/>
          <w:lang w:val="en-GB" w:eastAsia="en-GB"/>
        </w:rPr>
        <w:drawing>
          <wp:inline distT="0" distB="0" distL="0" distR="0">
            <wp:extent cx="2076740" cy="261974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png"/>
                    <pic:cNvPicPr/>
                  </pic:nvPicPr>
                  <pic:blipFill>
                    <a:blip r:embed="rId13">
                      <a:extLst>
                        <a:ext uri="{28A0092B-C50C-407E-A947-70E740481C1C}">
                          <a14:useLocalDpi xmlns:a14="http://schemas.microsoft.com/office/drawing/2010/main" val="0"/>
                        </a:ext>
                      </a:extLst>
                    </a:blip>
                    <a:stretch>
                      <a:fillRect/>
                    </a:stretch>
                  </pic:blipFill>
                  <pic:spPr>
                    <a:xfrm>
                      <a:off x="0" y="0"/>
                      <a:ext cx="2076740" cy="2619741"/>
                    </a:xfrm>
                    <a:prstGeom prst="rect">
                      <a:avLst/>
                    </a:prstGeom>
                  </pic:spPr>
                </pic:pic>
              </a:graphicData>
            </a:graphic>
          </wp:inline>
        </w:drawing>
      </w:r>
    </w:p>
    <w:p w:rsidR="000E1716" w:rsidRPr="003743C4" w:rsidRDefault="000E1716" w:rsidP="000E1716">
      <w:pPr>
        <w:pStyle w:val="Legend"/>
        <w:jc w:val="both"/>
      </w:pPr>
      <w:proofErr w:type="gramStart"/>
      <w:r w:rsidRPr="003743C4">
        <w:rPr>
          <w:b/>
        </w:rPr>
        <w:t>Fig. 2</w:t>
      </w:r>
      <w:r w:rsidRPr="003743C4">
        <w:t>.</w:t>
      </w:r>
      <w:proofErr w:type="gramEnd"/>
      <w:r w:rsidRPr="003743C4">
        <w:t xml:space="preserve"> </w:t>
      </w:r>
      <w:proofErr w:type="gramStart"/>
      <w:r w:rsidRPr="003743C4">
        <w:t xml:space="preserve">Complementation of </w:t>
      </w:r>
      <w:r w:rsidRPr="003743C4">
        <w:rPr>
          <w:i/>
        </w:rPr>
        <w:t>mdhar6-1</w:t>
      </w:r>
      <w:r w:rsidRPr="003743C4">
        <w:t xml:space="preserve"> by constitutively-expressed plastidial (</w:t>
      </w:r>
      <w:r w:rsidRPr="003743C4">
        <w:rPr>
          <w:i/>
        </w:rPr>
        <w:t>plastid-MDHAR6</w:t>
      </w:r>
      <w:r w:rsidRPr="003743C4">
        <w:t>) and mitochondrial (</w:t>
      </w:r>
      <w:r w:rsidRPr="003743C4">
        <w:rPr>
          <w:i/>
        </w:rPr>
        <w:t>mito-MDHAR6</w:t>
      </w:r>
      <w:r w:rsidRPr="003743C4">
        <w:t>) transcripts.</w:t>
      </w:r>
      <w:proofErr w:type="gramEnd"/>
    </w:p>
    <w:p w:rsidR="000E1716" w:rsidRPr="003743C4" w:rsidRDefault="000E1716" w:rsidP="000E1716">
      <w:pPr>
        <w:pStyle w:val="Legend"/>
        <w:jc w:val="both"/>
      </w:pPr>
      <w:r w:rsidRPr="003743C4">
        <w:t>(</w:t>
      </w:r>
      <w:r w:rsidRPr="003743C4">
        <w:rPr>
          <w:b/>
        </w:rPr>
        <w:t>A</w:t>
      </w:r>
      <w:r w:rsidRPr="003743C4">
        <w:t>)</w:t>
      </w:r>
      <w:r w:rsidR="00F70122" w:rsidRPr="003743C4">
        <w:t xml:space="preserve"> R</w:t>
      </w:r>
      <w:r w:rsidRPr="003743C4">
        <w:t xml:space="preserve">oot length of seedlings on solid agar with and without 7 µM TNT (n = 6 biological replicates ± </w:t>
      </w:r>
      <w:r w:rsidR="003743C4">
        <w:t>standard deviation (</w:t>
      </w:r>
      <w:proofErr w:type="spellStart"/>
      <w:r w:rsidRPr="003743C4">
        <w:t>s.</w:t>
      </w:r>
      <w:r w:rsidR="003743C4">
        <w:t>d</w:t>
      </w:r>
      <w:r w:rsidRPr="003743C4">
        <w:t>.</w:t>
      </w:r>
      <w:proofErr w:type="spellEnd"/>
      <w:r w:rsidR="003743C4">
        <w:t>)</w:t>
      </w:r>
      <w:r w:rsidRPr="003743C4">
        <w:t xml:space="preserve"> ** P &lt;0.01, *** P &lt;0.01</w:t>
      </w:r>
      <w:r w:rsidR="00FC2921">
        <w:t>,</w:t>
      </w:r>
      <w:r w:rsidR="00F70122" w:rsidRPr="003743C4">
        <w:t xml:space="preserve"> </w:t>
      </w:r>
      <w:r w:rsidRPr="003743C4">
        <w:t>Student’s t-test compared to Col7) and (</w:t>
      </w:r>
      <w:r w:rsidRPr="003743C4">
        <w:rPr>
          <w:b/>
        </w:rPr>
        <w:t>B</w:t>
      </w:r>
      <w:r w:rsidRPr="003743C4">
        <w:t xml:space="preserve">) rosette leaf MDHAR activity, with MDA as substrate (n = 5 biological replicates ± </w:t>
      </w:r>
      <w:proofErr w:type="spellStart"/>
      <w:r w:rsidRPr="003743C4">
        <w:t>s.</w:t>
      </w:r>
      <w:r w:rsidR="00675BFA" w:rsidRPr="003743C4">
        <w:t>d</w:t>
      </w:r>
      <w:r w:rsidRPr="003743C4">
        <w:t>.</w:t>
      </w:r>
      <w:proofErr w:type="spellEnd"/>
      <w:r w:rsidRPr="003743C4">
        <w:t>).</w:t>
      </w:r>
    </w:p>
    <w:p w:rsidR="00C57014" w:rsidRDefault="00C57014" w:rsidP="00E1542D">
      <w:pPr>
        <w:pStyle w:val="Legend"/>
        <w:rPr>
          <w:b/>
        </w:rPr>
      </w:pPr>
    </w:p>
    <w:p w:rsidR="00544033" w:rsidRDefault="00544033" w:rsidP="00E1542D">
      <w:pPr>
        <w:pStyle w:val="Legend"/>
        <w:rPr>
          <w:b/>
        </w:rPr>
      </w:pPr>
      <w:r>
        <w:rPr>
          <w:b/>
        </w:rPr>
        <w:t xml:space="preserve">                        </w:t>
      </w:r>
    </w:p>
    <w:p w:rsidR="00544033" w:rsidRDefault="005B17CF" w:rsidP="00F11A18">
      <w:pPr>
        <w:pStyle w:val="Legend"/>
        <w:jc w:val="center"/>
        <w:rPr>
          <w:b/>
        </w:rPr>
      </w:pPr>
      <w:r>
        <w:rPr>
          <w:b/>
          <w:noProof/>
          <w:lang w:val="en-GB" w:eastAsia="en-GB"/>
        </w:rPr>
        <w:lastRenderedPageBreak/>
        <w:drawing>
          <wp:inline distT="0" distB="0" distL="0" distR="0" wp14:anchorId="0103F55F" wp14:editId="0FE8FACE">
            <wp:extent cx="4153480" cy="45916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png"/>
                    <pic:cNvPicPr/>
                  </pic:nvPicPr>
                  <pic:blipFill>
                    <a:blip r:embed="rId14">
                      <a:extLst>
                        <a:ext uri="{28A0092B-C50C-407E-A947-70E740481C1C}">
                          <a14:useLocalDpi xmlns:a14="http://schemas.microsoft.com/office/drawing/2010/main" val="0"/>
                        </a:ext>
                      </a:extLst>
                    </a:blip>
                    <a:stretch>
                      <a:fillRect/>
                    </a:stretch>
                  </pic:blipFill>
                  <pic:spPr>
                    <a:xfrm>
                      <a:off x="0" y="0"/>
                      <a:ext cx="4153480" cy="4591691"/>
                    </a:xfrm>
                    <a:prstGeom prst="rect">
                      <a:avLst/>
                    </a:prstGeom>
                  </pic:spPr>
                </pic:pic>
              </a:graphicData>
            </a:graphic>
          </wp:inline>
        </w:drawing>
      </w:r>
    </w:p>
    <w:p w:rsidR="00F716A2" w:rsidRDefault="00F716A2" w:rsidP="00E1542D">
      <w:pPr>
        <w:pStyle w:val="Legend"/>
      </w:pPr>
      <w:proofErr w:type="gramStart"/>
      <w:r w:rsidRPr="007443BB">
        <w:rPr>
          <w:b/>
        </w:rPr>
        <w:t xml:space="preserve">Fig. </w:t>
      </w:r>
      <w:r w:rsidR="000E1716">
        <w:rPr>
          <w:b/>
        </w:rPr>
        <w:t>3</w:t>
      </w:r>
      <w:r>
        <w:t>.</w:t>
      </w:r>
      <w:proofErr w:type="gramEnd"/>
      <w:r>
        <w:t xml:space="preserve"> Purified MDHAR6 reduces TNT, forming a nitro-radical which subsequently generates superoxide.</w:t>
      </w:r>
    </w:p>
    <w:p w:rsidR="001F5C5F" w:rsidRPr="001F5C5F" w:rsidRDefault="001F5C5F" w:rsidP="001F5C5F">
      <w:pPr>
        <w:pStyle w:val="Legend"/>
        <w:rPr>
          <w:iCs/>
        </w:rPr>
      </w:pPr>
      <w:r w:rsidRPr="001F5C5F">
        <w:rPr>
          <w:iCs/>
        </w:rPr>
        <w:t>(</w:t>
      </w:r>
      <w:r w:rsidRPr="001F5C5F">
        <w:rPr>
          <w:b/>
          <w:iCs/>
        </w:rPr>
        <w:t>A</w:t>
      </w:r>
      <w:r w:rsidRPr="001F5C5F">
        <w:rPr>
          <w:iCs/>
        </w:rPr>
        <w:t xml:space="preserve">) Crude protein extract activity towards MDA and TNT, as a percentage of activity from wild-type tissue extract (n = 5 ± </w:t>
      </w:r>
      <w:proofErr w:type="spellStart"/>
      <w:r w:rsidRPr="001F5C5F">
        <w:rPr>
          <w:iCs/>
        </w:rPr>
        <w:t>s.</w:t>
      </w:r>
      <w:r w:rsidR="00675BFA">
        <w:rPr>
          <w:iCs/>
        </w:rPr>
        <w:t>d</w:t>
      </w:r>
      <w:r w:rsidRPr="001F5C5F">
        <w:rPr>
          <w:iCs/>
        </w:rPr>
        <w:t>.</w:t>
      </w:r>
      <w:proofErr w:type="spellEnd"/>
      <w:r w:rsidRPr="001F5C5F">
        <w:rPr>
          <w:iCs/>
        </w:rPr>
        <w:t xml:space="preserve">, </w:t>
      </w:r>
      <w:r w:rsidR="00FC2921" w:rsidRPr="00CB5AEA">
        <w:t>Student’s</w:t>
      </w:r>
      <w:r w:rsidR="00FC2921" w:rsidRPr="001F5C5F">
        <w:rPr>
          <w:iCs/>
        </w:rPr>
        <w:t xml:space="preserve"> </w:t>
      </w:r>
      <w:r w:rsidR="00D926CA">
        <w:t xml:space="preserve">t- test between </w:t>
      </w:r>
      <w:r w:rsidR="00D926CA">
        <w:rPr>
          <w:i/>
        </w:rPr>
        <w:t xml:space="preserve">mdhar6 </w:t>
      </w:r>
      <w:r w:rsidR="00D926CA">
        <w:t>and corresponding ecotype background</w:t>
      </w:r>
      <w:r w:rsidRPr="001F5C5F">
        <w:rPr>
          <w:iCs/>
        </w:rPr>
        <w:t>, * P&lt;0.05, ** P&lt;0.01</w:t>
      </w:r>
      <w:r w:rsidR="004744AE" w:rsidRPr="004744AE">
        <w:t xml:space="preserve"> </w:t>
      </w:r>
      <w:r w:rsidR="004744AE" w:rsidRPr="00CB5AEA">
        <w:t xml:space="preserve">Student’s t-test compared to </w:t>
      </w:r>
      <w:r w:rsidR="004744AE">
        <w:t>wild-type</w:t>
      </w:r>
      <w:r w:rsidRPr="001F5C5F">
        <w:rPr>
          <w:iCs/>
        </w:rPr>
        <w:t xml:space="preserve">). </w:t>
      </w:r>
      <w:r w:rsidR="00695D8B">
        <w:rPr>
          <w:iCs/>
          <w:lang w:val="en-GB"/>
        </w:rPr>
        <w:t>(</w:t>
      </w:r>
      <w:r w:rsidR="00695D8B" w:rsidRPr="00747119">
        <w:rPr>
          <w:b/>
          <w:iCs/>
          <w:lang w:val="en-GB"/>
        </w:rPr>
        <w:t>B</w:t>
      </w:r>
      <w:r w:rsidR="00B67A67">
        <w:rPr>
          <w:b/>
          <w:iCs/>
          <w:lang w:val="en-GB"/>
        </w:rPr>
        <w:t xml:space="preserve"> </w:t>
      </w:r>
      <w:r w:rsidR="00695D8B" w:rsidRPr="00747119">
        <w:rPr>
          <w:b/>
          <w:iCs/>
          <w:lang w:val="en-GB"/>
        </w:rPr>
        <w:t>-</w:t>
      </w:r>
      <w:r w:rsidR="00B67A67">
        <w:rPr>
          <w:b/>
          <w:iCs/>
          <w:lang w:val="en-GB"/>
        </w:rPr>
        <w:t xml:space="preserve"> </w:t>
      </w:r>
      <w:r w:rsidR="00695D8B" w:rsidRPr="00747119">
        <w:rPr>
          <w:b/>
          <w:iCs/>
          <w:lang w:val="en-GB"/>
        </w:rPr>
        <w:t>D</w:t>
      </w:r>
      <w:r w:rsidR="00695D8B">
        <w:rPr>
          <w:iCs/>
          <w:lang w:val="en-GB"/>
        </w:rPr>
        <w:t xml:space="preserve">) Simulated and experimental EPR spectra of ROS adducts with spin traps. </w:t>
      </w:r>
      <w:r w:rsidRPr="001F5C5F">
        <w:rPr>
          <w:iCs/>
        </w:rPr>
        <w:t>(</w:t>
      </w:r>
      <w:r w:rsidRPr="001F5C5F">
        <w:rPr>
          <w:b/>
          <w:iCs/>
        </w:rPr>
        <w:t>B</w:t>
      </w:r>
      <w:r w:rsidRPr="001F5C5F">
        <w:rPr>
          <w:iCs/>
        </w:rPr>
        <w:t xml:space="preserve">) </w:t>
      </w:r>
      <w:r w:rsidR="004509F8">
        <w:t xml:space="preserve">Simulated EPR spectrum </w:t>
      </w:r>
      <w:r w:rsidR="004509F8">
        <w:rPr>
          <w:iCs/>
        </w:rPr>
        <w:t xml:space="preserve">of the </w:t>
      </w:r>
      <w:r w:rsidR="004509F8" w:rsidRPr="001F5C5F">
        <w:rPr>
          <w:iCs/>
        </w:rPr>
        <w:t>DMPO-superoxide adduct</w:t>
      </w:r>
      <w:r w:rsidR="004509F8">
        <w:t xml:space="preserve"> followed by experimental spectra observed </w:t>
      </w:r>
      <w:r w:rsidR="004509F8">
        <w:rPr>
          <w:iCs/>
        </w:rPr>
        <w:t>when</w:t>
      </w:r>
      <w:r w:rsidR="004509F8" w:rsidRPr="001F5C5F">
        <w:rPr>
          <w:iCs/>
        </w:rPr>
        <w:t xml:space="preserve"> MDHAR6 </w:t>
      </w:r>
      <w:r w:rsidR="004509F8">
        <w:rPr>
          <w:iCs/>
        </w:rPr>
        <w:t xml:space="preserve">reacts </w:t>
      </w:r>
      <w:r w:rsidR="004509F8" w:rsidRPr="001F5C5F">
        <w:rPr>
          <w:iCs/>
        </w:rPr>
        <w:t>with TNT</w:t>
      </w:r>
      <w:r w:rsidR="004509F8">
        <w:rPr>
          <w:iCs/>
        </w:rPr>
        <w:t xml:space="preserve"> in the presence of DMPO</w:t>
      </w:r>
      <w:r w:rsidR="004509F8" w:rsidRPr="001F5C5F">
        <w:rPr>
          <w:iCs/>
        </w:rPr>
        <w:t>, when superoxide dismutase (SOD) is included, when TNT is omitted, and when heat-denatured MDHAR6 is used</w:t>
      </w:r>
      <w:r w:rsidR="004509F8">
        <w:rPr>
          <w:iCs/>
        </w:rPr>
        <w:t>.</w:t>
      </w:r>
      <w:r w:rsidR="004509F8" w:rsidRPr="001F5C5F">
        <w:rPr>
          <w:iCs/>
        </w:rPr>
        <w:t xml:space="preserve"> (</w:t>
      </w:r>
      <w:r w:rsidR="004509F8" w:rsidRPr="001F5C5F">
        <w:rPr>
          <w:b/>
          <w:iCs/>
        </w:rPr>
        <w:t>C</w:t>
      </w:r>
      <w:r w:rsidR="004509F8" w:rsidRPr="00C1405E">
        <w:rPr>
          <w:iCs/>
        </w:rPr>
        <w:t>)</w:t>
      </w:r>
      <w:r w:rsidR="004509F8" w:rsidRPr="001F5C5F">
        <w:rPr>
          <w:b/>
          <w:iCs/>
        </w:rPr>
        <w:t xml:space="preserve"> </w:t>
      </w:r>
      <w:r w:rsidR="004509F8" w:rsidRPr="00C1405E">
        <w:rPr>
          <w:iCs/>
        </w:rPr>
        <w:t>S</w:t>
      </w:r>
      <w:r w:rsidR="004509F8">
        <w:rPr>
          <w:iCs/>
        </w:rPr>
        <w:t>imulated s</w:t>
      </w:r>
      <w:r w:rsidR="004509F8" w:rsidRPr="00C1405E">
        <w:rPr>
          <w:iCs/>
        </w:rPr>
        <w:t xml:space="preserve">pectrum </w:t>
      </w:r>
      <w:r w:rsidR="004509F8" w:rsidRPr="001F5C5F">
        <w:rPr>
          <w:iCs/>
        </w:rPr>
        <w:t>of the DMPO-superoxide degradation product DMPO-OH (</w:t>
      </w:r>
      <w:r w:rsidR="004509F8" w:rsidRPr="001F5C5F">
        <w:rPr>
          <w:i/>
          <w:iCs/>
        </w:rPr>
        <w:t>2</w:t>
      </w:r>
      <w:r w:rsidR="004509F8">
        <w:rPr>
          <w:i/>
          <w:iCs/>
        </w:rPr>
        <w:t>8</w:t>
      </w:r>
      <w:r w:rsidR="004509F8" w:rsidRPr="001F5C5F">
        <w:rPr>
          <w:iCs/>
        </w:rPr>
        <w:t xml:space="preserve">), followed by </w:t>
      </w:r>
      <w:r w:rsidR="004509F8">
        <w:rPr>
          <w:iCs/>
        </w:rPr>
        <w:t xml:space="preserve">experimental </w:t>
      </w:r>
      <w:r w:rsidR="004509F8" w:rsidRPr="001F5C5F">
        <w:rPr>
          <w:iCs/>
        </w:rPr>
        <w:t>spectrum observed when NADH in the assay is depleted. (</w:t>
      </w:r>
      <w:r w:rsidR="004509F8" w:rsidRPr="001F5C5F">
        <w:rPr>
          <w:b/>
          <w:iCs/>
        </w:rPr>
        <w:t>D</w:t>
      </w:r>
      <w:r w:rsidR="004509F8" w:rsidRPr="001F5C5F">
        <w:rPr>
          <w:iCs/>
        </w:rPr>
        <w:t xml:space="preserve">) </w:t>
      </w:r>
      <w:r w:rsidR="004509F8">
        <w:rPr>
          <w:iCs/>
        </w:rPr>
        <w:t>Simulated spectrum</w:t>
      </w:r>
      <w:r w:rsidR="004509F8" w:rsidRPr="001F5C5F">
        <w:rPr>
          <w:iCs/>
        </w:rPr>
        <w:t xml:space="preserve"> of DEPMPO-superoxide</w:t>
      </w:r>
      <w:r w:rsidR="004509F8">
        <w:rPr>
          <w:iCs/>
        </w:rPr>
        <w:t xml:space="preserve"> adduct</w:t>
      </w:r>
      <w:r w:rsidR="004509F8" w:rsidRPr="001F5C5F">
        <w:rPr>
          <w:iCs/>
        </w:rPr>
        <w:t xml:space="preserve">, </w:t>
      </w:r>
      <w:r w:rsidR="004509F8">
        <w:rPr>
          <w:iCs/>
        </w:rPr>
        <w:t xml:space="preserve">followed by experimental </w:t>
      </w:r>
      <w:r w:rsidR="004509F8" w:rsidRPr="001F5C5F">
        <w:rPr>
          <w:iCs/>
        </w:rPr>
        <w:t xml:space="preserve">spectrum observed </w:t>
      </w:r>
      <w:r w:rsidR="004509F8">
        <w:rPr>
          <w:iCs/>
        </w:rPr>
        <w:t>when</w:t>
      </w:r>
      <w:r w:rsidR="004509F8" w:rsidRPr="001F5C5F">
        <w:rPr>
          <w:iCs/>
        </w:rPr>
        <w:t xml:space="preserve"> MDHAR6 </w:t>
      </w:r>
      <w:r w:rsidR="004509F8">
        <w:rPr>
          <w:iCs/>
        </w:rPr>
        <w:t xml:space="preserve">reacts </w:t>
      </w:r>
      <w:r w:rsidR="004509F8" w:rsidRPr="001F5C5F">
        <w:rPr>
          <w:iCs/>
        </w:rPr>
        <w:t>with TNT</w:t>
      </w:r>
      <w:r w:rsidR="004509F8">
        <w:rPr>
          <w:iCs/>
        </w:rPr>
        <w:t xml:space="preserve"> in the presence of DEPMPO</w:t>
      </w:r>
      <w:r w:rsidR="004509F8" w:rsidRPr="001F5C5F">
        <w:rPr>
          <w:iCs/>
        </w:rPr>
        <w:t>.</w:t>
      </w:r>
      <w:r w:rsidR="004509F8" w:rsidDel="004509F8">
        <w:rPr>
          <w:iCs/>
        </w:rPr>
        <w:t xml:space="preserve"> </w:t>
      </w:r>
      <w:r w:rsidRPr="001F5C5F">
        <w:rPr>
          <w:iCs/>
        </w:rPr>
        <w:t>(</w:t>
      </w:r>
      <w:r w:rsidRPr="001F5C5F">
        <w:rPr>
          <w:b/>
          <w:iCs/>
        </w:rPr>
        <w:t>E</w:t>
      </w:r>
      <w:r w:rsidRPr="001F5C5F">
        <w:rPr>
          <w:iCs/>
        </w:rPr>
        <w:t xml:space="preserve">) </w:t>
      </w:r>
      <w:r w:rsidR="009A6C50">
        <w:rPr>
          <w:iCs/>
        </w:rPr>
        <w:t>S</w:t>
      </w:r>
      <w:r w:rsidRPr="001F5C5F">
        <w:rPr>
          <w:iCs/>
        </w:rPr>
        <w:t>even</w:t>
      </w:r>
      <w:r w:rsidR="009A6C50">
        <w:rPr>
          <w:iCs/>
        </w:rPr>
        <w:t>-</w:t>
      </w:r>
      <w:r w:rsidRPr="001F5C5F">
        <w:rPr>
          <w:iCs/>
        </w:rPr>
        <w:t xml:space="preserve">day old seedlings grown on agar plates in the presence or absence of </w:t>
      </w:r>
      <w:r w:rsidR="009A6C50">
        <w:rPr>
          <w:iCs/>
        </w:rPr>
        <w:t>15</w:t>
      </w:r>
      <w:r w:rsidRPr="001F5C5F">
        <w:rPr>
          <w:iCs/>
        </w:rPr>
        <w:t xml:space="preserve"> µM TNT</w:t>
      </w:r>
      <w:r w:rsidR="009A6C50">
        <w:rPr>
          <w:iCs/>
        </w:rPr>
        <w:t>,</w:t>
      </w:r>
      <w:r w:rsidRPr="001F5C5F">
        <w:rPr>
          <w:iCs/>
        </w:rPr>
        <w:t xml:space="preserve"> stained with 3</w:t>
      </w:r>
      <w:proofErr w:type="gramStart"/>
      <w:r w:rsidRPr="001F5C5F">
        <w:rPr>
          <w:iCs/>
        </w:rPr>
        <w:t>,3’diaminobenz</w:t>
      </w:r>
      <w:r w:rsidR="00F14772">
        <w:rPr>
          <w:iCs/>
        </w:rPr>
        <w:t>id</w:t>
      </w:r>
      <w:r w:rsidR="00397A0A">
        <w:rPr>
          <w:iCs/>
        </w:rPr>
        <w:t>i</w:t>
      </w:r>
      <w:r w:rsidRPr="001F5C5F">
        <w:rPr>
          <w:iCs/>
        </w:rPr>
        <w:t>ne</w:t>
      </w:r>
      <w:proofErr w:type="gramEnd"/>
      <w:r w:rsidRPr="001F5C5F">
        <w:rPr>
          <w:iCs/>
        </w:rPr>
        <w:t>.</w:t>
      </w:r>
    </w:p>
    <w:p w:rsidR="000B51F7" w:rsidRDefault="000B51F7" w:rsidP="0055212B">
      <w:pPr>
        <w:pStyle w:val="Legend"/>
      </w:pPr>
    </w:p>
    <w:p w:rsidR="00E861B4" w:rsidRDefault="00E861B4">
      <w:pPr>
        <w:rPr>
          <w:rFonts w:eastAsia="Times New Roman"/>
          <w:kern w:val="28"/>
          <w:sz w:val="24"/>
          <w:szCs w:val="24"/>
        </w:rPr>
      </w:pPr>
      <w:r>
        <w:br w:type="page"/>
      </w:r>
    </w:p>
    <w:p w:rsidR="00E861B4" w:rsidRDefault="00E861B4" w:rsidP="00F11A18">
      <w:pPr>
        <w:pStyle w:val="Legend"/>
        <w:jc w:val="center"/>
        <w:rPr>
          <w:b/>
        </w:rPr>
      </w:pPr>
    </w:p>
    <w:p w:rsidR="00A7235E" w:rsidRDefault="00A7235E" w:rsidP="00A7235E">
      <w:pPr>
        <w:pStyle w:val="Legend"/>
        <w:jc w:val="center"/>
        <w:rPr>
          <w:b/>
        </w:rPr>
      </w:pPr>
      <w:r>
        <w:rPr>
          <w:b/>
          <w:noProof/>
          <w:lang w:val="en-GB" w:eastAsia="en-GB"/>
        </w:rPr>
        <w:drawing>
          <wp:inline distT="0" distB="0" distL="0" distR="0">
            <wp:extent cx="3124636" cy="16290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png"/>
                    <pic:cNvPicPr/>
                  </pic:nvPicPr>
                  <pic:blipFill>
                    <a:blip r:embed="rId15">
                      <a:extLst>
                        <a:ext uri="{28A0092B-C50C-407E-A947-70E740481C1C}">
                          <a14:useLocalDpi xmlns:a14="http://schemas.microsoft.com/office/drawing/2010/main" val="0"/>
                        </a:ext>
                      </a:extLst>
                    </a:blip>
                    <a:stretch>
                      <a:fillRect/>
                    </a:stretch>
                  </pic:blipFill>
                  <pic:spPr>
                    <a:xfrm>
                      <a:off x="0" y="0"/>
                      <a:ext cx="3124636" cy="1629002"/>
                    </a:xfrm>
                    <a:prstGeom prst="rect">
                      <a:avLst/>
                    </a:prstGeom>
                  </pic:spPr>
                </pic:pic>
              </a:graphicData>
            </a:graphic>
          </wp:inline>
        </w:drawing>
      </w:r>
    </w:p>
    <w:p w:rsidR="00E861B4" w:rsidRDefault="00E861B4" w:rsidP="00E861B4">
      <w:pPr>
        <w:pStyle w:val="Legend"/>
      </w:pPr>
      <w:proofErr w:type="gramStart"/>
      <w:r>
        <w:rPr>
          <w:b/>
        </w:rPr>
        <w:t xml:space="preserve">Fig. </w:t>
      </w:r>
      <w:r w:rsidR="00C80CDC">
        <w:rPr>
          <w:b/>
        </w:rPr>
        <w:t>4</w:t>
      </w:r>
      <w:r>
        <w:rPr>
          <w:b/>
        </w:rPr>
        <w:t>.</w:t>
      </w:r>
      <w:proofErr w:type="gramEnd"/>
      <w:r>
        <w:t xml:space="preserve"> A schematic drawing of the catalytic activity of mitochondrial MDHAR6 towards TNT.</w:t>
      </w:r>
      <w:r w:rsidRPr="002A5E25">
        <w:t xml:space="preserve"> </w:t>
      </w:r>
    </w:p>
    <w:p w:rsidR="00C26582" w:rsidRDefault="00370239" w:rsidP="002838AB">
      <w:pPr>
        <w:pStyle w:val="Legend"/>
        <w:jc w:val="center"/>
        <w:rPr>
          <w:b/>
        </w:rPr>
      </w:pPr>
      <w:r>
        <w:br w:type="page"/>
      </w:r>
      <w:r w:rsidR="002838AB">
        <w:rPr>
          <w:b/>
          <w:noProof/>
          <w:lang w:val="en-GB" w:eastAsia="en-GB"/>
        </w:rPr>
        <w:lastRenderedPageBreak/>
        <w:drawing>
          <wp:inline distT="0" distB="0" distL="0" distR="0">
            <wp:extent cx="4163006" cy="25530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5.png"/>
                    <pic:cNvPicPr/>
                  </pic:nvPicPr>
                  <pic:blipFill>
                    <a:blip r:embed="rId16">
                      <a:extLst>
                        <a:ext uri="{28A0092B-C50C-407E-A947-70E740481C1C}">
                          <a14:useLocalDpi xmlns:a14="http://schemas.microsoft.com/office/drawing/2010/main" val="0"/>
                        </a:ext>
                      </a:extLst>
                    </a:blip>
                    <a:stretch>
                      <a:fillRect/>
                    </a:stretch>
                  </pic:blipFill>
                  <pic:spPr>
                    <a:xfrm>
                      <a:off x="0" y="0"/>
                      <a:ext cx="4163006" cy="2553056"/>
                    </a:xfrm>
                    <a:prstGeom prst="rect">
                      <a:avLst/>
                    </a:prstGeom>
                  </pic:spPr>
                </pic:pic>
              </a:graphicData>
            </a:graphic>
          </wp:inline>
        </w:drawing>
      </w:r>
    </w:p>
    <w:p w:rsidR="00747119" w:rsidRDefault="00747119" w:rsidP="00747119">
      <w:pPr>
        <w:pStyle w:val="Legend"/>
        <w:rPr>
          <w:b/>
        </w:rPr>
      </w:pPr>
    </w:p>
    <w:p w:rsidR="00747119" w:rsidRDefault="00E861B4" w:rsidP="00747119">
      <w:pPr>
        <w:pStyle w:val="Legend"/>
      </w:pPr>
      <w:proofErr w:type="gramStart"/>
      <w:r>
        <w:rPr>
          <w:b/>
        </w:rPr>
        <w:t xml:space="preserve">Fig. </w:t>
      </w:r>
      <w:r w:rsidR="00C80CDC">
        <w:rPr>
          <w:b/>
        </w:rPr>
        <w:t>5</w:t>
      </w:r>
      <w:r w:rsidR="00747119">
        <w:rPr>
          <w:b/>
        </w:rPr>
        <w:t>.</w:t>
      </w:r>
      <w:proofErr w:type="gramEnd"/>
      <w:r w:rsidR="00747119">
        <w:t xml:space="preserve"> </w:t>
      </w:r>
      <w:proofErr w:type="gramStart"/>
      <w:r w:rsidR="00747119">
        <w:t>Enzymatic activity of MDHAR6.</w:t>
      </w:r>
      <w:proofErr w:type="gramEnd"/>
    </w:p>
    <w:p w:rsidR="002838AB" w:rsidRDefault="002838AB" w:rsidP="002838AB">
      <w:pPr>
        <w:pStyle w:val="Legend"/>
        <w:jc w:val="both"/>
      </w:pPr>
      <w:r w:rsidRPr="002A5E25">
        <w:t>(</w:t>
      </w:r>
      <w:r>
        <w:rPr>
          <w:b/>
        </w:rPr>
        <w:t>A</w:t>
      </w:r>
      <w:r w:rsidRPr="002A5E25">
        <w:t>)</w:t>
      </w:r>
      <w:r>
        <w:t xml:space="preserve"> Structures of substrates tested against purified MDHAR6. (</w:t>
      </w:r>
      <w:r>
        <w:rPr>
          <w:b/>
        </w:rPr>
        <w:t>B</w:t>
      </w:r>
      <w:r w:rsidRPr="002A5E25">
        <w:t>)</w:t>
      </w:r>
      <w:r>
        <w:t xml:space="preserve"> Kinetics of MDHAR6 activity with substrates, as measured by rates of NADH depletion. (</w:t>
      </w:r>
      <w:proofErr w:type="spellStart"/>
      <w:r>
        <w:t>n.d.</w:t>
      </w:r>
      <w:proofErr w:type="spellEnd"/>
      <w:r>
        <w:t xml:space="preserve">; not detected, n = 3 technical replicates ± </w:t>
      </w:r>
      <w:proofErr w:type="spellStart"/>
      <w:r>
        <w:t>s.d.</w:t>
      </w:r>
      <w:proofErr w:type="spellEnd"/>
      <w:r>
        <w:t>). (</w:t>
      </w:r>
      <w:r>
        <w:rPr>
          <w:b/>
        </w:rPr>
        <w:t>C</w:t>
      </w:r>
      <w:r w:rsidRPr="002A5E25">
        <w:t>)</w:t>
      </w:r>
      <w:r w:rsidRPr="000C426B">
        <w:t xml:space="preserve"> </w:t>
      </w:r>
      <w:r>
        <w:t xml:space="preserve">Root lengths of seven-day old Col7 and </w:t>
      </w:r>
      <w:r w:rsidRPr="002A5E25">
        <w:rPr>
          <w:i/>
        </w:rPr>
        <w:t>mdhar6-1</w:t>
      </w:r>
      <w:r>
        <w:t xml:space="preserve"> seedlings germinated on agar containing increasing concentrations of CDNB or CNB (n = 30 </w:t>
      </w:r>
      <w:r w:rsidRPr="009C0CBF">
        <w:t>biological replicates</w:t>
      </w:r>
      <w:r>
        <w:t xml:space="preserve"> </w:t>
      </w:r>
      <w:r>
        <w:rPr>
          <w:rFonts w:ascii="Calibri" w:hAnsi="Calibri"/>
        </w:rPr>
        <w:t>±</w:t>
      </w:r>
      <w:r>
        <w:t xml:space="preserve"> </w:t>
      </w:r>
      <w:proofErr w:type="spellStart"/>
      <w:r>
        <w:t>s.d.</w:t>
      </w:r>
      <w:proofErr w:type="spellEnd"/>
      <w:r>
        <w:t xml:space="preserve">, </w:t>
      </w:r>
      <w:r w:rsidRPr="009C0CBF">
        <w:t xml:space="preserve"> </w:t>
      </w:r>
      <w:r w:rsidRPr="00CB5AEA">
        <w:t xml:space="preserve">Student’s t-test compared to </w:t>
      </w:r>
      <w:r>
        <w:t xml:space="preserve">Col7 in same treatment, *** P&lt;0.001). </w:t>
      </w:r>
    </w:p>
    <w:p w:rsidR="006B2314" w:rsidRPr="003B01FE" w:rsidRDefault="00C26582" w:rsidP="003B01FE">
      <w:pPr>
        <w:rPr>
          <w:rFonts w:eastAsia="Times New Roman"/>
          <w:kern w:val="28"/>
          <w:sz w:val="24"/>
          <w:szCs w:val="24"/>
        </w:rPr>
      </w:pPr>
      <w:r>
        <w:br w:type="page"/>
      </w:r>
    </w:p>
    <w:p w:rsidR="006B2314" w:rsidRPr="006B2314" w:rsidRDefault="006B2314" w:rsidP="003B01FE">
      <w:pPr>
        <w:pStyle w:val="Acknowledgement"/>
        <w:ind w:left="0" w:firstLine="0"/>
        <w:rPr>
          <w:b/>
        </w:rPr>
      </w:pPr>
      <w:r>
        <w:rPr>
          <w:b/>
        </w:rPr>
        <w:lastRenderedPageBreak/>
        <w:t>References only in supplementary material</w:t>
      </w:r>
    </w:p>
    <w:p w:rsidR="00AF72A9" w:rsidRPr="005626EA" w:rsidRDefault="008751CB" w:rsidP="006B2314">
      <w:pPr>
        <w:pStyle w:val="Acknowledgement"/>
        <w:ind w:left="426" w:hanging="426"/>
      </w:pPr>
      <w:r>
        <w:t>29</w:t>
      </w:r>
      <w:r w:rsidR="006B2314">
        <w:t>.</w:t>
      </w:r>
      <w:r w:rsidR="006B2314">
        <w:tab/>
      </w:r>
      <w:r w:rsidR="00AF72A9">
        <w:t xml:space="preserve">T. Ito </w:t>
      </w:r>
      <w:r w:rsidR="00AF72A9">
        <w:rPr>
          <w:i/>
        </w:rPr>
        <w:t>et al.</w:t>
      </w:r>
      <w:r w:rsidR="00AF72A9">
        <w:t>,</w:t>
      </w:r>
      <w:r w:rsidR="00AF72A9">
        <w:rPr>
          <w:i/>
        </w:rPr>
        <w:t xml:space="preserve"> </w:t>
      </w:r>
      <w:r w:rsidR="00AF72A9">
        <w:t xml:space="preserve">A resource of 5,814 </w:t>
      </w:r>
      <w:r w:rsidR="00AF72A9">
        <w:rPr>
          <w:i/>
        </w:rPr>
        <w:t xml:space="preserve">Dissociation </w:t>
      </w:r>
      <w:r w:rsidR="00AF72A9">
        <w:t xml:space="preserve">transposon-tagged and sequence-indexed lines of </w:t>
      </w:r>
      <w:r w:rsidR="00AF72A9">
        <w:rPr>
          <w:i/>
        </w:rPr>
        <w:t xml:space="preserve">Arabidopsis </w:t>
      </w:r>
      <w:r w:rsidR="00AF72A9">
        <w:t xml:space="preserve">transposed from start loci on chromosome 5. </w:t>
      </w:r>
      <w:proofErr w:type="gramStart"/>
      <w:r w:rsidR="00AF72A9">
        <w:rPr>
          <w:i/>
        </w:rPr>
        <w:t xml:space="preserve">Plant Cell Physiol. </w:t>
      </w:r>
      <w:r w:rsidR="00AF72A9">
        <w:rPr>
          <w:b/>
        </w:rPr>
        <w:t>46</w:t>
      </w:r>
      <w:r w:rsidR="00AF72A9">
        <w:t>, 1149-1153 (2005).</w:t>
      </w:r>
      <w:proofErr w:type="gramEnd"/>
    </w:p>
    <w:p w:rsidR="00AF72A9" w:rsidRPr="005626EA" w:rsidRDefault="008751CB" w:rsidP="006B2314">
      <w:pPr>
        <w:pStyle w:val="Acknowledgement"/>
        <w:ind w:left="426" w:hanging="426"/>
      </w:pPr>
      <w:r>
        <w:t>30</w:t>
      </w:r>
      <w:r w:rsidR="006B2314">
        <w:t>.</w:t>
      </w:r>
      <w:r w:rsidR="006B2314">
        <w:tab/>
      </w:r>
      <w:r w:rsidR="00AF72A9">
        <w:t xml:space="preserve">N. </w:t>
      </w:r>
      <w:proofErr w:type="spellStart"/>
      <w:r w:rsidR="00AF72A9">
        <w:t>Kleinboelting</w:t>
      </w:r>
      <w:proofErr w:type="spellEnd"/>
      <w:r w:rsidR="00AF72A9">
        <w:t xml:space="preserve">, G. </w:t>
      </w:r>
      <w:proofErr w:type="spellStart"/>
      <w:r w:rsidR="00AF72A9">
        <w:t>Huep</w:t>
      </w:r>
      <w:proofErr w:type="spellEnd"/>
      <w:r w:rsidR="00AF72A9">
        <w:t xml:space="preserve">, A. </w:t>
      </w:r>
      <w:proofErr w:type="spellStart"/>
      <w:r w:rsidR="00AF72A9">
        <w:t>Kloetgen</w:t>
      </w:r>
      <w:proofErr w:type="spellEnd"/>
      <w:r w:rsidR="00AF72A9">
        <w:t xml:space="preserve">, P. </w:t>
      </w:r>
      <w:proofErr w:type="spellStart"/>
      <w:r w:rsidR="00AF72A9">
        <w:t>Viehoever</w:t>
      </w:r>
      <w:proofErr w:type="spellEnd"/>
      <w:r w:rsidR="00AF72A9">
        <w:t xml:space="preserve">, B. </w:t>
      </w:r>
      <w:proofErr w:type="spellStart"/>
      <w:r w:rsidR="00AF72A9">
        <w:t>Weisshaar</w:t>
      </w:r>
      <w:proofErr w:type="spellEnd"/>
      <w:r w:rsidR="00AF72A9">
        <w:t xml:space="preserve">, GABI-Kat </w:t>
      </w:r>
      <w:proofErr w:type="spellStart"/>
      <w:r w:rsidR="00AF72A9">
        <w:t>SimpleSearch</w:t>
      </w:r>
      <w:proofErr w:type="spellEnd"/>
      <w:r w:rsidR="00AF72A9">
        <w:t xml:space="preserve">: new features of the </w:t>
      </w:r>
      <w:r w:rsidR="00AF72A9">
        <w:rPr>
          <w:i/>
        </w:rPr>
        <w:t xml:space="preserve">Arabidopsis thaliana </w:t>
      </w:r>
      <w:r w:rsidR="00AF72A9">
        <w:t xml:space="preserve">T-DNA mutant dataset. </w:t>
      </w:r>
      <w:r w:rsidR="00AF72A9">
        <w:rPr>
          <w:i/>
        </w:rPr>
        <w:t>Nucleic Acids Res.</w:t>
      </w:r>
      <w:r w:rsidR="00AF72A9">
        <w:t xml:space="preserve"> </w:t>
      </w:r>
      <w:r w:rsidR="00AF72A9">
        <w:rPr>
          <w:b/>
        </w:rPr>
        <w:t>40</w:t>
      </w:r>
      <w:r w:rsidR="00AF72A9">
        <w:t>, D1211-D1215 (2012).</w:t>
      </w:r>
    </w:p>
    <w:p w:rsidR="00AF72A9" w:rsidRDefault="008751CB" w:rsidP="006B2314">
      <w:pPr>
        <w:pStyle w:val="Acknowledgement"/>
        <w:ind w:left="426" w:hanging="426"/>
      </w:pPr>
      <w:r>
        <w:t>31</w:t>
      </w:r>
      <w:r w:rsidR="006B2314">
        <w:t>.</w:t>
      </w:r>
      <w:r w:rsidR="006B2314">
        <w:tab/>
      </w:r>
      <w:r w:rsidR="00AF72A9">
        <w:t xml:space="preserve">A. P. </w:t>
      </w:r>
      <w:proofErr w:type="spellStart"/>
      <w:r w:rsidR="00AF72A9">
        <w:t>Gleave</w:t>
      </w:r>
      <w:proofErr w:type="spellEnd"/>
      <w:r w:rsidR="00AF72A9">
        <w:t xml:space="preserve">, A versatile binary vector system with a T-DNA organizational structure conducive to efficient integration of cloned DNA into the plant genome. </w:t>
      </w:r>
      <w:r w:rsidR="00AF72A9">
        <w:rPr>
          <w:i/>
        </w:rPr>
        <w:t xml:space="preserve">Plant Mol. Biol. </w:t>
      </w:r>
      <w:r w:rsidR="00AF72A9">
        <w:rPr>
          <w:b/>
        </w:rPr>
        <w:t>20</w:t>
      </w:r>
      <w:r w:rsidR="00AF72A9">
        <w:t>, 1203-1207 (1992).</w:t>
      </w:r>
    </w:p>
    <w:p w:rsidR="00AF72A9" w:rsidRDefault="008751CB" w:rsidP="006B2314">
      <w:pPr>
        <w:pStyle w:val="Acknowledgement"/>
        <w:ind w:left="426" w:hanging="426"/>
      </w:pPr>
      <w:r>
        <w:t>32</w:t>
      </w:r>
      <w:r w:rsidR="006B2314">
        <w:t>.</w:t>
      </w:r>
      <w:r w:rsidR="006B2314">
        <w:tab/>
      </w:r>
      <w:r w:rsidR="00AF72A9">
        <w:t xml:space="preserve">S. J. Clough, A. F. Bent, Floral dip: a simplified method for Agrobacterium-mediated transformation of </w:t>
      </w:r>
      <w:r w:rsidR="00AF72A9" w:rsidRPr="004744AE">
        <w:rPr>
          <w:i/>
        </w:rPr>
        <w:t>Arabidopsis thaliana</w:t>
      </w:r>
      <w:r w:rsidR="00AF72A9">
        <w:t xml:space="preserve">. </w:t>
      </w:r>
      <w:r w:rsidR="00AF72A9">
        <w:rPr>
          <w:i/>
        </w:rPr>
        <w:t xml:space="preserve">Plant J. </w:t>
      </w:r>
      <w:r w:rsidR="00AF72A9">
        <w:rPr>
          <w:b/>
        </w:rPr>
        <w:t>16</w:t>
      </w:r>
      <w:r w:rsidR="00AF72A9">
        <w:t>, 735-743 (1998).</w:t>
      </w:r>
    </w:p>
    <w:p w:rsidR="00AF72A9" w:rsidRDefault="008751CB" w:rsidP="006B2314">
      <w:pPr>
        <w:pStyle w:val="Acknowledgement"/>
        <w:ind w:left="426" w:hanging="426"/>
      </w:pPr>
      <w:r>
        <w:t>33</w:t>
      </w:r>
      <w:r w:rsidR="006B2314">
        <w:t>.</w:t>
      </w:r>
      <w:r w:rsidR="006B2314">
        <w:tab/>
      </w:r>
      <w:r w:rsidR="00AF72A9">
        <w:t xml:space="preserve">C. A. Schneider, W. S. </w:t>
      </w:r>
      <w:proofErr w:type="spellStart"/>
      <w:r w:rsidR="00AF72A9">
        <w:t>Rasband</w:t>
      </w:r>
      <w:proofErr w:type="spellEnd"/>
      <w:r w:rsidR="00AF72A9">
        <w:t xml:space="preserve">, K. W. </w:t>
      </w:r>
      <w:proofErr w:type="spellStart"/>
      <w:r w:rsidR="00AF72A9">
        <w:t>Eliceiri</w:t>
      </w:r>
      <w:proofErr w:type="spellEnd"/>
      <w:r w:rsidR="00AF72A9">
        <w:t xml:space="preserve">, NIH Image to </w:t>
      </w:r>
      <w:proofErr w:type="spellStart"/>
      <w:r w:rsidR="00AF72A9">
        <w:t>ImageJ</w:t>
      </w:r>
      <w:proofErr w:type="spellEnd"/>
      <w:r w:rsidR="00AF72A9">
        <w:t xml:space="preserve">: 25 years of image analysis. </w:t>
      </w:r>
      <w:proofErr w:type="gramStart"/>
      <w:r w:rsidR="00D76E2C" w:rsidRPr="00747119">
        <w:rPr>
          <w:i/>
        </w:rPr>
        <w:t xml:space="preserve">Nat. </w:t>
      </w:r>
      <w:r w:rsidR="00AF72A9" w:rsidRPr="00747119">
        <w:rPr>
          <w:i/>
        </w:rPr>
        <w:t>Methods</w:t>
      </w:r>
      <w:r w:rsidR="00AF72A9">
        <w:rPr>
          <w:i/>
        </w:rPr>
        <w:t xml:space="preserve"> </w:t>
      </w:r>
      <w:r w:rsidR="00AF72A9">
        <w:rPr>
          <w:b/>
        </w:rPr>
        <w:t>9</w:t>
      </w:r>
      <w:r w:rsidR="00AF72A9">
        <w:t>, 671-675 (2012).</w:t>
      </w:r>
      <w:proofErr w:type="gramEnd"/>
    </w:p>
    <w:p w:rsidR="00AF72A9" w:rsidRDefault="008751CB" w:rsidP="006B2314">
      <w:pPr>
        <w:pStyle w:val="Acknowledgement"/>
        <w:ind w:left="426" w:hanging="426"/>
      </w:pPr>
      <w:r>
        <w:t>34</w:t>
      </w:r>
      <w:r w:rsidR="006B2314">
        <w:t>.</w:t>
      </w:r>
      <w:r w:rsidR="006B2314">
        <w:tab/>
      </w:r>
      <w:r w:rsidR="00AF72A9">
        <w:t xml:space="preserve">G. </w:t>
      </w:r>
      <w:proofErr w:type="spellStart"/>
      <w:r w:rsidR="00AF72A9">
        <w:t>Queval</w:t>
      </w:r>
      <w:proofErr w:type="spellEnd"/>
      <w:r w:rsidR="00AF72A9">
        <w:t xml:space="preserve">, G. </w:t>
      </w:r>
      <w:proofErr w:type="spellStart"/>
      <w:r w:rsidR="00AF72A9">
        <w:t>Noctor</w:t>
      </w:r>
      <w:proofErr w:type="spellEnd"/>
      <w:r w:rsidR="00AF72A9">
        <w:t xml:space="preserve">, A plate reader method for the measurement of NAD, NADP, glutathione, and ascorbate in tissue extracts: Application to redox profiling during Arabidopsis rosette development. </w:t>
      </w:r>
      <w:proofErr w:type="gramStart"/>
      <w:r w:rsidR="00AF72A9">
        <w:rPr>
          <w:i/>
        </w:rPr>
        <w:t>Anal.</w:t>
      </w:r>
      <w:proofErr w:type="gramEnd"/>
      <w:r w:rsidR="00AF72A9">
        <w:rPr>
          <w:i/>
        </w:rPr>
        <w:t xml:space="preserve"> </w:t>
      </w:r>
      <w:proofErr w:type="spellStart"/>
      <w:proofErr w:type="gramStart"/>
      <w:r w:rsidR="00AF72A9">
        <w:rPr>
          <w:i/>
        </w:rPr>
        <w:t>Biochem</w:t>
      </w:r>
      <w:proofErr w:type="spellEnd"/>
      <w:r w:rsidR="00AF72A9">
        <w:rPr>
          <w:i/>
        </w:rPr>
        <w:t>.</w:t>
      </w:r>
      <w:proofErr w:type="gramEnd"/>
      <w:r w:rsidR="00AF72A9">
        <w:rPr>
          <w:i/>
        </w:rPr>
        <w:t xml:space="preserve"> </w:t>
      </w:r>
      <w:proofErr w:type="gramStart"/>
      <w:r w:rsidR="00AF72A9">
        <w:rPr>
          <w:b/>
        </w:rPr>
        <w:t>363</w:t>
      </w:r>
      <w:r w:rsidR="00AF72A9">
        <w:t>, 58-69 (2007).</w:t>
      </w:r>
      <w:proofErr w:type="gramEnd"/>
    </w:p>
    <w:p w:rsidR="00AF72A9" w:rsidRDefault="008751CB" w:rsidP="006B2314">
      <w:pPr>
        <w:pStyle w:val="Acknowledgement"/>
        <w:ind w:left="426" w:hanging="426"/>
      </w:pPr>
      <w:r>
        <w:t>35</w:t>
      </w:r>
      <w:r w:rsidR="006B2314">
        <w:t>.</w:t>
      </w:r>
      <w:r w:rsidR="006B2314">
        <w:tab/>
      </w:r>
      <w:r w:rsidR="00AF72A9">
        <w:t xml:space="preserve">K. </w:t>
      </w:r>
      <w:proofErr w:type="spellStart"/>
      <w:r w:rsidR="00AF72A9">
        <w:t>Kampfenkel</w:t>
      </w:r>
      <w:proofErr w:type="spellEnd"/>
      <w:r w:rsidR="00AF72A9">
        <w:t xml:space="preserve">, M. van Montagu, D. </w:t>
      </w:r>
      <w:proofErr w:type="spellStart"/>
      <w:r w:rsidR="00AF72A9">
        <w:t>Inze</w:t>
      </w:r>
      <w:proofErr w:type="spellEnd"/>
      <w:r w:rsidR="00AF72A9">
        <w:t xml:space="preserve">, Extraction and determination of </w:t>
      </w:r>
      <w:proofErr w:type="spellStart"/>
      <w:r w:rsidR="00AF72A9">
        <w:t>ascorbate</w:t>
      </w:r>
      <w:proofErr w:type="spellEnd"/>
      <w:r w:rsidR="00AF72A9">
        <w:t xml:space="preserve"> and </w:t>
      </w:r>
      <w:proofErr w:type="spellStart"/>
      <w:r w:rsidR="00AF72A9">
        <w:t>dehydroascorbate</w:t>
      </w:r>
      <w:proofErr w:type="spellEnd"/>
      <w:r w:rsidR="00AF72A9">
        <w:t xml:space="preserve"> from plant tissue. </w:t>
      </w:r>
      <w:proofErr w:type="gramStart"/>
      <w:r w:rsidR="00AF72A9">
        <w:rPr>
          <w:i/>
        </w:rPr>
        <w:t>Anal.</w:t>
      </w:r>
      <w:proofErr w:type="gramEnd"/>
      <w:r w:rsidR="00AF72A9">
        <w:rPr>
          <w:i/>
        </w:rPr>
        <w:t xml:space="preserve"> </w:t>
      </w:r>
      <w:proofErr w:type="spellStart"/>
      <w:proofErr w:type="gramStart"/>
      <w:r w:rsidR="00AF72A9">
        <w:rPr>
          <w:i/>
        </w:rPr>
        <w:t>Biochem</w:t>
      </w:r>
      <w:proofErr w:type="spellEnd"/>
      <w:r w:rsidR="00AF72A9">
        <w:rPr>
          <w:i/>
        </w:rPr>
        <w:t>.</w:t>
      </w:r>
      <w:proofErr w:type="gramEnd"/>
      <w:r w:rsidR="00AF72A9">
        <w:rPr>
          <w:i/>
        </w:rPr>
        <w:t xml:space="preserve"> </w:t>
      </w:r>
      <w:proofErr w:type="gramStart"/>
      <w:r w:rsidR="00AF72A9">
        <w:rPr>
          <w:b/>
        </w:rPr>
        <w:t>225</w:t>
      </w:r>
      <w:r w:rsidR="00AF72A9">
        <w:t>, 165-167 (1995).</w:t>
      </w:r>
      <w:proofErr w:type="gramEnd"/>
    </w:p>
    <w:p w:rsidR="00AF72A9" w:rsidRDefault="008751CB" w:rsidP="006B2314">
      <w:pPr>
        <w:pStyle w:val="Acknowledgement"/>
        <w:ind w:left="426" w:hanging="426"/>
      </w:pPr>
      <w:proofErr w:type="gramStart"/>
      <w:r>
        <w:t>36</w:t>
      </w:r>
      <w:r w:rsidR="006B2314">
        <w:t>.</w:t>
      </w:r>
      <w:r w:rsidR="006B2314">
        <w:tab/>
      </w:r>
      <w:r w:rsidR="00AF72A9">
        <w:t xml:space="preserve">L. Colville, N. Smirnoff, Antioxidant status, peroxidase activity, and PR protein transcript levels in </w:t>
      </w:r>
      <w:proofErr w:type="spellStart"/>
      <w:r w:rsidR="00AF72A9">
        <w:t>ascorbate</w:t>
      </w:r>
      <w:proofErr w:type="spellEnd"/>
      <w:r w:rsidR="00AF72A9">
        <w:t xml:space="preserve">-deficient </w:t>
      </w:r>
      <w:r w:rsidR="00AF72A9" w:rsidRPr="00BD22CF">
        <w:rPr>
          <w:i/>
        </w:rPr>
        <w:t xml:space="preserve">Arabidopsis thaliana </w:t>
      </w:r>
      <w:proofErr w:type="spellStart"/>
      <w:r w:rsidR="00AF72A9" w:rsidRPr="00BD22CF">
        <w:rPr>
          <w:i/>
        </w:rPr>
        <w:t>vtc</w:t>
      </w:r>
      <w:proofErr w:type="spellEnd"/>
      <w:r w:rsidR="00AF72A9">
        <w:t xml:space="preserve"> mutants.</w:t>
      </w:r>
      <w:proofErr w:type="gramEnd"/>
      <w:r w:rsidR="00AF72A9">
        <w:t xml:space="preserve"> </w:t>
      </w:r>
      <w:proofErr w:type="gramStart"/>
      <w:r w:rsidR="00AF72A9">
        <w:rPr>
          <w:i/>
        </w:rPr>
        <w:t xml:space="preserve">J. Exp. Bot. </w:t>
      </w:r>
      <w:r w:rsidR="00AF72A9">
        <w:rPr>
          <w:b/>
        </w:rPr>
        <w:t>59</w:t>
      </w:r>
      <w:r w:rsidR="00AF72A9">
        <w:t>, 3857-3868 (2008).</w:t>
      </w:r>
      <w:proofErr w:type="gramEnd"/>
    </w:p>
    <w:p w:rsidR="00205717" w:rsidRPr="0021072B" w:rsidRDefault="008751CB" w:rsidP="006B2314">
      <w:pPr>
        <w:pStyle w:val="Acknowledgement"/>
        <w:ind w:left="426" w:hanging="426"/>
      </w:pPr>
      <w:r>
        <w:t>37</w:t>
      </w:r>
      <w:r w:rsidR="00205717">
        <w:t>.</w:t>
      </w:r>
      <w:r w:rsidR="00205717">
        <w:tab/>
      </w:r>
      <w:r w:rsidR="00977CCB" w:rsidRPr="00977CCB">
        <w:t xml:space="preserve">M. A. Hossain, Y. Nakano, K. Asada, </w:t>
      </w:r>
      <w:proofErr w:type="spellStart"/>
      <w:r w:rsidR="00977CCB" w:rsidRPr="00977CCB">
        <w:t>Monodehydroascorbate</w:t>
      </w:r>
      <w:proofErr w:type="spellEnd"/>
      <w:r w:rsidR="00977CCB" w:rsidRPr="00977CCB">
        <w:t xml:space="preserve"> reductase in spinach chloroplasts and its participation in regeneration of ascorbate for scavenging hydrogen peroxide. </w:t>
      </w:r>
      <w:r w:rsidR="00977CCB" w:rsidRPr="00977CCB">
        <w:rPr>
          <w:i/>
        </w:rPr>
        <w:t>Plant Cell Physiol.</w:t>
      </w:r>
      <w:r w:rsidR="00977CCB" w:rsidRPr="00977CCB">
        <w:t xml:space="preserve"> </w:t>
      </w:r>
      <w:r w:rsidR="00977CCB" w:rsidRPr="00977CCB">
        <w:rPr>
          <w:b/>
        </w:rPr>
        <w:t>25</w:t>
      </w:r>
      <w:r w:rsidR="00977CCB" w:rsidRPr="00977CCB">
        <w:t>, 385-395 (1984)</w:t>
      </w:r>
      <w:r w:rsidR="00205717" w:rsidRPr="00205717">
        <w:t>.</w:t>
      </w:r>
    </w:p>
    <w:p w:rsidR="00972D9B" w:rsidRDefault="00972D9B" w:rsidP="00972D9B">
      <w:pPr>
        <w:pStyle w:val="Paragraph"/>
        <w:ind w:firstLine="0"/>
        <w:rPr>
          <w:b/>
        </w:rPr>
      </w:pPr>
    </w:p>
    <w:p w:rsidR="00D73714" w:rsidRDefault="00D73714" w:rsidP="00972D9B">
      <w:pPr>
        <w:pStyle w:val="Paragraph"/>
        <w:ind w:firstLine="0"/>
      </w:pPr>
      <w:r w:rsidRPr="00616CA0">
        <w:rPr>
          <w:b/>
        </w:rPr>
        <w:t>Any Additional Author notes:</w:t>
      </w:r>
    </w:p>
    <w:p w:rsidR="00972D9B" w:rsidRDefault="00972D9B" w:rsidP="00972D9B">
      <w:pPr>
        <w:pStyle w:val="Paragraph"/>
        <w:ind w:firstLine="0"/>
      </w:pPr>
      <w:r>
        <w:t>E.J.J. and E.L.R. contributed equally to the work.</w:t>
      </w:r>
    </w:p>
    <w:p w:rsidR="00D73714" w:rsidRDefault="00D73714"/>
    <w:sectPr w:rsidR="00D73714" w:rsidSect="00D73714">
      <w:headerReference w:type="first" r:id="rId17"/>
      <w:pgSz w:w="12240" w:h="15840"/>
      <w:pgMar w:top="1440" w:right="1440" w:bottom="1440" w:left="1440" w:header="432"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9BA28B" w15:done="0"/>
  <w15:commentEx w15:paraId="6EB79E36" w15:done="0"/>
  <w15:commentEx w15:paraId="153D77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64D" w:rsidRDefault="0049364D" w:rsidP="00D73714">
      <w:r>
        <w:separator/>
      </w:r>
    </w:p>
  </w:endnote>
  <w:endnote w:type="continuationSeparator" w:id="0">
    <w:p w:rsidR="0049364D" w:rsidRDefault="0049364D" w:rsidP="00D7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64D" w:rsidRDefault="0049364D" w:rsidP="00D73714">
      <w:r>
        <w:separator/>
      </w:r>
    </w:p>
  </w:footnote>
  <w:footnote w:type="continuationSeparator" w:id="0">
    <w:p w:rsidR="0049364D" w:rsidRDefault="0049364D" w:rsidP="00D73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F8" w:rsidRPr="00204015" w:rsidRDefault="004509F8" w:rsidP="00D73714">
    <w:pPr>
      <w:pStyle w:val="Header"/>
    </w:pPr>
    <w:r>
      <w:rPr>
        <w:noProof/>
        <w:lang w:val="en-GB" w:eastAsia="en-GB"/>
      </w:rPr>
      <w:drawing>
        <wp:anchor distT="0" distB="0" distL="114300" distR="114300" simplePos="0" relativeHeight="251657728" behindDoc="0" locked="0" layoutInCell="1" allowOverlap="1">
          <wp:simplePos x="0" y="0"/>
          <wp:positionH relativeFrom="column">
            <wp:posOffset>38100</wp:posOffset>
          </wp:positionH>
          <wp:positionV relativeFrom="paragraph">
            <wp:posOffset>-83185</wp:posOffset>
          </wp:positionV>
          <wp:extent cx="682625" cy="368300"/>
          <wp:effectExtent l="0" t="0" r="3175" b="0"/>
          <wp:wrapSquare wrapText="bothSides"/>
          <wp:docPr id="1" name="Picture 1" descr="scien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368300"/>
                  </a:xfrm>
                  <a:prstGeom prst="rect">
                    <a:avLst/>
                  </a:prstGeom>
                  <a:noFill/>
                </pic:spPr>
              </pic:pic>
            </a:graphicData>
          </a:graphic>
        </wp:anchor>
      </w:drawing>
    </w:r>
    <w:r>
      <w:tab/>
    </w:r>
    <w:r w:rsidRPr="00204015">
      <w:t>Submitted Manuscript:  Confidential</w:t>
    </w:r>
    <w:r>
      <w:tab/>
      <w:t>14 April 2015</w:t>
    </w:r>
  </w:p>
  <w:p w:rsidR="004509F8" w:rsidRDefault="004509F8" w:rsidP="00D73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306B60"/>
    <w:lvl w:ilvl="0">
      <w:start w:val="1"/>
      <w:numFmt w:val="decimal"/>
      <w:lvlText w:val="%1."/>
      <w:lvlJc w:val="left"/>
      <w:pPr>
        <w:tabs>
          <w:tab w:val="num" w:pos="1800"/>
        </w:tabs>
        <w:ind w:left="1800" w:hanging="360"/>
      </w:pPr>
    </w:lvl>
  </w:abstractNum>
  <w:abstractNum w:abstractNumId="1">
    <w:nsid w:val="FFFFFF7D"/>
    <w:multiLevelType w:val="singleLevel"/>
    <w:tmpl w:val="12C0A9CE"/>
    <w:lvl w:ilvl="0">
      <w:start w:val="1"/>
      <w:numFmt w:val="decimal"/>
      <w:lvlText w:val="%1."/>
      <w:lvlJc w:val="left"/>
      <w:pPr>
        <w:tabs>
          <w:tab w:val="num" w:pos="1440"/>
        </w:tabs>
        <w:ind w:left="1440" w:hanging="360"/>
      </w:pPr>
    </w:lvl>
  </w:abstractNum>
  <w:abstractNum w:abstractNumId="2">
    <w:nsid w:val="FFFFFF7E"/>
    <w:multiLevelType w:val="singleLevel"/>
    <w:tmpl w:val="FFF87976"/>
    <w:lvl w:ilvl="0">
      <w:start w:val="1"/>
      <w:numFmt w:val="decimal"/>
      <w:lvlText w:val="%1."/>
      <w:lvlJc w:val="left"/>
      <w:pPr>
        <w:tabs>
          <w:tab w:val="num" w:pos="1080"/>
        </w:tabs>
        <w:ind w:left="1080" w:hanging="360"/>
      </w:pPr>
    </w:lvl>
  </w:abstractNum>
  <w:abstractNum w:abstractNumId="3">
    <w:nsid w:val="FFFFFF7F"/>
    <w:multiLevelType w:val="singleLevel"/>
    <w:tmpl w:val="57B8ABE4"/>
    <w:lvl w:ilvl="0">
      <w:start w:val="1"/>
      <w:numFmt w:val="decimal"/>
      <w:lvlText w:val="%1."/>
      <w:lvlJc w:val="left"/>
      <w:pPr>
        <w:tabs>
          <w:tab w:val="num" w:pos="720"/>
        </w:tabs>
        <w:ind w:left="720" w:hanging="360"/>
      </w:pPr>
    </w:lvl>
  </w:abstractNum>
  <w:abstractNum w:abstractNumId="4">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0088B0"/>
    <w:lvl w:ilvl="0">
      <w:start w:val="1"/>
      <w:numFmt w:val="decimal"/>
      <w:lvlText w:val="%1."/>
      <w:lvlJc w:val="left"/>
      <w:pPr>
        <w:tabs>
          <w:tab w:val="num" w:pos="360"/>
        </w:tabs>
        <w:ind w:left="360" w:hanging="360"/>
      </w:pPr>
    </w:lvl>
  </w:abstractNum>
  <w:abstractNum w:abstractNumId="9">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0A7D47"/>
    <w:multiLevelType w:val="hybridMultilevel"/>
    <w:tmpl w:val="B9D6E7A6"/>
    <w:lvl w:ilvl="0" w:tplc="A0F4299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CB30F4"/>
    <w:multiLevelType w:val="hybridMultilevel"/>
    <w:tmpl w:val="562AF944"/>
    <w:lvl w:ilvl="0" w:tplc="A0F4299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E126C55"/>
    <w:multiLevelType w:val="hybridMultilevel"/>
    <w:tmpl w:val="4D400A40"/>
    <w:lvl w:ilvl="0" w:tplc="A0F4299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314ABA"/>
    <w:multiLevelType w:val="hybridMultilevel"/>
    <w:tmpl w:val="562AF944"/>
    <w:lvl w:ilvl="0" w:tplc="A0F4299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
    <w15:presenceInfo w15:providerId="None" w15:userId="Vi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4261D"/>
    <w:rsid w:val="00000F02"/>
    <w:rsid w:val="0000382A"/>
    <w:rsid w:val="00017466"/>
    <w:rsid w:val="00045B55"/>
    <w:rsid w:val="000562CC"/>
    <w:rsid w:val="00057B6D"/>
    <w:rsid w:val="00077DB3"/>
    <w:rsid w:val="00084E0A"/>
    <w:rsid w:val="0008509B"/>
    <w:rsid w:val="00086072"/>
    <w:rsid w:val="000978B6"/>
    <w:rsid w:val="000A1CAA"/>
    <w:rsid w:val="000A23F8"/>
    <w:rsid w:val="000B3A61"/>
    <w:rsid w:val="000B51F7"/>
    <w:rsid w:val="000C0D94"/>
    <w:rsid w:val="000C426B"/>
    <w:rsid w:val="000C6023"/>
    <w:rsid w:val="000E1516"/>
    <w:rsid w:val="000E1716"/>
    <w:rsid w:val="000E1A84"/>
    <w:rsid w:val="000E4AD3"/>
    <w:rsid w:val="00177254"/>
    <w:rsid w:val="00196770"/>
    <w:rsid w:val="001C670C"/>
    <w:rsid w:val="001D7C0F"/>
    <w:rsid w:val="001E76DB"/>
    <w:rsid w:val="001F0A96"/>
    <w:rsid w:val="001F5C5F"/>
    <w:rsid w:val="00201D21"/>
    <w:rsid w:val="00205717"/>
    <w:rsid w:val="002073F0"/>
    <w:rsid w:val="0021072B"/>
    <w:rsid w:val="00213FB2"/>
    <w:rsid w:val="00214DB5"/>
    <w:rsid w:val="00222BFD"/>
    <w:rsid w:val="002270D7"/>
    <w:rsid w:val="002313B5"/>
    <w:rsid w:val="00251047"/>
    <w:rsid w:val="002838AB"/>
    <w:rsid w:val="00283B6A"/>
    <w:rsid w:val="0029155A"/>
    <w:rsid w:val="00294584"/>
    <w:rsid w:val="002A5E25"/>
    <w:rsid w:val="002B7CDB"/>
    <w:rsid w:val="002D163F"/>
    <w:rsid w:val="002F2D85"/>
    <w:rsid w:val="002F6D45"/>
    <w:rsid w:val="003021FC"/>
    <w:rsid w:val="003313A0"/>
    <w:rsid w:val="003322F7"/>
    <w:rsid w:val="00336168"/>
    <w:rsid w:val="00336E0A"/>
    <w:rsid w:val="00343427"/>
    <w:rsid w:val="003551E5"/>
    <w:rsid w:val="0035631B"/>
    <w:rsid w:val="00363CB9"/>
    <w:rsid w:val="00370239"/>
    <w:rsid w:val="003743C4"/>
    <w:rsid w:val="0037768A"/>
    <w:rsid w:val="003826B7"/>
    <w:rsid w:val="00391324"/>
    <w:rsid w:val="00394AD2"/>
    <w:rsid w:val="00396783"/>
    <w:rsid w:val="00397A0A"/>
    <w:rsid w:val="003A6D31"/>
    <w:rsid w:val="003A7414"/>
    <w:rsid w:val="003B01FE"/>
    <w:rsid w:val="003B0531"/>
    <w:rsid w:val="003C5B07"/>
    <w:rsid w:val="003E4066"/>
    <w:rsid w:val="003F1CF4"/>
    <w:rsid w:val="003F7DEE"/>
    <w:rsid w:val="00403B40"/>
    <w:rsid w:val="004509F8"/>
    <w:rsid w:val="00461262"/>
    <w:rsid w:val="00472626"/>
    <w:rsid w:val="004744AE"/>
    <w:rsid w:val="00480845"/>
    <w:rsid w:val="004840D4"/>
    <w:rsid w:val="00484A9E"/>
    <w:rsid w:val="004914BC"/>
    <w:rsid w:val="004919CA"/>
    <w:rsid w:val="00493476"/>
    <w:rsid w:val="0049364D"/>
    <w:rsid w:val="004B2818"/>
    <w:rsid w:val="004C1AD9"/>
    <w:rsid w:val="004C500B"/>
    <w:rsid w:val="004E73AD"/>
    <w:rsid w:val="004F19CB"/>
    <w:rsid w:val="00505141"/>
    <w:rsid w:val="00515EB5"/>
    <w:rsid w:val="00522FC4"/>
    <w:rsid w:val="00542029"/>
    <w:rsid w:val="00544033"/>
    <w:rsid w:val="00547EA3"/>
    <w:rsid w:val="005508FB"/>
    <w:rsid w:val="00550FB3"/>
    <w:rsid w:val="0055212B"/>
    <w:rsid w:val="005626EA"/>
    <w:rsid w:val="00563682"/>
    <w:rsid w:val="0057198A"/>
    <w:rsid w:val="00581274"/>
    <w:rsid w:val="00590D65"/>
    <w:rsid w:val="00596A2B"/>
    <w:rsid w:val="005B17CF"/>
    <w:rsid w:val="005B5AD6"/>
    <w:rsid w:val="005B63C2"/>
    <w:rsid w:val="005B70E3"/>
    <w:rsid w:val="005C396A"/>
    <w:rsid w:val="005C54F1"/>
    <w:rsid w:val="005C7506"/>
    <w:rsid w:val="005D3E5A"/>
    <w:rsid w:val="005E309F"/>
    <w:rsid w:val="005E4280"/>
    <w:rsid w:val="005E50CE"/>
    <w:rsid w:val="00611B8A"/>
    <w:rsid w:val="006133DC"/>
    <w:rsid w:val="006228B5"/>
    <w:rsid w:val="0064261D"/>
    <w:rsid w:val="00653B32"/>
    <w:rsid w:val="00653B9A"/>
    <w:rsid w:val="0065665A"/>
    <w:rsid w:val="00675BFA"/>
    <w:rsid w:val="00680AFF"/>
    <w:rsid w:val="0069217E"/>
    <w:rsid w:val="00695D8B"/>
    <w:rsid w:val="006B2314"/>
    <w:rsid w:val="006E3E60"/>
    <w:rsid w:val="0071027E"/>
    <w:rsid w:val="00712487"/>
    <w:rsid w:val="00724980"/>
    <w:rsid w:val="00730ADA"/>
    <w:rsid w:val="00740592"/>
    <w:rsid w:val="00744036"/>
    <w:rsid w:val="00747119"/>
    <w:rsid w:val="007505E1"/>
    <w:rsid w:val="007712FE"/>
    <w:rsid w:val="007A187E"/>
    <w:rsid w:val="007A46A5"/>
    <w:rsid w:val="007A4E5E"/>
    <w:rsid w:val="007B08B8"/>
    <w:rsid w:val="007B29D3"/>
    <w:rsid w:val="007B2CB8"/>
    <w:rsid w:val="007C524F"/>
    <w:rsid w:val="007D1788"/>
    <w:rsid w:val="007D55ED"/>
    <w:rsid w:val="007D5D16"/>
    <w:rsid w:val="007F11B4"/>
    <w:rsid w:val="00814209"/>
    <w:rsid w:val="00816CF7"/>
    <w:rsid w:val="0085352E"/>
    <w:rsid w:val="00874E24"/>
    <w:rsid w:val="008751CB"/>
    <w:rsid w:val="008927B4"/>
    <w:rsid w:val="008B0D52"/>
    <w:rsid w:val="008C07E0"/>
    <w:rsid w:val="008D02D1"/>
    <w:rsid w:val="008E0533"/>
    <w:rsid w:val="008F707E"/>
    <w:rsid w:val="00902D03"/>
    <w:rsid w:val="00905BAB"/>
    <w:rsid w:val="00915246"/>
    <w:rsid w:val="00972D9B"/>
    <w:rsid w:val="00973510"/>
    <w:rsid w:val="00973855"/>
    <w:rsid w:val="009770DF"/>
    <w:rsid w:val="00977CCB"/>
    <w:rsid w:val="009A5D64"/>
    <w:rsid w:val="009A6C50"/>
    <w:rsid w:val="009A7E37"/>
    <w:rsid w:val="009B664D"/>
    <w:rsid w:val="009C4A4F"/>
    <w:rsid w:val="009D1208"/>
    <w:rsid w:val="009D43E7"/>
    <w:rsid w:val="009E1B4E"/>
    <w:rsid w:val="009E3C21"/>
    <w:rsid w:val="00A0408E"/>
    <w:rsid w:val="00A10104"/>
    <w:rsid w:val="00A122F2"/>
    <w:rsid w:val="00A13E1A"/>
    <w:rsid w:val="00A30FC4"/>
    <w:rsid w:val="00A373E1"/>
    <w:rsid w:val="00A4599B"/>
    <w:rsid w:val="00A62521"/>
    <w:rsid w:val="00A6755A"/>
    <w:rsid w:val="00A7235E"/>
    <w:rsid w:val="00A76B14"/>
    <w:rsid w:val="00A8283C"/>
    <w:rsid w:val="00A87067"/>
    <w:rsid w:val="00A952A4"/>
    <w:rsid w:val="00AA1F65"/>
    <w:rsid w:val="00AA2971"/>
    <w:rsid w:val="00AB34B3"/>
    <w:rsid w:val="00AD3F5D"/>
    <w:rsid w:val="00AE15CF"/>
    <w:rsid w:val="00AE20A2"/>
    <w:rsid w:val="00AE3836"/>
    <w:rsid w:val="00AF4765"/>
    <w:rsid w:val="00AF71DA"/>
    <w:rsid w:val="00AF72A9"/>
    <w:rsid w:val="00B0160A"/>
    <w:rsid w:val="00B03051"/>
    <w:rsid w:val="00B22BAF"/>
    <w:rsid w:val="00B443EC"/>
    <w:rsid w:val="00B632BE"/>
    <w:rsid w:val="00B67A67"/>
    <w:rsid w:val="00B71330"/>
    <w:rsid w:val="00B733C2"/>
    <w:rsid w:val="00B97EEF"/>
    <w:rsid w:val="00BA5415"/>
    <w:rsid w:val="00BA6C11"/>
    <w:rsid w:val="00BB7FBC"/>
    <w:rsid w:val="00BD22CF"/>
    <w:rsid w:val="00BE074E"/>
    <w:rsid w:val="00BE329C"/>
    <w:rsid w:val="00BE3ED3"/>
    <w:rsid w:val="00BF37F5"/>
    <w:rsid w:val="00C011AE"/>
    <w:rsid w:val="00C02193"/>
    <w:rsid w:val="00C05C68"/>
    <w:rsid w:val="00C1405E"/>
    <w:rsid w:val="00C26582"/>
    <w:rsid w:val="00C33813"/>
    <w:rsid w:val="00C403BE"/>
    <w:rsid w:val="00C47D69"/>
    <w:rsid w:val="00C516E6"/>
    <w:rsid w:val="00C57014"/>
    <w:rsid w:val="00C62125"/>
    <w:rsid w:val="00C649F7"/>
    <w:rsid w:val="00C713CA"/>
    <w:rsid w:val="00C80CDC"/>
    <w:rsid w:val="00C950B5"/>
    <w:rsid w:val="00C97596"/>
    <w:rsid w:val="00CA1597"/>
    <w:rsid w:val="00CB5AEA"/>
    <w:rsid w:val="00CB6910"/>
    <w:rsid w:val="00CC153A"/>
    <w:rsid w:val="00CE2357"/>
    <w:rsid w:val="00CE38C3"/>
    <w:rsid w:val="00CF5C6F"/>
    <w:rsid w:val="00D032B6"/>
    <w:rsid w:val="00D05F36"/>
    <w:rsid w:val="00D10164"/>
    <w:rsid w:val="00D124BB"/>
    <w:rsid w:val="00D13EB8"/>
    <w:rsid w:val="00D27F90"/>
    <w:rsid w:val="00D33A95"/>
    <w:rsid w:val="00D34AE2"/>
    <w:rsid w:val="00D41D85"/>
    <w:rsid w:val="00D46FD9"/>
    <w:rsid w:val="00D60C6D"/>
    <w:rsid w:val="00D65CDA"/>
    <w:rsid w:val="00D73714"/>
    <w:rsid w:val="00D76E2C"/>
    <w:rsid w:val="00D86579"/>
    <w:rsid w:val="00D91B9C"/>
    <w:rsid w:val="00D91F2A"/>
    <w:rsid w:val="00D926CA"/>
    <w:rsid w:val="00DA7973"/>
    <w:rsid w:val="00DC7ACA"/>
    <w:rsid w:val="00DD6C1D"/>
    <w:rsid w:val="00DE002F"/>
    <w:rsid w:val="00DE3264"/>
    <w:rsid w:val="00DF137F"/>
    <w:rsid w:val="00E011DA"/>
    <w:rsid w:val="00E13F09"/>
    <w:rsid w:val="00E1542D"/>
    <w:rsid w:val="00E15C40"/>
    <w:rsid w:val="00E26303"/>
    <w:rsid w:val="00E34072"/>
    <w:rsid w:val="00E35D40"/>
    <w:rsid w:val="00E50C54"/>
    <w:rsid w:val="00E6431E"/>
    <w:rsid w:val="00E700CB"/>
    <w:rsid w:val="00E72365"/>
    <w:rsid w:val="00E743F1"/>
    <w:rsid w:val="00E80156"/>
    <w:rsid w:val="00E861B4"/>
    <w:rsid w:val="00EB27FE"/>
    <w:rsid w:val="00EB316E"/>
    <w:rsid w:val="00EC1FD3"/>
    <w:rsid w:val="00EC58C2"/>
    <w:rsid w:val="00EE2B37"/>
    <w:rsid w:val="00EE3074"/>
    <w:rsid w:val="00EE6CD9"/>
    <w:rsid w:val="00F020E1"/>
    <w:rsid w:val="00F11A18"/>
    <w:rsid w:val="00F13F33"/>
    <w:rsid w:val="00F14772"/>
    <w:rsid w:val="00F1774D"/>
    <w:rsid w:val="00F303D4"/>
    <w:rsid w:val="00F31879"/>
    <w:rsid w:val="00F70122"/>
    <w:rsid w:val="00F716A2"/>
    <w:rsid w:val="00F7677F"/>
    <w:rsid w:val="00F85F0A"/>
    <w:rsid w:val="00F87888"/>
    <w:rsid w:val="00F925CD"/>
    <w:rsid w:val="00F9313B"/>
    <w:rsid w:val="00F94D2D"/>
    <w:rsid w:val="00F95063"/>
    <w:rsid w:val="00FA2DFD"/>
    <w:rsid w:val="00FC2921"/>
    <w:rsid w:val="00FC5431"/>
    <w:rsid w:val="00FD0CF9"/>
    <w:rsid w:val="00FF52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A7F20"/>
  </w:style>
  <w:style w:type="paragraph" w:styleId="Heading3">
    <w:name w:val="heading 3"/>
    <w:basedOn w:val="Normal"/>
    <w:next w:val="Normal"/>
    <w:link w:val="Heading3Char"/>
    <w:uiPriority w:val="9"/>
    <w:unhideWhenUsed/>
    <w:qFormat/>
    <w:rsid w:val="00A8283C"/>
    <w:pPr>
      <w:spacing w:line="276" w:lineRule="auto"/>
      <w:outlineLvl w:val="2"/>
    </w:pPr>
    <w:rPr>
      <w:rFonts w:asciiTheme="minorHAnsi" w:eastAsiaTheme="minorHAnsi" w:hAnsiTheme="minorHAnsi" w:cstheme="minorBidi"/>
      <w:b/>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basedOn w:val="aubase"/>
    <w:rsid w:val="009A3899"/>
    <w:rPr>
      <w:sz w:val="24"/>
      <w:bdr w:val="none" w:sz="0" w:space="0" w:color="auto"/>
      <w:shd w:val="clear" w:color="auto" w:fill="C0C0C0"/>
    </w:rPr>
  </w:style>
  <w:style w:type="character" w:customStyle="1" w:styleId="audeg">
    <w:name w:val="au_deg"/>
    <w:basedOn w:val="DefaultParagraphFont"/>
    <w:rsid w:val="009A3899"/>
    <w:rPr>
      <w:sz w:val="24"/>
      <w:bdr w:val="none" w:sz="0" w:space="0" w:color="auto"/>
      <w:shd w:val="clear" w:color="auto" w:fill="FFFF00"/>
    </w:rPr>
  </w:style>
  <w:style w:type="character" w:customStyle="1" w:styleId="aufname">
    <w:name w:val="au_fname"/>
    <w:basedOn w:val="aubase"/>
    <w:rsid w:val="009A3899"/>
    <w:rPr>
      <w:sz w:val="24"/>
      <w:bdr w:val="none" w:sz="0" w:space="0" w:color="auto"/>
      <w:shd w:val="clear" w:color="auto" w:fill="00FFFF"/>
    </w:rPr>
  </w:style>
  <w:style w:type="character" w:customStyle="1" w:styleId="aurole">
    <w:name w:val="au_role"/>
    <w:basedOn w:val="aubase"/>
    <w:rsid w:val="009A3899"/>
    <w:rPr>
      <w:sz w:val="24"/>
      <w:bdr w:val="none" w:sz="0" w:space="0" w:color="auto"/>
      <w:shd w:val="clear" w:color="auto" w:fill="808000"/>
    </w:rPr>
  </w:style>
  <w:style w:type="character" w:customStyle="1" w:styleId="ausuffix">
    <w:name w:val="au_suffix"/>
    <w:basedOn w:val="aubase"/>
    <w:rsid w:val="009A3899"/>
    <w:rPr>
      <w:sz w:val="24"/>
      <w:bdr w:val="none" w:sz="0" w:space="0" w:color="auto"/>
      <w:shd w:val="clear" w:color="auto" w:fill="FF00FF"/>
    </w:rPr>
  </w:style>
  <w:style w:type="character" w:customStyle="1" w:styleId="ausurname">
    <w:name w:val="au_surname"/>
    <w:basedOn w:val="aubas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basedOn w:val="DefaultParagraphFont"/>
    <w:link w:val="BalloonText"/>
    <w:semiHidden/>
    <w:rsid w:val="009A3899"/>
    <w:rPr>
      <w:rFonts w:ascii="Lucida Grande" w:eastAsia="Times New Roman" w:hAnsi="Lucida Grande"/>
      <w:sz w:val="18"/>
      <w:szCs w:val="18"/>
    </w:rPr>
  </w:style>
  <w:style w:type="character" w:customStyle="1" w:styleId="bibarticle">
    <w:name w:val="bib_article"/>
    <w:basedOn w:val="DefaultParagraphFont"/>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basedOn w:val="bibbase"/>
    <w:rsid w:val="009A3899"/>
    <w:rPr>
      <w:sz w:val="24"/>
      <w:bdr w:val="none" w:sz="0" w:space="0" w:color="auto"/>
      <w:shd w:val="clear" w:color="auto" w:fill="00FF00"/>
    </w:rPr>
  </w:style>
  <w:style w:type="character" w:customStyle="1" w:styleId="bibetal">
    <w:name w:val="bib_etal"/>
    <w:basedOn w:val="bibbase"/>
    <w:rsid w:val="009A3899"/>
    <w:rPr>
      <w:sz w:val="24"/>
      <w:bdr w:val="none" w:sz="0" w:space="0" w:color="auto"/>
      <w:shd w:val="clear" w:color="auto" w:fill="008080"/>
    </w:rPr>
  </w:style>
  <w:style w:type="character" w:customStyle="1" w:styleId="bibfname">
    <w:name w:val="bib_fname"/>
    <w:basedOn w:val="bibbase"/>
    <w:rsid w:val="009A3899"/>
    <w:rPr>
      <w:sz w:val="24"/>
      <w:bdr w:val="none" w:sz="0" w:space="0" w:color="auto"/>
      <w:shd w:val="clear" w:color="auto" w:fill="FFFF00"/>
    </w:rPr>
  </w:style>
  <w:style w:type="character" w:customStyle="1" w:styleId="bibfpage">
    <w:name w:val="bib_fpage"/>
    <w:basedOn w:val="bibbase"/>
    <w:rsid w:val="009A3899"/>
    <w:rPr>
      <w:sz w:val="24"/>
      <w:bdr w:val="none" w:sz="0" w:space="0" w:color="auto"/>
      <w:shd w:val="clear" w:color="auto" w:fill="808080"/>
    </w:rPr>
  </w:style>
  <w:style w:type="character" w:customStyle="1" w:styleId="bibissue">
    <w:name w:val="bib_issue"/>
    <w:basedOn w:val="bibbase"/>
    <w:rsid w:val="009A3899"/>
    <w:rPr>
      <w:sz w:val="24"/>
      <w:bdr w:val="none" w:sz="0" w:space="0" w:color="auto"/>
      <w:shd w:val="clear" w:color="auto" w:fill="FFFF00"/>
    </w:rPr>
  </w:style>
  <w:style w:type="character" w:customStyle="1" w:styleId="bibjournal">
    <w:name w:val="bib_journal"/>
    <w:basedOn w:val="bibbase"/>
    <w:rsid w:val="009A3899"/>
    <w:rPr>
      <w:sz w:val="24"/>
      <w:bdr w:val="none" w:sz="0" w:space="0" w:color="auto"/>
      <w:shd w:val="clear" w:color="auto" w:fill="808000"/>
    </w:rPr>
  </w:style>
  <w:style w:type="character" w:customStyle="1" w:styleId="biblpage">
    <w:name w:val="bib_lpage"/>
    <w:basedOn w:val="bibbas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basedOn w:val="bibbase"/>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basedOn w:val="bibbase"/>
    <w:rsid w:val="009A3899"/>
    <w:rPr>
      <w:sz w:val="24"/>
      <w:bdr w:val="none" w:sz="0" w:space="0" w:color="auto"/>
      <w:shd w:val="clear" w:color="auto" w:fill="FFFF00"/>
    </w:rPr>
  </w:style>
  <w:style w:type="character" w:customStyle="1" w:styleId="bibsurname">
    <w:name w:val="bib_surname"/>
    <w:basedOn w:val="bibbas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basedOn w:val="bibbase"/>
    <w:rsid w:val="009A3899"/>
    <w:rPr>
      <w:sz w:val="24"/>
      <w:bdr w:val="none" w:sz="0" w:space="0" w:color="auto"/>
      <w:shd w:val="clear" w:color="auto" w:fill="00FF00"/>
    </w:rPr>
  </w:style>
  <w:style w:type="character" w:customStyle="1" w:styleId="bibvolume">
    <w:name w:val="bib_volume"/>
    <w:basedOn w:val="bibbase"/>
    <w:rsid w:val="009A3899"/>
    <w:rPr>
      <w:sz w:val="24"/>
      <w:bdr w:val="none" w:sz="0" w:space="0" w:color="auto"/>
      <w:shd w:val="clear" w:color="auto" w:fill="00FF00"/>
    </w:rPr>
  </w:style>
  <w:style w:type="character" w:customStyle="1" w:styleId="bibyear">
    <w:name w:val="bib_year"/>
    <w:basedOn w:val="bibbase"/>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basedOn w:val="DefaultParagraphFont"/>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basedOn w:val="citebase"/>
    <w:rsid w:val="009A3899"/>
    <w:rPr>
      <w:sz w:val="24"/>
      <w:shd w:val="clear" w:color="auto" w:fill="FFFF00"/>
      <w:vertAlign w:val="superscript"/>
    </w:rPr>
  </w:style>
  <w:style w:type="character" w:customStyle="1" w:styleId="citeeq">
    <w:name w:val="cite_eq"/>
    <w:basedOn w:val="citebase"/>
    <w:rsid w:val="009A3899"/>
    <w:rPr>
      <w:sz w:val="24"/>
      <w:bdr w:val="none" w:sz="0" w:space="0" w:color="auto"/>
      <w:shd w:val="clear" w:color="auto" w:fill="FF99CC"/>
    </w:rPr>
  </w:style>
  <w:style w:type="character" w:customStyle="1" w:styleId="citefig">
    <w:name w:val="cite_fig"/>
    <w:basedOn w:val="citebase"/>
    <w:rsid w:val="009A3899"/>
    <w:rPr>
      <w:color w:val="000000"/>
      <w:sz w:val="24"/>
      <w:bdr w:val="none" w:sz="0" w:space="0" w:color="auto"/>
      <w:shd w:val="clear" w:color="auto" w:fill="00FF00"/>
    </w:rPr>
  </w:style>
  <w:style w:type="character" w:customStyle="1" w:styleId="citefn">
    <w:name w:val="cite_fn"/>
    <w:basedOn w:val="citebase"/>
    <w:rsid w:val="009A3899"/>
    <w:rPr>
      <w:sz w:val="24"/>
      <w:bdr w:val="none" w:sz="0" w:space="0" w:color="auto"/>
      <w:shd w:val="clear" w:color="auto" w:fill="FF0000"/>
    </w:rPr>
  </w:style>
  <w:style w:type="character" w:customStyle="1" w:styleId="citetbl">
    <w:name w:val="cite_tbl"/>
    <w:basedOn w:val="citebase"/>
    <w:rsid w:val="009A3899"/>
    <w:rPr>
      <w:color w:val="000000"/>
      <w:sz w:val="24"/>
      <w:bdr w:val="none" w:sz="0" w:space="0" w:color="auto"/>
      <w:shd w:val="clear" w:color="auto" w:fill="FF00FF"/>
    </w:rPr>
  </w:style>
  <w:style w:type="character" w:styleId="CommentReference">
    <w:name w:val="annotation reference"/>
    <w:basedOn w:val="DefaultParagraphFont"/>
    <w:uiPriority w:val="99"/>
    <w:rsid w:val="009A3899"/>
    <w:rPr>
      <w:sz w:val="18"/>
      <w:szCs w:val="18"/>
    </w:rPr>
  </w:style>
  <w:style w:type="paragraph" w:styleId="CommentText">
    <w:name w:val="annotation text"/>
    <w:basedOn w:val="Normal"/>
    <w:link w:val="CommentTextChar"/>
    <w:uiPriority w:val="99"/>
    <w:semiHidden/>
    <w:rsid w:val="009A3899"/>
    <w:rPr>
      <w:rFonts w:eastAsia="Times New Roman"/>
    </w:rPr>
  </w:style>
  <w:style w:type="character" w:customStyle="1" w:styleId="CommentTextChar">
    <w:name w:val="Comment Text Char"/>
    <w:basedOn w:val="DefaultParagraphFont"/>
    <w:link w:val="CommentText"/>
    <w:uiPriority w:val="99"/>
    <w:semiHidden/>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basedOn w:val="CommentText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basedOn w:val="DefaultParagraphFont"/>
    <w:rsid w:val="009A3899"/>
    <w:rPr>
      <w:sz w:val="24"/>
      <w:szCs w:val="24"/>
      <w:bdr w:val="none" w:sz="0" w:space="0" w:color="auto"/>
      <w:shd w:val="clear" w:color="auto" w:fill="CCFFCC"/>
    </w:rPr>
  </w:style>
  <w:style w:type="character" w:customStyle="1" w:styleId="ContractSponsor">
    <w:name w:val="Contract Sponsor"/>
    <w:basedOn w:val="DefaultParagraphFont"/>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basedOn w:val="DefaultParagraphFont"/>
    <w:uiPriority w:val="20"/>
    <w:qFormat/>
    <w:rsid w:val="009A3899"/>
    <w:rPr>
      <w:i/>
      <w:iCs/>
    </w:rPr>
  </w:style>
  <w:style w:type="character" w:styleId="EndnoteReference">
    <w:name w:val="endnote reference"/>
    <w:basedOn w:val="DefaultParagraphFont"/>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basedOn w:val="DefaultParagraphFont"/>
    <w:link w:val="Endnote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basedOn w:val="DefaultParagraphFont"/>
    <w:rsid w:val="009A3899"/>
    <w:rPr>
      <w:color w:val="800080"/>
      <w:u w:val="single"/>
    </w:rPr>
  </w:style>
  <w:style w:type="paragraph" w:styleId="Footer">
    <w:name w:val="footer"/>
    <w:basedOn w:val="Normal"/>
    <w:link w:val="FooterChar"/>
    <w:rsid w:val="009A3899"/>
    <w:pPr>
      <w:tabs>
        <w:tab w:val="center" w:pos="4320"/>
        <w:tab w:val="right" w:pos="8640"/>
      </w:tabs>
    </w:pPr>
    <w:rPr>
      <w:rFonts w:eastAsia="Times New Roman"/>
    </w:rPr>
  </w:style>
  <w:style w:type="character" w:customStyle="1" w:styleId="FooterChar">
    <w:name w:val="Footer Char"/>
    <w:basedOn w:val="DefaultParagraphFont"/>
    <w:link w:val="Footer"/>
    <w:rsid w:val="009A3899"/>
    <w:rPr>
      <w:rFonts w:ascii="Times New Roman" w:eastAsia="Times New Roman" w:hAnsi="Times New Roman"/>
      <w:sz w:val="20"/>
      <w:szCs w:val="20"/>
    </w:rPr>
  </w:style>
  <w:style w:type="character" w:styleId="FootnoteReference">
    <w:name w:val="footnote reference"/>
    <w:basedOn w:val="DefaultParagraphFont"/>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basedOn w:val="DefaultParagraphFont"/>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basedOn w:val="DefaultParagraphFont"/>
    <w:rsid w:val="009A3899"/>
    <w:rPr>
      <w:i/>
      <w:iCs/>
    </w:rPr>
  </w:style>
  <w:style w:type="character" w:styleId="HTMLCode">
    <w:name w:val="HTML Code"/>
    <w:basedOn w:val="DefaultParagraphFont"/>
    <w:rsid w:val="009A3899"/>
    <w:rPr>
      <w:rFonts w:ascii="Courier New" w:hAnsi="Courier New" w:cs="Courier New"/>
      <w:sz w:val="20"/>
      <w:szCs w:val="20"/>
    </w:rPr>
  </w:style>
  <w:style w:type="character" w:styleId="HTMLDefinition">
    <w:name w:val="HTML Definition"/>
    <w:basedOn w:val="DefaultParagraphFont"/>
    <w:rsid w:val="009A3899"/>
    <w:rPr>
      <w:i/>
      <w:iCs/>
    </w:rPr>
  </w:style>
  <w:style w:type="character" w:styleId="HTMLKeyboard">
    <w:name w:val="HTML Keyboard"/>
    <w:basedOn w:val="DefaultParagraphFont"/>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basedOn w:val="DefaultParagraphFont"/>
    <w:link w:val="HTMLPreformatted"/>
    <w:rsid w:val="009A3899"/>
    <w:rPr>
      <w:rFonts w:ascii="Consolas" w:eastAsia="Times New Roman" w:hAnsi="Consolas"/>
      <w:sz w:val="20"/>
      <w:szCs w:val="20"/>
    </w:rPr>
  </w:style>
  <w:style w:type="character" w:styleId="HTMLSample">
    <w:name w:val="HTML Sample"/>
    <w:basedOn w:val="DefaultParagraphFont"/>
    <w:rsid w:val="009A3899"/>
    <w:rPr>
      <w:rFonts w:ascii="Courier New" w:hAnsi="Courier New" w:cs="Courier New"/>
    </w:rPr>
  </w:style>
  <w:style w:type="character" w:styleId="HTMLTypewriter">
    <w:name w:val="HTML Typewriter"/>
    <w:basedOn w:val="DefaultParagraphFont"/>
    <w:rsid w:val="009A3899"/>
    <w:rPr>
      <w:rFonts w:ascii="Courier New" w:hAnsi="Courier New" w:cs="Courier New"/>
      <w:sz w:val="20"/>
      <w:szCs w:val="20"/>
    </w:rPr>
  </w:style>
  <w:style w:type="character" w:styleId="HTMLVariable">
    <w:name w:val="HTML Variable"/>
    <w:basedOn w:val="DefaultParagraphFont"/>
    <w:rsid w:val="009A3899"/>
    <w:rPr>
      <w:i/>
      <w:iCs/>
    </w:rPr>
  </w:style>
  <w:style w:type="character" w:styleId="Hyperlink">
    <w:name w:val="Hyperlink"/>
    <w:basedOn w:val="DefaultParagraphFont"/>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basedOn w:val="DefaultParagraphFont"/>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basedOn w:val="DefaultParagraphFont"/>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Heading3Char">
    <w:name w:val="Heading 3 Char"/>
    <w:basedOn w:val="DefaultParagraphFont"/>
    <w:link w:val="Heading3"/>
    <w:uiPriority w:val="9"/>
    <w:rsid w:val="00A8283C"/>
    <w:rPr>
      <w:rFonts w:asciiTheme="minorHAnsi" w:eastAsiaTheme="minorHAnsi" w:hAnsiTheme="minorHAnsi" w:cstheme="minorBidi"/>
      <w:b/>
      <w:sz w:val="22"/>
      <w:szCs w:val="22"/>
      <w:lang w:val="en-GB"/>
    </w:rPr>
  </w:style>
  <w:style w:type="table" w:styleId="TableGrid">
    <w:name w:val="Table Grid"/>
    <w:basedOn w:val="TableNormal"/>
    <w:uiPriority w:val="59"/>
    <w:rsid w:val="0021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B733C2"/>
  </w:style>
  <w:style w:type="character" w:customStyle="1" w:styleId="apple-converted-space">
    <w:name w:val="apple-converted-space"/>
    <w:basedOn w:val="DefaultParagraphFont"/>
    <w:rsid w:val="00F85F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A7F20"/>
  </w:style>
  <w:style w:type="paragraph" w:styleId="Heading3">
    <w:name w:val="heading 3"/>
    <w:basedOn w:val="Normal"/>
    <w:next w:val="Normal"/>
    <w:link w:val="Heading3Char"/>
    <w:uiPriority w:val="9"/>
    <w:unhideWhenUsed/>
    <w:qFormat/>
    <w:rsid w:val="00A8283C"/>
    <w:pPr>
      <w:spacing w:line="276" w:lineRule="auto"/>
      <w:outlineLvl w:val="2"/>
    </w:pPr>
    <w:rPr>
      <w:rFonts w:asciiTheme="minorHAnsi" w:eastAsiaTheme="minorHAnsi" w:hAnsiTheme="minorHAnsi" w:cstheme="minorBidi"/>
      <w:b/>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basedOn w:val="aubase"/>
    <w:rsid w:val="009A3899"/>
    <w:rPr>
      <w:sz w:val="24"/>
      <w:bdr w:val="none" w:sz="0" w:space="0" w:color="auto"/>
      <w:shd w:val="clear" w:color="auto" w:fill="C0C0C0"/>
    </w:rPr>
  </w:style>
  <w:style w:type="character" w:customStyle="1" w:styleId="audeg">
    <w:name w:val="au_deg"/>
    <w:basedOn w:val="DefaultParagraphFont"/>
    <w:rsid w:val="009A3899"/>
    <w:rPr>
      <w:sz w:val="24"/>
      <w:bdr w:val="none" w:sz="0" w:space="0" w:color="auto"/>
      <w:shd w:val="clear" w:color="auto" w:fill="FFFF00"/>
    </w:rPr>
  </w:style>
  <w:style w:type="character" w:customStyle="1" w:styleId="aufname">
    <w:name w:val="au_fname"/>
    <w:basedOn w:val="aubase"/>
    <w:rsid w:val="009A3899"/>
    <w:rPr>
      <w:sz w:val="24"/>
      <w:bdr w:val="none" w:sz="0" w:space="0" w:color="auto"/>
      <w:shd w:val="clear" w:color="auto" w:fill="00FFFF"/>
    </w:rPr>
  </w:style>
  <w:style w:type="character" w:customStyle="1" w:styleId="aurole">
    <w:name w:val="au_role"/>
    <w:basedOn w:val="aubase"/>
    <w:rsid w:val="009A3899"/>
    <w:rPr>
      <w:sz w:val="24"/>
      <w:bdr w:val="none" w:sz="0" w:space="0" w:color="auto"/>
      <w:shd w:val="clear" w:color="auto" w:fill="808000"/>
    </w:rPr>
  </w:style>
  <w:style w:type="character" w:customStyle="1" w:styleId="ausuffix">
    <w:name w:val="au_suffix"/>
    <w:basedOn w:val="aubase"/>
    <w:rsid w:val="009A3899"/>
    <w:rPr>
      <w:sz w:val="24"/>
      <w:bdr w:val="none" w:sz="0" w:space="0" w:color="auto"/>
      <w:shd w:val="clear" w:color="auto" w:fill="FF00FF"/>
    </w:rPr>
  </w:style>
  <w:style w:type="character" w:customStyle="1" w:styleId="ausurname">
    <w:name w:val="au_surname"/>
    <w:basedOn w:val="aubas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BalloonText">
    <w:name w:val="Balloon Text"/>
    <w:basedOn w:val="Normal"/>
    <w:link w:val="BalloonTextChar"/>
    <w:semiHidden/>
    <w:rsid w:val="009A3899"/>
    <w:rPr>
      <w:rFonts w:ascii="Lucida Grande" w:eastAsia="Times New Roman" w:hAnsi="Lucida Grande"/>
      <w:sz w:val="18"/>
      <w:szCs w:val="18"/>
    </w:rPr>
  </w:style>
  <w:style w:type="character" w:customStyle="1" w:styleId="BalloonTextChar">
    <w:name w:val="Balloon Text Char"/>
    <w:basedOn w:val="DefaultParagraphFont"/>
    <w:link w:val="BalloonText"/>
    <w:semiHidden/>
    <w:rsid w:val="009A3899"/>
    <w:rPr>
      <w:rFonts w:ascii="Lucida Grande" w:eastAsia="Times New Roman" w:hAnsi="Lucida Grande"/>
      <w:sz w:val="18"/>
      <w:szCs w:val="18"/>
    </w:rPr>
  </w:style>
  <w:style w:type="character" w:customStyle="1" w:styleId="bibarticle">
    <w:name w:val="bib_article"/>
    <w:basedOn w:val="DefaultParagraphFont"/>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basedOn w:val="bibbase"/>
    <w:rsid w:val="009A3899"/>
    <w:rPr>
      <w:sz w:val="24"/>
      <w:bdr w:val="none" w:sz="0" w:space="0" w:color="auto"/>
      <w:shd w:val="clear" w:color="auto" w:fill="00FF00"/>
    </w:rPr>
  </w:style>
  <w:style w:type="character" w:customStyle="1" w:styleId="bibetal">
    <w:name w:val="bib_etal"/>
    <w:basedOn w:val="bibbase"/>
    <w:rsid w:val="009A3899"/>
    <w:rPr>
      <w:sz w:val="24"/>
      <w:bdr w:val="none" w:sz="0" w:space="0" w:color="auto"/>
      <w:shd w:val="clear" w:color="auto" w:fill="008080"/>
    </w:rPr>
  </w:style>
  <w:style w:type="character" w:customStyle="1" w:styleId="bibfname">
    <w:name w:val="bib_fname"/>
    <w:basedOn w:val="bibbase"/>
    <w:rsid w:val="009A3899"/>
    <w:rPr>
      <w:sz w:val="24"/>
      <w:bdr w:val="none" w:sz="0" w:space="0" w:color="auto"/>
      <w:shd w:val="clear" w:color="auto" w:fill="FFFF00"/>
    </w:rPr>
  </w:style>
  <w:style w:type="character" w:customStyle="1" w:styleId="bibfpage">
    <w:name w:val="bib_fpage"/>
    <w:basedOn w:val="bibbase"/>
    <w:rsid w:val="009A3899"/>
    <w:rPr>
      <w:sz w:val="24"/>
      <w:bdr w:val="none" w:sz="0" w:space="0" w:color="auto"/>
      <w:shd w:val="clear" w:color="auto" w:fill="808080"/>
    </w:rPr>
  </w:style>
  <w:style w:type="character" w:customStyle="1" w:styleId="bibissue">
    <w:name w:val="bib_issue"/>
    <w:basedOn w:val="bibbase"/>
    <w:rsid w:val="009A3899"/>
    <w:rPr>
      <w:sz w:val="24"/>
      <w:bdr w:val="none" w:sz="0" w:space="0" w:color="auto"/>
      <w:shd w:val="clear" w:color="auto" w:fill="FFFF00"/>
    </w:rPr>
  </w:style>
  <w:style w:type="character" w:customStyle="1" w:styleId="bibjournal">
    <w:name w:val="bib_journal"/>
    <w:basedOn w:val="bibbase"/>
    <w:rsid w:val="009A3899"/>
    <w:rPr>
      <w:sz w:val="24"/>
      <w:bdr w:val="none" w:sz="0" w:space="0" w:color="auto"/>
      <w:shd w:val="clear" w:color="auto" w:fill="808000"/>
    </w:rPr>
  </w:style>
  <w:style w:type="character" w:customStyle="1" w:styleId="biblpage">
    <w:name w:val="bib_lpage"/>
    <w:basedOn w:val="bibbas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basedOn w:val="bibbase"/>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basedOn w:val="bibbase"/>
    <w:rsid w:val="009A3899"/>
    <w:rPr>
      <w:sz w:val="24"/>
      <w:bdr w:val="none" w:sz="0" w:space="0" w:color="auto"/>
      <w:shd w:val="clear" w:color="auto" w:fill="FFFF00"/>
    </w:rPr>
  </w:style>
  <w:style w:type="character" w:customStyle="1" w:styleId="bibsurname">
    <w:name w:val="bib_surname"/>
    <w:basedOn w:val="bibbas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basedOn w:val="bibbase"/>
    <w:rsid w:val="009A3899"/>
    <w:rPr>
      <w:sz w:val="24"/>
      <w:bdr w:val="none" w:sz="0" w:space="0" w:color="auto"/>
      <w:shd w:val="clear" w:color="auto" w:fill="00FF00"/>
    </w:rPr>
  </w:style>
  <w:style w:type="character" w:customStyle="1" w:styleId="bibvolume">
    <w:name w:val="bib_volume"/>
    <w:basedOn w:val="bibbase"/>
    <w:rsid w:val="009A3899"/>
    <w:rPr>
      <w:sz w:val="24"/>
      <w:bdr w:val="none" w:sz="0" w:space="0" w:color="auto"/>
      <w:shd w:val="clear" w:color="auto" w:fill="00FF00"/>
    </w:rPr>
  </w:style>
  <w:style w:type="character" w:customStyle="1" w:styleId="bibyear">
    <w:name w:val="bib_year"/>
    <w:basedOn w:val="bibbase"/>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basedOn w:val="DefaultParagraphFont"/>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basedOn w:val="citebase"/>
    <w:rsid w:val="009A3899"/>
    <w:rPr>
      <w:sz w:val="24"/>
      <w:shd w:val="clear" w:color="auto" w:fill="FFFF00"/>
      <w:vertAlign w:val="superscript"/>
    </w:rPr>
  </w:style>
  <w:style w:type="character" w:customStyle="1" w:styleId="citeeq">
    <w:name w:val="cite_eq"/>
    <w:basedOn w:val="citebase"/>
    <w:rsid w:val="009A3899"/>
    <w:rPr>
      <w:sz w:val="24"/>
      <w:bdr w:val="none" w:sz="0" w:space="0" w:color="auto"/>
      <w:shd w:val="clear" w:color="auto" w:fill="FF99CC"/>
    </w:rPr>
  </w:style>
  <w:style w:type="character" w:customStyle="1" w:styleId="citefig">
    <w:name w:val="cite_fig"/>
    <w:basedOn w:val="citebase"/>
    <w:rsid w:val="009A3899"/>
    <w:rPr>
      <w:color w:val="000000"/>
      <w:sz w:val="24"/>
      <w:bdr w:val="none" w:sz="0" w:space="0" w:color="auto"/>
      <w:shd w:val="clear" w:color="auto" w:fill="00FF00"/>
    </w:rPr>
  </w:style>
  <w:style w:type="character" w:customStyle="1" w:styleId="citefn">
    <w:name w:val="cite_fn"/>
    <w:basedOn w:val="citebase"/>
    <w:rsid w:val="009A3899"/>
    <w:rPr>
      <w:sz w:val="24"/>
      <w:bdr w:val="none" w:sz="0" w:space="0" w:color="auto"/>
      <w:shd w:val="clear" w:color="auto" w:fill="FF0000"/>
    </w:rPr>
  </w:style>
  <w:style w:type="character" w:customStyle="1" w:styleId="citetbl">
    <w:name w:val="cite_tbl"/>
    <w:basedOn w:val="citebase"/>
    <w:rsid w:val="009A3899"/>
    <w:rPr>
      <w:color w:val="000000"/>
      <w:sz w:val="24"/>
      <w:bdr w:val="none" w:sz="0" w:space="0" w:color="auto"/>
      <w:shd w:val="clear" w:color="auto" w:fill="FF00FF"/>
    </w:rPr>
  </w:style>
  <w:style w:type="character" w:styleId="CommentReference">
    <w:name w:val="annotation reference"/>
    <w:basedOn w:val="DefaultParagraphFont"/>
    <w:uiPriority w:val="99"/>
    <w:rsid w:val="009A3899"/>
    <w:rPr>
      <w:sz w:val="18"/>
      <w:szCs w:val="18"/>
    </w:rPr>
  </w:style>
  <w:style w:type="paragraph" w:styleId="CommentText">
    <w:name w:val="annotation text"/>
    <w:basedOn w:val="Normal"/>
    <w:link w:val="CommentTextChar"/>
    <w:uiPriority w:val="99"/>
    <w:semiHidden/>
    <w:rsid w:val="009A3899"/>
    <w:rPr>
      <w:rFonts w:eastAsia="Times New Roman"/>
    </w:rPr>
  </w:style>
  <w:style w:type="character" w:customStyle="1" w:styleId="CommentTextChar">
    <w:name w:val="Comment Text Char"/>
    <w:basedOn w:val="DefaultParagraphFont"/>
    <w:link w:val="CommentText"/>
    <w:uiPriority w:val="99"/>
    <w:semiHidden/>
    <w:rsid w:val="009A389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3899"/>
    <w:rPr>
      <w:b/>
      <w:bCs/>
    </w:rPr>
  </w:style>
  <w:style w:type="character" w:customStyle="1" w:styleId="CommentSubjectChar">
    <w:name w:val="Comment Subject Char"/>
    <w:basedOn w:val="CommentTextChar"/>
    <w:link w:val="CommentSubject"/>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basedOn w:val="DefaultParagraphFont"/>
    <w:rsid w:val="009A3899"/>
    <w:rPr>
      <w:sz w:val="24"/>
      <w:szCs w:val="24"/>
      <w:bdr w:val="none" w:sz="0" w:space="0" w:color="auto"/>
      <w:shd w:val="clear" w:color="auto" w:fill="CCFFCC"/>
    </w:rPr>
  </w:style>
  <w:style w:type="character" w:customStyle="1" w:styleId="ContractSponsor">
    <w:name w:val="Contract Sponsor"/>
    <w:basedOn w:val="DefaultParagraphFont"/>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Emphasis">
    <w:name w:val="Emphasis"/>
    <w:basedOn w:val="DefaultParagraphFont"/>
    <w:uiPriority w:val="20"/>
    <w:qFormat/>
    <w:rsid w:val="009A3899"/>
    <w:rPr>
      <w:i/>
      <w:iCs/>
    </w:rPr>
  </w:style>
  <w:style w:type="character" w:styleId="EndnoteReference">
    <w:name w:val="endnote reference"/>
    <w:basedOn w:val="DefaultParagraphFont"/>
    <w:semiHidden/>
    <w:rsid w:val="009A3899"/>
    <w:rPr>
      <w:vertAlign w:val="superscript"/>
    </w:rPr>
  </w:style>
  <w:style w:type="paragraph" w:styleId="EndnoteText">
    <w:name w:val="endnote text"/>
    <w:basedOn w:val="Normal"/>
    <w:link w:val="EndnoteTextChar"/>
    <w:semiHidden/>
    <w:rsid w:val="009A3899"/>
    <w:rPr>
      <w:rFonts w:ascii="Cambria" w:eastAsia="Cambria" w:hAnsi="Cambria"/>
    </w:rPr>
  </w:style>
  <w:style w:type="character" w:customStyle="1" w:styleId="EndnoteTextChar">
    <w:name w:val="Endnote Text Char"/>
    <w:basedOn w:val="DefaultParagraphFont"/>
    <w:link w:val="EndnoteText"/>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FollowedHyperlink">
    <w:name w:val="FollowedHyperlink"/>
    <w:basedOn w:val="DefaultParagraphFont"/>
    <w:rsid w:val="009A3899"/>
    <w:rPr>
      <w:color w:val="800080"/>
      <w:u w:val="single"/>
    </w:rPr>
  </w:style>
  <w:style w:type="paragraph" w:styleId="Footer">
    <w:name w:val="footer"/>
    <w:basedOn w:val="Normal"/>
    <w:link w:val="FooterChar"/>
    <w:rsid w:val="009A3899"/>
    <w:pPr>
      <w:tabs>
        <w:tab w:val="center" w:pos="4320"/>
        <w:tab w:val="right" w:pos="8640"/>
      </w:tabs>
    </w:pPr>
    <w:rPr>
      <w:rFonts w:eastAsia="Times New Roman"/>
    </w:rPr>
  </w:style>
  <w:style w:type="character" w:customStyle="1" w:styleId="FooterChar">
    <w:name w:val="Footer Char"/>
    <w:basedOn w:val="DefaultParagraphFont"/>
    <w:link w:val="Footer"/>
    <w:rsid w:val="009A3899"/>
    <w:rPr>
      <w:rFonts w:ascii="Times New Roman" w:eastAsia="Times New Roman" w:hAnsi="Times New Roman"/>
      <w:sz w:val="20"/>
      <w:szCs w:val="20"/>
    </w:rPr>
  </w:style>
  <w:style w:type="character" w:styleId="FootnoteReference">
    <w:name w:val="footnote reference"/>
    <w:basedOn w:val="DefaultParagraphFont"/>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Header">
    <w:name w:val="header"/>
    <w:basedOn w:val="Normal"/>
    <w:link w:val="HeaderChar"/>
    <w:rsid w:val="009A3899"/>
    <w:pPr>
      <w:tabs>
        <w:tab w:val="center" w:pos="4320"/>
        <w:tab w:val="right" w:pos="8640"/>
      </w:tabs>
    </w:pPr>
    <w:rPr>
      <w:rFonts w:eastAsia="Times New Roman"/>
    </w:rPr>
  </w:style>
  <w:style w:type="character" w:customStyle="1" w:styleId="HeaderChar">
    <w:name w:val="Header Char"/>
    <w:basedOn w:val="DefaultParagraphFont"/>
    <w:link w:val="Header"/>
    <w:rsid w:val="009A3899"/>
    <w:rPr>
      <w:rFonts w:ascii="Times New Roman" w:eastAsia="Times New Roman" w:hAnsi="Times New Roman"/>
      <w:sz w:val="20"/>
      <w:szCs w:val="20"/>
    </w:rPr>
  </w:style>
  <w:style w:type="character" w:styleId="HTMLAcronym">
    <w:name w:val="HTML Acronym"/>
    <w:basedOn w:val="DefaultParagraphFont"/>
    <w:rsid w:val="009A3899"/>
  </w:style>
  <w:style w:type="character" w:styleId="HTMLCite">
    <w:name w:val="HTML Cite"/>
    <w:basedOn w:val="DefaultParagraphFont"/>
    <w:rsid w:val="009A3899"/>
    <w:rPr>
      <w:i/>
      <w:iCs/>
    </w:rPr>
  </w:style>
  <w:style w:type="character" w:styleId="HTMLCode">
    <w:name w:val="HTML Code"/>
    <w:basedOn w:val="DefaultParagraphFont"/>
    <w:rsid w:val="009A3899"/>
    <w:rPr>
      <w:rFonts w:ascii="Courier New" w:hAnsi="Courier New" w:cs="Courier New"/>
      <w:sz w:val="20"/>
      <w:szCs w:val="20"/>
    </w:rPr>
  </w:style>
  <w:style w:type="character" w:styleId="HTMLDefinition">
    <w:name w:val="HTML Definition"/>
    <w:basedOn w:val="DefaultParagraphFont"/>
    <w:rsid w:val="009A3899"/>
    <w:rPr>
      <w:i/>
      <w:iCs/>
    </w:rPr>
  </w:style>
  <w:style w:type="character" w:styleId="HTMLKeyboard">
    <w:name w:val="HTML Keyboard"/>
    <w:basedOn w:val="DefaultParagraphFont"/>
    <w:rsid w:val="009A3899"/>
    <w:rPr>
      <w:rFonts w:ascii="Courier New" w:hAnsi="Courier New" w:cs="Courier New"/>
      <w:sz w:val="20"/>
      <w:szCs w:val="20"/>
    </w:rPr>
  </w:style>
  <w:style w:type="paragraph" w:styleId="HTMLPreformatted">
    <w:name w:val="HTML Preformatted"/>
    <w:basedOn w:val="Normal"/>
    <w:link w:val="HTMLPreformattedChar"/>
    <w:rsid w:val="009A3899"/>
    <w:rPr>
      <w:rFonts w:ascii="Consolas" w:eastAsia="Times New Roman" w:hAnsi="Consolas"/>
    </w:rPr>
  </w:style>
  <w:style w:type="character" w:customStyle="1" w:styleId="HTMLPreformattedChar">
    <w:name w:val="HTML Preformatted Char"/>
    <w:basedOn w:val="DefaultParagraphFont"/>
    <w:link w:val="HTMLPreformatted"/>
    <w:rsid w:val="009A3899"/>
    <w:rPr>
      <w:rFonts w:ascii="Consolas" w:eastAsia="Times New Roman" w:hAnsi="Consolas"/>
      <w:sz w:val="20"/>
      <w:szCs w:val="20"/>
    </w:rPr>
  </w:style>
  <w:style w:type="character" w:styleId="HTMLSample">
    <w:name w:val="HTML Sample"/>
    <w:basedOn w:val="DefaultParagraphFont"/>
    <w:rsid w:val="009A3899"/>
    <w:rPr>
      <w:rFonts w:ascii="Courier New" w:hAnsi="Courier New" w:cs="Courier New"/>
    </w:rPr>
  </w:style>
  <w:style w:type="character" w:styleId="HTMLTypewriter">
    <w:name w:val="HTML Typewriter"/>
    <w:basedOn w:val="DefaultParagraphFont"/>
    <w:rsid w:val="009A3899"/>
    <w:rPr>
      <w:rFonts w:ascii="Courier New" w:hAnsi="Courier New" w:cs="Courier New"/>
      <w:sz w:val="20"/>
      <w:szCs w:val="20"/>
    </w:rPr>
  </w:style>
  <w:style w:type="character" w:styleId="HTMLVariable">
    <w:name w:val="HTML Variable"/>
    <w:basedOn w:val="DefaultParagraphFont"/>
    <w:rsid w:val="009A3899"/>
    <w:rPr>
      <w:i/>
      <w:iCs/>
    </w:rPr>
  </w:style>
  <w:style w:type="character" w:styleId="Hyperlink">
    <w:name w:val="Hyperlink"/>
    <w:basedOn w:val="DefaultParagraphFont"/>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LineNumber">
    <w:name w:val="line number"/>
    <w:basedOn w:val="DefaultParagraphFont"/>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PageNumber">
    <w:name w:val="page number"/>
    <w:basedOn w:val="DefaultParagraphFont"/>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Strong">
    <w:name w:val="Strong"/>
    <w:basedOn w:val="DefaultParagraphFont"/>
    <w:uiPriority w:val="22"/>
    <w:qFormat/>
    <w:rsid w:val="009A3899"/>
    <w:rPr>
      <w:b/>
      <w:bCs/>
    </w:rPr>
  </w:style>
  <w:style w:type="paragraph" w:customStyle="1" w:styleId="SX-Abstract">
    <w:name w:val="SX-Abstract"/>
    <w:basedOn w:val="Normal"/>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9A3899"/>
    <w:pPr>
      <w:spacing w:after="160" w:line="190" w:lineRule="exact"/>
    </w:pPr>
    <w:rPr>
      <w:rFonts w:ascii="BlissRegular" w:eastAsia="Times New Roman" w:hAnsi="BlissRegular"/>
      <w:sz w:val="16"/>
    </w:rPr>
  </w:style>
  <w:style w:type="paragraph" w:customStyle="1" w:styleId="SX-Articlehead">
    <w:name w:val="SX-Article head"/>
    <w:basedOn w:val="Normal"/>
    <w:qFormat/>
    <w:rsid w:val="009A3899"/>
    <w:pPr>
      <w:spacing w:before="210" w:line="210" w:lineRule="exact"/>
      <w:ind w:firstLine="288"/>
      <w:jc w:val="both"/>
    </w:pPr>
    <w:rPr>
      <w:rFonts w:eastAsia="Times New Roman"/>
      <w:b/>
      <w:sz w:val="18"/>
    </w:rPr>
  </w:style>
  <w:style w:type="paragraph" w:customStyle="1" w:styleId="SX-Authornames">
    <w:name w:val="SX-Author names"/>
    <w:basedOn w:val="Normal"/>
    <w:rsid w:val="009A3899"/>
    <w:pPr>
      <w:spacing w:after="120" w:line="210" w:lineRule="exact"/>
    </w:pPr>
    <w:rPr>
      <w:rFonts w:ascii="BlissMedium" w:eastAsia="Times New Roman" w:hAnsi="BlissMedium"/>
    </w:rPr>
  </w:style>
  <w:style w:type="paragraph" w:customStyle="1" w:styleId="SX-Bodytext">
    <w:name w:val="SX-Body text"/>
    <w:basedOn w:val="Normal"/>
    <w:next w:val="Normal"/>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Normal"/>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Normal"/>
    <w:rsid w:val="009A3899"/>
    <w:pPr>
      <w:spacing w:line="190" w:lineRule="exact"/>
      <w:ind w:left="245" w:hanging="245"/>
      <w:jc w:val="both"/>
    </w:pPr>
    <w:rPr>
      <w:rFonts w:eastAsia="Times New Roman"/>
      <w:sz w:val="16"/>
    </w:rPr>
  </w:style>
  <w:style w:type="paragraph" w:customStyle="1" w:styleId="SX-RefHead">
    <w:name w:val="SX-RefHead"/>
    <w:basedOn w:val="Normal"/>
    <w:rsid w:val="009A3899"/>
    <w:pPr>
      <w:spacing w:before="200" w:line="190" w:lineRule="exact"/>
    </w:pPr>
    <w:rPr>
      <w:rFonts w:eastAsia="Times New Roman"/>
      <w:b/>
      <w:sz w:val="16"/>
    </w:rPr>
  </w:style>
  <w:style w:type="character" w:customStyle="1" w:styleId="SX-reflink">
    <w:name w:val="SX-reflink"/>
    <w:basedOn w:val="DefaultParagraphFont"/>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Normal"/>
    <w:qFormat/>
    <w:rsid w:val="009A3899"/>
    <w:rPr>
      <w:rFonts w:eastAsia="Times New Roman"/>
      <w:szCs w:val="24"/>
    </w:rPr>
  </w:style>
  <w:style w:type="paragraph" w:customStyle="1" w:styleId="SX-Tablelegend">
    <w:name w:val="SX-Tablelegend"/>
    <w:basedOn w:val="Normal"/>
    <w:qFormat/>
    <w:rsid w:val="009A3899"/>
    <w:pPr>
      <w:spacing w:line="190" w:lineRule="exact"/>
      <w:ind w:left="245" w:hanging="245"/>
      <w:jc w:val="both"/>
    </w:pPr>
    <w:rPr>
      <w:rFonts w:eastAsia="Times New Roman"/>
      <w:sz w:val="16"/>
    </w:rPr>
  </w:style>
  <w:style w:type="paragraph" w:customStyle="1" w:styleId="SX-Tabletext">
    <w:name w:val="SX-Tabletext"/>
    <w:basedOn w:val="Normal"/>
    <w:qFormat/>
    <w:rsid w:val="009A3899"/>
    <w:pPr>
      <w:spacing w:line="210" w:lineRule="exact"/>
      <w:jc w:val="center"/>
    </w:pPr>
    <w:rPr>
      <w:rFonts w:eastAsia="Times New Roman"/>
      <w:sz w:val="18"/>
    </w:rPr>
  </w:style>
  <w:style w:type="paragraph" w:customStyle="1" w:styleId="SX-Tabletitle">
    <w:name w:val="SX-Tabletitle"/>
    <w:basedOn w:val="Normal"/>
    <w:qFormat/>
    <w:rsid w:val="009A3899"/>
    <w:pPr>
      <w:spacing w:after="120" w:line="210" w:lineRule="exact"/>
      <w:jc w:val="both"/>
    </w:pPr>
    <w:rPr>
      <w:rFonts w:ascii="BlissMedium" w:eastAsia="Times New Roman" w:hAnsi="BlissMedium"/>
      <w:sz w:val="18"/>
    </w:rPr>
  </w:style>
  <w:style w:type="paragraph" w:customStyle="1" w:styleId="SX-Title">
    <w:name w:val="SX-Title"/>
    <w:basedOn w:val="Normal"/>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Normal"/>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Heading3Char">
    <w:name w:val="Heading 3 Char"/>
    <w:basedOn w:val="DefaultParagraphFont"/>
    <w:link w:val="Heading3"/>
    <w:uiPriority w:val="9"/>
    <w:rsid w:val="00A8283C"/>
    <w:rPr>
      <w:rFonts w:asciiTheme="minorHAnsi" w:eastAsiaTheme="minorHAnsi" w:hAnsiTheme="minorHAnsi" w:cstheme="minorBidi"/>
      <w:b/>
      <w:sz w:val="22"/>
      <w:szCs w:val="22"/>
      <w:lang w:val="en-GB"/>
    </w:rPr>
  </w:style>
  <w:style w:type="table" w:styleId="TableGrid">
    <w:name w:val="Table Grid"/>
    <w:basedOn w:val="TableNormal"/>
    <w:uiPriority w:val="59"/>
    <w:rsid w:val="0021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B733C2"/>
  </w:style>
  <w:style w:type="character" w:customStyle="1" w:styleId="apple-converted-space">
    <w:name w:val="apple-converted-space"/>
    <w:basedOn w:val="DefaultParagraphFont"/>
    <w:rsid w:val="00F85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61611">
      <w:bodyDiv w:val="1"/>
      <w:marLeft w:val="0"/>
      <w:marRight w:val="0"/>
      <w:marTop w:val="0"/>
      <w:marBottom w:val="0"/>
      <w:divBdr>
        <w:top w:val="none" w:sz="0" w:space="0" w:color="auto"/>
        <w:left w:val="none" w:sz="0" w:space="0" w:color="auto"/>
        <w:bottom w:val="none" w:sz="0" w:space="0" w:color="auto"/>
        <w:right w:val="none" w:sz="0" w:space="0" w:color="auto"/>
      </w:divBdr>
    </w:div>
    <w:div w:id="789471946">
      <w:bodyDiv w:val="1"/>
      <w:marLeft w:val="0"/>
      <w:marRight w:val="0"/>
      <w:marTop w:val="0"/>
      <w:marBottom w:val="0"/>
      <w:divBdr>
        <w:top w:val="none" w:sz="0" w:space="0" w:color="auto"/>
        <w:left w:val="none" w:sz="0" w:space="0" w:color="auto"/>
        <w:bottom w:val="none" w:sz="0" w:space="0" w:color="auto"/>
        <w:right w:val="none" w:sz="0" w:space="0" w:color="auto"/>
      </w:divBdr>
    </w:div>
    <w:div w:id="989870832">
      <w:bodyDiv w:val="1"/>
      <w:marLeft w:val="0"/>
      <w:marRight w:val="0"/>
      <w:marTop w:val="0"/>
      <w:marBottom w:val="0"/>
      <w:divBdr>
        <w:top w:val="none" w:sz="0" w:space="0" w:color="auto"/>
        <w:left w:val="none" w:sz="0" w:space="0" w:color="auto"/>
        <w:bottom w:val="none" w:sz="0" w:space="0" w:color="auto"/>
        <w:right w:val="none" w:sz="0" w:space="0" w:color="auto"/>
      </w:divBdr>
    </w:div>
    <w:div w:id="1454977990">
      <w:bodyDiv w:val="1"/>
      <w:marLeft w:val="0"/>
      <w:marRight w:val="0"/>
      <w:marTop w:val="0"/>
      <w:marBottom w:val="0"/>
      <w:divBdr>
        <w:top w:val="none" w:sz="0" w:space="0" w:color="auto"/>
        <w:left w:val="none" w:sz="0" w:space="0" w:color="auto"/>
        <w:bottom w:val="none" w:sz="0" w:space="0" w:color="auto"/>
        <w:right w:val="none" w:sz="0" w:space="0" w:color="auto"/>
      </w:divBdr>
    </w:div>
    <w:div w:id="1695645374">
      <w:bodyDiv w:val="1"/>
      <w:marLeft w:val="0"/>
      <w:marRight w:val="0"/>
      <w:marTop w:val="0"/>
      <w:marBottom w:val="0"/>
      <w:divBdr>
        <w:top w:val="none" w:sz="0" w:space="0" w:color="auto"/>
        <w:left w:val="none" w:sz="0" w:space="0" w:color="auto"/>
        <w:bottom w:val="none" w:sz="0" w:space="0" w:color="auto"/>
        <w:right w:val="none" w:sz="0" w:space="0" w:color="auto"/>
      </w:divBdr>
    </w:div>
    <w:div w:id="1763332200">
      <w:bodyDiv w:val="1"/>
      <w:marLeft w:val="0"/>
      <w:marRight w:val="0"/>
      <w:marTop w:val="0"/>
      <w:marBottom w:val="0"/>
      <w:divBdr>
        <w:top w:val="none" w:sz="0" w:space="0" w:color="auto"/>
        <w:left w:val="none" w:sz="0" w:space="0" w:color="auto"/>
        <w:bottom w:val="none" w:sz="0" w:space="0" w:color="auto"/>
        <w:right w:val="none" w:sz="0" w:space="0" w:color="auto"/>
      </w:divBdr>
    </w:div>
    <w:div w:id="1824353994">
      <w:bodyDiv w:val="1"/>
      <w:marLeft w:val="0"/>
      <w:marRight w:val="0"/>
      <w:marTop w:val="0"/>
      <w:marBottom w:val="0"/>
      <w:divBdr>
        <w:top w:val="none" w:sz="0" w:space="0" w:color="auto"/>
        <w:left w:val="none" w:sz="0" w:space="0" w:color="auto"/>
        <w:bottom w:val="none" w:sz="0" w:space="0" w:color="auto"/>
        <w:right w:val="none" w:sz="0" w:space="0" w:color="auto"/>
      </w:divBdr>
    </w:div>
    <w:div w:id="2073386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edscience.org"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ww.gao.gov/products/GAO-04-60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neil.bruce@york.ac.uk"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6D476-2D32-4EC5-9CC9-4B9F431D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C938AEFD.dotm</Template>
  <TotalTime>1</TotalTime>
  <Pages>13</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25249</CharactersWithSpaces>
  <SharedDoc>false</SharedDoc>
  <HLinks>
    <vt:vector size="24" baseType="variant">
      <vt:variant>
        <vt:i4>7077934</vt:i4>
      </vt:variant>
      <vt:variant>
        <vt:i4>9</vt:i4>
      </vt:variant>
      <vt:variant>
        <vt:i4>0</vt:i4>
      </vt:variant>
      <vt:variant>
        <vt:i4>5</vt:i4>
      </vt:variant>
      <vt:variant>
        <vt:lpwstr>http://www.sciencemag.org/about/authors/prep/res/refs.xhtml</vt:lpwstr>
      </vt:variant>
      <vt:variant>
        <vt:lpwstr/>
      </vt:variant>
      <vt:variant>
        <vt:i4>5177356</vt:i4>
      </vt:variant>
      <vt:variant>
        <vt:i4>6</vt:i4>
      </vt:variant>
      <vt:variant>
        <vt:i4>0</vt:i4>
      </vt:variant>
      <vt:variant>
        <vt:i4>5</vt:i4>
      </vt:variant>
      <vt:variant>
        <vt:lpwstr>http://www.tug.org/utilities/texconv/textopc.html</vt:lpwstr>
      </vt:variant>
      <vt:variant>
        <vt:lpwstr/>
      </vt:variant>
      <vt:variant>
        <vt:i4>3801121</vt:i4>
      </vt:variant>
      <vt:variant>
        <vt:i4>3</vt:i4>
      </vt:variant>
      <vt:variant>
        <vt:i4>0</vt:i4>
      </vt:variant>
      <vt:variant>
        <vt:i4>5</vt:i4>
      </vt:variant>
      <vt:variant>
        <vt:lpwstr>http://www.sciencemag.org/site/feature/contribinfo/index.xhtml</vt:lpwstr>
      </vt:variant>
      <vt:variant>
        <vt:lpwstr/>
      </vt:variant>
      <vt:variant>
        <vt:i4>7798821</vt:i4>
      </vt:variant>
      <vt:variant>
        <vt:i4>0</vt:i4>
      </vt:variant>
      <vt:variant>
        <vt:i4>0</vt:i4>
      </vt:variant>
      <vt:variant>
        <vt:i4>5</vt:i4>
      </vt:variant>
      <vt:variant>
        <vt:lpwstr>http://www.submit2science.org/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bhanson</dc:creator>
  <cp:lastModifiedBy>Neil Bruce</cp:lastModifiedBy>
  <cp:revision>3</cp:revision>
  <cp:lastPrinted>2015-06-26T13:37:00Z</cp:lastPrinted>
  <dcterms:created xsi:type="dcterms:W3CDTF">2015-07-06T09:44:00Z</dcterms:created>
  <dcterms:modified xsi:type="dcterms:W3CDTF">2015-07-06T11:45:00Z</dcterms:modified>
</cp:coreProperties>
</file>