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7F41B" w14:textId="321DACA2" w:rsidR="00123421" w:rsidRPr="007C7C5F" w:rsidRDefault="00310839" w:rsidP="00123421">
      <w:pPr>
        <w:pStyle w:val="Heading1"/>
        <w:numPr>
          <w:ilvl w:val="0"/>
          <w:numId w:val="0"/>
        </w:numPr>
        <w:spacing w:before="0"/>
        <w:jc w:val="both"/>
        <w:rPr>
          <w:rFonts w:asciiTheme="majorHAnsi" w:hAnsiTheme="majorHAnsi" w:cstheme="majorHAnsi"/>
          <w:color w:val="auto"/>
        </w:rPr>
      </w:pPr>
      <w:bookmarkStart w:id="0" w:name="_Toc368665204"/>
      <w:r>
        <w:rPr>
          <w:rFonts w:asciiTheme="majorHAnsi" w:hAnsiTheme="majorHAnsi" w:cstheme="majorHAnsi"/>
          <w:color w:val="auto"/>
        </w:rPr>
        <w:t xml:space="preserve">Integrated </w:t>
      </w:r>
      <w:r w:rsidR="00123421" w:rsidRPr="007C7C5F">
        <w:rPr>
          <w:rFonts w:asciiTheme="majorHAnsi" w:hAnsiTheme="majorHAnsi" w:cstheme="majorHAnsi"/>
          <w:color w:val="auto"/>
        </w:rPr>
        <w:t xml:space="preserve">cost-effectiveness </w:t>
      </w:r>
      <w:r>
        <w:rPr>
          <w:rFonts w:asciiTheme="majorHAnsi" w:hAnsiTheme="majorHAnsi" w:cstheme="majorHAnsi"/>
          <w:color w:val="auto"/>
        </w:rPr>
        <w:t xml:space="preserve">analysis </w:t>
      </w:r>
      <w:r w:rsidR="00123421" w:rsidRPr="007C7C5F">
        <w:rPr>
          <w:rFonts w:asciiTheme="majorHAnsi" w:hAnsiTheme="majorHAnsi" w:cstheme="majorHAnsi"/>
          <w:color w:val="auto"/>
        </w:rPr>
        <w:t xml:space="preserve">of </w:t>
      </w:r>
      <w:proofErr w:type="spellStart"/>
      <w:r w:rsidR="006F65B0">
        <w:rPr>
          <w:rFonts w:asciiTheme="majorHAnsi" w:hAnsiTheme="majorHAnsi" w:cstheme="majorHAnsi"/>
          <w:color w:val="auto"/>
        </w:rPr>
        <w:t>agri</w:t>
      </w:r>
      <w:proofErr w:type="spellEnd"/>
      <w:r w:rsidR="006F65B0">
        <w:rPr>
          <w:rFonts w:asciiTheme="majorHAnsi" w:hAnsiTheme="majorHAnsi" w:cstheme="majorHAnsi"/>
          <w:color w:val="auto"/>
        </w:rPr>
        <w:t xml:space="preserve">-environmental measures for </w:t>
      </w:r>
      <w:r w:rsidR="00123421" w:rsidRPr="007C7C5F">
        <w:rPr>
          <w:rFonts w:asciiTheme="majorHAnsi" w:hAnsiTheme="majorHAnsi" w:cstheme="majorHAnsi"/>
          <w:color w:val="auto"/>
        </w:rPr>
        <w:t xml:space="preserve">water quality </w:t>
      </w:r>
    </w:p>
    <w:p w14:paraId="39AD0F4B" w14:textId="77777777" w:rsidR="00123421" w:rsidRPr="007C7C5F" w:rsidRDefault="00123421" w:rsidP="00123421">
      <w:pPr>
        <w:rPr>
          <w:rFonts w:asciiTheme="majorHAnsi" w:hAnsiTheme="majorHAnsi" w:cstheme="majorHAnsi"/>
        </w:rPr>
      </w:pPr>
    </w:p>
    <w:p w14:paraId="7FF87721" w14:textId="5FE95550" w:rsidR="0056782B" w:rsidRPr="003A2728" w:rsidRDefault="009152FD" w:rsidP="009152FD">
      <w:pPr>
        <w:rPr>
          <w:rFonts w:asciiTheme="majorHAnsi" w:hAnsiTheme="majorHAnsi" w:cstheme="majorHAnsi"/>
          <w:sz w:val="24"/>
          <w:szCs w:val="24"/>
        </w:rPr>
      </w:pPr>
      <w:r w:rsidRPr="003A2728">
        <w:rPr>
          <w:rFonts w:asciiTheme="majorHAnsi" w:hAnsiTheme="majorHAnsi" w:cstheme="majorHAnsi"/>
          <w:sz w:val="24"/>
          <w:szCs w:val="24"/>
        </w:rPr>
        <w:t>Bedru B. Balana</w:t>
      </w:r>
      <w:r w:rsidR="006F65B0" w:rsidRPr="003A2728">
        <w:rPr>
          <w:rFonts w:asciiTheme="majorHAnsi" w:hAnsiTheme="majorHAnsi" w:cstheme="majorHAnsi"/>
          <w:sz w:val="24"/>
          <w:szCs w:val="24"/>
          <w:vertAlign w:val="superscript"/>
        </w:rPr>
        <w:t>1</w:t>
      </w:r>
      <w:proofErr w:type="gramStart"/>
      <w:r w:rsidR="006F65B0" w:rsidRPr="003A2728">
        <w:rPr>
          <w:rFonts w:asciiTheme="majorHAnsi" w:hAnsiTheme="majorHAnsi" w:cstheme="majorHAnsi"/>
          <w:sz w:val="24"/>
          <w:szCs w:val="24"/>
          <w:vertAlign w:val="superscript"/>
        </w:rPr>
        <w:t>,ξ</w:t>
      </w:r>
      <w:proofErr w:type="gramEnd"/>
      <w:r w:rsidR="00E45E3E" w:rsidRPr="003A2728">
        <w:rPr>
          <w:rFonts w:asciiTheme="majorHAnsi" w:hAnsiTheme="majorHAnsi" w:cstheme="majorHAnsi"/>
          <w:sz w:val="24"/>
          <w:szCs w:val="24"/>
          <w:vertAlign w:val="superscript"/>
        </w:rPr>
        <w:t>,§</w:t>
      </w:r>
      <w:r w:rsidR="006F65B0" w:rsidRPr="003A2728">
        <w:rPr>
          <w:rFonts w:asciiTheme="majorHAnsi" w:hAnsiTheme="majorHAnsi" w:cstheme="majorHAnsi"/>
          <w:sz w:val="24"/>
          <w:szCs w:val="24"/>
          <w:vertAlign w:val="superscript"/>
        </w:rPr>
        <w:t xml:space="preserve"> </w:t>
      </w:r>
      <w:r w:rsidRPr="003A2728">
        <w:rPr>
          <w:rFonts w:asciiTheme="majorHAnsi" w:hAnsiTheme="majorHAnsi" w:cstheme="majorHAnsi"/>
          <w:sz w:val="24"/>
          <w:szCs w:val="24"/>
        </w:rPr>
        <w:t>, Leah Jackson-Blake</w:t>
      </w:r>
      <w:r w:rsidRPr="003A2728">
        <w:rPr>
          <w:rFonts w:asciiTheme="majorHAnsi" w:hAnsiTheme="majorHAnsi" w:cstheme="majorHAnsi"/>
          <w:sz w:val="24"/>
          <w:szCs w:val="24"/>
          <w:vertAlign w:val="superscript"/>
        </w:rPr>
        <w:t>2</w:t>
      </w:r>
      <w:r w:rsidRPr="003A2728">
        <w:rPr>
          <w:rFonts w:asciiTheme="majorHAnsi" w:hAnsiTheme="majorHAnsi" w:cstheme="majorHAnsi"/>
          <w:sz w:val="24"/>
          <w:szCs w:val="24"/>
        </w:rPr>
        <w:t>, Julia Martin-Ortega</w:t>
      </w:r>
      <w:r w:rsidR="001871DC">
        <w:rPr>
          <w:rFonts w:asciiTheme="majorHAnsi" w:hAnsiTheme="majorHAnsi" w:cstheme="majorHAnsi"/>
          <w:sz w:val="24"/>
          <w:szCs w:val="24"/>
          <w:vertAlign w:val="superscript"/>
        </w:rPr>
        <w:t>2</w:t>
      </w:r>
      <w:r w:rsidRPr="003A2728">
        <w:rPr>
          <w:rFonts w:asciiTheme="majorHAnsi" w:hAnsiTheme="majorHAnsi" w:cstheme="majorHAnsi"/>
          <w:sz w:val="24"/>
          <w:szCs w:val="24"/>
        </w:rPr>
        <w:t>, Sarah Dunn</w:t>
      </w:r>
      <w:r w:rsidRPr="003A2728">
        <w:rPr>
          <w:rFonts w:asciiTheme="majorHAnsi" w:hAnsiTheme="majorHAnsi" w:cstheme="majorHAnsi"/>
          <w:sz w:val="24"/>
          <w:szCs w:val="24"/>
          <w:vertAlign w:val="superscript"/>
        </w:rPr>
        <w:t xml:space="preserve">2 </w:t>
      </w:r>
    </w:p>
    <w:p w14:paraId="784CF73A" w14:textId="5664418B" w:rsidR="003A2728" w:rsidRPr="003A2728" w:rsidRDefault="009152FD" w:rsidP="00F354B1">
      <w:pPr>
        <w:pStyle w:val="Heading1"/>
        <w:numPr>
          <w:ilvl w:val="0"/>
          <w:numId w:val="0"/>
        </w:numPr>
        <w:spacing w:before="0" w:after="120"/>
        <w:jc w:val="both"/>
        <w:rPr>
          <w:rFonts w:asciiTheme="majorHAnsi" w:hAnsiTheme="majorHAnsi" w:cstheme="majorHAnsi"/>
          <w:b w:val="0"/>
          <w:color w:val="auto"/>
          <w:sz w:val="20"/>
          <w:szCs w:val="20"/>
          <w:vertAlign w:val="superscript"/>
        </w:rPr>
      </w:pPr>
      <w:r w:rsidRPr="003A2728">
        <w:rPr>
          <w:rFonts w:asciiTheme="majorHAnsi" w:hAnsiTheme="majorHAnsi" w:cstheme="majorHAnsi"/>
          <w:b w:val="0"/>
          <w:color w:val="auto"/>
          <w:sz w:val="20"/>
          <w:szCs w:val="20"/>
          <w:vertAlign w:val="superscript"/>
        </w:rPr>
        <w:t>1</w:t>
      </w:r>
      <w:r w:rsidR="003A2728" w:rsidRPr="003A2728">
        <w:rPr>
          <w:rFonts w:asciiTheme="majorHAnsi" w:hAnsiTheme="majorHAnsi"/>
          <w:b w:val="0"/>
          <w:color w:val="auto"/>
          <w:sz w:val="20"/>
          <w:szCs w:val="20"/>
        </w:rPr>
        <w:t xml:space="preserve">International Water Management Institute (IWMI), West Africa Office, PMB CT112, Cantonments, Accra, Ghana. E-mail: </w:t>
      </w:r>
      <w:hyperlink r:id="rId8" w:history="1">
        <w:r w:rsidR="003A2728" w:rsidRPr="003A2728">
          <w:rPr>
            <w:rStyle w:val="Hyperlink"/>
            <w:rFonts w:asciiTheme="majorHAnsi" w:hAnsiTheme="majorHAnsi"/>
            <w:b w:val="0"/>
            <w:color w:val="auto"/>
            <w:sz w:val="20"/>
            <w:szCs w:val="20"/>
          </w:rPr>
          <w:t>b.balana@cgiar.org</w:t>
        </w:r>
      </w:hyperlink>
      <w:r w:rsidR="003A2728" w:rsidRPr="003A2728">
        <w:rPr>
          <w:rFonts w:asciiTheme="majorHAnsi" w:hAnsiTheme="majorHAnsi"/>
          <w:b w:val="0"/>
          <w:color w:val="auto"/>
          <w:sz w:val="20"/>
          <w:szCs w:val="20"/>
        </w:rPr>
        <w:t xml:space="preserve"> (</w:t>
      </w:r>
      <w:r w:rsidR="003A2728" w:rsidRPr="003A2728">
        <w:rPr>
          <w:rFonts w:asciiTheme="majorHAnsi" w:hAnsiTheme="majorHAnsi"/>
          <w:b w:val="0"/>
          <w:i/>
          <w:color w:val="auto"/>
          <w:sz w:val="20"/>
          <w:szCs w:val="20"/>
        </w:rPr>
        <w:t>Current Institutional affiliation).</w:t>
      </w:r>
    </w:p>
    <w:p w14:paraId="4737EB26" w14:textId="77777777" w:rsidR="003A2728" w:rsidRPr="003A2728" w:rsidRDefault="00725A33" w:rsidP="00F354B1">
      <w:pPr>
        <w:pStyle w:val="Heading1"/>
        <w:numPr>
          <w:ilvl w:val="0"/>
          <w:numId w:val="0"/>
        </w:numPr>
        <w:spacing w:before="0" w:after="120"/>
        <w:jc w:val="both"/>
        <w:rPr>
          <w:rFonts w:asciiTheme="majorHAnsi" w:hAnsiTheme="majorHAnsi" w:cstheme="majorHAnsi"/>
          <w:b w:val="0"/>
          <w:color w:val="auto"/>
          <w:sz w:val="20"/>
          <w:szCs w:val="20"/>
        </w:rPr>
      </w:pPr>
      <w:r w:rsidRPr="003A2728">
        <w:rPr>
          <w:rFonts w:asciiTheme="majorHAnsi" w:hAnsiTheme="majorHAnsi" w:cstheme="majorHAnsi"/>
          <w:b w:val="0"/>
          <w:color w:val="auto"/>
          <w:sz w:val="20"/>
          <w:szCs w:val="20"/>
          <w:vertAlign w:val="superscript"/>
        </w:rPr>
        <w:t xml:space="preserve">ξ </w:t>
      </w:r>
      <w:r w:rsidR="003A2728" w:rsidRPr="003A2728">
        <w:rPr>
          <w:rFonts w:asciiTheme="majorHAnsi" w:hAnsiTheme="majorHAnsi" w:cstheme="majorHAnsi"/>
          <w:b w:val="0"/>
          <w:color w:val="auto"/>
          <w:sz w:val="20"/>
          <w:szCs w:val="20"/>
        </w:rPr>
        <w:t xml:space="preserve">The James Hutton Institute, Social Economic and Geographical Sciences, </w:t>
      </w:r>
      <w:proofErr w:type="spellStart"/>
      <w:r w:rsidR="003A2728" w:rsidRPr="003A2728">
        <w:rPr>
          <w:rFonts w:asciiTheme="majorHAnsi" w:hAnsiTheme="majorHAnsi" w:cstheme="majorHAnsi"/>
          <w:b w:val="0"/>
          <w:color w:val="auto"/>
          <w:sz w:val="20"/>
          <w:szCs w:val="20"/>
        </w:rPr>
        <w:t>Criagiebuckler</w:t>
      </w:r>
      <w:proofErr w:type="spellEnd"/>
      <w:r w:rsidR="003A2728" w:rsidRPr="003A2728">
        <w:rPr>
          <w:rFonts w:asciiTheme="majorHAnsi" w:hAnsiTheme="majorHAnsi" w:cstheme="majorHAnsi"/>
          <w:b w:val="0"/>
          <w:color w:val="auto"/>
          <w:sz w:val="20"/>
          <w:szCs w:val="20"/>
        </w:rPr>
        <w:t>, AB15 8QH, Aberdeen, UK</w:t>
      </w:r>
      <w:r w:rsidR="003A2728" w:rsidRPr="00BD5C85">
        <w:rPr>
          <w:rFonts w:asciiTheme="majorHAnsi" w:hAnsiTheme="majorHAnsi" w:cstheme="majorHAnsi"/>
          <w:b w:val="0"/>
          <w:color w:val="auto"/>
          <w:sz w:val="20"/>
          <w:szCs w:val="20"/>
        </w:rPr>
        <w:t xml:space="preserve"> (Institutional affiliation where research was conducted). </w:t>
      </w:r>
    </w:p>
    <w:p w14:paraId="432FE978" w14:textId="265D4FF9" w:rsidR="009152FD" w:rsidRPr="003A2728" w:rsidRDefault="009152FD" w:rsidP="00F354B1">
      <w:pPr>
        <w:pStyle w:val="Heading1"/>
        <w:numPr>
          <w:ilvl w:val="0"/>
          <w:numId w:val="0"/>
        </w:numPr>
        <w:spacing w:before="0" w:after="120"/>
        <w:jc w:val="both"/>
        <w:rPr>
          <w:rFonts w:asciiTheme="majorHAnsi" w:hAnsiTheme="majorHAnsi" w:cstheme="majorHAnsi"/>
          <w:b w:val="0"/>
          <w:color w:val="auto"/>
          <w:sz w:val="20"/>
          <w:szCs w:val="20"/>
        </w:rPr>
      </w:pPr>
      <w:r w:rsidRPr="003A2728">
        <w:rPr>
          <w:rFonts w:asciiTheme="majorHAnsi" w:hAnsiTheme="majorHAnsi" w:cstheme="majorHAnsi"/>
          <w:b w:val="0"/>
          <w:color w:val="auto"/>
          <w:sz w:val="20"/>
          <w:szCs w:val="20"/>
          <w:vertAlign w:val="superscript"/>
        </w:rPr>
        <w:t>2</w:t>
      </w:r>
      <w:r w:rsidRPr="003A2728">
        <w:rPr>
          <w:rFonts w:asciiTheme="majorHAnsi" w:hAnsiTheme="majorHAnsi" w:cstheme="majorHAnsi"/>
          <w:b w:val="0"/>
          <w:color w:val="auto"/>
          <w:sz w:val="20"/>
          <w:szCs w:val="20"/>
        </w:rPr>
        <w:t xml:space="preserve">The James Hutton Institute, </w:t>
      </w:r>
      <w:proofErr w:type="spellStart"/>
      <w:r w:rsidRPr="003A2728">
        <w:rPr>
          <w:rFonts w:asciiTheme="majorHAnsi" w:hAnsiTheme="majorHAnsi" w:cstheme="majorHAnsi"/>
          <w:b w:val="0"/>
          <w:color w:val="auto"/>
          <w:sz w:val="20"/>
          <w:szCs w:val="20"/>
        </w:rPr>
        <w:t>Criagiebuckler</w:t>
      </w:r>
      <w:proofErr w:type="spellEnd"/>
      <w:r w:rsidRPr="003A2728">
        <w:rPr>
          <w:rFonts w:asciiTheme="majorHAnsi" w:hAnsiTheme="majorHAnsi" w:cstheme="majorHAnsi"/>
          <w:b w:val="0"/>
          <w:color w:val="auto"/>
          <w:sz w:val="20"/>
          <w:szCs w:val="20"/>
        </w:rPr>
        <w:t>, AB15 8QH, Aberdeen, UK</w:t>
      </w:r>
      <w:r w:rsidR="00D65F39">
        <w:rPr>
          <w:rFonts w:asciiTheme="majorHAnsi" w:hAnsiTheme="majorHAnsi" w:cstheme="majorHAnsi"/>
          <w:b w:val="0"/>
          <w:color w:val="auto"/>
          <w:sz w:val="20"/>
          <w:szCs w:val="20"/>
        </w:rPr>
        <w:t>.</w:t>
      </w:r>
    </w:p>
    <w:p w14:paraId="0CBCD479" w14:textId="77777777" w:rsidR="009152FD" w:rsidRPr="00880E18" w:rsidRDefault="009152FD" w:rsidP="009152FD">
      <w:pPr>
        <w:rPr>
          <w:rFonts w:asciiTheme="majorHAnsi" w:hAnsiTheme="majorHAnsi" w:cstheme="majorHAnsi"/>
          <w:sz w:val="20"/>
          <w:szCs w:val="20"/>
        </w:rPr>
      </w:pPr>
    </w:p>
    <w:p w14:paraId="3591BD53" w14:textId="33A96AE9" w:rsidR="007C6227" w:rsidRPr="007C7C5F" w:rsidRDefault="009152FD" w:rsidP="009152FD">
      <w:pPr>
        <w:pStyle w:val="Heading1"/>
        <w:numPr>
          <w:ilvl w:val="0"/>
          <w:numId w:val="0"/>
        </w:numPr>
        <w:spacing w:before="0"/>
        <w:ind w:left="432" w:hanging="432"/>
        <w:jc w:val="both"/>
        <w:rPr>
          <w:rFonts w:asciiTheme="majorHAnsi" w:hAnsiTheme="majorHAnsi" w:cstheme="majorHAnsi"/>
        </w:rPr>
      </w:pPr>
      <w:r w:rsidRPr="007C7C5F">
        <w:rPr>
          <w:rFonts w:asciiTheme="majorHAnsi" w:hAnsiTheme="majorHAnsi" w:cstheme="majorHAnsi"/>
          <w:b w:val="0"/>
          <w:color w:val="auto"/>
          <w:sz w:val="22"/>
          <w:szCs w:val="22"/>
        </w:rPr>
        <w:t xml:space="preserve">    </w:t>
      </w:r>
    </w:p>
    <w:p w14:paraId="47CB1447" w14:textId="374C7F02" w:rsidR="00C830FE" w:rsidRPr="007C7C5F" w:rsidRDefault="00C830FE" w:rsidP="00C830FE">
      <w:pPr>
        <w:pStyle w:val="Heading1"/>
        <w:numPr>
          <w:ilvl w:val="0"/>
          <w:numId w:val="0"/>
        </w:numPr>
        <w:spacing w:before="0"/>
        <w:ind w:left="432" w:hanging="432"/>
        <w:jc w:val="both"/>
        <w:rPr>
          <w:rFonts w:asciiTheme="majorHAnsi" w:hAnsiTheme="majorHAnsi" w:cstheme="majorHAnsi"/>
          <w:color w:val="auto"/>
        </w:rPr>
      </w:pPr>
      <w:r w:rsidRPr="007C7C5F">
        <w:rPr>
          <w:rFonts w:asciiTheme="majorHAnsi" w:hAnsiTheme="majorHAnsi" w:cstheme="majorHAnsi"/>
          <w:color w:val="auto"/>
        </w:rPr>
        <w:t>Abstract</w:t>
      </w:r>
      <w:bookmarkEnd w:id="0"/>
    </w:p>
    <w:p w14:paraId="34D7AE41" w14:textId="16798F28" w:rsidR="002D5C69" w:rsidRPr="007C7C5F" w:rsidRDefault="00C474B8" w:rsidP="002D5C69">
      <w:pPr>
        <w:jc w:val="both"/>
        <w:rPr>
          <w:rFonts w:asciiTheme="majorHAnsi" w:hAnsiTheme="majorHAnsi" w:cstheme="majorHAnsi"/>
        </w:rPr>
      </w:pPr>
      <w:r w:rsidRPr="007C7C5F">
        <w:rPr>
          <w:rFonts w:asciiTheme="majorHAnsi" w:hAnsiTheme="majorHAnsi" w:cstheme="majorHAnsi"/>
        </w:rPr>
        <w:t xml:space="preserve">This paper </w:t>
      </w:r>
      <w:r w:rsidR="002D5C69" w:rsidRPr="007C7C5F">
        <w:rPr>
          <w:rFonts w:asciiTheme="majorHAnsi" w:hAnsiTheme="majorHAnsi" w:cstheme="majorHAnsi"/>
        </w:rPr>
        <w:t>presents</w:t>
      </w:r>
      <w:r w:rsidRPr="007C7C5F">
        <w:rPr>
          <w:rFonts w:asciiTheme="majorHAnsi" w:hAnsiTheme="majorHAnsi" w:cstheme="majorHAnsi"/>
        </w:rPr>
        <w:t xml:space="preserve"> an</w:t>
      </w:r>
      <w:r w:rsidR="00F30E5C">
        <w:rPr>
          <w:rFonts w:asciiTheme="majorHAnsi" w:hAnsiTheme="majorHAnsi" w:cstheme="majorHAnsi"/>
        </w:rPr>
        <w:t xml:space="preserve"> application of integrated</w:t>
      </w:r>
      <w:r w:rsidRPr="007C7C5F">
        <w:rPr>
          <w:rFonts w:asciiTheme="majorHAnsi" w:hAnsiTheme="majorHAnsi" w:cstheme="majorHAnsi"/>
        </w:rPr>
        <w:t xml:space="preserve"> </w:t>
      </w:r>
      <w:r w:rsidR="00F30E5C">
        <w:rPr>
          <w:rFonts w:asciiTheme="majorHAnsi" w:hAnsiTheme="majorHAnsi" w:cstheme="majorHAnsi"/>
        </w:rPr>
        <w:t>approach</w:t>
      </w:r>
      <w:r w:rsidRPr="007C7C5F">
        <w:rPr>
          <w:rFonts w:asciiTheme="majorHAnsi" w:hAnsiTheme="majorHAnsi" w:cstheme="majorHAnsi"/>
        </w:rPr>
        <w:t xml:space="preserve"> for identifying cost-effective combinations of </w:t>
      </w:r>
      <w:proofErr w:type="spellStart"/>
      <w:r w:rsidR="00725A33">
        <w:rPr>
          <w:rFonts w:asciiTheme="majorHAnsi" w:hAnsiTheme="majorHAnsi" w:cstheme="majorHAnsi"/>
        </w:rPr>
        <w:t>agri</w:t>
      </w:r>
      <w:proofErr w:type="spellEnd"/>
      <w:r w:rsidR="00725A33">
        <w:rPr>
          <w:rFonts w:asciiTheme="majorHAnsi" w:hAnsiTheme="majorHAnsi" w:cstheme="majorHAnsi"/>
        </w:rPr>
        <w:t xml:space="preserve">-environmental </w:t>
      </w:r>
      <w:r w:rsidRPr="007C7C5F">
        <w:rPr>
          <w:rFonts w:asciiTheme="majorHAnsi" w:hAnsiTheme="majorHAnsi" w:cstheme="majorHAnsi"/>
        </w:rPr>
        <w:t>measures t</w:t>
      </w:r>
      <w:r w:rsidR="00725A33">
        <w:rPr>
          <w:rFonts w:asciiTheme="majorHAnsi" w:hAnsiTheme="majorHAnsi" w:cstheme="majorHAnsi"/>
        </w:rPr>
        <w:t>o achieve water quality targets</w:t>
      </w:r>
      <w:r w:rsidR="00DF5870" w:rsidRPr="007C7C5F">
        <w:rPr>
          <w:rFonts w:asciiTheme="majorHAnsi" w:hAnsiTheme="majorHAnsi" w:cstheme="majorHAnsi"/>
        </w:rPr>
        <w:t>. The</w:t>
      </w:r>
      <w:r w:rsidRPr="007C7C5F">
        <w:rPr>
          <w:rFonts w:asciiTheme="majorHAnsi" w:hAnsiTheme="majorHAnsi" w:cstheme="majorHAnsi"/>
        </w:rPr>
        <w:t xml:space="preserve"> </w:t>
      </w:r>
      <w:r w:rsidR="00F30E5C">
        <w:rPr>
          <w:rFonts w:asciiTheme="majorHAnsi" w:hAnsiTheme="majorHAnsi" w:cstheme="majorHAnsi"/>
        </w:rPr>
        <w:t>methodological approach</w:t>
      </w:r>
      <w:r w:rsidRPr="007C7C5F">
        <w:rPr>
          <w:rFonts w:asciiTheme="majorHAnsi" w:hAnsiTheme="majorHAnsi" w:cstheme="majorHAnsi"/>
        </w:rPr>
        <w:t xml:space="preserve"> involves linking </w:t>
      </w:r>
      <w:r w:rsidR="003C5A2F" w:rsidRPr="007C7C5F">
        <w:rPr>
          <w:rFonts w:asciiTheme="majorHAnsi" w:hAnsiTheme="majorHAnsi" w:cstheme="majorHAnsi"/>
        </w:rPr>
        <w:t xml:space="preserve">hydro-chemical </w:t>
      </w:r>
      <w:r w:rsidRPr="007C7C5F">
        <w:rPr>
          <w:rFonts w:asciiTheme="majorHAnsi" w:hAnsiTheme="majorHAnsi" w:cstheme="majorHAnsi"/>
        </w:rPr>
        <w:t xml:space="preserve">modelling with economic </w:t>
      </w:r>
      <w:r w:rsidR="00DF5870" w:rsidRPr="007C7C5F">
        <w:rPr>
          <w:rFonts w:asciiTheme="majorHAnsi" w:hAnsiTheme="majorHAnsi" w:cstheme="majorHAnsi"/>
        </w:rPr>
        <w:t>cost</w:t>
      </w:r>
      <w:r w:rsidR="007824D2">
        <w:rPr>
          <w:rFonts w:asciiTheme="majorHAnsi" w:hAnsiTheme="majorHAnsi" w:cstheme="majorHAnsi"/>
        </w:rPr>
        <w:t>s</w:t>
      </w:r>
      <w:r w:rsidR="00DF5870" w:rsidRPr="007C7C5F">
        <w:rPr>
          <w:rFonts w:asciiTheme="majorHAnsi" w:hAnsiTheme="majorHAnsi" w:cstheme="majorHAnsi"/>
        </w:rPr>
        <w:t xml:space="preserve"> </w:t>
      </w:r>
      <w:r w:rsidR="00C100BC">
        <w:rPr>
          <w:rFonts w:asciiTheme="majorHAnsi" w:hAnsiTheme="majorHAnsi" w:cstheme="majorHAnsi"/>
        </w:rPr>
        <w:t>of</w:t>
      </w:r>
      <w:r w:rsidR="0073567D" w:rsidRPr="007C7C5F">
        <w:rPr>
          <w:rFonts w:asciiTheme="majorHAnsi" w:hAnsiTheme="majorHAnsi" w:cstheme="majorHAnsi"/>
        </w:rPr>
        <w:t xml:space="preserve"> </w:t>
      </w:r>
      <w:r w:rsidR="00DF5870" w:rsidRPr="007C7C5F">
        <w:rPr>
          <w:rFonts w:asciiTheme="majorHAnsi" w:hAnsiTheme="majorHAnsi" w:cstheme="majorHAnsi"/>
        </w:rPr>
        <w:t xml:space="preserve">mitigation measures. </w:t>
      </w:r>
      <w:r w:rsidR="0073567D" w:rsidRPr="007C7C5F">
        <w:rPr>
          <w:rFonts w:asciiTheme="majorHAnsi" w:hAnsiTheme="majorHAnsi" w:cstheme="majorHAnsi"/>
        </w:rPr>
        <w:t xml:space="preserve">The utility of the approach was explored for the River Dee </w:t>
      </w:r>
      <w:r w:rsidR="00725A33">
        <w:rPr>
          <w:rFonts w:asciiTheme="majorHAnsi" w:hAnsiTheme="majorHAnsi" w:cstheme="majorHAnsi"/>
        </w:rPr>
        <w:t xml:space="preserve">catchment </w:t>
      </w:r>
      <w:r w:rsidR="0073567D" w:rsidRPr="007C7C5F">
        <w:rPr>
          <w:rFonts w:asciiTheme="majorHAnsi" w:hAnsiTheme="majorHAnsi" w:cstheme="majorHAnsi"/>
        </w:rPr>
        <w:t xml:space="preserve">in North East </w:t>
      </w:r>
      <w:r w:rsidR="005D1428" w:rsidRPr="007C7C5F">
        <w:rPr>
          <w:rFonts w:asciiTheme="majorHAnsi" w:hAnsiTheme="majorHAnsi" w:cstheme="majorHAnsi"/>
        </w:rPr>
        <w:t>Scotland</w:t>
      </w:r>
      <w:r w:rsidR="00D36A77" w:rsidRPr="007C7C5F">
        <w:rPr>
          <w:rFonts w:asciiTheme="majorHAnsi" w:hAnsiTheme="majorHAnsi" w:cstheme="majorHAnsi"/>
        </w:rPr>
        <w:t>,</w:t>
      </w:r>
      <w:r w:rsidR="0073567D" w:rsidRPr="007C7C5F">
        <w:rPr>
          <w:rFonts w:asciiTheme="majorHAnsi" w:hAnsiTheme="majorHAnsi" w:cstheme="majorHAnsi"/>
        </w:rPr>
        <w:t xml:space="preserve"> examining the cost-effectiveness of mitigation measures for nitr</w:t>
      </w:r>
      <w:r w:rsidR="00D36A77" w:rsidRPr="007C7C5F">
        <w:rPr>
          <w:rFonts w:asciiTheme="majorHAnsi" w:hAnsiTheme="majorHAnsi" w:cstheme="majorHAnsi"/>
        </w:rPr>
        <w:t>ogen</w:t>
      </w:r>
      <w:r w:rsidR="0073567D" w:rsidRPr="007C7C5F">
        <w:rPr>
          <w:rFonts w:asciiTheme="majorHAnsi" w:hAnsiTheme="majorHAnsi" w:cstheme="majorHAnsi"/>
        </w:rPr>
        <w:t xml:space="preserve"> (N) and phosphorus (P)</w:t>
      </w:r>
      <w:r w:rsidR="00C100BC">
        <w:rPr>
          <w:rFonts w:asciiTheme="majorHAnsi" w:hAnsiTheme="majorHAnsi" w:cstheme="majorHAnsi"/>
        </w:rPr>
        <w:t xml:space="preserve"> pollutants</w:t>
      </w:r>
      <w:r w:rsidR="0073567D" w:rsidRPr="007C7C5F">
        <w:rPr>
          <w:rFonts w:asciiTheme="majorHAnsi" w:hAnsiTheme="majorHAnsi" w:cstheme="majorHAnsi"/>
        </w:rPr>
        <w:t>. In</w:t>
      </w:r>
      <w:r w:rsidR="00D36A77" w:rsidRPr="007C7C5F">
        <w:rPr>
          <w:rFonts w:asciiTheme="majorHAnsi" w:hAnsiTheme="majorHAnsi" w:cstheme="majorHAnsi"/>
        </w:rPr>
        <w:t>-</w:t>
      </w:r>
      <w:r w:rsidR="0073567D" w:rsidRPr="007C7C5F">
        <w:rPr>
          <w:rFonts w:asciiTheme="majorHAnsi" w:hAnsiTheme="majorHAnsi" w:cstheme="majorHAnsi"/>
        </w:rPr>
        <w:t xml:space="preserve">stream nitrate </w:t>
      </w:r>
      <w:r w:rsidR="00D36A77" w:rsidRPr="007C7C5F">
        <w:rPr>
          <w:rFonts w:asciiTheme="majorHAnsi" w:hAnsiTheme="majorHAnsi" w:cstheme="majorHAnsi"/>
        </w:rPr>
        <w:t xml:space="preserve">concentration </w:t>
      </w:r>
      <w:r w:rsidR="0073567D" w:rsidRPr="007C7C5F">
        <w:rPr>
          <w:rFonts w:asciiTheme="majorHAnsi" w:hAnsiTheme="majorHAnsi" w:cstheme="majorHAnsi"/>
        </w:rPr>
        <w:t>was modelled using t</w:t>
      </w:r>
      <w:r w:rsidR="002D5C69" w:rsidRPr="007C7C5F">
        <w:rPr>
          <w:rFonts w:asciiTheme="majorHAnsi" w:hAnsiTheme="majorHAnsi" w:cstheme="majorHAnsi"/>
        </w:rPr>
        <w:t xml:space="preserve">he STREAM-N </w:t>
      </w:r>
      <w:r w:rsidR="0073567D" w:rsidRPr="007C7C5F">
        <w:rPr>
          <w:rFonts w:asciiTheme="majorHAnsi" w:hAnsiTheme="majorHAnsi" w:cstheme="majorHAnsi"/>
        </w:rPr>
        <w:t xml:space="preserve">and phosphorus using </w:t>
      </w:r>
      <w:r w:rsidR="002D5C69" w:rsidRPr="007C7C5F">
        <w:rPr>
          <w:rFonts w:asciiTheme="majorHAnsi" w:hAnsiTheme="majorHAnsi" w:cstheme="majorHAnsi"/>
        </w:rPr>
        <w:t>INCA-P</w:t>
      </w:r>
      <w:r w:rsidR="00C100BC">
        <w:rPr>
          <w:rFonts w:asciiTheme="majorHAnsi" w:hAnsiTheme="majorHAnsi" w:cstheme="majorHAnsi"/>
        </w:rPr>
        <w:t xml:space="preserve"> model</w:t>
      </w:r>
      <w:r w:rsidR="0073567D" w:rsidRPr="007C7C5F">
        <w:rPr>
          <w:rFonts w:asciiTheme="majorHAnsi" w:hAnsiTheme="majorHAnsi" w:cstheme="majorHAnsi"/>
        </w:rPr>
        <w:t>.</w:t>
      </w:r>
      <w:r w:rsidR="002D5C69" w:rsidRPr="007C7C5F">
        <w:rPr>
          <w:rFonts w:asciiTheme="majorHAnsi" w:hAnsiTheme="majorHAnsi" w:cstheme="majorHAnsi"/>
        </w:rPr>
        <w:t xml:space="preserve"> </w:t>
      </w:r>
      <w:r w:rsidR="0073567D" w:rsidRPr="007C7C5F">
        <w:rPr>
          <w:rFonts w:asciiTheme="majorHAnsi" w:hAnsiTheme="majorHAnsi" w:cstheme="majorHAnsi"/>
        </w:rPr>
        <w:t xml:space="preserve">Both models were first </w:t>
      </w:r>
      <w:r w:rsidR="00D36A77" w:rsidRPr="007C7C5F">
        <w:rPr>
          <w:rFonts w:asciiTheme="majorHAnsi" w:hAnsiTheme="majorHAnsi" w:cstheme="majorHAnsi"/>
        </w:rPr>
        <w:t>run for</w:t>
      </w:r>
      <w:r w:rsidR="0073567D" w:rsidRPr="007C7C5F">
        <w:rPr>
          <w:rFonts w:asciiTheme="majorHAnsi" w:hAnsiTheme="majorHAnsi" w:cstheme="majorHAnsi"/>
        </w:rPr>
        <w:t xml:space="preserve"> baseline conditions and then the</w:t>
      </w:r>
      <w:r w:rsidR="007824D2">
        <w:rPr>
          <w:rFonts w:asciiTheme="majorHAnsi" w:hAnsiTheme="majorHAnsi" w:cstheme="majorHAnsi"/>
        </w:rPr>
        <w:t>ir</w:t>
      </w:r>
      <w:r w:rsidR="0073567D" w:rsidRPr="007C7C5F">
        <w:rPr>
          <w:rFonts w:asciiTheme="majorHAnsi" w:hAnsiTheme="majorHAnsi" w:cstheme="majorHAnsi"/>
        </w:rPr>
        <w:t xml:space="preserve"> effectiveness</w:t>
      </w:r>
      <w:r w:rsidR="002D5C69" w:rsidRPr="007C7C5F">
        <w:rPr>
          <w:rFonts w:asciiTheme="majorHAnsi" w:hAnsiTheme="majorHAnsi" w:cstheme="majorHAnsi"/>
        </w:rPr>
        <w:t xml:space="preserve"> </w:t>
      </w:r>
      <w:r w:rsidR="004522FD">
        <w:rPr>
          <w:rFonts w:asciiTheme="majorHAnsi" w:hAnsiTheme="majorHAnsi" w:cstheme="majorHAnsi"/>
        </w:rPr>
        <w:t>for</w:t>
      </w:r>
      <w:r w:rsidR="0073567D" w:rsidRPr="007C7C5F">
        <w:rPr>
          <w:rFonts w:asciiTheme="majorHAnsi" w:hAnsiTheme="majorHAnsi" w:cstheme="majorHAnsi"/>
        </w:rPr>
        <w:t xml:space="preserve"> </w:t>
      </w:r>
      <w:r w:rsidR="002D5C69" w:rsidRPr="007C7C5F">
        <w:rPr>
          <w:rFonts w:asciiTheme="majorHAnsi" w:hAnsiTheme="majorHAnsi" w:cstheme="majorHAnsi"/>
        </w:rPr>
        <w:t>chang</w:t>
      </w:r>
      <w:r w:rsidR="0073567D" w:rsidRPr="007C7C5F">
        <w:rPr>
          <w:rFonts w:asciiTheme="majorHAnsi" w:hAnsiTheme="majorHAnsi" w:cstheme="majorHAnsi"/>
        </w:rPr>
        <w:t>es in</w:t>
      </w:r>
      <w:r w:rsidR="002D5C69" w:rsidRPr="007C7C5F">
        <w:rPr>
          <w:rFonts w:asciiTheme="majorHAnsi" w:hAnsiTheme="majorHAnsi" w:cstheme="majorHAnsi"/>
        </w:rPr>
        <w:t xml:space="preserve"> land management</w:t>
      </w:r>
      <w:r w:rsidR="0073567D" w:rsidRPr="007C7C5F">
        <w:rPr>
          <w:rFonts w:asciiTheme="majorHAnsi" w:hAnsiTheme="majorHAnsi" w:cstheme="majorHAnsi"/>
        </w:rPr>
        <w:t xml:space="preserve"> was simulated</w:t>
      </w:r>
      <w:r w:rsidR="00C100BC">
        <w:rPr>
          <w:rFonts w:asciiTheme="majorHAnsi" w:hAnsiTheme="majorHAnsi" w:cstheme="majorHAnsi"/>
        </w:rPr>
        <w:t>. Cost</w:t>
      </w:r>
      <w:r w:rsidR="002D5C69" w:rsidRPr="007C7C5F">
        <w:rPr>
          <w:rFonts w:asciiTheme="majorHAnsi" w:hAnsiTheme="majorHAnsi" w:cstheme="majorHAnsi"/>
        </w:rPr>
        <w:t>s were based on farm income foregone</w:t>
      </w:r>
      <w:r w:rsidR="00C100BC">
        <w:rPr>
          <w:rFonts w:asciiTheme="majorHAnsi" w:hAnsiTheme="majorHAnsi" w:cstheme="majorHAnsi"/>
        </w:rPr>
        <w:t xml:space="preserve">, </w:t>
      </w:r>
      <w:r w:rsidR="007824D2">
        <w:rPr>
          <w:rFonts w:asciiTheme="majorHAnsi" w:hAnsiTheme="majorHAnsi" w:cstheme="majorHAnsi"/>
        </w:rPr>
        <w:t>capital and operational</w:t>
      </w:r>
      <w:r w:rsidR="00C100BC">
        <w:rPr>
          <w:rFonts w:asciiTheme="majorHAnsi" w:hAnsiTheme="majorHAnsi" w:cstheme="majorHAnsi"/>
        </w:rPr>
        <w:t xml:space="preserve"> expenditures</w:t>
      </w:r>
      <w:r w:rsidR="007824D2">
        <w:rPr>
          <w:rFonts w:asciiTheme="majorHAnsi" w:hAnsiTheme="majorHAnsi" w:cstheme="majorHAnsi"/>
        </w:rPr>
        <w:t xml:space="preserve">. </w:t>
      </w:r>
      <w:r w:rsidR="004522FD">
        <w:rPr>
          <w:rFonts w:asciiTheme="majorHAnsi" w:hAnsiTheme="majorHAnsi" w:cstheme="majorHAnsi"/>
        </w:rPr>
        <w:t>The c</w:t>
      </w:r>
      <w:r w:rsidR="002D5C69" w:rsidRPr="007C7C5F">
        <w:rPr>
          <w:rFonts w:asciiTheme="majorHAnsi" w:hAnsiTheme="majorHAnsi" w:cstheme="majorHAnsi"/>
        </w:rPr>
        <w:t>osts and effect</w:t>
      </w:r>
      <w:r w:rsidR="00C100BC">
        <w:rPr>
          <w:rFonts w:asciiTheme="majorHAnsi" w:hAnsiTheme="majorHAnsi" w:cstheme="majorHAnsi"/>
        </w:rPr>
        <w:t>s data were integrated using</w:t>
      </w:r>
      <w:r w:rsidR="002D5C69" w:rsidRPr="007C7C5F">
        <w:rPr>
          <w:rFonts w:asciiTheme="majorHAnsi" w:hAnsiTheme="majorHAnsi" w:cstheme="majorHAnsi"/>
        </w:rPr>
        <w:t xml:space="preserve"> ‘Risk Solver Platform’ optimization in excel to produce the most cost-effective combination of measures by which target nutrient reductions could be attained at a minimum economic cost. </w:t>
      </w:r>
      <w:r w:rsidR="001B69E9" w:rsidRPr="007C7C5F">
        <w:rPr>
          <w:rFonts w:asciiTheme="majorHAnsi" w:hAnsiTheme="majorHAnsi" w:cstheme="majorHAnsi"/>
        </w:rPr>
        <w:t xml:space="preserve">The analysis identified </w:t>
      </w:r>
      <w:r w:rsidR="001B69E9">
        <w:rPr>
          <w:rFonts w:asciiTheme="majorHAnsi" w:hAnsiTheme="majorHAnsi" w:cstheme="majorHAnsi"/>
        </w:rPr>
        <w:t xml:space="preserve">different combination </w:t>
      </w:r>
      <w:r w:rsidR="000E324B">
        <w:rPr>
          <w:rFonts w:asciiTheme="majorHAnsi" w:hAnsiTheme="majorHAnsi" w:cstheme="majorHAnsi"/>
        </w:rPr>
        <w:t xml:space="preserve">of </w:t>
      </w:r>
      <w:r w:rsidR="001B69E9" w:rsidRPr="007C7C5F">
        <w:rPr>
          <w:rFonts w:asciiTheme="majorHAnsi" w:hAnsiTheme="majorHAnsi" w:cstheme="majorHAnsi"/>
        </w:rPr>
        <w:t>measures as most cost-</w:t>
      </w:r>
      <w:r w:rsidR="001B69E9">
        <w:rPr>
          <w:rFonts w:asciiTheme="majorHAnsi" w:hAnsiTheme="majorHAnsi" w:cstheme="majorHAnsi"/>
        </w:rPr>
        <w:t xml:space="preserve">effective for the two pollutants. An important </w:t>
      </w:r>
      <w:r w:rsidR="00F30E5C">
        <w:rPr>
          <w:rFonts w:asciiTheme="majorHAnsi" w:hAnsiTheme="majorHAnsi" w:cstheme="majorHAnsi"/>
        </w:rPr>
        <w:t xml:space="preserve">aspect </w:t>
      </w:r>
      <w:r w:rsidR="001B69E9">
        <w:rPr>
          <w:rFonts w:asciiTheme="majorHAnsi" w:hAnsiTheme="majorHAnsi" w:cstheme="majorHAnsi"/>
        </w:rPr>
        <w:t xml:space="preserve">of this paper is </w:t>
      </w:r>
      <w:r w:rsidR="0058558A">
        <w:rPr>
          <w:rFonts w:asciiTheme="majorHAnsi" w:hAnsiTheme="majorHAnsi" w:cstheme="majorHAnsi"/>
        </w:rPr>
        <w:t xml:space="preserve">integration of </w:t>
      </w:r>
      <w:r w:rsidR="00F30E5C">
        <w:rPr>
          <w:rFonts w:asciiTheme="majorHAnsi" w:hAnsiTheme="majorHAnsi" w:cstheme="majorHAnsi"/>
        </w:rPr>
        <w:t>model-based</w:t>
      </w:r>
      <w:r w:rsidR="0058558A">
        <w:rPr>
          <w:rFonts w:asciiTheme="majorHAnsi" w:hAnsiTheme="majorHAnsi" w:cstheme="majorHAnsi"/>
        </w:rPr>
        <w:t xml:space="preserve"> effectiveness estimates with economic cost of measures</w:t>
      </w:r>
      <w:r w:rsidR="001B69E9">
        <w:rPr>
          <w:rFonts w:asciiTheme="majorHAnsi" w:hAnsiTheme="majorHAnsi" w:cstheme="majorHAnsi"/>
        </w:rPr>
        <w:t xml:space="preserve"> for cost-effectiveness analysis</w:t>
      </w:r>
      <w:r w:rsidR="00E163F2">
        <w:rPr>
          <w:rFonts w:asciiTheme="majorHAnsi" w:hAnsiTheme="majorHAnsi" w:cstheme="majorHAnsi"/>
        </w:rPr>
        <w:t xml:space="preserve"> of</w:t>
      </w:r>
      <w:r w:rsidR="001B69E9">
        <w:rPr>
          <w:rFonts w:asciiTheme="majorHAnsi" w:hAnsiTheme="majorHAnsi" w:cstheme="majorHAnsi"/>
        </w:rPr>
        <w:t xml:space="preserve"> land and water management options. </w:t>
      </w:r>
      <w:r w:rsidR="00E163F2">
        <w:rPr>
          <w:rFonts w:asciiTheme="majorHAnsi" w:hAnsiTheme="majorHAnsi" w:cstheme="majorHAnsi"/>
        </w:rPr>
        <w:t>The</w:t>
      </w:r>
      <w:r w:rsidR="004522FD">
        <w:rPr>
          <w:rFonts w:asciiTheme="majorHAnsi" w:hAnsiTheme="majorHAnsi" w:cstheme="majorHAnsi"/>
        </w:rPr>
        <w:t xml:space="preserve"> m</w:t>
      </w:r>
      <w:r w:rsidR="00E163F2">
        <w:rPr>
          <w:rFonts w:asciiTheme="majorHAnsi" w:hAnsiTheme="majorHAnsi" w:cstheme="majorHAnsi"/>
        </w:rPr>
        <w:t>ethodological approach</w:t>
      </w:r>
      <w:r w:rsidR="004522FD">
        <w:rPr>
          <w:rFonts w:asciiTheme="majorHAnsi" w:hAnsiTheme="majorHAnsi" w:cstheme="majorHAnsi"/>
        </w:rPr>
        <w:t xml:space="preserve"> developed </w:t>
      </w:r>
      <w:r w:rsidR="001B69E9">
        <w:rPr>
          <w:rFonts w:asciiTheme="majorHAnsi" w:hAnsiTheme="majorHAnsi" w:cstheme="majorHAnsi"/>
        </w:rPr>
        <w:t xml:space="preserve">is not limited to the two pollutants and </w:t>
      </w:r>
      <w:r w:rsidR="00E163F2">
        <w:rPr>
          <w:rFonts w:asciiTheme="majorHAnsi" w:hAnsiTheme="majorHAnsi" w:cstheme="majorHAnsi"/>
        </w:rPr>
        <w:t xml:space="preserve">the </w:t>
      </w:r>
      <w:r w:rsidR="00F30E5C">
        <w:rPr>
          <w:rFonts w:asciiTheme="majorHAnsi" w:hAnsiTheme="majorHAnsi" w:cstheme="majorHAnsi"/>
        </w:rPr>
        <w:t>s</w:t>
      </w:r>
      <w:r w:rsidR="001B69E9">
        <w:rPr>
          <w:rFonts w:asciiTheme="majorHAnsi" w:hAnsiTheme="majorHAnsi" w:cstheme="majorHAnsi"/>
        </w:rPr>
        <w:t xml:space="preserve">elected </w:t>
      </w:r>
      <w:proofErr w:type="spellStart"/>
      <w:r w:rsidR="001B69E9">
        <w:rPr>
          <w:rFonts w:asciiTheme="majorHAnsi" w:hAnsiTheme="majorHAnsi" w:cstheme="majorHAnsi"/>
        </w:rPr>
        <w:t>agri</w:t>
      </w:r>
      <w:proofErr w:type="spellEnd"/>
      <w:r w:rsidR="001B69E9">
        <w:rPr>
          <w:rFonts w:asciiTheme="majorHAnsi" w:hAnsiTheme="majorHAnsi" w:cstheme="majorHAnsi"/>
        </w:rPr>
        <w:t xml:space="preserve">-environmental measures considered in the paper; </w:t>
      </w:r>
      <w:r w:rsidR="00E163F2">
        <w:rPr>
          <w:rFonts w:asciiTheme="majorHAnsi" w:hAnsiTheme="majorHAnsi" w:cstheme="majorHAnsi"/>
        </w:rPr>
        <w:t xml:space="preserve">the </w:t>
      </w:r>
      <w:r w:rsidR="000E324B">
        <w:rPr>
          <w:rFonts w:asciiTheme="majorHAnsi" w:hAnsiTheme="majorHAnsi" w:cstheme="majorHAnsi"/>
        </w:rPr>
        <w:t>approach</w:t>
      </w:r>
      <w:r w:rsidR="001B69E9">
        <w:rPr>
          <w:rFonts w:asciiTheme="majorHAnsi" w:hAnsiTheme="majorHAnsi" w:cstheme="majorHAnsi"/>
        </w:rPr>
        <w:t xml:space="preserve"> </w:t>
      </w:r>
      <w:r w:rsidR="004522FD">
        <w:rPr>
          <w:rFonts w:asciiTheme="majorHAnsi" w:hAnsiTheme="majorHAnsi" w:cstheme="majorHAnsi"/>
        </w:rPr>
        <w:t xml:space="preserve">can be </w:t>
      </w:r>
      <w:r w:rsidR="00E163F2">
        <w:rPr>
          <w:rFonts w:asciiTheme="majorHAnsi" w:hAnsiTheme="majorHAnsi" w:cstheme="majorHAnsi"/>
        </w:rPr>
        <w:t>adapted to</w:t>
      </w:r>
      <w:r w:rsidR="001B69E9">
        <w:rPr>
          <w:rFonts w:asciiTheme="majorHAnsi" w:hAnsiTheme="majorHAnsi" w:cstheme="majorHAnsi"/>
        </w:rPr>
        <w:t xml:space="preserve"> the</w:t>
      </w:r>
      <w:r w:rsidR="004522FD">
        <w:rPr>
          <w:rFonts w:asciiTheme="majorHAnsi" w:hAnsiTheme="majorHAnsi" w:cstheme="majorHAnsi"/>
        </w:rPr>
        <w:t xml:space="preserve"> cost-effectiveness analysis </w:t>
      </w:r>
      <w:r w:rsidR="00E163F2">
        <w:rPr>
          <w:rFonts w:asciiTheme="majorHAnsi" w:hAnsiTheme="majorHAnsi" w:cstheme="majorHAnsi"/>
        </w:rPr>
        <w:t>of any catchment</w:t>
      </w:r>
      <w:r w:rsidR="00775C81">
        <w:rPr>
          <w:rFonts w:asciiTheme="majorHAnsi" w:hAnsiTheme="majorHAnsi" w:cstheme="majorHAnsi"/>
        </w:rPr>
        <w:t>-</w:t>
      </w:r>
      <w:r w:rsidR="00E163F2">
        <w:rPr>
          <w:rFonts w:asciiTheme="majorHAnsi" w:hAnsiTheme="majorHAnsi" w:cstheme="majorHAnsi"/>
        </w:rPr>
        <w:t xml:space="preserve">scale </w:t>
      </w:r>
      <w:r w:rsidR="004522FD">
        <w:rPr>
          <w:rFonts w:asciiTheme="majorHAnsi" w:hAnsiTheme="majorHAnsi" w:cstheme="majorHAnsi"/>
        </w:rPr>
        <w:t xml:space="preserve">environmental </w:t>
      </w:r>
      <w:r w:rsidR="001B69E9">
        <w:rPr>
          <w:rFonts w:asciiTheme="majorHAnsi" w:hAnsiTheme="majorHAnsi" w:cstheme="majorHAnsi"/>
        </w:rPr>
        <w:t>management options</w:t>
      </w:r>
      <w:r w:rsidR="00E163F2">
        <w:rPr>
          <w:rFonts w:asciiTheme="majorHAnsi" w:hAnsiTheme="majorHAnsi" w:cstheme="majorHAnsi"/>
        </w:rPr>
        <w:t>.</w:t>
      </w:r>
      <w:r w:rsidR="001B69E9">
        <w:rPr>
          <w:rFonts w:asciiTheme="majorHAnsi" w:hAnsiTheme="majorHAnsi" w:cstheme="majorHAnsi"/>
        </w:rPr>
        <w:t xml:space="preserve"> </w:t>
      </w:r>
    </w:p>
    <w:p w14:paraId="72745AA8" w14:textId="77777777" w:rsidR="002D5C69" w:rsidRPr="007C7C5F" w:rsidRDefault="002D5C69" w:rsidP="002D5C69">
      <w:pPr>
        <w:jc w:val="both"/>
        <w:rPr>
          <w:rFonts w:asciiTheme="majorHAnsi" w:hAnsiTheme="majorHAnsi" w:cstheme="majorHAnsi"/>
        </w:rPr>
      </w:pPr>
    </w:p>
    <w:p w14:paraId="0EA039D4" w14:textId="77777777" w:rsidR="002D5C69" w:rsidRPr="007C7C5F" w:rsidRDefault="002D5C69" w:rsidP="002D5C69">
      <w:pPr>
        <w:jc w:val="both"/>
        <w:rPr>
          <w:rFonts w:asciiTheme="majorHAnsi" w:hAnsiTheme="majorHAnsi" w:cstheme="majorHAnsi"/>
        </w:rPr>
      </w:pPr>
    </w:p>
    <w:p w14:paraId="33D72639" w14:textId="7A42961D" w:rsidR="002D5C69" w:rsidRPr="007C7C5F" w:rsidRDefault="002D5C69" w:rsidP="002D5C69">
      <w:pPr>
        <w:jc w:val="both"/>
        <w:rPr>
          <w:rFonts w:asciiTheme="majorHAnsi" w:hAnsiTheme="majorHAnsi" w:cstheme="majorHAnsi"/>
        </w:rPr>
      </w:pPr>
      <w:r w:rsidRPr="007C7C5F">
        <w:rPr>
          <w:rFonts w:asciiTheme="majorHAnsi" w:hAnsiTheme="majorHAnsi" w:cstheme="majorHAnsi"/>
          <w:i/>
        </w:rPr>
        <w:t>Key words</w:t>
      </w:r>
      <w:r w:rsidRPr="007C7C5F">
        <w:rPr>
          <w:rFonts w:asciiTheme="majorHAnsi" w:hAnsiTheme="majorHAnsi" w:cstheme="majorHAnsi"/>
        </w:rPr>
        <w:t>:</w:t>
      </w:r>
      <w:r w:rsidR="008565A9" w:rsidRPr="007C7C5F">
        <w:rPr>
          <w:rFonts w:asciiTheme="majorHAnsi" w:hAnsiTheme="majorHAnsi" w:cstheme="majorHAnsi"/>
        </w:rPr>
        <w:t xml:space="preserve"> </w:t>
      </w:r>
      <w:r w:rsidR="00E6102C" w:rsidRPr="007C7C5F">
        <w:rPr>
          <w:rFonts w:asciiTheme="majorHAnsi" w:hAnsiTheme="majorHAnsi" w:cstheme="majorHAnsi"/>
        </w:rPr>
        <w:t xml:space="preserve">Cost-effectiveness; </w:t>
      </w:r>
      <w:r w:rsidR="00022B10">
        <w:rPr>
          <w:rFonts w:asciiTheme="majorHAnsi" w:hAnsiTheme="majorHAnsi" w:cstheme="majorHAnsi"/>
        </w:rPr>
        <w:t>Integrated approach</w:t>
      </w:r>
      <w:r w:rsidR="008565A9" w:rsidRPr="007C7C5F">
        <w:rPr>
          <w:rFonts w:asciiTheme="majorHAnsi" w:hAnsiTheme="majorHAnsi" w:cstheme="majorHAnsi"/>
        </w:rPr>
        <w:t xml:space="preserve">; </w:t>
      </w:r>
      <w:r w:rsidR="00E6102C" w:rsidRPr="007C7C5F">
        <w:rPr>
          <w:rFonts w:asciiTheme="majorHAnsi" w:hAnsiTheme="majorHAnsi" w:cstheme="majorHAnsi"/>
        </w:rPr>
        <w:t>M</w:t>
      </w:r>
      <w:r w:rsidR="008565A9" w:rsidRPr="007C7C5F">
        <w:rPr>
          <w:rFonts w:asciiTheme="majorHAnsi" w:hAnsiTheme="majorHAnsi" w:cstheme="majorHAnsi"/>
        </w:rPr>
        <w:t>itigation measures;</w:t>
      </w:r>
      <w:r w:rsidRPr="007C7C5F">
        <w:rPr>
          <w:rFonts w:asciiTheme="majorHAnsi" w:hAnsiTheme="majorHAnsi" w:cstheme="majorHAnsi"/>
        </w:rPr>
        <w:t xml:space="preserve"> </w:t>
      </w:r>
      <w:r w:rsidR="00E6102C" w:rsidRPr="007C7C5F">
        <w:rPr>
          <w:rFonts w:asciiTheme="majorHAnsi" w:hAnsiTheme="majorHAnsi" w:cstheme="majorHAnsi"/>
        </w:rPr>
        <w:t>Water quality; Dee catchment; Nitrate; Phosphorus</w:t>
      </w:r>
    </w:p>
    <w:p w14:paraId="27282950" w14:textId="77777777" w:rsidR="00814F19" w:rsidRPr="007C7C5F" w:rsidRDefault="00814F19" w:rsidP="002D5C69">
      <w:pPr>
        <w:jc w:val="both"/>
        <w:rPr>
          <w:rFonts w:asciiTheme="majorHAnsi" w:hAnsiTheme="majorHAnsi" w:cstheme="majorHAnsi"/>
        </w:rPr>
      </w:pPr>
    </w:p>
    <w:p w14:paraId="4AC5B229" w14:textId="13C2AD39" w:rsidR="00814F19" w:rsidRPr="007C7C5F" w:rsidRDefault="006F65B0" w:rsidP="009152FD">
      <w:pPr>
        <w:spacing w:after="0"/>
        <w:jc w:val="both"/>
        <w:rPr>
          <w:rFonts w:asciiTheme="majorHAnsi" w:hAnsiTheme="majorHAnsi" w:cstheme="majorHAnsi"/>
        </w:rPr>
      </w:pPr>
      <w:r>
        <w:rPr>
          <w:rFonts w:asciiTheme="majorHAnsi" w:hAnsiTheme="majorHAnsi" w:cstheme="majorHAnsi"/>
          <w:sz w:val="24"/>
          <w:szCs w:val="24"/>
          <w:vertAlign w:val="superscript"/>
        </w:rPr>
        <w:t xml:space="preserve">§ </w:t>
      </w:r>
      <w:r w:rsidR="009152FD" w:rsidRPr="007C7C5F">
        <w:rPr>
          <w:rFonts w:asciiTheme="majorHAnsi" w:hAnsiTheme="majorHAnsi" w:cstheme="majorHAnsi"/>
          <w:i/>
        </w:rPr>
        <w:t>Corresponding author</w:t>
      </w:r>
      <w:r w:rsidR="009152FD" w:rsidRPr="007C7C5F">
        <w:rPr>
          <w:rFonts w:asciiTheme="majorHAnsi" w:hAnsiTheme="majorHAnsi" w:cstheme="majorHAnsi"/>
        </w:rPr>
        <w:t>:</w:t>
      </w:r>
    </w:p>
    <w:p w14:paraId="057746CA" w14:textId="4CB7A7A6" w:rsidR="009152FD" w:rsidRDefault="009152FD" w:rsidP="009152FD">
      <w:pPr>
        <w:spacing w:after="0"/>
        <w:jc w:val="both"/>
        <w:rPr>
          <w:rStyle w:val="Hyperlink"/>
          <w:rFonts w:asciiTheme="majorHAnsi" w:hAnsiTheme="majorHAnsi" w:cstheme="majorHAnsi"/>
        </w:rPr>
      </w:pPr>
      <w:r w:rsidRPr="007C7C5F">
        <w:rPr>
          <w:rFonts w:asciiTheme="majorHAnsi" w:hAnsiTheme="majorHAnsi" w:cstheme="majorHAnsi"/>
        </w:rPr>
        <w:t xml:space="preserve">E-mail: </w:t>
      </w:r>
      <w:hyperlink r:id="rId9" w:history="1">
        <w:r w:rsidR="00857CEA" w:rsidRPr="006472A8">
          <w:rPr>
            <w:rStyle w:val="Hyperlink"/>
            <w:rFonts w:asciiTheme="majorHAnsi" w:hAnsiTheme="majorHAnsi" w:cstheme="majorHAnsi"/>
          </w:rPr>
          <w:t>b.balana@cgiar.org</w:t>
        </w:r>
      </w:hyperlink>
      <w:r w:rsidR="00857CEA">
        <w:rPr>
          <w:rFonts w:asciiTheme="majorHAnsi" w:hAnsiTheme="majorHAnsi" w:cstheme="majorHAnsi"/>
        </w:rPr>
        <w:t xml:space="preserve"> </w:t>
      </w:r>
      <w:r w:rsidRPr="007C7C5F">
        <w:rPr>
          <w:rFonts w:asciiTheme="majorHAnsi" w:hAnsiTheme="majorHAnsi" w:cstheme="majorHAnsi"/>
        </w:rPr>
        <w:t xml:space="preserve"> </w:t>
      </w:r>
    </w:p>
    <w:p w14:paraId="0DB27A05" w14:textId="5ABCC070" w:rsidR="00F86B10" w:rsidRPr="007C7C5F" w:rsidRDefault="00C75503" w:rsidP="00145ED9">
      <w:pPr>
        <w:pStyle w:val="Heading1"/>
        <w:rPr>
          <w:rFonts w:asciiTheme="majorHAnsi" w:hAnsiTheme="majorHAnsi" w:cstheme="majorHAnsi"/>
          <w:color w:val="auto"/>
        </w:rPr>
      </w:pPr>
      <w:bookmarkStart w:id="1" w:name="_Toc368665209"/>
      <w:r w:rsidRPr="007C7C5F">
        <w:rPr>
          <w:rFonts w:asciiTheme="majorHAnsi" w:hAnsiTheme="majorHAnsi" w:cstheme="majorHAnsi"/>
          <w:color w:val="auto"/>
        </w:rPr>
        <w:lastRenderedPageBreak/>
        <w:t>I</w:t>
      </w:r>
      <w:r w:rsidR="00F86B10" w:rsidRPr="007C7C5F">
        <w:rPr>
          <w:rFonts w:asciiTheme="majorHAnsi" w:hAnsiTheme="majorHAnsi" w:cstheme="majorHAnsi"/>
          <w:color w:val="auto"/>
        </w:rPr>
        <w:t>ntroduction</w:t>
      </w:r>
      <w:bookmarkEnd w:id="1"/>
    </w:p>
    <w:p w14:paraId="12FFBA22" w14:textId="77777777" w:rsidR="00F15FE7" w:rsidRPr="007C7C5F" w:rsidRDefault="00F15FE7" w:rsidP="005815B0">
      <w:pPr>
        <w:spacing w:after="0"/>
        <w:jc w:val="both"/>
        <w:rPr>
          <w:rFonts w:asciiTheme="majorHAnsi" w:hAnsiTheme="majorHAnsi" w:cstheme="majorHAnsi"/>
          <w:sz w:val="20"/>
          <w:szCs w:val="20"/>
        </w:rPr>
      </w:pPr>
    </w:p>
    <w:p w14:paraId="0A854606" w14:textId="22403E53" w:rsidR="00383D21" w:rsidRPr="007C7C5F" w:rsidRDefault="00830C8A" w:rsidP="005815B0">
      <w:pPr>
        <w:autoSpaceDE w:val="0"/>
        <w:autoSpaceDN w:val="0"/>
        <w:adjustRightInd w:val="0"/>
        <w:spacing w:after="0"/>
        <w:jc w:val="both"/>
        <w:rPr>
          <w:rFonts w:asciiTheme="majorHAnsi" w:eastAsiaTheme="minorEastAsia" w:hAnsiTheme="majorHAnsi" w:cstheme="majorHAnsi"/>
        </w:rPr>
      </w:pPr>
      <w:r>
        <w:rPr>
          <w:rFonts w:asciiTheme="majorHAnsi" w:hAnsiTheme="majorHAnsi" w:cstheme="majorHAnsi"/>
        </w:rPr>
        <w:t>The need for e</w:t>
      </w:r>
      <w:r w:rsidR="00067F06">
        <w:rPr>
          <w:rFonts w:asciiTheme="majorHAnsi" w:hAnsiTheme="majorHAnsi" w:cstheme="majorHAnsi"/>
        </w:rPr>
        <w:t xml:space="preserve">conomic analysis </w:t>
      </w:r>
      <w:r>
        <w:rPr>
          <w:rFonts w:asciiTheme="majorHAnsi" w:hAnsiTheme="majorHAnsi" w:cstheme="majorHAnsi"/>
        </w:rPr>
        <w:t>for supporting water management and policy decisions in Europe is explicitly recognised in t</w:t>
      </w:r>
      <w:r w:rsidR="00145ED9" w:rsidRPr="007C7C5F">
        <w:rPr>
          <w:rFonts w:asciiTheme="majorHAnsi" w:hAnsiTheme="majorHAnsi" w:cstheme="majorHAnsi"/>
        </w:rPr>
        <w:t xml:space="preserve">he </w:t>
      </w:r>
      <w:r w:rsidR="00AD099C" w:rsidRPr="007C7C5F">
        <w:rPr>
          <w:rFonts w:asciiTheme="majorHAnsi" w:hAnsiTheme="majorHAnsi" w:cstheme="majorHAnsi"/>
        </w:rPr>
        <w:t xml:space="preserve">EU </w:t>
      </w:r>
      <w:r w:rsidR="00145ED9" w:rsidRPr="007C7C5F">
        <w:rPr>
          <w:rFonts w:asciiTheme="majorHAnsi" w:hAnsiTheme="majorHAnsi" w:cstheme="majorHAnsi"/>
        </w:rPr>
        <w:t>Water Framework Directive (WFD)</w:t>
      </w:r>
      <w:r>
        <w:rPr>
          <w:rFonts w:asciiTheme="majorHAnsi" w:hAnsiTheme="majorHAnsi" w:cstheme="majorHAnsi"/>
        </w:rPr>
        <w:t>.</w:t>
      </w:r>
      <w:r w:rsidR="00145ED9" w:rsidRPr="007C7C5F">
        <w:rPr>
          <w:rFonts w:asciiTheme="majorHAnsi" w:hAnsiTheme="majorHAnsi" w:cstheme="majorHAnsi"/>
        </w:rPr>
        <w:t xml:space="preserve"> </w:t>
      </w:r>
      <w:r>
        <w:rPr>
          <w:rFonts w:asciiTheme="majorHAnsi" w:hAnsiTheme="majorHAnsi" w:cstheme="majorHAnsi"/>
        </w:rPr>
        <w:t>EU m</w:t>
      </w:r>
      <w:r w:rsidR="00145ED9" w:rsidRPr="007C7C5F">
        <w:rPr>
          <w:rFonts w:asciiTheme="majorHAnsi" w:hAnsiTheme="majorHAnsi" w:cstheme="majorHAnsi"/>
        </w:rPr>
        <w:t xml:space="preserve">ember States </w:t>
      </w:r>
      <w:r>
        <w:rPr>
          <w:rFonts w:asciiTheme="majorHAnsi" w:hAnsiTheme="majorHAnsi" w:cstheme="majorHAnsi"/>
        </w:rPr>
        <w:t xml:space="preserve">were required </w:t>
      </w:r>
      <w:r w:rsidR="00145ED9" w:rsidRPr="007C7C5F">
        <w:rPr>
          <w:rFonts w:asciiTheme="majorHAnsi" w:hAnsiTheme="majorHAnsi" w:cstheme="majorHAnsi"/>
        </w:rPr>
        <w:t xml:space="preserve">to adopt </w:t>
      </w:r>
      <w:r>
        <w:rPr>
          <w:rFonts w:asciiTheme="majorHAnsi" w:hAnsiTheme="majorHAnsi" w:cstheme="majorHAnsi"/>
        </w:rPr>
        <w:t>cost-effective water resource management</w:t>
      </w:r>
      <w:r w:rsidR="00145ED9" w:rsidRPr="007C7C5F">
        <w:rPr>
          <w:rFonts w:asciiTheme="majorHAnsi" w:hAnsiTheme="majorHAnsi" w:cstheme="majorHAnsi"/>
        </w:rPr>
        <w:t xml:space="preserve"> meas</w:t>
      </w:r>
      <w:r w:rsidR="00D261EB" w:rsidRPr="007C7C5F">
        <w:rPr>
          <w:rFonts w:asciiTheme="majorHAnsi" w:hAnsiTheme="majorHAnsi" w:cstheme="majorHAnsi"/>
        </w:rPr>
        <w:t xml:space="preserve">ures to achieve ‘good </w:t>
      </w:r>
      <w:r w:rsidR="00D36A77" w:rsidRPr="007C7C5F">
        <w:rPr>
          <w:rFonts w:asciiTheme="majorHAnsi" w:hAnsiTheme="majorHAnsi" w:cstheme="majorHAnsi"/>
        </w:rPr>
        <w:t xml:space="preserve">ecological </w:t>
      </w:r>
      <w:r w:rsidR="00D261EB" w:rsidRPr="007C7C5F">
        <w:rPr>
          <w:rFonts w:asciiTheme="majorHAnsi" w:hAnsiTheme="majorHAnsi" w:cstheme="majorHAnsi"/>
        </w:rPr>
        <w:t>status’ for</w:t>
      </w:r>
      <w:r w:rsidR="00145ED9" w:rsidRPr="007C7C5F">
        <w:rPr>
          <w:rFonts w:asciiTheme="majorHAnsi" w:hAnsiTheme="majorHAnsi" w:cstheme="majorHAnsi"/>
        </w:rPr>
        <w:t xml:space="preserve"> all waters </w:t>
      </w:r>
      <w:r w:rsidR="00EB175F" w:rsidRPr="007C7C5F">
        <w:rPr>
          <w:rFonts w:asciiTheme="majorHAnsi" w:hAnsiTheme="majorHAnsi" w:cstheme="majorHAnsi"/>
        </w:rPr>
        <w:t xml:space="preserve">by </w:t>
      </w:r>
      <w:r w:rsidR="00145ED9" w:rsidRPr="007C7C5F">
        <w:rPr>
          <w:rFonts w:asciiTheme="majorHAnsi" w:hAnsiTheme="majorHAnsi" w:cstheme="majorHAnsi"/>
        </w:rPr>
        <w:t>2015 (EC, 2000; WATECO, 2003).</w:t>
      </w:r>
      <w:r w:rsidR="00D261EB" w:rsidRPr="007C7C5F">
        <w:rPr>
          <w:rFonts w:asciiTheme="majorHAnsi" w:hAnsiTheme="majorHAnsi" w:cstheme="majorHAnsi"/>
        </w:rPr>
        <w:t xml:space="preserve"> </w:t>
      </w:r>
      <w:r w:rsidR="00424091">
        <w:rPr>
          <w:rFonts w:asciiTheme="majorHAnsi" w:hAnsiTheme="majorHAnsi" w:cstheme="majorHAnsi"/>
        </w:rPr>
        <w:t xml:space="preserve">In relation to </w:t>
      </w:r>
      <w:r w:rsidR="00511834">
        <w:rPr>
          <w:rFonts w:asciiTheme="majorHAnsi" w:hAnsiTheme="majorHAnsi" w:cstheme="majorHAnsi"/>
        </w:rPr>
        <w:t xml:space="preserve">the WFD, </w:t>
      </w:r>
      <w:r w:rsidR="00511834">
        <w:rPr>
          <w:rFonts w:asciiTheme="majorHAnsi" w:eastAsiaTheme="minorEastAsia" w:hAnsiTheme="majorHAnsi" w:cstheme="majorHAnsi"/>
        </w:rPr>
        <w:t>c</w:t>
      </w:r>
      <w:r w:rsidR="00C72680" w:rsidRPr="007C7C5F">
        <w:rPr>
          <w:rFonts w:asciiTheme="majorHAnsi" w:eastAsiaTheme="minorEastAsia" w:hAnsiTheme="majorHAnsi" w:cstheme="majorHAnsi"/>
        </w:rPr>
        <w:t>ost</w:t>
      </w:r>
      <w:r w:rsidR="00424091">
        <w:rPr>
          <w:rFonts w:asciiTheme="majorHAnsi" w:eastAsiaTheme="minorEastAsia" w:hAnsiTheme="majorHAnsi" w:cstheme="majorHAnsi"/>
        </w:rPr>
        <w:t>-effectiveness analysis (CEA) involves</w:t>
      </w:r>
      <w:r w:rsidR="00C72680" w:rsidRPr="007C7C5F">
        <w:rPr>
          <w:rFonts w:asciiTheme="majorHAnsi" w:eastAsiaTheme="minorEastAsia" w:hAnsiTheme="majorHAnsi" w:cstheme="majorHAnsi"/>
        </w:rPr>
        <w:t xml:space="preserve"> an integrated </w:t>
      </w:r>
      <w:r w:rsidR="00587D2D" w:rsidRPr="007C7C5F">
        <w:rPr>
          <w:rFonts w:asciiTheme="majorHAnsi" w:eastAsiaTheme="minorEastAsia" w:hAnsiTheme="majorHAnsi" w:cstheme="majorHAnsi"/>
        </w:rPr>
        <w:t xml:space="preserve">appraisal </w:t>
      </w:r>
      <w:r w:rsidR="00C72680" w:rsidRPr="007C7C5F">
        <w:rPr>
          <w:rFonts w:asciiTheme="majorHAnsi" w:eastAsiaTheme="minorEastAsia" w:hAnsiTheme="majorHAnsi" w:cstheme="majorHAnsi"/>
        </w:rPr>
        <w:t xml:space="preserve">technique that provides a ranking of </w:t>
      </w:r>
      <w:r w:rsidR="00511834">
        <w:rPr>
          <w:rFonts w:asciiTheme="majorHAnsi" w:eastAsiaTheme="minorEastAsia" w:hAnsiTheme="majorHAnsi" w:cstheme="majorHAnsi"/>
        </w:rPr>
        <w:t>a set of</w:t>
      </w:r>
      <w:r w:rsidR="00C72680" w:rsidRPr="007C7C5F">
        <w:rPr>
          <w:rFonts w:asciiTheme="majorHAnsi" w:eastAsiaTheme="minorEastAsia" w:hAnsiTheme="majorHAnsi" w:cstheme="majorHAnsi"/>
        </w:rPr>
        <w:t xml:space="preserve"> </w:t>
      </w:r>
      <w:r w:rsidR="00511834">
        <w:rPr>
          <w:rFonts w:asciiTheme="majorHAnsi" w:eastAsiaTheme="minorEastAsia" w:hAnsiTheme="majorHAnsi" w:cstheme="majorHAnsi"/>
        </w:rPr>
        <w:t>management</w:t>
      </w:r>
      <w:r w:rsidR="00AD099C" w:rsidRPr="007C7C5F">
        <w:rPr>
          <w:rFonts w:asciiTheme="majorHAnsi" w:eastAsiaTheme="minorEastAsia" w:hAnsiTheme="majorHAnsi" w:cstheme="majorHAnsi"/>
        </w:rPr>
        <w:t xml:space="preserve"> </w:t>
      </w:r>
      <w:r w:rsidR="00511834">
        <w:rPr>
          <w:rFonts w:asciiTheme="majorHAnsi" w:eastAsiaTheme="minorEastAsia" w:hAnsiTheme="majorHAnsi" w:cstheme="majorHAnsi"/>
        </w:rPr>
        <w:t>measure</w:t>
      </w:r>
      <w:r w:rsidR="00C72680" w:rsidRPr="007C7C5F">
        <w:rPr>
          <w:rFonts w:asciiTheme="majorHAnsi" w:eastAsiaTheme="minorEastAsia" w:hAnsiTheme="majorHAnsi" w:cstheme="majorHAnsi"/>
        </w:rPr>
        <w:t>s on the basis of their costs and effectiveness for achieving the</w:t>
      </w:r>
      <w:r w:rsidR="00AD099C" w:rsidRPr="007C7C5F">
        <w:rPr>
          <w:rFonts w:asciiTheme="majorHAnsi" w:eastAsiaTheme="minorEastAsia" w:hAnsiTheme="majorHAnsi" w:cstheme="majorHAnsi"/>
        </w:rPr>
        <w:t xml:space="preserve"> </w:t>
      </w:r>
      <w:r w:rsidR="00C72680" w:rsidRPr="007C7C5F">
        <w:rPr>
          <w:rFonts w:asciiTheme="majorHAnsi" w:eastAsiaTheme="minorEastAsia" w:hAnsiTheme="majorHAnsi" w:cstheme="majorHAnsi"/>
        </w:rPr>
        <w:t xml:space="preserve">objectives set out in the Directive. </w:t>
      </w:r>
      <w:r w:rsidR="00511834">
        <w:rPr>
          <w:rFonts w:asciiTheme="majorHAnsi" w:eastAsiaTheme="minorEastAsia" w:hAnsiTheme="majorHAnsi" w:cstheme="majorHAnsi"/>
        </w:rPr>
        <w:t>This</w:t>
      </w:r>
      <w:r w:rsidR="00C72680" w:rsidRPr="007C7C5F">
        <w:rPr>
          <w:rFonts w:asciiTheme="majorHAnsi" w:eastAsiaTheme="minorEastAsia" w:hAnsiTheme="majorHAnsi" w:cstheme="majorHAnsi"/>
        </w:rPr>
        <w:t xml:space="preserve"> entails the assessment</w:t>
      </w:r>
      <w:r w:rsidR="00511834">
        <w:rPr>
          <w:rFonts w:asciiTheme="majorHAnsi" w:eastAsiaTheme="minorEastAsia" w:hAnsiTheme="majorHAnsi" w:cstheme="majorHAnsi"/>
        </w:rPr>
        <w:t xml:space="preserve"> of</w:t>
      </w:r>
      <w:r w:rsidR="00C72680" w:rsidRPr="007C7C5F">
        <w:rPr>
          <w:rFonts w:asciiTheme="majorHAnsi" w:eastAsiaTheme="minorEastAsia" w:hAnsiTheme="majorHAnsi" w:cstheme="majorHAnsi"/>
        </w:rPr>
        <w:t xml:space="preserve"> </w:t>
      </w:r>
      <w:r w:rsidR="00587D2D" w:rsidRPr="007C7C5F">
        <w:rPr>
          <w:rFonts w:asciiTheme="majorHAnsi" w:eastAsiaTheme="minorEastAsia" w:hAnsiTheme="majorHAnsi" w:cstheme="majorHAnsi"/>
        </w:rPr>
        <w:t>implementation</w:t>
      </w:r>
      <w:r w:rsidR="00511834">
        <w:rPr>
          <w:rFonts w:asciiTheme="majorHAnsi" w:eastAsiaTheme="minorEastAsia" w:hAnsiTheme="majorHAnsi" w:cstheme="majorHAnsi"/>
        </w:rPr>
        <w:t xml:space="preserve"> costs of measures</w:t>
      </w:r>
      <w:r w:rsidR="00587D2D" w:rsidRPr="007C7C5F">
        <w:rPr>
          <w:rFonts w:asciiTheme="majorHAnsi" w:eastAsiaTheme="minorEastAsia" w:hAnsiTheme="majorHAnsi" w:cstheme="majorHAnsi"/>
        </w:rPr>
        <w:t xml:space="preserve"> and </w:t>
      </w:r>
      <w:r w:rsidR="00511834">
        <w:rPr>
          <w:rFonts w:asciiTheme="majorHAnsi" w:eastAsiaTheme="minorEastAsia" w:hAnsiTheme="majorHAnsi" w:cstheme="majorHAnsi"/>
        </w:rPr>
        <w:t xml:space="preserve">their </w:t>
      </w:r>
      <w:r w:rsidR="00587D2D" w:rsidRPr="007C7C5F">
        <w:rPr>
          <w:rFonts w:asciiTheme="majorHAnsi" w:eastAsiaTheme="minorEastAsia" w:hAnsiTheme="majorHAnsi" w:cstheme="majorHAnsi"/>
        </w:rPr>
        <w:t xml:space="preserve">impacts on the water bodies </w:t>
      </w:r>
      <w:r w:rsidR="00C72680" w:rsidRPr="007C7C5F">
        <w:rPr>
          <w:rFonts w:asciiTheme="majorHAnsi" w:eastAsiaTheme="minorEastAsia" w:hAnsiTheme="majorHAnsi" w:cstheme="majorHAnsi"/>
        </w:rPr>
        <w:t xml:space="preserve">to meet the pre-specified water </w:t>
      </w:r>
      <w:r w:rsidR="00511834">
        <w:rPr>
          <w:rFonts w:asciiTheme="majorHAnsi" w:eastAsiaTheme="minorEastAsia" w:hAnsiTheme="majorHAnsi" w:cstheme="majorHAnsi"/>
        </w:rPr>
        <w:t xml:space="preserve">quality and/or quantity </w:t>
      </w:r>
      <w:r w:rsidR="00C72680" w:rsidRPr="007C7C5F">
        <w:rPr>
          <w:rFonts w:asciiTheme="majorHAnsi" w:eastAsiaTheme="minorEastAsia" w:hAnsiTheme="majorHAnsi" w:cstheme="majorHAnsi"/>
        </w:rPr>
        <w:t>objective</w:t>
      </w:r>
      <w:r w:rsidR="00587D2D" w:rsidRPr="007C7C5F">
        <w:rPr>
          <w:rFonts w:asciiTheme="majorHAnsi" w:eastAsiaTheme="minorEastAsia" w:hAnsiTheme="majorHAnsi" w:cstheme="majorHAnsi"/>
        </w:rPr>
        <w:t xml:space="preserve"> at </w:t>
      </w:r>
      <w:r w:rsidR="00511834">
        <w:rPr>
          <w:rFonts w:asciiTheme="majorHAnsi" w:eastAsiaTheme="minorEastAsia" w:hAnsiTheme="majorHAnsi" w:cstheme="majorHAnsi"/>
        </w:rPr>
        <w:t xml:space="preserve">a </w:t>
      </w:r>
      <w:r w:rsidR="00587D2D" w:rsidRPr="007C7C5F">
        <w:rPr>
          <w:rFonts w:asciiTheme="majorHAnsi" w:eastAsiaTheme="minorEastAsia" w:hAnsiTheme="majorHAnsi" w:cstheme="majorHAnsi"/>
        </w:rPr>
        <w:t xml:space="preserve">minimum economic cost. </w:t>
      </w:r>
    </w:p>
    <w:p w14:paraId="5B37AACA" w14:textId="77777777" w:rsidR="006440C2" w:rsidRPr="007C7C5F" w:rsidRDefault="006440C2" w:rsidP="005815B0">
      <w:pPr>
        <w:autoSpaceDE w:val="0"/>
        <w:autoSpaceDN w:val="0"/>
        <w:adjustRightInd w:val="0"/>
        <w:spacing w:after="0"/>
        <w:jc w:val="both"/>
        <w:rPr>
          <w:rFonts w:asciiTheme="majorHAnsi" w:eastAsiaTheme="minorEastAsia" w:hAnsiTheme="majorHAnsi" w:cstheme="majorHAnsi"/>
        </w:rPr>
      </w:pPr>
    </w:p>
    <w:p w14:paraId="71E5A775" w14:textId="65089867" w:rsidR="006440C2" w:rsidRPr="007C7C5F" w:rsidRDefault="00424091" w:rsidP="00F41F7B">
      <w:pPr>
        <w:autoSpaceDE w:val="0"/>
        <w:autoSpaceDN w:val="0"/>
        <w:adjustRightInd w:val="0"/>
        <w:spacing w:after="0"/>
        <w:jc w:val="both"/>
        <w:rPr>
          <w:rFonts w:asciiTheme="majorHAnsi" w:eastAsiaTheme="minorEastAsia" w:hAnsiTheme="majorHAnsi" w:cstheme="majorHAnsi"/>
        </w:rPr>
      </w:pPr>
      <w:r w:rsidRPr="007C7C5F">
        <w:rPr>
          <w:rFonts w:asciiTheme="majorHAnsi" w:eastAsiaTheme="minorEastAsia" w:hAnsiTheme="majorHAnsi" w:cstheme="majorHAnsi"/>
        </w:rPr>
        <w:t xml:space="preserve">Balana et al., </w:t>
      </w:r>
      <w:r>
        <w:rPr>
          <w:rFonts w:asciiTheme="majorHAnsi" w:eastAsiaTheme="minorEastAsia" w:hAnsiTheme="majorHAnsi" w:cstheme="majorHAnsi"/>
        </w:rPr>
        <w:t>(</w:t>
      </w:r>
      <w:r w:rsidRPr="007C7C5F">
        <w:rPr>
          <w:rFonts w:asciiTheme="majorHAnsi" w:eastAsiaTheme="minorEastAsia" w:hAnsiTheme="majorHAnsi" w:cstheme="majorHAnsi"/>
        </w:rPr>
        <w:t>2011</w:t>
      </w:r>
      <w:r>
        <w:rPr>
          <w:rFonts w:asciiTheme="majorHAnsi" w:eastAsiaTheme="minorEastAsia" w:hAnsiTheme="majorHAnsi" w:cstheme="majorHAnsi"/>
        </w:rPr>
        <w:t>) highlighted that c</w:t>
      </w:r>
      <w:r w:rsidRPr="007C7C5F">
        <w:rPr>
          <w:rFonts w:asciiTheme="majorHAnsi" w:eastAsiaTheme="minorEastAsia" w:hAnsiTheme="majorHAnsi" w:cstheme="majorHAnsi"/>
        </w:rPr>
        <w:t xml:space="preserve">osts and effectiveness </w:t>
      </w:r>
      <w:r>
        <w:rPr>
          <w:rFonts w:asciiTheme="majorHAnsi" w:eastAsiaTheme="minorEastAsia" w:hAnsiTheme="majorHAnsi" w:cstheme="majorHAnsi"/>
        </w:rPr>
        <w:t xml:space="preserve">figures </w:t>
      </w:r>
      <w:r w:rsidRPr="007C7C5F">
        <w:rPr>
          <w:rFonts w:asciiTheme="majorHAnsi" w:eastAsiaTheme="minorEastAsia" w:hAnsiTheme="majorHAnsi" w:cstheme="majorHAnsi"/>
        </w:rPr>
        <w:t xml:space="preserve">vary </w:t>
      </w:r>
      <w:r>
        <w:rPr>
          <w:rFonts w:asciiTheme="majorHAnsi" w:eastAsiaTheme="minorEastAsia" w:hAnsiTheme="majorHAnsi" w:cstheme="majorHAnsi"/>
        </w:rPr>
        <w:t>not only among</w:t>
      </w:r>
      <w:r w:rsidRPr="007C7C5F">
        <w:rPr>
          <w:rFonts w:asciiTheme="majorHAnsi" w:eastAsiaTheme="minorEastAsia" w:hAnsiTheme="majorHAnsi" w:cstheme="majorHAnsi"/>
        </w:rPr>
        <w:t xml:space="preserve"> </w:t>
      </w:r>
      <w:r>
        <w:rPr>
          <w:rFonts w:asciiTheme="majorHAnsi" w:eastAsiaTheme="minorEastAsia" w:hAnsiTheme="majorHAnsi" w:cstheme="majorHAnsi"/>
        </w:rPr>
        <w:t xml:space="preserve">EU </w:t>
      </w:r>
      <w:r w:rsidRPr="007C7C5F">
        <w:rPr>
          <w:rFonts w:asciiTheme="majorHAnsi" w:eastAsiaTheme="minorEastAsia" w:hAnsiTheme="majorHAnsi" w:cstheme="majorHAnsi"/>
        </w:rPr>
        <w:t xml:space="preserve">Member States </w:t>
      </w:r>
      <w:r>
        <w:rPr>
          <w:rFonts w:asciiTheme="majorHAnsi" w:eastAsiaTheme="minorEastAsia" w:hAnsiTheme="majorHAnsi" w:cstheme="majorHAnsi"/>
        </w:rPr>
        <w:t>but also</w:t>
      </w:r>
      <w:r w:rsidRPr="007C7C5F">
        <w:rPr>
          <w:rFonts w:asciiTheme="majorHAnsi" w:eastAsiaTheme="minorEastAsia" w:hAnsiTheme="majorHAnsi" w:cstheme="majorHAnsi"/>
        </w:rPr>
        <w:t xml:space="preserve"> within a country across the landscape and farming systems</w:t>
      </w:r>
      <w:r>
        <w:rPr>
          <w:rFonts w:asciiTheme="majorHAnsi" w:eastAsiaTheme="minorEastAsia" w:hAnsiTheme="majorHAnsi" w:cstheme="majorHAnsi"/>
        </w:rPr>
        <w:t>.</w:t>
      </w:r>
      <w:r w:rsidRPr="007C7C5F">
        <w:rPr>
          <w:rFonts w:asciiTheme="majorHAnsi" w:eastAsiaTheme="minorEastAsia" w:hAnsiTheme="majorHAnsi" w:cstheme="majorHAnsi"/>
        </w:rPr>
        <w:t xml:space="preserve"> </w:t>
      </w:r>
      <w:r w:rsidR="00F41F7B" w:rsidRPr="007C7C5F">
        <w:rPr>
          <w:rFonts w:asciiTheme="majorHAnsi" w:hAnsiTheme="majorHAnsi" w:cstheme="majorHAnsi"/>
        </w:rPr>
        <w:t>Estimates of the cost</w:t>
      </w:r>
      <w:r w:rsidR="00051C62" w:rsidRPr="007C7C5F">
        <w:rPr>
          <w:rFonts w:asciiTheme="majorHAnsi" w:hAnsiTheme="majorHAnsi" w:cstheme="majorHAnsi"/>
        </w:rPr>
        <w:t>s</w:t>
      </w:r>
      <w:r w:rsidR="00F41F7B" w:rsidRPr="007C7C5F">
        <w:rPr>
          <w:rFonts w:asciiTheme="majorHAnsi" w:hAnsiTheme="majorHAnsi" w:cstheme="majorHAnsi"/>
        </w:rPr>
        <w:t xml:space="preserve"> and effectiveness of measures depend on: (a) how specific measures </w:t>
      </w:r>
      <w:r w:rsidR="005904F3" w:rsidRPr="007C7C5F">
        <w:rPr>
          <w:rFonts w:asciiTheme="majorHAnsi" w:hAnsiTheme="majorHAnsi" w:cstheme="majorHAnsi"/>
        </w:rPr>
        <w:t>are</w:t>
      </w:r>
      <w:r w:rsidR="00F41F7B" w:rsidRPr="007C7C5F">
        <w:rPr>
          <w:rFonts w:asciiTheme="majorHAnsi" w:hAnsiTheme="majorHAnsi" w:cstheme="majorHAnsi"/>
        </w:rPr>
        <w:t xml:space="preserve"> </w:t>
      </w:r>
      <w:r w:rsidR="003C5A2F" w:rsidRPr="007C7C5F">
        <w:rPr>
          <w:rFonts w:asciiTheme="majorHAnsi" w:hAnsiTheme="majorHAnsi" w:cstheme="majorHAnsi"/>
        </w:rPr>
        <w:t>implemented</w:t>
      </w:r>
      <w:r w:rsidR="00F41F7B" w:rsidRPr="007C7C5F">
        <w:rPr>
          <w:rFonts w:asciiTheme="majorHAnsi" w:hAnsiTheme="majorHAnsi" w:cstheme="majorHAnsi"/>
        </w:rPr>
        <w:t xml:space="preserve">, (b) the environmental conditions, (c) scale (both spatial and temporal), (d) baseline </w:t>
      </w:r>
      <w:r w:rsidR="00EB038A" w:rsidRPr="007C7C5F">
        <w:rPr>
          <w:rFonts w:asciiTheme="majorHAnsi" w:hAnsiTheme="majorHAnsi" w:cstheme="majorHAnsi"/>
        </w:rPr>
        <w:t>situation</w:t>
      </w:r>
      <w:r w:rsidR="00F41F7B" w:rsidRPr="007C7C5F">
        <w:rPr>
          <w:rFonts w:asciiTheme="majorHAnsi" w:hAnsiTheme="majorHAnsi" w:cstheme="majorHAnsi"/>
        </w:rPr>
        <w:t xml:space="preserve">, and (e) land use types and management practices. </w:t>
      </w:r>
      <w:r w:rsidR="00423742">
        <w:rPr>
          <w:rFonts w:asciiTheme="majorHAnsi" w:eastAsiaTheme="minorEastAsia" w:hAnsiTheme="majorHAnsi" w:cstheme="majorHAnsi"/>
        </w:rPr>
        <w:t xml:space="preserve">Uncertainty </w:t>
      </w:r>
      <w:r w:rsidR="00423742" w:rsidRPr="007C7C5F">
        <w:rPr>
          <w:rFonts w:asciiTheme="majorHAnsi" w:hAnsiTheme="majorHAnsi" w:cstheme="majorHAnsi"/>
        </w:rPr>
        <w:t>and time-scales of effectiveness</w:t>
      </w:r>
      <w:r w:rsidR="00423742">
        <w:rPr>
          <w:rFonts w:asciiTheme="majorHAnsi" w:hAnsiTheme="majorHAnsi" w:cstheme="majorHAnsi"/>
        </w:rPr>
        <w:t xml:space="preserve"> and</w:t>
      </w:r>
      <w:r w:rsidR="00423742" w:rsidRPr="007C7C5F">
        <w:rPr>
          <w:rFonts w:asciiTheme="majorHAnsi" w:hAnsiTheme="majorHAnsi" w:cstheme="majorHAnsi"/>
        </w:rPr>
        <w:t xml:space="preserve"> </w:t>
      </w:r>
      <w:r w:rsidR="007B2F03">
        <w:rPr>
          <w:rFonts w:asciiTheme="majorHAnsi" w:hAnsiTheme="majorHAnsi" w:cstheme="majorHAnsi"/>
        </w:rPr>
        <w:t xml:space="preserve">obtaining </w:t>
      </w:r>
      <w:r w:rsidR="00423742">
        <w:rPr>
          <w:rFonts w:asciiTheme="majorHAnsi" w:hAnsiTheme="majorHAnsi" w:cstheme="majorHAnsi"/>
        </w:rPr>
        <w:t>accura</w:t>
      </w:r>
      <w:r w:rsidR="007B2F03">
        <w:rPr>
          <w:rFonts w:asciiTheme="majorHAnsi" w:hAnsiTheme="majorHAnsi" w:cstheme="majorHAnsi"/>
        </w:rPr>
        <w:t xml:space="preserve">te cost estimates </w:t>
      </w:r>
      <w:r w:rsidR="00423742" w:rsidRPr="007C7C5F">
        <w:rPr>
          <w:rFonts w:asciiTheme="majorHAnsi" w:hAnsiTheme="majorHAnsi" w:cstheme="majorHAnsi"/>
        </w:rPr>
        <w:t>of measures</w:t>
      </w:r>
      <w:r w:rsidR="006278D1">
        <w:rPr>
          <w:rFonts w:asciiTheme="majorHAnsi" w:hAnsiTheme="majorHAnsi" w:cstheme="majorHAnsi"/>
        </w:rPr>
        <w:t xml:space="preserve"> over a period</w:t>
      </w:r>
      <w:r w:rsidR="00423742" w:rsidRPr="007C7C5F">
        <w:rPr>
          <w:rFonts w:asciiTheme="majorHAnsi" w:hAnsiTheme="majorHAnsi" w:cstheme="majorHAnsi"/>
        </w:rPr>
        <w:t xml:space="preserve"> </w:t>
      </w:r>
      <w:r w:rsidR="007B2F03">
        <w:rPr>
          <w:rFonts w:asciiTheme="majorHAnsi" w:hAnsiTheme="majorHAnsi" w:cstheme="majorHAnsi"/>
        </w:rPr>
        <w:t xml:space="preserve">are another key challenges </w:t>
      </w:r>
      <w:r w:rsidR="007B2F03" w:rsidRPr="007C7C5F">
        <w:rPr>
          <w:rFonts w:asciiTheme="majorHAnsi" w:hAnsiTheme="majorHAnsi" w:cstheme="majorHAnsi"/>
        </w:rPr>
        <w:t>in assessing the cost-effectiveness of measures to reduce diffuse pollution from agriculture</w:t>
      </w:r>
      <w:r w:rsidR="007B2F03">
        <w:rPr>
          <w:rFonts w:asciiTheme="majorHAnsi" w:hAnsiTheme="majorHAnsi" w:cstheme="majorHAnsi"/>
        </w:rPr>
        <w:t xml:space="preserve"> (</w:t>
      </w:r>
      <w:r w:rsidR="006440C2" w:rsidRPr="007C7C5F">
        <w:rPr>
          <w:rFonts w:asciiTheme="majorHAnsi" w:hAnsiTheme="majorHAnsi" w:cstheme="majorHAnsi"/>
        </w:rPr>
        <w:t>Collins et al.</w:t>
      </w:r>
      <w:r w:rsidR="007B2F03">
        <w:rPr>
          <w:rFonts w:asciiTheme="majorHAnsi" w:hAnsiTheme="majorHAnsi" w:cstheme="majorHAnsi"/>
        </w:rPr>
        <w:t xml:space="preserve">, </w:t>
      </w:r>
      <w:r w:rsidR="006440C2" w:rsidRPr="007C7C5F">
        <w:rPr>
          <w:rFonts w:asciiTheme="majorHAnsi" w:hAnsiTheme="majorHAnsi" w:cstheme="majorHAnsi"/>
        </w:rPr>
        <w:t>2014)</w:t>
      </w:r>
      <w:r w:rsidR="007B2F03">
        <w:rPr>
          <w:rFonts w:asciiTheme="majorHAnsi" w:hAnsiTheme="majorHAnsi" w:cstheme="majorHAnsi"/>
        </w:rPr>
        <w:t>.</w:t>
      </w:r>
      <w:r w:rsidR="005815B0" w:rsidRPr="007C7C5F">
        <w:rPr>
          <w:rFonts w:asciiTheme="majorHAnsi" w:hAnsiTheme="majorHAnsi" w:cstheme="majorHAnsi"/>
        </w:rPr>
        <w:t xml:space="preserve"> </w:t>
      </w:r>
      <w:r w:rsidR="006278D1" w:rsidRPr="007C7C5F">
        <w:rPr>
          <w:rFonts w:asciiTheme="majorHAnsi" w:hAnsiTheme="majorHAnsi" w:cstheme="majorHAnsi"/>
        </w:rPr>
        <w:t>Challenges in assessing the effectiveness of measures are partly due to spatial scale issues. Measures are implemented at farm level, whilst ecological targets are set at the sub-catchment or catchment scale (</w:t>
      </w:r>
      <w:proofErr w:type="spellStart"/>
      <w:r w:rsidR="006278D1" w:rsidRPr="007C7C5F">
        <w:rPr>
          <w:rFonts w:asciiTheme="majorHAnsi" w:hAnsiTheme="majorHAnsi" w:cstheme="majorHAnsi"/>
        </w:rPr>
        <w:t>Bouraoui</w:t>
      </w:r>
      <w:proofErr w:type="spellEnd"/>
      <w:r w:rsidR="006278D1" w:rsidRPr="007C7C5F">
        <w:rPr>
          <w:rFonts w:asciiTheme="majorHAnsi" w:hAnsiTheme="majorHAnsi" w:cstheme="majorHAnsi"/>
        </w:rPr>
        <w:t xml:space="preserve"> and </w:t>
      </w:r>
      <w:proofErr w:type="spellStart"/>
      <w:r w:rsidR="006278D1" w:rsidRPr="007C7C5F">
        <w:rPr>
          <w:rFonts w:asciiTheme="majorHAnsi" w:hAnsiTheme="majorHAnsi" w:cstheme="majorHAnsi"/>
        </w:rPr>
        <w:t>Grizzetti</w:t>
      </w:r>
      <w:proofErr w:type="spellEnd"/>
      <w:r w:rsidR="006278D1" w:rsidRPr="007C7C5F">
        <w:rPr>
          <w:rFonts w:asciiTheme="majorHAnsi" w:hAnsiTheme="majorHAnsi" w:cstheme="majorHAnsi"/>
        </w:rPr>
        <w:t xml:space="preserve">, 2014). Temporal issues also need </w:t>
      </w:r>
      <w:r w:rsidR="006278D1">
        <w:rPr>
          <w:rFonts w:asciiTheme="majorHAnsi" w:hAnsiTheme="majorHAnsi" w:cstheme="majorHAnsi"/>
        </w:rPr>
        <w:t>to be taken</w:t>
      </w:r>
      <w:r w:rsidR="006278D1" w:rsidRPr="007C7C5F">
        <w:rPr>
          <w:rFonts w:asciiTheme="majorHAnsi" w:hAnsiTheme="majorHAnsi" w:cstheme="majorHAnsi"/>
        </w:rPr>
        <w:t xml:space="preserve"> into account, as achievement of good ecological status over short time-scales appears problematic due to lags in water quality responses (</w:t>
      </w:r>
      <w:proofErr w:type="spellStart"/>
      <w:r w:rsidR="006278D1" w:rsidRPr="007C7C5F">
        <w:rPr>
          <w:rFonts w:asciiTheme="majorHAnsi" w:hAnsiTheme="majorHAnsi" w:cstheme="majorHAnsi"/>
        </w:rPr>
        <w:t>Kronvang</w:t>
      </w:r>
      <w:proofErr w:type="spellEnd"/>
      <w:r w:rsidR="006278D1" w:rsidRPr="007C7C5F">
        <w:rPr>
          <w:rFonts w:asciiTheme="majorHAnsi" w:hAnsiTheme="majorHAnsi" w:cstheme="majorHAnsi"/>
        </w:rPr>
        <w:t xml:space="preserve"> et al., 2005; Meals et al., 2010). </w:t>
      </w:r>
      <w:r w:rsidR="007B2F03" w:rsidRPr="007C7C5F">
        <w:rPr>
          <w:rFonts w:asciiTheme="majorHAnsi" w:hAnsiTheme="majorHAnsi" w:cstheme="majorHAnsi"/>
        </w:rPr>
        <w:t>Different combinations of these factors result in different effectiveness and cost estimates.</w:t>
      </w:r>
      <w:r w:rsidR="007B2F03">
        <w:rPr>
          <w:rFonts w:asciiTheme="majorHAnsi" w:eastAsiaTheme="minorEastAsia" w:hAnsiTheme="majorHAnsi" w:cstheme="majorHAnsi"/>
        </w:rPr>
        <w:t xml:space="preserve"> </w:t>
      </w:r>
      <w:r w:rsidR="007B2F03">
        <w:rPr>
          <w:rFonts w:asciiTheme="majorHAnsi" w:hAnsiTheme="majorHAnsi" w:cstheme="majorHAnsi"/>
        </w:rPr>
        <w:t>Thus</w:t>
      </w:r>
      <w:r w:rsidR="008611FA" w:rsidRPr="007C7C5F">
        <w:rPr>
          <w:rFonts w:asciiTheme="majorHAnsi" w:hAnsiTheme="majorHAnsi" w:cstheme="majorHAnsi"/>
        </w:rPr>
        <w:t xml:space="preserve">, </w:t>
      </w:r>
      <w:r w:rsidR="005815B0" w:rsidRPr="007C7C5F">
        <w:rPr>
          <w:rFonts w:asciiTheme="majorHAnsi" w:eastAsiaTheme="minorEastAsia" w:hAnsiTheme="majorHAnsi" w:cstheme="majorHAnsi"/>
        </w:rPr>
        <w:t xml:space="preserve">identification of localized, targeted and context specific mitigation measures and the assessment of their respective costs and effects could help achieve the Directive’s objectives in a more cost-effective manner than </w:t>
      </w:r>
      <w:r w:rsidR="0039332B" w:rsidRPr="007C7C5F">
        <w:rPr>
          <w:rFonts w:asciiTheme="majorHAnsi" w:eastAsiaTheme="minorEastAsia" w:hAnsiTheme="majorHAnsi" w:cstheme="majorHAnsi"/>
        </w:rPr>
        <w:t xml:space="preserve">standardized </w:t>
      </w:r>
      <w:r w:rsidR="0039332B">
        <w:rPr>
          <w:rFonts w:asciiTheme="majorHAnsi" w:eastAsiaTheme="minorEastAsia" w:hAnsiTheme="majorHAnsi" w:cstheme="majorHAnsi"/>
        </w:rPr>
        <w:t>prescriptions</w:t>
      </w:r>
      <w:r w:rsidR="005815B0" w:rsidRPr="007C7C5F">
        <w:rPr>
          <w:rFonts w:asciiTheme="majorHAnsi" w:eastAsiaTheme="minorEastAsia" w:hAnsiTheme="majorHAnsi" w:cstheme="majorHAnsi"/>
        </w:rPr>
        <w:t xml:space="preserve"> of mitigation measures (Balana et al., 2012).</w:t>
      </w:r>
    </w:p>
    <w:p w14:paraId="4862D7C1" w14:textId="6CDDCE65" w:rsidR="00F41F7B" w:rsidRPr="007C7C5F" w:rsidRDefault="00F41F7B" w:rsidP="005815B0">
      <w:pPr>
        <w:autoSpaceDE w:val="0"/>
        <w:autoSpaceDN w:val="0"/>
        <w:adjustRightInd w:val="0"/>
        <w:spacing w:after="0"/>
        <w:jc w:val="both"/>
        <w:rPr>
          <w:rFonts w:asciiTheme="majorHAnsi" w:eastAsiaTheme="minorEastAsia" w:hAnsiTheme="majorHAnsi" w:cstheme="majorHAnsi"/>
        </w:rPr>
      </w:pPr>
    </w:p>
    <w:p w14:paraId="312A60A1" w14:textId="382434A2" w:rsidR="000556B6" w:rsidRPr="007C7C5F" w:rsidRDefault="00D82903" w:rsidP="005815B0">
      <w:pPr>
        <w:spacing w:after="0"/>
        <w:jc w:val="both"/>
        <w:rPr>
          <w:rFonts w:asciiTheme="majorHAnsi" w:hAnsiTheme="majorHAnsi" w:cstheme="majorHAnsi"/>
        </w:rPr>
      </w:pPr>
      <w:r w:rsidRPr="007C7C5F">
        <w:rPr>
          <w:rFonts w:asciiTheme="majorHAnsi" w:hAnsiTheme="majorHAnsi" w:cstheme="majorHAnsi"/>
        </w:rPr>
        <w:t xml:space="preserve">In assessing </w:t>
      </w:r>
      <w:r w:rsidR="001644D6">
        <w:rPr>
          <w:rFonts w:asciiTheme="majorHAnsi" w:hAnsiTheme="majorHAnsi" w:cstheme="majorHAnsi"/>
        </w:rPr>
        <w:t xml:space="preserve">the </w:t>
      </w:r>
      <w:r w:rsidRPr="007C7C5F">
        <w:rPr>
          <w:rFonts w:asciiTheme="majorHAnsi" w:hAnsiTheme="majorHAnsi" w:cstheme="majorHAnsi"/>
        </w:rPr>
        <w:t>cost-effectiveness</w:t>
      </w:r>
      <w:r w:rsidR="001644D6">
        <w:rPr>
          <w:rFonts w:asciiTheme="majorHAnsi" w:hAnsiTheme="majorHAnsi" w:cstheme="majorHAnsi"/>
        </w:rPr>
        <w:t xml:space="preserve"> </w:t>
      </w:r>
      <w:r w:rsidR="008D1C0A">
        <w:rPr>
          <w:rFonts w:asciiTheme="majorHAnsi" w:hAnsiTheme="majorHAnsi" w:cstheme="majorHAnsi"/>
        </w:rPr>
        <w:t xml:space="preserve">of </w:t>
      </w:r>
      <w:r w:rsidR="004A0E6F">
        <w:rPr>
          <w:rFonts w:asciiTheme="majorHAnsi" w:hAnsiTheme="majorHAnsi" w:cstheme="majorHAnsi"/>
        </w:rPr>
        <w:t>agricultural</w:t>
      </w:r>
      <w:bookmarkStart w:id="2" w:name="_GoBack"/>
      <w:bookmarkEnd w:id="2"/>
      <w:r w:rsidR="001644D6">
        <w:rPr>
          <w:rFonts w:asciiTheme="majorHAnsi" w:hAnsiTheme="majorHAnsi" w:cstheme="majorHAnsi"/>
        </w:rPr>
        <w:t xml:space="preserve"> related measures</w:t>
      </w:r>
      <w:r w:rsidRPr="007C7C5F">
        <w:rPr>
          <w:rFonts w:asciiTheme="majorHAnsi" w:hAnsiTheme="majorHAnsi" w:cstheme="majorHAnsi"/>
        </w:rPr>
        <w:t xml:space="preserve">, </w:t>
      </w:r>
      <w:r w:rsidR="000556B6" w:rsidRPr="007C7C5F">
        <w:rPr>
          <w:rFonts w:asciiTheme="majorHAnsi" w:hAnsiTheme="majorHAnsi" w:cstheme="majorHAnsi"/>
        </w:rPr>
        <w:t>Balana et al. (2011) highlighted the need to capture the heterogeneity of real world farms instead of considering ‘representative’ farms</w:t>
      </w:r>
      <w:r w:rsidR="006D5BB8" w:rsidRPr="007C7C5F">
        <w:rPr>
          <w:rFonts w:asciiTheme="majorHAnsi" w:hAnsiTheme="majorHAnsi" w:cstheme="majorHAnsi"/>
        </w:rPr>
        <w:t>,</w:t>
      </w:r>
      <w:r w:rsidR="000556B6" w:rsidRPr="007C7C5F">
        <w:rPr>
          <w:rFonts w:asciiTheme="majorHAnsi" w:hAnsiTheme="majorHAnsi" w:cstheme="majorHAnsi"/>
        </w:rPr>
        <w:t xml:space="preserve"> </w:t>
      </w:r>
      <w:r w:rsidR="003C4125" w:rsidRPr="007C7C5F">
        <w:rPr>
          <w:rFonts w:asciiTheme="majorHAnsi" w:hAnsiTheme="majorHAnsi" w:cstheme="majorHAnsi"/>
        </w:rPr>
        <w:t>due to the</w:t>
      </w:r>
      <w:r w:rsidR="00593BD0" w:rsidRPr="007C7C5F">
        <w:rPr>
          <w:rFonts w:asciiTheme="majorHAnsi" w:hAnsiTheme="majorHAnsi" w:cstheme="majorHAnsi"/>
        </w:rPr>
        <w:t xml:space="preserve"> variation in</w:t>
      </w:r>
      <w:r w:rsidR="003C4125" w:rsidRPr="007C7C5F">
        <w:rPr>
          <w:rFonts w:asciiTheme="majorHAnsi" w:hAnsiTheme="majorHAnsi" w:cstheme="majorHAnsi"/>
        </w:rPr>
        <w:t xml:space="preserve"> site-specific cost and </w:t>
      </w:r>
      <w:r w:rsidR="002C42BE" w:rsidRPr="007C7C5F">
        <w:rPr>
          <w:rFonts w:asciiTheme="majorHAnsi" w:hAnsiTheme="majorHAnsi" w:cstheme="majorHAnsi"/>
        </w:rPr>
        <w:t>effectiveness of measures</w:t>
      </w:r>
      <w:r w:rsidR="003C4125" w:rsidRPr="007C7C5F">
        <w:rPr>
          <w:rFonts w:asciiTheme="majorHAnsi" w:hAnsiTheme="majorHAnsi" w:cstheme="majorHAnsi"/>
        </w:rPr>
        <w:t xml:space="preserve"> in mitigating pollutant losses</w:t>
      </w:r>
      <w:r w:rsidR="002B67C5">
        <w:rPr>
          <w:rFonts w:asciiTheme="majorHAnsi" w:hAnsiTheme="majorHAnsi" w:cstheme="majorHAnsi"/>
        </w:rPr>
        <w:t xml:space="preserve">. </w:t>
      </w:r>
      <w:r w:rsidR="003C4125" w:rsidRPr="007C7C5F">
        <w:rPr>
          <w:rFonts w:asciiTheme="majorHAnsi" w:hAnsiTheme="majorHAnsi" w:cstheme="majorHAnsi"/>
        </w:rPr>
        <w:t xml:space="preserve">Balana et al. (2011) advocated a need for </w:t>
      </w:r>
      <w:r w:rsidRPr="007C7C5F">
        <w:rPr>
          <w:rFonts w:asciiTheme="majorHAnsi" w:hAnsiTheme="majorHAnsi" w:cstheme="majorHAnsi"/>
        </w:rPr>
        <w:t>better integration of</w:t>
      </w:r>
      <w:r w:rsidR="000556B6" w:rsidRPr="007C7C5F">
        <w:rPr>
          <w:rFonts w:asciiTheme="majorHAnsi" w:hAnsiTheme="majorHAnsi" w:cstheme="majorHAnsi"/>
        </w:rPr>
        <w:t xml:space="preserve"> bio-physical modelling </w:t>
      </w:r>
      <w:r w:rsidRPr="007C7C5F">
        <w:rPr>
          <w:rFonts w:asciiTheme="majorHAnsi" w:hAnsiTheme="majorHAnsi" w:cstheme="majorHAnsi"/>
        </w:rPr>
        <w:t>with</w:t>
      </w:r>
      <w:r w:rsidR="000556B6" w:rsidRPr="007C7C5F">
        <w:rPr>
          <w:rFonts w:asciiTheme="majorHAnsi" w:hAnsiTheme="majorHAnsi" w:cstheme="majorHAnsi"/>
        </w:rPr>
        <w:t xml:space="preserve"> economic analys</w:t>
      </w:r>
      <w:r w:rsidRPr="007C7C5F">
        <w:rPr>
          <w:rFonts w:asciiTheme="majorHAnsi" w:hAnsiTheme="majorHAnsi" w:cstheme="majorHAnsi"/>
        </w:rPr>
        <w:t>e</w:t>
      </w:r>
      <w:r w:rsidR="000556B6" w:rsidRPr="007C7C5F">
        <w:rPr>
          <w:rFonts w:asciiTheme="majorHAnsi" w:hAnsiTheme="majorHAnsi" w:cstheme="majorHAnsi"/>
        </w:rPr>
        <w:t>s</w:t>
      </w:r>
      <w:r w:rsidR="003C4125" w:rsidRPr="007C7C5F">
        <w:rPr>
          <w:rFonts w:asciiTheme="majorHAnsi" w:hAnsiTheme="majorHAnsi" w:cstheme="majorHAnsi"/>
        </w:rPr>
        <w:t xml:space="preserve"> in order to assess multiple effects of mitigation strategies</w:t>
      </w:r>
      <w:r w:rsidRPr="007C7C5F">
        <w:rPr>
          <w:rFonts w:asciiTheme="majorHAnsi" w:hAnsiTheme="majorHAnsi" w:cstheme="majorHAnsi"/>
        </w:rPr>
        <w:t>.</w:t>
      </w:r>
      <w:r w:rsidR="000556B6" w:rsidRPr="007C7C5F">
        <w:rPr>
          <w:rFonts w:asciiTheme="majorHAnsi" w:hAnsiTheme="majorHAnsi" w:cstheme="majorHAnsi"/>
        </w:rPr>
        <w:t xml:space="preserve"> </w:t>
      </w:r>
      <w:r w:rsidRPr="007C7C5F">
        <w:rPr>
          <w:rFonts w:asciiTheme="majorHAnsi" w:hAnsiTheme="majorHAnsi" w:cstheme="majorHAnsi"/>
        </w:rPr>
        <w:t>S</w:t>
      </w:r>
      <w:r w:rsidR="000556B6" w:rsidRPr="007C7C5F">
        <w:rPr>
          <w:rFonts w:asciiTheme="majorHAnsi" w:hAnsiTheme="majorHAnsi" w:cstheme="majorHAnsi"/>
        </w:rPr>
        <w:t xml:space="preserve">uch an approach requires the </w:t>
      </w:r>
      <w:r w:rsidR="003C4125" w:rsidRPr="007C7C5F">
        <w:rPr>
          <w:rFonts w:asciiTheme="majorHAnsi" w:hAnsiTheme="majorHAnsi" w:cstheme="majorHAnsi"/>
        </w:rPr>
        <w:t>assimilation</w:t>
      </w:r>
      <w:r w:rsidRPr="007C7C5F">
        <w:rPr>
          <w:rFonts w:asciiTheme="majorHAnsi" w:hAnsiTheme="majorHAnsi" w:cstheme="majorHAnsi"/>
        </w:rPr>
        <w:t xml:space="preserve"> of detailed </w:t>
      </w:r>
      <w:r w:rsidR="000556B6" w:rsidRPr="007C7C5F">
        <w:rPr>
          <w:rFonts w:asciiTheme="majorHAnsi" w:hAnsiTheme="majorHAnsi" w:cstheme="majorHAnsi"/>
        </w:rPr>
        <w:t xml:space="preserve">data at an </w:t>
      </w:r>
      <w:r w:rsidRPr="007C7C5F">
        <w:rPr>
          <w:rFonts w:asciiTheme="majorHAnsi" w:hAnsiTheme="majorHAnsi" w:cstheme="majorHAnsi"/>
        </w:rPr>
        <w:t>appropriate resolution within</w:t>
      </w:r>
      <w:r w:rsidR="000556B6" w:rsidRPr="007C7C5F">
        <w:rPr>
          <w:rFonts w:asciiTheme="majorHAnsi" w:hAnsiTheme="majorHAnsi" w:cstheme="majorHAnsi"/>
        </w:rPr>
        <w:t xml:space="preserve"> an interdisciplinary </w:t>
      </w:r>
      <w:r w:rsidRPr="007C7C5F">
        <w:rPr>
          <w:rFonts w:asciiTheme="majorHAnsi" w:hAnsiTheme="majorHAnsi" w:cstheme="majorHAnsi"/>
        </w:rPr>
        <w:t>framework</w:t>
      </w:r>
      <w:r w:rsidR="009E00B3" w:rsidRPr="007C7C5F">
        <w:rPr>
          <w:rFonts w:asciiTheme="majorHAnsi" w:hAnsiTheme="majorHAnsi" w:cstheme="majorHAnsi"/>
        </w:rPr>
        <w:t xml:space="preserve"> in order to</w:t>
      </w:r>
      <w:r w:rsidR="000556B6" w:rsidRPr="007C7C5F">
        <w:rPr>
          <w:rFonts w:asciiTheme="majorHAnsi" w:hAnsiTheme="majorHAnsi" w:cstheme="majorHAnsi"/>
        </w:rPr>
        <w:t xml:space="preserve"> establish the environmental and socio-economic criteria </w:t>
      </w:r>
      <w:r w:rsidR="006440C2" w:rsidRPr="007C7C5F">
        <w:rPr>
          <w:rFonts w:asciiTheme="majorHAnsi" w:hAnsiTheme="majorHAnsi" w:cstheme="majorHAnsi"/>
        </w:rPr>
        <w:t>used in</w:t>
      </w:r>
      <w:r w:rsidR="000556B6" w:rsidRPr="007C7C5F">
        <w:rPr>
          <w:rFonts w:asciiTheme="majorHAnsi" w:hAnsiTheme="majorHAnsi" w:cstheme="majorHAnsi"/>
        </w:rPr>
        <w:t xml:space="preserve"> the </w:t>
      </w:r>
      <w:r w:rsidR="009E00B3" w:rsidRPr="007C7C5F">
        <w:rPr>
          <w:rFonts w:asciiTheme="majorHAnsi" w:hAnsiTheme="majorHAnsi" w:cstheme="majorHAnsi"/>
        </w:rPr>
        <w:t>cost-effectiveness modelling.</w:t>
      </w:r>
      <w:r w:rsidR="000D111D" w:rsidRPr="007C7C5F">
        <w:rPr>
          <w:rFonts w:asciiTheme="majorHAnsi" w:hAnsiTheme="majorHAnsi" w:cstheme="majorHAnsi"/>
        </w:rPr>
        <w:t xml:space="preserve"> One reason why this is important is to ensure internal consistency in terms of the physical definition of the measure that is being implemented, as a </w:t>
      </w:r>
      <w:r w:rsidR="006440C2" w:rsidRPr="007C7C5F">
        <w:rPr>
          <w:rFonts w:asciiTheme="majorHAnsi" w:hAnsiTheme="majorHAnsi" w:cstheme="majorHAnsi"/>
        </w:rPr>
        <w:t>mis</w:t>
      </w:r>
      <w:r w:rsidR="000D111D" w:rsidRPr="007C7C5F">
        <w:rPr>
          <w:rFonts w:asciiTheme="majorHAnsi" w:hAnsiTheme="majorHAnsi" w:cstheme="majorHAnsi"/>
        </w:rPr>
        <w:t>match in this may have significant implications both for the costing of the action and its effectiveness in practice. A good example of this is a constructed wetland where it is necessary to define not only the location and proposed management of the wetland in order to determine its effectiveness</w:t>
      </w:r>
      <w:r w:rsidR="005F7BD3" w:rsidRPr="007C7C5F">
        <w:rPr>
          <w:rFonts w:asciiTheme="majorHAnsi" w:hAnsiTheme="majorHAnsi" w:cstheme="majorHAnsi"/>
        </w:rPr>
        <w:t xml:space="preserve"> (</w:t>
      </w:r>
      <w:proofErr w:type="spellStart"/>
      <w:r w:rsidR="005F7BD3" w:rsidRPr="007C7C5F">
        <w:rPr>
          <w:rFonts w:asciiTheme="majorHAnsi" w:hAnsiTheme="majorHAnsi" w:cstheme="majorHAnsi"/>
        </w:rPr>
        <w:t>Berninger</w:t>
      </w:r>
      <w:proofErr w:type="spellEnd"/>
      <w:r w:rsidR="005F7BD3" w:rsidRPr="007C7C5F">
        <w:rPr>
          <w:rFonts w:asciiTheme="majorHAnsi" w:hAnsiTheme="majorHAnsi" w:cstheme="majorHAnsi"/>
        </w:rPr>
        <w:t xml:space="preserve"> et al., 2012)</w:t>
      </w:r>
      <w:r w:rsidR="000D111D" w:rsidRPr="007C7C5F">
        <w:rPr>
          <w:rFonts w:asciiTheme="majorHAnsi" w:hAnsiTheme="majorHAnsi" w:cstheme="majorHAnsi"/>
        </w:rPr>
        <w:t>, but also its size, method of construction and continued management requirements in order to evaluate its cost.</w:t>
      </w:r>
    </w:p>
    <w:p w14:paraId="03D952E4" w14:textId="77777777" w:rsidR="0021762A" w:rsidRPr="007C7C5F" w:rsidRDefault="0021762A" w:rsidP="005815B0">
      <w:pPr>
        <w:spacing w:after="0"/>
        <w:jc w:val="both"/>
        <w:rPr>
          <w:rFonts w:asciiTheme="majorHAnsi" w:hAnsiTheme="majorHAnsi" w:cstheme="majorHAnsi"/>
        </w:rPr>
      </w:pPr>
    </w:p>
    <w:p w14:paraId="434DAE60" w14:textId="4BDAF626" w:rsidR="0021762A" w:rsidRPr="007C7C5F" w:rsidRDefault="0021762A" w:rsidP="005815B0">
      <w:pPr>
        <w:spacing w:after="0"/>
        <w:jc w:val="both"/>
        <w:rPr>
          <w:rFonts w:asciiTheme="majorHAnsi" w:hAnsiTheme="majorHAnsi" w:cstheme="majorHAnsi"/>
        </w:rPr>
      </w:pPr>
      <w:r w:rsidRPr="007C7C5F">
        <w:rPr>
          <w:rFonts w:asciiTheme="majorHAnsi" w:hAnsiTheme="majorHAnsi" w:cstheme="majorHAnsi"/>
        </w:rPr>
        <w:lastRenderedPageBreak/>
        <w:t xml:space="preserve">Few studies have adopted such an integrated approach and the range of mitigation </w:t>
      </w:r>
      <w:r w:rsidR="006440C2" w:rsidRPr="007C7C5F">
        <w:rPr>
          <w:rFonts w:asciiTheme="majorHAnsi" w:hAnsiTheme="majorHAnsi" w:cstheme="majorHAnsi"/>
        </w:rPr>
        <w:t>measures</w:t>
      </w:r>
      <w:r w:rsidRPr="007C7C5F">
        <w:rPr>
          <w:rFonts w:asciiTheme="majorHAnsi" w:hAnsiTheme="majorHAnsi" w:cstheme="majorHAnsi"/>
        </w:rPr>
        <w:t xml:space="preserve"> explored has been </w:t>
      </w:r>
      <w:r w:rsidR="006440C2" w:rsidRPr="007C7C5F">
        <w:rPr>
          <w:rFonts w:asciiTheme="majorHAnsi" w:hAnsiTheme="majorHAnsi" w:cstheme="majorHAnsi"/>
        </w:rPr>
        <w:t>limited</w:t>
      </w:r>
      <w:r w:rsidRPr="007C7C5F">
        <w:rPr>
          <w:rFonts w:asciiTheme="majorHAnsi" w:hAnsiTheme="majorHAnsi" w:cstheme="majorHAnsi"/>
        </w:rPr>
        <w:t>.</w:t>
      </w:r>
      <w:r w:rsidR="00871A49" w:rsidRPr="007C7C5F">
        <w:rPr>
          <w:rFonts w:asciiTheme="majorHAnsi" w:hAnsiTheme="majorHAnsi" w:cstheme="majorHAnsi"/>
        </w:rPr>
        <w:t xml:space="preserve"> One exception is the study undertaken by </w:t>
      </w:r>
      <w:proofErr w:type="spellStart"/>
      <w:r w:rsidR="00871A49" w:rsidRPr="007C7C5F">
        <w:rPr>
          <w:rFonts w:asciiTheme="majorHAnsi" w:hAnsiTheme="majorHAnsi" w:cstheme="majorHAnsi"/>
        </w:rPr>
        <w:t>Ghebremichael</w:t>
      </w:r>
      <w:proofErr w:type="spellEnd"/>
      <w:r w:rsidR="00871A49" w:rsidRPr="007C7C5F">
        <w:rPr>
          <w:rFonts w:asciiTheme="majorHAnsi" w:hAnsiTheme="majorHAnsi" w:cstheme="majorHAnsi"/>
        </w:rPr>
        <w:t xml:space="preserve"> et al. (2013)</w:t>
      </w:r>
      <w:r w:rsidR="00F23D6F" w:rsidRPr="007C7C5F">
        <w:rPr>
          <w:rFonts w:asciiTheme="majorHAnsi" w:hAnsiTheme="majorHAnsi" w:cstheme="majorHAnsi"/>
        </w:rPr>
        <w:t xml:space="preserve">, where </w:t>
      </w:r>
      <w:r w:rsidR="00871A49" w:rsidRPr="007C7C5F">
        <w:rPr>
          <w:rFonts w:asciiTheme="majorHAnsi" w:hAnsiTheme="majorHAnsi" w:cstheme="majorHAnsi"/>
        </w:rPr>
        <w:t xml:space="preserve">an integrated tool </w:t>
      </w:r>
      <w:r w:rsidR="00F23D6F" w:rsidRPr="007C7C5F">
        <w:rPr>
          <w:rFonts w:asciiTheme="majorHAnsi" w:hAnsiTheme="majorHAnsi" w:cstheme="majorHAnsi"/>
        </w:rPr>
        <w:t xml:space="preserve">was developed </w:t>
      </w:r>
      <w:r w:rsidR="00871A49" w:rsidRPr="007C7C5F">
        <w:rPr>
          <w:rFonts w:asciiTheme="majorHAnsi" w:hAnsiTheme="majorHAnsi" w:cstheme="majorHAnsi"/>
        </w:rPr>
        <w:t xml:space="preserve">to aid in </w:t>
      </w:r>
      <w:r w:rsidR="006440C2" w:rsidRPr="007C7C5F">
        <w:rPr>
          <w:rFonts w:asciiTheme="majorHAnsi" w:hAnsiTheme="majorHAnsi" w:cstheme="majorHAnsi"/>
        </w:rPr>
        <w:t xml:space="preserve">the </w:t>
      </w:r>
      <w:r w:rsidR="00871A49" w:rsidRPr="007C7C5F">
        <w:rPr>
          <w:rFonts w:asciiTheme="majorHAnsi" w:hAnsiTheme="majorHAnsi" w:cstheme="majorHAnsi"/>
        </w:rPr>
        <w:t>identification and mitigation of critical source areas of pollution at a catchment scale</w:t>
      </w:r>
      <w:r w:rsidR="006440C2" w:rsidRPr="007C7C5F">
        <w:rPr>
          <w:rFonts w:asciiTheme="majorHAnsi" w:hAnsiTheme="majorHAnsi" w:cstheme="majorHAnsi"/>
        </w:rPr>
        <w:t>,</w:t>
      </w:r>
      <w:r w:rsidR="00871A49" w:rsidRPr="007C7C5F">
        <w:rPr>
          <w:rFonts w:asciiTheme="majorHAnsi" w:hAnsiTheme="majorHAnsi" w:cstheme="majorHAnsi"/>
        </w:rPr>
        <w:t xml:space="preserve"> while maintaining economic viability at the farm scale.</w:t>
      </w:r>
      <w:r w:rsidR="002C42BE" w:rsidRPr="007C7C5F">
        <w:rPr>
          <w:rFonts w:asciiTheme="majorHAnsi" w:hAnsiTheme="majorHAnsi" w:cstheme="majorHAnsi"/>
        </w:rPr>
        <w:t xml:space="preserve"> </w:t>
      </w:r>
      <w:r w:rsidR="004C4E9D" w:rsidRPr="007C7C5F">
        <w:rPr>
          <w:rFonts w:asciiTheme="majorHAnsi" w:hAnsiTheme="majorHAnsi" w:cstheme="majorHAnsi"/>
        </w:rPr>
        <w:t>However,</w:t>
      </w:r>
      <w:r w:rsidR="002C42BE" w:rsidRPr="007C7C5F">
        <w:rPr>
          <w:rFonts w:asciiTheme="majorHAnsi" w:hAnsiTheme="majorHAnsi" w:cstheme="majorHAnsi"/>
        </w:rPr>
        <w:t xml:space="preserve"> Panagopoulos et al. (2011) </w:t>
      </w:r>
      <w:r w:rsidR="004C4E9D" w:rsidRPr="007C7C5F">
        <w:rPr>
          <w:rFonts w:asciiTheme="majorHAnsi" w:hAnsiTheme="majorHAnsi" w:cstheme="majorHAnsi"/>
        </w:rPr>
        <w:t>recognised that there are major limitations of such a combined methodology</w:t>
      </w:r>
      <w:r w:rsidR="00F23D6F" w:rsidRPr="007C7C5F">
        <w:rPr>
          <w:rFonts w:asciiTheme="majorHAnsi" w:hAnsiTheme="majorHAnsi" w:cstheme="majorHAnsi"/>
        </w:rPr>
        <w:t>,</w:t>
      </w:r>
      <w:r w:rsidR="004C4E9D" w:rsidRPr="007C7C5F">
        <w:rPr>
          <w:rFonts w:asciiTheme="majorHAnsi" w:hAnsiTheme="majorHAnsi" w:cstheme="majorHAnsi"/>
        </w:rPr>
        <w:t xml:space="preserve"> linked to the deficiencies of the process-based modelling tools in representing natural processes and mitigation measures and the true costs of their implementation.</w:t>
      </w:r>
    </w:p>
    <w:p w14:paraId="51BFF45E" w14:textId="77777777" w:rsidR="00123EB5" w:rsidRPr="007C7C5F" w:rsidRDefault="00123EB5" w:rsidP="005815B0">
      <w:pPr>
        <w:spacing w:after="0"/>
        <w:jc w:val="both"/>
        <w:rPr>
          <w:rFonts w:asciiTheme="majorHAnsi" w:hAnsiTheme="majorHAnsi" w:cstheme="majorHAnsi"/>
        </w:rPr>
      </w:pPr>
    </w:p>
    <w:p w14:paraId="67A57D1E" w14:textId="7351CB48" w:rsidR="00141AE1" w:rsidRPr="007C7C5F" w:rsidRDefault="00D36A77" w:rsidP="0019572B">
      <w:pPr>
        <w:spacing w:after="0"/>
        <w:jc w:val="both"/>
        <w:rPr>
          <w:rFonts w:asciiTheme="majorHAnsi" w:hAnsiTheme="majorHAnsi" w:cstheme="majorHAnsi"/>
        </w:rPr>
      </w:pPr>
      <w:r w:rsidRPr="007C7C5F">
        <w:rPr>
          <w:rFonts w:asciiTheme="majorHAnsi" w:hAnsiTheme="majorHAnsi" w:cstheme="majorHAnsi"/>
        </w:rPr>
        <w:t>A key</w:t>
      </w:r>
      <w:r w:rsidR="0024080C" w:rsidRPr="007C7C5F">
        <w:rPr>
          <w:rFonts w:asciiTheme="majorHAnsi" w:hAnsiTheme="majorHAnsi" w:cstheme="majorHAnsi"/>
        </w:rPr>
        <w:t xml:space="preserve"> objective of this project </w:t>
      </w:r>
      <w:r w:rsidR="006440C2" w:rsidRPr="007C7C5F">
        <w:rPr>
          <w:rFonts w:asciiTheme="majorHAnsi" w:hAnsiTheme="majorHAnsi" w:cstheme="majorHAnsi"/>
        </w:rPr>
        <w:t>w</w:t>
      </w:r>
      <w:r w:rsidRPr="007C7C5F">
        <w:rPr>
          <w:rFonts w:asciiTheme="majorHAnsi" w:hAnsiTheme="majorHAnsi" w:cstheme="majorHAnsi"/>
        </w:rPr>
        <w:t>as</w:t>
      </w:r>
      <w:r w:rsidR="006440C2" w:rsidRPr="007C7C5F">
        <w:rPr>
          <w:rFonts w:asciiTheme="majorHAnsi" w:hAnsiTheme="majorHAnsi" w:cstheme="majorHAnsi"/>
        </w:rPr>
        <w:t xml:space="preserve"> to </w:t>
      </w:r>
      <w:r w:rsidR="008A0833" w:rsidRPr="007C7C5F">
        <w:rPr>
          <w:rFonts w:asciiTheme="majorHAnsi" w:eastAsiaTheme="minorEastAsia" w:hAnsiTheme="majorHAnsi" w:cstheme="majorHAnsi"/>
        </w:rPr>
        <w:t xml:space="preserve">develop a system </w:t>
      </w:r>
      <w:r w:rsidR="006440C2" w:rsidRPr="007C7C5F">
        <w:rPr>
          <w:rFonts w:asciiTheme="majorHAnsi" w:eastAsiaTheme="minorEastAsia" w:hAnsiTheme="majorHAnsi" w:cstheme="majorHAnsi"/>
        </w:rPr>
        <w:t xml:space="preserve">to </w:t>
      </w:r>
      <w:r w:rsidR="008A0833" w:rsidRPr="007C7C5F">
        <w:rPr>
          <w:rFonts w:asciiTheme="majorHAnsi" w:eastAsiaTheme="minorEastAsia" w:hAnsiTheme="majorHAnsi" w:cstheme="majorHAnsi"/>
        </w:rPr>
        <w:t>enable water managers to design cost-effective restoration programmes for freshwater ecosystems at the local and catchment scale</w:t>
      </w:r>
      <w:r w:rsidR="006440C2" w:rsidRPr="007C7C5F">
        <w:rPr>
          <w:rFonts w:asciiTheme="majorHAnsi" w:eastAsiaTheme="minorEastAsia" w:hAnsiTheme="majorHAnsi" w:cstheme="majorHAnsi"/>
        </w:rPr>
        <w:t>,</w:t>
      </w:r>
      <w:r w:rsidR="008A0833" w:rsidRPr="007C7C5F">
        <w:rPr>
          <w:rFonts w:asciiTheme="majorHAnsi" w:eastAsiaTheme="minorEastAsia" w:hAnsiTheme="majorHAnsi" w:cstheme="majorHAnsi"/>
        </w:rPr>
        <w:t xml:space="preserve"> </w:t>
      </w:r>
      <w:r w:rsidR="009A3D5C" w:rsidRPr="007C7C5F">
        <w:rPr>
          <w:rFonts w:asciiTheme="majorHAnsi" w:eastAsiaTheme="minorEastAsia" w:hAnsiTheme="majorHAnsi" w:cstheme="majorHAnsi"/>
        </w:rPr>
        <w:t xml:space="preserve">in the context of the Water Framework Directive, </w:t>
      </w:r>
      <w:r w:rsidR="008A0833" w:rsidRPr="007C7C5F">
        <w:rPr>
          <w:rFonts w:asciiTheme="majorHAnsi" w:eastAsiaTheme="minorEastAsia" w:hAnsiTheme="majorHAnsi" w:cstheme="majorHAnsi"/>
        </w:rPr>
        <w:t>account</w:t>
      </w:r>
      <w:r w:rsidR="00F23D6F" w:rsidRPr="007C7C5F">
        <w:rPr>
          <w:rFonts w:asciiTheme="majorHAnsi" w:eastAsiaTheme="minorEastAsia" w:hAnsiTheme="majorHAnsi" w:cstheme="majorHAnsi"/>
        </w:rPr>
        <w:t>ing</w:t>
      </w:r>
      <w:r w:rsidR="008A0833" w:rsidRPr="007C7C5F">
        <w:rPr>
          <w:rFonts w:asciiTheme="majorHAnsi" w:eastAsiaTheme="minorEastAsia" w:hAnsiTheme="majorHAnsi" w:cstheme="majorHAnsi"/>
        </w:rPr>
        <w:t xml:space="preserve"> for expected future impacts of climate </w:t>
      </w:r>
      <w:r w:rsidR="006440C2" w:rsidRPr="007C7C5F">
        <w:rPr>
          <w:rFonts w:asciiTheme="majorHAnsi" w:eastAsiaTheme="minorEastAsia" w:hAnsiTheme="majorHAnsi" w:cstheme="majorHAnsi"/>
        </w:rPr>
        <w:t xml:space="preserve">and land use </w:t>
      </w:r>
      <w:r w:rsidR="008A0833" w:rsidRPr="007C7C5F">
        <w:rPr>
          <w:rFonts w:asciiTheme="majorHAnsi" w:eastAsiaTheme="minorEastAsia" w:hAnsiTheme="majorHAnsi" w:cstheme="majorHAnsi"/>
        </w:rPr>
        <w:t>change</w:t>
      </w:r>
      <w:r w:rsidR="005815B0" w:rsidRPr="007C7C5F">
        <w:rPr>
          <w:rFonts w:asciiTheme="majorHAnsi" w:eastAsiaTheme="minorEastAsia" w:hAnsiTheme="majorHAnsi" w:cstheme="majorHAnsi"/>
        </w:rPr>
        <w:t xml:space="preserve">. </w:t>
      </w:r>
      <w:r w:rsidR="00676659" w:rsidRPr="007C7C5F">
        <w:rPr>
          <w:rFonts w:asciiTheme="majorHAnsi" w:eastAsiaTheme="minorEastAsia" w:hAnsiTheme="majorHAnsi" w:cstheme="majorHAnsi"/>
        </w:rPr>
        <w:t>To demonstrate this approach</w:t>
      </w:r>
      <w:r w:rsidR="00AD099C" w:rsidRPr="007C7C5F">
        <w:rPr>
          <w:rFonts w:asciiTheme="majorHAnsi" w:eastAsiaTheme="minorEastAsia" w:hAnsiTheme="majorHAnsi" w:cstheme="majorHAnsi"/>
        </w:rPr>
        <w:t>, the</w:t>
      </w:r>
      <w:r w:rsidR="00676659" w:rsidRPr="007C7C5F">
        <w:rPr>
          <w:rFonts w:asciiTheme="majorHAnsi" w:eastAsiaTheme="minorEastAsia" w:hAnsiTheme="majorHAnsi" w:cstheme="majorHAnsi"/>
        </w:rPr>
        <w:t xml:space="preserve"> </w:t>
      </w:r>
      <w:r w:rsidR="002B67C5">
        <w:rPr>
          <w:rFonts w:asciiTheme="majorHAnsi" w:eastAsiaTheme="minorEastAsia" w:hAnsiTheme="majorHAnsi" w:cstheme="majorHAnsi"/>
        </w:rPr>
        <w:t xml:space="preserve">EU-FP7 </w:t>
      </w:r>
      <w:r w:rsidR="00676659" w:rsidRPr="007C7C5F">
        <w:rPr>
          <w:rFonts w:asciiTheme="majorHAnsi" w:eastAsiaTheme="minorEastAsia" w:hAnsiTheme="majorHAnsi" w:cstheme="majorHAnsi"/>
        </w:rPr>
        <w:t>REFRESH project</w:t>
      </w:r>
      <w:r w:rsidR="002B67C5">
        <w:rPr>
          <w:rFonts w:asciiTheme="majorHAnsi" w:eastAsiaTheme="minorEastAsia" w:hAnsiTheme="majorHAnsi" w:cstheme="majorHAnsi"/>
        </w:rPr>
        <w:t xml:space="preserve"> (http://www.refresh.ucl.ac.uk/)</w:t>
      </w:r>
      <w:r w:rsidR="00676659" w:rsidRPr="007C7C5F">
        <w:rPr>
          <w:rFonts w:asciiTheme="majorHAnsi" w:eastAsiaTheme="minorEastAsia" w:hAnsiTheme="majorHAnsi" w:cstheme="majorHAnsi"/>
        </w:rPr>
        <w:t xml:space="preserve"> identified six demonstration catchments across Europe</w:t>
      </w:r>
      <w:r w:rsidR="00EB53F5" w:rsidRPr="007C7C5F">
        <w:rPr>
          <w:rFonts w:asciiTheme="majorHAnsi" w:eastAsiaTheme="minorEastAsia" w:hAnsiTheme="majorHAnsi" w:cstheme="majorHAnsi"/>
        </w:rPr>
        <w:t xml:space="preserve"> (England, Scotland, Gree</w:t>
      </w:r>
      <w:r w:rsidR="0086293F" w:rsidRPr="007C7C5F">
        <w:rPr>
          <w:rFonts w:asciiTheme="majorHAnsi" w:eastAsiaTheme="minorEastAsia" w:hAnsiTheme="majorHAnsi" w:cstheme="majorHAnsi"/>
        </w:rPr>
        <w:t>ce, Finland, Norway, and Czech R</w:t>
      </w:r>
      <w:r w:rsidR="00EB53F5" w:rsidRPr="007C7C5F">
        <w:rPr>
          <w:rFonts w:asciiTheme="majorHAnsi" w:eastAsiaTheme="minorEastAsia" w:hAnsiTheme="majorHAnsi" w:cstheme="majorHAnsi"/>
        </w:rPr>
        <w:t>epublic)</w:t>
      </w:r>
      <w:r w:rsidR="00665A40" w:rsidRPr="007C7C5F">
        <w:rPr>
          <w:rFonts w:asciiTheme="majorHAnsi" w:eastAsiaTheme="minorEastAsia" w:hAnsiTheme="majorHAnsi" w:cstheme="majorHAnsi"/>
        </w:rPr>
        <w:t xml:space="preserve">, </w:t>
      </w:r>
      <w:r w:rsidR="00676659" w:rsidRPr="007C7C5F">
        <w:rPr>
          <w:rFonts w:asciiTheme="majorHAnsi" w:hAnsiTheme="majorHAnsi" w:cstheme="majorHAnsi"/>
        </w:rPr>
        <w:t>broadly represent</w:t>
      </w:r>
      <w:r w:rsidR="00665A40" w:rsidRPr="007C7C5F">
        <w:rPr>
          <w:rFonts w:asciiTheme="majorHAnsi" w:hAnsiTheme="majorHAnsi" w:cstheme="majorHAnsi"/>
        </w:rPr>
        <w:t>ing</w:t>
      </w:r>
      <w:r w:rsidR="00676659" w:rsidRPr="007C7C5F">
        <w:rPr>
          <w:rFonts w:asciiTheme="majorHAnsi" w:hAnsiTheme="majorHAnsi" w:cstheme="majorHAnsi"/>
        </w:rPr>
        <w:t xml:space="preserve"> the major climatic regions</w:t>
      </w:r>
      <w:r w:rsidR="009A3D5C" w:rsidRPr="007C7C5F">
        <w:rPr>
          <w:rFonts w:asciiTheme="majorHAnsi" w:hAnsiTheme="majorHAnsi" w:cstheme="majorHAnsi"/>
        </w:rPr>
        <w:t xml:space="preserve">, </w:t>
      </w:r>
      <w:r w:rsidR="00676659" w:rsidRPr="007C7C5F">
        <w:rPr>
          <w:rFonts w:asciiTheme="majorHAnsi" w:hAnsiTheme="majorHAnsi" w:cstheme="majorHAnsi"/>
        </w:rPr>
        <w:t xml:space="preserve">land use and </w:t>
      </w:r>
      <w:r w:rsidR="009A3D5C" w:rsidRPr="007C7C5F">
        <w:rPr>
          <w:rFonts w:asciiTheme="majorHAnsi" w:hAnsiTheme="majorHAnsi" w:cstheme="majorHAnsi"/>
        </w:rPr>
        <w:t>water body pressures</w:t>
      </w:r>
      <w:r w:rsidR="00665A40" w:rsidRPr="007C7C5F">
        <w:rPr>
          <w:rFonts w:asciiTheme="majorHAnsi" w:hAnsiTheme="majorHAnsi" w:cstheme="majorHAnsi"/>
        </w:rPr>
        <w:t xml:space="preserve"> present across Europe</w:t>
      </w:r>
      <w:r w:rsidR="009A3D5C" w:rsidRPr="007C7C5F">
        <w:rPr>
          <w:rFonts w:asciiTheme="majorHAnsi" w:hAnsiTheme="majorHAnsi" w:cstheme="majorHAnsi"/>
        </w:rPr>
        <w:t xml:space="preserve">. </w:t>
      </w:r>
      <w:r w:rsidR="0024080C" w:rsidRPr="007C7C5F">
        <w:rPr>
          <w:rFonts w:asciiTheme="majorHAnsi" w:hAnsiTheme="majorHAnsi" w:cstheme="majorHAnsi"/>
        </w:rPr>
        <w:t>This paper presents a</w:t>
      </w:r>
      <w:r w:rsidR="002B67C5">
        <w:rPr>
          <w:rFonts w:asciiTheme="majorHAnsi" w:hAnsiTheme="majorHAnsi" w:cstheme="majorHAnsi"/>
        </w:rPr>
        <w:t>n</w:t>
      </w:r>
      <w:r w:rsidR="0024080C" w:rsidRPr="007C7C5F">
        <w:rPr>
          <w:rFonts w:asciiTheme="majorHAnsi" w:hAnsiTheme="majorHAnsi" w:cstheme="majorHAnsi"/>
        </w:rPr>
        <w:t xml:space="preserve"> </w:t>
      </w:r>
      <w:r w:rsidR="00A12EC7">
        <w:rPr>
          <w:rFonts w:asciiTheme="majorHAnsi" w:hAnsiTheme="majorHAnsi" w:cstheme="majorHAnsi"/>
        </w:rPr>
        <w:t>empirical application</w:t>
      </w:r>
      <w:r w:rsidR="0024080C" w:rsidRPr="007C7C5F">
        <w:rPr>
          <w:rFonts w:asciiTheme="majorHAnsi" w:hAnsiTheme="majorHAnsi" w:cstheme="majorHAnsi"/>
        </w:rPr>
        <w:t xml:space="preserve"> of the integrated </w:t>
      </w:r>
      <w:r w:rsidR="00A91FC1" w:rsidRPr="007C7C5F">
        <w:rPr>
          <w:rFonts w:asciiTheme="majorHAnsi" w:hAnsiTheme="majorHAnsi" w:cstheme="majorHAnsi"/>
        </w:rPr>
        <w:t xml:space="preserve">hydro-chemical </w:t>
      </w:r>
      <w:r w:rsidR="0024080C" w:rsidRPr="007C7C5F">
        <w:rPr>
          <w:rFonts w:asciiTheme="majorHAnsi" w:hAnsiTheme="majorHAnsi" w:cstheme="majorHAnsi"/>
        </w:rPr>
        <w:t xml:space="preserve">and economic modelling approach </w:t>
      </w:r>
      <w:r w:rsidR="002B67C5">
        <w:rPr>
          <w:rFonts w:asciiTheme="majorHAnsi" w:hAnsiTheme="majorHAnsi" w:cstheme="majorHAnsi"/>
        </w:rPr>
        <w:t>in</w:t>
      </w:r>
      <w:r w:rsidR="00051C62" w:rsidRPr="007C7C5F">
        <w:rPr>
          <w:rFonts w:asciiTheme="majorHAnsi" w:hAnsiTheme="majorHAnsi" w:cstheme="majorHAnsi"/>
        </w:rPr>
        <w:t xml:space="preserve"> the River </w:t>
      </w:r>
      <w:r w:rsidR="0024080C" w:rsidRPr="007C7C5F">
        <w:rPr>
          <w:rFonts w:asciiTheme="majorHAnsi" w:hAnsiTheme="majorHAnsi" w:cstheme="majorHAnsi"/>
        </w:rPr>
        <w:t>Dee catchment</w:t>
      </w:r>
      <w:r w:rsidR="00665A40" w:rsidRPr="007C7C5F">
        <w:rPr>
          <w:rFonts w:asciiTheme="majorHAnsi" w:hAnsiTheme="majorHAnsi" w:cstheme="majorHAnsi"/>
        </w:rPr>
        <w:t>,</w:t>
      </w:r>
      <w:r w:rsidR="009A3D5C" w:rsidRPr="007C7C5F">
        <w:rPr>
          <w:rFonts w:asciiTheme="majorHAnsi" w:hAnsiTheme="majorHAnsi" w:cstheme="majorHAnsi"/>
        </w:rPr>
        <w:t xml:space="preserve"> in North East Scotland.</w:t>
      </w:r>
      <w:r w:rsidR="00A12EC7">
        <w:rPr>
          <w:rFonts w:asciiTheme="majorHAnsi" w:hAnsiTheme="majorHAnsi" w:cstheme="majorHAnsi"/>
        </w:rPr>
        <w:t xml:space="preserve"> The </w:t>
      </w:r>
      <w:r w:rsidR="004767C8">
        <w:rPr>
          <w:rFonts w:asciiTheme="majorHAnsi" w:hAnsiTheme="majorHAnsi" w:cstheme="majorHAnsi"/>
        </w:rPr>
        <w:t>method</w:t>
      </w:r>
      <w:r w:rsidR="00A12EC7">
        <w:rPr>
          <w:rFonts w:asciiTheme="majorHAnsi" w:hAnsiTheme="majorHAnsi" w:cstheme="majorHAnsi"/>
        </w:rPr>
        <w:t>ological approach</w:t>
      </w:r>
      <w:r w:rsidR="002B67C5">
        <w:rPr>
          <w:rFonts w:asciiTheme="majorHAnsi" w:hAnsiTheme="majorHAnsi" w:cstheme="majorHAnsi"/>
        </w:rPr>
        <w:t xml:space="preserve"> </w:t>
      </w:r>
      <w:r w:rsidR="004767C8">
        <w:rPr>
          <w:rFonts w:asciiTheme="majorHAnsi" w:hAnsiTheme="majorHAnsi" w:cstheme="majorHAnsi"/>
        </w:rPr>
        <w:t>has been adapted and applied in the other five demonstration catchments of the REFRESH project</w:t>
      </w:r>
      <w:r w:rsidR="003F333E">
        <w:rPr>
          <w:rFonts w:asciiTheme="majorHAnsi" w:hAnsiTheme="majorHAnsi" w:cstheme="majorHAnsi"/>
        </w:rPr>
        <w:t>.</w:t>
      </w:r>
      <w:r w:rsidR="004767C8">
        <w:rPr>
          <w:rFonts w:asciiTheme="majorHAnsi" w:hAnsiTheme="majorHAnsi" w:cstheme="majorHAnsi"/>
        </w:rPr>
        <w:t xml:space="preserve"> </w:t>
      </w:r>
      <w:r w:rsidR="003F333E">
        <w:rPr>
          <w:rFonts w:asciiTheme="majorHAnsi" w:hAnsiTheme="majorHAnsi" w:cstheme="majorHAnsi"/>
        </w:rPr>
        <w:t>The generic step-by-step assessment approach adopted in this paper can be adapted and applied in any catchment</w:t>
      </w:r>
      <w:r w:rsidR="00833472">
        <w:rPr>
          <w:rFonts w:asciiTheme="majorHAnsi" w:hAnsiTheme="majorHAnsi" w:cstheme="majorHAnsi"/>
        </w:rPr>
        <w:t>.</w:t>
      </w:r>
    </w:p>
    <w:p w14:paraId="113CE473" w14:textId="4F36C959" w:rsidR="00E1330E" w:rsidRPr="007C7C5F" w:rsidRDefault="001C676F" w:rsidP="00E42898">
      <w:pPr>
        <w:pStyle w:val="Heading1"/>
        <w:rPr>
          <w:rFonts w:asciiTheme="majorHAnsi" w:hAnsiTheme="majorHAnsi" w:cstheme="majorHAnsi"/>
          <w:color w:val="auto"/>
        </w:rPr>
      </w:pPr>
      <w:bookmarkStart w:id="3" w:name="_Toc368665210"/>
      <w:r w:rsidRPr="007C7C5F">
        <w:rPr>
          <w:rFonts w:asciiTheme="majorHAnsi" w:hAnsiTheme="majorHAnsi" w:cstheme="majorHAnsi"/>
          <w:color w:val="auto"/>
        </w:rPr>
        <w:t xml:space="preserve">Integrated Modelling </w:t>
      </w:r>
      <w:r w:rsidR="00E1330E" w:rsidRPr="007C7C5F">
        <w:rPr>
          <w:rFonts w:asciiTheme="majorHAnsi" w:hAnsiTheme="majorHAnsi" w:cstheme="majorHAnsi"/>
          <w:color w:val="auto"/>
        </w:rPr>
        <w:t>Approach</w:t>
      </w:r>
    </w:p>
    <w:p w14:paraId="56F95230" w14:textId="77777777" w:rsidR="00DF69A3" w:rsidRPr="007C7C5F" w:rsidRDefault="00DF69A3" w:rsidP="00DF69A3">
      <w:pPr>
        <w:pStyle w:val="NoSpacing"/>
        <w:spacing w:line="276" w:lineRule="auto"/>
        <w:jc w:val="both"/>
        <w:rPr>
          <w:rFonts w:asciiTheme="majorHAnsi" w:hAnsiTheme="majorHAnsi" w:cstheme="majorHAnsi"/>
        </w:rPr>
      </w:pPr>
    </w:p>
    <w:p w14:paraId="22D0C76B" w14:textId="3BCC2B50" w:rsidR="009A7839" w:rsidRPr="007C7C5F" w:rsidRDefault="009A7839" w:rsidP="0052348B">
      <w:pPr>
        <w:pStyle w:val="NoSpacing"/>
        <w:spacing w:after="200" w:line="276" w:lineRule="auto"/>
        <w:jc w:val="both"/>
        <w:rPr>
          <w:rFonts w:asciiTheme="majorHAnsi" w:hAnsiTheme="majorHAnsi" w:cstheme="majorHAnsi"/>
        </w:rPr>
      </w:pPr>
      <w:r w:rsidRPr="007C7C5F">
        <w:rPr>
          <w:rFonts w:asciiTheme="majorHAnsi" w:hAnsiTheme="majorHAnsi" w:cstheme="majorHAnsi"/>
        </w:rPr>
        <w:t xml:space="preserve">A common framework for integrating </w:t>
      </w:r>
      <w:r w:rsidR="00A91FC1" w:rsidRPr="007C7C5F">
        <w:rPr>
          <w:rFonts w:asciiTheme="majorHAnsi" w:hAnsiTheme="majorHAnsi" w:cstheme="majorHAnsi"/>
        </w:rPr>
        <w:t xml:space="preserve">hydro-chemical </w:t>
      </w:r>
      <w:r w:rsidRPr="007C7C5F">
        <w:rPr>
          <w:rFonts w:asciiTheme="majorHAnsi" w:hAnsiTheme="majorHAnsi" w:cstheme="majorHAnsi"/>
        </w:rPr>
        <w:t xml:space="preserve">and economic analysis was developed within the REFRESH project for application across the demonstration catchments. </w:t>
      </w:r>
      <w:r w:rsidR="000C6DA1" w:rsidRPr="007C7C5F">
        <w:rPr>
          <w:rFonts w:asciiTheme="majorHAnsi" w:hAnsiTheme="majorHAnsi" w:cstheme="majorHAnsi"/>
        </w:rPr>
        <w:t>CEA methodologies are themselves comprised of various sequential steps (Defra, 2005; WATECO, 2003)</w:t>
      </w:r>
      <w:r w:rsidR="00F23D6F" w:rsidRPr="007C7C5F">
        <w:rPr>
          <w:rFonts w:asciiTheme="majorHAnsi" w:hAnsiTheme="majorHAnsi" w:cstheme="majorHAnsi"/>
        </w:rPr>
        <w:t>;</w:t>
      </w:r>
      <w:r w:rsidR="000C6DA1" w:rsidRPr="007C7C5F">
        <w:rPr>
          <w:rFonts w:asciiTheme="majorHAnsi" w:hAnsiTheme="majorHAnsi" w:cstheme="majorHAnsi"/>
        </w:rPr>
        <w:t xml:space="preserve"> </w:t>
      </w:r>
      <w:r w:rsidR="00A7201A" w:rsidRPr="007C7C5F">
        <w:rPr>
          <w:rFonts w:asciiTheme="majorHAnsi" w:hAnsiTheme="majorHAnsi" w:cstheme="majorHAnsi"/>
        </w:rPr>
        <w:t xml:space="preserve">these </w:t>
      </w:r>
      <w:r w:rsidR="00F23D6F" w:rsidRPr="007C7C5F">
        <w:rPr>
          <w:rFonts w:asciiTheme="majorHAnsi" w:hAnsiTheme="majorHAnsi" w:cstheme="majorHAnsi"/>
        </w:rPr>
        <w:t>were</w:t>
      </w:r>
      <w:r w:rsidR="000C6DA1" w:rsidRPr="007C7C5F">
        <w:rPr>
          <w:rFonts w:asciiTheme="majorHAnsi" w:hAnsiTheme="majorHAnsi" w:cstheme="majorHAnsi"/>
        </w:rPr>
        <w:t xml:space="preserve"> combined with </w:t>
      </w:r>
      <w:r w:rsidR="00A91FC1" w:rsidRPr="007C7C5F">
        <w:rPr>
          <w:rFonts w:asciiTheme="majorHAnsi" w:hAnsiTheme="majorHAnsi" w:cstheme="majorHAnsi"/>
        </w:rPr>
        <w:t xml:space="preserve">hydro-chemical </w:t>
      </w:r>
      <w:r w:rsidR="000C6DA1" w:rsidRPr="007C7C5F">
        <w:rPr>
          <w:rFonts w:asciiTheme="majorHAnsi" w:hAnsiTheme="majorHAnsi" w:cstheme="majorHAnsi"/>
        </w:rPr>
        <w:t xml:space="preserve">modelling steps to </w:t>
      </w:r>
      <w:r w:rsidR="00A7201A" w:rsidRPr="007C7C5F">
        <w:rPr>
          <w:rFonts w:asciiTheme="majorHAnsi" w:hAnsiTheme="majorHAnsi" w:cstheme="majorHAnsi"/>
        </w:rPr>
        <w:t xml:space="preserve">create an integrated modelling methodology. </w:t>
      </w:r>
      <w:r w:rsidRPr="007C7C5F">
        <w:rPr>
          <w:rFonts w:asciiTheme="majorHAnsi" w:hAnsiTheme="majorHAnsi" w:cstheme="majorHAnsi"/>
        </w:rPr>
        <w:t>Briefly, the steps involved</w:t>
      </w:r>
      <w:r w:rsidR="00A7201A" w:rsidRPr="007C7C5F">
        <w:rPr>
          <w:rFonts w:asciiTheme="majorHAnsi" w:hAnsiTheme="majorHAnsi" w:cstheme="majorHAnsi"/>
        </w:rPr>
        <w:t xml:space="preserve"> </w:t>
      </w:r>
      <w:r w:rsidRPr="007C7C5F">
        <w:rPr>
          <w:rFonts w:asciiTheme="majorHAnsi" w:hAnsiTheme="majorHAnsi" w:cstheme="majorHAnsi"/>
        </w:rPr>
        <w:t>were:</w:t>
      </w:r>
    </w:p>
    <w:p w14:paraId="7C76669E" w14:textId="5E472A42" w:rsidR="009A7839" w:rsidRPr="007C7C5F" w:rsidRDefault="009A7839" w:rsidP="00E21C06">
      <w:pPr>
        <w:pStyle w:val="NoSpacing"/>
        <w:spacing w:after="200" w:line="276" w:lineRule="auto"/>
        <w:jc w:val="both"/>
        <w:rPr>
          <w:rFonts w:asciiTheme="majorHAnsi" w:hAnsiTheme="majorHAnsi" w:cstheme="majorHAnsi"/>
        </w:rPr>
      </w:pPr>
      <w:r w:rsidRPr="007C7C5F">
        <w:rPr>
          <w:rFonts w:asciiTheme="majorHAnsi" w:hAnsiTheme="majorHAnsi" w:cstheme="majorHAnsi"/>
        </w:rPr>
        <w:t xml:space="preserve">Step 1: </w:t>
      </w:r>
      <w:r w:rsidR="00F23D6F" w:rsidRPr="007C7C5F">
        <w:rPr>
          <w:rFonts w:asciiTheme="majorHAnsi" w:hAnsiTheme="majorHAnsi" w:cstheme="majorHAnsi"/>
        </w:rPr>
        <w:t>Assessment</w:t>
      </w:r>
      <w:r w:rsidRPr="007C7C5F">
        <w:rPr>
          <w:rFonts w:asciiTheme="majorHAnsi" w:hAnsiTheme="majorHAnsi" w:cstheme="majorHAnsi"/>
        </w:rPr>
        <w:t xml:space="preserve"> of current water quality and ecological status to identify</w:t>
      </w:r>
      <w:r w:rsidR="003C7C75" w:rsidRPr="007C7C5F">
        <w:rPr>
          <w:rFonts w:asciiTheme="majorHAnsi" w:hAnsiTheme="majorHAnsi" w:cstheme="majorHAnsi"/>
        </w:rPr>
        <w:t xml:space="preserve"> water quality </w:t>
      </w:r>
      <w:r w:rsidR="00E67E7F" w:rsidRPr="007C7C5F">
        <w:rPr>
          <w:rFonts w:asciiTheme="majorHAnsi" w:hAnsiTheme="majorHAnsi" w:cstheme="majorHAnsi"/>
        </w:rPr>
        <w:t>issues</w:t>
      </w:r>
      <w:r w:rsidRPr="007C7C5F">
        <w:rPr>
          <w:rFonts w:asciiTheme="majorHAnsi" w:hAnsiTheme="majorHAnsi" w:cstheme="majorHAnsi"/>
        </w:rPr>
        <w:t xml:space="preserve"> </w:t>
      </w:r>
      <w:r w:rsidR="00E67E7F" w:rsidRPr="007C7C5F">
        <w:rPr>
          <w:rFonts w:asciiTheme="majorHAnsi" w:hAnsiTheme="majorHAnsi" w:cstheme="majorHAnsi"/>
        </w:rPr>
        <w:t xml:space="preserve">and </w:t>
      </w:r>
      <w:r w:rsidR="00F23D6F" w:rsidRPr="007C7C5F">
        <w:rPr>
          <w:rFonts w:asciiTheme="majorHAnsi" w:hAnsiTheme="majorHAnsi" w:cstheme="majorHAnsi"/>
        </w:rPr>
        <w:t xml:space="preserve">set </w:t>
      </w:r>
      <w:r w:rsidR="00E67E7F" w:rsidRPr="007C7C5F">
        <w:rPr>
          <w:rFonts w:asciiTheme="majorHAnsi" w:hAnsiTheme="majorHAnsi" w:cstheme="majorHAnsi"/>
        </w:rPr>
        <w:t>targets</w:t>
      </w:r>
      <w:r w:rsidR="00F23D6F" w:rsidRPr="007C7C5F">
        <w:rPr>
          <w:rFonts w:asciiTheme="majorHAnsi" w:hAnsiTheme="majorHAnsi" w:cstheme="majorHAnsi"/>
        </w:rPr>
        <w:t>.</w:t>
      </w:r>
      <w:r w:rsidR="003C7C75" w:rsidRPr="007C7C5F">
        <w:rPr>
          <w:rFonts w:asciiTheme="majorHAnsi" w:hAnsiTheme="majorHAnsi" w:cstheme="majorHAnsi"/>
        </w:rPr>
        <w:t xml:space="preserve"> This includes </w:t>
      </w:r>
      <w:r w:rsidR="00665A40" w:rsidRPr="007C7C5F">
        <w:rPr>
          <w:rFonts w:asciiTheme="majorHAnsi" w:hAnsiTheme="majorHAnsi" w:cstheme="majorHAnsi"/>
        </w:rPr>
        <w:t>i</w:t>
      </w:r>
      <w:r w:rsidR="003C7C75" w:rsidRPr="007C7C5F">
        <w:rPr>
          <w:rFonts w:asciiTheme="majorHAnsi" w:hAnsiTheme="majorHAnsi" w:cstheme="majorHAnsi"/>
        </w:rPr>
        <w:t>dentification of the major pressures</w:t>
      </w:r>
      <w:r w:rsidR="0045746C" w:rsidRPr="007C7C5F">
        <w:rPr>
          <w:rFonts w:asciiTheme="majorHAnsi" w:hAnsiTheme="majorHAnsi" w:cstheme="majorHAnsi"/>
        </w:rPr>
        <w:t xml:space="preserve"> (e.g. excess nutrient inputs)</w:t>
      </w:r>
      <w:r w:rsidR="003C7C75" w:rsidRPr="007C7C5F">
        <w:rPr>
          <w:rFonts w:asciiTheme="majorHAnsi" w:hAnsiTheme="majorHAnsi" w:cstheme="majorHAnsi"/>
        </w:rPr>
        <w:t xml:space="preserve"> and their sources</w:t>
      </w:r>
      <w:r w:rsidR="0045746C" w:rsidRPr="007C7C5F">
        <w:rPr>
          <w:rFonts w:asciiTheme="majorHAnsi" w:hAnsiTheme="majorHAnsi" w:cstheme="majorHAnsi"/>
        </w:rPr>
        <w:t xml:space="preserve"> (e.g. agricultural activities, sewage effluent)</w:t>
      </w:r>
      <w:r w:rsidR="003C7C75" w:rsidRPr="007C7C5F">
        <w:rPr>
          <w:rFonts w:asciiTheme="majorHAnsi" w:hAnsiTheme="majorHAnsi" w:cstheme="majorHAnsi"/>
        </w:rPr>
        <w:t xml:space="preserve">. </w:t>
      </w:r>
    </w:p>
    <w:p w14:paraId="752DA2A6" w14:textId="7B86B0F6" w:rsidR="001A0D97" w:rsidRPr="007C7C5F" w:rsidRDefault="001A0D97" w:rsidP="001A0D97">
      <w:pPr>
        <w:pStyle w:val="NoSpacing"/>
        <w:jc w:val="both"/>
        <w:rPr>
          <w:rFonts w:asciiTheme="majorHAnsi" w:hAnsiTheme="majorHAnsi" w:cstheme="majorHAnsi"/>
        </w:rPr>
      </w:pPr>
      <w:r w:rsidRPr="007C7C5F">
        <w:rPr>
          <w:rFonts w:asciiTheme="majorHAnsi" w:hAnsiTheme="majorHAnsi" w:cstheme="majorHAnsi"/>
        </w:rPr>
        <w:t>Step 2: Identification of a set of mitigation measures.</w:t>
      </w:r>
      <w:r w:rsidR="00E21C06" w:rsidRPr="007C7C5F">
        <w:rPr>
          <w:rFonts w:asciiTheme="majorHAnsi" w:hAnsiTheme="majorHAnsi" w:cstheme="majorHAnsi"/>
        </w:rPr>
        <w:t xml:space="preserve"> The </w:t>
      </w:r>
      <w:r w:rsidR="001F0886" w:rsidRPr="007C7C5F">
        <w:rPr>
          <w:rFonts w:asciiTheme="majorHAnsi" w:hAnsiTheme="majorHAnsi" w:cstheme="majorHAnsi"/>
        </w:rPr>
        <w:t>types of measures chosen depend on the nature of the key</w:t>
      </w:r>
      <w:r w:rsidR="00E21C06" w:rsidRPr="007C7C5F">
        <w:rPr>
          <w:rFonts w:asciiTheme="majorHAnsi" w:hAnsiTheme="majorHAnsi" w:cstheme="majorHAnsi"/>
        </w:rPr>
        <w:t xml:space="preserve"> pressures and their sources </w:t>
      </w:r>
      <w:r w:rsidR="001F0886" w:rsidRPr="007C7C5F">
        <w:rPr>
          <w:rFonts w:asciiTheme="majorHAnsi" w:hAnsiTheme="majorHAnsi" w:cstheme="majorHAnsi"/>
        </w:rPr>
        <w:t xml:space="preserve">identified in </w:t>
      </w:r>
      <w:r w:rsidR="00E21C06" w:rsidRPr="007C7C5F">
        <w:rPr>
          <w:rFonts w:asciiTheme="majorHAnsi" w:hAnsiTheme="majorHAnsi" w:cstheme="majorHAnsi"/>
        </w:rPr>
        <w:t xml:space="preserve">step 1 above. </w:t>
      </w:r>
    </w:p>
    <w:p w14:paraId="72C5A288" w14:textId="77777777" w:rsidR="001A0D97" w:rsidRPr="007C7C5F" w:rsidRDefault="001A0D97" w:rsidP="009A7839">
      <w:pPr>
        <w:pStyle w:val="NoSpacing"/>
        <w:jc w:val="both"/>
        <w:rPr>
          <w:rFonts w:asciiTheme="majorHAnsi" w:hAnsiTheme="majorHAnsi" w:cstheme="majorHAnsi"/>
        </w:rPr>
      </w:pPr>
    </w:p>
    <w:p w14:paraId="654BAA24" w14:textId="22A660EC" w:rsidR="009A7839" w:rsidRPr="007C7C5F" w:rsidRDefault="001A0D97" w:rsidP="009A7839">
      <w:pPr>
        <w:pStyle w:val="NoSpacing"/>
        <w:jc w:val="both"/>
        <w:rPr>
          <w:rFonts w:asciiTheme="majorHAnsi" w:hAnsiTheme="majorHAnsi" w:cstheme="majorHAnsi"/>
        </w:rPr>
      </w:pPr>
      <w:r w:rsidRPr="007C7C5F">
        <w:rPr>
          <w:rFonts w:asciiTheme="majorHAnsi" w:hAnsiTheme="majorHAnsi" w:cstheme="majorHAnsi"/>
        </w:rPr>
        <w:t>Step 3</w:t>
      </w:r>
      <w:r w:rsidR="009A7839" w:rsidRPr="007C7C5F">
        <w:rPr>
          <w:rFonts w:asciiTheme="majorHAnsi" w:hAnsiTheme="majorHAnsi" w:cstheme="majorHAnsi"/>
        </w:rPr>
        <w:t xml:space="preserve">: </w:t>
      </w:r>
      <w:r w:rsidR="00E67E7F" w:rsidRPr="007C7C5F">
        <w:rPr>
          <w:rFonts w:asciiTheme="majorHAnsi" w:hAnsiTheme="majorHAnsi" w:cstheme="majorHAnsi"/>
        </w:rPr>
        <w:t xml:space="preserve">Baseline application of </w:t>
      </w:r>
      <w:r w:rsidR="00A91FC1" w:rsidRPr="007C7C5F">
        <w:rPr>
          <w:rFonts w:asciiTheme="majorHAnsi" w:hAnsiTheme="majorHAnsi" w:cstheme="majorHAnsi"/>
        </w:rPr>
        <w:t xml:space="preserve">hydro-chemical </w:t>
      </w:r>
      <w:r w:rsidR="00E67E7F" w:rsidRPr="007C7C5F">
        <w:rPr>
          <w:rFonts w:asciiTheme="majorHAnsi" w:hAnsiTheme="majorHAnsi" w:cstheme="majorHAnsi"/>
        </w:rPr>
        <w:t>models to reproduce recent hydrological and chemical responses.</w:t>
      </w:r>
    </w:p>
    <w:p w14:paraId="1646F660" w14:textId="77777777" w:rsidR="00F746BA" w:rsidRPr="007C7C5F" w:rsidRDefault="00F746BA" w:rsidP="009A7839">
      <w:pPr>
        <w:pStyle w:val="NoSpacing"/>
        <w:jc w:val="both"/>
        <w:rPr>
          <w:rFonts w:asciiTheme="majorHAnsi" w:hAnsiTheme="majorHAnsi" w:cstheme="majorHAnsi"/>
        </w:rPr>
      </w:pPr>
    </w:p>
    <w:p w14:paraId="737F6872" w14:textId="63E114CD" w:rsidR="009A7839" w:rsidRPr="007C7C5F" w:rsidRDefault="009A7839" w:rsidP="009A7839">
      <w:pPr>
        <w:pStyle w:val="NoSpacing"/>
        <w:jc w:val="both"/>
        <w:rPr>
          <w:rFonts w:asciiTheme="majorHAnsi" w:hAnsiTheme="majorHAnsi" w:cstheme="majorHAnsi"/>
        </w:rPr>
      </w:pPr>
      <w:r w:rsidRPr="007C7C5F">
        <w:rPr>
          <w:rFonts w:asciiTheme="majorHAnsi" w:hAnsiTheme="majorHAnsi" w:cstheme="majorHAnsi"/>
        </w:rPr>
        <w:t xml:space="preserve">Step 4: </w:t>
      </w:r>
      <w:r w:rsidR="00E67E7F" w:rsidRPr="007C7C5F">
        <w:rPr>
          <w:rFonts w:asciiTheme="majorHAnsi" w:hAnsiTheme="majorHAnsi" w:cstheme="majorHAnsi"/>
        </w:rPr>
        <w:t xml:space="preserve">Collaborative refinement of </w:t>
      </w:r>
      <w:r w:rsidR="00F41F7B" w:rsidRPr="007C7C5F">
        <w:rPr>
          <w:rFonts w:asciiTheme="majorHAnsi" w:hAnsiTheme="majorHAnsi" w:cstheme="majorHAnsi"/>
        </w:rPr>
        <w:t xml:space="preserve">mitigation </w:t>
      </w:r>
      <w:r w:rsidR="00E67E7F" w:rsidRPr="007C7C5F">
        <w:rPr>
          <w:rFonts w:asciiTheme="majorHAnsi" w:hAnsiTheme="majorHAnsi" w:cstheme="majorHAnsi"/>
        </w:rPr>
        <w:t>measures</w:t>
      </w:r>
      <w:r w:rsidR="00F23D6F" w:rsidRPr="007C7C5F">
        <w:rPr>
          <w:rFonts w:asciiTheme="majorHAnsi" w:hAnsiTheme="majorHAnsi" w:cstheme="majorHAnsi"/>
        </w:rPr>
        <w:t>,</w:t>
      </w:r>
      <w:r w:rsidR="00E67E7F" w:rsidRPr="007C7C5F">
        <w:rPr>
          <w:rFonts w:asciiTheme="majorHAnsi" w:hAnsiTheme="majorHAnsi" w:cstheme="majorHAnsi"/>
        </w:rPr>
        <w:t xml:space="preserve"> between </w:t>
      </w:r>
      <w:r w:rsidR="00A91FC1" w:rsidRPr="007C7C5F">
        <w:rPr>
          <w:rFonts w:asciiTheme="majorHAnsi" w:hAnsiTheme="majorHAnsi" w:cstheme="majorHAnsi"/>
        </w:rPr>
        <w:t xml:space="preserve">hydro-chemical </w:t>
      </w:r>
      <w:r w:rsidR="00E67E7F" w:rsidRPr="007C7C5F">
        <w:rPr>
          <w:rFonts w:asciiTheme="majorHAnsi" w:hAnsiTheme="majorHAnsi" w:cstheme="majorHAnsi"/>
        </w:rPr>
        <w:t xml:space="preserve">and </w:t>
      </w:r>
      <w:r w:rsidR="003C7C75" w:rsidRPr="007C7C5F">
        <w:rPr>
          <w:rFonts w:asciiTheme="majorHAnsi" w:hAnsiTheme="majorHAnsi" w:cstheme="majorHAnsi"/>
        </w:rPr>
        <w:t>socio-economic</w:t>
      </w:r>
      <w:r w:rsidR="00E67E7F" w:rsidRPr="007C7C5F">
        <w:rPr>
          <w:rFonts w:asciiTheme="majorHAnsi" w:hAnsiTheme="majorHAnsi" w:cstheme="majorHAnsi"/>
        </w:rPr>
        <w:t xml:space="preserve"> scientists</w:t>
      </w:r>
      <w:r w:rsidR="00F23D6F" w:rsidRPr="007C7C5F">
        <w:rPr>
          <w:rFonts w:asciiTheme="majorHAnsi" w:hAnsiTheme="majorHAnsi" w:cstheme="majorHAnsi"/>
        </w:rPr>
        <w:t>,</w:t>
      </w:r>
      <w:r w:rsidR="00E67E7F" w:rsidRPr="007C7C5F">
        <w:rPr>
          <w:rFonts w:asciiTheme="majorHAnsi" w:hAnsiTheme="majorHAnsi" w:cstheme="majorHAnsi"/>
        </w:rPr>
        <w:t xml:space="preserve"> </w:t>
      </w:r>
      <w:r w:rsidR="00F23D6F" w:rsidRPr="007C7C5F">
        <w:rPr>
          <w:rFonts w:asciiTheme="majorHAnsi" w:hAnsiTheme="majorHAnsi" w:cstheme="majorHAnsi"/>
        </w:rPr>
        <w:t xml:space="preserve">such that </w:t>
      </w:r>
      <w:r w:rsidR="00E67E7F" w:rsidRPr="007C7C5F">
        <w:rPr>
          <w:rFonts w:asciiTheme="majorHAnsi" w:hAnsiTheme="majorHAnsi" w:cstheme="majorHAnsi"/>
        </w:rPr>
        <w:t xml:space="preserve">the measures can be realistically represented within the models at </w:t>
      </w:r>
      <w:r w:rsidR="00F23D6F" w:rsidRPr="007C7C5F">
        <w:rPr>
          <w:rFonts w:asciiTheme="majorHAnsi" w:hAnsiTheme="majorHAnsi" w:cstheme="majorHAnsi"/>
        </w:rPr>
        <w:t xml:space="preserve">the </w:t>
      </w:r>
      <w:r w:rsidR="00E67E7F" w:rsidRPr="007C7C5F">
        <w:rPr>
          <w:rFonts w:asciiTheme="majorHAnsi" w:hAnsiTheme="majorHAnsi" w:cstheme="majorHAnsi"/>
        </w:rPr>
        <w:t>relevant scale.</w:t>
      </w:r>
    </w:p>
    <w:p w14:paraId="79D6D55F" w14:textId="77777777" w:rsidR="009A7839" w:rsidRPr="007C7C5F" w:rsidRDefault="009A7839" w:rsidP="009A7839">
      <w:pPr>
        <w:pStyle w:val="NoSpacing"/>
        <w:jc w:val="both"/>
        <w:rPr>
          <w:rFonts w:asciiTheme="majorHAnsi" w:hAnsiTheme="majorHAnsi" w:cstheme="majorHAnsi"/>
        </w:rPr>
      </w:pPr>
    </w:p>
    <w:p w14:paraId="41C4965F" w14:textId="4CE7D8DC" w:rsidR="009A7839" w:rsidRPr="007C7C5F" w:rsidRDefault="009A7839" w:rsidP="009A7839">
      <w:pPr>
        <w:pStyle w:val="NoSpacing"/>
        <w:jc w:val="both"/>
        <w:rPr>
          <w:rFonts w:asciiTheme="majorHAnsi" w:hAnsiTheme="majorHAnsi" w:cstheme="majorHAnsi"/>
        </w:rPr>
      </w:pPr>
      <w:r w:rsidRPr="007C7C5F">
        <w:rPr>
          <w:rFonts w:asciiTheme="majorHAnsi" w:hAnsiTheme="majorHAnsi" w:cstheme="majorHAnsi"/>
        </w:rPr>
        <w:t xml:space="preserve">Step 5: </w:t>
      </w:r>
      <w:r w:rsidR="00A91FC1" w:rsidRPr="007C7C5F">
        <w:rPr>
          <w:rFonts w:asciiTheme="majorHAnsi" w:hAnsiTheme="majorHAnsi" w:cstheme="majorHAnsi"/>
        </w:rPr>
        <w:t xml:space="preserve">Hydro-chemical </w:t>
      </w:r>
      <w:r w:rsidR="00E67E7F" w:rsidRPr="007C7C5F">
        <w:rPr>
          <w:rFonts w:asciiTheme="majorHAnsi" w:hAnsiTheme="majorHAnsi" w:cstheme="majorHAnsi"/>
        </w:rPr>
        <w:t>simulation of</w:t>
      </w:r>
      <w:r w:rsidR="00F23D6F" w:rsidRPr="007C7C5F">
        <w:rPr>
          <w:rFonts w:asciiTheme="majorHAnsi" w:hAnsiTheme="majorHAnsi" w:cstheme="majorHAnsi"/>
        </w:rPr>
        <w:t xml:space="preserve"> the effectiveness of</w:t>
      </w:r>
      <w:r w:rsidR="00E67E7F" w:rsidRPr="007C7C5F">
        <w:rPr>
          <w:rFonts w:asciiTheme="majorHAnsi" w:hAnsiTheme="majorHAnsi" w:cstheme="majorHAnsi"/>
        </w:rPr>
        <w:t xml:space="preserve"> each </w:t>
      </w:r>
      <w:r w:rsidR="00F23D6F" w:rsidRPr="007C7C5F">
        <w:rPr>
          <w:rFonts w:asciiTheme="majorHAnsi" w:hAnsiTheme="majorHAnsi" w:cstheme="majorHAnsi"/>
        </w:rPr>
        <w:t xml:space="preserve">individual </w:t>
      </w:r>
      <w:r w:rsidR="00E67E7F" w:rsidRPr="007C7C5F">
        <w:rPr>
          <w:rFonts w:asciiTheme="majorHAnsi" w:hAnsiTheme="majorHAnsi" w:cstheme="majorHAnsi"/>
        </w:rPr>
        <w:t>mitigation measure</w:t>
      </w:r>
      <w:r w:rsidR="00F23D6F" w:rsidRPr="007C7C5F">
        <w:rPr>
          <w:rFonts w:asciiTheme="majorHAnsi" w:hAnsiTheme="majorHAnsi" w:cstheme="majorHAnsi"/>
        </w:rPr>
        <w:t xml:space="preserve"> compared to the </w:t>
      </w:r>
      <w:r w:rsidR="00E67E7F" w:rsidRPr="007C7C5F">
        <w:rPr>
          <w:rFonts w:asciiTheme="majorHAnsi" w:hAnsiTheme="majorHAnsi" w:cstheme="majorHAnsi"/>
        </w:rPr>
        <w:t>baseline.</w:t>
      </w:r>
    </w:p>
    <w:p w14:paraId="2DC993E7" w14:textId="77777777" w:rsidR="009A7839" w:rsidRPr="007C7C5F" w:rsidRDefault="009A7839" w:rsidP="009A7839">
      <w:pPr>
        <w:pStyle w:val="NoSpacing"/>
        <w:jc w:val="both"/>
        <w:rPr>
          <w:rFonts w:asciiTheme="majorHAnsi" w:hAnsiTheme="majorHAnsi" w:cstheme="majorHAnsi"/>
        </w:rPr>
      </w:pPr>
    </w:p>
    <w:p w14:paraId="793FB883" w14:textId="3B6123F0" w:rsidR="001F0886" w:rsidRPr="007C7C5F" w:rsidRDefault="009A7839" w:rsidP="00F746BA">
      <w:pPr>
        <w:pStyle w:val="NoSpacing"/>
        <w:spacing w:after="200" w:line="276" w:lineRule="auto"/>
        <w:jc w:val="both"/>
        <w:rPr>
          <w:rFonts w:asciiTheme="majorHAnsi" w:hAnsiTheme="majorHAnsi" w:cstheme="majorHAnsi"/>
        </w:rPr>
      </w:pPr>
      <w:r w:rsidRPr="007C7C5F">
        <w:rPr>
          <w:rFonts w:asciiTheme="majorHAnsi" w:hAnsiTheme="majorHAnsi" w:cstheme="majorHAnsi"/>
        </w:rPr>
        <w:lastRenderedPageBreak/>
        <w:t xml:space="preserve">Step 6: </w:t>
      </w:r>
      <w:r w:rsidR="00665A40" w:rsidRPr="007C7C5F">
        <w:rPr>
          <w:rFonts w:asciiTheme="majorHAnsi" w:hAnsiTheme="majorHAnsi" w:cstheme="majorHAnsi"/>
        </w:rPr>
        <w:t>C</w:t>
      </w:r>
      <w:r w:rsidR="001F0886" w:rsidRPr="007C7C5F">
        <w:rPr>
          <w:rFonts w:asciiTheme="majorHAnsi" w:hAnsiTheme="majorHAnsi" w:cstheme="majorHAnsi"/>
        </w:rPr>
        <w:t>ost estimates of mitigation measures</w:t>
      </w:r>
      <w:r w:rsidR="00665A40" w:rsidRPr="007C7C5F">
        <w:rPr>
          <w:rFonts w:asciiTheme="majorHAnsi" w:hAnsiTheme="majorHAnsi" w:cstheme="majorHAnsi"/>
        </w:rPr>
        <w:t xml:space="preserve">. </w:t>
      </w:r>
      <w:r w:rsidR="001F0886" w:rsidRPr="007C7C5F">
        <w:rPr>
          <w:rFonts w:asciiTheme="majorHAnsi" w:hAnsiTheme="majorHAnsi" w:cstheme="majorHAnsi"/>
        </w:rPr>
        <w:t xml:space="preserve">This involves the assessment of </w:t>
      </w:r>
      <w:r w:rsidR="00F746BA" w:rsidRPr="007C7C5F">
        <w:rPr>
          <w:rFonts w:asciiTheme="majorHAnsi" w:hAnsiTheme="majorHAnsi" w:cstheme="majorHAnsi"/>
        </w:rPr>
        <w:t xml:space="preserve">the </w:t>
      </w:r>
      <w:r w:rsidR="001F0886" w:rsidRPr="007C7C5F">
        <w:rPr>
          <w:rFonts w:asciiTheme="majorHAnsi" w:hAnsiTheme="majorHAnsi" w:cstheme="majorHAnsi"/>
        </w:rPr>
        <w:t>economic costs</w:t>
      </w:r>
      <w:r w:rsidR="00F746BA" w:rsidRPr="007C7C5F">
        <w:rPr>
          <w:rFonts w:asciiTheme="majorHAnsi" w:hAnsiTheme="majorHAnsi" w:cstheme="majorHAnsi"/>
        </w:rPr>
        <w:t xml:space="preserve"> (such as material/resource costs, labour costs, capital costs,</w:t>
      </w:r>
      <w:r w:rsidR="001F0886" w:rsidRPr="007C7C5F">
        <w:rPr>
          <w:rFonts w:asciiTheme="majorHAnsi" w:hAnsiTheme="majorHAnsi" w:cstheme="majorHAnsi"/>
        </w:rPr>
        <w:t xml:space="preserve"> </w:t>
      </w:r>
      <w:r w:rsidR="00F746BA" w:rsidRPr="007C7C5F">
        <w:rPr>
          <w:rFonts w:asciiTheme="majorHAnsi" w:hAnsiTheme="majorHAnsi" w:cstheme="majorHAnsi"/>
        </w:rPr>
        <w:t xml:space="preserve">and operational costs) </w:t>
      </w:r>
      <w:r w:rsidR="001F0886" w:rsidRPr="007C7C5F">
        <w:rPr>
          <w:rFonts w:asciiTheme="majorHAnsi" w:hAnsiTheme="majorHAnsi" w:cstheme="majorHAnsi"/>
        </w:rPr>
        <w:t xml:space="preserve">of </w:t>
      </w:r>
      <w:r w:rsidR="00714268" w:rsidRPr="007C7C5F">
        <w:rPr>
          <w:rFonts w:asciiTheme="majorHAnsi" w:hAnsiTheme="majorHAnsi" w:cstheme="majorHAnsi"/>
        </w:rPr>
        <w:t>the selected</w:t>
      </w:r>
      <w:r w:rsidR="001F0886" w:rsidRPr="007C7C5F">
        <w:rPr>
          <w:rFonts w:asciiTheme="majorHAnsi" w:hAnsiTheme="majorHAnsi" w:cstheme="majorHAnsi"/>
        </w:rPr>
        <w:t xml:space="preserve"> </w:t>
      </w:r>
      <w:r w:rsidR="00F746BA" w:rsidRPr="007C7C5F">
        <w:rPr>
          <w:rFonts w:asciiTheme="majorHAnsi" w:hAnsiTheme="majorHAnsi" w:cstheme="majorHAnsi"/>
        </w:rPr>
        <w:t xml:space="preserve">mitigation </w:t>
      </w:r>
      <w:r w:rsidR="001F0886" w:rsidRPr="007C7C5F">
        <w:rPr>
          <w:rFonts w:asciiTheme="majorHAnsi" w:hAnsiTheme="majorHAnsi" w:cstheme="majorHAnsi"/>
        </w:rPr>
        <w:t>measures</w:t>
      </w:r>
      <w:r w:rsidR="00F746BA" w:rsidRPr="007C7C5F">
        <w:rPr>
          <w:rFonts w:asciiTheme="majorHAnsi" w:hAnsiTheme="majorHAnsi" w:cstheme="majorHAnsi"/>
        </w:rPr>
        <w:t xml:space="preserve">. </w:t>
      </w:r>
      <w:r w:rsidR="001F0886" w:rsidRPr="007C7C5F">
        <w:rPr>
          <w:rFonts w:asciiTheme="majorHAnsi" w:hAnsiTheme="majorHAnsi" w:cstheme="majorHAnsi"/>
        </w:rPr>
        <w:t xml:space="preserve"> </w:t>
      </w:r>
    </w:p>
    <w:p w14:paraId="293BD325" w14:textId="42C0DDC9" w:rsidR="009A7839" w:rsidRPr="007C7C5F" w:rsidRDefault="001F0886" w:rsidP="009A7839">
      <w:pPr>
        <w:pStyle w:val="NoSpacing"/>
        <w:jc w:val="both"/>
        <w:rPr>
          <w:rFonts w:asciiTheme="majorHAnsi" w:hAnsiTheme="majorHAnsi" w:cstheme="majorHAnsi"/>
        </w:rPr>
      </w:pPr>
      <w:r w:rsidRPr="007C7C5F">
        <w:rPr>
          <w:rFonts w:asciiTheme="majorHAnsi" w:hAnsiTheme="majorHAnsi" w:cstheme="majorHAnsi"/>
        </w:rPr>
        <w:t xml:space="preserve">Step 7: </w:t>
      </w:r>
      <w:r w:rsidR="00E67E7F" w:rsidRPr="007C7C5F">
        <w:rPr>
          <w:rFonts w:asciiTheme="majorHAnsi" w:hAnsiTheme="majorHAnsi" w:cstheme="majorHAnsi"/>
        </w:rPr>
        <w:t>A</w:t>
      </w:r>
      <w:r w:rsidR="009A7839" w:rsidRPr="007C7C5F">
        <w:rPr>
          <w:rFonts w:asciiTheme="majorHAnsi" w:hAnsiTheme="majorHAnsi" w:cstheme="majorHAnsi"/>
        </w:rPr>
        <w:t>ssess</w:t>
      </w:r>
      <w:r w:rsidR="00E67E7F" w:rsidRPr="007C7C5F">
        <w:rPr>
          <w:rFonts w:asciiTheme="majorHAnsi" w:hAnsiTheme="majorHAnsi" w:cstheme="majorHAnsi"/>
        </w:rPr>
        <w:t>ment</w:t>
      </w:r>
      <w:r w:rsidR="009A7839" w:rsidRPr="007C7C5F">
        <w:rPr>
          <w:rFonts w:asciiTheme="majorHAnsi" w:hAnsiTheme="majorHAnsi" w:cstheme="majorHAnsi"/>
        </w:rPr>
        <w:t xml:space="preserve"> </w:t>
      </w:r>
      <w:r w:rsidR="00E67E7F" w:rsidRPr="007C7C5F">
        <w:rPr>
          <w:rFonts w:asciiTheme="majorHAnsi" w:hAnsiTheme="majorHAnsi" w:cstheme="majorHAnsi"/>
        </w:rPr>
        <w:t>of</w:t>
      </w:r>
      <w:r w:rsidR="009A7839" w:rsidRPr="007C7C5F">
        <w:rPr>
          <w:rFonts w:asciiTheme="majorHAnsi" w:hAnsiTheme="majorHAnsi" w:cstheme="majorHAnsi"/>
        </w:rPr>
        <w:t xml:space="preserve"> </w:t>
      </w:r>
      <w:r w:rsidR="00F23D6F" w:rsidRPr="007C7C5F">
        <w:rPr>
          <w:rFonts w:asciiTheme="majorHAnsi" w:hAnsiTheme="majorHAnsi" w:cstheme="majorHAnsi"/>
        </w:rPr>
        <w:t xml:space="preserve">the </w:t>
      </w:r>
      <w:r w:rsidR="009A7839" w:rsidRPr="007C7C5F">
        <w:rPr>
          <w:rFonts w:asciiTheme="majorHAnsi" w:hAnsiTheme="majorHAnsi" w:cstheme="majorHAnsi"/>
        </w:rPr>
        <w:t xml:space="preserve">cost effectiveness of </w:t>
      </w:r>
      <w:r w:rsidR="00E67E7F" w:rsidRPr="007C7C5F">
        <w:rPr>
          <w:rFonts w:asciiTheme="majorHAnsi" w:hAnsiTheme="majorHAnsi" w:cstheme="majorHAnsi"/>
        </w:rPr>
        <w:t xml:space="preserve">individual </w:t>
      </w:r>
      <w:r w:rsidR="001A0D97" w:rsidRPr="007C7C5F">
        <w:rPr>
          <w:rFonts w:asciiTheme="majorHAnsi" w:hAnsiTheme="majorHAnsi" w:cstheme="majorHAnsi"/>
        </w:rPr>
        <w:t>mitigation measures and identification of</w:t>
      </w:r>
      <w:r w:rsidR="00F23D6F" w:rsidRPr="007C7C5F">
        <w:rPr>
          <w:rFonts w:asciiTheme="majorHAnsi" w:hAnsiTheme="majorHAnsi" w:cstheme="majorHAnsi"/>
        </w:rPr>
        <w:t xml:space="preserve"> the</w:t>
      </w:r>
      <w:r w:rsidR="001A0D97" w:rsidRPr="007C7C5F">
        <w:rPr>
          <w:rFonts w:asciiTheme="majorHAnsi" w:hAnsiTheme="majorHAnsi" w:cstheme="majorHAnsi"/>
        </w:rPr>
        <w:t xml:space="preserve"> </w:t>
      </w:r>
      <w:r w:rsidR="00F23D6F" w:rsidRPr="007C7C5F">
        <w:rPr>
          <w:rFonts w:asciiTheme="majorHAnsi" w:hAnsiTheme="majorHAnsi" w:cstheme="majorHAnsi"/>
        </w:rPr>
        <w:t xml:space="preserve">most cost-effective </w:t>
      </w:r>
      <w:r w:rsidR="001A0D97" w:rsidRPr="007C7C5F">
        <w:rPr>
          <w:rFonts w:asciiTheme="majorHAnsi" w:hAnsiTheme="majorHAnsi" w:cstheme="majorHAnsi"/>
        </w:rPr>
        <w:t>combin</w:t>
      </w:r>
      <w:r w:rsidR="00F23D6F" w:rsidRPr="007C7C5F">
        <w:rPr>
          <w:rFonts w:asciiTheme="majorHAnsi" w:hAnsiTheme="majorHAnsi" w:cstheme="majorHAnsi"/>
        </w:rPr>
        <w:t>ation</w:t>
      </w:r>
      <w:r w:rsidR="001A0D97" w:rsidRPr="007C7C5F">
        <w:rPr>
          <w:rFonts w:asciiTheme="majorHAnsi" w:hAnsiTheme="majorHAnsi" w:cstheme="majorHAnsi"/>
        </w:rPr>
        <w:t xml:space="preserve"> </w:t>
      </w:r>
      <w:r w:rsidR="00F23D6F" w:rsidRPr="007C7C5F">
        <w:rPr>
          <w:rFonts w:asciiTheme="majorHAnsi" w:hAnsiTheme="majorHAnsi" w:cstheme="majorHAnsi"/>
        </w:rPr>
        <w:t xml:space="preserve">of </w:t>
      </w:r>
      <w:r w:rsidR="001A0D97" w:rsidRPr="007C7C5F">
        <w:rPr>
          <w:rFonts w:asciiTheme="majorHAnsi" w:hAnsiTheme="majorHAnsi" w:cstheme="majorHAnsi"/>
        </w:rPr>
        <w:t xml:space="preserve">measures to achieve </w:t>
      </w:r>
      <w:r w:rsidR="00F23D6F" w:rsidRPr="007C7C5F">
        <w:rPr>
          <w:rFonts w:asciiTheme="majorHAnsi" w:hAnsiTheme="majorHAnsi" w:cstheme="majorHAnsi"/>
        </w:rPr>
        <w:t xml:space="preserve">water quality </w:t>
      </w:r>
      <w:r w:rsidR="001A0D97" w:rsidRPr="007C7C5F">
        <w:rPr>
          <w:rFonts w:asciiTheme="majorHAnsi" w:hAnsiTheme="majorHAnsi" w:cstheme="majorHAnsi"/>
        </w:rPr>
        <w:t>targets.</w:t>
      </w:r>
      <w:r w:rsidR="00F746BA" w:rsidRPr="007C7C5F">
        <w:rPr>
          <w:rFonts w:asciiTheme="majorHAnsi" w:hAnsiTheme="majorHAnsi" w:cstheme="majorHAnsi"/>
        </w:rPr>
        <w:t xml:space="preserve"> This involves application </w:t>
      </w:r>
      <w:r w:rsidR="00714268" w:rsidRPr="007C7C5F">
        <w:rPr>
          <w:rFonts w:asciiTheme="majorHAnsi" w:hAnsiTheme="majorHAnsi" w:cstheme="majorHAnsi"/>
        </w:rPr>
        <w:t xml:space="preserve">of </w:t>
      </w:r>
      <w:r w:rsidR="00F746BA" w:rsidRPr="007C7C5F">
        <w:rPr>
          <w:rFonts w:asciiTheme="majorHAnsi" w:hAnsiTheme="majorHAnsi" w:cstheme="majorHAnsi"/>
        </w:rPr>
        <w:t>an optimization approach to integrate economic cost and effectiveness data in order to determine the least cost way of achieving environmental objectives.</w:t>
      </w:r>
    </w:p>
    <w:p w14:paraId="5E5E3FB5" w14:textId="77777777" w:rsidR="001A0D97" w:rsidRPr="007C7C5F" w:rsidRDefault="001A0D97" w:rsidP="009A7839">
      <w:pPr>
        <w:pStyle w:val="NoSpacing"/>
        <w:jc w:val="both"/>
        <w:rPr>
          <w:rFonts w:asciiTheme="majorHAnsi" w:hAnsiTheme="majorHAnsi" w:cstheme="majorHAnsi"/>
        </w:rPr>
      </w:pPr>
    </w:p>
    <w:p w14:paraId="771FFE31" w14:textId="32154D34" w:rsidR="009A7839" w:rsidRDefault="001A0D97" w:rsidP="009A7839">
      <w:pPr>
        <w:pStyle w:val="NoSpacing"/>
        <w:jc w:val="both"/>
        <w:rPr>
          <w:rFonts w:asciiTheme="majorHAnsi" w:hAnsiTheme="majorHAnsi" w:cstheme="majorHAnsi"/>
        </w:rPr>
      </w:pPr>
      <w:r w:rsidRPr="007C7C5F">
        <w:rPr>
          <w:rFonts w:asciiTheme="majorHAnsi" w:hAnsiTheme="majorHAnsi" w:cstheme="majorHAnsi"/>
        </w:rPr>
        <w:t>Additional steps were also included in the REFRESH integrated modelling approach to explore the future robustness of the mitigation measures under scenarios of climate and land use change. However the results of these steps are not reported here.</w:t>
      </w:r>
    </w:p>
    <w:p w14:paraId="5DA6CE2E" w14:textId="18AC8FAC" w:rsidR="00921674" w:rsidRPr="007C7C5F" w:rsidRDefault="001C676F" w:rsidP="002C5351">
      <w:pPr>
        <w:pStyle w:val="Heading1"/>
        <w:rPr>
          <w:rFonts w:asciiTheme="majorHAnsi" w:hAnsiTheme="majorHAnsi" w:cstheme="majorHAnsi"/>
        </w:rPr>
      </w:pPr>
      <w:r w:rsidRPr="007C7C5F">
        <w:rPr>
          <w:rFonts w:asciiTheme="majorHAnsi" w:hAnsiTheme="majorHAnsi" w:cstheme="majorHAnsi"/>
        </w:rPr>
        <w:t>Study area</w:t>
      </w:r>
      <w:r w:rsidR="0045746C" w:rsidRPr="007C7C5F">
        <w:rPr>
          <w:rFonts w:asciiTheme="majorHAnsi" w:hAnsiTheme="majorHAnsi" w:cstheme="majorHAnsi"/>
        </w:rPr>
        <w:t xml:space="preserve"> and identification of key pressures</w:t>
      </w:r>
    </w:p>
    <w:p w14:paraId="78B38CB8" w14:textId="77777777" w:rsidR="00304276" w:rsidRPr="007C7C5F" w:rsidRDefault="00304276" w:rsidP="00D3762A">
      <w:pPr>
        <w:tabs>
          <w:tab w:val="left" w:pos="284"/>
        </w:tabs>
        <w:jc w:val="both"/>
        <w:rPr>
          <w:rFonts w:asciiTheme="majorHAnsi" w:hAnsiTheme="majorHAnsi" w:cstheme="majorHAnsi"/>
        </w:rPr>
      </w:pPr>
    </w:p>
    <w:p w14:paraId="53A44904" w14:textId="2BE961F4" w:rsidR="00860E05" w:rsidRDefault="00D3762A" w:rsidP="004767C8">
      <w:pPr>
        <w:tabs>
          <w:tab w:val="left" w:pos="284"/>
        </w:tabs>
        <w:jc w:val="both"/>
        <w:rPr>
          <w:rFonts w:asciiTheme="majorHAnsi" w:hAnsiTheme="majorHAnsi" w:cstheme="majorHAnsi"/>
        </w:rPr>
      </w:pPr>
      <w:r w:rsidRPr="007C7C5F">
        <w:rPr>
          <w:rFonts w:asciiTheme="majorHAnsi" w:hAnsiTheme="majorHAnsi" w:cstheme="majorHAnsi"/>
        </w:rPr>
        <w:t>The River Dee catchment</w:t>
      </w:r>
      <w:r w:rsidR="002C5351" w:rsidRPr="007C7C5F">
        <w:rPr>
          <w:rFonts w:asciiTheme="majorHAnsi" w:hAnsiTheme="majorHAnsi" w:cstheme="majorHAnsi"/>
        </w:rPr>
        <w:t xml:space="preserve"> (North East Scotland</w:t>
      </w:r>
      <w:r w:rsidR="00D45447" w:rsidRPr="007C7C5F">
        <w:rPr>
          <w:rFonts w:asciiTheme="majorHAnsi" w:hAnsiTheme="majorHAnsi" w:cstheme="majorHAnsi"/>
        </w:rPr>
        <w:t>; Fig. 1</w:t>
      </w:r>
      <w:r w:rsidR="002C5351" w:rsidRPr="007C7C5F">
        <w:rPr>
          <w:rFonts w:asciiTheme="majorHAnsi" w:hAnsiTheme="majorHAnsi" w:cstheme="majorHAnsi"/>
        </w:rPr>
        <w:t>)</w:t>
      </w:r>
      <w:r w:rsidRPr="007C7C5F">
        <w:rPr>
          <w:rFonts w:asciiTheme="majorHAnsi" w:hAnsiTheme="majorHAnsi" w:cstheme="majorHAnsi"/>
        </w:rPr>
        <w:t xml:space="preserve"> is a large (</w:t>
      </w:r>
      <w:r w:rsidRPr="007C7C5F">
        <w:rPr>
          <w:rFonts w:asciiTheme="majorHAnsi" w:hAnsiTheme="majorHAnsi" w:cstheme="majorHAnsi"/>
          <w:i/>
        </w:rPr>
        <w:t>ca</w:t>
      </w:r>
      <w:r w:rsidRPr="007C7C5F">
        <w:rPr>
          <w:rFonts w:asciiTheme="majorHAnsi" w:hAnsiTheme="majorHAnsi" w:cstheme="majorHAnsi"/>
        </w:rPr>
        <w:t>. 2100 km</w:t>
      </w:r>
      <w:r w:rsidRPr="007C7C5F">
        <w:rPr>
          <w:rFonts w:asciiTheme="majorHAnsi" w:hAnsiTheme="majorHAnsi" w:cstheme="majorHAnsi"/>
          <w:vertAlign w:val="superscript"/>
        </w:rPr>
        <w:t>2</w:t>
      </w:r>
      <w:r w:rsidRPr="007C7C5F">
        <w:rPr>
          <w:rFonts w:asciiTheme="majorHAnsi" w:hAnsiTheme="majorHAnsi" w:cstheme="majorHAnsi"/>
        </w:rPr>
        <w:t>), relatively unspoilt area, famed for its salmon fishing, shooting and hill walking. It has been designated at European level for the species it supports, in particular Atlantic salmon (</w:t>
      </w:r>
      <w:proofErr w:type="spellStart"/>
      <w:r w:rsidRPr="007C7C5F">
        <w:rPr>
          <w:rFonts w:asciiTheme="majorHAnsi" w:hAnsiTheme="majorHAnsi" w:cstheme="majorHAnsi"/>
          <w:i/>
        </w:rPr>
        <w:t>Salmo</w:t>
      </w:r>
      <w:proofErr w:type="spellEnd"/>
      <w:r w:rsidRPr="007C7C5F">
        <w:rPr>
          <w:rFonts w:asciiTheme="majorHAnsi" w:hAnsiTheme="majorHAnsi" w:cstheme="majorHAnsi"/>
          <w:i/>
        </w:rPr>
        <w:t xml:space="preserve"> </w:t>
      </w:r>
      <w:proofErr w:type="spellStart"/>
      <w:r w:rsidRPr="007C7C5F">
        <w:rPr>
          <w:rFonts w:asciiTheme="majorHAnsi" w:hAnsiTheme="majorHAnsi" w:cstheme="majorHAnsi"/>
          <w:i/>
        </w:rPr>
        <w:t>salar</w:t>
      </w:r>
      <w:proofErr w:type="spellEnd"/>
      <w:r w:rsidRPr="007C7C5F">
        <w:rPr>
          <w:rFonts w:asciiTheme="majorHAnsi" w:hAnsiTheme="majorHAnsi" w:cstheme="majorHAnsi"/>
        </w:rPr>
        <w:t>), freshwater pearl mussel (</w:t>
      </w:r>
      <w:proofErr w:type="spellStart"/>
      <w:r w:rsidRPr="007C7C5F">
        <w:rPr>
          <w:rFonts w:asciiTheme="majorHAnsi" w:hAnsiTheme="majorHAnsi" w:cstheme="majorHAnsi"/>
          <w:i/>
        </w:rPr>
        <w:t>Margaritifera</w:t>
      </w:r>
      <w:proofErr w:type="spellEnd"/>
      <w:r w:rsidRPr="007C7C5F">
        <w:rPr>
          <w:rFonts w:asciiTheme="majorHAnsi" w:hAnsiTheme="majorHAnsi" w:cstheme="majorHAnsi"/>
          <w:i/>
        </w:rPr>
        <w:t xml:space="preserve"> </w:t>
      </w:r>
      <w:proofErr w:type="spellStart"/>
      <w:r w:rsidRPr="007C7C5F">
        <w:rPr>
          <w:rFonts w:asciiTheme="majorHAnsi" w:hAnsiTheme="majorHAnsi" w:cstheme="majorHAnsi"/>
          <w:i/>
        </w:rPr>
        <w:t>margaritifera</w:t>
      </w:r>
      <w:proofErr w:type="spellEnd"/>
      <w:r w:rsidRPr="007C7C5F">
        <w:rPr>
          <w:rFonts w:asciiTheme="majorHAnsi" w:hAnsiTheme="majorHAnsi" w:cstheme="majorHAnsi"/>
        </w:rPr>
        <w:t>) and otter (</w:t>
      </w:r>
      <w:proofErr w:type="spellStart"/>
      <w:r w:rsidRPr="007C7C5F">
        <w:rPr>
          <w:rFonts w:asciiTheme="majorHAnsi" w:hAnsiTheme="majorHAnsi" w:cstheme="majorHAnsi"/>
          <w:i/>
        </w:rPr>
        <w:t>Lutra</w:t>
      </w:r>
      <w:proofErr w:type="spellEnd"/>
      <w:r w:rsidRPr="007C7C5F">
        <w:rPr>
          <w:rFonts w:asciiTheme="majorHAnsi" w:hAnsiTheme="majorHAnsi" w:cstheme="majorHAnsi"/>
          <w:i/>
        </w:rPr>
        <w:t xml:space="preserve"> </w:t>
      </w:r>
      <w:proofErr w:type="spellStart"/>
      <w:r w:rsidRPr="007C7C5F">
        <w:rPr>
          <w:rFonts w:asciiTheme="majorHAnsi" w:hAnsiTheme="majorHAnsi" w:cstheme="majorHAnsi"/>
          <w:i/>
        </w:rPr>
        <w:t>lutra</w:t>
      </w:r>
      <w:proofErr w:type="spellEnd"/>
      <w:r w:rsidRPr="007C7C5F">
        <w:rPr>
          <w:rFonts w:asciiTheme="majorHAnsi" w:hAnsiTheme="majorHAnsi" w:cstheme="majorHAnsi"/>
        </w:rPr>
        <w:t>). The catchment is subject to significant pressures, including morphological alterations and nutrient inputs from sewage and agriculture, and the area remains a top conservation priority.</w:t>
      </w:r>
      <w:r w:rsidR="00F41F7B" w:rsidRPr="007C7C5F">
        <w:rPr>
          <w:rFonts w:asciiTheme="majorHAnsi" w:hAnsiTheme="majorHAnsi" w:cstheme="majorHAnsi"/>
        </w:rPr>
        <w:t xml:space="preserve"> </w:t>
      </w:r>
      <w:r w:rsidR="00F32083" w:rsidRPr="007C7C5F">
        <w:rPr>
          <w:rFonts w:asciiTheme="majorHAnsi" w:hAnsiTheme="majorHAnsi" w:cstheme="majorHAnsi"/>
        </w:rPr>
        <w:t xml:space="preserve">Within the Dee catchment there is significant heterogeneity in climate, topography, soils and land use, and consequently the key </w:t>
      </w:r>
      <w:r w:rsidR="00767C1D" w:rsidRPr="007C7C5F">
        <w:rPr>
          <w:rFonts w:asciiTheme="majorHAnsi" w:hAnsiTheme="majorHAnsi" w:cstheme="majorHAnsi"/>
        </w:rPr>
        <w:t>determinants</w:t>
      </w:r>
      <w:r w:rsidR="00F32083" w:rsidRPr="007C7C5F">
        <w:rPr>
          <w:rFonts w:asciiTheme="majorHAnsi" w:hAnsiTheme="majorHAnsi" w:cstheme="majorHAnsi"/>
        </w:rPr>
        <w:t xml:space="preserve"> and targets for water quality are variable across the catchment.</w:t>
      </w:r>
      <w:r w:rsidR="00697FC8" w:rsidRPr="007C7C5F">
        <w:rPr>
          <w:rFonts w:asciiTheme="majorHAnsi" w:hAnsiTheme="majorHAnsi" w:cstheme="majorHAnsi"/>
        </w:rPr>
        <w:t xml:space="preserve"> </w:t>
      </w:r>
      <w:r w:rsidRPr="007C7C5F">
        <w:rPr>
          <w:rFonts w:asciiTheme="majorHAnsi" w:hAnsiTheme="majorHAnsi" w:cstheme="majorHAnsi"/>
        </w:rPr>
        <w:t>Two sub-catchments of the Dee were se</w:t>
      </w:r>
      <w:r w:rsidR="002C5351" w:rsidRPr="007C7C5F">
        <w:rPr>
          <w:rFonts w:asciiTheme="majorHAnsi" w:hAnsiTheme="majorHAnsi" w:cstheme="majorHAnsi"/>
        </w:rPr>
        <w:t>lected for more in-depth study</w:t>
      </w:r>
      <w:r w:rsidR="00F32083" w:rsidRPr="007C7C5F">
        <w:rPr>
          <w:rFonts w:asciiTheme="majorHAnsi" w:hAnsiTheme="majorHAnsi" w:cstheme="majorHAnsi"/>
        </w:rPr>
        <w:t xml:space="preserve"> to explore the cost-effectiveness of mitigation measures under different conditions</w:t>
      </w:r>
      <w:r w:rsidR="004767C8">
        <w:rPr>
          <w:rFonts w:asciiTheme="majorHAnsi" w:hAnsiTheme="majorHAnsi" w:cstheme="majorHAnsi"/>
        </w:rPr>
        <w:t xml:space="preserve"> – t</w:t>
      </w:r>
      <w:r w:rsidRPr="007C7C5F">
        <w:rPr>
          <w:rFonts w:asciiTheme="majorHAnsi" w:hAnsiTheme="majorHAnsi" w:cstheme="majorHAnsi"/>
        </w:rPr>
        <w:t xml:space="preserve">he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Burn</w:t>
      </w:r>
      <w:r w:rsidR="00F41F7B" w:rsidRPr="007C7C5F">
        <w:rPr>
          <w:rFonts w:asciiTheme="majorHAnsi" w:hAnsiTheme="majorHAnsi" w:cstheme="majorHAnsi"/>
        </w:rPr>
        <w:t xml:space="preserve"> catchment</w:t>
      </w:r>
      <w:r w:rsidR="009C4392" w:rsidRPr="007C7C5F">
        <w:rPr>
          <w:rFonts w:asciiTheme="majorHAnsi" w:hAnsiTheme="majorHAnsi" w:cstheme="majorHAnsi"/>
        </w:rPr>
        <w:t xml:space="preserve"> </w:t>
      </w:r>
      <w:r w:rsidR="004767C8">
        <w:rPr>
          <w:rFonts w:asciiTheme="majorHAnsi" w:hAnsiTheme="majorHAnsi" w:cstheme="majorHAnsi"/>
        </w:rPr>
        <w:t xml:space="preserve">and </w:t>
      </w:r>
      <w:r w:rsidR="008B2F06">
        <w:rPr>
          <w:rFonts w:asciiTheme="majorHAnsi" w:hAnsiTheme="majorHAnsi" w:cstheme="majorHAnsi"/>
        </w:rPr>
        <w:t>t</w:t>
      </w:r>
      <w:r w:rsidR="004767C8" w:rsidRPr="007C7C5F">
        <w:rPr>
          <w:rFonts w:asciiTheme="majorHAnsi" w:hAnsiTheme="majorHAnsi" w:cstheme="majorHAnsi"/>
        </w:rPr>
        <w:t xml:space="preserve">he </w:t>
      </w:r>
      <w:proofErr w:type="spellStart"/>
      <w:r w:rsidR="004767C8" w:rsidRPr="007C7C5F">
        <w:rPr>
          <w:rFonts w:asciiTheme="majorHAnsi" w:hAnsiTheme="majorHAnsi" w:cstheme="majorHAnsi"/>
        </w:rPr>
        <w:t>Corskie</w:t>
      </w:r>
      <w:proofErr w:type="spellEnd"/>
      <w:r w:rsidR="004767C8" w:rsidRPr="007C7C5F">
        <w:rPr>
          <w:rFonts w:asciiTheme="majorHAnsi" w:hAnsiTheme="majorHAnsi" w:cstheme="majorHAnsi"/>
        </w:rPr>
        <w:t xml:space="preserve"> Burn catchment</w:t>
      </w:r>
      <w:r w:rsidR="004767C8">
        <w:rPr>
          <w:rFonts w:asciiTheme="majorHAnsi" w:hAnsiTheme="majorHAnsi" w:cstheme="majorHAnsi"/>
        </w:rPr>
        <w:t xml:space="preserve"> (see Fig. 1). </w:t>
      </w:r>
    </w:p>
    <w:p w14:paraId="3DA74259" w14:textId="4FAAD2E1" w:rsidR="00230D0A" w:rsidRPr="00230D0A" w:rsidRDefault="004767C8" w:rsidP="00230D0A">
      <w:pPr>
        <w:tabs>
          <w:tab w:val="left" w:pos="284"/>
        </w:tabs>
        <w:jc w:val="both"/>
        <w:rPr>
          <w:rFonts w:cstheme="majorHAnsi"/>
        </w:rPr>
      </w:pPr>
      <w:proofErr w:type="spellStart"/>
      <w:r w:rsidRPr="00230D0A">
        <w:rPr>
          <w:rFonts w:cstheme="majorHAnsi"/>
        </w:rPr>
        <w:t>Tarland</w:t>
      </w:r>
      <w:proofErr w:type="spellEnd"/>
      <w:r w:rsidRPr="00230D0A">
        <w:rPr>
          <w:rFonts w:cstheme="majorHAnsi"/>
        </w:rPr>
        <w:t xml:space="preserve"> Burn catchment</w:t>
      </w:r>
      <w:r w:rsidR="00911EBD" w:rsidRPr="00230D0A">
        <w:rPr>
          <w:rFonts w:cstheme="majorHAnsi"/>
        </w:rPr>
        <w:t>, in the middle reaches of the Dee,</w:t>
      </w:r>
      <w:r w:rsidR="00F41F7B" w:rsidRPr="00230D0A">
        <w:rPr>
          <w:rFonts w:cstheme="majorHAnsi"/>
        </w:rPr>
        <w:t xml:space="preserve"> is </w:t>
      </w:r>
      <w:r w:rsidRPr="00230D0A">
        <w:rPr>
          <w:rFonts w:cstheme="majorHAnsi"/>
        </w:rPr>
        <w:t xml:space="preserve">characterized by </w:t>
      </w:r>
      <w:r w:rsidR="00F41F7B" w:rsidRPr="00230D0A">
        <w:rPr>
          <w:rFonts w:cstheme="majorHAnsi"/>
        </w:rPr>
        <w:t xml:space="preserve">a </w:t>
      </w:r>
      <w:r w:rsidR="00D3762A" w:rsidRPr="00230D0A">
        <w:rPr>
          <w:rFonts w:cstheme="majorHAnsi"/>
        </w:rPr>
        <w:t>mixed land use</w:t>
      </w:r>
      <w:r w:rsidRPr="00230D0A">
        <w:rPr>
          <w:rFonts w:cstheme="majorHAnsi"/>
        </w:rPr>
        <w:t>.</w:t>
      </w:r>
      <w:r w:rsidR="00230D0A" w:rsidRPr="00230D0A">
        <w:rPr>
          <w:rFonts w:cstheme="majorHAnsi"/>
        </w:rPr>
        <w:t xml:space="preserve"> </w:t>
      </w:r>
      <w:r w:rsidR="00230D0A" w:rsidRPr="00230D0A">
        <w:rPr>
          <w:rFonts w:cs="Calibri"/>
        </w:rPr>
        <w:t>The catchment supports a wide range of land uses. On the upper slopes heather moorland used for sport shooting gives way to plantation forestry which in turn meets the upper fields of the farms in which beef cattle and sheep are grazed, interspersed between fields of improved grass. Agricultural activity is typically mixed cereal and livestock, dominated by the fattening of cattle and malting barley production and some sheep on improved pasture on the uplands. There are 4,369</w:t>
      </w:r>
      <w:r w:rsidR="00230D0A" w:rsidRPr="00230D0A">
        <w:rPr>
          <w:rFonts w:eastAsia="Times New Roman" w:cs="Calibri"/>
          <w:lang w:eastAsia="en-GB"/>
        </w:rPr>
        <w:t xml:space="preserve"> cattle and 8,566 sheep in total (Agricultural Census, 2008) in the farms located in the catchment. </w:t>
      </w:r>
      <w:r w:rsidR="00230D0A" w:rsidRPr="00230D0A">
        <w:rPr>
          <w:rFonts w:cs="Calibri"/>
          <w:lang w:val="en-US"/>
        </w:rPr>
        <w:t>An estimated</w:t>
      </w:r>
      <w:r w:rsidR="00230D0A" w:rsidRPr="00230D0A">
        <w:rPr>
          <w:rFonts w:cs="Calibri"/>
        </w:rPr>
        <w:t xml:space="preserve"> total of 4,472 people </w:t>
      </w:r>
      <w:r w:rsidR="00230D0A" w:rsidRPr="00230D0A">
        <w:rPr>
          <w:rFonts w:cs="Calibri"/>
          <w:lang w:val="en-US"/>
        </w:rPr>
        <w:t xml:space="preserve">are </w:t>
      </w:r>
      <w:r w:rsidR="00230D0A" w:rsidRPr="00230D0A">
        <w:rPr>
          <w:rFonts w:cs="Calibri"/>
        </w:rPr>
        <w:t xml:space="preserve">living in and around this sub-catchment. Water quality examinations at the lower end of the </w:t>
      </w:r>
      <w:proofErr w:type="spellStart"/>
      <w:r w:rsidR="00230D0A" w:rsidRPr="00230D0A">
        <w:rPr>
          <w:rFonts w:cs="Calibri"/>
        </w:rPr>
        <w:t>Tarland</w:t>
      </w:r>
      <w:proofErr w:type="spellEnd"/>
      <w:r w:rsidR="00230D0A" w:rsidRPr="00230D0A">
        <w:rPr>
          <w:rFonts w:cs="Calibri"/>
        </w:rPr>
        <w:t xml:space="preserve"> sub-catchment (SEPA, 2000) indicated that faecal indicator organisms (FIO), N and P loadings were significant issues compromising water quality in </w:t>
      </w:r>
      <w:proofErr w:type="spellStart"/>
      <w:r w:rsidR="00230D0A" w:rsidRPr="00230D0A">
        <w:rPr>
          <w:rFonts w:cs="Calibri"/>
        </w:rPr>
        <w:t>Tarland</w:t>
      </w:r>
      <w:proofErr w:type="spellEnd"/>
      <w:r w:rsidR="00230D0A" w:rsidRPr="00230D0A">
        <w:rPr>
          <w:rFonts w:cs="Calibri"/>
        </w:rPr>
        <w:t xml:space="preserve">. These issues are related to diffuse pollution whose main sources are agricultural activities. </w:t>
      </w:r>
      <w:r w:rsidR="00230D0A" w:rsidRPr="00230D0A">
        <w:rPr>
          <w:rFonts w:cstheme="majorHAnsi"/>
        </w:rPr>
        <w:t>Water quality problem due to diffuse inputs of nutrients primarily nitrogen pollution and sediments from agriculture are the key issues in the catchment.</w:t>
      </w:r>
    </w:p>
    <w:p w14:paraId="67E1BB78" w14:textId="7A26561A" w:rsidR="004A79EB" w:rsidRPr="007C7C5F" w:rsidRDefault="00911EBD" w:rsidP="009453E2">
      <w:pPr>
        <w:jc w:val="both"/>
        <w:rPr>
          <w:rFonts w:asciiTheme="majorHAnsi" w:hAnsiTheme="majorHAnsi" w:cstheme="majorHAnsi"/>
          <w:lang w:eastAsia="en-GB"/>
        </w:rPr>
      </w:pPr>
      <w:r w:rsidRPr="007C7C5F">
        <w:rPr>
          <w:rFonts w:asciiTheme="majorHAnsi" w:hAnsiTheme="majorHAnsi" w:cstheme="majorHAnsi"/>
        </w:rPr>
        <w:t xml:space="preserve">The </w:t>
      </w:r>
      <w:proofErr w:type="spellStart"/>
      <w:r w:rsidRPr="007C7C5F">
        <w:rPr>
          <w:rFonts w:asciiTheme="majorHAnsi" w:hAnsiTheme="majorHAnsi" w:cstheme="majorHAnsi"/>
        </w:rPr>
        <w:t>Corskie</w:t>
      </w:r>
      <w:proofErr w:type="spellEnd"/>
      <w:r w:rsidRPr="007C7C5F">
        <w:rPr>
          <w:rFonts w:asciiTheme="majorHAnsi" w:hAnsiTheme="majorHAnsi" w:cstheme="majorHAnsi"/>
        </w:rPr>
        <w:t xml:space="preserve"> Burn </w:t>
      </w:r>
      <w:r>
        <w:rPr>
          <w:rFonts w:asciiTheme="majorHAnsi" w:hAnsiTheme="majorHAnsi" w:cstheme="majorHAnsi"/>
        </w:rPr>
        <w:t xml:space="preserve">catchment </w:t>
      </w:r>
      <w:r w:rsidRPr="007C7C5F">
        <w:rPr>
          <w:rFonts w:asciiTheme="majorHAnsi" w:hAnsiTheme="majorHAnsi" w:cstheme="majorHAnsi"/>
        </w:rPr>
        <w:t xml:space="preserve">is in the lower parts of the Dee catchment and is a predominantly agricultural catchment which feeds a shallow lake (the Loch of Skene) with an area of </w:t>
      </w:r>
      <w:r w:rsidRPr="007C7C5F">
        <w:rPr>
          <w:rFonts w:asciiTheme="majorHAnsi" w:hAnsiTheme="majorHAnsi" w:cstheme="majorHAnsi"/>
          <w:i/>
        </w:rPr>
        <w:t xml:space="preserve">ca. </w:t>
      </w:r>
      <w:r w:rsidRPr="007C7C5F">
        <w:rPr>
          <w:rFonts w:asciiTheme="majorHAnsi" w:hAnsiTheme="majorHAnsi" w:cstheme="majorHAnsi"/>
        </w:rPr>
        <w:t>1 km</w:t>
      </w:r>
      <w:r w:rsidRPr="007C7C5F">
        <w:rPr>
          <w:rFonts w:asciiTheme="majorHAnsi" w:hAnsiTheme="majorHAnsi" w:cstheme="majorHAnsi"/>
          <w:vertAlign w:val="superscript"/>
        </w:rPr>
        <w:t>2</w:t>
      </w:r>
      <w:r w:rsidRPr="007C7C5F">
        <w:rPr>
          <w:rFonts w:asciiTheme="majorHAnsi" w:hAnsiTheme="majorHAnsi" w:cstheme="majorHAnsi"/>
        </w:rPr>
        <w:t xml:space="preserve"> (Fig. 1). Both the stream and the lake were classified as having ‘Poor’ ecological status in 2008, due to phosphorus loading from sewage treatment works and diffuse agricultural inputs, and barriers to fish migration. High nutrient inputs lead to annual cyanobacterial blooms within the lake, which may be </w:t>
      </w:r>
      <w:r w:rsidRPr="007C7C5F">
        <w:rPr>
          <w:rFonts w:asciiTheme="majorHAnsi" w:hAnsiTheme="majorHAnsi" w:cstheme="majorHAnsi"/>
        </w:rPr>
        <w:lastRenderedPageBreak/>
        <w:t xml:space="preserve">toxic to humans, mammals and fish. </w:t>
      </w:r>
      <w:r w:rsidR="009453E2" w:rsidRPr="00EC7B1F">
        <w:rPr>
          <w:rFonts w:cs="Calibri"/>
          <w:sz w:val="20"/>
          <w:szCs w:val="20"/>
        </w:rPr>
        <w:t>The catchment is mainly rural and predominantly under agricultural use. The major uses of the land are for arable farming (40%) and grassland (37%) and forestry (14%)</w:t>
      </w:r>
      <w:r w:rsidR="009453E2">
        <w:rPr>
          <w:rFonts w:cs="Calibri"/>
          <w:sz w:val="20"/>
          <w:szCs w:val="20"/>
        </w:rPr>
        <w:t>.</w:t>
      </w:r>
      <w:r w:rsidR="009453E2" w:rsidRPr="00EC7B1F">
        <w:rPr>
          <w:rFonts w:cs="Calibri"/>
          <w:sz w:val="20"/>
          <w:szCs w:val="20"/>
        </w:rPr>
        <w:t xml:space="preserve"> The farming is typically mixed cereal and livestock, dominated by the breeding and fattening of cattle and mixed arable production and some sheep.  There are about 4</w:t>
      </w:r>
      <w:r w:rsidR="009453E2" w:rsidRPr="00EC7B1F">
        <w:rPr>
          <w:rFonts w:eastAsia="Times New Roman" w:cs="Calibri"/>
          <w:color w:val="000000"/>
          <w:sz w:val="20"/>
          <w:szCs w:val="20"/>
          <w:lang w:eastAsia="en-GB"/>
        </w:rPr>
        <w:t>,377 cattle and 5,000 sheep (Agricultural Census, 2008) in the farms located in the catchment.</w:t>
      </w:r>
      <w:r w:rsidR="009453E2">
        <w:rPr>
          <w:rFonts w:eastAsia="Times New Roman" w:cs="Calibri"/>
          <w:color w:val="000000"/>
          <w:sz w:val="20"/>
          <w:szCs w:val="20"/>
          <w:lang w:eastAsia="en-GB"/>
        </w:rPr>
        <w:t xml:space="preserve"> </w:t>
      </w:r>
      <w:r w:rsidRPr="007C7C5F">
        <w:rPr>
          <w:rFonts w:asciiTheme="majorHAnsi" w:hAnsiTheme="majorHAnsi" w:cstheme="majorHAnsi"/>
        </w:rPr>
        <w:t xml:space="preserve">The study of the </w:t>
      </w:r>
      <w:proofErr w:type="spellStart"/>
      <w:r w:rsidRPr="007C7C5F">
        <w:rPr>
          <w:rFonts w:asciiTheme="majorHAnsi" w:hAnsiTheme="majorHAnsi" w:cstheme="majorHAnsi"/>
        </w:rPr>
        <w:t>Corskie</w:t>
      </w:r>
      <w:proofErr w:type="spellEnd"/>
      <w:r w:rsidRPr="007C7C5F">
        <w:rPr>
          <w:rFonts w:asciiTheme="majorHAnsi" w:hAnsiTheme="majorHAnsi" w:cstheme="majorHAnsi"/>
        </w:rPr>
        <w:t xml:space="preserve"> Burn focussed on mitigation of P pollution, including </w:t>
      </w:r>
      <w:r w:rsidR="009453E2">
        <w:rPr>
          <w:rFonts w:asciiTheme="majorHAnsi" w:hAnsiTheme="majorHAnsi" w:cstheme="majorHAnsi"/>
        </w:rPr>
        <w:t>two point sources (WWTWs)</w:t>
      </w:r>
      <w:r w:rsidRPr="007C7C5F">
        <w:rPr>
          <w:rFonts w:asciiTheme="majorHAnsi" w:hAnsiTheme="majorHAnsi" w:cstheme="majorHAnsi"/>
        </w:rPr>
        <w:t xml:space="preserve"> and diffuse agricultural sources. </w:t>
      </w:r>
    </w:p>
    <w:p w14:paraId="3793FCD2" w14:textId="66EEA39B" w:rsidR="00D45447" w:rsidRPr="007C7C5F" w:rsidRDefault="00D45447" w:rsidP="00D45447">
      <w:pPr>
        <w:autoSpaceDE w:val="0"/>
        <w:autoSpaceDN w:val="0"/>
        <w:adjustRightInd w:val="0"/>
        <w:spacing w:after="0"/>
        <w:jc w:val="both"/>
        <w:rPr>
          <w:rFonts w:asciiTheme="majorHAnsi" w:hAnsiTheme="majorHAnsi" w:cstheme="majorHAnsi"/>
        </w:rPr>
      </w:pPr>
    </w:p>
    <w:p w14:paraId="23FEC74C" w14:textId="68AB994C" w:rsidR="00D45447" w:rsidRPr="007C7C5F" w:rsidRDefault="004F172B" w:rsidP="004F172B">
      <w:pPr>
        <w:autoSpaceDE w:val="0"/>
        <w:autoSpaceDN w:val="0"/>
        <w:adjustRightInd w:val="0"/>
        <w:spacing w:after="0"/>
        <w:ind w:firstLine="45"/>
        <w:rPr>
          <w:rFonts w:asciiTheme="majorHAnsi" w:hAnsiTheme="majorHAnsi" w:cstheme="majorHAnsi"/>
        </w:rPr>
      </w:pPr>
      <w:r>
        <w:rPr>
          <w:rFonts w:asciiTheme="majorHAnsi" w:hAnsiTheme="majorHAnsi" w:cstheme="majorHAnsi"/>
          <w:highlight w:val="yellow"/>
        </w:rPr>
        <w:t>&lt;&lt;</w:t>
      </w:r>
      <w:r w:rsidR="00D45447" w:rsidRPr="004F172B">
        <w:rPr>
          <w:rFonts w:asciiTheme="majorHAnsi" w:hAnsiTheme="majorHAnsi" w:cstheme="majorHAnsi"/>
          <w:highlight w:val="yellow"/>
        </w:rPr>
        <w:t>Figure 1</w:t>
      </w:r>
      <w:r w:rsidRPr="004F172B">
        <w:rPr>
          <w:rFonts w:asciiTheme="majorHAnsi" w:hAnsiTheme="majorHAnsi" w:cstheme="majorHAnsi"/>
          <w:highlight w:val="yellow"/>
        </w:rPr>
        <w:t>&gt;&gt; here</w:t>
      </w:r>
    </w:p>
    <w:p w14:paraId="1D21DB12" w14:textId="77777777" w:rsidR="00EF6995" w:rsidRPr="007C7C5F" w:rsidRDefault="00EF6995" w:rsidP="00EF6995">
      <w:pPr>
        <w:autoSpaceDE w:val="0"/>
        <w:autoSpaceDN w:val="0"/>
        <w:adjustRightInd w:val="0"/>
        <w:spacing w:after="0"/>
        <w:ind w:left="1440" w:firstLine="720"/>
        <w:jc w:val="both"/>
        <w:rPr>
          <w:rFonts w:asciiTheme="majorHAnsi" w:hAnsiTheme="majorHAnsi" w:cstheme="majorHAnsi"/>
        </w:rPr>
      </w:pPr>
    </w:p>
    <w:p w14:paraId="742D0BE2" w14:textId="4BC6364B" w:rsidR="00A40FD4" w:rsidRPr="007C7C5F" w:rsidRDefault="00A40FD4" w:rsidP="00EF6995">
      <w:pPr>
        <w:pStyle w:val="Heading1"/>
        <w:spacing w:before="0"/>
        <w:rPr>
          <w:rFonts w:asciiTheme="majorHAnsi" w:hAnsiTheme="majorHAnsi" w:cstheme="majorHAnsi"/>
        </w:rPr>
      </w:pPr>
      <w:r w:rsidRPr="007C7C5F">
        <w:rPr>
          <w:rFonts w:asciiTheme="majorHAnsi" w:hAnsiTheme="majorHAnsi" w:cstheme="majorHAnsi"/>
        </w:rPr>
        <w:t xml:space="preserve">Identification of mitigation measures </w:t>
      </w:r>
    </w:p>
    <w:p w14:paraId="36DE0521" w14:textId="77777777" w:rsidR="00EF6995" w:rsidRPr="007C7C5F" w:rsidRDefault="00EF6995" w:rsidP="000E6B02">
      <w:pPr>
        <w:spacing w:after="0"/>
        <w:jc w:val="both"/>
        <w:rPr>
          <w:rFonts w:asciiTheme="majorHAnsi" w:hAnsiTheme="majorHAnsi" w:cstheme="majorHAnsi"/>
        </w:rPr>
      </w:pPr>
    </w:p>
    <w:p w14:paraId="02B26DB0" w14:textId="3D865005" w:rsidR="0052348B" w:rsidRPr="007C7C5F" w:rsidRDefault="0052348B" w:rsidP="000E6B02">
      <w:pPr>
        <w:spacing w:after="0"/>
        <w:jc w:val="both"/>
        <w:rPr>
          <w:rFonts w:asciiTheme="majorHAnsi" w:hAnsiTheme="majorHAnsi" w:cstheme="majorHAnsi"/>
        </w:rPr>
      </w:pPr>
      <w:r w:rsidRPr="007C7C5F">
        <w:rPr>
          <w:rFonts w:asciiTheme="majorHAnsi" w:hAnsiTheme="majorHAnsi" w:cstheme="majorHAnsi"/>
        </w:rPr>
        <w:t>Identification of mitigation measures was based on previous work</w:t>
      </w:r>
      <w:r w:rsidR="00F41F7B" w:rsidRPr="007C7C5F">
        <w:rPr>
          <w:rFonts w:asciiTheme="majorHAnsi" w:hAnsiTheme="majorHAnsi" w:cstheme="majorHAnsi"/>
        </w:rPr>
        <w:t xml:space="preserve"> in the catchment</w:t>
      </w:r>
      <w:r w:rsidR="0045746C" w:rsidRPr="007C7C5F">
        <w:rPr>
          <w:rFonts w:asciiTheme="majorHAnsi" w:hAnsiTheme="majorHAnsi" w:cstheme="majorHAnsi"/>
        </w:rPr>
        <w:t>s</w:t>
      </w:r>
      <w:r w:rsidR="00E82025" w:rsidRPr="007C7C5F">
        <w:rPr>
          <w:rFonts w:asciiTheme="majorHAnsi" w:hAnsiTheme="majorHAnsi" w:cstheme="majorHAnsi"/>
        </w:rPr>
        <w:t xml:space="preserve"> (</w:t>
      </w:r>
      <w:r w:rsidRPr="007C7C5F">
        <w:rPr>
          <w:rFonts w:asciiTheme="majorHAnsi" w:hAnsiTheme="majorHAnsi" w:cstheme="majorHAnsi"/>
        </w:rPr>
        <w:t xml:space="preserve">Defra, 2004; </w:t>
      </w:r>
      <w:proofErr w:type="spellStart"/>
      <w:r w:rsidRPr="007C7C5F">
        <w:rPr>
          <w:rFonts w:asciiTheme="majorHAnsi" w:hAnsiTheme="majorHAnsi" w:cstheme="majorHAnsi"/>
        </w:rPr>
        <w:t>Cuttle</w:t>
      </w:r>
      <w:proofErr w:type="spellEnd"/>
      <w:r w:rsidRPr="007C7C5F">
        <w:rPr>
          <w:rFonts w:asciiTheme="majorHAnsi" w:hAnsiTheme="majorHAnsi" w:cstheme="majorHAnsi"/>
        </w:rPr>
        <w:t xml:space="preserve"> et al., 2007</w:t>
      </w:r>
      <w:r w:rsidR="001972CD" w:rsidRPr="007C7C5F">
        <w:rPr>
          <w:rFonts w:asciiTheme="majorHAnsi" w:hAnsiTheme="majorHAnsi" w:cstheme="majorHAnsi"/>
        </w:rPr>
        <w:t>; Newell Price et al., 2011</w:t>
      </w:r>
      <w:r w:rsidRPr="007C7C5F">
        <w:rPr>
          <w:rFonts w:asciiTheme="majorHAnsi" w:hAnsiTheme="majorHAnsi" w:cstheme="majorHAnsi"/>
        </w:rPr>
        <w:t>)</w:t>
      </w:r>
      <w:r w:rsidR="00F41F7B" w:rsidRPr="007C7C5F">
        <w:rPr>
          <w:rFonts w:asciiTheme="majorHAnsi" w:hAnsiTheme="majorHAnsi" w:cstheme="majorHAnsi"/>
        </w:rPr>
        <w:t xml:space="preserve">, </w:t>
      </w:r>
      <w:r w:rsidRPr="007C7C5F">
        <w:rPr>
          <w:rFonts w:asciiTheme="majorHAnsi" w:hAnsiTheme="majorHAnsi" w:cstheme="majorHAnsi"/>
        </w:rPr>
        <w:t>expert consultations</w:t>
      </w:r>
      <w:r w:rsidR="00F41F7B" w:rsidRPr="007C7C5F">
        <w:rPr>
          <w:rFonts w:asciiTheme="majorHAnsi" w:hAnsiTheme="majorHAnsi" w:cstheme="majorHAnsi"/>
        </w:rPr>
        <w:t xml:space="preserve"> and</w:t>
      </w:r>
      <w:r w:rsidRPr="007C7C5F">
        <w:rPr>
          <w:rFonts w:asciiTheme="majorHAnsi" w:hAnsiTheme="majorHAnsi" w:cstheme="majorHAnsi"/>
        </w:rPr>
        <w:t xml:space="preserve"> stakeholder input (Martin-Ortega et al., 2011</w:t>
      </w:r>
      <w:r w:rsidR="00D3113A">
        <w:rPr>
          <w:rFonts w:asciiTheme="majorHAnsi" w:hAnsiTheme="majorHAnsi" w:cstheme="majorHAnsi"/>
        </w:rPr>
        <w:t>; Martin Ortega et al,. 2015</w:t>
      </w:r>
      <w:r w:rsidRPr="007C7C5F">
        <w:rPr>
          <w:rFonts w:asciiTheme="majorHAnsi" w:hAnsiTheme="majorHAnsi" w:cstheme="majorHAnsi"/>
        </w:rPr>
        <w:t xml:space="preserve">). The Scottish Rural Development Programme (SRDP 2007-2013) document was also consulted. </w:t>
      </w:r>
      <w:r w:rsidR="00911EBD">
        <w:rPr>
          <w:rFonts w:asciiTheme="majorHAnsi" w:hAnsiTheme="majorHAnsi" w:cstheme="majorHAnsi"/>
        </w:rPr>
        <w:t>C</w:t>
      </w:r>
      <w:r w:rsidRPr="007C7C5F">
        <w:rPr>
          <w:rFonts w:asciiTheme="majorHAnsi" w:hAnsiTheme="majorHAnsi" w:cstheme="majorHAnsi"/>
        </w:rPr>
        <w:t xml:space="preserve">atchment </w:t>
      </w:r>
      <w:r w:rsidR="00911EBD">
        <w:rPr>
          <w:rFonts w:asciiTheme="majorHAnsi" w:hAnsiTheme="majorHAnsi" w:cstheme="majorHAnsi"/>
        </w:rPr>
        <w:t xml:space="preserve">level </w:t>
      </w:r>
      <w:r w:rsidRPr="007C7C5F">
        <w:rPr>
          <w:rFonts w:asciiTheme="majorHAnsi" w:hAnsiTheme="majorHAnsi" w:cstheme="majorHAnsi"/>
        </w:rPr>
        <w:t xml:space="preserve">specific factors and attributes </w:t>
      </w:r>
      <w:r w:rsidR="00E82025" w:rsidRPr="007C7C5F">
        <w:rPr>
          <w:rFonts w:asciiTheme="majorHAnsi" w:hAnsiTheme="majorHAnsi" w:cstheme="majorHAnsi"/>
        </w:rPr>
        <w:t xml:space="preserve">such as dominant land use type </w:t>
      </w:r>
      <w:r w:rsidR="00911EBD">
        <w:rPr>
          <w:rFonts w:asciiTheme="majorHAnsi" w:hAnsiTheme="majorHAnsi" w:cstheme="majorHAnsi"/>
        </w:rPr>
        <w:t>and</w:t>
      </w:r>
      <w:r w:rsidR="00911EBD" w:rsidRPr="007C7C5F">
        <w:rPr>
          <w:rFonts w:asciiTheme="majorHAnsi" w:hAnsiTheme="majorHAnsi" w:cstheme="majorHAnsi"/>
        </w:rPr>
        <w:t xml:space="preserve"> </w:t>
      </w:r>
      <w:r w:rsidRPr="007C7C5F">
        <w:rPr>
          <w:rFonts w:asciiTheme="majorHAnsi" w:hAnsiTheme="majorHAnsi" w:cstheme="majorHAnsi"/>
        </w:rPr>
        <w:t>farming systems, environmental pressures and sources of pressures were taken into account for selecting the set of measures.</w:t>
      </w:r>
      <w:r w:rsidR="00397BB7" w:rsidRPr="007C7C5F" w:rsidDel="00397BB7">
        <w:rPr>
          <w:rFonts w:asciiTheme="majorHAnsi" w:hAnsiTheme="majorHAnsi" w:cstheme="majorHAnsi"/>
        </w:rPr>
        <w:t xml:space="preserve"> </w:t>
      </w:r>
      <w:r w:rsidRPr="007C7C5F">
        <w:rPr>
          <w:rFonts w:asciiTheme="majorHAnsi" w:hAnsiTheme="majorHAnsi" w:cstheme="majorHAnsi"/>
        </w:rPr>
        <w:t xml:space="preserve">A total of 10 broad </w:t>
      </w:r>
      <w:r w:rsidR="00587A07" w:rsidRPr="007C7C5F">
        <w:rPr>
          <w:rFonts w:asciiTheme="majorHAnsi" w:hAnsiTheme="majorHAnsi" w:cstheme="majorHAnsi"/>
        </w:rPr>
        <w:t xml:space="preserve">N </w:t>
      </w:r>
      <w:r w:rsidRPr="007C7C5F">
        <w:rPr>
          <w:rFonts w:asciiTheme="majorHAnsi" w:hAnsiTheme="majorHAnsi" w:cstheme="majorHAnsi"/>
        </w:rPr>
        <w:t>mitigation measures</w:t>
      </w:r>
      <w:r w:rsidR="00F41F7B" w:rsidRPr="007C7C5F">
        <w:rPr>
          <w:rFonts w:asciiTheme="majorHAnsi" w:hAnsiTheme="majorHAnsi" w:cstheme="majorHAnsi"/>
        </w:rPr>
        <w:t xml:space="preserve"> </w:t>
      </w:r>
      <w:r w:rsidR="00B45E0E" w:rsidRPr="007C7C5F">
        <w:rPr>
          <w:rFonts w:asciiTheme="majorHAnsi" w:hAnsiTheme="majorHAnsi" w:cstheme="majorHAnsi"/>
        </w:rPr>
        <w:t xml:space="preserve">in </w:t>
      </w:r>
      <w:r w:rsidR="0045746C" w:rsidRPr="007C7C5F">
        <w:rPr>
          <w:rFonts w:asciiTheme="majorHAnsi" w:hAnsiTheme="majorHAnsi" w:cstheme="majorHAnsi"/>
        </w:rPr>
        <w:t xml:space="preserve">the </w:t>
      </w:r>
      <w:proofErr w:type="spellStart"/>
      <w:r w:rsidR="00B45E0E" w:rsidRPr="007C7C5F">
        <w:rPr>
          <w:rFonts w:asciiTheme="majorHAnsi" w:hAnsiTheme="majorHAnsi" w:cstheme="majorHAnsi"/>
        </w:rPr>
        <w:t>Tarland</w:t>
      </w:r>
      <w:proofErr w:type="spellEnd"/>
      <w:r w:rsidR="00B45E0E" w:rsidRPr="007C7C5F">
        <w:rPr>
          <w:rFonts w:asciiTheme="majorHAnsi" w:hAnsiTheme="majorHAnsi" w:cstheme="majorHAnsi"/>
        </w:rPr>
        <w:t xml:space="preserve"> </w:t>
      </w:r>
      <w:r w:rsidR="000E6B02" w:rsidRPr="007C7C5F">
        <w:rPr>
          <w:rFonts w:asciiTheme="majorHAnsi" w:hAnsiTheme="majorHAnsi" w:cstheme="majorHAnsi"/>
        </w:rPr>
        <w:t>were considered for cost</w:t>
      </w:r>
      <w:r w:rsidR="00F41F7B" w:rsidRPr="007C7C5F">
        <w:rPr>
          <w:rFonts w:asciiTheme="majorHAnsi" w:hAnsiTheme="majorHAnsi" w:cstheme="majorHAnsi"/>
        </w:rPr>
        <w:t>-effectiveness analysis</w:t>
      </w:r>
      <w:r w:rsidR="006B6396" w:rsidRPr="007C7C5F">
        <w:rPr>
          <w:rFonts w:asciiTheme="majorHAnsi" w:hAnsiTheme="majorHAnsi" w:cstheme="majorHAnsi"/>
        </w:rPr>
        <w:t>,</w:t>
      </w:r>
      <w:r w:rsidRPr="007C7C5F">
        <w:rPr>
          <w:rFonts w:asciiTheme="majorHAnsi" w:hAnsiTheme="majorHAnsi" w:cstheme="majorHAnsi"/>
        </w:rPr>
        <w:t xml:space="preserve"> further broken down </w:t>
      </w:r>
      <w:r w:rsidR="00E82025" w:rsidRPr="007C7C5F">
        <w:rPr>
          <w:rFonts w:asciiTheme="majorHAnsi" w:hAnsiTheme="majorHAnsi" w:cstheme="majorHAnsi"/>
        </w:rPr>
        <w:t>in</w:t>
      </w:r>
      <w:r w:rsidRPr="007C7C5F">
        <w:rPr>
          <w:rFonts w:asciiTheme="majorHAnsi" w:hAnsiTheme="majorHAnsi" w:cstheme="majorHAnsi"/>
        </w:rPr>
        <w:t>to 2</w:t>
      </w:r>
      <w:r w:rsidR="00587A07" w:rsidRPr="007C7C5F">
        <w:rPr>
          <w:rFonts w:asciiTheme="majorHAnsi" w:hAnsiTheme="majorHAnsi" w:cstheme="majorHAnsi"/>
        </w:rPr>
        <w:t>3</w:t>
      </w:r>
      <w:r w:rsidRPr="007C7C5F">
        <w:rPr>
          <w:rFonts w:asciiTheme="majorHAnsi" w:hAnsiTheme="majorHAnsi" w:cstheme="majorHAnsi"/>
        </w:rPr>
        <w:t xml:space="preserve"> sub</w:t>
      </w:r>
      <w:r w:rsidR="00E82025" w:rsidRPr="007C7C5F">
        <w:rPr>
          <w:rFonts w:asciiTheme="majorHAnsi" w:hAnsiTheme="majorHAnsi" w:cstheme="majorHAnsi"/>
        </w:rPr>
        <w:t>-</w:t>
      </w:r>
      <w:r w:rsidRPr="007C7C5F">
        <w:rPr>
          <w:rFonts w:asciiTheme="majorHAnsi" w:hAnsiTheme="majorHAnsi" w:cstheme="majorHAnsi"/>
        </w:rPr>
        <w:t>measures</w:t>
      </w:r>
      <w:r w:rsidR="00B45E0E" w:rsidRPr="007C7C5F">
        <w:rPr>
          <w:rFonts w:asciiTheme="majorHAnsi" w:hAnsiTheme="majorHAnsi" w:cstheme="majorHAnsi"/>
        </w:rPr>
        <w:t xml:space="preserve"> (Table 1)</w:t>
      </w:r>
      <w:r w:rsidRPr="007C7C5F">
        <w:rPr>
          <w:rFonts w:asciiTheme="majorHAnsi" w:hAnsiTheme="majorHAnsi" w:cstheme="majorHAnsi"/>
        </w:rPr>
        <w:t>.</w:t>
      </w:r>
    </w:p>
    <w:p w14:paraId="1BFD20BE" w14:textId="77777777" w:rsidR="007C4025" w:rsidRPr="007C7C5F" w:rsidRDefault="007C4025" w:rsidP="000E6B02">
      <w:pPr>
        <w:spacing w:after="0"/>
        <w:jc w:val="both"/>
        <w:rPr>
          <w:rFonts w:asciiTheme="majorHAnsi" w:hAnsiTheme="majorHAnsi" w:cstheme="majorHAnsi"/>
        </w:rPr>
      </w:pPr>
    </w:p>
    <w:p w14:paraId="38CA0F0C" w14:textId="7AB6AF1F" w:rsidR="0052348B" w:rsidRDefault="0052348B" w:rsidP="004F172B">
      <w:pPr>
        <w:spacing w:after="0"/>
        <w:jc w:val="both"/>
        <w:rPr>
          <w:rFonts w:asciiTheme="majorHAnsi" w:hAnsiTheme="majorHAnsi" w:cstheme="majorHAnsi"/>
        </w:rPr>
      </w:pPr>
      <w:bookmarkStart w:id="4" w:name="_Ref367698437"/>
      <w:r w:rsidRPr="007C7C5F">
        <w:rPr>
          <w:rFonts w:asciiTheme="majorHAnsi" w:hAnsiTheme="majorHAnsi" w:cstheme="majorHAnsi"/>
          <w:b/>
          <w:sz w:val="24"/>
          <w:szCs w:val="24"/>
        </w:rPr>
        <w:t xml:space="preserve"> </w:t>
      </w:r>
      <w:bookmarkStart w:id="5" w:name="_Toc368663846"/>
      <w:r w:rsidR="004F172B">
        <w:rPr>
          <w:rFonts w:asciiTheme="majorHAnsi" w:hAnsiTheme="majorHAnsi" w:cstheme="majorHAnsi"/>
          <w:b/>
          <w:sz w:val="24"/>
          <w:szCs w:val="24"/>
          <w:highlight w:val="yellow"/>
        </w:rPr>
        <w:t>&lt;&lt;</w:t>
      </w:r>
      <w:r w:rsidRPr="004F172B">
        <w:rPr>
          <w:rFonts w:asciiTheme="majorHAnsi" w:hAnsiTheme="majorHAnsi" w:cstheme="majorHAnsi"/>
          <w:highlight w:val="yellow"/>
        </w:rPr>
        <w:t xml:space="preserve">Table </w:t>
      </w:r>
      <w:r w:rsidRPr="004F172B">
        <w:rPr>
          <w:rFonts w:asciiTheme="majorHAnsi" w:hAnsiTheme="majorHAnsi" w:cstheme="majorHAnsi"/>
          <w:highlight w:val="yellow"/>
        </w:rPr>
        <w:fldChar w:fldCharType="begin"/>
      </w:r>
      <w:r w:rsidRPr="004F172B">
        <w:rPr>
          <w:rFonts w:asciiTheme="majorHAnsi" w:hAnsiTheme="majorHAnsi" w:cstheme="majorHAnsi"/>
          <w:highlight w:val="yellow"/>
        </w:rPr>
        <w:instrText xml:space="preserve"> SEQ Table \* ARABIC </w:instrText>
      </w:r>
      <w:r w:rsidRPr="004F172B">
        <w:rPr>
          <w:rFonts w:asciiTheme="majorHAnsi" w:hAnsiTheme="majorHAnsi" w:cstheme="majorHAnsi"/>
          <w:highlight w:val="yellow"/>
        </w:rPr>
        <w:fldChar w:fldCharType="separate"/>
      </w:r>
      <w:r w:rsidR="0039332B">
        <w:rPr>
          <w:rFonts w:asciiTheme="majorHAnsi" w:hAnsiTheme="majorHAnsi" w:cstheme="majorHAnsi"/>
          <w:noProof/>
          <w:highlight w:val="yellow"/>
        </w:rPr>
        <w:t>1</w:t>
      </w:r>
      <w:r w:rsidRPr="004F172B">
        <w:rPr>
          <w:rFonts w:asciiTheme="majorHAnsi" w:hAnsiTheme="majorHAnsi" w:cstheme="majorHAnsi"/>
          <w:highlight w:val="yellow"/>
        </w:rPr>
        <w:fldChar w:fldCharType="end"/>
      </w:r>
      <w:bookmarkEnd w:id="4"/>
      <w:r w:rsidR="004F172B" w:rsidRPr="004F172B">
        <w:rPr>
          <w:rFonts w:asciiTheme="majorHAnsi" w:hAnsiTheme="majorHAnsi" w:cstheme="majorHAnsi"/>
          <w:highlight w:val="yellow"/>
        </w:rPr>
        <w:t>&gt;&gt; here</w:t>
      </w:r>
      <w:r w:rsidR="00E21FB5" w:rsidRPr="007C7C5F">
        <w:rPr>
          <w:rFonts w:asciiTheme="majorHAnsi" w:hAnsiTheme="majorHAnsi" w:cstheme="majorHAnsi"/>
        </w:rPr>
        <w:t xml:space="preserve">. </w:t>
      </w:r>
      <w:bookmarkEnd w:id="5"/>
    </w:p>
    <w:p w14:paraId="5F5077BE" w14:textId="77777777" w:rsidR="004F172B" w:rsidRPr="007C7C5F" w:rsidRDefault="004F172B" w:rsidP="004F172B">
      <w:pPr>
        <w:spacing w:after="0"/>
        <w:jc w:val="both"/>
        <w:rPr>
          <w:rFonts w:asciiTheme="majorHAnsi" w:hAnsiTheme="majorHAnsi" w:cstheme="majorHAnsi"/>
        </w:rPr>
      </w:pPr>
    </w:p>
    <w:p w14:paraId="692BE869" w14:textId="5457C2E4" w:rsidR="004B2483" w:rsidRPr="007C7C5F" w:rsidRDefault="00FB353F" w:rsidP="004B2483">
      <w:pPr>
        <w:spacing w:after="0"/>
        <w:jc w:val="both"/>
        <w:rPr>
          <w:rFonts w:asciiTheme="majorHAnsi" w:hAnsiTheme="majorHAnsi" w:cstheme="majorHAnsi"/>
        </w:rPr>
      </w:pPr>
      <w:r w:rsidRPr="007C7C5F">
        <w:rPr>
          <w:rFonts w:asciiTheme="majorHAnsi" w:hAnsiTheme="majorHAnsi" w:cstheme="majorHAnsi"/>
        </w:rPr>
        <w:t xml:space="preserve">Note that the </w:t>
      </w:r>
      <w:r w:rsidR="00CD577B" w:rsidRPr="007C7C5F">
        <w:rPr>
          <w:rFonts w:asciiTheme="majorHAnsi" w:hAnsiTheme="majorHAnsi" w:cstheme="majorHAnsi"/>
        </w:rPr>
        <w:t xml:space="preserve">level </w:t>
      </w:r>
      <w:r w:rsidRPr="007C7C5F">
        <w:rPr>
          <w:rFonts w:asciiTheme="majorHAnsi" w:hAnsiTheme="majorHAnsi" w:cstheme="majorHAnsi"/>
        </w:rPr>
        <w:t xml:space="preserve">at which the measures are implemented across the catchment (e.g. 20% or 50%) </w:t>
      </w:r>
      <w:r w:rsidR="00911EBD">
        <w:rPr>
          <w:rFonts w:asciiTheme="majorHAnsi" w:hAnsiTheme="majorHAnsi" w:cstheme="majorHAnsi"/>
        </w:rPr>
        <w:t xml:space="preserve">was </w:t>
      </w:r>
      <w:r w:rsidRPr="007C7C5F">
        <w:rPr>
          <w:rFonts w:asciiTheme="majorHAnsi" w:hAnsiTheme="majorHAnsi" w:cstheme="majorHAnsi"/>
        </w:rPr>
        <w:t>selected to reflect the practicalities of achieving uptake of different measures. Even where cost-effectiveness is identified as being good, there is unlikely to be full uptake, due to a range of other barriers (e.g. social</w:t>
      </w:r>
      <w:r w:rsidR="00CD577B" w:rsidRPr="007C7C5F">
        <w:rPr>
          <w:rFonts w:asciiTheme="majorHAnsi" w:hAnsiTheme="majorHAnsi" w:cstheme="majorHAnsi"/>
        </w:rPr>
        <w:t>, attitudinal and differences in perception</w:t>
      </w:r>
      <w:r w:rsidRPr="007C7C5F">
        <w:rPr>
          <w:rFonts w:asciiTheme="majorHAnsi" w:hAnsiTheme="majorHAnsi" w:cstheme="majorHAnsi"/>
        </w:rPr>
        <w:t>) that commonly inhibit diffuse pollution mitigation efforts</w:t>
      </w:r>
      <w:r w:rsidR="00304276" w:rsidRPr="007C7C5F">
        <w:rPr>
          <w:rFonts w:asciiTheme="majorHAnsi" w:hAnsiTheme="majorHAnsi" w:cstheme="majorHAnsi"/>
        </w:rPr>
        <w:t xml:space="preserve"> (</w:t>
      </w:r>
      <w:r w:rsidR="00B76C55" w:rsidRPr="007C7C5F">
        <w:rPr>
          <w:rFonts w:asciiTheme="majorHAnsi" w:hAnsiTheme="majorHAnsi" w:cstheme="majorHAnsi"/>
        </w:rPr>
        <w:t>Christen et al.</w:t>
      </w:r>
      <w:r w:rsidR="00951E8D">
        <w:rPr>
          <w:rFonts w:asciiTheme="majorHAnsi" w:hAnsiTheme="majorHAnsi" w:cstheme="majorHAnsi"/>
        </w:rPr>
        <w:t xml:space="preserve"> 2015);</w:t>
      </w:r>
      <w:r w:rsidR="00B76C55" w:rsidRPr="007C7C5F">
        <w:rPr>
          <w:rFonts w:asciiTheme="majorHAnsi" w:hAnsiTheme="majorHAnsi" w:cstheme="majorHAnsi"/>
        </w:rPr>
        <w:t xml:space="preserve"> </w:t>
      </w:r>
      <w:r w:rsidR="00304276" w:rsidRPr="007C7C5F">
        <w:rPr>
          <w:rFonts w:asciiTheme="majorHAnsi" w:hAnsiTheme="majorHAnsi" w:cstheme="majorHAnsi"/>
        </w:rPr>
        <w:t>Wynn et al., 2001).</w:t>
      </w:r>
      <w:r w:rsidR="004B2483">
        <w:rPr>
          <w:rFonts w:asciiTheme="majorHAnsi" w:hAnsiTheme="majorHAnsi" w:cstheme="majorHAnsi"/>
        </w:rPr>
        <w:t xml:space="preserve"> </w:t>
      </w:r>
      <w:r w:rsidR="00FD46E7" w:rsidRPr="007C7C5F">
        <w:rPr>
          <w:rFonts w:asciiTheme="majorHAnsi" w:hAnsiTheme="majorHAnsi" w:cstheme="majorHAnsi"/>
        </w:rPr>
        <w:t>A similar</w:t>
      </w:r>
      <w:r w:rsidR="00E433E0" w:rsidRPr="007C7C5F">
        <w:rPr>
          <w:rFonts w:asciiTheme="majorHAnsi" w:hAnsiTheme="majorHAnsi" w:cstheme="majorHAnsi"/>
        </w:rPr>
        <w:t xml:space="preserve"> but simplified</w:t>
      </w:r>
      <w:r w:rsidR="00FD46E7" w:rsidRPr="007C7C5F">
        <w:rPr>
          <w:rFonts w:asciiTheme="majorHAnsi" w:hAnsiTheme="majorHAnsi" w:cstheme="majorHAnsi"/>
        </w:rPr>
        <w:t xml:space="preserve"> set of measures was examined </w:t>
      </w:r>
      <w:r w:rsidR="00634A69" w:rsidRPr="007C7C5F">
        <w:rPr>
          <w:rFonts w:asciiTheme="majorHAnsi" w:hAnsiTheme="majorHAnsi" w:cstheme="majorHAnsi"/>
        </w:rPr>
        <w:t xml:space="preserve">in the </w:t>
      </w:r>
      <w:proofErr w:type="spellStart"/>
      <w:r w:rsidR="00FD46E7" w:rsidRPr="007C7C5F">
        <w:rPr>
          <w:rFonts w:asciiTheme="majorHAnsi" w:hAnsiTheme="majorHAnsi" w:cstheme="majorHAnsi"/>
        </w:rPr>
        <w:t>Corskie</w:t>
      </w:r>
      <w:proofErr w:type="spellEnd"/>
      <w:r w:rsidR="00FD46E7" w:rsidRPr="007C7C5F">
        <w:rPr>
          <w:rFonts w:asciiTheme="majorHAnsi" w:hAnsiTheme="majorHAnsi" w:cstheme="majorHAnsi"/>
        </w:rPr>
        <w:t xml:space="preserve"> </w:t>
      </w:r>
      <w:r w:rsidR="00634A69" w:rsidRPr="007C7C5F">
        <w:rPr>
          <w:rFonts w:asciiTheme="majorHAnsi" w:hAnsiTheme="majorHAnsi" w:cstheme="majorHAnsi"/>
        </w:rPr>
        <w:t>Burn catchment</w:t>
      </w:r>
      <w:r w:rsidR="00FD46E7" w:rsidRPr="007C7C5F">
        <w:rPr>
          <w:rFonts w:asciiTheme="majorHAnsi" w:hAnsiTheme="majorHAnsi" w:cstheme="majorHAnsi"/>
        </w:rPr>
        <w:t xml:space="preserve"> for mitigation of </w:t>
      </w:r>
      <w:r w:rsidR="00E433E0" w:rsidRPr="007C7C5F">
        <w:rPr>
          <w:rFonts w:asciiTheme="majorHAnsi" w:hAnsiTheme="majorHAnsi" w:cstheme="majorHAnsi"/>
        </w:rPr>
        <w:t xml:space="preserve">diffuse </w:t>
      </w:r>
      <w:r w:rsidR="00FD46E7" w:rsidRPr="007C7C5F">
        <w:rPr>
          <w:rFonts w:asciiTheme="majorHAnsi" w:hAnsiTheme="majorHAnsi" w:cstheme="majorHAnsi"/>
        </w:rPr>
        <w:t>P pollution</w:t>
      </w:r>
      <w:r w:rsidR="00E433E0" w:rsidRPr="007C7C5F">
        <w:rPr>
          <w:rFonts w:asciiTheme="majorHAnsi" w:hAnsiTheme="majorHAnsi" w:cstheme="majorHAnsi"/>
        </w:rPr>
        <w:t xml:space="preserve"> (</w:t>
      </w:r>
      <w:r w:rsidR="004B2483">
        <w:rPr>
          <w:rFonts w:asciiTheme="majorHAnsi" w:hAnsiTheme="majorHAnsi" w:cstheme="majorHAnsi"/>
        </w:rPr>
        <w:t>Table 2).</w:t>
      </w:r>
    </w:p>
    <w:p w14:paraId="0483C85F" w14:textId="444306B1" w:rsidR="00634A69" w:rsidRPr="007C7C5F" w:rsidRDefault="00634A69" w:rsidP="00634A69">
      <w:pPr>
        <w:spacing w:after="0"/>
        <w:jc w:val="both"/>
        <w:rPr>
          <w:rFonts w:asciiTheme="majorHAnsi" w:hAnsiTheme="majorHAnsi" w:cstheme="majorHAnsi"/>
        </w:rPr>
      </w:pPr>
      <w:r w:rsidRPr="007C7C5F">
        <w:rPr>
          <w:rFonts w:asciiTheme="majorHAnsi" w:hAnsiTheme="majorHAnsi" w:cstheme="majorHAnsi"/>
        </w:rPr>
        <w:t xml:space="preserve"> </w:t>
      </w:r>
      <w:r w:rsidR="000E6B02" w:rsidRPr="007C7C5F">
        <w:rPr>
          <w:rFonts w:asciiTheme="majorHAnsi" w:hAnsiTheme="majorHAnsi" w:cstheme="majorHAnsi"/>
        </w:rPr>
        <w:t>In addition to measures linked to the land use sectors, d</w:t>
      </w:r>
      <w:r w:rsidRPr="007C7C5F">
        <w:rPr>
          <w:rFonts w:asciiTheme="majorHAnsi" w:hAnsiTheme="majorHAnsi" w:cstheme="majorHAnsi"/>
        </w:rPr>
        <w:t xml:space="preserve">ue to the wastewater treatment works (WWTWs) </w:t>
      </w:r>
      <w:r w:rsidR="0045746C" w:rsidRPr="007C7C5F">
        <w:rPr>
          <w:rFonts w:asciiTheme="majorHAnsi" w:hAnsiTheme="majorHAnsi" w:cstheme="majorHAnsi"/>
        </w:rPr>
        <w:t>being</w:t>
      </w:r>
      <w:r w:rsidR="00F52042" w:rsidRPr="007C7C5F">
        <w:rPr>
          <w:rFonts w:asciiTheme="majorHAnsi" w:hAnsiTheme="majorHAnsi" w:cstheme="majorHAnsi"/>
        </w:rPr>
        <w:t xml:space="preserve"> </w:t>
      </w:r>
      <w:r w:rsidRPr="007C7C5F">
        <w:rPr>
          <w:rFonts w:asciiTheme="majorHAnsi" w:hAnsiTheme="majorHAnsi" w:cstheme="majorHAnsi"/>
        </w:rPr>
        <w:t xml:space="preserve">an important source of P in this sub-catchment, three specific measures targeting WWTWs were </w:t>
      </w:r>
      <w:r w:rsidR="000E6B02" w:rsidRPr="007C7C5F">
        <w:rPr>
          <w:rFonts w:asciiTheme="majorHAnsi" w:hAnsiTheme="majorHAnsi" w:cstheme="majorHAnsi"/>
        </w:rPr>
        <w:t xml:space="preserve">also </w:t>
      </w:r>
      <w:r w:rsidRPr="007C7C5F">
        <w:rPr>
          <w:rFonts w:asciiTheme="majorHAnsi" w:hAnsiTheme="majorHAnsi" w:cstheme="majorHAnsi"/>
        </w:rPr>
        <w:t>identified.</w:t>
      </w:r>
    </w:p>
    <w:p w14:paraId="4EAAA9D2" w14:textId="77777777" w:rsidR="00634A69" w:rsidRPr="007C7C5F" w:rsidRDefault="00634A69" w:rsidP="00634A69">
      <w:pPr>
        <w:pStyle w:val="Caption"/>
        <w:spacing w:after="0"/>
        <w:ind w:firstLine="284"/>
        <w:rPr>
          <w:rFonts w:asciiTheme="majorHAnsi" w:hAnsiTheme="majorHAnsi" w:cstheme="majorHAnsi"/>
          <w:b w:val="0"/>
          <w:color w:val="auto"/>
          <w:sz w:val="22"/>
          <w:szCs w:val="22"/>
        </w:rPr>
      </w:pPr>
      <w:bookmarkStart w:id="6" w:name="_Ref367700159"/>
      <w:bookmarkStart w:id="7" w:name="_Toc368663847"/>
    </w:p>
    <w:p w14:paraId="6ABF60F8" w14:textId="1C40049C" w:rsidR="00634A69" w:rsidRPr="007C7C5F" w:rsidRDefault="004F172B" w:rsidP="004F172B">
      <w:pPr>
        <w:pStyle w:val="Caption"/>
        <w:spacing w:after="0"/>
        <w:ind w:firstLine="284"/>
        <w:rPr>
          <w:rFonts w:asciiTheme="majorHAnsi" w:hAnsiTheme="majorHAnsi" w:cstheme="majorHAnsi"/>
        </w:rPr>
      </w:pPr>
      <w:r>
        <w:rPr>
          <w:rFonts w:asciiTheme="majorHAnsi" w:hAnsiTheme="majorHAnsi" w:cstheme="majorHAnsi"/>
          <w:b w:val="0"/>
          <w:color w:val="auto"/>
          <w:sz w:val="22"/>
          <w:szCs w:val="22"/>
          <w:highlight w:val="yellow"/>
        </w:rPr>
        <w:t>&lt;&lt;</w:t>
      </w:r>
      <w:r w:rsidR="00634A69" w:rsidRPr="004F172B">
        <w:rPr>
          <w:rFonts w:asciiTheme="majorHAnsi" w:hAnsiTheme="majorHAnsi" w:cstheme="majorHAnsi"/>
          <w:b w:val="0"/>
          <w:color w:val="auto"/>
          <w:sz w:val="22"/>
          <w:szCs w:val="22"/>
          <w:highlight w:val="yellow"/>
        </w:rPr>
        <w:t xml:space="preserve">Table </w:t>
      </w:r>
      <w:r w:rsidR="00634A69" w:rsidRPr="004F172B">
        <w:rPr>
          <w:rFonts w:asciiTheme="majorHAnsi" w:hAnsiTheme="majorHAnsi" w:cstheme="majorHAnsi"/>
          <w:b w:val="0"/>
          <w:color w:val="auto"/>
          <w:sz w:val="22"/>
          <w:szCs w:val="22"/>
          <w:highlight w:val="yellow"/>
        </w:rPr>
        <w:fldChar w:fldCharType="begin"/>
      </w:r>
      <w:r w:rsidR="00634A69" w:rsidRPr="004F172B">
        <w:rPr>
          <w:rFonts w:asciiTheme="majorHAnsi" w:hAnsiTheme="majorHAnsi" w:cstheme="majorHAnsi"/>
          <w:b w:val="0"/>
          <w:color w:val="auto"/>
          <w:sz w:val="22"/>
          <w:szCs w:val="22"/>
          <w:highlight w:val="yellow"/>
        </w:rPr>
        <w:instrText xml:space="preserve"> SEQ Table \* ARABIC </w:instrText>
      </w:r>
      <w:r w:rsidR="00634A69" w:rsidRPr="004F172B">
        <w:rPr>
          <w:rFonts w:asciiTheme="majorHAnsi" w:hAnsiTheme="majorHAnsi" w:cstheme="majorHAnsi"/>
          <w:b w:val="0"/>
          <w:color w:val="auto"/>
          <w:sz w:val="22"/>
          <w:szCs w:val="22"/>
          <w:highlight w:val="yellow"/>
        </w:rPr>
        <w:fldChar w:fldCharType="separate"/>
      </w:r>
      <w:r w:rsidR="0039332B">
        <w:rPr>
          <w:rFonts w:asciiTheme="majorHAnsi" w:hAnsiTheme="majorHAnsi" w:cstheme="majorHAnsi"/>
          <w:b w:val="0"/>
          <w:noProof/>
          <w:color w:val="auto"/>
          <w:sz w:val="22"/>
          <w:szCs w:val="22"/>
          <w:highlight w:val="yellow"/>
        </w:rPr>
        <w:t>2</w:t>
      </w:r>
      <w:r w:rsidR="00634A69" w:rsidRPr="004F172B">
        <w:rPr>
          <w:rFonts w:asciiTheme="majorHAnsi" w:hAnsiTheme="majorHAnsi" w:cstheme="majorHAnsi"/>
          <w:b w:val="0"/>
          <w:color w:val="auto"/>
          <w:sz w:val="22"/>
          <w:szCs w:val="22"/>
          <w:highlight w:val="yellow"/>
        </w:rPr>
        <w:fldChar w:fldCharType="end"/>
      </w:r>
      <w:bookmarkEnd w:id="6"/>
      <w:r w:rsidRPr="004F172B">
        <w:rPr>
          <w:rFonts w:asciiTheme="majorHAnsi" w:hAnsiTheme="majorHAnsi" w:cstheme="majorHAnsi"/>
          <w:b w:val="0"/>
          <w:color w:val="auto"/>
          <w:sz w:val="22"/>
          <w:szCs w:val="22"/>
          <w:highlight w:val="yellow"/>
        </w:rPr>
        <w:t>&gt;&gt; here</w:t>
      </w:r>
      <w:bookmarkEnd w:id="7"/>
      <w:r w:rsidR="00634A69" w:rsidRPr="007C7C5F">
        <w:rPr>
          <w:rFonts w:asciiTheme="majorHAnsi" w:hAnsiTheme="majorHAnsi" w:cstheme="majorHAnsi"/>
        </w:rPr>
        <w:tab/>
      </w:r>
    </w:p>
    <w:p w14:paraId="22E16EE1" w14:textId="0595BA59" w:rsidR="00FB353F" w:rsidRPr="007C7C5F" w:rsidRDefault="00304276" w:rsidP="00304276">
      <w:pPr>
        <w:pStyle w:val="Heading1"/>
        <w:rPr>
          <w:rFonts w:asciiTheme="majorHAnsi" w:hAnsiTheme="majorHAnsi" w:cstheme="majorHAnsi"/>
        </w:rPr>
      </w:pPr>
      <w:r w:rsidRPr="007C7C5F">
        <w:rPr>
          <w:rFonts w:asciiTheme="majorHAnsi" w:hAnsiTheme="majorHAnsi" w:cstheme="majorHAnsi"/>
        </w:rPr>
        <w:t xml:space="preserve"> Methods</w:t>
      </w:r>
    </w:p>
    <w:p w14:paraId="10B1609B" w14:textId="091960AF" w:rsidR="00DF69A3" w:rsidRPr="007C7C5F" w:rsidRDefault="009F1A3F" w:rsidP="00DF69A3">
      <w:pPr>
        <w:pStyle w:val="Heading2"/>
        <w:rPr>
          <w:rFonts w:asciiTheme="majorHAnsi" w:hAnsiTheme="majorHAnsi" w:cstheme="majorHAnsi"/>
        </w:rPr>
      </w:pPr>
      <w:bookmarkStart w:id="8" w:name="_Toc368665214"/>
      <w:bookmarkStart w:id="9" w:name="_Toc368665213"/>
      <w:r>
        <w:rPr>
          <w:rFonts w:asciiTheme="majorHAnsi" w:hAnsiTheme="majorHAnsi" w:cstheme="majorHAnsi"/>
        </w:rPr>
        <w:t>M</w:t>
      </w:r>
      <w:r w:rsidR="001C676F" w:rsidRPr="007C7C5F">
        <w:rPr>
          <w:rFonts w:asciiTheme="majorHAnsi" w:hAnsiTheme="majorHAnsi" w:cstheme="majorHAnsi"/>
        </w:rPr>
        <w:t>odelling</w:t>
      </w:r>
      <w:r>
        <w:rPr>
          <w:rFonts w:asciiTheme="majorHAnsi" w:hAnsiTheme="majorHAnsi" w:cstheme="majorHAnsi"/>
        </w:rPr>
        <w:t xml:space="preserve"> N in the </w:t>
      </w:r>
      <w:proofErr w:type="spellStart"/>
      <w:r>
        <w:rPr>
          <w:rFonts w:asciiTheme="majorHAnsi" w:hAnsiTheme="majorHAnsi" w:cstheme="majorHAnsi"/>
        </w:rPr>
        <w:t>Tarland</w:t>
      </w:r>
      <w:proofErr w:type="spellEnd"/>
      <w:r>
        <w:rPr>
          <w:rFonts w:asciiTheme="majorHAnsi" w:hAnsiTheme="majorHAnsi" w:cstheme="majorHAnsi"/>
        </w:rPr>
        <w:t xml:space="preserve"> catchment</w:t>
      </w:r>
    </w:p>
    <w:p w14:paraId="64CB3392" w14:textId="3774A2E9" w:rsidR="00D77111" w:rsidRPr="007C7C5F" w:rsidRDefault="00A472FD" w:rsidP="00DF69A3">
      <w:pPr>
        <w:jc w:val="both"/>
        <w:rPr>
          <w:rFonts w:asciiTheme="majorHAnsi" w:hAnsiTheme="majorHAnsi" w:cstheme="majorHAnsi"/>
        </w:rPr>
      </w:pPr>
      <w:r w:rsidRPr="007C7C5F">
        <w:rPr>
          <w:rFonts w:asciiTheme="majorHAnsi" w:hAnsiTheme="majorHAnsi" w:cstheme="majorHAnsi"/>
        </w:rPr>
        <w:t xml:space="preserve">The STREAM-N model </w:t>
      </w:r>
      <w:r w:rsidR="00D77111" w:rsidRPr="007C7C5F">
        <w:rPr>
          <w:rFonts w:asciiTheme="majorHAnsi" w:hAnsiTheme="majorHAnsi" w:cstheme="majorHAnsi"/>
        </w:rPr>
        <w:t xml:space="preserve">(Dunn et al., 2013) </w:t>
      </w:r>
      <w:r w:rsidRPr="007C7C5F">
        <w:rPr>
          <w:rFonts w:asciiTheme="majorHAnsi" w:hAnsiTheme="majorHAnsi" w:cstheme="majorHAnsi"/>
        </w:rPr>
        <w:t xml:space="preserve">was used to simulate hydrology and stream nitrate concentrations within the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Burn catchment</w:t>
      </w:r>
      <w:r w:rsidR="00D77111" w:rsidRPr="007C7C5F">
        <w:rPr>
          <w:rFonts w:asciiTheme="majorHAnsi" w:hAnsiTheme="majorHAnsi" w:cstheme="majorHAnsi"/>
        </w:rPr>
        <w:t>. The N model is based on a daily balance of inputs and outputs of total mineral N (NO</w:t>
      </w:r>
      <w:r w:rsidR="00D77111" w:rsidRPr="007C7C5F">
        <w:rPr>
          <w:rFonts w:asciiTheme="majorHAnsi" w:hAnsiTheme="majorHAnsi" w:cstheme="majorHAnsi"/>
          <w:vertAlign w:val="subscript"/>
        </w:rPr>
        <w:t>3</w:t>
      </w:r>
      <w:r w:rsidR="00D77111" w:rsidRPr="007C7C5F">
        <w:rPr>
          <w:rFonts w:asciiTheme="majorHAnsi" w:hAnsiTheme="majorHAnsi" w:cstheme="majorHAnsi"/>
          <w:vertAlign w:val="superscript"/>
        </w:rPr>
        <w:t>-</w:t>
      </w:r>
      <w:r w:rsidR="00D77111" w:rsidRPr="007C7C5F">
        <w:rPr>
          <w:rFonts w:asciiTheme="majorHAnsi" w:hAnsiTheme="majorHAnsi" w:cstheme="majorHAnsi"/>
        </w:rPr>
        <w:t xml:space="preserve"> and NH</w:t>
      </w:r>
      <w:r w:rsidR="00D77111" w:rsidRPr="007C7C5F">
        <w:rPr>
          <w:rFonts w:asciiTheme="majorHAnsi" w:hAnsiTheme="majorHAnsi" w:cstheme="majorHAnsi"/>
          <w:vertAlign w:val="subscript"/>
        </w:rPr>
        <w:t>4</w:t>
      </w:r>
      <w:r w:rsidR="00D77111" w:rsidRPr="007C7C5F">
        <w:rPr>
          <w:rFonts w:asciiTheme="majorHAnsi" w:hAnsiTheme="majorHAnsi" w:cstheme="majorHAnsi"/>
          <w:vertAlign w:val="superscript"/>
        </w:rPr>
        <w:t>+</w:t>
      </w:r>
      <w:r w:rsidR="00D77111" w:rsidRPr="007C7C5F">
        <w:rPr>
          <w:rFonts w:asciiTheme="majorHAnsi" w:hAnsiTheme="majorHAnsi" w:cstheme="majorHAnsi"/>
        </w:rPr>
        <w:t xml:space="preserve">) according to land use and crop types which are assigned to each 100 m grid cell within the model. </w:t>
      </w:r>
      <w:r w:rsidR="00310839" w:rsidRPr="00951E8D">
        <w:t xml:space="preserve">The grid structure of the STREAM-N model simplifies integration of field-scale land use and characterisation of spatial properties such as the proximity of </w:t>
      </w:r>
      <w:r w:rsidR="00310839" w:rsidRPr="00951E8D">
        <w:lastRenderedPageBreak/>
        <w:t xml:space="preserve">different land parcels to the stream network. The hydrology is driven by inputs of precipitation and evapotranspiration, with a simple degree-day snow module to account for snow accumulation and melt in the winter. </w:t>
      </w:r>
      <w:r w:rsidR="00D77111" w:rsidRPr="00951E8D">
        <w:rPr>
          <w:rFonts w:asciiTheme="majorHAnsi" w:hAnsiTheme="majorHAnsi" w:cstheme="majorHAnsi"/>
        </w:rPr>
        <w:t xml:space="preserve">The daily balance calculates the amount </w:t>
      </w:r>
      <w:r w:rsidR="00D77111" w:rsidRPr="007C7C5F">
        <w:rPr>
          <w:rFonts w:asciiTheme="majorHAnsi" w:hAnsiTheme="majorHAnsi" w:cstheme="majorHAnsi"/>
        </w:rPr>
        <w:t xml:space="preserve">of N available for leaching at any time, using </w:t>
      </w:r>
      <w:r w:rsidR="00397BB7" w:rsidRPr="007C7C5F">
        <w:rPr>
          <w:rFonts w:asciiTheme="majorHAnsi" w:hAnsiTheme="majorHAnsi" w:cstheme="majorHAnsi"/>
        </w:rPr>
        <w:t xml:space="preserve">the terms given in Equation 1, where </w:t>
      </w:r>
      <w:proofErr w:type="spellStart"/>
      <w:r w:rsidR="00397BB7" w:rsidRPr="007C7C5F">
        <w:rPr>
          <w:rFonts w:asciiTheme="majorHAnsi" w:hAnsiTheme="majorHAnsi" w:cstheme="majorHAnsi"/>
          <w:i/>
        </w:rPr>
        <w:t>availN</w:t>
      </w:r>
      <w:r w:rsidR="00397BB7" w:rsidRPr="007C7C5F">
        <w:rPr>
          <w:rFonts w:asciiTheme="majorHAnsi" w:hAnsiTheme="majorHAnsi" w:cstheme="majorHAnsi"/>
          <w:i/>
          <w:vertAlign w:val="subscript"/>
        </w:rPr>
        <w:t>t</w:t>
      </w:r>
      <w:proofErr w:type="spellEnd"/>
      <w:r w:rsidR="00397BB7" w:rsidRPr="007C7C5F">
        <w:rPr>
          <w:rFonts w:asciiTheme="majorHAnsi" w:hAnsiTheme="majorHAnsi" w:cstheme="majorHAnsi"/>
        </w:rPr>
        <w:t xml:space="preserve"> is the N available for leaching at time-step </w:t>
      </w:r>
      <w:r w:rsidR="00397BB7" w:rsidRPr="007C7C5F">
        <w:rPr>
          <w:rFonts w:asciiTheme="majorHAnsi" w:hAnsiTheme="majorHAnsi" w:cstheme="majorHAnsi"/>
          <w:i/>
        </w:rPr>
        <w:t>t</w:t>
      </w:r>
      <w:r w:rsidR="00397BB7" w:rsidRPr="007C7C5F">
        <w:rPr>
          <w:rFonts w:asciiTheme="majorHAnsi" w:hAnsiTheme="majorHAnsi" w:cstheme="majorHAnsi"/>
        </w:rPr>
        <w:t xml:space="preserve">, </w:t>
      </w:r>
      <w:proofErr w:type="spellStart"/>
      <w:r w:rsidR="00397BB7" w:rsidRPr="007C7C5F">
        <w:rPr>
          <w:rFonts w:asciiTheme="majorHAnsi" w:hAnsiTheme="majorHAnsi" w:cstheme="majorHAnsi"/>
          <w:i/>
        </w:rPr>
        <w:t>fertN</w:t>
      </w:r>
      <w:proofErr w:type="spellEnd"/>
      <w:r w:rsidR="00397BB7" w:rsidRPr="007C7C5F">
        <w:rPr>
          <w:rFonts w:asciiTheme="majorHAnsi" w:hAnsiTheme="majorHAnsi" w:cstheme="majorHAnsi"/>
        </w:rPr>
        <w:t xml:space="preserve"> is the input of N as inorganic fertiliser, </w:t>
      </w:r>
      <w:proofErr w:type="spellStart"/>
      <w:r w:rsidR="00397BB7" w:rsidRPr="007C7C5F">
        <w:rPr>
          <w:rFonts w:asciiTheme="majorHAnsi" w:hAnsiTheme="majorHAnsi" w:cstheme="majorHAnsi"/>
          <w:i/>
        </w:rPr>
        <w:t>cropN</w:t>
      </w:r>
      <w:proofErr w:type="spellEnd"/>
      <w:r w:rsidR="00397BB7" w:rsidRPr="007C7C5F">
        <w:rPr>
          <w:rFonts w:asciiTheme="majorHAnsi" w:hAnsiTheme="majorHAnsi" w:cstheme="majorHAnsi"/>
        </w:rPr>
        <w:t xml:space="preserve"> is the uptake of N by crops, </w:t>
      </w:r>
      <w:proofErr w:type="spellStart"/>
      <w:r w:rsidR="00397BB7" w:rsidRPr="007C7C5F">
        <w:rPr>
          <w:rFonts w:asciiTheme="majorHAnsi" w:hAnsiTheme="majorHAnsi" w:cstheme="majorHAnsi"/>
          <w:i/>
        </w:rPr>
        <w:t>depN</w:t>
      </w:r>
      <w:proofErr w:type="spellEnd"/>
      <w:r w:rsidR="00397BB7" w:rsidRPr="007C7C5F">
        <w:rPr>
          <w:rFonts w:asciiTheme="majorHAnsi" w:hAnsiTheme="majorHAnsi" w:cstheme="majorHAnsi"/>
        </w:rPr>
        <w:t xml:space="preserve"> is the input of N from atmospheric deposition, </w:t>
      </w:r>
      <w:proofErr w:type="spellStart"/>
      <w:r w:rsidR="00397BB7" w:rsidRPr="007C7C5F">
        <w:rPr>
          <w:rFonts w:asciiTheme="majorHAnsi" w:hAnsiTheme="majorHAnsi" w:cstheme="majorHAnsi"/>
          <w:i/>
        </w:rPr>
        <w:t>minerN</w:t>
      </w:r>
      <w:proofErr w:type="spellEnd"/>
      <w:r w:rsidR="00397BB7" w:rsidRPr="007C7C5F">
        <w:rPr>
          <w:rFonts w:asciiTheme="majorHAnsi" w:hAnsiTheme="majorHAnsi" w:cstheme="majorHAnsi"/>
        </w:rPr>
        <w:t xml:space="preserve"> is the release of N by mineralisation, </w:t>
      </w:r>
      <w:proofErr w:type="spellStart"/>
      <w:r w:rsidR="00397BB7" w:rsidRPr="007C7C5F">
        <w:rPr>
          <w:rFonts w:asciiTheme="majorHAnsi" w:hAnsiTheme="majorHAnsi" w:cstheme="majorHAnsi"/>
          <w:i/>
        </w:rPr>
        <w:t>denitN</w:t>
      </w:r>
      <w:proofErr w:type="spellEnd"/>
      <w:r w:rsidR="00397BB7" w:rsidRPr="007C7C5F">
        <w:rPr>
          <w:rFonts w:asciiTheme="majorHAnsi" w:hAnsiTheme="majorHAnsi" w:cstheme="majorHAnsi"/>
        </w:rPr>
        <w:t xml:space="preserve"> is the loss of N by de-nitrification, </w:t>
      </w:r>
      <w:proofErr w:type="spellStart"/>
      <w:r w:rsidR="00397BB7" w:rsidRPr="007C7C5F">
        <w:rPr>
          <w:rFonts w:asciiTheme="majorHAnsi" w:hAnsiTheme="majorHAnsi" w:cstheme="majorHAnsi"/>
          <w:i/>
        </w:rPr>
        <w:t>OrgN</w:t>
      </w:r>
      <w:proofErr w:type="spellEnd"/>
      <w:r w:rsidR="00397BB7" w:rsidRPr="007C7C5F">
        <w:rPr>
          <w:rFonts w:asciiTheme="majorHAnsi" w:hAnsiTheme="majorHAnsi" w:cstheme="majorHAnsi"/>
        </w:rPr>
        <w:t xml:space="preserve"> is the available fraction of mineral N in added organic material. Different values for </w:t>
      </w:r>
      <w:proofErr w:type="spellStart"/>
      <w:r w:rsidR="00397BB7" w:rsidRPr="007C7C5F">
        <w:rPr>
          <w:rFonts w:asciiTheme="majorHAnsi" w:hAnsiTheme="majorHAnsi" w:cstheme="majorHAnsi"/>
          <w:i/>
        </w:rPr>
        <w:t>fertN</w:t>
      </w:r>
      <w:proofErr w:type="spellEnd"/>
      <w:r w:rsidR="00397BB7" w:rsidRPr="007C7C5F">
        <w:rPr>
          <w:rFonts w:asciiTheme="majorHAnsi" w:hAnsiTheme="majorHAnsi" w:cstheme="majorHAnsi"/>
        </w:rPr>
        <w:t xml:space="preserve"> and </w:t>
      </w:r>
      <w:proofErr w:type="spellStart"/>
      <w:r w:rsidR="00397BB7" w:rsidRPr="007C7C5F">
        <w:rPr>
          <w:rFonts w:asciiTheme="majorHAnsi" w:hAnsiTheme="majorHAnsi" w:cstheme="majorHAnsi"/>
          <w:i/>
        </w:rPr>
        <w:t>cropN</w:t>
      </w:r>
      <w:proofErr w:type="spellEnd"/>
      <w:r w:rsidR="00397BB7" w:rsidRPr="007C7C5F">
        <w:rPr>
          <w:rFonts w:asciiTheme="majorHAnsi" w:hAnsiTheme="majorHAnsi" w:cstheme="majorHAnsi"/>
        </w:rPr>
        <w:t xml:space="preserve"> are estimated according to crop type and take seasonally varying values.</w:t>
      </w:r>
    </w:p>
    <w:p w14:paraId="4BD10668" w14:textId="0FCD5D7E" w:rsidR="00D77111" w:rsidRPr="007C7C5F" w:rsidRDefault="009F63FB" w:rsidP="00DF69A3">
      <w:pPr>
        <w:jc w:val="both"/>
        <w:rPr>
          <w:rFonts w:asciiTheme="majorHAnsi" w:hAnsiTheme="majorHAnsi" w:cstheme="majorHAnsi"/>
          <w:sz w:val="24"/>
          <w:szCs w:val="24"/>
        </w:rPr>
      </w:pPr>
      <m:oMath>
        <m:sSub>
          <m:sSubPr>
            <m:ctrlPr>
              <w:rPr>
                <w:rFonts w:ascii="Cambria Math" w:hAnsi="Cambria Math" w:cstheme="majorHAnsi"/>
                <w:bCs/>
                <w:i/>
                <w:sz w:val="24"/>
                <w:szCs w:val="24"/>
              </w:rPr>
            </m:ctrlPr>
          </m:sSubPr>
          <m:e>
            <m:r>
              <w:rPr>
                <w:rFonts w:ascii="Cambria Math" w:hAnsi="Cambria Math" w:cstheme="majorHAnsi"/>
                <w:sz w:val="24"/>
                <w:szCs w:val="24"/>
              </w:rPr>
              <m:t>availN</m:t>
            </m:r>
          </m:e>
          <m:sub>
            <m:r>
              <w:rPr>
                <w:rFonts w:ascii="Cambria Math" w:hAnsi="Cambria Math" w:cstheme="majorHAnsi"/>
                <w:sz w:val="24"/>
                <w:szCs w:val="24"/>
              </w:rPr>
              <m:t>t</m:t>
            </m:r>
          </m:sub>
        </m:sSub>
        <m:r>
          <w:rPr>
            <w:rFonts w:ascii="Cambria Math" w:hAnsi="Cambria Math" w:cstheme="majorHAnsi"/>
            <w:sz w:val="24"/>
            <w:szCs w:val="24"/>
          </w:rPr>
          <m:t>=</m:t>
        </m:r>
        <m:sSub>
          <m:sSubPr>
            <m:ctrlPr>
              <w:rPr>
                <w:rFonts w:ascii="Cambria Math" w:hAnsi="Cambria Math" w:cstheme="majorHAnsi"/>
                <w:bCs/>
                <w:i/>
                <w:sz w:val="24"/>
                <w:szCs w:val="24"/>
              </w:rPr>
            </m:ctrlPr>
          </m:sSubPr>
          <m:e>
            <m:r>
              <w:rPr>
                <w:rFonts w:ascii="Cambria Math" w:hAnsi="Cambria Math" w:cstheme="majorHAnsi"/>
                <w:sz w:val="24"/>
                <w:szCs w:val="24"/>
              </w:rPr>
              <m:t>availN</m:t>
            </m:r>
          </m:e>
          <m:sub>
            <m:r>
              <w:rPr>
                <w:rFonts w:ascii="Cambria Math" w:hAnsi="Cambria Math" w:cstheme="majorHAnsi"/>
                <w:sz w:val="24"/>
                <w:szCs w:val="24"/>
              </w:rPr>
              <m:t>t-1</m:t>
            </m:r>
          </m:sub>
        </m:sSub>
        <m:r>
          <w:rPr>
            <w:rFonts w:ascii="Cambria Math" w:hAnsi="Cambria Math" w:cstheme="majorHAnsi"/>
            <w:sz w:val="24"/>
            <w:szCs w:val="24"/>
          </w:rPr>
          <m:t>+</m:t>
        </m:r>
        <m:sSub>
          <m:sSubPr>
            <m:ctrlPr>
              <w:rPr>
                <w:rFonts w:ascii="Cambria Math" w:hAnsi="Cambria Math" w:cstheme="majorHAnsi"/>
                <w:bCs/>
                <w:i/>
                <w:sz w:val="24"/>
                <w:szCs w:val="24"/>
              </w:rPr>
            </m:ctrlPr>
          </m:sSubPr>
          <m:e>
            <m:r>
              <w:rPr>
                <w:rFonts w:ascii="Cambria Math" w:hAnsi="Cambria Math" w:cstheme="majorHAnsi"/>
                <w:sz w:val="24"/>
                <w:szCs w:val="24"/>
              </w:rPr>
              <m:t>fertN</m:t>
            </m:r>
          </m:e>
          <m:sub>
            <m:r>
              <w:rPr>
                <w:rFonts w:ascii="Cambria Math" w:hAnsi="Cambria Math" w:cstheme="majorHAnsi"/>
                <w:sz w:val="24"/>
                <w:szCs w:val="24"/>
              </w:rPr>
              <m:t>t</m:t>
            </m:r>
          </m:sub>
        </m:sSub>
        <m:r>
          <w:rPr>
            <w:rFonts w:ascii="Cambria Math" w:hAnsi="Cambria Math" w:cstheme="majorHAnsi"/>
            <w:sz w:val="24"/>
            <w:szCs w:val="24"/>
          </w:rPr>
          <m:t xml:space="preserve">- </m:t>
        </m:r>
        <m:sSub>
          <m:sSubPr>
            <m:ctrlPr>
              <w:rPr>
                <w:rFonts w:ascii="Cambria Math" w:hAnsi="Cambria Math" w:cstheme="majorHAnsi"/>
                <w:bCs/>
                <w:i/>
                <w:sz w:val="24"/>
                <w:szCs w:val="24"/>
              </w:rPr>
            </m:ctrlPr>
          </m:sSubPr>
          <m:e>
            <m:r>
              <w:rPr>
                <w:rFonts w:ascii="Cambria Math" w:hAnsi="Cambria Math" w:cstheme="majorHAnsi"/>
                <w:sz w:val="24"/>
                <w:szCs w:val="24"/>
              </w:rPr>
              <m:t>cropN</m:t>
            </m:r>
          </m:e>
          <m:sub>
            <m:r>
              <w:rPr>
                <w:rFonts w:ascii="Cambria Math" w:hAnsi="Cambria Math" w:cstheme="majorHAnsi"/>
                <w:sz w:val="24"/>
                <w:szCs w:val="24"/>
              </w:rPr>
              <m:t>t</m:t>
            </m:r>
          </m:sub>
        </m:sSub>
        <m:r>
          <w:rPr>
            <w:rFonts w:ascii="Cambria Math" w:hAnsi="Cambria Math" w:cstheme="majorHAnsi"/>
            <w:sz w:val="24"/>
            <w:szCs w:val="24"/>
          </w:rPr>
          <m:t>+</m:t>
        </m:r>
        <m:sSub>
          <m:sSubPr>
            <m:ctrlPr>
              <w:rPr>
                <w:rFonts w:ascii="Cambria Math" w:hAnsi="Cambria Math" w:cstheme="majorHAnsi"/>
                <w:bCs/>
                <w:i/>
                <w:sz w:val="24"/>
                <w:szCs w:val="24"/>
              </w:rPr>
            </m:ctrlPr>
          </m:sSubPr>
          <m:e>
            <m:r>
              <w:rPr>
                <w:rFonts w:ascii="Cambria Math" w:hAnsi="Cambria Math" w:cstheme="majorHAnsi"/>
                <w:sz w:val="24"/>
                <w:szCs w:val="24"/>
              </w:rPr>
              <m:t>depN</m:t>
            </m:r>
          </m:e>
          <m:sub>
            <m:r>
              <w:rPr>
                <w:rFonts w:ascii="Cambria Math" w:hAnsi="Cambria Math" w:cstheme="majorHAnsi"/>
                <w:sz w:val="24"/>
                <w:szCs w:val="24"/>
              </w:rPr>
              <m:t>t</m:t>
            </m:r>
          </m:sub>
        </m:sSub>
        <m:r>
          <w:rPr>
            <w:rFonts w:ascii="Cambria Math" w:hAnsi="Cambria Math" w:cstheme="majorHAnsi"/>
            <w:sz w:val="24"/>
            <w:szCs w:val="24"/>
          </w:rPr>
          <m:t>+</m:t>
        </m:r>
        <m:sSub>
          <m:sSubPr>
            <m:ctrlPr>
              <w:rPr>
                <w:rFonts w:ascii="Cambria Math" w:hAnsi="Cambria Math" w:cstheme="majorHAnsi"/>
                <w:bCs/>
                <w:i/>
                <w:sz w:val="24"/>
                <w:szCs w:val="24"/>
              </w:rPr>
            </m:ctrlPr>
          </m:sSubPr>
          <m:e>
            <m:r>
              <w:rPr>
                <w:rFonts w:ascii="Cambria Math" w:hAnsi="Cambria Math" w:cstheme="majorHAnsi"/>
                <w:sz w:val="24"/>
                <w:szCs w:val="24"/>
              </w:rPr>
              <m:t>minerN</m:t>
            </m:r>
          </m:e>
          <m:sub>
            <m:r>
              <w:rPr>
                <w:rFonts w:ascii="Cambria Math" w:hAnsi="Cambria Math" w:cstheme="majorHAnsi"/>
                <w:sz w:val="24"/>
                <w:szCs w:val="24"/>
              </w:rPr>
              <m:t>t</m:t>
            </m:r>
          </m:sub>
        </m:sSub>
        <m:r>
          <w:rPr>
            <w:rFonts w:ascii="Cambria Math" w:hAnsi="Cambria Math" w:cstheme="majorHAnsi"/>
            <w:sz w:val="24"/>
            <w:szCs w:val="24"/>
          </w:rPr>
          <m:t xml:space="preserve">- </m:t>
        </m:r>
        <m:sSub>
          <m:sSubPr>
            <m:ctrlPr>
              <w:rPr>
                <w:rFonts w:ascii="Cambria Math" w:hAnsi="Cambria Math" w:cstheme="majorHAnsi"/>
                <w:bCs/>
                <w:i/>
                <w:sz w:val="24"/>
                <w:szCs w:val="24"/>
              </w:rPr>
            </m:ctrlPr>
          </m:sSubPr>
          <m:e>
            <m:r>
              <w:rPr>
                <w:rFonts w:ascii="Cambria Math" w:hAnsi="Cambria Math" w:cstheme="majorHAnsi"/>
                <w:sz w:val="24"/>
                <w:szCs w:val="24"/>
              </w:rPr>
              <m:t>denitN</m:t>
            </m:r>
          </m:e>
          <m:sub>
            <m:r>
              <w:rPr>
                <w:rFonts w:ascii="Cambria Math" w:hAnsi="Cambria Math" w:cstheme="majorHAnsi"/>
                <w:sz w:val="24"/>
                <w:szCs w:val="24"/>
              </w:rPr>
              <m:t>t</m:t>
            </m:r>
          </m:sub>
        </m:sSub>
        <m:r>
          <w:rPr>
            <w:rFonts w:ascii="Cambria Math" w:hAnsi="Cambria Math" w:cstheme="majorHAnsi"/>
            <w:sz w:val="24"/>
            <w:szCs w:val="24"/>
          </w:rPr>
          <m:t xml:space="preserve">+ </m:t>
        </m:r>
        <m:sSub>
          <m:sSubPr>
            <m:ctrlPr>
              <w:rPr>
                <w:rFonts w:ascii="Cambria Math" w:hAnsi="Cambria Math" w:cstheme="majorHAnsi"/>
                <w:bCs/>
                <w:i/>
                <w:sz w:val="24"/>
                <w:szCs w:val="24"/>
              </w:rPr>
            </m:ctrlPr>
          </m:sSubPr>
          <m:e>
            <m:r>
              <w:rPr>
                <w:rFonts w:ascii="Cambria Math" w:hAnsi="Cambria Math" w:cstheme="majorHAnsi"/>
                <w:sz w:val="24"/>
                <w:szCs w:val="24"/>
              </w:rPr>
              <m:t>orgN</m:t>
            </m:r>
          </m:e>
          <m:sub>
            <m:r>
              <w:rPr>
                <w:rFonts w:ascii="Cambria Math" w:hAnsi="Cambria Math" w:cstheme="majorHAnsi"/>
                <w:sz w:val="24"/>
                <w:szCs w:val="24"/>
              </w:rPr>
              <m:t>t</m:t>
            </m:r>
          </m:sub>
        </m:sSub>
      </m:oMath>
      <w:r w:rsidR="001212F1" w:rsidRPr="007C7C5F">
        <w:rPr>
          <w:rFonts w:asciiTheme="majorHAnsi" w:hAnsiTheme="majorHAnsi" w:cstheme="majorHAnsi"/>
          <w:bCs/>
          <w:sz w:val="24"/>
          <w:szCs w:val="24"/>
        </w:rPr>
        <w:t>...</w:t>
      </w:r>
      <w:r w:rsidR="00D77111" w:rsidRPr="007C7C5F">
        <w:rPr>
          <w:rFonts w:asciiTheme="majorHAnsi" w:hAnsiTheme="majorHAnsi" w:cstheme="majorHAnsi"/>
          <w:bCs/>
          <w:sz w:val="24"/>
          <w:szCs w:val="24"/>
        </w:rPr>
        <w:tab/>
      </w:r>
      <w:r w:rsidR="00D77111" w:rsidRPr="007C7C5F">
        <w:rPr>
          <w:rFonts w:asciiTheme="majorHAnsi" w:hAnsiTheme="majorHAnsi" w:cstheme="majorHAnsi"/>
          <w:sz w:val="24"/>
          <w:szCs w:val="24"/>
        </w:rPr>
        <w:t>(1)</w:t>
      </w:r>
    </w:p>
    <w:p w14:paraId="024D4E1B" w14:textId="6D8F3341" w:rsidR="00D77111" w:rsidRPr="007C7C5F" w:rsidRDefault="00D77111" w:rsidP="00C84AE7">
      <w:pPr>
        <w:jc w:val="both"/>
        <w:rPr>
          <w:rFonts w:asciiTheme="majorHAnsi" w:hAnsiTheme="majorHAnsi" w:cstheme="majorHAnsi"/>
        </w:rPr>
      </w:pPr>
      <w:r w:rsidRPr="007C7C5F">
        <w:rPr>
          <w:rFonts w:asciiTheme="majorHAnsi" w:hAnsiTheme="majorHAnsi" w:cstheme="majorHAnsi"/>
        </w:rPr>
        <w:t xml:space="preserve">A baseline application of the STREAM-N model to the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Burn catchment </w:t>
      </w:r>
      <w:r w:rsidR="00397BB7" w:rsidRPr="007C7C5F">
        <w:rPr>
          <w:rFonts w:asciiTheme="majorHAnsi" w:hAnsiTheme="majorHAnsi" w:cstheme="majorHAnsi"/>
        </w:rPr>
        <w:t>is</w:t>
      </w:r>
      <w:r w:rsidRPr="007C7C5F">
        <w:rPr>
          <w:rFonts w:asciiTheme="majorHAnsi" w:hAnsiTheme="majorHAnsi" w:cstheme="majorHAnsi"/>
        </w:rPr>
        <w:t xml:space="preserve"> presented in Dunn et al. (2013). This study demonstrated that the model was capable of simulating stream flows and nitrate concentrations</w:t>
      </w:r>
      <w:r w:rsidR="00CA518B" w:rsidRPr="007C7C5F">
        <w:rPr>
          <w:rFonts w:asciiTheme="majorHAnsi" w:hAnsiTheme="majorHAnsi" w:cstheme="majorHAnsi"/>
        </w:rPr>
        <w:t xml:space="preserve"> at the catchment outlet</w:t>
      </w:r>
      <w:r w:rsidRPr="007C7C5F">
        <w:rPr>
          <w:rFonts w:asciiTheme="majorHAnsi" w:hAnsiTheme="majorHAnsi" w:cstheme="majorHAnsi"/>
        </w:rPr>
        <w:t xml:space="preserve"> with an acceptable degree of accuracy, and that the model was also capable of </w:t>
      </w:r>
      <w:r w:rsidR="00EA5BAB" w:rsidRPr="007C7C5F">
        <w:rPr>
          <w:rFonts w:asciiTheme="majorHAnsi" w:hAnsiTheme="majorHAnsi" w:cstheme="majorHAnsi"/>
        </w:rPr>
        <w:t>simulating the variability in responses as a function of land use at scales of 6</w:t>
      </w:r>
      <w:r w:rsidR="00397BB7" w:rsidRPr="007C7C5F">
        <w:rPr>
          <w:rFonts w:asciiTheme="majorHAnsi" w:hAnsiTheme="majorHAnsi" w:cstheme="majorHAnsi"/>
        </w:rPr>
        <w:t xml:space="preserve"> </w:t>
      </w:r>
      <w:r w:rsidR="00EA5BAB" w:rsidRPr="007C7C5F">
        <w:rPr>
          <w:rFonts w:asciiTheme="majorHAnsi" w:hAnsiTheme="majorHAnsi" w:cstheme="majorHAnsi"/>
        </w:rPr>
        <w:t>km</w:t>
      </w:r>
      <w:r w:rsidR="00EA5BAB" w:rsidRPr="007C7C5F">
        <w:rPr>
          <w:rFonts w:asciiTheme="majorHAnsi" w:hAnsiTheme="majorHAnsi" w:cstheme="majorHAnsi"/>
          <w:vertAlign w:val="superscript"/>
        </w:rPr>
        <w:t>2</w:t>
      </w:r>
      <w:r w:rsidR="00EA5BAB" w:rsidRPr="007C7C5F">
        <w:rPr>
          <w:rFonts w:asciiTheme="majorHAnsi" w:hAnsiTheme="majorHAnsi" w:cstheme="majorHAnsi"/>
        </w:rPr>
        <w:t xml:space="preserve"> or greater. At smaller spatial resolutions the</w:t>
      </w:r>
      <w:r w:rsidR="00C84AE7" w:rsidRPr="007C7C5F">
        <w:rPr>
          <w:rFonts w:asciiTheme="majorHAnsi" w:hAnsiTheme="majorHAnsi" w:cstheme="majorHAnsi"/>
        </w:rPr>
        <w:t xml:space="preserve"> accuracy of nitrate simulations was poorer and this was believed to be</w:t>
      </w:r>
      <w:r w:rsidR="00EA5BAB" w:rsidRPr="007C7C5F">
        <w:rPr>
          <w:rFonts w:asciiTheme="majorHAnsi" w:hAnsiTheme="majorHAnsi" w:cstheme="majorHAnsi"/>
        </w:rPr>
        <w:t xml:space="preserve"> </w:t>
      </w:r>
      <w:r w:rsidR="00C84AE7" w:rsidRPr="007C7C5F">
        <w:rPr>
          <w:rFonts w:asciiTheme="majorHAnsi" w:hAnsiTheme="majorHAnsi" w:cstheme="majorHAnsi"/>
        </w:rPr>
        <w:t>linked to a lack of detailed knowledge of the management practices that are applied at a field scale.</w:t>
      </w:r>
    </w:p>
    <w:p w14:paraId="728B00C7" w14:textId="31B342CD" w:rsidR="00005559" w:rsidRDefault="007D41ED" w:rsidP="007D41ED">
      <w:pPr>
        <w:jc w:val="both"/>
        <w:rPr>
          <w:rFonts w:asciiTheme="majorHAnsi" w:hAnsiTheme="majorHAnsi" w:cstheme="majorHAnsi"/>
        </w:rPr>
      </w:pPr>
      <w:r w:rsidRPr="007C7C5F">
        <w:rPr>
          <w:rFonts w:asciiTheme="majorHAnsi" w:hAnsiTheme="majorHAnsi" w:cstheme="majorHAnsi"/>
        </w:rPr>
        <w:t>The suite of measures presented in Table 1 was implemented in the STREAM-N model in a variety of different ways according to the nature of the measure. Some of the measures (e.g. reductions in fertiliser application rates) involve</w:t>
      </w:r>
      <w:r w:rsidR="004C010E" w:rsidRPr="007C7C5F">
        <w:rPr>
          <w:rFonts w:asciiTheme="majorHAnsi" w:hAnsiTheme="majorHAnsi" w:cstheme="majorHAnsi"/>
        </w:rPr>
        <w:t>d</w:t>
      </w:r>
      <w:r w:rsidRPr="007C7C5F">
        <w:rPr>
          <w:rFonts w:asciiTheme="majorHAnsi" w:hAnsiTheme="majorHAnsi" w:cstheme="majorHAnsi"/>
        </w:rPr>
        <w:t xml:space="preserve"> a simple modification to the model input across the whole catchment, whilst others (e.g. </w:t>
      </w:r>
      <w:r w:rsidR="004C010E" w:rsidRPr="007C7C5F">
        <w:rPr>
          <w:rFonts w:asciiTheme="majorHAnsi" w:hAnsiTheme="majorHAnsi" w:cstheme="majorHAnsi"/>
        </w:rPr>
        <w:t>managed buffer strips</w:t>
      </w:r>
      <w:r w:rsidRPr="007C7C5F">
        <w:rPr>
          <w:rFonts w:asciiTheme="majorHAnsi" w:hAnsiTheme="majorHAnsi" w:cstheme="majorHAnsi"/>
        </w:rPr>
        <w:t>) involve</w:t>
      </w:r>
      <w:r w:rsidR="004C010E" w:rsidRPr="007C7C5F">
        <w:rPr>
          <w:rFonts w:asciiTheme="majorHAnsi" w:hAnsiTheme="majorHAnsi" w:cstheme="majorHAnsi"/>
        </w:rPr>
        <w:t>d</w:t>
      </w:r>
      <w:r w:rsidRPr="007C7C5F">
        <w:rPr>
          <w:rFonts w:asciiTheme="majorHAnsi" w:hAnsiTheme="majorHAnsi" w:cstheme="majorHAnsi"/>
        </w:rPr>
        <w:t xml:space="preserve"> spatially explicit modifications applied at specific points in space. For each of the measures, Table</w:t>
      </w:r>
      <w:r w:rsidR="00911E9A" w:rsidRPr="007C7C5F">
        <w:rPr>
          <w:rFonts w:asciiTheme="majorHAnsi" w:hAnsiTheme="majorHAnsi" w:cstheme="majorHAnsi"/>
        </w:rPr>
        <w:t xml:space="preserve"> 3</w:t>
      </w:r>
      <w:r w:rsidRPr="007C7C5F">
        <w:rPr>
          <w:rFonts w:asciiTheme="majorHAnsi" w:hAnsiTheme="majorHAnsi" w:cstheme="majorHAnsi"/>
        </w:rPr>
        <w:t xml:space="preserve"> summarises how </w:t>
      </w:r>
      <w:r w:rsidR="00CA518B" w:rsidRPr="007C7C5F">
        <w:rPr>
          <w:rFonts w:asciiTheme="majorHAnsi" w:hAnsiTheme="majorHAnsi" w:cstheme="majorHAnsi"/>
        </w:rPr>
        <w:t>it</w:t>
      </w:r>
      <w:r w:rsidRPr="007C7C5F">
        <w:rPr>
          <w:rFonts w:asciiTheme="majorHAnsi" w:hAnsiTheme="majorHAnsi" w:cstheme="majorHAnsi"/>
        </w:rPr>
        <w:t xml:space="preserve"> was implemented in STREAM-N and the </w:t>
      </w:r>
      <w:r w:rsidR="00DF69A3" w:rsidRPr="007C7C5F">
        <w:rPr>
          <w:rFonts w:asciiTheme="majorHAnsi" w:hAnsiTheme="majorHAnsi" w:cstheme="majorHAnsi"/>
        </w:rPr>
        <w:t xml:space="preserve">related </w:t>
      </w:r>
      <w:r w:rsidRPr="007C7C5F">
        <w:rPr>
          <w:rFonts w:asciiTheme="majorHAnsi" w:hAnsiTheme="majorHAnsi" w:cstheme="majorHAnsi"/>
        </w:rPr>
        <w:t xml:space="preserve">assumptions. </w:t>
      </w:r>
    </w:p>
    <w:p w14:paraId="14D23569" w14:textId="4ABE90B8" w:rsidR="001C676F" w:rsidRDefault="004F172B" w:rsidP="004F172B">
      <w:pPr>
        <w:keepNext/>
        <w:keepLines/>
        <w:spacing w:after="0"/>
        <w:jc w:val="both"/>
        <w:rPr>
          <w:rFonts w:asciiTheme="majorHAnsi" w:hAnsiTheme="majorHAnsi" w:cstheme="majorHAnsi"/>
        </w:rPr>
      </w:pPr>
      <w:r>
        <w:rPr>
          <w:rFonts w:asciiTheme="majorHAnsi" w:hAnsiTheme="majorHAnsi" w:cstheme="majorHAnsi"/>
          <w:highlight w:val="yellow"/>
        </w:rPr>
        <w:t>&lt;&lt;</w:t>
      </w:r>
      <w:r w:rsidR="00911E9A" w:rsidRPr="004F172B">
        <w:rPr>
          <w:rFonts w:asciiTheme="majorHAnsi" w:hAnsiTheme="majorHAnsi" w:cstheme="majorHAnsi"/>
          <w:highlight w:val="yellow"/>
        </w:rPr>
        <w:t>T</w:t>
      </w:r>
      <w:r w:rsidR="00005559" w:rsidRPr="004F172B">
        <w:rPr>
          <w:rFonts w:asciiTheme="majorHAnsi" w:hAnsiTheme="majorHAnsi" w:cstheme="majorHAnsi"/>
          <w:highlight w:val="yellow"/>
        </w:rPr>
        <w:t>able 3</w:t>
      </w:r>
      <w:r w:rsidRPr="004F172B">
        <w:rPr>
          <w:rFonts w:asciiTheme="majorHAnsi" w:hAnsiTheme="majorHAnsi" w:cstheme="majorHAnsi"/>
          <w:highlight w:val="yellow"/>
        </w:rPr>
        <w:t>&gt;&gt; here</w:t>
      </w:r>
    </w:p>
    <w:p w14:paraId="1E0BFD97" w14:textId="77777777" w:rsidR="004F172B" w:rsidRPr="007C7C5F" w:rsidRDefault="004F172B" w:rsidP="004F172B">
      <w:pPr>
        <w:keepNext/>
        <w:keepLines/>
        <w:spacing w:after="0"/>
        <w:jc w:val="both"/>
        <w:rPr>
          <w:rFonts w:asciiTheme="majorHAnsi" w:hAnsiTheme="majorHAnsi" w:cstheme="majorHAnsi"/>
          <w:sz w:val="20"/>
          <w:szCs w:val="20"/>
        </w:rPr>
      </w:pPr>
    </w:p>
    <w:p w14:paraId="0C5CA329" w14:textId="0C1453DB" w:rsidR="004C010E" w:rsidRPr="007C7C5F" w:rsidRDefault="004C010E" w:rsidP="007D41ED">
      <w:pPr>
        <w:jc w:val="both"/>
        <w:rPr>
          <w:rFonts w:asciiTheme="majorHAnsi" w:hAnsiTheme="majorHAnsi" w:cstheme="majorHAnsi"/>
        </w:rPr>
      </w:pPr>
      <w:r w:rsidRPr="007C7C5F">
        <w:rPr>
          <w:rFonts w:asciiTheme="majorHAnsi" w:hAnsiTheme="majorHAnsi" w:cstheme="majorHAnsi"/>
        </w:rPr>
        <w:t xml:space="preserve">Outputs from the </w:t>
      </w:r>
      <w:r w:rsidR="00DF69A3" w:rsidRPr="007C7C5F">
        <w:rPr>
          <w:rFonts w:asciiTheme="majorHAnsi" w:hAnsiTheme="majorHAnsi" w:cstheme="majorHAnsi"/>
        </w:rPr>
        <w:t xml:space="preserve">effectiveness </w:t>
      </w:r>
      <w:r w:rsidRPr="007C7C5F">
        <w:rPr>
          <w:rFonts w:asciiTheme="majorHAnsi" w:hAnsiTheme="majorHAnsi" w:cstheme="majorHAnsi"/>
        </w:rPr>
        <w:t>simulations included</w:t>
      </w:r>
      <w:r w:rsidR="0037462B" w:rsidRPr="007C7C5F">
        <w:rPr>
          <w:rFonts w:asciiTheme="majorHAnsi" w:hAnsiTheme="majorHAnsi" w:cstheme="majorHAnsi"/>
        </w:rPr>
        <w:t xml:space="preserve"> the percentage reduction in stream </w:t>
      </w:r>
      <w:r w:rsidR="00DC176A" w:rsidRPr="007C7C5F">
        <w:rPr>
          <w:rFonts w:asciiTheme="majorHAnsi" w:hAnsiTheme="majorHAnsi" w:cstheme="majorHAnsi"/>
        </w:rPr>
        <w:t>nitrate</w:t>
      </w:r>
      <w:r w:rsidR="0037462B" w:rsidRPr="007C7C5F">
        <w:rPr>
          <w:rFonts w:asciiTheme="majorHAnsi" w:hAnsiTheme="majorHAnsi" w:cstheme="majorHAnsi"/>
        </w:rPr>
        <w:t xml:space="preserve"> concentrations at the outlet of the catchment</w:t>
      </w:r>
      <w:r w:rsidR="0021762A" w:rsidRPr="007C7C5F">
        <w:rPr>
          <w:rFonts w:asciiTheme="majorHAnsi" w:hAnsiTheme="majorHAnsi" w:cstheme="majorHAnsi"/>
        </w:rPr>
        <w:t xml:space="preserve">, total reduction in </w:t>
      </w:r>
      <w:r w:rsidR="00DC176A" w:rsidRPr="007C7C5F">
        <w:rPr>
          <w:rFonts w:asciiTheme="majorHAnsi" w:hAnsiTheme="majorHAnsi" w:cstheme="majorHAnsi"/>
        </w:rPr>
        <w:t>nitrate</w:t>
      </w:r>
      <w:r w:rsidR="0021762A" w:rsidRPr="007C7C5F">
        <w:rPr>
          <w:rFonts w:asciiTheme="majorHAnsi" w:hAnsiTheme="majorHAnsi" w:cstheme="majorHAnsi"/>
        </w:rPr>
        <w:t xml:space="preserve"> load at the catchment scale and the reduction in </w:t>
      </w:r>
      <w:r w:rsidR="00DC176A" w:rsidRPr="007C7C5F">
        <w:rPr>
          <w:rFonts w:asciiTheme="majorHAnsi" w:hAnsiTheme="majorHAnsi" w:cstheme="majorHAnsi"/>
        </w:rPr>
        <w:t>nitrate</w:t>
      </w:r>
      <w:r w:rsidR="0021762A" w:rsidRPr="007C7C5F">
        <w:rPr>
          <w:rFonts w:asciiTheme="majorHAnsi" w:hAnsiTheme="majorHAnsi" w:cstheme="majorHAnsi"/>
        </w:rPr>
        <w:t xml:space="preserve"> loss (kg </w:t>
      </w:r>
      <w:r w:rsidR="001A3A06">
        <w:rPr>
          <w:rFonts w:asciiTheme="majorHAnsi" w:hAnsiTheme="majorHAnsi" w:cstheme="majorHAnsi"/>
        </w:rPr>
        <w:t>N/</w:t>
      </w:r>
      <w:r w:rsidR="0021762A" w:rsidRPr="007C7C5F">
        <w:rPr>
          <w:rFonts w:asciiTheme="majorHAnsi" w:hAnsiTheme="majorHAnsi" w:cstheme="majorHAnsi"/>
        </w:rPr>
        <w:t>ha) at the mitigation site.</w:t>
      </w:r>
      <w:r w:rsidRPr="007C7C5F">
        <w:rPr>
          <w:rFonts w:asciiTheme="majorHAnsi" w:hAnsiTheme="majorHAnsi" w:cstheme="majorHAnsi"/>
        </w:rPr>
        <w:t xml:space="preserve"> </w:t>
      </w:r>
      <w:r w:rsidR="0021762A" w:rsidRPr="007C7C5F">
        <w:rPr>
          <w:rFonts w:asciiTheme="majorHAnsi" w:hAnsiTheme="majorHAnsi" w:cstheme="majorHAnsi"/>
        </w:rPr>
        <w:t xml:space="preserve">Mitigation measures were initially tested individually, then, following assessment of cost-effectiveness, the effectiveness of a bundle of measures was also evaluated. </w:t>
      </w:r>
    </w:p>
    <w:p w14:paraId="5AA8C8A9" w14:textId="29353D5F" w:rsidR="00911E9A" w:rsidRPr="007C7C5F" w:rsidRDefault="001212F1" w:rsidP="009F1A3F">
      <w:pPr>
        <w:pStyle w:val="Heading2"/>
      </w:pPr>
      <w:r w:rsidRPr="007C7C5F">
        <w:t xml:space="preserve">Modelling P </w:t>
      </w:r>
      <w:r w:rsidR="008C474F" w:rsidRPr="007C7C5F">
        <w:t xml:space="preserve">in the </w:t>
      </w:r>
      <w:proofErr w:type="spellStart"/>
      <w:r w:rsidR="008C474F" w:rsidRPr="007C7C5F">
        <w:t>Corskie</w:t>
      </w:r>
      <w:proofErr w:type="spellEnd"/>
      <w:r w:rsidR="008C474F" w:rsidRPr="007C7C5F">
        <w:t xml:space="preserve"> Burn</w:t>
      </w:r>
    </w:p>
    <w:bookmarkEnd w:id="8"/>
    <w:bookmarkEnd w:id="9"/>
    <w:p w14:paraId="38BEEF6D" w14:textId="576D29A6" w:rsidR="001212F1" w:rsidRPr="007C7C5F" w:rsidRDefault="008C474F" w:rsidP="001212F1">
      <w:pPr>
        <w:jc w:val="both"/>
        <w:rPr>
          <w:rFonts w:asciiTheme="majorHAnsi" w:hAnsiTheme="majorHAnsi" w:cstheme="majorHAnsi"/>
        </w:rPr>
      </w:pPr>
      <w:r w:rsidRPr="007C7C5F">
        <w:rPr>
          <w:rFonts w:asciiTheme="majorHAnsi" w:hAnsiTheme="majorHAnsi" w:cstheme="majorHAnsi"/>
        </w:rPr>
        <w:t xml:space="preserve">A similar approach to that presented above for N was used to simulate P dynamics and mitigation in the </w:t>
      </w:r>
      <w:proofErr w:type="spellStart"/>
      <w:r w:rsidRPr="007C7C5F">
        <w:rPr>
          <w:rFonts w:asciiTheme="majorHAnsi" w:hAnsiTheme="majorHAnsi" w:cstheme="majorHAnsi"/>
        </w:rPr>
        <w:t>Corskie</w:t>
      </w:r>
      <w:proofErr w:type="spellEnd"/>
      <w:r w:rsidRPr="007C7C5F">
        <w:rPr>
          <w:rFonts w:asciiTheme="majorHAnsi" w:hAnsiTheme="majorHAnsi" w:cstheme="majorHAnsi"/>
        </w:rPr>
        <w:t xml:space="preserve"> Burn catchment. In this case the </w:t>
      </w:r>
      <w:r w:rsidR="001212F1" w:rsidRPr="007C7C5F">
        <w:rPr>
          <w:rFonts w:asciiTheme="majorHAnsi" w:hAnsiTheme="majorHAnsi" w:cstheme="majorHAnsi"/>
        </w:rPr>
        <w:t>INCA-P (</w:t>
      </w:r>
      <w:proofErr w:type="spellStart"/>
      <w:r w:rsidR="001212F1" w:rsidRPr="007C7C5F">
        <w:rPr>
          <w:rFonts w:asciiTheme="majorHAnsi" w:hAnsiTheme="majorHAnsi" w:cstheme="majorHAnsi"/>
        </w:rPr>
        <w:t>INtegrated</w:t>
      </w:r>
      <w:proofErr w:type="spellEnd"/>
      <w:r w:rsidR="001212F1" w:rsidRPr="007C7C5F">
        <w:rPr>
          <w:rFonts w:asciiTheme="majorHAnsi" w:hAnsiTheme="majorHAnsi" w:cstheme="majorHAnsi"/>
        </w:rPr>
        <w:t xml:space="preserve"> </w:t>
      </w:r>
      <w:proofErr w:type="spellStart"/>
      <w:r w:rsidR="001212F1" w:rsidRPr="007C7C5F">
        <w:rPr>
          <w:rFonts w:asciiTheme="majorHAnsi" w:hAnsiTheme="majorHAnsi" w:cstheme="majorHAnsi"/>
        </w:rPr>
        <w:t>CAtchment</w:t>
      </w:r>
      <w:proofErr w:type="spellEnd"/>
      <w:r w:rsidR="001212F1" w:rsidRPr="007C7C5F">
        <w:rPr>
          <w:rFonts w:asciiTheme="majorHAnsi" w:hAnsiTheme="majorHAnsi" w:cstheme="majorHAnsi"/>
        </w:rPr>
        <w:t xml:space="preserve"> Model of Phosphorus dynamics) </w:t>
      </w:r>
      <w:r w:rsidRPr="007C7C5F">
        <w:rPr>
          <w:rFonts w:asciiTheme="majorHAnsi" w:hAnsiTheme="majorHAnsi" w:cstheme="majorHAnsi"/>
        </w:rPr>
        <w:t xml:space="preserve">model </w:t>
      </w:r>
      <w:r w:rsidR="001212F1" w:rsidRPr="007C7C5F">
        <w:rPr>
          <w:rFonts w:asciiTheme="majorHAnsi" w:hAnsiTheme="majorHAnsi" w:cstheme="majorHAnsi"/>
        </w:rPr>
        <w:t xml:space="preserve">was used to simulate daily in-stream mean phosphorus concentrations </w:t>
      </w:r>
      <w:r w:rsidRPr="007C7C5F">
        <w:rPr>
          <w:rFonts w:asciiTheme="majorHAnsi" w:hAnsiTheme="majorHAnsi" w:cstheme="majorHAnsi"/>
        </w:rPr>
        <w:t xml:space="preserve">for </w:t>
      </w:r>
      <w:r w:rsidR="001212F1" w:rsidRPr="007C7C5F">
        <w:rPr>
          <w:rFonts w:asciiTheme="majorHAnsi" w:hAnsiTheme="majorHAnsi" w:cstheme="majorHAnsi"/>
        </w:rPr>
        <w:t xml:space="preserve">baseline </w:t>
      </w:r>
      <w:r w:rsidRPr="007C7C5F">
        <w:rPr>
          <w:rFonts w:asciiTheme="majorHAnsi" w:hAnsiTheme="majorHAnsi" w:cstheme="majorHAnsi"/>
        </w:rPr>
        <w:t xml:space="preserve">conditions </w:t>
      </w:r>
      <w:r w:rsidR="001212F1" w:rsidRPr="007C7C5F">
        <w:rPr>
          <w:rFonts w:asciiTheme="majorHAnsi" w:hAnsiTheme="majorHAnsi" w:cstheme="majorHAnsi"/>
        </w:rPr>
        <w:t xml:space="preserve">and </w:t>
      </w:r>
      <w:r w:rsidRPr="007C7C5F">
        <w:rPr>
          <w:rFonts w:asciiTheme="majorHAnsi" w:hAnsiTheme="majorHAnsi" w:cstheme="majorHAnsi"/>
        </w:rPr>
        <w:t>to evaluate the effects of</w:t>
      </w:r>
      <w:r w:rsidR="001212F1" w:rsidRPr="007C7C5F">
        <w:rPr>
          <w:rFonts w:asciiTheme="majorHAnsi" w:hAnsiTheme="majorHAnsi" w:cstheme="majorHAnsi"/>
        </w:rPr>
        <w:t xml:space="preserve"> changing land management. INCA-P is a dynamic, process-based model that uses a semi-distributed approach to simulate the flow of water and nutrients through the terrestrial system to river reaches</w:t>
      </w:r>
      <w:r w:rsidR="00C84D36" w:rsidRPr="007C7C5F">
        <w:rPr>
          <w:rFonts w:asciiTheme="majorHAnsi" w:hAnsiTheme="majorHAnsi" w:cstheme="majorHAnsi"/>
        </w:rPr>
        <w:t xml:space="preserve"> (Wade et al., 2002).</w:t>
      </w:r>
      <w:r w:rsidR="001212F1" w:rsidRPr="007C7C5F">
        <w:rPr>
          <w:rFonts w:asciiTheme="majorHAnsi" w:hAnsiTheme="majorHAnsi" w:cstheme="majorHAnsi"/>
        </w:rPr>
        <w:t xml:space="preserve"> INCA-P requires input time series of precipitation, air temperature, hydrologically effective rainfall and soil moisture deficit. Phosphorus inputs to the system include daily application rates from fertilizer, manure spreading, grazing animals, and atmospheric deposition and point inputs to the stream (septic tanks and sewage treatment works). For each reach in the catchment the model outputs include daily time series of flow, and </w:t>
      </w:r>
      <w:r w:rsidR="001212F1" w:rsidRPr="007C7C5F">
        <w:rPr>
          <w:rFonts w:asciiTheme="majorHAnsi" w:hAnsiTheme="majorHAnsi" w:cstheme="majorHAnsi"/>
        </w:rPr>
        <w:lastRenderedPageBreak/>
        <w:t xml:space="preserve">concentrations and loads of soluble reactive phosphorus (SRP), total phosphorus, particulate P and suspended sediment. Routine stream water monitoring data from the Scottish Environmental Protection Agency (SEPA) were used to calibrate and test INCA-P. </w:t>
      </w:r>
    </w:p>
    <w:p w14:paraId="0FF3E824" w14:textId="0902CE72" w:rsidR="001212F1" w:rsidRPr="007C7C5F" w:rsidRDefault="001212F1" w:rsidP="00DF69A3">
      <w:pPr>
        <w:pStyle w:val="Heading2"/>
        <w:rPr>
          <w:rFonts w:asciiTheme="majorHAnsi" w:hAnsiTheme="majorHAnsi" w:cstheme="majorHAnsi"/>
        </w:rPr>
      </w:pPr>
      <w:bookmarkStart w:id="10" w:name="_Toc368665216"/>
      <w:r w:rsidRPr="007C7C5F">
        <w:rPr>
          <w:rFonts w:asciiTheme="majorHAnsi" w:hAnsiTheme="majorHAnsi" w:cstheme="majorHAnsi"/>
        </w:rPr>
        <w:t>Estimation of cost</w:t>
      </w:r>
      <w:r w:rsidR="00BB4BA5" w:rsidRPr="007C7C5F">
        <w:rPr>
          <w:rFonts w:asciiTheme="majorHAnsi" w:hAnsiTheme="majorHAnsi" w:cstheme="majorHAnsi"/>
        </w:rPr>
        <w:t>s</w:t>
      </w:r>
      <w:r w:rsidRPr="007C7C5F">
        <w:rPr>
          <w:rFonts w:asciiTheme="majorHAnsi" w:hAnsiTheme="majorHAnsi" w:cstheme="majorHAnsi"/>
        </w:rPr>
        <w:t xml:space="preserve"> of mitigation measures</w:t>
      </w:r>
    </w:p>
    <w:bookmarkEnd w:id="10"/>
    <w:p w14:paraId="523FB16F" w14:textId="4EB49BE7" w:rsidR="00CF28E5" w:rsidRPr="007C7C5F" w:rsidRDefault="0020264F" w:rsidP="0070701A">
      <w:pPr>
        <w:pStyle w:val="NormalWeb"/>
        <w:spacing w:before="0" w:beforeAutospacing="0" w:after="0" w:afterAutospacing="0" w:line="276" w:lineRule="auto"/>
        <w:jc w:val="both"/>
        <w:rPr>
          <w:rFonts w:asciiTheme="majorHAnsi" w:hAnsiTheme="majorHAnsi" w:cstheme="majorHAnsi"/>
          <w:sz w:val="22"/>
          <w:szCs w:val="22"/>
        </w:rPr>
      </w:pPr>
      <w:r w:rsidRPr="007C7C5F">
        <w:rPr>
          <w:rFonts w:asciiTheme="majorHAnsi" w:hAnsiTheme="majorHAnsi" w:cstheme="majorHAnsi"/>
          <w:sz w:val="22"/>
          <w:szCs w:val="22"/>
        </w:rPr>
        <w:t>Cost estimate</w:t>
      </w:r>
      <w:r w:rsidR="00DF69A3" w:rsidRPr="007C7C5F">
        <w:rPr>
          <w:rFonts w:asciiTheme="majorHAnsi" w:hAnsiTheme="majorHAnsi" w:cstheme="majorHAnsi"/>
          <w:sz w:val="22"/>
          <w:szCs w:val="22"/>
        </w:rPr>
        <w:t>s</w:t>
      </w:r>
      <w:r w:rsidR="00716AE9" w:rsidRPr="007C7C5F">
        <w:rPr>
          <w:rFonts w:asciiTheme="majorHAnsi" w:hAnsiTheme="majorHAnsi" w:cstheme="majorHAnsi"/>
          <w:sz w:val="22"/>
          <w:szCs w:val="22"/>
        </w:rPr>
        <w:t xml:space="preserve"> </w:t>
      </w:r>
      <w:r w:rsidR="00046A6B">
        <w:rPr>
          <w:rFonts w:asciiTheme="majorHAnsi" w:hAnsiTheme="majorHAnsi" w:cstheme="majorHAnsi"/>
          <w:sz w:val="22"/>
          <w:szCs w:val="22"/>
        </w:rPr>
        <w:t>of measures</w:t>
      </w:r>
      <w:r w:rsidR="00716AE9" w:rsidRPr="007C7C5F">
        <w:rPr>
          <w:rFonts w:asciiTheme="majorHAnsi" w:hAnsiTheme="majorHAnsi" w:cstheme="majorHAnsi"/>
          <w:sz w:val="22"/>
          <w:szCs w:val="22"/>
        </w:rPr>
        <w:t xml:space="preserve"> </w:t>
      </w:r>
      <w:r w:rsidR="00DF69A3" w:rsidRPr="007C7C5F">
        <w:rPr>
          <w:rFonts w:asciiTheme="majorHAnsi" w:hAnsiTheme="majorHAnsi" w:cstheme="majorHAnsi"/>
          <w:sz w:val="22"/>
          <w:szCs w:val="22"/>
        </w:rPr>
        <w:t xml:space="preserve">were </w:t>
      </w:r>
      <w:r w:rsidR="00716AE9" w:rsidRPr="007C7C5F">
        <w:rPr>
          <w:rFonts w:asciiTheme="majorHAnsi" w:hAnsiTheme="majorHAnsi" w:cstheme="majorHAnsi"/>
          <w:sz w:val="22"/>
          <w:szCs w:val="22"/>
        </w:rPr>
        <w:t>based on</w:t>
      </w:r>
      <w:r w:rsidRPr="007C7C5F">
        <w:rPr>
          <w:rFonts w:asciiTheme="majorHAnsi" w:hAnsiTheme="majorHAnsi" w:cstheme="majorHAnsi"/>
          <w:sz w:val="22"/>
          <w:szCs w:val="22"/>
        </w:rPr>
        <w:t xml:space="preserve"> income foregone and additional costs as a result of implementing </w:t>
      </w:r>
      <w:r w:rsidR="00716AE9" w:rsidRPr="007C7C5F">
        <w:rPr>
          <w:rFonts w:asciiTheme="majorHAnsi" w:hAnsiTheme="majorHAnsi" w:cstheme="majorHAnsi"/>
          <w:sz w:val="22"/>
          <w:szCs w:val="22"/>
        </w:rPr>
        <w:t>the measure</w:t>
      </w:r>
      <w:r w:rsidR="009748B8" w:rsidRPr="007C7C5F">
        <w:rPr>
          <w:rFonts w:asciiTheme="majorHAnsi" w:hAnsiTheme="majorHAnsi" w:cstheme="majorHAnsi"/>
          <w:sz w:val="22"/>
          <w:szCs w:val="22"/>
        </w:rPr>
        <w:t xml:space="preserve">. </w:t>
      </w:r>
      <w:r w:rsidRPr="007C7C5F">
        <w:rPr>
          <w:rFonts w:asciiTheme="majorHAnsi" w:hAnsiTheme="majorHAnsi" w:cstheme="majorHAnsi"/>
          <w:sz w:val="22"/>
          <w:szCs w:val="22"/>
        </w:rPr>
        <w:t>Cost</w:t>
      </w:r>
      <w:r w:rsidR="009748B8" w:rsidRPr="007C7C5F">
        <w:rPr>
          <w:rFonts w:asciiTheme="majorHAnsi" w:hAnsiTheme="majorHAnsi" w:cstheme="majorHAnsi"/>
          <w:sz w:val="22"/>
          <w:szCs w:val="22"/>
        </w:rPr>
        <w:t>s</w:t>
      </w:r>
      <w:r w:rsidRPr="007C7C5F">
        <w:rPr>
          <w:rFonts w:asciiTheme="majorHAnsi" w:hAnsiTheme="majorHAnsi" w:cstheme="majorHAnsi"/>
          <w:sz w:val="22"/>
          <w:szCs w:val="22"/>
        </w:rPr>
        <w:t xml:space="preserve"> were estimated using </w:t>
      </w:r>
      <w:r w:rsidR="009748B8" w:rsidRPr="007C7C5F">
        <w:rPr>
          <w:rFonts w:asciiTheme="majorHAnsi" w:hAnsiTheme="majorHAnsi" w:cstheme="majorHAnsi"/>
          <w:sz w:val="22"/>
          <w:szCs w:val="22"/>
        </w:rPr>
        <w:t xml:space="preserve">farm level </w:t>
      </w:r>
      <w:r w:rsidRPr="007C7C5F">
        <w:rPr>
          <w:rFonts w:asciiTheme="majorHAnsi" w:hAnsiTheme="majorHAnsi" w:cstheme="majorHAnsi"/>
          <w:sz w:val="22"/>
          <w:szCs w:val="22"/>
        </w:rPr>
        <w:t xml:space="preserve">data from </w:t>
      </w:r>
      <w:r w:rsidR="00DF69A3" w:rsidRPr="007C7C5F">
        <w:rPr>
          <w:rFonts w:asciiTheme="majorHAnsi" w:hAnsiTheme="majorHAnsi" w:cstheme="majorHAnsi"/>
          <w:sz w:val="22"/>
          <w:szCs w:val="22"/>
        </w:rPr>
        <w:t xml:space="preserve">the </w:t>
      </w:r>
      <w:r w:rsidRPr="007C7C5F">
        <w:rPr>
          <w:rFonts w:asciiTheme="majorHAnsi" w:hAnsiTheme="majorHAnsi" w:cstheme="majorHAnsi"/>
          <w:sz w:val="22"/>
          <w:szCs w:val="22"/>
        </w:rPr>
        <w:t>Farm Management Handbook (SAC, 2008)</w:t>
      </w:r>
      <w:r w:rsidR="00DF69A3" w:rsidRPr="007C7C5F">
        <w:rPr>
          <w:rFonts w:asciiTheme="majorHAnsi" w:hAnsiTheme="majorHAnsi" w:cstheme="majorHAnsi"/>
          <w:sz w:val="22"/>
          <w:szCs w:val="22"/>
        </w:rPr>
        <w:t>, the</w:t>
      </w:r>
      <w:r w:rsidRPr="007C7C5F">
        <w:rPr>
          <w:rFonts w:asciiTheme="majorHAnsi" w:hAnsiTheme="majorHAnsi" w:cstheme="majorHAnsi"/>
          <w:sz w:val="22"/>
          <w:szCs w:val="22"/>
        </w:rPr>
        <w:t xml:space="preserve"> Farm Management Pocketbook (Nix, 2011)</w:t>
      </w:r>
      <w:r w:rsidR="00DF69A3" w:rsidRPr="007C7C5F">
        <w:rPr>
          <w:rFonts w:asciiTheme="majorHAnsi" w:hAnsiTheme="majorHAnsi" w:cstheme="majorHAnsi"/>
          <w:sz w:val="22"/>
          <w:szCs w:val="22"/>
        </w:rPr>
        <w:t>,</w:t>
      </w:r>
      <w:r w:rsidRPr="007C7C5F">
        <w:rPr>
          <w:rFonts w:asciiTheme="majorHAnsi" w:hAnsiTheme="majorHAnsi" w:cstheme="majorHAnsi"/>
          <w:sz w:val="22"/>
          <w:szCs w:val="22"/>
        </w:rPr>
        <w:t xml:space="preserve"> S</w:t>
      </w:r>
      <w:r w:rsidR="001B16E2" w:rsidRPr="007C7C5F">
        <w:rPr>
          <w:rFonts w:asciiTheme="majorHAnsi" w:hAnsiTheme="majorHAnsi" w:cstheme="majorHAnsi"/>
          <w:sz w:val="22"/>
          <w:szCs w:val="22"/>
        </w:rPr>
        <w:t xml:space="preserve">cottish </w:t>
      </w:r>
      <w:r w:rsidRPr="007C7C5F">
        <w:rPr>
          <w:rFonts w:asciiTheme="majorHAnsi" w:hAnsiTheme="majorHAnsi" w:cstheme="majorHAnsi"/>
          <w:sz w:val="22"/>
          <w:szCs w:val="22"/>
        </w:rPr>
        <w:t>R</w:t>
      </w:r>
      <w:r w:rsidR="001B16E2" w:rsidRPr="007C7C5F">
        <w:rPr>
          <w:rFonts w:asciiTheme="majorHAnsi" w:hAnsiTheme="majorHAnsi" w:cstheme="majorHAnsi"/>
          <w:sz w:val="22"/>
          <w:szCs w:val="22"/>
        </w:rPr>
        <w:t xml:space="preserve">ural </w:t>
      </w:r>
      <w:r w:rsidRPr="007C7C5F">
        <w:rPr>
          <w:rFonts w:asciiTheme="majorHAnsi" w:hAnsiTheme="majorHAnsi" w:cstheme="majorHAnsi"/>
          <w:sz w:val="22"/>
          <w:szCs w:val="22"/>
        </w:rPr>
        <w:t>D</w:t>
      </w:r>
      <w:r w:rsidR="001B16E2" w:rsidRPr="007C7C5F">
        <w:rPr>
          <w:rFonts w:asciiTheme="majorHAnsi" w:hAnsiTheme="majorHAnsi" w:cstheme="majorHAnsi"/>
          <w:sz w:val="22"/>
          <w:szCs w:val="22"/>
        </w:rPr>
        <w:t xml:space="preserve">evelopment </w:t>
      </w:r>
      <w:r w:rsidRPr="007C7C5F">
        <w:rPr>
          <w:rFonts w:asciiTheme="majorHAnsi" w:hAnsiTheme="majorHAnsi" w:cstheme="majorHAnsi"/>
          <w:sz w:val="22"/>
          <w:szCs w:val="22"/>
        </w:rPr>
        <w:t>P</w:t>
      </w:r>
      <w:r w:rsidR="001B16E2" w:rsidRPr="007C7C5F">
        <w:rPr>
          <w:rFonts w:asciiTheme="majorHAnsi" w:hAnsiTheme="majorHAnsi" w:cstheme="majorHAnsi"/>
          <w:sz w:val="22"/>
          <w:szCs w:val="22"/>
        </w:rPr>
        <w:t>rogramme</w:t>
      </w:r>
      <w:r w:rsidR="001C67CC" w:rsidRPr="007C7C5F">
        <w:rPr>
          <w:rFonts w:asciiTheme="majorHAnsi" w:hAnsiTheme="majorHAnsi" w:cstheme="majorHAnsi"/>
          <w:sz w:val="22"/>
          <w:szCs w:val="22"/>
        </w:rPr>
        <w:t xml:space="preserve"> –</w:t>
      </w:r>
      <w:r w:rsidRPr="007C7C5F">
        <w:rPr>
          <w:rFonts w:asciiTheme="majorHAnsi" w:hAnsiTheme="majorHAnsi" w:cstheme="majorHAnsi"/>
          <w:sz w:val="22"/>
          <w:szCs w:val="22"/>
        </w:rPr>
        <w:t>rural priorities payment rates sheet</w:t>
      </w:r>
      <w:r w:rsidR="00CF28E5" w:rsidRPr="007C7C5F">
        <w:rPr>
          <w:rFonts w:asciiTheme="majorHAnsi" w:hAnsiTheme="majorHAnsi" w:cstheme="majorHAnsi"/>
          <w:sz w:val="22"/>
          <w:szCs w:val="22"/>
        </w:rPr>
        <w:t xml:space="preserve"> (</w:t>
      </w:r>
      <w:r w:rsidR="00C31E3F" w:rsidRPr="007C7C5F">
        <w:rPr>
          <w:rFonts w:asciiTheme="majorHAnsi" w:hAnsiTheme="majorHAnsi" w:cstheme="majorHAnsi"/>
          <w:sz w:val="22"/>
          <w:szCs w:val="22"/>
        </w:rPr>
        <w:t xml:space="preserve">freely </w:t>
      </w:r>
      <w:r w:rsidR="00CF28E5" w:rsidRPr="007C7C5F">
        <w:rPr>
          <w:rFonts w:asciiTheme="majorHAnsi" w:hAnsiTheme="majorHAnsi" w:cstheme="majorHAnsi"/>
          <w:sz w:val="22"/>
          <w:szCs w:val="22"/>
        </w:rPr>
        <w:t>accessible here:</w:t>
      </w:r>
      <w:r w:rsidRPr="007C7C5F">
        <w:rPr>
          <w:rFonts w:asciiTheme="majorHAnsi" w:hAnsiTheme="majorHAnsi" w:cstheme="majorHAnsi"/>
          <w:sz w:val="22"/>
          <w:szCs w:val="22"/>
        </w:rPr>
        <w:t xml:space="preserve"> </w:t>
      </w:r>
    </w:p>
    <w:p w14:paraId="00754430" w14:textId="3FEBA7FC" w:rsidR="00CF28E5" w:rsidRPr="007C7C5F" w:rsidRDefault="009F63FB" w:rsidP="0070701A">
      <w:pPr>
        <w:pStyle w:val="NormalWeb"/>
        <w:spacing w:before="0" w:beforeAutospacing="0" w:after="0" w:afterAutospacing="0" w:line="276" w:lineRule="auto"/>
        <w:jc w:val="both"/>
        <w:rPr>
          <w:rFonts w:asciiTheme="majorHAnsi" w:hAnsiTheme="majorHAnsi" w:cstheme="majorHAnsi"/>
          <w:sz w:val="22"/>
          <w:szCs w:val="22"/>
        </w:rPr>
      </w:pPr>
      <w:hyperlink r:id="rId10" w:history="1">
        <w:r w:rsidR="00CF28E5" w:rsidRPr="007C7C5F">
          <w:rPr>
            <w:rStyle w:val="Hyperlink"/>
            <w:rFonts w:asciiTheme="majorHAnsi" w:hAnsiTheme="majorHAnsi" w:cstheme="majorHAnsi"/>
            <w:sz w:val="22"/>
            <w:szCs w:val="22"/>
          </w:rPr>
          <w:t>http://scotland.gov.uk/Topics/farmingrural/SRDP/Background/RDCsmanagementpaymentrates</w:t>
        </w:r>
      </w:hyperlink>
      <w:r w:rsidR="00CF28E5" w:rsidRPr="007C7C5F">
        <w:rPr>
          <w:rFonts w:asciiTheme="majorHAnsi" w:hAnsiTheme="majorHAnsi" w:cstheme="majorHAnsi"/>
          <w:sz w:val="22"/>
          <w:szCs w:val="22"/>
        </w:rPr>
        <w:t>),</w:t>
      </w:r>
    </w:p>
    <w:p w14:paraId="46309401" w14:textId="14613D47" w:rsidR="00C325BB" w:rsidRPr="007C7C5F" w:rsidRDefault="0020264F" w:rsidP="0070701A">
      <w:pPr>
        <w:pStyle w:val="NormalWeb"/>
        <w:spacing w:before="0" w:beforeAutospacing="0" w:after="0" w:afterAutospacing="0" w:line="276" w:lineRule="auto"/>
        <w:jc w:val="both"/>
        <w:rPr>
          <w:rFonts w:asciiTheme="majorHAnsi" w:hAnsiTheme="majorHAnsi" w:cstheme="majorHAnsi"/>
          <w:sz w:val="22"/>
          <w:szCs w:val="22"/>
        </w:rPr>
      </w:pPr>
      <w:r w:rsidRPr="007C7C5F">
        <w:rPr>
          <w:rFonts w:asciiTheme="majorHAnsi" w:hAnsiTheme="majorHAnsi" w:cstheme="majorHAnsi"/>
          <w:sz w:val="22"/>
          <w:szCs w:val="22"/>
        </w:rPr>
        <w:t xml:space="preserve">ADAS </w:t>
      </w:r>
      <w:r w:rsidR="00B7742B" w:rsidRPr="007C7C5F">
        <w:rPr>
          <w:rFonts w:asciiTheme="majorHAnsi" w:hAnsiTheme="majorHAnsi" w:cstheme="majorHAnsi"/>
          <w:sz w:val="22"/>
          <w:szCs w:val="22"/>
        </w:rPr>
        <w:t>mitigation measures – user guide</w:t>
      </w:r>
      <w:r w:rsidR="009748B8" w:rsidRPr="007C7C5F">
        <w:rPr>
          <w:rFonts w:asciiTheme="majorHAnsi" w:hAnsiTheme="majorHAnsi" w:cstheme="majorHAnsi"/>
          <w:sz w:val="22"/>
          <w:szCs w:val="22"/>
        </w:rPr>
        <w:t xml:space="preserve"> (</w:t>
      </w:r>
      <w:r w:rsidR="00B7742B" w:rsidRPr="007C7C5F">
        <w:rPr>
          <w:rFonts w:asciiTheme="majorHAnsi" w:hAnsiTheme="majorHAnsi" w:cstheme="majorHAnsi"/>
          <w:sz w:val="22"/>
          <w:szCs w:val="22"/>
        </w:rPr>
        <w:t>New Price et al., 2011</w:t>
      </w:r>
      <w:r w:rsidR="009748B8" w:rsidRPr="007C7C5F">
        <w:rPr>
          <w:rFonts w:asciiTheme="majorHAnsi" w:hAnsiTheme="majorHAnsi" w:cstheme="majorHAnsi"/>
          <w:sz w:val="22"/>
          <w:szCs w:val="22"/>
        </w:rPr>
        <w:t>)</w:t>
      </w:r>
      <w:r w:rsidRPr="007C7C5F">
        <w:rPr>
          <w:rFonts w:asciiTheme="majorHAnsi" w:hAnsiTheme="majorHAnsi" w:cstheme="majorHAnsi"/>
          <w:sz w:val="22"/>
          <w:szCs w:val="22"/>
        </w:rPr>
        <w:t xml:space="preserve"> and </w:t>
      </w:r>
      <w:r w:rsidR="00DF69A3" w:rsidRPr="007C7C5F">
        <w:rPr>
          <w:rFonts w:asciiTheme="majorHAnsi" w:hAnsiTheme="majorHAnsi" w:cstheme="majorHAnsi"/>
          <w:sz w:val="22"/>
          <w:szCs w:val="22"/>
        </w:rPr>
        <w:t xml:space="preserve">a </w:t>
      </w:r>
      <w:r w:rsidRPr="007C7C5F">
        <w:rPr>
          <w:rFonts w:asciiTheme="majorHAnsi" w:hAnsiTheme="majorHAnsi" w:cstheme="majorHAnsi"/>
          <w:sz w:val="22"/>
          <w:szCs w:val="22"/>
        </w:rPr>
        <w:t>Defra report (Defra, 2004).</w:t>
      </w:r>
      <w:r w:rsidR="003922E6" w:rsidRPr="007C7C5F">
        <w:rPr>
          <w:rFonts w:asciiTheme="majorHAnsi" w:hAnsiTheme="majorHAnsi" w:cstheme="majorHAnsi"/>
          <w:sz w:val="22"/>
          <w:szCs w:val="22"/>
        </w:rPr>
        <w:t xml:space="preserve"> </w:t>
      </w:r>
    </w:p>
    <w:p w14:paraId="40DAEE25" w14:textId="54C3BC5B" w:rsidR="0020264F" w:rsidRPr="007C7C5F" w:rsidRDefault="0020264F" w:rsidP="0070701A">
      <w:pPr>
        <w:pStyle w:val="NormalWeb"/>
        <w:spacing w:before="0" w:beforeAutospacing="0" w:after="0" w:afterAutospacing="0" w:line="276" w:lineRule="auto"/>
        <w:jc w:val="both"/>
        <w:rPr>
          <w:rFonts w:asciiTheme="majorHAnsi" w:hAnsiTheme="majorHAnsi" w:cstheme="majorHAnsi"/>
        </w:rPr>
      </w:pPr>
    </w:p>
    <w:p w14:paraId="29EECA59" w14:textId="0C8CAEBC" w:rsidR="0020264F" w:rsidRPr="007C7C5F" w:rsidRDefault="005F276E" w:rsidP="0020264F">
      <w:pPr>
        <w:jc w:val="both"/>
        <w:rPr>
          <w:rFonts w:asciiTheme="majorHAnsi" w:hAnsiTheme="majorHAnsi" w:cstheme="majorHAnsi"/>
        </w:rPr>
      </w:pPr>
      <w:r w:rsidRPr="007C7C5F">
        <w:rPr>
          <w:rFonts w:asciiTheme="majorHAnsi" w:hAnsiTheme="majorHAnsi" w:cstheme="majorHAnsi"/>
        </w:rPr>
        <w:t>Cost estimates for the WWTWs related measures were obtained as follows</w:t>
      </w:r>
      <w:r w:rsidR="00DC176A" w:rsidRPr="007C7C5F">
        <w:rPr>
          <w:rFonts w:asciiTheme="majorHAnsi" w:hAnsiTheme="majorHAnsi" w:cstheme="majorHAnsi"/>
        </w:rPr>
        <w:t>:</w:t>
      </w:r>
      <w:r w:rsidRPr="007C7C5F">
        <w:rPr>
          <w:rFonts w:asciiTheme="majorHAnsi" w:hAnsiTheme="majorHAnsi" w:cstheme="majorHAnsi"/>
        </w:rPr>
        <w:t xml:space="preserve"> </w:t>
      </w:r>
      <w:r w:rsidR="00DC176A" w:rsidRPr="007C7C5F">
        <w:rPr>
          <w:rFonts w:asciiTheme="majorHAnsi" w:hAnsiTheme="majorHAnsi" w:cstheme="majorHAnsi"/>
        </w:rPr>
        <w:t>two WWTWs i</w:t>
      </w:r>
      <w:r w:rsidRPr="007C7C5F">
        <w:rPr>
          <w:rFonts w:asciiTheme="majorHAnsi" w:hAnsiTheme="majorHAnsi" w:cstheme="majorHAnsi"/>
        </w:rPr>
        <w:t xml:space="preserve">n </w:t>
      </w:r>
      <w:proofErr w:type="spellStart"/>
      <w:r w:rsidR="00046A6B">
        <w:rPr>
          <w:rFonts w:asciiTheme="majorHAnsi" w:hAnsiTheme="majorHAnsi" w:cstheme="majorHAnsi"/>
        </w:rPr>
        <w:t>Corskie</w:t>
      </w:r>
      <w:proofErr w:type="spellEnd"/>
      <w:r w:rsidR="00046A6B">
        <w:rPr>
          <w:rFonts w:asciiTheme="majorHAnsi" w:hAnsiTheme="majorHAnsi" w:cstheme="majorHAnsi"/>
        </w:rPr>
        <w:t xml:space="preserve"> Burn</w:t>
      </w:r>
      <w:r w:rsidRPr="007C7C5F">
        <w:rPr>
          <w:rFonts w:asciiTheme="majorHAnsi" w:hAnsiTheme="majorHAnsi" w:cstheme="majorHAnsi"/>
        </w:rPr>
        <w:t xml:space="preserve">, </w:t>
      </w:r>
      <w:r w:rsidR="00DC176A" w:rsidRPr="007C7C5F">
        <w:rPr>
          <w:rFonts w:asciiTheme="majorHAnsi" w:hAnsiTheme="majorHAnsi" w:cstheme="majorHAnsi"/>
        </w:rPr>
        <w:t xml:space="preserve">at </w:t>
      </w:r>
      <w:proofErr w:type="spellStart"/>
      <w:r w:rsidRPr="007C7C5F">
        <w:rPr>
          <w:rFonts w:asciiTheme="majorHAnsi" w:hAnsiTheme="majorHAnsi" w:cstheme="majorHAnsi"/>
        </w:rPr>
        <w:t>Dunecht</w:t>
      </w:r>
      <w:proofErr w:type="spellEnd"/>
      <w:r w:rsidRPr="007C7C5F">
        <w:rPr>
          <w:rFonts w:asciiTheme="majorHAnsi" w:hAnsiTheme="majorHAnsi" w:cstheme="majorHAnsi"/>
        </w:rPr>
        <w:t xml:space="preserve"> and Lyne of Skene</w:t>
      </w:r>
      <w:r w:rsidR="00046A6B">
        <w:rPr>
          <w:rFonts w:asciiTheme="majorHAnsi" w:hAnsiTheme="majorHAnsi" w:cstheme="majorHAnsi"/>
        </w:rPr>
        <w:t xml:space="preserve"> settlements were considered</w:t>
      </w:r>
      <w:r w:rsidRPr="007C7C5F">
        <w:rPr>
          <w:rFonts w:asciiTheme="majorHAnsi" w:hAnsiTheme="majorHAnsi" w:cstheme="majorHAnsi"/>
        </w:rPr>
        <w:t>.</w:t>
      </w:r>
      <w:r w:rsidR="0020264F" w:rsidRPr="007C7C5F">
        <w:rPr>
          <w:rFonts w:asciiTheme="majorHAnsi" w:hAnsiTheme="majorHAnsi" w:cstheme="majorHAnsi"/>
        </w:rPr>
        <w:t xml:space="preserve"> </w:t>
      </w:r>
      <w:r w:rsidR="00DC176A" w:rsidRPr="007C7C5F">
        <w:rPr>
          <w:rFonts w:asciiTheme="majorHAnsi" w:hAnsiTheme="majorHAnsi" w:cstheme="majorHAnsi"/>
        </w:rPr>
        <w:t>The p</w:t>
      </w:r>
      <w:r w:rsidR="0020264F" w:rsidRPr="007C7C5F">
        <w:rPr>
          <w:rFonts w:asciiTheme="majorHAnsi" w:hAnsiTheme="majorHAnsi" w:cstheme="majorHAnsi"/>
        </w:rPr>
        <w:t xml:space="preserve">opulation in both settlements </w:t>
      </w:r>
      <w:r w:rsidR="00DC176A" w:rsidRPr="007C7C5F">
        <w:rPr>
          <w:rFonts w:asciiTheme="majorHAnsi" w:hAnsiTheme="majorHAnsi" w:cstheme="majorHAnsi"/>
        </w:rPr>
        <w:t>is</w:t>
      </w:r>
      <w:r w:rsidR="0020264F" w:rsidRPr="007C7C5F">
        <w:rPr>
          <w:rFonts w:asciiTheme="majorHAnsi" w:hAnsiTheme="majorHAnsi" w:cstheme="majorHAnsi"/>
        </w:rPr>
        <w:t xml:space="preserve"> less than 1000</w:t>
      </w:r>
      <w:r w:rsidRPr="007C7C5F">
        <w:rPr>
          <w:rFonts w:asciiTheme="majorHAnsi" w:hAnsiTheme="majorHAnsi" w:cstheme="majorHAnsi"/>
        </w:rPr>
        <w:t>.</w:t>
      </w:r>
      <w:r w:rsidR="0020264F" w:rsidRPr="007C7C5F">
        <w:rPr>
          <w:rFonts w:asciiTheme="majorHAnsi" w:hAnsiTheme="majorHAnsi" w:cstheme="majorHAnsi"/>
        </w:rPr>
        <w:t xml:space="preserve"> According to information from Scottish</w:t>
      </w:r>
      <w:r w:rsidR="0020264F" w:rsidRPr="007C7C5F">
        <w:rPr>
          <w:rStyle w:val="Strong"/>
          <w:rFonts w:asciiTheme="majorHAnsi" w:hAnsiTheme="majorHAnsi" w:cstheme="majorHAnsi"/>
          <w:b w:val="0"/>
          <w:lang w:eastAsia="en-GB"/>
        </w:rPr>
        <w:t xml:space="preserve"> Water (Bell D., </w:t>
      </w:r>
      <w:r w:rsidR="0020264F" w:rsidRPr="007C7C5F">
        <w:rPr>
          <w:rStyle w:val="Strong"/>
          <w:rFonts w:asciiTheme="majorHAnsi" w:hAnsiTheme="majorHAnsi" w:cstheme="majorHAnsi"/>
          <w:b w:val="0"/>
          <w:i/>
          <w:lang w:eastAsia="en-GB"/>
        </w:rPr>
        <w:t>Pers. comm</w:t>
      </w:r>
      <w:r w:rsidR="0020264F" w:rsidRPr="007C7C5F">
        <w:rPr>
          <w:rStyle w:val="Strong"/>
          <w:rFonts w:asciiTheme="majorHAnsi" w:hAnsiTheme="majorHAnsi" w:cstheme="majorHAnsi"/>
          <w:b w:val="0"/>
          <w:lang w:eastAsia="en-GB"/>
        </w:rPr>
        <w:t xml:space="preserve">.), </w:t>
      </w:r>
      <w:proofErr w:type="spellStart"/>
      <w:r w:rsidR="0020264F" w:rsidRPr="007C7C5F">
        <w:rPr>
          <w:rFonts w:asciiTheme="majorHAnsi" w:hAnsiTheme="majorHAnsi" w:cstheme="majorHAnsi"/>
          <w:lang w:eastAsia="en-GB"/>
        </w:rPr>
        <w:t>Dunecht</w:t>
      </w:r>
      <w:proofErr w:type="spellEnd"/>
      <w:r w:rsidR="0020264F" w:rsidRPr="007C7C5F">
        <w:rPr>
          <w:rFonts w:asciiTheme="majorHAnsi" w:hAnsiTheme="majorHAnsi" w:cstheme="majorHAnsi"/>
          <w:lang w:eastAsia="en-GB"/>
        </w:rPr>
        <w:t xml:space="preserve"> WWTW is designed to process up to 3 </w:t>
      </w:r>
      <w:r w:rsidR="00DC176A" w:rsidRPr="007C7C5F">
        <w:rPr>
          <w:rFonts w:asciiTheme="majorHAnsi" w:hAnsiTheme="majorHAnsi" w:cstheme="majorHAnsi"/>
          <w:lang w:eastAsia="en-GB"/>
        </w:rPr>
        <w:t>times the</w:t>
      </w:r>
      <w:r w:rsidR="0020264F" w:rsidRPr="007C7C5F">
        <w:rPr>
          <w:rFonts w:asciiTheme="majorHAnsi" w:hAnsiTheme="majorHAnsi" w:cstheme="majorHAnsi"/>
          <w:lang w:eastAsia="en-GB"/>
        </w:rPr>
        <w:t xml:space="preserve"> Dry Weather Flow</w:t>
      </w:r>
      <w:r w:rsidR="00DC176A" w:rsidRPr="007C7C5F">
        <w:rPr>
          <w:rFonts w:asciiTheme="majorHAnsi" w:hAnsiTheme="majorHAnsi" w:cstheme="majorHAnsi"/>
          <w:lang w:eastAsia="en-GB"/>
        </w:rPr>
        <w:t>, which</w:t>
      </w:r>
      <w:r w:rsidRPr="007C7C5F">
        <w:rPr>
          <w:rFonts w:asciiTheme="majorHAnsi" w:hAnsiTheme="majorHAnsi" w:cstheme="majorHAnsi"/>
          <w:lang w:eastAsia="en-GB"/>
        </w:rPr>
        <w:t xml:space="preserve"> </w:t>
      </w:r>
      <w:r w:rsidR="0020264F" w:rsidRPr="007C7C5F">
        <w:rPr>
          <w:rFonts w:asciiTheme="majorHAnsi" w:hAnsiTheme="majorHAnsi" w:cstheme="majorHAnsi"/>
          <w:lang w:eastAsia="en-GB"/>
        </w:rPr>
        <w:t xml:space="preserve">for </w:t>
      </w:r>
      <w:r w:rsidR="00DC176A" w:rsidRPr="007C7C5F">
        <w:rPr>
          <w:rFonts w:asciiTheme="majorHAnsi" w:hAnsiTheme="majorHAnsi" w:cstheme="majorHAnsi"/>
          <w:lang w:eastAsia="en-GB"/>
        </w:rPr>
        <w:t xml:space="preserve">this </w:t>
      </w:r>
      <w:r w:rsidR="0020264F" w:rsidRPr="007C7C5F">
        <w:rPr>
          <w:rFonts w:asciiTheme="majorHAnsi" w:hAnsiTheme="majorHAnsi" w:cstheme="majorHAnsi"/>
          <w:lang w:eastAsia="en-GB"/>
        </w:rPr>
        <w:t>site is 12</w:t>
      </w:r>
      <w:r w:rsidR="00046A6B">
        <w:rPr>
          <w:rFonts w:asciiTheme="majorHAnsi" w:hAnsiTheme="majorHAnsi" w:cstheme="majorHAnsi"/>
          <w:lang w:eastAsia="en-GB"/>
        </w:rPr>
        <w:t xml:space="preserve"> m</w:t>
      </w:r>
      <w:r w:rsidR="00046A6B" w:rsidRPr="00046A6B">
        <w:rPr>
          <w:rFonts w:asciiTheme="majorHAnsi" w:hAnsiTheme="majorHAnsi" w:cstheme="majorHAnsi"/>
          <w:vertAlign w:val="superscript"/>
          <w:lang w:eastAsia="en-GB"/>
        </w:rPr>
        <w:t>3</w:t>
      </w:r>
      <w:r w:rsidR="00046A6B">
        <w:rPr>
          <w:rFonts w:asciiTheme="majorHAnsi" w:hAnsiTheme="majorHAnsi" w:cstheme="majorHAnsi"/>
          <w:lang w:eastAsia="en-GB"/>
        </w:rPr>
        <w:t>/day</w:t>
      </w:r>
      <w:r w:rsidR="0020264F" w:rsidRPr="007C7C5F">
        <w:rPr>
          <w:rFonts w:asciiTheme="majorHAnsi" w:hAnsiTheme="majorHAnsi" w:cstheme="majorHAnsi"/>
          <w:lang w:eastAsia="en-GB"/>
        </w:rPr>
        <w:t xml:space="preserve">. Annual wastewater processing capacities for plants were computed on the basis of this figure. </w:t>
      </w:r>
      <w:r w:rsidR="0020264F" w:rsidRPr="007C7C5F">
        <w:rPr>
          <w:rFonts w:asciiTheme="majorHAnsi" w:hAnsiTheme="majorHAnsi" w:cstheme="majorHAnsi"/>
        </w:rPr>
        <w:t xml:space="preserve">It was indicated that two biological treatment types are in use –Rotating Biological Contractor (RBC) and Activated Sludge (AS) for Lyne of Skene and </w:t>
      </w:r>
      <w:proofErr w:type="spellStart"/>
      <w:r w:rsidR="0020264F" w:rsidRPr="007C7C5F">
        <w:rPr>
          <w:rFonts w:asciiTheme="majorHAnsi" w:hAnsiTheme="majorHAnsi" w:cstheme="majorHAnsi"/>
        </w:rPr>
        <w:t>Dunecht</w:t>
      </w:r>
      <w:proofErr w:type="spellEnd"/>
      <w:r w:rsidR="0020264F" w:rsidRPr="007C7C5F">
        <w:rPr>
          <w:rFonts w:asciiTheme="majorHAnsi" w:hAnsiTheme="majorHAnsi" w:cstheme="majorHAnsi"/>
        </w:rPr>
        <w:t xml:space="preserve"> plants</w:t>
      </w:r>
      <w:r w:rsidR="00DC176A" w:rsidRPr="007C7C5F">
        <w:rPr>
          <w:rFonts w:asciiTheme="majorHAnsi" w:hAnsiTheme="majorHAnsi" w:cstheme="majorHAnsi"/>
        </w:rPr>
        <w:t>,</w:t>
      </w:r>
      <w:r w:rsidR="0020264F" w:rsidRPr="007C7C5F">
        <w:rPr>
          <w:rFonts w:asciiTheme="majorHAnsi" w:hAnsiTheme="majorHAnsi" w:cstheme="majorHAnsi"/>
        </w:rPr>
        <w:t xml:space="preserve"> respectively. A recent work on treatment potential and costs of various WWTW technologies in UK (EA, 2012) highlighted the costs of various wastewater</w:t>
      </w:r>
      <w:r w:rsidR="00F4056B" w:rsidRPr="007C7C5F">
        <w:rPr>
          <w:rFonts w:asciiTheme="majorHAnsi" w:hAnsiTheme="majorHAnsi" w:cstheme="majorHAnsi"/>
        </w:rPr>
        <w:t>s P treatment technologies (Figure 2</w:t>
      </w:r>
      <w:r w:rsidR="0020264F" w:rsidRPr="007C7C5F">
        <w:rPr>
          <w:rFonts w:asciiTheme="majorHAnsi" w:hAnsiTheme="majorHAnsi" w:cstheme="majorHAnsi"/>
        </w:rPr>
        <w:t xml:space="preserve">). </w:t>
      </w:r>
    </w:p>
    <w:p w14:paraId="48D5880E" w14:textId="2B208C6F" w:rsidR="0020264F" w:rsidRPr="007C7C5F" w:rsidRDefault="0020264F" w:rsidP="0020264F">
      <w:pPr>
        <w:jc w:val="both"/>
        <w:rPr>
          <w:rFonts w:asciiTheme="majorHAnsi" w:hAnsiTheme="majorHAnsi" w:cstheme="majorHAnsi"/>
          <w:lang w:eastAsia="en-GB"/>
        </w:rPr>
      </w:pPr>
      <w:r w:rsidRPr="007C7C5F">
        <w:rPr>
          <w:rFonts w:asciiTheme="majorHAnsi" w:hAnsiTheme="majorHAnsi" w:cstheme="majorHAnsi"/>
        </w:rPr>
        <w:t xml:space="preserve">Based on the population size served by the two WWTWs, the relevant cost curve in </w:t>
      </w:r>
      <w:r w:rsidR="009E5601">
        <w:rPr>
          <w:rFonts w:asciiTheme="majorHAnsi" w:hAnsiTheme="majorHAnsi" w:cstheme="majorHAnsi"/>
        </w:rPr>
        <w:t>Fig.</w:t>
      </w:r>
      <w:r w:rsidR="00B7742B" w:rsidRPr="007C7C5F">
        <w:rPr>
          <w:rFonts w:asciiTheme="majorHAnsi" w:hAnsiTheme="majorHAnsi" w:cstheme="majorHAnsi"/>
        </w:rPr>
        <w:t>2</w:t>
      </w:r>
      <w:r w:rsidRPr="007C7C5F">
        <w:rPr>
          <w:rFonts w:asciiTheme="majorHAnsi" w:hAnsiTheme="majorHAnsi" w:cstheme="majorHAnsi"/>
        </w:rPr>
        <w:t xml:space="preserve"> is the </w:t>
      </w:r>
      <w:r w:rsidR="00BB0462">
        <w:rPr>
          <w:rFonts w:asciiTheme="majorHAnsi" w:hAnsiTheme="majorHAnsi" w:cstheme="majorHAnsi"/>
        </w:rPr>
        <w:t>upper dark-blue curve, because the</w:t>
      </w:r>
      <w:r w:rsidRPr="007C7C5F">
        <w:rPr>
          <w:rFonts w:asciiTheme="majorHAnsi" w:hAnsiTheme="majorHAnsi" w:cstheme="majorHAnsi"/>
        </w:rPr>
        <w:t xml:space="preserve"> population in both settlements </w:t>
      </w:r>
      <w:r w:rsidR="00DC176A" w:rsidRPr="007C7C5F">
        <w:rPr>
          <w:rFonts w:asciiTheme="majorHAnsi" w:hAnsiTheme="majorHAnsi" w:cstheme="majorHAnsi"/>
        </w:rPr>
        <w:t xml:space="preserve">is </w:t>
      </w:r>
      <w:r w:rsidRPr="007C7C5F">
        <w:rPr>
          <w:rFonts w:asciiTheme="majorHAnsi" w:hAnsiTheme="majorHAnsi" w:cstheme="majorHAnsi"/>
        </w:rPr>
        <w:t>lower than the 15,000 population</w:t>
      </w:r>
      <w:r w:rsidR="00BB0462">
        <w:rPr>
          <w:rFonts w:asciiTheme="majorHAnsi" w:hAnsiTheme="majorHAnsi" w:cstheme="majorHAnsi"/>
        </w:rPr>
        <w:t xml:space="preserve">. </w:t>
      </w:r>
      <w:r w:rsidR="00F4056B" w:rsidRPr="007C7C5F">
        <w:rPr>
          <w:rFonts w:asciiTheme="majorHAnsi" w:hAnsiTheme="majorHAnsi" w:cstheme="majorHAnsi"/>
        </w:rPr>
        <w:t xml:space="preserve"> On the basis of F</w:t>
      </w:r>
      <w:r w:rsidRPr="007C7C5F">
        <w:rPr>
          <w:rFonts w:asciiTheme="majorHAnsi" w:hAnsiTheme="majorHAnsi" w:cstheme="majorHAnsi"/>
        </w:rPr>
        <w:t xml:space="preserve">igure </w:t>
      </w:r>
      <w:r w:rsidR="00F4056B" w:rsidRPr="007C7C5F">
        <w:rPr>
          <w:rFonts w:asciiTheme="majorHAnsi" w:hAnsiTheme="majorHAnsi" w:cstheme="majorHAnsi"/>
        </w:rPr>
        <w:t>2</w:t>
      </w:r>
      <w:r w:rsidRPr="007C7C5F">
        <w:rPr>
          <w:rFonts w:asciiTheme="majorHAnsi" w:hAnsiTheme="majorHAnsi" w:cstheme="majorHAnsi"/>
        </w:rPr>
        <w:t xml:space="preserve">, </w:t>
      </w:r>
      <w:r w:rsidR="00DC176A" w:rsidRPr="007C7C5F">
        <w:rPr>
          <w:rFonts w:asciiTheme="majorHAnsi" w:hAnsiTheme="majorHAnsi" w:cstheme="majorHAnsi"/>
        </w:rPr>
        <w:t xml:space="preserve">we used the following costs </w:t>
      </w:r>
      <w:r w:rsidRPr="007C7C5F">
        <w:rPr>
          <w:rFonts w:asciiTheme="majorHAnsi" w:hAnsiTheme="majorHAnsi" w:cstheme="majorHAnsi"/>
        </w:rPr>
        <w:t>for the three WWTW-related measures considered in our</w:t>
      </w:r>
      <w:r w:rsidR="00BB0462">
        <w:rPr>
          <w:rFonts w:asciiTheme="majorHAnsi" w:hAnsiTheme="majorHAnsi" w:cstheme="majorHAnsi"/>
        </w:rPr>
        <w:t xml:space="preserve"> </w:t>
      </w:r>
      <w:r w:rsidRPr="007C7C5F">
        <w:rPr>
          <w:rFonts w:asciiTheme="majorHAnsi" w:hAnsiTheme="majorHAnsi" w:cstheme="majorHAnsi"/>
        </w:rPr>
        <w:t>study</w:t>
      </w:r>
      <w:r w:rsidR="00DC176A" w:rsidRPr="007C7C5F">
        <w:rPr>
          <w:rFonts w:asciiTheme="majorHAnsi" w:hAnsiTheme="majorHAnsi" w:cstheme="majorHAnsi"/>
        </w:rPr>
        <w:t xml:space="preserve">: (1) </w:t>
      </w:r>
      <w:r w:rsidRPr="007C7C5F">
        <w:rPr>
          <w:rFonts w:asciiTheme="majorHAnsi" w:hAnsiTheme="majorHAnsi" w:cstheme="majorHAnsi"/>
        </w:rPr>
        <w:t xml:space="preserve">Remove all </w:t>
      </w:r>
      <w:r w:rsidR="004272C5" w:rsidRPr="007C7C5F">
        <w:rPr>
          <w:rFonts w:asciiTheme="majorHAnsi" w:hAnsiTheme="majorHAnsi" w:cstheme="majorHAnsi"/>
        </w:rPr>
        <w:t xml:space="preserve">effluent </w:t>
      </w:r>
      <w:r w:rsidRPr="007C7C5F">
        <w:rPr>
          <w:rFonts w:asciiTheme="majorHAnsi" w:hAnsiTheme="majorHAnsi" w:cstheme="majorHAnsi"/>
        </w:rPr>
        <w:t>(reduce effluent concentration to zero)</w:t>
      </w:r>
      <w:r w:rsidR="004272C5" w:rsidRPr="007C7C5F">
        <w:rPr>
          <w:rFonts w:asciiTheme="majorHAnsi" w:hAnsiTheme="majorHAnsi" w:cstheme="majorHAnsi"/>
        </w:rPr>
        <w:t>: £1.6/m</w:t>
      </w:r>
      <w:r w:rsidR="004272C5" w:rsidRPr="007C7C5F">
        <w:rPr>
          <w:rFonts w:asciiTheme="majorHAnsi" w:hAnsiTheme="majorHAnsi" w:cstheme="majorHAnsi"/>
          <w:vertAlign w:val="superscript"/>
        </w:rPr>
        <w:t>3</w:t>
      </w:r>
      <w:r w:rsidR="004272C5" w:rsidRPr="007C7C5F">
        <w:rPr>
          <w:rFonts w:asciiTheme="majorHAnsi" w:hAnsiTheme="majorHAnsi" w:cstheme="majorHAnsi"/>
        </w:rPr>
        <w:t xml:space="preserve"> treated;</w:t>
      </w:r>
      <w:r w:rsidRPr="007C7C5F">
        <w:rPr>
          <w:rFonts w:asciiTheme="majorHAnsi" w:hAnsiTheme="majorHAnsi" w:cstheme="majorHAnsi"/>
        </w:rPr>
        <w:t xml:space="preserve"> </w:t>
      </w:r>
      <w:r w:rsidR="004272C5" w:rsidRPr="007C7C5F">
        <w:rPr>
          <w:rFonts w:asciiTheme="majorHAnsi" w:hAnsiTheme="majorHAnsi" w:cstheme="majorHAnsi"/>
        </w:rPr>
        <w:t xml:space="preserve">(2) </w:t>
      </w:r>
      <w:r w:rsidRPr="007C7C5F">
        <w:rPr>
          <w:rFonts w:asciiTheme="majorHAnsi" w:hAnsiTheme="majorHAnsi" w:cstheme="majorHAnsi"/>
        </w:rPr>
        <w:t>Reduce effluent concentration to 1 mg/l</w:t>
      </w:r>
      <w:r w:rsidR="004272C5" w:rsidRPr="007C7C5F">
        <w:rPr>
          <w:rFonts w:asciiTheme="majorHAnsi" w:hAnsiTheme="majorHAnsi" w:cstheme="majorHAnsi"/>
        </w:rPr>
        <w:t>: £1.2/m</w:t>
      </w:r>
      <w:r w:rsidR="004272C5" w:rsidRPr="007C7C5F">
        <w:rPr>
          <w:rFonts w:asciiTheme="majorHAnsi" w:hAnsiTheme="majorHAnsi" w:cstheme="majorHAnsi"/>
          <w:vertAlign w:val="superscript"/>
        </w:rPr>
        <w:t>3</w:t>
      </w:r>
      <w:r w:rsidR="004272C5" w:rsidRPr="007C7C5F">
        <w:rPr>
          <w:rFonts w:asciiTheme="majorHAnsi" w:hAnsiTheme="majorHAnsi" w:cstheme="majorHAnsi"/>
        </w:rPr>
        <w:t xml:space="preserve"> treated; and (3) </w:t>
      </w:r>
      <w:r w:rsidRPr="007C7C5F">
        <w:rPr>
          <w:rFonts w:asciiTheme="majorHAnsi" w:hAnsiTheme="majorHAnsi" w:cstheme="majorHAnsi"/>
        </w:rPr>
        <w:t>Reduce effluent concentration to 3mg/l</w:t>
      </w:r>
      <w:r w:rsidR="004272C5" w:rsidRPr="007C7C5F">
        <w:rPr>
          <w:rFonts w:asciiTheme="majorHAnsi" w:hAnsiTheme="majorHAnsi" w:cstheme="majorHAnsi"/>
        </w:rPr>
        <w:t>: £1/m</w:t>
      </w:r>
      <w:r w:rsidR="004272C5" w:rsidRPr="007C7C5F">
        <w:rPr>
          <w:rFonts w:asciiTheme="majorHAnsi" w:hAnsiTheme="majorHAnsi" w:cstheme="majorHAnsi"/>
          <w:vertAlign w:val="superscript"/>
        </w:rPr>
        <w:t>3</w:t>
      </w:r>
      <w:r w:rsidR="004272C5" w:rsidRPr="007C7C5F">
        <w:rPr>
          <w:rFonts w:asciiTheme="majorHAnsi" w:hAnsiTheme="majorHAnsi" w:cstheme="majorHAnsi"/>
        </w:rPr>
        <w:t xml:space="preserve"> treated</w:t>
      </w:r>
      <w:r w:rsidRPr="007C7C5F">
        <w:rPr>
          <w:rFonts w:asciiTheme="majorHAnsi" w:hAnsiTheme="majorHAnsi" w:cstheme="majorHAnsi"/>
        </w:rPr>
        <w:t>.</w:t>
      </w:r>
      <w:r w:rsidR="00BB0462">
        <w:rPr>
          <w:rFonts w:asciiTheme="majorHAnsi" w:hAnsiTheme="majorHAnsi" w:cstheme="majorHAnsi"/>
        </w:rPr>
        <w:t xml:space="preserve"> As the population size</w:t>
      </w:r>
      <w:r w:rsidR="008B2F06">
        <w:rPr>
          <w:rFonts w:asciiTheme="majorHAnsi" w:hAnsiTheme="majorHAnsi" w:cstheme="majorHAnsi"/>
        </w:rPr>
        <w:t>s i</w:t>
      </w:r>
      <w:r w:rsidR="00BB0462">
        <w:rPr>
          <w:rFonts w:asciiTheme="majorHAnsi" w:hAnsiTheme="majorHAnsi" w:cstheme="majorHAnsi"/>
        </w:rPr>
        <w:t>n both settlements are lower than those represented in the upper dark-blue curve in Fig. 2, these</w:t>
      </w:r>
      <w:r w:rsidR="00BB0462" w:rsidRPr="007C7C5F">
        <w:rPr>
          <w:rFonts w:asciiTheme="majorHAnsi" w:hAnsiTheme="majorHAnsi" w:cstheme="majorHAnsi"/>
        </w:rPr>
        <w:t xml:space="preserve"> cost </w:t>
      </w:r>
      <w:r w:rsidR="00BB0462">
        <w:rPr>
          <w:rFonts w:asciiTheme="majorHAnsi" w:hAnsiTheme="majorHAnsi" w:cstheme="majorHAnsi"/>
        </w:rPr>
        <w:t xml:space="preserve">figures we derived can be considered as </w:t>
      </w:r>
      <w:r w:rsidR="00BB0462" w:rsidRPr="007C7C5F">
        <w:rPr>
          <w:rFonts w:asciiTheme="majorHAnsi" w:hAnsiTheme="majorHAnsi" w:cstheme="majorHAnsi"/>
        </w:rPr>
        <w:t xml:space="preserve">a conservative (lower) </w:t>
      </w:r>
      <w:r w:rsidR="00BB0462">
        <w:rPr>
          <w:rFonts w:asciiTheme="majorHAnsi" w:hAnsiTheme="majorHAnsi" w:cstheme="majorHAnsi"/>
        </w:rPr>
        <w:t>cost estimates.</w:t>
      </w:r>
    </w:p>
    <w:p w14:paraId="7620F62E" w14:textId="16247B9D" w:rsidR="0020264F" w:rsidRPr="007C7C5F" w:rsidRDefault="004F172B" w:rsidP="0020264F">
      <w:pPr>
        <w:pStyle w:val="Caption"/>
        <w:rPr>
          <w:rFonts w:asciiTheme="majorHAnsi" w:hAnsiTheme="majorHAnsi" w:cstheme="majorHAnsi"/>
          <w:b w:val="0"/>
          <w:bCs w:val="0"/>
          <w:color w:val="auto"/>
          <w:sz w:val="20"/>
          <w:szCs w:val="20"/>
        </w:rPr>
      </w:pPr>
      <w:bookmarkStart w:id="11" w:name="_Ref367707145"/>
      <w:bookmarkStart w:id="12" w:name="_Toc368663859"/>
      <w:r>
        <w:rPr>
          <w:rFonts w:asciiTheme="majorHAnsi" w:hAnsiTheme="majorHAnsi" w:cstheme="majorHAnsi"/>
          <w:b w:val="0"/>
          <w:color w:val="auto"/>
          <w:sz w:val="20"/>
          <w:szCs w:val="20"/>
          <w:highlight w:val="yellow"/>
        </w:rPr>
        <w:t>&lt;&lt;</w:t>
      </w:r>
      <w:r w:rsidR="0020264F" w:rsidRPr="004F172B">
        <w:rPr>
          <w:rFonts w:asciiTheme="majorHAnsi" w:hAnsiTheme="majorHAnsi" w:cstheme="majorHAnsi"/>
          <w:b w:val="0"/>
          <w:color w:val="auto"/>
          <w:sz w:val="20"/>
          <w:szCs w:val="20"/>
          <w:highlight w:val="yellow"/>
        </w:rPr>
        <w:t xml:space="preserve">Figure </w:t>
      </w:r>
      <w:bookmarkEnd w:id="11"/>
      <w:r w:rsidR="00B7742B" w:rsidRPr="004F172B">
        <w:rPr>
          <w:rFonts w:asciiTheme="majorHAnsi" w:hAnsiTheme="majorHAnsi" w:cstheme="majorHAnsi"/>
          <w:b w:val="0"/>
          <w:color w:val="auto"/>
          <w:sz w:val="20"/>
          <w:szCs w:val="20"/>
          <w:highlight w:val="yellow"/>
        </w:rPr>
        <w:t>2</w:t>
      </w:r>
      <w:r w:rsidRPr="004F172B">
        <w:rPr>
          <w:rFonts w:asciiTheme="majorHAnsi" w:hAnsiTheme="majorHAnsi" w:cstheme="majorHAnsi"/>
          <w:b w:val="0"/>
          <w:color w:val="auto"/>
          <w:sz w:val="20"/>
          <w:szCs w:val="20"/>
          <w:highlight w:val="yellow"/>
        </w:rPr>
        <w:t>&gt;&gt;</w:t>
      </w:r>
      <w:bookmarkEnd w:id="12"/>
    </w:p>
    <w:p w14:paraId="2A0EF3D6" w14:textId="0E447E5C" w:rsidR="00E1330E" w:rsidRPr="007C7C5F" w:rsidRDefault="00E1330E" w:rsidP="001212F1">
      <w:pPr>
        <w:pStyle w:val="Heading2"/>
        <w:rPr>
          <w:rFonts w:asciiTheme="majorHAnsi" w:hAnsiTheme="majorHAnsi" w:cstheme="majorHAnsi"/>
        </w:rPr>
      </w:pPr>
      <w:r w:rsidRPr="007C7C5F">
        <w:rPr>
          <w:rFonts w:asciiTheme="majorHAnsi" w:hAnsiTheme="majorHAnsi" w:cstheme="majorHAnsi"/>
        </w:rPr>
        <w:t xml:space="preserve">Integrated </w:t>
      </w:r>
      <w:r w:rsidR="001212F1" w:rsidRPr="007C7C5F">
        <w:rPr>
          <w:rFonts w:asciiTheme="majorHAnsi" w:hAnsiTheme="majorHAnsi" w:cstheme="majorHAnsi"/>
        </w:rPr>
        <w:t>cost-effectiveness</w:t>
      </w:r>
      <w:r w:rsidR="0052348B" w:rsidRPr="007C7C5F">
        <w:rPr>
          <w:rFonts w:asciiTheme="majorHAnsi" w:hAnsiTheme="majorHAnsi" w:cstheme="majorHAnsi"/>
        </w:rPr>
        <w:t xml:space="preserve"> </w:t>
      </w:r>
      <w:r w:rsidRPr="007C7C5F">
        <w:rPr>
          <w:rFonts w:asciiTheme="majorHAnsi" w:hAnsiTheme="majorHAnsi" w:cstheme="majorHAnsi"/>
        </w:rPr>
        <w:t xml:space="preserve">modelling </w:t>
      </w:r>
    </w:p>
    <w:p w14:paraId="211553AF" w14:textId="5A92EC7E" w:rsidR="0070701A" w:rsidRPr="007C7C5F" w:rsidRDefault="00612CA2" w:rsidP="00E135B1">
      <w:pPr>
        <w:spacing w:after="0"/>
        <w:rPr>
          <w:rFonts w:asciiTheme="majorHAnsi" w:hAnsiTheme="majorHAnsi" w:cstheme="majorHAnsi"/>
        </w:rPr>
      </w:pPr>
      <w:r w:rsidRPr="007C7C5F">
        <w:rPr>
          <w:rFonts w:asciiTheme="majorHAnsi" w:hAnsiTheme="majorHAnsi" w:cstheme="majorHAnsi"/>
        </w:rPr>
        <w:t>The cost</w:t>
      </w:r>
      <w:r w:rsidR="00E135B1" w:rsidRPr="007C7C5F">
        <w:rPr>
          <w:rFonts w:asciiTheme="majorHAnsi" w:hAnsiTheme="majorHAnsi" w:cstheme="majorHAnsi"/>
        </w:rPr>
        <w:t>s</w:t>
      </w:r>
      <w:r w:rsidRPr="007C7C5F">
        <w:rPr>
          <w:rFonts w:asciiTheme="majorHAnsi" w:hAnsiTheme="majorHAnsi" w:cstheme="majorHAnsi"/>
        </w:rPr>
        <w:t xml:space="preserve"> and effects data were integrated using the ‘Risk Solver Platform’ (v. 12.5.1.0) optimization tool in </w:t>
      </w:r>
      <w:r w:rsidR="004272C5" w:rsidRPr="007C7C5F">
        <w:rPr>
          <w:rFonts w:asciiTheme="majorHAnsi" w:hAnsiTheme="majorHAnsi" w:cstheme="majorHAnsi"/>
        </w:rPr>
        <w:t>Excel</w:t>
      </w:r>
      <w:r w:rsidR="00423F36">
        <w:rPr>
          <w:rFonts w:asciiTheme="majorHAnsi" w:hAnsiTheme="majorHAnsi" w:cstheme="majorHAnsi"/>
        </w:rPr>
        <w:t xml:space="preserve">. </w:t>
      </w:r>
      <w:r w:rsidR="0052348B" w:rsidRPr="007C7C5F">
        <w:rPr>
          <w:rFonts w:asciiTheme="majorHAnsi" w:hAnsiTheme="majorHAnsi" w:cstheme="majorHAnsi"/>
        </w:rPr>
        <w:t xml:space="preserve">This method </w:t>
      </w:r>
      <w:r w:rsidR="0083207B">
        <w:rPr>
          <w:rFonts w:asciiTheme="majorHAnsi" w:hAnsiTheme="majorHAnsi" w:cstheme="majorHAnsi"/>
        </w:rPr>
        <w:t xml:space="preserve">indicates implementation of </w:t>
      </w:r>
      <w:r w:rsidR="0052348B" w:rsidRPr="007C7C5F">
        <w:rPr>
          <w:rFonts w:asciiTheme="majorHAnsi" w:hAnsiTheme="majorHAnsi" w:cstheme="majorHAnsi"/>
        </w:rPr>
        <w:t xml:space="preserve">a simple </w:t>
      </w:r>
      <w:r w:rsidR="00423F36">
        <w:rPr>
          <w:rFonts w:asciiTheme="majorHAnsi" w:hAnsiTheme="majorHAnsi" w:cstheme="majorHAnsi"/>
        </w:rPr>
        <w:t xml:space="preserve">cost-minimization </w:t>
      </w:r>
      <w:r w:rsidR="0052348B" w:rsidRPr="007C7C5F">
        <w:rPr>
          <w:rFonts w:asciiTheme="majorHAnsi" w:hAnsiTheme="majorHAnsi" w:cstheme="majorHAnsi"/>
        </w:rPr>
        <w:t xml:space="preserve">technique where the objective function </w:t>
      </w:r>
      <w:r w:rsidR="004272C5" w:rsidRPr="007C7C5F">
        <w:rPr>
          <w:rFonts w:asciiTheme="majorHAnsi" w:hAnsiTheme="majorHAnsi" w:cstheme="majorHAnsi"/>
        </w:rPr>
        <w:t xml:space="preserve">was </w:t>
      </w:r>
      <w:r w:rsidR="0052348B" w:rsidRPr="007C7C5F">
        <w:rPr>
          <w:rFonts w:asciiTheme="majorHAnsi" w:hAnsiTheme="majorHAnsi" w:cstheme="majorHAnsi"/>
        </w:rPr>
        <w:t xml:space="preserve">the aggregate cost of measures to achieve </w:t>
      </w:r>
      <w:r w:rsidR="002A443A" w:rsidRPr="007C7C5F">
        <w:rPr>
          <w:rFonts w:asciiTheme="majorHAnsi" w:hAnsiTheme="majorHAnsi" w:cstheme="majorHAnsi"/>
        </w:rPr>
        <w:t xml:space="preserve">N </w:t>
      </w:r>
      <w:r w:rsidR="00E135B1" w:rsidRPr="007C7C5F">
        <w:rPr>
          <w:rFonts w:asciiTheme="majorHAnsi" w:hAnsiTheme="majorHAnsi" w:cstheme="majorHAnsi"/>
        </w:rPr>
        <w:t xml:space="preserve">or P </w:t>
      </w:r>
      <w:r w:rsidR="00423F36">
        <w:rPr>
          <w:rFonts w:asciiTheme="majorHAnsi" w:hAnsiTheme="majorHAnsi" w:cstheme="majorHAnsi"/>
        </w:rPr>
        <w:t xml:space="preserve">pollutant </w:t>
      </w:r>
      <w:r w:rsidR="0052348B" w:rsidRPr="007C7C5F">
        <w:rPr>
          <w:rFonts w:asciiTheme="majorHAnsi" w:hAnsiTheme="majorHAnsi" w:cstheme="majorHAnsi"/>
        </w:rPr>
        <w:t>reduction</w:t>
      </w:r>
      <w:r w:rsidR="00423F36">
        <w:rPr>
          <w:rFonts w:asciiTheme="majorHAnsi" w:hAnsiTheme="majorHAnsi" w:cstheme="majorHAnsi"/>
        </w:rPr>
        <w:t xml:space="preserve"> in a given water body</w:t>
      </w:r>
      <w:r w:rsidR="0052348B" w:rsidRPr="007C7C5F">
        <w:rPr>
          <w:rFonts w:asciiTheme="majorHAnsi" w:hAnsiTheme="majorHAnsi" w:cstheme="majorHAnsi"/>
        </w:rPr>
        <w:t>. This can be presented as an optimization problem (</w:t>
      </w:r>
      <w:proofErr w:type="spellStart"/>
      <w:r w:rsidR="00423F36" w:rsidRPr="007C7C5F">
        <w:rPr>
          <w:rFonts w:asciiTheme="majorHAnsi" w:hAnsiTheme="majorHAnsi" w:cstheme="majorHAnsi"/>
        </w:rPr>
        <w:t>equ</w:t>
      </w:r>
      <w:proofErr w:type="spellEnd"/>
      <w:r w:rsidR="00423F36">
        <w:rPr>
          <w:rFonts w:asciiTheme="majorHAnsi" w:hAnsiTheme="majorHAnsi" w:cstheme="majorHAnsi"/>
        </w:rPr>
        <w:t>.</w:t>
      </w:r>
      <w:r w:rsidR="00423F36" w:rsidRPr="007C7C5F">
        <w:rPr>
          <w:rFonts w:asciiTheme="majorHAnsi" w:hAnsiTheme="majorHAnsi" w:cstheme="majorHAnsi"/>
        </w:rPr>
        <w:t xml:space="preserve"> </w:t>
      </w:r>
      <w:r w:rsidR="00397BB7" w:rsidRPr="007C7C5F">
        <w:rPr>
          <w:rFonts w:asciiTheme="majorHAnsi" w:hAnsiTheme="majorHAnsi" w:cstheme="majorHAnsi"/>
        </w:rPr>
        <w:t>2</w:t>
      </w:r>
      <w:r w:rsidR="0052348B" w:rsidRPr="007C7C5F">
        <w:rPr>
          <w:rFonts w:asciiTheme="majorHAnsi" w:hAnsiTheme="majorHAnsi" w:cstheme="majorHAnsi"/>
        </w:rPr>
        <w:t>)</w:t>
      </w:r>
      <w:r w:rsidR="00E135B1" w:rsidRPr="007C7C5F">
        <w:rPr>
          <w:rFonts w:asciiTheme="majorHAnsi" w:hAnsiTheme="majorHAnsi" w:cstheme="majorHAnsi"/>
        </w:rPr>
        <w:t>.</w:t>
      </w:r>
      <w:r w:rsidR="0070701A" w:rsidRPr="007C7C5F">
        <w:rPr>
          <w:rFonts w:asciiTheme="majorHAnsi" w:hAnsiTheme="majorHAnsi" w:cstheme="majorHAnsi"/>
        </w:rPr>
        <w:t xml:space="preserve"> </w:t>
      </w:r>
    </w:p>
    <w:p w14:paraId="3E448114" w14:textId="15A4ACDA" w:rsidR="0070701A" w:rsidRPr="007C7C5F" w:rsidRDefault="006152BA" w:rsidP="006152BA">
      <w:pPr>
        <w:spacing w:before="120" w:after="240" w:line="360" w:lineRule="auto"/>
        <w:jc w:val="both"/>
        <w:rPr>
          <w:rFonts w:asciiTheme="majorHAnsi" w:hAnsiTheme="majorHAnsi" w:cstheme="majorHAnsi"/>
          <w:position w:val="-12"/>
        </w:rPr>
      </w:pPr>
      <w:r w:rsidRPr="007C7C5F">
        <w:rPr>
          <w:rFonts w:asciiTheme="majorHAnsi" w:hAnsiTheme="majorHAnsi" w:cstheme="majorHAnsi"/>
          <w:position w:val="-66"/>
        </w:rPr>
        <w:object w:dxaOrig="2840" w:dyaOrig="1460" w14:anchorId="7AB59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45pt;height:72.5pt" o:ole="">
            <v:imagedata r:id="rId11" o:title=""/>
          </v:shape>
          <o:OLEObject Type="Embed" ProgID="Equation.3" ShapeID="_x0000_i1025" DrawAspect="Content" ObjectID="_1499860759" r:id="rId12"/>
        </w:object>
      </w:r>
      <w:r w:rsidR="0070701A" w:rsidRPr="007C7C5F">
        <w:rPr>
          <w:rFonts w:asciiTheme="majorHAnsi" w:hAnsiTheme="majorHAnsi" w:cstheme="majorHAnsi"/>
        </w:rPr>
        <w:t xml:space="preserve"> </w:t>
      </w:r>
      <w:r w:rsidR="001212F1" w:rsidRPr="007C7C5F">
        <w:rPr>
          <w:rFonts w:asciiTheme="majorHAnsi" w:hAnsiTheme="majorHAnsi" w:cstheme="majorHAnsi"/>
        </w:rPr>
        <w:t>………………………………………………………………………</w:t>
      </w:r>
      <w:proofErr w:type="gramStart"/>
      <w:r w:rsidR="001212F1" w:rsidRPr="007C7C5F">
        <w:rPr>
          <w:rFonts w:asciiTheme="majorHAnsi" w:hAnsiTheme="majorHAnsi" w:cstheme="majorHAnsi"/>
        </w:rPr>
        <w:t>..(</w:t>
      </w:r>
      <w:proofErr w:type="gramEnd"/>
      <w:r w:rsidR="00397BB7" w:rsidRPr="007C7C5F">
        <w:rPr>
          <w:rFonts w:asciiTheme="majorHAnsi" w:hAnsiTheme="majorHAnsi" w:cstheme="majorHAnsi"/>
        </w:rPr>
        <w:t>2</w:t>
      </w:r>
      <w:r w:rsidR="0070701A" w:rsidRPr="007C7C5F">
        <w:rPr>
          <w:rFonts w:asciiTheme="majorHAnsi" w:hAnsiTheme="majorHAnsi" w:cstheme="majorHAnsi"/>
        </w:rPr>
        <w:t>)</w:t>
      </w:r>
    </w:p>
    <w:p w14:paraId="72067705" w14:textId="659C4717" w:rsidR="006152BA" w:rsidRPr="007C7C5F" w:rsidRDefault="00E135B1" w:rsidP="00EA3586">
      <w:pPr>
        <w:rPr>
          <w:rFonts w:asciiTheme="majorHAnsi" w:hAnsiTheme="majorHAnsi" w:cstheme="majorHAnsi"/>
          <w:position w:val="-12"/>
        </w:rPr>
      </w:pPr>
      <w:r w:rsidRPr="007C7C5F">
        <w:rPr>
          <w:rFonts w:asciiTheme="majorHAnsi" w:hAnsiTheme="majorHAnsi" w:cstheme="majorHAnsi"/>
        </w:rPr>
        <w:lastRenderedPageBreak/>
        <w:t>W</w:t>
      </w:r>
      <w:r w:rsidR="0070701A" w:rsidRPr="007C7C5F">
        <w:rPr>
          <w:rFonts w:asciiTheme="majorHAnsi" w:hAnsiTheme="majorHAnsi" w:cstheme="majorHAnsi"/>
        </w:rPr>
        <w:t>here</w:t>
      </w:r>
      <w:r w:rsidRPr="007C7C5F">
        <w:rPr>
          <w:rFonts w:asciiTheme="majorHAnsi" w:hAnsiTheme="majorHAnsi" w:cstheme="majorHAnsi"/>
        </w:rPr>
        <w:t xml:space="preserve"> </w:t>
      </w:r>
      <w:r w:rsidRPr="007C7C5F">
        <w:rPr>
          <w:rFonts w:asciiTheme="majorHAnsi" w:hAnsiTheme="majorHAnsi" w:cstheme="majorHAnsi"/>
          <w:position w:val="-14"/>
        </w:rPr>
        <w:object w:dxaOrig="440" w:dyaOrig="380" w14:anchorId="7CFC5D7F">
          <v:shape id="_x0000_i1026" type="#_x0000_t75" style="width:22.3pt;height:19.25pt" o:ole="">
            <v:imagedata r:id="rId13" o:title=""/>
          </v:shape>
          <o:OLEObject Type="Embed" ProgID="Equation.3" ShapeID="_x0000_i1026" DrawAspect="Content" ObjectID="_1499860760" r:id="rId14"/>
        </w:object>
      </w:r>
      <w:r w:rsidR="0070701A" w:rsidRPr="007C7C5F">
        <w:rPr>
          <w:rFonts w:asciiTheme="majorHAnsi" w:hAnsiTheme="majorHAnsi" w:cstheme="majorHAnsi"/>
        </w:rPr>
        <w:t xml:space="preserve">  is a binary variable </w:t>
      </w:r>
      <w:r w:rsidR="00423F36">
        <w:rPr>
          <w:rFonts w:asciiTheme="majorHAnsi" w:hAnsiTheme="majorHAnsi" w:cstheme="majorHAnsi"/>
        </w:rPr>
        <w:t>assuming</w:t>
      </w:r>
      <w:r w:rsidR="00423F36" w:rsidRPr="007C7C5F">
        <w:rPr>
          <w:rFonts w:asciiTheme="majorHAnsi" w:hAnsiTheme="majorHAnsi" w:cstheme="majorHAnsi"/>
        </w:rPr>
        <w:t xml:space="preserve"> </w:t>
      </w:r>
      <w:r w:rsidR="0070701A" w:rsidRPr="007C7C5F">
        <w:rPr>
          <w:rFonts w:asciiTheme="majorHAnsi" w:hAnsiTheme="majorHAnsi" w:cstheme="majorHAnsi"/>
        </w:rPr>
        <w:t>the value of 1 if mitigation measure</w:t>
      </w:r>
      <w:r w:rsidRPr="007C7C5F">
        <w:rPr>
          <w:rFonts w:asciiTheme="majorHAnsi" w:hAnsiTheme="majorHAnsi" w:cstheme="majorHAnsi"/>
        </w:rPr>
        <w:t xml:space="preserve"> </w:t>
      </w:r>
      <w:r w:rsidRPr="007C7C5F">
        <w:rPr>
          <w:rFonts w:asciiTheme="majorHAnsi" w:hAnsiTheme="majorHAnsi" w:cstheme="majorHAnsi"/>
          <w:position w:val="-6"/>
        </w:rPr>
        <w:object w:dxaOrig="260" w:dyaOrig="220" w14:anchorId="478B9D87">
          <v:shape id="_x0000_i1027" type="#_x0000_t75" style="width:12.7pt;height:10.15pt" o:ole="">
            <v:imagedata r:id="rId15" o:title=""/>
          </v:shape>
          <o:OLEObject Type="Embed" ProgID="Equation.3" ShapeID="_x0000_i1027" DrawAspect="Content" ObjectID="_1499860761" r:id="rId16"/>
        </w:object>
      </w:r>
      <w:r w:rsidR="0070701A" w:rsidRPr="007C7C5F">
        <w:rPr>
          <w:rFonts w:asciiTheme="majorHAnsi" w:hAnsiTheme="majorHAnsi" w:cstheme="majorHAnsi"/>
        </w:rPr>
        <w:t xml:space="preserve"> is selected at source    </w:t>
      </w:r>
      <w:r w:rsidRPr="007C7C5F">
        <w:rPr>
          <w:rFonts w:asciiTheme="majorHAnsi" w:hAnsiTheme="majorHAnsi" w:cstheme="majorHAnsi"/>
          <w:position w:val="-6"/>
        </w:rPr>
        <w:object w:dxaOrig="180" w:dyaOrig="220" w14:anchorId="57DC79D1">
          <v:shape id="_x0000_i1028" type="#_x0000_t75" style="width:9.15pt;height:10.15pt" o:ole="">
            <v:imagedata r:id="rId17" o:title=""/>
          </v:shape>
          <o:OLEObject Type="Embed" ProgID="Equation.3" ShapeID="_x0000_i1028" DrawAspect="Content" ObjectID="_1499860762" r:id="rId18"/>
        </w:object>
      </w:r>
      <w:r w:rsidR="0070701A" w:rsidRPr="007C7C5F">
        <w:rPr>
          <w:rFonts w:asciiTheme="majorHAnsi" w:hAnsiTheme="majorHAnsi" w:cstheme="majorHAnsi"/>
        </w:rPr>
        <w:t xml:space="preserve">and 0 if the measure is not selected; </w:t>
      </w:r>
      <w:r w:rsidRPr="007C7C5F">
        <w:rPr>
          <w:rFonts w:asciiTheme="majorHAnsi" w:hAnsiTheme="majorHAnsi" w:cstheme="majorHAnsi"/>
          <w:position w:val="-14"/>
        </w:rPr>
        <w:object w:dxaOrig="460" w:dyaOrig="380" w14:anchorId="69370BB8">
          <v:shape id="_x0000_i1029" type="#_x0000_t75" style="width:22.8pt;height:19.25pt" o:ole="">
            <v:imagedata r:id="rId19" o:title=""/>
          </v:shape>
          <o:OLEObject Type="Embed" ProgID="Equation.3" ShapeID="_x0000_i1029" DrawAspect="Content" ObjectID="_1499860763" r:id="rId20"/>
        </w:object>
      </w:r>
      <w:r w:rsidR="0070701A" w:rsidRPr="007C7C5F">
        <w:rPr>
          <w:rFonts w:asciiTheme="majorHAnsi" w:hAnsiTheme="majorHAnsi" w:cstheme="majorHAnsi"/>
        </w:rPr>
        <w:t xml:space="preserve"> is the total cost (£/year) of </w:t>
      </w:r>
      <w:r w:rsidR="00423F36">
        <w:rPr>
          <w:rFonts w:asciiTheme="majorHAnsi" w:hAnsiTheme="majorHAnsi" w:cstheme="majorHAnsi"/>
        </w:rPr>
        <w:t>putting</w:t>
      </w:r>
      <w:r w:rsidR="00423F36" w:rsidRPr="007C7C5F">
        <w:rPr>
          <w:rFonts w:asciiTheme="majorHAnsi" w:hAnsiTheme="majorHAnsi" w:cstheme="majorHAnsi"/>
        </w:rPr>
        <w:t xml:space="preserve"> </w:t>
      </w:r>
      <w:r w:rsidR="0070701A" w:rsidRPr="007C7C5F">
        <w:rPr>
          <w:rFonts w:asciiTheme="majorHAnsi" w:hAnsiTheme="majorHAnsi" w:cstheme="majorHAnsi"/>
        </w:rPr>
        <w:t xml:space="preserve">measure </w:t>
      </w:r>
      <w:r w:rsidRPr="007C7C5F">
        <w:rPr>
          <w:rFonts w:asciiTheme="majorHAnsi" w:hAnsiTheme="majorHAnsi" w:cstheme="majorHAnsi"/>
          <w:position w:val="-6"/>
        </w:rPr>
        <w:object w:dxaOrig="260" w:dyaOrig="220" w14:anchorId="7868AF89">
          <v:shape id="_x0000_i1030" type="#_x0000_t75" style="width:12.7pt;height:10.15pt" o:ole="">
            <v:imagedata r:id="rId21" o:title=""/>
          </v:shape>
          <o:OLEObject Type="Embed" ProgID="Equation.3" ShapeID="_x0000_i1030" DrawAspect="Content" ObjectID="_1499860764" r:id="rId22"/>
        </w:object>
      </w:r>
      <w:r w:rsidR="0070701A" w:rsidRPr="007C7C5F">
        <w:rPr>
          <w:rFonts w:asciiTheme="majorHAnsi" w:hAnsiTheme="majorHAnsi" w:cstheme="majorHAnsi"/>
        </w:rPr>
        <w:t xml:space="preserve">at source </w:t>
      </w:r>
      <w:r w:rsidR="00EA3586" w:rsidRPr="007C7C5F">
        <w:rPr>
          <w:rFonts w:asciiTheme="majorHAnsi" w:hAnsiTheme="majorHAnsi" w:cstheme="majorHAnsi"/>
          <w:position w:val="-6"/>
        </w:rPr>
        <w:object w:dxaOrig="180" w:dyaOrig="220" w14:anchorId="2C24D0EE">
          <v:shape id="_x0000_i1031" type="#_x0000_t75" style="width:9.15pt;height:10.15pt" o:ole="">
            <v:imagedata r:id="rId23" o:title=""/>
          </v:shape>
          <o:OLEObject Type="Embed" ProgID="Equation.3" ShapeID="_x0000_i1031" DrawAspect="Content" ObjectID="_1499860765" r:id="rId24"/>
        </w:object>
      </w:r>
      <w:r w:rsidR="0070701A" w:rsidRPr="007C7C5F">
        <w:rPr>
          <w:rFonts w:asciiTheme="majorHAnsi" w:hAnsiTheme="majorHAnsi" w:cstheme="majorHAnsi"/>
        </w:rPr>
        <w:t xml:space="preserve">; </w:t>
      </w:r>
      <w:r w:rsidR="00EA3586" w:rsidRPr="007C7C5F">
        <w:rPr>
          <w:rFonts w:asciiTheme="majorHAnsi" w:hAnsiTheme="majorHAnsi" w:cstheme="majorHAnsi"/>
          <w:position w:val="-12"/>
        </w:rPr>
        <w:object w:dxaOrig="300" w:dyaOrig="360" w14:anchorId="3C57CC03">
          <v:shape id="_x0000_i1032" type="#_x0000_t75" style="width:15.2pt;height:18.75pt" o:ole="">
            <v:imagedata r:id="rId25" o:title=""/>
          </v:shape>
          <o:OLEObject Type="Embed" ProgID="Equation.3" ShapeID="_x0000_i1032" DrawAspect="Content" ObjectID="_1499860766" r:id="rId26"/>
        </w:object>
      </w:r>
      <w:r w:rsidR="0070701A" w:rsidRPr="007C7C5F">
        <w:rPr>
          <w:rFonts w:asciiTheme="majorHAnsi" w:hAnsiTheme="majorHAnsi" w:cstheme="majorHAnsi"/>
        </w:rPr>
        <w:t xml:space="preserve">is the </w:t>
      </w:r>
      <w:r w:rsidR="00423F36">
        <w:rPr>
          <w:rFonts w:asciiTheme="majorHAnsi" w:hAnsiTheme="majorHAnsi" w:cstheme="majorHAnsi"/>
        </w:rPr>
        <w:t>amount</w:t>
      </w:r>
      <w:r w:rsidR="00423F36" w:rsidRPr="007C7C5F">
        <w:rPr>
          <w:rFonts w:asciiTheme="majorHAnsi" w:hAnsiTheme="majorHAnsi" w:cstheme="majorHAnsi"/>
        </w:rPr>
        <w:t xml:space="preserve"> </w:t>
      </w:r>
      <w:r w:rsidR="0070701A" w:rsidRPr="007C7C5F">
        <w:rPr>
          <w:rFonts w:asciiTheme="majorHAnsi" w:hAnsiTheme="majorHAnsi" w:cstheme="majorHAnsi"/>
        </w:rPr>
        <w:t xml:space="preserve">of nutrient load entering into the water body  without measure </w:t>
      </w:r>
      <w:r w:rsidR="00EA3586" w:rsidRPr="007C7C5F">
        <w:rPr>
          <w:rFonts w:asciiTheme="majorHAnsi" w:hAnsiTheme="majorHAnsi" w:cstheme="majorHAnsi"/>
          <w:position w:val="-6"/>
        </w:rPr>
        <w:object w:dxaOrig="260" w:dyaOrig="220" w14:anchorId="47E20351">
          <v:shape id="_x0000_i1033" type="#_x0000_t75" style="width:12.7pt;height:10.15pt" o:ole="">
            <v:imagedata r:id="rId27" o:title=""/>
          </v:shape>
          <o:OLEObject Type="Embed" ProgID="Equation.3" ShapeID="_x0000_i1033" DrawAspect="Content" ObjectID="_1499860767" r:id="rId28"/>
        </w:object>
      </w:r>
      <w:r w:rsidR="00EA3586" w:rsidRPr="007C7C5F">
        <w:rPr>
          <w:rFonts w:asciiTheme="majorHAnsi" w:hAnsiTheme="majorHAnsi" w:cstheme="majorHAnsi"/>
        </w:rPr>
        <w:t xml:space="preserve"> </w:t>
      </w:r>
      <w:r w:rsidR="0070701A" w:rsidRPr="007C7C5F">
        <w:rPr>
          <w:rFonts w:asciiTheme="majorHAnsi" w:hAnsiTheme="majorHAnsi" w:cstheme="majorHAnsi"/>
        </w:rPr>
        <w:t xml:space="preserve"> (i.e. the reference state); </w:t>
      </w:r>
      <w:r w:rsidR="00111248" w:rsidRPr="007C7C5F">
        <w:rPr>
          <w:rFonts w:asciiTheme="majorHAnsi" w:hAnsiTheme="majorHAnsi" w:cstheme="majorHAnsi"/>
          <w:position w:val="-14"/>
        </w:rPr>
        <w:object w:dxaOrig="440" w:dyaOrig="380" w14:anchorId="4B25A281">
          <v:shape id="_x0000_i1034" type="#_x0000_t75" style="width:22.3pt;height:19.25pt" o:ole="">
            <v:imagedata r:id="rId29" o:title=""/>
          </v:shape>
          <o:OLEObject Type="Embed" ProgID="Equation.3" ShapeID="_x0000_i1034" DrawAspect="Content" ObjectID="_1499860768" r:id="rId30"/>
        </w:object>
      </w:r>
      <w:r w:rsidR="0070701A" w:rsidRPr="007C7C5F">
        <w:rPr>
          <w:rFonts w:asciiTheme="majorHAnsi" w:hAnsiTheme="majorHAnsi" w:cstheme="majorHAnsi"/>
        </w:rPr>
        <w:t xml:space="preserve"> is the efficiency of measure ‘m’ in reducing the nutrient load; and  </w:t>
      </w:r>
      <w:r w:rsidR="00B944AF" w:rsidRPr="007C7C5F">
        <w:rPr>
          <w:rFonts w:asciiTheme="majorHAnsi" w:hAnsiTheme="majorHAnsi" w:cstheme="majorHAnsi"/>
          <w:position w:val="-10"/>
        </w:rPr>
        <w:object w:dxaOrig="240" w:dyaOrig="320" w14:anchorId="66E113B5">
          <v:shape id="_x0000_i1035" type="#_x0000_t75" style="width:12.15pt;height:15.7pt" o:ole="">
            <v:imagedata r:id="rId31" o:title=""/>
          </v:shape>
          <o:OLEObject Type="Embed" ProgID="Equation.3" ShapeID="_x0000_i1035" DrawAspect="Content" ObjectID="_1499860769" r:id="rId32"/>
        </w:object>
      </w:r>
      <w:r w:rsidR="00EA3586" w:rsidRPr="007C7C5F">
        <w:rPr>
          <w:rFonts w:asciiTheme="majorHAnsi" w:hAnsiTheme="majorHAnsi" w:cstheme="majorHAnsi"/>
        </w:rPr>
        <w:t xml:space="preserve"> </w:t>
      </w:r>
      <w:r w:rsidR="0070701A" w:rsidRPr="007C7C5F">
        <w:rPr>
          <w:rFonts w:asciiTheme="majorHAnsi" w:hAnsiTheme="majorHAnsi" w:cstheme="majorHAnsi"/>
        </w:rPr>
        <w:t>denotes the nutrient load beyond which the water body fail</w:t>
      </w:r>
      <w:r w:rsidR="00423F36">
        <w:rPr>
          <w:rFonts w:asciiTheme="majorHAnsi" w:hAnsiTheme="majorHAnsi" w:cstheme="majorHAnsi"/>
        </w:rPr>
        <w:t>s</w:t>
      </w:r>
      <w:r w:rsidR="0070701A" w:rsidRPr="007C7C5F">
        <w:rPr>
          <w:rFonts w:asciiTheme="majorHAnsi" w:hAnsiTheme="majorHAnsi" w:cstheme="majorHAnsi"/>
        </w:rPr>
        <w:t xml:space="preserve"> to achieve the </w:t>
      </w:r>
      <w:r w:rsidR="00423F36">
        <w:rPr>
          <w:rFonts w:asciiTheme="majorHAnsi" w:hAnsiTheme="majorHAnsi" w:cstheme="majorHAnsi"/>
        </w:rPr>
        <w:t xml:space="preserve">pre-set </w:t>
      </w:r>
      <w:r w:rsidR="0070701A" w:rsidRPr="007C7C5F">
        <w:rPr>
          <w:rFonts w:asciiTheme="majorHAnsi" w:hAnsiTheme="majorHAnsi" w:cstheme="majorHAnsi"/>
        </w:rPr>
        <w:t xml:space="preserve">environmental </w:t>
      </w:r>
      <w:r w:rsidR="00423F36">
        <w:rPr>
          <w:rFonts w:asciiTheme="majorHAnsi" w:hAnsiTheme="majorHAnsi" w:cstheme="majorHAnsi"/>
        </w:rPr>
        <w:t>objective in</w:t>
      </w:r>
      <w:r w:rsidR="0070701A" w:rsidRPr="007C7C5F">
        <w:rPr>
          <w:rFonts w:asciiTheme="majorHAnsi" w:hAnsiTheme="majorHAnsi" w:cstheme="majorHAnsi"/>
        </w:rPr>
        <w:t xml:space="preserve"> the WFD</w:t>
      </w:r>
      <w:r w:rsidR="00423F36">
        <w:rPr>
          <w:rFonts w:asciiTheme="majorHAnsi" w:hAnsiTheme="majorHAnsi" w:cstheme="majorHAnsi"/>
        </w:rPr>
        <w:t>.</w:t>
      </w:r>
      <w:r w:rsidRPr="007C7C5F">
        <w:rPr>
          <w:rFonts w:asciiTheme="majorHAnsi" w:hAnsiTheme="majorHAnsi" w:cstheme="majorHAnsi"/>
        </w:rPr>
        <w:t xml:space="preserve"> </w:t>
      </w:r>
      <w:r w:rsidR="00EA3586" w:rsidRPr="007C7C5F">
        <w:rPr>
          <w:rFonts w:asciiTheme="majorHAnsi" w:hAnsiTheme="majorHAnsi" w:cstheme="majorHAnsi"/>
        </w:rPr>
        <w:t xml:space="preserve"> </w:t>
      </w:r>
      <w:r w:rsidRPr="007C7C5F">
        <w:rPr>
          <w:rFonts w:asciiTheme="majorHAnsi" w:hAnsiTheme="majorHAnsi" w:cstheme="majorHAnsi"/>
        </w:rPr>
        <w:t>Equation 3 gives the constraints that must hold.</w:t>
      </w:r>
    </w:p>
    <w:p w14:paraId="7D10F10D" w14:textId="7F248A86" w:rsidR="006152BA" w:rsidRPr="007C7C5F" w:rsidRDefault="006152BA" w:rsidP="006152BA">
      <w:pPr>
        <w:spacing w:before="120" w:after="240" w:line="360" w:lineRule="auto"/>
        <w:jc w:val="both"/>
        <w:rPr>
          <w:rFonts w:asciiTheme="majorHAnsi" w:hAnsiTheme="majorHAnsi" w:cstheme="majorHAnsi"/>
        </w:rPr>
      </w:pPr>
      <w:r w:rsidRPr="007C7C5F">
        <w:rPr>
          <w:rFonts w:asciiTheme="majorHAnsi" w:hAnsiTheme="majorHAnsi" w:cstheme="majorHAnsi"/>
          <w:noProof/>
          <w:position w:val="-28"/>
          <w:lang w:eastAsia="en-GB"/>
        </w:rPr>
        <w:drawing>
          <wp:inline distT="0" distB="0" distL="0" distR="0" wp14:anchorId="28A2516B" wp14:editId="761A3F99">
            <wp:extent cx="9810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r w:rsidR="00B944AF" w:rsidRPr="007C7C5F">
        <w:rPr>
          <w:rFonts w:asciiTheme="majorHAnsi" w:hAnsiTheme="majorHAnsi" w:cstheme="majorHAnsi"/>
          <w:position w:val="-12"/>
        </w:rPr>
        <w:t xml:space="preserve"> </w:t>
      </w:r>
      <w:proofErr w:type="gramStart"/>
      <w:r w:rsidR="00B944AF" w:rsidRPr="007C7C5F">
        <w:rPr>
          <w:rFonts w:asciiTheme="majorHAnsi" w:hAnsiTheme="majorHAnsi" w:cstheme="majorHAnsi"/>
          <w:position w:val="-12"/>
        </w:rPr>
        <w:t>and</w:t>
      </w:r>
      <w:proofErr w:type="gramEnd"/>
      <w:r w:rsidR="00B944AF" w:rsidRPr="007C7C5F">
        <w:rPr>
          <w:rFonts w:asciiTheme="majorHAnsi" w:hAnsiTheme="majorHAnsi" w:cstheme="majorHAnsi"/>
          <w:position w:val="-12"/>
        </w:rPr>
        <w:t xml:space="preserve"> </w:t>
      </w:r>
      <w:r w:rsidRPr="007C7C5F">
        <w:rPr>
          <w:rFonts w:asciiTheme="majorHAnsi" w:hAnsiTheme="majorHAnsi" w:cstheme="majorHAnsi"/>
          <w:noProof/>
          <w:position w:val="-14"/>
          <w:lang w:eastAsia="en-GB"/>
        </w:rPr>
        <w:drawing>
          <wp:inline distT="0" distB="0" distL="0" distR="0" wp14:anchorId="6806C698" wp14:editId="66FD925A">
            <wp:extent cx="1190625" cy="2190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0070701A" w:rsidRPr="007C7C5F">
        <w:rPr>
          <w:rFonts w:asciiTheme="majorHAnsi" w:hAnsiTheme="majorHAnsi" w:cstheme="majorHAnsi"/>
          <w:position w:val="-12"/>
        </w:rPr>
        <w:tab/>
      </w:r>
      <w:r w:rsidR="001212F1" w:rsidRPr="007C7C5F">
        <w:rPr>
          <w:rFonts w:asciiTheme="majorHAnsi" w:hAnsiTheme="majorHAnsi" w:cstheme="majorHAnsi"/>
          <w:position w:val="-12"/>
        </w:rPr>
        <w:t>…………………..………………………..(</w:t>
      </w:r>
      <w:r w:rsidR="00397BB7" w:rsidRPr="007C7C5F">
        <w:rPr>
          <w:rFonts w:asciiTheme="majorHAnsi" w:hAnsiTheme="majorHAnsi" w:cstheme="majorHAnsi"/>
          <w:position w:val="-12"/>
        </w:rPr>
        <w:t>3</w:t>
      </w:r>
      <w:r w:rsidR="0070701A" w:rsidRPr="007C7C5F">
        <w:rPr>
          <w:rFonts w:asciiTheme="majorHAnsi" w:hAnsiTheme="majorHAnsi" w:cstheme="majorHAnsi"/>
          <w:position w:val="-12"/>
        </w:rPr>
        <w:t>)</w:t>
      </w:r>
    </w:p>
    <w:bookmarkEnd w:id="3"/>
    <w:p w14:paraId="4EBD0393" w14:textId="7191B5B6" w:rsidR="00F86B10" w:rsidRPr="007C7C5F" w:rsidRDefault="00E1330E" w:rsidP="0019572B">
      <w:pPr>
        <w:pStyle w:val="Heading1"/>
        <w:jc w:val="both"/>
        <w:rPr>
          <w:rFonts w:asciiTheme="majorHAnsi" w:hAnsiTheme="majorHAnsi" w:cstheme="majorHAnsi"/>
          <w:color w:val="auto"/>
        </w:rPr>
      </w:pPr>
      <w:r w:rsidRPr="007C7C5F">
        <w:rPr>
          <w:rFonts w:asciiTheme="majorHAnsi" w:hAnsiTheme="majorHAnsi" w:cstheme="majorHAnsi"/>
          <w:color w:val="auto"/>
        </w:rPr>
        <w:t>Results</w:t>
      </w:r>
    </w:p>
    <w:p w14:paraId="28A6212F" w14:textId="0E0B6F87" w:rsidR="00F070A3" w:rsidRPr="007C7C5F" w:rsidRDefault="00F070A3" w:rsidP="00DF69A3">
      <w:pPr>
        <w:pStyle w:val="Heading2"/>
        <w:rPr>
          <w:rFonts w:asciiTheme="majorHAnsi" w:hAnsiTheme="majorHAnsi" w:cstheme="majorHAnsi"/>
        </w:rPr>
      </w:pPr>
      <w:bookmarkStart w:id="13" w:name="_Toc368665221"/>
      <w:r w:rsidRPr="007C7C5F">
        <w:rPr>
          <w:rFonts w:asciiTheme="majorHAnsi" w:hAnsiTheme="majorHAnsi" w:cstheme="majorHAnsi"/>
        </w:rPr>
        <w:t>Effectiveness</w:t>
      </w:r>
      <w:r w:rsidR="005E48E5" w:rsidRPr="007C7C5F">
        <w:rPr>
          <w:rFonts w:asciiTheme="majorHAnsi" w:hAnsiTheme="majorHAnsi" w:cstheme="majorHAnsi"/>
        </w:rPr>
        <w:t xml:space="preserve"> of </w:t>
      </w:r>
      <w:r w:rsidR="005917E6" w:rsidRPr="007C7C5F">
        <w:rPr>
          <w:rFonts w:asciiTheme="majorHAnsi" w:hAnsiTheme="majorHAnsi" w:cstheme="majorHAnsi"/>
        </w:rPr>
        <w:t xml:space="preserve">N </w:t>
      </w:r>
      <w:r w:rsidR="005E48E5" w:rsidRPr="007C7C5F">
        <w:rPr>
          <w:rFonts w:asciiTheme="majorHAnsi" w:hAnsiTheme="majorHAnsi" w:cstheme="majorHAnsi"/>
        </w:rPr>
        <w:t>measures</w:t>
      </w:r>
      <w:bookmarkEnd w:id="13"/>
      <w:r w:rsidR="00BA7933" w:rsidRPr="007C7C5F">
        <w:rPr>
          <w:rFonts w:asciiTheme="majorHAnsi" w:hAnsiTheme="majorHAnsi" w:cstheme="majorHAnsi"/>
        </w:rPr>
        <w:t xml:space="preserve"> </w:t>
      </w:r>
    </w:p>
    <w:p w14:paraId="70B870AE" w14:textId="6F04B1A9" w:rsidR="00FB353F" w:rsidRPr="007C7C5F" w:rsidRDefault="00F070A3" w:rsidP="0019572B">
      <w:pPr>
        <w:jc w:val="both"/>
        <w:rPr>
          <w:rFonts w:asciiTheme="majorHAnsi" w:hAnsiTheme="majorHAnsi" w:cstheme="majorHAnsi"/>
        </w:rPr>
      </w:pPr>
      <w:r w:rsidRPr="007C7C5F">
        <w:rPr>
          <w:rFonts w:asciiTheme="majorHAnsi" w:hAnsiTheme="majorHAnsi" w:cstheme="majorHAnsi"/>
        </w:rPr>
        <w:t xml:space="preserve">The baseline model </w:t>
      </w:r>
      <w:r w:rsidR="00D159EC" w:rsidRPr="007C7C5F">
        <w:rPr>
          <w:rFonts w:asciiTheme="majorHAnsi" w:hAnsiTheme="majorHAnsi" w:cstheme="majorHAnsi"/>
        </w:rPr>
        <w:t xml:space="preserve">simulations indicate </w:t>
      </w:r>
      <w:r w:rsidRPr="007C7C5F">
        <w:rPr>
          <w:rFonts w:asciiTheme="majorHAnsi" w:hAnsiTheme="majorHAnsi" w:cstheme="majorHAnsi"/>
        </w:rPr>
        <w:t xml:space="preserve">that the total catchment </w:t>
      </w:r>
      <w:r w:rsidR="004272C5" w:rsidRPr="007C7C5F">
        <w:rPr>
          <w:rFonts w:asciiTheme="majorHAnsi" w:hAnsiTheme="majorHAnsi" w:cstheme="majorHAnsi"/>
        </w:rPr>
        <w:t xml:space="preserve">nitrate </w:t>
      </w:r>
      <w:r w:rsidRPr="007C7C5F">
        <w:rPr>
          <w:rFonts w:asciiTheme="majorHAnsi" w:hAnsiTheme="majorHAnsi" w:cstheme="majorHAnsi"/>
        </w:rPr>
        <w:t xml:space="preserve">loss is </w:t>
      </w:r>
      <w:r w:rsidR="004272C5" w:rsidRPr="007C7C5F">
        <w:rPr>
          <w:rFonts w:asciiTheme="majorHAnsi" w:hAnsiTheme="majorHAnsi" w:cstheme="majorHAnsi"/>
        </w:rPr>
        <w:t xml:space="preserve">around </w:t>
      </w:r>
      <w:r w:rsidR="00D159EC" w:rsidRPr="007C7C5F">
        <w:rPr>
          <w:rFonts w:asciiTheme="majorHAnsi" w:hAnsiTheme="majorHAnsi" w:cstheme="majorHAnsi"/>
        </w:rPr>
        <w:t>114 tonnes</w:t>
      </w:r>
      <w:r w:rsidRPr="007C7C5F">
        <w:rPr>
          <w:rFonts w:asciiTheme="majorHAnsi" w:hAnsiTheme="majorHAnsi" w:cstheme="majorHAnsi"/>
        </w:rPr>
        <w:t>/year</w:t>
      </w:r>
      <w:r w:rsidR="00D159EC" w:rsidRPr="007C7C5F">
        <w:rPr>
          <w:rFonts w:asciiTheme="majorHAnsi" w:hAnsiTheme="majorHAnsi" w:cstheme="majorHAnsi"/>
        </w:rPr>
        <w:t>, which equates to 16.1 kg</w:t>
      </w:r>
      <w:r w:rsidR="004272C5" w:rsidRPr="007C7C5F">
        <w:rPr>
          <w:rFonts w:asciiTheme="majorHAnsi" w:hAnsiTheme="majorHAnsi" w:cstheme="majorHAnsi"/>
        </w:rPr>
        <w:t xml:space="preserve"> NO</w:t>
      </w:r>
      <w:r w:rsidR="004272C5" w:rsidRPr="007C7C5F">
        <w:rPr>
          <w:rFonts w:asciiTheme="majorHAnsi" w:hAnsiTheme="majorHAnsi" w:cstheme="majorHAnsi"/>
          <w:vertAlign w:val="subscript"/>
        </w:rPr>
        <w:t>3</w:t>
      </w:r>
      <w:r w:rsidR="004272C5" w:rsidRPr="007C7C5F">
        <w:rPr>
          <w:rFonts w:asciiTheme="majorHAnsi" w:hAnsiTheme="majorHAnsi" w:cstheme="majorHAnsi"/>
        </w:rPr>
        <w:t>-N</w:t>
      </w:r>
      <w:r w:rsidR="00D159EC" w:rsidRPr="007C7C5F">
        <w:rPr>
          <w:rFonts w:asciiTheme="majorHAnsi" w:hAnsiTheme="majorHAnsi" w:cstheme="majorHAnsi"/>
        </w:rPr>
        <w:t xml:space="preserve"> ha</w:t>
      </w:r>
      <w:r w:rsidR="00D159EC" w:rsidRPr="007C7C5F">
        <w:rPr>
          <w:rFonts w:asciiTheme="majorHAnsi" w:hAnsiTheme="majorHAnsi" w:cstheme="majorHAnsi"/>
          <w:vertAlign w:val="superscript"/>
        </w:rPr>
        <w:t>-1</w:t>
      </w:r>
      <w:r w:rsidR="00484E84" w:rsidRPr="007C7C5F">
        <w:rPr>
          <w:rFonts w:asciiTheme="majorHAnsi" w:hAnsiTheme="majorHAnsi" w:cstheme="majorHAnsi"/>
          <w:vertAlign w:val="superscript"/>
        </w:rPr>
        <w:t xml:space="preserve"> </w:t>
      </w:r>
      <w:r w:rsidR="00484E84" w:rsidRPr="007C7C5F">
        <w:rPr>
          <w:rFonts w:asciiTheme="majorHAnsi" w:hAnsiTheme="majorHAnsi" w:cstheme="majorHAnsi"/>
        </w:rPr>
        <w:t>y</w:t>
      </w:r>
      <w:r w:rsidR="00484E84" w:rsidRPr="007C7C5F">
        <w:rPr>
          <w:rFonts w:asciiTheme="majorHAnsi" w:hAnsiTheme="majorHAnsi" w:cstheme="majorHAnsi"/>
          <w:vertAlign w:val="superscript"/>
        </w:rPr>
        <w:t>-1</w:t>
      </w:r>
      <w:r w:rsidRPr="007C7C5F">
        <w:rPr>
          <w:rFonts w:asciiTheme="majorHAnsi" w:hAnsiTheme="majorHAnsi" w:cstheme="majorHAnsi"/>
        </w:rPr>
        <w:t>. Source apportionment of the total loading indicate</w:t>
      </w:r>
      <w:r w:rsidR="00D159EC" w:rsidRPr="007C7C5F">
        <w:rPr>
          <w:rFonts w:asciiTheme="majorHAnsi" w:hAnsiTheme="majorHAnsi" w:cstheme="majorHAnsi"/>
        </w:rPr>
        <w:t>s</w:t>
      </w:r>
      <w:r w:rsidRPr="007C7C5F">
        <w:rPr>
          <w:rFonts w:asciiTheme="majorHAnsi" w:hAnsiTheme="majorHAnsi" w:cstheme="majorHAnsi"/>
        </w:rPr>
        <w:t xml:space="preserve"> that </w:t>
      </w:r>
      <w:r w:rsidR="00477892" w:rsidRPr="007C7C5F">
        <w:rPr>
          <w:rFonts w:asciiTheme="majorHAnsi" w:hAnsiTheme="majorHAnsi" w:cstheme="majorHAnsi"/>
        </w:rPr>
        <w:t xml:space="preserve">around </w:t>
      </w:r>
      <w:r w:rsidRPr="007C7C5F">
        <w:rPr>
          <w:rFonts w:asciiTheme="majorHAnsi" w:hAnsiTheme="majorHAnsi" w:cstheme="majorHAnsi"/>
        </w:rPr>
        <w:t xml:space="preserve">52, </w:t>
      </w:r>
      <w:r w:rsidR="00477892" w:rsidRPr="007C7C5F">
        <w:rPr>
          <w:rFonts w:asciiTheme="majorHAnsi" w:hAnsiTheme="majorHAnsi" w:cstheme="majorHAnsi"/>
        </w:rPr>
        <w:t>50</w:t>
      </w:r>
      <w:r w:rsidRPr="007C7C5F">
        <w:rPr>
          <w:rFonts w:asciiTheme="majorHAnsi" w:hAnsiTheme="majorHAnsi" w:cstheme="majorHAnsi"/>
        </w:rPr>
        <w:t xml:space="preserve"> and 22 </w:t>
      </w:r>
      <w:r w:rsidR="00397BB7" w:rsidRPr="007C7C5F">
        <w:rPr>
          <w:rFonts w:asciiTheme="majorHAnsi" w:hAnsiTheme="majorHAnsi" w:cstheme="majorHAnsi"/>
        </w:rPr>
        <w:t xml:space="preserve">tonnes </w:t>
      </w:r>
      <w:r w:rsidRPr="007C7C5F">
        <w:rPr>
          <w:rFonts w:asciiTheme="majorHAnsi" w:hAnsiTheme="majorHAnsi" w:cstheme="majorHAnsi"/>
        </w:rPr>
        <w:t xml:space="preserve">of </w:t>
      </w:r>
      <w:r w:rsidR="004272C5" w:rsidRPr="007C7C5F">
        <w:rPr>
          <w:rFonts w:asciiTheme="majorHAnsi" w:hAnsiTheme="majorHAnsi" w:cstheme="majorHAnsi"/>
        </w:rPr>
        <w:t xml:space="preserve">nitrate </w:t>
      </w:r>
      <w:r w:rsidRPr="007C7C5F">
        <w:rPr>
          <w:rFonts w:asciiTheme="majorHAnsi" w:hAnsiTheme="majorHAnsi" w:cstheme="majorHAnsi"/>
        </w:rPr>
        <w:t>come from arable crops, improved grasslands, and other land</w:t>
      </w:r>
      <w:r w:rsidR="00060789" w:rsidRPr="007C7C5F">
        <w:rPr>
          <w:rFonts w:asciiTheme="majorHAnsi" w:hAnsiTheme="majorHAnsi" w:cstheme="majorHAnsi"/>
        </w:rPr>
        <w:t xml:space="preserve"> uses</w:t>
      </w:r>
      <w:r w:rsidRPr="007C7C5F">
        <w:rPr>
          <w:rFonts w:asciiTheme="majorHAnsi" w:hAnsiTheme="majorHAnsi" w:cstheme="majorHAnsi"/>
        </w:rPr>
        <w:t xml:space="preserve"> respectively. In terms </w:t>
      </w:r>
      <w:r w:rsidR="005E48E5" w:rsidRPr="007C7C5F">
        <w:rPr>
          <w:rFonts w:asciiTheme="majorHAnsi" w:hAnsiTheme="majorHAnsi" w:cstheme="majorHAnsi"/>
        </w:rPr>
        <w:t xml:space="preserve">of </w:t>
      </w:r>
      <w:r w:rsidR="004272C5" w:rsidRPr="007C7C5F">
        <w:rPr>
          <w:rFonts w:asciiTheme="majorHAnsi" w:hAnsiTheme="majorHAnsi" w:cstheme="majorHAnsi"/>
        </w:rPr>
        <w:t xml:space="preserve">nitrate-N </w:t>
      </w:r>
      <w:r w:rsidR="00060789" w:rsidRPr="007C7C5F">
        <w:rPr>
          <w:rFonts w:asciiTheme="majorHAnsi" w:hAnsiTheme="majorHAnsi" w:cstheme="majorHAnsi"/>
        </w:rPr>
        <w:t xml:space="preserve">leaching </w:t>
      </w:r>
      <w:r w:rsidRPr="007C7C5F">
        <w:rPr>
          <w:rFonts w:asciiTheme="majorHAnsi" w:hAnsiTheme="majorHAnsi" w:cstheme="majorHAnsi"/>
        </w:rPr>
        <w:t>per unit area</w:t>
      </w:r>
      <w:r w:rsidR="00397BB7" w:rsidRPr="007C7C5F">
        <w:rPr>
          <w:rFonts w:asciiTheme="majorHAnsi" w:hAnsiTheme="majorHAnsi" w:cstheme="majorHAnsi"/>
        </w:rPr>
        <w:t>,</w:t>
      </w:r>
      <w:r w:rsidRPr="007C7C5F">
        <w:rPr>
          <w:rFonts w:asciiTheme="majorHAnsi" w:hAnsiTheme="majorHAnsi" w:cstheme="majorHAnsi"/>
        </w:rPr>
        <w:t xml:space="preserve"> </w:t>
      </w:r>
      <w:r w:rsidR="00484E84" w:rsidRPr="007C7C5F">
        <w:rPr>
          <w:rFonts w:asciiTheme="majorHAnsi" w:hAnsiTheme="majorHAnsi" w:cstheme="majorHAnsi"/>
        </w:rPr>
        <w:t>arable land has the greatest losses</w:t>
      </w:r>
      <w:r w:rsidR="00397BB7" w:rsidRPr="007C7C5F">
        <w:rPr>
          <w:rFonts w:asciiTheme="majorHAnsi" w:hAnsiTheme="majorHAnsi" w:cstheme="majorHAnsi"/>
        </w:rPr>
        <w:t>,</w:t>
      </w:r>
      <w:r w:rsidR="00484E84" w:rsidRPr="007C7C5F">
        <w:rPr>
          <w:rFonts w:asciiTheme="majorHAnsi" w:hAnsiTheme="majorHAnsi" w:cstheme="majorHAnsi"/>
        </w:rPr>
        <w:t xml:space="preserve"> averaging</w:t>
      </w:r>
      <w:r w:rsidRPr="007C7C5F">
        <w:rPr>
          <w:rFonts w:asciiTheme="majorHAnsi" w:hAnsiTheme="majorHAnsi" w:cstheme="majorHAnsi"/>
        </w:rPr>
        <w:t xml:space="preserve"> 50.3 kg</w:t>
      </w:r>
      <w:r w:rsidR="00060789" w:rsidRPr="007C7C5F">
        <w:rPr>
          <w:rFonts w:asciiTheme="majorHAnsi" w:hAnsiTheme="majorHAnsi" w:cstheme="majorHAnsi"/>
        </w:rPr>
        <w:t xml:space="preserve"> </w:t>
      </w:r>
      <w:r w:rsidRPr="007C7C5F">
        <w:rPr>
          <w:rFonts w:asciiTheme="majorHAnsi" w:hAnsiTheme="majorHAnsi" w:cstheme="majorHAnsi"/>
        </w:rPr>
        <w:t>ha</w:t>
      </w:r>
      <w:r w:rsidR="00484E84" w:rsidRPr="007C7C5F">
        <w:rPr>
          <w:rFonts w:asciiTheme="majorHAnsi" w:hAnsiTheme="majorHAnsi" w:cstheme="majorHAnsi"/>
          <w:vertAlign w:val="superscript"/>
        </w:rPr>
        <w:t>-1</w:t>
      </w:r>
      <w:r w:rsidRPr="007C7C5F">
        <w:rPr>
          <w:rFonts w:asciiTheme="majorHAnsi" w:hAnsiTheme="majorHAnsi" w:cstheme="majorHAnsi"/>
        </w:rPr>
        <w:t>y</w:t>
      </w:r>
      <w:r w:rsidR="00484E84" w:rsidRPr="007C7C5F">
        <w:rPr>
          <w:rFonts w:asciiTheme="majorHAnsi" w:hAnsiTheme="majorHAnsi" w:cstheme="majorHAnsi"/>
          <w:vertAlign w:val="superscript"/>
        </w:rPr>
        <w:t>-1</w:t>
      </w:r>
      <w:r w:rsidRPr="007C7C5F">
        <w:rPr>
          <w:rFonts w:asciiTheme="majorHAnsi" w:hAnsiTheme="majorHAnsi" w:cstheme="majorHAnsi"/>
        </w:rPr>
        <w:t xml:space="preserve">, </w:t>
      </w:r>
      <w:r w:rsidR="005E48E5" w:rsidRPr="007C7C5F">
        <w:rPr>
          <w:rFonts w:asciiTheme="majorHAnsi" w:hAnsiTheme="majorHAnsi" w:cstheme="majorHAnsi"/>
        </w:rPr>
        <w:t>followed by 24.7 kg</w:t>
      </w:r>
      <w:r w:rsidR="00484E84" w:rsidRPr="007C7C5F">
        <w:rPr>
          <w:rFonts w:asciiTheme="majorHAnsi" w:hAnsiTheme="majorHAnsi" w:cstheme="majorHAnsi"/>
        </w:rPr>
        <w:t xml:space="preserve"> ha</w:t>
      </w:r>
      <w:r w:rsidR="00484E84" w:rsidRPr="007C7C5F">
        <w:rPr>
          <w:rFonts w:asciiTheme="majorHAnsi" w:hAnsiTheme="majorHAnsi" w:cstheme="majorHAnsi"/>
          <w:vertAlign w:val="superscript"/>
        </w:rPr>
        <w:t>-1</w:t>
      </w:r>
      <w:r w:rsidR="00484E84" w:rsidRPr="007C7C5F">
        <w:rPr>
          <w:rFonts w:asciiTheme="majorHAnsi" w:hAnsiTheme="majorHAnsi" w:cstheme="majorHAnsi"/>
        </w:rPr>
        <w:t>y</w:t>
      </w:r>
      <w:r w:rsidR="00484E84" w:rsidRPr="007C7C5F">
        <w:rPr>
          <w:rFonts w:asciiTheme="majorHAnsi" w:hAnsiTheme="majorHAnsi" w:cstheme="majorHAnsi"/>
          <w:vertAlign w:val="superscript"/>
        </w:rPr>
        <w:t>-1</w:t>
      </w:r>
      <w:r w:rsidR="00484E84" w:rsidRPr="007C7C5F" w:rsidDel="00484E84">
        <w:rPr>
          <w:rFonts w:asciiTheme="majorHAnsi" w:hAnsiTheme="majorHAnsi" w:cstheme="majorHAnsi"/>
        </w:rPr>
        <w:t xml:space="preserve"> </w:t>
      </w:r>
      <w:r w:rsidR="005E48E5" w:rsidRPr="007C7C5F">
        <w:rPr>
          <w:rFonts w:asciiTheme="majorHAnsi" w:hAnsiTheme="majorHAnsi" w:cstheme="majorHAnsi"/>
        </w:rPr>
        <w:t>from</w:t>
      </w:r>
      <w:r w:rsidRPr="007C7C5F">
        <w:rPr>
          <w:rFonts w:asciiTheme="majorHAnsi" w:hAnsiTheme="majorHAnsi" w:cstheme="majorHAnsi"/>
        </w:rPr>
        <w:t xml:space="preserve"> improved grassl</w:t>
      </w:r>
      <w:r w:rsidR="005E48E5" w:rsidRPr="007C7C5F">
        <w:rPr>
          <w:rFonts w:asciiTheme="majorHAnsi" w:hAnsiTheme="majorHAnsi" w:cstheme="majorHAnsi"/>
        </w:rPr>
        <w:t>and and only 5.4 kg</w:t>
      </w:r>
      <w:r w:rsidR="00484E84" w:rsidRPr="007C7C5F">
        <w:rPr>
          <w:rFonts w:asciiTheme="majorHAnsi" w:hAnsiTheme="majorHAnsi" w:cstheme="majorHAnsi"/>
        </w:rPr>
        <w:t xml:space="preserve"> ha</w:t>
      </w:r>
      <w:r w:rsidR="00484E84" w:rsidRPr="007C7C5F">
        <w:rPr>
          <w:rFonts w:asciiTheme="majorHAnsi" w:hAnsiTheme="majorHAnsi" w:cstheme="majorHAnsi"/>
          <w:vertAlign w:val="superscript"/>
        </w:rPr>
        <w:t>-1</w:t>
      </w:r>
      <w:r w:rsidR="00484E84" w:rsidRPr="007C7C5F">
        <w:rPr>
          <w:rFonts w:asciiTheme="majorHAnsi" w:hAnsiTheme="majorHAnsi" w:cstheme="majorHAnsi"/>
        </w:rPr>
        <w:t>y</w:t>
      </w:r>
      <w:r w:rsidR="00484E84" w:rsidRPr="007C7C5F">
        <w:rPr>
          <w:rFonts w:asciiTheme="majorHAnsi" w:hAnsiTheme="majorHAnsi" w:cstheme="majorHAnsi"/>
          <w:vertAlign w:val="superscript"/>
        </w:rPr>
        <w:t>-1</w:t>
      </w:r>
      <w:r w:rsidR="00484E84" w:rsidRPr="007C7C5F" w:rsidDel="00484E84">
        <w:rPr>
          <w:rFonts w:asciiTheme="majorHAnsi" w:hAnsiTheme="majorHAnsi" w:cstheme="majorHAnsi"/>
        </w:rPr>
        <w:t xml:space="preserve"> </w:t>
      </w:r>
      <w:r w:rsidR="005E48E5" w:rsidRPr="007C7C5F">
        <w:rPr>
          <w:rFonts w:asciiTheme="majorHAnsi" w:hAnsiTheme="majorHAnsi" w:cstheme="majorHAnsi"/>
        </w:rPr>
        <w:t>from</w:t>
      </w:r>
      <w:r w:rsidRPr="007C7C5F">
        <w:rPr>
          <w:rFonts w:asciiTheme="majorHAnsi" w:hAnsiTheme="majorHAnsi" w:cstheme="majorHAnsi"/>
        </w:rPr>
        <w:t xml:space="preserve"> other land uses. </w:t>
      </w:r>
    </w:p>
    <w:p w14:paraId="668A149A" w14:textId="38330E9A" w:rsidR="00397BB7" w:rsidRDefault="00397BB7" w:rsidP="0019572B">
      <w:pPr>
        <w:jc w:val="both"/>
        <w:rPr>
          <w:rFonts w:asciiTheme="majorHAnsi" w:hAnsiTheme="majorHAnsi" w:cstheme="majorHAnsi"/>
        </w:rPr>
      </w:pPr>
      <w:r w:rsidRPr="007C7C5F">
        <w:rPr>
          <w:rFonts w:asciiTheme="majorHAnsi" w:hAnsiTheme="majorHAnsi" w:cstheme="majorHAnsi"/>
        </w:rPr>
        <w:t xml:space="preserve">Table </w:t>
      </w:r>
      <w:r w:rsidR="00A20643" w:rsidRPr="007C7C5F">
        <w:rPr>
          <w:rFonts w:asciiTheme="majorHAnsi" w:hAnsiTheme="majorHAnsi" w:cstheme="majorHAnsi"/>
        </w:rPr>
        <w:t>4</w:t>
      </w:r>
      <w:r w:rsidRPr="007C7C5F">
        <w:rPr>
          <w:rFonts w:asciiTheme="majorHAnsi" w:hAnsiTheme="majorHAnsi" w:cstheme="majorHAnsi"/>
        </w:rPr>
        <w:t xml:space="preserve"> summarise</w:t>
      </w:r>
      <w:r w:rsidR="0013350E" w:rsidRPr="007C7C5F">
        <w:rPr>
          <w:rFonts w:asciiTheme="majorHAnsi" w:hAnsiTheme="majorHAnsi" w:cstheme="majorHAnsi"/>
        </w:rPr>
        <w:t>s</w:t>
      </w:r>
      <w:r w:rsidRPr="007C7C5F">
        <w:rPr>
          <w:rFonts w:asciiTheme="majorHAnsi" w:hAnsiTheme="majorHAnsi" w:cstheme="majorHAnsi"/>
        </w:rPr>
        <w:t xml:space="preserve"> the effectiveness of the different measures in terms of the % reduction in stream nitrate concentrations and % reduction in </w:t>
      </w:r>
      <w:r w:rsidR="004272C5" w:rsidRPr="007C7C5F">
        <w:rPr>
          <w:rFonts w:asciiTheme="majorHAnsi" w:hAnsiTheme="majorHAnsi" w:cstheme="majorHAnsi"/>
        </w:rPr>
        <w:t>nitrate-N</w:t>
      </w:r>
      <w:r w:rsidRPr="007C7C5F">
        <w:rPr>
          <w:rFonts w:asciiTheme="majorHAnsi" w:hAnsiTheme="majorHAnsi" w:cstheme="majorHAnsi"/>
        </w:rPr>
        <w:t xml:space="preserve"> load at the location where the mitigation measure is implemented. In terms of the overall effectiveness of individual measures, adoption of certain single stringent measures can reduce mean stream </w:t>
      </w:r>
      <w:r w:rsidR="004272C5" w:rsidRPr="007C7C5F">
        <w:rPr>
          <w:rFonts w:asciiTheme="majorHAnsi" w:hAnsiTheme="majorHAnsi" w:cstheme="majorHAnsi"/>
        </w:rPr>
        <w:t>nitrate</w:t>
      </w:r>
      <w:r w:rsidRPr="007C7C5F">
        <w:rPr>
          <w:rFonts w:asciiTheme="majorHAnsi" w:hAnsiTheme="majorHAnsi" w:cstheme="majorHAnsi"/>
        </w:rPr>
        <w:t xml:space="preserve"> concentrations by more than 10% of the baseline. These measures include </w:t>
      </w:r>
      <w:r w:rsidR="004272C5" w:rsidRPr="007C7C5F">
        <w:rPr>
          <w:rFonts w:asciiTheme="majorHAnsi" w:hAnsiTheme="majorHAnsi" w:cstheme="majorHAnsi"/>
        </w:rPr>
        <w:t xml:space="preserve">a </w:t>
      </w:r>
      <w:r w:rsidRPr="007C7C5F">
        <w:rPr>
          <w:rFonts w:asciiTheme="majorHAnsi" w:hAnsiTheme="majorHAnsi" w:cstheme="majorHAnsi"/>
        </w:rPr>
        <w:t>50% cut in fertilizer application (</w:t>
      </w:r>
      <w:r w:rsidR="004272C5" w:rsidRPr="007C7C5F">
        <w:rPr>
          <w:rFonts w:asciiTheme="majorHAnsi" w:hAnsiTheme="majorHAnsi" w:cstheme="majorHAnsi"/>
        </w:rPr>
        <w:t>corresponding to a</w:t>
      </w:r>
      <w:r w:rsidRPr="007C7C5F">
        <w:rPr>
          <w:rFonts w:asciiTheme="majorHAnsi" w:hAnsiTheme="majorHAnsi" w:cstheme="majorHAnsi"/>
        </w:rPr>
        <w:t xml:space="preserve"> 21% load reduction), 50% arable</w:t>
      </w:r>
      <w:r w:rsidR="004272C5" w:rsidRPr="007C7C5F">
        <w:rPr>
          <w:rFonts w:asciiTheme="majorHAnsi" w:hAnsiTheme="majorHAnsi" w:cstheme="majorHAnsi"/>
        </w:rPr>
        <w:t xml:space="preserve"> to</w:t>
      </w:r>
      <w:r w:rsidR="00090CC2">
        <w:rPr>
          <w:rFonts w:asciiTheme="majorHAnsi" w:hAnsiTheme="majorHAnsi" w:cstheme="majorHAnsi"/>
        </w:rPr>
        <w:t xml:space="preserve"> </w:t>
      </w:r>
      <w:r w:rsidRPr="007C7C5F">
        <w:rPr>
          <w:rFonts w:asciiTheme="majorHAnsi" w:hAnsiTheme="majorHAnsi" w:cstheme="majorHAnsi"/>
        </w:rPr>
        <w:t xml:space="preserve">rough grazing conversion (with </w:t>
      </w:r>
      <w:r w:rsidR="004272C5" w:rsidRPr="007C7C5F">
        <w:rPr>
          <w:rFonts w:asciiTheme="majorHAnsi" w:hAnsiTheme="majorHAnsi" w:cstheme="majorHAnsi"/>
        </w:rPr>
        <w:t xml:space="preserve">a </w:t>
      </w:r>
      <w:r w:rsidRPr="007C7C5F">
        <w:rPr>
          <w:rFonts w:asciiTheme="majorHAnsi" w:hAnsiTheme="majorHAnsi" w:cstheme="majorHAnsi"/>
        </w:rPr>
        <w:t xml:space="preserve">19% load reduction), 50% removal of livestock (with </w:t>
      </w:r>
      <w:r w:rsidR="004272C5" w:rsidRPr="007C7C5F">
        <w:rPr>
          <w:rFonts w:asciiTheme="majorHAnsi" w:hAnsiTheme="majorHAnsi" w:cstheme="majorHAnsi"/>
        </w:rPr>
        <w:t xml:space="preserve">a </w:t>
      </w:r>
      <w:r w:rsidRPr="007C7C5F">
        <w:rPr>
          <w:rFonts w:asciiTheme="majorHAnsi" w:hAnsiTheme="majorHAnsi" w:cstheme="majorHAnsi"/>
        </w:rPr>
        <w:t xml:space="preserve">14% load reduction) and </w:t>
      </w:r>
      <w:r w:rsidR="004272C5" w:rsidRPr="007C7C5F">
        <w:rPr>
          <w:rFonts w:asciiTheme="majorHAnsi" w:hAnsiTheme="majorHAnsi" w:cstheme="majorHAnsi"/>
        </w:rPr>
        <w:t xml:space="preserve">conversion of </w:t>
      </w:r>
      <w:r w:rsidRPr="007C7C5F">
        <w:rPr>
          <w:rFonts w:asciiTheme="majorHAnsi" w:hAnsiTheme="majorHAnsi" w:cstheme="majorHAnsi"/>
        </w:rPr>
        <w:t xml:space="preserve">50% </w:t>
      </w:r>
      <w:r w:rsidR="004272C5" w:rsidRPr="007C7C5F">
        <w:rPr>
          <w:rFonts w:asciiTheme="majorHAnsi" w:hAnsiTheme="majorHAnsi" w:cstheme="majorHAnsi"/>
        </w:rPr>
        <w:t xml:space="preserve">of </w:t>
      </w:r>
      <w:r w:rsidRPr="007C7C5F">
        <w:rPr>
          <w:rFonts w:asciiTheme="majorHAnsi" w:hAnsiTheme="majorHAnsi" w:cstheme="majorHAnsi"/>
        </w:rPr>
        <w:t>arable</w:t>
      </w:r>
      <w:r w:rsidR="004272C5" w:rsidRPr="007C7C5F">
        <w:rPr>
          <w:rFonts w:asciiTheme="majorHAnsi" w:hAnsiTheme="majorHAnsi" w:cstheme="majorHAnsi"/>
        </w:rPr>
        <w:t xml:space="preserve"> to</w:t>
      </w:r>
      <w:r w:rsidR="00836378">
        <w:rPr>
          <w:rFonts w:asciiTheme="majorHAnsi" w:hAnsiTheme="majorHAnsi" w:cstheme="majorHAnsi"/>
        </w:rPr>
        <w:t xml:space="preserve"> </w:t>
      </w:r>
      <w:r w:rsidRPr="007C7C5F">
        <w:rPr>
          <w:rFonts w:asciiTheme="majorHAnsi" w:hAnsiTheme="majorHAnsi" w:cstheme="majorHAnsi"/>
        </w:rPr>
        <w:t xml:space="preserve">extensive improved grassland (with </w:t>
      </w:r>
      <w:r w:rsidR="004272C5" w:rsidRPr="007C7C5F">
        <w:rPr>
          <w:rFonts w:asciiTheme="majorHAnsi" w:hAnsiTheme="majorHAnsi" w:cstheme="majorHAnsi"/>
        </w:rPr>
        <w:t xml:space="preserve">a </w:t>
      </w:r>
      <w:r w:rsidRPr="007C7C5F">
        <w:rPr>
          <w:rFonts w:asciiTheme="majorHAnsi" w:hAnsiTheme="majorHAnsi" w:cstheme="majorHAnsi"/>
        </w:rPr>
        <w:t>13% load reduction)</w:t>
      </w:r>
      <w:r w:rsidR="004272C5" w:rsidRPr="007C7C5F">
        <w:rPr>
          <w:rFonts w:asciiTheme="majorHAnsi" w:hAnsiTheme="majorHAnsi" w:cstheme="majorHAnsi"/>
        </w:rPr>
        <w:t>;</w:t>
      </w:r>
      <w:r w:rsidRPr="007C7C5F">
        <w:rPr>
          <w:rFonts w:asciiTheme="majorHAnsi" w:hAnsiTheme="majorHAnsi" w:cstheme="majorHAnsi"/>
        </w:rPr>
        <w:t xml:space="preserve">see Table </w:t>
      </w:r>
      <w:r w:rsidR="00A20643" w:rsidRPr="007C7C5F">
        <w:rPr>
          <w:rFonts w:asciiTheme="majorHAnsi" w:hAnsiTheme="majorHAnsi" w:cstheme="majorHAnsi"/>
        </w:rPr>
        <w:t>4</w:t>
      </w:r>
      <w:r w:rsidR="004272C5" w:rsidRPr="007C7C5F">
        <w:rPr>
          <w:rFonts w:asciiTheme="majorHAnsi" w:hAnsiTheme="majorHAnsi" w:cstheme="majorHAnsi"/>
        </w:rPr>
        <w:t xml:space="preserve"> for more details</w:t>
      </w:r>
      <w:r w:rsidRPr="007C7C5F">
        <w:rPr>
          <w:rFonts w:asciiTheme="majorHAnsi" w:hAnsiTheme="majorHAnsi" w:cstheme="majorHAnsi"/>
        </w:rPr>
        <w:t xml:space="preserve">. It is worth reiterating at this stage the scale dependency of these results in the sense that we have (somewhat arbitrarily) assumed potential feasible uptake of measures at scales of up to 50% of the total available area. Clearly, the likelihood of this being achieved in practice is linked to the economic viability of the measures and their attractiveness as practical options for land managers. Consequently, the </w:t>
      </w:r>
      <w:r w:rsidR="00A91FC1" w:rsidRPr="007C7C5F">
        <w:rPr>
          <w:rFonts w:asciiTheme="majorHAnsi" w:hAnsiTheme="majorHAnsi" w:cstheme="majorHAnsi"/>
        </w:rPr>
        <w:t xml:space="preserve">hydro-chemical </w:t>
      </w:r>
      <w:r w:rsidRPr="007C7C5F">
        <w:rPr>
          <w:rFonts w:asciiTheme="majorHAnsi" w:hAnsiTheme="majorHAnsi" w:cstheme="majorHAnsi"/>
        </w:rPr>
        <w:t xml:space="preserve">assessment alone is of limited value in assessing mitigation potential at the catchment scale. The specific load reductions at a point also highlight that some mitigation measures could be of greater value if implemented at a larger scale. For example, the constructed wetland measure </w:t>
      </w:r>
      <w:r w:rsidR="0005541F">
        <w:rPr>
          <w:rFonts w:asciiTheme="majorHAnsi" w:hAnsiTheme="majorHAnsi" w:cstheme="majorHAnsi"/>
        </w:rPr>
        <w:t>(</w:t>
      </w:r>
      <w:r w:rsidRPr="007C7C5F">
        <w:rPr>
          <w:rFonts w:asciiTheme="majorHAnsi" w:hAnsiTheme="majorHAnsi" w:cstheme="majorHAnsi"/>
        </w:rPr>
        <w:t>9b</w:t>
      </w:r>
      <w:r w:rsidR="0005541F">
        <w:rPr>
          <w:rFonts w:asciiTheme="majorHAnsi" w:hAnsiTheme="majorHAnsi" w:cstheme="majorHAnsi"/>
        </w:rPr>
        <w:t>)</w:t>
      </w:r>
      <w:r w:rsidRPr="007C7C5F">
        <w:rPr>
          <w:rFonts w:asciiTheme="majorHAnsi" w:hAnsiTheme="majorHAnsi" w:cstheme="majorHAnsi"/>
        </w:rPr>
        <w:t xml:space="preserve"> was assessed as generating a 17 kg ha</w:t>
      </w:r>
      <w:r w:rsidRPr="007C7C5F">
        <w:rPr>
          <w:rFonts w:asciiTheme="majorHAnsi" w:hAnsiTheme="majorHAnsi" w:cstheme="majorHAnsi"/>
          <w:vertAlign w:val="superscript"/>
        </w:rPr>
        <w:t>-1</w:t>
      </w:r>
      <w:r w:rsidRPr="007C7C5F">
        <w:rPr>
          <w:rFonts w:asciiTheme="majorHAnsi" w:hAnsiTheme="majorHAnsi" w:cstheme="majorHAnsi"/>
        </w:rPr>
        <w:t xml:space="preserve"> reduction in </w:t>
      </w:r>
      <w:r w:rsidR="004272C5" w:rsidRPr="007C7C5F">
        <w:rPr>
          <w:rFonts w:asciiTheme="majorHAnsi" w:hAnsiTheme="majorHAnsi" w:cstheme="majorHAnsi"/>
        </w:rPr>
        <w:t>nitrate-N</w:t>
      </w:r>
      <w:r w:rsidRPr="007C7C5F">
        <w:rPr>
          <w:rFonts w:asciiTheme="majorHAnsi" w:hAnsiTheme="majorHAnsi" w:cstheme="majorHAnsi"/>
        </w:rPr>
        <w:t xml:space="preserve"> load, but our evaluation only looked at implementation of one such wetland within the catchment. </w:t>
      </w:r>
    </w:p>
    <w:p w14:paraId="7FEC8BDB" w14:textId="4837DDF9" w:rsidR="00F712FC" w:rsidRDefault="004F172B" w:rsidP="004F172B">
      <w:pPr>
        <w:keepNext/>
        <w:keepLines/>
        <w:spacing w:after="0"/>
        <w:jc w:val="both"/>
        <w:rPr>
          <w:rFonts w:asciiTheme="majorHAnsi" w:hAnsiTheme="majorHAnsi" w:cstheme="majorHAnsi"/>
        </w:rPr>
      </w:pPr>
      <w:r>
        <w:rPr>
          <w:rFonts w:asciiTheme="majorHAnsi" w:hAnsiTheme="majorHAnsi" w:cstheme="majorHAnsi"/>
          <w:highlight w:val="yellow"/>
        </w:rPr>
        <w:lastRenderedPageBreak/>
        <w:t>&lt;&lt;</w:t>
      </w:r>
      <w:r w:rsidR="0013350E" w:rsidRPr="004F172B">
        <w:rPr>
          <w:rFonts w:asciiTheme="majorHAnsi" w:hAnsiTheme="majorHAnsi" w:cstheme="majorHAnsi"/>
          <w:highlight w:val="yellow"/>
        </w:rPr>
        <w:t>Table 4</w:t>
      </w:r>
      <w:r w:rsidRPr="004F172B">
        <w:rPr>
          <w:rFonts w:asciiTheme="majorHAnsi" w:hAnsiTheme="majorHAnsi" w:cstheme="majorHAnsi"/>
          <w:highlight w:val="yellow"/>
        </w:rPr>
        <w:t>&gt;&gt;</w:t>
      </w:r>
      <w:r>
        <w:rPr>
          <w:rFonts w:asciiTheme="majorHAnsi" w:hAnsiTheme="majorHAnsi" w:cstheme="majorHAnsi"/>
          <w:highlight w:val="yellow"/>
        </w:rPr>
        <w:t xml:space="preserve"> here</w:t>
      </w:r>
      <w:r w:rsidR="0013350E" w:rsidRPr="007C7C5F">
        <w:rPr>
          <w:rFonts w:asciiTheme="majorHAnsi" w:hAnsiTheme="majorHAnsi" w:cstheme="majorHAnsi"/>
        </w:rPr>
        <w:t xml:space="preserve"> </w:t>
      </w:r>
    </w:p>
    <w:p w14:paraId="22952A00" w14:textId="77777777" w:rsidR="00951E8D" w:rsidRDefault="00951E8D" w:rsidP="004F172B">
      <w:pPr>
        <w:keepNext/>
        <w:keepLines/>
        <w:spacing w:after="0"/>
        <w:jc w:val="both"/>
        <w:rPr>
          <w:rFonts w:asciiTheme="majorHAnsi" w:hAnsiTheme="majorHAnsi" w:cstheme="majorHAnsi"/>
        </w:rPr>
      </w:pPr>
    </w:p>
    <w:p w14:paraId="092F7994" w14:textId="40052FE1" w:rsidR="00554D6E" w:rsidRPr="007C7C5F" w:rsidRDefault="00554D6E" w:rsidP="00DF69A3">
      <w:pPr>
        <w:pStyle w:val="Heading2"/>
        <w:rPr>
          <w:rFonts w:asciiTheme="majorHAnsi" w:hAnsiTheme="majorHAnsi" w:cstheme="majorHAnsi"/>
        </w:rPr>
      </w:pPr>
      <w:bookmarkStart w:id="14" w:name="_Toc368665228"/>
      <w:r w:rsidRPr="007C7C5F">
        <w:rPr>
          <w:rFonts w:asciiTheme="majorHAnsi" w:hAnsiTheme="majorHAnsi" w:cstheme="majorHAnsi"/>
        </w:rPr>
        <w:t>Effectiveness of P measures</w:t>
      </w:r>
      <w:bookmarkEnd w:id="14"/>
      <w:r w:rsidR="0013350E" w:rsidRPr="007C7C5F">
        <w:rPr>
          <w:rFonts w:asciiTheme="majorHAnsi" w:hAnsiTheme="majorHAnsi" w:cstheme="majorHAnsi"/>
        </w:rPr>
        <w:t xml:space="preserve"> </w:t>
      </w:r>
    </w:p>
    <w:p w14:paraId="7D57C54E" w14:textId="67B98583" w:rsidR="00554D6E" w:rsidRPr="007C7C5F" w:rsidRDefault="00554D6E" w:rsidP="00554D6E">
      <w:pPr>
        <w:jc w:val="both"/>
        <w:rPr>
          <w:rFonts w:asciiTheme="majorHAnsi" w:hAnsiTheme="majorHAnsi" w:cstheme="majorHAnsi"/>
        </w:rPr>
      </w:pPr>
      <w:r w:rsidRPr="007C7C5F">
        <w:rPr>
          <w:rFonts w:asciiTheme="majorHAnsi" w:hAnsiTheme="majorHAnsi" w:cstheme="majorHAnsi"/>
        </w:rPr>
        <w:fldChar w:fldCharType="begin"/>
      </w:r>
      <w:r w:rsidRPr="007C7C5F">
        <w:rPr>
          <w:rFonts w:asciiTheme="majorHAnsi" w:hAnsiTheme="majorHAnsi" w:cstheme="majorHAnsi"/>
        </w:rPr>
        <w:instrText xml:space="preserve"> REF _Ref367709696 \h  \* MERGEFORMAT </w:instrText>
      </w:r>
      <w:r w:rsidRPr="007C7C5F">
        <w:rPr>
          <w:rFonts w:asciiTheme="majorHAnsi" w:hAnsiTheme="majorHAnsi" w:cstheme="majorHAnsi"/>
        </w:rPr>
      </w:r>
      <w:r w:rsidRPr="007C7C5F">
        <w:rPr>
          <w:rFonts w:asciiTheme="majorHAnsi" w:hAnsiTheme="majorHAnsi" w:cstheme="majorHAnsi"/>
        </w:rPr>
        <w:fldChar w:fldCharType="separate"/>
      </w:r>
      <w:r w:rsidR="0039332B" w:rsidRPr="0039332B">
        <w:rPr>
          <w:rFonts w:asciiTheme="majorHAnsi" w:hAnsiTheme="majorHAnsi" w:cstheme="majorHAnsi"/>
        </w:rPr>
        <w:t xml:space="preserve">Figure </w:t>
      </w:r>
      <w:r w:rsidRPr="007C7C5F">
        <w:rPr>
          <w:rFonts w:asciiTheme="majorHAnsi" w:hAnsiTheme="majorHAnsi" w:cstheme="majorHAnsi"/>
        </w:rPr>
        <w:fldChar w:fldCharType="end"/>
      </w:r>
      <w:r w:rsidR="00F4056B" w:rsidRPr="007C7C5F">
        <w:rPr>
          <w:rFonts w:asciiTheme="majorHAnsi" w:hAnsiTheme="majorHAnsi" w:cstheme="majorHAnsi"/>
        </w:rPr>
        <w:t>3</w:t>
      </w:r>
      <w:r w:rsidRPr="007C7C5F">
        <w:rPr>
          <w:rFonts w:asciiTheme="majorHAnsi" w:hAnsiTheme="majorHAnsi" w:cstheme="majorHAnsi"/>
        </w:rPr>
        <w:t xml:space="preserve"> presents the effectiveness of individual measures (in kg SRP</w:t>
      </w:r>
      <w:r w:rsidR="004272C5" w:rsidRPr="007C7C5F">
        <w:rPr>
          <w:rFonts w:asciiTheme="majorHAnsi" w:hAnsiTheme="majorHAnsi" w:cstheme="majorHAnsi"/>
        </w:rPr>
        <w:t>-P</w:t>
      </w:r>
      <w:r w:rsidRPr="007C7C5F">
        <w:rPr>
          <w:rFonts w:asciiTheme="majorHAnsi" w:hAnsiTheme="majorHAnsi" w:cstheme="majorHAnsi"/>
        </w:rPr>
        <w:t xml:space="preserve"> reduced</w:t>
      </w:r>
      <w:r w:rsidR="004272C5" w:rsidRPr="007C7C5F">
        <w:rPr>
          <w:rFonts w:asciiTheme="majorHAnsi" w:hAnsiTheme="majorHAnsi" w:cstheme="majorHAnsi"/>
        </w:rPr>
        <w:t xml:space="preserve"> per</w:t>
      </w:r>
      <w:r w:rsidR="00B7742B" w:rsidRPr="007C7C5F">
        <w:rPr>
          <w:rFonts w:asciiTheme="majorHAnsi" w:hAnsiTheme="majorHAnsi" w:cstheme="majorHAnsi"/>
        </w:rPr>
        <w:t xml:space="preserve"> </w:t>
      </w:r>
      <w:r w:rsidRPr="007C7C5F">
        <w:rPr>
          <w:rFonts w:asciiTheme="majorHAnsi" w:hAnsiTheme="majorHAnsi" w:cstheme="majorHAnsi"/>
        </w:rPr>
        <w:t>catchment</w:t>
      </w:r>
      <w:r w:rsidR="004272C5" w:rsidRPr="007C7C5F">
        <w:rPr>
          <w:rFonts w:asciiTheme="majorHAnsi" w:hAnsiTheme="majorHAnsi" w:cstheme="majorHAnsi"/>
        </w:rPr>
        <w:t xml:space="preserve"> per</w:t>
      </w:r>
      <w:r w:rsidR="00B7742B" w:rsidRPr="007C7C5F">
        <w:rPr>
          <w:rFonts w:asciiTheme="majorHAnsi" w:hAnsiTheme="majorHAnsi" w:cstheme="majorHAnsi"/>
        </w:rPr>
        <w:t xml:space="preserve"> </w:t>
      </w:r>
      <w:r w:rsidRPr="007C7C5F">
        <w:rPr>
          <w:rFonts w:asciiTheme="majorHAnsi" w:hAnsiTheme="majorHAnsi" w:cstheme="majorHAnsi"/>
        </w:rPr>
        <w:t>year)</w:t>
      </w:r>
      <w:r w:rsidR="00C129F9" w:rsidRPr="007C7C5F">
        <w:rPr>
          <w:rFonts w:asciiTheme="majorHAnsi" w:hAnsiTheme="majorHAnsi" w:cstheme="majorHAnsi"/>
        </w:rPr>
        <w:t xml:space="preserve"> for the </w:t>
      </w:r>
      <w:proofErr w:type="spellStart"/>
      <w:r w:rsidR="00C129F9" w:rsidRPr="007C7C5F">
        <w:rPr>
          <w:rFonts w:asciiTheme="majorHAnsi" w:hAnsiTheme="majorHAnsi" w:cstheme="majorHAnsi"/>
        </w:rPr>
        <w:t>Corskie</w:t>
      </w:r>
      <w:proofErr w:type="spellEnd"/>
      <w:r w:rsidR="00C129F9" w:rsidRPr="007C7C5F">
        <w:rPr>
          <w:rFonts w:asciiTheme="majorHAnsi" w:hAnsiTheme="majorHAnsi" w:cstheme="majorHAnsi"/>
        </w:rPr>
        <w:t xml:space="preserve"> Burn catchment</w:t>
      </w:r>
      <w:r w:rsidRPr="007C7C5F">
        <w:rPr>
          <w:rFonts w:asciiTheme="majorHAnsi" w:hAnsiTheme="majorHAnsi" w:cstheme="majorHAnsi"/>
        </w:rPr>
        <w:t xml:space="preserve">. </w:t>
      </w:r>
      <w:r w:rsidR="002B0FDB" w:rsidRPr="007C7C5F">
        <w:rPr>
          <w:rFonts w:asciiTheme="majorHAnsi" w:hAnsiTheme="majorHAnsi" w:cstheme="majorHAnsi"/>
        </w:rPr>
        <w:t>Of these, sewage-related measures and the conversion of arable land to grassland appear to be the most effective, although large uncertainties in the baseline effluent loading to the stream, as well as in hydro</w:t>
      </w:r>
      <w:r w:rsidR="00B7742B" w:rsidRPr="007C7C5F">
        <w:rPr>
          <w:rFonts w:asciiTheme="majorHAnsi" w:hAnsiTheme="majorHAnsi" w:cstheme="majorHAnsi"/>
        </w:rPr>
        <w:t>-</w:t>
      </w:r>
      <w:r w:rsidR="002B0FDB" w:rsidRPr="007C7C5F">
        <w:rPr>
          <w:rFonts w:asciiTheme="majorHAnsi" w:hAnsiTheme="majorHAnsi" w:cstheme="majorHAnsi"/>
        </w:rPr>
        <w:t>chemical model output, mean that further work is required</w:t>
      </w:r>
      <w:r w:rsidR="00604000">
        <w:rPr>
          <w:rFonts w:asciiTheme="majorHAnsi" w:hAnsiTheme="majorHAnsi" w:cstheme="majorHAnsi"/>
        </w:rPr>
        <w:t>.</w:t>
      </w:r>
      <w:r w:rsidR="002B0FDB" w:rsidRPr="007C7C5F">
        <w:rPr>
          <w:rFonts w:asciiTheme="majorHAnsi" w:hAnsiTheme="majorHAnsi" w:cstheme="majorHAnsi"/>
        </w:rPr>
        <w:t xml:space="preserve"> Current results sugges</w:t>
      </w:r>
      <w:r w:rsidR="00B7742B" w:rsidRPr="007C7C5F">
        <w:rPr>
          <w:rFonts w:asciiTheme="majorHAnsi" w:hAnsiTheme="majorHAnsi" w:cstheme="majorHAnsi"/>
        </w:rPr>
        <w:t>t</w:t>
      </w:r>
      <w:r w:rsidR="002B0FDB" w:rsidRPr="007C7C5F">
        <w:rPr>
          <w:rFonts w:asciiTheme="majorHAnsi" w:hAnsiTheme="majorHAnsi" w:cstheme="majorHAnsi"/>
        </w:rPr>
        <w:t>, f</w:t>
      </w:r>
      <w:r w:rsidRPr="007C7C5F">
        <w:rPr>
          <w:rFonts w:asciiTheme="majorHAnsi" w:hAnsiTheme="majorHAnsi" w:cstheme="majorHAnsi"/>
        </w:rPr>
        <w:t xml:space="preserve">or instance, </w:t>
      </w:r>
      <w:r w:rsidR="002B0FDB" w:rsidRPr="007C7C5F">
        <w:rPr>
          <w:rFonts w:asciiTheme="majorHAnsi" w:hAnsiTheme="majorHAnsi" w:cstheme="majorHAnsi"/>
        </w:rPr>
        <w:t xml:space="preserve">that </w:t>
      </w:r>
      <w:r w:rsidRPr="007C7C5F">
        <w:rPr>
          <w:rFonts w:asciiTheme="majorHAnsi" w:hAnsiTheme="majorHAnsi" w:cstheme="majorHAnsi"/>
        </w:rPr>
        <w:t>measures targeting the two WWTWs c</w:t>
      </w:r>
      <w:r w:rsidR="002B0FDB" w:rsidRPr="007C7C5F">
        <w:rPr>
          <w:rFonts w:asciiTheme="majorHAnsi" w:hAnsiTheme="majorHAnsi" w:cstheme="majorHAnsi"/>
        </w:rPr>
        <w:t>ould</w:t>
      </w:r>
      <w:r w:rsidRPr="007C7C5F">
        <w:rPr>
          <w:rFonts w:asciiTheme="majorHAnsi" w:hAnsiTheme="majorHAnsi" w:cstheme="majorHAnsi"/>
        </w:rPr>
        <w:t xml:space="preserve"> </w:t>
      </w:r>
      <w:r w:rsidR="002B0FDB" w:rsidRPr="007C7C5F">
        <w:rPr>
          <w:rFonts w:asciiTheme="majorHAnsi" w:hAnsiTheme="majorHAnsi" w:cstheme="majorHAnsi"/>
        </w:rPr>
        <w:t xml:space="preserve">by themselves </w:t>
      </w:r>
      <w:r w:rsidRPr="007C7C5F">
        <w:rPr>
          <w:rFonts w:asciiTheme="majorHAnsi" w:hAnsiTheme="majorHAnsi" w:cstheme="majorHAnsi"/>
        </w:rPr>
        <w:t xml:space="preserve">reduce </w:t>
      </w:r>
      <w:r w:rsidR="002B0FDB" w:rsidRPr="007C7C5F">
        <w:rPr>
          <w:rFonts w:asciiTheme="majorHAnsi" w:hAnsiTheme="majorHAnsi" w:cstheme="majorHAnsi"/>
        </w:rPr>
        <w:t>the SRP-</w:t>
      </w:r>
      <w:r w:rsidRPr="007C7C5F">
        <w:rPr>
          <w:rFonts w:asciiTheme="majorHAnsi" w:hAnsiTheme="majorHAnsi" w:cstheme="majorHAnsi"/>
        </w:rPr>
        <w:t xml:space="preserve">P load up to the </w:t>
      </w:r>
      <w:r w:rsidR="002B0FDB" w:rsidRPr="007C7C5F">
        <w:rPr>
          <w:rFonts w:asciiTheme="majorHAnsi" w:hAnsiTheme="majorHAnsi" w:cstheme="majorHAnsi"/>
        </w:rPr>
        <w:t xml:space="preserve">target of </w:t>
      </w:r>
      <w:r w:rsidRPr="007C7C5F">
        <w:rPr>
          <w:rFonts w:asciiTheme="majorHAnsi" w:hAnsiTheme="majorHAnsi" w:cstheme="majorHAnsi"/>
        </w:rPr>
        <w:t>20% (</w:t>
      </w:r>
      <w:r w:rsidR="002B0FDB" w:rsidRPr="007C7C5F">
        <w:rPr>
          <w:rFonts w:asciiTheme="majorHAnsi" w:hAnsiTheme="majorHAnsi" w:cstheme="majorHAnsi"/>
        </w:rPr>
        <w:t>assuming the measure removing the effluent altogether is achievable, e.g. by piping it elsewhere)</w:t>
      </w:r>
      <w:r w:rsidRPr="007C7C5F">
        <w:rPr>
          <w:rFonts w:asciiTheme="majorHAnsi" w:hAnsiTheme="majorHAnsi" w:cstheme="majorHAnsi"/>
        </w:rPr>
        <w:t>. This seems highly stringent to achieve; however less stringent methods such as P removal at WWTWs to meet effluent concentration</w:t>
      </w:r>
      <w:r w:rsidR="002B0FDB" w:rsidRPr="007C7C5F">
        <w:rPr>
          <w:rFonts w:asciiTheme="majorHAnsi" w:hAnsiTheme="majorHAnsi" w:cstheme="majorHAnsi"/>
        </w:rPr>
        <w:t>s</w:t>
      </w:r>
      <w:r w:rsidRPr="007C7C5F">
        <w:rPr>
          <w:rFonts w:asciiTheme="majorHAnsi" w:hAnsiTheme="majorHAnsi" w:cstheme="majorHAnsi"/>
        </w:rPr>
        <w:t xml:space="preserve"> </w:t>
      </w:r>
      <w:r w:rsidR="002B0FDB" w:rsidRPr="007C7C5F">
        <w:rPr>
          <w:rFonts w:asciiTheme="majorHAnsi" w:hAnsiTheme="majorHAnsi" w:cstheme="majorHAnsi"/>
        </w:rPr>
        <w:t>of</w:t>
      </w:r>
      <w:r w:rsidRPr="007C7C5F">
        <w:rPr>
          <w:rFonts w:asciiTheme="majorHAnsi" w:hAnsiTheme="majorHAnsi" w:cstheme="majorHAnsi"/>
        </w:rPr>
        <w:t xml:space="preserve"> 1 mg/l or 3mg/l may still be more effective </w:t>
      </w:r>
      <w:r w:rsidR="002B0FDB" w:rsidRPr="007C7C5F">
        <w:rPr>
          <w:rFonts w:asciiTheme="majorHAnsi" w:hAnsiTheme="majorHAnsi" w:cstheme="majorHAnsi"/>
        </w:rPr>
        <w:t xml:space="preserve">than </w:t>
      </w:r>
      <w:r w:rsidRPr="007C7C5F">
        <w:rPr>
          <w:rFonts w:asciiTheme="majorHAnsi" w:hAnsiTheme="majorHAnsi" w:cstheme="majorHAnsi"/>
        </w:rPr>
        <w:t xml:space="preserve">agricultural measures in the </w:t>
      </w:r>
      <w:proofErr w:type="spellStart"/>
      <w:r w:rsidR="00C129F9" w:rsidRPr="007C7C5F">
        <w:rPr>
          <w:rFonts w:asciiTheme="majorHAnsi" w:hAnsiTheme="majorHAnsi" w:cstheme="majorHAnsi"/>
        </w:rPr>
        <w:t>Corskie</w:t>
      </w:r>
      <w:proofErr w:type="spellEnd"/>
      <w:r w:rsidR="00C129F9" w:rsidRPr="007C7C5F">
        <w:rPr>
          <w:rFonts w:asciiTheme="majorHAnsi" w:hAnsiTheme="majorHAnsi" w:cstheme="majorHAnsi"/>
        </w:rPr>
        <w:t xml:space="preserve"> </w:t>
      </w:r>
      <w:r w:rsidR="00604000">
        <w:rPr>
          <w:rFonts w:asciiTheme="majorHAnsi" w:hAnsiTheme="majorHAnsi" w:cstheme="majorHAnsi"/>
        </w:rPr>
        <w:t>B</w:t>
      </w:r>
      <w:r w:rsidR="00E94940" w:rsidRPr="007C7C5F">
        <w:rPr>
          <w:rFonts w:asciiTheme="majorHAnsi" w:hAnsiTheme="majorHAnsi" w:cstheme="majorHAnsi"/>
        </w:rPr>
        <w:t>urn</w:t>
      </w:r>
      <w:r w:rsidR="00604000">
        <w:rPr>
          <w:rFonts w:asciiTheme="majorHAnsi" w:hAnsiTheme="majorHAnsi" w:cstheme="majorHAnsi"/>
        </w:rPr>
        <w:t xml:space="preserve"> </w:t>
      </w:r>
      <w:r w:rsidRPr="007C7C5F">
        <w:rPr>
          <w:rFonts w:asciiTheme="majorHAnsi" w:hAnsiTheme="majorHAnsi" w:cstheme="majorHAnsi"/>
        </w:rPr>
        <w:t>catchment</w:t>
      </w:r>
      <w:r w:rsidR="002B0FDB" w:rsidRPr="007C7C5F">
        <w:rPr>
          <w:rFonts w:asciiTheme="majorHAnsi" w:hAnsiTheme="majorHAnsi" w:cstheme="majorHAnsi"/>
        </w:rPr>
        <w:t>, at least in terms of SRP-P reductions</w:t>
      </w:r>
    </w:p>
    <w:p w14:paraId="7C000CFC" w14:textId="6A7FB14E" w:rsidR="00554D6E" w:rsidRDefault="004F172B" w:rsidP="002E210A">
      <w:pPr>
        <w:jc w:val="both"/>
        <w:rPr>
          <w:rFonts w:asciiTheme="majorHAnsi" w:hAnsiTheme="majorHAnsi" w:cstheme="majorHAnsi"/>
        </w:rPr>
      </w:pPr>
      <w:r>
        <w:rPr>
          <w:rFonts w:asciiTheme="majorHAnsi" w:hAnsiTheme="majorHAnsi" w:cstheme="majorHAnsi"/>
          <w:highlight w:val="yellow"/>
        </w:rPr>
        <w:t>&lt;&lt;</w:t>
      </w:r>
      <w:r w:rsidR="00554D6E" w:rsidRPr="004F172B">
        <w:rPr>
          <w:rFonts w:asciiTheme="majorHAnsi" w:hAnsiTheme="majorHAnsi" w:cstheme="majorHAnsi"/>
          <w:highlight w:val="yellow"/>
        </w:rPr>
        <w:t xml:space="preserve"> </w:t>
      </w:r>
      <w:bookmarkStart w:id="15" w:name="_Ref367709696"/>
      <w:bookmarkStart w:id="16" w:name="_Toc368663864"/>
      <w:r w:rsidR="00554D6E" w:rsidRPr="004F172B">
        <w:rPr>
          <w:rFonts w:asciiTheme="majorHAnsi" w:hAnsiTheme="majorHAnsi" w:cstheme="majorHAnsi"/>
          <w:highlight w:val="yellow"/>
        </w:rPr>
        <w:t xml:space="preserve">Figure </w:t>
      </w:r>
      <w:bookmarkEnd w:id="15"/>
      <w:r w:rsidR="00F4056B" w:rsidRPr="004F172B">
        <w:rPr>
          <w:rFonts w:asciiTheme="majorHAnsi" w:hAnsiTheme="majorHAnsi" w:cstheme="majorHAnsi"/>
          <w:highlight w:val="yellow"/>
        </w:rPr>
        <w:t>3</w:t>
      </w:r>
      <w:r w:rsidRPr="004F172B">
        <w:rPr>
          <w:rFonts w:asciiTheme="majorHAnsi" w:hAnsiTheme="majorHAnsi" w:cstheme="majorHAnsi"/>
          <w:highlight w:val="yellow"/>
        </w:rPr>
        <w:t>&gt;&gt; here</w:t>
      </w:r>
      <w:bookmarkEnd w:id="16"/>
    </w:p>
    <w:p w14:paraId="327A2A5E" w14:textId="349589C1" w:rsidR="00F070A3" w:rsidRPr="007C7C5F" w:rsidRDefault="00F070A3" w:rsidP="00DF69A3">
      <w:pPr>
        <w:pStyle w:val="Heading2"/>
        <w:rPr>
          <w:rFonts w:asciiTheme="majorHAnsi" w:hAnsiTheme="majorHAnsi" w:cstheme="majorHAnsi"/>
        </w:rPr>
      </w:pPr>
      <w:bookmarkStart w:id="17" w:name="_Toc368665223"/>
      <w:r w:rsidRPr="007C7C5F">
        <w:rPr>
          <w:rFonts w:asciiTheme="majorHAnsi" w:hAnsiTheme="majorHAnsi" w:cstheme="majorHAnsi"/>
        </w:rPr>
        <w:t>Cost-effectiveness</w:t>
      </w:r>
      <w:bookmarkEnd w:id="17"/>
      <w:r w:rsidR="00305683" w:rsidRPr="007C7C5F">
        <w:rPr>
          <w:rFonts w:asciiTheme="majorHAnsi" w:hAnsiTheme="majorHAnsi" w:cstheme="majorHAnsi"/>
        </w:rPr>
        <w:t xml:space="preserve"> of measures</w:t>
      </w:r>
      <w:r w:rsidR="00F40BC3" w:rsidRPr="007C7C5F">
        <w:rPr>
          <w:rFonts w:asciiTheme="majorHAnsi" w:hAnsiTheme="majorHAnsi" w:cstheme="majorHAnsi"/>
        </w:rPr>
        <w:t xml:space="preserve"> </w:t>
      </w:r>
    </w:p>
    <w:p w14:paraId="0C13085B" w14:textId="53DA51F5" w:rsidR="0013350E" w:rsidRPr="007C7C5F" w:rsidRDefault="0013350E" w:rsidP="0013350E">
      <w:pPr>
        <w:spacing w:after="0"/>
        <w:jc w:val="both"/>
        <w:rPr>
          <w:rFonts w:asciiTheme="majorHAnsi" w:hAnsiTheme="majorHAnsi" w:cstheme="majorHAnsi"/>
        </w:rPr>
      </w:pPr>
      <w:r w:rsidRPr="007C7C5F">
        <w:rPr>
          <w:rFonts w:asciiTheme="majorHAnsi" w:hAnsiTheme="majorHAnsi" w:cstheme="majorHAnsi"/>
        </w:rPr>
        <w:t xml:space="preserve">Figure </w:t>
      </w:r>
      <w:r w:rsidR="00F4056B" w:rsidRPr="007C7C5F">
        <w:rPr>
          <w:rFonts w:asciiTheme="majorHAnsi" w:hAnsiTheme="majorHAnsi" w:cstheme="majorHAnsi"/>
        </w:rPr>
        <w:t>4</w:t>
      </w:r>
      <w:r w:rsidRPr="007C7C5F">
        <w:rPr>
          <w:rFonts w:asciiTheme="majorHAnsi" w:hAnsiTheme="majorHAnsi" w:cstheme="majorHAnsi"/>
        </w:rPr>
        <w:t xml:space="preserve"> presents cost-effectiveness results for N mitigation measures in </w:t>
      </w:r>
      <w:r w:rsidR="0034390E" w:rsidRPr="007C7C5F">
        <w:rPr>
          <w:rFonts w:asciiTheme="majorHAnsi" w:hAnsiTheme="majorHAnsi" w:cstheme="majorHAnsi"/>
        </w:rPr>
        <w:t xml:space="preserve">the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Burn</w:t>
      </w:r>
      <w:r w:rsidR="00604000">
        <w:rPr>
          <w:rFonts w:asciiTheme="majorHAnsi" w:hAnsiTheme="majorHAnsi" w:cstheme="majorHAnsi"/>
        </w:rPr>
        <w:t xml:space="preserve"> </w:t>
      </w:r>
      <w:r w:rsidRPr="007C7C5F">
        <w:rPr>
          <w:rFonts w:asciiTheme="majorHAnsi" w:hAnsiTheme="majorHAnsi" w:cstheme="majorHAnsi"/>
        </w:rPr>
        <w:t xml:space="preserve">catchment. In interpreting Figure </w:t>
      </w:r>
      <w:r w:rsidR="00F4056B" w:rsidRPr="007C7C5F">
        <w:rPr>
          <w:rFonts w:asciiTheme="majorHAnsi" w:hAnsiTheme="majorHAnsi" w:cstheme="majorHAnsi"/>
        </w:rPr>
        <w:t>4</w:t>
      </w:r>
      <w:r w:rsidRPr="007C7C5F">
        <w:rPr>
          <w:rFonts w:asciiTheme="majorHAnsi" w:hAnsiTheme="majorHAnsi" w:cstheme="majorHAnsi"/>
        </w:rPr>
        <w:t xml:space="preserve"> it is important to remember that the most cost-effective measures have a low cost associated with them per kg reduction in nitrate. Of </w:t>
      </w:r>
      <w:r w:rsidR="002B0FDB" w:rsidRPr="007C7C5F">
        <w:rPr>
          <w:rFonts w:asciiTheme="majorHAnsi" w:hAnsiTheme="majorHAnsi" w:cstheme="majorHAnsi"/>
        </w:rPr>
        <w:t xml:space="preserve">the </w:t>
      </w:r>
      <w:r w:rsidRPr="007C7C5F">
        <w:rPr>
          <w:rFonts w:asciiTheme="majorHAnsi" w:hAnsiTheme="majorHAnsi" w:cstheme="majorHAnsi"/>
        </w:rPr>
        <w:t xml:space="preserve">measures considered, the reduction in fertiliser applications is the most cost-effective, followed by a range of the </w:t>
      </w:r>
      <w:r w:rsidR="00A060EF">
        <w:rPr>
          <w:rFonts w:asciiTheme="majorHAnsi" w:hAnsiTheme="majorHAnsi" w:cstheme="majorHAnsi"/>
        </w:rPr>
        <w:t>‘</w:t>
      </w:r>
      <w:r w:rsidRPr="007C7C5F">
        <w:rPr>
          <w:rFonts w:asciiTheme="majorHAnsi" w:hAnsiTheme="majorHAnsi" w:cstheme="majorHAnsi"/>
        </w:rPr>
        <w:t>soft-engineering</w:t>
      </w:r>
      <w:r w:rsidR="00A060EF">
        <w:rPr>
          <w:rFonts w:asciiTheme="majorHAnsi" w:hAnsiTheme="majorHAnsi" w:cstheme="majorHAnsi"/>
        </w:rPr>
        <w:t>’</w:t>
      </w:r>
      <w:r w:rsidRPr="007C7C5F">
        <w:rPr>
          <w:rFonts w:asciiTheme="majorHAnsi" w:hAnsiTheme="majorHAnsi" w:cstheme="majorHAnsi"/>
        </w:rPr>
        <w:t xml:space="preserve"> type approaches, including </w:t>
      </w:r>
      <w:r w:rsidR="002B0FDB" w:rsidRPr="007C7C5F">
        <w:rPr>
          <w:rFonts w:asciiTheme="majorHAnsi" w:hAnsiTheme="majorHAnsi" w:cstheme="majorHAnsi"/>
        </w:rPr>
        <w:t xml:space="preserve">the </w:t>
      </w:r>
      <w:r w:rsidRPr="007C7C5F">
        <w:rPr>
          <w:rFonts w:asciiTheme="majorHAnsi" w:hAnsiTheme="majorHAnsi" w:cstheme="majorHAnsi"/>
        </w:rPr>
        <w:t xml:space="preserve">establishment of riparian buffer strips and constructed wetlands. In </w:t>
      </w:r>
      <w:r w:rsidR="00C10AFC" w:rsidRPr="007C7C5F">
        <w:rPr>
          <w:rFonts w:asciiTheme="majorHAnsi" w:hAnsiTheme="majorHAnsi" w:cstheme="majorHAnsi"/>
        </w:rPr>
        <w:t>general</w:t>
      </w:r>
      <w:r w:rsidRPr="007C7C5F">
        <w:rPr>
          <w:rFonts w:asciiTheme="majorHAnsi" w:hAnsiTheme="majorHAnsi" w:cstheme="majorHAnsi"/>
        </w:rPr>
        <w:t xml:space="preserve"> the measures related to livestock activities were found to be less cost-effective than those related to arable cropping management. In particular, reducing livestock numbers or stocking density </w:t>
      </w:r>
      <w:r w:rsidR="002B0FDB" w:rsidRPr="007C7C5F">
        <w:rPr>
          <w:rFonts w:asciiTheme="majorHAnsi" w:hAnsiTheme="majorHAnsi" w:cstheme="majorHAnsi"/>
        </w:rPr>
        <w:t>wa</w:t>
      </w:r>
      <w:r w:rsidRPr="007C7C5F">
        <w:rPr>
          <w:rFonts w:asciiTheme="majorHAnsi" w:hAnsiTheme="majorHAnsi" w:cstheme="majorHAnsi"/>
        </w:rPr>
        <w:t xml:space="preserve">s the least </w:t>
      </w:r>
      <w:r w:rsidR="002B0FDB" w:rsidRPr="007C7C5F">
        <w:rPr>
          <w:rFonts w:asciiTheme="majorHAnsi" w:hAnsiTheme="majorHAnsi" w:cstheme="majorHAnsi"/>
        </w:rPr>
        <w:t xml:space="preserve">cost-effective </w:t>
      </w:r>
      <w:r w:rsidRPr="007C7C5F">
        <w:rPr>
          <w:rFonts w:asciiTheme="majorHAnsi" w:hAnsiTheme="majorHAnsi" w:cstheme="majorHAnsi"/>
        </w:rPr>
        <w:t>measure (ca.</w:t>
      </w:r>
      <w:r w:rsidR="002B0FDB" w:rsidRPr="007C7C5F">
        <w:rPr>
          <w:rFonts w:asciiTheme="majorHAnsi" w:hAnsiTheme="majorHAnsi" w:cstheme="majorHAnsi"/>
        </w:rPr>
        <w:t xml:space="preserve"> </w:t>
      </w:r>
      <w:r w:rsidRPr="007C7C5F">
        <w:rPr>
          <w:rFonts w:asciiTheme="majorHAnsi" w:hAnsiTheme="majorHAnsi" w:cstheme="majorHAnsi"/>
        </w:rPr>
        <w:t xml:space="preserve">£21/ kg </w:t>
      </w:r>
      <w:r w:rsidR="002B0FDB" w:rsidRPr="007C7C5F">
        <w:rPr>
          <w:rFonts w:asciiTheme="majorHAnsi" w:hAnsiTheme="majorHAnsi" w:cstheme="majorHAnsi"/>
        </w:rPr>
        <w:t>NO</w:t>
      </w:r>
      <w:r w:rsidR="002B0FDB" w:rsidRPr="007C7C5F">
        <w:rPr>
          <w:rFonts w:asciiTheme="majorHAnsi" w:hAnsiTheme="majorHAnsi" w:cstheme="majorHAnsi"/>
          <w:vertAlign w:val="subscript"/>
        </w:rPr>
        <w:t>3</w:t>
      </w:r>
      <w:r w:rsidR="002B0FDB" w:rsidRPr="007C7C5F">
        <w:rPr>
          <w:rFonts w:asciiTheme="majorHAnsi" w:hAnsiTheme="majorHAnsi" w:cstheme="majorHAnsi"/>
        </w:rPr>
        <w:t>-N</w:t>
      </w:r>
      <w:r w:rsidRPr="007C7C5F">
        <w:rPr>
          <w:rFonts w:asciiTheme="majorHAnsi" w:hAnsiTheme="majorHAnsi" w:cstheme="majorHAnsi"/>
        </w:rPr>
        <w:t>/ha).</w:t>
      </w:r>
    </w:p>
    <w:p w14:paraId="69F333EF" w14:textId="77777777" w:rsidR="00F9563A" w:rsidRPr="007C7C5F" w:rsidRDefault="00F9563A" w:rsidP="00F9563A">
      <w:pPr>
        <w:jc w:val="both"/>
        <w:rPr>
          <w:rFonts w:asciiTheme="majorHAnsi" w:hAnsiTheme="majorHAnsi" w:cstheme="majorHAnsi"/>
        </w:rPr>
      </w:pPr>
    </w:p>
    <w:p w14:paraId="709C1E6A" w14:textId="7051BE57" w:rsidR="00F9563A" w:rsidRPr="007C7C5F" w:rsidRDefault="00F9563A" w:rsidP="00F9563A">
      <w:pPr>
        <w:jc w:val="both"/>
        <w:rPr>
          <w:rFonts w:asciiTheme="majorHAnsi" w:hAnsiTheme="majorHAnsi" w:cstheme="majorHAnsi"/>
        </w:rPr>
      </w:pPr>
      <w:r w:rsidRPr="007C7C5F">
        <w:rPr>
          <w:rFonts w:asciiTheme="majorHAnsi" w:hAnsiTheme="majorHAnsi" w:cstheme="majorHAnsi"/>
        </w:rPr>
        <w:t>Our analyses show that reducing fertilizer application</w:t>
      </w:r>
      <w:r w:rsidR="00964D21" w:rsidRPr="007C7C5F">
        <w:rPr>
          <w:rFonts w:asciiTheme="majorHAnsi" w:hAnsiTheme="majorHAnsi" w:cstheme="majorHAnsi"/>
        </w:rPr>
        <w:t xml:space="preserve"> in the arable sector,</w:t>
      </w:r>
      <w:r w:rsidRPr="007C7C5F">
        <w:rPr>
          <w:rFonts w:asciiTheme="majorHAnsi" w:hAnsiTheme="majorHAnsi" w:cstheme="majorHAnsi"/>
        </w:rPr>
        <w:t xml:space="preserve"> even up to 50%</w:t>
      </w:r>
      <w:r w:rsidR="00964D21" w:rsidRPr="007C7C5F">
        <w:rPr>
          <w:rFonts w:asciiTheme="majorHAnsi" w:hAnsiTheme="majorHAnsi" w:cstheme="majorHAnsi"/>
        </w:rPr>
        <w:t>,</w:t>
      </w:r>
      <w:r w:rsidRPr="007C7C5F">
        <w:rPr>
          <w:rFonts w:asciiTheme="majorHAnsi" w:hAnsiTheme="majorHAnsi" w:cstheme="majorHAnsi"/>
        </w:rPr>
        <w:t xml:space="preserve"> is more cost-effective than the other arable measures. Previous Defra</w:t>
      </w:r>
      <w:r w:rsidR="00964D21" w:rsidRPr="007C7C5F">
        <w:rPr>
          <w:rFonts w:asciiTheme="majorHAnsi" w:hAnsiTheme="majorHAnsi" w:cstheme="majorHAnsi"/>
        </w:rPr>
        <w:t>-</w:t>
      </w:r>
      <w:r w:rsidRPr="007C7C5F">
        <w:rPr>
          <w:rFonts w:asciiTheme="majorHAnsi" w:hAnsiTheme="majorHAnsi" w:cstheme="majorHAnsi"/>
        </w:rPr>
        <w:t xml:space="preserve">commissioned projects in England and Wales (e.g. Defra, 2004) found similar results. Two explanations are commonly provided for this result. First, applying less fertilizer means saving money that </w:t>
      </w:r>
      <w:r w:rsidR="00964D21" w:rsidRPr="007C7C5F">
        <w:rPr>
          <w:rFonts w:asciiTheme="majorHAnsi" w:hAnsiTheme="majorHAnsi" w:cstheme="majorHAnsi"/>
        </w:rPr>
        <w:t xml:space="preserve">would </w:t>
      </w:r>
      <w:r w:rsidRPr="007C7C5F">
        <w:rPr>
          <w:rFonts w:asciiTheme="majorHAnsi" w:hAnsiTheme="majorHAnsi" w:cstheme="majorHAnsi"/>
        </w:rPr>
        <w:t xml:space="preserve">have been spent on fertilizer; secondly, fertilizer reduction up to a certain threshold level has little impact on crop yield. The combined effect resulted in ‘fertilizer reduction’ </w:t>
      </w:r>
      <w:r w:rsidR="00964D21" w:rsidRPr="007C7C5F">
        <w:rPr>
          <w:rFonts w:asciiTheme="majorHAnsi" w:hAnsiTheme="majorHAnsi" w:cstheme="majorHAnsi"/>
        </w:rPr>
        <w:t xml:space="preserve">being </w:t>
      </w:r>
      <w:r w:rsidRPr="007C7C5F">
        <w:rPr>
          <w:rFonts w:asciiTheme="majorHAnsi" w:hAnsiTheme="majorHAnsi" w:cstheme="majorHAnsi"/>
        </w:rPr>
        <w:t>a cost-effective measure.</w:t>
      </w:r>
    </w:p>
    <w:p w14:paraId="7C07AE87" w14:textId="77777777" w:rsidR="0060535A" w:rsidRPr="007C7C5F" w:rsidRDefault="0060535A" w:rsidP="0077640E">
      <w:pPr>
        <w:spacing w:after="0"/>
        <w:jc w:val="both"/>
        <w:rPr>
          <w:rFonts w:asciiTheme="majorHAnsi" w:hAnsiTheme="majorHAnsi" w:cstheme="majorHAnsi"/>
        </w:rPr>
      </w:pPr>
    </w:p>
    <w:p w14:paraId="45854D91" w14:textId="59028513" w:rsidR="00F85551" w:rsidRDefault="004F172B" w:rsidP="00F85551">
      <w:pPr>
        <w:jc w:val="both"/>
        <w:rPr>
          <w:rFonts w:asciiTheme="majorHAnsi" w:hAnsiTheme="majorHAnsi" w:cstheme="majorHAnsi"/>
          <w:sz w:val="20"/>
          <w:szCs w:val="20"/>
          <w:lang w:val="en-US"/>
        </w:rPr>
      </w:pPr>
      <w:r>
        <w:rPr>
          <w:rFonts w:asciiTheme="majorHAnsi" w:hAnsiTheme="majorHAnsi" w:cstheme="majorHAnsi"/>
          <w:highlight w:val="yellow"/>
        </w:rPr>
        <w:t>&lt;&lt;</w:t>
      </w:r>
      <w:r w:rsidR="0013350E" w:rsidRPr="004F172B">
        <w:rPr>
          <w:rFonts w:asciiTheme="majorHAnsi" w:hAnsiTheme="majorHAnsi" w:cstheme="majorHAnsi"/>
          <w:highlight w:val="yellow"/>
        </w:rPr>
        <w:t xml:space="preserve">Figure </w:t>
      </w:r>
      <w:r w:rsidR="00F4056B" w:rsidRPr="004F172B">
        <w:rPr>
          <w:rFonts w:asciiTheme="majorHAnsi" w:hAnsiTheme="majorHAnsi" w:cstheme="majorHAnsi"/>
          <w:highlight w:val="yellow"/>
        </w:rPr>
        <w:t>4</w:t>
      </w:r>
      <w:r w:rsidRPr="004F172B">
        <w:rPr>
          <w:rFonts w:asciiTheme="majorHAnsi" w:hAnsiTheme="majorHAnsi" w:cstheme="majorHAnsi"/>
          <w:highlight w:val="yellow"/>
        </w:rPr>
        <w:t>&gt;&gt; here</w:t>
      </w:r>
    </w:p>
    <w:p w14:paraId="01CA1CF3" w14:textId="07032F2C" w:rsidR="004900F2" w:rsidRDefault="004F172B" w:rsidP="004F172B">
      <w:pPr>
        <w:spacing w:after="0"/>
        <w:jc w:val="both"/>
        <w:rPr>
          <w:rFonts w:asciiTheme="majorHAnsi" w:hAnsiTheme="majorHAnsi" w:cstheme="majorHAnsi"/>
        </w:rPr>
      </w:pPr>
      <w:bookmarkStart w:id="18" w:name="_Toc368663849"/>
      <w:r>
        <w:rPr>
          <w:rFonts w:asciiTheme="majorHAnsi" w:hAnsiTheme="majorHAnsi" w:cstheme="majorHAnsi"/>
          <w:highlight w:val="yellow"/>
        </w:rPr>
        <w:t>&lt;&lt;</w:t>
      </w:r>
      <w:r w:rsidR="00A94196" w:rsidRPr="004F172B">
        <w:rPr>
          <w:rFonts w:asciiTheme="majorHAnsi" w:hAnsiTheme="majorHAnsi" w:cstheme="majorHAnsi"/>
          <w:highlight w:val="yellow"/>
        </w:rPr>
        <w:t xml:space="preserve">Table </w:t>
      </w:r>
      <w:r w:rsidR="00AD42EA" w:rsidRPr="004F172B">
        <w:rPr>
          <w:rFonts w:asciiTheme="majorHAnsi" w:hAnsiTheme="majorHAnsi" w:cstheme="majorHAnsi"/>
          <w:highlight w:val="yellow"/>
        </w:rPr>
        <w:t>5</w:t>
      </w:r>
      <w:r w:rsidRPr="004F172B">
        <w:rPr>
          <w:rFonts w:asciiTheme="majorHAnsi" w:hAnsiTheme="majorHAnsi" w:cstheme="majorHAnsi"/>
          <w:highlight w:val="yellow"/>
        </w:rPr>
        <w:t>&gt;&gt; here</w:t>
      </w:r>
      <w:bookmarkEnd w:id="18"/>
    </w:p>
    <w:p w14:paraId="557DF3A5" w14:textId="77777777" w:rsidR="004F172B" w:rsidRPr="007C7C5F" w:rsidRDefault="004F172B" w:rsidP="004F172B">
      <w:pPr>
        <w:spacing w:after="0"/>
        <w:jc w:val="both"/>
        <w:rPr>
          <w:rFonts w:asciiTheme="majorHAnsi" w:hAnsiTheme="majorHAnsi" w:cstheme="majorHAnsi"/>
          <w:bCs/>
        </w:rPr>
      </w:pPr>
    </w:p>
    <w:p w14:paraId="41C554FE" w14:textId="0BE58436" w:rsidR="00F07477" w:rsidRPr="007C7C5F" w:rsidRDefault="00AD42EA" w:rsidP="00BB34DA">
      <w:pPr>
        <w:spacing w:after="0"/>
        <w:jc w:val="both"/>
        <w:rPr>
          <w:rFonts w:asciiTheme="majorHAnsi" w:hAnsiTheme="majorHAnsi" w:cstheme="majorHAnsi"/>
        </w:rPr>
      </w:pPr>
      <w:r w:rsidRPr="007C7C5F">
        <w:rPr>
          <w:rFonts w:asciiTheme="majorHAnsi" w:hAnsiTheme="majorHAnsi" w:cstheme="majorHAnsi"/>
          <w:bCs/>
        </w:rPr>
        <w:t>Table 5</w:t>
      </w:r>
      <w:r w:rsidR="00BB34DA" w:rsidRPr="007C7C5F">
        <w:rPr>
          <w:rFonts w:asciiTheme="majorHAnsi" w:hAnsiTheme="majorHAnsi" w:cstheme="majorHAnsi"/>
          <w:bCs/>
        </w:rPr>
        <w:t xml:space="preserve"> presents the combination of </w:t>
      </w:r>
      <w:r w:rsidR="003D592E" w:rsidRPr="007C7C5F">
        <w:rPr>
          <w:rFonts w:asciiTheme="majorHAnsi" w:hAnsiTheme="majorHAnsi" w:cstheme="majorHAnsi"/>
          <w:bCs/>
        </w:rPr>
        <w:t xml:space="preserve">low-cost measures </w:t>
      </w:r>
      <w:r w:rsidR="00FF69C7" w:rsidRPr="007C7C5F">
        <w:rPr>
          <w:rFonts w:asciiTheme="majorHAnsi" w:hAnsiTheme="majorHAnsi" w:cstheme="majorHAnsi"/>
          <w:bCs/>
        </w:rPr>
        <w:t>to</w:t>
      </w:r>
      <w:r w:rsidR="003D592E" w:rsidRPr="007C7C5F">
        <w:rPr>
          <w:rFonts w:asciiTheme="majorHAnsi" w:hAnsiTheme="majorHAnsi" w:cstheme="majorHAnsi"/>
          <w:bCs/>
        </w:rPr>
        <w:t xml:space="preserve"> achieve </w:t>
      </w:r>
      <w:r w:rsidR="00477892" w:rsidRPr="007C7C5F">
        <w:rPr>
          <w:rFonts w:asciiTheme="majorHAnsi" w:hAnsiTheme="majorHAnsi" w:cstheme="majorHAnsi"/>
          <w:bCs/>
        </w:rPr>
        <w:t xml:space="preserve">the </w:t>
      </w:r>
      <w:r w:rsidR="00BB34DA" w:rsidRPr="007C7C5F">
        <w:rPr>
          <w:rFonts w:asciiTheme="majorHAnsi" w:hAnsiTheme="majorHAnsi" w:cstheme="majorHAnsi"/>
          <w:bCs/>
        </w:rPr>
        <w:t xml:space="preserve">water quality </w:t>
      </w:r>
      <w:r w:rsidR="00477892" w:rsidRPr="007C7C5F">
        <w:rPr>
          <w:rFonts w:asciiTheme="majorHAnsi" w:hAnsiTheme="majorHAnsi" w:cstheme="majorHAnsi"/>
          <w:bCs/>
        </w:rPr>
        <w:t>targets</w:t>
      </w:r>
      <w:r w:rsidR="00BB34DA" w:rsidRPr="007C7C5F">
        <w:rPr>
          <w:rFonts w:asciiTheme="majorHAnsi" w:hAnsiTheme="majorHAnsi" w:cstheme="majorHAnsi"/>
          <w:bCs/>
        </w:rPr>
        <w:t xml:space="preserve"> set for </w:t>
      </w:r>
      <w:r w:rsidR="00477892" w:rsidRPr="007C7C5F">
        <w:rPr>
          <w:rFonts w:asciiTheme="majorHAnsi" w:hAnsiTheme="majorHAnsi" w:cstheme="majorHAnsi"/>
          <w:bCs/>
        </w:rPr>
        <w:t xml:space="preserve">mean annual nitrate concentrations </w:t>
      </w:r>
      <w:r w:rsidR="00BB34DA" w:rsidRPr="007C7C5F">
        <w:rPr>
          <w:rFonts w:asciiTheme="majorHAnsi" w:hAnsiTheme="majorHAnsi" w:cstheme="majorHAnsi"/>
          <w:bCs/>
        </w:rPr>
        <w:t xml:space="preserve">in </w:t>
      </w:r>
      <w:r w:rsidR="00477892" w:rsidRPr="007C7C5F">
        <w:rPr>
          <w:rFonts w:asciiTheme="majorHAnsi" w:hAnsiTheme="majorHAnsi" w:cstheme="majorHAnsi"/>
          <w:bCs/>
        </w:rPr>
        <w:t xml:space="preserve">the </w:t>
      </w:r>
      <w:proofErr w:type="spellStart"/>
      <w:r w:rsidR="00BB34DA" w:rsidRPr="007C7C5F">
        <w:rPr>
          <w:rFonts w:asciiTheme="majorHAnsi" w:hAnsiTheme="majorHAnsi" w:cstheme="majorHAnsi"/>
          <w:bCs/>
        </w:rPr>
        <w:t>Tarlan</w:t>
      </w:r>
      <w:r w:rsidR="0060069F" w:rsidRPr="007C7C5F">
        <w:rPr>
          <w:rFonts w:asciiTheme="majorHAnsi" w:hAnsiTheme="majorHAnsi" w:cstheme="majorHAnsi"/>
          <w:bCs/>
        </w:rPr>
        <w:t>d</w:t>
      </w:r>
      <w:proofErr w:type="spellEnd"/>
      <w:r w:rsidR="00477892" w:rsidRPr="007C7C5F">
        <w:rPr>
          <w:rFonts w:asciiTheme="majorHAnsi" w:hAnsiTheme="majorHAnsi" w:cstheme="majorHAnsi"/>
          <w:bCs/>
        </w:rPr>
        <w:t xml:space="preserve"> Burn. </w:t>
      </w:r>
      <w:r w:rsidR="00BB34DA" w:rsidRPr="007C7C5F">
        <w:rPr>
          <w:rFonts w:asciiTheme="majorHAnsi" w:hAnsiTheme="majorHAnsi" w:cstheme="majorHAnsi"/>
          <w:bCs/>
        </w:rPr>
        <w:t>T</w:t>
      </w:r>
      <w:r w:rsidR="00BB34DA" w:rsidRPr="007C7C5F">
        <w:rPr>
          <w:rFonts w:asciiTheme="majorHAnsi" w:hAnsiTheme="majorHAnsi" w:cstheme="majorHAnsi"/>
        </w:rPr>
        <w:t xml:space="preserve">he most cost-effective </w:t>
      </w:r>
      <w:r w:rsidR="00477892" w:rsidRPr="007C7C5F">
        <w:rPr>
          <w:rFonts w:asciiTheme="majorHAnsi" w:hAnsiTheme="majorHAnsi" w:cstheme="majorHAnsi"/>
        </w:rPr>
        <w:t xml:space="preserve">means </w:t>
      </w:r>
      <w:r w:rsidR="00BB34DA" w:rsidRPr="007C7C5F">
        <w:rPr>
          <w:rFonts w:asciiTheme="majorHAnsi" w:hAnsiTheme="majorHAnsi" w:cstheme="majorHAnsi"/>
        </w:rPr>
        <w:t xml:space="preserve">of achieving a 10% reduction in nitrate concentration is through a combination </w:t>
      </w:r>
      <w:r w:rsidR="00477892" w:rsidRPr="007C7C5F">
        <w:rPr>
          <w:rFonts w:asciiTheme="majorHAnsi" w:hAnsiTheme="majorHAnsi" w:cstheme="majorHAnsi"/>
        </w:rPr>
        <w:t xml:space="preserve">of </w:t>
      </w:r>
      <w:r w:rsidR="00BB34DA" w:rsidRPr="007C7C5F">
        <w:rPr>
          <w:rFonts w:asciiTheme="majorHAnsi" w:hAnsiTheme="majorHAnsi" w:cstheme="majorHAnsi"/>
        </w:rPr>
        <w:t>reduc</w:t>
      </w:r>
      <w:r w:rsidR="00477892" w:rsidRPr="007C7C5F">
        <w:rPr>
          <w:rFonts w:asciiTheme="majorHAnsi" w:hAnsiTheme="majorHAnsi" w:cstheme="majorHAnsi"/>
        </w:rPr>
        <w:t>ing</w:t>
      </w:r>
      <w:r w:rsidR="00BB34DA" w:rsidRPr="007C7C5F">
        <w:rPr>
          <w:rFonts w:asciiTheme="majorHAnsi" w:hAnsiTheme="majorHAnsi" w:cstheme="majorHAnsi"/>
        </w:rPr>
        <w:t xml:space="preserve"> fertiliser applications by 20%</w:t>
      </w:r>
      <w:r w:rsidR="00477892" w:rsidRPr="007C7C5F">
        <w:rPr>
          <w:rFonts w:asciiTheme="majorHAnsi" w:hAnsiTheme="majorHAnsi" w:cstheme="majorHAnsi"/>
        </w:rPr>
        <w:t>,</w:t>
      </w:r>
      <w:r w:rsidR="00BB34DA" w:rsidRPr="007C7C5F">
        <w:rPr>
          <w:rFonts w:asciiTheme="majorHAnsi" w:hAnsiTheme="majorHAnsi" w:cstheme="majorHAnsi"/>
        </w:rPr>
        <w:t xml:space="preserve"> establish</w:t>
      </w:r>
      <w:r w:rsidR="00477892" w:rsidRPr="007C7C5F">
        <w:rPr>
          <w:rFonts w:asciiTheme="majorHAnsi" w:hAnsiTheme="majorHAnsi" w:cstheme="majorHAnsi"/>
        </w:rPr>
        <w:t>ing</w:t>
      </w:r>
      <w:r w:rsidR="00BB34DA" w:rsidRPr="007C7C5F">
        <w:rPr>
          <w:rFonts w:asciiTheme="majorHAnsi" w:hAnsiTheme="majorHAnsi" w:cstheme="majorHAnsi"/>
        </w:rPr>
        <w:t xml:space="preserve"> 10m well-managed buffer strips along riparian crop land and establish</w:t>
      </w:r>
      <w:r w:rsidR="00477892" w:rsidRPr="007C7C5F">
        <w:rPr>
          <w:rFonts w:asciiTheme="majorHAnsi" w:hAnsiTheme="majorHAnsi" w:cstheme="majorHAnsi"/>
        </w:rPr>
        <w:t>ing</w:t>
      </w:r>
      <w:r w:rsidR="00BB34DA" w:rsidRPr="007C7C5F">
        <w:rPr>
          <w:rFonts w:asciiTheme="majorHAnsi" w:hAnsiTheme="majorHAnsi" w:cstheme="majorHAnsi"/>
        </w:rPr>
        <w:t xml:space="preserve"> one </w:t>
      </w:r>
      <w:r w:rsidR="00BB34DA" w:rsidRPr="007C7C5F">
        <w:rPr>
          <w:rFonts w:asciiTheme="majorHAnsi" w:hAnsiTheme="majorHAnsi" w:cstheme="majorHAnsi"/>
        </w:rPr>
        <w:lastRenderedPageBreak/>
        <w:t>large-scale constructed wetland.</w:t>
      </w:r>
      <w:r w:rsidR="00FF69C7" w:rsidRPr="007C7C5F">
        <w:rPr>
          <w:rFonts w:asciiTheme="majorHAnsi" w:hAnsiTheme="majorHAnsi" w:cstheme="majorHAnsi"/>
          <w:bCs/>
        </w:rPr>
        <w:t xml:space="preserve"> These three </w:t>
      </w:r>
      <w:r w:rsidR="008F7875" w:rsidRPr="007C7C5F">
        <w:rPr>
          <w:rFonts w:asciiTheme="majorHAnsi" w:hAnsiTheme="majorHAnsi" w:cstheme="majorHAnsi"/>
          <w:bCs/>
        </w:rPr>
        <w:t>measures</w:t>
      </w:r>
      <w:r w:rsidR="00FF69C7" w:rsidRPr="007C7C5F">
        <w:rPr>
          <w:rFonts w:asciiTheme="majorHAnsi" w:hAnsiTheme="majorHAnsi" w:cstheme="majorHAnsi"/>
          <w:bCs/>
        </w:rPr>
        <w:t xml:space="preserve"> </w:t>
      </w:r>
      <w:r w:rsidR="003D592E" w:rsidRPr="007C7C5F">
        <w:rPr>
          <w:rFonts w:asciiTheme="majorHAnsi" w:hAnsiTheme="majorHAnsi" w:cstheme="majorHAnsi"/>
          <w:bCs/>
        </w:rPr>
        <w:t xml:space="preserve">can achieve the 10% N reduction at a total cost of </w:t>
      </w:r>
      <w:r w:rsidR="00FF69C7" w:rsidRPr="007C7C5F">
        <w:rPr>
          <w:rFonts w:asciiTheme="majorHAnsi" w:hAnsiTheme="majorHAnsi" w:cstheme="majorHAnsi"/>
          <w:bCs/>
        </w:rPr>
        <w:t xml:space="preserve">about </w:t>
      </w:r>
      <w:r w:rsidR="003D592E" w:rsidRPr="007C7C5F">
        <w:rPr>
          <w:rFonts w:asciiTheme="majorHAnsi" w:hAnsiTheme="majorHAnsi" w:cstheme="majorHAnsi"/>
          <w:bCs/>
        </w:rPr>
        <w:t>£15,000. However, if we set a more stringent concentration standard (</w:t>
      </w:r>
      <w:r w:rsidR="00477892" w:rsidRPr="007C7C5F">
        <w:rPr>
          <w:rFonts w:asciiTheme="majorHAnsi" w:hAnsiTheme="majorHAnsi" w:cstheme="majorHAnsi"/>
          <w:bCs/>
        </w:rPr>
        <w:t xml:space="preserve">mean annual concentration of </w:t>
      </w:r>
      <w:r w:rsidR="003D592E" w:rsidRPr="007C7C5F">
        <w:rPr>
          <w:rFonts w:asciiTheme="majorHAnsi" w:hAnsiTheme="majorHAnsi" w:cstheme="majorHAnsi"/>
          <w:bCs/>
        </w:rPr>
        <w:t xml:space="preserve">2.5 mg </w:t>
      </w:r>
      <w:r w:rsidR="00477892" w:rsidRPr="007C7C5F">
        <w:rPr>
          <w:rFonts w:asciiTheme="majorHAnsi" w:hAnsiTheme="majorHAnsi" w:cstheme="majorHAnsi"/>
          <w:bCs/>
        </w:rPr>
        <w:t>NO</w:t>
      </w:r>
      <w:r w:rsidR="00477892" w:rsidRPr="007C7C5F">
        <w:rPr>
          <w:rFonts w:asciiTheme="majorHAnsi" w:hAnsiTheme="majorHAnsi" w:cstheme="majorHAnsi"/>
          <w:bCs/>
          <w:vertAlign w:val="subscript"/>
        </w:rPr>
        <w:t>3</w:t>
      </w:r>
      <w:r w:rsidR="00477892" w:rsidRPr="007C7C5F">
        <w:rPr>
          <w:rFonts w:asciiTheme="majorHAnsi" w:hAnsiTheme="majorHAnsi" w:cstheme="majorHAnsi"/>
          <w:bCs/>
          <w:vertAlign w:val="superscript"/>
        </w:rPr>
        <w:t>-</w:t>
      </w:r>
      <w:r w:rsidR="00477892" w:rsidRPr="007C7C5F">
        <w:rPr>
          <w:rFonts w:asciiTheme="majorHAnsi" w:hAnsiTheme="majorHAnsi" w:cstheme="majorHAnsi"/>
          <w:bCs/>
        </w:rPr>
        <w:t>-</w:t>
      </w:r>
      <w:r w:rsidR="003D592E" w:rsidRPr="007C7C5F">
        <w:rPr>
          <w:rFonts w:asciiTheme="majorHAnsi" w:hAnsiTheme="majorHAnsi" w:cstheme="majorHAnsi"/>
          <w:bCs/>
        </w:rPr>
        <w:t xml:space="preserve">N/l), </w:t>
      </w:r>
      <w:r w:rsidR="00477892" w:rsidRPr="007C7C5F">
        <w:rPr>
          <w:rFonts w:asciiTheme="majorHAnsi" w:hAnsiTheme="majorHAnsi" w:cstheme="majorHAnsi"/>
          <w:bCs/>
        </w:rPr>
        <w:t xml:space="preserve">the </w:t>
      </w:r>
      <w:r w:rsidR="00EB61B3" w:rsidRPr="007C7C5F">
        <w:rPr>
          <w:rFonts w:asciiTheme="majorHAnsi" w:hAnsiTheme="majorHAnsi" w:cstheme="majorHAnsi"/>
          <w:bCs/>
        </w:rPr>
        <w:t xml:space="preserve">cost-effective </w:t>
      </w:r>
      <w:r w:rsidR="003D592E" w:rsidRPr="007C7C5F">
        <w:rPr>
          <w:rFonts w:asciiTheme="majorHAnsi" w:hAnsiTheme="majorHAnsi" w:cstheme="majorHAnsi"/>
          <w:bCs/>
        </w:rPr>
        <w:t>measures required to achieve this target cost nearly 4 times</w:t>
      </w:r>
      <w:r w:rsidR="00477892" w:rsidRPr="007C7C5F">
        <w:rPr>
          <w:rFonts w:asciiTheme="majorHAnsi" w:hAnsiTheme="majorHAnsi" w:cstheme="majorHAnsi"/>
          <w:bCs/>
        </w:rPr>
        <w:t xml:space="preserve"> as much</w:t>
      </w:r>
      <w:r w:rsidR="003D592E" w:rsidRPr="007C7C5F">
        <w:rPr>
          <w:rFonts w:asciiTheme="majorHAnsi" w:hAnsiTheme="majorHAnsi" w:cstheme="majorHAnsi"/>
          <w:bCs/>
        </w:rPr>
        <w:t xml:space="preserve"> (£110,804).</w:t>
      </w:r>
      <w:r w:rsidR="00926B77" w:rsidRPr="007C7C5F">
        <w:rPr>
          <w:rFonts w:asciiTheme="majorHAnsi" w:hAnsiTheme="majorHAnsi" w:cstheme="majorHAnsi"/>
          <w:bCs/>
        </w:rPr>
        <w:t xml:space="preserve"> </w:t>
      </w:r>
      <w:r w:rsidR="00FF69C7" w:rsidRPr="007C7C5F">
        <w:rPr>
          <w:rFonts w:asciiTheme="majorHAnsi" w:hAnsiTheme="majorHAnsi" w:cstheme="majorHAnsi"/>
          <w:bCs/>
        </w:rPr>
        <w:t>The 2.5 mg N</w:t>
      </w:r>
      <w:r w:rsidR="00964D21" w:rsidRPr="007C7C5F">
        <w:rPr>
          <w:rFonts w:asciiTheme="majorHAnsi" w:hAnsiTheme="majorHAnsi" w:cstheme="majorHAnsi"/>
          <w:bCs/>
        </w:rPr>
        <w:t>O</w:t>
      </w:r>
      <w:r w:rsidR="00964D21" w:rsidRPr="007C7C5F">
        <w:rPr>
          <w:rFonts w:asciiTheme="majorHAnsi" w:hAnsiTheme="majorHAnsi" w:cstheme="majorHAnsi"/>
          <w:bCs/>
          <w:vertAlign w:val="subscript"/>
        </w:rPr>
        <w:t>3</w:t>
      </w:r>
      <w:r w:rsidR="00964D21" w:rsidRPr="007C7C5F">
        <w:rPr>
          <w:rFonts w:asciiTheme="majorHAnsi" w:hAnsiTheme="majorHAnsi" w:cstheme="majorHAnsi"/>
          <w:bCs/>
        </w:rPr>
        <w:t>-N</w:t>
      </w:r>
      <w:r w:rsidR="00FF69C7" w:rsidRPr="007C7C5F">
        <w:rPr>
          <w:rFonts w:asciiTheme="majorHAnsi" w:hAnsiTheme="majorHAnsi" w:cstheme="majorHAnsi"/>
          <w:bCs/>
        </w:rPr>
        <w:t>/l standard require</w:t>
      </w:r>
      <w:r w:rsidR="008F7875" w:rsidRPr="007C7C5F">
        <w:rPr>
          <w:rFonts w:asciiTheme="majorHAnsi" w:hAnsiTheme="majorHAnsi" w:cstheme="majorHAnsi"/>
          <w:bCs/>
        </w:rPr>
        <w:t>s</w:t>
      </w:r>
      <w:r w:rsidR="00FF69C7" w:rsidRPr="007C7C5F">
        <w:rPr>
          <w:rFonts w:asciiTheme="majorHAnsi" w:hAnsiTheme="majorHAnsi" w:cstheme="majorHAnsi"/>
          <w:bCs/>
        </w:rPr>
        <w:t xml:space="preserve"> </w:t>
      </w:r>
      <w:r w:rsidR="00964D21" w:rsidRPr="007C7C5F">
        <w:rPr>
          <w:rFonts w:asciiTheme="majorHAnsi" w:hAnsiTheme="majorHAnsi" w:cstheme="majorHAnsi"/>
          <w:bCs/>
        </w:rPr>
        <w:t xml:space="preserve">the </w:t>
      </w:r>
      <w:r w:rsidR="00FF69C7" w:rsidRPr="007C7C5F">
        <w:rPr>
          <w:rFonts w:asciiTheme="majorHAnsi" w:hAnsiTheme="majorHAnsi" w:cstheme="majorHAnsi"/>
          <w:bCs/>
        </w:rPr>
        <w:t xml:space="preserve">adoption of </w:t>
      </w:r>
      <w:r w:rsidR="00BB34DA" w:rsidRPr="007C7C5F">
        <w:rPr>
          <w:rFonts w:asciiTheme="majorHAnsi" w:hAnsiTheme="majorHAnsi" w:cstheme="majorHAnsi"/>
          <w:bCs/>
        </w:rPr>
        <w:t xml:space="preserve">three </w:t>
      </w:r>
      <w:r w:rsidR="00964D21" w:rsidRPr="007C7C5F">
        <w:rPr>
          <w:rFonts w:asciiTheme="majorHAnsi" w:hAnsiTheme="majorHAnsi" w:cstheme="majorHAnsi"/>
          <w:bCs/>
        </w:rPr>
        <w:t>additional</w:t>
      </w:r>
      <w:r w:rsidR="00BB34DA" w:rsidRPr="007C7C5F">
        <w:rPr>
          <w:rFonts w:asciiTheme="majorHAnsi" w:hAnsiTheme="majorHAnsi" w:cstheme="majorHAnsi"/>
          <w:bCs/>
        </w:rPr>
        <w:t xml:space="preserve"> measures (Table 3</w:t>
      </w:r>
      <w:r w:rsidR="008F7875" w:rsidRPr="007C7C5F">
        <w:rPr>
          <w:rFonts w:asciiTheme="majorHAnsi" w:hAnsiTheme="majorHAnsi" w:cstheme="majorHAnsi"/>
          <w:bCs/>
        </w:rPr>
        <w:t xml:space="preserve">) </w:t>
      </w:r>
      <w:r w:rsidR="00964D21" w:rsidRPr="007C7C5F">
        <w:rPr>
          <w:rFonts w:asciiTheme="majorHAnsi" w:hAnsiTheme="majorHAnsi" w:cstheme="majorHAnsi"/>
          <w:bCs/>
        </w:rPr>
        <w:t xml:space="preserve">on top of </w:t>
      </w:r>
      <w:r w:rsidR="008F7875" w:rsidRPr="007C7C5F">
        <w:rPr>
          <w:rFonts w:asciiTheme="majorHAnsi" w:hAnsiTheme="majorHAnsi" w:cstheme="majorHAnsi"/>
          <w:bCs/>
        </w:rPr>
        <w:t xml:space="preserve">those identified for the 3 mg /l </w:t>
      </w:r>
      <w:r w:rsidR="00964D21" w:rsidRPr="007C7C5F">
        <w:rPr>
          <w:rFonts w:asciiTheme="majorHAnsi" w:hAnsiTheme="majorHAnsi" w:cstheme="majorHAnsi"/>
          <w:bCs/>
        </w:rPr>
        <w:t>target</w:t>
      </w:r>
      <w:r w:rsidR="008F7875" w:rsidRPr="007C7C5F">
        <w:rPr>
          <w:rFonts w:asciiTheme="majorHAnsi" w:hAnsiTheme="majorHAnsi" w:cstheme="majorHAnsi"/>
          <w:bCs/>
        </w:rPr>
        <w:t>.</w:t>
      </w:r>
    </w:p>
    <w:p w14:paraId="2EED1015" w14:textId="77777777" w:rsidR="00AD42EA" w:rsidRPr="007C7C5F" w:rsidRDefault="00AD42EA" w:rsidP="001641BE">
      <w:pPr>
        <w:spacing w:after="0"/>
        <w:jc w:val="both"/>
        <w:rPr>
          <w:rFonts w:asciiTheme="majorHAnsi" w:hAnsiTheme="majorHAnsi" w:cstheme="majorHAnsi"/>
        </w:rPr>
      </w:pPr>
    </w:p>
    <w:p w14:paraId="31E4720F" w14:textId="5493D754" w:rsidR="0004261A" w:rsidRPr="007C7C5F" w:rsidRDefault="00AD42EA" w:rsidP="001641BE">
      <w:pPr>
        <w:spacing w:after="0"/>
        <w:jc w:val="both"/>
        <w:rPr>
          <w:rFonts w:asciiTheme="majorHAnsi" w:hAnsiTheme="majorHAnsi" w:cstheme="majorHAnsi"/>
        </w:rPr>
      </w:pPr>
      <w:r w:rsidRPr="007C7C5F">
        <w:rPr>
          <w:rFonts w:asciiTheme="majorHAnsi" w:hAnsiTheme="majorHAnsi" w:cstheme="majorHAnsi"/>
        </w:rPr>
        <w:t xml:space="preserve">As far as the </w:t>
      </w:r>
      <w:r w:rsidR="00964D21" w:rsidRPr="007C7C5F">
        <w:rPr>
          <w:rFonts w:asciiTheme="majorHAnsi" w:hAnsiTheme="majorHAnsi" w:cstheme="majorHAnsi"/>
        </w:rPr>
        <w:t>SR</w:t>
      </w:r>
      <w:r w:rsidRPr="007C7C5F">
        <w:rPr>
          <w:rFonts w:asciiTheme="majorHAnsi" w:hAnsiTheme="majorHAnsi" w:cstheme="majorHAnsi"/>
        </w:rPr>
        <w:t>P mitigation measures are concerned, r</w:t>
      </w:r>
      <w:r w:rsidR="008535F6" w:rsidRPr="007C7C5F">
        <w:rPr>
          <w:rFonts w:asciiTheme="majorHAnsi" w:hAnsiTheme="majorHAnsi" w:cstheme="majorHAnsi"/>
        </w:rPr>
        <w:t>eductions in</w:t>
      </w:r>
      <w:r w:rsidR="0004261A" w:rsidRPr="007C7C5F">
        <w:rPr>
          <w:rFonts w:asciiTheme="majorHAnsi" w:hAnsiTheme="majorHAnsi" w:cstheme="majorHAnsi"/>
        </w:rPr>
        <w:t xml:space="preserve"> fertilizer application</w:t>
      </w:r>
      <w:r w:rsidR="0034390E" w:rsidRPr="007C7C5F">
        <w:rPr>
          <w:rFonts w:asciiTheme="majorHAnsi" w:hAnsiTheme="majorHAnsi" w:cstheme="majorHAnsi"/>
        </w:rPr>
        <w:t>s</w:t>
      </w:r>
      <w:r w:rsidR="0004261A" w:rsidRPr="007C7C5F">
        <w:rPr>
          <w:rFonts w:asciiTheme="majorHAnsi" w:hAnsiTheme="majorHAnsi" w:cstheme="majorHAnsi"/>
        </w:rPr>
        <w:t xml:space="preserve"> </w:t>
      </w:r>
      <w:r w:rsidR="008535F6" w:rsidRPr="007C7C5F">
        <w:rPr>
          <w:rFonts w:asciiTheme="majorHAnsi" w:hAnsiTheme="majorHAnsi" w:cstheme="majorHAnsi"/>
        </w:rPr>
        <w:t>in</w:t>
      </w:r>
      <w:r w:rsidR="0004261A" w:rsidRPr="007C7C5F">
        <w:rPr>
          <w:rFonts w:asciiTheme="majorHAnsi" w:hAnsiTheme="majorHAnsi" w:cstheme="majorHAnsi"/>
        </w:rPr>
        <w:t xml:space="preserve"> grassland </w:t>
      </w:r>
      <w:r w:rsidR="008535F6" w:rsidRPr="007C7C5F">
        <w:rPr>
          <w:rFonts w:asciiTheme="majorHAnsi" w:hAnsiTheme="majorHAnsi" w:cstheme="majorHAnsi"/>
        </w:rPr>
        <w:t>system</w:t>
      </w:r>
      <w:r w:rsidR="0034390E" w:rsidRPr="007C7C5F">
        <w:rPr>
          <w:rFonts w:asciiTheme="majorHAnsi" w:hAnsiTheme="majorHAnsi" w:cstheme="majorHAnsi"/>
        </w:rPr>
        <w:t>s</w:t>
      </w:r>
      <w:r w:rsidR="008535F6" w:rsidRPr="007C7C5F">
        <w:rPr>
          <w:rFonts w:asciiTheme="majorHAnsi" w:hAnsiTheme="majorHAnsi" w:cstheme="majorHAnsi"/>
        </w:rPr>
        <w:t xml:space="preserve"> resulted</w:t>
      </w:r>
      <w:r w:rsidR="0004261A" w:rsidRPr="007C7C5F">
        <w:rPr>
          <w:rFonts w:asciiTheme="majorHAnsi" w:hAnsiTheme="majorHAnsi" w:cstheme="majorHAnsi"/>
        </w:rPr>
        <w:t xml:space="preserve"> in savings of money</w:t>
      </w:r>
      <w:r w:rsidR="00590591" w:rsidRPr="007C7C5F">
        <w:rPr>
          <w:rFonts w:asciiTheme="majorHAnsi" w:hAnsiTheme="majorHAnsi" w:cstheme="majorHAnsi"/>
        </w:rPr>
        <w:t xml:space="preserve"> (Figure 5)</w:t>
      </w:r>
      <w:r w:rsidR="0004261A" w:rsidRPr="007C7C5F">
        <w:rPr>
          <w:rFonts w:asciiTheme="majorHAnsi" w:hAnsiTheme="majorHAnsi" w:cstheme="majorHAnsi"/>
        </w:rPr>
        <w:t xml:space="preserve">. </w:t>
      </w:r>
      <w:r w:rsidR="0034390E" w:rsidRPr="007C7C5F">
        <w:rPr>
          <w:rFonts w:asciiTheme="majorHAnsi" w:hAnsiTheme="majorHAnsi" w:cstheme="majorHAnsi"/>
        </w:rPr>
        <w:t>C</w:t>
      </w:r>
      <w:r w:rsidR="009F022E" w:rsidRPr="007C7C5F">
        <w:rPr>
          <w:rFonts w:asciiTheme="majorHAnsi" w:hAnsiTheme="majorHAnsi" w:cstheme="majorHAnsi"/>
        </w:rPr>
        <w:t>onversion of arable land to rough grazing system</w:t>
      </w:r>
      <w:r w:rsidR="0034390E" w:rsidRPr="007C7C5F">
        <w:rPr>
          <w:rFonts w:asciiTheme="majorHAnsi" w:hAnsiTheme="majorHAnsi" w:cstheme="majorHAnsi"/>
        </w:rPr>
        <w:t>s</w:t>
      </w:r>
      <w:r w:rsidR="009F022E" w:rsidRPr="007C7C5F">
        <w:rPr>
          <w:rFonts w:asciiTheme="majorHAnsi" w:hAnsiTheme="majorHAnsi" w:cstheme="majorHAnsi"/>
        </w:rPr>
        <w:t xml:space="preserve"> is the most expensive measure. Measures related WWTWS are modest in terms of cost-effectiveness.</w:t>
      </w:r>
    </w:p>
    <w:p w14:paraId="22C2B65A" w14:textId="77777777" w:rsidR="00A2302A" w:rsidRPr="007C7C5F" w:rsidRDefault="00A2302A" w:rsidP="001641BE">
      <w:pPr>
        <w:spacing w:after="0"/>
        <w:jc w:val="both"/>
        <w:rPr>
          <w:rFonts w:asciiTheme="majorHAnsi" w:hAnsiTheme="majorHAnsi" w:cstheme="majorHAnsi"/>
        </w:rPr>
      </w:pPr>
    </w:p>
    <w:p w14:paraId="23F87714" w14:textId="24182666" w:rsidR="00B847AA" w:rsidRPr="007C7C5F" w:rsidRDefault="00926B77" w:rsidP="000E1BA3">
      <w:pPr>
        <w:pStyle w:val="Caption"/>
        <w:rPr>
          <w:rFonts w:asciiTheme="majorHAnsi" w:hAnsiTheme="majorHAnsi" w:cstheme="majorHAnsi"/>
          <w:b w:val="0"/>
          <w:color w:val="auto"/>
          <w:sz w:val="22"/>
          <w:szCs w:val="22"/>
        </w:rPr>
      </w:pPr>
      <w:r w:rsidRPr="007C7C5F">
        <w:rPr>
          <w:rFonts w:asciiTheme="majorHAnsi" w:hAnsiTheme="majorHAnsi" w:cstheme="majorHAnsi"/>
          <w:color w:val="auto"/>
        </w:rPr>
        <w:t xml:space="preserve"> </w:t>
      </w:r>
      <w:bookmarkStart w:id="19" w:name="_Ref367709917"/>
      <w:bookmarkStart w:id="20" w:name="_Ref367710089"/>
      <w:bookmarkStart w:id="21" w:name="_Toc368663865"/>
      <w:r w:rsidR="004F172B" w:rsidRPr="004F172B">
        <w:rPr>
          <w:rFonts w:asciiTheme="majorHAnsi" w:hAnsiTheme="majorHAnsi" w:cstheme="majorHAnsi"/>
          <w:b w:val="0"/>
          <w:color w:val="auto"/>
          <w:sz w:val="22"/>
          <w:szCs w:val="22"/>
          <w:highlight w:val="yellow"/>
        </w:rPr>
        <w:t>&lt;&lt;</w:t>
      </w:r>
      <w:r w:rsidR="000E1BA3" w:rsidRPr="004F172B">
        <w:rPr>
          <w:rFonts w:asciiTheme="majorHAnsi" w:hAnsiTheme="majorHAnsi" w:cstheme="majorHAnsi"/>
          <w:b w:val="0"/>
          <w:color w:val="auto"/>
          <w:sz w:val="22"/>
          <w:szCs w:val="22"/>
          <w:highlight w:val="yellow"/>
        </w:rPr>
        <w:t xml:space="preserve">Figure </w:t>
      </w:r>
      <w:r w:rsidR="00CC6602" w:rsidRPr="004F172B">
        <w:rPr>
          <w:rFonts w:asciiTheme="majorHAnsi" w:hAnsiTheme="majorHAnsi" w:cstheme="majorHAnsi"/>
          <w:b w:val="0"/>
          <w:color w:val="auto"/>
          <w:sz w:val="22"/>
          <w:szCs w:val="22"/>
          <w:highlight w:val="yellow"/>
        </w:rPr>
        <w:t>5</w:t>
      </w:r>
      <w:bookmarkEnd w:id="19"/>
      <w:bookmarkEnd w:id="20"/>
      <w:r w:rsidR="004F172B" w:rsidRPr="004F172B">
        <w:rPr>
          <w:rFonts w:asciiTheme="majorHAnsi" w:hAnsiTheme="majorHAnsi" w:cstheme="majorHAnsi"/>
          <w:b w:val="0"/>
          <w:color w:val="auto"/>
          <w:sz w:val="22"/>
          <w:szCs w:val="22"/>
          <w:highlight w:val="yellow"/>
        </w:rPr>
        <w:t>&gt;&gt; here</w:t>
      </w:r>
      <w:bookmarkEnd w:id="21"/>
    </w:p>
    <w:p w14:paraId="505869F0" w14:textId="5BF7FD25" w:rsidR="00915455" w:rsidRPr="007C7C5F" w:rsidRDefault="00964D21" w:rsidP="0016216A">
      <w:pPr>
        <w:jc w:val="both"/>
        <w:rPr>
          <w:rFonts w:asciiTheme="majorHAnsi" w:hAnsiTheme="majorHAnsi" w:cstheme="majorHAnsi"/>
        </w:rPr>
      </w:pPr>
      <w:r w:rsidRPr="007C7C5F">
        <w:rPr>
          <w:rFonts w:asciiTheme="majorHAnsi" w:hAnsiTheme="majorHAnsi" w:cstheme="majorHAnsi"/>
        </w:rPr>
        <w:t xml:space="preserve">The </w:t>
      </w:r>
      <w:proofErr w:type="spellStart"/>
      <w:r w:rsidRPr="007C7C5F">
        <w:rPr>
          <w:rFonts w:asciiTheme="majorHAnsi" w:hAnsiTheme="majorHAnsi" w:cstheme="majorHAnsi"/>
        </w:rPr>
        <w:t>Corskie</w:t>
      </w:r>
      <w:proofErr w:type="spellEnd"/>
      <w:r w:rsidRPr="007C7C5F">
        <w:rPr>
          <w:rFonts w:asciiTheme="majorHAnsi" w:hAnsiTheme="majorHAnsi" w:cstheme="majorHAnsi"/>
        </w:rPr>
        <w:t xml:space="preserve"> Burn was classified by SEPA as having ‘Moderate’ phosphate chemical status, which should have enabled a clear target reduction to be set to bring it up to ‘Good’ status.  However, on examination of the monitoring data the stream was found to have been misclassified, with several outlying points exerting undue influence on the annual mean. In fact, when four outliers were excluded, the stream shifts to ‘Good’ chemical status for the entire 2000-2010 period. More, better quality monitoring data is clearly needed. Instead, a target 30% reduction in mean annual phosphate concentration was chosen, enough to cause a potential shift to a more oligotrophic </w:t>
      </w:r>
      <w:proofErr w:type="spellStart"/>
      <w:r w:rsidRPr="007C7C5F">
        <w:rPr>
          <w:rFonts w:asciiTheme="majorHAnsi" w:hAnsiTheme="majorHAnsi" w:cstheme="majorHAnsi"/>
        </w:rPr>
        <w:t>macrophyte</w:t>
      </w:r>
      <w:proofErr w:type="spellEnd"/>
      <w:r w:rsidRPr="007C7C5F">
        <w:rPr>
          <w:rFonts w:asciiTheme="majorHAnsi" w:hAnsiTheme="majorHAnsi" w:cstheme="majorHAnsi"/>
        </w:rPr>
        <w:t xml:space="preserve"> community (Jackson-Blake et al., 2013). </w:t>
      </w:r>
      <w:r w:rsidR="00E21FB5" w:rsidRPr="007C7C5F">
        <w:rPr>
          <w:rFonts w:asciiTheme="majorHAnsi" w:hAnsiTheme="majorHAnsi" w:cstheme="majorHAnsi"/>
        </w:rPr>
        <w:t xml:space="preserve">As can be seen in Table 6, </w:t>
      </w:r>
      <w:r w:rsidR="009C4392" w:rsidRPr="007C7C5F">
        <w:rPr>
          <w:rFonts w:asciiTheme="majorHAnsi" w:hAnsiTheme="majorHAnsi" w:cstheme="majorHAnsi"/>
        </w:rPr>
        <w:t xml:space="preserve">this target could be best achieved </w:t>
      </w:r>
      <w:r w:rsidR="00A449BE" w:rsidRPr="007C7C5F">
        <w:rPr>
          <w:rFonts w:asciiTheme="majorHAnsi" w:hAnsiTheme="majorHAnsi" w:cstheme="majorHAnsi"/>
        </w:rPr>
        <w:t>using a</w:t>
      </w:r>
      <w:r w:rsidR="009C4392" w:rsidRPr="007C7C5F">
        <w:rPr>
          <w:rFonts w:asciiTheme="majorHAnsi" w:hAnsiTheme="majorHAnsi" w:cstheme="majorHAnsi"/>
        </w:rPr>
        <w:t xml:space="preserve"> combination of:</w:t>
      </w:r>
      <w:r w:rsidR="00BC6F7E" w:rsidRPr="007C7C5F">
        <w:rPr>
          <w:rFonts w:asciiTheme="majorHAnsi" w:hAnsiTheme="majorHAnsi" w:cstheme="majorHAnsi"/>
        </w:rPr>
        <w:t xml:space="preserve"> </w:t>
      </w:r>
      <w:r w:rsidR="00395DCE" w:rsidRPr="007C7C5F">
        <w:rPr>
          <w:rFonts w:asciiTheme="majorHAnsi" w:hAnsiTheme="majorHAnsi" w:cstheme="majorHAnsi"/>
        </w:rPr>
        <w:t>(</w:t>
      </w:r>
      <w:proofErr w:type="spellStart"/>
      <w:r w:rsidR="00395DCE" w:rsidRPr="007C7C5F">
        <w:rPr>
          <w:rFonts w:asciiTheme="majorHAnsi" w:hAnsiTheme="majorHAnsi" w:cstheme="majorHAnsi"/>
        </w:rPr>
        <w:t>i</w:t>
      </w:r>
      <w:proofErr w:type="spellEnd"/>
      <w:r w:rsidR="00395DCE" w:rsidRPr="007C7C5F">
        <w:rPr>
          <w:rFonts w:asciiTheme="majorHAnsi" w:hAnsiTheme="majorHAnsi" w:cstheme="majorHAnsi"/>
        </w:rPr>
        <w:t xml:space="preserve">) </w:t>
      </w:r>
      <w:r w:rsidR="009C4392" w:rsidRPr="007C7C5F">
        <w:rPr>
          <w:rFonts w:asciiTheme="majorHAnsi" w:hAnsiTheme="majorHAnsi" w:cstheme="majorHAnsi"/>
        </w:rPr>
        <w:t xml:space="preserve">a </w:t>
      </w:r>
      <w:r w:rsidR="00DB270C" w:rsidRPr="007C7C5F">
        <w:rPr>
          <w:rFonts w:asciiTheme="majorHAnsi" w:hAnsiTheme="majorHAnsi" w:cstheme="majorHAnsi"/>
        </w:rPr>
        <w:t>50% reduction of fertilizer a</w:t>
      </w:r>
      <w:r w:rsidR="00395DCE" w:rsidRPr="007C7C5F">
        <w:rPr>
          <w:rFonts w:asciiTheme="majorHAnsi" w:hAnsiTheme="majorHAnsi" w:cstheme="majorHAnsi"/>
        </w:rPr>
        <w:t xml:space="preserve">pplication to grassland system; (ii) </w:t>
      </w:r>
      <w:r w:rsidR="009C4392" w:rsidRPr="007C7C5F">
        <w:rPr>
          <w:rFonts w:asciiTheme="majorHAnsi" w:hAnsiTheme="majorHAnsi" w:cstheme="majorHAnsi"/>
        </w:rPr>
        <w:t xml:space="preserve">a </w:t>
      </w:r>
      <w:r w:rsidR="00DB270C" w:rsidRPr="007C7C5F">
        <w:rPr>
          <w:rFonts w:asciiTheme="majorHAnsi" w:hAnsiTheme="majorHAnsi" w:cstheme="majorHAnsi"/>
        </w:rPr>
        <w:t xml:space="preserve">20% </w:t>
      </w:r>
      <w:r w:rsidR="00CA6B18" w:rsidRPr="007C7C5F">
        <w:rPr>
          <w:rFonts w:asciiTheme="majorHAnsi" w:hAnsiTheme="majorHAnsi" w:cstheme="majorHAnsi"/>
        </w:rPr>
        <w:t xml:space="preserve">reduction of </w:t>
      </w:r>
      <w:r w:rsidR="00DB270C" w:rsidRPr="007C7C5F">
        <w:rPr>
          <w:rFonts w:asciiTheme="majorHAnsi" w:hAnsiTheme="majorHAnsi" w:cstheme="majorHAnsi"/>
        </w:rPr>
        <w:t xml:space="preserve">fertilizer application to arable land; and </w:t>
      </w:r>
      <w:r w:rsidR="00395DCE" w:rsidRPr="007C7C5F">
        <w:rPr>
          <w:rFonts w:asciiTheme="majorHAnsi" w:hAnsiTheme="majorHAnsi" w:cstheme="majorHAnsi"/>
        </w:rPr>
        <w:t xml:space="preserve">(iii) </w:t>
      </w:r>
      <w:r w:rsidR="009C4392" w:rsidRPr="007C7C5F">
        <w:rPr>
          <w:rFonts w:asciiTheme="majorHAnsi" w:hAnsiTheme="majorHAnsi" w:cstheme="majorHAnsi"/>
        </w:rPr>
        <w:t>i</w:t>
      </w:r>
      <w:r w:rsidR="0016216A" w:rsidRPr="007C7C5F">
        <w:rPr>
          <w:rFonts w:asciiTheme="majorHAnsi" w:hAnsiTheme="majorHAnsi" w:cstheme="majorHAnsi"/>
        </w:rPr>
        <w:t>nvestment</w:t>
      </w:r>
      <w:r w:rsidR="00B47FD1" w:rsidRPr="007C7C5F">
        <w:rPr>
          <w:rFonts w:asciiTheme="majorHAnsi" w:hAnsiTheme="majorHAnsi" w:cstheme="majorHAnsi"/>
        </w:rPr>
        <w:t xml:space="preserve"> i</w:t>
      </w:r>
      <w:r w:rsidR="00DB270C" w:rsidRPr="007C7C5F">
        <w:rPr>
          <w:rFonts w:asciiTheme="majorHAnsi" w:hAnsiTheme="majorHAnsi" w:cstheme="majorHAnsi"/>
        </w:rPr>
        <w:t>n WWTWs to reduce effluent SRP concentration to 1mg/l.</w:t>
      </w:r>
      <w:r w:rsidR="00915455" w:rsidRPr="007C7C5F">
        <w:rPr>
          <w:rFonts w:asciiTheme="majorHAnsi" w:hAnsiTheme="majorHAnsi" w:cstheme="majorHAnsi"/>
        </w:rPr>
        <w:t xml:space="preserve"> </w:t>
      </w:r>
      <w:r w:rsidR="009C4392" w:rsidRPr="007C7C5F">
        <w:rPr>
          <w:rFonts w:asciiTheme="majorHAnsi" w:hAnsiTheme="majorHAnsi" w:cstheme="majorHAnsi"/>
        </w:rPr>
        <w:t>T</w:t>
      </w:r>
      <w:r w:rsidR="00915455" w:rsidRPr="007C7C5F">
        <w:rPr>
          <w:rFonts w:asciiTheme="majorHAnsi" w:hAnsiTheme="majorHAnsi" w:cstheme="majorHAnsi"/>
        </w:rPr>
        <w:t xml:space="preserve">he </w:t>
      </w:r>
      <w:r w:rsidR="009C4392" w:rsidRPr="007C7C5F">
        <w:rPr>
          <w:rFonts w:asciiTheme="majorHAnsi" w:hAnsiTheme="majorHAnsi" w:cstheme="majorHAnsi"/>
        </w:rPr>
        <w:t>30</w:t>
      </w:r>
      <w:r w:rsidR="00915455" w:rsidRPr="007C7C5F">
        <w:rPr>
          <w:rFonts w:asciiTheme="majorHAnsi" w:hAnsiTheme="majorHAnsi" w:cstheme="majorHAnsi"/>
        </w:rPr>
        <w:t xml:space="preserve">% </w:t>
      </w:r>
      <w:r w:rsidR="009C4392" w:rsidRPr="007C7C5F">
        <w:rPr>
          <w:rFonts w:asciiTheme="majorHAnsi" w:hAnsiTheme="majorHAnsi" w:cstheme="majorHAnsi"/>
        </w:rPr>
        <w:t xml:space="preserve">reduction in mean annual </w:t>
      </w:r>
      <w:r w:rsidR="00915455" w:rsidRPr="007C7C5F">
        <w:rPr>
          <w:rFonts w:asciiTheme="majorHAnsi" w:hAnsiTheme="majorHAnsi" w:cstheme="majorHAnsi"/>
        </w:rPr>
        <w:t xml:space="preserve">SRP </w:t>
      </w:r>
      <w:r w:rsidR="009C4392" w:rsidRPr="007C7C5F">
        <w:rPr>
          <w:rFonts w:asciiTheme="majorHAnsi" w:hAnsiTheme="majorHAnsi" w:cstheme="majorHAnsi"/>
        </w:rPr>
        <w:t xml:space="preserve">concentration in the </w:t>
      </w:r>
      <w:proofErr w:type="spellStart"/>
      <w:r w:rsidR="009C4392" w:rsidRPr="007C7C5F">
        <w:rPr>
          <w:rFonts w:asciiTheme="majorHAnsi" w:hAnsiTheme="majorHAnsi" w:cstheme="majorHAnsi"/>
        </w:rPr>
        <w:t>Corskie</w:t>
      </w:r>
      <w:proofErr w:type="spellEnd"/>
      <w:r w:rsidR="009C4392" w:rsidRPr="007C7C5F">
        <w:rPr>
          <w:rFonts w:asciiTheme="majorHAnsi" w:hAnsiTheme="majorHAnsi" w:cstheme="majorHAnsi"/>
        </w:rPr>
        <w:t xml:space="preserve"> Burn </w:t>
      </w:r>
      <w:r w:rsidR="00915455" w:rsidRPr="007C7C5F">
        <w:rPr>
          <w:rFonts w:asciiTheme="majorHAnsi" w:hAnsiTheme="majorHAnsi" w:cstheme="majorHAnsi"/>
        </w:rPr>
        <w:t>c</w:t>
      </w:r>
      <w:r w:rsidR="009C4392" w:rsidRPr="007C7C5F">
        <w:rPr>
          <w:rFonts w:asciiTheme="majorHAnsi" w:hAnsiTheme="majorHAnsi" w:cstheme="majorHAnsi"/>
        </w:rPr>
        <w:t>ould</w:t>
      </w:r>
      <w:r w:rsidR="00915455" w:rsidRPr="007C7C5F">
        <w:rPr>
          <w:rFonts w:asciiTheme="majorHAnsi" w:hAnsiTheme="majorHAnsi" w:cstheme="majorHAnsi"/>
        </w:rPr>
        <w:t xml:space="preserve"> </w:t>
      </w:r>
      <w:r w:rsidR="009C4392" w:rsidRPr="007C7C5F">
        <w:rPr>
          <w:rFonts w:asciiTheme="majorHAnsi" w:hAnsiTheme="majorHAnsi" w:cstheme="majorHAnsi"/>
        </w:rPr>
        <w:t xml:space="preserve">therefore </w:t>
      </w:r>
      <w:r w:rsidR="00915455" w:rsidRPr="007C7C5F">
        <w:rPr>
          <w:rFonts w:asciiTheme="majorHAnsi" w:hAnsiTheme="majorHAnsi" w:cstheme="majorHAnsi"/>
        </w:rPr>
        <w:t>be achieved with an annual total cost of just under £40,000/y</w:t>
      </w:r>
      <w:r w:rsidR="0016216A" w:rsidRPr="007C7C5F">
        <w:rPr>
          <w:rFonts w:asciiTheme="majorHAnsi" w:hAnsiTheme="majorHAnsi" w:cstheme="majorHAnsi"/>
        </w:rPr>
        <w:t>ea</w:t>
      </w:r>
      <w:r w:rsidR="00395DCE" w:rsidRPr="007C7C5F">
        <w:rPr>
          <w:rFonts w:asciiTheme="majorHAnsi" w:hAnsiTheme="majorHAnsi" w:cstheme="majorHAnsi"/>
        </w:rPr>
        <w:t>r</w:t>
      </w:r>
      <w:r w:rsidR="0072371B" w:rsidRPr="007C7C5F">
        <w:rPr>
          <w:rFonts w:asciiTheme="majorHAnsi" w:hAnsiTheme="majorHAnsi" w:cstheme="majorHAnsi"/>
        </w:rPr>
        <w:t xml:space="preserve">. </w:t>
      </w:r>
    </w:p>
    <w:p w14:paraId="25AEF920" w14:textId="77777777" w:rsidR="004F172B" w:rsidRDefault="004F172B" w:rsidP="009E5601">
      <w:pPr>
        <w:pStyle w:val="Caption"/>
        <w:spacing w:after="0"/>
        <w:rPr>
          <w:rFonts w:asciiTheme="majorHAnsi" w:hAnsiTheme="majorHAnsi" w:cstheme="majorHAnsi"/>
          <w:b w:val="0"/>
          <w:color w:val="auto"/>
          <w:sz w:val="22"/>
          <w:szCs w:val="22"/>
        </w:rPr>
      </w:pPr>
      <w:bookmarkStart w:id="22" w:name="_Toc368663852"/>
      <w:r w:rsidRPr="004F172B">
        <w:rPr>
          <w:rFonts w:asciiTheme="majorHAnsi" w:hAnsiTheme="majorHAnsi" w:cstheme="majorHAnsi"/>
          <w:b w:val="0"/>
          <w:color w:val="auto"/>
          <w:sz w:val="22"/>
          <w:szCs w:val="22"/>
          <w:highlight w:val="yellow"/>
        </w:rPr>
        <w:t>&lt;&lt;</w:t>
      </w:r>
      <w:r w:rsidR="00A94196" w:rsidRPr="004F172B">
        <w:rPr>
          <w:rFonts w:asciiTheme="majorHAnsi" w:hAnsiTheme="majorHAnsi" w:cstheme="majorHAnsi"/>
          <w:b w:val="0"/>
          <w:color w:val="auto"/>
          <w:sz w:val="22"/>
          <w:szCs w:val="22"/>
          <w:highlight w:val="yellow"/>
        </w:rPr>
        <w:t xml:space="preserve">Table </w:t>
      </w:r>
      <w:r w:rsidR="00E21FB5" w:rsidRPr="004F172B">
        <w:rPr>
          <w:rFonts w:asciiTheme="majorHAnsi" w:hAnsiTheme="majorHAnsi" w:cstheme="majorHAnsi"/>
          <w:b w:val="0"/>
          <w:color w:val="auto"/>
          <w:sz w:val="22"/>
          <w:szCs w:val="22"/>
          <w:highlight w:val="yellow"/>
        </w:rPr>
        <w:t>6</w:t>
      </w:r>
      <w:r w:rsidRPr="004F172B">
        <w:rPr>
          <w:rFonts w:asciiTheme="majorHAnsi" w:hAnsiTheme="majorHAnsi" w:cstheme="majorHAnsi"/>
          <w:b w:val="0"/>
          <w:color w:val="auto"/>
          <w:sz w:val="22"/>
          <w:szCs w:val="22"/>
          <w:highlight w:val="yellow"/>
        </w:rPr>
        <w:t>&gt;&gt; here</w:t>
      </w:r>
    </w:p>
    <w:p w14:paraId="7D2D8610" w14:textId="77777777" w:rsidR="009E5601" w:rsidRDefault="00A94196" w:rsidP="009E5601">
      <w:pPr>
        <w:pStyle w:val="Caption"/>
        <w:spacing w:after="0"/>
        <w:rPr>
          <w:rFonts w:asciiTheme="majorHAnsi" w:hAnsiTheme="majorHAnsi" w:cstheme="majorHAnsi"/>
          <w:b w:val="0"/>
          <w:color w:val="auto"/>
          <w:sz w:val="22"/>
          <w:szCs w:val="22"/>
        </w:rPr>
      </w:pPr>
      <w:r w:rsidRPr="007C7C5F">
        <w:rPr>
          <w:rFonts w:asciiTheme="majorHAnsi" w:hAnsiTheme="majorHAnsi" w:cstheme="majorHAnsi"/>
          <w:b w:val="0"/>
          <w:color w:val="auto"/>
          <w:sz w:val="22"/>
          <w:szCs w:val="22"/>
        </w:rPr>
        <w:t xml:space="preserve"> </w:t>
      </w:r>
      <w:bookmarkStart w:id="23" w:name="_Toc368665232"/>
      <w:bookmarkEnd w:id="22"/>
    </w:p>
    <w:p w14:paraId="4FF7FF5F" w14:textId="567D12AA" w:rsidR="004E1A43" w:rsidRPr="007C7C5F" w:rsidRDefault="004E1A43" w:rsidP="009E5601">
      <w:pPr>
        <w:pStyle w:val="Heading1"/>
      </w:pPr>
      <w:r w:rsidRPr="007C7C5F">
        <w:t>Discussion</w:t>
      </w:r>
    </w:p>
    <w:p w14:paraId="00161443" w14:textId="77777777" w:rsidR="00477892" w:rsidRPr="007C7C5F" w:rsidRDefault="00477892" w:rsidP="00DE2D45">
      <w:pPr>
        <w:jc w:val="both"/>
        <w:rPr>
          <w:rFonts w:asciiTheme="majorHAnsi" w:hAnsiTheme="majorHAnsi" w:cstheme="majorHAnsi"/>
          <w:lang w:val="en-US"/>
        </w:rPr>
      </w:pPr>
    </w:p>
    <w:p w14:paraId="1CAF1D7C" w14:textId="337314F4" w:rsidR="004E1A43" w:rsidRPr="007C7C5F" w:rsidRDefault="008C43FB" w:rsidP="00DE2D45">
      <w:pPr>
        <w:jc w:val="both"/>
        <w:rPr>
          <w:rFonts w:asciiTheme="majorHAnsi" w:hAnsiTheme="majorHAnsi" w:cstheme="majorHAnsi"/>
        </w:rPr>
      </w:pPr>
      <w:r w:rsidRPr="007C7C5F">
        <w:rPr>
          <w:rFonts w:asciiTheme="majorHAnsi" w:hAnsiTheme="majorHAnsi" w:cstheme="majorHAnsi"/>
          <w:lang w:val="en-US"/>
        </w:rPr>
        <w:t xml:space="preserve">The results reported in this paper were based on </w:t>
      </w:r>
      <w:r w:rsidR="00EB3D5A" w:rsidRPr="007C7C5F">
        <w:rPr>
          <w:rFonts w:asciiTheme="majorHAnsi" w:hAnsiTheme="majorHAnsi" w:cstheme="majorHAnsi"/>
          <w:lang w:val="en-US"/>
        </w:rPr>
        <w:t xml:space="preserve">the cost-effectiveness work conducted at </w:t>
      </w:r>
      <w:r w:rsidR="00DA5667" w:rsidRPr="007C7C5F">
        <w:rPr>
          <w:rFonts w:asciiTheme="majorHAnsi" w:hAnsiTheme="majorHAnsi" w:cstheme="majorHAnsi"/>
          <w:lang w:val="en-US"/>
        </w:rPr>
        <w:t xml:space="preserve">one of </w:t>
      </w:r>
      <w:r w:rsidR="00EB3D5A" w:rsidRPr="007C7C5F">
        <w:rPr>
          <w:rFonts w:asciiTheme="majorHAnsi" w:hAnsiTheme="majorHAnsi" w:cstheme="majorHAnsi"/>
          <w:lang w:val="en-US"/>
        </w:rPr>
        <w:t xml:space="preserve">the selected demonstration catchments </w:t>
      </w:r>
      <w:r w:rsidR="00DA5667" w:rsidRPr="007C7C5F">
        <w:rPr>
          <w:rFonts w:asciiTheme="majorHAnsi" w:hAnsiTheme="majorHAnsi" w:cstheme="majorHAnsi"/>
          <w:lang w:val="en-US"/>
        </w:rPr>
        <w:t>for</w:t>
      </w:r>
      <w:r w:rsidR="00EB3D5A" w:rsidRPr="007C7C5F">
        <w:rPr>
          <w:rFonts w:asciiTheme="majorHAnsi" w:hAnsiTheme="majorHAnsi" w:cstheme="majorHAnsi"/>
          <w:lang w:val="en-US"/>
        </w:rPr>
        <w:t xml:space="preserve"> the </w:t>
      </w:r>
      <w:r w:rsidRPr="007C7C5F">
        <w:rPr>
          <w:rFonts w:asciiTheme="majorHAnsi" w:hAnsiTheme="majorHAnsi" w:cstheme="majorHAnsi"/>
          <w:lang w:val="en-US"/>
        </w:rPr>
        <w:t>EU FP7 REFRESH project</w:t>
      </w:r>
      <w:r w:rsidR="00EB3D5A" w:rsidRPr="007C7C5F">
        <w:rPr>
          <w:rFonts w:asciiTheme="majorHAnsi" w:hAnsiTheme="majorHAnsi" w:cstheme="majorHAnsi"/>
          <w:lang w:val="en-US"/>
        </w:rPr>
        <w:t xml:space="preserve">. Unlike most </w:t>
      </w:r>
      <w:r w:rsidR="00DA5667" w:rsidRPr="007C7C5F">
        <w:rPr>
          <w:rFonts w:asciiTheme="majorHAnsi" w:hAnsiTheme="majorHAnsi" w:cstheme="majorHAnsi"/>
          <w:lang w:val="en-US"/>
        </w:rPr>
        <w:t>previous</w:t>
      </w:r>
      <w:r w:rsidR="00EB3D5A" w:rsidRPr="007C7C5F">
        <w:rPr>
          <w:rFonts w:asciiTheme="majorHAnsi" w:hAnsiTheme="majorHAnsi" w:cstheme="majorHAnsi"/>
          <w:lang w:val="en-US"/>
        </w:rPr>
        <w:t xml:space="preserve"> WFD-related cost-effectiveness </w:t>
      </w:r>
      <w:r w:rsidR="00DA5667" w:rsidRPr="007C7C5F">
        <w:rPr>
          <w:rFonts w:asciiTheme="majorHAnsi" w:hAnsiTheme="majorHAnsi" w:cstheme="majorHAnsi"/>
          <w:lang w:val="en-US"/>
        </w:rPr>
        <w:t xml:space="preserve">studies </w:t>
      </w:r>
      <w:r w:rsidR="00EB3D5A" w:rsidRPr="007C7C5F">
        <w:rPr>
          <w:rFonts w:asciiTheme="majorHAnsi" w:hAnsiTheme="majorHAnsi" w:cstheme="majorHAnsi"/>
          <w:lang w:val="en-US"/>
        </w:rPr>
        <w:t xml:space="preserve">which </w:t>
      </w:r>
      <w:r w:rsidR="00DA5667" w:rsidRPr="007C7C5F">
        <w:rPr>
          <w:rFonts w:asciiTheme="majorHAnsi" w:hAnsiTheme="majorHAnsi" w:cstheme="majorHAnsi"/>
          <w:lang w:val="en-US"/>
        </w:rPr>
        <w:t>have been</w:t>
      </w:r>
      <w:r w:rsidR="00EB3D5A" w:rsidRPr="007C7C5F">
        <w:rPr>
          <w:rFonts w:asciiTheme="majorHAnsi" w:hAnsiTheme="majorHAnsi" w:cstheme="majorHAnsi"/>
          <w:lang w:val="en-US"/>
        </w:rPr>
        <w:t xml:space="preserve"> based on expert opinion</w:t>
      </w:r>
      <w:r w:rsidR="00587A07" w:rsidRPr="007C7C5F">
        <w:rPr>
          <w:rFonts w:asciiTheme="majorHAnsi" w:hAnsiTheme="majorHAnsi" w:cstheme="majorHAnsi"/>
          <w:lang w:val="en-US"/>
        </w:rPr>
        <w:t xml:space="preserve"> effectiveness</w:t>
      </w:r>
      <w:r w:rsidR="00615A0C" w:rsidRPr="007C7C5F">
        <w:rPr>
          <w:rFonts w:asciiTheme="majorHAnsi" w:hAnsiTheme="majorHAnsi" w:cstheme="majorHAnsi"/>
          <w:lang w:val="en-US"/>
        </w:rPr>
        <w:t xml:space="preserve"> </w:t>
      </w:r>
      <w:r w:rsidR="00EB3D5A" w:rsidRPr="007C7C5F">
        <w:rPr>
          <w:rFonts w:asciiTheme="majorHAnsi" w:hAnsiTheme="majorHAnsi" w:cstheme="majorHAnsi"/>
          <w:lang w:val="en-US"/>
        </w:rPr>
        <w:t>data</w:t>
      </w:r>
      <w:r w:rsidR="00587A07" w:rsidRPr="007C7C5F">
        <w:rPr>
          <w:rFonts w:asciiTheme="majorHAnsi" w:hAnsiTheme="majorHAnsi" w:cstheme="majorHAnsi"/>
          <w:lang w:val="en-US"/>
        </w:rPr>
        <w:t xml:space="preserve"> (Balana et al., 2011),</w:t>
      </w:r>
      <w:r w:rsidR="00EB3D5A" w:rsidRPr="007C7C5F">
        <w:rPr>
          <w:rFonts w:asciiTheme="majorHAnsi" w:hAnsiTheme="majorHAnsi" w:cstheme="majorHAnsi"/>
          <w:lang w:val="en-US"/>
        </w:rPr>
        <w:t xml:space="preserve"> the REFRESH project pursued </w:t>
      </w:r>
      <w:r w:rsidR="00615A0C" w:rsidRPr="007C7C5F">
        <w:rPr>
          <w:rFonts w:asciiTheme="majorHAnsi" w:hAnsiTheme="majorHAnsi" w:cstheme="majorHAnsi"/>
          <w:lang w:val="en-US"/>
        </w:rPr>
        <w:t xml:space="preserve">an </w:t>
      </w:r>
      <w:r w:rsidR="00EB3D5A" w:rsidRPr="007C7C5F">
        <w:rPr>
          <w:rFonts w:asciiTheme="majorHAnsi" w:hAnsiTheme="majorHAnsi" w:cstheme="majorHAnsi"/>
          <w:lang w:val="en-US"/>
        </w:rPr>
        <w:t xml:space="preserve">ambitious </w:t>
      </w:r>
      <w:r w:rsidR="00615A0C" w:rsidRPr="007C7C5F">
        <w:rPr>
          <w:rFonts w:asciiTheme="majorHAnsi" w:hAnsiTheme="majorHAnsi" w:cstheme="majorHAnsi"/>
          <w:lang w:val="en-US"/>
        </w:rPr>
        <w:t xml:space="preserve">approach </w:t>
      </w:r>
      <w:r w:rsidR="00DA5667" w:rsidRPr="007C7C5F">
        <w:rPr>
          <w:rFonts w:asciiTheme="majorHAnsi" w:hAnsiTheme="majorHAnsi" w:cstheme="majorHAnsi"/>
          <w:lang w:val="en-US"/>
        </w:rPr>
        <w:t>to undertake integrated</w:t>
      </w:r>
      <w:r w:rsidR="00615A0C" w:rsidRPr="007C7C5F">
        <w:rPr>
          <w:rFonts w:asciiTheme="majorHAnsi" w:hAnsiTheme="majorHAnsi" w:cstheme="majorHAnsi"/>
          <w:lang w:val="en-US"/>
        </w:rPr>
        <w:t xml:space="preserve"> </w:t>
      </w:r>
      <w:r w:rsidR="00A91FC1" w:rsidRPr="007C7C5F">
        <w:rPr>
          <w:rFonts w:asciiTheme="majorHAnsi" w:hAnsiTheme="majorHAnsi" w:cstheme="majorHAnsi"/>
          <w:lang w:val="en-US"/>
        </w:rPr>
        <w:t xml:space="preserve">hydro-chemical </w:t>
      </w:r>
      <w:r w:rsidR="00DA5667" w:rsidRPr="007C7C5F">
        <w:rPr>
          <w:rFonts w:asciiTheme="majorHAnsi" w:hAnsiTheme="majorHAnsi" w:cstheme="majorHAnsi"/>
          <w:lang w:val="en-US"/>
        </w:rPr>
        <w:t>and cost-</w:t>
      </w:r>
      <w:r w:rsidR="00615A0C" w:rsidRPr="007C7C5F">
        <w:rPr>
          <w:rFonts w:asciiTheme="majorHAnsi" w:hAnsiTheme="majorHAnsi" w:cstheme="majorHAnsi"/>
          <w:lang w:val="en-US"/>
        </w:rPr>
        <w:t>effectiveness</w:t>
      </w:r>
      <w:r w:rsidR="00DA5667" w:rsidRPr="007C7C5F">
        <w:rPr>
          <w:rFonts w:asciiTheme="majorHAnsi" w:hAnsiTheme="majorHAnsi" w:cstheme="majorHAnsi"/>
          <w:lang w:val="en-US"/>
        </w:rPr>
        <w:t xml:space="preserve"> modelling.</w:t>
      </w:r>
      <w:r w:rsidR="00615A0C" w:rsidRPr="007C7C5F">
        <w:rPr>
          <w:rFonts w:asciiTheme="majorHAnsi" w:hAnsiTheme="majorHAnsi" w:cstheme="majorHAnsi"/>
          <w:lang w:val="en-US"/>
        </w:rPr>
        <w:t xml:space="preserve"> </w:t>
      </w:r>
      <w:r w:rsidR="008A2D17" w:rsidRPr="007C7C5F">
        <w:rPr>
          <w:rFonts w:asciiTheme="majorHAnsi" w:hAnsiTheme="majorHAnsi" w:cstheme="majorHAnsi"/>
          <w:lang w:val="en-US"/>
        </w:rPr>
        <w:t xml:space="preserve"> This has been</w:t>
      </w:r>
      <w:r w:rsidR="00063E19" w:rsidRPr="007C7C5F">
        <w:rPr>
          <w:rFonts w:asciiTheme="majorHAnsi" w:hAnsiTheme="majorHAnsi" w:cstheme="majorHAnsi"/>
          <w:lang w:val="en-US"/>
        </w:rPr>
        <w:t xml:space="preserve"> a challeng</w:t>
      </w:r>
      <w:r w:rsidR="008A2D17" w:rsidRPr="007C7C5F">
        <w:rPr>
          <w:rFonts w:asciiTheme="majorHAnsi" w:hAnsiTheme="majorHAnsi" w:cstheme="majorHAnsi"/>
          <w:lang w:val="en-US"/>
        </w:rPr>
        <w:t xml:space="preserve">ing exercise </w:t>
      </w:r>
      <w:r w:rsidR="00607017" w:rsidRPr="007C7C5F">
        <w:rPr>
          <w:rFonts w:asciiTheme="majorHAnsi" w:hAnsiTheme="majorHAnsi" w:cstheme="majorHAnsi"/>
          <w:lang w:val="en-US"/>
        </w:rPr>
        <w:t xml:space="preserve">due to a range of factors such as the </w:t>
      </w:r>
      <w:r w:rsidR="00063E19" w:rsidRPr="007C7C5F">
        <w:rPr>
          <w:rFonts w:asciiTheme="majorHAnsi" w:hAnsiTheme="majorHAnsi" w:cstheme="majorHAnsi"/>
          <w:lang w:val="en-US"/>
        </w:rPr>
        <w:t>uncertainties</w:t>
      </w:r>
      <w:r w:rsidR="00607017" w:rsidRPr="007C7C5F">
        <w:rPr>
          <w:rFonts w:asciiTheme="majorHAnsi" w:hAnsiTheme="majorHAnsi" w:cstheme="majorHAnsi"/>
          <w:lang w:val="en-US"/>
        </w:rPr>
        <w:t xml:space="preserve"> inherent in environmental changes</w:t>
      </w:r>
      <w:r w:rsidR="00063E19" w:rsidRPr="007C7C5F">
        <w:rPr>
          <w:rFonts w:asciiTheme="majorHAnsi" w:hAnsiTheme="majorHAnsi" w:cstheme="majorHAnsi"/>
          <w:lang w:val="en-US"/>
        </w:rPr>
        <w:t xml:space="preserve">, </w:t>
      </w:r>
      <w:r w:rsidR="00607017" w:rsidRPr="007C7C5F">
        <w:rPr>
          <w:rFonts w:asciiTheme="majorHAnsi" w:hAnsiTheme="majorHAnsi" w:cstheme="majorHAnsi"/>
          <w:lang w:val="en-US"/>
        </w:rPr>
        <w:t xml:space="preserve">the reliability or </w:t>
      </w:r>
      <w:r w:rsidR="00063E19" w:rsidRPr="007C7C5F">
        <w:rPr>
          <w:rFonts w:asciiTheme="majorHAnsi" w:hAnsiTheme="majorHAnsi" w:cstheme="majorHAnsi"/>
          <w:lang w:val="en-US"/>
        </w:rPr>
        <w:t xml:space="preserve">robustness </w:t>
      </w:r>
      <w:r w:rsidR="00607017" w:rsidRPr="007C7C5F">
        <w:rPr>
          <w:rFonts w:asciiTheme="majorHAnsi" w:hAnsiTheme="majorHAnsi" w:cstheme="majorHAnsi"/>
          <w:lang w:val="en-US"/>
        </w:rPr>
        <w:t>of model prediction</w:t>
      </w:r>
      <w:r w:rsidR="0096547E" w:rsidRPr="007C7C5F">
        <w:rPr>
          <w:rFonts w:asciiTheme="majorHAnsi" w:hAnsiTheme="majorHAnsi" w:cstheme="majorHAnsi"/>
          <w:lang w:val="en-US"/>
        </w:rPr>
        <w:t>s</w:t>
      </w:r>
      <w:r w:rsidR="00063E19" w:rsidRPr="007C7C5F">
        <w:rPr>
          <w:rFonts w:asciiTheme="majorHAnsi" w:hAnsiTheme="majorHAnsi" w:cstheme="majorHAnsi"/>
          <w:lang w:val="en-US"/>
        </w:rPr>
        <w:t>,</w:t>
      </w:r>
      <w:r w:rsidR="00607017" w:rsidRPr="007C7C5F">
        <w:rPr>
          <w:rFonts w:asciiTheme="majorHAnsi" w:hAnsiTheme="majorHAnsi" w:cstheme="majorHAnsi"/>
          <w:lang w:val="en-US"/>
        </w:rPr>
        <w:t xml:space="preserve"> and defining the appropriate </w:t>
      </w:r>
      <w:r w:rsidR="00063E19" w:rsidRPr="007C7C5F">
        <w:rPr>
          <w:rFonts w:asciiTheme="majorHAnsi" w:hAnsiTheme="majorHAnsi" w:cstheme="majorHAnsi"/>
          <w:lang w:val="en-US"/>
        </w:rPr>
        <w:t xml:space="preserve">spatial and temporal </w:t>
      </w:r>
      <w:r w:rsidR="00607017" w:rsidRPr="007C7C5F">
        <w:rPr>
          <w:rFonts w:asciiTheme="majorHAnsi" w:hAnsiTheme="majorHAnsi" w:cstheme="majorHAnsi"/>
          <w:lang w:val="en-US"/>
        </w:rPr>
        <w:t>scales.</w:t>
      </w:r>
      <w:r w:rsidR="00063E19" w:rsidRPr="007C7C5F">
        <w:rPr>
          <w:rFonts w:asciiTheme="majorHAnsi" w:hAnsiTheme="majorHAnsi" w:cstheme="majorHAnsi"/>
          <w:lang w:val="en-US"/>
        </w:rPr>
        <w:t xml:space="preserve"> </w:t>
      </w:r>
      <w:r w:rsidR="00607017" w:rsidRPr="007C7C5F">
        <w:rPr>
          <w:rFonts w:asciiTheme="majorHAnsi" w:hAnsiTheme="majorHAnsi" w:cstheme="majorHAnsi"/>
          <w:lang w:val="en-US"/>
        </w:rPr>
        <w:t>Despite these challenges</w:t>
      </w:r>
      <w:r w:rsidR="0096547E" w:rsidRPr="007C7C5F">
        <w:rPr>
          <w:rFonts w:asciiTheme="majorHAnsi" w:hAnsiTheme="majorHAnsi" w:cstheme="majorHAnsi"/>
          <w:lang w:val="en-US"/>
        </w:rPr>
        <w:t>,</w:t>
      </w:r>
      <w:r w:rsidR="00607017" w:rsidRPr="007C7C5F">
        <w:rPr>
          <w:rFonts w:asciiTheme="majorHAnsi" w:hAnsiTheme="majorHAnsi" w:cstheme="majorHAnsi"/>
          <w:lang w:val="en-US"/>
        </w:rPr>
        <w:t xml:space="preserve"> </w:t>
      </w:r>
      <w:r w:rsidR="0096547E" w:rsidRPr="007C7C5F">
        <w:rPr>
          <w:rFonts w:asciiTheme="majorHAnsi" w:hAnsiTheme="majorHAnsi" w:cstheme="majorHAnsi"/>
          <w:lang w:val="en-US"/>
        </w:rPr>
        <w:t>we have de</w:t>
      </w:r>
      <w:r w:rsidR="00E44B5E" w:rsidRPr="007C7C5F">
        <w:rPr>
          <w:rFonts w:asciiTheme="majorHAnsi" w:hAnsiTheme="majorHAnsi" w:cstheme="majorHAnsi"/>
          <w:lang w:val="en-US"/>
        </w:rPr>
        <w:t xml:space="preserve">veloped </w:t>
      </w:r>
      <w:r w:rsidR="0096547E" w:rsidRPr="007C7C5F">
        <w:rPr>
          <w:rFonts w:asciiTheme="majorHAnsi" w:hAnsiTheme="majorHAnsi" w:cstheme="majorHAnsi"/>
          <w:lang w:val="en-US"/>
        </w:rPr>
        <w:t>a methodology for integrating catchment modeling outputs and economic analyses, and demonstrated its successful application</w:t>
      </w:r>
      <w:r w:rsidR="006D6BB7">
        <w:rPr>
          <w:rFonts w:asciiTheme="majorHAnsi" w:hAnsiTheme="majorHAnsi" w:cstheme="majorHAnsi"/>
          <w:lang w:val="en-US"/>
        </w:rPr>
        <w:t xml:space="preserve"> in the case studies presented in this paper.</w:t>
      </w:r>
      <w:r w:rsidR="00E507F5" w:rsidRPr="007C7C5F">
        <w:rPr>
          <w:rFonts w:asciiTheme="majorHAnsi" w:hAnsiTheme="majorHAnsi" w:cstheme="majorHAnsi"/>
          <w:lang w:val="en-US"/>
        </w:rPr>
        <w:t xml:space="preserve"> </w:t>
      </w:r>
      <w:r w:rsidR="00355DDB" w:rsidRPr="007C7C5F">
        <w:rPr>
          <w:rFonts w:asciiTheme="majorHAnsi" w:hAnsiTheme="majorHAnsi" w:cstheme="majorHAnsi"/>
          <w:lang w:val="en-US"/>
        </w:rPr>
        <w:t xml:space="preserve">The </w:t>
      </w:r>
      <w:r w:rsidR="00587A07" w:rsidRPr="007C7C5F">
        <w:rPr>
          <w:rFonts w:asciiTheme="majorHAnsi" w:hAnsiTheme="majorHAnsi" w:cstheme="majorHAnsi"/>
          <w:lang w:val="en-US"/>
        </w:rPr>
        <w:t>effectiveness</w:t>
      </w:r>
      <w:r w:rsidR="00355DDB" w:rsidRPr="007C7C5F">
        <w:rPr>
          <w:rFonts w:asciiTheme="majorHAnsi" w:hAnsiTheme="majorHAnsi" w:cstheme="majorHAnsi"/>
          <w:lang w:val="en-US"/>
        </w:rPr>
        <w:t xml:space="preserve"> data </w:t>
      </w:r>
      <w:r w:rsidR="00131D4B" w:rsidRPr="007C7C5F">
        <w:rPr>
          <w:rFonts w:asciiTheme="majorHAnsi" w:hAnsiTheme="majorHAnsi" w:cstheme="majorHAnsi"/>
          <w:lang w:val="en-US"/>
        </w:rPr>
        <w:t xml:space="preserve">were derived </w:t>
      </w:r>
      <w:r w:rsidR="00355DDB" w:rsidRPr="007C7C5F">
        <w:rPr>
          <w:rFonts w:asciiTheme="majorHAnsi" w:hAnsiTheme="majorHAnsi" w:cstheme="majorHAnsi"/>
          <w:lang w:val="en-US"/>
        </w:rPr>
        <w:t xml:space="preserve">from </w:t>
      </w:r>
      <w:r w:rsidR="00A91FC1" w:rsidRPr="007C7C5F">
        <w:rPr>
          <w:rFonts w:asciiTheme="majorHAnsi" w:hAnsiTheme="majorHAnsi" w:cstheme="majorHAnsi"/>
          <w:lang w:val="en-US"/>
        </w:rPr>
        <w:t xml:space="preserve">hydro-chemical </w:t>
      </w:r>
      <w:r w:rsidR="00355DDB" w:rsidRPr="007C7C5F">
        <w:rPr>
          <w:rFonts w:asciiTheme="majorHAnsi" w:hAnsiTheme="majorHAnsi" w:cstheme="majorHAnsi"/>
          <w:lang w:val="en-US"/>
        </w:rPr>
        <w:t>modeling</w:t>
      </w:r>
      <w:r w:rsidR="00131D4B" w:rsidRPr="007C7C5F">
        <w:rPr>
          <w:rFonts w:asciiTheme="majorHAnsi" w:hAnsiTheme="majorHAnsi" w:cstheme="majorHAnsi"/>
          <w:lang w:val="en-US"/>
        </w:rPr>
        <w:t xml:space="preserve">, and were </w:t>
      </w:r>
      <w:r w:rsidR="00355DDB" w:rsidRPr="007C7C5F">
        <w:rPr>
          <w:rFonts w:asciiTheme="majorHAnsi" w:hAnsiTheme="majorHAnsi" w:cstheme="majorHAnsi"/>
          <w:lang w:val="en-US"/>
        </w:rPr>
        <w:t>integrated with the economic data to generate the cost-effectiveness results. Moreover, stakeholders (farmers, land managers and Scottish public agencies</w:t>
      </w:r>
      <w:r w:rsidR="00587A07" w:rsidRPr="007C7C5F">
        <w:rPr>
          <w:rFonts w:asciiTheme="majorHAnsi" w:hAnsiTheme="majorHAnsi" w:cstheme="majorHAnsi"/>
          <w:lang w:val="en-US"/>
        </w:rPr>
        <w:t>)</w:t>
      </w:r>
      <w:r w:rsidR="00355DDB" w:rsidRPr="007C7C5F">
        <w:rPr>
          <w:rFonts w:asciiTheme="majorHAnsi" w:hAnsiTheme="majorHAnsi" w:cstheme="majorHAnsi"/>
          <w:lang w:val="en-US"/>
        </w:rPr>
        <w:t xml:space="preserve"> were engaged </w:t>
      </w:r>
      <w:r w:rsidR="00DE2D45" w:rsidRPr="007C7C5F">
        <w:rPr>
          <w:rFonts w:asciiTheme="majorHAnsi" w:hAnsiTheme="majorHAnsi" w:cstheme="majorHAnsi"/>
          <w:lang w:val="en-US"/>
        </w:rPr>
        <w:t>in</w:t>
      </w:r>
      <w:r w:rsidR="00355DDB" w:rsidRPr="007C7C5F">
        <w:rPr>
          <w:rFonts w:asciiTheme="majorHAnsi" w:hAnsiTheme="majorHAnsi" w:cstheme="majorHAnsi"/>
          <w:lang w:val="en-US"/>
        </w:rPr>
        <w:t xml:space="preserve"> the selection of modelled measures</w:t>
      </w:r>
      <w:r w:rsidR="00DE2D45" w:rsidRPr="007C7C5F">
        <w:rPr>
          <w:rFonts w:asciiTheme="majorHAnsi" w:hAnsiTheme="majorHAnsi" w:cstheme="majorHAnsi"/>
          <w:lang w:val="en-US"/>
        </w:rPr>
        <w:t xml:space="preserve">, their potential </w:t>
      </w:r>
      <w:r w:rsidR="00587A07" w:rsidRPr="007C7C5F">
        <w:rPr>
          <w:rFonts w:asciiTheme="majorHAnsi" w:hAnsiTheme="majorHAnsi" w:cstheme="majorHAnsi"/>
          <w:lang w:val="en-US"/>
        </w:rPr>
        <w:t xml:space="preserve">application </w:t>
      </w:r>
      <w:r w:rsidR="00DE2D45" w:rsidRPr="007C7C5F">
        <w:rPr>
          <w:rFonts w:asciiTheme="majorHAnsi" w:hAnsiTheme="majorHAnsi" w:cstheme="majorHAnsi"/>
          <w:lang w:val="en-US"/>
        </w:rPr>
        <w:t>and impacts and costs.</w:t>
      </w:r>
      <w:r w:rsidR="005904F3" w:rsidRPr="007C7C5F" w:rsidDel="005904F3">
        <w:rPr>
          <w:rFonts w:asciiTheme="majorHAnsi" w:hAnsiTheme="majorHAnsi" w:cstheme="majorHAnsi"/>
          <w:lang w:val="en-US"/>
        </w:rPr>
        <w:t xml:space="preserve"> </w:t>
      </w:r>
    </w:p>
    <w:p w14:paraId="68AD91BB" w14:textId="37E7F560" w:rsidR="0052576F" w:rsidRPr="007C7C5F" w:rsidRDefault="00DE2D45" w:rsidP="005904F3">
      <w:pPr>
        <w:jc w:val="both"/>
        <w:rPr>
          <w:rFonts w:asciiTheme="majorHAnsi" w:hAnsiTheme="majorHAnsi" w:cstheme="majorHAnsi"/>
        </w:rPr>
      </w:pPr>
      <w:r w:rsidRPr="007C7C5F">
        <w:rPr>
          <w:rFonts w:asciiTheme="majorHAnsi" w:hAnsiTheme="majorHAnsi" w:cstheme="majorHAnsi"/>
        </w:rPr>
        <w:lastRenderedPageBreak/>
        <w:t>One of the novelties of the research reported in this paper is</w:t>
      </w:r>
      <w:r w:rsidR="00473FDF" w:rsidRPr="007C7C5F">
        <w:rPr>
          <w:rFonts w:asciiTheme="majorHAnsi" w:hAnsiTheme="majorHAnsi" w:cstheme="majorHAnsi"/>
        </w:rPr>
        <w:t xml:space="preserve"> acknowledging </w:t>
      </w:r>
      <w:r w:rsidR="00587A07" w:rsidRPr="007C7C5F">
        <w:rPr>
          <w:rFonts w:asciiTheme="majorHAnsi" w:hAnsiTheme="majorHAnsi" w:cstheme="majorHAnsi"/>
        </w:rPr>
        <w:t xml:space="preserve">the </w:t>
      </w:r>
      <w:r w:rsidR="00473FDF" w:rsidRPr="007C7C5F">
        <w:rPr>
          <w:rFonts w:asciiTheme="majorHAnsi" w:hAnsiTheme="majorHAnsi" w:cstheme="majorHAnsi"/>
        </w:rPr>
        <w:t xml:space="preserve">variability within a catchment and </w:t>
      </w:r>
      <w:r w:rsidR="006D6BB7">
        <w:rPr>
          <w:rFonts w:asciiTheme="majorHAnsi" w:hAnsiTheme="majorHAnsi" w:cstheme="majorHAnsi"/>
        </w:rPr>
        <w:t xml:space="preserve">disaggregated analysis of </w:t>
      </w:r>
      <w:r w:rsidRPr="007C7C5F">
        <w:rPr>
          <w:rFonts w:asciiTheme="majorHAnsi" w:hAnsiTheme="majorHAnsi" w:cstheme="majorHAnsi"/>
        </w:rPr>
        <w:t xml:space="preserve">cost-effectiveness </w:t>
      </w:r>
      <w:r w:rsidR="006D6BB7">
        <w:rPr>
          <w:rFonts w:asciiTheme="majorHAnsi" w:hAnsiTheme="majorHAnsi" w:cstheme="majorHAnsi"/>
        </w:rPr>
        <w:t xml:space="preserve">within a larger </w:t>
      </w:r>
      <w:r w:rsidR="00473FDF" w:rsidRPr="007C7C5F">
        <w:rPr>
          <w:rFonts w:asciiTheme="majorHAnsi" w:hAnsiTheme="majorHAnsi" w:cstheme="majorHAnsi"/>
        </w:rPr>
        <w:t>catchment</w:t>
      </w:r>
      <w:r w:rsidR="006D6BB7">
        <w:rPr>
          <w:rFonts w:asciiTheme="majorHAnsi" w:hAnsiTheme="majorHAnsi" w:cstheme="majorHAnsi"/>
        </w:rPr>
        <w:t>.</w:t>
      </w:r>
      <w:r w:rsidRPr="007C7C5F">
        <w:rPr>
          <w:rFonts w:asciiTheme="majorHAnsi" w:hAnsiTheme="majorHAnsi" w:cstheme="majorHAnsi"/>
        </w:rPr>
        <w:t xml:space="preserve"> </w:t>
      </w:r>
      <w:r w:rsidR="00473FDF" w:rsidRPr="007C7C5F">
        <w:rPr>
          <w:rFonts w:asciiTheme="majorHAnsi" w:hAnsiTheme="majorHAnsi" w:cstheme="majorHAnsi"/>
        </w:rPr>
        <w:t xml:space="preserve">Most water management related cost-effectiveness </w:t>
      </w:r>
      <w:r w:rsidR="00131D4B" w:rsidRPr="007C7C5F">
        <w:rPr>
          <w:rFonts w:asciiTheme="majorHAnsi" w:hAnsiTheme="majorHAnsi" w:cstheme="majorHAnsi"/>
        </w:rPr>
        <w:t xml:space="preserve">studies are </w:t>
      </w:r>
      <w:r w:rsidR="00473FDF" w:rsidRPr="007C7C5F">
        <w:rPr>
          <w:rFonts w:asciiTheme="majorHAnsi" w:hAnsiTheme="majorHAnsi" w:cstheme="majorHAnsi"/>
        </w:rPr>
        <w:t xml:space="preserve">at river basin scale </w:t>
      </w:r>
      <w:r w:rsidR="003E6B98" w:rsidRPr="007C7C5F">
        <w:rPr>
          <w:rFonts w:asciiTheme="majorHAnsi" w:hAnsiTheme="majorHAnsi" w:cstheme="majorHAnsi"/>
        </w:rPr>
        <w:t xml:space="preserve">(Paulsen and </w:t>
      </w:r>
      <w:proofErr w:type="spellStart"/>
      <w:r w:rsidR="003E6B98" w:rsidRPr="007C7C5F">
        <w:rPr>
          <w:rFonts w:asciiTheme="majorHAnsi" w:hAnsiTheme="majorHAnsi" w:cstheme="majorHAnsi"/>
        </w:rPr>
        <w:t>Wernstedt</w:t>
      </w:r>
      <w:proofErr w:type="spellEnd"/>
      <w:r w:rsidR="003E6B98" w:rsidRPr="007C7C5F">
        <w:rPr>
          <w:rFonts w:asciiTheme="majorHAnsi" w:hAnsiTheme="majorHAnsi" w:cstheme="majorHAnsi"/>
        </w:rPr>
        <w:t>, 1995;</w:t>
      </w:r>
      <w:r w:rsidR="00473FDF" w:rsidRPr="007C7C5F">
        <w:rPr>
          <w:rFonts w:asciiTheme="majorHAnsi" w:hAnsiTheme="majorHAnsi" w:cstheme="majorHAnsi"/>
        </w:rPr>
        <w:t xml:space="preserve"> Cools et al., 2011</w:t>
      </w:r>
      <w:r w:rsidR="003E6B98" w:rsidRPr="007C7C5F">
        <w:rPr>
          <w:rFonts w:asciiTheme="majorHAnsi" w:hAnsiTheme="majorHAnsi" w:cstheme="majorHAnsi"/>
        </w:rPr>
        <w:t xml:space="preserve">) </w:t>
      </w:r>
      <w:r w:rsidR="00473FDF" w:rsidRPr="007C7C5F">
        <w:rPr>
          <w:rFonts w:asciiTheme="majorHAnsi" w:hAnsiTheme="majorHAnsi" w:cstheme="majorHAnsi"/>
        </w:rPr>
        <w:t>or at national scale</w:t>
      </w:r>
      <w:r w:rsidR="003E6B98" w:rsidRPr="007C7C5F">
        <w:rPr>
          <w:rFonts w:asciiTheme="majorHAnsi" w:hAnsiTheme="majorHAnsi" w:cstheme="majorHAnsi"/>
        </w:rPr>
        <w:t xml:space="preserve"> </w:t>
      </w:r>
      <w:r w:rsidR="00473FDF" w:rsidRPr="007C7C5F">
        <w:rPr>
          <w:rFonts w:asciiTheme="majorHAnsi" w:hAnsiTheme="majorHAnsi" w:cstheme="majorHAnsi"/>
        </w:rPr>
        <w:t>(</w:t>
      </w:r>
      <w:proofErr w:type="spellStart"/>
      <w:r w:rsidR="003E6B98" w:rsidRPr="007C7C5F">
        <w:rPr>
          <w:rFonts w:asciiTheme="majorHAnsi" w:hAnsiTheme="majorHAnsi" w:cstheme="majorHAnsi"/>
        </w:rPr>
        <w:t>Schou</w:t>
      </w:r>
      <w:proofErr w:type="spellEnd"/>
      <w:r w:rsidR="003E6B98" w:rsidRPr="007C7C5F">
        <w:rPr>
          <w:rFonts w:asciiTheme="majorHAnsi" w:hAnsiTheme="majorHAnsi" w:cstheme="majorHAnsi"/>
        </w:rPr>
        <w:t xml:space="preserve"> et al., 2000; Brady, 2003</w:t>
      </w:r>
      <w:r w:rsidR="00614235" w:rsidRPr="007C7C5F">
        <w:rPr>
          <w:rFonts w:asciiTheme="majorHAnsi" w:hAnsiTheme="majorHAnsi" w:cstheme="majorHAnsi"/>
        </w:rPr>
        <w:t>; Hanley and Black, 2006</w:t>
      </w:r>
      <w:r w:rsidR="00473FDF" w:rsidRPr="007C7C5F">
        <w:rPr>
          <w:rFonts w:asciiTheme="majorHAnsi" w:hAnsiTheme="majorHAnsi" w:cstheme="majorHAnsi"/>
        </w:rPr>
        <w:t>) or even regional scale (</w:t>
      </w:r>
      <w:proofErr w:type="spellStart"/>
      <w:r w:rsidR="00473FDF" w:rsidRPr="007C7C5F">
        <w:rPr>
          <w:rFonts w:asciiTheme="majorHAnsi" w:hAnsiTheme="majorHAnsi" w:cstheme="majorHAnsi"/>
        </w:rPr>
        <w:t>Gren</w:t>
      </w:r>
      <w:proofErr w:type="spellEnd"/>
      <w:r w:rsidR="00473FDF" w:rsidRPr="007C7C5F">
        <w:rPr>
          <w:rFonts w:asciiTheme="majorHAnsi" w:hAnsiTheme="majorHAnsi" w:cstheme="majorHAnsi"/>
        </w:rPr>
        <w:t xml:space="preserve"> et al., 1997</w:t>
      </w:r>
      <w:r w:rsidR="003E6B98" w:rsidRPr="007C7C5F">
        <w:rPr>
          <w:rFonts w:asciiTheme="majorHAnsi" w:hAnsiTheme="majorHAnsi" w:cstheme="majorHAnsi"/>
        </w:rPr>
        <w:t xml:space="preserve">; </w:t>
      </w:r>
      <w:proofErr w:type="spellStart"/>
      <w:r w:rsidR="003E6B98" w:rsidRPr="007C7C5F">
        <w:rPr>
          <w:rFonts w:asciiTheme="majorHAnsi" w:hAnsiTheme="majorHAnsi" w:cstheme="majorHAnsi"/>
        </w:rPr>
        <w:t>Froschl</w:t>
      </w:r>
      <w:proofErr w:type="spellEnd"/>
      <w:r w:rsidR="003E6B98" w:rsidRPr="007C7C5F">
        <w:rPr>
          <w:rFonts w:asciiTheme="majorHAnsi" w:hAnsiTheme="majorHAnsi" w:cstheme="majorHAnsi"/>
        </w:rPr>
        <w:t xml:space="preserve"> et al., 2008</w:t>
      </w:r>
      <w:r w:rsidR="00473FDF" w:rsidRPr="007C7C5F">
        <w:rPr>
          <w:rFonts w:asciiTheme="majorHAnsi" w:hAnsiTheme="majorHAnsi" w:cstheme="majorHAnsi"/>
        </w:rPr>
        <w:t>)</w:t>
      </w:r>
      <w:r w:rsidR="00614235" w:rsidRPr="007C7C5F">
        <w:rPr>
          <w:rFonts w:asciiTheme="majorHAnsi" w:hAnsiTheme="majorHAnsi" w:cstheme="majorHAnsi"/>
        </w:rPr>
        <w:t xml:space="preserve">. Such large scale analyses tend to fail to reflect the </w:t>
      </w:r>
      <w:r w:rsidR="00713691" w:rsidRPr="007C7C5F">
        <w:rPr>
          <w:rFonts w:asciiTheme="majorHAnsi" w:hAnsiTheme="majorHAnsi" w:cstheme="majorHAnsi"/>
        </w:rPr>
        <w:t>internal</w:t>
      </w:r>
      <w:r w:rsidR="00614235" w:rsidRPr="007C7C5F">
        <w:rPr>
          <w:rFonts w:asciiTheme="majorHAnsi" w:hAnsiTheme="majorHAnsi" w:cstheme="majorHAnsi"/>
        </w:rPr>
        <w:t xml:space="preserve"> var</w:t>
      </w:r>
      <w:r w:rsidR="00807064" w:rsidRPr="007C7C5F">
        <w:rPr>
          <w:rFonts w:asciiTheme="majorHAnsi" w:hAnsiTheme="majorHAnsi" w:cstheme="majorHAnsi"/>
        </w:rPr>
        <w:t>iabilit</w:t>
      </w:r>
      <w:r w:rsidR="00713691" w:rsidRPr="007C7C5F">
        <w:rPr>
          <w:rFonts w:asciiTheme="majorHAnsi" w:hAnsiTheme="majorHAnsi" w:cstheme="majorHAnsi"/>
        </w:rPr>
        <w:t>y</w:t>
      </w:r>
      <w:r w:rsidR="0052576F" w:rsidRPr="007C7C5F">
        <w:rPr>
          <w:rFonts w:asciiTheme="majorHAnsi" w:hAnsiTheme="majorHAnsi" w:cstheme="majorHAnsi"/>
        </w:rPr>
        <w:t xml:space="preserve"> inherent in envi</w:t>
      </w:r>
      <w:r w:rsidR="00614235" w:rsidRPr="007C7C5F">
        <w:rPr>
          <w:rFonts w:asciiTheme="majorHAnsi" w:hAnsiTheme="majorHAnsi" w:cstheme="majorHAnsi"/>
        </w:rPr>
        <w:t>r</w:t>
      </w:r>
      <w:r w:rsidR="0052576F" w:rsidRPr="007C7C5F">
        <w:rPr>
          <w:rFonts w:asciiTheme="majorHAnsi" w:hAnsiTheme="majorHAnsi" w:cstheme="majorHAnsi"/>
        </w:rPr>
        <w:t>o</w:t>
      </w:r>
      <w:r w:rsidR="00614235" w:rsidRPr="007C7C5F">
        <w:rPr>
          <w:rFonts w:asciiTheme="majorHAnsi" w:hAnsiTheme="majorHAnsi" w:cstheme="majorHAnsi"/>
        </w:rPr>
        <w:t>nmenta</w:t>
      </w:r>
      <w:r w:rsidR="00807064" w:rsidRPr="007C7C5F">
        <w:rPr>
          <w:rFonts w:asciiTheme="majorHAnsi" w:hAnsiTheme="majorHAnsi" w:cstheme="majorHAnsi"/>
        </w:rPr>
        <w:t>l systems. The results from the</w:t>
      </w:r>
      <w:r w:rsidR="00614235" w:rsidRPr="007C7C5F">
        <w:rPr>
          <w:rFonts w:asciiTheme="majorHAnsi" w:hAnsiTheme="majorHAnsi" w:cstheme="majorHAnsi"/>
        </w:rPr>
        <w:t xml:space="preserve"> Dee catchment clearly demonstrate this fact. </w:t>
      </w:r>
      <w:r w:rsidR="00C0145B" w:rsidRPr="007C7C5F">
        <w:rPr>
          <w:rFonts w:asciiTheme="majorHAnsi" w:hAnsiTheme="majorHAnsi" w:cstheme="majorHAnsi"/>
        </w:rPr>
        <w:t xml:space="preserve">The studies on the two </w:t>
      </w:r>
      <w:r w:rsidR="006D6BB7">
        <w:rPr>
          <w:rFonts w:asciiTheme="majorHAnsi" w:hAnsiTheme="majorHAnsi" w:cstheme="majorHAnsi"/>
        </w:rPr>
        <w:t xml:space="preserve">smaller </w:t>
      </w:r>
      <w:r w:rsidR="00C0145B" w:rsidRPr="007C7C5F">
        <w:rPr>
          <w:rFonts w:asciiTheme="majorHAnsi" w:hAnsiTheme="majorHAnsi" w:cstheme="majorHAnsi"/>
        </w:rPr>
        <w:t xml:space="preserve">catchments </w:t>
      </w:r>
      <w:r w:rsidR="006D6BB7">
        <w:rPr>
          <w:rFonts w:asciiTheme="majorHAnsi" w:hAnsiTheme="majorHAnsi" w:cstheme="majorHAnsi"/>
        </w:rPr>
        <w:t xml:space="preserve">within the larger Dee catchment </w:t>
      </w:r>
      <w:r w:rsidR="00C0145B" w:rsidRPr="007C7C5F">
        <w:rPr>
          <w:rFonts w:asciiTheme="majorHAnsi" w:hAnsiTheme="majorHAnsi" w:cstheme="majorHAnsi"/>
        </w:rPr>
        <w:t xml:space="preserve">explored different aspects of water quality and consequently identified different measures as being key to success. </w:t>
      </w:r>
      <w:r w:rsidR="0096547E" w:rsidRPr="007C7C5F">
        <w:rPr>
          <w:rFonts w:asciiTheme="majorHAnsi" w:hAnsiTheme="majorHAnsi" w:cstheme="majorHAnsi"/>
        </w:rPr>
        <w:t>Although results are preliminary, f</w:t>
      </w:r>
      <w:r w:rsidR="00C0145B" w:rsidRPr="007C7C5F">
        <w:rPr>
          <w:rFonts w:asciiTheme="majorHAnsi" w:hAnsiTheme="majorHAnsi" w:cstheme="majorHAnsi"/>
        </w:rPr>
        <w:t xml:space="preserve">or the </w:t>
      </w:r>
      <w:proofErr w:type="spellStart"/>
      <w:r w:rsidR="0096547E" w:rsidRPr="007C7C5F">
        <w:rPr>
          <w:rFonts w:asciiTheme="majorHAnsi" w:hAnsiTheme="majorHAnsi" w:cstheme="majorHAnsi"/>
        </w:rPr>
        <w:t>Corskie</w:t>
      </w:r>
      <w:proofErr w:type="spellEnd"/>
      <w:r w:rsidR="0096547E" w:rsidRPr="007C7C5F">
        <w:rPr>
          <w:rFonts w:asciiTheme="majorHAnsi" w:hAnsiTheme="majorHAnsi" w:cstheme="majorHAnsi"/>
        </w:rPr>
        <w:t xml:space="preserve"> Burn</w:t>
      </w:r>
      <w:r w:rsidR="00C0145B" w:rsidRPr="007C7C5F">
        <w:rPr>
          <w:rFonts w:asciiTheme="majorHAnsi" w:hAnsiTheme="majorHAnsi" w:cstheme="majorHAnsi"/>
        </w:rPr>
        <w:t xml:space="preserve"> catchment there </w:t>
      </w:r>
      <w:r w:rsidR="0096547E" w:rsidRPr="007C7C5F">
        <w:rPr>
          <w:rFonts w:asciiTheme="majorHAnsi" w:hAnsiTheme="majorHAnsi" w:cstheme="majorHAnsi"/>
        </w:rPr>
        <w:t>could</w:t>
      </w:r>
      <w:r w:rsidR="00A060EF">
        <w:rPr>
          <w:rFonts w:asciiTheme="majorHAnsi" w:hAnsiTheme="majorHAnsi" w:cstheme="majorHAnsi"/>
        </w:rPr>
        <w:t>,</w:t>
      </w:r>
      <w:r w:rsidR="0096547E" w:rsidRPr="007C7C5F">
        <w:rPr>
          <w:rFonts w:asciiTheme="majorHAnsi" w:hAnsiTheme="majorHAnsi" w:cstheme="majorHAnsi"/>
        </w:rPr>
        <w:t xml:space="preserve"> for example</w:t>
      </w:r>
      <w:r w:rsidR="00A060EF">
        <w:rPr>
          <w:rFonts w:asciiTheme="majorHAnsi" w:hAnsiTheme="majorHAnsi" w:cstheme="majorHAnsi"/>
        </w:rPr>
        <w:t>,</w:t>
      </w:r>
      <w:r w:rsidR="0096547E" w:rsidRPr="007C7C5F">
        <w:rPr>
          <w:rFonts w:asciiTheme="majorHAnsi" w:hAnsiTheme="majorHAnsi" w:cstheme="majorHAnsi"/>
        </w:rPr>
        <w:t xml:space="preserve"> be</w:t>
      </w:r>
      <w:r w:rsidR="00C0145B" w:rsidRPr="007C7C5F">
        <w:rPr>
          <w:rFonts w:asciiTheme="majorHAnsi" w:hAnsiTheme="majorHAnsi" w:cstheme="majorHAnsi"/>
        </w:rPr>
        <w:t xml:space="preserve"> an </w:t>
      </w:r>
      <w:r w:rsidR="00A060EF">
        <w:rPr>
          <w:rFonts w:asciiTheme="majorHAnsi" w:hAnsiTheme="majorHAnsi" w:cstheme="majorHAnsi"/>
        </w:rPr>
        <w:t>‘</w:t>
      </w:r>
      <w:r w:rsidR="00C0145B" w:rsidRPr="007C7C5F">
        <w:rPr>
          <w:rFonts w:asciiTheme="majorHAnsi" w:hAnsiTheme="majorHAnsi" w:cstheme="majorHAnsi"/>
        </w:rPr>
        <w:t>easy</w:t>
      </w:r>
      <w:r w:rsidR="00A060EF">
        <w:rPr>
          <w:rFonts w:asciiTheme="majorHAnsi" w:hAnsiTheme="majorHAnsi" w:cstheme="majorHAnsi"/>
        </w:rPr>
        <w:t>’</w:t>
      </w:r>
      <w:r w:rsidR="00C0145B" w:rsidRPr="007C7C5F">
        <w:rPr>
          <w:rFonts w:asciiTheme="majorHAnsi" w:hAnsiTheme="majorHAnsi" w:cstheme="majorHAnsi"/>
        </w:rPr>
        <w:t xml:space="preserve"> win to be made in the context of P by tackling the major point sources of pollution, whereas in the </w:t>
      </w:r>
      <w:proofErr w:type="spellStart"/>
      <w:r w:rsidR="00C0145B" w:rsidRPr="007C7C5F">
        <w:rPr>
          <w:rFonts w:asciiTheme="majorHAnsi" w:hAnsiTheme="majorHAnsi" w:cstheme="majorHAnsi"/>
        </w:rPr>
        <w:t>Tarland</w:t>
      </w:r>
      <w:proofErr w:type="spellEnd"/>
      <w:r w:rsidR="00C0145B" w:rsidRPr="007C7C5F">
        <w:rPr>
          <w:rFonts w:asciiTheme="majorHAnsi" w:hAnsiTheme="majorHAnsi" w:cstheme="majorHAnsi"/>
        </w:rPr>
        <w:t xml:space="preserve"> Burn cost-effective mitigation of N is most likely to involve </w:t>
      </w:r>
      <w:r w:rsidR="00A060EF">
        <w:rPr>
          <w:rFonts w:asciiTheme="majorHAnsi" w:hAnsiTheme="majorHAnsi" w:cstheme="majorHAnsi"/>
        </w:rPr>
        <w:t>‘</w:t>
      </w:r>
      <w:r w:rsidR="00C0145B" w:rsidRPr="007C7C5F">
        <w:rPr>
          <w:rFonts w:asciiTheme="majorHAnsi" w:hAnsiTheme="majorHAnsi" w:cstheme="majorHAnsi"/>
        </w:rPr>
        <w:t>soft engineering</w:t>
      </w:r>
      <w:r w:rsidR="00A060EF">
        <w:rPr>
          <w:rFonts w:asciiTheme="majorHAnsi" w:hAnsiTheme="majorHAnsi" w:cstheme="majorHAnsi"/>
        </w:rPr>
        <w:t>’</w:t>
      </w:r>
      <w:r w:rsidR="00C0145B" w:rsidRPr="007C7C5F">
        <w:rPr>
          <w:rFonts w:asciiTheme="majorHAnsi" w:hAnsiTheme="majorHAnsi" w:cstheme="majorHAnsi"/>
        </w:rPr>
        <w:t xml:space="preserve"> approaches alongside fertiliser efficiency. </w:t>
      </w:r>
      <w:r w:rsidR="007519FD" w:rsidRPr="007C7C5F">
        <w:rPr>
          <w:rFonts w:asciiTheme="majorHAnsi" w:hAnsiTheme="majorHAnsi" w:cstheme="majorHAnsi"/>
        </w:rPr>
        <w:t xml:space="preserve">These findings are consistent with a move towards </w:t>
      </w:r>
      <w:r w:rsidR="0096547E" w:rsidRPr="007C7C5F">
        <w:rPr>
          <w:rFonts w:asciiTheme="majorHAnsi" w:hAnsiTheme="majorHAnsi" w:cstheme="majorHAnsi"/>
        </w:rPr>
        <w:t xml:space="preserve">the </w:t>
      </w:r>
      <w:r w:rsidR="007519FD" w:rsidRPr="007C7C5F">
        <w:rPr>
          <w:rFonts w:asciiTheme="majorHAnsi" w:hAnsiTheme="majorHAnsi" w:cstheme="majorHAnsi"/>
        </w:rPr>
        <w:t>identification of pollution hotspots as being the most efficient means of tackling water quality problems</w:t>
      </w:r>
      <w:r w:rsidR="005F7BD3" w:rsidRPr="007C7C5F">
        <w:rPr>
          <w:rFonts w:asciiTheme="majorHAnsi" w:hAnsiTheme="majorHAnsi" w:cstheme="majorHAnsi"/>
        </w:rPr>
        <w:t>. Kovacs et al. (2012)</w:t>
      </w:r>
      <w:r w:rsidR="0096547E" w:rsidRPr="007C7C5F">
        <w:rPr>
          <w:rFonts w:asciiTheme="majorHAnsi" w:hAnsiTheme="majorHAnsi" w:cstheme="majorHAnsi"/>
        </w:rPr>
        <w:t>, for example,</w:t>
      </w:r>
      <w:r w:rsidR="005F7BD3" w:rsidRPr="007C7C5F">
        <w:rPr>
          <w:rFonts w:asciiTheme="majorHAnsi" w:hAnsiTheme="majorHAnsi" w:cstheme="majorHAnsi"/>
        </w:rPr>
        <w:t xml:space="preserve"> found that intervention with better management practices on a properly selected small proportion of the total </w:t>
      </w:r>
      <w:r w:rsidR="0096547E" w:rsidRPr="007C7C5F">
        <w:rPr>
          <w:rFonts w:asciiTheme="majorHAnsi" w:hAnsiTheme="majorHAnsi" w:cstheme="majorHAnsi"/>
        </w:rPr>
        <w:t xml:space="preserve">catchment </w:t>
      </w:r>
      <w:r w:rsidR="005F7BD3" w:rsidRPr="007C7C5F">
        <w:rPr>
          <w:rFonts w:asciiTheme="majorHAnsi" w:hAnsiTheme="majorHAnsi" w:cstheme="majorHAnsi"/>
        </w:rPr>
        <w:t>area (1-3%) is sufficient to reach a remarkable improvement in water quality</w:t>
      </w:r>
      <w:r w:rsidR="0096547E" w:rsidRPr="007C7C5F">
        <w:rPr>
          <w:rFonts w:asciiTheme="majorHAnsi" w:hAnsiTheme="majorHAnsi" w:cstheme="majorHAnsi"/>
        </w:rPr>
        <w:t xml:space="preserve"> compared to more broad brush approaches</w:t>
      </w:r>
      <w:r w:rsidR="005F7BD3" w:rsidRPr="007C7C5F">
        <w:rPr>
          <w:rFonts w:asciiTheme="majorHAnsi" w:hAnsiTheme="majorHAnsi" w:cstheme="majorHAnsi"/>
        </w:rPr>
        <w:t xml:space="preserve">. </w:t>
      </w:r>
      <w:r w:rsidR="00597510" w:rsidRPr="007C7C5F">
        <w:rPr>
          <w:rFonts w:asciiTheme="majorHAnsi" w:hAnsiTheme="majorHAnsi" w:cstheme="majorHAnsi"/>
        </w:rPr>
        <w:t xml:space="preserve">Ideally, a fully integrated </w:t>
      </w:r>
      <w:r w:rsidR="00597510" w:rsidRPr="005C38BA">
        <w:rPr>
          <w:rFonts w:asciiTheme="majorHAnsi" w:hAnsiTheme="majorHAnsi" w:cstheme="majorHAnsi"/>
        </w:rPr>
        <w:t xml:space="preserve">CEA would </w:t>
      </w:r>
      <w:r w:rsidR="005F7BD3" w:rsidRPr="005C38BA">
        <w:rPr>
          <w:rFonts w:asciiTheme="majorHAnsi" w:hAnsiTheme="majorHAnsi" w:cstheme="majorHAnsi"/>
        </w:rPr>
        <w:t>also</w:t>
      </w:r>
      <w:r w:rsidR="005F7BD3" w:rsidRPr="007C7C5F">
        <w:rPr>
          <w:rFonts w:asciiTheme="majorHAnsi" w:hAnsiTheme="majorHAnsi" w:cstheme="majorHAnsi"/>
        </w:rPr>
        <w:t xml:space="preserve"> </w:t>
      </w:r>
      <w:r w:rsidR="00597510" w:rsidRPr="007C7C5F">
        <w:rPr>
          <w:rFonts w:asciiTheme="majorHAnsi" w:hAnsiTheme="majorHAnsi" w:cstheme="majorHAnsi"/>
        </w:rPr>
        <w:t xml:space="preserve">take on board </w:t>
      </w:r>
      <w:r w:rsidR="0096547E" w:rsidRPr="007C7C5F">
        <w:rPr>
          <w:rFonts w:asciiTheme="majorHAnsi" w:hAnsiTheme="majorHAnsi" w:cstheme="majorHAnsi"/>
        </w:rPr>
        <w:t xml:space="preserve">the </w:t>
      </w:r>
      <w:r w:rsidR="00597510" w:rsidRPr="007C7C5F">
        <w:rPr>
          <w:rFonts w:asciiTheme="majorHAnsi" w:hAnsiTheme="majorHAnsi" w:cstheme="majorHAnsi"/>
        </w:rPr>
        <w:t xml:space="preserve">consideration of multiple pollutants </w:t>
      </w:r>
      <w:r w:rsidR="005F7BD3" w:rsidRPr="007C7C5F">
        <w:rPr>
          <w:rFonts w:asciiTheme="majorHAnsi" w:hAnsiTheme="majorHAnsi" w:cstheme="majorHAnsi"/>
        </w:rPr>
        <w:t>to</w:t>
      </w:r>
      <w:r w:rsidR="00597510" w:rsidRPr="007C7C5F">
        <w:rPr>
          <w:rFonts w:asciiTheme="majorHAnsi" w:hAnsiTheme="majorHAnsi" w:cstheme="majorHAnsi"/>
        </w:rPr>
        <w:t xml:space="preserve"> evaluate multiple benefits</w:t>
      </w:r>
      <w:r w:rsidR="005F7BD3" w:rsidRPr="007C7C5F">
        <w:rPr>
          <w:rFonts w:asciiTheme="majorHAnsi" w:hAnsiTheme="majorHAnsi" w:cstheme="majorHAnsi"/>
        </w:rPr>
        <w:t>, but either way it is clear that</w:t>
      </w:r>
      <w:r w:rsidR="00597510" w:rsidRPr="007C7C5F">
        <w:rPr>
          <w:rFonts w:asciiTheme="majorHAnsi" w:hAnsiTheme="majorHAnsi" w:cstheme="majorHAnsi"/>
        </w:rPr>
        <w:t xml:space="preserve"> </w:t>
      </w:r>
      <w:r w:rsidR="005F7BD3" w:rsidRPr="007C7C5F">
        <w:rPr>
          <w:rFonts w:asciiTheme="majorHAnsi" w:hAnsiTheme="majorHAnsi" w:cstheme="majorHAnsi"/>
        </w:rPr>
        <w:t>s</w:t>
      </w:r>
      <w:r w:rsidR="0052576F" w:rsidRPr="007C7C5F">
        <w:rPr>
          <w:rFonts w:asciiTheme="majorHAnsi" w:hAnsiTheme="majorHAnsi" w:cstheme="majorHAnsi"/>
        </w:rPr>
        <w:t>ub-catchment scale analysis provides more robust and realistic evidence for achieving environmental targets cost-effectively</w:t>
      </w:r>
      <w:r w:rsidR="0096547E" w:rsidRPr="007C7C5F">
        <w:rPr>
          <w:rFonts w:asciiTheme="majorHAnsi" w:hAnsiTheme="majorHAnsi" w:cstheme="majorHAnsi"/>
        </w:rPr>
        <w:t>,</w:t>
      </w:r>
      <w:r w:rsidR="005F7BD3" w:rsidRPr="007C7C5F">
        <w:rPr>
          <w:rFonts w:asciiTheme="majorHAnsi" w:hAnsiTheme="majorHAnsi" w:cstheme="majorHAnsi"/>
        </w:rPr>
        <w:t xml:space="preserve"> compared with more regional analyses</w:t>
      </w:r>
      <w:r w:rsidR="0052576F" w:rsidRPr="007C7C5F">
        <w:rPr>
          <w:rFonts w:asciiTheme="majorHAnsi" w:hAnsiTheme="majorHAnsi" w:cstheme="majorHAnsi"/>
        </w:rPr>
        <w:t>.</w:t>
      </w:r>
    </w:p>
    <w:p w14:paraId="3EC08061" w14:textId="367B01D4" w:rsidR="00D368BB" w:rsidRPr="00D368BB" w:rsidRDefault="006B05C0" w:rsidP="005C38BA">
      <w:pPr>
        <w:spacing w:after="0"/>
        <w:jc w:val="both"/>
        <w:rPr>
          <w:lang w:val="en"/>
        </w:rPr>
      </w:pPr>
      <w:r w:rsidRPr="007C7C5F">
        <w:rPr>
          <w:rFonts w:asciiTheme="majorHAnsi" w:hAnsiTheme="majorHAnsi" w:cstheme="majorHAnsi"/>
        </w:rPr>
        <w:t xml:space="preserve">Representation of systems at a sub-catchment scale also permits a level of local knowledge to be integrated within the assessment whilst enabling a broader overview to be obtained than would be possible using a farm-scale approach. However, there are some limitations in relation to the </w:t>
      </w:r>
      <w:r w:rsidR="00A91FC1" w:rsidRPr="007C7C5F">
        <w:rPr>
          <w:rFonts w:asciiTheme="majorHAnsi" w:hAnsiTheme="majorHAnsi" w:cstheme="majorHAnsi"/>
        </w:rPr>
        <w:t>hydro-chemical</w:t>
      </w:r>
      <w:r w:rsidRPr="007C7C5F">
        <w:rPr>
          <w:rFonts w:asciiTheme="majorHAnsi" w:hAnsiTheme="majorHAnsi" w:cstheme="majorHAnsi"/>
        </w:rPr>
        <w:t xml:space="preserve"> modelling in terms of the type of management interventions that can be represented by the models, the manner in which they are implemented and the uncertainties associated with the farm practices at a sub- catchment scale. </w:t>
      </w:r>
      <w:r w:rsidR="005F7BD3" w:rsidRPr="007C7C5F">
        <w:rPr>
          <w:rFonts w:asciiTheme="majorHAnsi" w:hAnsiTheme="majorHAnsi" w:cstheme="majorHAnsi"/>
        </w:rPr>
        <w:t>Dunn et al. (2013) highlighted some of the difficulties in representing agricultural management</w:t>
      </w:r>
      <w:r w:rsidR="00310AA6" w:rsidRPr="007C7C5F">
        <w:rPr>
          <w:rFonts w:asciiTheme="majorHAnsi" w:hAnsiTheme="majorHAnsi" w:cstheme="majorHAnsi"/>
        </w:rPr>
        <w:t xml:space="preserve"> including limitations in input data and the spatial aggregation implicit in most catchment models. For example, farmyard runoff from animal housing and slurry stores is dependent not just on how many livestock that are kept, but the duration of their indoor housing, the handling of the waste products and capacity of storage. Therefore improvements that can be gained from better management will vary on a case by case basis. Similarly</w:t>
      </w:r>
      <w:r w:rsidR="007B16EE" w:rsidRPr="007C7C5F">
        <w:rPr>
          <w:rFonts w:asciiTheme="majorHAnsi" w:hAnsiTheme="majorHAnsi" w:cstheme="majorHAnsi"/>
        </w:rPr>
        <w:t>,</w:t>
      </w:r>
      <w:r w:rsidR="00310AA6" w:rsidRPr="007C7C5F">
        <w:rPr>
          <w:rFonts w:asciiTheme="majorHAnsi" w:hAnsiTheme="majorHAnsi" w:cstheme="majorHAnsi"/>
        </w:rPr>
        <w:t xml:space="preserve"> whilst implementation of buffer strips along riparian corridors should lead to a decrease in overall fertiliser inputs, other benefits such as uptake of N or trapping of sediments are highly dependent on the condition and management of the buffer strip. Thus, in evaluating the </w:t>
      </w:r>
      <w:r w:rsidR="00A91FC1" w:rsidRPr="007C7C5F">
        <w:rPr>
          <w:rFonts w:asciiTheme="majorHAnsi" w:hAnsiTheme="majorHAnsi" w:cstheme="majorHAnsi"/>
        </w:rPr>
        <w:t>hydro-chemical</w:t>
      </w:r>
      <w:r w:rsidR="00310AA6" w:rsidRPr="007C7C5F">
        <w:rPr>
          <w:rFonts w:asciiTheme="majorHAnsi" w:hAnsiTheme="majorHAnsi" w:cstheme="majorHAnsi"/>
        </w:rPr>
        <w:t xml:space="preserve"> effectiveness of mitigation measures every model will make some key assumptions about the </w:t>
      </w:r>
      <w:r w:rsidRPr="007C7C5F">
        <w:rPr>
          <w:rFonts w:asciiTheme="majorHAnsi" w:hAnsiTheme="majorHAnsi" w:cstheme="majorHAnsi"/>
        </w:rPr>
        <w:t xml:space="preserve">implementation of the measure. </w:t>
      </w:r>
      <w:r w:rsidR="00D81114" w:rsidRPr="007C7C5F">
        <w:rPr>
          <w:rFonts w:asciiTheme="majorHAnsi" w:hAnsiTheme="majorHAnsi" w:cstheme="majorHAnsi"/>
        </w:rPr>
        <w:t xml:space="preserve">Whilst data collation and process representation linked to these measures is more practical to achieve at a farm-scale, delivery and assessment of the overall benefits at a larger scale is required </w:t>
      </w:r>
      <w:r w:rsidR="00E41580">
        <w:rPr>
          <w:rFonts w:asciiTheme="majorHAnsi" w:hAnsiTheme="majorHAnsi" w:cstheme="majorHAnsi"/>
        </w:rPr>
        <w:t xml:space="preserve">from the regulatory perspective. </w:t>
      </w:r>
      <w:r w:rsidR="00D368BB" w:rsidRPr="00D368BB">
        <w:rPr>
          <w:lang w:val="en"/>
        </w:rPr>
        <w:t xml:space="preserve">However, data costs and effectiveness generated at a small-sale, for instance, from farm accounts data, can be used to predict catchment level impacts. For example, </w:t>
      </w:r>
      <w:proofErr w:type="spellStart"/>
      <w:r w:rsidR="00D368BB" w:rsidRPr="00D368BB">
        <w:rPr>
          <w:lang w:val="en"/>
        </w:rPr>
        <w:t>Fezzi</w:t>
      </w:r>
      <w:proofErr w:type="spellEnd"/>
      <w:r w:rsidR="00D368BB" w:rsidRPr="00D368BB">
        <w:rPr>
          <w:lang w:val="en"/>
        </w:rPr>
        <w:t xml:space="preserve"> et al (2010) assessed the costs of Water Framework Directive-related measures on farm accounts data and predicted catchment scale impacts for the case study of the agriculturally diverse Yorkshire Derwent catchment, in the North of England. Similarly, the methodological approach </w:t>
      </w:r>
      <w:r w:rsidR="00D368BB" w:rsidRPr="00D368BB">
        <w:rPr>
          <w:lang w:val="en"/>
        </w:rPr>
        <w:lastRenderedPageBreak/>
        <w:t>presented in this paper (the 7 steps in section 2) can be adapted for cost-effectiveness analysis at a larger catchment or river basin scale.</w:t>
      </w:r>
    </w:p>
    <w:p w14:paraId="23E94341" w14:textId="7E16762C" w:rsidR="005F7BD3" w:rsidRPr="007C7C5F" w:rsidRDefault="005F7BD3" w:rsidP="00310AA6">
      <w:pPr>
        <w:jc w:val="both"/>
        <w:rPr>
          <w:rFonts w:asciiTheme="majorHAnsi" w:hAnsiTheme="majorHAnsi" w:cstheme="majorHAnsi"/>
        </w:rPr>
      </w:pPr>
    </w:p>
    <w:p w14:paraId="527C778F" w14:textId="208E9346" w:rsidR="00A06C90" w:rsidRPr="007C7C5F" w:rsidRDefault="00452120" w:rsidP="00A06C90">
      <w:pPr>
        <w:jc w:val="both"/>
        <w:rPr>
          <w:rFonts w:asciiTheme="majorHAnsi" w:hAnsiTheme="majorHAnsi" w:cstheme="majorHAnsi"/>
        </w:rPr>
      </w:pPr>
      <w:r w:rsidRPr="007C7C5F">
        <w:rPr>
          <w:rFonts w:asciiTheme="majorHAnsi" w:hAnsiTheme="majorHAnsi" w:cstheme="majorHAnsi"/>
        </w:rPr>
        <w:t xml:space="preserve">From </w:t>
      </w:r>
      <w:r w:rsidR="00131D4B" w:rsidRPr="007C7C5F">
        <w:rPr>
          <w:rFonts w:asciiTheme="majorHAnsi" w:hAnsiTheme="majorHAnsi" w:cstheme="majorHAnsi"/>
        </w:rPr>
        <w:t xml:space="preserve">an economic </w:t>
      </w:r>
      <w:r w:rsidRPr="007C7C5F">
        <w:rPr>
          <w:rFonts w:asciiTheme="majorHAnsi" w:hAnsiTheme="majorHAnsi" w:cstheme="majorHAnsi"/>
        </w:rPr>
        <w:t>perspective, CEA is not an economic efficiency analysis due</w:t>
      </w:r>
      <w:r w:rsidR="0038070B" w:rsidRPr="007C7C5F">
        <w:rPr>
          <w:rFonts w:asciiTheme="majorHAnsi" w:hAnsiTheme="majorHAnsi" w:cstheme="majorHAnsi"/>
        </w:rPr>
        <w:t xml:space="preserve"> to</w:t>
      </w:r>
      <w:r w:rsidRPr="007C7C5F">
        <w:rPr>
          <w:rFonts w:asciiTheme="majorHAnsi" w:hAnsiTheme="majorHAnsi" w:cstheme="majorHAnsi"/>
        </w:rPr>
        <w:t xml:space="preserve"> the fact that physical environmental targets are exogenously determined and </w:t>
      </w:r>
      <w:r w:rsidR="0038070B" w:rsidRPr="007C7C5F">
        <w:rPr>
          <w:rFonts w:asciiTheme="majorHAnsi" w:hAnsiTheme="majorHAnsi" w:cstheme="majorHAnsi"/>
        </w:rPr>
        <w:t xml:space="preserve">they are not based on social-optimum criterion. </w:t>
      </w:r>
      <w:r w:rsidR="0039096B" w:rsidRPr="007C7C5F">
        <w:rPr>
          <w:rFonts w:asciiTheme="majorHAnsi" w:hAnsiTheme="majorHAnsi" w:cstheme="majorHAnsi"/>
        </w:rPr>
        <w:t>Furthermore,</w:t>
      </w:r>
      <w:r w:rsidR="0038070B" w:rsidRPr="007C7C5F">
        <w:rPr>
          <w:rFonts w:asciiTheme="majorHAnsi" w:hAnsiTheme="majorHAnsi" w:cstheme="majorHAnsi"/>
        </w:rPr>
        <w:t xml:space="preserve"> the predetermined value of environmental target</w:t>
      </w:r>
      <w:r w:rsidR="00131D4B" w:rsidRPr="007C7C5F">
        <w:rPr>
          <w:rFonts w:asciiTheme="majorHAnsi" w:hAnsiTheme="majorHAnsi" w:cstheme="majorHAnsi"/>
        </w:rPr>
        <w:t>s</w:t>
      </w:r>
      <w:r w:rsidR="0038070B" w:rsidRPr="007C7C5F">
        <w:rPr>
          <w:rFonts w:asciiTheme="majorHAnsi" w:hAnsiTheme="majorHAnsi" w:cstheme="majorHAnsi"/>
        </w:rPr>
        <w:t xml:space="preserve"> or standard</w:t>
      </w:r>
      <w:r w:rsidR="00131D4B" w:rsidRPr="007C7C5F">
        <w:rPr>
          <w:rFonts w:asciiTheme="majorHAnsi" w:hAnsiTheme="majorHAnsi" w:cstheme="majorHAnsi"/>
        </w:rPr>
        <w:t>s</w:t>
      </w:r>
      <w:r w:rsidR="0038070B" w:rsidRPr="007C7C5F">
        <w:rPr>
          <w:rFonts w:asciiTheme="majorHAnsi" w:hAnsiTheme="majorHAnsi" w:cstheme="majorHAnsi"/>
        </w:rPr>
        <w:t xml:space="preserve"> </w:t>
      </w:r>
      <w:r w:rsidR="00320759" w:rsidRPr="007C7C5F">
        <w:rPr>
          <w:rFonts w:asciiTheme="majorHAnsi" w:hAnsiTheme="majorHAnsi" w:cstheme="majorHAnsi"/>
        </w:rPr>
        <w:t>used in CEA greatly affects the results of the analysis</w:t>
      </w:r>
      <w:r w:rsidR="007B16EE" w:rsidRPr="007C7C5F">
        <w:rPr>
          <w:rFonts w:asciiTheme="majorHAnsi" w:hAnsiTheme="majorHAnsi" w:cstheme="majorHAnsi"/>
        </w:rPr>
        <w:t xml:space="preserve">, and yet setting appropriate nutrient reduction targets may be problematic. </w:t>
      </w:r>
      <w:r w:rsidR="00A060EF">
        <w:rPr>
          <w:rFonts w:asciiTheme="majorHAnsi" w:hAnsiTheme="majorHAnsi" w:cstheme="majorHAnsi"/>
        </w:rPr>
        <w:t>For example, t</w:t>
      </w:r>
      <w:r w:rsidR="007B16EE" w:rsidRPr="007C7C5F">
        <w:rPr>
          <w:rFonts w:asciiTheme="majorHAnsi" w:hAnsiTheme="majorHAnsi" w:cstheme="majorHAnsi"/>
        </w:rPr>
        <w:t xml:space="preserve">he WFD currently </w:t>
      </w:r>
      <w:r w:rsidR="00A060EF">
        <w:rPr>
          <w:rFonts w:asciiTheme="majorHAnsi" w:hAnsiTheme="majorHAnsi" w:cstheme="majorHAnsi"/>
        </w:rPr>
        <w:t xml:space="preserve">does not </w:t>
      </w:r>
      <w:r w:rsidR="007B16EE" w:rsidRPr="007C7C5F">
        <w:rPr>
          <w:rFonts w:asciiTheme="majorHAnsi" w:hAnsiTheme="majorHAnsi" w:cstheme="majorHAnsi"/>
        </w:rPr>
        <w:t xml:space="preserve">specify target nitrate concentrations, so in this study several targets were selected, based on expert judgement of likely reductions required for low nutrient invertebrate communities. </w:t>
      </w:r>
      <w:r w:rsidR="00320759" w:rsidRPr="007C7C5F">
        <w:rPr>
          <w:rFonts w:asciiTheme="majorHAnsi" w:hAnsiTheme="majorHAnsi" w:cstheme="majorHAnsi"/>
        </w:rPr>
        <w:t xml:space="preserve"> </w:t>
      </w:r>
    </w:p>
    <w:p w14:paraId="3EC97803" w14:textId="2E23F4AD" w:rsidR="00C34A07" w:rsidRPr="007C7C5F" w:rsidRDefault="00A06C90" w:rsidP="00C34A07">
      <w:pPr>
        <w:jc w:val="both"/>
        <w:rPr>
          <w:rFonts w:asciiTheme="majorHAnsi" w:hAnsiTheme="majorHAnsi" w:cstheme="majorHAnsi"/>
        </w:rPr>
      </w:pPr>
      <w:r w:rsidRPr="007C7C5F">
        <w:rPr>
          <w:rFonts w:asciiTheme="majorHAnsi" w:hAnsiTheme="majorHAnsi" w:cstheme="majorHAnsi"/>
        </w:rPr>
        <w:t>There are variations in the interpretation of WFD implementation between member countries. For example, the Flemish (Belgium) interpretation of WFD standards for total nitrogen and nitrate (Cools et al., 2011) indicates that for total N, good status is below 4 mg N/L; very good status is below 3</w:t>
      </w:r>
      <w:r w:rsidR="00020E96" w:rsidRPr="007C7C5F">
        <w:rPr>
          <w:rFonts w:asciiTheme="majorHAnsi" w:hAnsiTheme="majorHAnsi" w:cstheme="majorHAnsi"/>
        </w:rPr>
        <w:t xml:space="preserve"> </w:t>
      </w:r>
      <w:r w:rsidRPr="007C7C5F">
        <w:rPr>
          <w:rFonts w:asciiTheme="majorHAnsi" w:hAnsiTheme="majorHAnsi" w:cstheme="majorHAnsi"/>
        </w:rPr>
        <w:t>mg N/L, whilst for nitrate, good status is between 2 and 10 mg nitrate-N per litre and very good status is less than 2 mg nitrate-N per litre. Meanwhile, in the UK no specific targets are given for surface water nitrate concentrations, despite their importance in causing surface water eutrophication</w:t>
      </w:r>
      <w:r w:rsidR="001207BD" w:rsidRPr="007C7C5F">
        <w:rPr>
          <w:rFonts w:asciiTheme="majorHAnsi" w:hAnsiTheme="majorHAnsi" w:cstheme="majorHAnsi"/>
        </w:rPr>
        <w:t xml:space="preserve">, and in the context of the </w:t>
      </w:r>
      <w:r w:rsidR="00A060EF">
        <w:rPr>
          <w:rFonts w:asciiTheme="majorHAnsi" w:hAnsiTheme="majorHAnsi" w:cstheme="majorHAnsi"/>
        </w:rPr>
        <w:t xml:space="preserve">EU </w:t>
      </w:r>
      <w:r w:rsidR="001207BD" w:rsidRPr="007C7C5F">
        <w:rPr>
          <w:rFonts w:asciiTheme="majorHAnsi" w:hAnsiTheme="majorHAnsi" w:cstheme="majorHAnsi"/>
        </w:rPr>
        <w:t>Habitats Directive higher water quality standards are required for some key ecological species. For example, for freshwater pearl mussels (</w:t>
      </w:r>
      <w:r w:rsidR="001207BD" w:rsidRPr="007C7C5F">
        <w:rPr>
          <w:rFonts w:asciiTheme="majorHAnsi" w:hAnsiTheme="majorHAnsi" w:cstheme="majorHAnsi"/>
          <w:i/>
        </w:rPr>
        <w:t xml:space="preserve">M. </w:t>
      </w:r>
      <w:proofErr w:type="spellStart"/>
      <w:r w:rsidR="001207BD" w:rsidRPr="007C7C5F">
        <w:rPr>
          <w:rFonts w:asciiTheme="majorHAnsi" w:hAnsiTheme="majorHAnsi" w:cstheme="majorHAnsi"/>
          <w:i/>
        </w:rPr>
        <w:t>margaritifera</w:t>
      </w:r>
      <w:proofErr w:type="spellEnd"/>
      <w:r w:rsidR="001207BD" w:rsidRPr="007C7C5F">
        <w:rPr>
          <w:rFonts w:asciiTheme="majorHAnsi" w:hAnsiTheme="majorHAnsi" w:cstheme="majorHAnsi"/>
        </w:rPr>
        <w:t>) to survive and reproduce, stream nutrient levels must be close to reference conditions for ultra-oligotrophic rivers</w:t>
      </w:r>
      <w:r w:rsidRPr="007C7C5F">
        <w:rPr>
          <w:rFonts w:asciiTheme="majorHAnsi" w:hAnsiTheme="majorHAnsi" w:cstheme="majorHAnsi"/>
        </w:rPr>
        <w:t xml:space="preserve">. Thus, for the purpose of establishing nitrate concentration levels in the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Burn, we reviewed a range of literature (both grey and published) and expert consultation. </w:t>
      </w:r>
      <w:r w:rsidR="00F84D4E" w:rsidRPr="007C7C5F">
        <w:rPr>
          <w:rFonts w:asciiTheme="majorHAnsi" w:hAnsiTheme="majorHAnsi" w:cstheme="majorHAnsi"/>
        </w:rPr>
        <w:t xml:space="preserve">Nonetheless, targets were still challenging to set in this study, due to the miss-classification of the water chemistry status of the </w:t>
      </w:r>
      <w:proofErr w:type="spellStart"/>
      <w:r w:rsidR="00F84D4E" w:rsidRPr="007C7C5F">
        <w:rPr>
          <w:rFonts w:asciiTheme="majorHAnsi" w:hAnsiTheme="majorHAnsi" w:cstheme="majorHAnsi"/>
        </w:rPr>
        <w:t>Corskie</w:t>
      </w:r>
      <w:proofErr w:type="spellEnd"/>
      <w:r w:rsidR="00F84D4E" w:rsidRPr="007C7C5F">
        <w:rPr>
          <w:rFonts w:asciiTheme="majorHAnsi" w:hAnsiTheme="majorHAnsi" w:cstheme="majorHAnsi"/>
        </w:rPr>
        <w:t xml:space="preserve"> Burn (Section 6.3). It is therefore possible that different cost-effective measures would have been identified had different targets been set. </w:t>
      </w:r>
      <w:r w:rsidRPr="007C7C5F">
        <w:rPr>
          <w:rFonts w:asciiTheme="majorHAnsi" w:hAnsiTheme="majorHAnsi" w:cstheme="majorHAnsi"/>
        </w:rPr>
        <w:t>Thus, CEA studie</w:t>
      </w:r>
      <w:r w:rsidR="00320759" w:rsidRPr="007C7C5F">
        <w:rPr>
          <w:rFonts w:asciiTheme="majorHAnsi" w:hAnsiTheme="majorHAnsi" w:cstheme="majorHAnsi"/>
        </w:rPr>
        <w:t>s should focus not only on the cost and effects data, but also examine baseline classifications and accuracy of the environmental targets.</w:t>
      </w:r>
    </w:p>
    <w:p w14:paraId="69901870" w14:textId="5BA6C032" w:rsidR="00305683" w:rsidRPr="007C7C5F" w:rsidRDefault="00305683" w:rsidP="005250A9">
      <w:pPr>
        <w:spacing w:after="120"/>
        <w:rPr>
          <w:rFonts w:asciiTheme="majorHAnsi" w:hAnsiTheme="majorHAnsi" w:cstheme="majorHAnsi"/>
        </w:rPr>
      </w:pPr>
    </w:p>
    <w:p w14:paraId="6B6E292F" w14:textId="528A1D08" w:rsidR="00127653" w:rsidRPr="007C7C5F" w:rsidRDefault="00C70742" w:rsidP="00127653">
      <w:pPr>
        <w:pStyle w:val="Heading1"/>
        <w:spacing w:before="0" w:after="200"/>
        <w:jc w:val="both"/>
        <w:rPr>
          <w:rFonts w:asciiTheme="majorHAnsi" w:hAnsiTheme="majorHAnsi" w:cstheme="majorHAnsi"/>
          <w:color w:val="auto"/>
        </w:rPr>
      </w:pPr>
      <w:bookmarkStart w:id="24" w:name="_Toc368665247"/>
      <w:bookmarkEnd w:id="23"/>
      <w:r w:rsidRPr="007C7C5F">
        <w:rPr>
          <w:rFonts w:asciiTheme="majorHAnsi" w:hAnsiTheme="majorHAnsi" w:cstheme="majorHAnsi"/>
          <w:color w:val="auto"/>
        </w:rPr>
        <w:t xml:space="preserve">Conclusion </w:t>
      </w:r>
      <w:r w:rsidR="006F77CA" w:rsidRPr="007C7C5F">
        <w:rPr>
          <w:rFonts w:asciiTheme="majorHAnsi" w:hAnsiTheme="majorHAnsi" w:cstheme="majorHAnsi"/>
          <w:color w:val="auto"/>
        </w:rPr>
        <w:t>and</w:t>
      </w:r>
      <w:r w:rsidRPr="007C7C5F">
        <w:rPr>
          <w:rFonts w:asciiTheme="majorHAnsi" w:hAnsiTheme="majorHAnsi" w:cstheme="majorHAnsi"/>
          <w:color w:val="auto"/>
        </w:rPr>
        <w:t xml:space="preserve"> </w:t>
      </w:r>
      <w:r w:rsidR="00127653" w:rsidRPr="007C7C5F">
        <w:rPr>
          <w:rFonts w:asciiTheme="majorHAnsi" w:hAnsiTheme="majorHAnsi" w:cstheme="majorHAnsi"/>
          <w:color w:val="auto"/>
        </w:rPr>
        <w:t>implication</w:t>
      </w:r>
      <w:r w:rsidR="006F77CA" w:rsidRPr="007C7C5F">
        <w:rPr>
          <w:rFonts w:asciiTheme="majorHAnsi" w:hAnsiTheme="majorHAnsi" w:cstheme="majorHAnsi"/>
          <w:color w:val="auto"/>
        </w:rPr>
        <w:t>s for future research</w:t>
      </w:r>
      <w:r w:rsidR="00127653" w:rsidRPr="007C7C5F">
        <w:rPr>
          <w:rFonts w:asciiTheme="majorHAnsi" w:hAnsiTheme="majorHAnsi" w:cstheme="majorHAnsi"/>
          <w:color w:val="auto"/>
        </w:rPr>
        <w:t xml:space="preserve"> </w:t>
      </w:r>
      <w:bookmarkEnd w:id="24"/>
    </w:p>
    <w:p w14:paraId="52792E2B" w14:textId="655D8524" w:rsidR="005904F3" w:rsidRPr="0050561C" w:rsidRDefault="00131D4B" w:rsidP="008F47B2">
      <w:pPr>
        <w:jc w:val="both"/>
        <w:rPr>
          <w:rFonts w:cstheme="majorHAnsi"/>
        </w:rPr>
      </w:pPr>
      <w:r w:rsidRPr="0050561C">
        <w:rPr>
          <w:rFonts w:cstheme="majorHAnsi"/>
        </w:rPr>
        <w:t xml:space="preserve">We have presented a methodology for identifying cost effective combinations of measures to reach water quality targets </w:t>
      </w:r>
      <w:r w:rsidR="0050561C" w:rsidRPr="0050561C">
        <w:rPr>
          <w:rFonts w:cstheme="majorHAnsi"/>
        </w:rPr>
        <w:t>using a case study catchment in North East Scotland.</w:t>
      </w:r>
      <w:r w:rsidRPr="0050561C">
        <w:rPr>
          <w:rFonts w:cstheme="majorHAnsi"/>
        </w:rPr>
        <w:t xml:space="preserve"> This methodology involves linking process-based, dynamic, catchment-scale </w:t>
      </w:r>
      <w:r w:rsidR="00A91FC1" w:rsidRPr="0050561C">
        <w:rPr>
          <w:rFonts w:cstheme="majorHAnsi"/>
        </w:rPr>
        <w:t xml:space="preserve">hydro-chemical </w:t>
      </w:r>
      <w:r w:rsidRPr="0050561C">
        <w:rPr>
          <w:rFonts w:cstheme="majorHAnsi"/>
        </w:rPr>
        <w:t>modelling results with an economic analysis</w:t>
      </w:r>
      <w:r w:rsidR="00A06C90" w:rsidRPr="0050561C">
        <w:rPr>
          <w:rFonts w:cstheme="majorHAnsi"/>
        </w:rPr>
        <w:t xml:space="preserve"> </w:t>
      </w:r>
      <w:r w:rsidR="00020E96" w:rsidRPr="0050561C">
        <w:rPr>
          <w:rFonts w:cstheme="majorHAnsi"/>
        </w:rPr>
        <w:t xml:space="preserve">of </w:t>
      </w:r>
      <w:r w:rsidR="00A06C90" w:rsidRPr="0050561C">
        <w:rPr>
          <w:rFonts w:cstheme="majorHAnsi"/>
        </w:rPr>
        <w:t>measures</w:t>
      </w:r>
      <w:r w:rsidRPr="0050561C">
        <w:rPr>
          <w:rFonts w:cstheme="majorHAnsi"/>
        </w:rPr>
        <w:t>.</w:t>
      </w:r>
      <w:r w:rsidR="0050561C" w:rsidRPr="0050561C">
        <w:rPr>
          <w:rFonts w:cstheme="majorHAnsi"/>
        </w:rPr>
        <w:t xml:space="preserve"> The generic integrated methodological approach developed in this paper can be adapted t and applied to other river catchment in Europe or elsewhere. The adaptability of the methodology was tested in five different countries/catchment</w:t>
      </w:r>
      <w:r w:rsidR="009E5601">
        <w:rPr>
          <w:rFonts w:cstheme="majorHAnsi"/>
        </w:rPr>
        <w:t>s</w:t>
      </w:r>
      <w:r w:rsidR="0050561C" w:rsidRPr="0050561C">
        <w:rPr>
          <w:rFonts w:cstheme="majorHAnsi"/>
        </w:rPr>
        <w:t xml:space="preserve"> selected for the REFRESH project in Europe</w:t>
      </w:r>
      <w:r w:rsidR="009E5601">
        <w:rPr>
          <w:rFonts w:cstheme="majorHAnsi"/>
        </w:rPr>
        <w:t xml:space="preserve">: The </w:t>
      </w:r>
      <w:r w:rsidR="0050561C" w:rsidRPr="0050561C">
        <w:rPr>
          <w:rFonts w:cs="Arial"/>
        </w:rPr>
        <w:t xml:space="preserve">Thames catchment (England), </w:t>
      </w:r>
      <w:proofErr w:type="spellStart"/>
      <w:r w:rsidR="0050561C" w:rsidRPr="0050561C">
        <w:rPr>
          <w:rFonts w:cs="Arial"/>
        </w:rPr>
        <w:t>Louros</w:t>
      </w:r>
      <w:proofErr w:type="spellEnd"/>
      <w:r w:rsidR="0050561C" w:rsidRPr="0050561C">
        <w:rPr>
          <w:rFonts w:cs="Arial"/>
        </w:rPr>
        <w:t xml:space="preserve"> catchment (Greece),</w:t>
      </w:r>
      <w:r w:rsidR="00D912CA">
        <w:rPr>
          <w:rFonts w:cs="Arial"/>
        </w:rPr>
        <w:t xml:space="preserve"> </w:t>
      </w:r>
      <w:proofErr w:type="spellStart"/>
      <w:r w:rsidR="00D912CA">
        <w:rPr>
          <w:rFonts w:cs="Arial"/>
        </w:rPr>
        <w:t>Pyhajarvi</w:t>
      </w:r>
      <w:proofErr w:type="spellEnd"/>
      <w:r w:rsidR="00D912CA">
        <w:rPr>
          <w:rFonts w:cs="Arial"/>
        </w:rPr>
        <w:t>/</w:t>
      </w:r>
      <w:proofErr w:type="spellStart"/>
      <w:r w:rsidR="0050561C" w:rsidRPr="0050561C">
        <w:rPr>
          <w:rFonts w:cs="Arial"/>
        </w:rPr>
        <w:t>Ylaneenjoki</w:t>
      </w:r>
      <w:proofErr w:type="spellEnd"/>
      <w:r w:rsidR="0050561C" w:rsidRPr="0050561C">
        <w:rPr>
          <w:rFonts w:cs="Arial"/>
        </w:rPr>
        <w:t xml:space="preserve"> catchment (Finland), </w:t>
      </w:r>
      <w:proofErr w:type="spellStart"/>
      <w:r w:rsidR="0050561C" w:rsidRPr="0050561C">
        <w:rPr>
          <w:rFonts w:cs="Arial"/>
        </w:rPr>
        <w:t>Vansjǿ-Hǿbol</w:t>
      </w:r>
      <w:proofErr w:type="spellEnd"/>
      <w:r w:rsidR="0050561C" w:rsidRPr="0050561C">
        <w:rPr>
          <w:rFonts w:cs="Arial"/>
        </w:rPr>
        <w:t xml:space="preserve"> catchment (Norway), and Vltava catchment (Czech Republic)</w:t>
      </w:r>
      <w:r w:rsidR="00D912CA">
        <w:rPr>
          <w:rFonts w:cs="Arial"/>
        </w:rPr>
        <w:t xml:space="preserve"> which </w:t>
      </w:r>
      <w:r w:rsidR="0050561C" w:rsidRPr="0050561C">
        <w:rPr>
          <w:rFonts w:cs="Arial"/>
        </w:rPr>
        <w:t>broadly represent the major climatic regions and mix of land use</w:t>
      </w:r>
      <w:r w:rsidR="00D912CA">
        <w:rPr>
          <w:rFonts w:cs="Arial"/>
        </w:rPr>
        <w:t>s in Europe.</w:t>
      </w:r>
      <w:r w:rsidR="0050561C" w:rsidRPr="0050561C">
        <w:rPr>
          <w:rFonts w:cstheme="majorHAnsi"/>
        </w:rPr>
        <w:t xml:space="preserve"> </w:t>
      </w:r>
    </w:p>
    <w:p w14:paraId="5B2FF799" w14:textId="356CEE45" w:rsidR="008F47B2" w:rsidRPr="007C7C5F" w:rsidRDefault="00573AC4" w:rsidP="008F47B2">
      <w:pPr>
        <w:jc w:val="both"/>
        <w:rPr>
          <w:rFonts w:asciiTheme="majorHAnsi" w:hAnsiTheme="majorHAnsi" w:cstheme="majorHAnsi"/>
        </w:rPr>
      </w:pPr>
      <w:r w:rsidRPr="007C7C5F">
        <w:rPr>
          <w:rFonts w:asciiTheme="majorHAnsi" w:hAnsiTheme="majorHAnsi" w:cstheme="majorHAnsi"/>
        </w:rPr>
        <w:t>From the f</w:t>
      </w:r>
      <w:r w:rsidR="00874BFA" w:rsidRPr="007C7C5F">
        <w:rPr>
          <w:rFonts w:asciiTheme="majorHAnsi" w:hAnsiTheme="majorHAnsi" w:cstheme="majorHAnsi"/>
        </w:rPr>
        <w:t>inding</w:t>
      </w:r>
      <w:r w:rsidRPr="007C7C5F">
        <w:rPr>
          <w:rFonts w:asciiTheme="majorHAnsi" w:hAnsiTheme="majorHAnsi" w:cstheme="majorHAnsi"/>
        </w:rPr>
        <w:t xml:space="preserve">s in </w:t>
      </w:r>
      <w:r w:rsidR="00C70742" w:rsidRPr="007C7C5F">
        <w:rPr>
          <w:rFonts w:asciiTheme="majorHAnsi" w:hAnsiTheme="majorHAnsi" w:cstheme="majorHAnsi"/>
        </w:rPr>
        <w:t>this research</w:t>
      </w:r>
      <w:r w:rsidRPr="007C7C5F">
        <w:rPr>
          <w:rFonts w:asciiTheme="majorHAnsi" w:hAnsiTheme="majorHAnsi" w:cstheme="majorHAnsi"/>
        </w:rPr>
        <w:t xml:space="preserve"> the following major conclusions are derived:</w:t>
      </w:r>
      <w:r w:rsidR="005169A2" w:rsidRPr="007C7C5F">
        <w:rPr>
          <w:rFonts w:asciiTheme="majorHAnsi" w:hAnsiTheme="majorHAnsi" w:cstheme="majorHAnsi"/>
        </w:rPr>
        <w:t xml:space="preserve"> </w:t>
      </w:r>
      <w:r w:rsidR="00874BFA" w:rsidRPr="007C7C5F">
        <w:rPr>
          <w:rFonts w:asciiTheme="majorHAnsi" w:hAnsiTheme="majorHAnsi" w:cstheme="majorHAnsi"/>
        </w:rPr>
        <w:t xml:space="preserve">(1) identification of key pressure sources and targeted measures </w:t>
      </w:r>
      <w:r w:rsidR="00C70742" w:rsidRPr="007C7C5F">
        <w:rPr>
          <w:rFonts w:asciiTheme="majorHAnsi" w:hAnsiTheme="majorHAnsi" w:cstheme="majorHAnsi"/>
        </w:rPr>
        <w:t xml:space="preserve">at sub-catchment scale </w:t>
      </w:r>
      <w:r w:rsidR="00874BFA" w:rsidRPr="007C7C5F">
        <w:rPr>
          <w:rFonts w:asciiTheme="majorHAnsi" w:hAnsiTheme="majorHAnsi" w:cstheme="majorHAnsi"/>
        </w:rPr>
        <w:t xml:space="preserve">are the best way to achieve cost-effective pollution mitigation; (2) livestock measures </w:t>
      </w:r>
      <w:r w:rsidR="00131D4B" w:rsidRPr="007C7C5F">
        <w:rPr>
          <w:rFonts w:asciiTheme="majorHAnsi" w:hAnsiTheme="majorHAnsi" w:cstheme="majorHAnsi"/>
        </w:rPr>
        <w:t xml:space="preserve">appear to be </w:t>
      </w:r>
      <w:r w:rsidR="00874BFA" w:rsidRPr="007C7C5F">
        <w:rPr>
          <w:rFonts w:asciiTheme="majorHAnsi" w:hAnsiTheme="majorHAnsi" w:cstheme="majorHAnsi"/>
        </w:rPr>
        <w:t>more costly to implement than arable sector measures</w:t>
      </w:r>
      <w:r w:rsidR="00131D4B" w:rsidRPr="007C7C5F">
        <w:rPr>
          <w:rFonts w:asciiTheme="majorHAnsi" w:hAnsiTheme="majorHAnsi" w:cstheme="majorHAnsi"/>
        </w:rPr>
        <w:t xml:space="preserve"> when attempting to reduce nitrate inputs</w:t>
      </w:r>
      <w:r w:rsidR="00E93453" w:rsidRPr="007C7C5F">
        <w:rPr>
          <w:rFonts w:asciiTheme="majorHAnsi" w:hAnsiTheme="majorHAnsi" w:cstheme="majorHAnsi"/>
        </w:rPr>
        <w:t xml:space="preserve"> in a mixed agricultural catchment</w:t>
      </w:r>
      <w:r w:rsidR="00874BFA" w:rsidRPr="007C7C5F">
        <w:rPr>
          <w:rFonts w:asciiTheme="majorHAnsi" w:hAnsiTheme="majorHAnsi" w:cstheme="majorHAnsi"/>
        </w:rPr>
        <w:t xml:space="preserve">; </w:t>
      </w:r>
      <w:r w:rsidR="00C70742" w:rsidRPr="007C7C5F">
        <w:rPr>
          <w:rFonts w:asciiTheme="majorHAnsi" w:hAnsiTheme="majorHAnsi" w:cstheme="majorHAnsi"/>
        </w:rPr>
        <w:lastRenderedPageBreak/>
        <w:t>(3</w:t>
      </w:r>
      <w:r w:rsidR="00874BFA" w:rsidRPr="007C7C5F">
        <w:rPr>
          <w:rFonts w:asciiTheme="majorHAnsi" w:hAnsiTheme="majorHAnsi" w:cstheme="majorHAnsi"/>
        </w:rPr>
        <w:t>)</w:t>
      </w:r>
      <w:r w:rsidR="005169A2" w:rsidRPr="007C7C5F">
        <w:rPr>
          <w:rFonts w:asciiTheme="majorHAnsi" w:hAnsiTheme="majorHAnsi" w:cstheme="majorHAnsi"/>
        </w:rPr>
        <w:t xml:space="preserve"> </w:t>
      </w:r>
      <w:r w:rsidR="00874BFA" w:rsidRPr="007C7C5F">
        <w:rPr>
          <w:rFonts w:asciiTheme="majorHAnsi" w:hAnsiTheme="majorHAnsi" w:cstheme="majorHAnsi"/>
        </w:rPr>
        <w:t xml:space="preserve">investment in WWTW </w:t>
      </w:r>
      <w:r w:rsidR="00133327" w:rsidRPr="007C7C5F">
        <w:rPr>
          <w:rFonts w:asciiTheme="majorHAnsi" w:hAnsiTheme="majorHAnsi" w:cstheme="majorHAnsi"/>
        </w:rPr>
        <w:t>may</w:t>
      </w:r>
      <w:r w:rsidR="00874BFA" w:rsidRPr="007C7C5F">
        <w:rPr>
          <w:rFonts w:asciiTheme="majorHAnsi" w:hAnsiTheme="majorHAnsi" w:cstheme="majorHAnsi"/>
        </w:rPr>
        <w:t xml:space="preserve"> be </w:t>
      </w:r>
      <w:r w:rsidR="001B18FA" w:rsidRPr="007C7C5F">
        <w:rPr>
          <w:rFonts w:asciiTheme="majorHAnsi" w:hAnsiTheme="majorHAnsi" w:cstheme="majorHAnsi"/>
        </w:rPr>
        <w:t>a cost-effective</w:t>
      </w:r>
      <w:r w:rsidR="00874BFA" w:rsidRPr="007C7C5F">
        <w:rPr>
          <w:rFonts w:asciiTheme="majorHAnsi" w:hAnsiTheme="majorHAnsi" w:cstheme="majorHAnsi"/>
        </w:rPr>
        <w:t xml:space="preserve"> strategy to</w:t>
      </w:r>
      <w:r w:rsidR="00C10AFC" w:rsidRPr="007C7C5F">
        <w:rPr>
          <w:rFonts w:asciiTheme="majorHAnsi" w:hAnsiTheme="majorHAnsi" w:cstheme="majorHAnsi"/>
        </w:rPr>
        <w:t xml:space="preserve"> </w:t>
      </w:r>
      <w:r w:rsidR="00133327" w:rsidRPr="007C7C5F">
        <w:rPr>
          <w:rFonts w:asciiTheme="majorHAnsi" w:hAnsiTheme="majorHAnsi" w:cstheme="majorHAnsi"/>
        </w:rPr>
        <w:t>reduce in-stream phosphate concentrations</w:t>
      </w:r>
      <w:r w:rsidR="00E93453" w:rsidRPr="007C7C5F">
        <w:rPr>
          <w:rFonts w:asciiTheme="majorHAnsi" w:hAnsiTheme="majorHAnsi" w:cstheme="majorHAnsi"/>
        </w:rPr>
        <w:t>, even for a largely rural</w:t>
      </w:r>
      <w:r w:rsidR="00133327" w:rsidRPr="007C7C5F">
        <w:rPr>
          <w:rFonts w:asciiTheme="majorHAnsi" w:hAnsiTheme="majorHAnsi" w:cstheme="majorHAnsi"/>
        </w:rPr>
        <w:t>,</w:t>
      </w:r>
      <w:r w:rsidR="00E93453" w:rsidRPr="007C7C5F">
        <w:rPr>
          <w:rFonts w:asciiTheme="majorHAnsi" w:hAnsiTheme="majorHAnsi" w:cstheme="majorHAnsi"/>
        </w:rPr>
        <w:t xml:space="preserve"> agricultural</w:t>
      </w:r>
      <w:r w:rsidR="00133327" w:rsidRPr="007C7C5F">
        <w:rPr>
          <w:rFonts w:asciiTheme="majorHAnsi" w:hAnsiTheme="majorHAnsi" w:cstheme="majorHAnsi"/>
        </w:rPr>
        <w:t>,</w:t>
      </w:r>
      <w:r w:rsidR="00E93453" w:rsidRPr="007C7C5F">
        <w:rPr>
          <w:rFonts w:asciiTheme="majorHAnsi" w:hAnsiTheme="majorHAnsi" w:cstheme="majorHAnsi"/>
        </w:rPr>
        <w:t xml:space="preserve"> catchment</w:t>
      </w:r>
      <w:r w:rsidR="00C70742" w:rsidRPr="007C7C5F">
        <w:rPr>
          <w:rFonts w:asciiTheme="majorHAnsi" w:hAnsiTheme="majorHAnsi" w:cstheme="majorHAnsi"/>
        </w:rPr>
        <w:t>; and (4</w:t>
      </w:r>
      <w:r w:rsidR="00874BFA" w:rsidRPr="007C7C5F">
        <w:rPr>
          <w:rFonts w:asciiTheme="majorHAnsi" w:hAnsiTheme="majorHAnsi" w:cstheme="majorHAnsi"/>
        </w:rPr>
        <w:t xml:space="preserve">) </w:t>
      </w:r>
      <w:r w:rsidR="008F47B2" w:rsidRPr="007C7C5F">
        <w:rPr>
          <w:rFonts w:asciiTheme="majorHAnsi" w:hAnsiTheme="majorHAnsi" w:cstheme="majorHAnsi"/>
        </w:rPr>
        <w:t>i</w:t>
      </w:r>
      <w:r w:rsidRPr="007C7C5F">
        <w:rPr>
          <w:rFonts w:asciiTheme="majorHAnsi" w:hAnsiTheme="majorHAnsi" w:cstheme="majorHAnsi"/>
        </w:rPr>
        <w:t xml:space="preserve">n the Dee catchment </w:t>
      </w:r>
      <w:r w:rsidR="00E93453" w:rsidRPr="007C7C5F">
        <w:rPr>
          <w:rFonts w:asciiTheme="majorHAnsi" w:hAnsiTheme="majorHAnsi" w:cstheme="majorHAnsi"/>
        </w:rPr>
        <w:t xml:space="preserve">as a whole </w:t>
      </w:r>
      <w:r w:rsidRPr="007C7C5F">
        <w:rPr>
          <w:rFonts w:asciiTheme="majorHAnsi" w:hAnsiTheme="majorHAnsi" w:cstheme="majorHAnsi"/>
        </w:rPr>
        <w:t xml:space="preserve">the WFD objectives </w:t>
      </w:r>
      <w:r w:rsidR="00B63374" w:rsidRPr="007C7C5F">
        <w:rPr>
          <w:rFonts w:asciiTheme="majorHAnsi" w:hAnsiTheme="majorHAnsi" w:cstheme="majorHAnsi"/>
        </w:rPr>
        <w:t xml:space="preserve">could </w:t>
      </w:r>
      <w:r w:rsidRPr="007C7C5F">
        <w:rPr>
          <w:rFonts w:asciiTheme="majorHAnsi" w:hAnsiTheme="majorHAnsi" w:cstheme="majorHAnsi"/>
        </w:rPr>
        <w:t xml:space="preserve">be achieved in </w:t>
      </w:r>
      <w:r w:rsidR="00E93453" w:rsidRPr="007C7C5F">
        <w:rPr>
          <w:rFonts w:asciiTheme="majorHAnsi" w:hAnsiTheme="majorHAnsi" w:cstheme="majorHAnsi"/>
        </w:rPr>
        <w:t xml:space="preserve">a </w:t>
      </w:r>
      <w:r w:rsidRPr="007C7C5F">
        <w:rPr>
          <w:rFonts w:asciiTheme="majorHAnsi" w:hAnsiTheme="majorHAnsi" w:cstheme="majorHAnsi"/>
        </w:rPr>
        <w:t>cost-effective way if target</w:t>
      </w:r>
      <w:r w:rsidR="00F65A88" w:rsidRPr="007C7C5F">
        <w:rPr>
          <w:rFonts w:asciiTheme="majorHAnsi" w:hAnsiTheme="majorHAnsi" w:cstheme="majorHAnsi"/>
        </w:rPr>
        <w:t>ed</w:t>
      </w:r>
      <w:r w:rsidRPr="007C7C5F">
        <w:rPr>
          <w:rFonts w:asciiTheme="majorHAnsi" w:hAnsiTheme="majorHAnsi" w:cstheme="majorHAnsi"/>
        </w:rPr>
        <w:t xml:space="preserve"> </w:t>
      </w:r>
      <w:r w:rsidR="001B18FA" w:rsidRPr="007C7C5F">
        <w:rPr>
          <w:rFonts w:asciiTheme="majorHAnsi" w:hAnsiTheme="majorHAnsi" w:cstheme="majorHAnsi"/>
        </w:rPr>
        <w:t xml:space="preserve">mitigation </w:t>
      </w:r>
      <w:r w:rsidRPr="007C7C5F">
        <w:rPr>
          <w:rFonts w:asciiTheme="majorHAnsi" w:hAnsiTheme="majorHAnsi" w:cstheme="majorHAnsi"/>
        </w:rPr>
        <w:t xml:space="preserve">measures </w:t>
      </w:r>
      <w:r w:rsidR="00133327" w:rsidRPr="007C7C5F">
        <w:rPr>
          <w:rFonts w:asciiTheme="majorHAnsi" w:hAnsiTheme="majorHAnsi" w:cstheme="majorHAnsi"/>
        </w:rPr>
        <w:t>we</w:t>
      </w:r>
      <w:r w:rsidRPr="007C7C5F">
        <w:rPr>
          <w:rFonts w:asciiTheme="majorHAnsi" w:hAnsiTheme="majorHAnsi" w:cstheme="majorHAnsi"/>
        </w:rPr>
        <w:t xml:space="preserve">re implemented in arable agriculture sector and </w:t>
      </w:r>
      <w:r w:rsidR="00F65A88" w:rsidRPr="007C7C5F">
        <w:rPr>
          <w:rFonts w:asciiTheme="majorHAnsi" w:hAnsiTheme="majorHAnsi" w:cstheme="majorHAnsi"/>
        </w:rPr>
        <w:t xml:space="preserve">wastewater treatment works. </w:t>
      </w:r>
      <w:r w:rsidR="00271423" w:rsidRPr="007C7C5F">
        <w:rPr>
          <w:rFonts w:asciiTheme="majorHAnsi" w:hAnsiTheme="majorHAnsi" w:cstheme="majorHAnsi"/>
        </w:rPr>
        <w:t xml:space="preserve">Generally, we found that </w:t>
      </w:r>
      <w:r w:rsidR="00D912CA">
        <w:rPr>
          <w:rFonts w:asciiTheme="majorHAnsi" w:hAnsiTheme="majorHAnsi" w:cstheme="majorHAnsi"/>
        </w:rPr>
        <w:t xml:space="preserve">disaggregated </w:t>
      </w:r>
      <w:r w:rsidR="00271423" w:rsidRPr="007C7C5F">
        <w:rPr>
          <w:rFonts w:asciiTheme="majorHAnsi" w:hAnsiTheme="majorHAnsi" w:cstheme="majorHAnsi"/>
        </w:rPr>
        <w:t xml:space="preserve">cost-effectiveness </w:t>
      </w:r>
      <w:r w:rsidR="00271423" w:rsidRPr="007C7C5F">
        <w:rPr>
          <w:rFonts w:asciiTheme="majorHAnsi" w:hAnsiTheme="majorHAnsi" w:cstheme="majorHAnsi"/>
          <w:lang w:val="en-US"/>
        </w:rPr>
        <w:t xml:space="preserve">assessment </w:t>
      </w:r>
      <w:r w:rsidR="00D912CA">
        <w:rPr>
          <w:rFonts w:asciiTheme="majorHAnsi" w:hAnsiTheme="majorHAnsi" w:cstheme="majorHAnsi"/>
          <w:lang w:val="en-US"/>
        </w:rPr>
        <w:t xml:space="preserve">within a </w:t>
      </w:r>
      <w:r w:rsidR="00271423" w:rsidRPr="007C7C5F">
        <w:rPr>
          <w:rFonts w:asciiTheme="majorHAnsi" w:hAnsiTheme="majorHAnsi" w:cstheme="majorHAnsi"/>
          <w:lang w:val="en-US"/>
        </w:rPr>
        <w:t xml:space="preserve">catchment </w:t>
      </w:r>
      <w:r w:rsidR="00133327" w:rsidRPr="007C7C5F">
        <w:rPr>
          <w:rFonts w:asciiTheme="majorHAnsi" w:hAnsiTheme="majorHAnsi" w:cstheme="majorHAnsi"/>
          <w:lang w:val="en-US"/>
        </w:rPr>
        <w:t>is</w:t>
      </w:r>
      <w:r w:rsidR="00271423" w:rsidRPr="007C7C5F">
        <w:rPr>
          <w:rFonts w:asciiTheme="majorHAnsi" w:hAnsiTheme="majorHAnsi" w:cstheme="majorHAnsi"/>
          <w:lang w:val="en-US"/>
        </w:rPr>
        <w:t xml:space="preserve"> an appropriate </w:t>
      </w:r>
      <w:r w:rsidR="00D912CA">
        <w:rPr>
          <w:rFonts w:asciiTheme="majorHAnsi" w:hAnsiTheme="majorHAnsi" w:cstheme="majorHAnsi"/>
          <w:lang w:val="en-US"/>
        </w:rPr>
        <w:t>approach</w:t>
      </w:r>
      <w:r w:rsidR="00D912CA" w:rsidRPr="007C7C5F">
        <w:rPr>
          <w:rFonts w:asciiTheme="majorHAnsi" w:hAnsiTheme="majorHAnsi" w:cstheme="majorHAnsi"/>
          <w:lang w:val="en-US"/>
        </w:rPr>
        <w:t xml:space="preserve"> </w:t>
      </w:r>
      <w:r w:rsidR="00271423" w:rsidRPr="007C7C5F">
        <w:rPr>
          <w:rFonts w:asciiTheme="majorHAnsi" w:hAnsiTheme="majorHAnsi" w:cstheme="majorHAnsi"/>
          <w:lang w:val="en-US"/>
        </w:rPr>
        <w:t>for data generation, analysis, and stakeholder engagement.</w:t>
      </w:r>
    </w:p>
    <w:p w14:paraId="038532BE" w14:textId="38306815" w:rsidR="00127653" w:rsidRPr="007C7C5F" w:rsidRDefault="00127653" w:rsidP="008C43FB">
      <w:pPr>
        <w:jc w:val="both"/>
        <w:rPr>
          <w:rFonts w:asciiTheme="majorHAnsi" w:hAnsiTheme="majorHAnsi" w:cstheme="majorHAnsi"/>
          <w:lang w:val="en-US"/>
        </w:rPr>
      </w:pPr>
      <w:r w:rsidRPr="007C7C5F">
        <w:rPr>
          <w:rFonts w:asciiTheme="majorHAnsi" w:hAnsiTheme="majorHAnsi" w:cstheme="majorHAnsi"/>
          <w:lang w:val="en-US"/>
        </w:rPr>
        <w:t xml:space="preserve">The analysis presented here is focused exclusively </w:t>
      </w:r>
      <w:r w:rsidR="00E93453" w:rsidRPr="007C7C5F">
        <w:rPr>
          <w:rFonts w:asciiTheme="majorHAnsi" w:hAnsiTheme="majorHAnsi" w:cstheme="majorHAnsi"/>
          <w:lang w:val="en-US"/>
        </w:rPr>
        <w:t>o</w:t>
      </w:r>
      <w:r w:rsidRPr="007C7C5F">
        <w:rPr>
          <w:rFonts w:asciiTheme="majorHAnsi" w:hAnsiTheme="majorHAnsi" w:cstheme="majorHAnsi"/>
          <w:lang w:val="en-US"/>
        </w:rPr>
        <w:t xml:space="preserve">n </w:t>
      </w:r>
      <w:r w:rsidR="00133327" w:rsidRPr="007C7C5F">
        <w:rPr>
          <w:rFonts w:asciiTheme="majorHAnsi" w:hAnsiTheme="majorHAnsi" w:cstheme="majorHAnsi"/>
          <w:lang w:val="en-US"/>
        </w:rPr>
        <w:t>p</w:t>
      </w:r>
      <w:r w:rsidRPr="007C7C5F">
        <w:rPr>
          <w:rFonts w:asciiTheme="majorHAnsi" w:hAnsiTheme="majorHAnsi" w:cstheme="majorHAnsi"/>
          <w:lang w:val="en-US"/>
        </w:rPr>
        <w:t xml:space="preserve">hosphorus and </w:t>
      </w:r>
      <w:r w:rsidR="00133327" w:rsidRPr="007C7C5F">
        <w:rPr>
          <w:rFonts w:asciiTheme="majorHAnsi" w:hAnsiTheme="majorHAnsi" w:cstheme="majorHAnsi"/>
          <w:lang w:val="en-US"/>
        </w:rPr>
        <w:t>n</w:t>
      </w:r>
      <w:r w:rsidRPr="007C7C5F">
        <w:rPr>
          <w:rFonts w:asciiTheme="majorHAnsi" w:hAnsiTheme="majorHAnsi" w:cstheme="majorHAnsi"/>
          <w:lang w:val="en-US"/>
        </w:rPr>
        <w:t xml:space="preserve">itrogen </w:t>
      </w:r>
      <w:r w:rsidR="00E93453" w:rsidRPr="007C7C5F">
        <w:rPr>
          <w:rFonts w:asciiTheme="majorHAnsi" w:hAnsiTheme="majorHAnsi" w:cstheme="majorHAnsi"/>
          <w:lang w:val="en-US"/>
        </w:rPr>
        <w:t>mitigation</w:t>
      </w:r>
      <w:r w:rsidRPr="007C7C5F">
        <w:rPr>
          <w:rFonts w:asciiTheme="majorHAnsi" w:hAnsiTheme="majorHAnsi" w:cstheme="majorHAnsi"/>
          <w:lang w:val="en-US"/>
        </w:rPr>
        <w:t xml:space="preserve">. </w:t>
      </w:r>
      <w:r w:rsidR="006F77CA" w:rsidRPr="007C7C5F">
        <w:rPr>
          <w:rFonts w:asciiTheme="majorHAnsi" w:hAnsiTheme="majorHAnsi" w:cstheme="majorHAnsi"/>
          <w:lang w:val="en-US"/>
        </w:rPr>
        <w:t>Though the</w:t>
      </w:r>
      <w:r w:rsidRPr="007C7C5F">
        <w:rPr>
          <w:rFonts w:asciiTheme="majorHAnsi" w:hAnsiTheme="majorHAnsi" w:cstheme="majorHAnsi"/>
          <w:lang w:val="en-US"/>
        </w:rPr>
        <w:t>s</w:t>
      </w:r>
      <w:r w:rsidR="006F77CA" w:rsidRPr="007C7C5F">
        <w:rPr>
          <w:rFonts w:asciiTheme="majorHAnsi" w:hAnsiTheme="majorHAnsi" w:cstheme="majorHAnsi"/>
          <w:lang w:val="en-US"/>
        </w:rPr>
        <w:t>e</w:t>
      </w:r>
      <w:r w:rsidRPr="007C7C5F">
        <w:rPr>
          <w:rFonts w:asciiTheme="majorHAnsi" w:hAnsiTheme="majorHAnsi" w:cstheme="majorHAnsi"/>
          <w:lang w:val="en-US"/>
        </w:rPr>
        <w:t xml:space="preserve"> </w:t>
      </w:r>
      <w:r w:rsidR="006F77CA" w:rsidRPr="007C7C5F">
        <w:rPr>
          <w:rFonts w:asciiTheme="majorHAnsi" w:hAnsiTheme="majorHAnsi" w:cstheme="majorHAnsi"/>
          <w:lang w:val="en-US"/>
        </w:rPr>
        <w:t>were</w:t>
      </w:r>
      <w:r w:rsidRPr="007C7C5F">
        <w:rPr>
          <w:rFonts w:asciiTheme="majorHAnsi" w:hAnsiTheme="majorHAnsi" w:cstheme="majorHAnsi"/>
          <w:lang w:val="en-US"/>
        </w:rPr>
        <w:t xml:space="preserve"> identified as key pollutants for not achieving water quality targets other </w:t>
      </w:r>
      <w:r w:rsidR="00133327" w:rsidRPr="007C7C5F">
        <w:rPr>
          <w:rFonts w:asciiTheme="majorHAnsi" w:hAnsiTheme="majorHAnsi" w:cstheme="majorHAnsi"/>
          <w:lang w:val="en-US"/>
        </w:rPr>
        <w:t xml:space="preserve">significant </w:t>
      </w:r>
      <w:r w:rsidRPr="007C7C5F">
        <w:rPr>
          <w:rFonts w:asciiTheme="majorHAnsi" w:hAnsiTheme="majorHAnsi" w:cstheme="majorHAnsi"/>
          <w:lang w:val="en-US"/>
        </w:rPr>
        <w:t xml:space="preserve">pressures </w:t>
      </w:r>
      <w:r w:rsidR="00133327" w:rsidRPr="007C7C5F">
        <w:rPr>
          <w:rFonts w:asciiTheme="majorHAnsi" w:hAnsiTheme="majorHAnsi" w:cstheme="majorHAnsi"/>
          <w:lang w:val="en-US"/>
        </w:rPr>
        <w:t xml:space="preserve">on </w:t>
      </w:r>
      <w:r w:rsidRPr="007C7C5F">
        <w:rPr>
          <w:rFonts w:asciiTheme="majorHAnsi" w:hAnsiTheme="majorHAnsi" w:cstheme="majorHAnsi"/>
          <w:lang w:val="en-US"/>
        </w:rPr>
        <w:t xml:space="preserve">the aquatic </w:t>
      </w:r>
      <w:r w:rsidR="001B18FA" w:rsidRPr="007C7C5F">
        <w:rPr>
          <w:rFonts w:asciiTheme="majorHAnsi" w:hAnsiTheme="majorHAnsi" w:cstheme="majorHAnsi"/>
          <w:lang w:val="en-US"/>
        </w:rPr>
        <w:t>environment affect</w:t>
      </w:r>
      <w:r w:rsidRPr="007C7C5F">
        <w:rPr>
          <w:rFonts w:asciiTheme="majorHAnsi" w:hAnsiTheme="majorHAnsi" w:cstheme="majorHAnsi"/>
          <w:lang w:val="en-US"/>
        </w:rPr>
        <w:t xml:space="preserve"> the ecological status in </w:t>
      </w:r>
      <w:r w:rsidR="00133327" w:rsidRPr="007C7C5F">
        <w:rPr>
          <w:rFonts w:asciiTheme="majorHAnsi" w:hAnsiTheme="majorHAnsi" w:cstheme="majorHAnsi"/>
          <w:lang w:val="en-US"/>
        </w:rPr>
        <w:t>the</w:t>
      </w:r>
      <w:r w:rsidR="00C10AFC" w:rsidRPr="007C7C5F">
        <w:rPr>
          <w:rFonts w:asciiTheme="majorHAnsi" w:hAnsiTheme="majorHAnsi" w:cstheme="majorHAnsi"/>
          <w:lang w:val="en-US"/>
        </w:rPr>
        <w:t xml:space="preserve"> </w:t>
      </w:r>
      <w:r w:rsidR="00133327" w:rsidRPr="007C7C5F">
        <w:rPr>
          <w:rFonts w:asciiTheme="majorHAnsi" w:hAnsiTheme="majorHAnsi" w:cstheme="majorHAnsi"/>
          <w:lang w:val="en-US"/>
        </w:rPr>
        <w:t xml:space="preserve">study </w:t>
      </w:r>
      <w:r w:rsidRPr="007C7C5F">
        <w:rPr>
          <w:rFonts w:asciiTheme="majorHAnsi" w:hAnsiTheme="majorHAnsi" w:cstheme="majorHAnsi"/>
          <w:lang w:val="en-US"/>
        </w:rPr>
        <w:t>catchment</w:t>
      </w:r>
      <w:r w:rsidR="00133327" w:rsidRPr="007C7C5F">
        <w:rPr>
          <w:rFonts w:asciiTheme="majorHAnsi" w:hAnsiTheme="majorHAnsi" w:cstheme="majorHAnsi"/>
          <w:lang w:val="en-US"/>
        </w:rPr>
        <w:t>, and elsewhere</w:t>
      </w:r>
      <w:r w:rsidRPr="007C7C5F">
        <w:rPr>
          <w:rFonts w:asciiTheme="majorHAnsi" w:hAnsiTheme="majorHAnsi" w:cstheme="majorHAnsi"/>
          <w:lang w:val="en-US"/>
        </w:rPr>
        <w:t xml:space="preserve"> (e.g. physical modification). </w:t>
      </w:r>
      <w:r w:rsidR="006F77CA" w:rsidRPr="007C7C5F">
        <w:rPr>
          <w:rFonts w:asciiTheme="majorHAnsi" w:hAnsiTheme="majorHAnsi" w:cstheme="majorHAnsi"/>
          <w:lang w:val="en-US"/>
        </w:rPr>
        <w:t xml:space="preserve">Thus, future research </w:t>
      </w:r>
      <w:r w:rsidRPr="007C7C5F">
        <w:rPr>
          <w:rFonts w:asciiTheme="majorHAnsi" w:hAnsiTheme="majorHAnsi" w:cstheme="majorHAnsi"/>
          <w:lang w:val="en-US"/>
        </w:rPr>
        <w:t xml:space="preserve">should </w:t>
      </w:r>
      <w:r w:rsidR="006F77CA" w:rsidRPr="007C7C5F">
        <w:rPr>
          <w:rFonts w:asciiTheme="majorHAnsi" w:hAnsiTheme="majorHAnsi" w:cstheme="majorHAnsi"/>
          <w:lang w:val="en-US"/>
        </w:rPr>
        <w:t>focus on addressing multiple-stressors that compromise water quality</w:t>
      </w:r>
      <w:r w:rsidR="00D912CA">
        <w:rPr>
          <w:rFonts w:asciiTheme="majorHAnsi" w:hAnsiTheme="majorHAnsi" w:cstheme="majorHAnsi"/>
          <w:lang w:val="en-US"/>
        </w:rPr>
        <w:t xml:space="preserve"> in the catchment</w:t>
      </w:r>
      <w:r w:rsidR="006F77CA" w:rsidRPr="007C7C5F">
        <w:rPr>
          <w:rFonts w:asciiTheme="majorHAnsi" w:hAnsiTheme="majorHAnsi" w:cstheme="majorHAnsi"/>
          <w:lang w:val="en-US"/>
        </w:rPr>
        <w:t>.</w:t>
      </w:r>
      <w:r w:rsidRPr="007C7C5F">
        <w:rPr>
          <w:rFonts w:asciiTheme="majorHAnsi" w:hAnsiTheme="majorHAnsi" w:cstheme="majorHAnsi"/>
          <w:lang w:val="en-US"/>
        </w:rPr>
        <w:t xml:space="preserve"> </w:t>
      </w:r>
    </w:p>
    <w:p w14:paraId="6C973AD0" w14:textId="77777777" w:rsidR="00127653" w:rsidRPr="007C7C5F" w:rsidRDefault="00127653" w:rsidP="00C948E1">
      <w:pPr>
        <w:pStyle w:val="Heading1"/>
        <w:numPr>
          <w:ilvl w:val="0"/>
          <w:numId w:val="0"/>
        </w:numPr>
        <w:spacing w:before="0" w:after="120"/>
        <w:ind w:left="431" w:hanging="431"/>
        <w:jc w:val="both"/>
        <w:rPr>
          <w:rFonts w:asciiTheme="majorHAnsi" w:hAnsiTheme="majorHAnsi" w:cstheme="majorHAnsi"/>
          <w:color w:val="auto"/>
          <w:sz w:val="22"/>
          <w:szCs w:val="22"/>
          <w:lang w:eastAsia="en-GB"/>
        </w:rPr>
      </w:pPr>
      <w:bookmarkStart w:id="25" w:name="_Toc368665249"/>
      <w:r w:rsidRPr="007C7C5F">
        <w:rPr>
          <w:rFonts w:asciiTheme="majorHAnsi" w:hAnsiTheme="majorHAnsi" w:cstheme="majorHAnsi"/>
          <w:color w:val="auto"/>
          <w:sz w:val="22"/>
          <w:szCs w:val="22"/>
          <w:lang w:eastAsia="en-GB"/>
        </w:rPr>
        <w:t>Acknowledgements</w:t>
      </w:r>
      <w:bookmarkEnd w:id="25"/>
    </w:p>
    <w:p w14:paraId="07B0488E" w14:textId="37542DD9" w:rsidR="007B3650" w:rsidRPr="007C7C5F" w:rsidRDefault="007B3650" w:rsidP="00E507F5">
      <w:pPr>
        <w:autoSpaceDE w:val="0"/>
        <w:autoSpaceDN w:val="0"/>
        <w:adjustRightInd w:val="0"/>
        <w:spacing w:after="0" w:line="360" w:lineRule="auto"/>
        <w:rPr>
          <w:rFonts w:asciiTheme="majorHAnsi" w:hAnsiTheme="majorHAnsi" w:cstheme="majorHAnsi"/>
        </w:rPr>
      </w:pPr>
      <w:r w:rsidRPr="007C7C5F">
        <w:rPr>
          <w:rFonts w:asciiTheme="majorHAnsi" w:eastAsiaTheme="minorHAnsi" w:hAnsiTheme="majorHAnsi" w:cstheme="majorHAnsi"/>
        </w:rPr>
        <w:t>This work was conducted under the EU FP7 REFRESH project (Adaptive Strategies to Mitigate the Impacts of Climate change of European Freshwater Ecosystems: Grant Number 244121) and the</w:t>
      </w:r>
      <w:r w:rsidRPr="007C7C5F">
        <w:rPr>
          <w:rFonts w:asciiTheme="majorHAnsi" w:hAnsiTheme="majorHAnsi" w:cstheme="majorHAnsi"/>
        </w:rPr>
        <w:t xml:space="preserve"> Scottish Government's Rural and Environment Science and Analytical Services </w:t>
      </w:r>
      <w:r w:rsidR="00133327" w:rsidRPr="007C7C5F">
        <w:rPr>
          <w:rFonts w:asciiTheme="majorHAnsi" w:hAnsiTheme="majorHAnsi" w:cstheme="majorHAnsi"/>
        </w:rPr>
        <w:t xml:space="preserve">division </w:t>
      </w:r>
      <w:r w:rsidRPr="007C7C5F">
        <w:rPr>
          <w:rFonts w:asciiTheme="majorHAnsi" w:hAnsiTheme="majorHAnsi" w:cstheme="majorHAnsi"/>
        </w:rPr>
        <w:t>(RESAS)</w:t>
      </w:r>
      <w:r w:rsidRPr="007C7C5F">
        <w:rPr>
          <w:rFonts w:asciiTheme="majorHAnsi" w:eastAsiaTheme="minorHAnsi" w:hAnsiTheme="majorHAnsi" w:cstheme="majorHAnsi"/>
        </w:rPr>
        <w:t xml:space="preserve"> Strategic research programme Theme 2.  We gratefully acknowledge the support from the EU and RESAS. The views expressed in this paper are those of the authors and do not necessarily reflect those of the James Hutton Institute, RESAS or EU.</w:t>
      </w:r>
    </w:p>
    <w:p w14:paraId="0871EF4E" w14:textId="77777777" w:rsidR="00127653" w:rsidRPr="007C7C5F" w:rsidRDefault="00127653" w:rsidP="00E507F5">
      <w:pPr>
        <w:pStyle w:val="Heading1"/>
        <w:numPr>
          <w:ilvl w:val="0"/>
          <w:numId w:val="0"/>
        </w:numPr>
        <w:spacing w:before="0" w:line="360" w:lineRule="auto"/>
        <w:ind w:left="431" w:hanging="431"/>
        <w:rPr>
          <w:rFonts w:asciiTheme="majorHAnsi" w:hAnsiTheme="majorHAnsi" w:cstheme="majorHAnsi"/>
          <w:color w:val="auto"/>
          <w:lang w:eastAsia="en-GB"/>
        </w:rPr>
      </w:pPr>
      <w:bookmarkStart w:id="26" w:name="_Toc368063998"/>
      <w:bookmarkStart w:id="27" w:name="_Toc368665250"/>
      <w:r w:rsidRPr="007C7C5F">
        <w:rPr>
          <w:rFonts w:asciiTheme="majorHAnsi" w:hAnsiTheme="majorHAnsi" w:cstheme="majorHAnsi"/>
          <w:color w:val="auto"/>
          <w:lang w:eastAsia="en-GB"/>
        </w:rPr>
        <w:t>References</w:t>
      </w:r>
      <w:bookmarkEnd w:id="26"/>
      <w:bookmarkEnd w:id="27"/>
    </w:p>
    <w:p w14:paraId="4DB046CB" w14:textId="7E98C8DC" w:rsidR="009918A4" w:rsidRPr="00257B7C" w:rsidRDefault="009918A4" w:rsidP="009918A4">
      <w:pPr>
        <w:spacing w:after="0"/>
        <w:ind w:left="720" w:hanging="720"/>
        <w:rPr>
          <w:rFonts w:cs="Calibri"/>
        </w:rPr>
      </w:pPr>
      <w:r w:rsidRPr="00257B7C">
        <w:rPr>
          <w:rFonts w:cs="Calibri"/>
        </w:rPr>
        <w:t xml:space="preserve">Agricultural Census, 2008.  National Data </w:t>
      </w:r>
      <w:proofErr w:type="gramStart"/>
      <w:r w:rsidRPr="00257B7C">
        <w:rPr>
          <w:rFonts w:cs="Calibri"/>
        </w:rPr>
        <w:t>Centre ,</w:t>
      </w:r>
      <w:proofErr w:type="gramEnd"/>
      <w:r w:rsidRPr="00257B7C">
        <w:rPr>
          <w:rFonts w:cs="Calibri"/>
        </w:rPr>
        <w:t xml:space="preserve"> University of Edinburgh, Edinburgh. </w:t>
      </w:r>
      <w:hyperlink r:id="rId35" w:history="1">
        <w:r w:rsidRPr="00257B7C">
          <w:rPr>
            <w:rStyle w:val="Hyperlink"/>
            <w:rFonts w:cs="Calibri"/>
          </w:rPr>
          <w:t>http://edina.ac.uk/agcensus/</w:t>
        </w:r>
      </w:hyperlink>
      <w:r>
        <w:rPr>
          <w:rFonts w:cs="Calibri"/>
        </w:rPr>
        <w:t xml:space="preserve"> (accessed 16/05/2014).</w:t>
      </w:r>
    </w:p>
    <w:p w14:paraId="6176B9E5" w14:textId="77777777" w:rsidR="009979DD" w:rsidRPr="007C7C5F" w:rsidRDefault="009979DD" w:rsidP="009979DD">
      <w:pPr>
        <w:autoSpaceDE w:val="0"/>
        <w:autoSpaceDN w:val="0"/>
        <w:adjustRightInd w:val="0"/>
        <w:spacing w:after="0"/>
        <w:ind w:left="720" w:hanging="720"/>
        <w:jc w:val="both"/>
        <w:rPr>
          <w:rFonts w:asciiTheme="majorHAnsi" w:eastAsia="Times New Roman" w:hAnsiTheme="majorHAnsi" w:cstheme="majorHAnsi"/>
          <w:color w:val="000000"/>
        </w:rPr>
      </w:pPr>
      <w:r w:rsidRPr="007C7C5F">
        <w:rPr>
          <w:rFonts w:asciiTheme="majorHAnsi" w:eastAsia="Times New Roman" w:hAnsiTheme="majorHAnsi" w:cstheme="majorHAnsi"/>
          <w:color w:val="000000"/>
        </w:rPr>
        <w:t xml:space="preserve">Amador, J.A., Loomis, G.W., Kalen, D., </w:t>
      </w:r>
      <w:proofErr w:type="spellStart"/>
      <w:r w:rsidRPr="007C7C5F">
        <w:rPr>
          <w:rFonts w:asciiTheme="majorHAnsi" w:eastAsia="Times New Roman" w:hAnsiTheme="majorHAnsi" w:cstheme="majorHAnsi"/>
          <w:color w:val="000000"/>
        </w:rPr>
        <w:t>Patenaude</w:t>
      </w:r>
      <w:proofErr w:type="spellEnd"/>
      <w:r w:rsidRPr="007C7C5F">
        <w:rPr>
          <w:rFonts w:asciiTheme="majorHAnsi" w:eastAsia="Times New Roman" w:hAnsiTheme="majorHAnsi" w:cstheme="majorHAnsi"/>
          <w:color w:val="000000"/>
        </w:rPr>
        <w:t xml:space="preserve">, E.L., </w:t>
      </w:r>
      <w:proofErr w:type="spellStart"/>
      <w:r w:rsidRPr="007C7C5F">
        <w:rPr>
          <w:rFonts w:asciiTheme="majorHAnsi" w:eastAsia="Times New Roman" w:hAnsiTheme="majorHAnsi" w:cstheme="majorHAnsi"/>
          <w:color w:val="000000"/>
        </w:rPr>
        <w:t>Gorres</w:t>
      </w:r>
      <w:proofErr w:type="spellEnd"/>
      <w:r w:rsidRPr="007C7C5F">
        <w:rPr>
          <w:rFonts w:asciiTheme="majorHAnsi" w:eastAsia="Times New Roman" w:hAnsiTheme="majorHAnsi" w:cstheme="majorHAnsi"/>
          <w:color w:val="000000"/>
        </w:rPr>
        <w:t xml:space="preserve">. J.H.  2007. Evaluation of </w:t>
      </w:r>
      <w:proofErr w:type="spellStart"/>
      <w:r w:rsidRPr="007C7C5F">
        <w:rPr>
          <w:rFonts w:asciiTheme="majorHAnsi" w:eastAsia="Times New Roman" w:hAnsiTheme="majorHAnsi" w:cstheme="majorHAnsi"/>
          <w:color w:val="000000"/>
        </w:rPr>
        <w:t>Leachfield</w:t>
      </w:r>
      <w:proofErr w:type="spellEnd"/>
      <w:r w:rsidRPr="007C7C5F">
        <w:rPr>
          <w:rFonts w:asciiTheme="majorHAnsi" w:eastAsia="Times New Roman" w:hAnsiTheme="majorHAnsi" w:cstheme="majorHAnsi"/>
          <w:color w:val="000000"/>
        </w:rPr>
        <w:t xml:space="preserve"> Aeration Technology for Improvement of Water Quality and Hydraulic Functions in Onsite Wastewater Treatment Systems. Final Report to NOAA/UNH Cooperative Institute for Coastal and Estuarine Environmental Technology (CICEET).</w:t>
      </w:r>
    </w:p>
    <w:p w14:paraId="22C67D8E" w14:textId="77777777" w:rsidR="009979DD" w:rsidRPr="007C7C5F" w:rsidRDefault="009979DD" w:rsidP="00CC594A">
      <w:pPr>
        <w:spacing w:after="0"/>
        <w:ind w:left="720" w:hanging="720"/>
        <w:jc w:val="both"/>
        <w:rPr>
          <w:rFonts w:asciiTheme="majorHAnsi" w:hAnsiTheme="majorHAnsi" w:cstheme="majorHAnsi"/>
          <w:bCs/>
        </w:rPr>
      </w:pPr>
      <w:r w:rsidRPr="007C7C5F">
        <w:rPr>
          <w:rFonts w:asciiTheme="majorHAnsi" w:hAnsiTheme="majorHAnsi" w:cstheme="majorHAnsi"/>
          <w:iCs/>
        </w:rPr>
        <w:t xml:space="preserve">Balana B., Martin-Ortega J., </w:t>
      </w:r>
      <w:proofErr w:type="spellStart"/>
      <w:r w:rsidRPr="007C7C5F">
        <w:rPr>
          <w:rFonts w:asciiTheme="majorHAnsi" w:hAnsiTheme="majorHAnsi" w:cstheme="majorHAnsi"/>
          <w:iCs/>
        </w:rPr>
        <w:t>Perni</w:t>
      </w:r>
      <w:proofErr w:type="spellEnd"/>
      <w:r w:rsidRPr="007C7C5F">
        <w:rPr>
          <w:rFonts w:asciiTheme="majorHAnsi" w:hAnsiTheme="majorHAnsi" w:cstheme="majorHAnsi"/>
          <w:iCs/>
        </w:rPr>
        <w:t xml:space="preserve"> A., Slee B., Helliwell R., Jackson-Blake L., Cooksley S., Dunn S., 2013.  </w:t>
      </w:r>
      <w:r w:rsidRPr="007C7C5F">
        <w:rPr>
          <w:rFonts w:asciiTheme="majorHAnsi" w:hAnsiTheme="majorHAnsi" w:cstheme="majorHAnsi"/>
        </w:rPr>
        <w:t xml:space="preserve"> </w:t>
      </w:r>
      <w:r w:rsidRPr="007C7C5F">
        <w:rPr>
          <w:rFonts w:asciiTheme="majorHAnsi" w:hAnsiTheme="majorHAnsi" w:cstheme="majorHAnsi"/>
          <w:bCs/>
        </w:rPr>
        <w:t>Deliverable 6.12: Cost-effectiveness analysis report for the Dee sub-catchments (Scotland) including analysis of disproportionality. REFRESH Project Technical Report.</w:t>
      </w:r>
    </w:p>
    <w:p w14:paraId="33CB71A0" w14:textId="77777777" w:rsidR="009979DD" w:rsidRPr="007C7C5F" w:rsidRDefault="009979DD" w:rsidP="00096F6B">
      <w:pPr>
        <w:spacing w:after="0"/>
        <w:ind w:left="720" w:hanging="720"/>
        <w:jc w:val="both"/>
        <w:rPr>
          <w:rFonts w:asciiTheme="majorHAnsi" w:hAnsiTheme="majorHAnsi" w:cstheme="majorHAnsi"/>
        </w:rPr>
      </w:pPr>
      <w:proofErr w:type="spellStart"/>
      <w:r w:rsidRPr="007C7C5F">
        <w:rPr>
          <w:rFonts w:asciiTheme="majorHAnsi" w:hAnsiTheme="majorHAnsi" w:cstheme="majorHAnsi"/>
        </w:rPr>
        <w:t>Balana</w:t>
      </w:r>
      <w:proofErr w:type="gramStart"/>
      <w:r w:rsidRPr="007C7C5F">
        <w:rPr>
          <w:rFonts w:asciiTheme="majorHAnsi" w:hAnsiTheme="majorHAnsi" w:cstheme="majorHAnsi"/>
        </w:rPr>
        <w:t>,B.B</w:t>
      </w:r>
      <w:proofErr w:type="spellEnd"/>
      <w:proofErr w:type="gramEnd"/>
      <w:r w:rsidRPr="007C7C5F">
        <w:rPr>
          <w:rFonts w:asciiTheme="majorHAnsi" w:hAnsiTheme="majorHAnsi" w:cstheme="majorHAnsi"/>
        </w:rPr>
        <w:t xml:space="preserve">., Lago, M.,  </w:t>
      </w:r>
      <w:proofErr w:type="spellStart"/>
      <w:r w:rsidRPr="007C7C5F">
        <w:rPr>
          <w:rFonts w:asciiTheme="majorHAnsi" w:hAnsiTheme="majorHAnsi" w:cstheme="majorHAnsi"/>
        </w:rPr>
        <w:t>Baggaley</w:t>
      </w:r>
      <w:proofErr w:type="spellEnd"/>
      <w:r w:rsidRPr="007C7C5F">
        <w:rPr>
          <w:rFonts w:asciiTheme="majorHAnsi" w:hAnsiTheme="majorHAnsi" w:cstheme="majorHAnsi"/>
        </w:rPr>
        <w:t xml:space="preserve">, N., </w:t>
      </w:r>
      <w:proofErr w:type="spellStart"/>
      <w:r w:rsidRPr="007C7C5F">
        <w:rPr>
          <w:rFonts w:asciiTheme="majorHAnsi" w:hAnsiTheme="majorHAnsi" w:cstheme="majorHAnsi"/>
        </w:rPr>
        <w:t>Castellazzi</w:t>
      </w:r>
      <w:proofErr w:type="spellEnd"/>
      <w:r w:rsidRPr="007C7C5F">
        <w:rPr>
          <w:rFonts w:asciiTheme="majorHAnsi" w:hAnsiTheme="majorHAnsi" w:cstheme="majorHAnsi"/>
        </w:rPr>
        <w:t xml:space="preserve">, M., Stutter, M., Slee, B., Vinten, A., 2012. Integrating economic and biophysical data in assessing cost effectiveness of buffer strip placement. </w:t>
      </w:r>
      <w:r w:rsidRPr="007C7C5F">
        <w:rPr>
          <w:rFonts w:asciiTheme="majorHAnsi" w:hAnsiTheme="majorHAnsi" w:cstheme="majorHAnsi"/>
          <w:i/>
        </w:rPr>
        <w:t>J. Environ. Qual., 41, 380-388</w:t>
      </w:r>
      <w:r w:rsidRPr="007C7C5F">
        <w:rPr>
          <w:rFonts w:asciiTheme="majorHAnsi" w:hAnsiTheme="majorHAnsi" w:cstheme="majorHAnsi"/>
        </w:rPr>
        <w:t xml:space="preserve">. </w:t>
      </w:r>
    </w:p>
    <w:p w14:paraId="1ED2D414" w14:textId="77777777" w:rsidR="009979DD" w:rsidRPr="007C7C5F" w:rsidRDefault="009979DD" w:rsidP="00CC594A">
      <w:pPr>
        <w:spacing w:after="0"/>
        <w:ind w:left="720" w:hanging="720"/>
        <w:jc w:val="both"/>
        <w:rPr>
          <w:rFonts w:asciiTheme="majorHAnsi" w:hAnsiTheme="majorHAnsi" w:cstheme="majorHAnsi"/>
          <w:i/>
        </w:rPr>
      </w:pPr>
      <w:proofErr w:type="spellStart"/>
      <w:r w:rsidRPr="007C7C5F">
        <w:rPr>
          <w:rFonts w:asciiTheme="majorHAnsi" w:hAnsiTheme="majorHAnsi" w:cstheme="majorHAnsi"/>
        </w:rPr>
        <w:t>Balana</w:t>
      </w:r>
      <w:proofErr w:type="gramStart"/>
      <w:r w:rsidRPr="007C7C5F">
        <w:rPr>
          <w:rFonts w:asciiTheme="majorHAnsi" w:hAnsiTheme="majorHAnsi" w:cstheme="majorHAnsi"/>
        </w:rPr>
        <w:t>,B.B</w:t>
      </w:r>
      <w:proofErr w:type="spellEnd"/>
      <w:proofErr w:type="gramEnd"/>
      <w:r w:rsidRPr="007C7C5F">
        <w:rPr>
          <w:rFonts w:asciiTheme="majorHAnsi" w:hAnsiTheme="majorHAnsi" w:cstheme="majorHAnsi"/>
        </w:rPr>
        <w:t xml:space="preserve">., Vinten, A., Slee, B., 2011. A review on cost-effectiveness analysis of </w:t>
      </w:r>
      <w:proofErr w:type="spellStart"/>
      <w:r w:rsidRPr="007C7C5F">
        <w:rPr>
          <w:rFonts w:asciiTheme="majorHAnsi" w:hAnsiTheme="majorHAnsi" w:cstheme="majorHAnsi"/>
        </w:rPr>
        <w:t>agri</w:t>
      </w:r>
      <w:proofErr w:type="spellEnd"/>
      <w:r w:rsidRPr="007C7C5F">
        <w:rPr>
          <w:rFonts w:asciiTheme="majorHAnsi" w:hAnsiTheme="majorHAnsi" w:cstheme="majorHAnsi"/>
        </w:rPr>
        <w:t xml:space="preserve">-environmental measures related to the EU WFD: Key issues, methods, and applications. </w:t>
      </w:r>
      <w:r w:rsidRPr="007C7C5F">
        <w:rPr>
          <w:rFonts w:asciiTheme="majorHAnsi" w:hAnsiTheme="majorHAnsi" w:cstheme="majorHAnsi"/>
          <w:i/>
        </w:rPr>
        <w:t>Ecol. Econ.</w:t>
      </w:r>
      <w:r w:rsidRPr="007C7C5F">
        <w:rPr>
          <w:rFonts w:asciiTheme="majorHAnsi" w:hAnsiTheme="majorHAnsi" w:cstheme="majorHAnsi"/>
        </w:rPr>
        <w:t xml:space="preserve">, </w:t>
      </w:r>
      <w:r w:rsidRPr="007C7C5F">
        <w:rPr>
          <w:rFonts w:asciiTheme="majorHAnsi" w:hAnsiTheme="majorHAnsi" w:cstheme="majorHAnsi"/>
          <w:i/>
        </w:rPr>
        <w:t>70: 1021-1031.</w:t>
      </w:r>
    </w:p>
    <w:p w14:paraId="191ECBA6" w14:textId="77777777" w:rsidR="009979DD" w:rsidRPr="007C7C5F" w:rsidRDefault="009979DD" w:rsidP="00E507F5">
      <w:pPr>
        <w:autoSpaceDE w:val="0"/>
        <w:autoSpaceDN w:val="0"/>
        <w:adjustRightInd w:val="0"/>
        <w:spacing w:after="0"/>
        <w:ind w:left="720" w:hanging="720"/>
        <w:jc w:val="both"/>
        <w:rPr>
          <w:rFonts w:asciiTheme="majorHAnsi" w:eastAsiaTheme="minorEastAsia" w:hAnsiTheme="majorHAnsi" w:cstheme="majorHAnsi"/>
        </w:rPr>
      </w:pPr>
      <w:proofErr w:type="spellStart"/>
      <w:r w:rsidRPr="007C7C5F">
        <w:rPr>
          <w:rFonts w:asciiTheme="majorHAnsi" w:eastAsiaTheme="minorEastAsia" w:hAnsiTheme="majorHAnsi" w:cstheme="majorHAnsi"/>
        </w:rPr>
        <w:t>Berninger</w:t>
      </w:r>
      <w:proofErr w:type="spellEnd"/>
      <w:r w:rsidRPr="007C7C5F">
        <w:rPr>
          <w:rFonts w:asciiTheme="majorHAnsi" w:eastAsiaTheme="minorEastAsia" w:hAnsiTheme="majorHAnsi" w:cstheme="majorHAnsi"/>
        </w:rPr>
        <w:t>, K.</w:t>
      </w:r>
      <w:proofErr w:type="gramStart"/>
      <w:r w:rsidRPr="007C7C5F">
        <w:rPr>
          <w:rFonts w:asciiTheme="majorHAnsi" w:eastAsiaTheme="minorEastAsia" w:hAnsiTheme="majorHAnsi" w:cstheme="majorHAnsi"/>
        </w:rPr>
        <w:t xml:space="preserve">,  </w:t>
      </w:r>
      <w:proofErr w:type="spellStart"/>
      <w:r w:rsidRPr="007C7C5F">
        <w:rPr>
          <w:rFonts w:asciiTheme="majorHAnsi" w:eastAsiaTheme="minorEastAsia" w:hAnsiTheme="majorHAnsi" w:cstheme="majorHAnsi"/>
        </w:rPr>
        <w:t>Koskiaho,J</w:t>
      </w:r>
      <w:proofErr w:type="spellEnd"/>
      <w:proofErr w:type="gramEnd"/>
      <w:r w:rsidRPr="007C7C5F">
        <w:rPr>
          <w:rFonts w:asciiTheme="majorHAnsi" w:eastAsiaTheme="minorEastAsia" w:hAnsiTheme="majorHAnsi" w:cstheme="majorHAnsi"/>
        </w:rPr>
        <w:t xml:space="preserve">., </w:t>
      </w:r>
      <w:proofErr w:type="spellStart"/>
      <w:r w:rsidRPr="007C7C5F">
        <w:rPr>
          <w:rFonts w:asciiTheme="majorHAnsi" w:eastAsiaTheme="minorEastAsia" w:hAnsiTheme="majorHAnsi" w:cstheme="majorHAnsi"/>
        </w:rPr>
        <w:t>Tattari</w:t>
      </w:r>
      <w:proofErr w:type="spellEnd"/>
      <w:r w:rsidRPr="007C7C5F">
        <w:rPr>
          <w:rFonts w:asciiTheme="majorHAnsi" w:eastAsiaTheme="minorEastAsia" w:hAnsiTheme="majorHAnsi" w:cstheme="majorHAnsi"/>
        </w:rPr>
        <w:t xml:space="preserve"> S.,2012. Constructed wetlands in Finnish agricultural environments: balancing between effective water protection, multi-functionality and socio-economy. </w:t>
      </w:r>
      <w:r w:rsidRPr="007C7C5F">
        <w:rPr>
          <w:rStyle w:val="st"/>
          <w:rFonts w:asciiTheme="majorHAnsi" w:hAnsiTheme="majorHAnsi" w:cstheme="majorHAnsi"/>
          <w:i/>
        </w:rPr>
        <w:t>J. Water Land Dev</w:t>
      </w:r>
      <w:r w:rsidRPr="007C7C5F">
        <w:rPr>
          <w:rStyle w:val="st"/>
          <w:rFonts w:asciiTheme="majorHAnsi" w:hAnsiTheme="majorHAnsi" w:cstheme="majorHAnsi"/>
        </w:rPr>
        <w:t>.</w:t>
      </w:r>
      <w:r w:rsidRPr="007C7C5F">
        <w:rPr>
          <w:rFonts w:asciiTheme="majorHAnsi" w:eastAsiaTheme="minorEastAsia" w:hAnsiTheme="majorHAnsi" w:cstheme="majorHAnsi"/>
          <w:i/>
        </w:rPr>
        <w:t xml:space="preserve">, </w:t>
      </w:r>
      <w:r w:rsidRPr="007C7C5F">
        <w:rPr>
          <w:rFonts w:asciiTheme="majorHAnsi" w:eastAsiaTheme="minorEastAsia" w:hAnsiTheme="majorHAnsi" w:cstheme="majorHAnsi"/>
        </w:rPr>
        <w:t>17: 19-29.</w:t>
      </w:r>
    </w:p>
    <w:p w14:paraId="4D77649D" w14:textId="77777777" w:rsidR="009979DD" w:rsidRPr="007C7C5F" w:rsidRDefault="009979DD" w:rsidP="009979DD">
      <w:pPr>
        <w:spacing w:after="0"/>
        <w:ind w:left="720" w:hanging="720"/>
        <w:rPr>
          <w:rFonts w:asciiTheme="majorHAnsi" w:eastAsia="Times New Roman" w:hAnsiTheme="majorHAnsi" w:cstheme="majorHAnsi"/>
          <w:color w:val="000000"/>
        </w:rPr>
      </w:pPr>
      <w:proofErr w:type="spellStart"/>
      <w:r w:rsidRPr="007C7C5F">
        <w:rPr>
          <w:rFonts w:asciiTheme="majorHAnsi" w:eastAsia="Times New Roman" w:hAnsiTheme="majorHAnsi" w:cstheme="majorHAnsi"/>
          <w:color w:val="000000"/>
        </w:rPr>
        <w:t>Bouraoui</w:t>
      </w:r>
      <w:proofErr w:type="spellEnd"/>
      <w:r w:rsidRPr="007C7C5F">
        <w:rPr>
          <w:rFonts w:asciiTheme="majorHAnsi" w:eastAsia="Times New Roman" w:hAnsiTheme="majorHAnsi" w:cstheme="majorHAnsi"/>
          <w:color w:val="000000"/>
        </w:rPr>
        <w:t xml:space="preserve">, F., </w:t>
      </w:r>
      <w:proofErr w:type="spellStart"/>
      <w:r w:rsidRPr="007C7C5F">
        <w:rPr>
          <w:rFonts w:asciiTheme="majorHAnsi" w:eastAsia="Times New Roman" w:hAnsiTheme="majorHAnsi" w:cstheme="majorHAnsi"/>
          <w:color w:val="000000"/>
        </w:rPr>
        <w:t>Grizzetti</w:t>
      </w:r>
      <w:proofErr w:type="spellEnd"/>
      <w:r w:rsidRPr="007C7C5F">
        <w:rPr>
          <w:rFonts w:asciiTheme="majorHAnsi" w:eastAsia="Times New Roman" w:hAnsiTheme="majorHAnsi" w:cstheme="majorHAnsi"/>
          <w:color w:val="000000"/>
        </w:rPr>
        <w:t>, B., 2014.</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Modelling mitigation options to reduce diffuse nitrogen water pollution from agriculture. </w:t>
      </w:r>
      <w:r w:rsidRPr="007C7C5F">
        <w:rPr>
          <w:rFonts w:asciiTheme="majorHAnsi" w:eastAsia="Times New Roman" w:hAnsiTheme="majorHAnsi" w:cstheme="majorHAnsi"/>
          <w:i/>
          <w:color w:val="000000"/>
        </w:rPr>
        <w:t xml:space="preserve">Sci. Total Environ. </w:t>
      </w:r>
      <w:r w:rsidRPr="007C7C5F">
        <w:rPr>
          <w:rFonts w:asciiTheme="majorHAnsi" w:eastAsia="Times New Roman" w:hAnsiTheme="majorHAnsi" w:cstheme="majorHAnsi"/>
          <w:color w:val="000000"/>
        </w:rPr>
        <w:t>468-469, 1267-1277.</w:t>
      </w:r>
    </w:p>
    <w:p w14:paraId="785BB58C"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lastRenderedPageBreak/>
        <w:t xml:space="preserve">Brady, M., 2003. The relative cost-efficiency of arable nitrogen management in Sweden. </w:t>
      </w:r>
      <w:r w:rsidRPr="007C7C5F">
        <w:rPr>
          <w:rFonts w:asciiTheme="majorHAnsi" w:hAnsiTheme="majorHAnsi" w:cstheme="majorHAnsi"/>
          <w:i/>
        </w:rPr>
        <w:t>Ecol. Econ.</w:t>
      </w:r>
      <w:r w:rsidRPr="007C7C5F">
        <w:rPr>
          <w:rFonts w:asciiTheme="majorHAnsi" w:hAnsiTheme="majorHAnsi" w:cstheme="majorHAnsi"/>
        </w:rPr>
        <w:t>, 47, 53-70.</w:t>
      </w:r>
    </w:p>
    <w:p w14:paraId="7150A5E1" w14:textId="77777777" w:rsidR="009979DD" w:rsidRPr="007C7C5F" w:rsidRDefault="009979DD" w:rsidP="009979DD">
      <w:pPr>
        <w:autoSpaceDE w:val="0"/>
        <w:autoSpaceDN w:val="0"/>
        <w:adjustRightInd w:val="0"/>
        <w:spacing w:after="0"/>
        <w:ind w:left="720" w:hanging="720"/>
        <w:jc w:val="both"/>
        <w:rPr>
          <w:rFonts w:asciiTheme="majorHAnsi" w:eastAsia="Times New Roman" w:hAnsiTheme="majorHAnsi" w:cstheme="majorHAnsi"/>
          <w:color w:val="000000"/>
        </w:rPr>
      </w:pPr>
      <w:r w:rsidRPr="007C7C5F">
        <w:rPr>
          <w:rFonts w:asciiTheme="majorHAnsi" w:eastAsia="Times New Roman" w:hAnsiTheme="majorHAnsi" w:cstheme="majorHAnsi"/>
          <w:color w:val="000000"/>
        </w:rPr>
        <w:t xml:space="preserve">Carty, A., </w:t>
      </w:r>
      <w:proofErr w:type="spellStart"/>
      <w:r w:rsidRPr="007C7C5F">
        <w:rPr>
          <w:rFonts w:asciiTheme="majorHAnsi" w:eastAsia="Times New Roman" w:hAnsiTheme="majorHAnsi" w:cstheme="majorHAnsi"/>
          <w:color w:val="000000"/>
        </w:rPr>
        <w:t>Scholz</w:t>
      </w:r>
      <w:proofErr w:type="spellEnd"/>
      <w:r w:rsidRPr="007C7C5F">
        <w:rPr>
          <w:rFonts w:asciiTheme="majorHAnsi" w:eastAsia="Times New Roman" w:hAnsiTheme="majorHAnsi" w:cstheme="majorHAnsi"/>
          <w:color w:val="000000"/>
        </w:rPr>
        <w:t xml:space="preserve">, M., Heal, K., </w:t>
      </w:r>
      <w:proofErr w:type="spellStart"/>
      <w:r w:rsidRPr="007C7C5F">
        <w:rPr>
          <w:rFonts w:asciiTheme="majorHAnsi" w:eastAsia="Times New Roman" w:hAnsiTheme="majorHAnsi" w:cstheme="majorHAnsi"/>
          <w:color w:val="000000"/>
        </w:rPr>
        <w:t>Keohane</w:t>
      </w:r>
      <w:proofErr w:type="spellEnd"/>
      <w:r w:rsidRPr="007C7C5F">
        <w:rPr>
          <w:rFonts w:asciiTheme="majorHAnsi" w:eastAsia="Times New Roman" w:hAnsiTheme="majorHAnsi" w:cstheme="majorHAnsi"/>
          <w:color w:val="000000"/>
        </w:rPr>
        <w:t xml:space="preserve">, J., Dunne, E., Fabrice </w:t>
      </w:r>
      <w:proofErr w:type="spellStart"/>
      <w:r w:rsidRPr="007C7C5F">
        <w:rPr>
          <w:rFonts w:asciiTheme="majorHAnsi" w:eastAsia="Times New Roman" w:hAnsiTheme="majorHAnsi" w:cstheme="majorHAnsi"/>
          <w:color w:val="000000"/>
        </w:rPr>
        <w:t>Gouriveau</w:t>
      </w:r>
      <w:proofErr w:type="spellEnd"/>
      <w:r w:rsidRPr="007C7C5F">
        <w:rPr>
          <w:rFonts w:asciiTheme="majorHAnsi" w:eastAsia="Times New Roman" w:hAnsiTheme="majorHAnsi" w:cstheme="majorHAnsi"/>
          <w:color w:val="000000"/>
        </w:rPr>
        <w:t>, F., Mustafa, A., 2008. Constructed Farm Wetlands (CFW) Design Manual for Scotland and Northern Ireland. Final Report for the Northern Ireland Environment Agency and the Scottish Environment Protection Agency. Edinburgh.</w:t>
      </w:r>
    </w:p>
    <w:p w14:paraId="3DF8A9D7" w14:textId="56AF47E8" w:rsidR="009979DD" w:rsidRPr="007C7C5F" w:rsidRDefault="009979DD" w:rsidP="00E507F5">
      <w:pPr>
        <w:autoSpaceDE w:val="0"/>
        <w:autoSpaceDN w:val="0"/>
        <w:adjustRightInd w:val="0"/>
        <w:spacing w:after="0"/>
        <w:ind w:left="720" w:hanging="720"/>
        <w:jc w:val="both"/>
        <w:rPr>
          <w:rFonts w:asciiTheme="majorHAnsi" w:hAnsiTheme="majorHAnsi" w:cstheme="majorHAnsi"/>
        </w:rPr>
      </w:pPr>
      <w:r w:rsidRPr="007C7C5F">
        <w:rPr>
          <w:rFonts w:asciiTheme="majorHAnsi" w:hAnsiTheme="majorHAnsi" w:cstheme="majorHAnsi"/>
        </w:rPr>
        <w:t xml:space="preserve">Christen, B., </w:t>
      </w:r>
      <w:proofErr w:type="spellStart"/>
      <w:r w:rsidRPr="007C7C5F">
        <w:rPr>
          <w:rFonts w:asciiTheme="majorHAnsi" w:hAnsiTheme="majorHAnsi" w:cstheme="majorHAnsi"/>
        </w:rPr>
        <w:t>Kjeldsen</w:t>
      </w:r>
      <w:proofErr w:type="spellEnd"/>
      <w:r w:rsidRPr="007C7C5F">
        <w:rPr>
          <w:rFonts w:asciiTheme="majorHAnsi" w:hAnsiTheme="majorHAnsi" w:cstheme="majorHAnsi"/>
        </w:rPr>
        <w:t xml:space="preserve">, C., </w:t>
      </w:r>
      <w:proofErr w:type="spellStart"/>
      <w:r w:rsidRPr="007C7C5F">
        <w:rPr>
          <w:rFonts w:asciiTheme="majorHAnsi" w:hAnsiTheme="majorHAnsi" w:cstheme="majorHAnsi"/>
        </w:rPr>
        <w:t>Dalgaard</w:t>
      </w:r>
      <w:proofErr w:type="spellEnd"/>
      <w:r w:rsidRPr="007C7C5F">
        <w:rPr>
          <w:rFonts w:asciiTheme="majorHAnsi" w:hAnsiTheme="majorHAnsi" w:cstheme="majorHAnsi"/>
        </w:rPr>
        <w:t xml:space="preserve">, T., Martin-Ortega, J. </w:t>
      </w:r>
      <w:r w:rsidR="003C7E23">
        <w:rPr>
          <w:rFonts w:asciiTheme="majorHAnsi" w:hAnsiTheme="majorHAnsi" w:cstheme="majorHAnsi"/>
        </w:rPr>
        <w:t>2015</w:t>
      </w:r>
      <w:r w:rsidRPr="007C7C5F">
        <w:rPr>
          <w:rFonts w:asciiTheme="majorHAnsi" w:hAnsiTheme="majorHAnsi" w:cstheme="majorHAnsi"/>
        </w:rPr>
        <w:t>. Can Fuzzy Cognitive Mapping Help in Agricultural p</w:t>
      </w:r>
      <w:r w:rsidR="00354C1E">
        <w:rPr>
          <w:rFonts w:asciiTheme="majorHAnsi" w:hAnsiTheme="majorHAnsi" w:cstheme="majorHAnsi"/>
        </w:rPr>
        <w:t>olicy design and communication?</w:t>
      </w:r>
      <w:r w:rsidRPr="007C7C5F">
        <w:rPr>
          <w:rFonts w:asciiTheme="majorHAnsi" w:hAnsiTheme="majorHAnsi" w:cstheme="majorHAnsi"/>
        </w:rPr>
        <w:t xml:space="preserve"> </w:t>
      </w:r>
      <w:r w:rsidRPr="00354C1E">
        <w:rPr>
          <w:rFonts w:asciiTheme="majorHAnsi" w:hAnsiTheme="majorHAnsi" w:cstheme="majorHAnsi"/>
          <w:i/>
        </w:rPr>
        <w:t>Land Use Policy</w:t>
      </w:r>
      <w:r w:rsidR="003C7E23">
        <w:rPr>
          <w:rFonts w:asciiTheme="majorHAnsi" w:hAnsiTheme="majorHAnsi" w:cstheme="majorHAnsi"/>
        </w:rPr>
        <w:t>, 45:</w:t>
      </w:r>
      <w:r w:rsidR="00C70729">
        <w:rPr>
          <w:rFonts w:asciiTheme="majorHAnsi" w:hAnsiTheme="majorHAnsi" w:cstheme="majorHAnsi"/>
        </w:rPr>
        <w:t xml:space="preserve"> 64-75.</w:t>
      </w:r>
    </w:p>
    <w:p w14:paraId="079875C0" w14:textId="77777777" w:rsidR="009979DD" w:rsidRPr="007C7C5F" w:rsidRDefault="009979DD" w:rsidP="009979DD">
      <w:pPr>
        <w:spacing w:after="0"/>
        <w:ind w:left="720" w:hanging="720"/>
        <w:rPr>
          <w:rFonts w:asciiTheme="majorHAnsi" w:hAnsiTheme="majorHAnsi" w:cstheme="majorHAnsi"/>
        </w:rPr>
      </w:pPr>
      <w:r w:rsidRPr="007C7C5F">
        <w:rPr>
          <w:rFonts w:asciiTheme="majorHAnsi" w:eastAsia="Times New Roman" w:hAnsiTheme="majorHAnsi" w:cstheme="majorHAnsi"/>
          <w:color w:val="000000"/>
        </w:rPr>
        <w:t xml:space="preserve">Collins, A. L., Stutter, M., </w:t>
      </w:r>
      <w:proofErr w:type="spellStart"/>
      <w:r w:rsidRPr="007C7C5F">
        <w:rPr>
          <w:rFonts w:asciiTheme="majorHAnsi" w:eastAsia="Times New Roman" w:hAnsiTheme="majorHAnsi" w:cstheme="majorHAnsi"/>
          <w:color w:val="000000"/>
        </w:rPr>
        <w:t>Kronvang</w:t>
      </w:r>
      <w:proofErr w:type="spellEnd"/>
      <w:r w:rsidRPr="007C7C5F">
        <w:rPr>
          <w:rFonts w:asciiTheme="majorHAnsi" w:eastAsia="Times New Roman" w:hAnsiTheme="majorHAnsi" w:cstheme="majorHAnsi"/>
          <w:color w:val="000000"/>
        </w:rPr>
        <w:t>, B., 2014.</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Mitigating diffuse pollution from agriculture: International approaches and experience. </w:t>
      </w:r>
      <w:r w:rsidRPr="007C7C5F">
        <w:rPr>
          <w:rFonts w:asciiTheme="majorHAnsi" w:eastAsia="Times New Roman" w:hAnsiTheme="majorHAnsi" w:cstheme="majorHAnsi"/>
          <w:i/>
          <w:color w:val="000000"/>
        </w:rPr>
        <w:t xml:space="preserve">Sci. Total Environ. </w:t>
      </w:r>
      <w:r w:rsidRPr="007C7C5F">
        <w:rPr>
          <w:rFonts w:asciiTheme="majorHAnsi" w:eastAsia="Times New Roman" w:hAnsiTheme="majorHAnsi" w:cstheme="majorHAnsi"/>
          <w:color w:val="000000"/>
        </w:rPr>
        <w:t>468 1173-1177</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 </w:t>
      </w:r>
    </w:p>
    <w:p w14:paraId="7EE9F5A7"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t xml:space="preserve">Cools, J., </w:t>
      </w:r>
      <w:proofErr w:type="spellStart"/>
      <w:r w:rsidRPr="007C7C5F">
        <w:rPr>
          <w:rFonts w:asciiTheme="majorHAnsi" w:hAnsiTheme="majorHAnsi" w:cstheme="majorHAnsi"/>
        </w:rPr>
        <w:t>Broekx</w:t>
      </w:r>
      <w:proofErr w:type="spellEnd"/>
      <w:r w:rsidRPr="007C7C5F">
        <w:rPr>
          <w:rFonts w:asciiTheme="majorHAnsi" w:hAnsiTheme="majorHAnsi" w:cstheme="majorHAnsi"/>
        </w:rPr>
        <w:t xml:space="preserve">, S., </w:t>
      </w:r>
      <w:proofErr w:type="spellStart"/>
      <w:r w:rsidRPr="007C7C5F">
        <w:rPr>
          <w:rFonts w:asciiTheme="majorHAnsi" w:hAnsiTheme="majorHAnsi" w:cstheme="majorHAnsi"/>
        </w:rPr>
        <w:t>Vandenberghe</w:t>
      </w:r>
      <w:proofErr w:type="gramStart"/>
      <w:r w:rsidRPr="007C7C5F">
        <w:rPr>
          <w:rFonts w:asciiTheme="majorHAnsi" w:hAnsiTheme="majorHAnsi" w:cstheme="majorHAnsi"/>
        </w:rPr>
        <w:t>,V</w:t>
      </w:r>
      <w:proofErr w:type="spellEnd"/>
      <w:proofErr w:type="gramEnd"/>
      <w:r w:rsidRPr="007C7C5F">
        <w:rPr>
          <w:rFonts w:asciiTheme="majorHAnsi" w:hAnsiTheme="majorHAnsi" w:cstheme="majorHAnsi"/>
        </w:rPr>
        <w:t xml:space="preserve">., </w:t>
      </w:r>
      <w:proofErr w:type="spellStart"/>
      <w:r w:rsidRPr="007C7C5F">
        <w:rPr>
          <w:rFonts w:asciiTheme="majorHAnsi" w:hAnsiTheme="majorHAnsi" w:cstheme="majorHAnsi"/>
        </w:rPr>
        <w:t>Sels</w:t>
      </w:r>
      <w:proofErr w:type="spellEnd"/>
      <w:r w:rsidRPr="007C7C5F">
        <w:rPr>
          <w:rFonts w:asciiTheme="majorHAnsi" w:hAnsiTheme="majorHAnsi" w:cstheme="majorHAnsi"/>
        </w:rPr>
        <w:t xml:space="preserve">, H., </w:t>
      </w:r>
      <w:proofErr w:type="spellStart"/>
      <w:r w:rsidRPr="007C7C5F">
        <w:rPr>
          <w:rFonts w:asciiTheme="majorHAnsi" w:hAnsiTheme="majorHAnsi" w:cstheme="majorHAnsi"/>
        </w:rPr>
        <w:t>Meynaerts</w:t>
      </w:r>
      <w:proofErr w:type="spellEnd"/>
      <w:r w:rsidRPr="007C7C5F">
        <w:rPr>
          <w:rFonts w:asciiTheme="majorHAnsi" w:hAnsiTheme="majorHAnsi" w:cstheme="majorHAnsi"/>
        </w:rPr>
        <w:t xml:space="preserve">, E., </w:t>
      </w:r>
      <w:proofErr w:type="spellStart"/>
      <w:r w:rsidRPr="007C7C5F">
        <w:rPr>
          <w:rFonts w:asciiTheme="majorHAnsi" w:hAnsiTheme="majorHAnsi" w:cstheme="majorHAnsi"/>
        </w:rPr>
        <w:t>Vercaemst</w:t>
      </w:r>
      <w:proofErr w:type="spellEnd"/>
      <w:r w:rsidRPr="007C7C5F">
        <w:rPr>
          <w:rFonts w:asciiTheme="majorHAnsi" w:hAnsiTheme="majorHAnsi" w:cstheme="majorHAnsi"/>
        </w:rPr>
        <w:t xml:space="preserve">, P., </w:t>
      </w:r>
      <w:proofErr w:type="spellStart"/>
      <w:r w:rsidRPr="007C7C5F">
        <w:rPr>
          <w:rFonts w:asciiTheme="majorHAnsi" w:hAnsiTheme="majorHAnsi" w:cstheme="majorHAnsi"/>
        </w:rPr>
        <w:t>Seuntjens</w:t>
      </w:r>
      <w:proofErr w:type="spellEnd"/>
      <w:r w:rsidRPr="007C7C5F">
        <w:rPr>
          <w:rFonts w:asciiTheme="majorHAnsi" w:hAnsiTheme="majorHAnsi" w:cstheme="majorHAnsi"/>
        </w:rPr>
        <w:t xml:space="preserve">, P., van </w:t>
      </w:r>
      <w:proofErr w:type="spellStart"/>
      <w:r w:rsidRPr="007C7C5F">
        <w:rPr>
          <w:rFonts w:asciiTheme="majorHAnsi" w:hAnsiTheme="majorHAnsi" w:cstheme="majorHAnsi"/>
        </w:rPr>
        <w:t>Hulle</w:t>
      </w:r>
      <w:proofErr w:type="spellEnd"/>
      <w:r w:rsidRPr="007C7C5F">
        <w:rPr>
          <w:rFonts w:asciiTheme="majorHAnsi" w:hAnsiTheme="majorHAnsi" w:cstheme="majorHAnsi"/>
        </w:rPr>
        <w:t>, S.,</w:t>
      </w:r>
      <w:proofErr w:type="spellStart"/>
      <w:r w:rsidRPr="007C7C5F">
        <w:rPr>
          <w:rFonts w:asciiTheme="majorHAnsi" w:hAnsiTheme="majorHAnsi" w:cstheme="majorHAnsi"/>
        </w:rPr>
        <w:t>Wustenberghs</w:t>
      </w:r>
      <w:proofErr w:type="spellEnd"/>
      <w:r w:rsidRPr="007C7C5F">
        <w:rPr>
          <w:rFonts w:asciiTheme="majorHAnsi" w:hAnsiTheme="majorHAnsi" w:cstheme="majorHAnsi"/>
        </w:rPr>
        <w:t xml:space="preserve">, H., </w:t>
      </w:r>
      <w:proofErr w:type="spellStart"/>
      <w:r w:rsidRPr="007C7C5F">
        <w:rPr>
          <w:rFonts w:asciiTheme="majorHAnsi" w:hAnsiTheme="majorHAnsi" w:cstheme="majorHAnsi"/>
        </w:rPr>
        <w:t>Bauwens</w:t>
      </w:r>
      <w:proofErr w:type="spellEnd"/>
      <w:r w:rsidRPr="007C7C5F">
        <w:rPr>
          <w:rFonts w:asciiTheme="majorHAnsi" w:hAnsiTheme="majorHAnsi" w:cstheme="majorHAnsi"/>
        </w:rPr>
        <w:t xml:space="preserve">, W., Huygens, M., 2011. Coupling a hydrological water quality model and an economic optimization model to set up a cost-effective emission reduction scenario for nitrogen. </w:t>
      </w:r>
      <w:r w:rsidRPr="007C7C5F">
        <w:rPr>
          <w:rFonts w:asciiTheme="majorHAnsi" w:hAnsiTheme="majorHAnsi" w:cstheme="majorHAnsi"/>
          <w:i/>
        </w:rPr>
        <w:t xml:space="preserve">Environ. Modell. </w:t>
      </w:r>
      <w:proofErr w:type="spellStart"/>
      <w:proofErr w:type="gramStart"/>
      <w:r w:rsidRPr="007C7C5F">
        <w:rPr>
          <w:rFonts w:asciiTheme="majorHAnsi" w:hAnsiTheme="majorHAnsi" w:cstheme="majorHAnsi"/>
          <w:i/>
        </w:rPr>
        <w:t>Softw</w:t>
      </w:r>
      <w:proofErr w:type="spellEnd"/>
      <w:r w:rsidRPr="007C7C5F">
        <w:rPr>
          <w:rFonts w:asciiTheme="majorHAnsi" w:hAnsiTheme="majorHAnsi" w:cstheme="majorHAnsi"/>
          <w:i/>
        </w:rPr>
        <w:t>.</w:t>
      </w:r>
      <w:r w:rsidRPr="007C7C5F">
        <w:rPr>
          <w:rFonts w:asciiTheme="majorHAnsi" w:hAnsiTheme="majorHAnsi" w:cstheme="majorHAnsi"/>
        </w:rPr>
        <w:t>,</w:t>
      </w:r>
      <w:proofErr w:type="gramEnd"/>
      <w:r w:rsidRPr="007C7C5F">
        <w:rPr>
          <w:rFonts w:asciiTheme="majorHAnsi" w:hAnsiTheme="majorHAnsi" w:cstheme="majorHAnsi"/>
        </w:rPr>
        <w:t xml:space="preserve"> 26: 44-51.</w:t>
      </w:r>
    </w:p>
    <w:p w14:paraId="4C0313FB" w14:textId="77777777" w:rsidR="009979DD" w:rsidRPr="007C7C5F" w:rsidRDefault="009979DD" w:rsidP="009979DD">
      <w:pPr>
        <w:spacing w:after="0"/>
        <w:ind w:left="720" w:hanging="720"/>
        <w:rPr>
          <w:rFonts w:asciiTheme="majorHAnsi" w:hAnsiTheme="majorHAnsi" w:cstheme="majorHAnsi"/>
        </w:rPr>
      </w:pPr>
      <w:proofErr w:type="spellStart"/>
      <w:r w:rsidRPr="007C7C5F">
        <w:rPr>
          <w:rFonts w:asciiTheme="majorHAnsi" w:hAnsiTheme="majorHAnsi" w:cstheme="majorHAnsi"/>
        </w:rPr>
        <w:t>Cuttle</w:t>
      </w:r>
      <w:proofErr w:type="spellEnd"/>
      <w:r w:rsidRPr="007C7C5F">
        <w:rPr>
          <w:rFonts w:asciiTheme="majorHAnsi" w:hAnsiTheme="majorHAnsi" w:cstheme="majorHAnsi"/>
        </w:rPr>
        <w:t xml:space="preserve">, S.P., Macleod, C.J.A., Chadwick, D.R., </w:t>
      </w:r>
      <w:proofErr w:type="spellStart"/>
      <w:r w:rsidRPr="007C7C5F">
        <w:rPr>
          <w:rFonts w:asciiTheme="majorHAnsi" w:hAnsiTheme="majorHAnsi" w:cstheme="majorHAnsi"/>
        </w:rPr>
        <w:t>Scholefield</w:t>
      </w:r>
      <w:proofErr w:type="spellEnd"/>
      <w:r w:rsidRPr="007C7C5F">
        <w:rPr>
          <w:rFonts w:asciiTheme="majorHAnsi" w:hAnsiTheme="majorHAnsi" w:cstheme="majorHAnsi"/>
        </w:rPr>
        <w:t xml:space="preserve">, D., </w:t>
      </w:r>
      <w:proofErr w:type="spellStart"/>
      <w:r w:rsidRPr="007C7C5F">
        <w:rPr>
          <w:rFonts w:asciiTheme="majorHAnsi" w:hAnsiTheme="majorHAnsi" w:cstheme="majorHAnsi"/>
        </w:rPr>
        <w:t>Haygarth</w:t>
      </w:r>
      <w:proofErr w:type="spellEnd"/>
      <w:r w:rsidRPr="007C7C5F">
        <w:rPr>
          <w:rFonts w:asciiTheme="majorHAnsi" w:hAnsiTheme="majorHAnsi" w:cstheme="majorHAnsi"/>
        </w:rPr>
        <w:t xml:space="preserve">, P.M., Newell-Price, P., Harris, D. </w:t>
      </w:r>
      <w:proofErr w:type="spellStart"/>
      <w:r w:rsidRPr="007C7C5F">
        <w:rPr>
          <w:rFonts w:asciiTheme="majorHAnsi" w:hAnsiTheme="majorHAnsi" w:cstheme="majorHAnsi"/>
        </w:rPr>
        <w:t>andShepherd</w:t>
      </w:r>
      <w:proofErr w:type="spellEnd"/>
      <w:r w:rsidRPr="007C7C5F">
        <w:rPr>
          <w:rFonts w:asciiTheme="majorHAnsi" w:hAnsiTheme="majorHAnsi" w:cstheme="majorHAnsi"/>
        </w:rPr>
        <w:t xml:space="preserve">, M.A., 2007. An inventory of methods to control diffuse water pollution from </w:t>
      </w:r>
      <w:proofErr w:type="gramStart"/>
      <w:r w:rsidRPr="007C7C5F">
        <w:rPr>
          <w:rFonts w:asciiTheme="majorHAnsi" w:hAnsiTheme="majorHAnsi" w:cstheme="majorHAnsi"/>
        </w:rPr>
        <w:t>agriculture(</w:t>
      </w:r>
      <w:proofErr w:type="gramEnd"/>
      <w:r w:rsidRPr="007C7C5F">
        <w:rPr>
          <w:rFonts w:asciiTheme="majorHAnsi" w:hAnsiTheme="majorHAnsi" w:cstheme="majorHAnsi"/>
        </w:rPr>
        <w:t xml:space="preserve">DWPA). User Manual. Prepared as part of Defra project ES0203, UK. </w:t>
      </w:r>
    </w:p>
    <w:p w14:paraId="7081FCA1" w14:textId="19FF638B" w:rsidR="009979DD" w:rsidRPr="007C7C5F" w:rsidRDefault="009979DD" w:rsidP="009979DD">
      <w:pPr>
        <w:spacing w:after="0"/>
        <w:ind w:left="720" w:hanging="720"/>
        <w:rPr>
          <w:rFonts w:asciiTheme="majorHAnsi" w:hAnsiTheme="majorHAnsi" w:cstheme="majorHAnsi"/>
        </w:rPr>
      </w:pPr>
      <w:r w:rsidRPr="007C7C5F">
        <w:rPr>
          <w:rFonts w:asciiTheme="majorHAnsi" w:hAnsiTheme="majorHAnsi" w:cstheme="majorHAnsi"/>
        </w:rPr>
        <w:t>Defra, 2005. The cost-effectiveness of integrated diffuse pollution mitigation measures. Defra Project ES0203, United Kingdom.</w:t>
      </w:r>
    </w:p>
    <w:p w14:paraId="45C59B28"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t xml:space="preserve">Defra, 2004. Cost curve of nitrate mitigation options. Defra report </w:t>
      </w:r>
      <w:proofErr w:type="gramStart"/>
      <w:r w:rsidRPr="007C7C5F">
        <w:rPr>
          <w:rFonts w:asciiTheme="majorHAnsi" w:hAnsiTheme="majorHAnsi" w:cstheme="majorHAnsi"/>
        </w:rPr>
        <w:t>No</w:t>
      </w:r>
      <w:proofErr w:type="gramEnd"/>
      <w:r w:rsidRPr="007C7C5F">
        <w:rPr>
          <w:rFonts w:asciiTheme="majorHAnsi" w:hAnsiTheme="majorHAnsi" w:cstheme="majorHAnsi"/>
        </w:rPr>
        <w:t>. NT2511. Produced by Institute of Grassland and Environmental Research (IGER), Devon, UK.</w:t>
      </w:r>
    </w:p>
    <w:p w14:paraId="0F3CE64E" w14:textId="484AB2B8" w:rsidR="009979DD" w:rsidRPr="007C7C5F" w:rsidRDefault="009979DD" w:rsidP="009979DD">
      <w:pPr>
        <w:spacing w:after="0"/>
        <w:ind w:left="720" w:hanging="720"/>
        <w:rPr>
          <w:rFonts w:asciiTheme="majorHAnsi" w:eastAsia="Times New Roman" w:hAnsiTheme="majorHAnsi" w:cstheme="majorHAnsi"/>
          <w:color w:val="000000"/>
        </w:rPr>
      </w:pPr>
      <w:r w:rsidRPr="00C53415">
        <w:rPr>
          <w:rFonts w:asciiTheme="majorHAnsi" w:eastAsia="Times New Roman" w:hAnsiTheme="majorHAnsi" w:cstheme="majorHAnsi"/>
          <w:shd w:val="clear" w:color="auto" w:fill="F8F8F8"/>
        </w:rPr>
        <w:t xml:space="preserve">Dunn, S.M., </w:t>
      </w:r>
      <w:hyperlink r:id="rId36" w:history="1">
        <w:r w:rsidRPr="00C53415">
          <w:rPr>
            <w:rStyle w:val="Hyperlink"/>
            <w:rFonts w:asciiTheme="majorHAnsi" w:hAnsiTheme="majorHAnsi" w:cstheme="majorHAnsi"/>
            <w:color w:val="auto"/>
            <w:u w:val="none"/>
            <w:shd w:val="clear" w:color="auto" w:fill="F8F8F8"/>
          </w:rPr>
          <w:t>Johnston, L</w:t>
        </w:r>
      </w:hyperlink>
      <w:r w:rsidRPr="00C53415">
        <w:rPr>
          <w:rFonts w:asciiTheme="majorHAnsi" w:eastAsia="Times New Roman" w:hAnsiTheme="majorHAnsi" w:cstheme="majorHAnsi"/>
        </w:rPr>
        <w:t>.,</w:t>
      </w:r>
      <w:r w:rsidRPr="00C53415">
        <w:rPr>
          <w:rFonts w:asciiTheme="majorHAnsi" w:eastAsia="Times New Roman" w:hAnsiTheme="majorHAnsi" w:cstheme="majorHAnsi"/>
          <w:shd w:val="clear" w:color="auto" w:fill="F8F8F8"/>
        </w:rPr>
        <w:t> </w:t>
      </w:r>
      <w:hyperlink r:id="rId37" w:history="1">
        <w:r w:rsidRPr="00C53415">
          <w:rPr>
            <w:rStyle w:val="Hyperlink"/>
            <w:rFonts w:asciiTheme="majorHAnsi" w:hAnsiTheme="majorHAnsi" w:cstheme="majorHAnsi"/>
            <w:color w:val="auto"/>
            <w:u w:val="none"/>
            <w:shd w:val="clear" w:color="auto" w:fill="F8F8F8"/>
          </w:rPr>
          <w:t>Taylor, C</w:t>
        </w:r>
      </w:hyperlink>
      <w:r w:rsidRPr="00C53415">
        <w:rPr>
          <w:rFonts w:asciiTheme="majorHAnsi" w:eastAsia="Times New Roman" w:hAnsiTheme="majorHAnsi" w:cstheme="majorHAnsi"/>
        </w:rPr>
        <w:t>.,</w:t>
      </w:r>
      <w:r w:rsidRPr="00C53415">
        <w:rPr>
          <w:rFonts w:asciiTheme="majorHAnsi" w:eastAsia="Times New Roman" w:hAnsiTheme="majorHAnsi" w:cstheme="majorHAnsi"/>
          <w:shd w:val="clear" w:color="auto" w:fill="F8F8F8"/>
        </w:rPr>
        <w:t> </w:t>
      </w:r>
      <w:hyperlink r:id="rId38" w:history="1">
        <w:r w:rsidRPr="00C53415">
          <w:rPr>
            <w:rStyle w:val="Hyperlink"/>
            <w:rFonts w:asciiTheme="majorHAnsi" w:hAnsiTheme="majorHAnsi" w:cstheme="majorHAnsi"/>
            <w:color w:val="auto"/>
            <w:u w:val="none"/>
            <w:shd w:val="clear" w:color="auto" w:fill="F8F8F8"/>
          </w:rPr>
          <w:t>Watson, H</w:t>
        </w:r>
      </w:hyperlink>
      <w:r w:rsidRPr="00C53415">
        <w:rPr>
          <w:rFonts w:asciiTheme="majorHAnsi" w:eastAsia="Times New Roman" w:hAnsiTheme="majorHAnsi" w:cstheme="majorHAnsi"/>
        </w:rPr>
        <w:t>.,</w:t>
      </w:r>
      <w:r w:rsidRPr="00C53415">
        <w:rPr>
          <w:rFonts w:asciiTheme="majorHAnsi" w:eastAsia="Times New Roman" w:hAnsiTheme="majorHAnsi" w:cstheme="majorHAnsi"/>
          <w:shd w:val="clear" w:color="auto" w:fill="F8F8F8"/>
        </w:rPr>
        <w:t> </w:t>
      </w:r>
      <w:hyperlink r:id="rId39" w:history="1">
        <w:r w:rsidRPr="00C53415">
          <w:rPr>
            <w:rStyle w:val="Hyperlink"/>
            <w:rFonts w:asciiTheme="majorHAnsi" w:hAnsiTheme="majorHAnsi" w:cstheme="majorHAnsi"/>
            <w:color w:val="auto"/>
            <w:u w:val="none"/>
            <w:shd w:val="clear" w:color="auto" w:fill="F8F8F8"/>
          </w:rPr>
          <w:t>Cook, Y</w:t>
        </w:r>
      </w:hyperlink>
      <w:r w:rsidRPr="00C53415">
        <w:rPr>
          <w:rFonts w:asciiTheme="majorHAnsi" w:eastAsia="Times New Roman" w:hAnsiTheme="majorHAnsi" w:cstheme="majorHAnsi"/>
        </w:rPr>
        <w:t>.,</w:t>
      </w:r>
      <w:r w:rsidRPr="00C53415">
        <w:rPr>
          <w:rFonts w:asciiTheme="majorHAnsi" w:eastAsia="Times New Roman" w:hAnsiTheme="majorHAnsi" w:cstheme="majorHAnsi"/>
          <w:shd w:val="clear" w:color="auto" w:fill="F8F8F8"/>
        </w:rPr>
        <w:t> </w:t>
      </w:r>
      <w:hyperlink r:id="rId40" w:tooltip="Find more records by this author" w:history="1">
        <w:r w:rsidRPr="00C53415">
          <w:rPr>
            <w:rStyle w:val="Hyperlink"/>
            <w:rFonts w:asciiTheme="majorHAnsi" w:hAnsiTheme="majorHAnsi" w:cstheme="majorHAnsi"/>
            <w:color w:val="auto"/>
            <w:u w:val="none"/>
            <w:shd w:val="clear" w:color="auto" w:fill="F8F8F8"/>
          </w:rPr>
          <w:t>Langan, S.J</w:t>
        </w:r>
      </w:hyperlink>
      <w:r w:rsidRPr="00C53415">
        <w:rPr>
          <w:rFonts w:asciiTheme="majorHAnsi" w:eastAsia="Times New Roman" w:hAnsiTheme="majorHAnsi" w:cstheme="majorHAnsi"/>
        </w:rPr>
        <w:t xml:space="preserve">., </w:t>
      </w:r>
      <w:r w:rsidRPr="007C7C5F">
        <w:rPr>
          <w:rFonts w:asciiTheme="majorHAnsi" w:eastAsia="Times New Roman" w:hAnsiTheme="majorHAnsi" w:cstheme="majorHAnsi"/>
          <w:color w:val="000000"/>
        </w:rPr>
        <w:t>2013. Capability and limitations of a simple grid-based model for simulating land use influences on stream nitrate concentrations. </w:t>
      </w:r>
      <w:r w:rsidRPr="007C7C5F">
        <w:rPr>
          <w:rFonts w:asciiTheme="majorHAnsi" w:eastAsia="Times New Roman" w:hAnsiTheme="majorHAnsi" w:cstheme="majorHAnsi"/>
          <w:i/>
          <w:color w:val="000000"/>
        </w:rPr>
        <w:t xml:space="preserve">J. </w:t>
      </w:r>
      <w:proofErr w:type="spellStart"/>
      <w:r w:rsidRPr="007C7C5F">
        <w:rPr>
          <w:rFonts w:asciiTheme="majorHAnsi" w:eastAsia="Times New Roman" w:hAnsiTheme="majorHAnsi" w:cstheme="majorHAnsi"/>
          <w:i/>
          <w:color w:val="000000"/>
        </w:rPr>
        <w:t>Hydrol</w:t>
      </w:r>
      <w:proofErr w:type="spellEnd"/>
      <w:r w:rsidRPr="007C7C5F">
        <w:rPr>
          <w:rFonts w:asciiTheme="majorHAnsi" w:eastAsia="Times New Roman" w:hAnsiTheme="majorHAnsi" w:cstheme="majorHAnsi"/>
          <w:color w:val="000000"/>
        </w:rPr>
        <w:t>.</w:t>
      </w:r>
      <w:r w:rsidR="00A272C2">
        <w:rPr>
          <w:rFonts w:asciiTheme="majorHAnsi" w:eastAsia="Times New Roman" w:hAnsiTheme="majorHAnsi" w:cstheme="majorHAnsi"/>
          <w:color w:val="000000"/>
        </w:rPr>
        <w:t>,</w:t>
      </w:r>
      <w:r w:rsidRPr="007C7C5F">
        <w:rPr>
          <w:rFonts w:asciiTheme="majorHAnsi" w:eastAsia="Times New Roman" w:hAnsiTheme="majorHAnsi" w:cstheme="majorHAnsi"/>
          <w:color w:val="000000"/>
        </w:rPr>
        <w:t xml:space="preserve"> 110-123.</w:t>
      </w:r>
    </w:p>
    <w:p w14:paraId="2E5BFD80"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t>Environment Agency (EA), 2012. Review of best practice in treatment and reuse/recycling of phosphorus at wastewater treatment works. Report number SCHO0812BUSK-E-E</w:t>
      </w:r>
    </w:p>
    <w:p w14:paraId="1A18F610" w14:textId="77777777" w:rsidR="009979DD" w:rsidRDefault="009979DD" w:rsidP="00096F6B">
      <w:pPr>
        <w:pStyle w:val="CommentText"/>
        <w:spacing w:after="0" w:line="276" w:lineRule="auto"/>
        <w:ind w:left="720" w:hanging="720"/>
        <w:jc w:val="both"/>
        <w:rPr>
          <w:rFonts w:asciiTheme="majorHAnsi" w:hAnsiTheme="majorHAnsi" w:cstheme="majorHAnsi"/>
          <w:sz w:val="22"/>
          <w:szCs w:val="22"/>
        </w:rPr>
      </w:pPr>
      <w:r w:rsidRPr="007C7C5F">
        <w:rPr>
          <w:rFonts w:asciiTheme="majorHAnsi" w:hAnsiTheme="majorHAnsi" w:cstheme="majorHAnsi"/>
          <w:sz w:val="22"/>
          <w:szCs w:val="22"/>
        </w:rPr>
        <w:t>European Commission (EC), 2003. Common implementation strategy for the Water Framework Directive (2000/60/EC). Guidance Document No. 1. Economics and Environment — the Implementation Challenge of the WFD European Commission, Luxembourg.</w:t>
      </w:r>
    </w:p>
    <w:p w14:paraId="5266EC84" w14:textId="494DC9FC" w:rsidR="00A272C2" w:rsidRPr="00C550B0" w:rsidRDefault="00A272C2" w:rsidP="00A272C2">
      <w:pPr>
        <w:pStyle w:val="Heading1"/>
        <w:numPr>
          <w:ilvl w:val="0"/>
          <w:numId w:val="0"/>
        </w:numPr>
        <w:spacing w:before="0"/>
        <w:ind w:left="432" w:hanging="432"/>
        <w:rPr>
          <w:rFonts w:ascii="Calibri" w:hAnsi="Calibri"/>
          <w:b w:val="0"/>
          <w:color w:val="auto"/>
          <w:sz w:val="22"/>
          <w:szCs w:val="22"/>
          <w:lang w:val="en"/>
        </w:rPr>
      </w:pPr>
      <w:proofErr w:type="spellStart"/>
      <w:r w:rsidRPr="00C550B0">
        <w:rPr>
          <w:rFonts w:ascii="Calibri" w:hAnsi="Calibri"/>
          <w:b w:val="0"/>
          <w:color w:val="auto"/>
          <w:sz w:val="22"/>
          <w:szCs w:val="22"/>
          <w:lang w:val="en"/>
        </w:rPr>
        <w:t>Fezzi</w:t>
      </w:r>
      <w:proofErr w:type="spellEnd"/>
      <w:r w:rsidRPr="00C550B0">
        <w:rPr>
          <w:rFonts w:ascii="Calibri" w:hAnsi="Calibri"/>
          <w:b w:val="0"/>
          <w:color w:val="auto"/>
          <w:sz w:val="22"/>
          <w:szCs w:val="22"/>
          <w:lang w:val="en"/>
        </w:rPr>
        <w:t xml:space="preserve">, C., Hutchins, M., Rigby, D., Bateman, I., Posen, P., Hadley, D., 2010. </w:t>
      </w:r>
      <w:r w:rsidRPr="00C550B0">
        <w:rPr>
          <w:rStyle w:val="maintitle"/>
          <w:rFonts w:ascii="Calibri" w:hAnsi="Calibri"/>
          <w:b w:val="0"/>
          <w:color w:val="auto"/>
          <w:sz w:val="22"/>
          <w:szCs w:val="22"/>
          <w:lang w:val="en"/>
        </w:rPr>
        <w:t xml:space="preserve">Integrated assessment of water framework directive nitrate reduction measures. </w:t>
      </w:r>
      <w:r w:rsidRPr="00A272C2">
        <w:rPr>
          <w:rStyle w:val="maintitle"/>
          <w:rFonts w:ascii="Calibri" w:hAnsi="Calibri"/>
          <w:b w:val="0"/>
          <w:i/>
          <w:color w:val="auto"/>
          <w:sz w:val="22"/>
          <w:szCs w:val="22"/>
          <w:lang w:val="en"/>
        </w:rPr>
        <w:t>Agric. Econ.,</w:t>
      </w:r>
      <w:r>
        <w:rPr>
          <w:rStyle w:val="maintitle"/>
          <w:rFonts w:ascii="Calibri" w:hAnsi="Calibri"/>
          <w:b w:val="0"/>
          <w:color w:val="auto"/>
          <w:sz w:val="22"/>
          <w:szCs w:val="22"/>
          <w:lang w:val="en"/>
        </w:rPr>
        <w:t xml:space="preserve"> 41(2): 123-134.</w:t>
      </w:r>
    </w:p>
    <w:p w14:paraId="4AA48021" w14:textId="77777777" w:rsidR="009979DD" w:rsidRPr="007C7C5F" w:rsidRDefault="009979DD" w:rsidP="00096F6B">
      <w:pPr>
        <w:spacing w:after="0"/>
        <w:ind w:left="720" w:hanging="720"/>
        <w:rPr>
          <w:rFonts w:asciiTheme="majorHAnsi" w:hAnsiTheme="majorHAnsi" w:cstheme="majorHAnsi"/>
        </w:rPr>
      </w:pPr>
      <w:proofErr w:type="spellStart"/>
      <w:r w:rsidRPr="007C7C5F">
        <w:rPr>
          <w:rFonts w:asciiTheme="majorHAnsi" w:hAnsiTheme="majorHAnsi" w:cstheme="majorHAnsi"/>
        </w:rPr>
        <w:t>Froschl</w:t>
      </w:r>
      <w:proofErr w:type="spellEnd"/>
      <w:r w:rsidRPr="007C7C5F">
        <w:rPr>
          <w:rFonts w:asciiTheme="majorHAnsi" w:hAnsiTheme="majorHAnsi" w:cstheme="majorHAnsi"/>
        </w:rPr>
        <w:t xml:space="preserve">, L., </w:t>
      </w:r>
      <w:proofErr w:type="spellStart"/>
      <w:r w:rsidRPr="007C7C5F">
        <w:rPr>
          <w:rFonts w:asciiTheme="majorHAnsi" w:hAnsiTheme="majorHAnsi" w:cstheme="majorHAnsi"/>
        </w:rPr>
        <w:t>Pierrad</w:t>
      </w:r>
      <w:proofErr w:type="spellEnd"/>
      <w:r w:rsidRPr="007C7C5F">
        <w:rPr>
          <w:rFonts w:asciiTheme="majorHAnsi" w:hAnsiTheme="majorHAnsi" w:cstheme="majorHAnsi"/>
        </w:rPr>
        <w:t xml:space="preserve">, R., </w:t>
      </w:r>
      <w:proofErr w:type="spellStart"/>
      <w:r w:rsidRPr="007C7C5F">
        <w:rPr>
          <w:rFonts w:asciiTheme="majorHAnsi" w:hAnsiTheme="majorHAnsi" w:cstheme="majorHAnsi"/>
        </w:rPr>
        <w:t>Schonback</w:t>
      </w:r>
      <w:proofErr w:type="spellEnd"/>
      <w:r w:rsidRPr="007C7C5F">
        <w:rPr>
          <w:rFonts w:asciiTheme="majorHAnsi" w:hAnsiTheme="majorHAnsi" w:cstheme="majorHAnsi"/>
        </w:rPr>
        <w:t xml:space="preserve">, W., 2008. Cost-efficient of measures in agriculture to reduce the nitrogen load flowing from the Danube River into the Black Sea: An analysis for Austria, Bulgaria, Hungary and Romania. </w:t>
      </w:r>
      <w:r w:rsidRPr="007C7C5F">
        <w:rPr>
          <w:rFonts w:asciiTheme="majorHAnsi" w:hAnsiTheme="majorHAnsi" w:cstheme="majorHAnsi"/>
          <w:i/>
        </w:rPr>
        <w:t>Ecol. Econ.</w:t>
      </w:r>
      <w:r w:rsidRPr="007C7C5F">
        <w:rPr>
          <w:rFonts w:asciiTheme="majorHAnsi" w:hAnsiTheme="majorHAnsi" w:cstheme="majorHAnsi"/>
        </w:rPr>
        <w:t>, 68</w:t>
      </w:r>
      <w:proofErr w:type="gramStart"/>
      <w:r w:rsidRPr="007C7C5F">
        <w:rPr>
          <w:rFonts w:asciiTheme="majorHAnsi" w:hAnsiTheme="majorHAnsi" w:cstheme="majorHAnsi"/>
        </w:rPr>
        <w:t>,  96</w:t>
      </w:r>
      <w:proofErr w:type="gramEnd"/>
      <w:r w:rsidRPr="007C7C5F">
        <w:rPr>
          <w:rFonts w:asciiTheme="majorHAnsi" w:hAnsiTheme="majorHAnsi" w:cstheme="majorHAnsi"/>
        </w:rPr>
        <w:t>-105.</w:t>
      </w:r>
    </w:p>
    <w:p w14:paraId="23D4544C" w14:textId="77777777" w:rsidR="009979DD" w:rsidRPr="007C7C5F" w:rsidRDefault="009979DD" w:rsidP="009979DD">
      <w:pPr>
        <w:spacing w:after="0"/>
        <w:ind w:left="720" w:hanging="720"/>
        <w:rPr>
          <w:rFonts w:asciiTheme="majorHAnsi" w:eastAsia="Times New Roman" w:hAnsiTheme="majorHAnsi" w:cstheme="majorHAnsi"/>
          <w:color w:val="000000"/>
        </w:rPr>
      </w:pPr>
      <w:proofErr w:type="spellStart"/>
      <w:r w:rsidRPr="007C7C5F">
        <w:rPr>
          <w:rFonts w:asciiTheme="majorHAnsi" w:eastAsia="Times New Roman" w:hAnsiTheme="majorHAnsi" w:cstheme="majorHAnsi"/>
          <w:color w:val="000000"/>
        </w:rPr>
        <w:t>Ghebremichael</w:t>
      </w:r>
      <w:proofErr w:type="spellEnd"/>
      <w:r w:rsidRPr="007C7C5F">
        <w:rPr>
          <w:rFonts w:asciiTheme="majorHAnsi" w:eastAsia="Times New Roman" w:hAnsiTheme="majorHAnsi" w:cstheme="majorHAnsi"/>
          <w:color w:val="000000"/>
        </w:rPr>
        <w:t xml:space="preserve">, L. T., </w:t>
      </w:r>
      <w:proofErr w:type="spellStart"/>
      <w:r w:rsidRPr="007C7C5F">
        <w:rPr>
          <w:rFonts w:asciiTheme="majorHAnsi" w:eastAsia="Times New Roman" w:hAnsiTheme="majorHAnsi" w:cstheme="majorHAnsi"/>
          <w:color w:val="000000"/>
        </w:rPr>
        <w:t>Veith</w:t>
      </w:r>
      <w:proofErr w:type="spellEnd"/>
      <w:r w:rsidRPr="007C7C5F">
        <w:rPr>
          <w:rFonts w:asciiTheme="majorHAnsi" w:eastAsia="Times New Roman" w:hAnsiTheme="majorHAnsi" w:cstheme="majorHAnsi"/>
          <w:color w:val="000000"/>
        </w:rPr>
        <w:t xml:space="preserve">, T. L., </w:t>
      </w:r>
      <w:proofErr w:type="spellStart"/>
      <w:r w:rsidRPr="007C7C5F">
        <w:rPr>
          <w:rFonts w:asciiTheme="majorHAnsi" w:eastAsia="Times New Roman" w:hAnsiTheme="majorHAnsi" w:cstheme="majorHAnsi"/>
          <w:color w:val="000000"/>
        </w:rPr>
        <w:t>Hamlett</w:t>
      </w:r>
      <w:proofErr w:type="spellEnd"/>
      <w:r w:rsidRPr="007C7C5F">
        <w:rPr>
          <w:rFonts w:asciiTheme="majorHAnsi" w:eastAsia="Times New Roman" w:hAnsiTheme="majorHAnsi" w:cstheme="majorHAnsi"/>
          <w:color w:val="000000"/>
        </w:rPr>
        <w:t>, J. M., 2013.</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Integrated watershed and farm-scale </w:t>
      </w:r>
      <w:proofErr w:type="spellStart"/>
      <w:r w:rsidRPr="007C7C5F">
        <w:rPr>
          <w:rFonts w:asciiTheme="majorHAnsi" w:eastAsia="Times New Roman" w:hAnsiTheme="majorHAnsi" w:cstheme="majorHAnsi"/>
          <w:color w:val="000000"/>
        </w:rPr>
        <w:t>modeling</w:t>
      </w:r>
      <w:proofErr w:type="spellEnd"/>
      <w:r w:rsidRPr="007C7C5F">
        <w:rPr>
          <w:rFonts w:asciiTheme="majorHAnsi" w:eastAsia="Times New Roman" w:hAnsiTheme="majorHAnsi" w:cstheme="majorHAnsi"/>
          <w:color w:val="000000"/>
        </w:rPr>
        <w:t xml:space="preserve"> framework for targeting critical source areas while maintaining farm economic viability. </w:t>
      </w:r>
      <w:r w:rsidRPr="007C7C5F">
        <w:rPr>
          <w:rFonts w:asciiTheme="majorHAnsi" w:eastAsia="Times New Roman" w:hAnsiTheme="majorHAnsi" w:cstheme="majorHAnsi"/>
          <w:i/>
          <w:color w:val="000000"/>
        </w:rPr>
        <w:t xml:space="preserve">J. Environ. </w:t>
      </w:r>
      <w:proofErr w:type="spellStart"/>
      <w:r w:rsidRPr="007C7C5F">
        <w:rPr>
          <w:rFonts w:asciiTheme="majorHAnsi" w:eastAsia="Times New Roman" w:hAnsiTheme="majorHAnsi" w:cstheme="majorHAnsi"/>
          <w:i/>
          <w:color w:val="000000"/>
        </w:rPr>
        <w:t>Manag</w:t>
      </w:r>
      <w:proofErr w:type="spellEnd"/>
      <w:r w:rsidRPr="007C7C5F">
        <w:rPr>
          <w:rFonts w:asciiTheme="majorHAnsi" w:eastAsia="Times New Roman" w:hAnsiTheme="majorHAnsi" w:cstheme="majorHAnsi"/>
          <w:i/>
          <w:color w:val="000000"/>
        </w:rPr>
        <w:t>.</w:t>
      </w:r>
      <w:r w:rsidRPr="007C7C5F">
        <w:rPr>
          <w:rFonts w:asciiTheme="majorHAnsi" w:eastAsia="Times New Roman" w:hAnsiTheme="majorHAnsi" w:cstheme="majorHAnsi"/>
          <w:color w:val="000000"/>
        </w:rPr>
        <w:t xml:space="preserve"> 114,</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381-394.</w:t>
      </w:r>
    </w:p>
    <w:p w14:paraId="17C057FA" w14:textId="77777777" w:rsidR="009979DD" w:rsidRPr="007C7C5F" w:rsidRDefault="009979DD" w:rsidP="00096F6B">
      <w:pPr>
        <w:spacing w:after="0"/>
        <w:ind w:left="720" w:hanging="720"/>
        <w:rPr>
          <w:rFonts w:asciiTheme="majorHAnsi" w:hAnsiTheme="majorHAnsi" w:cstheme="majorHAnsi"/>
        </w:rPr>
      </w:pPr>
      <w:proofErr w:type="spellStart"/>
      <w:r w:rsidRPr="007C7C5F">
        <w:rPr>
          <w:rFonts w:asciiTheme="majorHAnsi" w:hAnsiTheme="majorHAnsi" w:cstheme="majorHAnsi"/>
        </w:rPr>
        <w:t>Gren</w:t>
      </w:r>
      <w:proofErr w:type="spellEnd"/>
      <w:r w:rsidRPr="007C7C5F">
        <w:rPr>
          <w:rFonts w:asciiTheme="majorHAnsi" w:hAnsiTheme="majorHAnsi" w:cstheme="majorHAnsi"/>
        </w:rPr>
        <w:t xml:space="preserve">, I-M., </w:t>
      </w:r>
      <w:proofErr w:type="spellStart"/>
      <w:r w:rsidRPr="007C7C5F">
        <w:rPr>
          <w:rFonts w:asciiTheme="majorHAnsi" w:hAnsiTheme="majorHAnsi" w:cstheme="majorHAnsi"/>
        </w:rPr>
        <w:t>Elofsson</w:t>
      </w:r>
      <w:proofErr w:type="spellEnd"/>
      <w:r w:rsidRPr="007C7C5F">
        <w:rPr>
          <w:rFonts w:asciiTheme="majorHAnsi" w:hAnsiTheme="majorHAnsi" w:cstheme="majorHAnsi"/>
        </w:rPr>
        <w:t xml:space="preserve">, K., </w:t>
      </w:r>
      <w:proofErr w:type="spellStart"/>
      <w:r w:rsidRPr="007C7C5F">
        <w:rPr>
          <w:rFonts w:asciiTheme="majorHAnsi" w:hAnsiTheme="majorHAnsi" w:cstheme="majorHAnsi"/>
        </w:rPr>
        <w:t>Jannke</w:t>
      </w:r>
      <w:proofErr w:type="spellEnd"/>
      <w:r w:rsidRPr="007C7C5F">
        <w:rPr>
          <w:rFonts w:asciiTheme="majorHAnsi" w:hAnsiTheme="majorHAnsi" w:cstheme="majorHAnsi"/>
        </w:rPr>
        <w:t xml:space="preserve">, P., 1997. Cost-effective nutrient reductions to the Baltic Sea. </w:t>
      </w:r>
      <w:r w:rsidRPr="007C7C5F">
        <w:rPr>
          <w:rFonts w:asciiTheme="majorHAnsi" w:hAnsiTheme="majorHAnsi" w:cstheme="majorHAnsi"/>
          <w:i/>
        </w:rPr>
        <w:t xml:space="preserve">Environ. </w:t>
      </w:r>
      <w:proofErr w:type="spellStart"/>
      <w:r w:rsidRPr="007C7C5F">
        <w:rPr>
          <w:rFonts w:asciiTheme="majorHAnsi" w:hAnsiTheme="majorHAnsi" w:cstheme="majorHAnsi"/>
          <w:i/>
        </w:rPr>
        <w:t>Resour</w:t>
      </w:r>
      <w:proofErr w:type="spellEnd"/>
      <w:r w:rsidRPr="007C7C5F">
        <w:rPr>
          <w:rFonts w:asciiTheme="majorHAnsi" w:hAnsiTheme="majorHAnsi" w:cstheme="majorHAnsi"/>
          <w:i/>
        </w:rPr>
        <w:t>. Econ.</w:t>
      </w:r>
      <w:r w:rsidRPr="007C7C5F">
        <w:rPr>
          <w:rFonts w:asciiTheme="majorHAnsi" w:hAnsiTheme="majorHAnsi" w:cstheme="majorHAnsi"/>
        </w:rPr>
        <w:t>, 10, 341-362.</w:t>
      </w:r>
    </w:p>
    <w:p w14:paraId="48FBBDA7" w14:textId="77777777" w:rsidR="009979DD" w:rsidRPr="007C7C5F" w:rsidRDefault="009979DD" w:rsidP="00E507F5">
      <w:pPr>
        <w:autoSpaceDE w:val="0"/>
        <w:autoSpaceDN w:val="0"/>
        <w:adjustRightInd w:val="0"/>
        <w:spacing w:after="0"/>
        <w:ind w:left="720" w:hanging="720"/>
        <w:jc w:val="both"/>
        <w:rPr>
          <w:rFonts w:asciiTheme="majorHAnsi" w:eastAsiaTheme="minorEastAsia" w:hAnsiTheme="majorHAnsi" w:cstheme="majorHAnsi"/>
          <w:color w:val="0000FF"/>
        </w:rPr>
      </w:pPr>
      <w:r w:rsidRPr="007C7C5F">
        <w:rPr>
          <w:rFonts w:asciiTheme="majorHAnsi" w:eastAsiaTheme="minorEastAsia" w:hAnsiTheme="majorHAnsi" w:cstheme="majorHAnsi"/>
          <w:color w:val="000000"/>
        </w:rPr>
        <w:t xml:space="preserve">H. Von </w:t>
      </w:r>
      <w:proofErr w:type="spellStart"/>
      <w:r w:rsidRPr="007C7C5F">
        <w:rPr>
          <w:rFonts w:asciiTheme="majorHAnsi" w:eastAsiaTheme="minorEastAsia" w:hAnsiTheme="majorHAnsi" w:cstheme="majorHAnsi"/>
          <w:color w:val="000000"/>
        </w:rPr>
        <w:t>Blottnitz</w:t>
      </w:r>
      <w:proofErr w:type="spellEnd"/>
      <w:r w:rsidRPr="007C7C5F">
        <w:rPr>
          <w:rFonts w:asciiTheme="majorHAnsi" w:eastAsiaTheme="minorEastAsia" w:hAnsiTheme="majorHAnsi" w:cstheme="majorHAnsi"/>
          <w:color w:val="000000"/>
        </w:rPr>
        <w:t xml:space="preserve"> , A. </w:t>
      </w:r>
      <w:proofErr w:type="spellStart"/>
      <w:r w:rsidRPr="007C7C5F">
        <w:rPr>
          <w:rFonts w:asciiTheme="majorHAnsi" w:eastAsiaTheme="minorEastAsia" w:hAnsiTheme="majorHAnsi" w:cstheme="majorHAnsi"/>
          <w:color w:val="000000"/>
        </w:rPr>
        <w:t>Rabl</w:t>
      </w:r>
      <w:proofErr w:type="spellEnd"/>
      <w:r w:rsidRPr="007C7C5F">
        <w:rPr>
          <w:rFonts w:asciiTheme="majorHAnsi" w:eastAsiaTheme="minorEastAsia" w:hAnsiTheme="majorHAnsi" w:cstheme="majorHAnsi"/>
          <w:color w:val="000000"/>
        </w:rPr>
        <w:t xml:space="preserve"> , D. </w:t>
      </w:r>
      <w:proofErr w:type="spellStart"/>
      <w:r w:rsidRPr="007C7C5F">
        <w:rPr>
          <w:rFonts w:asciiTheme="majorHAnsi" w:eastAsiaTheme="minorEastAsia" w:hAnsiTheme="majorHAnsi" w:cstheme="majorHAnsi"/>
          <w:color w:val="000000"/>
        </w:rPr>
        <w:t>Boiadjiev</w:t>
      </w:r>
      <w:proofErr w:type="spellEnd"/>
      <w:r w:rsidRPr="007C7C5F">
        <w:rPr>
          <w:rFonts w:asciiTheme="majorHAnsi" w:eastAsiaTheme="minorEastAsia" w:hAnsiTheme="majorHAnsi" w:cstheme="majorHAnsi"/>
          <w:color w:val="000000"/>
        </w:rPr>
        <w:t xml:space="preserve"> , T. Taylor &amp; S. Arnold (2006) Damage costs of nitrogen fertilizer in Europe and their internalization, </w:t>
      </w:r>
      <w:r w:rsidRPr="007C7C5F">
        <w:rPr>
          <w:rFonts w:asciiTheme="majorHAnsi" w:eastAsiaTheme="minorEastAsia" w:hAnsiTheme="majorHAnsi" w:cstheme="majorHAnsi"/>
          <w:i/>
          <w:color w:val="000000"/>
        </w:rPr>
        <w:t xml:space="preserve">J. Environ. </w:t>
      </w:r>
      <w:proofErr w:type="spellStart"/>
      <w:r w:rsidRPr="007C7C5F">
        <w:rPr>
          <w:rFonts w:asciiTheme="majorHAnsi" w:eastAsiaTheme="minorEastAsia" w:hAnsiTheme="majorHAnsi" w:cstheme="majorHAnsi"/>
          <w:i/>
          <w:color w:val="000000"/>
        </w:rPr>
        <w:t>Plann</w:t>
      </w:r>
      <w:proofErr w:type="spellEnd"/>
      <w:r w:rsidRPr="007C7C5F">
        <w:rPr>
          <w:rFonts w:asciiTheme="majorHAnsi" w:eastAsiaTheme="minorEastAsia" w:hAnsiTheme="majorHAnsi" w:cstheme="majorHAnsi"/>
          <w:i/>
          <w:color w:val="000000"/>
        </w:rPr>
        <w:t>. Man.</w:t>
      </w:r>
      <w:r w:rsidRPr="007C7C5F">
        <w:rPr>
          <w:rFonts w:asciiTheme="majorHAnsi" w:eastAsiaTheme="minorEastAsia" w:hAnsiTheme="majorHAnsi" w:cstheme="majorHAnsi"/>
          <w:color w:val="000000"/>
        </w:rPr>
        <w:t>, 49:3, 413-433.</w:t>
      </w:r>
    </w:p>
    <w:p w14:paraId="7CA79378"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t xml:space="preserve">Hanley, N., Black, A.D., 2006. Cost-effectiveness analysis and water framework directive in Scotland. </w:t>
      </w:r>
      <w:proofErr w:type="spellStart"/>
      <w:r w:rsidRPr="007C7C5F">
        <w:rPr>
          <w:rFonts w:asciiTheme="majorHAnsi" w:hAnsiTheme="majorHAnsi" w:cstheme="majorHAnsi"/>
          <w:i/>
        </w:rPr>
        <w:t>Integr</w:t>
      </w:r>
      <w:proofErr w:type="spellEnd"/>
      <w:r w:rsidRPr="007C7C5F">
        <w:rPr>
          <w:rFonts w:asciiTheme="majorHAnsi" w:hAnsiTheme="majorHAnsi" w:cstheme="majorHAnsi"/>
          <w:i/>
        </w:rPr>
        <w:t xml:space="preserve">. Enviro. Assess. </w:t>
      </w:r>
      <w:proofErr w:type="gramStart"/>
      <w:r w:rsidRPr="007C7C5F">
        <w:rPr>
          <w:rFonts w:asciiTheme="majorHAnsi" w:hAnsiTheme="majorHAnsi" w:cstheme="majorHAnsi"/>
          <w:i/>
        </w:rPr>
        <w:t>Manage</w:t>
      </w:r>
      <w:r w:rsidRPr="007C7C5F">
        <w:rPr>
          <w:rFonts w:asciiTheme="majorHAnsi" w:hAnsiTheme="majorHAnsi" w:cstheme="majorHAnsi"/>
        </w:rPr>
        <w:t>.,</w:t>
      </w:r>
      <w:proofErr w:type="gramEnd"/>
      <w:r w:rsidRPr="007C7C5F">
        <w:rPr>
          <w:rFonts w:asciiTheme="majorHAnsi" w:hAnsiTheme="majorHAnsi" w:cstheme="majorHAnsi"/>
        </w:rPr>
        <w:t xml:space="preserve"> 2(2), 156-165.</w:t>
      </w:r>
    </w:p>
    <w:p w14:paraId="5277817A"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lastRenderedPageBreak/>
        <w:t xml:space="preserve">Jackson-Blake L., Dunn S., Hershkovitz Y., Sample J., Helliwell R., Balana B., 2013.  </w:t>
      </w:r>
      <w:r w:rsidRPr="007C7C5F">
        <w:rPr>
          <w:rFonts w:asciiTheme="majorHAnsi" w:hAnsiTheme="majorHAnsi" w:cstheme="majorHAnsi"/>
          <w:bCs/>
        </w:rPr>
        <w:t>Deliverable 5.3: Biophysical catchment-scale modelling in the River Dee catchment, Scotland. REFRESH Project Technical Report.</w:t>
      </w:r>
    </w:p>
    <w:p w14:paraId="4DAF05FA" w14:textId="77777777" w:rsidR="009979DD" w:rsidRPr="007C7C5F" w:rsidRDefault="009979DD" w:rsidP="009979DD">
      <w:pPr>
        <w:spacing w:after="0"/>
        <w:ind w:left="720" w:hanging="720"/>
        <w:rPr>
          <w:rFonts w:asciiTheme="majorHAnsi" w:eastAsia="Times New Roman" w:hAnsiTheme="majorHAnsi" w:cstheme="majorHAnsi"/>
          <w:color w:val="000000"/>
        </w:rPr>
      </w:pPr>
      <w:r w:rsidRPr="007C7C5F">
        <w:rPr>
          <w:rFonts w:asciiTheme="majorHAnsi" w:eastAsia="Times New Roman" w:hAnsiTheme="majorHAnsi" w:cstheme="majorHAnsi"/>
          <w:color w:val="000000"/>
        </w:rPr>
        <w:t xml:space="preserve">Kovacs, A., </w:t>
      </w:r>
      <w:proofErr w:type="spellStart"/>
      <w:r w:rsidRPr="007C7C5F">
        <w:rPr>
          <w:rFonts w:asciiTheme="majorHAnsi" w:eastAsia="Times New Roman" w:hAnsiTheme="majorHAnsi" w:cstheme="majorHAnsi"/>
          <w:color w:val="000000"/>
        </w:rPr>
        <w:t>Honti</w:t>
      </w:r>
      <w:proofErr w:type="spellEnd"/>
      <w:r w:rsidRPr="007C7C5F">
        <w:rPr>
          <w:rFonts w:asciiTheme="majorHAnsi" w:eastAsia="Times New Roman" w:hAnsiTheme="majorHAnsi" w:cstheme="majorHAnsi"/>
          <w:color w:val="000000"/>
        </w:rPr>
        <w:t xml:space="preserve">, M., </w:t>
      </w:r>
      <w:proofErr w:type="spellStart"/>
      <w:r w:rsidRPr="007C7C5F">
        <w:rPr>
          <w:rFonts w:asciiTheme="majorHAnsi" w:eastAsia="Times New Roman" w:hAnsiTheme="majorHAnsi" w:cstheme="majorHAnsi"/>
          <w:color w:val="000000"/>
        </w:rPr>
        <w:t>Zessner</w:t>
      </w:r>
      <w:proofErr w:type="spellEnd"/>
      <w:r w:rsidRPr="007C7C5F">
        <w:rPr>
          <w:rFonts w:asciiTheme="majorHAnsi" w:eastAsia="Times New Roman" w:hAnsiTheme="majorHAnsi" w:cstheme="majorHAnsi"/>
          <w:color w:val="000000"/>
        </w:rPr>
        <w:t xml:space="preserve">, M., Eder, A., Clement, A., </w:t>
      </w:r>
      <w:proofErr w:type="spellStart"/>
      <w:r w:rsidRPr="007C7C5F">
        <w:rPr>
          <w:rFonts w:asciiTheme="majorHAnsi" w:eastAsia="Times New Roman" w:hAnsiTheme="majorHAnsi" w:cstheme="majorHAnsi"/>
          <w:color w:val="000000"/>
        </w:rPr>
        <w:t>Bloeschl</w:t>
      </w:r>
      <w:proofErr w:type="spellEnd"/>
      <w:r w:rsidRPr="007C7C5F">
        <w:rPr>
          <w:rFonts w:asciiTheme="majorHAnsi" w:eastAsia="Times New Roman" w:hAnsiTheme="majorHAnsi" w:cstheme="majorHAnsi"/>
          <w:color w:val="000000"/>
        </w:rPr>
        <w:t>, G., 2012.</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Identification of phosphorus emission hotspots in agricultural catchments. </w:t>
      </w:r>
      <w:r w:rsidRPr="007C7C5F">
        <w:rPr>
          <w:rFonts w:asciiTheme="majorHAnsi" w:eastAsia="Times New Roman" w:hAnsiTheme="majorHAnsi" w:cstheme="majorHAnsi"/>
          <w:i/>
          <w:color w:val="000000"/>
        </w:rPr>
        <w:t xml:space="preserve">Sci. Total Environ. </w:t>
      </w:r>
      <w:r w:rsidRPr="007C7C5F">
        <w:rPr>
          <w:rFonts w:asciiTheme="majorHAnsi" w:eastAsia="Times New Roman" w:hAnsiTheme="majorHAnsi" w:cstheme="majorHAnsi"/>
          <w:color w:val="000000"/>
        </w:rPr>
        <w:t>433,</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74-88.</w:t>
      </w:r>
    </w:p>
    <w:p w14:paraId="56625C64" w14:textId="77777777" w:rsidR="007C7C5F" w:rsidRPr="007C7C5F" w:rsidRDefault="009979DD" w:rsidP="007C7C5F">
      <w:pPr>
        <w:spacing w:after="0"/>
        <w:ind w:left="720" w:hanging="720"/>
        <w:rPr>
          <w:rFonts w:asciiTheme="majorHAnsi" w:eastAsia="Times New Roman" w:hAnsiTheme="majorHAnsi" w:cstheme="majorHAnsi"/>
          <w:color w:val="000000"/>
        </w:rPr>
      </w:pPr>
      <w:proofErr w:type="spellStart"/>
      <w:r w:rsidRPr="007C7C5F">
        <w:rPr>
          <w:rFonts w:asciiTheme="majorHAnsi" w:eastAsia="Times New Roman" w:hAnsiTheme="majorHAnsi" w:cstheme="majorHAnsi"/>
          <w:color w:val="000000"/>
        </w:rPr>
        <w:t>Kronvang</w:t>
      </w:r>
      <w:proofErr w:type="spellEnd"/>
      <w:r w:rsidRPr="007C7C5F">
        <w:rPr>
          <w:rFonts w:asciiTheme="majorHAnsi" w:eastAsia="Times New Roman" w:hAnsiTheme="majorHAnsi" w:cstheme="majorHAnsi"/>
          <w:color w:val="000000"/>
        </w:rPr>
        <w:t xml:space="preserve">, B., </w:t>
      </w:r>
      <w:proofErr w:type="spellStart"/>
      <w:r w:rsidRPr="007C7C5F">
        <w:rPr>
          <w:rFonts w:asciiTheme="majorHAnsi" w:eastAsia="Times New Roman" w:hAnsiTheme="majorHAnsi" w:cstheme="majorHAnsi"/>
          <w:color w:val="000000"/>
        </w:rPr>
        <w:t>Jeppesen</w:t>
      </w:r>
      <w:proofErr w:type="spellEnd"/>
      <w:r w:rsidRPr="007C7C5F">
        <w:rPr>
          <w:rFonts w:asciiTheme="majorHAnsi" w:eastAsia="Times New Roman" w:hAnsiTheme="majorHAnsi" w:cstheme="majorHAnsi"/>
          <w:color w:val="000000"/>
        </w:rPr>
        <w:t xml:space="preserve">, E., Conley, D. J., </w:t>
      </w:r>
      <w:proofErr w:type="spellStart"/>
      <w:r w:rsidRPr="007C7C5F">
        <w:rPr>
          <w:rFonts w:asciiTheme="majorHAnsi" w:eastAsia="Times New Roman" w:hAnsiTheme="majorHAnsi" w:cstheme="majorHAnsi"/>
          <w:color w:val="000000"/>
        </w:rPr>
        <w:t>Sondergaard</w:t>
      </w:r>
      <w:proofErr w:type="spellEnd"/>
      <w:r w:rsidRPr="007C7C5F">
        <w:rPr>
          <w:rFonts w:asciiTheme="majorHAnsi" w:eastAsia="Times New Roman" w:hAnsiTheme="majorHAnsi" w:cstheme="majorHAnsi"/>
          <w:color w:val="000000"/>
        </w:rPr>
        <w:t xml:space="preserve">, M., Larsen, S. E., </w:t>
      </w:r>
      <w:proofErr w:type="spellStart"/>
      <w:r w:rsidRPr="007C7C5F">
        <w:rPr>
          <w:rFonts w:asciiTheme="majorHAnsi" w:eastAsia="Times New Roman" w:hAnsiTheme="majorHAnsi" w:cstheme="majorHAnsi"/>
          <w:color w:val="000000"/>
        </w:rPr>
        <w:t>Ovesen</w:t>
      </w:r>
      <w:proofErr w:type="spellEnd"/>
      <w:r w:rsidRPr="007C7C5F">
        <w:rPr>
          <w:rFonts w:asciiTheme="majorHAnsi" w:eastAsia="Times New Roman" w:hAnsiTheme="majorHAnsi" w:cstheme="majorHAnsi"/>
          <w:color w:val="000000"/>
        </w:rPr>
        <w:t xml:space="preserve">, N. B., </w:t>
      </w:r>
      <w:proofErr w:type="spellStart"/>
      <w:r w:rsidRPr="007C7C5F">
        <w:rPr>
          <w:rFonts w:asciiTheme="majorHAnsi" w:eastAsia="Times New Roman" w:hAnsiTheme="majorHAnsi" w:cstheme="majorHAnsi"/>
          <w:color w:val="000000"/>
        </w:rPr>
        <w:t>Carstensen</w:t>
      </w:r>
      <w:proofErr w:type="spellEnd"/>
      <w:r w:rsidRPr="007C7C5F">
        <w:rPr>
          <w:rFonts w:asciiTheme="majorHAnsi" w:eastAsia="Times New Roman" w:hAnsiTheme="majorHAnsi" w:cstheme="majorHAnsi"/>
          <w:color w:val="000000"/>
        </w:rPr>
        <w:t>, J., 2005.</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Nutrient pressures and ecological responses to nutrient loading reductions in Danish streams, lakes and coastal waters. </w:t>
      </w:r>
      <w:r w:rsidRPr="007C7C5F">
        <w:rPr>
          <w:rFonts w:asciiTheme="majorHAnsi" w:eastAsia="Times New Roman" w:hAnsiTheme="majorHAnsi" w:cstheme="majorHAnsi"/>
          <w:i/>
          <w:color w:val="000000"/>
        </w:rPr>
        <w:t xml:space="preserve">J. </w:t>
      </w:r>
      <w:proofErr w:type="spellStart"/>
      <w:r w:rsidRPr="007C7C5F">
        <w:rPr>
          <w:rFonts w:asciiTheme="majorHAnsi" w:eastAsia="Times New Roman" w:hAnsiTheme="majorHAnsi" w:cstheme="majorHAnsi"/>
          <w:i/>
          <w:color w:val="000000"/>
        </w:rPr>
        <w:t>Hydrol</w:t>
      </w:r>
      <w:proofErr w:type="spellEnd"/>
      <w:r w:rsidRPr="007C7C5F">
        <w:rPr>
          <w:rFonts w:asciiTheme="majorHAnsi" w:eastAsia="Times New Roman" w:hAnsiTheme="majorHAnsi" w:cstheme="majorHAnsi"/>
          <w:i/>
          <w:color w:val="000000"/>
        </w:rPr>
        <w:t xml:space="preserve">. </w:t>
      </w:r>
      <w:r w:rsidRPr="007C7C5F">
        <w:rPr>
          <w:rFonts w:asciiTheme="majorHAnsi" w:eastAsia="Times New Roman" w:hAnsiTheme="majorHAnsi" w:cstheme="majorHAnsi"/>
          <w:color w:val="000000"/>
        </w:rPr>
        <w:t>304, 274-288.</w:t>
      </w:r>
    </w:p>
    <w:p w14:paraId="29035E4B" w14:textId="16E3E1E5" w:rsidR="007C7C5F" w:rsidRPr="007C7C5F" w:rsidRDefault="007C7C5F" w:rsidP="007C7C5F">
      <w:pPr>
        <w:spacing w:after="0"/>
        <w:ind w:left="720" w:hanging="720"/>
        <w:rPr>
          <w:rFonts w:asciiTheme="majorHAnsi" w:hAnsiTheme="majorHAnsi" w:cstheme="majorHAnsi"/>
        </w:rPr>
      </w:pPr>
      <w:r w:rsidRPr="007C7C5F">
        <w:rPr>
          <w:rFonts w:asciiTheme="majorHAnsi" w:hAnsiTheme="majorHAnsi" w:cstheme="majorHAnsi"/>
        </w:rPr>
        <w:t xml:space="preserve">Martin-Ortega, J., </w:t>
      </w:r>
      <w:proofErr w:type="spellStart"/>
      <w:r w:rsidRPr="007C7C5F">
        <w:rPr>
          <w:rFonts w:asciiTheme="majorHAnsi" w:hAnsiTheme="majorHAnsi" w:cstheme="majorHAnsi"/>
        </w:rPr>
        <w:t>Perni</w:t>
      </w:r>
      <w:proofErr w:type="spellEnd"/>
      <w:r w:rsidRPr="007C7C5F">
        <w:rPr>
          <w:rFonts w:asciiTheme="majorHAnsi" w:hAnsiTheme="majorHAnsi" w:cstheme="majorHAnsi"/>
        </w:rPr>
        <w:t xml:space="preserve">, A., Jackson-Blake, L., Balana, B., Dunn, S., McKee, A., Helliwell, R., </w:t>
      </w:r>
      <w:proofErr w:type="spellStart"/>
      <w:r w:rsidRPr="007C7C5F">
        <w:rPr>
          <w:rFonts w:asciiTheme="majorHAnsi" w:hAnsiTheme="majorHAnsi" w:cstheme="majorHAnsi"/>
        </w:rPr>
        <w:t>Psaltopoulos</w:t>
      </w:r>
      <w:proofErr w:type="spellEnd"/>
      <w:r w:rsidRPr="007C7C5F">
        <w:rPr>
          <w:rFonts w:asciiTheme="majorHAnsi" w:hAnsiTheme="majorHAnsi" w:cstheme="majorHAnsi"/>
        </w:rPr>
        <w:t xml:space="preserve">, D., </w:t>
      </w:r>
      <w:proofErr w:type="spellStart"/>
      <w:r w:rsidRPr="007C7C5F">
        <w:rPr>
          <w:rFonts w:asciiTheme="majorHAnsi" w:hAnsiTheme="majorHAnsi" w:cstheme="majorHAnsi"/>
        </w:rPr>
        <w:t>Skuras</w:t>
      </w:r>
      <w:proofErr w:type="spellEnd"/>
      <w:r w:rsidRPr="007C7C5F">
        <w:rPr>
          <w:rFonts w:asciiTheme="majorHAnsi" w:hAnsiTheme="majorHAnsi" w:cstheme="majorHAnsi"/>
        </w:rPr>
        <w:t>, D., Co</w:t>
      </w:r>
      <w:r w:rsidR="000B4AAB">
        <w:rPr>
          <w:rFonts w:asciiTheme="majorHAnsi" w:hAnsiTheme="majorHAnsi" w:cstheme="majorHAnsi"/>
        </w:rPr>
        <w:t>oksley, S., Slee, B., 2015</w:t>
      </w:r>
      <w:r w:rsidRPr="007C7C5F">
        <w:rPr>
          <w:rFonts w:asciiTheme="majorHAnsi" w:hAnsiTheme="majorHAnsi" w:cstheme="majorHAnsi"/>
        </w:rPr>
        <w:t xml:space="preserve">. A transdisciplinary approach to the economic analysis of the European Water Framework Directive. </w:t>
      </w:r>
      <w:r w:rsidRPr="007C7C5F">
        <w:rPr>
          <w:rFonts w:asciiTheme="majorHAnsi" w:hAnsiTheme="majorHAnsi" w:cstheme="majorHAnsi"/>
          <w:i/>
        </w:rPr>
        <w:t>Ecol. Econ.</w:t>
      </w:r>
      <w:r>
        <w:rPr>
          <w:rFonts w:asciiTheme="majorHAnsi" w:hAnsiTheme="majorHAnsi" w:cstheme="majorHAnsi"/>
        </w:rPr>
        <w:t xml:space="preserve"> </w:t>
      </w:r>
      <w:r w:rsidR="000B4AAB">
        <w:rPr>
          <w:rFonts w:asciiTheme="majorHAnsi" w:hAnsiTheme="majorHAnsi" w:cstheme="majorHAnsi"/>
        </w:rPr>
        <w:t>116, 34-46.</w:t>
      </w:r>
      <w:r w:rsidRPr="007C7C5F">
        <w:rPr>
          <w:rFonts w:asciiTheme="majorHAnsi" w:hAnsiTheme="majorHAnsi" w:cstheme="majorHAnsi"/>
        </w:rPr>
        <w:t xml:space="preserve"> </w:t>
      </w:r>
    </w:p>
    <w:p w14:paraId="663ACD1D" w14:textId="77777777" w:rsidR="009979DD" w:rsidRPr="007C7C5F" w:rsidRDefault="009979DD" w:rsidP="00CC594A">
      <w:pPr>
        <w:spacing w:after="0"/>
        <w:ind w:left="720" w:hanging="720"/>
        <w:jc w:val="both"/>
        <w:rPr>
          <w:rFonts w:asciiTheme="majorHAnsi" w:hAnsiTheme="majorHAnsi" w:cstheme="majorHAnsi"/>
          <w:bCs/>
        </w:rPr>
      </w:pPr>
      <w:r w:rsidRPr="007C7C5F">
        <w:rPr>
          <w:rFonts w:asciiTheme="majorHAnsi" w:hAnsiTheme="majorHAnsi" w:cstheme="majorHAnsi"/>
          <w:iCs/>
        </w:rPr>
        <w:t xml:space="preserve">Martin-Ortega J., Balana B., </w:t>
      </w:r>
      <w:proofErr w:type="spellStart"/>
      <w:r w:rsidRPr="007C7C5F">
        <w:rPr>
          <w:rFonts w:asciiTheme="majorHAnsi" w:hAnsiTheme="majorHAnsi" w:cstheme="majorHAnsi"/>
          <w:iCs/>
        </w:rPr>
        <w:t>Perni</w:t>
      </w:r>
      <w:proofErr w:type="spellEnd"/>
      <w:r w:rsidRPr="007C7C5F">
        <w:rPr>
          <w:rFonts w:asciiTheme="majorHAnsi" w:hAnsiTheme="majorHAnsi" w:cstheme="majorHAnsi"/>
          <w:iCs/>
        </w:rPr>
        <w:t xml:space="preserve"> A., Slee B., 2013.  </w:t>
      </w:r>
      <w:r w:rsidRPr="007C7C5F">
        <w:rPr>
          <w:rFonts w:asciiTheme="majorHAnsi" w:hAnsiTheme="majorHAnsi" w:cstheme="majorHAnsi"/>
          <w:bCs/>
        </w:rPr>
        <w:t xml:space="preserve">Deliverable 6.12: Cost-effectiveness analysis report for the Thame sub-catchment including analysis of disproportionality. REFRESH Project Technical Report. </w:t>
      </w:r>
    </w:p>
    <w:p w14:paraId="78DBC1D9" w14:textId="77777777" w:rsidR="009979DD" w:rsidRPr="007C7C5F" w:rsidRDefault="009979DD" w:rsidP="00096F6B">
      <w:pPr>
        <w:spacing w:after="0"/>
        <w:ind w:left="720" w:hanging="720"/>
        <w:jc w:val="both"/>
        <w:rPr>
          <w:rStyle w:val="Hyperlink"/>
          <w:rFonts w:asciiTheme="majorHAnsi" w:hAnsiTheme="majorHAnsi" w:cstheme="majorHAnsi"/>
          <w:color w:val="auto"/>
        </w:rPr>
      </w:pPr>
      <w:r w:rsidRPr="007C7C5F">
        <w:rPr>
          <w:rFonts w:asciiTheme="majorHAnsi" w:hAnsiTheme="majorHAnsi" w:cstheme="majorHAnsi"/>
        </w:rPr>
        <w:t xml:space="preserve">Martin-Ortega, J., McKee. A., Cooksley, S., Jackson-Blake, L., Slee, B., 2012. Workshop proceedings on collaborative scoping of solutions, Dee catchment, UK. REFRESH Deliverable D6.5. </w:t>
      </w:r>
      <w:hyperlink r:id="rId41" w:history="1">
        <w:r w:rsidRPr="007C7C5F">
          <w:rPr>
            <w:rStyle w:val="Hyperlink"/>
            <w:rFonts w:asciiTheme="majorHAnsi" w:hAnsiTheme="majorHAnsi" w:cstheme="majorHAnsi"/>
            <w:color w:val="auto"/>
          </w:rPr>
          <w:t>www.refresh.ucl.ac.uk</w:t>
        </w:r>
      </w:hyperlink>
    </w:p>
    <w:p w14:paraId="21A8ACC0" w14:textId="77777777" w:rsidR="009979DD" w:rsidRPr="007C7C5F" w:rsidRDefault="009979DD" w:rsidP="009979DD">
      <w:pPr>
        <w:spacing w:after="0"/>
        <w:ind w:left="720" w:hanging="720"/>
        <w:rPr>
          <w:rFonts w:asciiTheme="majorHAnsi" w:eastAsia="Times New Roman" w:hAnsiTheme="majorHAnsi" w:cstheme="majorHAnsi"/>
          <w:color w:val="000000"/>
        </w:rPr>
      </w:pPr>
      <w:r w:rsidRPr="007C7C5F">
        <w:rPr>
          <w:rFonts w:asciiTheme="majorHAnsi" w:eastAsia="Times New Roman" w:hAnsiTheme="majorHAnsi" w:cstheme="majorHAnsi"/>
          <w:color w:val="000000"/>
        </w:rPr>
        <w:t>Meals, D. W., Dressing, S. A., Davenport, T. E., 2010.</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Lag Time in Water Quality Response to Best Management Practices: A Review.  </w:t>
      </w:r>
      <w:r w:rsidRPr="007C7C5F">
        <w:rPr>
          <w:rFonts w:asciiTheme="majorHAnsi" w:eastAsia="Times New Roman" w:hAnsiTheme="majorHAnsi" w:cstheme="majorHAnsi"/>
          <w:i/>
          <w:color w:val="000000"/>
        </w:rPr>
        <w:t>J. Environ. Qual.</w:t>
      </w:r>
      <w:r w:rsidRPr="007C7C5F">
        <w:rPr>
          <w:rFonts w:asciiTheme="majorHAnsi" w:eastAsia="Times New Roman" w:hAnsiTheme="majorHAnsi" w:cstheme="majorHAnsi"/>
          <w:color w:val="000000"/>
        </w:rPr>
        <w:t xml:space="preserve"> 39, 85-96.</w:t>
      </w:r>
    </w:p>
    <w:p w14:paraId="5EF81272" w14:textId="77777777" w:rsidR="009979DD" w:rsidRPr="007C7C5F" w:rsidRDefault="009979DD" w:rsidP="00004286">
      <w:pPr>
        <w:pStyle w:val="EndNoteBibliography"/>
        <w:spacing w:after="0" w:line="276" w:lineRule="auto"/>
        <w:ind w:left="720" w:hanging="720"/>
        <w:rPr>
          <w:rFonts w:asciiTheme="majorHAnsi" w:eastAsia="Times New Roman" w:hAnsiTheme="majorHAnsi" w:cstheme="majorHAnsi"/>
          <w:lang w:eastAsia="en-GB"/>
        </w:rPr>
      </w:pPr>
      <w:r w:rsidRPr="007C7C5F">
        <w:rPr>
          <w:rFonts w:asciiTheme="majorHAnsi" w:eastAsia="Times New Roman" w:hAnsiTheme="majorHAnsi" w:cstheme="majorHAnsi"/>
          <w:lang w:eastAsia="en-GB"/>
        </w:rPr>
        <w:t xml:space="preserve"> Newell Price, J.P., Harris, D., Taylor, M., Williams, J.R., Anthony, S.G., Duethmann, D., Gooday, R. D., Lord, E.I. and Chambers, B.J., Chadwick, D.R., Misselbrook, T.H., 2011. An Inventory of Mitigation Methods and Guide to their Effects on Diffuse Water Pollution, Greenhouse Gas Emissions and Ammonia Emissions from Agriculture. User Guide, Defra Project WQ0106. Report. </w:t>
      </w:r>
      <w:hyperlink r:id="rId42" w:history="1">
        <w:r w:rsidRPr="007C7C5F">
          <w:rPr>
            <w:rStyle w:val="Hyperlink"/>
            <w:rFonts w:asciiTheme="majorHAnsi" w:eastAsia="Times New Roman" w:hAnsiTheme="majorHAnsi" w:cstheme="majorHAnsi"/>
            <w:lang w:eastAsia="en-GB"/>
          </w:rPr>
          <w:t>http://www.adas.co.uk/LinkClick.aspx?fileticket=vUJ2vlDHBjc%3D&amp;tabid=345</w:t>
        </w:r>
      </w:hyperlink>
      <w:r w:rsidRPr="007C7C5F">
        <w:rPr>
          <w:rFonts w:asciiTheme="majorHAnsi" w:eastAsia="Times New Roman" w:hAnsiTheme="majorHAnsi" w:cstheme="majorHAnsi"/>
          <w:lang w:eastAsia="en-GB"/>
        </w:rPr>
        <w:t xml:space="preserve"> (accessed 04 Aug. 2014). </w:t>
      </w:r>
    </w:p>
    <w:p w14:paraId="6DE8914D" w14:textId="77777777" w:rsidR="009979DD" w:rsidRPr="007C7C5F" w:rsidRDefault="009979DD" w:rsidP="00096F6B">
      <w:pPr>
        <w:spacing w:after="0"/>
        <w:ind w:left="720" w:hanging="720"/>
        <w:jc w:val="both"/>
        <w:rPr>
          <w:rFonts w:asciiTheme="majorHAnsi" w:hAnsiTheme="majorHAnsi" w:cstheme="majorHAnsi"/>
        </w:rPr>
      </w:pPr>
      <w:r w:rsidRPr="007C7C5F">
        <w:rPr>
          <w:rFonts w:asciiTheme="majorHAnsi" w:hAnsiTheme="majorHAnsi" w:cstheme="majorHAnsi"/>
        </w:rPr>
        <w:t>Nix, J., 2011. Farm management pocketbook. Forty (1</w:t>
      </w:r>
      <w:r w:rsidRPr="007C7C5F">
        <w:rPr>
          <w:rFonts w:asciiTheme="majorHAnsi" w:hAnsiTheme="majorHAnsi" w:cstheme="majorHAnsi"/>
          <w:vertAlign w:val="superscript"/>
        </w:rPr>
        <w:t>st</w:t>
      </w:r>
      <w:r w:rsidRPr="007C7C5F">
        <w:rPr>
          <w:rFonts w:asciiTheme="majorHAnsi" w:hAnsiTheme="majorHAnsi" w:cstheme="majorHAnsi"/>
        </w:rPr>
        <w:t xml:space="preserve"> </w:t>
      </w:r>
      <w:proofErr w:type="gramStart"/>
      <w:r w:rsidRPr="007C7C5F">
        <w:rPr>
          <w:rFonts w:asciiTheme="majorHAnsi" w:hAnsiTheme="majorHAnsi" w:cstheme="majorHAnsi"/>
        </w:rPr>
        <w:t>ed</w:t>
      </w:r>
      <w:proofErr w:type="gramEnd"/>
      <w:r w:rsidRPr="007C7C5F">
        <w:rPr>
          <w:rFonts w:asciiTheme="majorHAnsi" w:hAnsiTheme="majorHAnsi" w:cstheme="majorHAnsi"/>
        </w:rPr>
        <w:t>.). The Pocketbook, 2 Nottingham Street, Melton Mowbray, Leicestershire, LE13 1NW.</w:t>
      </w:r>
    </w:p>
    <w:p w14:paraId="0E1B3AC6" w14:textId="77777777" w:rsidR="009979DD" w:rsidRPr="007C7C5F" w:rsidRDefault="009979DD" w:rsidP="009979DD">
      <w:pPr>
        <w:spacing w:after="0"/>
        <w:ind w:left="720" w:hanging="720"/>
        <w:rPr>
          <w:rFonts w:asciiTheme="majorHAnsi" w:eastAsia="Times New Roman" w:hAnsiTheme="majorHAnsi" w:cstheme="majorHAnsi"/>
          <w:color w:val="000000"/>
        </w:rPr>
      </w:pPr>
      <w:r w:rsidRPr="007C7C5F">
        <w:rPr>
          <w:rFonts w:asciiTheme="majorHAnsi" w:eastAsia="Times New Roman" w:hAnsiTheme="majorHAnsi" w:cstheme="majorHAnsi"/>
          <w:color w:val="000000"/>
        </w:rPr>
        <w:t xml:space="preserve">Panagopoulos, Y., </w:t>
      </w:r>
      <w:proofErr w:type="spellStart"/>
      <w:r w:rsidRPr="007C7C5F">
        <w:rPr>
          <w:rFonts w:asciiTheme="majorHAnsi" w:eastAsia="Times New Roman" w:hAnsiTheme="majorHAnsi" w:cstheme="majorHAnsi"/>
          <w:color w:val="000000"/>
        </w:rPr>
        <w:t>Makropoulos</w:t>
      </w:r>
      <w:proofErr w:type="spellEnd"/>
      <w:r w:rsidRPr="007C7C5F">
        <w:rPr>
          <w:rFonts w:asciiTheme="majorHAnsi" w:eastAsia="Times New Roman" w:hAnsiTheme="majorHAnsi" w:cstheme="majorHAnsi"/>
          <w:color w:val="000000"/>
        </w:rPr>
        <w:t xml:space="preserve">, C., </w:t>
      </w:r>
      <w:proofErr w:type="spellStart"/>
      <w:r w:rsidRPr="007C7C5F">
        <w:rPr>
          <w:rFonts w:asciiTheme="majorHAnsi" w:eastAsia="Times New Roman" w:hAnsiTheme="majorHAnsi" w:cstheme="majorHAnsi"/>
          <w:color w:val="000000"/>
        </w:rPr>
        <w:t>Baltas</w:t>
      </w:r>
      <w:proofErr w:type="spellEnd"/>
      <w:r w:rsidRPr="007C7C5F">
        <w:rPr>
          <w:rFonts w:asciiTheme="majorHAnsi" w:eastAsia="Times New Roman" w:hAnsiTheme="majorHAnsi" w:cstheme="majorHAnsi"/>
          <w:color w:val="000000"/>
        </w:rPr>
        <w:t xml:space="preserve">, E., </w:t>
      </w:r>
      <w:proofErr w:type="spellStart"/>
      <w:r w:rsidRPr="007C7C5F">
        <w:rPr>
          <w:rFonts w:asciiTheme="majorHAnsi" w:eastAsia="Times New Roman" w:hAnsiTheme="majorHAnsi" w:cstheme="majorHAnsi"/>
          <w:color w:val="000000"/>
        </w:rPr>
        <w:t>Mimikou</w:t>
      </w:r>
      <w:proofErr w:type="spellEnd"/>
      <w:r w:rsidRPr="007C7C5F">
        <w:rPr>
          <w:rFonts w:asciiTheme="majorHAnsi" w:eastAsia="Times New Roman" w:hAnsiTheme="majorHAnsi" w:cstheme="majorHAnsi"/>
          <w:color w:val="000000"/>
        </w:rPr>
        <w:t>, M., 2011.</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SWAT parameterization for the identification of critical diffuse pollution source areas under data limitations. Ecological </w:t>
      </w:r>
      <w:proofErr w:type="gramStart"/>
      <w:r w:rsidRPr="007C7C5F">
        <w:rPr>
          <w:rFonts w:asciiTheme="majorHAnsi" w:eastAsia="Times New Roman" w:hAnsiTheme="majorHAnsi" w:cstheme="majorHAnsi"/>
          <w:color w:val="000000"/>
        </w:rPr>
        <w:t>Modelling</w:t>
      </w:r>
      <w:r w:rsidRPr="007C7C5F">
        <w:rPr>
          <w:rStyle w:val="apple-tab-span"/>
          <w:rFonts w:asciiTheme="majorHAnsi" w:hAnsiTheme="majorHAnsi" w:cstheme="majorHAnsi"/>
          <w:color w:val="000000"/>
        </w:rPr>
        <w:t xml:space="preserve"> </w:t>
      </w:r>
      <w:r w:rsidRPr="007C7C5F">
        <w:rPr>
          <w:rFonts w:asciiTheme="majorHAnsi" w:eastAsia="Times New Roman" w:hAnsiTheme="majorHAnsi" w:cstheme="majorHAnsi"/>
          <w:color w:val="000000"/>
        </w:rPr>
        <w:t xml:space="preserve"> 222</w:t>
      </w:r>
      <w:proofErr w:type="gramEnd"/>
      <w:r w:rsidRPr="007C7C5F">
        <w:rPr>
          <w:rFonts w:asciiTheme="majorHAnsi" w:eastAsia="Times New Roman" w:hAnsiTheme="majorHAnsi" w:cstheme="majorHAnsi"/>
          <w:color w:val="000000"/>
        </w:rPr>
        <w:t>, 3500-3512.</w:t>
      </w:r>
    </w:p>
    <w:p w14:paraId="45AA84E3" w14:textId="77777777" w:rsidR="009979DD" w:rsidRPr="007C7C5F" w:rsidRDefault="009979DD" w:rsidP="00096F6B">
      <w:pPr>
        <w:spacing w:after="0"/>
        <w:ind w:left="720" w:hanging="720"/>
        <w:rPr>
          <w:rFonts w:asciiTheme="majorHAnsi" w:hAnsiTheme="majorHAnsi" w:cstheme="majorHAnsi"/>
        </w:rPr>
      </w:pPr>
      <w:r w:rsidRPr="007C7C5F">
        <w:rPr>
          <w:rFonts w:asciiTheme="majorHAnsi" w:hAnsiTheme="majorHAnsi" w:cstheme="majorHAnsi"/>
        </w:rPr>
        <w:t xml:space="preserve">Paulsen, C.M., </w:t>
      </w:r>
      <w:proofErr w:type="spellStart"/>
      <w:r w:rsidRPr="007C7C5F">
        <w:rPr>
          <w:rFonts w:asciiTheme="majorHAnsi" w:hAnsiTheme="majorHAnsi" w:cstheme="majorHAnsi"/>
        </w:rPr>
        <w:t>Wernstedt</w:t>
      </w:r>
      <w:proofErr w:type="spellEnd"/>
      <w:r w:rsidRPr="007C7C5F">
        <w:rPr>
          <w:rFonts w:asciiTheme="majorHAnsi" w:hAnsiTheme="majorHAnsi" w:cstheme="majorHAnsi"/>
        </w:rPr>
        <w:t xml:space="preserve">, K., 1995. Cost-effectiveness analysis of complex managed hydro-systems: an application to the Colombia river basin. </w:t>
      </w:r>
      <w:r w:rsidRPr="007C7C5F">
        <w:rPr>
          <w:rFonts w:asciiTheme="majorHAnsi" w:hAnsiTheme="majorHAnsi" w:cstheme="majorHAnsi"/>
          <w:i/>
        </w:rPr>
        <w:t xml:space="preserve">J. Environ. Econ. </w:t>
      </w:r>
      <w:proofErr w:type="spellStart"/>
      <w:proofErr w:type="gramStart"/>
      <w:r w:rsidRPr="007C7C5F">
        <w:rPr>
          <w:rFonts w:asciiTheme="majorHAnsi" w:hAnsiTheme="majorHAnsi" w:cstheme="majorHAnsi"/>
          <w:i/>
        </w:rPr>
        <w:t>Manag</w:t>
      </w:r>
      <w:proofErr w:type="spellEnd"/>
      <w:r w:rsidRPr="007C7C5F">
        <w:rPr>
          <w:rFonts w:asciiTheme="majorHAnsi" w:hAnsiTheme="majorHAnsi" w:cstheme="majorHAnsi"/>
        </w:rPr>
        <w:t>.,</w:t>
      </w:r>
      <w:proofErr w:type="gramEnd"/>
      <w:r w:rsidRPr="007C7C5F">
        <w:rPr>
          <w:rFonts w:asciiTheme="majorHAnsi" w:hAnsiTheme="majorHAnsi" w:cstheme="majorHAnsi"/>
        </w:rPr>
        <w:t xml:space="preserve"> 28, 388-400. </w:t>
      </w:r>
    </w:p>
    <w:p w14:paraId="39B8D2D4" w14:textId="77777777" w:rsidR="009979DD" w:rsidRPr="007C7C5F" w:rsidRDefault="009979DD" w:rsidP="009979DD">
      <w:pPr>
        <w:spacing w:after="0"/>
        <w:ind w:left="720" w:hanging="720"/>
        <w:rPr>
          <w:rFonts w:asciiTheme="majorHAnsi" w:eastAsia="Times New Roman" w:hAnsiTheme="majorHAnsi" w:cstheme="majorHAnsi"/>
          <w:color w:val="000000"/>
        </w:rPr>
      </w:pPr>
      <w:r w:rsidRPr="007C7C5F">
        <w:rPr>
          <w:rFonts w:asciiTheme="majorHAnsi" w:eastAsia="Times New Roman" w:hAnsiTheme="majorHAnsi" w:cstheme="majorHAnsi"/>
          <w:color w:val="000000"/>
        </w:rPr>
        <w:t xml:space="preserve">Rao, N. S., Easton, Z. M., </w:t>
      </w:r>
      <w:proofErr w:type="spellStart"/>
      <w:r w:rsidRPr="007C7C5F">
        <w:rPr>
          <w:rFonts w:asciiTheme="majorHAnsi" w:eastAsia="Times New Roman" w:hAnsiTheme="majorHAnsi" w:cstheme="majorHAnsi"/>
          <w:color w:val="000000"/>
        </w:rPr>
        <w:t>Schneiderman</w:t>
      </w:r>
      <w:proofErr w:type="spellEnd"/>
      <w:r w:rsidRPr="007C7C5F">
        <w:rPr>
          <w:rFonts w:asciiTheme="majorHAnsi" w:eastAsia="Times New Roman" w:hAnsiTheme="majorHAnsi" w:cstheme="majorHAnsi"/>
          <w:color w:val="000000"/>
        </w:rPr>
        <w:t xml:space="preserve">, E. M., Zion, M. S., Lee, D. R., </w:t>
      </w:r>
      <w:proofErr w:type="spellStart"/>
      <w:r w:rsidRPr="007C7C5F">
        <w:rPr>
          <w:rFonts w:asciiTheme="majorHAnsi" w:eastAsia="Times New Roman" w:hAnsiTheme="majorHAnsi" w:cstheme="majorHAnsi"/>
          <w:color w:val="000000"/>
        </w:rPr>
        <w:t>Steenhuis</w:t>
      </w:r>
      <w:proofErr w:type="spellEnd"/>
      <w:r w:rsidRPr="007C7C5F">
        <w:rPr>
          <w:rFonts w:asciiTheme="majorHAnsi" w:eastAsia="Times New Roman" w:hAnsiTheme="majorHAnsi" w:cstheme="majorHAnsi"/>
          <w:color w:val="000000"/>
        </w:rPr>
        <w:t>. T. S., 2009.</w:t>
      </w:r>
      <w:r w:rsidRPr="007C7C5F">
        <w:rPr>
          <w:rStyle w:val="apple-tab-span"/>
          <w:rFonts w:asciiTheme="majorHAnsi" w:hAnsiTheme="majorHAnsi" w:cstheme="majorHAnsi"/>
          <w:color w:val="000000"/>
        </w:rPr>
        <w:t xml:space="preserve"> </w:t>
      </w:r>
      <w:proofErr w:type="spellStart"/>
      <w:r w:rsidRPr="007C7C5F">
        <w:rPr>
          <w:rFonts w:asciiTheme="majorHAnsi" w:eastAsia="Times New Roman" w:hAnsiTheme="majorHAnsi" w:cstheme="majorHAnsi"/>
          <w:color w:val="000000"/>
        </w:rPr>
        <w:t>Modeling</w:t>
      </w:r>
      <w:proofErr w:type="spellEnd"/>
      <w:r w:rsidRPr="007C7C5F">
        <w:rPr>
          <w:rFonts w:asciiTheme="majorHAnsi" w:eastAsia="Times New Roman" w:hAnsiTheme="majorHAnsi" w:cstheme="majorHAnsi"/>
          <w:color w:val="000000"/>
        </w:rPr>
        <w:t xml:space="preserve"> watershed-scale effectiveness of agricultural best management practices to reduce phosphorus loading. </w:t>
      </w:r>
      <w:r w:rsidRPr="007C7C5F">
        <w:rPr>
          <w:rFonts w:asciiTheme="majorHAnsi" w:eastAsia="Times New Roman" w:hAnsiTheme="majorHAnsi" w:cstheme="majorHAnsi"/>
          <w:i/>
          <w:color w:val="000000"/>
        </w:rPr>
        <w:t xml:space="preserve">J. Environ. </w:t>
      </w:r>
      <w:proofErr w:type="spellStart"/>
      <w:r w:rsidRPr="007C7C5F">
        <w:rPr>
          <w:rFonts w:asciiTheme="majorHAnsi" w:eastAsia="Times New Roman" w:hAnsiTheme="majorHAnsi" w:cstheme="majorHAnsi"/>
          <w:i/>
          <w:color w:val="000000"/>
        </w:rPr>
        <w:t>Manag</w:t>
      </w:r>
      <w:proofErr w:type="spellEnd"/>
      <w:r w:rsidRPr="007C7C5F">
        <w:rPr>
          <w:rFonts w:asciiTheme="majorHAnsi" w:eastAsia="Times New Roman" w:hAnsiTheme="majorHAnsi" w:cstheme="majorHAnsi"/>
          <w:i/>
          <w:color w:val="000000"/>
        </w:rPr>
        <w:t>.</w:t>
      </w:r>
      <w:r w:rsidRPr="007C7C5F">
        <w:rPr>
          <w:rFonts w:asciiTheme="majorHAnsi" w:eastAsia="Times New Roman" w:hAnsiTheme="majorHAnsi" w:cstheme="majorHAnsi"/>
          <w:color w:val="000000"/>
        </w:rPr>
        <w:t xml:space="preserve"> 90, 1385-1395.</w:t>
      </w:r>
    </w:p>
    <w:p w14:paraId="027CEB1B" w14:textId="77777777" w:rsidR="009979DD" w:rsidRPr="007C7C5F" w:rsidRDefault="009979DD" w:rsidP="002A2622">
      <w:pPr>
        <w:spacing w:after="0"/>
        <w:ind w:left="720" w:hanging="720"/>
        <w:jc w:val="both"/>
        <w:rPr>
          <w:rFonts w:asciiTheme="majorHAnsi" w:hAnsiTheme="majorHAnsi" w:cstheme="majorHAnsi"/>
        </w:rPr>
      </w:pPr>
      <w:r w:rsidRPr="007C7C5F">
        <w:rPr>
          <w:rFonts w:asciiTheme="majorHAnsi" w:hAnsiTheme="majorHAnsi" w:cstheme="majorHAnsi"/>
        </w:rPr>
        <w:t>SAC, 2008. The Farm Management Handbook 2007/2008: The UK reference for farm business management. Edinburgh, UK.</w:t>
      </w:r>
    </w:p>
    <w:p w14:paraId="0BFB5CF5" w14:textId="77777777" w:rsidR="009979DD" w:rsidRPr="007C7C5F" w:rsidRDefault="009979DD" w:rsidP="002A2622">
      <w:pPr>
        <w:spacing w:after="0"/>
        <w:ind w:left="720" w:hanging="720"/>
        <w:jc w:val="both"/>
        <w:rPr>
          <w:rFonts w:asciiTheme="majorHAnsi" w:hAnsiTheme="majorHAnsi" w:cstheme="majorHAnsi"/>
        </w:rPr>
      </w:pPr>
      <w:r w:rsidRPr="007C7C5F">
        <w:rPr>
          <w:rFonts w:asciiTheme="majorHAnsi" w:hAnsiTheme="majorHAnsi" w:cstheme="majorHAnsi"/>
        </w:rPr>
        <w:t>SEPA, 2009. RBMP Water body information sheet for water body 23338 in North East Scotland (</w:t>
      </w:r>
      <w:proofErr w:type="spellStart"/>
      <w:r w:rsidRPr="007C7C5F">
        <w:rPr>
          <w:rFonts w:asciiTheme="majorHAnsi" w:hAnsiTheme="majorHAnsi" w:cstheme="majorHAnsi"/>
        </w:rPr>
        <w:t>Tarland</w:t>
      </w:r>
      <w:proofErr w:type="spellEnd"/>
      <w:r w:rsidRPr="007C7C5F">
        <w:rPr>
          <w:rFonts w:asciiTheme="majorHAnsi" w:hAnsiTheme="majorHAnsi" w:cstheme="majorHAnsi"/>
        </w:rPr>
        <w:t xml:space="preserve">). </w:t>
      </w:r>
      <w:hyperlink r:id="rId43" w:history="1">
        <w:r w:rsidRPr="007C7C5F">
          <w:rPr>
            <w:rStyle w:val="Hyperlink"/>
            <w:rFonts w:asciiTheme="majorHAnsi" w:hAnsiTheme="majorHAnsi" w:cstheme="majorHAnsi"/>
          </w:rPr>
          <w:t>http://apps.sepa.org.uk/rbmp/pdf/23338.pdf</w:t>
        </w:r>
      </w:hyperlink>
      <w:r w:rsidRPr="007C7C5F">
        <w:rPr>
          <w:rFonts w:asciiTheme="majorHAnsi" w:hAnsiTheme="majorHAnsi" w:cstheme="majorHAnsi"/>
        </w:rPr>
        <w:t xml:space="preserve"> (accessed on 06 August 2014). </w:t>
      </w:r>
    </w:p>
    <w:p w14:paraId="72802E0F" w14:textId="77777777" w:rsidR="009979DD" w:rsidRPr="007C7C5F" w:rsidRDefault="009979DD" w:rsidP="00E507F5">
      <w:pPr>
        <w:autoSpaceDE w:val="0"/>
        <w:autoSpaceDN w:val="0"/>
        <w:adjustRightInd w:val="0"/>
        <w:spacing w:after="0"/>
        <w:ind w:left="720" w:hanging="720"/>
        <w:jc w:val="both"/>
        <w:rPr>
          <w:rFonts w:asciiTheme="majorHAnsi" w:hAnsiTheme="majorHAnsi" w:cstheme="majorHAnsi"/>
        </w:rPr>
      </w:pPr>
      <w:r w:rsidRPr="007C7C5F">
        <w:rPr>
          <w:rFonts w:asciiTheme="majorHAnsi" w:hAnsiTheme="majorHAnsi" w:cstheme="majorHAnsi"/>
        </w:rPr>
        <w:t xml:space="preserve">Wade, A.J., Whitehead, P.G., Butterfield, D., 2002.  The Integrated Catchments model of Phosphorus dynamics (INCA-P), a new approach for multiple source assessment in heterogeneous river systems: model structure and equations. </w:t>
      </w:r>
      <w:proofErr w:type="spellStart"/>
      <w:r w:rsidRPr="007C7C5F">
        <w:rPr>
          <w:rFonts w:asciiTheme="majorHAnsi" w:hAnsiTheme="majorHAnsi" w:cstheme="majorHAnsi"/>
          <w:i/>
        </w:rPr>
        <w:t>Hydrol</w:t>
      </w:r>
      <w:proofErr w:type="spellEnd"/>
      <w:r w:rsidRPr="007C7C5F">
        <w:rPr>
          <w:rFonts w:asciiTheme="majorHAnsi" w:hAnsiTheme="majorHAnsi" w:cstheme="majorHAnsi"/>
          <w:i/>
        </w:rPr>
        <w:t>. Earth Syst. Sci.,</w:t>
      </w:r>
      <w:r w:rsidRPr="007C7C5F">
        <w:rPr>
          <w:rFonts w:asciiTheme="majorHAnsi" w:hAnsiTheme="majorHAnsi" w:cstheme="majorHAnsi"/>
        </w:rPr>
        <w:t xml:space="preserve"> 6: 583-606.</w:t>
      </w:r>
    </w:p>
    <w:p w14:paraId="3A73E0AC" w14:textId="77777777" w:rsidR="009979DD" w:rsidRPr="007C7C5F" w:rsidRDefault="009979DD" w:rsidP="00E507F5">
      <w:pPr>
        <w:autoSpaceDE w:val="0"/>
        <w:autoSpaceDN w:val="0"/>
        <w:adjustRightInd w:val="0"/>
        <w:spacing w:after="0"/>
        <w:ind w:left="720" w:hanging="720"/>
        <w:jc w:val="both"/>
        <w:rPr>
          <w:rFonts w:asciiTheme="majorHAnsi" w:hAnsiTheme="majorHAnsi" w:cstheme="majorHAnsi"/>
        </w:rPr>
      </w:pPr>
      <w:r w:rsidRPr="007C7C5F">
        <w:rPr>
          <w:rFonts w:asciiTheme="majorHAnsi" w:hAnsiTheme="majorHAnsi" w:cstheme="majorHAnsi"/>
        </w:rPr>
        <w:lastRenderedPageBreak/>
        <w:t>WATECO, 2003. Common implementation strategy for the Water Framework Directive (2000/60/EC). Guidance Document N</w:t>
      </w:r>
      <w:r w:rsidRPr="007C7C5F">
        <w:rPr>
          <w:rFonts w:asciiTheme="majorHAnsi" w:hAnsiTheme="majorHAnsi" w:cstheme="majorHAnsi"/>
          <w:vertAlign w:val="superscript"/>
        </w:rPr>
        <w:t>o</w:t>
      </w:r>
      <w:r w:rsidRPr="007C7C5F">
        <w:rPr>
          <w:rFonts w:asciiTheme="majorHAnsi" w:hAnsiTheme="majorHAnsi" w:cstheme="majorHAnsi"/>
        </w:rPr>
        <w:t>. 1. Economics and Environment — the Implementation Challenge of the WFD European Commission, Luxembourg.</w:t>
      </w:r>
    </w:p>
    <w:p w14:paraId="0A7EFDA1" w14:textId="77777777" w:rsidR="009979DD" w:rsidRPr="007C7C5F" w:rsidRDefault="009979DD" w:rsidP="00864795">
      <w:pPr>
        <w:autoSpaceDE w:val="0"/>
        <w:autoSpaceDN w:val="0"/>
        <w:adjustRightInd w:val="0"/>
        <w:spacing w:after="0"/>
        <w:ind w:left="720" w:hanging="720"/>
        <w:jc w:val="both"/>
        <w:rPr>
          <w:rFonts w:asciiTheme="majorHAnsi" w:hAnsiTheme="majorHAnsi" w:cstheme="majorHAnsi"/>
        </w:rPr>
      </w:pPr>
      <w:r w:rsidRPr="007C7C5F">
        <w:rPr>
          <w:rFonts w:asciiTheme="majorHAnsi" w:hAnsiTheme="majorHAnsi" w:cstheme="majorHAnsi"/>
        </w:rPr>
        <w:t xml:space="preserve">Wynn, G., Crabtree. B., Potts, J., 2001. Modelling farm entry into the environmentally sensitive area schemes in Scotland. </w:t>
      </w:r>
      <w:r w:rsidRPr="007C7C5F">
        <w:rPr>
          <w:rFonts w:asciiTheme="majorHAnsi" w:hAnsiTheme="majorHAnsi" w:cstheme="majorHAnsi"/>
          <w:i/>
        </w:rPr>
        <w:t>J. Agri. Econ.</w:t>
      </w:r>
      <w:r w:rsidRPr="007C7C5F">
        <w:rPr>
          <w:rFonts w:asciiTheme="majorHAnsi" w:hAnsiTheme="majorHAnsi" w:cstheme="majorHAnsi"/>
        </w:rPr>
        <w:t xml:space="preserve"> 52(1):65-82. </w:t>
      </w:r>
    </w:p>
    <w:p w14:paraId="4D0499A3" w14:textId="77777777" w:rsidR="00004286" w:rsidRPr="007C7C5F" w:rsidRDefault="00004286" w:rsidP="00BC5252">
      <w:pPr>
        <w:spacing w:after="0"/>
        <w:ind w:left="720" w:hanging="720"/>
        <w:rPr>
          <w:rFonts w:asciiTheme="majorHAnsi" w:hAnsiTheme="majorHAnsi" w:cstheme="majorHAnsi"/>
        </w:rPr>
      </w:pPr>
    </w:p>
    <w:sectPr w:rsidR="00004286" w:rsidRPr="007C7C5F" w:rsidSect="0020264F">
      <w:footerReference w:type="default" r:id="rId44"/>
      <w:headerReference w:type="first" r:id="rId45"/>
      <w:footerReference w:type="first" r:id="rId4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B7D5" w14:textId="77777777" w:rsidR="009F63FB" w:rsidRDefault="009F63FB" w:rsidP="00015F0D">
      <w:pPr>
        <w:spacing w:after="0" w:line="240" w:lineRule="auto"/>
      </w:pPr>
      <w:r>
        <w:separator/>
      </w:r>
    </w:p>
  </w:endnote>
  <w:endnote w:type="continuationSeparator" w:id="0">
    <w:p w14:paraId="688CBA69" w14:textId="77777777" w:rsidR="009F63FB" w:rsidRDefault="009F63FB" w:rsidP="0001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31097"/>
      <w:docPartObj>
        <w:docPartGallery w:val="Page Numbers (Bottom of Page)"/>
        <w:docPartUnique/>
      </w:docPartObj>
    </w:sdtPr>
    <w:sdtEndPr>
      <w:rPr>
        <w:noProof/>
      </w:rPr>
    </w:sdtEndPr>
    <w:sdtContent>
      <w:p w14:paraId="64EA10AC" w14:textId="2EC562D3" w:rsidR="006D6BB7" w:rsidRDefault="006D6BB7">
        <w:pPr>
          <w:pStyle w:val="Footer"/>
          <w:jc w:val="center"/>
        </w:pPr>
        <w:r>
          <w:fldChar w:fldCharType="begin"/>
        </w:r>
        <w:r>
          <w:instrText xml:space="preserve"> PAGE   \* MERGEFORMAT </w:instrText>
        </w:r>
        <w:r>
          <w:fldChar w:fldCharType="separate"/>
        </w:r>
        <w:r w:rsidR="004A0E6F">
          <w:rPr>
            <w:noProof/>
          </w:rPr>
          <w:t>16</w:t>
        </w:r>
        <w:r>
          <w:rPr>
            <w:noProof/>
          </w:rPr>
          <w:fldChar w:fldCharType="end"/>
        </w:r>
      </w:p>
    </w:sdtContent>
  </w:sdt>
  <w:p w14:paraId="572BC6F9" w14:textId="77777777" w:rsidR="006D6BB7" w:rsidRDefault="006D6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A02B" w14:textId="77777777" w:rsidR="006D6BB7" w:rsidRDefault="006D6BB7">
    <w:pPr>
      <w:pStyle w:val="Footer"/>
      <w:jc w:val="center"/>
    </w:pPr>
  </w:p>
  <w:p w14:paraId="4B1971D4" w14:textId="77777777" w:rsidR="006D6BB7" w:rsidRDefault="006D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7CE7D" w14:textId="77777777" w:rsidR="009F63FB" w:rsidRDefault="009F63FB" w:rsidP="00015F0D">
      <w:pPr>
        <w:spacing w:after="0" w:line="240" w:lineRule="auto"/>
      </w:pPr>
      <w:r>
        <w:separator/>
      </w:r>
    </w:p>
  </w:footnote>
  <w:footnote w:type="continuationSeparator" w:id="0">
    <w:p w14:paraId="138706B0" w14:textId="77777777" w:rsidR="009F63FB" w:rsidRDefault="009F63FB" w:rsidP="00015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2F05C" w14:textId="7FF07B4D" w:rsidR="006D6BB7" w:rsidRPr="00124A0E" w:rsidRDefault="006D6BB7" w:rsidP="00F07477">
    <w:pPr>
      <w:pStyle w:val="Header"/>
      <w:jc w:val="center"/>
      <w:rPr>
        <w:sz w:val="16"/>
        <w:szCs w:val="16"/>
      </w:rPr>
    </w:pPr>
    <w:r w:rsidRPr="00124A0E">
      <w:rPr>
        <w:sz w:val="16"/>
        <w:szCs w:val="16"/>
      </w:rPr>
      <w:t>BB Balana</w:t>
    </w:r>
    <w:r>
      <w:rPr>
        <w:sz w:val="16"/>
        <w:szCs w:val="16"/>
      </w:rPr>
      <w:t xml:space="preserve">                                     </w:t>
    </w:r>
    <w:r w:rsidRPr="00124A0E">
      <w:rPr>
        <w:sz w:val="16"/>
        <w:szCs w:val="16"/>
      </w:rPr>
      <w:t>09 Dec.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5451"/>
    <w:multiLevelType w:val="multilevel"/>
    <w:tmpl w:val="3F2A8A56"/>
    <w:lvl w:ilvl="0">
      <w:start w:val="1"/>
      <w:numFmt w:val="decimal"/>
      <w:pStyle w:val="Heading1"/>
      <w:lvlText w:val="%1"/>
      <w:lvlJc w:val="left"/>
      <w:pPr>
        <w:ind w:left="432" w:hanging="432"/>
      </w:pPr>
      <w:rPr>
        <w:rFonts w:ascii="Cambria" w:hAnsi="Cambria" w:hint="default"/>
        <w:sz w:val="28"/>
        <w:szCs w:val="28"/>
      </w:rPr>
    </w:lvl>
    <w:lvl w:ilvl="1">
      <w:start w:val="1"/>
      <w:numFmt w:val="decimal"/>
      <w:pStyle w:val="Heading2"/>
      <w:lvlText w:val="%1.%2"/>
      <w:lvlJc w:val="left"/>
      <w:pPr>
        <w:ind w:left="718" w:hanging="576"/>
      </w:pPr>
      <w:rPr>
        <w:rFonts w:hint="default"/>
        <w:b/>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color w:val="FF000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4C04959"/>
    <w:multiLevelType w:val="hybridMultilevel"/>
    <w:tmpl w:val="EF24F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95EDE"/>
    <w:multiLevelType w:val="hybridMultilevel"/>
    <w:tmpl w:val="6F5EF8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65A51"/>
    <w:multiLevelType w:val="hybridMultilevel"/>
    <w:tmpl w:val="23C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035E9"/>
    <w:multiLevelType w:val="hybridMultilevel"/>
    <w:tmpl w:val="FCE2080E"/>
    <w:lvl w:ilvl="0" w:tplc="3176E4D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278723E7"/>
    <w:multiLevelType w:val="hybridMultilevel"/>
    <w:tmpl w:val="95BC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03156"/>
    <w:multiLevelType w:val="hybridMultilevel"/>
    <w:tmpl w:val="D4BE2D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FC1134"/>
    <w:multiLevelType w:val="hybridMultilevel"/>
    <w:tmpl w:val="8D709C86"/>
    <w:lvl w:ilvl="0" w:tplc="F8E6443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F2453DE"/>
    <w:multiLevelType w:val="hybridMultilevel"/>
    <w:tmpl w:val="51B6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B2A67"/>
    <w:multiLevelType w:val="hybridMultilevel"/>
    <w:tmpl w:val="89ECB030"/>
    <w:lvl w:ilvl="0" w:tplc="D0665EF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121D5"/>
    <w:multiLevelType w:val="hybridMultilevel"/>
    <w:tmpl w:val="D66C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90387"/>
    <w:multiLevelType w:val="hybridMultilevel"/>
    <w:tmpl w:val="7292EDF6"/>
    <w:lvl w:ilvl="0" w:tplc="2D0C6DD8">
      <w:start w:val="5"/>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5F353EDC"/>
    <w:multiLevelType w:val="multilevel"/>
    <w:tmpl w:val="1F4E7948"/>
    <w:lvl w:ilvl="0">
      <w:start w:val="1"/>
      <w:numFmt w:val="lowerRoman"/>
      <w:lvlText w:val="%1."/>
      <w:lvlJc w:val="left"/>
      <w:pPr>
        <w:ind w:left="72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2AB5153"/>
    <w:multiLevelType w:val="hybridMultilevel"/>
    <w:tmpl w:val="079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42CEB"/>
    <w:multiLevelType w:val="hybridMultilevel"/>
    <w:tmpl w:val="0430FDEA"/>
    <w:lvl w:ilvl="0" w:tplc="1BB07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544F8"/>
    <w:multiLevelType w:val="hybridMultilevel"/>
    <w:tmpl w:val="2878F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3"/>
  </w:num>
  <w:num w:numId="5">
    <w:abstractNumId w:val="1"/>
  </w:num>
  <w:num w:numId="6">
    <w:abstractNumId w:val="14"/>
  </w:num>
  <w:num w:numId="7">
    <w:abstractNumId w:val="6"/>
  </w:num>
  <w:num w:numId="8">
    <w:abstractNumId w:val="2"/>
  </w:num>
  <w:num w:numId="9">
    <w:abstractNumId w:val="3"/>
  </w:num>
  <w:num w:numId="10">
    <w:abstractNumId w:val="8"/>
  </w:num>
  <w:num w:numId="11">
    <w:abstractNumId w:val="15"/>
  </w:num>
  <w:num w:numId="12">
    <w:abstractNumId w:val="10"/>
  </w:num>
  <w:num w:numId="13">
    <w:abstractNumId w:val="9"/>
  </w:num>
  <w:num w:numId="14">
    <w:abstractNumId w:val="4"/>
  </w:num>
  <w:num w:numId="15">
    <w:abstractNumId w:val="7"/>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10"/>
    <w:rsid w:val="000034C0"/>
    <w:rsid w:val="00004286"/>
    <w:rsid w:val="00005559"/>
    <w:rsid w:val="00010D0D"/>
    <w:rsid w:val="00015F0D"/>
    <w:rsid w:val="00020A62"/>
    <w:rsid w:val="00020E96"/>
    <w:rsid w:val="00022B10"/>
    <w:rsid w:val="000241C0"/>
    <w:rsid w:val="00024F62"/>
    <w:rsid w:val="00030A9C"/>
    <w:rsid w:val="000326E7"/>
    <w:rsid w:val="0003294F"/>
    <w:rsid w:val="000333EA"/>
    <w:rsid w:val="00034782"/>
    <w:rsid w:val="000348BD"/>
    <w:rsid w:val="00040488"/>
    <w:rsid w:val="0004261A"/>
    <w:rsid w:val="00042BE3"/>
    <w:rsid w:val="000454E9"/>
    <w:rsid w:val="00045E15"/>
    <w:rsid w:val="00046A6B"/>
    <w:rsid w:val="00051C62"/>
    <w:rsid w:val="000540BA"/>
    <w:rsid w:val="0005541F"/>
    <w:rsid w:val="000556B6"/>
    <w:rsid w:val="00056FF3"/>
    <w:rsid w:val="00060789"/>
    <w:rsid w:val="000636C8"/>
    <w:rsid w:val="00063E19"/>
    <w:rsid w:val="000642B9"/>
    <w:rsid w:val="00065A40"/>
    <w:rsid w:val="000670E5"/>
    <w:rsid w:val="00067F06"/>
    <w:rsid w:val="00071F32"/>
    <w:rsid w:val="00076123"/>
    <w:rsid w:val="00080D44"/>
    <w:rsid w:val="00086DA1"/>
    <w:rsid w:val="00090CC2"/>
    <w:rsid w:val="00091597"/>
    <w:rsid w:val="000958FF"/>
    <w:rsid w:val="00096F6B"/>
    <w:rsid w:val="000A15BA"/>
    <w:rsid w:val="000A656C"/>
    <w:rsid w:val="000A7BC1"/>
    <w:rsid w:val="000A7D02"/>
    <w:rsid w:val="000B1A8E"/>
    <w:rsid w:val="000B4AAB"/>
    <w:rsid w:val="000B574F"/>
    <w:rsid w:val="000B6A39"/>
    <w:rsid w:val="000C2076"/>
    <w:rsid w:val="000C6DA1"/>
    <w:rsid w:val="000D0B06"/>
    <w:rsid w:val="000D111D"/>
    <w:rsid w:val="000D2973"/>
    <w:rsid w:val="000E1BA3"/>
    <w:rsid w:val="000E2E5D"/>
    <w:rsid w:val="000E324B"/>
    <w:rsid w:val="000E6B02"/>
    <w:rsid w:val="000F0B18"/>
    <w:rsid w:val="000F0C9A"/>
    <w:rsid w:val="000F1379"/>
    <w:rsid w:val="000F7A00"/>
    <w:rsid w:val="000F7E6C"/>
    <w:rsid w:val="00100C89"/>
    <w:rsid w:val="001016EA"/>
    <w:rsid w:val="00111248"/>
    <w:rsid w:val="00112F3C"/>
    <w:rsid w:val="001139B7"/>
    <w:rsid w:val="001207BD"/>
    <w:rsid w:val="001212F1"/>
    <w:rsid w:val="00121910"/>
    <w:rsid w:val="00122273"/>
    <w:rsid w:val="00122E49"/>
    <w:rsid w:val="00123421"/>
    <w:rsid w:val="00123EB5"/>
    <w:rsid w:val="00125B37"/>
    <w:rsid w:val="00126554"/>
    <w:rsid w:val="00126E18"/>
    <w:rsid w:val="00127620"/>
    <w:rsid w:val="00127653"/>
    <w:rsid w:val="00131D4B"/>
    <w:rsid w:val="00133327"/>
    <w:rsid w:val="0013350E"/>
    <w:rsid w:val="00141AE1"/>
    <w:rsid w:val="00143E64"/>
    <w:rsid w:val="00145ED9"/>
    <w:rsid w:val="00151FDB"/>
    <w:rsid w:val="00154942"/>
    <w:rsid w:val="00155882"/>
    <w:rsid w:val="001602E1"/>
    <w:rsid w:val="0016216A"/>
    <w:rsid w:val="00164051"/>
    <w:rsid w:val="001641BE"/>
    <w:rsid w:val="001644D6"/>
    <w:rsid w:val="001645D4"/>
    <w:rsid w:val="00167EC0"/>
    <w:rsid w:val="001711D0"/>
    <w:rsid w:val="00175095"/>
    <w:rsid w:val="00175935"/>
    <w:rsid w:val="00176226"/>
    <w:rsid w:val="00177D2D"/>
    <w:rsid w:val="00181C06"/>
    <w:rsid w:val="001871DC"/>
    <w:rsid w:val="00191397"/>
    <w:rsid w:val="00191F57"/>
    <w:rsid w:val="0019572B"/>
    <w:rsid w:val="00195D7A"/>
    <w:rsid w:val="00196D63"/>
    <w:rsid w:val="001972CD"/>
    <w:rsid w:val="001A0D97"/>
    <w:rsid w:val="001A3A06"/>
    <w:rsid w:val="001A4E25"/>
    <w:rsid w:val="001B16E2"/>
    <w:rsid w:val="001B18FA"/>
    <w:rsid w:val="001B4CA9"/>
    <w:rsid w:val="001B69E9"/>
    <w:rsid w:val="001C0A53"/>
    <w:rsid w:val="001C17A5"/>
    <w:rsid w:val="001C183F"/>
    <w:rsid w:val="001C6338"/>
    <w:rsid w:val="001C64A3"/>
    <w:rsid w:val="001C676F"/>
    <w:rsid w:val="001C67CC"/>
    <w:rsid w:val="001C7468"/>
    <w:rsid w:val="001C793A"/>
    <w:rsid w:val="001D2107"/>
    <w:rsid w:val="001D4417"/>
    <w:rsid w:val="001D6472"/>
    <w:rsid w:val="001E4749"/>
    <w:rsid w:val="001E5F6E"/>
    <w:rsid w:val="001F036F"/>
    <w:rsid w:val="001F0886"/>
    <w:rsid w:val="001F262E"/>
    <w:rsid w:val="001F3B13"/>
    <w:rsid w:val="001F5865"/>
    <w:rsid w:val="0020264F"/>
    <w:rsid w:val="002039A4"/>
    <w:rsid w:val="0021288C"/>
    <w:rsid w:val="0021374A"/>
    <w:rsid w:val="00215D16"/>
    <w:rsid w:val="0021762A"/>
    <w:rsid w:val="00225EC0"/>
    <w:rsid w:val="00230D0A"/>
    <w:rsid w:val="002315F7"/>
    <w:rsid w:val="00232E7A"/>
    <w:rsid w:val="0024080C"/>
    <w:rsid w:val="002420F7"/>
    <w:rsid w:val="002442EC"/>
    <w:rsid w:val="00245556"/>
    <w:rsid w:val="00245808"/>
    <w:rsid w:val="0025015F"/>
    <w:rsid w:val="00251051"/>
    <w:rsid w:val="00251372"/>
    <w:rsid w:val="002531DD"/>
    <w:rsid w:val="00255C39"/>
    <w:rsid w:val="00261DEB"/>
    <w:rsid w:val="00262FD5"/>
    <w:rsid w:val="00263B33"/>
    <w:rsid w:val="00265DCC"/>
    <w:rsid w:val="002709C4"/>
    <w:rsid w:val="00271270"/>
    <w:rsid w:val="00271423"/>
    <w:rsid w:val="002815CF"/>
    <w:rsid w:val="00284740"/>
    <w:rsid w:val="002867BE"/>
    <w:rsid w:val="00290CFB"/>
    <w:rsid w:val="0029371F"/>
    <w:rsid w:val="00293C05"/>
    <w:rsid w:val="00295952"/>
    <w:rsid w:val="00297683"/>
    <w:rsid w:val="002A08B5"/>
    <w:rsid w:val="002A2622"/>
    <w:rsid w:val="002A443A"/>
    <w:rsid w:val="002A53CC"/>
    <w:rsid w:val="002B0FDB"/>
    <w:rsid w:val="002B1FA5"/>
    <w:rsid w:val="002B2EE1"/>
    <w:rsid w:val="002B4904"/>
    <w:rsid w:val="002B67C5"/>
    <w:rsid w:val="002B7FAB"/>
    <w:rsid w:val="002C303E"/>
    <w:rsid w:val="002C42BE"/>
    <w:rsid w:val="002C50B3"/>
    <w:rsid w:val="002C5351"/>
    <w:rsid w:val="002C7BCB"/>
    <w:rsid w:val="002D047F"/>
    <w:rsid w:val="002D0560"/>
    <w:rsid w:val="002D1745"/>
    <w:rsid w:val="002D5972"/>
    <w:rsid w:val="002D5C69"/>
    <w:rsid w:val="002D6719"/>
    <w:rsid w:val="002D7E1C"/>
    <w:rsid w:val="002E04AC"/>
    <w:rsid w:val="002E1407"/>
    <w:rsid w:val="002E210A"/>
    <w:rsid w:val="002E301D"/>
    <w:rsid w:val="002E5B74"/>
    <w:rsid w:val="002E5DB1"/>
    <w:rsid w:val="002E5F4F"/>
    <w:rsid w:val="002E6329"/>
    <w:rsid w:val="002E6C4F"/>
    <w:rsid w:val="002E749F"/>
    <w:rsid w:val="002F1EF8"/>
    <w:rsid w:val="002F5989"/>
    <w:rsid w:val="002F6ACB"/>
    <w:rsid w:val="0030072E"/>
    <w:rsid w:val="00300A45"/>
    <w:rsid w:val="003012D0"/>
    <w:rsid w:val="00302922"/>
    <w:rsid w:val="003037DF"/>
    <w:rsid w:val="00304276"/>
    <w:rsid w:val="00305683"/>
    <w:rsid w:val="003106F3"/>
    <w:rsid w:val="00310839"/>
    <w:rsid w:val="00310AA6"/>
    <w:rsid w:val="00310DBA"/>
    <w:rsid w:val="00311492"/>
    <w:rsid w:val="00314518"/>
    <w:rsid w:val="00320759"/>
    <w:rsid w:val="0032265C"/>
    <w:rsid w:val="00326823"/>
    <w:rsid w:val="003346F6"/>
    <w:rsid w:val="00335984"/>
    <w:rsid w:val="00336AB6"/>
    <w:rsid w:val="00342DCA"/>
    <w:rsid w:val="0034390E"/>
    <w:rsid w:val="00352B9E"/>
    <w:rsid w:val="00354C1E"/>
    <w:rsid w:val="00355DDB"/>
    <w:rsid w:val="0035775E"/>
    <w:rsid w:val="0036135F"/>
    <w:rsid w:val="00361C66"/>
    <w:rsid w:val="0036228B"/>
    <w:rsid w:val="00362454"/>
    <w:rsid w:val="00371B56"/>
    <w:rsid w:val="0037462B"/>
    <w:rsid w:val="003760CD"/>
    <w:rsid w:val="0038070B"/>
    <w:rsid w:val="00380734"/>
    <w:rsid w:val="00383D21"/>
    <w:rsid w:val="00386E05"/>
    <w:rsid w:val="0039096B"/>
    <w:rsid w:val="003922E6"/>
    <w:rsid w:val="0039332B"/>
    <w:rsid w:val="00395DCE"/>
    <w:rsid w:val="00397BB7"/>
    <w:rsid w:val="00397F3E"/>
    <w:rsid w:val="003A1982"/>
    <w:rsid w:val="003A2728"/>
    <w:rsid w:val="003A4C34"/>
    <w:rsid w:val="003A7025"/>
    <w:rsid w:val="003B1F7E"/>
    <w:rsid w:val="003B4AFF"/>
    <w:rsid w:val="003C109E"/>
    <w:rsid w:val="003C20E1"/>
    <w:rsid w:val="003C4125"/>
    <w:rsid w:val="003C5A2F"/>
    <w:rsid w:val="003C7C75"/>
    <w:rsid w:val="003C7E23"/>
    <w:rsid w:val="003D4B56"/>
    <w:rsid w:val="003D592E"/>
    <w:rsid w:val="003E308C"/>
    <w:rsid w:val="003E599F"/>
    <w:rsid w:val="003E6B98"/>
    <w:rsid w:val="003F240B"/>
    <w:rsid w:val="003F333E"/>
    <w:rsid w:val="003F4919"/>
    <w:rsid w:val="003F66F2"/>
    <w:rsid w:val="003F69AE"/>
    <w:rsid w:val="00401FE3"/>
    <w:rsid w:val="00402FFE"/>
    <w:rsid w:val="00403054"/>
    <w:rsid w:val="00403C3B"/>
    <w:rsid w:val="00404D30"/>
    <w:rsid w:val="00405274"/>
    <w:rsid w:val="00406F11"/>
    <w:rsid w:val="00406FC6"/>
    <w:rsid w:val="00407B18"/>
    <w:rsid w:val="00410A04"/>
    <w:rsid w:val="00410D45"/>
    <w:rsid w:val="0041228B"/>
    <w:rsid w:val="0041358B"/>
    <w:rsid w:val="00415D0E"/>
    <w:rsid w:val="0041638A"/>
    <w:rsid w:val="00416E00"/>
    <w:rsid w:val="00417BCA"/>
    <w:rsid w:val="00420C8E"/>
    <w:rsid w:val="00423742"/>
    <w:rsid w:val="00423F36"/>
    <w:rsid w:val="00424091"/>
    <w:rsid w:val="00425DB4"/>
    <w:rsid w:val="004272C5"/>
    <w:rsid w:val="00430FD1"/>
    <w:rsid w:val="004316AD"/>
    <w:rsid w:val="00433E1B"/>
    <w:rsid w:val="00435F38"/>
    <w:rsid w:val="00437798"/>
    <w:rsid w:val="00440A05"/>
    <w:rsid w:val="00442063"/>
    <w:rsid w:val="00443B2D"/>
    <w:rsid w:val="004446FF"/>
    <w:rsid w:val="00452120"/>
    <w:rsid w:val="004522FD"/>
    <w:rsid w:val="00454556"/>
    <w:rsid w:val="004561CE"/>
    <w:rsid w:val="0045746C"/>
    <w:rsid w:val="004627CD"/>
    <w:rsid w:val="00462C92"/>
    <w:rsid w:val="00463053"/>
    <w:rsid w:val="004636BB"/>
    <w:rsid w:val="00463EAB"/>
    <w:rsid w:val="004644AD"/>
    <w:rsid w:val="0046477F"/>
    <w:rsid w:val="00465553"/>
    <w:rsid w:val="00467AB6"/>
    <w:rsid w:val="00473FDF"/>
    <w:rsid w:val="00475570"/>
    <w:rsid w:val="004767C8"/>
    <w:rsid w:val="00477892"/>
    <w:rsid w:val="00481C33"/>
    <w:rsid w:val="00481CFF"/>
    <w:rsid w:val="004825F0"/>
    <w:rsid w:val="00484E84"/>
    <w:rsid w:val="004900F2"/>
    <w:rsid w:val="00493E37"/>
    <w:rsid w:val="004A02E5"/>
    <w:rsid w:val="004A0E6F"/>
    <w:rsid w:val="004A2AE5"/>
    <w:rsid w:val="004A4282"/>
    <w:rsid w:val="004A4859"/>
    <w:rsid w:val="004A6FA8"/>
    <w:rsid w:val="004A79EB"/>
    <w:rsid w:val="004B227B"/>
    <w:rsid w:val="004B2483"/>
    <w:rsid w:val="004B3DF5"/>
    <w:rsid w:val="004C010E"/>
    <w:rsid w:val="004C4E9D"/>
    <w:rsid w:val="004C686B"/>
    <w:rsid w:val="004D495C"/>
    <w:rsid w:val="004D7F92"/>
    <w:rsid w:val="004E0C67"/>
    <w:rsid w:val="004E1A43"/>
    <w:rsid w:val="004E4B59"/>
    <w:rsid w:val="004E4FC7"/>
    <w:rsid w:val="004F172B"/>
    <w:rsid w:val="004F1A60"/>
    <w:rsid w:val="004F3735"/>
    <w:rsid w:val="004F4D2F"/>
    <w:rsid w:val="0050234E"/>
    <w:rsid w:val="0050561C"/>
    <w:rsid w:val="005070D4"/>
    <w:rsid w:val="00511834"/>
    <w:rsid w:val="005169A2"/>
    <w:rsid w:val="00522B23"/>
    <w:rsid w:val="0052348B"/>
    <w:rsid w:val="00523A46"/>
    <w:rsid w:val="005250A9"/>
    <w:rsid w:val="0052576F"/>
    <w:rsid w:val="005259EA"/>
    <w:rsid w:val="005271B0"/>
    <w:rsid w:val="0053028D"/>
    <w:rsid w:val="005306FA"/>
    <w:rsid w:val="00531CFA"/>
    <w:rsid w:val="00535EE4"/>
    <w:rsid w:val="00537C80"/>
    <w:rsid w:val="005410F6"/>
    <w:rsid w:val="00543AB6"/>
    <w:rsid w:val="005455CB"/>
    <w:rsid w:val="005467F0"/>
    <w:rsid w:val="0055100A"/>
    <w:rsid w:val="0055141B"/>
    <w:rsid w:val="00552CB9"/>
    <w:rsid w:val="00554D6E"/>
    <w:rsid w:val="00556CFE"/>
    <w:rsid w:val="0055706A"/>
    <w:rsid w:val="0055736B"/>
    <w:rsid w:val="00562CC1"/>
    <w:rsid w:val="00564052"/>
    <w:rsid w:val="0056779B"/>
    <w:rsid w:val="0056782B"/>
    <w:rsid w:val="00567E8A"/>
    <w:rsid w:val="00571647"/>
    <w:rsid w:val="00573AC4"/>
    <w:rsid w:val="00576232"/>
    <w:rsid w:val="00576E9F"/>
    <w:rsid w:val="0057773A"/>
    <w:rsid w:val="005815B0"/>
    <w:rsid w:val="005819CB"/>
    <w:rsid w:val="00583D9A"/>
    <w:rsid w:val="0058558A"/>
    <w:rsid w:val="005858D6"/>
    <w:rsid w:val="00587A07"/>
    <w:rsid w:val="00587D2D"/>
    <w:rsid w:val="0059013F"/>
    <w:rsid w:val="005904F3"/>
    <w:rsid w:val="00590591"/>
    <w:rsid w:val="00590996"/>
    <w:rsid w:val="005914E8"/>
    <w:rsid w:val="005917E6"/>
    <w:rsid w:val="0059325E"/>
    <w:rsid w:val="00593BD0"/>
    <w:rsid w:val="00597510"/>
    <w:rsid w:val="005A49E5"/>
    <w:rsid w:val="005A722D"/>
    <w:rsid w:val="005B155F"/>
    <w:rsid w:val="005B1744"/>
    <w:rsid w:val="005B33AB"/>
    <w:rsid w:val="005B39FE"/>
    <w:rsid w:val="005B4B2A"/>
    <w:rsid w:val="005B4E56"/>
    <w:rsid w:val="005C38BA"/>
    <w:rsid w:val="005D1019"/>
    <w:rsid w:val="005D1428"/>
    <w:rsid w:val="005D248A"/>
    <w:rsid w:val="005D366D"/>
    <w:rsid w:val="005D385C"/>
    <w:rsid w:val="005D3B7E"/>
    <w:rsid w:val="005E48E5"/>
    <w:rsid w:val="005F14F4"/>
    <w:rsid w:val="005F1CFB"/>
    <w:rsid w:val="005F276E"/>
    <w:rsid w:val="005F5124"/>
    <w:rsid w:val="005F58A5"/>
    <w:rsid w:val="005F5C54"/>
    <w:rsid w:val="005F771D"/>
    <w:rsid w:val="005F7BD3"/>
    <w:rsid w:val="0060069F"/>
    <w:rsid w:val="00600BCB"/>
    <w:rsid w:val="006015C1"/>
    <w:rsid w:val="00604000"/>
    <w:rsid w:val="0060535A"/>
    <w:rsid w:val="00605EDC"/>
    <w:rsid w:val="00607017"/>
    <w:rsid w:val="00607838"/>
    <w:rsid w:val="00611A8B"/>
    <w:rsid w:val="00612CA2"/>
    <w:rsid w:val="00613F21"/>
    <w:rsid w:val="00614235"/>
    <w:rsid w:val="006152BA"/>
    <w:rsid w:val="00615A0C"/>
    <w:rsid w:val="0061635D"/>
    <w:rsid w:val="006178D9"/>
    <w:rsid w:val="006278D1"/>
    <w:rsid w:val="0063425D"/>
    <w:rsid w:val="00634A69"/>
    <w:rsid w:val="006370EF"/>
    <w:rsid w:val="006374E8"/>
    <w:rsid w:val="00637DE6"/>
    <w:rsid w:val="00641917"/>
    <w:rsid w:val="0064365C"/>
    <w:rsid w:val="00643DDE"/>
    <w:rsid w:val="006440C2"/>
    <w:rsid w:val="00644CA8"/>
    <w:rsid w:val="006477ED"/>
    <w:rsid w:val="00647B16"/>
    <w:rsid w:val="00650CE9"/>
    <w:rsid w:val="006522E9"/>
    <w:rsid w:val="00654511"/>
    <w:rsid w:val="00656A15"/>
    <w:rsid w:val="00665A40"/>
    <w:rsid w:val="00665B38"/>
    <w:rsid w:val="00672A86"/>
    <w:rsid w:val="00676659"/>
    <w:rsid w:val="00687A0F"/>
    <w:rsid w:val="0069098F"/>
    <w:rsid w:val="006963A5"/>
    <w:rsid w:val="00697FC8"/>
    <w:rsid w:val="006A206C"/>
    <w:rsid w:val="006A49D2"/>
    <w:rsid w:val="006A5CB6"/>
    <w:rsid w:val="006A7C16"/>
    <w:rsid w:val="006B05C0"/>
    <w:rsid w:val="006B2597"/>
    <w:rsid w:val="006B3246"/>
    <w:rsid w:val="006B40B3"/>
    <w:rsid w:val="006B6396"/>
    <w:rsid w:val="006C05EF"/>
    <w:rsid w:val="006D0DF9"/>
    <w:rsid w:val="006D1251"/>
    <w:rsid w:val="006D5BB8"/>
    <w:rsid w:val="006D6AF3"/>
    <w:rsid w:val="006D6BB7"/>
    <w:rsid w:val="006D6D97"/>
    <w:rsid w:val="006E3597"/>
    <w:rsid w:val="006E73EA"/>
    <w:rsid w:val="006F0BDF"/>
    <w:rsid w:val="006F2420"/>
    <w:rsid w:val="006F2B16"/>
    <w:rsid w:val="006F36DC"/>
    <w:rsid w:val="006F65B0"/>
    <w:rsid w:val="006F77CA"/>
    <w:rsid w:val="007030B4"/>
    <w:rsid w:val="00703D25"/>
    <w:rsid w:val="00706E3B"/>
    <w:rsid w:val="00706FE3"/>
    <w:rsid w:val="0070701A"/>
    <w:rsid w:val="00707B39"/>
    <w:rsid w:val="0071071A"/>
    <w:rsid w:val="00713691"/>
    <w:rsid w:val="007136E2"/>
    <w:rsid w:val="00714268"/>
    <w:rsid w:val="007142EC"/>
    <w:rsid w:val="0071441B"/>
    <w:rsid w:val="00716AE9"/>
    <w:rsid w:val="00716DC2"/>
    <w:rsid w:val="00717291"/>
    <w:rsid w:val="00720C33"/>
    <w:rsid w:val="0072178D"/>
    <w:rsid w:val="0072371B"/>
    <w:rsid w:val="0072498E"/>
    <w:rsid w:val="0072583A"/>
    <w:rsid w:val="00725A33"/>
    <w:rsid w:val="00732FC6"/>
    <w:rsid w:val="0073567D"/>
    <w:rsid w:val="00735F58"/>
    <w:rsid w:val="007440F0"/>
    <w:rsid w:val="00744B2F"/>
    <w:rsid w:val="00745E31"/>
    <w:rsid w:val="007519FD"/>
    <w:rsid w:val="00765B85"/>
    <w:rsid w:val="00767C1D"/>
    <w:rsid w:val="0077032C"/>
    <w:rsid w:val="007717DD"/>
    <w:rsid w:val="007740FB"/>
    <w:rsid w:val="00774E90"/>
    <w:rsid w:val="00775C81"/>
    <w:rsid w:val="0077640E"/>
    <w:rsid w:val="00776B1D"/>
    <w:rsid w:val="00782357"/>
    <w:rsid w:val="007824D2"/>
    <w:rsid w:val="00782BFA"/>
    <w:rsid w:val="00783836"/>
    <w:rsid w:val="007910D6"/>
    <w:rsid w:val="0079168A"/>
    <w:rsid w:val="007930F8"/>
    <w:rsid w:val="00796BC2"/>
    <w:rsid w:val="007A7CE0"/>
    <w:rsid w:val="007B16EE"/>
    <w:rsid w:val="007B2F03"/>
    <w:rsid w:val="007B3650"/>
    <w:rsid w:val="007B372D"/>
    <w:rsid w:val="007B426D"/>
    <w:rsid w:val="007B4B4D"/>
    <w:rsid w:val="007B52D2"/>
    <w:rsid w:val="007B7524"/>
    <w:rsid w:val="007C3894"/>
    <w:rsid w:val="007C3EB4"/>
    <w:rsid w:val="007C4025"/>
    <w:rsid w:val="007C468E"/>
    <w:rsid w:val="007C6227"/>
    <w:rsid w:val="007C7C5F"/>
    <w:rsid w:val="007D2611"/>
    <w:rsid w:val="007D3996"/>
    <w:rsid w:val="007D41ED"/>
    <w:rsid w:val="007D5BD2"/>
    <w:rsid w:val="007D5F02"/>
    <w:rsid w:val="007E0ED0"/>
    <w:rsid w:val="007E1252"/>
    <w:rsid w:val="007E355A"/>
    <w:rsid w:val="007E5463"/>
    <w:rsid w:val="007F08C7"/>
    <w:rsid w:val="007F19D7"/>
    <w:rsid w:val="007F4F75"/>
    <w:rsid w:val="007F5437"/>
    <w:rsid w:val="007F5E12"/>
    <w:rsid w:val="007F7ACE"/>
    <w:rsid w:val="00804856"/>
    <w:rsid w:val="00807064"/>
    <w:rsid w:val="00814D92"/>
    <w:rsid w:val="00814F19"/>
    <w:rsid w:val="00822ED6"/>
    <w:rsid w:val="008246CC"/>
    <w:rsid w:val="00830138"/>
    <w:rsid w:val="00830C8A"/>
    <w:rsid w:val="00831780"/>
    <w:rsid w:val="00831B41"/>
    <w:rsid w:val="0083207B"/>
    <w:rsid w:val="00833472"/>
    <w:rsid w:val="00835F72"/>
    <w:rsid w:val="00836378"/>
    <w:rsid w:val="00841623"/>
    <w:rsid w:val="008427DF"/>
    <w:rsid w:val="008465DC"/>
    <w:rsid w:val="00846826"/>
    <w:rsid w:val="0084734D"/>
    <w:rsid w:val="008535F6"/>
    <w:rsid w:val="00854190"/>
    <w:rsid w:val="008546A3"/>
    <w:rsid w:val="008548E7"/>
    <w:rsid w:val="00854D90"/>
    <w:rsid w:val="00854E9D"/>
    <w:rsid w:val="008565A9"/>
    <w:rsid w:val="00857CEA"/>
    <w:rsid w:val="00860E05"/>
    <w:rsid w:val="008611FA"/>
    <w:rsid w:val="0086293F"/>
    <w:rsid w:val="00864051"/>
    <w:rsid w:val="00864795"/>
    <w:rsid w:val="00864BAD"/>
    <w:rsid w:val="00866B63"/>
    <w:rsid w:val="00867312"/>
    <w:rsid w:val="00871A49"/>
    <w:rsid w:val="00874BFA"/>
    <w:rsid w:val="00875274"/>
    <w:rsid w:val="008775B0"/>
    <w:rsid w:val="00880E18"/>
    <w:rsid w:val="008821AD"/>
    <w:rsid w:val="008825C5"/>
    <w:rsid w:val="0088772B"/>
    <w:rsid w:val="00887ABD"/>
    <w:rsid w:val="008A0833"/>
    <w:rsid w:val="008A1350"/>
    <w:rsid w:val="008A2D17"/>
    <w:rsid w:val="008B2F06"/>
    <w:rsid w:val="008B379E"/>
    <w:rsid w:val="008B417B"/>
    <w:rsid w:val="008B5E26"/>
    <w:rsid w:val="008B6DF2"/>
    <w:rsid w:val="008C0577"/>
    <w:rsid w:val="008C43FB"/>
    <w:rsid w:val="008C474F"/>
    <w:rsid w:val="008C59E4"/>
    <w:rsid w:val="008C64E6"/>
    <w:rsid w:val="008C69F3"/>
    <w:rsid w:val="008C7027"/>
    <w:rsid w:val="008D1C0A"/>
    <w:rsid w:val="008D336E"/>
    <w:rsid w:val="008D5873"/>
    <w:rsid w:val="008D5CE6"/>
    <w:rsid w:val="008E5BE0"/>
    <w:rsid w:val="008E6F49"/>
    <w:rsid w:val="008E71A2"/>
    <w:rsid w:val="008F0696"/>
    <w:rsid w:val="008F0C97"/>
    <w:rsid w:val="008F47B2"/>
    <w:rsid w:val="008F7875"/>
    <w:rsid w:val="00911544"/>
    <w:rsid w:val="00911E9A"/>
    <w:rsid w:val="00911EBD"/>
    <w:rsid w:val="00912ED9"/>
    <w:rsid w:val="00913143"/>
    <w:rsid w:val="009152FD"/>
    <w:rsid w:val="00915455"/>
    <w:rsid w:val="00915F24"/>
    <w:rsid w:val="00917798"/>
    <w:rsid w:val="00921674"/>
    <w:rsid w:val="00923E46"/>
    <w:rsid w:val="009250B7"/>
    <w:rsid w:val="0092661B"/>
    <w:rsid w:val="00926B77"/>
    <w:rsid w:val="00933892"/>
    <w:rsid w:val="0093481E"/>
    <w:rsid w:val="00934FDF"/>
    <w:rsid w:val="00937DF8"/>
    <w:rsid w:val="00940D45"/>
    <w:rsid w:val="009453E2"/>
    <w:rsid w:val="0094749E"/>
    <w:rsid w:val="00947D87"/>
    <w:rsid w:val="00951E8D"/>
    <w:rsid w:val="009524CB"/>
    <w:rsid w:val="009554C8"/>
    <w:rsid w:val="009609EA"/>
    <w:rsid w:val="00964D21"/>
    <w:rsid w:val="0096547E"/>
    <w:rsid w:val="009659FD"/>
    <w:rsid w:val="009736C7"/>
    <w:rsid w:val="00973D4B"/>
    <w:rsid w:val="009748B8"/>
    <w:rsid w:val="00975FD3"/>
    <w:rsid w:val="009761B4"/>
    <w:rsid w:val="009828B2"/>
    <w:rsid w:val="0098412B"/>
    <w:rsid w:val="00986D01"/>
    <w:rsid w:val="00990A49"/>
    <w:rsid w:val="0099131D"/>
    <w:rsid w:val="009918A4"/>
    <w:rsid w:val="009931E2"/>
    <w:rsid w:val="0099389B"/>
    <w:rsid w:val="00993F38"/>
    <w:rsid w:val="00994FC3"/>
    <w:rsid w:val="009979DD"/>
    <w:rsid w:val="009A12EB"/>
    <w:rsid w:val="009A3D5C"/>
    <w:rsid w:val="009A7047"/>
    <w:rsid w:val="009A7839"/>
    <w:rsid w:val="009B1692"/>
    <w:rsid w:val="009B2C54"/>
    <w:rsid w:val="009B746B"/>
    <w:rsid w:val="009C0FA0"/>
    <w:rsid w:val="009C2923"/>
    <w:rsid w:val="009C3C7B"/>
    <w:rsid w:val="009C3E7E"/>
    <w:rsid w:val="009C4392"/>
    <w:rsid w:val="009C738D"/>
    <w:rsid w:val="009D1893"/>
    <w:rsid w:val="009D2D55"/>
    <w:rsid w:val="009D5EB8"/>
    <w:rsid w:val="009D795D"/>
    <w:rsid w:val="009E00B3"/>
    <w:rsid w:val="009E3D51"/>
    <w:rsid w:val="009E4D51"/>
    <w:rsid w:val="009E5601"/>
    <w:rsid w:val="009E5D6A"/>
    <w:rsid w:val="009F022E"/>
    <w:rsid w:val="009F1A3F"/>
    <w:rsid w:val="009F2B89"/>
    <w:rsid w:val="009F50D8"/>
    <w:rsid w:val="009F63FB"/>
    <w:rsid w:val="00A002B0"/>
    <w:rsid w:val="00A01B6B"/>
    <w:rsid w:val="00A0376D"/>
    <w:rsid w:val="00A060EF"/>
    <w:rsid w:val="00A06874"/>
    <w:rsid w:val="00A06C90"/>
    <w:rsid w:val="00A106BF"/>
    <w:rsid w:val="00A12EC7"/>
    <w:rsid w:val="00A20643"/>
    <w:rsid w:val="00A21036"/>
    <w:rsid w:val="00A222C1"/>
    <w:rsid w:val="00A228AD"/>
    <w:rsid w:val="00A22E42"/>
    <w:rsid w:val="00A2302A"/>
    <w:rsid w:val="00A23D83"/>
    <w:rsid w:val="00A26285"/>
    <w:rsid w:val="00A2632D"/>
    <w:rsid w:val="00A26A5C"/>
    <w:rsid w:val="00A272C2"/>
    <w:rsid w:val="00A34C71"/>
    <w:rsid w:val="00A35304"/>
    <w:rsid w:val="00A374BE"/>
    <w:rsid w:val="00A40FD4"/>
    <w:rsid w:val="00A41665"/>
    <w:rsid w:val="00A43745"/>
    <w:rsid w:val="00A449BE"/>
    <w:rsid w:val="00A44A6B"/>
    <w:rsid w:val="00A472FD"/>
    <w:rsid w:val="00A478CF"/>
    <w:rsid w:val="00A47FF3"/>
    <w:rsid w:val="00A5154B"/>
    <w:rsid w:val="00A71789"/>
    <w:rsid w:val="00A7201A"/>
    <w:rsid w:val="00A72F72"/>
    <w:rsid w:val="00A738A0"/>
    <w:rsid w:val="00A753C8"/>
    <w:rsid w:val="00A7555B"/>
    <w:rsid w:val="00A80EDD"/>
    <w:rsid w:val="00A82BDE"/>
    <w:rsid w:val="00A837FB"/>
    <w:rsid w:val="00A840EC"/>
    <w:rsid w:val="00A86402"/>
    <w:rsid w:val="00A8717E"/>
    <w:rsid w:val="00A91DBF"/>
    <w:rsid w:val="00A91FC1"/>
    <w:rsid w:val="00A92AA5"/>
    <w:rsid w:val="00A94196"/>
    <w:rsid w:val="00A949D7"/>
    <w:rsid w:val="00A97203"/>
    <w:rsid w:val="00AA0F17"/>
    <w:rsid w:val="00AA161C"/>
    <w:rsid w:val="00AA30E4"/>
    <w:rsid w:val="00AA339F"/>
    <w:rsid w:val="00AA72CC"/>
    <w:rsid w:val="00AB02BC"/>
    <w:rsid w:val="00AB0B7E"/>
    <w:rsid w:val="00AB0F95"/>
    <w:rsid w:val="00AC1AE4"/>
    <w:rsid w:val="00AC25D7"/>
    <w:rsid w:val="00AC5AA8"/>
    <w:rsid w:val="00AD099C"/>
    <w:rsid w:val="00AD42EA"/>
    <w:rsid w:val="00AD467B"/>
    <w:rsid w:val="00AE2CAE"/>
    <w:rsid w:val="00AE2CE9"/>
    <w:rsid w:val="00AE7075"/>
    <w:rsid w:val="00AE708B"/>
    <w:rsid w:val="00AE7375"/>
    <w:rsid w:val="00AF11A6"/>
    <w:rsid w:val="00AF4C35"/>
    <w:rsid w:val="00B03B16"/>
    <w:rsid w:val="00B07A49"/>
    <w:rsid w:val="00B11DE0"/>
    <w:rsid w:val="00B13C9B"/>
    <w:rsid w:val="00B143EB"/>
    <w:rsid w:val="00B167B4"/>
    <w:rsid w:val="00B16D6C"/>
    <w:rsid w:val="00B230DA"/>
    <w:rsid w:val="00B23B6B"/>
    <w:rsid w:val="00B23E2B"/>
    <w:rsid w:val="00B23FA6"/>
    <w:rsid w:val="00B377D9"/>
    <w:rsid w:val="00B400D6"/>
    <w:rsid w:val="00B45E0E"/>
    <w:rsid w:val="00B47FD1"/>
    <w:rsid w:val="00B53143"/>
    <w:rsid w:val="00B53E16"/>
    <w:rsid w:val="00B54519"/>
    <w:rsid w:val="00B550E5"/>
    <w:rsid w:val="00B55F23"/>
    <w:rsid w:val="00B568AC"/>
    <w:rsid w:val="00B56FF3"/>
    <w:rsid w:val="00B612BB"/>
    <w:rsid w:val="00B61C1C"/>
    <w:rsid w:val="00B63374"/>
    <w:rsid w:val="00B63783"/>
    <w:rsid w:val="00B66A0C"/>
    <w:rsid w:val="00B66AC8"/>
    <w:rsid w:val="00B66CFF"/>
    <w:rsid w:val="00B67046"/>
    <w:rsid w:val="00B725DA"/>
    <w:rsid w:val="00B74DCC"/>
    <w:rsid w:val="00B76C55"/>
    <w:rsid w:val="00B7742B"/>
    <w:rsid w:val="00B847AA"/>
    <w:rsid w:val="00B86715"/>
    <w:rsid w:val="00B87F5A"/>
    <w:rsid w:val="00B944AF"/>
    <w:rsid w:val="00B95446"/>
    <w:rsid w:val="00B96F0B"/>
    <w:rsid w:val="00B970BB"/>
    <w:rsid w:val="00BA14C1"/>
    <w:rsid w:val="00BA5BF6"/>
    <w:rsid w:val="00BA654D"/>
    <w:rsid w:val="00BA7933"/>
    <w:rsid w:val="00BB0462"/>
    <w:rsid w:val="00BB06EC"/>
    <w:rsid w:val="00BB1E71"/>
    <w:rsid w:val="00BB2311"/>
    <w:rsid w:val="00BB329D"/>
    <w:rsid w:val="00BB34DA"/>
    <w:rsid w:val="00BB4BA5"/>
    <w:rsid w:val="00BB4F14"/>
    <w:rsid w:val="00BC5252"/>
    <w:rsid w:val="00BC6F7E"/>
    <w:rsid w:val="00BD35CA"/>
    <w:rsid w:val="00BD55A0"/>
    <w:rsid w:val="00BD5C85"/>
    <w:rsid w:val="00BE055B"/>
    <w:rsid w:val="00BE0AA3"/>
    <w:rsid w:val="00BE6B1B"/>
    <w:rsid w:val="00BE6BCA"/>
    <w:rsid w:val="00BE6C13"/>
    <w:rsid w:val="00BF08DA"/>
    <w:rsid w:val="00C0126D"/>
    <w:rsid w:val="00C0145B"/>
    <w:rsid w:val="00C059C8"/>
    <w:rsid w:val="00C069AC"/>
    <w:rsid w:val="00C100BC"/>
    <w:rsid w:val="00C10AFC"/>
    <w:rsid w:val="00C10EB5"/>
    <w:rsid w:val="00C11DE7"/>
    <w:rsid w:val="00C129F9"/>
    <w:rsid w:val="00C12E7D"/>
    <w:rsid w:val="00C17E84"/>
    <w:rsid w:val="00C2191F"/>
    <w:rsid w:val="00C22E60"/>
    <w:rsid w:val="00C23822"/>
    <w:rsid w:val="00C24725"/>
    <w:rsid w:val="00C2515A"/>
    <w:rsid w:val="00C31E3F"/>
    <w:rsid w:val="00C31FE4"/>
    <w:rsid w:val="00C325BB"/>
    <w:rsid w:val="00C32AD7"/>
    <w:rsid w:val="00C33B36"/>
    <w:rsid w:val="00C34A07"/>
    <w:rsid w:val="00C40FD9"/>
    <w:rsid w:val="00C434C6"/>
    <w:rsid w:val="00C44115"/>
    <w:rsid w:val="00C44D0C"/>
    <w:rsid w:val="00C474B8"/>
    <w:rsid w:val="00C51B61"/>
    <w:rsid w:val="00C52750"/>
    <w:rsid w:val="00C53415"/>
    <w:rsid w:val="00C553C0"/>
    <w:rsid w:val="00C55E4F"/>
    <w:rsid w:val="00C56559"/>
    <w:rsid w:val="00C56B88"/>
    <w:rsid w:val="00C56FFC"/>
    <w:rsid w:val="00C57937"/>
    <w:rsid w:val="00C57E9C"/>
    <w:rsid w:val="00C60172"/>
    <w:rsid w:val="00C65136"/>
    <w:rsid w:val="00C66C1D"/>
    <w:rsid w:val="00C70729"/>
    <w:rsid w:val="00C70742"/>
    <w:rsid w:val="00C722C1"/>
    <w:rsid w:val="00C72680"/>
    <w:rsid w:val="00C72942"/>
    <w:rsid w:val="00C75503"/>
    <w:rsid w:val="00C80586"/>
    <w:rsid w:val="00C80638"/>
    <w:rsid w:val="00C8135E"/>
    <w:rsid w:val="00C830FE"/>
    <w:rsid w:val="00C83B75"/>
    <w:rsid w:val="00C84AE7"/>
    <w:rsid w:val="00C84D36"/>
    <w:rsid w:val="00C87DE8"/>
    <w:rsid w:val="00C90365"/>
    <w:rsid w:val="00C93C6A"/>
    <w:rsid w:val="00C948E1"/>
    <w:rsid w:val="00CA518B"/>
    <w:rsid w:val="00CA6141"/>
    <w:rsid w:val="00CA6B18"/>
    <w:rsid w:val="00CB6EA4"/>
    <w:rsid w:val="00CB763C"/>
    <w:rsid w:val="00CB76E1"/>
    <w:rsid w:val="00CB7B81"/>
    <w:rsid w:val="00CC28E9"/>
    <w:rsid w:val="00CC38CF"/>
    <w:rsid w:val="00CC477C"/>
    <w:rsid w:val="00CC4F96"/>
    <w:rsid w:val="00CC594A"/>
    <w:rsid w:val="00CC6292"/>
    <w:rsid w:val="00CC6602"/>
    <w:rsid w:val="00CD32E1"/>
    <w:rsid w:val="00CD577B"/>
    <w:rsid w:val="00CD6422"/>
    <w:rsid w:val="00CD66CA"/>
    <w:rsid w:val="00CD735D"/>
    <w:rsid w:val="00CD76B9"/>
    <w:rsid w:val="00CD7C64"/>
    <w:rsid w:val="00CE1279"/>
    <w:rsid w:val="00CE1361"/>
    <w:rsid w:val="00CE4233"/>
    <w:rsid w:val="00CE4E41"/>
    <w:rsid w:val="00CF1855"/>
    <w:rsid w:val="00CF1FF4"/>
    <w:rsid w:val="00CF28E5"/>
    <w:rsid w:val="00CF5CD8"/>
    <w:rsid w:val="00D003EE"/>
    <w:rsid w:val="00D061EE"/>
    <w:rsid w:val="00D06A4C"/>
    <w:rsid w:val="00D06D7C"/>
    <w:rsid w:val="00D07244"/>
    <w:rsid w:val="00D11213"/>
    <w:rsid w:val="00D11708"/>
    <w:rsid w:val="00D1487B"/>
    <w:rsid w:val="00D159EC"/>
    <w:rsid w:val="00D16EF3"/>
    <w:rsid w:val="00D175E7"/>
    <w:rsid w:val="00D20A25"/>
    <w:rsid w:val="00D2154F"/>
    <w:rsid w:val="00D261EB"/>
    <w:rsid w:val="00D26937"/>
    <w:rsid w:val="00D3113A"/>
    <w:rsid w:val="00D346C8"/>
    <w:rsid w:val="00D368BB"/>
    <w:rsid w:val="00D36A77"/>
    <w:rsid w:val="00D3762A"/>
    <w:rsid w:val="00D40C24"/>
    <w:rsid w:val="00D42729"/>
    <w:rsid w:val="00D451EB"/>
    <w:rsid w:val="00D45447"/>
    <w:rsid w:val="00D65F39"/>
    <w:rsid w:val="00D67D52"/>
    <w:rsid w:val="00D70E17"/>
    <w:rsid w:val="00D70F86"/>
    <w:rsid w:val="00D712F1"/>
    <w:rsid w:val="00D73A01"/>
    <w:rsid w:val="00D77111"/>
    <w:rsid w:val="00D81114"/>
    <w:rsid w:val="00D818FB"/>
    <w:rsid w:val="00D82903"/>
    <w:rsid w:val="00D835EC"/>
    <w:rsid w:val="00D87805"/>
    <w:rsid w:val="00D90441"/>
    <w:rsid w:val="00D90F10"/>
    <w:rsid w:val="00D910E8"/>
    <w:rsid w:val="00D912CA"/>
    <w:rsid w:val="00DA013D"/>
    <w:rsid w:val="00DA18F8"/>
    <w:rsid w:val="00DA2584"/>
    <w:rsid w:val="00DA3486"/>
    <w:rsid w:val="00DA5667"/>
    <w:rsid w:val="00DA67DC"/>
    <w:rsid w:val="00DB270C"/>
    <w:rsid w:val="00DB30A5"/>
    <w:rsid w:val="00DB3A12"/>
    <w:rsid w:val="00DB4039"/>
    <w:rsid w:val="00DB4671"/>
    <w:rsid w:val="00DB5460"/>
    <w:rsid w:val="00DC176A"/>
    <w:rsid w:val="00DC2A77"/>
    <w:rsid w:val="00DC44F2"/>
    <w:rsid w:val="00DC5C8C"/>
    <w:rsid w:val="00DD10FB"/>
    <w:rsid w:val="00DD4B20"/>
    <w:rsid w:val="00DD53C3"/>
    <w:rsid w:val="00DD72B6"/>
    <w:rsid w:val="00DE1FD8"/>
    <w:rsid w:val="00DE2D45"/>
    <w:rsid w:val="00DE321E"/>
    <w:rsid w:val="00DE4820"/>
    <w:rsid w:val="00DE6919"/>
    <w:rsid w:val="00DE7A9F"/>
    <w:rsid w:val="00DF20BA"/>
    <w:rsid w:val="00DF387B"/>
    <w:rsid w:val="00DF5870"/>
    <w:rsid w:val="00DF69A3"/>
    <w:rsid w:val="00E0180D"/>
    <w:rsid w:val="00E06928"/>
    <w:rsid w:val="00E1005C"/>
    <w:rsid w:val="00E10818"/>
    <w:rsid w:val="00E1239F"/>
    <w:rsid w:val="00E1330E"/>
    <w:rsid w:val="00E135B1"/>
    <w:rsid w:val="00E163F2"/>
    <w:rsid w:val="00E17438"/>
    <w:rsid w:val="00E21C06"/>
    <w:rsid w:val="00E21FB5"/>
    <w:rsid w:val="00E22E3A"/>
    <w:rsid w:val="00E257D2"/>
    <w:rsid w:val="00E2689A"/>
    <w:rsid w:val="00E32D07"/>
    <w:rsid w:val="00E33FE1"/>
    <w:rsid w:val="00E3429E"/>
    <w:rsid w:val="00E41580"/>
    <w:rsid w:val="00E4261C"/>
    <w:rsid w:val="00E42898"/>
    <w:rsid w:val="00E431E0"/>
    <w:rsid w:val="00E433E0"/>
    <w:rsid w:val="00E43497"/>
    <w:rsid w:val="00E44987"/>
    <w:rsid w:val="00E44B5E"/>
    <w:rsid w:val="00E4528B"/>
    <w:rsid w:val="00E45E3E"/>
    <w:rsid w:val="00E46018"/>
    <w:rsid w:val="00E465DD"/>
    <w:rsid w:val="00E47D93"/>
    <w:rsid w:val="00E47EC1"/>
    <w:rsid w:val="00E507F5"/>
    <w:rsid w:val="00E53622"/>
    <w:rsid w:val="00E53A24"/>
    <w:rsid w:val="00E6102C"/>
    <w:rsid w:val="00E63990"/>
    <w:rsid w:val="00E66A00"/>
    <w:rsid w:val="00E67E7F"/>
    <w:rsid w:val="00E82025"/>
    <w:rsid w:val="00E93453"/>
    <w:rsid w:val="00E94940"/>
    <w:rsid w:val="00E966DA"/>
    <w:rsid w:val="00E969DF"/>
    <w:rsid w:val="00EA3586"/>
    <w:rsid w:val="00EA5BAB"/>
    <w:rsid w:val="00EA6035"/>
    <w:rsid w:val="00EA60CC"/>
    <w:rsid w:val="00EA65FD"/>
    <w:rsid w:val="00EA7CBB"/>
    <w:rsid w:val="00EB038A"/>
    <w:rsid w:val="00EB175F"/>
    <w:rsid w:val="00EB1AA9"/>
    <w:rsid w:val="00EB3D5A"/>
    <w:rsid w:val="00EB3FB0"/>
    <w:rsid w:val="00EB53F5"/>
    <w:rsid w:val="00EB5C99"/>
    <w:rsid w:val="00EB6016"/>
    <w:rsid w:val="00EB61B3"/>
    <w:rsid w:val="00EC389D"/>
    <w:rsid w:val="00ED33F6"/>
    <w:rsid w:val="00EE1EB1"/>
    <w:rsid w:val="00EE2C09"/>
    <w:rsid w:val="00EE44EE"/>
    <w:rsid w:val="00EE5748"/>
    <w:rsid w:val="00EF094A"/>
    <w:rsid w:val="00EF1646"/>
    <w:rsid w:val="00EF21F2"/>
    <w:rsid w:val="00EF234E"/>
    <w:rsid w:val="00EF311A"/>
    <w:rsid w:val="00EF31E6"/>
    <w:rsid w:val="00EF3FCE"/>
    <w:rsid w:val="00EF5345"/>
    <w:rsid w:val="00EF678F"/>
    <w:rsid w:val="00EF6995"/>
    <w:rsid w:val="00F009CA"/>
    <w:rsid w:val="00F00AF0"/>
    <w:rsid w:val="00F0484A"/>
    <w:rsid w:val="00F04DF8"/>
    <w:rsid w:val="00F070A3"/>
    <w:rsid w:val="00F07477"/>
    <w:rsid w:val="00F07889"/>
    <w:rsid w:val="00F1132B"/>
    <w:rsid w:val="00F1374C"/>
    <w:rsid w:val="00F15D67"/>
    <w:rsid w:val="00F15FE7"/>
    <w:rsid w:val="00F1787E"/>
    <w:rsid w:val="00F22FCB"/>
    <w:rsid w:val="00F23D6F"/>
    <w:rsid w:val="00F2544B"/>
    <w:rsid w:val="00F30E5C"/>
    <w:rsid w:val="00F32083"/>
    <w:rsid w:val="00F3356C"/>
    <w:rsid w:val="00F33A00"/>
    <w:rsid w:val="00F34EC3"/>
    <w:rsid w:val="00F354B1"/>
    <w:rsid w:val="00F35D66"/>
    <w:rsid w:val="00F36E79"/>
    <w:rsid w:val="00F4056B"/>
    <w:rsid w:val="00F40BC3"/>
    <w:rsid w:val="00F41F7B"/>
    <w:rsid w:val="00F45254"/>
    <w:rsid w:val="00F52042"/>
    <w:rsid w:val="00F5270D"/>
    <w:rsid w:val="00F561F2"/>
    <w:rsid w:val="00F57601"/>
    <w:rsid w:val="00F65640"/>
    <w:rsid w:val="00F65A88"/>
    <w:rsid w:val="00F712FC"/>
    <w:rsid w:val="00F729B9"/>
    <w:rsid w:val="00F746BA"/>
    <w:rsid w:val="00F75BFC"/>
    <w:rsid w:val="00F81C03"/>
    <w:rsid w:val="00F833A2"/>
    <w:rsid w:val="00F83F45"/>
    <w:rsid w:val="00F84D4E"/>
    <w:rsid w:val="00F85551"/>
    <w:rsid w:val="00F856EF"/>
    <w:rsid w:val="00F86B10"/>
    <w:rsid w:val="00F920C4"/>
    <w:rsid w:val="00F9563A"/>
    <w:rsid w:val="00FA0678"/>
    <w:rsid w:val="00FA1D9D"/>
    <w:rsid w:val="00FA2A9F"/>
    <w:rsid w:val="00FA4ED3"/>
    <w:rsid w:val="00FA6DDC"/>
    <w:rsid w:val="00FB138A"/>
    <w:rsid w:val="00FB157F"/>
    <w:rsid w:val="00FB353F"/>
    <w:rsid w:val="00FC0E89"/>
    <w:rsid w:val="00FC2604"/>
    <w:rsid w:val="00FC6BC6"/>
    <w:rsid w:val="00FD005F"/>
    <w:rsid w:val="00FD2569"/>
    <w:rsid w:val="00FD46E7"/>
    <w:rsid w:val="00FE53A5"/>
    <w:rsid w:val="00FF5539"/>
    <w:rsid w:val="00FF6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57E29"/>
  <w15:docId w15:val="{8964F33E-A9A1-4583-AD3B-2022310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4B8"/>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86B10"/>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F69A3"/>
    <w:pPr>
      <w:keepNext/>
      <w:keepLines/>
      <w:numPr>
        <w:ilvl w:val="1"/>
        <w:numId w:val="1"/>
      </w:numPr>
      <w:spacing w:before="200" w:after="240"/>
      <w:outlineLvl w:val="1"/>
    </w:pPr>
    <w:rPr>
      <w:rFonts w:eastAsia="Times New Roman" w:cs="Calibri"/>
      <w:b/>
      <w:bCs/>
      <w:sz w:val="26"/>
      <w:szCs w:val="26"/>
    </w:rPr>
  </w:style>
  <w:style w:type="paragraph" w:styleId="Heading3">
    <w:name w:val="heading 3"/>
    <w:basedOn w:val="Normal"/>
    <w:next w:val="Normal"/>
    <w:link w:val="Heading3Char"/>
    <w:uiPriority w:val="9"/>
    <w:qFormat/>
    <w:rsid w:val="00DF69A3"/>
    <w:pPr>
      <w:keepNext/>
      <w:keepLines/>
      <w:numPr>
        <w:ilvl w:val="2"/>
        <w:numId w:val="1"/>
      </w:numPr>
      <w:spacing w:before="200" w:after="240"/>
      <w:outlineLvl w:val="2"/>
    </w:pPr>
    <w:rPr>
      <w:rFonts w:ascii="Cambria" w:eastAsia="Times New Roman" w:hAnsi="Cambria"/>
      <w:b/>
      <w:bCs/>
    </w:rPr>
  </w:style>
  <w:style w:type="paragraph" w:styleId="Heading4">
    <w:name w:val="heading 4"/>
    <w:basedOn w:val="Normal"/>
    <w:next w:val="Normal"/>
    <w:link w:val="Heading4Char"/>
    <w:uiPriority w:val="9"/>
    <w:qFormat/>
    <w:rsid w:val="00F86B10"/>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qFormat/>
    <w:rsid w:val="00F86B10"/>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qFormat/>
    <w:rsid w:val="00F86B10"/>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qFormat/>
    <w:rsid w:val="00F86B10"/>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qFormat/>
    <w:rsid w:val="00F86B10"/>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86B10"/>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10"/>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DF69A3"/>
    <w:rPr>
      <w:rFonts w:ascii="Calibri" w:eastAsia="Times New Roman" w:hAnsi="Calibri" w:cs="Calibri"/>
      <w:b/>
      <w:bCs/>
      <w:sz w:val="26"/>
      <w:szCs w:val="26"/>
      <w:lang w:val="en-GB"/>
    </w:rPr>
  </w:style>
  <w:style w:type="character" w:customStyle="1" w:styleId="Heading3Char">
    <w:name w:val="Heading 3 Char"/>
    <w:basedOn w:val="DefaultParagraphFont"/>
    <w:link w:val="Heading3"/>
    <w:uiPriority w:val="9"/>
    <w:rsid w:val="00DF69A3"/>
    <w:rPr>
      <w:rFonts w:ascii="Cambria" w:eastAsia="Times New Roman" w:hAnsi="Cambria" w:cs="Times New Roman"/>
      <w:b/>
      <w:bCs/>
      <w:sz w:val="22"/>
      <w:szCs w:val="22"/>
      <w:lang w:val="en-GB"/>
    </w:rPr>
  </w:style>
  <w:style w:type="character" w:customStyle="1" w:styleId="Heading4Char">
    <w:name w:val="Heading 4 Char"/>
    <w:basedOn w:val="DefaultParagraphFont"/>
    <w:link w:val="Heading4"/>
    <w:uiPriority w:val="9"/>
    <w:rsid w:val="00F86B10"/>
    <w:rPr>
      <w:rFonts w:ascii="Cambria" w:eastAsia="Times New Roman" w:hAnsi="Cambria" w:cs="Times New Roman"/>
      <w:b/>
      <w:bCs/>
      <w:i/>
      <w:iCs/>
      <w:color w:val="4F81BD"/>
      <w:sz w:val="20"/>
      <w:szCs w:val="20"/>
      <w:lang w:val="en-GB"/>
    </w:rPr>
  </w:style>
  <w:style w:type="character" w:customStyle="1" w:styleId="Heading5Char">
    <w:name w:val="Heading 5 Char"/>
    <w:basedOn w:val="DefaultParagraphFont"/>
    <w:link w:val="Heading5"/>
    <w:uiPriority w:val="9"/>
    <w:rsid w:val="00F86B10"/>
    <w:rPr>
      <w:rFonts w:ascii="Cambria" w:eastAsia="Times New Roman" w:hAnsi="Cambria" w:cs="Times New Roman"/>
      <w:color w:val="243F60"/>
      <w:sz w:val="20"/>
      <w:szCs w:val="20"/>
      <w:lang w:val="en-GB"/>
    </w:rPr>
  </w:style>
  <w:style w:type="character" w:customStyle="1" w:styleId="Heading6Char">
    <w:name w:val="Heading 6 Char"/>
    <w:basedOn w:val="DefaultParagraphFont"/>
    <w:link w:val="Heading6"/>
    <w:uiPriority w:val="9"/>
    <w:rsid w:val="00F86B10"/>
    <w:rPr>
      <w:rFonts w:ascii="Cambria" w:eastAsia="Times New Roman" w:hAnsi="Cambria" w:cs="Times New Roman"/>
      <w:i/>
      <w:iCs/>
      <w:color w:val="243F60"/>
      <w:sz w:val="20"/>
      <w:szCs w:val="20"/>
      <w:lang w:val="en-GB"/>
    </w:rPr>
  </w:style>
  <w:style w:type="character" w:customStyle="1" w:styleId="Heading7Char">
    <w:name w:val="Heading 7 Char"/>
    <w:basedOn w:val="DefaultParagraphFont"/>
    <w:link w:val="Heading7"/>
    <w:uiPriority w:val="9"/>
    <w:rsid w:val="00F86B10"/>
    <w:rPr>
      <w:rFonts w:ascii="Cambria" w:eastAsia="Times New Roman" w:hAnsi="Cambria" w:cs="Times New Roman"/>
      <w:i/>
      <w:iCs/>
      <w:color w:val="404040"/>
      <w:sz w:val="20"/>
      <w:szCs w:val="20"/>
      <w:lang w:val="en-GB"/>
    </w:rPr>
  </w:style>
  <w:style w:type="character" w:customStyle="1" w:styleId="Heading8Char">
    <w:name w:val="Heading 8 Char"/>
    <w:basedOn w:val="DefaultParagraphFont"/>
    <w:link w:val="Heading8"/>
    <w:uiPriority w:val="9"/>
    <w:rsid w:val="00F86B10"/>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rsid w:val="00F86B10"/>
    <w:rPr>
      <w:rFonts w:ascii="Cambria" w:eastAsia="Times New Roman" w:hAnsi="Cambria" w:cs="Times New Roman"/>
      <w:i/>
      <w:iCs/>
      <w:color w:val="404040"/>
      <w:sz w:val="20"/>
      <w:szCs w:val="20"/>
      <w:lang w:val="en-GB"/>
    </w:rPr>
  </w:style>
  <w:style w:type="paragraph" w:styleId="Header">
    <w:name w:val="header"/>
    <w:basedOn w:val="Normal"/>
    <w:link w:val="HeaderChar"/>
    <w:uiPriority w:val="99"/>
    <w:unhideWhenUsed/>
    <w:rsid w:val="00F86B10"/>
    <w:pPr>
      <w:tabs>
        <w:tab w:val="center" w:pos="4513"/>
        <w:tab w:val="right" w:pos="9026"/>
      </w:tabs>
    </w:pPr>
  </w:style>
  <w:style w:type="character" w:customStyle="1" w:styleId="HeaderChar">
    <w:name w:val="Header Char"/>
    <w:basedOn w:val="DefaultParagraphFont"/>
    <w:link w:val="Header"/>
    <w:uiPriority w:val="99"/>
    <w:rsid w:val="00F86B10"/>
    <w:rPr>
      <w:rFonts w:ascii="Calibri" w:eastAsia="Calibri" w:hAnsi="Calibri" w:cs="Times New Roman"/>
      <w:sz w:val="22"/>
      <w:szCs w:val="22"/>
    </w:rPr>
  </w:style>
  <w:style w:type="paragraph" w:styleId="Footer">
    <w:name w:val="footer"/>
    <w:basedOn w:val="Normal"/>
    <w:link w:val="FooterChar"/>
    <w:uiPriority w:val="99"/>
    <w:unhideWhenUsed/>
    <w:rsid w:val="00F86B10"/>
    <w:pPr>
      <w:tabs>
        <w:tab w:val="center" w:pos="4513"/>
        <w:tab w:val="right" w:pos="9026"/>
      </w:tabs>
    </w:pPr>
  </w:style>
  <w:style w:type="character" w:customStyle="1" w:styleId="FooterChar">
    <w:name w:val="Footer Char"/>
    <w:basedOn w:val="DefaultParagraphFont"/>
    <w:link w:val="Footer"/>
    <w:uiPriority w:val="99"/>
    <w:rsid w:val="00F86B10"/>
    <w:rPr>
      <w:rFonts w:ascii="Calibri" w:eastAsia="Calibri" w:hAnsi="Calibri" w:cs="Times New Roman"/>
      <w:sz w:val="22"/>
      <w:szCs w:val="22"/>
    </w:rPr>
  </w:style>
  <w:style w:type="character" w:styleId="CommentReference">
    <w:name w:val="annotation reference"/>
    <w:basedOn w:val="DefaultParagraphFont"/>
    <w:uiPriority w:val="99"/>
    <w:unhideWhenUsed/>
    <w:rsid w:val="0071441B"/>
    <w:rPr>
      <w:sz w:val="16"/>
      <w:szCs w:val="16"/>
    </w:rPr>
  </w:style>
  <w:style w:type="paragraph" w:styleId="CommentText">
    <w:name w:val="annotation text"/>
    <w:basedOn w:val="Normal"/>
    <w:link w:val="CommentTextChar"/>
    <w:uiPriority w:val="99"/>
    <w:unhideWhenUsed/>
    <w:rsid w:val="0071441B"/>
    <w:pPr>
      <w:spacing w:line="240" w:lineRule="auto"/>
    </w:pPr>
    <w:rPr>
      <w:sz w:val="20"/>
      <w:szCs w:val="20"/>
    </w:rPr>
  </w:style>
  <w:style w:type="character" w:customStyle="1" w:styleId="CommentTextChar">
    <w:name w:val="Comment Text Char"/>
    <w:basedOn w:val="DefaultParagraphFont"/>
    <w:link w:val="CommentText"/>
    <w:uiPriority w:val="99"/>
    <w:rsid w:val="0071441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1441B"/>
    <w:rPr>
      <w:b/>
      <w:bCs/>
    </w:rPr>
  </w:style>
  <w:style w:type="character" w:customStyle="1" w:styleId="CommentSubjectChar">
    <w:name w:val="Comment Subject Char"/>
    <w:basedOn w:val="CommentTextChar"/>
    <w:link w:val="CommentSubject"/>
    <w:uiPriority w:val="99"/>
    <w:semiHidden/>
    <w:rsid w:val="0071441B"/>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1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1B"/>
    <w:rPr>
      <w:rFonts w:ascii="Tahoma" w:eastAsia="Calibri" w:hAnsi="Tahoma" w:cs="Tahoma"/>
      <w:sz w:val="16"/>
      <w:szCs w:val="16"/>
      <w:lang w:val="en-GB"/>
    </w:rPr>
  </w:style>
  <w:style w:type="character" w:styleId="Emphasis">
    <w:name w:val="Emphasis"/>
    <w:basedOn w:val="DefaultParagraphFont"/>
    <w:uiPriority w:val="20"/>
    <w:qFormat/>
    <w:rsid w:val="00EE44EE"/>
    <w:rPr>
      <w:i/>
      <w:iCs/>
    </w:rPr>
  </w:style>
  <w:style w:type="character" w:styleId="Strong">
    <w:name w:val="Strong"/>
    <w:basedOn w:val="DefaultParagraphFont"/>
    <w:uiPriority w:val="22"/>
    <w:qFormat/>
    <w:rsid w:val="00EE44EE"/>
    <w:rPr>
      <w:b/>
      <w:bCs/>
    </w:rPr>
  </w:style>
  <w:style w:type="paragraph" w:styleId="ListParagraph">
    <w:name w:val="List Paragraph"/>
    <w:basedOn w:val="Normal"/>
    <w:uiPriority w:val="34"/>
    <w:qFormat/>
    <w:rsid w:val="00E257D2"/>
    <w:pPr>
      <w:ind w:left="720"/>
      <w:contextualSpacing/>
    </w:pPr>
  </w:style>
  <w:style w:type="paragraph" w:styleId="NoSpacing">
    <w:name w:val="No Spacing"/>
    <w:link w:val="NoSpacingChar"/>
    <w:uiPriority w:val="1"/>
    <w:qFormat/>
    <w:rsid w:val="00E257D2"/>
    <w:rPr>
      <w:rFonts w:ascii="Calibri" w:eastAsia="Calibri" w:hAnsi="Calibri" w:cs="Times New Roman"/>
      <w:sz w:val="22"/>
      <w:szCs w:val="22"/>
      <w:lang w:val="en-GB"/>
    </w:rPr>
  </w:style>
  <w:style w:type="character" w:styleId="Hyperlink">
    <w:name w:val="Hyperlink"/>
    <w:basedOn w:val="DefaultParagraphFont"/>
    <w:uiPriority w:val="99"/>
    <w:unhideWhenUsed/>
    <w:rsid w:val="00E257D2"/>
    <w:rPr>
      <w:color w:val="0000FF"/>
      <w:u w:val="single"/>
    </w:rPr>
  </w:style>
  <w:style w:type="paragraph" w:styleId="FootnoteText">
    <w:name w:val="footnote text"/>
    <w:basedOn w:val="Normal"/>
    <w:link w:val="FootnoteTextChar"/>
    <w:uiPriority w:val="99"/>
    <w:unhideWhenUsed/>
    <w:rsid w:val="00A01B6B"/>
    <w:rPr>
      <w:sz w:val="20"/>
      <w:szCs w:val="20"/>
    </w:rPr>
  </w:style>
  <w:style w:type="character" w:customStyle="1" w:styleId="FootnoteTextChar">
    <w:name w:val="Footnote Text Char"/>
    <w:basedOn w:val="DefaultParagraphFont"/>
    <w:link w:val="FootnoteText"/>
    <w:uiPriority w:val="99"/>
    <w:rsid w:val="00A01B6B"/>
    <w:rPr>
      <w:rFonts w:ascii="Calibri" w:eastAsia="Calibri" w:hAnsi="Calibri" w:cs="Times New Roman"/>
      <w:sz w:val="20"/>
      <w:szCs w:val="20"/>
      <w:lang w:val="en-GB"/>
    </w:rPr>
  </w:style>
  <w:style w:type="character" w:styleId="FootnoteReference">
    <w:name w:val="footnote reference"/>
    <w:basedOn w:val="DefaultParagraphFont"/>
    <w:uiPriority w:val="99"/>
    <w:unhideWhenUsed/>
    <w:rsid w:val="00A01B6B"/>
    <w:rPr>
      <w:vertAlign w:val="superscript"/>
    </w:rPr>
  </w:style>
  <w:style w:type="paragraph" w:styleId="NormalWeb">
    <w:name w:val="Normal (Web)"/>
    <w:basedOn w:val="Normal"/>
    <w:uiPriority w:val="99"/>
    <w:unhideWhenUsed/>
    <w:rsid w:val="0077032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WISERTableBody">
    <w:name w:val="WISER Table Body"/>
    <w:basedOn w:val="Normal"/>
    <w:rsid w:val="00576E9F"/>
    <w:pPr>
      <w:suppressAutoHyphens/>
      <w:spacing w:after="0" w:line="240" w:lineRule="auto"/>
      <w:jc w:val="both"/>
    </w:pPr>
    <w:rPr>
      <w:rFonts w:ascii="Arial" w:eastAsia="Times New Roman" w:hAnsi="Arial" w:cs="Arial"/>
      <w:sz w:val="20"/>
      <w:szCs w:val="24"/>
      <w:lang w:val="de-DE" w:eastAsia="ar-SA"/>
    </w:rPr>
  </w:style>
  <w:style w:type="paragraph" w:customStyle="1" w:styleId="Default">
    <w:name w:val="Default"/>
    <w:rsid w:val="0035775E"/>
    <w:pPr>
      <w:autoSpaceDE w:val="0"/>
      <w:autoSpaceDN w:val="0"/>
      <w:adjustRightInd w:val="0"/>
    </w:pPr>
    <w:rPr>
      <w:rFonts w:ascii="Arial" w:hAnsi="Arial" w:cs="Arial"/>
      <w:color w:val="000000"/>
      <w:lang w:val="en-GB"/>
    </w:rPr>
  </w:style>
  <w:style w:type="character" w:customStyle="1" w:styleId="NoSpacingChar">
    <w:name w:val="No Spacing Char"/>
    <w:basedOn w:val="DefaultParagraphFont"/>
    <w:link w:val="NoSpacing"/>
    <w:uiPriority w:val="1"/>
    <w:rsid w:val="007C3894"/>
    <w:rPr>
      <w:rFonts w:ascii="Calibri" w:eastAsia="Calibri" w:hAnsi="Calibri" w:cs="Times New Roman"/>
      <w:sz w:val="22"/>
      <w:szCs w:val="22"/>
      <w:lang w:val="en-GB"/>
    </w:rPr>
  </w:style>
  <w:style w:type="table" w:styleId="TableGrid">
    <w:name w:val="Table Grid"/>
    <w:basedOn w:val="TableNormal"/>
    <w:rsid w:val="008C7027"/>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rsid w:val="008C7027"/>
    <w:pPr>
      <w:spacing w:line="240" w:lineRule="auto"/>
    </w:pPr>
    <w:rPr>
      <w:rFonts w:asciiTheme="minorHAnsi" w:eastAsiaTheme="minorHAnsi" w:hAnsiTheme="minorHAnsi" w:cstheme="minorBidi"/>
      <w:b/>
      <w:bCs/>
      <w:color w:val="4F81BD" w:themeColor="accent1"/>
      <w:sz w:val="18"/>
      <w:szCs w:val="18"/>
    </w:rPr>
  </w:style>
  <w:style w:type="paragraph" w:customStyle="1" w:styleId="Pa4">
    <w:name w:val="Pa4"/>
    <w:basedOn w:val="Default"/>
    <w:next w:val="Default"/>
    <w:uiPriority w:val="99"/>
    <w:rsid w:val="004E4FC7"/>
    <w:pPr>
      <w:spacing w:line="201" w:lineRule="atLeast"/>
    </w:pPr>
    <w:rPr>
      <w:rFonts w:ascii="Myriad Pro" w:hAnsi="Myriad Pro" w:cstheme="minorBidi"/>
      <w:color w:val="auto"/>
    </w:rPr>
  </w:style>
  <w:style w:type="character" w:customStyle="1" w:styleId="A5">
    <w:name w:val="A5"/>
    <w:uiPriority w:val="99"/>
    <w:rsid w:val="004E4FC7"/>
    <w:rPr>
      <w:rFonts w:cs="Myriad Pro"/>
      <w:color w:val="000000"/>
    </w:rPr>
  </w:style>
  <w:style w:type="character" w:styleId="HTMLAcronym">
    <w:name w:val="HTML Acronym"/>
    <w:basedOn w:val="DefaultParagraphFont"/>
    <w:uiPriority w:val="99"/>
    <w:semiHidden/>
    <w:unhideWhenUsed/>
    <w:rsid w:val="004B3DF5"/>
  </w:style>
  <w:style w:type="paragraph" w:styleId="Revision">
    <w:name w:val="Revision"/>
    <w:hidden/>
    <w:uiPriority w:val="99"/>
    <w:semiHidden/>
    <w:rsid w:val="008C59E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88772B"/>
    <w:rPr>
      <w:color w:val="800080" w:themeColor="followedHyperlink"/>
      <w:u w:val="single"/>
    </w:rPr>
  </w:style>
  <w:style w:type="paragraph" w:customStyle="1" w:styleId="xmsonormal">
    <w:name w:val="x_msonormal"/>
    <w:basedOn w:val="Normal"/>
    <w:rsid w:val="0012765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OC1">
    <w:name w:val="toc 1"/>
    <w:basedOn w:val="Normal"/>
    <w:next w:val="Normal"/>
    <w:autoRedefine/>
    <w:uiPriority w:val="39"/>
    <w:unhideWhenUsed/>
    <w:rsid w:val="00440A05"/>
    <w:pPr>
      <w:tabs>
        <w:tab w:val="left" w:pos="440"/>
        <w:tab w:val="right" w:leader="dot" w:pos="9016"/>
      </w:tabs>
      <w:spacing w:after="0"/>
    </w:pPr>
  </w:style>
  <w:style w:type="paragraph" w:styleId="TOC2">
    <w:name w:val="toc 2"/>
    <w:basedOn w:val="Normal"/>
    <w:next w:val="Normal"/>
    <w:autoRedefine/>
    <w:uiPriority w:val="39"/>
    <w:unhideWhenUsed/>
    <w:rsid w:val="00AE2CAE"/>
    <w:pPr>
      <w:spacing w:after="100"/>
      <w:ind w:left="220"/>
    </w:pPr>
  </w:style>
  <w:style w:type="paragraph" w:styleId="TOC3">
    <w:name w:val="toc 3"/>
    <w:basedOn w:val="Normal"/>
    <w:next w:val="Normal"/>
    <w:autoRedefine/>
    <w:uiPriority w:val="39"/>
    <w:unhideWhenUsed/>
    <w:rsid w:val="00AE2CAE"/>
    <w:pPr>
      <w:spacing w:after="100"/>
      <w:ind w:left="440"/>
    </w:pPr>
  </w:style>
  <w:style w:type="paragraph" w:styleId="TableofFigures">
    <w:name w:val="table of figures"/>
    <w:basedOn w:val="Normal"/>
    <w:next w:val="Normal"/>
    <w:uiPriority w:val="99"/>
    <w:unhideWhenUsed/>
    <w:rsid w:val="00AE2CAE"/>
    <w:pPr>
      <w:spacing w:after="0"/>
    </w:pPr>
  </w:style>
  <w:style w:type="paragraph" w:styleId="TOCHeading">
    <w:name w:val="TOC Heading"/>
    <w:basedOn w:val="Heading1"/>
    <w:next w:val="Normal"/>
    <w:uiPriority w:val="39"/>
    <w:semiHidden/>
    <w:unhideWhenUsed/>
    <w:qFormat/>
    <w:rsid w:val="009C738D"/>
    <w:pPr>
      <w:numPr>
        <w:numId w:val="0"/>
      </w:numPr>
      <w:outlineLvl w:val="9"/>
    </w:pPr>
    <w:rPr>
      <w:rFonts w:asciiTheme="majorHAnsi" w:eastAsiaTheme="majorEastAsia" w:hAnsiTheme="majorHAnsi" w:cstheme="majorBidi"/>
      <w:color w:val="365F91" w:themeColor="accent1" w:themeShade="BF"/>
      <w:lang w:val="en-US" w:eastAsia="ja-JP"/>
    </w:rPr>
  </w:style>
  <w:style w:type="paragraph" w:customStyle="1" w:styleId="EndNoteBibliography">
    <w:name w:val="EndNote Bibliography"/>
    <w:basedOn w:val="Normal"/>
    <w:link w:val="EndNoteBibliographyChar"/>
    <w:rsid w:val="009C4392"/>
    <w:pPr>
      <w:spacing w:line="240" w:lineRule="auto"/>
    </w:pPr>
    <w:rPr>
      <w:rFonts w:eastAsiaTheme="minorHAnsi" w:cstheme="minorBidi"/>
      <w:noProof/>
      <w:lang w:val="en-US"/>
    </w:rPr>
  </w:style>
  <w:style w:type="character" w:customStyle="1" w:styleId="EndNoteBibliographyChar">
    <w:name w:val="EndNote Bibliography Char"/>
    <w:basedOn w:val="DefaultParagraphFont"/>
    <w:link w:val="EndNoteBibliography"/>
    <w:rsid w:val="009C4392"/>
    <w:rPr>
      <w:rFonts w:ascii="Calibri" w:eastAsiaTheme="minorHAnsi" w:hAnsi="Calibri"/>
      <w:noProof/>
      <w:sz w:val="22"/>
      <w:szCs w:val="22"/>
    </w:rPr>
  </w:style>
  <w:style w:type="character" w:customStyle="1" w:styleId="st">
    <w:name w:val="st"/>
    <w:basedOn w:val="DefaultParagraphFont"/>
    <w:rsid w:val="00475570"/>
  </w:style>
  <w:style w:type="character" w:customStyle="1" w:styleId="apple-tab-span">
    <w:name w:val="apple-tab-span"/>
    <w:basedOn w:val="DefaultParagraphFont"/>
    <w:rsid w:val="009979DD"/>
  </w:style>
  <w:style w:type="character" w:customStyle="1" w:styleId="maintitle">
    <w:name w:val="maintitle"/>
    <w:basedOn w:val="DefaultParagraphFont"/>
    <w:rsid w:val="00A2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931">
      <w:bodyDiv w:val="1"/>
      <w:marLeft w:val="0"/>
      <w:marRight w:val="0"/>
      <w:marTop w:val="0"/>
      <w:marBottom w:val="0"/>
      <w:divBdr>
        <w:top w:val="none" w:sz="0" w:space="0" w:color="auto"/>
        <w:left w:val="none" w:sz="0" w:space="0" w:color="auto"/>
        <w:bottom w:val="none" w:sz="0" w:space="0" w:color="auto"/>
        <w:right w:val="none" w:sz="0" w:space="0" w:color="auto"/>
      </w:divBdr>
    </w:div>
    <w:div w:id="354504296">
      <w:bodyDiv w:val="1"/>
      <w:marLeft w:val="0"/>
      <w:marRight w:val="0"/>
      <w:marTop w:val="0"/>
      <w:marBottom w:val="0"/>
      <w:divBdr>
        <w:top w:val="none" w:sz="0" w:space="0" w:color="auto"/>
        <w:left w:val="none" w:sz="0" w:space="0" w:color="auto"/>
        <w:bottom w:val="none" w:sz="0" w:space="0" w:color="auto"/>
        <w:right w:val="none" w:sz="0" w:space="0" w:color="auto"/>
      </w:divBdr>
    </w:div>
    <w:div w:id="454716333">
      <w:bodyDiv w:val="1"/>
      <w:marLeft w:val="0"/>
      <w:marRight w:val="0"/>
      <w:marTop w:val="0"/>
      <w:marBottom w:val="0"/>
      <w:divBdr>
        <w:top w:val="none" w:sz="0" w:space="0" w:color="auto"/>
        <w:left w:val="none" w:sz="0" w:space="0" w:color="auto"/>
        <w:bottom w:val="none" w:sz="0" w:space="0" w:color="auto"/>
        <w:right w:val="none" w:sz="0" w:space="0" w:color="auto"/>
      </w:divBdr>
    </w:div>
    <w:div w:id="465044829">
      <w:bodyDiv w:val="1"/>
      <w:marLeft w:val="0"/>
      <w:marRight w:val="0"/>
      <w:marTop w:val="0"/>
      <w:marBottom w:val="0"/>
      <w:divBdr>
        <w:top w:val="none" w:sz="0" w:space="0" w:color="auto"/>
        <w:left w:val="none" w:sz="0" w:space="0" w:color="auto"/>
        <w:bottom w:val="none" w:sz="0" w:space="0" w:color="auto"/>
        <w:right w:val="none" w:sz="0" w:space="0" w:color="auto"/>
      </w:divBdr>
    </w:div>
    <w:div w:id="508719939">
      <w:bodyDiv w:val="1"/>
      <w:marLeft w:val="0"/>
      <w:marRight w:val="0"/>
      <w:marTop w:val="0"/>
      <w:marBottom w:val="0"/>
      <w:divBdr>
        <w:top w:val="none" w:sz="0" w:space="0" w:color="auto"/>
        <w:left w:val="none" w:sz="0" w:space="0" w:color="auto"/>
        <w:bottom w:val="none" w:sz="0" w:space="0" w:color="auto"/>
        <w:right w:val="none" w:sz="0" w:space="0" w:color="auto"/>
      </w:divBdr>
    </w:div>
    <w:div w:id="546333576">
      <w:bodyDiv w:val="1"/>
      <w:marLeft w:val="0"/>
      <w:marRight w:val="0"/>
      <w:marTop w:val="0"/>
      <w:marBottom w:val="0"/>
      <w:divBdr>
        <w:top w:val="none" w:sz="0" w:space="0" w:color="auto"/>
        <w:left w:val="none" w:sz="0" w:space="0" w:color="auto"/>
        <w:bottom w:val="none" w:sz="0" w:space="0" w:color="auto"/>
        <w:right w:val="none" w:sz="0" w:space="0" w:color="auto"/>
      </w:divBdr>
    </w:div>
    <w:div w:id="782774202">
      <w:bodyDiv w:val="1"/>
      <w:marLeft w:val="0"/>
      <w:marRight w:val="0"/>
      <w:marTop w:val="0"/>
      <w:marBottom w:val="0"/>
      <w:divBdr>
        <w:top w:val="none" w:sz="0" w:space="0" w:color="auto"/>
        <w:left w:val="none" w:sz="0" w:space="0" w:color="auto"/>
        <w:bottom w:val="none" w:sz="0" w:space="0" w:color="auto"/>
        <w:right w:val="none" w:sz="0" w:space="0" w:color="auto"/>
      </w:divBdr>
    </w:div>
    <w:div w:id="815878631">
      <w:bodyDiv w:val="1"/>
      <w:marLeft w:val="0"/>
      <w:marRight w:val="0"/>
      <w:marTop w:val="0"/>
      <w:marBottom w:val="0"/>
      <w:divBdr>
        <w:top w:val="none" w:sz="0" w:space="0" w:color="auto"/>
        <w:left w:val="none" w:sz="0" w:space="0" w:color="auto"/>
        <w:bottom w:val="none" w:sz="0" w:space="0" w:color="auto"/>
        <w:right w:val="none" w:sz="0" w:space="0" w:color="auto"/>
      </w:divBdr>
    </w:div>
    <w:div w:id="1007949590">
      <w:bodyDiv w:val="1"/>
      <w:marLeft w:val="0"/>
      <w:marRight w:val="0"/>
      <w:marTop w:val="0"/>
      <w:marBottom w:val="0"/>
      <w:divBdr>
        <w:top w:val="none" w:sz="0" w:space="0" w:color="auto"/>
        <w:left w:val="none" w:sz="0" w:space="0" w:color="auto"/>
        <w:bottom w:val="none" w:sz="0" w:space="0" w:color="auto"/>
        <w:right w:val="none" w:sz="0" w:space="0" w:color="auto"/>
      </w:divBdr>
    </w:div>
    <w:div w:id="1049306753">
      <w:bodyDiv w:val="1"/>
      <w:marLeft w:val="0"/>
      <w:marRight w:val="0"/>
      <w:marTop w:val="0"/>
      <w:marBottom w:val="0"/>
      <w:divBdr>
        <w:top w:val="none" w:sz="0" w:space="0" w:color="auto"/>
        <w:left w:val="none" w:sz="0" w:space="0" w:color="auto"/>
        <w:bottom w:val="none" w:sz="0" w:space="0" w:color="auto"/>
        <w:right w:val="none" w:sz="0" w:space="0" w:color="auto"/>
      </w:divBdr>
    </w:div>
    <w:div w:id="1234852740">
      <w:bodyDiv w:val="1"/>
      <w:marLeft w:val="0"/>
      <w:marRight w:val="0"/>
      <w:marTop w:val="0"/>
      <w:marBottom w:val="0"/>
      <w:divBdr>
        <w:top w:val="none" w:sz="0" w:space="0" w:color="auto"/>
        <w:left w:val="none" w:sz="0" w:space="0" w:color="auto"/>
        <w:bottom w:val="none" w:sz="0" w:space="0" w:color="auto"/>
        <w:right w:val="none" w:sz="0" w:space="0" w:color="auto"/>
      </w:divBdr>
    </w:div>
    <w:div w:id="1352799660">
      <w:bodyDiv w:val="1"/>
      <w:marLeft w:val="0"/>
      <w:marRight w:val="0"/>
      <w:marTop w:val="0"/>
      <w:marBottom w:val="0"/>
      <w:divBdr>
        <w:top w:val="none" w:sz="0" w:space="0" w:color="auto"/>
        <w:left w:val="none" w:sz="0" w:space="0" w:color="auto"/>
        <w:bottom w:val="none" w:sz="0" w:space="0" w:color="auto"/>
        <w:right w:val="none" w:sz="0" w:space="0" w:color="auto"/>
      </w:divBdr>
    </w:div>
    <w:div w:id="1454136589">
      <w:bodyDiv w:val="1"/>
      <w:marLeft w:val="0"/>
      <w:marRight w:val="0"/>
      <w:marTop w:val="0"/>
      <w:marBottom w:val="0"/>
      <w:divBdr>
        <w:top w:val="none" w:sz="0" w:space="0" w:color="auto"/>
        <w:left w:val="none" w:sz="0" w:space="0" w:color="auto"/>
        <w:bottom w:val="none" w:sz="0" w:space="0" w:color="auto"/>
        <w:right w:val="none" w:sz="0" w:space="0" w:color="auto"/>
      </w:divBdr>
    </w:div>
    <w:div w:id="1471048746">
      <w:bodyDiv w:val="1"/>
      <w:marLeft w:val="0"/>
      <w:marRight w:val="0"/>
      <w:marTop w:val="0"/>
      <w:marBottom w:val="0"/>
      <w:divBdr>
        <w:top w:val="none" w:sz="0" w:space="0" w:color="auto"/>
        <w:left w:val="none" w:sz="0" w:space="0" w:color="auto"/>
        <w:bottom w:val="none" w:sz="0" w:space="0" w:color="auto"/>
        <w:right w:val="none" w:sz="0" w:space="0" w:color="auto"/>
      </w:divBdr>
    </w:div>
    <w:div w:id="1547252637">
      <w:bodyDiv w:val="1"/>
      <w:marLeft w:val="0"/>
      <w:marRight w:val="0"/>
      <w:marTop w:val="0"/>
      <w:marBottom w:val="0"/>
      <w:divBdr>
        <w:top w:val="none" w:sz="0" w:space="0" w:color="auto"/>
        <w:left w:val="none" w:sz="0" w:space="0" w:color="auto"/>
        <w:bottom w:val="none" w:sz="0" w:space="0" w:color="auto"/>
        <w:right w:val="none" w:sz="0" w:space="0" w:color="auto"/>
      </w:divBdr>
    </w:div>
    <w:div w:id="1663270833">
      <w:bodyDiv w:val="1"/>
      <w:marLeft w:val="0"/>
      <w:marRight w:val="0"/>
      <w:marTop w:val="0"/>
      <w:marBottom w:val="0"/>
      <w:divBdr>
        <w:top w:val="none" w:sz="0" w:space="0" w:color="auto"/>
        <w:left w:val="none" w:sz="0" w:space="0" w:color="auto"/>
        <w:bottom w:val="none" w:sz="0" w:space="0" w:color="auto"/>
        <w:right w:val="none" w:sz="0" w:space="0" w:color="auto"/>
      </w:divBdr>
    </w:div>
    <w:div w:id="1763843456">
      <w:bodyDiv w:val="1"/>
      <w:marLeft w:val="0"/>
      <w:marRight w:val="0"/>
      <w:marTop w:val="0"/>
      <w:marBottom w:val="0"/>
      <w:divBdr>
        <w:top w:val="none" w:sz="0" w:space="0" w:color="auto"/>
        <w:left w:val="none" w:sz="0" w:space="0" w:color="auto"/>
        <w:bottom w:val="none" w:sz="0" w:space="0" w:color="auto"/>
        <w:right w:val="none" w:sz="0" w:space="0" w:color="auto"/>
      </w:divBdr>
    </w:div>
    <w:div w:id="1861504908">
      <w:bodyDiv w:val="1"/>
      <w:marLeft w:val="0"/>
      <w:marRight w:val="0"/>
      <w:marTop w:val="0"/>
      <w:marBottom w:val="0"/>
      <w:divBdr>
        <w:top w:val="none" w:sz="0" w:space="0" w:color="auto"/>
        <w:left w:val="none" w:sz="0" w:space="0" w:color="auto"/>
        <w:bottom w:val="none" w:sz="0" w:space="0" w:color="auto"/>
        <w:right w:val="none" w:sz="0" w:space="0" w:color="auto"/>
      </w:divBdr>
    </w:div>
    <w:div w:id="1894154098">
      <w:bodyDiv w:val="1"/>
      <w:marLeft w:val="0"/>
      <w:marRight w:val="0"/>
      <w:marTop w:val="0"/>
      <w:marBottom w:val="0"/>
      <w:divBdr>
        <w:top w:val="none" w:sz="0" w:space="0" w:color="auto"/>
        <w:left w:val="none" w:sz="0" w:space="0" w:color="auto"/>
        <w:bottom w:val="none" w:sz="0" w:space="0" w:color="auto"/>
        <w:right w:val="none" w:sz="0" w:space="0" w:color="auto"/>
      </w:divBdr>
    </w:div>
    <w:div w:id="1967545433">
      <w:bodyDiv w:val="1"/>
      <w:marLeft w:val="0"/>
      <w:marRight w:val="0"/>
      <w:marTop w:val="0"/>
      <w:marBottom w:val="0"/>
      <w:divBdr>
        <w:top w:val="none" w:sz="0" w:space="0" w:color="auto"/>
        <w:left w:val="none" w:sz="0" w:space="0" w:color="auto"/>
        <w:bottom w:val="none" w:sz="0" w:space="0" w:color="auto"/>
        <w:right w:val="none" w:sz="0" w:space="0" w:color="auto"/>
      </w:divBdr>
    </w:div>
    <w:div w:id="1983651102">
      <w:bodyDiv w:val="1"/>
      <w:marLeft w:val="0"/>
      <w:marRight w:val="0"/>
      <w:marTop w:val="0"/>
      <w:marBottom w:val="0"/>
      <w:divBdr>
        <w:top w:val="none" w:sz="0" w:space="0" w:color="auto"/>
        <w:left w:val="none" w:sz="0" w:space="0" w:color="auto"/>
        <w:bottom w:val="none" w:sz="0" w:space="0" w:color="auto"/>
        <w:right w:val="none" w:sz="0" w:space="0" w:color="auto"/>
      </w:divBdr>
    </w:div>
    <w:div w:id="2008704229">
      <w:bodyDiv w:val="1"/>
      <w:marLeft w:val="0"/>
      <w:marRight w:val="0"/>
      <w:marTop w:val="0"/>
      <w:marBottom w:val="0"/>
      <w:divBdr>
        <w:top w:val="none" w:sz="0" w:space="0" w:color="auto"/>
        <w:left w:val="none" w:sz="0" w:space="0" w:color="auto"/>
        <w:bottom w:val="none" w:sz="0" w:space="0" w:color="auto"/>
        <w:right w:val="none" w:sz="0" w:space="0" w:color="auto"/>
      </w:divBdr>
    </w:div>
    <w:div w:id="2028821349">
      <w:bodyDiv w:val="1"/>
      <w:marLeft w:val="0"/>
      <w:marRight w:val="0"/>
      <w:marTop w:val="0"/>
      <w:marBottom w:val="0"/>
      <w:divBdr>
        <w:top w:val="none" w:sz="0" w:space="0" w:color="auto"/>
        <w:left w:val="none" w:sz="0" w:space="0" w:color="auto"/>
        <w:bottom w:val="none" w:sz="0" w:space="0" w:color="auto"/>
        <w:right w:val="none" w:sz="0" w:space="0" w:color="auto"/>
      </w:divBdr>
    </w:div>
    <w:div w:id="2120484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lana@cgiar.org"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yperlink" Target="http://apps.webofknowledge.com/OneClickSearch.do?product=UA&amp;search_mode=OneClickSearch&amp;excludeEventConfig=ExcludeIfFromFullRecPage&amp;SID=R1eIsBS2JORNCifyAzE&amp;field=AU&amp;value=Cook,%20Y"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hyperlink" Target="http://www.adas.co.uk/LinkClick.aspx?fileticket=vUJ2vlDHBjc%3D&amp;tabid=34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apps.webofknowledge.com/OneClickSearch.do?product=UA&amp;search_mode=OneClickSearch&amp;excludeEventConfig=ExcludeIfFromFullRecPage&amp;SID=R1eIsBS2JORNCifyAzE&amp;field=AU&amp;value=Watson,%20H"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hyperlink" Target="http://www.refresh.uc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apps.webofknowledge.com/OneClickSearch.do?product=UA&amp;search_mode=OneClickSearch&amp;excludeEventConfig=ExcludeIfFromFullRecPage&amp;SID=R1eIsBS2JORNCifyAzE&amp;field=AU&amp;value=Taylor,%20C" TargetMode="External"/><Relationship Id="rId40" Type="http://schemas.openxmlformats.org/officeDocument/2006/relationships/hyperlink" Target="http://apps.webofknowledge.com/OneClickSearch.do?product=UA&amp;search_mode=OneClickSearch&amp;SID=R1eIsBS2JORNCifyAzE&amp;field=AU&amp;value=Langan,%20SJ&amp;ut=6292624&amp;pos=%7b2%7d&amp;excludeEventConfig=ExcludeIfFromFullRecPag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hyperlink" Target="http://apps.webofknowledge.com/OneClickSearch.do?product=UA&amp;search_mode=OneClickSearch&amp;excludeEventConfig=ExcludeIfFromFullRecPage&amp;SID=R1eIsBS2JORNCifyAzE&amp;field=AU&amp;value=Johnston,%20L" TargetMode="External"/><Relationship Id="rId10" Type="http://schemas.openxmlformats.org/officeDocument/2006/relationships/hyperlink" Target="http://scotland.gov.uk/Topics/farmingrural/SRDP/Background/RDCsmanagementpaymentrate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balana@cgiar.org"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yperlink" Target="http://edina.ac.uk/agcensus/" TargetMode="External"/><Relationship Id="rId43" Type="http://schemas.openxmlformats.org/officeDocument/2006/relationships/hyperlink" Target="http://apps.sepa.org.uk/rbmp/pdf/23338.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1CD-C7F5-4882-8C55-43F83C7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7502</Words>
  <Characters>42767</Characters>
  <Application>Microsoft Office Word</Application>
  <DocSecurity>0</DocSecurity>
  <Lines>356</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James Hutton Institute</Company>
  <LinksUpToDate>false</LinksUpToDate>
  <CharactersWithSpaces>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Psaltopoulos</dc:creator>
  <cp:lastModifiedBy>Bedru Balana</cp:lastModifiedBy>
  <cp:revision>19</cp:revision>
  <cp:lastPrinted>2014-11-27T13:58:00Z</cp:lastPrinted>
  <dcterms:created xsi:type="dcterms:W3CDTF">2015-05-15T10:14:00Z</dcterms:created>
  <dcterms:modified xsi:type="dcterms:W3CDTF">2015-07-31T15:13:00Z</dcterms:modified>
</cp:coreProperties>
</file>