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4B" w:rsidRDefault="0087754B" w:rsidP="0087754B">
      <w:pPr>
        <w:pStyle w:val="Heading1"/>
      </w:pPr>
      <w:r>
        <w:t>Title page</w:t>
      </w:r>
    </w:p>
    <w:p w:rsidR="00317D0D" w:rsidRPr="00317D0D" w:rsidRDefault="00317D0D" w:rsidP="00317D0D"/>
    <w:p w:rsidR="00C35EDA" w:rsidRPr="001F33CB" w:rsidRDefault="00EB6608" w:rsidP="004D595F">
      <w:pPr>
        <w:pStyle w:val="Heading1"/>
      </w:pPr>
      <w:r w:rsidRPr="001F33CB">
        <w:t xml:space="preserve">The impact of </w:t>
      </w:r>
      <w:r w:rsidR="0035036D" w:rsidRPr="001F33CB">
        <w:t xml:space="preserve">a </w:t>
      </w:r>
      <w:r w:rsidRPr="001F33CB">
        <w:t xml:space="preserve">science qualification </w:t>
      </w:r>
      <w:r w:rsidR="004E1CE7" w:rsidRPr="001F33CB">
        <w:t>emphasising scientific</w:t>
      </w:r>
      <w:r w:rsidR="0035036D" w:rsidRPr="001F33CB">
        <w:t xml:space="preserve"> literacy </w:t>
      </w:r>
      <w:r w:rsidRPr="001F33CB">
        <w:t>on post-compulsory science participation: An analysis using national data</w:t>
      </w:r>
    </w:p>
    <w:p w:rsidR="00317D0D" w:rsidRDefault="00317D0D" w:rsidP="007B4F4A"/>
    <w:p w:rsidR="007B4F4A" w:rsidRPr="001F33CB" w:rsidRDefault="007B4F4A" w:rsidP="007B4F4A">
      <w:r w:rsidRPr="001F33CB">
        <w:t>Matt Homer</w:t>
      </w:r>
      <w:r w:rsidR="00317D0D">
        <w:t xml:space="preserve"> (corresponding author)</w:t>
      </w:r>
    </w:p>
    <w:p w:rsidR="00317D0D" w:rsidRPr="001F33CB" w:rsidRDefault="00317D0D" w:rsidP="00317D0D">
      <w:r w:rsidRPr="001F33CB">
        <w:t>Centre for Studies in Science and Mathematics Education, School of Education, University of Leeds, Leeds LS2 9JT, UK</w:t>
      </w:r>
      <w:r>
        <w:t xml:space="preserve">. </w:t>
      </w:r>
      <w:proofErr w:type="gramStart"/>
      <w:r>
        <w:t>(+) 44 (0) 113 343 4654.</w:t>
      </w:r>
      <w:proofErr w:type="gramEnd"/>
      <w:r>
        <w:t xml:space="preserve"> </w:t>
      </w:r>
      <w:hyperlink r:id="rId8" w:history="1">
        <w:r w:rsidRPr="001F33CB">
          <w:rPr>
            <w:rStyle w:val="Hyperlink"/>
          </w:rPr>
          <w:t>m.s.homer@leeds.ac.uk</w:t>
        </w:r>
      </w:hyperlink>
    </w:p>
    <w:p w:rsidR="00317D0D" w:rsidRDefault="00317D0D" w:rsidP="007B4F4A"/>
    <w:p w:rsidR="00317D0D" w:rsidRDefault="00317D0D" w:rsidP="007B4F4A"/>
    <w:p w:rsidR="007B4F4A" w:rsidRPr="001F33CB" w:rsidRDefault="007B4F4A" w:rsidP="007B4F4A">
      <w:r w:rsidRPr="001F33CB">
        <w:t>Jim Ryder</w:t>
      </w:r>
    </w:p>
    <w:p w:rsidR="007B4F4A" w:rsidRPr="001F33CB" w:rsidRDefault="007B4F4A" w:rsidP="007B4F4A">
      <w:r w:rsidRPr="001F33CB">
        <w:t>Centre for Studies in Science and Mathematics Education, School of Education, University of Leeds, Leeds LS2 9JT, UK</w:t>
      </w:r>
      <w:r w:rsidR="00317D0D">
        <w:t xml:space="preserve">.  </w:t>
      </w:r>
      <w:proofErr w:type="gramStart"/>
      <w:r w:rsidR="00317D0D">
        <w:t>(+) 44 (0) 113 343 4589.</w:t>
      </w:r>
      <w:proofErr w:type="gramEnd"/>
      <w:r w:rsidR="00317D0D">
        <w:t xml:space="preserve"> </w:t>
      </w:r>
      <w:hyperlink r:id="rId9" w:history="1">
        <w:r w:rsidR="00317D0D" w:rsidRPr="00467F87">
          <w:rPr>
            <w:rStyle w:val="Hyperlink"/>
          </w:rPr>
          <w:t>J.Ryder@education.leeds.ac.uk</w:t>
        </w:r>
      </w:hyperlink>
      <w:r w:rsidR="00317D0D">
        <w:t xml:space="preserve"> </w:t>
      </w:r>
    </w:p>
    <w:p w:rsidR="00317D0D" w:rsidRDefault="00317D0D" w:rsidP="007B4F4A"/>
    <w:p w:rsidR="00317D0D" w:rsidRDefault="00317D0D" w:rsidP="007B4F4A"/>
    <w:p w:rsidR="00317D0D" w:rsidRDefault="00317D0D" w:rsidP="007B4F4A"/>
    <w:p w:rsidR="007B4F4A" w:rsidRPr="001F33CB" w:rsidRDefault="00317D0D" w:rsidP="007B4F4A">
      <w:r>
        <w:t>Corresponding author</w:t>
      </w:r>
      <w:r w:rsidR="007B4F4A" w:rsidRPr="001F33CB">
        <w:t xml:space="preserve">: </w:t>
      </w:r>
      <w:hyperlink r:id="rId10" w:history="1">
        <w:r w:rsidR="007B4F4A" w:rsidRPr="001F33CB">
          <w:rPr>
            <w:rStyle w:val="Hyperlink"/>
          </w:rPr>
          <w:t>m.s.homer@leeds.ac.uk</w:t>
        </w:r>
      </w:hyperlink>
      <w:r w:rsidR="007B4F4A" w:rsidRPr="001F33CB">
        <w:t xml:space="preserve"> </w:t>
      </w:r>
    </w:p>
    <w:p w:rsidR="00500654" w:rsidRPr="001F33CB" w:rsidRDefault="00500654" w:rsidP="00C02503"/>
    <w:p w:rsidR="0087754B" w:rsidRDefault="0087754B">
      <w:pPr>
        <w:spacing w:after="200"/>
        <w:rPr>
          <w:rFonts w:eastAsiaTheme="majorEastAsia"/>
          <w:b/>
          <w:bCs/>
          <w:sz w:val="36"/>
          <w:szCs w:val="28"/>
        </w:rPr>
      </w:pPr>
      <w:r>
        <w:br w:type="page"/>
      </w:r>
    </w:p>
    <w:p w:rsidR="006C6F78" w:rsidRPr="001F33CB" w:rsidRDefault="006C6F78" w:rsidP="00C53E2E">
      <w:pPr>
        <w:pStyle w:val="Heading2"/>
      </w:pPr>
      <w:r w:rsidRPr="001F33CB">
        <w:lastRenderedPageBreak/>
        <w:t>Abstract</w:t>
      </w:r>
    </w:p>
    <w:p w:rsidR="00FB4F7B" w:rsidRDefault="006C6F78" w:rsidP="006C6F78">
      <w:r w:rsidRPr="001F33CB">
        <w:t xml:space="preserve">In 2006 in England an innovative suite of science </w:t>
      </w:r>
      <w:r w:rsidR="009A17A8" w:rsidRPr="001F33CB">
        <w:t>qualifications</w:t>
      </w:r>
      <w:r w:rsidRPr="001F33CB">
        <w:t xml:space="preserve"> </w:t>
      </w:r>
      <w:r w:rsidR="00DA2C12" w:rsidRPr="001F33CB">
        <w:t xml:space="preserve">for </w:t>
      </w:r>
      <w:r w:rsidRPr="001F33CB">
        <w:t xml:space="preserve">14-16 </w:t>
      </w:r>
      <w:r w:rsidR="00DA2C12" w:rsidRPr="001F33CB">
        <w:t xml:space="preserve">year olds </w:t>
      </w:r>
      <w:r w:rsidRPr="001F33CB">
        <w:t xml:space="preserve">called </w:t>
      </w:r>
      <w:r w:rsidR="009A17A8" w:rsidRPr="001F33CB">
        <w:t>Twenty First Century Science</w:t>
      </w:r>
      <w:r w:rsidRPr="001F33CB">
        <w:t xml:space="preserve"> (21CS) was introduced.  These </w:t>
      </w:r>
      <w:r w:rsidR="009A17A8" w:rsidRPr="001F33CB">
        <w:t>qualifications</w:t>
      </w:r>
      <w:r w:rsidRPr="001F33CB">
        <w:t xml:space="preserve"> have a </w:t>
      </w:r>
      <w:r w:rsidR="00D40E87" w:rsidRPr="001F33CB">
        <w:t xml:space="preserve">strong </w:t>
      </w:r>
      <w:r w:rsidRPr="001F33CB">
        <w:t>foc</w:t>
      </w:r>
      <w:r w:rsidR="005B4757" w:rsidRPr="001F33CB">
        <w:t xml:space="preserve">us on </w:t>
      </w:r>
      <w:r w:rsidR="005E6316" w:rsidRPr="001F33CB">
        <w:t>developing</w:t>
      </w:r>
      <w:r w:rsidRPr="001F33CB">
        <w:t xml:space="preserve"> scientific literacy</w:t>
      </w:r>
      <w:r w:rsidR="005E6316" w:rsidRPr="001F33CB">
        <w:t xml:space="preserve"> in</w:t>
      </w:r>
      <w:r w:rsidRPr="001F33CB">
        <w:t xml:space="preserve"> all</w:t>
      </w:r>
      <w:r w:rsidR="005E6316" w:rsidRPr="001F33CB">
        <w:t xml:space="preserve"> students</w:t>
      </w:r>
      <w:r w:rsidRPr="001F33CB">
        <w:t xml:space="preserve"> whilst simultaneously providing preparation for </w:t>
      </w:r>
      <w:r w:rsidR="005E6316" w:rsidRPr="001F33CB">
        <w:t xml:space="preserve">the study of </w:t>
      </w:r>
      <w:r w:rsidRPr="001F33CB">
        <w:t>post-compulsory science</w:t>
      </w:r>
      <w:r w:rsidR="00500654" w:rsidRPr="001F33CB">
        <w:t xml:space="preserve"> for a smaller proportion of students</w:t>
      </w:r>
      <w:r w:rsidRPr="001F33CB">
        <w:t xml:space="preserve">. </w:t>
      </w:r>
      <w:r w:rsidR="00F74E8E" w:rsidRPr="001F33CB">
        <w:t xml:space="preserve">Claims have been made that such an innovative qualification would impact significantly on post-compulsory science participation – either positively or negatively.  </w:t>
      </w:r>
      <w:r w:rsidR="005E6316" w:rsidRPr="001F33CB">
        <w:t>Using national data</w:t>
      </w:r>
      <w:r w:rsidR="00BA5611" w:rsidRPr="001F33CB">
        <w:t xml:space="preserve"> in England</w:t>
      </w:r>
      <w:r w:rsidR="00C573C6" w:rsidRPr="001F33CB">
        <w:t xml:space="preserve"> to track one </w:t>
      </w:r>
      <w:r w:rsidR="00500654" w:rsidRPr="001F33CB">
        <w:t>cohort of students over 2007-2011</w:t>
      </w:r>
      <w:r w:rsidR="005E6316" w:rsidRPr="001F33CB">
        <w:t>, t</w:t>
      </w:r>
      <w:r w:rsidRPr="001F33CB">
        <w:t xml:space="preserve">his study </w:t>
      </w:r>
      <w:r w:rsidR="005E6316" w:rsidRPr="001F33CB">
        <w:t xml:space="preserve">compares </w:t>
      </w:r>
      <w:r w:rsidRPr="001F33CB">
        <w:t xml:space="preserve">progression </w:t>
      </w:r>
      <w:r w:rsidR="005E6316" w:rsidRPr="001F33CB">
        <w:t xml:space="preserve">rates </w:t>
      </w:r>
      <w:r w:rsidRPr="001F33CB">
        <w:t xml:space="preserve">to post-compulsory science </w:t>
      </w:r>
      <w:r w:rsidR="009A17A8" w:rsidRPr="001F33CB">
        <w:t>qualifications</w:t>
      </w:r>
      <w:r w:rsidRPr="001F33CB">
        <w:t xml:space="preserve"> in England</w:t>
      </w:r>
      <w:r w:rsidR="005E6316" w:rsidRPr="001F33CB">
        <w:t xml:space="preserve"> between 21CS </w:t>
      </w:r>
      <w:r w:rsidR="009A17A8" w:rsidRPr="001F33CB">
        <w:t>qualifications</w:t>
      </w:r>
      <w:r w:rsidR="005E6316" w:rsidRPr="001F33CB">
        <w:t xml:space="preserve"> and </w:t>
      </w:r>
      <w:r w:rsidR="00515CCC" w:rsidRPr="001F33CB">
        <w:t xml:space="preserve">more traditional </w:t>
      </w:r>
      <w:r w:rsidR="005E6316" w:rsidRPr="001F33CB">
        <w:t xml:space="preserve">non-21CS </w:t>
      </w:r>
      <w:r w:rsidR="009A17A8" w:rsidRPr="001F33CB">
        <w:t>qualifications</w:t>
      </w:r>
      <w:r w:rsidR="005E6316" w:rsidRPr="001F33CB">
        <w:t xml:space="preserve">. Methods </w:t>
      </w:r>
      <w:r w:rsidR="00697ECF" w:rsidRPr="001F33CB">
        <w:t xml:space="preserve">employed </w:t>
      </w:r>
      <w:r w:rsidR="005E6316" w:rsidRPr="001F33CB">
        <w:t xml:space="preserve">include simple comparisons of proportions progressing from each </w:t>
      </w:r>
      <w:r w:rsidR="009A17A8" w:rsidRPr="001F33CB">
        <w:t>qualification</w:t>
      </w:r>
      <w:r w:rsidR="00BA5611" w:rsidRPr="001F33CB">
        <w:t>,</w:t>
      </w:r>
      <w:r w:rsidRPr="001F33CB">
        <w:t xml:space="preserve"> </w:t>
      </w:r>
      <w:r w:rsidR="005E6316" w:rsidRPr="001F33CB">
        <w:t xml:space="preserve">and more complex </w:t>
      </w:r>
      <w:r w:rsidR="009A0E5B">
        <w:t>multi-level</w:t>
      </w:r>
      <w:r w:rsidR="009A0E5B" w:rsidRPr="001F33CB">
        <w:t xml:space="preserve"> </w:t>
      </w:r>
      <w:r w:rsidR="005E6316" w:rsidRPr="001F33CB">
        <w:t xml:space="preserve">modelling approaches that take account of </w:t>
      </w:r>
      <w:r w:rsidR="00BA5611" w:rsidRPr="001F33CB">
        <w:t xml:space="preserve">both </w:t>
      </w:r>
      <w:r w:rsidR="009A0E5B">
        <w:t xml:space="preserve">students </w:t>
      </w:r>
      <w:r w:rsidR="00BA5611" w:rsidRPr="001F33CB">
        <w:t>cluster</w:t>
      </w:r>
      <w:r w:rsidR="009A0E5B">
        <w:t>ed</w:t>
      </w:r>
      <w:r w:rsidR="00BA5611" w:rsidRPr="001F33CB">
        <w:t xml:space="preserve"> in schools, and </w:t>
      </w:r>
      <w:r w:rsidR="00F73E69" w:rsidRPr="001F33CB">
        <w:t xml:space="preserve">potentially </w:t>
      </w:r>
      <w:r w:rsidR="005E6316" w:rsidRPr="001F33CB">
        <w:t xml:space="preserve">differing demographic and achievement profiles of </w:t>
      </w:r>
      <w:r w:rsidR="00BA5611" w:rsidRPr="001F33CB">
        <w:t xml:space="preserve">students in </w:t>
      </w:r>
      <w:r w:rsidR="005E6316" w:rsidRPr="001F33CB">
        <w:t xml:space="preserve">two groups of </w:t>
      </w:r>
      <w:r w:rsidR="009A17A8" w:rsidRPr="001F33CB">
        <w:t>qualifications</w:t>
      </w:r>
      <w:r w:rsidR="005E6316" w:rsidRPr="001F33CB">
        <w:t>.</w:t>
      </w:r>
      <w:r w:rsidR="00BA5611" w:rsidRPr="001F33CB">
        <w:t xml:space="preserve"> </w:t>
      </w:r>
      <w:r w:rsidR="00335E2D" w:rsidRPr="001F33CB">
        <w:t>A</w:t>
      </w:r>
      <w:r w:rsidR="00FB4F7B" w:rsidRPr="001F33CB">
        <w:t xml:space="preserve"> simple </w:t>
      </w:r>
      <w:r w:rsidR="00335E2D" w:rsidRPr="001F33CB">
        <w:t>descriptive analysis shows</w:t>
      </w:r>
      <w:r w:rsidR="00BA5611" w:rsidRPr="001F33CB">
        <w:t xml:space="preserve"> that there is </w:t>
      </w:r>
      <w:r w:rsidR="001A06C0" w:rsidRPr="001F33CB">
        <w:t xml:space="preserve">very </w:t>
      </w:r>
      <w:r w:rsidR="009A17A8" w:rsidRPr="001F33CB">
        <w:t xml:space="preserve">little </w:t>
      </w:r>
      <w:r w:rsidR="00BA5611" w:rsidRPr="001F33CB">
        <w:t xml:space="preserve">difference in overall progression rates between the two types of </w:t>
      </w:r>
      <w:r w:rsidR="005B4757" w:rsidRPr="001F33CB">
        <w:t xml:space="preserve">14-16 </w:t>
      </w:r>
      <w:r w:rsidR="00BA5611" w:rsidRPr="001F33CB">
        <w:t xml:space="preserve">science </w:t>
      </w:r>
      <w:r w:rsidR="009A17A8" w:rsidRPr="001F33CB">
        <w:t>qualification)</w:t>
      </w:r>
      <w:r w:rsidR="00335E2D" w:rsidRPr="001F33CB">
        <w:t xml:space="preserve">. </w:t>
      </w:r>
      <w:r w:rsidR="00FB4F7B" w:rsidRPr="001F33CB">
        <w:t>M</w:t>
      </w:r>
      <w:r w:rsidR="00BA5611" w:rsidRPr="001F33CB">
        <w:t xml:space="preserve">ore </w:t>
      </w:r>
      <w:r w:rsidR="000F305C" w:rsidRPr="001F33CB">
        <w:t>fine-grained</w:t>
      </w:r>
      <w:r w:rsidR="00E37A12" w:rsidRPr="001F33CB">
        <w:t xml:space="preserve"> descriptive</w:t>
      </w:r>
      <w:r w:rsidR="00BA5611" w:rsidRPr="001F33CB">
        <w:t xml:space="preserve"> analys</w:t>
      </w:r>
      <w:r w:rsidR="00FB4F7B" w:rsidRPr="001F33CB">
        <w:t>e</w:t>
      </w:r>
      <w:r w:rsidR="00BA5611" w:rsidRPr="001F33CB">
        <w:t xml:space="preserve">s </w:t>
      </w:r>
      <w:r w:rsidR="00FB4F7B" w:rsidRPr="001F33CB">
        <w:t xml:space="preserve">show </w:t>
      </w:r>
      <w:r w:rsidR="00BA5611" w:rsidRPr="001F33CB">
        <w:t xml:space="preserve">there are </w:t>
      </w:r>
      <w:r w:rsidR="00697ECF" w:rsidRPr="001F33CB">
        <w:t xml:space="preserve">some </w:t>
      </w:r>
      <w:r w:rsidR="004D595F" w:rsidRPr="001F33CB">
        <w:t xml:space="preserve">important </w:t>
      </w:r>
      <w:r w:rsidR="00BA5611" w:rsidRPr="001F33CB">
        <w:t>differences</w:t>
      </w:r>
      <w:r w:rsidR="00E37A12" w:rsidRPr="001F33CB">
        <w:t>, based</w:t>
      </w:r>
      <w:r w:rsidR="00500654" w:rsidRPr="001F33CB">
        <w:t xml:space="preserve"> in particular</w:t>
      </w:r>
      <w:r w:rsidR="00BA5611" w:rsidRPr="001F33CB">
        <w:t xml:space="preserve"> on</w:t>
      </w:r>
      <w:r w:rsidR="004D595F" w:rsidRPr="001F33CB">
        <w:t xml:space="preserve"> the interaction between</w:t>
      </w:r>
      <w:r w:rsidR="00BA5611" w:rsidRPr="001F33CB">
        <w:t xml:space="preserve"> the </w:t>
      </w:r>
      <w:r w:rsidR="00424597" w:rsidRPr="001F33CB">
        <w:t xml:space="preserve">amount </w:t>
      </w:r>
      <w:r w:rsidR="00BA5611" w:rsidRPr="001F33CB">
        <w:t xml:space="preserve">of science </w:t>
      </w:r>
      <w:r w:rsidR="00424597" w:rsidRPr="001F33CB">
        <w:t xml:space="preserve">studied </w:t>
      </w:r>
      <w:r w:rsidR="00BA5611" w:rsidRPr="001F33CB">
        <w:t xml:space="preserve">at age 14-16, and on the post-16 science </w:t>
      </w:r>
      <w:r w:rsidR="009A17A8" w:rsidRPr="001F33CB">
        <w:t>qualification</w:t>
      </w:r>
      <w:r w:rsidR="00BA5611" w:rsidRPr="001F33CB">
        <w:t xml:space="preserve"> </w:t>
      </w:r>
      <w:r w:rsidR="00500654" w:rsidRPr="001F33CB">
        <w:t xml:space="preserve">chosen </w:t>
      </w:r>
      <w:r w:rsidR="00BA5611" w:rsidRPr="001F33CB">
        <w:t>(biology, chemistry or physics).</w:t>
      </w:r>
      <w:r w:rsidR="00586220" w:rsidRPr="001F33CB">
        <w:t xml:space="preserve"> </w:t>
      </w:r>
      <w:r w:rsidR="00FB4F7B" w:rsidRPr="001F33CB">
        <w:t>Furthermore,</w:t>
      </w:r>
      <w:r w:rsidR="00586220" w:rsidRPr="001F33CB">
        <w:t xml:space="preserve"> </w:t>
      </w:r>
      <w:r w:rsidR="00FB4F7B" w:rsidRPr="001F33CB">
        <w:t xml:space="preserve">more </w:t>
      </w:r>
      <w:r w:rsidR="00AA1D6E" w:rsidRPr="001F33CB">
        <w:t>sophisticated modelling</w:t>
      </w:r>
      <w:r w:rsidR="00E37A12" w:rsidRPr="001F33CB">
        <w:t xml:space="preserve"> </w:t>
      </w:r>
      <w:r w:rsidR="00D40E87" w:rsidRPr="001F33CB">
        <w:t xml:space="preserve">analyses indicate </w:t>
      </w:r>
      <w:r w:rsidR="00E37A12" w:rsidRPr="001F33CB">
        <w:t xml:space="preserve">a </w:t>
      </w:r>
      <w:r w:rsidR="00867C88" w:rsidRPr="001F33CB">
        <w:t xml:space="preserve">consistently </w:t>
      </w:r>
      <w:r w:rsidR="00E37A12" w:rsidRPr="001F33CB">
        <w:t>negative</w:t>
      </w:r>
      <w:r w:rsidR="00274217">
        <w:t xml:space="preserve"> </w:t>
      </w:r>
      <w:r w:rsidR="00D40E87" w:rsidRPr="001F33CB">
        <w:t>small</w:t>
      </w:r>
      <w:r w:rsidR="00775B94">
        <w:t xml:space="preserve"> </w:t>
      </w:r>
      <w:r w:rsidR="00274217">
        <w:t>to moderate</w:t>
      </w:r>
      <w:r w:rsidR="00E37A12" w:rsidRPr="001F33CB">
        <w:t xml:space="preserve"> impact on progression </w:t>
      </w:r>
      <w:r w:rsidR="00FB4F7B" w:rsidRPr="001F33CB">
        <w:t xml:space="preserve">from </w:t>
      </w:r>
      <w:r w:rsidR="00E37A12" w:rsidRPr="001F33CB">
        <w:t xml:space="preserve">the 21CS </w:t>
      </w:r>
      <w:r w:rsidR="009A17A8" w:rsidRPr="001F33CB">
        <w:t>qualification</w:t>
      </w:r>
      <w:r w:rsidR="00867C88" w:rsidRPr="001F33CB">
        <w:t xml:space="preserve">. </w:t>
      </w:r>
      <w:r w:rsidR="00D40E87" w:rsidRPr="001F33CB">
        <w:t xml:space="preserve">Overall, our findings suggest that the </w:t>
      </w:r>
      <w:r w:rsidR="00A13DC8" w:rsidRPr="001F33CB">
        <w:t>emphasis on scientific literacy within</w:t>
      </w:r>
      <w:r w:rsidR="00D40E87" w:rsidRPr="001F33CB">
        <w:t xml:space="preserve"> the 21CS qualification suite has not had a </w:t>
      </w:r>
      <w:r w:rsidR="00885FC9" w:rsidRPr="001F33CB">
        <w:t xml:space="preserve">major </w:t>
      </w:r>
      <w:r w:rsidR="00D40E87" w:rsidRPr="001F33CB">
        <w:t xml:space="preserve">impact on </w:t>
      </w:r>
      <w:r w:rsidR="00A13DC8" w:rsidRPr="001F33CB">
        <w:t xml:space="preserve">the uptake of </w:t>
      </w:r>
      <w:r w:rsidR="00D40E87" w:rsidRPr="001F33CB">
        <w:t>post-compulsory science</w:t>
      </w:r>
      <w:r w:rsidR="00A13DC8" w:rsidRPr="001F33CB">
        <w:t xml:space="preserve"> qualifications. </w:t>
      </w:r>
    </w:p>
    <w:p w:rsidR="00C53E2E" w:rsidRDefault="00C53E2E" w:rsidP="006C6F78"/>
    <w:p w:rsidR="00C53E2E" w:rsidRDefault="00C53E2E" w:rsidP="00C53E2E">
      <w:pPr>
        <w:pStyle w:val="Heading2"/>
      </w:pPr>
      <w:r>
        <w:lastRenderedPageBreak/>
        <w:t>Key words</w:t>
      </w:r>
    </w:p>
    <w:p w:rsidR="00C53E2E" w:rsidRDefault="00C53E2E" w:rsidP="00C53E2E">
      <w:r>
        <w:t>Scientific literacy, curriculum reform, post-compulsory participation</w:t>
      </w:r>
    </w:p>
    <w:p w:rsidR="00C53E2E" w:rsidRPr="001F33CB" w:rsidRDefault="00C53E2E" w:rsidP="006C6F78"/>
    <w:p w:rsidR="006C6F78" w:rsidRDefault="006C6F78"/>
    <w:p w:rsidR="0087754B" w:rsidRPr="00792194" w:rsidRDefault="0087754B" w:rsidP="00C53E2E">
      <w:pPr>
        <w:pStyle w:val="Heading2"/>
      </w:pPr>
      <w:r w:rsidRPr="00792194">
        <w:t>Word Count</w:t>
      </w:r>
    </w:p>
    <w:p w:rsidR="0087754B" w:rsidRDefault="000A3F8B" w:rsidP="0087754B">
      <w:r>
        <w:t>4,400</w:t>
      </w:r>
    </w:p>
    <w:p w:rsidR="0087754B" w:rsidRDefault="0087754B" w:rsidP="0087754B"/>
    <w:p w:rsidR="00317D0D" w:rsidRDefault="00317D0D" w:rsidP="0087754B"/>
    <w:p w:rsidR="00317D0D" w:rsidRDefault="00317D0D" w:rsidP="00C53E2E">
      <w:pPr>
        <w:pStyle w:val="Heading2"/>
      </w:pPr>
      <w:r w:rsidRPr="00792194">
        <w:t>Biographical note</w:t>
      </w:r>
    </w:p>
    <w:p w:rsidR="00317D0D" w:rsidRDefault="00317D0D" w:rsidP="00317D0D">
      <w:r>
        <w:t>Matt Homer</w:t>
      </w:r>
      <w:r w:rsidR="00383CBB">
        <w:t xml:space="preserve"> is a Senior Research Fellow and Chartered Statistician working at the University </w:t>
      </w:r>
      <w:proofErr w:type="gramStart"/>
      <w:r w:rsidR="00383CBB">
        <w:t>of</w:t>
      </w:r>
      <w:proofErr w:type="gramEnd"/>
      <w:r w:rsidR="00383CBB">
        <w:t xml:space="preserve"> Leeds</w:t>
      </w:r>
      <w:r w:rsidR="00263D1C">
        <w:t>, UK</w:t>
      </w:r>
      <w:r w:rsidR="00383CBB">
        <w:t>. His research interests include the influences on participation and attainment in school science, and he has a wider interest in quantitative research methods and psychometrics.</w:t>
      </w:r>
    </w:p>
    <w:p w:rsidR="00317D0D" w:rsidRDefault="00317D0D" w:rsidP="00317D0D"/>
    <w:p w:rsidR="00FE45DB" w:rsidRDefault="00FE45DB" w:rsidP="00263D1C">
      <w:pPr>
        <w:rPr>
          <w:b/>
          <w:bCs/>
        </w:rPr>
      </w:pPr>
      <w:r w:rsidRPr="00FE45DB">
        <w:t xml:space="preserve">Jim Ryder is Professor of Science Education and, Director of the Centre for Studies in Science and Mathematics Education (CSSME), at the University </w:t>
      </w:r>
      <w:proofErr w:type="gramStart"/>
      <w:r w:rsidRPr="00FE45DB">
        <w:t>of</w:t>
      </w:r>
      <w:proofErr w:type="gramEnd"/>
      <w:r w:rsidRPr="00FE45DB">
        <w:t xml:space="preserve"> Leeds, UK. His research examines the development and enactment of school science curriculum reform.</w:t>
      </w:r>
    </w:p>
    <w:p w:rsidR="0087754B" w:rsidRPr="0087754B" w:rsidRDefault="0087754B" w:rsidP="0087754B"/>
    <w:p w:rsidR="007B4F4A" w:rsidRPr="001F33CB" w:rsidRDefault="007B4F4A">
      <w:pPr>
        <w:spacing w:after="200"/>
        <w:rPr>
          <w:rFonts w:eastAsiaTheme="majorEastAsia"/>
          <w:b/>
          <w:bCs/>
          <w:sz w:val="28"/>
          <w:szCs w:val="26"/>
        </w:rPr>
      </w:pPr>
      <w:r w:rsidRPr="001F33CB">
        <w:br w:type="page"/>
      </w:r>
    </w:p>
    <w:p w:rsidR="00184408" w:rsidRPr="001F33CB" w:rsidRDefault="00184408" w:rsidP="00215F6B">
      <w:pPr>
        <w:pStyle w:val="Heading2"/>
      </w:pPr>
      <w:r w:rsidRPr="001F33CB">
        <w:lastRenderedPageBreak/>
        <w:t>Introduction</w:t>
      </w:r>
    </w:p>
    <w:p w:rsidR="00BF0C3F" w:rsidRPr="001F33CB" w:rsidRDefault="00F73476" w:rsidP="00752678">
      <w:r w:rsidRPr="001F33CB">
        <w:t>T</w:t>
      </w:r>
      <w:r w:rsidR="004E600B" w:rsidRPr="001F33CB">
        <w:t>he</w:t>
      </w:r>
      <w:r w:rsidRPr="001F33CB">
        <w:t>re are many distinct</w:t>
      </w:r>
      <w:r w:rsidR="004E600B" w:rsidRPr="001F33CB">
        <w:t xml:space="preserve"> </w:t>
      </w:r>
      <w:r w:rsidRPr="001F33CB">
        <w:t xml:space="preserve">aims ascribed to the </w:t>
      </w:r>
      <w:r w:rsidR="004E600B" w:rsidRPr="001F33CB">
        <w:t>compulsory school science curriculum</w:t>
      </w:r>
      <w:r w:rsidRPr="001F33CB">
        <w:t xml:space="preserve"> by a broad range of stakeholders</w:t>
      </w:r>
      <w:r w:rsidR="00A03502">
        <w:t xml:space="preserve"> </w:t>
      </w:r>
      <w:r w:rsidR="002E04B5" w:rsidRPr="002E04B5">
        <w:t>(</w:t>
      </w:r>
      <w:proofErr w:type="spellStart"/>
      <w:r w:rsidR="002E04B5" w:rsidRPr="002E04B5">
        <w:t>Fensham</w:t>
      </w:r>
      <w:proofErr w:type="spellEnd"/>
      <w:r w:rsidR="002E04B5" w:rsidRPr="002E04B5">
        <w:t>, 2009; Ryder &amp; Banner, 2011)</w:t>
      </w:r>
      <w:r w:rsidR="004E600B" w:rsidRPr="001F33CB">
        <w:t>. These</w:t>
      </w:r>
      <w:r w:rsidR="00396E59" w:rsidRPr="001F33CB">
        <w:t xml:space="preserve"> aims </w:t>
      </w:r>
      <w:r w:rsidR="004E600B" w:rsidRPr="001F33CB">
        <w:t>include promoting the goals of scientific literacy</w:t>
      </w:r>
      <w:r w:rsidR="00F73E69" w:rsidRPr="001F33CB">
        <w:t xml:space="preserve"> for all students</w:t>
      </w:r>
      <w:r w:rsidR="00AF0EFC">
        <w:t xml:space="preserve"> </w:t>
      </w:r>
      <w:r w:rsidR="002E04B5" w:rsidRPr="002E04B5">
        <w:t xml:space="preserve">(Roberts &amp; </w:t>
      </w:r>
      <w:proofErr w:type="spellStart"/>
      <w:r w:rsidR="002E04B5" w:rsidRPr="002E04B5">
        <w:t>Bybee</w:t>
      </w:r>
      <w:proofErr w:type="spellEnd"/>
      <w:r w:rsidR="002E04B5" w:rsidRPr="002E04B5">
        <w:t>, 2014</w:t>
      </w:r>
      <w:r w:rsidR="00255980">
        <w:t>, chapter 7</w:t>
      </w:r>
      <w:r w:rsidR="002E04B5" w:rsidRPr="002E04B5">
        <w:t>)</w:t>
      </w:r>
      <w:r w:rsidR="004E600B" w:rsidRPr="001F33CB">
        <w:t xml:space="preserve">, preparation for post-compulsory science </w:t>
      </w:r>
      <w:r w:rsidR="009A17A8" w:rsidRPr="001F33CB">
        <w:t>qualifications</w:t>
      </w:r>
      <w:r w:rsidR="00CC30CF">
        <w:t xml:space="preserve"> </w:t>
      </w:r>
      <w:r w:rsidR="002E04B5" w:rsidRPr="002E04B5">
        <w:t>(The Royal Society, 2008)</w:t>
      </w:r>
      <w:r w:rsidR="004E600B" w:rsidRPr="001F33CB">
        <w:t>, increasing the future employability of students</w:t>
      </w:r>
      <w:r w:rsidR="00BB1683" w:rsidRPr="001F33CB">
        <w:t>, and increasing social mobility</w:t>
      </w:r>
      <w:r w:rsidR="00CC30CF">
        <w:t xml:space="preserve"> </w:t>
      </w:r>
      <w:r w:rsidR="002E04B5" w:rsidRPr="002E04B5">
        <w:t>(DfES, 2005)</w:t>
      </w:r>
      <w:r w:rsidR="004E600B" w:rsidRPr="001F33CB">
        <w:t xml:space="preserve">. </w:t>
      </w:r>
      <w:r w:rsidR="000E26E3" w:rsidRPr="001F33CB">
        <w:t xml:space="preserve">This multiplicity of aims has been captured neatly by Roberts’s seven ‘curriculum emphases’: </w:t>
      </w:r>
      <w:r w:rsidR="005069AD">
        <w:t xml:space="preserve">1. </w:t>
      </w:r>
      <w:r w:rsidR="000E26E3" w:rsidRPr="001F33CB">
        <w:t xml:space="preserve">everyday coping; </w:t>
      </w:r>
      <w:r w:rsidR="005069AD">
        <w:t xml:space="preserve">2. </w:t>
      </w:r>
      <w:r w:rsidR="000E26E3" w:rsidRPr="001F33CB">
        <w:t xml:space="preserve">structure of science; </w:t>
      </w:r>
      <w:r w:rsidR="005069AD">
        <w:t xml:space="preserve">3. </w:t>
      </w:r>
      <w:r w:rsidR="000E26E3" w:rsidRPr="001F33CB">
        <w:t xml:space="preserve">science, technology, decisions; </w:t>
      </w:r>
      <w:r w:rsidR="005069AD">
        <w:t xml:space="preserve">4. </w:t>
      </w:r>
      <w:r w:rsidR="000E26E3" w:rsidRPr="001F33CB">
        <w:t xml:space="preserve">scientific skill development; </w:t>
      </w:r>
      <w:r w:rsidR="005069AD">
        <w:t xml:space="preserve">5. </w:t>
      </w:r>
      <w:r w:rsidR="000E26E3" w:rsidRPr="001F33CB">
        <w:t xml:space="preserve">correct explanations; </w:t>
      </w:r>
      <w:r w:rsidR="005069AD">
        <w:t xml:space="preserve">6. </w:t>
      </w:r>
      <w:r w:rsidR="000E26E3" w:rsidRPr="001F33CB">
        <w:t xml:space="preserve">self as explainer; </w:t>
      </w:r>
      <w:r w:rsidR="005069AD">
        <w:t xml:space="preserve">7. </w:t>
      </w:r>
      <w:r w:rsidR="000E26E3" w:rsidRPr="001F33CB">
        <w:t>solid foundation</w:t>
      </w:r>
      <w:r w:rsidR="00CC30CF">
        <w:t xml:space="preserve"> </w:t>
      </w:r>
      <w:r w:rsidR="002E04B5" w:rsidRPr="002E04B5">
        <w:t>(Roberts, 1988)</w:t>
      </w:r>
      <w:r w:rsidR="000E26E3" w:rsidRPr="001F33CB">
        <w:t>. For each emphasis Roberts identifies distinct views of science, learner, teacher and society. Thus, e</w:t>
      </w:r>
      <w:r w:rsidR="00B23795" w:rsidRPr="001F33CB">
        <w:t xml:space="preserve">ach </w:t>
      </w:r>
      <w:r w:rsidR="000E26E3" w:rsidRPr="001F33CB">
        <w:t xml:space="preserve">emphasis </w:t>
      </w:r>
      <w:r w:rsidR="00B23795" w:rsidRPr="001F33CB">
        <w:t>is likely to result in school science with distinct content, pedagogy and assessment. For example, it has been argued that a school science curriculum that focuses on the goal of scientific literacy needs to emphasise a small number of ‘big ideas’ in science</w:t>
      </w:r>
      <w:r w:rsidR="0055353C">
        <w:t xml:space="preserve"> </w:t>
      </w:r>
      <w:r w:rsidR="002E04B5" w:rsidRPr="002E04B5">
        <w:t>(</w:t>
      </w:r>
      <w:proofErr w:type="spellStart"/>
      <w:r w:rsidR="002E04B5" w:rsidRPr="002E04B5">
        <w:t>Harlen</w:t>
      </w:r>
      <w:proofErr w:type="spellEnd"/>
      <w:r w:rsidR="002E04B5" w:rsidRPr="002E04B5">
        <w:t>, 2010)</w:t>
      </w:r>
      <w:r w:rsidR="00B23795" w:rsidRPr="001F33CB">
        <w:t xml:space="preserve"> alongside teaching and learning about the nature of science and social issues </w:t>
      </w:r>
      <w:r w:rsidR="000E26E3" w:rsidRPr="001F33CB">
        <w:t>with a science dimension</w:t>
      </w:r>
      <w:r w:rsidR="004766C4">
        <w:t xml:space="preserve"> </w:t>
      </w:r>
      <w:r w:rsidR="002E04B5" w:rsidRPr="002E04B5">
        <w:t>(Ryder, 2001)</w:t>
      </w:r>
      <w:r w:rsidR="00B23795" w:rsidRPr="001F33CB">
        <w:t xml:space="preserve">. </w:t>
      </w:r>
    </w:p>
    <w:p w:rsidR="00BF0C3F" w:rsidRPr="001F33CB" w:rsidRDefault="00BF0C3F" w:rsidP="00752678"/>
    <w:p w:rsidR="009A3CC2" w:rsidRPr="001F33CB" w:rsidRDefault="00A15491" w:rsidP="00ED16F0">
      <w:r w:rsidRPr="001F33CB">
        <w:t>Given th</w:t>
      </w:r>
      <w:r w:rsidR="00B23795" w:rsidRPr="001F33CB">
        <w:t>e</w:t>
      </w:r>
      <w:r w:rsidRPr="001F33CB">
        <w:t xml:space="preserve"> multiplicity of aims</w:t>
      </w:r>
      <w:r w:rsidR="00B23795" w:rsidRPr="001F33CB">
        <w:t xml:space="preserve"> ascribed to school science education</w:t>
      </w:r>
      <w:r w:rsidR="00396E59" w:rsidRPr="001F33CB">
        <w:t>,</w:t>
      </w:r>
      <w:r w:rsidRPr="001F33CB">
        <w:t xml:space="preserve"> a key question is the extent to which increasing the emphasis of one aim within the curriculum might result in a curriculum that is less effective at achieving</w:t>
      </w:r>
      <w:r w:rsidR="00F73E69" w:rsidRPr="001F33CB">
        <w:t xml:space="preserve"> </w:t>
      </w:r>
      <w:r w:rsidRPr="001F33CB">
        <w:t xml:space="preserve">other aims. </w:t>
      </w:r>
      <w:r w:rsidR="00BB1683" w:rsidRPr="001F33CB">
        <w:t xml:space="preserve">Two </w:t>
      </w:r>
      <w:r w:rsidR="00F73E69" w:rsidRPr="001F33CB">
        <w:t xml:space="preserve">of these </w:t>
      </w:r>
      <w:r w:rsidR="00BB1683" w:rsidRPr="001F33CB">
        <w:t>aims in particular have a strong presence within curriculum policy</w:t>
      </w:r>
      <w:r w:rsidR="00D9733B" w:rsidRPr="001F33CB">
        <w:t xml:space="preserve"> pronouncements: scientific literacy for all students, and preparation for future science study for a minority of students</w:t>
      </w:r>
      <w:r w:rsidR="00BB1683" w:rsidRPr="001F33CB">
        <w:t>. T</w:t>
      </w:r>
      <w:r w:rsidRPr="001F33CB">
        <w:t xml:space="preserve">his paper </w:t>
      </w:r>
      <w:r w:rsidR="00BB1683" w:rsidRPr="001F33CB">
        <w:t>focuses on these two aims</w:t>
      </w:r>
      <w:r w:rsidR="00396E59" w:rsidRPr="001F33CB">
        <w:t xml:space="preserve"> and the potential tension between them</w:t>
      </w:r>
      <w:r w:rsidR="00BB1683" w:rsidRPr="001F33CB">
        <w:t xml:space="preserve">. </w:t>
      </w:r>
      <w:r w:rsidR="00ED16F0" w:rsidRPr="001F33CB">
        <w:t xml:space="preserve">There has been concern expressed that </w:t>
      </w:r>
      <w:r w:rsidR="009A17A8" w:rsidRPr="001F33CB">
        <w:t>qualifications</w:t>
      </w:r>
      <w:r w:rsidR="00ED16F0" w:rsidRPr="001F33CB">
        <w:t xml:space="preserve"> emphasising </w:t>
      </w:r>
      <w:r w:rsidR="00ED16F0" w:rsidRPr="001F33CB">
        <w:lastRenderedPageBreak/>
        <w:t xml:space="preserve">scientific literacy would have a negative impact on enrolment into more academically-focussed post-compulsory science </w:t>
      </w:r>
      <w:r w:rsidR="009A17A8" w:rsidRPr="001F33CB">
        <w:t>qualifications</w:t>
      </w:r>
      <w:r w:rsidR="004766C4">
        <w:t xml:space="preserve"> </w:t>
      </w:r>
      <w:r w:rsidR="002E04B5" w:rsidRPr="002E04B5">
        <w:t>(Henderson, Alex, &amp; Blair, 2006; Perks, Gilland, Institute of Ideas, &amp; Pfizer Inc, 2006)</w:t>
      </w:r>
      <w:r w:rsidR="009E2B53">
        <w:t xml:space="preserve">. In contrast, </w:t>
      </w:r>
      <w:r w:rsidR="00ED16F0" w:rsidRPr="001F33CB">
        <w:t xml:space="preserve">a study using in-school, teacher-reported longitudinal data, presents striking evidence of a significant </w:t>
      </w:r>
      <w:r w:rsidR="00ED16F0" w:rsidRPr="001F33CB">
        <w:rPr>
          <w:i/>
        </w:rPr>
        <w:t>enhancement</w:t>
      </w:r>
      <w:r w:rsidR="00ED16F0" w:rsidRPr="001F33CB">
        <w:t xml:space="preserve"> in post-compulsory science </w:t>
      </w:r>
      <w:r w:rsidR="009A17A8" w:rsidRPr="001F33CB">
        <w:t>qualification</w:t>
      </w:r>
      <w:r w:rsidR="00ED16F0" w:rsidRPr="001F33CB">
        <w:t xml:space="preserve"> participation, above the national trend, as a result of such a qualification</w:t>
      </w:r>
      <w:r w:rsidR="004766C4">
        <w:t xml:space="preserve"> </w:t>
      </w:r>
      <w:r w:rsidR="002E04B5" w:rsidRPr="002E04B5">
        <w:t>(Millar, 2010)</w:t>
      </w:r>
      <w:r w:rsidR="00ED16F0" w:rsidRPr="001F33CB">
        <w:t xml:space="preserve">. Our study uses national data sets in England to examine </w:t>
      </w:r>
      <w:r w:rsidR="00BB1683" w:rsidRPr="001F33CB">
        <w:t>the impact of</w:t>
      </w:r>
      <w:r w:rsidRPr="001F33CB">
        <w:t xml:space="preserve"> a compulsory school science curriculum with a strong </w:t>
      </w:r>
      <w:r w:rsidR="0006044F" w:rsidRPr="001F33CB">
        <w:t>emphasis</w:t>
      </w:r>
      <w:r w:rsidRPr="001F33CB">
        <w:t xml:space="preserve"> on the goal of scientific literacy </w:t>
      </w:r>
      <w:r w:rsidR="0006044F" w:rsidRPr="001F33CB">
        <w:t>on the number of</w:t>
      </w:r>
      <w:r w:rsidRPr="001F33CB">
        <w:t xml:space="preserve"> students </w:t>
      </w:r>
      <w:r w:rsidR="0006044F" w:rsidRPr="001F33CB">
        <w:t>progressing to</w:t>
      </w:r>
      <w:r w:rsidRPr="001F33CB">
        <w:t xml:space="preserve"> more academically-focussed science qualifications in post-compulsory schooling. </w:t>
      </w:r>
    </w:p>
    <w:p w:rsidR="00330B06" w:rsidRPr="001F33CB" w:rsidRDefault="00330B06" w:rsidP="00752678"/>
    <w:p w:rsidR="0006044F" w:rsidRPr="001F33CB" w:rsidRDefault="009A3CC2" w:rsidP="00215F6B">
      <w:pPr>
        <w:pStyle w:val="Heading3"/>
      </w:pPr>
      <w:r w:rsidRPr="001F33CB">
        <w:t xml:space="preserve">The significance of curriculum content for future </w:t>
      </w:r>
      <w:r w:rsidR="0006044F" w:rsidRPr="001F33CB">
        <w:t xml:space="preserve">post-compulsory </w:t>
      </w:r>
      <w:r w:rsidR="009A17A8" w:rsidRPr="001F33CB">
        <w:t>qualification</w:t>
      </w:r>
      <w:r w:rsidR="0006044F" w:rsidRPr="001F33CB">
        <w:t xml:space="preserve"> </w:t>
      </w:r>
      <w:r w:rsidR="009F4B63" w:rsidRPr="001F33CB">
        <w:t>‘</w:t>
      </w:r>
      <w:r w:rsidR="0006044F" w:rsidRPr="001F33CB">
        <w:t>choices</w:t>
      </w:r>
      <w:r w:rsidR="009F4B63" w:rsidRPr="001F33CB">
        <w:t>’</w:t>
      </w:r>
    </w:p>
    <w:p w:rsidR="000F171F" w:rsidRPr="001F33CB" w:rsidRDefault="000F171F" w:rsidP="000F171F">
      <w:r w:rsidRPr="001F33CB">
        <w:t>There has been considerable research examining the range of influences on students’ subject choices for post-compulsory schooling. Recent reviews of this literature include</w:t>
      </w:r>
      <w:r w:rsidR="00275752">
        <w:t xml:space="preserve"> </w:t>
      </w:r>
      <w:proofErr w:type="spellStart"/>
      <w:r w:rsidR="00275752" w:rsidRPr="001F33CB">
        <w:t>Tripney</w:t>
      </w:r>
      <w:proofErr w:type="spellEnd"/>
      <w:r w:rsidR="00275752" w:rsidRPr="001F33CB">
        <w:t xml:space="preserve"> et al. </w:t>
      </w:r>
      <w:r w:rsidR="002E04B5" w:rsidRPr="002E04B5">
        <w:t>(2010)</w:t>
      </w:r>
      <w:r w:rsidRPr="001F33CB">
        <w:t>,</w:t>
      </w:r>
      <w:r w:rsidR="00275752" w:rsidRPr="00275752">
        <w:t xml:space="preserve"> </w:t>
      </w:r>
      <w:proofErr w:type="spellStart"/>
      <w:r w:rsidR="00275752" w:rsidRPr="001F33CB">
        <w:t>Wynarczyk</w:t>
      </w:r>
      <w:proofErr w:type="spellEnd"/>
      <w:r w:rsidR="00275752" w:rsidRPr="001F33CB">
        <w:t xml:space="preserve"> &amp; Hale</w:t>
      </w:r>
      <w:r w:rsidRPr="001F33CB">
        <w:t xml:space="preserve"> </w:t>
      </w:r>
      <w:r w:rsidR="002E04B5" w:rsidRPr="002E04B5">
        <w:t>(2009)</w:t>
      </w:r>
      <w:r w:rsidR="00275752">
        <w:t xml:space="preserve"> </w:t>
      </w:r>
      <w:r w:rsidRPr="001F33CB">
        <w:t xml:space="preserve">and </w:t>
      </w:r>
      <w:proofErr w:type="spellStart"/>
      <w:r w:rsidR="00275752" w:rsidRPr="001F33CB">
        <w:t>Boe</w:t>
      </w:r>
      <w:proofErr w:type="spellEnd"/>
      <w:r w:rsidR="00275752" w:rsidRPr="001F33CB">
        <w:t xml:space="preserve"> et al. </w:t>
      </w:r>
      <w:r w:rsidR="002E04B5" w:rsidRPr="002E04B5">
        <w:t>(2011)</w:t>
      </w:r>
      <w:r w:rsidRPr="001F33CB">
        <w:t xml:space="preserve">. An influential model of student choice has been developed by </w:t>
      </w:r>
      <w:proofErr w:type="spellStart"/>
      <w:r w:rsidRPr="001F33CB">
        <w:t>Jacquelynne</w:t>
      </w:r>
      <w:proofErr w:type="spellEnd"/>
      <w:r w:rsidRPr="001F33CB">
        <w:t xml:space="preserve"> Eccles and colleagues</w:t>
      </w:r>
      <w:r w:rsidR="00AE634B">
        <w:t xml:space="preserve"> </w:t>
      </w:r>
      <w:r w:rsidR="002E04B5" w:rsidRPr="002E04B5">
        <w:t>(Eccles, 2009)</w:t>
      </w:r>
      <w:r w:rsidRPr="001F33CB">
        <w:t>. Key aspects of this model can be summarised through the following six questions that are likely to be guiding students as they make choices</w:t>
      </w:r>
      <w:r w:rsidR="00AE634B">
        <w:t xml:space="preserve"> </w:t>
      </w:r>
      <w:r w:rsidR="002E04B5" w:rsidRPr="002E04B5">
        <w:t>(</w:t>
      </w:r>
      <w:proofErr w:type="spellStart"/>
      <w:r w:rsidR="002E04B5" w:rsidRPr="002E04B5">
        <w:t>Boe</w:t>
      </w:r>
      <w:proofErr w:type="spellEnd"/>
      <w:r w:rsidR="002E04B5" w:rsidRPr="002E04B5">
        <w:t xml:space="preserve"> et al., 2011)</w:t>
      </w:r>
      <w:r w:rsidRPr="001F33CB">
        <w:t>:</w:t>
      </w:r>
    </w:p>
    <w:p w:rsidR="000F171F" w:rsidRPr="001F33CB" w:rsidRDefault="000F171F" w:rsidP="000F171F"/>
    <w:p w:rsidR="000F171F" w:rsidRPr="001F33CB" w:rsidRDefault="000F171F" w:rsidP="000F171F">
      <w:pPr>
        <w:pStyle w:val="ListParagraph"/>
        <w:numPr>
          <w:ilvl w:val="0"/>
          <w:numId w:val="13"/>
        </w:numPr>
        <w:ind w:left="851" w:hanging="491"/>
        <w:rPr>
          <w:rFonts w:ascii="Arial" w:hAnsi="Arial" w:cs="Arial"/>
        </w:rPr>
      </w:pPr>
      <w:r w:rsidRPr="001F33CB">
        <w:rPr>
          <w:rFonts w:ascii="Arial" w:hAnsi="Arial" w:cs="Arial"/>
        </w:rPr>
        <w:t xml:space="preserve">Am </w:t>
      </w:r>
      <w:r w:rsidR="000C3C47" w:rsidRPr="001F33CB">
        <w:rPr>
          <w:rFonts w:ascii="Arial" w:hAnsi="Arial" w:cs="Arial"/>
        </w:rPr>
        <w:t xml:space="preserve">I good enough at the subject? </w:t>
      </w:r>
    </w:p>
    <w:p w:rsidR="000F171F" w:rsidRPr="001F33CB" w:rsidRDefault="000F171F" w:rsidP="000F171F">
      <w:pPr>
        <w:pStyle w:val="ListParagraph"/>
        <w:numPr>
          <w:ilvl w:val="0"/>
          <w:numId w:val="13"/>
        </w:numPr>
        <w:ind w:left="851" w:hanging="491"/>
        <w:rPr>
          <w:rFonts w:ascii="Arial" w:hAnsi="Arial" w:cs="Arial"/>
        </w:rPr>
      </w:pPr>
      <w:r w:rsidRPr="001F33CB">
        <w:rPr>
          <w:rFonts w:ascii="Arial" w:hAnsi="Arial" w:cs="Arial"/>
        </w:rPr>
        <w:t>Am I really interested in the subject?</w:t>
      </w:r>
    </w:p>
    <w:p w:rsidR="000F171F" w:rsidRPr="001F33CB" w:rsidRDefault="000F171F" w:rsidP="000F171F">
      <w:pPr>
        <w:pStyle w:val="ListParagraph"/>
        <w:numPr>
          <w:ilvl w:val="0"/>
          <w:numId w:val="13"/>
        </w:numPr>
        <w:ind w:left="851" w:hanging="491"/>
        <w:rPr>
          <w:rFonts w:ascii="Arial" w:hAnsi="Arial" w:cs="Arial"/>
        </w:rPr>
      </w:pPr>
      <w:r w:rsidRPr="001F33CB">
        <w:rPr>
          <w:rFonts w:ascii="Arial" w:hAnsi="Arial" w:cs="Arial"/>
        </w:rPr>
        <w:t>Do I enjoy working with the subject?</w:t>
      </w:r>
    </w:p>
    <w:p w:rsidR="000F171F" w:rsidRPr="001F33CB" w:rsidRDefault="000C3C47" w:rsidP="000F171F">
      <w:pPr>
        <w:pStyle w:val="ListParagraph"/>
        <w:numPr>
          <w:ilvl w:val="0"/>
          <w:numId w:val="13"/>
        </w:numPr>
        <w:ind w:left="851" w:hanging="491"/>
        <w:rPr>
          <w:rFonts w:ascii="Arial" w:hAnsi="Arial" w:cs="Arial"/>
        </w:rPr>
      </w:pPr>
      <w:r w:rsidRPr="001F33CB">
        <w:rPr>
          <w:rFonts w:ascii="Arial" w:hAnsi="Arial" w:cs="Arial"/>
        </w:rPr>
        <w:t>Does it match who I am? (s</w:t>
      </w:r>
      <w:r w:rsidR="000F171F" w:rsidRPr="001F33CB">
        <w:rPr>
          <w:rFonts w:ascii="Arial" w:hAnsi="Arial" w:cs="Arial"/>
        </w:rPr>
        <w:t>tudent identity)</w:t>
      </w:r>
    </w:p>
    <w:p w:rsidR="000F171F" w:rsidRPr="001F33CB" w:rsidRDefault="000F171F" w:rsidP="000F171F">
      <w:pPr>
        <w:pStyle w:val="ListParagraph"/>
        <w:numPr>
          <w:ilvl w:val="0"/>
          <w:numId w:val="13"/>
        </w:numPr>
        <w:ind w:left="851" w:hanging="491"/>
        <w:rPr>
          <w:rFonts w:ascii="Arial" w:hAnsi="Arial" w:cs="Arial"/>
        </w:rPr>
      </w:pPr>
      <w:r w:rsidRPr="001F33CB">
        <w:rPr>
          <w:rFonts w:ascii="Arial" w:hAnsi="Arial" w:cs="Arial"/>
        </w:rPr>
        <w:lastRenderedPageBreak/>
        <w:t>Will it help me to achieve my desired future (career)?</w:t>
      </w:r>
    </w:p>
    <w:p w:rsidR="000F171F" w:rsidRPr="001F33CB" w:rsidRDefault="000F171F" w:rsidP="000F171F">
      <w:pPr>
        <w:pStyle w:val="ListParagraph"/>
        <w:numPr>
          <w:ilvl w:val="0"/>
          <w:numId w:val="13"/>
        </w:numPr>
        <w:ind w:left="851" w:hanging="491"/>
        <w:rPr>
          <w:rFonts w:ascii="Arial" w:hAnsi="Arial" w:cs="Arial"/>
        </w:rPr>
      </w:pPr>
      <w:r w:rsidRPr="001F33CB">
        <w:rPr>
          <w:rFonts w:ascii="Arial" w:hAnsi="Arial" w:cs="Arial"/>
        </w:rPr>
        <w:t xml:space="preserve">How much time and effort will be involved in studying the subject? </w:t>
      </w:r>
    </w:p>
    <w:p w:rsidR="000F171F" w:rsidRDefault="000F171F" w:rsidP="000F171F"/>
    <w:p w:rsidR="00750839" w:rsidRPr="001F33CB" w:rsidRDefault="001072E3" w:rsidP="00B95048">
      <w:r>
        <w:t xml:space="preserve">The precise </w:t>
      </w:r>
      <w:r w:rsidR="007D5D6E">
        <w:t xml:space="preserve">relative </w:t>
      </w:r>
      <w:r>
        <w:t xml:space="preserve">weighting of the importance of each of these factors will, of course, vary from student to student depending upon their individual personality, values and social context. </w:t>
      </w:r>
      <w:r w:rsidR="000F171F" w:rsidRPr="001F33CB">
        <w:t xml:space="preserve">School-related factors such as subject attainment, </w:t>
      </w:r>
      <w:r w:rsidR="002E68B7" w:rsidRPr="001F33CB">
        <w:t xml:space="preserve">curriculum content, </w:t>
      </w:r>
      <w:r w:rsidR="000F171F" w:rsidRPr="001F33CB">
        <w:t xml:space="preserve">teaching activities and teacher relationships are likely to be significant influences </w:t>
      </w:r>
      <w:r w:rsidR="002E68B7" w:rsidRPr="001F33CB">
        <w:t>within</w:t>
      </w:r>
      <w:r w:rsidR="000F171F" w:rsidRPr="001F33CB">
        <w:t xml:space="preserve"> Q1-Q3 above. However, particularly </w:t>
      </w:r>
      <w:r w:rsidR="002E68B7" w:rsidRPr="001F33CB">
        <w:t xml:space="preserve">for </w:t>
      </w:r>
      <w:r w:rsidR="000F171F" w:rsidRPr="001F33CB">
        <w:t xml:space="preserve">Q4 and Q5, students are also likely to be influenced by factors from outside of school </w:t>
      </w:r>
      <w:r w:rsidR="002E04B5" w:rsidRPr="002E04B5">
        <w:t xml:space="preserve">(Ball, </w:t>
      </w:r>
      <w:proofErr w:type="spellStart"/>
      <w:r w:rsidR="002E04B5" w:rsidRPr="002E04B5">
        <w:t>Macrae</w:t>
      </w:r>
      <w:proofErr w:type="spellEnd"/>
      <w:r w:rsidR="002E04B5" w:rsidRPr="002E04B5">
        <w:t>, &amp; Maguire, 2000; Nicholas Foskett &amp; Hemsley-Brown, 2001; Nick Foskett, Dyke, &amp; Maringe, 2008)</w:t>
      </w:r>
      <w:r w:rsidR="000F171F" w:rsidRPr="001F33CB">
        <w:t>. For example, many students will receive significant parental guidance on potential future careers</w:t>
      </w:r>
      <w:r w:rsidR="00B95048">
        <w:t xml:space="preserve"> in addition to any</w:t>
      </w:r>
      <w:r w:rsidR="00B92EEE">
        <w:t xml:space="preserve"> </w:t>
      </w:r>
      <w:r w:rsidR="00BE3302">
        <w:t>professional</w:t>
      </w:r>
      <w:r w:rsidR="00B92EEE">
        <w:t xml:space="preserve"> advice </w:t>
      </w:r>
      <w:r w:rsidR="00B95048">
        <w:t>provided in school</w:t>
      </w:r>
      <w:r w:rsidR="000F171F" w:rsidRPr="001F33CB">
        <w:t>.  Also, issues of student identity and career aspirations are known to be heavily influenced by peer friendship groups</w:t>
      </w:r>
      <w:r w:rsidR="006953FE">
        <w:t xml:space="preserve"> </w:t>
      </w:r>
      <w:r w:rsidR="002E04B5" w:rsidRPr="002E04B5">
        <w:t>(Archer et al., 2010; Boe, 2012)</w:t>
      </w:r>
      <w:r w:rsidR="000F171F" w:rsidRPr="001F33CB">
        <w:t xml:space="preserve">. </w:t>
      </w:r>
    </w:p>
    <w:p w:rsidR="00750839" w:rsidRPr="001F33CB" w:rsidRDefault="00750839" w:rsidP="000F171F">
      <w:pPr>
        <w:rPr>
          <w:noProof/>
        </w:rPr>
      </w:pPr>
    </w:p>
    <w:p w:rsidR="00750839" w:rsidRPr="001F33CB" w:rsidRDefault="00750839" w:rsidP="00B92EEE">
      <w:r w:rsidRPr="001F33CB">
        <w:rPr>
          <w:noProof/>
        </w:rPr>
        <w:t>S</w:t>
      </w:r>
      <w:proofErr w:type="spellStart"/>
      <w:r w:rsidR="000C3C47" w:rsidRPr="001F33CB">
        <w:t>everal</w:t>
      </w:r>
      <w:proofErr w:type="spellEnd"/>
      <w:r w:rsidR="000C3C47" w:rsidRPr="001F33CB">
        <w:t xml:space="preserve"> s</w:t>
      </w:r>
      <w:r w:rsidR="000F171F" w:rsidRPr="001F33CB">
        <w:t xml:space="preserve">tudies show that </w:t>
      </w:r>
      <w:r w:rsidR="00B92EEE">
        <w:t>some</w:t>
      </w:r>
      <w:r w:rsidR="00B92EEE" w:rsidRPr="001F33CB">
        <w:t xml:space="preserve"> </w:t>
      </w:r>
      <w:r w:rsidR="000F171F" w:rsidRPr="001F33CB">
        <w:t xml:space="preserve">students </w:t>
      </w:r>
      <w:r w:rsidR="000C3C47" w:rsidRPr="001F33CB">
        <w:t>form</w:t>
      </w:r>
      <w:r w:rsidR="000F171F" w:rsidRPr="001F33CB">
        <w:t xml:space="preserve"> choices of future study within early secondary schooling or even within primary schooling</w:t>
      </w:r>
      <w:r w:rsidR="006953FE">
        <w:t xml:space="preserve"> </w:t>
      </w:r>
      <w:r w:rsidR="002E04B5" w:rsidRPr="002E04B5">
        <w:t>(Maltese &amp; Tai, 2010, 2011; Tai, Liu, Maltese, &amp; Fan, 2006)</w:t>
      </w:r>
      <w:r w:rsidR="001833CB">
        <w:t xml:space="preserve">. </w:t>
      </w:r>
      <w:r w:rsidR="000F171F" w:rsidRPr="001F33CB">
        <w:t xml:space="preserve">Whilst students are not making </w:t>
      </w:r>
      <w:r w:rsidR="009A17A8" w:rsidRPr="001F33CB">
        <w:t>qualification</w:t>
      </w:r>
      <w:r w:rsidR="000F171F" w:rsidRPr="001F33CB">
        <w:t xml:space="preserve"> choice decisions at these early ages, these studies suggest that dispositions, or attitudes, towards school subjects are formed</w:t>
      </w:r>
      <w:r w:rsidR="00396E59" w:rsidRPr="001F33CB">
        <w:t xml:space="preserve"> relatively</w:t>
      </w:r>
      <w:r w:rsidR="000F171F" w:rsidRPr="001F33CB">
        <w:t xml:space="preserve"> early. These dispositions (positive or negative) set at an early age then frame future </w:t>
      </w:r>
      <w:r w:rsidR="009A17A8" w:rsidRPr="001F33CB">
        <w:t>qualification</w:t>
      </w:r>
      <w:r w:rsidR="000F171F" w:rsidRPr="001F33CB">
        <w:t xml:space="preserve"> choices. However, other studies</w:t>
      </w:r>
      <w:r w:rsidR="002E68B7" w:rsidRPr="001F33CB">
        <w:t xml:space="preserve"> </w:t>
      </w:r>
      <w:r w:rsidR="000F171F" w:rsidRPr="001F33CB">
        <w:t>have shown that whilst some young people do make early commitments to not following science subjects in the future, many students are uncertain or make final commitments</w:t>
      </w:r>
      <w:r w:rsidR="00396E59" w:rsidRPr="001F33CB">
        <w:t xml:space="preserve"> only</w:t>
      </w:r>
      <w:r w:rsidR="000F171F" w:rsidRPr="001F33CB">
        <w:t xml:space="preserve"> in late secondary schooling</w:t>
      </w:r>
      <w:r w:rsidR="002E68B7" w:rsidRPr="001F33CB">
        <w:t xml:space="preserve"> </w:t>
      </w:r>
      <w:r w:rsidR="002E04B5" w:rsidRPr="002E04B5">
        <w:t xml:space="preserve">(Maltese, </w:t>
      </w:r>
      <w:proofErr w:type="spellStart"/>
      <w:r w:rsidR="002E04B5" w:rsidRPr="002E04B5">
        <w:t>Melki</w:t>
      </w:r>
      <w:proofErr w:type="spellEnd"/>
      <w:r w:rsidR="002E04B5" w:rsidRPr="002E04B5">
        <w:t xml:space="preserve">, &amp; </w:t>
      </w:r>
      <w:proofErr w:type="spellStart"/>
      <w:r w:rsidR="002E04B5" w:rsidRPr="002E04B5">
        <w:t>Wiebke</w:t>
      </w:r>
      <w:proofErr w:type="spellEnd"/>
      <w:r w:rsidR="002E04B5" w:rsidRPr="002E04B5">
        <w:t>, 2014)</w:t>
      </w:r>
      <w:r w:rsidR="002E68B7" w:rsidRPr="001F33CB">
        <w:fldChar w:fldCharType="begin"/>
      </w:r>
      <w:r w:rsidR="002E68B7" w:rsidRPr="001F33CB">
        <w:instrText xml:space="preserve"> ADDIN EN.CITE &lt;EndNote&gt;&lt;Cite&gt;&lt;Author&gt;Maltese&lt;/Author&gt;&lt;Year&gt;2014&lt;/Year&gt;&lt;RecNum&gt;1783&lt;/RecNum&gt;&lt;DisplayText&gt;(Maltese et al., 2014)&lt;/DisplayText&gt;&lt;record&gt;&lt;rec-number&gt;1783&lt;/rec-number&gt;&lt;foreign-keys&gt;&lt;key app="EN" db-id="xtxfw9x5vtr9w6eef97v5ts75d0x25v5x0fw"&gt;1783&lt;/key&gt;&lt;/foreign-keys&gt;&lt;ref-type name="Journal Article"&gt;17&lt;/ref-type&gt;&lt;contributors&gt;&lt;authors&gt;&lt;author&gt;Maltese, Adam V.&lt;/author&gt;&lt;author&gt;Melki, Christina S.&lt;/author&gt;&lt;author&gt;Wiebke, Heidi L.&lt;/author&gt;&lt;/authors&gt;&lt;/contributors&gt;&lt;titles&gt;&lt;title&gt;The Nature of Experiences Responsible for the Generation and Maintenance of Interest in STEM&lt;/title&gt;&lt;secondary-title&gt;Science Education&lt;/secondary-title&gt;&lt;/titles&gt;&lt;periodical&gt;&lt;full-title&gt;Science Education&lt;/full-title&gt;&lt;/periodical&gt;&lt;pages&gt;n/a-n/a&lt;/pages&gt;&lt;dates&gt;&lt;year&gt;2014&lt;/year&gt;&lt;/dates&gt;&lt;isbn&gt;1098-237X&lt;/isbn&gt;&lt;urls&gt;&lt;related-urls&gt;&lt;url&gt;http://dx.doi.org/10.1002/sce.21132&lt;/url&gt;&lt;/related-urls&gt;&lt;/urls&gt;&lt;electronic-resource-num&gt;10.1002/sce.21132&lt;/electronic-resource-num&gt;&lt;/record&gt;&lt;/Cite&gt;&lt;/EndNote&gt;</w:instrText>
      </w:r>
      <w:r w:rsidR="002E68B7" w:rsidRPr="001F33CB">
        <w:fldChar w:fldCharType="end"/>
      </w:r>
      <w:r w:rsidR="000F171F" w:rsidRPr="001F33CB">
        <w:t xml:space="preserve">. </w:t>
      </w:r>
      <w:r w:rsidRPr="001F33CB">
        <w:t xml:space="preserve">Despite the apparent rationality underlying Q1-Q6, many studies have shown </w:t>
      </w:r>
      <w:r w:rsidRPr="001F33CB">
        <w:lastRenderedPageBreak/>
        <w:t>that students’ subject choices tend not to be rational decisions made at a particular point in time. Rather, ‘choice’ is more appropriately viewed as a dynamic process that takes place, and s</w:t>
      </w:r>
      <w:r w:rsidR="00E73428">
        <w:t>hifts, over time</w:t>
      </w:r>
      <w:r w:rsidRPr="001F33CB">
        <w:rPr>
          <w:noProof/>
        </w:rPr>
        <w:t xml:space="preserve">. </w:t>
      </w:r>
      <w:r w:rsidR="000F171F" w:rsidRPr="001F33CB">
        <w:t xml:space="preserve">For example, in a longitudinal study of the process of choice formation for 72 students in England, only one fifth of those students eventually following post-compulsory science </w:t>
      </w:r>
      <w:r w:rsidR="009A17A8" w:rsidRPr="001F33CB">
        <w:t>qualifications</w:t>
      </w:r>
      <w:r w:rsidR="000F171F" w:rsidRPr="001F33CB">
        <w:t xml:space="preserve"> had clearly expressed that intention </w:t>
      </w:r>
      <w:r w:rsidR="009A0E5B">
        <w:t>at age 13-14</w:t>
      </w:r>
      <w:r w:rsidR="000F171F" w:rsidRPr="001F33CB">
        <w:t xml:space="preserve"> (‘directed trajectory’)</w:t>
      </w:r>
      <w:r w:rsidR="001833CB">
        <w:t xml:space="preserve"> </w:t>
      </w:r>
      <w:r w:rsidR="002E04B5" w:rsidRPr="002E04B5">
        <w:t>(Cleaves, 2005)</w:t>
      </w:r>
      <w:r w:rsidR="000F171F" w:rsidRPr="001F33CB">
        <w:t xml:space="preserve">. </w:t>
      </w:r>
    </w:p>
    <w:p w:rsidR="00750839" w:rsidRPr="001F33CB" w:rsidRDefault="00750839" w:rsidP="000F171F"/>
    <w:p w:rsidR="000F171F" w:rsidRPr="001F33CB" w:rsidRDefault="00EA0829" w:rsidP="000F171F">
      <w:pPr>
        <w:rPr>
          <w:noProof/>
        </w:rPr>
      </w:pPr>
      <w:r w:rsidRPr="001F33CB">
        <w:t>Our study explores</w:t>
      </w:r>
      <w:r w:rsidR="00A94FB1" w:rsidRPr="001F33CB">
        <w:t xml:space="preserve"> the impact of school science curricula for 14-16 year olds on subsequent qualification choices. </w:t>
      </w:r>
      <w:r w:rsidR="00856800" w:rsidRPr="001F33CB">
        <w:t>T</w:t>
      </w:r>
      <w:r w:rsidR="00A94FB1" w:rsidRPr="001F33CB">
        <w:t>he</w:t>
      </w:r>
      <w:r w:rsidR="002E68B7" w:rsidRPr="001F33CB">
        <w:t xml:space="preserve"> literature </w:t>
      </w:r>
      <w:r w:rsidR="00A94FB1" w:rsidRPr="001F33CB">
        <w:t xml:space="preserve">reviewed above </w:t>
      </w:r>
      <w:r w:rsidR="002E68B7" w:rsidRPr="001F33CB">
        <w:t xml:space="preserve">demonstrates </w:t>
      </w:r>
      <w:r w:rsidR="00A94FB1" w:rsidRPr="001F33CB">
        <w:t xml:space="preserve">two </w:t>
      </w:r>
      <w:r w:rsidRPr="001F33CB">
        <w:t>relevant</w:t>
      </w:r>
      <w:r w:rsidR="00A94FB1" w:rsidRPr="001F33CB">
        <w:t xml:space="preserve"> issues. Firstly, </w:t>
      </w:r>
      <w:r w:rsidR="002E68B7" w:rsidRPr="001F33CB">
        <w:t xml:space="preserve">that science curriculum content </w:t>
      </w:r>
      <w:r w:rsidRPr="001F33CB">
        <w:t xml:space="preserve">(and associated pedagogy and assessment) </w:t>
      </w:r>
      <w:r w:rsidR="001072E3">
        <w:t>can be</w:t>
      </w:r>
      <w:r w:rsidR="001072E3" w:rsidRPr="001F33CB">
        <w:t xml:space="preserve"> </w:t>
      </w:r>
      <w:r w:rsidR="00A94FB1" w:rsidRPr="001F33CB">
        <w:t>an important</w:t>
      </w:r>
      <w:r w:rsidR="002E68B7" w:rsidRPr="001F33CB">
        <w:t xml:space="preserve"> influence </w:t>
      </w:r>
      <w:r w:rsidRPr="001F33CB">
        <w:t xml:space="preserve">on future </w:t>
      </w:r>
      <w:r w:rsidR="009A17A8" w:rsidRPr="001F33CB">
        <w:t>qualification</w:t>
      </w:r>
      <w:r w:rsidRPr="001F33CB">
        <w:t xml:space="preserve"> choices, but also that this is one factor amongst many others, many of which extend beyond science lessons, and indeed schooling</w:t>
      </w:r>
      <w:r w:rsidR="002E68B7" w:rsidRPr="001F33CB">
        <w:t xml:space="preserve">. </w:t>
      </w:r>
      <w:r w:rsidR="00A94FB1" w:rsidRPr="001F33CB">
        <w:t>Secondly, that</w:t>
      </w:r>
      <w:r w:rsidR="002E68B7" w:rsidRPr="001F33CB">
        <w:t xml:space="preserve"> </w:t>
      </w:r>
      <w:r w:rsidR="00A94FB1" w:rsidRPr="001F33CB">
        <w:t>whilst</w:t>
      </w:r>
      <w:r w:rsidR="002E68B7" w:rsidRPr="001F33CB">
        <w:t xml:space="preserve"> early school experiences are </w:t>
      </w:r>
      <w:r w:rsidRPr="001F33CB">
        <w:t xml:space="preserve">very </w:t>
      </w:r>
      <w:r w:rsidR="002E68B7" w:rsidRPr="001F33CB">
        <w:t>important, school science experiences within the 14-16 year</w:t>
      </w:r>
      <w:r w:rsidR="00A94FB1" w:rsidRPr="001F33CB">
        <w:t>s</w:t>
      </w:r>
      <w:r w:rsidR="002E68B7" w:rsidRPr="001F33CB">
        <w:t xml:space="preserve"> age range can also influence the </w:t>
      </w:r>
      <w:r w:rsidRPr="001F33CB">
        <w:t xml:space="preserve">ongoing </w:t>
      </w:r>
      <w:r w:rsidR="002E68B7" w:rsidRPr="001F33CB">
        <w:t xml:space="preserve">process of future </w:t>
      </w:r>
      <w:r w:rsidR="009A17A8" w:rsidRPr="001F33CB">
        <w:t>qualification</w:t>
      </w:r>
      <w:r w:rsidR="002E68B7" w:rsidRPr="001F33CB">
        <w:t xml:space="preserve"> choices. </w:t>
      </w:r>
    </w:p>
    <w:p w:rsidR="004E600B" w:rsidRPr="001F33CB" w:rsidRDefault="004E600B" w:rsidP="00752678"/>
    <w:p w:rsidR="0006044F" w:rsidRPr="001F33CB" w:rsidRDefault="00EF5057" w:rsidP="00215F6B">
      <w:pPr>
        <w:pStyle w:val="Heading3"/>
      </w:pPr>
      <w:r w:rsidRPr="001F33CB">
        <w:t>Research context</w:t>
      </w:r>
    </w:p>
    <w:p w:rsidR="00EF5057" w:rsidRPr="001F33CB" w:rsidRDefault="00EF5057" w:rsidP="00215F6B">
      <w:r w:rsidRPr="001F33CB">
        <w:t xml:space="preserve">This study is set in the context of differing qualifications available to 14-16 year olds in England. </w:t>
      </w:r>
      <w:r w:rsidR="007337CC" w:rsidRPr="001F33CB">
        <w:t>The study of science is compulsory in England until the age of 16, but thereafter becomes optional.</w:t>
      </w:r>
      <w:r w:rsidR="00752B89" w:rsidRPr="001F33CB">
        <w:t xml:space="preserve"> </w:t>
      </w:r>
      <w:r w:rsidR="007337CC" w:rsidRPr="001F33CB">
        <w:t>In the</w:t>
      </w:r>
      <w:r w:rsidR="009E6DC5" w:rsidRPr="001F33CB">
        <w:t xml:space="preserve"> final two years of compulsory science study students typically follow either </w:t>
      </w:r>
      <w:r w:rsidR="00752B89" w:rsidRPr="001F33CB">
        <w:t xml:space="preserve">a dual award (DA) or a triple award (TA) route. DA takes nominally 20% of curriculum time and </w:t>
      </w:r>
      <w:r w:rsidR="00CC1B83">
        <w:t>includes study of all three main sciences but which is recognized as equivalent to qualifications in two subjects</w:t>
      </w:r>
      <w:r w:rsidR="00752B89" w:rsidRPr="001F33CB">
        <w:t>. TA takes nominally 30% of curriculum time (although in practice often less) and comprises a separate qualification in each of physics, chemistry and biology. It is</w:t>
      </w:r>
      <w:r w:rsidR="00BA555D" w:rsidRPr="001F33CB">
        <w:t xml:space="preserve"> usually</w:t>
      </w:r>
      <w:r w:rsidR="00752B89" w:rsidRPr="001F33CB">
        <w:t xml:space="preserve"> </w:t>
      </w:r>
      <w:r w:rsidR="00752B89" w:rsidRPr="001F33CB">
        <w:lastRenderedPageBreak/>
        <w:t xml:space="preserve">expected that students following the TA route will be high attaining in science. </w:t>
      </w:r>
      <w:r w:rsidR="009B5A5E" w:rsidRPr="001F33CB">
        <w:t xml:space="preserve">However, high attaining students from both routes can progress to post-compulsory science </w:t>
      </w:r>
      <w:r w:rsidR="009A17A8" w:rsidRPr="001F33CB">
        <w:t>qualifications</w:t>
      </w:r>
      <w:r w:rsidR="009B5A5E" w:rsidRPr="001F33CB">
        <w:t>.</w:t>
      </w:r>
    </w:p>
    <w:p w:rsidR="00CE5CDB" w:rsidRPr="001F33CB" w:rsidRDefault="00CE5CDB" w:rsidP="00215F6B"/>
    <w:p w:rsidR="009E2B53" w:rsidRDefault="009B5A5E" w:rsidP="00E73DEA">
      <w:r w:rsidRPr="001F33CB">
        <w:t xml:space="preserve">Our comparative analysis capitalises on the existence in England of a </w:t>
      </w:r>
      <w:r w:rsidR="00134C57" w:rsidRPr="001F33CB">
        <w:t xml:space="preserve">distinct </w:t>
      </w:r>
      <w:r w:rsidR="00433391" w:rsidRPr="001F33CB">
        <w:t xml:space="preserve">suite of qualifications, taken by a significant proportion of </w:t>
      </w:r>
      <w:proofErr w:type="gramStart"/>
      <w:r w:rsidR="00433391" w:rsidRPr="001F33CB">
        <w:t>students,</w:t>
      </w:r>
      <w:r w:rsidR="00880A83" w:rsidRPr="001F33CB">
        <w:t xml:space="preserve"> </w:t>
      </w:r>
      <w:r w:rsidR="00433391" w:rsidRPr="001F33CB">
        <w:t>that</w:t>
      </w:r>
      <w:proofErr w:type="gramEnd"/>
      <w:r w:rsidR="00433391" w:rsidRPr="001F33CB">
        <w:t xml:space="preserve"> emphasise</w:t>
      </w:r>
      <w:r w:rsidR="00134C57" w:rsidRPr="001F33CB">
        <w:t>s</w:t>
      </w:r>
      <w:r w:rsidR="00433391" w:rsidRPr="001F33CB">
        <w:t xml:space="preserve"> the goal of scientific literacy</w:t>
      </w:r>
      <w:r w:rsidR="00134C57" w:rsidRPr="001F33CB">
        <w:t xml:space="preserve">: </w:t>
      </w:r>
      <w:r w:rsidR="00433391" w:rsidRPr="001F33CB">
        <w:t>Twenty First Century Science (21CS)</w:t>
      </w:r>
      <w:r w:rsidR="001833CB">
        <w:t xml:space="preserve"> </w:t>
      </w:r>
      <w:r w:rsidR="002E04B5" w:rsidRPr="002E04B5">
        <w:t>(Millar, 2006)</w:t>
      </w:r>
      <w:r w:rsidR="00433391" w:rsidRPr="001F33CB">
        <w:t xml:space="preserve">. </w:t>
      </w:r>
      <w:r w:rsidR="00134C57" w:rsidRPr="001F33CB">
        <w:t>These are available alongside other qualifications available in England that tend to place more emphasis on traditional academic content</w:t>
      </w:r>
      <w:r w:rsidR="005069AD">
        <w:t>. Both DA and TA are available in 21CS and non-21CS versions</w:t>
      </w:r>
      <w:r w:rsidR="00134C57" w:rsidRPr="001F33CB">
        <w:t xml:space="preserve">. </w:t>
      </w:r>
      <w:r w:rsidR="00025631" w:rsidRPr="001F33CB">
        <w:t xml:space="preserve">The 21CS curriculum project is a significant and sustained attempt to provide a system-wide qualification suite that addresses the ‘dual goals’ of scientific literacy (for all students) and preparation for future science study (for a minority of students). </w:t>
      </w:r>
      <w:r w:rsidR="00E73DEA" w:rsidRPr="001F33CB">
        <w:t xml:space="preserve">One of the distinctive features of the 21CS suite of </w:t>
      </w:r>
      <w:r w:rsidR="009A17A8" w:rsidRPr="001F33CB">
        <w:t>qualifications</w:t>
      </w:r>
      <w:r w:rsidR="00E73DEA" w:rsidRPr="001F33CB">
        <w:t xml:space="preserve"> is the focus on ‘ideas about science’. Other elements within the 21CS suite focus more on traditional science knowledge and understanding. ‘Ideas about science’ in the 21CS curriculum includes consideration of science issues with an ethical and social dimension, e.g. </w:t>
      </w:r>
      <w:r w:rsidR="00714280">
        <w:t xml:space="preserve">health issues around air quality, greener energy sources. </w:t>
      </w:r>
      <w:r w:rsidR="00E73DEA" w:rsidRPr="001F33CB">
        <w:t xml:space="preserve">. This </w:t>
      </w:r>
      <w:r w:rsidR="00714280">
        <w:t xml:space="preserve">could </w:t>
      </w:r>
      <w:r w:rsidR="00E73DEA" w:rsidRPr="001F33CB">
        <w:t>provide the potential for more discussion within the science classroom</w:t>
      </w:r>
      <w:r w:rsidR="00714280">
        <w:t xml:space="preserve"> compared to more traditional approaches</w:t>
      </w:r>
      <w:r w:rsidR="00E73DEA" w:rsidRPr="001F33CB">
        <w:t>, and more opportunities for students to voice their opinions and hear those of other students</w:t>
      </w:r>
      <w:r w:rsidR="001833CB">
        <w:t xml:space="preserve"> </w:t>
      </w:r>
      <w:r w:rsidR="002E04B5" w:rsidRPr="002E04B5">
        <w:t xml:space="preserve">(Morris, 2013; Sadler, </w:t>
      </w:r>
      <w:proofErr w:type="spellStart"/>
      <w:r w:rsidR="002E04B5" w:rsidRPr="002E04B5">
        <w:t>Amirshokoohi</w:t>
      </w:r>
      <w:proofErr w:type="spellEnd"/>
      <w:r w:rsidR="002E04B5" w:rsidRPr="002E04B5">
        <w:t xml:space="preserve">, </w:t>
      </w:r>
      <w:proofErr w:type="spellStart"/>
      <w:r w:rsidR="002E04B5" w:rsidRPr="002E04B5">
        <w:t>Kazempour</w:t>
      </w:r>
      <w:proofErr w:type="spellEnd"/>
      <w:r w:rsidR="002E04B5" w:rsidRPr="002E04B5">
        <w:t xml:space="preserve">, &amp; </w:t>
      </w:r>
      <w:proofErr w:type="spellStart"/>
      <w:r w:rsidR="002E04B5" w:rsidRPr="002E04B5">
        <w:t>Allspaw</w:t>
      </w:r>
      <w:proofErr w:type="spellEnd"/>
      <w:r w:rsidR="002E04B5" w:rsidRPr="002E04B5">
        <w:t>, 2006)</w:t>
      </w:r>
      <w:r w:rsidR="00E73DEA" w:rsidRPr="001F33CB">
        <w:t xml:space="preserve">. </w:t>
      </w:r>
      <w:r w:rsidR="001072E3">
        <w:t xml:space="preserve">Looking back to the student post-compulsory choice model discussed earlier (Eccles, 2009), we note that the 21CS curriculum is intended to make students more likely to answer in the affirmative for at least the first five of the six listed questions making up the model </w:t>
      </w:r>
      <w:r w:rsidR="001072E3" w:rsidRPr="002E04B5">
        <w:t>(Millar, 2006)</w:t>
      </w:r>
      <w:r w:rsidR="001072E3">
        <w:t xml:space="preserve">. </w:t>
      </w:r>
      <w:r w:rsidR="00AA4B00">
        <w:t>Further, w</w:t>
      </w:r>
      <w:r w:rsidR="001072E3">
        <w:t xml:space="preserve">hilst a simplistic </w:t>
      </w:r>
      <w:r w:rsidR="00AA4B00">
        <w:t>approach</w:t>
      </w:r>
      <w:r w:rsidR="001072E3">
        <w:t xml:space="preserve"> might </w:t>
      </w:r>
      <w:r w:rsidR="00AA4B00">
        <w:t xml:space="preserve">characterise the differences </w:t>
      </w:r>
      <w:r w:rsidR="00AA4B00">
        <w:lastRenderedPageBreak/>
        <w:t>between 21CS and non-21CS courses as essentially based on ‘content’, a more nuanced view would be that the new courses require different pedagogic approaches, and, perhaps, a broader range of modes of assessment, including for example, more discursive elements.</w:t>
      </w:r>
    </w:p>
    <w:p w:rsidR="009E2B53" w:rsidRDefault="009E2B53" w:rsidP="00E73DEA"/>
    <w:p w:rsidR="00E73DEA" w:rsidRPr="001F33CB" w:rsidRDefault="00667F3D" w:rsidP="00E73DEA">
      <w:r>
        <w:t>The wider literature shows that f</w:t>
      </w:r>
      <w:r w:rsidR="009E2B53" w:rsidRPr="001F33CB">
        <w:t>actors linked to positive impacts on students’ attitudes towards science and ultimately choice of science qualifications</w:t>
      </w:r>
      <w:r w:rsidR="009E2B53">
        <w:t xml:space="preserve"> include a </w:t>
      </w:r>
      <w:r w:rsidR="00E73DEA" w:rsidRPr="001F33CB">
        <w:t xml:space="preserve">more diverse school science curriculum, an emphasis on </w:t>
      </w:r>
      <w:r w:rsidR="001072E3">
        <w:t xml:space="preserve">a </w:t>
      </w:r>
      <w:r w:rsidR="00E73DEA" w:rsidRPr="001F33CB">
        <w:t xml:space="preserve">less </w:t>
      </w:r>
      <w:r w:rsidR="001072E3">
        <w:t>teacher-led</w:t>
      </w:r>
      <w:r w:rsidR="001072E3" w:rsidRPr="001F33CB">
        <w:t xml:space="preserve"> </w:t>
      </w:r>
      <w:r w:rsidR="001072E3">
        <w:t>pedagogy</w:t>
      </w:r>
      <w:r w:rsidR="00E73DEA" w:rsidRPr="001F33CB">
        <w:t>, and more space fo</w:t>
      </w:r>
      <w:r w:rsidR="009E2B53">
        <w:t xml:space="preserve">r the ‘students’ voice’ </w:t>
      </w:r>
      <w:r w:rsidR="002E04B5" w:rsidRPr="002E04B5">
        <w:t xml:space="preserve">(Bennett, </w:t>
      </w:r>
      <w:proofErr w:type="spellStart"/>
      <w:r w:rsidR="002E04B5" w:rsidRPr="002E04B5">
        <w:t>Lubben</w:t>
      </w:r>
      <w:proofErr w:type="spellEnd"/>
      <w:r w:rsidR="002E04B5" w:rsidRPr="002E04B5">
        <w:t>, &amp; Hampden-Thompson, 2013)</w:t>
      </w:r>
      <w:r w:rsidR="00E73DEA" w:rsidRPr="001F33CB">
        <w:t>. For example,</w:t>
      </w:r>
      <w:r w:rsidR="00BA23C0">
        <w:t xml:space="preserve"> </w:t>
      </w:r>
      <w:r w:rsidR="00E73DEA" w:rsidRPr="001F33CB">
        <w:rPr>
          <w:noProof/>
        </w:rPr>
        <w:t>Ametller &amp; Ryder</w:t>
      </w:r>
      <w:r w:rsidR="00BA23C0">
        <w:rPr>
          <w:noProof/>
        </w:rPr>
        <w:t xml:space="preserve"> </w:t>
      </w:r>
      <w:r w:rsidR="002E04B5" w:rsidRPr="002E04B5">
        <w:t>(2014</w:t>
      </w:r>
      <w:proofErr w:type="gramStart"/>
      <w:r w:rsidR="002E04B5" w:rsidRPr="002E04B5">
        <w:t>)</w:t>
      </w:r>
      <w:r w:rsidR="00E73DEA" w:rsidRPr="001F33CB">
        <w:rPr>
          <w:noProof/>
        </w:rPr>
        <w:t xml:space="preserve">  </w:t>
      </w:r>
      <w:r w:rsidR="00E73DEA" w:rsidRPr="001F33CB">
        <w:t>examined</w:t>
      </w:r>
      <w:proofErr w:type="gramEnd"/>
      <w:r w:rsidR="00E73DEA" w:rsidRPr="001F33CB">
        <w:t xml:space="preserve"> the extent to which an emphasis on teaching about socio-scientific issues and the nature of science had encouraged students to choose science </w:t>
      </w:r>
      <w:r w:rsidR="009A17A8" w:rsidRPr="001F33CB">
        <w:t>qualifications</w:t>
      </w:r>
      <w:r w:rsidR="00E73DEA" w:rsidRPr="001F33CB">
        <w:t xml:space="preserve"> within post-compulsory schooling. On the basis of self-reporting of impact, the inclusion of teaching and learning about socio-scientific issues within the school science curriculum (such as the potential dangers of mobile phone masts, ethical issues related to genetic testing, and climate change) had a positive impact on encouraging these students to choose, or consider choosing, science </w:t>
      </w:r>
      <w:r w:rsidR="009A17A8" w:rsidRPr="001F33CB">
        <w:t>qualifications</w:t>
      </w:r>
      <w:r w:rsidR="00E73DEA" w:rsidRPr="001F33CB">
        <w:t xml:space="preserve"> beyond post-compulsory education. The evidence above suggests that the distinctive curriculum focus within 21CS on ‘ideas about science’ might result in a </w:t>
      </w:r>
      <w:r w:rsidR="008A6487" w:rsidRPr="001F33CB">
        <w:t xml:space="preserve">positive </w:t>
      </w:r>
      <w:r w:rsidR="00E73DEA" w:rsidRPr="001F33CB">
        <w:t xml:space="preserve">21CS effect on </w:t>
      </w:r>
      <w:r w:rsidR="008A6487" w:rsidRPr="001F33CB">
        <w:t>post-compulsory science</w:t>
      </w:r>
      <w:r w:rsidR="00E73DEA" w:rsidRPr="001F33CB">
        <w:t xml:space="preserve"> participation. </w:t>
      </w:r>
    </w:p>
    <w:p w:rsidR="002E3DD7" w:rsidRPr="001F33CB" w:rsidRDefault="002E3DD7" w:rsidP="00134C57"/>
    <w:p w:rsidR="000474CB" w:rsidRPr="001F33CB" w:rsidRDefault="002E3DD7" w:rsidP="00134C57">
      <w:r w:rsidRPr="001F33CB">
        <w:t xml:space="preserve">We compare post-compulsory participation of students taking 21CS qualifications with those taking </w:t>
      </w:r>
      <w:r w:rsidR="009E2B53">
        <w:t xml:space="preserve">a range of </w:t>
      </w:r>
      <w:r w:rsidRPr="001F33CB">
        <w:t xml:space="preserve">other available qualifications (i.e. non-21CS). </w:t>
      </w:r>
      <w:r w:rsidR="002F120D" w:rsidRPr="001F33CB">
        <w:t xml:space="preserve">All qualifications (21CS and non-21CS) </w:t>
      </w:r>
      <w:r w:rsidR="000474CB" w:rsidRPr="001F33CB">
        <w:t>are</w:t>
      </w:r>
      <w:r w:rsidR="00615718">
        <w:t>, however,</w:t>
      </w:r>
      <w:r w:rsidR="002F120D" w:rsidRPr="001F33CB">
        <w:t xml:space="preserve"> required to follow the National </w:t>
      </w:r>
      <w:r w:rsidR="002F120D" w:rsidRPr="001F33CB">
        <w:lastRenderedPageBreak/>
        <w:t>Curriculum for Science in England</w:t>
      </w:r>
      <w:r w:rsidR="00060193">
        <w:rPr>
          <w:rStyle w:val="FootnoteReference"/>
        </w:rPr>
        <w:footnoteReference w:id="1"/>
      </w:r>
      <w:r w:rsidR="002F120D" w:rsidRPr="001F33CB">
        <w:t>, and the as</w:t>
      </w:r>
      <w:r w:rsidR="00060193">
        <w:t>sociated awarding body criteria</w:t>
      </w:r>
      <w:r w:rsidR="002F120D" w:rsidRPr="00060193">
        <w:t>.</w:t>
      </w:r>
      <w:r w:rsidR="00615718">
        <w:t xml:space="preserve"> A</w:t>
      </w:r>
      <w:r w:rsidR="002F120D" w:rsidRPr="001F33CB">
        <w:t>nalysis of qualification content sh</w:t>
      </w:r>
      <w:r w:rsidR="00615718">
        <w:t xml:space="preserve">ows that the 21CS suite has </w:t>
      </w:r>
      <w:r w:rsidR="002F120D" w:rsidRPr="001F33CB">
        <w:t xml:space="preserve">far </w:t>
      </w:r>
      <w:r w:rsidR="00615718">
        <w:t>stronger</w:t>
      </w:r>
      <w:r w:rsidR="002F120D" w:rsidRPr="001F33CB">
        <w:t xml:space="preserve"> emphasis on the goals of scientific </w:t>
      </w:r>
      <w:r w:rsidR="000474CB" w:rsidRPr="001F33CB">
        <w:t>literacy</w:t>
      </w:r>
      <w:r w:rsidR="00BA23C0">
        <w:t xml:space="preserve"> </w:t>
      </w:r>
      <w:r w:rsidR="002E04B5" w:rsidRPr="002E04B5">
        <w:t>(21st Century Science Project Team, 2003)</w:t>
      </w:r>
      <w:r w:rsidR="000474CB" w:rsidRPr="001F33CB">
        <w:fldChar w:fldCharType="begin"/>
      </w:r>
      <w:r w:rsidR="000474CB" w:rsidRPr="001F33CB">
        <w:instrText xml:space="preserve"> ADDIN EN.CITE &lt;EndNote&gt;&lt;Cite&gt;&lt;Author&gt;21st Century Science Project Team&lt;/Author&gt;&lt;Year&gt;2003&lt;/Year&gt;&lt;RecNum&gt;1402&lt;/RecNum&gt;&lt;DisplayText&gt;(21st Century Science Project Team, 2003)&lt;/DisplayText&gt;&lt;record&gt;&lt;rec-number&gt;1402&lt;/rec-number&gt;&lt;foreign-keys&gt;&lt;key app="EN" db-id="xtxfw9x5vtr9w6eef97v5ts75d0x25v5x0fw"&gt;1402&lt;/key&gt;&lt;/foreign-keys&gt;&lt;ref-type name="Journal Article"&gt;17&lt;/ref-type&gt;&lt;contributors&gt;&lt;authors&gt;&lt;author&gt;21st Century Science Project Team,&lt;/author&gt;&lt;/authors&gt;&lt;/contributors&gt;&lt;titles&gt;&lt;title&gt;21st Century Science - a new flexible model for GCSE Science&lt;/title&gt;&lt;secondary-title&gt;School Science Review&lt;/secondary-title&gt;&lt;/titles&gt;&lt;periodical&gt;&lt;full-title&gt;School Science Review&lt;/full-title&gt;&lt;/periodical&gt;&lt;pages&gt;27-34&lt;/pages&gt;&lt;volume&gt;85&lt;/volume&gt;&lt;number&gt;310&lt;/number&gt;&lt;dates&gt;&lt;year&gt;2003&lt;/year&gt;&lt;/dates&gt;&lt;urls&gt;&lt;/urls&gt;&lt;/record&gt;&lt;/Cite&gt;&lt;/EndNote&gt;</w:instrText>
      </w:r>
      <w:r w:rsidR="000474CB" w:rsidRPr="001F33CB">
        <w:fldChar w:fldCharType="end"/>
      </w:r>
      <w:r w:rsidR="002F120D" w:rsidRPr="001F33CB">
        <w:t xml:space="preserve">. Although </w:t>
      </w:r>
      <w:r w:rsidR="000474CB" w:rsidRPr="001F33CB">
        <w:t>there are modules on socio-scientific issues and the nature of science within many</w:t>
      </w:r>
      <w:r w:rsidR="002F120D" w:rsidRPr="001F33CB">
        <w:t xml:space="preserve"> of the non-21CS qualifications, as a whole they reflect a much </w:t>
      </w:r>
      <w:r w:rsidR="000474CB" w:rsidRPr="001F33CB">
        <w:t>more academic focus than 21CS; emphasising</w:t>
      </w:r>
      <w:r w:rsidR="00C406AE">
        <w:t xml:space="preserve"> in Robert’s terminology mentioned earlier:</w:t>
      </w:r>
      <w:r w:rsidR="000474CB" w:rsidRPr="001F33CB">
        <w:t xml:space="preserve"> </w:t>
      </w:r>
      <w:r w:rsidR="000474CB" w:rsidRPr="00B369E8">
        <w:t>scientific skill development</w:t>
      </w:r>
      <w:r w:rsidR="000474CB" w:rsidRPr="001F33CB">
        <w:t xml:space="preserve">, </w:t>
      </w:r>
      <w:r w:rsidR="000474CB" w:rsidRPr="00B369E8">
        <w:rPr>
          <w:i/>
        </w:rPr>
        <w:t>correct explanations</w:t>
      </w:r>
      <w:r w:rsidR="000474CB" w:rsidRPr="001F33CB">
        <w:t xml:space="preserve"> and </w:t>
      </w:r>
      <w:r w:rsidR="000474CB" w:rsidRPr="00B369E8">
        <w:rPr>
          <w:i/>
        </w:rPr>
        <w:t>solid foundation</w:t>
      </w:r>
      <w:r w:rsidR="000474CB" w:rsidRPr="001F33CB">
        <w:t xml:space="preserve"> over </w:t>
      </w:r>
      <w:r w:rsidR="000474CB" w:rsidRPr="001F33CB">
        <w:rPr>
          <w:rStyle w:val="CommentReference"/>
        </w:rPr>
        <w:t xml:space="preserve"> </w:t>
      </w:r>
      <w:r w:rsidR="000474CB" w:rsidRPr="00B369E8">
        <w:rPr>
          <w:i/>
        </w:rPr>
        <w:t>structure of science</w:t>
      </w:r>
      <w:r w:rsidR="00C406AE">
        <w:t>,</w:t>
      </w:r>
      <w:r w:rsidR="000474CB" w:rsidRPr="001F33CB">
        <w:t xml:space="preserve"> and </w:t>
      </w:r>
      <w:r w:rsidR="000474CB" w:rsidRPr="00B369E8">
        <w:rPr>
          <w:i/>
        </w:rPr>
        <w:t>science, technology, decisions</w:t>
      </w:r>
      <w:r w:rsidR="00BA23C0">
        <w:t xml:space="preserve"> </w:t>
      </w:r>
      <w:r w:rsidR="002E04B5" w:rsidRPr="002E04B5">
        <w:t>(Roberts, 1988)</w:t>
      </w:r>
      <w:r w:rsidR="00BA23C0">
        <w:t>.</w:t>
      </w:r>
      <w:r w:rsidR="00BA23C0" w:rsidRPr="001F33CB">
        <w:t xml:space="preserve"> </w:t>
      </w:r>
    </w:p>
    <w:p w:rsidR="008B4831" w:rsidRPr="001F33CB" w:rsidRDefault="008B4831" w:rsidP="008B4831"/>
    <w:p w:rsidR="007B4F4A" w:rsidRPr="001F33CB" w:rsidRDefault="00750FBB" w:rsidP="000F171F">
      <w:pPr>
        <w:pStyle w:val="Heading2"/>
      </w:pPr>
      <w:r w:rsidRPr="001F33CB">
        <w:t>Data and m</w:t>
      </w:r>
      <w:r w:rsidR="007B4F4A" w:rsidRPr="001F33CB">
        <w:t>ethods</w:t>
      </w:r>
      <w:r w:rsidRPr="001F33CB">
        <w:t xml:space="preserve"> of analysis</w:t>
      </w:r>
    </w:p>
    <w:p w:rsidR="006549AA" w:rsidRPr="001F33CB" w:rsidRDefault="00947C0A" w:rsidP="006549AA">
      <w:r w:rsidRPr="001F33CB">
        <w:t xml:space="preserve">Student-level data on </w:t>
      </w:r>
      <w:r w:rsidRPr="001F33CB">
        <w:rPr>
          <w:rFonts w:eastAsia="Times New Roman"/>
        </w:rPr>
        <w:t>all students within state funded schools and 16-18 colleges</w:t>
      </w:r>
      <w:r w:rsidRPr="001F33CB">
        <w:t xml:space="preserve"> is held in England in the National Pupil Database (NPD)</w:t>
      </w:r>
      <w:r w:rsidRPr="001F33CB">
        <w:rPr>
          <w:rStyle w:val="FootnoteReference"/>
        </w:rPr>
        <w:footnoteReference w:id="2"/>
      </w:r>
      <w:r w:rsidR="00BA555D" w:rsidRPr="001F33CB">
        <w:rPr>
          <w:rFonts w:eastAsia="Times New Roman"/>
        </w:rPr>
        <w:t xml:space="preserve">. This data </w:t>
      </w:r>
      <w:r w:rsidRPr="001F33CB">
        <w:rPr>
          <w:rFonts w:eastAsia="Times New Roman"/>
        </w:rPr>
        <w:t xml:space="preserve">includes individual attainment grades/scores </w:t>
      </w:r>
      <w:r w:rsidR="00257671" w:rsidRPr="001F33CB">
        <w:rPr>
          <w:rFonts w:eastAsia="Times New Roman"/>
        </w:rPr>
        <w:t xml:space="preserve">in nationally recognised assessments </w:t>
      </w:r>
      <w:r w:rsidRPr="001F33CB">
        <w:rPr>
          <w:rFonts w:eastAsia="Times New Roman"/>
        </w:rPr>
        <w:t xml:space="preserve">at age 11, 14, 16 and 18 as well as student characteristics such as gender, ethnicity and </w:t>
      </w:r>
      <w:r w:rsidR="003079E8" w:rsidRPr="001F33CB">
        <w:rPr>
          <w:rFonts w:eastAsia="Times New Roman"/>
        </w:rPr>
        <w:t xml:space="preserve">measures </w:t>
      </w:r>
      <w:r w:rsidRPr="001F33CB">
        <w:rPr>
          <w:rFonts w:eastAsia="Times New Roman"/>
        </w:rPr>
        <w:t>of</w:t>
      </w:r>
      <w:r w:rsidR="003079E8" w:rsidRPr="001F33CB">
        <w:rPr>
          <w:rFonts w:eastAsia="Times New Roman"/>
        </w:rPr>
        <w:t>, or proxies for,</w:t>
      </w:r>
      <w:r w:rsidRPr="001F33CB">
        <w:rPr>
          <w:rFonts w:eastAsia="Times New Roman"/>
        </w:rPr>
        <w:t xml:space="preserve"> socio-economic status</w:t>
      </w:r>
      <w:r w:rsidR="003079E8" w:rsidRPr="001F33CB">
        <w:rPr>
          <w:rFonts w:eastAsia="Times New Roman"/>
        </w:rPr>
        <w:t>,</w:t>
      </w:r>
      <w:r w:rsidR="00FA241A" w:rsidRPr="001F33CB">
        <w:rPr>
          <w:rFonts w:eastAsia="Times New Roman"/>
        </w:rPr>
        <w:t xml:space="preserve"> and </w:t>
      </w:r>
      <w:r w:rsidR="003079E8" w:rsidRPr="001F33CB">
        <w:rPr>
          <w:rFonts w:eastAsia="Times New Roman"/>
        </w:rPr>
        <w:t>includes</w:t>
      </w:r>
      <w:r w:rsidR="00FA241A" w:rsidRPr="001F33CB">
        <w:rPr>
          <w:rFonts w:eastAsia="Times New Roman"/>
        </w:rPr>
        <w:t xml:space="preserve"> approximately 92% of all children of school age in England</w:t>
      </w:r>
      <w:r w:rsidR="00873DF1">
        <w:rPr>
          <w:rFonts w:eastAsia="Times New Roman"/>
        </w:rPr>
        <w:t xml:space="preserve"> </w:t>
      </w:r>
      <w:r w:rsidR="002E04B5" w:rsidRPr="002E04B5">
        <w:t xml:space="preserve">(Ryan &amp; </w:t>
      </w:r>
      <w:proofErr w:type="spellStart"/>
      <w:r w:rsidR="002E04B5" w:rsidRPr="002E04B5">
        <w:t>Sibieta</w:t>
      </w:r>
      <w:proofErr w:type="spellEnd"/>
      <w:r w:rsidR="002E04B5" w:rsidRPr="002E04B5">
        <w:t>, 2010)</w:t>
      </w:r>
      <w:r w:rsidRPr="001F33CB">
        <w:rPr>
          <w:rFonts w:eastAsia="Times New Roman"/>
        </w:rPr>
        <w:t>.</w:t>
      </w:r>
      <w:r w:rsidR="00FA241A" w:rsidRPr="001F33CB">
        <w:rPr>
          <w:rFonts w:eastAsia="Times New Roman"/>
        </w:rPr>
        <w:t xml:space="preserve"> The remaining 8% or so are in privately funded schools and are not included in this research</w:t>
      </w:r>
      <w:r w:rsidR="00257671" w:rsidRPr="001F33CB">
        <w:rPr>
          <w:rFonts w:eastAsia="Times New Roman"/>
        </w:rPr>
        <w:t xml:space="preserve"> since student characteristics are not available for these students</w:t>
      </w:r>
      <w:r w:rsidR="00FA241A" w:rsidRPr="001F33CB">
        <w:rPr>
          <w:rFonts w:eastAsia="Times New Roman"/>
        </w:rPr>
        <w:t>.</w:t>
      </w:r>
      <w:r w:rsidRPr="001F33CB">
        <w:rPr>
          <w:rFonts w:eastAsia="Times New Roman"/>
        </w:rPr>
        <w:t xml:space="preserve"> </w:t>
      </w:r>
      <w:r w:rsidRPr="001F33CB">
        <w:t>Under certain conditions</w:t>
      </w:r>
      <w:r w:rsidR="00A70099" w:rsidRPr="001F33CB">
        <w:t xml:space="preserve"> related to guarantees of anonymity for students and schools</w:t>
      </w:r>
      <w:r w:rsidRPr="001F33CB">
        <w:t xml:space="preserve">, </w:t>
      </w:r>
      <w:r w:rsidR="00FA241A" w:rsidRPr="001F33CB">
        <w:t>NPD</w:t>
      </w:r>
      <w:r w:rsidRPr="001F33CB">
        <w:t xml:space="preserve"> data is made freely available to researchers</w:t>
      </w:r>
      <w:r w:rsidR="00A70099" w:rsidRPr="001F33CB">
        <w:t xml:space="preserve">. </w:t>
      </w:r>
    </w:p>
    <w:p w:rsidR="00A70099" w:rsidRPr="001F33CB" w:rsidRDefault="00A70099" w:rsidP="007E7E4F"/>
    <w:p w:rsidR="005C10B2" w:rsidRPr="001F33CB" w:rsidRDefault="00A70099" w:rsidP="005C10B2">
      <w:r w:rsidRPr="001F33CB">
        <w:t xml:space="preserve">In this study we use the NPD to track a single cohort of students from the age of 14 to the age of 18 in order to compare progression rates to post-compulsory science </w:t>
      </w:r>
      <w:r w:rsidRPr="001F33CB">
        <w:lastRenderedPageBreak/>
        <w:t xml:space="preserve">between students who followed 21CS </w:t>
      </w:r>
      <w:r w:rsidR="009A17A8" w:rsidRPr="001F33CB">
        <w:t>qualifications</w:t>
      </w:r>
      <w:r w:rsidRPr="001F33CB">
        <w:t xml:space="preserve"> at age 14-16 and students following other science </w:t>
      </w:r>
      <w:r w:rsidR="009A17A8" w:rsidRPr="001F33CB">
        <w:t>qualifications</w:t>
      </w:r>
      <w:r w:rsidRPr="001F33CB">
        <w:t xml:space="preserve"> over this period. </w:t>
      </w:r>
      <w:r w:rsidR="006549AA" w:rsidRPr="001F33CB">
        <w:t xml:space="preserve">When we refer in this paper to progression to a particular post-16 </w:t>
      </w:r>
      <w:r w:rsidR="009A17A8" w:rsidRPr="001F33CB">
        <w:t>qualification</w:t>
      </w:r>
      <w:r w:rsidR="006549AA" w:rsidRPr="001F33CB">
        <w:t xml:space="preserve"> this is synonymous with </w:t>
      </w:r>
      <w:r w:rsidR="009A17A8" w:rsidRPr="001F33CB">
        <w:t>qualification</w:t>
      </w:r>
      <w:r w:rsidR="006549AA" w:rsidRPr="001F33CB">
        <w:t xml:space="preserve"> completion</w:t>
      </w:r>
      <w:r w:rsidR="00F5021B">
        <w:t xml:space="preserve"> – in other words sitting the final examination</w:t>
      </w:r>
      <w:r w:rsidR="00AD54D7">
        <w:t>(s)</w:t>
      </w:r>
      <w:r w:rsidR="00F5021B">
        <w:t xml:space="preserve"> and being awarded a grade (including fail grades)</w:t>
      </w:r>
      <w:r w:rsidR="006549AA" w:rsidRPr="001F33CB">
        <w:t xml:space="preserve">. </w:t>
      </w:r>
      <w:r w:rsidR="00C0791D" w:rsidRPr="001F33CB">
        <w:t>Table 1</w:t>
      </w:r>
      <w:r w:rsidRPr="001F33CB">
        <w:t xml:space="preserve"> summarises student options in science across the age range 14-18</w:t>
      </w:r>
      <w:r w:rsidR="005C10B2" w:rsidRPr="001F33CB">
        <w:t xml:space="preserve"> that are the focus of this paper</w:t>
      </w:r>
      <w:r w:rsidR="00F31856" w:rsidRPr="001F33CB">
        <w:t xml:space="preserve">. </w:t>
      </w:r>
    </w:p>
    <w:p w:rsidR="00A70099" w:rsidRPr="001F33CB" w:rsidRDefault="00A70099" w:rsidP="007E7E4F"/>
    <w:p w:rsidR="00947C0A" w:rsidRDefault="00213527" w:rsidP="00213527">
      <w:pPr>
        <w:jc w:val="center"/>
        <w:rPr>
          <w:b/>
        </w:rPr>
      </w:pPr>
      <w:r w:rsidRPr="00213527">
        <w:rPr>
          <w:b/>
        </w:rPr>
        <w:t>TABLE 1 HERE</w:t>
      </w:r>
    </w:p>
    <w:p w:rsidR="00213527" w:rsidRPr="00213527" w:rsidRDefault="00213527" w:rsidP="00213527">
      <w:pPr>
        <w:jc w:val="center"/>
        <w:rPr>
          <w:b/>
        </w:rPr>
      </w:pPr>
    </w:p>
    <w:p w:rsidR="00F31856" w:rsidRPr="001F33CB" w:rsidRDefault="00F31856" w:rsidP="009157E2">
      <w:r w:rsidRPr="001F33CB">
        <w:t>The majority (~60%) of students studying science at 14-16 are studying either DA or TA</w:t>
      </w:r>
      <w:r w:rsidR="0063123F" w:rsidRPr="001F33CB">
        <w:t xml:space="preserve"> and these are the usual pathways into the study of science post-16.</w:t>
      </w:r>
      <w:r w:rsidRPr="001F33CB">
        <w:t xml:space="preserve"> </w:t>
      </w:r>
      <w:r w:rsidR="00257671" w:rsidRPr="001F33CB">
        <w:t xml:space="preserve">We do not consider other science </w:t>
      </w:r>
      <w:r w:rsidR="009A17A8" w:rsidRPr="001F33CB">
        <w:t>qualifications</w:t>
      </w:r>
      <w:r w:rsidR="00257671" w:rsidRPr="001F33CB">
        <w:t xml:space="preserve"> at 14-16 in this paper. Similarly, w</w:t>
      </w:r>
      <w:r w:rsidR="0063123F" w:rsidRPr="001F33CB">
        <w:t xml:space="preserve">hilst there are other science options available at </w:t>
      </w:r>
      <w:r w:rsidRPr="001F33CB">
        <w:t>16-18</w:t>
      </w:r>
      <w:r w:rsidR="00257671" w:rsidRPr="001F33CB">
        <w:t xml:space="preserve"> we do not consider these in this work since we have decided to focus only on the most popular </w:t>
      </w:r>
      <w:r w:rsidR="008C1CF1">
        <w:t xml:space="preserve">post-16 </w:t>
      </w:r>
      <w:r w:rsidR="009A17A8" w:rsidRPr="001F33CB">
        <w:t>qualifications</w:t>
      </w:r>
      <w:r w:rsidR="00257671" w:rsidRPr="001F33CB">
        <w:t xml:space="preserve">, </w:t>
      </w:r>
      <w:r w:rsidR="00FA006A">
        <w:t>biology, chemistry and physics</w:t>
      </w:r>
      <w:r w:rsidRPr="001F33CB">
        <w:t xml:space="preserve">. For more details on these and other science </w:t>
      </w:r>
      <w:r w:rsidR="009A17A8" w:rsidRPr="001F33CB">
        <w:t>qualifications</w:t>
      </w:r>
      <w:r w:rsidR="0063123F" w:rsidRPr="001F33CB">
        <w:t xml:space="preserve"> in England </w:t>
      </w:r>
      <w:r w:rsidRPr="001F33CB">
        <w:t xml:space="preserve">at </w:t>
      </w:r>
      <w:r w:rsidR="008C1CF1">
        <w:t xml:space="preserve">ages </w:t>
      </w:r>
      <w:r w:rsidRPr="001F33CB">
        <w:t>14-18 see</w:t>
      </w:r>
      <w:r w:rsidR="00873DF1">
        <w:t xml:space="preserve"> Homer</w:t>
      </w:r>
      <w:r w:rsidR="00FA006A">
        <w:t xml:space="preserve"> et al.</w:t>
      </w:r>
      <w:r w:rsidR="00873DF1">
        <w:t xml:space="preserve"> </w:t>
      </w:r>
      <w:r w:rsidR="002E04B5" w:rsidRPr="002E04B5">
        <w:t>(2013)</w:t>
      </w:r>
    </w:p>
    <w:p w:rsidR="0063123F" w:rsidRPr="001F33CB" w:rsidRDefault="0063123F" w:rsidP="009157E2"/>
    <w:p w:rsidR="0063123F" w:rsidRPr="001F33CB" w:rsidRDefault="0063123F" w:rsidP="009157E2">
      <w:r w:rsidRPr="001F33CB">
        <w:t xml:space="preserve">Our main aim is to compare the progression rates from </w:t>
      </w:r>
      <w:r w:rsidR="00E7021D" w:rsidRPr="001F33CB">
        <w:t xml:space="preserve">21CS and </w:t>
      </w:r>
      <w:r w:rsidRPr="001F33CB">
        <w:t xml:space="preserve">non-21CS </w:t>
      </w:r>
      <w:r w:rsidR="009A17A8" w:rsidRPr="001F33CB">
        <w:t>qualifications</w:t>
      </w:r>
      <w:r w:rsidR="00E7021D" w:rsidRPr="001F33CB">
        <w:t xml:space="preserve"> into post-16 sciences</w:t>
      </w:r>
      <w:r w:rsidRPr="001F33CB">
        <w:t xml:space="preserve">. In exploring these differences we </w:t>
      </w:r>
      <w:r w:rsidR="00D17E6F" w:rsidRPr="001F33CB">
        <w:t xml:space="preserve">have </w:t>
      </w:r>
      <w:r w:rsidRPr="001F33CB">
        <w:t xml:space="preserve">found that the results for TA </w:t>
      </w:r>
      <w:r w:rsidR="009A17A8" w:rsidRPr="001F33CB">
        <w:t>qualifications</w:t>
      </w:r>
      <w:r w:rsidRPr="001F33CB">
        <w:t xml:space="preserve"> are quite distinct from those of DA </w:t>
      </w:r>
      <w:r w:rsidR="009A17A8" w:rsidRPr="001F33CB">
        <w:t>qualification</w:t>
      </w:r>
      <w:r w:rsidRPr="001F33CB">
        <w:t>. Similarly, we shall show that there are important differences in result</w:t>
      </w:r>
      <w:r w:rsidR="00515CCC" w:rsidRPr="001F33CB">
        <w:t>s</w:t>
      </w:r>
      <w:r w:rsidRPr="001F33CB">
        <w:t xml:space="preserve"> when comparing between the three separate post-compulsory sciences shown in Table </w:t>
      </w:r>
      <w:r w:rsidR="00C0791D" w:rsidRPr="001F33CB">
        <w:t>1</w:t>
      </w:r>
      <w:r w:rsidRPr="001F33CB">
        <w:t xml:space="preserve">. </w:t>
      </w:r>
      <w:r w:rsidR="00D17E6F" w:rsidRPr="001F33CB">
        <w:t>Hence our main analysis comprises six comparisons of progression: within DA, one for each of the three post-compulsory sciences, and similarly within TA.</w:t>
      </w:r>
    </w:p>
    <w:p w:rsidR="0063123F" w:rsidRPr="001F33CB" w:rsidRDefault="0063123F" w:rsidP="009157E2"/>
    <w:p w:rsidR="00FD51EB" w:rsidRPr="001F33CB" w:rsidRDefault="00FD51EB" w:rsidP="009157E2">
      <w:r w:rsidRPr="001F33CB">
        <w:lastRenderedPageBreak/>
        <w:t>For each of the six pathways, we compare ‘raw’ progression rates between 21CS students and non-21CS students</w:t>
      </w:r>
      <w:r w:rsidR="00B92EEE">
        <w:t xml:space="preserve"> (i.e. the proportion from the full cohort progressing and completing the qualification)</w:t>
      </w:r>
      <w:r w:rsidRPr="001F33CB">
        <w:t xml:space="preserve">. We also adjust for different student profiles by modelling progression to each post-16 </w:t>
      </w:r>
      <w:r w:rsidR="009A17A8" w:rsidRPr="001F33CB">
        <w:t>qualification</w:t>
      </w:r>
      <w:r w:rsidRPr="001F33CB">
        <w:t xml:space="preserve"> using multi-level logistic regression with two levels, student (level 1) and 14-16 school (level 2)</w:t>
      </w:r>
      <w:r w:rsidR="000C644B" w:rsidRPr="001F33CB">
        <w:t xml:space="preserve"> </w:t>
      </w:r>
      <w:r w:rsidR="002E04B5" w:rsidRPr="002E04B5">
        <w:t>(Goldstein, 1995)</w:t>
      </w:r>
      <w:r w:rsidRPr="001F33CB">
        <w:t>. We include a range of co-</w:t>
      </w:r>
      <w:proofErr w:type="spellStart"/>
      <w:r w:rsidRPr="001F33CB">
        <w:t>variates</w:t>
      </w:r>
      <w:proofErr w:type="spellEnd"/>
      <w:r w:rsidRPr="001F33CB">
        <w:t xml:space="preserve"> in these models, including science attainment at 16, attainment in science</w:t>
      </w:r>
      <w:r w:rsidR="00515CCC" w:rsidRPr="001F33CB">
        <w:t>,</w:t>
      </w:r>
      <w:r w:rsidRPr="001F33CB">
        <w:t xml:space="preserve"> maths and English at 14, gender and measures of socio-economic status (See </w:t>
      </w:r>
      <w:r w:rsidR="00117C04">
        <w:t xml:space="preserve">Table A1 in the </w:t>
      </w:r>
      <w:r w:rsidRPr="001F33CB">
        <w:t>Appendix for full details). The inclusion of these allows for a more accurate estimate of the independent 21CS ‘effect’ on progression rates</w:t>
      </w:r>
      <w:r w:rsidR="006549AA" w:rsidRPr="001F33CB">
        <w:t xml:space="preserve">. We </w:t>
      </w:r>
      <w:r w:rsidRPr="001F33CB">
        <w:t>acknowledg</w:t>
      </w:r>
      <w:r w:rsidR="006549AA" w:rsidRPr="001F33CB">
        <w:t xml:space="preserve">e, however, </w:t>
      </w:r>
      <w:r w:rsidR="00E162B7" w:rsidRPr="001F33CB">
        <w:t xml:space="preserve">that as </w:t>
      </w:r>
      <w:r w:rsidR="00750FBB" w:rsidRPr="001F33CB">
        <w:t xml:space="preserve">researchers </w:t>
      </w:r>
      <w:r w:rsidR="00257671" w:rsidRPr="001F33CB">
        <w:t xml:space="preserve">we </w:t>
      </w:r>
      <w:r w:rsidR="00750FBB" w:rsidRPr="001F33CB">
        <w:t xml:space="preserve">have not manipulated student </w:t>
      </w:r>
      <w:r w:rsidR="009A17A8" w:rsidRPr="001F33CB">
        <w:t>qualification</w:t>
      </w:r>
      <w:r w:rsidR="00750FBB" w:rsidRPr="001F33CB">
        <w:t xml:space="preserve"> choice </w:t>
      </w:r>
      <w:r w:rsidR="00257671" w:rsidRPr="001F33CB">
        <w:t xml:space="preserve">at age 14-16 </w:t>
      </w:r>
      <w:r w:rsidR="00750FBB" w:rsidRPr="001F33CB">
        <w:t xml:space="preserve">as </w:t>
      </w:r>
      <w:r w:rsidR="00257671" w:rsidRPr="001F33CB">
        <w:t xml:space="preserve">we </w:t>
      </w:r>
      <w:r w:rsidR="008C1CF1">
        <w:t>would have</w:t>
      </w:r>
      <w:r w:rsidR="00750FBB" w:rsidRPr="001F33CB">
        <w:t xml:space="preserve"> in a controlled experiment</w:t>
      </w:r>
      <w:r w:rsidR="00E162B7" w:rsidRPr="001F33CB">
        <w:t xml:space="preserve"> – in the language of experimental design, this study is observational rather than a randomized experiment</w:t>
      </w:r>
      <w:r w:rsidR="00116E82" w:rsidRPr="001F33CB">
        <w:t>. T</w:t>
      </w:r>
      <w:r w:rsidR="00750FBB" w:rsidRPr="001F33CB">
        <w:t xml:space="preserve">herefore </w:t>
      </w:r>
      <w:r w:rsidR="006549AA" w:rsidRPr="001F33CB">
        <w:t>causation cannot be directly inferred from our analysis</w:t>
      </w:r>
      <w:r w:rsidR="00FA006A">
        <w:t xml:space="preserve"> </w:t>
      </w:r>
      <w:r w:rsidR="002E04B5" w:rsidRPr="002E04B5">
        <w:t>(</w:t>
      </w:r>
      <w:proofErr w:type="spellStart"/>
      <w:r w:rsidR="002E04B5" w:rsidRPr="002E04B5">
        <w:t>Shadish</w:t>
      </w:r>
      <w:proofErr w:type="spellEnd"/>
      <w:r w:rsidR="002E04B5" w:rsidRPr="002E04B5">
        <w:t>, Cook, &amp; Campbell, 2001)</w:t>
      </w:r>
      <w:r w:rsidR="006549AA" w:rsidRPr="001F33CB">
        <w:t>.</w:t>
      </w:r>
      <w:r w:rsidR="00E7021D" w:rsidRPr="001F33CB">
        <w:t xml:space="preserve"> In other words, we cannot be </w:t>
      </w:r>
      <w:r w:rsidR="00750FBB" w:rsidRPr="001F33CB">
        <w:t xml:space="preserve">completely </w:t>
      </w:r>
      <w:r w:rsidR="00E7021D" w:rsidRPr="001F33CB">
        <w:t>sure that our estimates of the ‘</w:t>
      </w:r>
      <w:r w:rsidR="00750FBB" w:rsidRPr="001F33CB">
        <w:t>i</w:t>
      </w:r>
      <w:r w:rsidR="00E7021D" w:rsidRPr="001F33CB">
        <w:t xml:space="preserve">mpact’ of 21CS on progression are not due to other unmeasured </w:t>
      </w:r>
      <w:r w:rsidR="008C1CF1">
        <w:t xml:space="preserve">confounding </w:t>
      </w:r>
      <w:r w:rsidR="00E7021D" w:rsidRPr="001F33CB">
        <w:t>characteristics that differ across</w:t>
      </w:r>
      <w:r w:rsidR="00257671" w:rsidRPr="001F33CB">
        <w:t xml:space="preserve"> the two </w:t>
      </w:r>
      <w:r w:rsidR="00E7021D" w:rsidRPr="001F33CB">
        <w:t>groups</w:t>
      </w:r>
      <w:r w:rsidR="00257671" w:rsidRPr="001F33CB">
        <w:t xml:space="preserve"> being compared (21CS and non-21CS)</w:t>
      </w:r>
      <w:r w:rsidR="00E7021D" w:rsidRPr="001F33CB">
        <w:t>.</w:t>
      </w:r>
    </w:p>
    <w:p w:rsidR="007B4F4A" w:rsidRPr="001F33CB" w:rsidRDefault="00750FBB" w:rsidP="0006044F">
      <w:pPr>
        <w:pStyle w:val="Heading2"/>
      </w:pPr>
      <w:r w:rsidRPr="001F33CB">
        <w:t>Research findings</w:t>
      </w:r>
    </w:p>
    <w:p w:rsidR="00C0791D" w:rsidRPr="001F33CB" w:rsidRDefault="00C0791D" w:rsidP="00E36687">
      <w:r w:rsidRPr="001F33CB">
        <w:t xml:space="preserve">Table </w:t>
      </w:r>
      <w:r w:rsidR="00E36687">
        <w:t>2</w:t>
      </w:r>
      <w:r w:rsidRPr="001F33CB">
        <w:t xml:space="preserve"> shows a summary of the number of students studying the main science </w:t>
      </w:r>
      <w:r w:rsidR="009A17A8" w:rsidRPr="001F33CB">
        <w:t>qualification</w:t>
      </w:r>
      <w:r w:rsidRPr="001F33CB">
        <w:t xml:space="preserve"> options at ages 14-16</w:t>
      </w:r>
      <w:r w:rsidR="000F305C" w:rsidRPr="001F33CB">
        <w:t xml:space="preserve"> over 2007-2009</w:t>
      </w:r>
      <w:r w:rsidRPr="001F33CB">
        <w:t>.</w:t>
      </w:r>
    </w:p>
    <w:p w:rsidR="00C0791D" w:rsidRPr="001F33CB" w:rsidRDefault="00C0791D" w:rsidP="00C0791D"/>
    <w:p w:rsidR="00B86713" w:rsidRDefault="00213527" w:rsidP="00213527">
      <w:pPr>
        <w:jc w:val="center"/>
        <w:rPr>
          <w:b/>
        </w:rPr>
      </w:pPr>
      <w:r w:rsidRPr="00213527">
        <w:rPr>
          <w:b/>
        </w:rPr>
        <w:t>TABLE 2 HERE</w:t>
      </w:r>
    </w:p>
    <w:p w:rsidR="00213527" w:rsidRPr="00213527" w:rsidRDefault="00213527" w:rsidP="00213527">
      <w:pPr>
        <w:jc w:val="center"/>
        <w:rPr>
          <w:b/>
        </w:rPr>
      </w:pPr>
    </w:p>
    <w:p w:rsidR="00C0791D" w:rsidRPr="001F33CB" w:rsidRDefault="00C0791D" w:rsidP="009157E2">
      <w:r w:rsidRPr="001F33CB">
        <w:lastRenderedPageBreak/>
        <w:t xml:space="preserve">The total cohort is of the order of 600,000 with over half (52%) studying DA and 11% TA with the remainder </w:t>
      </w:r>
      <w:r w:rsidR="00B07109" w:rsidRPr="001F33CB">
        <w:t xml:space="preserve">(37%) </w:t>
      </w:r>
      <w:r w:rsidRPr="001F33CB">
        <w:t>ta</w:t>
      </w:r>
      <w:r w:rsidR="00B07109" w:rsidRPr="001F33CB">
        <w:t xml:space="preserve">king other science </w:t>
      </w:r>
      <w:r w:rsidR="009A17A8" w:rsidRPr="001F33CB">
        <w:t>qualifications</w:t>
      </w:r>
      <w:r w:rsidR="00B07109" w:rsidRPr="001F33CB">
        <w:t xml:space="preserve"> that are not generally intended for students considering the study of </w:t>
      </w:r>
      <w:r w:rsidR="00CD468B" w:rsidRPr="001F33CB">
        <w:t xml:space="preserve">academic </w:t>
      </w:r>
      <w:r w:rsidR="00B07109" w:rsidRPr="001F33CB">
        <w:t>science</w:t>
      </w:r>
      <w:r w:rsidR="00CD468B" w:rsidRPr="001F33CB">
        <w:t xml:space="preserve"> </w:t>
      </w:r>
      <w:r w:rsidR="009A17A8" w:rsidRPr="001F33CB">
        <w:t>qualifications</w:t>
      </w:r>
      <w:r w:rsidR="00B07109" w:rsidRPr="001F33CB">
        <w:t xml:space="preserve"> post-16. The percentage of students taking a 21CS version within each 14-16 </w:t>
      </w:r>
      <w:r w:rsidR="009A17A8" w:rsidRPr="001F33CB">
        <w:t>qualification</w:t>
      </w:r>
      <w:r w:rsidR="00B07109" w:rsidRPr="001F33CB">
        <w:t xml:space="preserve"> is quite uniform at just over 20% in each case.</w:t>
      </w:r>
    </w:p>
    <w:p w:rsidR="00461CFD" w:rsidRPr="001F33CB" w:rsidRDefault="006C5A3D" w:rsidP="00461CFD">
      <w:pPr>
        <w:pStyle w:val="Heading3"/>
      </w:pPr>
      <w:r w:rsidRPr="001F33CB">
        <w:t>D</w:t>
      </w:r>
      <w:r w:rsidR="00461CFD" w:rsidRPr="001F33CB">
        <w:t>escriptive analys</w:t>
      </w:r>
      <w:r w:rsidRPr="001F33CB">
        <w:t>e</w:t>
      </w:r>
      <w:r w:rsidR="00461CFD" w:rsidRPr="001F33CB">
        <w:t>s</w:t>
      </w:r>
    </w:p>
    <w:p w:rsidR="00B07109" w:rsidRPr="001F33CB" w:rsidRDefault="006C5A3D" w:rsidP="009157E2">
      <w:r w:rsidRPr="001F33CB">
        <w:t xml:space="preserve">If we </w:t>
      </w:r>
      <w:r w:rsidR="00305DD7" w:rsidRPr="001F33CB">
        <w:t xml:space="preserve">simply </w:t>
      </w:r>
      <w:r w:rsidRPr="001F33CB">
        <w:t xml:space="preserve">compare overall progression rates to at least </w:t>
      </w:r>
      <w:r w:rsidR="00305DD7" w:rsidRPr="001F33CB">
        <w:t xml:space="preserve">one </w:t>
      </w:r>
      <w:r w:rsidRPr="001F33CB">
        <w:t xml:space="preserve">post-16 science </w:t>
      </w:r>
      <w:r w:rsidR="009A17A8" w:rsidRPr="001F33CB">
        <w:t>qualification</w:t>
      </w:r>
      <w:r w:rsidRPr="001F33CB">
        <w:t xml:space="preserve"> (A-level biology, physics or chemistry) from 21CS and non-21CS </w:t>
      </w:r>
      <w:r w:rsidR="009A17A8" w:rsidRPr="001F33CB">
        <w:t>qualifications</w:t>
      </w:r>
      <w:r w:rsidRPr="001F33CB">
        <w:t xml:space="preserve"> (TA and DA combined), we find that these are very similar at 15.66 and 15.67% of the respective cohorts. </w:t>
      </w:r>
      <w:r w:rsidR="00305DD7" w:rsidRPr="001F33CB">
        <w:t xml:space="preserve"> In other words, there is almost no overall difference in progression rates when looking at the cohort as a whole. However, we recognise that </w:t>
      </w:r>
      <w:r w:rsidR="00515CCC" w:rsidRPr="001F33CB">
        <w:t xml:space="preserve">it </w:t>
      </w:r>
      <w:r w:rsidR="00305DD7" w:rsidRPr="001F33CB">
        <w:t xml:space="preserve">is important to use more nuanced comparisons including type of 14-16 </w:t>
      </w:r>
      <w:r w:rsidR="009A17A8" w:rsidRPr="001F33CB">
        <w:t>qualification</w:t>
      </w:r>
      <w:r w:rsidR="00305DD7" w:rsidRPr="001F33CB">
        <w:t xml:space="preserve"> (TA and DA) and </w:t>
      </w:r>
      <w:r w:rsidR="00116E82" w:rsidRPr="001F33CB">
        <w:t xml:space="preserve">the three different </w:t>
      </w:r>
      <w:r w:rsidR="00305DD7" w:rsidRPr="001F33CB">
        <w:t>post-16 options.</w:t>
      </w:r>
    </w:p>
    <w:p w:rsidR="006C5A3D" w:rsidRPr="001F33CB" w:rsidRDefault="006C5A3D" w:rsidP="009157E2"/>
    <w:p w:rsidR="00B07109" w:rsidRPr="001F33CB" w:rsidRDefault="00305DD7" w:rsidP="009157E2">
      <w:r w:rsidRPr="001F33CB">
        <w:t>We summarise these detailed p</w:t>
      </w:r>
      <w:r w:rsidR="00B07109" w:rsidRPr="001F33CB">
        <w:t xml:space="preserve">rogression </w:t>
      </w:r>
      <w:r w:rsidRPr="001F33CB">
        <w:t xml:space="preserve">analyses </w:t>
      </w:r>
      <w:r w:rsidR="00B07109" w:rsidRPr="001F33CB">
        <w:t>graphically in Figures 1 (</w:t>
      </w:r>
      <w:r w:rsidR="009A2591" w:rsidRPr="001F33CB">
        <w:t xml:space="preserve">for </w:t>
      </w:r>
      <w:r w:rsidR="00B07109" w:rsidRPr="001F33CB">
        <w:t>DA students) and 2 (TA)</w:t>
      </w:r>
      <w:r w:rsidRPr="001F33CB">
        <w:t xml:space="preserve"> – </w:t>
      </w:r>
      <w:r w:rsidR="004F2E52" w:rsidRPr="001F33CB">
        <w:t>complete</w:t>
      </w:r>
      <w:r w:rsidRPr="001F33CB">
        <w:t xml:space="preserve"> figures are given in Table A3 in the appendix</w:t>
      </w:r>
      <w:r w:rsidR="00B07109" w:rsidRPr="001F33CB">
        <w:t>. The error bars show 95% confidence intervals for the true percentage progressing.</w:t>
      </w:r>
    </w:p>
    <w:p w:rsidR="001F6A0A" w:rsidRPr="001F33CB" w:rsidRDefault="001F6A0A" w:rsidP="009157E2"/>
    <w:p w:rsidR="00E214E4" w:rsidRPr="001F33CB" w:rsidRDefault="00E214E4" w:rsidP="009157E2"/>
    <w:p w:rsidR="00E214E4" w:rsidRDefault="004B181E" w:rsidP="004B181E">
      <w:pPr>
        <w:spacing w:before="120"/>
        <w:jc w:val="center"/>
        <w:rPr>
          <w:b/>
          <w:i/>
        </w:rPr>
      </w:pPr>
      <w:r>
        <w:rPr>
          <w:b/>
          <w:i/>
        </w:rPr>
        <w:t>FIGURE 1 HERE</w:t>
      </w:r>
    </w:p>
    <w:p w:rsidR="004B181E" w:rsidRDefault="004B181E" w:rsidP="004B181E">
      <w:pPr>
        <w:spacing w:before="120"/>
        <w:jc w:val="center"/>
        <w:rPr>
          <w:b/>
          <w:i/>
        </w:rPr>
      </w:pPr>
      <w:r>
        <w:rPr>
          <w:b/>
          <w:i/>
        </w:rPr>
        <w:t>FIGURE 2 HERE</w:t>
      </w:r>
    </w:p>
    <w:p w:rsidR="004B181E" w:rsidRPr="001F33CB" w:rsidRDefault="004B181E" w:rsidP="00E214E4">
      <w:pPr>
        <w:spacing w:before="120"/>
        <w:rPr>
          <w:b/>
          <w:i/>
        </w:rPr>
      </w:pPr>
    </w:p>
    <w:p w:rsidR="00E214E4" w:rsidRPr="001F33CB" w:rsidRDefault="00E214E4" w:rsidP="009157E2"/>
    <w:p w:rsidR="00CD468B" w:rsidRPr="001F33CB" w:rsidRDefault="00CD468B" w:rsidP="00CD468B">
      <w:r w:rsidRPr="001F33CB">
        <w:lastRenderedPageBreak/>
        <w:t xml:space="preserve">A chi-square test for difference in percentages progressing from 21CS compared to non-21CS indicates that these differences are all statistically significant at the 5% level with the exception of chemistry from DA. However, the effect size as measured by phi is always small (less than 0.04 in all cases) and the statistical significance is </w:t>
      </w:r>
      <w:r w:rsidR="00136E8E">
        <w:t>in part</w:t>
      </w:r>
      <w:r w:rsidRPr="001F33CB">
        <w:t xml:space="preserve"> an artefact of the large sample sizes in this data</w:t>
      </w:r>
      <w:r w:rsidR="00FA006A">
        <w:t xml:space="preserve"> </w:t>
      </w:r>
      <w:r w:rsidR="002E04B5" w:rsidRPr="002E04B5">
        <w:t>(Cohen, 1988)</w:t>
      </w:r>
      <w:r w:rsidRPr="001F33CB">
        <w:t>.</w:t>
      </w:r>
    </w:p>
    <w:p w:rsidR="00CD468B" w:rsidRPr="001F33CB" w:rsidRDefault="00CD468B" w:rsidP="009157E2"/>
    <w:p w:rsidR="009A2591" w:rsidRPr="001F33CB" w:rsidRDefault="009A2591" w:rsidP="009157E2">
      <w:r w:rsidRPr="001F33CB">
        <w:t xml:space="preserve">We see that there are differences between rates of progression, and that within each 14-16 </w:t>
      </w:r>
      <w:r w:rsidR="009A17A8" w:rsidRPr="001F33CB">
        <w:t>qualification</w:t>
      </w:r>
      <w:r w:rsidRPr="001F33CB">
        <w:t xml:space="preserve"> </w:t>
      </w:r>
      <w:r w:rsidR="00307FCD" w:rsidRPr="001F33CB">
        <w:t>(TA or DA)</w:t>
      </w:r>
      <w:r w:rsidRPr="001F33CB">
        <w:t xml:space="preserve"> the 21CS ‘effect’ varies </w:t>
      </w:r>
      <w:r w:rsidR="005C0080" w:rsidRPr="001F33CB">
        <w:t>between</w:t>
      </w:r>
      <w:r w:rsidRPr="001F33CB">
        <w:t xml:space="preserve"> 16-18 science subject (biology, chemistry or physics).</w:t>
      </w:r>
      <w:r w:rsidR="00307FCD" w:rsidRPr="001F33CB">
        <w:t xml:space="preserve"> Whilst </w:t>
      </w:r>
      <w:r w:rsidRPr="001F33CB">
        <w:t xml:space="preserve">all of these </w:t>
      </w:r>
      <w:r w:rsidR="00307FCD" w:rsidRPr="001F33CB">
        <w:t>effects</w:t>
      </w:r>
      <w:r w:rsidRPr="001F33CB">
        <w:t xml:space="preserve"> are </w:t>
      </w:r>
      <w:r w:rsidR="00136E8E">
        <w:t xml:space="preserve">quite </w:t>
      </w:r>
      <w:r w:rsidRPr="001F33CB">
        <w:t>small</w:t>
      </w:r>
      <w:r w:rsidR="00307FCD" w:rsidRPr="001F33CB">
        <w:t>, they can be characterised as broadly positive from DA, and negative from TA</w:t>
      </w:r>
      <w:r w:rsidRPr="001F33CB">
        <w:t xml:space="preserve">. </w:t>
      </w:r>
      <w:r w:rsidR="00461CFD" w:rsidRPr="001F33CB">
        <w:t xml:space="preserve">However comparing the vertical scales in </w:t>
      </w:r>
      <w:r w:rsidR="00307FCD" w:rsidRPr="001F33CB">
        <w:t>Figures 1 and 2 we see that t</w:t>
      </w:r>
      <w:r w:rsidR="005C0080" w:rsidRPr="001F33CB">
        <w:t xml:space="preserve">he </w:t>
      </w:r>
      <w:r w:rsidR="00307FCD" w:rsidRPr="001F33CB">
        <w:t>most important</w:t>
      </w:r>
      <w:r w:rsidR="005C0080" w:rsidRPr="001F33CB">
        <w:t xml:space="preserve"> factor contributing to differential progression rates </w:t>
      </w:r>
      <w:r w:rsidR="00307FCD" w:rsidRPr="001F33CB">
        <w:t xml:space="preserve">into the post-compulsory sciences </w:t>
      </w:r>
      <w:r w:rsidR="005C0080" w:rsidRPr="001F33CB">
        <w:t>is</w:t>
      </w:r>
      <w:r w:rsidR="00307FCD" w:rsidRPr="001F33CB">
        <w:t xml:space="preserve"> not the 21CS/non-21CS option, but TA/DA </w:t>
      </w:r>
      <w:r w:rsidR="009A17A8" w:rsidRPr="001F33CB">
        <w:t>qualification</w:t>
      </w:r>
      <w:r w:rsidR="00307FCD" w:rsidRPr="001F33CB">
        <w:t xml:space="preserve"> option, </w:t>
      </w:r>
      <w:r w:rsidR="005C0080" w:rsidRPr="001F33CB">
        <w:t xml:space="preserve">with rates from </w:t>
      </w:r>
      <w:r w:rsidR="00307FCD" w:rsidRPr="001F33CB">
        <w:t>the former typically 3-6 times higher than from the latter.</w:t>
      </w:r>
      <w:r w:rsidR="00BF3808" w:rsidRPr="001F33CB">
        <w:t xml:space="preserve"> Of </w:t>
      </w:r>
      <w:r w:rsidR="00136E8E">
        <w:t>course</w:t>
      </w:r>
      <w:r w:rsidR="00BF3808" w:rsidRPr="001F33CB">
        <w:t xml:space="preserve">, students, parents and schools are all involved in deciding </w:t>
      </w:r>
      <w:r w:rsidR="005726AE" w:rsidRPr="001F33CB">
        <w:t xml:space="preserve">which </w:t>
      </w:r>
      <w:r w:rsidR="00BF3808" w:rsidRPr="001F33CB">
        <w:t xml:space="preserve">particular </w:t>
      </w:r>
      <w:r w:rsidR="009A17A8" w:rsidRPr="001F33CB">
        <w:t>qualifications</w:t>
      </w:r>
      <w:r w:rsidR="00BF3808" w:rsidRPr="001F33CB">
        <w:t xml:space="preserve"> </w:t>
      </w:r>
      <w:r w:rsidR="005726AE" w:rsidRPr="001F33CB">
        <w:t xml:space="preserve">option to take </w:t>
      </w:r>
      <w:r w:rsidR="00BF3808" w:rsidRPr="001F33CB">
        <w:t xml:space="preserve">at 14-16, so we cannot infer here that the particular </w:t>
      </w:r>
      <w:r w:rsidR="009A17A8" w:rsidRPr="001F33CB">
        <w:t>qualification</w:t>
      </w:r>
      <w:r w:rsidR="00BF3808" w:rsidRPr="001F33CB">
        <w:t xml:space="preserve"> choice (TA or DA) is, in a technical sense, causing the difference in participation rates post-16. We know that the profiles of the students in the two types of </w:t>
      </w:r>
      <w:r w:rsidR="009A17A8" w:rsidRPr="001F33CB">
        <w:t>qualification</w:t>
      </w:r>
      <w:r w:rsidR="00BF3808" w:rsidRPr="001F33CB">
        <w:t xml:space="preserve"> are different, with TA students genera</w:t>
      </w:r>
      <w:r w:rsidR="00461CFD" w:rsidRPr="001F33CB">
        <w:t>lly higher achieving at 16 and hence</w:t>
      </w:r>
      <w:r w:rsidR="00BF3808" w:rsidRPr="001F33CB">
        <w:t xml:space="preserve"> more likely to progress to post-16 sciences.</w:t>
      </w:r>
    </w:p>
    <w:p w:rsidR="00515CCC" w:rsidRPr="001F33CB" w:rsidRDefault="00515CCC" w:rsidP="009157E2"/>
    <w:p w:rsidR="00515CCC" w:rsidRPr="001F33CB" w:rsidRDefault="00515CCC" w:rsidP="002C774D">
      <w:r w:rsidRPr="001F33CB">
        <w:t xml:space="preserve">Overall, our descriptive analyses show no </w:t>
      </w:r>
      <w:r w:rsidRPr="001F33CB">
        <w:rPr>
          <w:i/>
        </w:rPr>
        <w:t>large</w:t>
      </w:r>
      <w:r w:rsidRPr="001F33CB">
        <w:t xml:space="preserve"> impact of distinct science curriculum content on future science </w:t>
      </w:r>
      <w:r w:rsidR="009A17A8" w:rsidRPr="001F33CB">
        <w:t>qualification</w:t>
      </w:r>
      <w:r w:rsidRPr="001F33CB">
        <w:t xml:space="preserve"> choices. </w:t>
      </w:r>
      <w:r w:rsidR="00276AE9" w:rsidRPr="001F33CB">
        <w:t xml:space="preserve">These findings challenge claims that a curriculum focusing on scientific literacy would have a negative impact on enrolment into post-compulsory science </w:t>
      </w:r>
      <w:r w:rsidR="009A17A8" w:rsidRPr="001F33CB">
        <w:t>qualifications</w:t>
      </w:r>
      <w:r w:rsidR="00276AE9" w:rsidRPr="001F33CB">
        <w:t xml:space="preserve"> </w:t>
      </w:r>
      <w:r w:rsidR="002E04B5" w:rsidRPr="002E04B5">
        <w:t xml:space="preserve">(Henderson et al., 2006; Perks </w:t>
      </w:r>
      <w:r w:rsidR="002E04B5" w:rsidRPr="002E04B5">
        <w:lastRenderedPageBreak/>
        <w:t>et al., 2006, pp. 9–33)</w:t>
      </w:r>
      <w:r w:rsidR="00276AE9" w:rsidRPr="001F33CB">
        <w:t>.</w:t>
      </w:r>
      <w:r w:rsidR="00F41640" w:rsidRPr="001F33CB">
        <w:t xml:space="preserve"> Furthermore, they also run counter to Millar’s study suggesting that the 21CS qualification suite results in</w:t>
      </w:r>
      <w:r w:rsidR="00276AE9" w:rsidRPr="001F33CB">
        <w:t xml:space="preserve"> a </w:t>
      </w:r>
      <w:r w:rsidR="00276AE9" w:rsidRPr="001F33CB">
        <w:rPr>
          <w:i/>
        </w:rPr>
        <w:t>significant enhancement</w:t>
      </w:r>
      <w:r w:rsidR="00276AE9" w:rsidRPr="001F33CB">
        <w:t xml:space="preserve"> in post-compulsory science </w:t>
      </w:r>
      <w:r w:rsidR="009A17A8" w:rsidRPr="001F33CB">
        <w:t>qualification</w:t>
      </w:r>
      <w:r w:rsidR="00276AE9" w:rsidRPr="001F33CB">
        <w:t xml:space="preserve"> participation, above the national trend, within 21CS schools</w:t>
      </w:r>
      <w:r w:rsidR="00FA006A">
        <w:t xml:space="preserve"> </w:t>
      </w:r>
      <w:r w:rsidR="002E04B5" w:rsidRPr="002E04B5">
        <w:t>(Millar, 2010)</w:t>
      </w:r>
      <w:r w:rsidR="00276AE9" w:rsidRPr="001F33CB">
        <w:t>.</w:t>
      </w:r>
    </w:p>
    <w:p w:rsidR="00E63A7D" w:rsidRPr="001F33CB" w:rsidRDefault="00E63A7D" w:rsidP="00E162B7"/>
    <w:p w:rsidR="00461CFD" w:rsidRPr="001F33CB" w:rsidRDefault="00461CFD" w:rsidP="00461CFD">
      <w:pPr>
        <w:pStyle w:val="Heading3"/>
      </w:pPr>
      <w:r w:rsidRPr="001F33CB">
        <w:t>Modelling participation</w:t>
      </w:r>
    </w:p>
    <w:p w:rsidR="00967E42" w:rsidRPr="001F33CB" w:rsidRDefault="00461CFD" w:rsidP="005F7375">
      <w:pPr>
        <w:shd w:val="clear" w:color="auto" w:fill="FFFFFF" w:themeFill="background1"/>
        <w:spacing w:before="360"/>
      </w:pPr>
      <w:r w:rsidRPr="001F33CB">
        <w:t xml:space="preserve">The </w:t>
      </w:r>
      <w:r w:rsidR="00967E42" w:rsidRPr="001F33CB">
        <w:t xml:space="preserve">descriptive analysis </w:t>
      </w:r>
      <w:r w:rsidRPr="001F33CB">
        <w:t xml:space="preserve">described above </w:t>
      </w:r>
      <w:r w:rsidR="00967E42" w:rsidRPr="001F33CB">
        <w:t>does not take account of the possibility that different types of students</w:t>
      </w:r>
      <w:r w:rsidR="006F7B99" w:rsidRPr="001F33CB">
        <w:t xml:space="preserve"> tend to</w:t>
      </w:r>
      <w:r w:rsidR="00967E42" w:rsidRPr="001F33CB">
        <w:t xml:space="preserve"> follow 21CS </w:t>
      </w:r>
      <w:r w:rsidR="009A17A8" w:rsidRPr="001F33CB">
        <w:t>qualifications</w:t>
      </w:r>
      <w:r w:rsidR="00967E42" w:rsidRPr="001F33CB">
        <w:t xml:space="preserve"> compared to </w:t>
      </w:r>
      <w:r w:rsidR="006F7B99" w:rsidRPr="001F33CB">
        <w:t xml:space="preserve">those following </w:t>
      </w:r>
      <w:r w:rsidR="00967E42" w:rsidRPr="001F33CB">
        <w:t xml:space="preserve">non-21CS </w:t>
      </w:r>
      <w:r w:rsidR="009A17A8" w:rsidRPr="001F33CB">
        <w:t>qualifications</w:t>
      </w:r>
      <w:r w:rsidR="00967E42" w:rsidRPr="001F33CB">
        <w:t>. For examp</w:t>
      </w:r>
      <w:r w:rsidR="006F7B99" w:rsidRPr="001F33CB">
        <w:t xml:space="preserve">le, there might be systematic differences in </w:t>
      </w:r>
      <w:r w:rsidRPr="001F33CB">
        <w:t xml:space="preserve">prior </w:t>
      </w:r>
      <w:r w:rsidR="006F7B99" w:rsidRPr="001F33CB">
        <w:t xml:space="preserve">attainment between the two groups which might then impact on progression rates to post-16 science </w:t>
      </w:r>
      <w:r w:rsidR="009A17A8" w:rsidRPr="001F33CB">
        <w:t>qualifications</w:t>
      </w:r>
      <w:r w:rsidR="006F7B99" w:rsidRPr="001F33CB">
        <w:t xml:space="preserve">. To allow for such differences, we model progression to the post-16 science </w:t>
      </w:r>
      <w:r w:rsidR="009A17A8" w:rsidRPr="001F33CB">
        <w:t>qualifications</w:t>
      </w:r>
      <w:r w:rsidR="006F7B99" w:rsidRPr="001F33CB">
        <w:t xml:space="preserve"> and report here in </w:t>
      </w:r>
      <w:r w:rsidR="00213527">
        <w:t>Table 3</w:t>
      </w:r>
      <w:r w:rsidR="006F7B99" w:rsidRPr="001F33CB">
        <w:t xml:space="preserve"> the more refined 21CS ‘effect’ on progressio</w:t>
      </w:r>
      <w:r w:rsidR="005F7375" w:rsidRPr="001F33CB">
        <w:t xml:space="preserve">n resulting from this modelling taking into account student characteristics including attainment in science at 14 and 16, maths and English at 14, gender, socio-economic status (see </w:t>
      </w:r>
      <w:r w:rsidR="00117C04">
        <w:t xml:space="preserve">Table A2 in the </w:t>
      </w:r>
      <w:r w:rsidR="005F7375" w:rsidRPr="001F33CB">
        <w:t xml:space="preserve">Appendix for full details). We base our choice of these predictors on existing literature on the key influences on progression to post-compulsory science that are available in national </w:t>
      </w:r>
      <w:r w:rsidR="005F7375" w:rsidRPr="00FA006A">
        <w:t>data</w:t>
      </w:r>
      <w:r w:rsidR="00FA006A">
        <w:t xml:space="preserve"> </w:t>
      </w:r>
      <w:r w:rsidR="002E04B5" w:rsidRPr="002E04B5">
        <w:t>(Homer et al., 2013</w:t>
      </w:r>
      <w:proofErr w:type="gramStart"/>
      <w:r w:rsidR="002E04B5" w:rsidRPr="002E04B5">
        <w:t>)</w:t>
      </w:r>
      <w:r w:rsidR="00FA006A" w:rsidRPr="00FA006A">
        <w:t xml:space="preserve"> </w:t>
      </w:r>
      <w:r w:rsidR="005F7375" w:rsidRPr="00FA006A">
        <w:t>.</w:t>
      </w:r>
      <w:proofErr w:type="gramEnd"/>
      <w:r w:rsidR="00175F6E" w:rsidRPr="00FA006A">
        <w:t xml:space="preserve"> </w:t>
      </w:r>
      <w:r w:rsidR="005F7375" w:rsidRPr="00FA006A">
        <w:t>We recognise that</w:t>
      </w:r>
      <w:r w:rsidR="005F7375" w:rsidRPr="001F33CB">
        <w:t xml:space="preserve"> any choice of predictors is to an extent a subjective one (the </w:t>
      </w:r>
      <w:r w:rsidRPr="001F33CB">
        <w:t xml:space="preserve">national </w:t>
      </w:r>
      <w:r w:rsidR="005F7375" w:rsidRPr="001F33CB">
        <w:t>data</w:t>
      </w:r>
      <w:r w:rsidR="00175F6E" w:rsidRPr="001F33CB">
        <w:t>set</w:t>
      </w:r>
      <w:r w:rsidR="005F7375" w:rsidRPr="001F33CB">
        <w:t xml:space="preserve"> we use contains hundreds of potential predictors). We are, however, confident that the results we present </w:t>
      </w:r>
      <w:r w:rsidR="00175F6E" w:rsidRPr="001F33CB">
        <w:t xml:space="preserve">here </w:t>
      </w:r>
      <w:r w:rsidR="005F7375" w:rsidRPr="001F33CB">
        <w:t xml:space="preserve">of the 21CS ‘effect’ from our models would not change substantially in other </w:t>
      </w:r>
      <w:r w:rsidR="00175F6E" w:rsidRPr="001F33CB">
        <w:t xml:space="preserve">research-informed </w:t>
      </w:r>
      <w:r w:rsidR="005F7375" w:rsidRPr="001F33CB">
        <w:t>model</w:t>
      </w:r>
      <w:r w:rsidR="00175F6E" w:rsidRPr="001F33CB">
        <w:t>s</w:t>
      </w:r>
      <w:r w:rsidRPr="001F33CB">
        <w:t xml:space="preserve"> using available national data</w:t>
      </w:r>
      <w:r w:rsidR="005F7375" w:rsidRPr="001F33CB">
        <w:t xml:space="preserve">. </w:t>
      </w:r>
    </w:p>
    <w:p w:rsidR="00C504BC" w:rsidRPr="001F33CB" w:rsidRDefault="00C504BC" w:rsidP="00CA42CD">
      <w:pPr>
        <w:spacing w:before="360"/>
      </w:pPr>
      <w:r w:rsidRPr="001F33CB">
        <w:t xml:space="preserve">Technically, we </w:t>
      </w:r>
      <w:r w:rsidR="00461CFD" w:rsidRPr="001F33CB">
        <w:t>use</w:t>
      </w:r>
      <w:r w:rsidRPr="001F33CB">
        <w:t xml:space="preserve"> multi-level logistic regression </w:t>
      </w:r>
      <w:r w:rsidR="00E37823" w:rsidRPr="002E04B5">
        <w:t>(Goldstein, 1995)</w:t>
      </w:r>
      <w:r w:rsidR="00E37823">
        <w:t xml:space="preserve"> </w:t>
      </w:r>
      <w:r w:rsidRPr="001F33CB">
        <w:t>with participation (or not) in each of the science A-levels as the dichotomous outcome variable</w:t>
      </w:r>
      <w:r w:rsidR="00CA42CD" w:rsidRPr="001F33CB">
        <w:t xml:space="preserve">. </w:t>
      </w:r>
      <w:r w:rsidRPr="001F33CB">
        <w:t xml:space="preserve">A </w:t>
      </w:r>
      <w:r w:rsidRPr="001F33CB">
        <w:lastRenderedPageBreak/>
        <w:t xml:space="preserve">positive value </w:t>
      </w:r>
      <w:r w:rsidR="00CA42CD" w:rsidRPr="001F33CB">
        <w:t>of the regression coefficient for the 21CS variable, or equivalently an odds ratio greater than 1</w:t>
      </w:r>
      <w:r w:rsidR="00060193">
        <w:t xml:space="preserve"> </w:t>
      </w:r>
      <w:r w:rsidR="002E04B5" w:rsidRPr="002E04B5">
        <w:t>(Field, 2013, p. 767)</w:t>
      </w:r>
      <w:r w:rsidR="00CA42CD" w:rsidRPr="001F33CB">
        <w:t xml:space="preserve">, </w:t>
      </w:r>
      <w:r w:rsidRPr="001F33CB">
        <w:t>indicates that the 21CS effect on progression is positive</w:t>
      </w:r>
      <w:r w:rsidR="007939FD" w:rsidRPr="001F33CB">
        <w:t xml:space="preserve"> (i.e. students progress at a higher rate)</w:t>
      </w:r>
      <w:r w:rsidRPr="001F33CB">
        <w:t xml:space="preserve">, having controlled for </w:t>
      </w:r>
      <w:r w:rsidR="000C644B" w:rsidRPr="001F33CB">
        <w:t>the</w:t>
      </w:r>
      <w:r w:rsidRPr="001F33CB">
        <w:t xml:space="preserve"> other predictors in the model. </w:t>
      </w:r>
    </w:p>
    <w:p w:rsidR="00C504BC" w:rsidRDefault="00C504BC" w:rsidP="009157E2"/>
    <w:p w:rsidR="00213527" w:rsidRPr="00213527" w:rsidRDefault="00213527" w:rsidP="00213527">
      <w:pPr>
        <w:jc w:val="center"/>
        <w:rPr>
          <w:b/>
        </w:rPr>
      </w:pPr>
      <w:r w:rsidRPr="00213527">
        <w:rPr>
          <w:b/>
        </w:rPr>
        <w:t>TABLE 3 HERE</w:t>
      </w:r>
    </w:p>
    <w:p w:rsidR="006F7B99" w:rsidRPr="001F33CB" w:rsidRDefault="006F7B99" w:rsidP="009157E2"/>
    <w:p w:rsidR="00A50AA2" w:rsidRDefault="00CA42CD" w:rsidP="009157E2">
      <w:r w:rsidRPr="001F33CB">
        <w:t xml:space="preserve">We see that there is a consistently negative effect of 21CS on progression once all other factors have been accounted for. </w:t>
      </w:r>
      <w:r w:rsidR="00A50AA2">
        <w:t xml:space="preserve">For example, the odds of progressing to chemistry from 21CS DA are 0.78 of the odds of progressing from non-21CS DA courses, and the same value holds coincidentally holds for 21CS TA </w:t>
      </w:r>
      <w:r w:rsidR="00265173" w:rsidRPr="001F33CB">
        <w:t xml:space="preserve">Leaving aside </w:t>
      </w:r>
      <w:r w:rsidRPr="001F33CB">
        <w:t>biology from DA, these effects are statistically significant</w:t>
      </w:r>
      <w:r w:rsidR="007939FD" w:rsidRPr="001F33CB">
        <w:t xml:space="preserve"> at the 5% level</w:t>
      </w:r>
      <w:r w:rsidRPr="001F33CB">
        <w:t xml:space="preserve"> but could be </w:t>
      </w:r>
      <w:r w:rsidR="00265173" w:rsidRPr="001F33CB">
        <w:t xml:space="preserve">all be </w:t>
      </w:r>
      <w:r w:rsidRPr="001F33CB">
        <w:t xml:space="preserve">characterised as </w:t>
      </w:r>
      <w:r w:rsidR="00BA2681" w:rsidRPr="001F33CB">
        <w:t>‘</w:t>
      </w:r>
      <w:r w:rsidRPr="001F33CB">
        <w:t>small</w:t>
      </w:r>
      <w:r w:rsidR="00BA2681" w:rsidRPr="001F33CB">
        <w:t>’</w:t>
      </w:r>
      <w:r w:rsidR="00D7380E">
        <w:t xml:space="preserve"> or, arguably, ‘moderate’ </w:t>
      </w:r>
      <w:r w:rsidR="002E04B5" w:rsidRPr="002E04B5">
        <w:t>(Chinn, 2000; Cohen, 1988)</w:t>
      </w:r>
      <w:r w:rsidRPr="001F33CB">
        <w:t>.</w:t>
      </w:r>
      <w:r w:rsidR="0060025D" w:rsidRPr="001F33CB">
        <w:t xml:space="preserve"> </w:t>
      </w:r>
    </w:p>
    <w:p w:rsidR="00A50AA2" w:rsidRDefault="00A50AA2" w:rsidP="009157E2"/>
    <w:p w:rsidR="002A3532" w:rsidRDefault="00ED288A" w:rsidP="009157E2">
      <w:r w:rsidRPr="00ED288A">
        <w:t xml:space="preserve">Interpreting the outcomes in </w:t>
      </w:r>
      <w:r w:rsidR="00213527">
        <w:t>Table 3</w:t>
      </w:r>
      <w:r w:rsidRPr="00ED288A">
        <w:t xml:space="preserve"> in terms of a projected impact on actual stud</w:t>
      </w:r>
      <w:r w:rsidR="00A50AA2">
        <w:t xml:space="preserve">ent numbers requires </w:t>
      </w:r>
      <w:r>
        <w:t>additional assumptions, for example,</w:t>
      </w:r>
      <w:r w:rsidRPr="00ED288A">
        <w:t xml:space="preserve"> that the statistical model is correctly predicting outcomes for individual cases in sufficiently high proportions</w:t>
      </w:r>
      <w:r>
        <w:t xml:space="preserve">. We </w:t>
      </w:r>
      <w:r w:rsidRPr="00ED288A">
        <w:t xml:space="preserve">have </w:t>
      </w:r>
      <w:r>
        <w:t xml:space="preserve">decided </w:t>
      </w:r>
      <w:r w:rsidRPr="00ED288A">
        <w:t xml:space="preserve">not </w:t>
      </w:r>
      <w:r>
        <w:t xml:space="preserve">to include </w:t>
      </w:r>
      <w:r w:rsidRPr="00ED288A">
        <w:t>such projections here</w:t>
      </w:r>
      <w:r>
        <w:t xml:space="preserve"> but broadly </w:t>
      </w:r>
      <w:r w:rsidRPr="00ED288A">
        <w:t xml:space="preserve">estimate </w:t>
      </w:r>
      <w:r>
        <w:t xml:space="preserve">that the </w:t>
      </w:r>
      <w:r w:rsidRPr="00ED288A">
        <w:t xml:space="preserve">drop in student </w:t>
      </w:r>
      <w:r w:rsidR="00601A2D">
        <w:t xml:space="preserve">progression </w:t>
      </w:r>
      <w:r w:rsidRPr="00ED288A">
        <w:t xml:space="preserve">numbers if all </w:t>
      </w:r>
      <w:r>
        <w:t xml:space="preserve">non-21CS </w:t>
      </w:r>
      <w:r w:rsidRPr="00ED288A">
        <w:t>students switched to 21CS would be of the order of 15%.</w:t>
      </w:r>
      <w:r w:rsidR="00601A2D">
        <w:t xml:space="preserve"> We argue that this figure should be treated with caution since in addition to the assumptions about the veracity of the model; it also assumes that we have accurately identified the causal impact on progression of 21CS – as already stated, we cannot be sure that additional confounding factors exist that are not present in the available data sets.</w:t>
      </w:r>
    </w:p>
    <w:p w:rsidR="00670E9F" w:rsidRDefault="00670E9F" w:rsidP="009157E2"/>
    <w:p w:rsidR="002A3532" w:rsidRPr="001F33CB" w:rsidRDefault="00670E9F" w:rsidP="009157E2">
      <w:r>
        <w:lastRenderedPageBreak/>
        <w:t>Whilst the focus of this study is very much on the 21CS effect on progression, we feel comment on select other findings from the modelling (detailed in Table A2) is informative.</w:t>
      </w:r>
      <w:r>
        <w:rPr>
          <w:rStyle w:val="FootnoteReference"/>
        </w:rPr>
        <w:footnoteReference w:id="3"/>
      </w:r>
      <w:r>
        <w:t xml:space="preserve"> First, the ‘size’ of the 21CS effect is smaller in magnitude than for some other effects - for example, it is smaller than that for gender for progression to both biology and physics (but not for chemistry). Another interesting, if perhaps not unexpected </w:t>
      </w:r>
      <w:proofErr w:type="gramStart"/>
      <w:r>
        <w:t>finding,</w:t>
      </w:r>
      <w:proofErr w:type="gramEnd"/>
      <w:r>
        <w:t xml:space="preserve"> is that higher attainment in English at age 14 is a consistently negative independent predictor of progression to post-16 sciences, whereas science attainment at 14 is positive in this regard. So students who attain highly in English at 14 are less likely to take science post-16 compared to other students similar in all other respects but who attain less highly in English. For mathematics attainment at 14 there are clear differences between the post-16 sciences: in physics and to a lesser extent chemistry, higher attainment in mathematics at 14 is a positive predictor of progression, whereas in biology it is negative. </w:t>
      </w:r>
      <w:r w:rsidR="00667F3D">
        <w:t xml:space="preserve">The picture with regard to measures of socio-economic status is </w:t>
      </w:r>
      <w:r w:rsidR="00E555F0">
        <w:t>mixed, but generally the analysis indicates that students from lower socio-economic groups are more likely to progress to post-16 sciences once other factors have been accounted for</w:t>
      </w:r>
      <w:r w:rsidR="00667F3D">
        <w:t xml:space="preserve">. </w:t>
      </w:r>
      <w:r>
        <w:t>Finally, whether or not the school that the students studies in at age 14-16 also teaches to age 18 has little effect on progression, the exception being physics from TA where the effect is positive.</w:t>
      </w:r>
      <w:r w:rsidR="00761AE8">
        <w:t xml:space="preserve"> For more on a detailed study of general influences on post-16 participation in science in </w:t>
      </w:r>
      <w:r w:rsidR="00BE3302">
        <w:t>a similar</w:t>
      </w:r>
      <w:r w:rsidR="00761AE8">
        <w:t xml:space="preserve"> context see Homer et al. (</w:t>
      </w:r>
      <w:r w:rsidR="00761AE8" w:rsidRPr="002E04B5">
        <w:t>2013)</w:t>
      </w:r>
      <w:r w:rsidR="00761AE8">
        <w:t>.</w:t>
      </w:r>
    </w:p>
    <w:p w:rsidR="00044A17" w:rsidRPr="001F33CB" w:rsidRDefault="00BE3302" w:rsidP="00255980">
      <w:r>
        <w:t>To summarise our key findings</w:t>
      </w:r>
      <w:r w:rsidR="007939FD" w:rsidRPr="001F33CB">
        <w:t xml:space="preserve">, </w:t>
      </w:r>
      <w:r w:rsidR="00044659" w:rsidRPr="001F33CB">
        <w:t xml:space="preserve">the </w:t>
      </w:r>
      <w:r w:rsidR="00044A17" w:rsidRPr="001F33CB">
        <w:t>basic</w:t>
      </w:r>
      <w:r w:rsidR="00044659" w:rsidRPr="001F33CB">
        <w:t xml:space="preserve"> descriptive analysis </w:t>
      </w:r>
      <w:r w:rsidR="00044A17" w:rsidRPr="001F33CB">
        <w:t xml:space="preserve">shows that there is no difference in overall progression rates between 21CS and non-21CS qualifications. More </w:t>
      </w:r>
      <w:r w:rsidR="000F305C" w:rsidRPr="001F33CB">
        <w:t>fine-grained</w:t>
      </w:r>
      <w:r w:rsidR="00044A17" w:rsidRPr="001F33CB">
        <w:t xml:space="preserve"> descriptive analyses show there are some ‘ripples’ within this null result, based in particular on the interaction between TA/DA and on the specific post-</w:t>
      </w:r>
      <w:r w:rsidR="00044A17" w:rsidRPr="001F33CB">
        <w:lastRenderedPageBreak/>
        <w:t xml:space="preserve">16 science </w:t>
      </w:r>
      <w:r w:rsidR="009A17A8" w:rsidRPr="001F33CB">
        <w:t>qualification</w:t>
      </w:r>
      <w:r w:rsidR="00044A17" w:rsidRPr="001F33CB">
        <w:t xml:space="preserve"> (biology, chemistry or physics) (Figures 1 and 2). The more sophisticated modelling analyses that account for differences in student characteristics between the two groups (21CS vs. non-21CS) indicate a consistently negative, but small</w:t>
      </w:r>
      <w:r w:rsidR="00896CF7">
        <w:t xml:space="preserve"> to moderate</w:t>
      </w:r>
      <w:r w:rsidR="00044A17" w:rsidRPr="001F33CB">
        <w:t xml:space="preserve">, impact on progression from the 21CS </w:t>
      </w:r>
      <w:r w:rsidR="009A17A8" w:rsidRPr="001F33CB">
        <w:t>qualification</w:t>
      </w:r>
      <w:r w:rsidR="00044A17" w:rsidRPr="001F33CB">
        <w:t xml:space="preserve"> (Table </w:t>
      </w:r>
      <w:r w:rsidR="00E36687">
        <w:t>3</w:t>
      </w:r>
      <w:r w:rsidR="00255980">
        <w:t>, or Table A2 for full details</w:t>
      </w:r>
      <w:r w:rsidR="00044A17" w:rsidRPr="001F33CB">
        <w:t>).</w:t>
      </w:r>
    </w:p>
    <w:p w:rsidR="00044A17" w:rsidRPr="001F33CB" w:rsidRDefault="00044A17" w:rsidP="009157E2"/>
    <w:p w:rsidR="00241653" w:rsidRPr="001F33CB" w:rsidRDefault="00241653" w:rsidP="009157E2"/>
    <w:p w:rsidR="007B4F4A" w:rsidRPr="001F33CB" w:rsidRDefault="007B4F4A" w:rsidP="00C53E2E">
      <w:pPr>
        <w:pStyle w:val="Heading2"/>
      </w:pPr>
      <w:r w:rsidRPr="001F33CB">
        <w:t>Discussion</w:t>
      </w:r>
      <w:r w:rsidR="006E666A" w:rsidRPr="001F33CB">
        <w:t xml:space="preserve"> </w:t>
      </w:r>
    </w:p>
    <w:p w:rsidR="00155DAF" w:rsidRPr="001F33CB" w:rsidRDefault="006F1984" w:rsidP="00992FDB">
      <w:r w:rsidRPr="001F33CB">
        <w:t xml:space="preserve">Our review of previous studies on the factors and processes underpinning student participation in post-compulsory </w:t>
      </w:r>
      <w:r w:rsidR="0067669C">
        <w:t>science qualifications suggests</w:t>
      </w:r>
      <w:r w:rsidRPr="001F33CB">
        <w:t xml:space="preserve"> that whilst early experiences of science are significant, experiences within the 14-16 age range can also play an important role in choice processes. </w:t>
      </w:r>
      <w:r w:rsidR="004807A7" w:rsidRPr="001F33CB">
        <w:t xml:space="preserve">Furthermore, </w:t>
      </w:r>
      <w:r w:rsidRPr="001F33CB">
        <w:t>science curriculum content matters, but is only one of a wide range of factors many of which extend beyond s</w:t>
      </w:r>
      <w:r w:rsidR="004807A7" w:rsidRPr="001F33CB">
        <w:t>choo</w:t>
      </w:r>
      <w:r w:rsidR="0067669C">
        <w:t>ling. The review also identifies</w:t>
      </w:r>
      <w:r w:rsidR="004807A7" w:rsidRPr="001F33CB">
        <w:t xml:space="preserve"> </w:t>
      </w:r>
      <w:r w:rsidRPr="001F33CB">
        <w:t>some evidence that a more diverse school science curriculum that includes student engagement with the nature of science and socio-scientific issues encourages many young people to consider choosing post-compulsory science qualifications</w:t>
      </w:r>
      <w:r w:rsidR="004807A7" w:rsidRPr="001F33CB">
        <w:t xml:space="preserve">. These findings </w:t>
      </w:r>
      <w:r w:rsidR="0067669C">
        <w:t xml:space="preserve">underline </w:t>
      </w:r>
      <w:r w:rsidR="004807A7" w:rsidRPr="001F33CB">
        <w:t xml:space="preserve">the potential for 21CS to have a strong, positive, impact on post-compulsory science participation. Indeed, Millar </w:t>
      </w:r>
      <w:r w:rsidR="002E04B5" w:rsidRPr="002E04B5">
        <w:t>(2010)</w:t>
      </w:r>
      <w:r w:rsidR="00FA006A">
        <w:t xml:space="preserve"> </w:t>
      </w:r>
      <w:r w:rsidR="004807A7" w:rsidRPr="001F33CB">
        <w:t>suggests that 21CS has a considerable impact on post-compulsory science participation, reporting increases of between</w:t>
      </w:r>
      <w:r w:rsidR="00451151">
        <w:t xml:space="preserve"> </w:t>
      </w:r>
      <w:r w:rsidR="004807A7" w:rsidRPr="001F33CB">
        <w:t xml:space="preserve">24% and 38% in the reported numbers of students beginning post-compulsory science </w:t>
      </w:r>
      <w:r w:rsidR="009A17A8" w:rsidRPr="001F33CB">
        <w:t>qualifications</w:t>
      </w:r>
      <w:r w:rsidR="004807A7" w:rsidRPr="001F33CB">
        <w:t xml:space="preserve">, following adoption of the 21CS qualification suite within schools. </w:t>
      </w:r>
    </w:p>
    <w:p w:rsidR="004807A7" w:rsidRPr="001F33CB" w:rsidRDefault="004807A7" w:rsidP="00992FDB"/>
    <w:p w:rsidR="004807A7" w:rsidRPr="001F33CB" w:rsidRDefault="0067669C" w:rsidP="00992FDB">
      <w:r>
        <w:lastRenderedPageBreak/>
        <w:t xml:space="preserve">However, </w:t>
      </w:r>
      <w:r w:rsidR="004807A7" w:rsidRPr="001F33CB">
        <w:t>the descriptive and modelling analyses presented here</w:t>
      </w:r>
      <w:r w:rsidR="00992FDB" w:rsidRPr="001F33CB">
        <w:t xml:space="preserve"> </w:t>
      </w:r>
      <w:r w:rsidR="004807A7" w:rsidRPr="001F33CB">
        <w:t xml:space="preserve">do </w:t>
      </w:r>
      <w:r w:rsidR="00992FDB" w:rsidRPr="001F33CB">
        <w:t xml:space="preserve">not replicate the </w:t>
      </w:r>
      <w:r w:rsidR="006E1FB1" w:rsidRPr="001F33CB">
        <w:t xml:space="preserve">striking </w:t>
      </w:r>
      <w:r w:rsidR="00992FDB" w:rsidRPr="001F33CB">
        <w:t>findings reported by Millar</w:t>
      </w:r>
      <w:r w:rsidR="00FA006A">
        <w:t xml:space="preserve"> </w:t>
      </w:r>
      <w:r w:rsidR="002E04B5" w:rsidRPr="002E04B5">
        <w:t>(2010)</w:t>
      </w:r>
      <w:r w:rsidR="00992FDB" w:rsidRPr="001F33CB">
        <w:t>.</w:t>
      </w:r>
      <w:r>
        <w:t xml:space="preserve"> </w:t>
      </w:r>
      <w:r w:rsidR="004807A7" w:rsidRPr="001F33CB">
        <w:t xml:space="preserve">Indeed, more </w:t>
      </w:r>
      <w:r w:rsidRPr="001F33CB">
        <w:t>sophisticated modelling</w:t>
      </w:r>
      <w:r w:rsidR="004807A7" w:rsidRPr="001F33CB">
        <w:t xml:space="preserve"> analyses in</w:t>
      </w:r>
      <w:r w:rsidR="00451151">
        <w:t xml:space="preserve">dicate a consistently negative </w:t>
      </w:r>
      <w:r w:rsidR="004807A7" w:rsidRPr="001F33CB">
        <w:t>impact on progression</w:t>
      </w:r>
      <w:r>
        <w:t xml:space="preserve"> </w:t>
      </w:r>
      <w:r w:rsidR="004807A7" w:rsidRPr="001F33CB">
        <w:t xml:space="preserve">from the 21CS </w:t>
      </w:r>
      <w:r w:rsidR="009A17A8" w:rsidRPr="001F33CB">
        <w:t>qualification</w:t>
      </w:r>
      <w:r>
        <w:t>s</w:t>
      </w:r>
      <w:r w:rsidR="004807A7" w:rsidRPr="001F33CB">
        <w:t xml:space="preserve">. </w:t>
      </w:r>
      <w:r w:rsidR="00DD5725" w:rsidRPr="001F33CB">
        <w:t xml:space="preserve">On the other hand, our findings also provide evidence that the concern expressed by some that </w:t>
      </w:r>
      <w:r w:rsidR="009A17A8" w:rsidRPr="001F33CB">
        <w:t>qualifications</w:t>
      </w:r>
      <w:r w:rsidR="00DD5725" w:rsidRPr="001F33CB">
        <w:t xml:space="preserve"> such as 21CS would have a </w:t>
      </w:r>
      <w:r w:rsidR="006E1FB1" w:rsidRPr="001F33CB">
        <w:t xml:space="preserve">large </w:t>
      </w:r>
      <w:r w:rsidR="00DD5725" w:rsidRPr="001F33CB">
        <w:t xml:space="preserve">negative impact on enrolment into post-compulsory science </w:t>
      </w:r>
      <w:r w:rsidR="009A17A8" w:rsidRPr="001F33CB">
        <w:t>qualifications</w:t>
      </w:r>
      <w:r w:rsidR="00DD5725" w:rsidRPr="001F33CB">
        <w:t xml:space="preserve"> appears unfounded </w:t>
      </w:r>
      <w:r w:rsidR="002E04B5" w:rsidRPr="002E04B5">
        <w:t>(Henderson et al., 2006; Perks et al., 2006, pp. 9–33)</w:t>
      </w:r>
      <w:r w:rsidR="00DD5725" w:rsidRPr="001F33CB">
        <w:t>.</w:t>
      </w:r>
      <w:r w:rsidR="006E1FB1" w:rsidRPr="001F33CB">
        <w:t xml:space="preserve"> We argue that, from the existing literature, given the multiplicity of factors that impact on student choice, and the undoubted significance of early-middle school year experiences and out-of-school factors, it would have been surprising to have found a </w:t>
      </w:r>
      <w:r w:rsidR="006E79B0">
        <w:t xml:space="preserve">nationwide </w:t>
      </w:r>
      <w:r w:rsidR="006E1FB1" w:rsidRPr="001F33CB">
        <w:t>shift o</w:t>
      </w:r>
      <w:r w:rsidR="006E79B0">
        <w:t>n</w:t>
      </w:r>
      <w:r w:rsidR="006E1FB1" w:rsidRPr="001F33CB">
        <w:t xml:space="preserve"> the scale reported by Millar</w:t>
      </w:r>
      <w:r w:rsidR="00FA006A">
        <w:t xml:space="preserve"> </w:t>
      </w:r>
      <w:r w:rsidR="002E04B5" w:rsidRPr="002E04B5">
        <w:t>(2010)</w:t>
      </w:r>
      <w:r w:rsidR="006E1FB1" w:rsidRPr="001F33CB">
        <w:t xml:space="preserve">.  </w:t>
      </w:r>
    </w:p>
    <w:p w:rsidR="00992FDB" w:rsidRPr="001F33CB" w:rsidRDefault="00992FDB" w:rsidP="00992FDB"/>
    <w:p w:rsidR="00E579DB" w:rsidRPr="001F33CB" w:rsidRDefault="00E579DB" w:rsidP="00E579DB">
      <w:r w:rsidRPr="001F33CB">
        <w:t>Our study</w:t>
      </w:r>
      <w:r w:rsidR="00992FDB" w:rsidRPr="001F33CB">
        <w:t xml:space="preserve"> provides some confidence </w:t>
      </w:r>
      <w:proofErr w:type="gramStart"/>
      <w:r w:rsidR="00992FDB" w:rsidRPr="001F33CB">
        <w:t>that suites</w:t>
      </w:r>
      <w:proofErr w:type="gramEnd"/>
      <w:r w:rsidR="00992FDB" w:rsidRPr="001F33CB">
        <w:t xml:space="preserve"> of science </w:t>
      </w:r>
      <w:r w:rsidR="009A17A8" w:rsidRPr="001F33CB">
        <w:t>qualifications</w:t>
      </w:r>
      <w:r w:rsidRPr="001F33CB">
        <w:t xml:space="preserve"> such as 21CS</w:t>
      </w:r>
      <w:r w:rsidR="00992FDB" w:rsidRPr="001F33CB">
        <w:t xml:space="preserve">, addressing the dual goals of science education, are unlikely to have a large negative impact on post-compulsory science participation. </w:t>
      </w:r>
      <w:r w:rsidRPr="001F33CB">
        <w:t xml:space="preserve">Alongside other </w:t>
      </w:r>
      <w:proofErr w:type="gramStart"/>
      <w:r w:rsidRPr="001F33CB">
        <w:t xml:space="preserve">work </w:t>
      </w:r>
      <w:r w:rsidR="00FA006A">
        <w:t xml:space="preserve"> </w:t>
      </w:r>
      <w:r w:rsidR="002E04B5" w:rsidRPr="002E04B5">
        <w:t>(</w:t>
      </w:r>
      <w:proofErr w:type="gramEnd"/>
      <w:r w:rsidR="002E04B5" w:rsidRPr="002E04B5">
        <w:t>Ryder &amp; Banner, 2012)</w:t>
      </w:r>
      <w:r w:rsidRPr="001F33CB">
        <w:t>, we argue that this study shows the feasibility and importance of maintaining a broad and varied curriculum provision in compulsory school science. Such provision enables teachers to match the differing needs of their students, leading to broader positive engagement in science study within compulsory schooling.</w:t>
      </w:r>
      <w:r w:rsidR="006E79B0">
        <w:t xml:space="preserve"> Indeed, it </w:t>
      </w:r>
      <w:r w:rsidR="00A87284">
        <w:t>has been</w:t>
      </w:r>
      <w:r w:rsidR="006E79B0">
        <w:t xml:space="preserve"> argued that providing curriculum space for courses that emphasise scientific literacy is a benefit in itself, regardless of any impact, positive or negative, this might have on progression to post-compulsory sciences</w:t>
      </w:r>
      <w:r w:rsidR="00A87284">
        <w:t xml:space="preserve"> </w:t>
      </w:r>
      <w:r w:rsidR="00A87284" w:rsidRPr="00A87284">
        <w:t>(UNESCO, 1999; see also Layton, Jenkins, &amp; Donnelly, 1994)</w:t>
      </w:r>
      <w:r w:rsidR="006E79B0">
        <w:t xml:space="preserve">. If more students have learned more science and/or gained a </w:t>
      </w:r>
      <w:r w:rsidR="00A87284">
        <w:t>better</w:t>
      </w:r>
      <w:r w:rsidR="006E79B0">
        <w:t xml:space="preserve"> scientific understanding of the</w:t>
      </w:r>
      <w:r w:rsidR="00A87284">
        <w:t>ir</w:t>
      </w:r>
      <w:r w:rsidR="006E79B0">
        <w:t xml:space="preserve"> world through such taking such courses then this is obviously a positive thing. However, in </w:t>
      </w:r>
      <w:r w:rsidR="006E79B0">
        <w:lastRenderedPageBreak/>
        <w:t xml:space="preserve">our study we have no data on such issues and we would argue that there is an urgent need for more longitudinal studies that investigate the impact of courses that claim to teach scientific literacy on students’ long-term engagement with </w:t>
      </w:r>
      <w:r w:rsidR="00A87284">
        <w:t xml:space="preserve">scientific </w:t>
      </w:r>
      <w:proofErr w:type="gramStart"/>
      <w:r w:rsidR="00A87284">
        <w:t>issues,</w:t>
      </w:r>
      <w:proofErr w:type="gramEnd"/>
      <w:r w:rsidR="006E79B0">
        <w:t xml:space="preserve"> and on any science-related decision-making that they might have to make in later life.</w:t>
      </w:r>
    </w:p>
    <w:p w:rsidR="00E579DB" w:rsidRPr="001F33CB" w:rsidRDefault="00E579DB" w:rsidP="00C6603C"/>
    <w:p w:rsidR="00992FDB" w:rsidRPr="001F33CB" w:rsidRDefault="00BE3302" w:rsidP="006E1FB1">
      <w:r>
        <w:t>Our</w:t>
      </w:r>
      <w:r w:rsidR="006E1FB1" w:rsidRPr="001F33CB">
        <w:t xml:space="preserve"> modelling analyses do indicate a small </w:t>
      </w:r>
      <w:r w:rsidR="00451151">
        <w:t xml:space="preserve">to moderate </w:t>
      </w:r>
      <w:r w:rsidR="006E1FB1" w:rsidRPr="001F33CB">
        <w:t xml:space="preserve">negative impact on post-compulsory science participation. We argue that the scale and nature of such </w:t>
      </w:r>
      <w:r w:rsidR="00451151">
        <w:t>effects</w:t>
      </w:r>
      <w:r w:rsidR="006E1FB1" w:rsidRPr="001F33CB">
        <w:t xml:space="preserve"> needs to be monitored and explored. </w:t>
      </w:r>
      <w:r w:rsidR="00451151">
        <w:t xml:space="preserve">Estimating the </w:t>
      </w:r>
      <w:r w:rsidR="00992FDB" w:rsidRPr="001F33CB">
        <w:t xml:space="preserve">impact </w:t>
      </w:r>
      <w:r w:rsidR="00E579DB" w:rsidRPr="001F33CB">
        <w:t xml:space="preserve">of new qualifications on post-compulsory subject choices </w:t>
      </w:r>
      <w:r w:rsidR="00992FDB" w:rsidRPr="001F33CB">
        <w:t xml:space="preserve">should be an important part of the piloting and evaluation of </w:t>
      </w:r>
      <w:r w:rsidR="0067669C">
        <w:t>their introduction</w:t>
      </w:r>
      <w:r w:rsidR="00992FDB" w:rsidRPr="001F33CB">
        <w:t xml:space="preserve">. </w:t>
      </w:r>
      <w:r w:rsidR="00C6603C" w:rsidRPr="001F33CB">
        <w:t>There is a growing availability to researcher</w:t>
      </w:r>
      <w:r w:rsidR="002F695A">
        <w:t>s</w:t>
      </w:r>
      <w:r w:rsidR="00C6603C" w:rsidRPr="001F33CB">
        <w:t xml:space="preserve"> of secondary educational data sets, not j</w:t>
      </w:r>
      <w:r w:rsidR="00D12E9E">
        <w:t xml:space="preserve">ust in England but more widely </w:t>
      </w:r>
      <w:r w:rsidR="002E04B5" w:rsidRPr="002E04B5">
        <w:t>(Smith, 2008a, 2008b)</w:t>
      </w:r>
      <w:r w:rsidR="00C6603C" w:rsidRPr="001F33CB">
        <w:t xml:space="preserve">, and we would argue strongly that such data should be used more widely to monitor and compare participation and attainment </w:t>
      </w:r>
      <w:r w:rsidR="0067669C">
        <w:t>patterns</w:t>
      </w:r>
      <w:r w:rsidR="00C6603C" w:rsidRPr="001F33CB">
        <w:t xml:space="preserve">, particularly following important curricula reform. </w:t>
      </w:r>
      <w:r w:rsidR="006E1FB1" w:rsidRPr="001F33CB">
        <w:t>Furthermore,</w:t>
      </w:r>
      <w:r w:rsidR="00992FDB" w:rsidRPr="001F33CB">
        <w:t xml:space="preserve"> studies that follow more qualitative methodologies are needed if we are to </w:t>
      </w:r>
      <w:r w:rsidR="0067669C">
        <w:t xml:space="preserve">better </w:t>
      </w:r>
      <w:r w:rsidR="00992FDB" w:rsidRPr="001F33CB">
        <w:t xml:space="preserve">understand what </w:t>
      </w:r>
      <w:proofErr w:type="gramStart"/>
      <w:r w:rsidR="00992FDB" w:rsidRPr="001F33CB">
        <w:t>lies</w:t>
      </w:r>
      <w:proofErr w:type="gramEnd"/>
      <w:r w:rsidR="00992FDB" w:rsidRPr="001F33CB">
        <w:t xml:space="preserve"> behind </w:t>
      </w:r>
      <w:r w:rsidR="006E1FB1" w:rsidRPr="001F33CB">
        <w:t xml:space="preserve">any </w:t>
      </w:r>
      <w:r w:rsidR="00992FDB" w:rsidRPr="001F33CB">
        <w:t>participation effects</w:t>
      </w:r>
      <w:r w:rsidR="006E1FB1" w:rsidRPr="001F33CB">
        <w:t xml:space="preserve"> arising from specific school science curricula</w:t>
      </w:r>
      <w:r w:rsidR="00992FDB" w:rsidRPr="001F33CB">
        <w:t xml:space="preserve">. </w:t>
      </w:r>
      <w:r w:rsidR="00451151">
        <w:t>Ideally, s</w:t>
      </w:r>
      <w:r w:rsidR="00992FDB" w:rsidRPr="001F33CB">
        <w:t xml:space="preserve">uch studies </w:t>
      </w:r>
      <w:r w:rsidR="00451151">
        <w:t>would</w:t>
      </w:r>
      <w:r w:rsidR="00992FDB" w:rsidRPr="001F33CB">
        <w:t xml:space="preserve"> examine in-school practices and how these are experienced by young people over time. Crucially, these studies </w:t>
      </w:r>
      <w:r w:rsidR="00451151">
        <w:t>would</w:t>
      </w:r>
      <w:r w:rsidR="00992FDB" w:rsidRPr="001F33CB">
        <w:t xml:space="preserve"> also need to attend to broader out-of-classroom, and out-of-school, experiences of young people. </w:t>
      </w:r>
    </w:p>
    <w:p w:rsidR="008B4831" w:rsidRPr="001F33CB" w:rsidRDefault="008B4831" w:rsidP="00E34CB5">
      <w:pPr>
        <w:rPr>
          <w:strike/>
        </w:rPr>
      </w:pPr>
    </w:p>
    <w:p w:rsidR="00E37A12" w:rsidRPr="001F33CB" w:rsidRDefault="00E37A12" w:rsidP="00E34CB5"/>
    <w:p w:rsidR="00E37A12" w:rsidRPr="001F33CB" w:rsidRDefault="00E37A12" w:rsidP="00E34CB5"/>
    <w:p w:rsidR="00992FDB" w:rsidRPr="001F33CB" w:rsidRDefault="00992FDB" w:rsidP="00992FDB">
      <w:pPr>
        <w:sectPr w:rsidR="00992FDB" w:rsidRPr="001F33CB" w:rsidSect="00BA2681">
          <w:footerReference w:type="default" r:id="rId11"/>
          <w:pgSz w:w="11906" w:h="16838"/>
          <w:pgMar w:top="1440" w:right="1440" w:bottom="1440" w:left="1440" w:header="708" w:footer="708" w:gutter="0"/>
          <w:cols w:space="708"/>
          <w:docGrid w:linePitch="360"/>
        </w:sectPr>
      </w:pPr>
    </w:p>
    <w:p w:rsidR="00992FDB" w:rsidRPr="001F33CB" w:rsidRDefault="00992FDB" w:rsidP="00A72EA7"/>
    <w:p w:rsidR="00992FDB" w:rsidRPr="001F33CB" w:rsidRDefault="00992FDB" w:rsidP="0006044F">
      <w:pPr>
        <w:pStyle w:val="Heading2"/>
      </w:pPr>
      <w:r w:rsidRPr="001F33CB">
        <w:t>Acknowledgments</w:t>
      </w:r>
    </w:p>
    <w:p w:rsidR="00992FDB" w:rsidRPr="001F33CB" w:rsidRDefault="00317D0D" w:rsidP="00992FDB">
      <w:r>
        <w:t>This work was supported by the</w:t>
      </w:r>
      <w:r w:rsidR="00992FDB" w:rsidRPr="001F33CB">
        <w:t xml:space="preserve"> Nuffield Foundation (</w:t>
      </w:r>
      <w:hyperlink r:id="rId12" w:history="1">
        <w:r w:rsidR="00992FDB" w:rsidRPr="001F33CB">
          <w:rPr>
            <w:rStyle w:val="Hyperlink"/>
          </w:rPr>
          <w:t>www.nuffieldfoundation.org</w:t>
        </w:r>
      </w:hyperlink>
      <w:r w:rsidR="00992FDB" w:rsidRPr="001F33CB">
        <w:t>)</w:t>
      </w:r>
      <w:r w:rsidR="00992FDB" w:rsidRPr="001F33CB">
        <w:rPr>
          <w:i/>
          <w:iCs/>
        </w:rPr>
        <w:t xml:space="preserve"> </w:t>
      </w:r>
      <w:r>
        <w:t>under grant EDU/40106.</w:t>
      </w:r>
    </w:p>
    <w:p w:rsidR="00992FDB" w:rsidRPr="001F33CB" w:rsidRDefault="00992FDB" w:rsidP="00992FDB"/>
    <w:p w:rsidR="00992FDB" w:rsidRDefault="00992FDB" w:rsidP="00992FDB">
      <w:r w:rsidRPr="001F33CB">
        <w:t>The National Pupil Database data were obtained after a request to the Data Services group at the Department for Education in London, UK. We are grateful for their efficient and prompt responses to our queries.</w:t>
      </w:r>
    </w:p>
    <w:p w:rsidR="00317D0D" w:rsidRDefault="00317D0D" w:rsidP="00992FDB"/>
    <w:p w:rsidR="00992FDB" w:rsidRPr="001F33CB" w:rsidRDefault="00992FDB" w:rsidP="00992FDB"/>
    <w:p w:rsidR="00EB7C7C" w:rsidRPr="001F33CB" w:rsidRDefault="009157E2" w:rsidP="0006044F">
      <w:pPr>
        <w:pStyle w:val="Heading2"/>
      </w:pPr>
      <w:r w:rsidRPr="001F33CB">
        <w:t>References</w:t>
      </w:r>
    </w:p>
    <w:p w:rsidR="002E04B5" w:rsidRPr="002E04B5" w:rsidRDefault="002E04B5" w:rsidP="002E04B5">
      <w:pPr>
        <w:pStyle w:val="Bibliography"/>
      </w:pPr>
      <w:r w:rsidRPr="002E04B5">
        <w:t xml:space="preserve">21st Century Science Project Team. </w:t>
      </w:r>
      <w:proofErr w:type="gramStart"/>
      <w:r w:rsidRPr="002E04B5">
        <w:t>(2003). 21st Century Science - a new flexible model for GCSE Science.</w:t>
      </w:r>
      <w:proofErr w:type="gramEnd"/>
      <w:r w:rsidRPr="002E04B5">
        <w:t xml:space="preserve"> </w:t>
      </w:r>
      <w:r w:rsidRPr="002E04B5">
        <w:rPr>
          <w:i/>
          <w:iCs/>
        </w:rPr>
        <w:t>School Science Review</w:t>
      </w:r>
      <w:r w:rsidRPr="002E04B5">
        <w:t xml:space="preserve">, </w:t>
      </w:r>
      <w:r w:rsidRPr="002E04B5">
        <w:rPr>
          <w:i/>
          <w:iCs/>
        </w:rPr>
        <w:t>310</w:t>
      </w:r>
      <w:r w:rsidRPr="002E04B5">
        <w:t>, 27–34.</w:t>
      </w:r>
    </w:p>
    <w:p w:rsidR="002E04B5" w:rsidRPr="002E04B5" w:rsidRDefault="002E04B5" w:rsidP="002E04B5">
      <w:pPr>
        <w:pStyle w:val="Bibliography"/>
      </w:pPr>
      <w:proofErr w:type="gramStart"/>
      <w:r w:rsidRPr="002E04B5">
        <w:t>Ametller, J., &amp; Ryder, J. (2014).</w:t>
      </w:r>
      <w:proofErr w:type="gramEnd"/>
      <w:r w:rsidRPr="002E04B5">
        <w:t xml:space="preserve"> </w:t>
      </w:r>
      <w:proofErr w:type="gramStart"/>
      <w:r w:rsidRPr="002E04B5">
        <w:t>The impact of science curriculum content on students’ subject choices in post-compulsory schooling.</w:t>
      </w:r>
      <w:proofErr w:type="gramEnd"/>
      <w:r w:rsidRPr="002E04B5">
        <w:t xml:space="preserve"> In E</w:t>
      </w:r>
      <w:proofErr w:type="gramStart"/>
      <w:r w:rsidRPr="002E04B5">
        <w:t>. .</w:t>
      </w:r>
      <w:proofErr w:type="gramEnd"/>
      <w:r w:rsidRPr="002E04B5">
        <w:t xml:space="preserve"> </w:t>
      </w:r>
      <w:proofErr w:type="spellStart"/>
      <w:proofErr w:type="gramStart"/>
      <w:r w:rsidRPr="002E04B5">
        <w:t>Henriksen</w:t>
      </w:r>
      <w:proofErr w:type="spellEnd"/>
      <w:r w:rsidRPr="002E04B5">
        <w:t xml:space="preserve">, J. Dillon, &amp; J. Ryder (Eds.), </w:t>
      </w:r>
      <w:r w:rsidRPr="002E04B5">
        <w:rPr>
          <w:i/>
          <w:iCs/>
        </w:rPr>
        <w:t>Recruitment, retention and gender equity in science, technology, engineering and mathematics higher education</w:t>
      </w:r>
      <w:r w:rsidRPr="002E04B5">
        <w:t>.</w:t>
      </w:r>
      <w:proofErr w:type="gramEnd"/>
      <w:r w:rsidRPr="002E04B5">
        <w:t xml:space="preserve"> Dordrecht: Springer.</w:t>
      </w:r>
    </w:p>
    <w:p w:rsidR="002E04B5" w:rsidRPr="002E04B5" w:rsidRDefault="002E04B5" w:rsidP="002E04B5">
      <w:pPr>
        <w:pStyle w:val="Bibliography"/>
      </w:pPr>
      <w:proofErr w:type="gramStart"/>
      <w:r w:rsidRPr="002E04B5">
        <w:t>Archer, L., DeWitt, J., Osborne, J., Dillon, J., Willis, B., &amp; Wong, B. (2010).</w:t>
      </w:r>
      <w:proofErr w:type="gramEnd"/>
      <w:r w:rsidRPr="002E04B5">
        <w:t xml:space="preserve"> “Doing” science versus “being” a scientist: Examining 10/11-year-old schoolchildren’s constructions of science through the lens of identity. </w:t>
      </w:r>
      <w:r w:rsidRPr="002E04B5">
        <w:rPr>
          <w:i/>
          <w:iCs/>
        </w:rPr>
        <w:t>Science Education</w:t>
      </w:r>
      <w:r w:rsidRPr="002E04B5">
        <w:t xml:space="preserve">, </w:t>
      </w:r>
      <w:r w:rsidRPr="002E04B5">
        <w:rPr>
          <w:i/>
          <w:iCs/>
        </w:rPr>
        <w:t>94</w:t>
      </w:r>
      <w:r w:rsidRPr="002E04B5">
        <w:t>(4), 617–639. doi:10.1002/sce.20399</w:t>
      </w:r>
    </w:p>
    <w:p w:rsidR="002E04B5" w:rsidRPr="002E04B5" w:rsidRDefault="002E04B5" w:rsidP="002E04B5">
      <w:pPr>
        <w:pStyle w:val="Bibliography"/>
      </w:pPr>
      <w:proofErr w:type="gramStart"/>
      <w:r w:rsidRPr="002E04B5">
        <w:lastRenderedPageBreak/>
        <w:t xml:space="preserve">Ball, S., </w:t>
      </w:r>
      <w:proofErr w:type="spellStart"/>
      <w:r w:rsidRPr="002E04B5">
        <w:t>Macrae</w:t>
      </w:r>
      <w:proofErr w:type="spellEnd"/>
      <w:r w:rsidRPr="002E04B5">
        <w:t>, S., &amp; Maguire, M. (2000).</w:t>
      </w:r>
      <w:proofErr w:type="gramEnd"/>
      <w:r w:rsidRPr="002E04B5">
        <w:t xml:space="preserve"> </w:t>
      </w:r>
      <w:r w:rsidRPr="002E04B5">
        <w:rPr>
          <w:i/>
          <w:iCs/>
        </w:rPr>
        <w:t>Choice, Pathways and Transitions Post-16: New Youth, New Economies in the Global City: New Youth, New Economics in the Global City</w:t>
      </w:r>
      <w:r w:rsidRPr="002E04B5">
        <w:t>. London ; New York: Routledge.</w:t>
      </w:r>
    </w:p>
    <w:p w:rsidR="002E04B5" w:rsidRPr="002E04B5" w:rsidRDefault="002E04B5" w:rsidP="002E04B5">
      <w:pPr>
        <w:pStyle w:val="Bibliography"/>
      </w:pPr>
      <w:proofErr w:type="gramStart"/>
      <w:r w:rsidRPr="002E04B5">
        <w:t xml:space="preserve">Bennett, J., </w:t>
      </w:r>
      <w:proofErr w:type="spellStart"/>
      <w:r w:rsidRPr="002E04B5">
        <w:t>Lubben</w:t>
      </w:r>
      <w:proofErr w:type="spellEnd"/>
      <w:r w:rsidRPr="002E04B5">
        <w:t>, F., &amp; Hampden-Thompson, G. (2013).</w:t>
      </w:r>
      <w:proofErr w:type="gramEnd"/>
      <w:r w:rsidRPr="002E04B5">
        <w:t xml:space="preserve"> Schools That Make a Difference to Post-Compulsory Uptake of Physical Science Subjects: Some comparative case studies in England. </w:t>
      </w:r>
      <w:r w:rsidRPr="002E04B5">
        <w:rPr>
          <w:i/>
          <w:iCs/>
        </w:rPr>
        <w:t>International Journal of Science Education</w:t>
      </w:r>
      <w:r w:rsidRPr="002E04B5">
        <w:t xml:space="preserve">, </w:t>
      </w:r>
      <w:r w:rsidRPr="002E04B5">
        <w:rPr>
          <w:i/>
          <w:iCs/>
        </w:rPr>
        <w:t>35</w:t>
      </w:r>
      <w:r w:rsidRPr="002E04B5">
        <w:t>(4), 663–689. doi:10.1080/09500693.2011.641131</w:t>
      </w:r>
    </w:p>
    <w:p w:rsidR="002E04B5" w:rsidRPr="002E04B5" w:rsidRDefault="002E04B5" w:rsidP="002E04B5">
      <w:pPr>
        <w:pStyle w:val="Bibliography"/>
      </w:pPr>
      <w:proofErr w:type="spellStart"/>
      <w:r w:rsidRPr="002E04B5">
        <w:t>Boe</w:t>
      </w:r>
      <w:proofErr w:type="spellEnd"/>
      <w:r w:rsidRPr="002E04B5">
        <w:t xml:space="preserve">, M. V. (2012). Science choices in Norwegian upper secondary school: What matters? </w:t>
      </w:r>
      <w:r w:rsidRPr="002E04B5">
        <w:rPr>
          <w:i/>
          <w:iCs/>
        </w:rPr>
        <w:t>Science Education</w:t>
      </w:r>
      <w:r w:rsidRPr="002E04B5">
        <w:t xml:space="preserve">, </w:t>
      </w:r>
      <w:r w:rsidRPr="002E04B5">
        <w:rPr>
          <w:i/>
          <w:iCs/>
        </w:rPr>
        <w:t>96</w:t>
      </w:r>
      <w:r w:rsidRPr="002E04B5">
        <w:t>(1), 1–20. doi:10.1002/sce.20461</w:t>
      </w:r>
    </w:p>
    <w:p w:rsidR="002E04B5" w:rsidRPr="002E04B5" w:rsidRDefault="002E04B5" w:rsidP="002E04B5">
      <w:pPr>
        <w:pStyle w:val="Bibliography"/>
      </w:pPr>
      <w:proofErr w:type="spellStart"/>
      <w:proofErr w:type="gramStart"/>
      <w:r w:rsidRPr="002E04B5">
        <w:t>Boe</w:t>
      </w:r>
      <w:proofErr w:type="spellEnd"/>
      <w:r w:rsidRPr="002E04B5">
        <w:t xml:space="preserve">, M. V., </w:t>
      </w:r>
      <w:proofErr w:type="spellStart"/>
      <w:r w:rsidRPr="002E04B5">
        <w:t>Henriksen</w:t>
      </w:r>
      <w:proofErr w:type="spellEnd"/>
      <w:r w:rsidRPr="002E04B5">
        <w:t>, E. K., Lyons, T., &amp; Schreiner, C. (2011).</w:t>
      </w:r>
      <w:proofErr w:type="gramEnd"/>
      <w:r w:rsidRPr="002E04B5">
        <w:t xml:space="preserve"> Participation in Science and Technology: Young People’s Achievement-Related Choices in Late-Modern Societies. </w:t>
      </w:r>
      <w:r w:rsidRPr="002E04B5">
        <w:rPr>
          <w:i/>
          <w:iCs/>
        </w:rPr>
        <w:t>Studies in Science Education</w:t>
      </w:r>
      <w:r w:rsidRPr="002E04B5">
        <w:t xml:space="preserve">, </w:t>
      </w:r>
      <w:r w:rsidRPr="002E04B5">
        <w:rPr>
          <w:i/>
          <w:iCs/>
        </w:rPr>
        <w:t>47</w:t>
      </w:r>
      <w:r w:rsidRPr="002E04B5">
        <w:t>(1), 37–72.</w:t>
      </w:r>
    </w:p>
    <w:p w:rsidR="002E04B5" w:rsidRPr="002E04B5" w:rsidRDefault="002E04B5" w:rsidP="002E04B5">
      <w:pPr>
        <w:pStyle w:val="Bibliography"/>
      </w:pPr>
      <w:proofErr w:type="gramStart"/>
      <w:r w:rsidRPr="002E04B5">
        <w:t>Chinn, S. (2000).</w:t>
      </w:r>
      <w:proofErr w:type="gramEnd"/>
      <w:r w:rsidRPr="002E04B5">
        <w:t xml:space="preserve"> </w:t>
      </w:r>
      <w:proofErr w:type="gramStart"/>
      <w:r w:rsidRPr="002E04B5">
        <w:t>A simple method for converting an odds ratio to effect size for use in meta-analysis.</w:t>
      </w:r>
      <w:proofErr w:type="gramEnd"/>
      <w:r w:rsidRPr="002E04B5">
        <w:t xml:space="preserve"> </w:t>
      </w:r>
      <w:r w:rsidRPr="002E04B5">
        <w:rPr>
          <w:i/>
          <w:iCs/>
        </w:rPr>
        <w:t>Statistics in Medicine</w:t>
      </w:r>
      <w:r w:rsidRPr="002E04B5">
        <w:t xml:space="preserve">, </w:t>
      </w:r>
      <w:r w:rsidRPr="002E04B5">
        <w:rPr>
          <w:i/>
          <w:iCs/>
        </w:rPr>
        <w:t>19</w:t>
      </w:r>
      <w:r w:rsidRPr="002E04B5">
        <w:t>(22), 3127–3131.</w:t>
      </w:r>
    </w:p>
    <w:p w:rsidR="002E04B5" w:rsidRPr="002E04B5" w:rsidRDefault="002E04B5" w:rsidP="002E04B5">
      <w:pPr>
        <w:pStyle w:val="Bibliography"/>
      </w:pPr>
      <w:proofErr w:type="gramStart"/>
      <w:r w:rsidRPr="002E04B5">
        <w:t>Cleaves, A. (2005).</w:t>
      </w:r>
      <w:proofErr w:type="gramEnd"/>
      <w:r w:rsidRPr="002E04B5">
        <w:t xml:space="preserve"> </w:t>
      </w:r>
      <w:proofErr w:type="gramStart"/>
      <w:r w:rsidRPr="002E04B5">
        <w:t>The formation of science choices in secondary school.</w:t>
      </w:r>
      <w:proofErr w:type="gramEnd"/>
      <w:r w:rsidRPr="002E04B5">
        <w:t xml:space="preserve"> </w:t>
      </w:r>
      <w:r w:rsidRPr="002E04B5">
        <w:rPr>
          <w:i/>
          <w:iCs/>
        </w:rPr>
        <w:t>International Journal of Science Education</w:t>
      </w:r>
      <w:r w:rsidRPr="002E04B5">
        <w:t xml:space="preserve">, </w:t>
      </w:r>
      <w:r w:rsidRPr="002E04B5">
        <w:rPr>
          <w:i/>
          <w:iCs/>
        </w:rPr>
        <w:t>27</w:t>
      </w:r>
      <w:r w:rsidRPr="002E04B5">
        <w:t xml:space="preserve">(4), 471–486. </w:t>
      </w:r>
      <w:proofErr w:type="gramStart"/>
      <w:r w:rsidRPr="002E04B5">
        <w:t>doi:</w:t>
      </w:r>
      <w:proofErr w:type="gramEnd"/>
      <w:r w:rsidRPr="002E04B5">
        <w:t>10.1080/0950069042000323746</w:t>
      </w:r>
    </w:p>
    <w:p w:rsidR="002E04B5" w:rsidRPr="002E04B5" w:rsidRDefault="002E04B5" w:rsidP="002E04B5">
      <w:pPr>
        <w:pStyle w:val="Bibliography"/>
      </w:pPr>
      <w:r w:rsidRPr="002E04B5">
        <w:t xml:space="preserve">Cohen, J. (1988). </w:t>
      </w:r>
      <w:proofErr w:type="gramStart"/>
      <w:r w:rsidRPr="002E04B5">
        <w:rPr>
          <w:i/>
          <w:iCs/>
        </w:rPr>
        <w:t xml:space="preserve">Statistical Power Analysis for the </w:t>
      </w:r>
      <w:proofErr w:type="spellStart"/>
      <w:r w:rsidRPr="002E04B5">
        <w:rPr>
          <w:i/>
          <w:iCs/>
        </w:rPr>
        <w:t>Behavioral</w:t>
      </w:r>
      <w:proofErr w:type="spellEnd"/>
      <w:r w:rsidRPr="002E04B5">
        <w:rPr>
          <w:i/>
          <w:iCs/>
        </w:rPr>
        <w:t xml:space="preserve"> Sciences</w:t>
      </w:r>
      <w:r w:rsidRPr="002E04B5">
        <w:t>.</w:t>
      </w:r>
      <w:proofErr w:type="gramEnd"/>
      <w:r w:rsidRPr="002E04B5">
        <w:t xml:space="preserve"> </w:t>
      </w:r>
      <w:proofErr w:type="gramStart"/>
      <w:r w:rsidRPr="002E04B5">
        <w:t>Routledge.</w:t>
      </w:r>
      <w:proofErr w:type="gramEnd"/>
    </w:p>
    <w:p w:rsidR="002E04B5" w:rsidRPr="002E04B5" w:rsidRDefault="002E04B5" w:rsidP="00B95048">
      <w:pPr>
        <w:pStyle w:val="Bibliography"/>
      </w:pPr>
      <w:r w:rsidRPr="002E04B5">
        <w:t>DfES</w:t>
      </w:r>
      <w:r w:rsidR="00B95048">
        <w:t xml:space="preserve"> (Department for Education and Skills)</w:t>
      </w:r>
      <w:r w:rsidRPr="002E04B5">
        <w:t xml:space="preserve">. </w:t>
      </w:r>
      <w:proofErr w:type="gramStart"/>
      <w:r w:rsidRPr="002E04B5">
        <w:t xml:space="preserve">(2005). </w:t>
      </w:r>
      <w:r w:rsidRPr="002E04B5">
        <w:rPr>
          <w:i/>
          <w:iCs/>
        </w:rPr>
        <w:t>14-19 Education and Skills</w:t>
      </w:r>
      <w:r w:rsidRPr="002E04B5">
        <w:t>.</w:t>
      </w:r>
      <w:proofErr w:type="gramEnd"/>
      <w:r w:rsidRPr="002E04B5">
        <w:t xml:space="preserve"> London: HMSO. Retrieved from https://www.education.gov.uk/publications/standard/publicationDetail/Page1/CM%206476</w:t>
      </w:r>
    </w:p>
    <w:p w:rsidR="002E04B5" w:rsidRPr="002E04B5" w:rsidRDefault="002E04B5" w:rsidP="002E04B5">
      <w:pPr>
        <w:pStyle w:val="Bibliography"/>
      </w:pPr>
      <w:r w:rsidRPr="002E04B5">
        <w:t xml:space="preserve">Eccles, J. (2009). Who Am I and What Am I Going to Do With My Life? </w:t>
      </w:r>
      <w:proofErr w:type="gramStart"/>
      <w:r w:rsidRPr="002E04B5">
        <w:t>Personal and Collective Identities as Motivators of Action.</w:t>
      </w:r>
      <w:proofErr w:type="gramEnd"/>
      <w:r w:rsidRPr="002E04B5">
        <w:t xml:space="preserve"> </w:t>
      </w:r>
      <w:r w:rsidRPr="002E04B5">
        <w:rPr>
          <w:i/>
          <w:iCs/>
        </w:rPr>
        <w:t>Educational Psychologist</w:t>
      </w:r>
      <w:r w:rsidRPr="002E04B5">
        <w:t xml:space="preserve">, </w:t>
      </w:r>
      <w:r w:rsidRPr="002E04B5">
        <w:rPr>
          <w:i/>
          <w:iCs/>
        </w:rPr>
        <w:t>44</w:t>
      </w:r>
      <w:r w:rsidRPr="002E04B5">
        <w:t xml:space="preserve">(2), 78–89. </w:t>
      </w:r>
      <w:proofErr w:type="gramStart"/>
      <w:r w:rsidRPr="002E04B5">
        <w:t>doi:</w:t>
      </w:r>
      <w:proofErr w:type="gramEnd"/>
      <w:r w:rsidRPr="002E04B5">
        <w:t>10.1080/00461520902832368</w:t>
      </w:r>
    </w:p>
    <w:p w:rsidR="002E04B5" w:rsidRPr="002E04B5" w:rsidRDefault="002E04B5" w:rsidP="002E04B5">
      <w:pPr>
        <w:pStyle w:val="Bibliography"/>
      </w:pPr>
      <w:proofErr w:type="spellStart"/>
      <w:r w:rsidRPr="002E04B5">
        <w:lastRenderedPageBreak/>
        <w:t>Fensham</w:t>
      </w:r>
      <w:proofErr w:type="spellEnd"/>
      <w:r w:rsidRPr="002E04B5">
        <w:t xml:space="preserve">, P. J. (2009). The link between policy and practice in science education: The role of research. </w:t>
      </w:r>
      <w:r w:rsidRPr="002E04B5">
        <w:rPr>
          <w:i/>
          <w:iCs/>
        </w:rPr>
        <w:t>Science Education</w:t>
      </w:r>
      <w:r w:rsidRPr="002E04B5">
        <w:t xml:space="preserve">, </w:t>
      </w:r>
      <w:r w:rsidRPr="002E04B5">
        <w:rPr>
          <w:i/>
          <w:iCs/>
        </w:rPr>
        <w:t>93</w:t>
      </w:r>
      <w:r w:rsidRPr="002E04B5">
        <w:t>(6), 1076–1095. doi:10.1002/sce.20349</w:t>
      </w:r>
    </w:p>
    <w:p w:rsidR="002E04B5" w:rsidRPr="002E04B5" w:rsidRDefault="002E04B5" w:rsidP="002E04B5">
      <w:pPr>
        <w:pStyle w:val="Bibliography"/>
      </w:pPr>
      <w:r w:rsidRPr="002E04B5">
        <w:t xml:space="preserve">Field, A. P. (2013). </w:t>
      </w:r>
      <w:r w:rsidRPr="002E04B5">
        <w:rPr>
          <w:i/>
          <w:iCs/>
        </w:rPr>
        <w:t>Discovering statistics using IBM SPSS statistics: and sex and drugs and rock “n” roll</w:t>
      </w:r>
      <w:r w:rsidRPr="002E04B5">
        <w:t>. London: Sage Publications.</w:t>
      </w:r>
    </w:p>
    <w:p w:rsidR="002E04B5" w:rsidRPr="002E04B5" w:rsidRDefault="002E04B5" w:rsidP="002E04B5">
      <w:pPr>
        <w:pStyle w:val="Bibliography"/>
      </w:pPr>
      <w:proofErr w:type="spellStart"/>
      <w:r w:rsidRPr="002E04B5">
        <w:t>Foskett</w:t>
      </w:r>
      <w:proofErr w:type="spellEnd"/>
      <w:r w:rsidRPr="002E04B5">
        <w:t xml:space="preserve">, N., Dyke, M., &amp; </w:t>
      </w:r>
      <w:proofErr w:type="spellStart"/>
      <w:r w:rsidRPr="002E04B5">
        <w:t>Maringe</w:t>
      </w:r>
      <w:proofErr w:type="spellEnd"/>
      <w:r w:rsidRPr="002E04B5">
        <w:t xml:space="preserve">, F. (2008). </w:t>
      </w:r>
      <w:proofErr w:type="gramStart"/>
      <w:r w:rsidRPr="002E04B5">
        <w:t>The influence of the school in the decision to participate in learning post</w:t>
      </w:r>
      <w:r w:rsidRPr="002E04B5">
        <w:rPr>
          <w:rFonts w:ascii="Cambria Math" w:hAnsi="Cambria Math" w:cs="Cambria Math"/>
        </w:rPr>
        <w:t>‐</w:t>
      </w:r>
      <w:r w:rsidRPr="002E04B5">
        <w:t>16.</w:t>
      </w:r>
      <w:proofErr w:type="gramEnd"/>
      <w:r w:rsidRPr="002E04B5">
        <w:t xml:space="preserve"> </w:t>
      </w:r>
      <w:r w:rsidRPr="002E04B5">
        <w:rPr>
          <w:i/>
          <w:iCs/>
        </w:rPr>
        <w:t>British Educational Research Journal</w:t>
      </w:r>
      <w:r w:rsidRPr="002E04B5">
        <w:t xml:space="preserve">, </w:t>
      </w:r>
      <w:r w:rsidRPr="002E04B5">
        <w:rPr>
          <w:i/>
          <w:iCs/>
        </w:rPr>
        <w:t>34</w:t>
      </w:r>
      <w:r w:rsidRPr="002E04B5">
        <w:t xml:space="preserve">(1), 37–61. </w:t>
      </w:r>
      <w:proofErr w:type="gramStart"/>
      <w:r w:rsidRPr="002E04B5">
        <w:t>doi:</w:t>
      </w:r>
      <w:proofErr w:type="gramEnd"/>
      <w:r w:rsidRPr="002E04B5">
        <w:t>10.1080/01411920701491961</w:t>
      </w:r>
    </w:p>
    <w:p w:rsidR="002E04B5" w:rsidRPr="002E04B5" w:rsidRDefault="002E04B5" w:rsidP="002E04B5">
      <w:pPr>
        <w:pStyle w:val="Bibliography"/>
      </w:pPr>
      <w:proofErr w:type="spellStart"/>
      <w:proofErr w:type="gramStart"/>
      <w:r w:rsidRPr="002E04B5">
        <w:t>Foskett</w:t>
      </w:r>
      <w:proofErr w:type="spellEnd"/>
      <w:r w:rsidRPr="002E04B5">
        <w:t xml:space="preserve">, N., &amp; </w:t>
      </w:r>
      <w:proofErr w:type="spellStart"/>
      <w:r w:rsidRPr="002E04B5">
        <w:t>Hemsley</w:t>
      </w:r>
      <w:proofErr w:type="spellEnd"/>
      <w:r w:rsidRPr="002E04B5">
        <w:t>-Brown, J. (2001).</w:t>
      </w:r>
      <w:proofErr w:type="gramEnd"/>
      <w:r w:rsidRPr="002E04B5">
        <w:t xml:space="preserve"> </w:t>
      </w:r>
      <w:r w:rsidRPr="002E04B5">
        <w:rPr>
          <w:i/>
          <w:iCs/>
        </w:rPr>
        <w:t>Choosing Futures</w:t>
      </w:r>
      <w:proofErr w:type="gramStart"/>
      <w:r w:rsidRPr="002E04B5">
        <w:rPr>
          <w:i/>
          <w:iCs/>
        </w:rPr>
        <w:t>: Young people’s</w:t>
      </w:r>
      <w:proofErr w:type="gramEnd"/>
      <w:r w:rsidRPr="002E04B5">
        <w:rPr>
          <w:i/>
          <w:iCs/>
        </w:rPr>
        <w:t xml:space="preserve"> decision-making in education, training and careers markets</w:t>
      </w:r>
      <w:r w:rsidRPr="002E04B5">
        <w:t xml:space="preserve">. </w:t>
      </w:r>
      <w:proofErr w:type="spellStart"/>
      <w:proofErr w:type="gramStart"/>
      <w:r w:rsidRPr="002E04B5">
        <w:t>RoutledgeFalmer</w:t>
      </w:r>
      <w:proofErr w:type="spellEnd"/>
      <w:r w:rsidRPr="002E04B5">
        <w:t>.</w:t>
      </w:r>
      <w:proofErr w:type="gramEnd"/>
      <w:r w:rsidRPr="002E04B5">
        <w:t xml:space="preserve"> Retrieved from http://eprints.soton.ac.uk/20972/</w:t>
      </w:r>
    </w:p>
    <w:p w:rsidR="002E04B5" w:rsidRPr="002E04B5" w:rsidRDefault="002E04B5" w:rsidP="002E04B5">
      <w:pPr>
        <w:pStyle w:val="Bibliography"/>
      </w:pPr>
      <w:r w:rsidRPr="002E04B5">
        <w:t xml:space="preserve">Goldstein, H. (1995). </w:t>
      </w:r>
      <w:r w:rsidRPr="002E04B5">
        <w:rPr>
          <w:i/>
          <w:iCs/>
        </w:rPr>
        <w:t>Multilevel statistical models</w:t>
      </w:r>
      <w:r w:rsidRPr="002E04B5">
        <w:t xml:space="preserve"> (3rd </w:t>
      </w:r>
      <w:proofErr w:type="gramStart"/>
      <w:r w:rsidRPr="002E04B5">
        <w:t>ed</w:t>
      </w:r>
      <w:proofErr w:type="gramEnd"/>
      <w:r w:rsidRPr="002E04B5">
        <w:t>.). London: Arnold.</w:t>
      </w:r>
    </w:p>
    <w:p w:rsidR="002E04B5" w:rsidRPr="002E04B5" w:rsidRDefault="002E04B5" w:rsidP="002E04B5">
      <w:pPr>
        <w:pStyle w:val="Bibliography"/>
      </w:pPr>
      <w:proofErr w:type="spellStart"/>
      <w:proofErr w:type="gramStart"/>
      <w:r w:rsidRPr="002E04B5">
        <w:t>Harlen</w:t>
      </w:r>
      <w:proofErr w:type="spellEnd"/>
      <w:r w:rsidRPr="002E04B5">
        <w:t>, W. (2010).</w:t>
      </w:r>
      <w:proofErr w:type="gramEnd"/>
      <w:r w:rsidRPr="002E04B5">
        <w:t xml:space="preserve"> </w:t>
      </w:r>
      <w:proofErr w:type="gramStart"/>
      <w:r w:rsidRPr="002E04B5">
        <w:rPr>
          <w:i/>
          <w:iCs/>
        </w:rPr>
        <w:t>Principles and big ideas of science education</w:t>
      </w:r>
      <w:r w:rsidRPr="002E04B5">
        <w:t>.</w:t>
      </w:r>
      <w:proofErr w:type="gramEnd"/>
      <w:r w:rsidRPr="002E04B5">
        <w:t xml:space="preserve"> Hatfield: ASE.</w:t>
      </w:r>
    </w:p>
    <w:p w:rsidR="002E04B5" w:rsidRPr="002E04B5" w:rsidRDefault="002E04B5" w:rsidP="002E04B5">
      <w:pPr>
        <w:pStyle w:val="Bibliography"/>
      </w:pPr>
      <w:r w:rsidRPr="002E04B5">
        <w:t>Henderson, B. M., Alex, &amp; Blair</w:t>
      </w:r>
      <w:proofErr w:type="gramStart"/>
      <w:r w:rsidRPr="002E04B5">
        <w:t xml:space="preserve">,  </w:t>
      </w:r>
      <w:proofErr w:type="spellStart"/>
      <w:r w:rsidRPr="002E04B5">
        <w:t>ra</w:t>
      </w:r>
      <w:proofErr w:type="gramEnd"/>
      <w:r w:rsidRPr="002E04B5">
        <w:t>.</w:t>
      </w:r>
      <w:proofErr w:type="spellEnd"/>
      <w:r w:rsidRPr="002E04B5">
        <w:t xml:space="preserve"> (2006, October 11). Science elite </w:t>
      </w:r>
      <w:proofErr w:type="gramStart"/>
      <w:r w:rsidRPr="002E04B5">
        <w:t>rejects</w:t>
      </w:r>
      <w:proofErr w:type="gramEnd"/>
      <w:r w:rsidRPr="002E04B5">
        <w:t xml:space="preserve"> new GCSE as “fit for the pub.” </w:t>
      </w:r>
      <w:proofErr w:type="gramStart"/>
      <w:r w:rsidRPr="002E04B5">
        <w:rPr>
          <w:i/>
          <w:iCs/>
        </w:rPr>
        <w:t>The Times (London)</w:t>
      </w:r>
      <w:r w:rsidRPr="002E04B5">
        <w:t>.</w:t>
      </w:r>
      <w:proofErr w:type="gramEnd"/>
      <w:r w:rsidRPr="002E04B5">
        <w:t xml:space="preserve"> London. Retrieved from http://www.thetimes.co.uk/tto/news/uk/article1944010.ece</w:t>
      </w:r>
    </w:p>
    <w:p w:rsidR="002E04B5" w:rsidRDefault="002E04B5" w:rsidP="002E04B5">
      <w:pPr>
        <w:pStyle w:val="Bibliography"/>
      </w:pPr>
      <w:proofErr w:type="gramStart"/>
      <w:r w:rsidRPr="002E04B5">
        <w:t>Homer, M., Ryder, J., &amp; Donnelly, J. (2013).</w:t>
      </w:r>
      <w:proofErr w:type="gramEnd"/>
      <w:r w:rsidRPr="002E04B5">
        <w:t xml:space="preserve"> Sources of differential participation rates in school science: the impact of curriculum reform. </w:t>
      </w:r>
      <w:r w:rsidRPr="002E04B5">
        <w:rPr>
          <w:i/>
          <w:iCs/>
        </w:rPr>
        <w:t>British Educational Research Journal</w:t>
      </w:r>
      <w:r w:rsidRPr="002E04B5">
        <w:t xml:space="preserve">, </w:t>
      </w:r>
      <w:r w:rsidRPr="002E04B5">
        <w:rPr>
          <w:i/>
          <w:iCs/>
        </w:rPr>
        <w:t>39</w:t>
      </w:r>
      <w:r w:rsidRPr="002E04B5">
        <w:t>(2), 248–265. doi:10.1080/01411926.2011.635783</w:t>
      </w:r>
    </w:p>
    <w:p w:rsidR="00A87284" w:rsidRPr="00A87284" w:rsidRDefault="00A87284" w:rsidP="00A87284">
      <w:pPr>
        <w:ind w:left="709" w:hanging="709"/>
      </w:pPr>
      <w:r w:rsidRPr="00A87284">
        <w:t xml:space="preserve">Layton, D., Jenkins, E. and Donnelly, J. 1994. </w:t>
      </w:r>
      <w:proofErr w:type="gramStart"/>
      <w:r w:rsidRPr="00A87284">
        <w:t>Scientific and technological literacy.</w:t>
      </w:r>
      <w:proofErr w:type="gramEnd"/>
      <w:r w:rsidRPr="00A87284">
        <w:t xml:space="preserve"> </w:t>
      </w:r>
      <w:proofErr w:type="gramStart"/>
      <w:r w:rsidRPr="00A87284">
        <w:t>Meanings and rationales.</w:t>
      </w:r>
      <w:proofErr w:type="gramEnd"/>
      <w:r w:rsidRPr="00A87284">
        <w:t xml:space="preserve"> An annotated bibliography, Leeds</w:t>
      </w:r>
      <w:proofErr w:type="gramStart"/>
      <w:r w:rsidRPr="00A87284">
        <w:t>, ,</w:t>
      </w:r>
      <w:proofErr w:type="gramEnd"/>
      <w:r w:rsidRPr="00A87284">
        <w:t xml:space="preserve"> England: Centre for Studies in Science and Mathematics Education, University of Leeds, in association with UNESCO.</w:t>
      </w:r>
    </w:p>
    <w:p w:rsidR="002E04B5" w:rsidRPr="002E04B5" w:rsidRDefault="002E04B5" w:rsidP="002E04B5">
      <w:pPr>
        <w:pStyle w:val="Bibliography"/>
      </w:pPr>
      <w:proofErr w:type="gramStart"/>
      <w:r w:rsidRPr="002E04B5">
        <w:lastRenderedPageBreak/>
        <w:t>Maltese, A. V., Melki, C. S., &amp; Wiebke, H. L. (2014).</w:t>
      </w:r>
      <w:proofErr w:type="gramEnd"/>
      <w:r w:rsidRPr="002E04B5">
        <w:t xml:space="preserve"> The Nature of Experiences Responsible for the Generation and Maintenance of Interest in STEM. </w:t>
      </w:r>
      <w:r w:rsidRPr="002E04B5">
        <w:rPr>
          <w:i/>
          <w:iCs/>
        </w:rPr>
        <w:t>Science Education</w:t>
      </w:r>
      <w:r w:rsidRPr="002E04B5">
        <w:t xml:space="preserve">, </w:t>
      </w:r>
      <w:r w:rsidRPr="002E04B5">
        <w:rPr>
          <w:i/>
          <w:iCs/>
        </w:rPr>
        <w:t>98</w:t>
      </w:r>
      <w:r w:rsidRPr="002E04B5">
        <w:t>(6), 937–962. doi:10.1002/sce.21132</w:t>
      </w:r>
    </w:p>
    <w:p w:rsidR="002E04B5" w:rsidRPr="002E04B5" w:rsidRDefault="002E04B5" w:rsidP="002E04B5">
      <w:pPr>
        <w:pStyle w:val="Bibliography"/>
      </w:pPr>
      <w:r w:rsidRPr="002E04B5">
        <w:t xml:space="preserve">Maltese, A. V., &amp; Tai, R. H. (2010). Eyeballs in the Fridge: Sources of early interest in science. </w:t>
      </w:r>
      <w:r w:rsidRPr="002E04B5">
        <w:rPr>
          <w:i/>
          <w:iCs/>
        </w:rPr>
        <w:t>International Journal of Science Education</w:t>
      </w:r>
      <w:r w:rsidRPr="002E04B5">
        <w:t xml:space="preserve">, </w:t>
      </w:r>
      <w:r w:rsidRPr="002E04B5">
        <w:rPr>
          <w:i/>
          <w:iCs/>
        </w:rPr>
        <w:t>32</w:t>
      </w:r>
      <w:r w:rsidRPr="002E04B5">
        <w:t>(5), 669–685. doi:10.1080/09500690902792385</w:t>
      </w:r>
    </w:p>
    <w:p w:rsidR="002E04B5" w:rsidRPr="002E04B5" w:rsidRDefault="002E04B5" w:rsidP="002E04B5">
      <w:pPr>
        <w:pStyle w:val="Bibliography"/>
      </w:pPr>
      <w:r w:rsidRPr="002E04B5">
        <w:t xml:space="preserve">Maltese, A. V., &amp; Tai, R. H. (2011). Pipeline persistence: Examining the association of educational experiences with earned degrees in STEM among U.S. students. </w:t>
      </w:r>
      <w:r w:rsidRPr="002E04B5">
        <w:rPr>
          <w:i/>
          <w:iCs/>
        </w:rPr>
        <w:t>Science Education</w:t>
      </w:r>
      <w:r w:rsidRPr="002E04B5">
        <w:t xml:space="preserve">, </w:t>
      </w:r>
      <w:r w:rsidRPr="002E04B5">
        <w:rPr>
          <w:i/>
          <w:iCs/>
        </w:rPr>
        <w:t>95</w:t>
      </w:r>
      <w:r w:rsidRPr="002E04B5">
        <w:t>(5), 877–907. doi:10.1002/sce.20441</w:t>
      </w:r>
    </w:p>
    <w:p w:rsidR="002E04B5" w:rsidRPr="002E04B5" w:rsidRDefault="002E04B5" w:rsidP="002E04B5">
      <w:pPr>
        <w:pStyle w:val="Bibliography"/>
      </w:pPr>
      <w:r w:rsidRPr="002E04B5">
        <w:t xml:space="preserve">Millar, R. (2006). Twenty First Century Science: Insights from the Design and Implementation of a Scientific Literacy Approach in School Science. </w:t>
      </w:r>
      <w:r w:rsidRPr="002E04B5">
        <w:rPr>
          <w:i/>
          <w:iCs/>
        </w:rPr>
        <w:t>International Journal of Science Education</w:t>
      </w:r>
      <w:r w:rsidRPr="002E04B5">
        <w:t xml:space="preserve">, </w:t>
      </w:r>
      <w:r w:rsidRPr="002E04B5">
        <w:rPr>
          <w:i/>
          <w:iCs/>
        </w:rPr>
        <w:t>28</w:t>
      </w:r>
      <w:r w:rsidRPr="002E04B5">
        <w:t>(13), 1499–1521. doi:10.1080/09500690600718344</w:t>
      </w:r>
    </w:p>
    <w:p w:rsidR="002E04B5" w:rsidRPr="002E04B5" w:rsidRDefault="002E04B5" w:rsidP="002E04B5">
      <w:pPr>
        <w:pStyle w:val="Bibliography"/>
      </w:pPr>
      <w:r w:rsidRPr="002E04B5">
        <w:t xml:space="preserve">Millar, R. (2010). Increasing participation in science beyond GCSE: the impact of Twenty First Century Science. </w:t>
      </w:r>
      <w:r w:rsidRPr="002E04B5">
        <w:rPr>
          <w:i/>
          <w:iCs/>
        </w:rPr>
        <w:t>School Science Review</w:t>
      </w:r>
      <w:r w:rsidRPr="002E04B5">
        <w:t xml:space="preserve">, </w:t>
      </w:r>
      <w:r w:rsidRPr="002E04B5">
        <w:rPr>
          <w:i/>
          <w:iCs/>
        </w:rPr>
        <w:t>91</w:t>
      </w:r>
      <w:r w:rsidRPr="002E04B5">
        <w:t>(337), 67–73.</w:t>
      </w:r>
    </w:p>
    <w:p w:rsidR="002E04B5" w:rsidRPr="002E04B5" w:rsidRDefault="002E04B5" w:rsidP="002E04B5">
      <w:pPr>
        <w:pStyle w:val="Bibliography"/>
      </w:pPr>
      <w:r w:rsidRPr="002E04B5">
        <w:t xml:space="preserve">Morris, H. (2013). Socioscientific Issues and Multidisciplinarity in School Science Textbooks. </w:t>
      </w:r>
      <w:r w:rsidRPr="002E04B5">
        <w:rPr>
          <w:i/>
          <w:iCs/>
        </w:rPr>
        <w:t>International Journal of Science Education</w:t>
      </w:r>
      <w:r w:rsidRPr="002E04B5">
        <w:t xml:space="preserve">, </w:t>
      </w:r>
      <w:r w:rsidRPr="002E04B5">
        <w:rPr>
          <w:i/>
          <w:iCs/>
        </w:rPr>
        <w:t>36</w:t>
      </w:r>
      <w:r w:rsidRPr="002E04B5">
        <w:t>(7), 1137–1158. doi:10.1080/09500693.2013.848493</w:t>
      </w:r>
    </w:p>
    <w:p w:rsidR="002E04B5" w:rsidRPr="002E04B5" w:rsidRDefault="002E04B5" w:rsidP="002E04B5">
      <w:pPr>
        <w:pStyle w:val="Bibliography"/>
      </w:pPr>
      <w:r w:rsidRPr="002E04B5">
        <w:t xml:space="preserve">Perks, D., Gilland, T., Institute of Ideas, &amp; Pfizer Inc. (2006). </w:t>
      </w:r>
      <w:r w:rsidRPr="002E04B5">
        <w:rPr>
          <w:i/>
          <w:iCs/>
        </w:rPr>
        <w:t>What is science education for?</w:t>
      </w:r>
      <w:r w:rsidRPr="002E04B5">
        <w:t>. London: Academy of Ideas.</w:t>
      </w:r>
    </w:p>
    <w:p w:rsidR="002E04B5" w:rsidRPr="002E04B5" w:rsidRDefault="002E04B5" w:rsidP="002E04B5">
      <w:pPr>
        <w:pStyle w:val="Bibliography"/>
      </w:pPr>
      <w:r w:rsidRPr="002E04B5">
        <w:t xml:space="preserve">Roberts, D. A. (1988). What counts as science education? In P. J. Fensham (Ed.), </w:t>
      </w:r>
      <w:r w:rsidRPr="002E04B5">
        <w:rPr>
          <w:i/>
          <w:iCs/>
        </w:rPr>
        <w:t>Development and Dilemmas in Science Education</w:t>
      </w:r>
      <w:r w:rsidRPr="002E04B5">
        <w:t>. London: Falmer Press.</w:t>
      </w:r>
    </w:p>
    <w:p w:rsidR="002E04B5" w:rsidRPr="002E04B5" w:rsidRDefault="002E04B5" w:rsidP="002E04B5">
      <w:pPr>
        <w:pStyle w:val="Bibliography"/>
      </w:pPr>
      <w:r w:rsidRPr="002E04B5">
        <w:t xml:space="preserve">Roberts, D. A., &amp; Bybee, R. W. (2014). Scientific literacy, science literacy and science education. In N. G. Lederman &amp; S. K. Abell (Eds.), </w:t>
      </w:r>
      <w:r w:rsidRPr="002E04B5">
        <w:rPr>
          <w:i/>
          <w:iCs/>
        </w:rPr>
        <w:t>Handbook of Research in Science Education</w:t>
      </w:r>
      <w:r w:rsidR="00255980">
        <w:rPr>
          <w:i/>
          <w:iCs/>
        </w:rPr>
        <w:t xml:space="preserve"> Vol II</w:t>
      </w:r>
      <w:r w:rsidRPr="002E04B5">
        <w:t>. Routledge.</w:t>
      </w:r>
    </w:p>
    <w:p w:rsidR="002E04B5" w:rsidRPr="002E04B5" w:rsidRDefault="002E04B5" w:rsidP="002E04B5">
      <w:pPr>
        <w:pStyle w:val="Bibliography"/>
      </w:pPr>
      <w:r w:rsidRPr="002E04B5">
        <w:lastRenderedPageBreak/>
        <w:t xml:space="preserve">Ryan, C., &amp; Sibieta, L. (2010). </w:t>
      </w:r>
      <w:r w:rsidRPr="002E04B5">
        <w:rPr>
          <w:i/>
          <w:iCs/>
        </w:rPr>
        <w:t>Private schooling in the UK and Australia</w:t>
      </w:r>
      <w:r w:rsidRPr="002E04B5">
        <w:t>. London: Institute for Fiscal Studies.</w:t>
      </w:r>
    </w:p>
    <w:p w:rsidR="002E04B5" w:rsidRPr="002E04B5" w:rsidRDefault="002E04B5" w:rsidP="002E04B5">
      <w:pPr>
        <w:pStyle w:val="Bibliography"/>
      </w:pPr>
      <w:r w:rsidRPr="002E04B5">
        <w:t xml:space="preserve">Ryder, J. (2001). Identifying Science Understanding for Functional Scientific Literacy. </w:t>
      </w:r>
      <w:r w:rsidRPr="002E04B5">
        <w:rPr>
          <w:i/>
          <w:iCs/>
        </w:rPr>
        <w:t>Studies in Science Education</w:t>
      </w:r>
      <w:r w:rsidRPr="002E04B5">
        <w:t xml:space="preserve">, </w:t>
      </w:r>
      <w:r w:rsidRPr="002E04B5">
        <w:rPr>
          <w:i/>
          <w:iCs/>
        </w:rPr>
        <w:t>36</w:t>
      </w:r>
      <w:r w:rsidRPr="002E04B5">
        <w:t>(1), 1–44. doi:10.1080/03057260108560166</w:t>
      </w:r>
    </w:p>
    <w:p w:rsidR="002E04B5" w:rsidRPr="002E04B5" w:rsidRDefault="002E04B5" w:rsidP="002E04B5">
      <w:pPr>
        <w:pStyle w:val="Bibliography"/>
      </w:pPr>
      <w:r w:rsidRPr="002E04B5">
        <w:t xml:space="preserve">Ryder, J., &amp; Banner, I. (2011). Multiple Aims in the Development of a Major Reform of the National Curriculum for Science in England. </w:t>
      </w:r>
      <w:r w:rsidRPr="002E04B5">
        <w:rPr>
          <w:i/>
          <w:iCs/>
        </w:rPr>
        <w:t>International Journal of Science Education</w:t>
      </w:r>
      <w:r w:rsidRPr="002E04B5">
        <w:t xml:space="preserve">, </w:t>
      </w:r>
      <w:r w:rsidRPr="002E04B5">
        <w:rPr>
          <w:i/>
          <w:iCs/>
        </w:rPr>
        <w:t>33</w:t>
      </w:r>
      <w:r w:rsidRPr="002E04B5">
        <w:t>(5), 709–725. doi:10.1080/09500693.2010.485282</w:t>
      </w:r>
    </w:p>
    <w:p w:rsidR="002E04B5" w:rsidRPr="002E04B5" w:rsidRDefault="002E04B5" w:rsidP="002E04B5">
      <w:pPr>
        <w:pStyle w:val="Bibliography"/>
      </w:pPr>
      <w:r w:rsidRPr="002E04B5">
        <w:t xml:space="preserve">Ryder, J., &amp; Banner, I. (2012). School Teachers’ Experiences of Science Curriculum Reform. </w:t>
      </w:r>
      <w:r w:rsidRPr="002E04B5">
        <w:rPr>
          <w:i/>
          <w:iCs/>
        </w:rPr>
        <w:t>International Journal of Science Education</w:t>
      </w:r>
      <w:r w:rsidRPr="002E04B5">
        <w:t>, 1–25. doi:10.1080/09500693.2012.665195</w:t>
      </w:r>
    </w:p>
    <w:p w:rsidR="002E04B5" w:rsidRPr="002E04B5" w:rsidRDefault="002E04B5" w:rsidP="002E04B5">
      <w:pPr>
        <w:pStyle w:val="Bibliography"/>
      </w:pPr>
      <w:r w:rsidRPr="002E04B5">
        <w:t xml:space="preserve">Sadler, T. D., Amirshokoohi, A., Kazempour, M., &amp; Allspaw, K. M. (2006). Socioscience and ethics in science classrooms: Teacher perspectives and strategies. </w:t>
      </w:r>
      <w:r w:rsidRPr="002E04B5">
        <w:rPr>
          <w:i/>
          <w:iCs/>
        </w:rPr>
        <w:t>Journal of Research in Science Teaching</w:t>
      </w:r>
      <w:r w:rsidRPr="002E04B5">
        <w:t xml:space="preserve">, </w:t>
      </w:r>
      <w:r w:rsidRPr="002E04B5">
        <w:rPr>
          <w:i/>
          <w:iCs/>
        </w:rPr>
        <w:t>43</w:t>
      </w:r>
      <w:r w:rsidRPr="002E04B5">
        <w:t>(4), 353–376. doi:10.1002/tea.20142</w:t>
      </w:r>
    </w:p>
    <w:p w:rsidR="002E04B5" w:rsidRPr="002E04B5" w:rsidRDefault="002E04B5" w:rsidP="002E04B5">
      <w:pPr>
        <w:pStyle w:val="Bibliography"/>
      </w:pPr>
      <w:r w:rsidRPr="002E04B5">
        <w:t xml:space="preserve">Shadish, W. R., Cook, T. D., &amp; Campbell, D. T. (2001). </w:t>
      </w:r>
      <w:r w:rsidRPr="002E04B5">
        <w:rPr>
          <w:i/>
          <w:iCs/>
        </w:rPr>
        <w:t>Experimental and Quasi-experimental Designs for Generalised Causal Inference</w:t>
      </w:r>
      <w:r w:rsidRPr="002E04B5">
        <w:t xml:space="preserve"> (2nd Revised edition edition.). Boston: Houghton Mifflin.</w:t>
      </w:r>
    </w:p>
    <w:p w:rsidR="002E04B5" w:rsidRPr="002E04B5" w:rsidRDefault="002E04B5" w:rsidP="002E04B5">
      <w:pPr>
        <w:pStyle w:val="Bibliography"/>
      </w:pPr>
      <w:r w:rsidRPr="002E04B5">
        <w:t xml:space="preserve">Smith, E. (2008a). Pitfalls and Promises: The Use of Secondary Data Analysis in Educational Research. </w:t>
      </w:r>
      <w:r w:rsidRPr="002E04B5">
        <w:rPr>
          <w:i/>
          <w:iCs/>
        </w:rPr>
        <w:t>British Journal of Educational Studies</w:t>
      </w:r>
      <w:r w:rsidRPr="002E04B5">
        <w:t xml:space="preserve">, </w:t>
      </w:r>
      <w:r w:rsidRPr="002E04B5">
        <w:rPr>
          <w:i/>
          <w:iCs/>
        </w:rPr>
        <w:t>56</w:t>
      </w:r>
      <w:r w:rsidRPr="002E04B5">
        <w:t>(3), 323–339. doi:10.1111/j.1467-8527.2008.00405.x</w:t>
      </w:r>
    </w:p>
    <w:p w:rsidR="002E04B5" w:rsidRDefault="002E04B5" w:rsidP="002E04B5">
      <w:pPr>
        <w:pStyle w:val="Bibliography"/>
      </w:pPr>
      <w:r w:rsidRPr="002E04B5">
        <w:t xml:space="preserve">Smith, E. (2008b). </w:t>
      </w:r>
      <w:r w:rsidRPr="002E04B5">
        <w:rPr>
          <w:i/>
          <w:iCs/>
        </w:rPr>
        <w:t>Using Secondary Data in Educational and Social Research</w:t>
      </w:r>
      <w:r w:rsidRPr="002E04B5">
        <w:t xml:space="preserve"> (1 edition.). Maidenhead; New York, NY: Open University Press.</w:t>
      </w:r>
    </w:p>
    <w:p w:rsidR="006E79B0" w:rsidRPr="006E79B0" w:rsidRDefault="006E79B0" w:rsidP="006E79B0">
      <w:pPr>
        <w:ind w:left="709" w:hanging="709"/>
      </w:pPr>
      <w:proofErr w:type="gramStart"/>
      <w:r w:rsidRPr="006E79B0">
        <w:t>UNESCO.</w:t>
      </w:r>
      <w:proofErr w:type="gramEnd"/>
      <w:r w:rsidRPr="006E79B0">
        <w:t xml:space="preserve"> 1999. Science for the twenty</w:t>
      </w:r>
      <w:r w:rsidRPr="006E79B0">
        <w:rPr>
          <w:rFonts w:ascii="Cambria Math" w:hAnsi="Cambria Math" w:cs="Cambria Math"/>
        </w:rPr>
        <w:t>‐</w:t>
      </w:r>
      <w:r w:rsidRPr="006E79B0">
        <w:t xml:space="preserve">first century. A new commitment Retrieved </w:t>
      </w:r>
      <w:r>
        <w:t>January 7</w:t>
      </w:r>
      <w:r w:rsidRPr="006E79B0">
        <w:t>, 20</w:t>
      </w:r>
      <w:r>
        <w:t>15</w:t>
      </w:r>
      <w:r w:rsidRPr="006E79B0">
        <w:t xml:space="preserve"> from http://www.unesco.org/science/wcs/abstracts/I_7_education.htm</w:t>
      </w:r>
    </w:p>
    <w:p w:rsidR="002E04B5" w:rsidRPr="002E04B5" w:rsidRDefault="002E04B5" w:rsidP="002E04B5">
      <w:pPr>
        <w:pStyle w:val="Bibliography"/>
      </w:pPr>
      <w:proofErr w:type="gramStart"/>
      <w:r w:rsidRPr="002E04B5">
        <w:lastRenderedPageBreak/>
        <w:t>Tai, R. H., Liu, C. Q., Maltese, A. V., &amp; Fan, X. (2006).</w:t>
      </w:r>
      <w:proofErr w:type="gramEnd"/>
      <w:r w:rsidRPr="002E04B5">
        <w:t xml:space="preserve"> Planning Early for Careers in. </w:t>
      </w:r>
      <w:r w:rsidRPr="002E04B5">
        <w:rPr>
          <w:i/>
          <w:iCs/>
        </w:rPr>
        <w:t>Science</w:t>
      </w:r>
      <w:r w:rsidRPr="002E04B5">
        <w:t xml:space="preserve">, </w:t>
      </w:r>
      <w:r w:rsidRPr="002E04B5">
        <w:rPr>
          <w:i/>
          <w:iCs/>
        </w:rPr>
        <w:t>312</w:t>
      </w:r>
      <w:r w:rsidRPr="002E04B5">
        <w:t>(5777), 1143–1144. doi:10.1126/science.1128690</w:t>
      </w:r>
    </w:p>
    <w:p w:rsidR="002E04B5" w:rsidRPr="002E04B5" w:rsidRDefault="002E04B5" w:rsidP="002E04B5">
      <w:pPr>
        <w:pStyle w:val="Bibliography"/>
      </w:pPr>
      <w:r w:rsidRPr="002E04B5">
        <w:t xml:space="preserve">The Royal Society. (2008). </w:t>
      </w:r>
      <w:r w:rsidRPr="002E04B5">
        <w:rPr>
          <w:i/>
          <w:iCs/>
        </w:rPr>
        <w:t>Science and mathematics education, 14–19: A “state of the nation” report on participation and attainment of 14–19 year olds in science and mathematics in the UK, 1996–2007</w:t>
      </w:r>
      <w:r w:rsidRPr="002E04B5">
        <w:t>. London: The Royal Society.</w:t>
      </w:r>
    </w:p>
    <w:p w:rsidR="002E04B5" w:rsidRPr="002E04B5" w:rsidRDefault="002E04B5" w:rsidP="002E04B5">
      <w:pPr>
        <w:pStyle w:val="Bibliography"/>
      </w:pPr>
      <w:r w:rsidRPr="002E04B5">
        <w:t xml:space="preserve">Tripney, J., Newman, M., Bangpan, M., Niza, C., MacKintosh, M., &amp; Sinclair, J. (2010). </w:t>
      </w:r>
      <w:r w:rsidRPr="002E04B5">
        <w:rPr>
          <w:i/>
          <w:iCs/>
        </w:rPr>
        <w:t>Factors influencing young people (aged 14-19) in education about STEM subject choices: A systematic review of the UK literature</w:t>
      </w:r>
      <w:r w:rsidRPr="002E04B5">
        <w:t>. EPPI-Centre: Institute of Education, London.</w:t>
      </w:r>
    </w:p>
    <w:p w:rsidR="002E04B5" w:rsidRPr="002E04B5" w:rsidRDefault="002E04B5" w:rsidP="002E04B5">
      <w:pPr>
        <w:pStyle w:val="Bibliography"/>
      </w:pPr>
      <w:r w:rsidRPr="002E04B5">
        <w:t xml:space="preserve">Wynarczyk, P., &amp; Hale, S. (2009). </w:t>
      </w:r>
      <w:r w:rsidRPr="002E04B5">
        <w:rPr>
          <w:i/>
          <w:iCs/>
        </w:rPr>
        <w:t>Improving Take Up of Science and Technology Subjects in Schools and Colleges: A Synthesis Review</w:t>
      </w:r>
      <w:r w:rsidRPr="002E04B5">
        <w:t>. ESRC/DCSF. Retrieved from http://www.ncl.ac.uk/nubs/research/project/2696</w:t>
      </w:r>
    </w:p>
    <w:p w:rsidR="00D45E8E" w:rsidRDefault="00D45E8E" w:rsidP="0005751F">
      <w:pPr>
        <w:spacing w:line="240" w:lineRule="auto"/>
        <w:ind w:left="720" w:hanging="720"/>
      </w:pPr>
    </w:p>
    <w:p w:rsidR="00D45E8E" w:rsidRDefault="00D45E8E" w:rsidP="004452E5"/>
    <w:p w:rsidR="00D45E8E" w:rsidRPr="004452E5" w:rsidRDefault="00D45E8E" w:rsidP="004452E5">
      <w:pPr>
        <w:sectPr w:rsidR="00D45E8E" w:rsidRPr="004452E5" w:rsidSect="00C43089">
          <w:footerReference w:type="default" r:id="rId13"/>
          <w:pgSz w:w="11906" w:h="16838"/>
          <w:pgMar w:top="1440" w:right="1440" w:bottom="1440" w:left="1440" w:header="708" w:footer="708" w:gutter="0"/>
          <w:cols w:space="708"/>
          <w:docGrid w:linePitch="360"/>
        </w:sectPr>
      </w:pPr>
    </w:p>
    <w:p w:rsidR="000C644B" w:rsidRPr="001F33CB" w:rsidRDefault="000C644B" w:rsidP="00080AB0">
      <w:pPr>
        <w:pStyle w:val="Heading2"/>
      </w:pPr>
      <w:r w:rsidRPr="001F33CB">
        <w:lastRenderedPageBreak/>
        <w:t>Appendix</w:t>
      </w:r>
    </w:p>
    <w:p w:rsidR="002E7E77" w:rsidRPr="001F33CB" w:rsidRDefault="005D7CE6" w:rsidP="00A62F51">
      <w:r w:rsidRPr="001F33CB">
        <w:t xml:space="preserve">For each of the main 14-16 science </w:t>
      </w:r>
      <w:r w:rsidR="009A17A8" w:rsidRPr="001F33CB">
        <w:t>qualifications</w:t>
      </w:r>
      <w:r w:rsidRPr="001F33CB">
        <w:t xml:space="preserve"> (DA and TA), there are three multi-level </w:t>
      </w:r>
      <w:r w:rsidR="003D0DFF" w:rsidRPr="001F33CB">
        <w:t xml:space="preserve">random intercept </w:t>
      </w:r>
      <w:r w:rsidRPr="001F33CB">
        <w:t xml:space="preserve">logistic regression models (as per Table 1) predicting participation (1) or not (0) in each of biology, chemistry and physics. </w:t>
      </w:r>
    </w:p>
    <w:p w:rsidR="002E7E77" w:rsidRPr="001F33CB" w:rsidRDefault="002E7E77" w:rsidP="00A62F51"/>
    <w:p w:rsidR="00A62F51" w:rsidRPr="001F33CB" w:rsidRDefault="002E7E77" w:rsidP="00A62F51">
      <w:r w:rsidRPr="001F33CB">
        <w:t>Each of these six (‘full’) models uses the same set of predictors as detailed in Table A1.</w:t>
      </w:r>
    </w:p>
    <w:p w:rsidR="002E7E77" w:rsidRPr="001F33CB" w:rsidRDefault="002E7E77" w:rsidP="00A62F51"/>
    <w:p w:rsidR="002E7E77" w:rsidRDefault="00213527" w:rsidP="00213527">
      <w:pPr>
        <w:spacing w:before="120"/>
        <w:jc w:val="center"/>
        <w:rPr>
          <w:b/>
        </w:rPr>
      </w:pPr>
      <w:r w:rsidRPr="00213527">
        <w:rPr>
          <w:b/>
        </w:rPr>
        <w:t>TABLE A1 HERE</w:t>
      </w:r>
    </w:p>
    <w:p w:rsidR="00213527" w:rsidRPr="00213527" w:rsidRDefault="00213527" w:rsidP="00213527">
      <w:pPr>
        <w:spacing w:before="120"/>
        <w:jc w:val="center"/>
        <w:rPr>
          <w:b/>
        </w:rPr>
      </w:pPr>
    </w:p>
    <w:p w:rsidR="00A62F51" w:rsidRPr="001F33CB" w:rsidRDefault="002E7E77" w:rsidP="00A62F51">
      <w:r w:rsidRPr="001F33CB">
        <w:t xml:space="preserve">For completeness, in addition to the full model we also report </w:t>
      </w:r>
      <w:r w:rsidR="003D0DFF" w:rsidRPr="001F33CB">
        <w:t xml:space="preserve">results for </w:t>
      </w:r>
      <w:r w:rsidRPr="001F33CB">
        <w:t>the null model (where no predictors are included) and the ‘simple’ model which includes 21CS as sole predictor</w:t>
      </w:r>
      <w:r w:rsidR="003D0DFF" w:rsidRPr="001F33CB">
        <w:t xml:space="preserve"> – see Table A2.</w:t>
      </w:r>
    </w:p>
    <w:p w:rsidR="003D0DFF" w:rsidRPr="001F33CB" w:rsidRDefault="003D0DFF" w:rsidP="00A62F51"/>
    <w:p w:rsidR="003D0DFF" w:rsidRDefault="003D0DFF" w:rsidP="003D0DFF">
      <w:r w:rsidRPr="001F33CB">
        <w:t>We also report in Table A2 the percentage of residua</w:t>
      </w:r>
      <w:r w:rsidR="008204AD">
        <w:t>l variance at the school level.</w:t>
      </w:r>
    </w:p>
    <w:p w:rsidR="004D020D" w:rsidRDefault="004D020D" w:rsidP="003D0DFF"/>
    <w:p w:rsidR="004D020D" w:rsidRPr="004D020D" w:rsidRDefault="004D020D" w:rsidP="004D020D">
      <w:pPr>
        <w:jc w:val="center"/>
        <w:rPr>
          <w:b/>
        </w:rPr>
      </w:pPr>
      <w:r w:rsidRPr="004D020D">
        <w:rPr>
          <w:b/>
        </w:rPr>
        <w:t>TABLE A2 HERE</w:t>
      </w:r>
    </w:p>
    <w:p w:rsidR="000C644B" w:rsidRPr="001F33CB" w:rsidRDefault="003D0DFF" w:rsidP="005F7375">
      <w:pPr>
        <w:spacing w:before="120"/>
      </w:pPr>
      <w:r w:rsidRPr="001F33CB">
        <w:t>.</w:t>
      </w:r>
    </w:p>
    <w:p w:rsidR="004D020D" w:rsidRPr="004D020D" w:rsidRDefault="004D020D" w:rsidP="004D020D">
      <w:pPr>
        <w:jc w:val="center"/>
        <w:rPr>
          <w:b/>
        </w:rPr>
      </w:pPr>
      <w:r>
        <w:rPr>
          <w:b/>
        </w:rPr>
        <w:t>TABLE A3</w:t>
      </w:r>
      <w:r w:rsidRPr="004D020D">
        <w:rPr>
          <w:b/>
        </w:rPr>
        <w:t xml:space="preserve"> HERE</w:t>
      </w:r>
    </w:p>
    <w:p w:rsidR="005F7CE1" w:rsidRPr="001F33CB" w:rsidRDefault="005F7CE1" w:rsidP="00080AB0">
      <w:pPr>
        <w:pStyle w:val="Heading2"/>
        <w:sectPr w:rsidR="005F7CE1" w:rsidRPr="001F33CB" w:rsidSect="004D020D">
          <w:pgSz w:w="11906" w:h="16838"/>
          <w:pgMar w:top="1440" w:right="1440" w:bottom="1440" w:left="1440" w:header="708" w:footer="708" w:gutter="0"/>
          <w:cols w:space="708"/>
          <w:docGrid w:linePitch="360"/>
        </w:sectPr>
      </w:pPr>
    </w:p>
    <w:p w:rsidR="00941161" w:rsidRDefault="00941161" w:rsidP="00F36EDA">
      <w:pPr>
        <w:pStyle w:val="Heading2"/>
      </w:pPr>
      <w:r>
        <w:lastRenderedPageBreak/>
        <w:t>Tables</w:t>
      </w:r>
    </w:p>
    <w:tbl>
      <w:tblPr>
        <w:tblStyle w:val="TableGrid"/>
        <w:tblW w:w="0" w:type="auto"/>
        <w:tblLook w:val="04A0" w:firstRow="1" w:lastRow="0" w:firstColumn="1" w:lastColumn="0" w:noHBand="0" w:noVBand="1"/>
      </w:tblPr>
      <w:tblGrid>
        <w:gridCol w:w="2943"/>
        <w:gridCol w:w="1701"/>
        <w:gridCol w:w="1630"/>
        <w:gridCol w:w="2623"/>
      </w:tblGrid>
      <w:tr w:rsidR="00213527" w:rsidRPr="001F33CB" w:rsidTr="00714280">
        <w:tc>
          <w:tcPr>
            <w:tcW w:w="4644" w:type="dxa"/>
            <w:gridSpan w:val="2"/>
            <w:vAlign w:val="center"/>
          </w:tcPr>
          <w:p w:rsidR="00213527" w:rsidRPr="001F33CB" w:rsidRDefault="00213527" w:rsidP="00714280">
            <w:pPr>
              <w:keepNext/>
              <w:keepLines/>
              <w:spacing w:before="120" w:after="120" w:line="240" w:lineRule="auto"/>
              <w:jc w:val="center"/>
            </w:pPr>
            <w:r w:rsidRPr="001F33CB">
              <w:t>14-16 main science qualifications</w:t>
            </w:r>
            <w:r w:rsidRPr="001F33CB">
              <w:rPr>
                <w:rStyle w:val="FootnoteReference"/>
              </w:rPr>
              <w:footnoteReference w:id="4"/>
            </w:r>
          </w:p>
          <w:p w:rsidR="00213527" w:rsidRPr="001F33CB" w:rsidRDefault="00213527" w:rsidP="00714280">
            <w:pPr>
              <w:keepNext/>
              <w:keepLines/>
              <w:spacing w:before="120" w:after="120" w:line="240" w:lineRule="auto"/>
              <w:jc w:val="center"/>
            </w:pPr>
            <w:r w:rsidRPr="001F33CB">
              <w:t>(science is compulsory)</w:t>
            </w:r>
          </w:p>
        </w:tc>
        <w:tc>
          <w:tcPr>
            <w:tcW w:w="4253" w:type="dxa"/>
            <w:gridSpan w:val="2"/>
            <w:vAlign w:val="center"/>
          </w:tcPr>
          <w:p w:rsidR="00213527" w:rsidRPr="001F33CB" w:rsidRDefault="00213527" w:rsidP="00714280">
            <w:pPr>
              <w:keepNext/>
              <w:keepLines/>
              <w:spacing w:before="120" w:after="120" w:line="240" w:lineRule="auto"/>
              <w:jc w:val="center"/>
            </w:pPr>
            <w:r w:rsidRPr="001F33CB">
              <w:t>16-18 main science qualifications</w:t>
            </w:r>
            <w:r w:rsidRPr="001F33CB">
              <w:rPr>
                <w:rStyle w:val="FootnoteReference"/>
              </w:rPr>
              <w:footnoteReference w:id="5"/>
            </w:r>
          </w:p>
          <w:p w:rsidR="00213527" w:rsidRPr="001F33CB" w:rsidRDefault="00213527" w:rsidP="00714280">
            <w:pPr>
              <w:keepNext/>
              <w:keepLines/>
              <w:spacing w:before="120" w:after="120" w:line="240" w:lineRule="auto"/>
              <w:jc w:val="center"/>
            </w:pPr>
            <w:r w:rsidRPr="001F33CB">
              <w:t>(science is not compulsory)</w:t>
            </w:r>
          </w:p>
        </w:tc>
      </w:tr>
      <w:tr w:rsidR="00213527" w:rsidRPr="001F33CB" w:rsidTr="00714280">
        <w:trPr>
          <w:trHeight w:val="2094"/>
        </w:trPr>
        <w:tc>
          <w:tcPr>
            <w:tcW w:w="2943" w:type="dxa"/>
            <w:vAlign w:val="center"/>
          </w:tcPr>
          <w:p w:rsidR="00213527" w:rsidRPr="001F33CB" w:rsidRDefault="00213527" w:rsidP="00714280">
            <w:pPr>
              <w:keepNext/>
              <w:keepLines/>
              <w:spacing w:before="120" w:after="120" w:line="240" w:lineRule="auto"/>
            </w:pPr>
            <w:r w:rsidRPr="001F33CB">
              <w:t xml:space="preserve">Students do either 2 or 3 qualifications in science. </w:t>
            </w:r>
          </w:p>
          <w:p w:rsidR="00213527" w:rsidRPr="001F33CB" w:rsidRDefault="00213527" w:rsidP="00714280">
            <w:pPr>
              <w:keepNext/>
              <w:keepLines/>
              <w:spacing w:before="120" w:after="120" w:line="240" w:lineRule="auto"/>
            </w:pPr>
          </w:p>
          <w:p w:rsidR="00213527" w:rsidRPr="001F33CB" w:rsidRDefault="00213527" w:rsidP="00714280">
            <w:pPr>
              <w:keepNext/>
              <w:keepLines/>
              <w:spacing w:before="120" w:after="120" w:line="240" w:lineRule="auto"/>
            </w:pPr>
            <w:r w:rsidRPr="001F33CB">
              <w:t xml:space="preserve">These are usually referred to as Dual award (DA) and Triple award (TA) respectively. </w:t>
            </w:r>
          </w:p>
          <w:p w:rsidR="00213527" w:rsidRPr="001F33CB" w:rsidRDefault="00213527" w:rsidP="00714280">
            <w:pPr>
              <w:keepNext/>
              <w:keepLines/>
              <w:spacing w:before="120" w:after="120" w:line="240" w:lineRule="auto"/>
            </w:pPr>
          </w:p>
          <w:p w:rsidR="00213527" w:rsidRPr="001F33CB" w:rsidRDefault="00213527" w:rsidP="00714280">
            <w:pPr>
              <w:keepNext/>
              <w:keepLines/>
              <w:spacing w:before="120" w:after="120" w:line="240" w:lineRule="auto"/>
            </w:pPr>
            <w:r w:rsidRPr="001F33CB">
              <w:t>Both of these options cover biology, chemistry and physics in equal proportions.</w:t>
            </w:r>
          </w:p>
        </w:tc>
        <w:tc>
          <w:tcPr>
            <w:tcW w:w="1701" w:type="dxa"/>
            <w:vAlign w:val="center"/>
          </w:tcPr>
          <w:p w:rsidR="00213527" w:rsidRPr="001F33CB" w:rsidRDefault="00213527" w:rsidP="00714280">
            <w:pPr>
              <w:keepNext/>
              <w:keepLines/>
              <w:spacing w:before="120" w:after="120" w:line="240" w:lineRule="auto"/>
            </w:pPr>
            <w:r w:rsidRPr="001F33CB">
              <w:t>There is a 21CS version and a non-21CS version of each of these two options.</w:t>
            </w:r>
          </w:p>
        </w:tc>
        <w:tc>
          <w:tcPr>
            <w:tcW w:w="1630" w:type="dxa"/>
            <w:vAlign w:val="center"/>
          </w:tcPr>
          <w:p w:rsidR="00213527" w:rsidRPr="001F33CB" w:rsidRDefault="00213527" w:rsidP="00714280">
            <w:pPr>
              <w:keepNext/>
              <w:keepLines/>
              <w:spacing w:before="120" w:after="120" w:line="240" w:lineRule="auto"/>
            </w:pPr>
            <w:r w:rsidRPr="001F33CB">
              <w:t>Biology</w:t>
            </w:r>
          </w:p>
          <w:p w:rsidR="00213527" w:rsidRPr="001F33CB" w:rsidRDefault="00213527" w:rsidP="00714280">
            <w:pPr>
              <w:keepNext/>
              <w:keepLines/>
              <w:spacing w:before="120" w:after="120" w:line="240" w:lineRule="auto"/>
            </w:pPr>
            <w:r w:rsidRPr="001F33CB">
              <w:t>Chemistry</w:t>
            </w:r>
          </w:p>
          <w:p w:rsidR="00213527" w:rsidRPr="001F33CB" w:rsidRDefault="00213527" w:rsidP="00714280">
            <w:pPr>
              <w:keepNext/>
              <w:keepLines/>
              <w:spacing w:before="120" w:after="120" w:line="240" w:lineRule="auto"/>
            </w:pPr>
            <w:r w:rsidRPr="001F33CB">
              <w:t>Physics</w:t>
            </w:r>
          </w:p>
        </w:tc>
        <w:tc>
          <w:tcPr>
            <w:tcW w:w="2623" w:type="dxa"/>
            <w:vAlign w:val="center"/>
          </w:tcPr>
          <w:p w:rsidR="00213527" w:rsidRPr="001F33CB" w:rsidRDefault="00213527" w:rsidP="00714280">
            <w:pPr>
              <w:keepNext/>
              <w:keepLines/>
              <w:spacing w:before="120" w:after="120" w:line="240" w:lineRule="auto"/>
            </w:pPr>
            <w:r w:rsidRPr="001F33CB">
              <w:t>Students can do 0, 1, 2 or all three of these separate qualifications.</w:t>
            </w:r>
          </w:p>
        </w:tc>
      </w:tr>
    </w:tbl>
    <w:p w:rsidR="00213527" w:rsidRPr="001F33CB" w:rsidRDefault="00213527" w:rsidP="00213527">
      <w:pPr>
        <w:spacing w:before="120"/>
        <w:rPr>
          <w:b/>
          <w:i/>
        </w:rPr>
      </w:pPr>
      <w:r w:rsidRPr="001F33CB">
        <w:rPr>
          <w:b/>
          <w:i/>
        </w:rPr>
        <w:t>Table 1: Main science options at 14-16 and 16-18 in England</w:t>
      </w:r>
    </w:p>
    <w:p w:rsidR="00213527" w:rsidRDefault="00213527">
      <w:pPr>
        <w:spacing w:after="200" w:line="276" w:lineRule="auto"/>
      </w:pPr>
      <w:r>
        <w:br w:type="page"/>
      </w:r>
    </w:p>
    <w:tbl>
      <w:tblPr>
        <w:tblW w:w="86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417"/>
        <w:gridCol w:w="2305"/>
        <w:gridCol w:w="1418"/>
        <w:gridCol w:w="1012"/>
      </w:tblGrid>
      <w:tr w:rsidR="00213527" w:rsidRPr="001F33CB" w:rsidTr="00714280">
        <w:trPr>
          <w:trHeight w:val="300"/>
        </w:trPr>
        <w:tc>
          <w:tcPr>
            <w:tcW w:w="2567" w:type="dxa"/>
            <w:shd w:val="clear" w:color="auto" w:fill="auto"/>
            <w:noWrap/>
            <w:vAlign w:val="center"/>
          </w:tcPr>
          <w:p w:rsidR="00213527" w:rsidRPr="001F33CB" w:rsidRDefault="00213527"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lastRenderedPageBreak/>
              <w:t>14-16 Science qualification</w:t>
            </w:r>
          </w:p>
        </w:tc>
        <w:tc>
          <w:tcPr>
            <w:tcW w:w="1417" w:type="dxa"/>
            <w:shd w:val="clear" w:color="auto" w:fill="auto"/>
            <w:noWrap/>
            <w:vAlign w:val="center"/>
          </w:tcPr>
          <w:p w:rsidR="00213527" w:rsidRPr="001F33CB" w:rsidRDefault="00213527"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Number studying 21CS qualification</w:t>
            </w:r>
          </w:p>
        </w:tc>
        <w:tc>
          <w:tcPr>
            <w:tcW w:w="2305" w:type="dxa"/>
            <w:shd w:val="clear" w:color="auto" w:fill="auto"/>
            <w:noWrap/>
            <w:vAlign w:val="center"/>
          </w:tcPr>
          <w:p w:rsidR="00213527" w:rsidRPr="001F33CB" w:rsidRDefault="00213527"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Percentage following 21CS option within 14-16 qualification</w:t>
            </w:r>
          </w:p>
        </w:tc>
        <w:tc>
          <w:tcPr>
            <w:tcW w:w="1418" w:type="dxa"/>
            <w:shd w:val="clear" w:color="auto" w:fill="auto"/>
            <w:noWrap/>
            <w:vAlign w:val="center"/>
          </w:tcPr>
          <w:p w:rsidR="00213527" w:rsidRPr="001F33CB" w:rsidRDefault="00213527"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Number studying non-21CS qualification</w:t>
            </w:r>
          </w:p>
        </w:tc>
        <w:tc>
          <w:tcPr>
            <w:tcW w:w="940" w:type="dxa"/>
            <w:shd w:val="clear" w:color="auto" w:fill="auto"/>
            <w:noWrap/>
            <w:vAlign w:val="center"/>
          </w:tcPr>
          <w:p w:rsidR="00213527" w:rsidRPr="001F33CB" w:rsidRDefault="00213527"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Total</w:t>
            </w:r>
          </w:p>
        </w:tc>
      </w:tr>
      <w:tr w:rsidR="00213527" w:rsidRPr="001F33CB" w:rsidTr="00714280">
        <w:trPr>
          <w:trHeight w:val="300"/>
        </w:trPr>
        <w:tc>
          <w:tcPr>
            <w:tcW w:w="2567" w:type="dxa"/>
            <w:shd w:val="clear" w:color="auto" w:fill="auto"/>
            <w:noWrap/>
            <w:vAlign w:val="center"/>
          </w:tcPr>
          <w:p w:rsidR="00213527" w:rsidRPr="001F33CB" w:rsidRDefault="00213527"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Two qualifications (DA)</w:t>
            </w:r>
          </w:p>
        </w:tc>
        <w:tc>
          <w:tcPr>
            <w:tcW w:w="1417" w:type="dxa"/>
            <w:shd w:val="clear" w:color="auto" w:fill="auto"/>
            <w:noWrap/>
            <w:vAlign w:val="center"/>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63,972</w:t>
            </w:r>
          </w:p>
        </w:tc>
        <w:tc>
          <w:tcPr>
            <w:tcW w:w="2305" w:type="dxa"/>
            <w:shd w:val="clear" w:color="auto" w:fill="auto"/>
            <w:noWrap/>
            <w:vAlign w:val="center"/>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21.00</w:t>
            </w:r>
          </w:p>
        </w:tc>
        <w:tc>
          <w:tcPr>
            <w:tcW w:w="1418" w:type="dxa"/>
            <w:shd w:val="clear" w:color="auto" w:fill="auto"/>
            <w:noWrap/>
            <w:vAlign w:val="center"/>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240,721</w:t>
            </w:r>
          </w:p>
        </w:tc>
        <w:tc>
          <w:tcPr>
            <w:tcW w:w="940" w:type="dxa"/>
            <w:shd w:val="clear" w:color="auto" w:fill="auto"/>
            <w:noWrap/>
            <w:vAlign w:val="center"/>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304,693</w:t>
            </w:r>
          </w:p>
        </w:tc>
      </w:tr>
      <w:tr w:rsidR="00213527" w:rsidRPr="001F33CB" w:rsidTr="00714280">
        <w:trPr>
          <w:trHeight w:val="300"/>
        </w:trPr>
        <w:tc>
          <w:tcPr>
            <w:tcW w:w="2567" w:type="dxa"/>
            <w:shd w:val="clear" w:color="auto" w:fill="auto"/>
            <w:noWrap/>
            <w:vAlign w:val="center"/>
            <w:hideMark/>
          </w:tcPr>
          <w:p w:rsidR="00213527" w:rsidRPr="001F33CB" w:rsidRDefault="00213527"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Three qualifications (TA)</w:t>
            </w:r>
          </w:p>
        </w:tc>
        <w:tc>
          <w:tcPr>
            <w:tcW w:w="1417" w:type="dxa"/>
            <w:shd w:val="clear" w:color="auto" w:fill="auto"/>
            <w:noWrap/>
            <w:vAlign w:val="center"/>
            <w:hideMark/>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13,906</w:t>
            </w:r>
          </w:p>
        </w:tc>
        <w:tc>
          <w:tcPr>
            <w:tcW w:w="2305" w:type="dxa"/>
            <w:shd w:val="clear" w:color="auto" w:fill="auto"/>
            <w:noWrap/>
            <w:vAlign w:val="center"/>
            <w:hideMark/>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21.02</w:t>
            </w:r>
          </w:p>
        </w:tc>
        <w:tc>
          <w:tcPr>
            <w:tcW w:w="1418" w:type="dxa"/>
            <w:shd w:val="clear" w:color="auto" w:fill="auto"/>
            <w:noWrap/>
            <w:vAlign w:val="center"/>
            <w:hideMark/>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52,257</w:t>
            </w:r>
          </w:p>
        </w:tc>
        <w:tc>
          <w:tcPr>
            <w:tcW w:w="940" w:type="dxa"/>
            <w:shd w:val="clear" w:color="auto" w:fill="auto"/>
            <w:noWrap/>
            <w:vAlign w:val="center"/>
            <w:hideMark/>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66,163</w:t>
            </w:r>
          </w:p>
        </w:tc>
      </w:tr>
      <w:tr w:rsidR="00213527" w:rsidRPr="001F33CB" w:rsidTr="00714280">
        <w:trPr>
          <w:trHeight w:val="300"/>
        </w:trPr>
        <w:tc>
          <w:tcPr>
            <w:tcW w:w="2567" w:type="dxa"/>
            <w:shd w:val="clear" w:color="auto" w:fill="auto"/>
            <w:noWrap/>
            <w:vAlign w:val="center"/>
            <w:hideMark/>
          </w:tcPr>
          <w:p w:rsidR="00213527" w:rsidRPr="001F33CB" w:rsidRDefault="00213527"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Other science</w:t>
            </w:r>
            <w:r w:rsidRPr="001F33CB">
              <w:rPr>
                <w:rStyle w:val="FootnoteReference"/>
                <w:rFonts w:eastAsia="Times New Roman"/>
                <w:color w:val="000000"/>
                <w:sz w:val="22"/>
                <w:szCs w:val="22"/>
                <w:lang w:eastAsia="en-GB"/>
              </w:rPr>
              <w:footnoteReference w:id="6"/>
            </w:r>
          </w:p>
        </w:tc>
        <w:tc>
          <w:tcPr>
            <w:tcW w:w="1417" w:type="dxa"/>
            <w:shd w:val="clear" w:color="auto" w:fill="auto"/>
            <w:noWrap/>
            <w:vAlign w:val="center"/>
            <w:hideMark/>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44,736</w:t>
            </w:r>
          </w:p>
        </w:tc>
        <w:tc>
          <w:tcPr>
            <w:tcW w:w="2305" w:type="dxa"/>
            <w:shd w:val="clear" w:color="auto" w:fill="auto"/>
            <w:noWrap/>
            <w:vAlign w:val="center"/>
            <w:hideMark/>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20.46</w:t>
            </w:r>
          </w:p>
        </w:tc>
        <w:tc>
          <w:tcPr>
            <w:tcW w:w="1418" w:type="dxa"/>
            <w:shd w:val="clear" w:color="auto" w:fill="auto"/>
            <w:noWrap/>
            <w:vAlign w:val="center"/>
            <w:hideMark/>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173,880</w:t>
            </w:r>
          </w:p>
        </w:tc>
        <w:tc>
          <w:tcPr>
            <w:tcW w:w="940" w:type="dxa"/>
            <w:shd w:val="clear" w:color="auto" w:fill="auto"/>
            <w:noWrap/>
            <w:vAlign w:val="center"/>
            <w:hideMark/>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218,616</w:t>
            </w:r>
          </w:p>
        </w:tc>
      </w:tr>
      <w:tr w:rsidR="00213527" w:rsidRPr="001F33CB" w:rsidTr="00714280">
        <w:trPr>
          <w:trHeight w:val="300"/>
        </w:trPr>
        <w:tc>
          <w:tcPr>
            <w:tcW w:w="2567" w:type="dxa"/>
            <w:shd w:val="clear" w:color="auto" w:fill="auto"/>
            <w:noWrap/>
            <w:vAlign w:val="center"/>
            <w:hideMark/>
          </w:tcPr>
          <w:p w:rsidR="00213527" w:rsidRPr="001F33CB" w:rsidRDefault="00213527"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Total</w:t>
            </w:r>
          </w:p>
        </w:tc>
        <w:tc>
          <w:tcPr>
            <w:tcW w:w="1417" w:type="dxa"/>
            <w:shd w:val="clear" w:color="auto" w:fill="auto"/>
            <w:noWrap/>
            <w:vAlign w:val="center"/>
            <w:hideMark/>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122,614</w:t>
            </w:r>
          </w:p>
        </w:tc>
        <w:tc>
          <w:tcPr>
            <w:tcW w:w="2305" w:type="dxa"/>
            <w:shd w:val="clear" w:color="auto" w:fill="auto"/>
            <w:noWrap/>
            <w:vAlign w:val="center"/>
            <w:hideMark/>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20.80</w:t>
            </w:r>
          </w:p>
        </w:tc>
        <w:tc>
          <w:tcPr>
            <w:tcW w:w="1418" w:type="dxa"/>
            <w:shd w:val="clear" w:color="auto" w:fill="auto"/>
            <w:noWrap/>
            <w:vAlign w:val="center"/>
            <w:hideMark/>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466,858</w:t>
            </w:r>
          </w:p>
        </w:tc>
        <w:tc>
          <w:tcPr>
            <w:tcW w:w="940" w:type="dxa"/>
            <w:shd w:val="clear" w:color="auto" w:fill="auto"/>
            <w:noWrap/>
            <w:vAlign w:val="center"/>
            <w:hideMark/>
          </w:tcPr>
          <w:p w:rsidR="00213527" w:rsidRPr="001F33CB" w:rsidRDefault="00213527" w:rsidP="00714280">
            <w:pPr>
              <w:keepNext/>
              <w:keepLines/>
              <w:spacing w:before="120" w:after="120" w:line="240" w:lineRule="auto"/>
              <w:jc w:val="right"/>
              <w:rPr>
                <w:rFonts w:eastAsia="Times New Roman"/>
                <w:color w:val="000000"/>
                <w:sz w:val="22"/>
                <w:szCs w:val="22"/>
                <w:lang w:eastAsia="en-GB"/>
              </w:rPr>
            </w:pPr>
            <w:r w:rsidRPr="001F33CB">
              <w:rPr>
                <w:rFonts w:eastAsia="Times New Roman"/>
                <w:color w:val="000000"/>
                <w:sz w:val="22"/>
                <w:szCs w:val="22"/>
                <w:lang w:eastAsia="en-GB"/>
              </w:rPr>
              <w:t>589,472</w:t>
            </w:r>
          </w:p>
        </w:tc>
      </w:tr>
    </w:tbl>
    <w:p w:rsidR="00213527" w:rsidRPr="001F33CB" w:rsidRDefault="00213527" w:rsidP="00213527">
      <w:pPr>
        <w:spacing w:before="120"/>
        <w:rPr>
          <w:b/>
          <w:i/>
        </w:rPr>
      </w:pPr>
      <w:r w:rsidRPr="001F33CB">
        <w:rPr>
          <w:b/>
          <w:i/>
        </w:rPr>
        <w:t>Table 2: Summary of numbers studying 14-16 qualifications</w:t>
      </w:r>
    </w:p>
    <w:p w:rsidR="00213527" w:rsidRDefault="00213527">
      <w:pPr>
        <w:spacing w:after="200" w:line="276" w:lineRule="auto"/>
      </w:pPr>
      <w:r>
        <w:br w:type="page"/>
      </w:r>
    </w:p>
    <w:tbl>
      <w:tblPr>
        <w:tblStyle w:val="TableGrid"/>
        <w:tblW w:w="0" w:type="auto"/>
        <w:tblLayout w:type="fixed"/>
        <w:tblLook w:val="04A0" w:firstRow="1" w:lastRow="0" w:firstColumn="1" w:lastColumn="0" w:noHBand="0" w:noVBand="1"/>
      </w:tblPr>
      <w:tblGrid>
        <w:gridCol w:w="1242"/>
        <w:gridCol w:w="3119"/>
        <w:gridCol w:w="1606"/>
        <w:gridCol w:w="1606"/>
        <w:gridCol w:w="1607"/>
      </w:tblGrid>
      <w:tr w:rsidR="00213527" w:rsidRPr="001F33CB" w:rsidTr="00714280">
        <w:trPr>
          <w:trHeight w:val="255"/>
        </w:trPr>
        <w:tc>
          <w:tcPr>
            <w:tcW w:w="4361" w:type="dxa"/>
            <w:gridSpan w:val="2"/>
            <w:vMerge w:val="restart"/>
            <w:vAlign w:val="center"/>
          </w:tcPr>
          <w:p w:rsidR="00213527" w:rsidRPr="001F33CB" w:rsidRDefault="00213527" w:rsidP="00714280">
            <w:pPr>
              <w:keepNext/>
              <w:keepLines/>
              <w:spacing w:before="120" w:after="120" w:line="240" w:lineRule="auto"/>
              <w:jc w:val="center"/>
              <w:rPr>
                <w:b/>
              </w:rPr>
            </w:pPr>
            <w:r w:rsidRPr="001F33CB">
              <w:rPr>
                <w:b/>
              </w:rPr>
              <w:lastRenderedPageBreak/>
              <w:t>14-16 qualification</w:t>
            </w:r>
          </w:p>
        </w:tc>
        <w:tc>
          <w:tcPr>
            <w:tcW w:w="4819" w:type="dxa"/>
            <w:gridSpan w:val="3"/>
            <w:tcBorders>
              <w:bottom w:val="single" w:sz="4" w:space="0" w:color="000000" w:themeColor="text1"/>
            </w:tcBorders>
            <w:vAlign w:val="center"/>
          </w:tcPr>
          <w:p w:rsidR="00213527" w:rsidRPr="001F33CB" w:rsidRDefault="00213527" w:rsidP="00714280">
            <w:pPr>
              <w:keepNext/>
              <w:keepLines/>
              <w:spacing w:before="120" w:after="120" w:line="240" w:lineRule="auto"/>
              <w:jc w:val="center"/>
              <w:rPr>
                <w:b/>
              </w:rPr>
            </w:pPr>
            <w:r w:rsidRPr="001F33CB">
              <w:rPr>
                <w:b/>
              </w:rPr>
              <w:t xml:space="preserve">21CS ‘effect’ on post-16 science participation </w:t>
            </w:r>
          </w:p>
        </w:tc>
      </w:tr>
      <w:tr w:rsidR="00213527" w:rsidRPr="001F33CB" w:rsidTr="00714280">
        <w:trPr>
          <w:trHeight w:val="255"/>
        </w:trPr>
        <w:tc>
          <w:tcPr>
            <w:tcW w:w="4361" w:type="dxa"/>
            <w:gridSpan w:val="2"/>
            <w:vMerge/>
            <w:vAlign w:val="center"/>
          </w:tcPr>
          <w:p w:rsidR="00213527" w:rsidRPr="001F33CB" w:rsidRDefault="00213527" w:rsidP="00714280">
            <w:pPr>
              <w:keepNext/>
              <w:keepLines/>
              <w:spacing w:before="120" w:after="120" w:line="240" w:lineRule="auto"/>
              <w:jc w:val="center"/>
              <w:rPr>
                <w:b/>
              </w:rPr>
            </w:pPr>
          </w:p>
        </w:tc>
        <w:tc>
          <w:tcPr>
            <w:tcW w:w="1606" w:type="dxa"/>
            <w:tcBorders>
              <w:bottom w:val="single" w:sz="4" w:space="0" w:color="000000" w:themeColor="text1"/>
            </w:tcBorders>
            <w:vAlign w:val="center"/>
          </w:tcPr>
          <w:p w:rsidR="00213527" w:rsidRPr="001F33CB" w:rsidRDefault="00213527" w:rsidP="00714280">
            <w:pPr>
              <w:keepNext/>
              <w:keepLines/>
              <w:spacing w:before="120" w:after="120" w:line="240" w:lineRule="auto"/>
              <w:jc w:val="center"/>
              <w:rPr>
                <w:b/>
              </w:rPr>
            </w:pPr>
            <w:r w:rsidRPr="001F33CB">
              <w:rPr>
                <w:b/>
              </w:rPr>
              <w:t>Biology</w:t>
            </w:r>
          </w:p>
        </w:tc>
        <w:tc>
          <w:tcPr>
            <w:tcW w:w="1606" w:type="dxa"/>
            <w:tcBorders>
              <w:bottom w:val="single" w:sz="4" w:space="0" w:color="000000" w:themeColor="text1"/>
            </w:tcBorders>
            <w:vAlign w:val="center"/>
          </w:tcPr>
          <w:p w:rsidR="00213527" w:rsidRPr="001F33CB" w:rsidRDefault="00213527" w:rsidP="00714280">
            <w:pPr>
              <w:keepNext/>
              <w:keepLines/>
              <w:spacing w:before="120" w:after="120" w:line="240" w:lineRule="auto"/>
              <w:jc w:val="center"/>
              <w:rPr>
                <w:b/>
              </w:rPr>
            </w:pPr>
            <w:r w:rsidRPr="001F33CB">
              <w:rPr>
                <w:b/>
              </w:rPr>
              <w:t>Chemistry</w:t>
            </w:r>
          </w:p>
        </w:tc>
        <w:tc>
          <w:tcPr>
            <w:tcW w:w="1607" w:type="dxa"/>
            <w:tcBorders>
              <w:bottom w:val="single" w:sz="4" w:space="0" w:color="000000" w:themeColor="text1"/>
            </w:tcBorders>
            <w:vAlign w:val="center"/>
          </w:tcPr>
          <w:p w:rsidR="00213527" w:rsidRPr="001F33CB" w:rsidRDefault="00213527" w:rsidP="00714280">
            <w:pPr>
              <w:keepNext/>
              <w:keepLines/>
              <w:spacing w:before="120" w:after="120" w:line="240" w:lineRule="auto"/>
              <w:jc w:val="center"/>
              <w:rPr>
                <w:b/>
              </w:rPr>
            </w:pPr>
            <w:r w:rsidRPr="001F33CB">
              <w:rPr>
                <w:b/>
              </w:rPr>
              <w:t>Physics</w:t>
            </w:r>
          </w:p>
        </w:tc>
      </w:tr>
      <w:tr w:rsidR="00213527" w:rsidRPr="001F33CB" w:rsidTr="00714280">
        <w:trPr>
          <w:trHeight w:val="899"/>
        </w:trPr>
        <w:tc>
          <w:tcPr>
            <w:tcW w:w="1242" w:type="dxa"/>
            <w:vMerge w:val="restart"/>
            <w:vAlign w:val="center"/>
          </w:tcPr>
          <w:p w:rsidR="00213527" w:rsidRPr="001F33CB" w:rsidRDefault="00213527" w:rsidP="00714280">
            <w:pPr>
              <w:keepNext/>
              <w:keepLines/>
              <w:spacing w:before="120" w:after="120" w:line="240" w:lineRule="auto"/>
              <w:rPr>
                <w:b/>
              </w:rPr>
            </w:pPr>
            <w:r w:rsidRPr="001F33CB">
              <w:rPr>
                <w:b/>
              </w:rPr>
              <w:t>Dual Award</w:t>
            </w:r>
          </w:p>
        </w:tc>
        <w:tc>
          <w:tcPr>
            <w:tcW w:w="3119" w:type="dxa"/>
            <w:vAlign w:val="center"/>
          </w:tcPr>
          <w:p w:rsidR="00213527" w:rsidRPr="001F33CB" w:rsidRDefault="00213527" w:rsidP="00714280">
            <w:pPr>
              <w:keepNext/>
              <w:keepLines/>
              <w:spacing w:before="120" w:after="120" w:line="240" w:lineRule="auto"/>
              <w:rPr>
                <w:b/>
              </w:rPr>
            </w:pPr>
            <w:r w:rsidRPr="001F33CB">
              <w:rPr>
                <w:b/>
              </w:rPr>
              <w:t>Regression coefficient</w:t>
            </w:r>
          </w:p>
        </w:tc>
        <w:tc>
          <w:tcPr>
            <w:tcW w:w="1606" w:type="dxa"/>
            <w:shd w:val="clear" w:color="auto" w:fill="auto"/>
            <w:vAlign w:val="center"/>
          </w:tcPr>
          <w:p w:rsidR="00213527" w:rsidRPr="001F33CB" w:rsidRDefault="00213527" w:rsidP="00714280">
            <w:pPr>
              <w:spacing w:before="120" w:after="120" w:line="240" w:lineRule="auto"/>
              <w:jc w:val="center"/>
              <w:rPr>
                <w:color w:val="000000"/>
              </w:rPr>
            </w:pPr>
            <w:r w:rsidRPr="001F33CB">
              <w:rPr>
                <w:color w:val="000000"/>
              </w:rPr>
              <w:t>-0.06 (NS)</w:t>
            </w:r>
            <w:r w:rsidRPr="001F33CB">
              <w:rPr>
                <w:rStyle w:val="FootnoteReference"/>
                <w:color w:val="000000"/>
              </w:rPr>
              <w:footnoteReference w:id="7"/>
            </w:r>
          </w:p>
        </w:tc>
        <w:tc>
          <w:tcPr>
            <w:tcW w:w="1606" w:type="dxa"/>
            <w:shd w:val="clear" w:color="auto" w:fill="auto"/>
            <w:vAlign w:val="center"/>
          </w:tcPr>
          <w:p w:rsidR="00213527" w:rsidRPr="001F33CB" w:rsidRDefault="00213527" w:rsidP="00714280">
            <w:pPr>
              <w:spacing w:before="120" w:after="120" w:line="240" w:lineRule="auto"/>
              <w:jc w:val="center"/>
              <w:rPr>
                <w:color w:val="000000"/>
              </w:rPr>
            </w:pPr>
            <w:r w:rsidRPr="001F33CB">
              <w:rPr>
                <w:color w:val="000000"/>
              </w:rPr>
              <w:t>-0.25</w:t>
            </w:r>
          </w:p>
        </w:tc>
        <w:tc>
          <w:tcPr>
            <w:tcW w:w="1607" w:type="dxa"/>
            <w:shd w:val="clear" w:color="auto" w:fill="auto"/>
            <w:vAlign w:val="center"/>
          </w:tcPr>
          <w:p w:rsidR="00213527" w:rsidRPr="001F33CB" w:rsidRDefault="00213527" w:rsidP="00714280">
            <w:pPr>
              <w:spacing w:before="120" w:after="120" w:line="240" w:lineRule="auto"/>
              <w:jc w:val="center"/>
              <w:rPr>
                <w:color w:val="000000"/>
              </w:rPr>
            </w:pPr>
            <w:r w:rsidRPr="001F33CB">
              <w:rPr>
                <w:color w:val="000000"/>
              </w:rPr>
              <w:t>-0.35</w:t>
            </w:r>
          </w:p>
        </w:tc>
      </w:tr>
      <w:tr w:rsidR="00213527" w:rsidRPr="001F33CB" w:rsidTr="00714280">
        <w:trPr>
          <w:trHeight w:val="660"/>
        </w:trPr>
        <w:tc>
          <w:tcPr>
            <w:tcW w:w="1242" w:type="dxa"/>
            <w:vMerge/>
            <w:vAlign w:val="center"/>
          </w:tcPr>
          <w:p w:rsidR="00213527" w:rsidRPr="001F33CB" w:rsidRDefault="00213527" w:rsidP="00714280">
            <w:pPr>
              <w:keepNext/>
              <w:keepLines/>
              <w:spacing w:before="120" w:after="120" w:line="240" w:lineRule="auto"/>
              <w:rPr>
                <w:b/>
              </w:rPr>
            </w:pPr>
          </w:p>
        </w:tc>
        <w:tc>
          <w:tcPr>
            <w:tcW w:w="3119" w:type="dxa"/>
            <w:vAlign w:val="center"/>
          </w:tcPr>
          <w:p w:rsidR="00213527" w:rsidRDefault="00213527" w:rsidP="00714280">
            <w:pPr>
              <w:keepNext/>
              <w:keepLines/>
              <w:spacing w:before="120" w:after="120" w:line="240" w:lineRule="auto"/>
              <w:rPr>
                <w:b/>
              </w:rPr>
            </w:pPr>
            <w:r w:rsidRPr="001F33CB">
              <w:rPr>
                <w:b/>
              </w:rPr>
              <w:t>Odds ratio</w:t>
            </w:r>
          </w:p>
          <w:p w:rsidR="00213527" w:rsidRPr="001F33CB" w:rsidRDefault="00213527" w:rsidP="00714280">
            <w:pPr>
              <w:keepNext/>
              <w:keepLines/>
              <w:spacing w:before="120" w:after="120" w:line="240" w:lineRule="auto"/>
              <w:rPr>
                <w:b/>
              </w:rPr>
            </w:pPr>
            <w:r>
              <w:rPr>
                <w:b/>
              </w:rPr>
              <w:t>(95% confidence interval)</w:t>
            </w:r>
          </w:p>
        </w:tc>
        <w:tc>
          <w:tcPr>
            <w:tcW w:w="1606" w:type="dxa"/>
            <w:shd w:val="clear" w:color="auto" w:fill="auto"/>
            <w:vAlign w:val="center"/>
          </w:tcPr>
          <w:p w:rsidR="00213527" w:rsidRDefault="00213527" w:rsidP="00714280">
            <w:pPr>
              <w:spacing w:before="120" w:after="120" w:line="240" w:lineRule="auto"/>
              <w:jc w:val="center"/>
              <w:rPr>
                <w:color w:val="000000"/>
              </w:rPr>
            </w:pPr>
            <w:r w:rsidRPr="001F33CB">
              <w:rPr>
                <w:color w:val="000000"/>
              </w:rPr>
              <w:t>0.95</w:t>
            </w:r>
          </w:p>
          <w:p w:rsidR="00213527" w:rsidRPr="001F33CB" w:rsidRDefault="00213527" w:rsidP="00714280">
            <w:pPr>
              <w:spacing w:before="120" w:after="120" w:line="240" w:lineRule="auto"/>
              <w:jc w:val="center"/>
              <w:rPr>
                <w:color w:val="000000"/>
              </w:rPr>
            </w:pPr>
            <w:r>
              <w:rPr>
                <w:color w:val="000000"/>
              </w:rPr>
              <w:t>(</w:t>
            </w:r>
            <w:r w:rsidRPr="0005751F">
              <w:rPr>
                <w:color w:val="000000"/>
              </w:rPr>
              <w:t>0.88</w:t>
            </w:r>
            <w:r>
              <w:rPr>
                <w:color w:val="000000"/>
              </w:rPr>
              <w:t xml:space="preserve">, </w:t>
            </w:r>
            <w:r w:rsidRPr="0005751F">
              <w:rPr>
                <w:color w:val="000000"/>
              </w:rPr>
              <w:t>1.01</w:t>
            </w:r>
            <w:r>
              <w:rPr>
                <w:color w:val="000000"/>
              </w:rPr>
              <w:t>)</w:t>
            </w:r>
          </w:p>
        </w:tc>
        <w:tc>
          <w:tcPr>
            <w:tcW w:w="1606" w:type="dxa"/>
            <w:shd w:val="clear" w:color="auto" w:fill="auto"/>
            <w:vAlign w:val="center"/>
          </w:tcPr>
          <w:p w:rsidR="00213527" w:rsidRDefault="00213527" w:rsidP="00714280">
            <w:pPr>
              <w:spacing w:before="120" w:after="120" w:line="240" w:lineRule="auto"/>
              <w:jc w:val="center"/>
              <w:rPr>
                <w:color w:val="000000"/>
              </w:rPr>
            </w:pPr>
            <w:r w:rsidRPr="001F33CB">
              <w:rPr>
                <w:color w:val="000000"/>
              </w:rPr>
              <w:t>0.78</w:t>
            </w:r>
          </w:p>
          <w:p w:rsidR="00213527" w:rsidRPr="001F33CB" w:rsidRDefault="00213527" w:rsidP="00714280">
            <w:pPr>
              <w:spacing w:before="120" w:after="120" w:line="240" w:lineRule="auto"/>
              <w:jc w:val="center"/>
              <w:rPr>
                <w:color w:val="000000"/>
              </w:rPr>
            </w:pPr>
            <w:r>
              <w:rPr>
                <w:color w:val="000000"/>
              </w:rPr>
              <w:t xml:space="preserve">(0.71, </w:t>
            </w:r>
            <w:r w:rsidRPr="0005751F">
              <w:rPr>
                <w:color w:val="000000"/>
              </w:rPr>
              <w:t>0.8</w:t>
            </w:r>
            <w:r>
              <w:rPr>
                <w:color w:val="000000"/>
              </w:rPr>
              <w:t>5)</w:t>
            </w:r>
          </w:p>
        </w:tc>
        <w:tc>
          <w:tcPr>
            <w:tcW w:w="1607" w:type="dxa"/>
            <w:shd w:val="clear" w:color="auto" w:fill="auto"/>
            <w:vAlign w:val="center"/>
          </w:tcPr>
          <w:p w:rsidR="00213527" w:rsidRDefault="00213527" w:rsidP="00714280">
            <w:pPr>
              <w:spacing w:before="120" w:after="120" w:line="240" w:lineRule="auto"/>
              <w:jc w:val="center"/>
              <w:rPr>
                <w:color w:val="000000"/>
              </w:rPr>
            </w:pPr>
            <w:r w:rsidRPr="001F33CB">
              <w:rPr>
                <w:color w:val="000000"/>
              </w:rPr>
              <w:t>0.71</w:t>
            </w:r>
          </w:p>
          <w:p w:rsidR="00213527" w:rsidRPr="001F33CB" w:rsidRDefault="00213527" w:rsidP="00714280">
            <w:pPr>
              <w:spacing w:before="120" w:after="120" w:line="240" w:lineRule="auto"/>
              <w:jc w:val="center"/>
              <w:rPr>
                <w:color w:val="000000"/>
              </w:rPr>
            </w:pPr>
            <w:r>
              <w:rPr>
                <w:color w:val="000000"/>
              </w:rPr>
              <w:t>(</w:t>
            </w:r>
            <w:r w:rsidRPr="0005751F">
              <w:rPr>
                <w:color w:val="000000"/>
              </w:rPr>
              <w:t>0.6</w:t>
            </w:r>
            <w:r>
              <w:rPr>
                <w:color w:val="000000"/>
              </w:rPr>
              <w:t xml:space="preserve">5, </w:t>
            </w:r>
            <w:r w:rsidRPr="0005751F">
              <w:rPr>
                <w:color w:val="000000"/>
              </w:rPr>
              <w:t>0.7</w:t>
            </w:r>
            <w:r>
              <w:rPr>
                <w:color w:val="000000"/>
              </w:rPr>
              <w:t>7)</w:t>
            </w:r>
          </w:p>
        </w:tc>
      </w:tr>
      <w:tr w:rsidR="00213527" w:rsidRPr="001F33CB" w:rsidTr="00714280">
        <w:trPr>
          <w:trHeight w:val="660"/>
        </w:trPr>
        <w:tc>
          <w:tcPr>
            <w:tcW w:w="1242" w:type="dxa"/>
            <w:vMerge w:val="restart"/>
            <w:vAlign w:val="center"/>
          </w:tcPr>
          <w:p w:rsidR="00213527" w:rsidRPr="001F33CB" w:rsidRDefault="00213527" w:rsidP="00714280">
            <w:pPr>
              <w:keepNext/>
              <w:keepLines/>
              <w:spacing w:before="120" w:after="120" w:line="240" w:lineRule="auto"/>
              <w:rPr>
                <w:b/>
              </w:rPr>
            </w:pPr>
            <w:r w:rsidRPr="001F33CB">
              <w:rPr>
                <w:b/>
              </w:rPr>
              <w:t>Triple Award</w:t>
            </w:r>
          </w:p>
        </w:tc>
        <w:tc>
          <w:tcPr>
            <w:tcW w:w="3119" w:type="dxa"/>
            <w:vAlign w:val="center"/>
          </w:tcPr>
          <w:p w:rsidR="00213527" w:rsidRPr="001F33CB" w:rsidRDefault="00213527" w:rsidP="00714280">
            <w:pPr>
              <w:keepNext/>
              <w:keepLines/>
              <w:spacing w:before="120" w:after="120" w:line="240" w:lineRule="auto"/>
              <w:rPr>
                <w:b/>
              </w:rPr>
            </w:pPr>
            <w:r w:rsidRPr="001F33CB">
              <w:rPr>
                <w:b/>
              </w:rPr>
              <w:t>Regression coefficient</w:t>
            </w:r>
          </w:p>
        </w:tc>
        <w:tc>
          <w:tcPr>
            <w:tcW w:w="1606" w:type="dxa"/>
            <w:shd w:val="clear" w:color="auto" w:fill="auto"/>
            <w:vAlign w:val="center"/>
          </w:tcPr>
          <w:p w:rsidR="00213527" w:rsidRPr="001F33CB" w:rsidRDefault="00213527" w:rsidP="00714280">
            <w:pPr>
              <w:spacing w:before="120" w:after="120" w:line="240" w:lineRule="auto"/>
              <w:jc w:val="center"/>
              <w:rPr>
                <w:color w:val="000000"/>
              </w:rPr>
            </w:pPr>
            <w:r w:rsidRPr="001F33CB">
              <w:rPr>
                <w:color w:val="000000"/>
              </w:rPr>
              <w:t>-0.08</w:t>
            </w:r>
          </w:p>
        </w:tc>
        <w:tc>
          <w:tcPr>
            <w:tcW w:w="1606" w:type="dxa"/>
            <w:shd w:val="clear" w:color="auto" w:fill="auto"/>
            <w:vAlign w:val="center"/>
          </w:tcPr>
          <w:p w:rsidR="00213527" w:rsidRPr="001F33CB" w:rsidRDefault="00213527" w:rsidP="00714280">
            <w:pPr>
              <w:spacing w:before="120" w:after="120" w:line="240" w:lineRule="auto"/>
              <w:jc w:val="center"/>
              <w:rPr>
                <w:color w:val="000000"/>
              </w:rPr>
            </w:pPr>
            <w:r w:rsidRPr="001F33CB">
              <w:rPr>
                <w:color w:val="000000"/>
              </w:rPr>
              <w:t>-0.25</w:t>
            </w:r>
          </w:p>
        </w:tc>
        <w:tc>
          <w:tcPr>
            <w:tcW w:w="1607" w:type="dxa"/>
            <w:shd w:val="clear" w:color="auto" w:fill="auto"/>
            <w:vAlign w:val="center"/>
          </w:tcPr>
          <w:p w:rsidR="00213527" w:rsidRPr="001F33CB" w:rsidRDefault="00213527" w:rsidP="00714280">
            <w:pPr>
              <w:spacing w:before="120" w:after="120" w:line="240" w:lineRule="auto"/>
              <w:jc w:val="center"/>
              <w:rPr>
                <w:color w:val="000000"/>
              </w:rPr>
            </w:pPr>
            <w:r w:rsidRPr="001F33CB">
              <w:rPr>
                <w:color w:val="000000"/>
              </w:rPr>
              <w:t>-0.26</w:t>
            </w:r>
          </w:p>
        </w:tc>
      </w:tr>
      <w:tr w:rsidR="00213527" w:rsidRPr="001F33CB" w:rsidTr="00714280">
        <w:trPr>
          <w:trHeight w:val="660"/>
        </w:trPr>
        <w:tc>
          <w:tcPr>
            <w:tcW w:w="1242" w:type="dxa"/>
            <w:vMerge/>
            <w:vAlign w:val="center"/>
          </w:tcPr>
          <w:p w:rsidR="00213527" w:rsidRPr="001F33CB" w:rsidRDefault="00213527" w:rsidP="00714280">
            <w:pPr>
              <w:keepNext/>
              <w:keepLines/>
              <w:spacing w:before="120" w:after="120" w:line="240" w:lineRule="auto"/>
              <w:rPr>
                <w:b/>
              </w:rPr>
            </w:pPr>
          </w:p>
        </w:tc>
        <w:tc>
          <w:tcPr>
            <w:tcW w:w="3119" w:type="dxa"/>
            <w:vAlign w:val="center"/>
          </w:tcPr>
          <w:p w:rsidR="00213527" w:rsidRDefault="00213527" w:rsidP="00714280">
            <w:pPr>
              <w:keepNext/>
              <w:keepLines/>
              <w:spacing w:before="120" w:after="120" w:line="240" w:lineRule="auto"/>
              <w:rPr>
                <w:b/>
              </w:rPr>
            </w:pPr>
            <w:r w:rsidRPr="001F33CB">
              <w:rPr>
                <w:b/>
              </w:rPr>
              <w:t>Odds ratio</w:t>
            </w:r>
          </w:p>
          <w:p w:rsidR="00213527" w:rsidRPr="001F33CB" w:rsidRDefault="00213527" w:rsidP="00714280">
            <w:pPr>
              <w:keepNext/>
              <w:keepLines/>
              <w:spacing w:before="120" w:after="120" w:line="240" w:lineRule="auto"/>
              <w:rPr>
                <w:b/>
              </w:rPr>
            </w:pPr>
            <w:r>
              <w:rPr>
                <w:b/>
              </w:rPr>
              <w:t>(95% confidence interval)</w:t>
            </w:r>
          </w:p>
        </w:tc>
        <w:tc>
          <w:tcPr>
            <w:tcW w:w="1606" w:type="dxa"/>
            <w:tcBorders>
              <w:bottom w:val="single" w:sz="4" w:space="0" w:color="000000" w:themeColor="text1"/>
            </w:tcBorders>
            <w:shd w:val="clear" w:color="auto" w:fill="auto"/>
            <w:vAlign w:val="center"/>
          </w:tcPr>
          <w:p w:rsidR="00213527" w:rsidRDefault="00213527" w:rsidP="00714280">
            <w:pPr>
              <w:spacing w:before="120" w:after="120" w:line="240" w:lineRule="auto"/>
              <w:jc w:val="center"/>
              <w:rPr>
                <w:color w:val="000000"/>
              </w:rPr>
            </w:pPr>
            <w:r w:rsidRPr="001F33CB">
              <w:rPr>
                <w:color w:val="000000"/>
              </w:rPr>
              <w:t>0.92</w:t>
            </w:r>
          </w:p>
          <w:p w:rsidR="00213527" w:rsidRPr="001F33CB" w:rsidRDefault="00213527" w:rsidP="00714280">
            <w:pPr>
              <w:spacing w:before="120" w:after="120" w:line="240" w:lineRule="auto"/>
              <w:jc w:val="center"/>
              <w:rPr>
                <w:color w:val="000000"/>
              </w:rPr>
            </w:pPr>
            <w:r>
              <w:rPr>
                <w:color w:val="000000"/>
              </w:rPr>
              <w:t>(</w:t>
            </w:r>
            <w:r w:rsidRPr="00DD20C6">
              <w:rPr>
                <w:color w:val="000000"/>
              </w:rPr>
              <w:t>0.8</w:t>
            </w:r>
            <w:r>
              <w:rPr>
                <w:color w:val="000000"/>
              </w:rPr>
              <w:t xml:space="preserve">6, </w:t>
            </w:r>
            <w:r w:rsidRPr="00DD20C6">
              <w:rPr>
                <w:color w:val="000000"/>
              </w:rPr>
              <w:t>0.99</w:t>
            </w:r>
            <w:r>
              <w:rPr>
                <w:color w:val="000000"/>
              </w:rPr>
              <w:t>)</w:t>
            </w:r>
          </w:p>
        </w:tc>
        <w:tc>
          <w:tcPr>
            <w:tcW w:w="1606" w:type="dxa"/>
            <w:tcBorders>
              <w:bottom w:val="single" w:sz="4" w:space="0" w:color="000000" w:themeColor="text1"/>
            </w:tcBorders>
            <w:shd w:val="clear" w:color="auto" w:fill="auto"/>
            <w:vAlign w:val="center"/>
          </w:tcPr>
          <w:p w:rsidR="00213527" w:rsidRDefault="00213527" w:rsidP="00714280">
            <w:pPr>
              <w:spacing w:before="120" w:after="120" w:line="240" w:lineRule="auto"/>
              <w:jc w:val="center"/>
              <w:rPr>
                <w:color w:val="000000"/>
              </w:rPr>
            </w:pPr>
            <w:r w:rsidRPr="001F33CB">
              <w:rPr>
                <w:color w:val="000000"/>
              </w:rPr>
              <w:t>0.78</w:t>
            </w:r>
          </w:p>
          <w:p w:rsidR="00213527" w:rsidRPr="001F33CB" w:rsidRDefault="00213527" w:rsidP="00714280">
            <w:pPr>
              <w:spacing w:before="120" w:after="120" w:line="240" w:lineRule="auto"/>
              <w:jc w:val="center"/>
              <w:rPr>
                <w:color w:val="000000"/>
              </w:rPr>
            </w:pPr>
            <w:r>
              <w:rPr>
                <w:color w:val="000000"/>
              </w:rPr>
              <w:t xml:space="preserve">(0.72, </w:t>
            </w:r>
            <w:r w:rsidRPr="00DD20C6">
              <w:rPr>
                <w:color w:val="000000"/>
              </w:rPr>
              <w:t>0.8</w:t>
            </w:r>
            <w:r>
              <w:rPr>
                <w:color w:val="000000"/>
              </w:rPr>
              <w:t>5)</w:t>
            </w:r>
          </w:p>
        </w:tc>
        <w:tc>
          <w:tcPr>
            <w:tcW w:w="1607" w:type="dxa"/>
            <w:tcBorders>
              <w:bottom w:val="single" w:sz="4" w:space="0" w:color="000000" w:themeColor="text1"/>
            </w:tcBorders>
            <w:shd w:val="clear" w:color="auto" w:fill="auto"/>
            <w:vAlign w:val="center"/>
          </w:tcPr>
          <w:p w:rsidR="00213527" w:rsidRDefault="00213527" w:rsidP="00714280">
            <w:pPr>
              <w:spacing w:before="120" w:after="120" w:line="240" w:lineRule="auto"/>
              <w:jc w:val="center"/>
              <w:rPr>
                <w:color w:val="000000"/>
              </w:rPr>
            </w:pPr>
            <w:r w:rsidRPr="001F33CB">
              <w:rPr>
                <w:color w:val="000000"/>
              </w:rPr>
              <w:t>0.77</w:t>
            </w:r>
          </w:p>
          <w:p w:rsidR="00213527" w:rsidRPr="001F33CB" w:rsidRDefault="00213527" w:rsidP="00714280">
            <w:pPr>
              <w:spacing w:before="120" w:after="120" w:line="240" w:lineRule="auto"/>
              <w:jc w:val="center"/>
              <w:rPr>
                <w:color w:val="000000"/>
              </w:rPr>
            </w:pPr>
            <w:r>
              <w:rPr>
                <w:color w:val="000000"/>
              </w:rPr>
              <w:t>(0.70, 0.84)</w:t>
            </w:r>
          </w:p>
        </w:tc>
      </w:tr>
    </w:tbl>
    <w:p w:rsidR="00213527" w:rsidRPr="001F33CB" w:rsidRDefault="00213527" w:rsidP="00213527">
      <w:pPr>
        <w:spacing w:before="120"/>
        <w:rPr>
          <w:b/>
          <w:i/>
        </w:rPr>
      </w:pPr>
      <w:r>
        <w:rPr>
          <w:b/>
          <w:i/>
        </w:rPr>
        <w:t>Table 3</w:t>
      </w:r>
      <w:r w:rsidRPr="001F33CB">
        <w:rPr>
          <w:b/>
          <w:i/>
        </w:rPr>
        <w:t xml:space="preserve">: Summary of model for the 21CS ‘effect’ on participation in science A-levels </w:t>
      </w:r>
    </w:p>
    <w:p w:rsidR="00213527" w:rsidRPr="00213527" w:rsidRDefault="00213527" w:rsidP="00213527"/>
    <w:p w:rsidR="00213527" w:rsidRDefault="00213527">
      <w:pPr>
        <w:spacing w:after="200" w:line="276" w:lineRule="auto"/>
        <w:rPr>
          <w:rFonts w:eastAsiaTheme="majorEastAsia"/>
          <w:b/>
          <w:bCs/>
          <w:sz w:val="28"/>
          <w:szCs w:val="26"/>
        </w:rPr>
      </w:pPr>
      <w:r>
        <w:br w:type="page"/>
      </w:r>
    </w:p>
    <w:tbl>
      <w:tblPr>
        <w:tblStyle w:val="TableGrid"/>
        <w:tblW w:w="9747" w:type="dxa"/>
        <w:tblLayout w:type="fixed"/>
        <w:tblLook w:val="04A0" w:firstRow="1" w:lastRow="0" w:firstColumn="1" w:lastColumn="0" w:noHBand="0" w:noVBand="1"/>
      </w:tblPr>
      <w:tblGrid>
        <w:gridCol w:w="3652"/>
        <w:gridCol w:w="1701"/>
        <w:gridCol w:w="4394"/>
      </w:tblGrid>
      <w:tr w:rsidR="00213527" w:rsidRPr="001F33CB" w:rsidTr="00714280">
        <w:tc>
          <w:tcPr>
            <w:tcW w:w="3652" w:type="dxa"/>
            <w:vAlign w:val="center"/>
          </w:tcPr>
          <w:p w:rsidR="00213527" w:rsidRPr="001F33CB" w:rsidRDefault="00213527" w:rsidP="00714280">
            <w:pPr>
              <w:keepNext/>
              <w:keepLines/>
              <w:spacing w:before="120" w:after="120" w:line="240" w:lineRule="auto"/>
              <w:jc w:val="center"/>
              <w:rPr>
                <w:b/>
                <w:sz w:val="22"/>
                <w:szCs w:val="22"/>
              </w:rPr>
            </w:pPr>
            <w:r w:rsidRPr="001F33CB">
              <w:rPr>
                <w:b/>
                <w:sz w:val="22"/>
                <w:szCs w:val="22"/>
              </w:rPr>
              <w:lastRenderedPageBreak/>
              <w:t>Predictor</w:t>
            </w:r>
          </w:p>
        </w:tc>
        <w:tc>
          <w:tcPr>
            <w:tcW w:w="1701" w:type="dxa"/>
            <w:vAlign w:val="center"/>
          </w:tcPr>
          <w:p w:rsidR="00213527" w:rsidRPr="001F33CB" w:rsidRDefault="00213527" w:rsidP="00714280">
            <w:pPr>
              <w:keepNext/>
              <w:keepLines/>
              <w:spacing w:before="120" w:after="120" w:line="240" w:lineRule="auto"/>
              <w:jc w:val="center"/>
              <w:rPr>
                <w:b/>
                <w:sz w:val="22"/>
                <w:szCs w:val="22"/>
              </w:rPr>
            </w:pPr>
            <w:r w:rsidRPr="001F33CB">
              <w:rPr>
                <w:b/>
                <w:sz w:val="22"/>
                <w:szCs w:val="22"/>
              </w:rPr>
              <w:t>Type of variable</w:t>
            </w:r>
          </w:p>
        </w:tc>
        <w:tc>
          <w:tcPr>
            <w:tcW w:w="4394" w:type="dxa"/>
            <w:vAlign w:val="center"/>
          </w:tcPr>
          <w:p w:rsidR="00213527" w:rsidRPr="001F33CB" w:rsidRDefault="00213527" w:rsidP="00714280">
            <w:pPr>
              <w:keepNext/>
              <w:keepLines/>
              <w:spacing w:before="120" w:after="120" w:line="240" w:lineRule="auto"/>
              <w:jc w:val="center"/>
              <w:rPr>
                <w:b/>
                <w:sz w:val="22"/>
                <w:szCs w:val="22"/>
              </w:rPr>
            </w:pPr>
            <w:r w:rsidRPr="001F33CB">
              <w:rPr>
                <w:b/>
                <w:sz w:val="22"/>
                <w:szCs w:val="22"/>
              </w:rPr>
              <w:t>Further details</w:t>
            </w:r>
          </w:p>
        </w:tc>
      </w:tr>
      <w:tr w:rsidR="00213527" w:rsidRPr="001F33CB" w:rsidTr="00714280">
        <w:tc>
          <w:tcPr>
            <w:tcW w:w="3652" w:type="dxa"/>
            <w:vAlign w:val="center"/>
          </w:tcPr>
          <w:p w:rsidR="00213527" w:rsidRPr="001F33CB" w:rsidRDefault="00213527" w:rsidP="00714280">
            <w:pPr>
              <w:keepNext/>
              <w:keepLines/>
              <w:spacing w:before="120" w:after="120" w:line="240" w:lineRule="auto"/>
              <w:rPr>
                <w:bCs/>
                <w:color w:val="000000"/>
                <w:sz w:val="22"/>
                <w:szCs w:val="22"/>
              </w:rPr>
            </w:pPr>
            <w:r w:rsidRPr="001F33CB">
              <w:rPr>
                <w:bCs/>
                <w:color w:val="000000"/>
                <w:sz w:val="22"/>
                <w:szCs w:val="22"/>
              </w:rPr>
              <w:t>21CS</w:t>
            </w:r>
          </w:p>
        </w:tc>
        <w:tc>
          <w:tcPr>
            <w:tcW w:w="1701" w:type="dxa"/>
            <w:vAlign w:val="center"/>
          </w:tcPr>
          <w:p w:rsidR="00213527" w:rsidRPr="001F33CB" w:rsidRDefault="00213527" w:rsidP="00714280">
            <w:pPr>
              <w:keepNext/>
              <w:keepLines/>
              <w:spacing w:before="120" w:after="120" w:line="240" w:lineRule="auto"/>
              <w:jc w:val="center"/>
              <w:rPr>
                <w:bCs/>
                <w:color w:val="000000"/>
                <w:sz w:val="22"/>
                <w:szCs w:val="22"/>
              </w:rPr>
            </w:pPr>
            <w:r w:rsidRPr="001F33CB">
              <w:rPr>
                <w:bCs/>
                <w:color w:val="000000"/>
                <w:sz w:val="22"/>
                <w:szCs w:val="22"/>
              </w:rPr>
              <w:t>Dichotomous</w:t>
            </w:r>
          </w:p>
        </w:tc>
        <w:tc>
          <w:tcPr>
            <w:tcW w:w="4394" w:type="dxa"/>
            <w:vAlign w:val="center"/>
          </w:tcPr>
          <w:p w:rsidR="00213527" w:rsidRPr="001F33CB" w:rsidRDefault="00213527" w:rsidP="00714280">
            <w:pPr>
              <w:keepNext/>
              <w:keepLines/>
              <w:spacing w:before="120" w:after="120" w:line="240" w:lineRule="auto"/>
              <w:rPr>
                <w:sz w:val="22"/>
                <w:szCs w:val="22"/>
              </w:rPr>
            </w:pPr>
            <w:r w:rsidRPr="001F33CB">
              <w:rPr>
                <w:sz w:val="22"/>
                <w:szCs w:val="22"/>
              </w:rPr>
              <w:t>This is whether or not the student studies 21CS at 14-16 (0=No, 1=Yes)</w:t>
            </w:r>
          </w:p>
        </w:tc>
      </w:tr>
      <w:tr w:rsidR="00213527" w:rsidRPr="001F33CB" w:rsidTr="00714280">
        <w:tc>
          <w:tcPr>
            <w:tcW w:w="3652" w:type="dxa"/>
            <w:vAlign w:val="center"/>
          </w:tcPr>
          <w:p w:rsidR="00213527" w:rsidRPr="001F33CB" w:rsidRDefault="00213527" w:rsidP="00714280">
            <w:pPr>
              <w:keepNext/>
              <w:keepLines/>
              <w:spacing w:before="120" w:after="120" w:line="240" w:lineRule="auto"/>
              <w:rPr>
                <w:bCs/>
                <w:color w:val="000000"/>
                <w:sz w:val="22"/>
                <w:szCs w:val="22"/>
              </w:rPr>
            </w:pPr>
            <w:r w:rsidRPr="001F33CB">
              <w:rPr>
                <w:bCs/>
                <w:color w:val="000000"/>
                <w:sz w:val="22"/>
                <w:szCs w:val="22"/>
              </w:rPr>
              <w:t>Gender (male)</w:t>
            </w:r>
          </w:p>
        </w:tc>
        <w:tc>
          <w:tcPr>
            <w:tcW w:w="1701" w:type="dxa"/>
            <w:vAlign w:val="center"/>
          </w:tcPr>
          <w:p w:rsidR="00213527" w:rsidRPr="001F33CB" w:rsidRDefault="00213527" w:rsidP="00714280">
            <w:pPr>
              <w:keepNext/>
              <w:keepLines/>
              <w:spacing w:before="120" w:after="120" w:line="240" w:lineRule="auto"/>
              <w:jc w:val="center"/>
              <w:rPr>
                <w:bCs/>
                <w:color w:val="000000"/>
                <w:sz w:val="22"/>
                <w:szCs w:val="22"/>
              </w:rPr>
            </w:pPr>
            <w:r w:rsidRPr="001F33CB">
              <w:rPr>
                <w:sz w:val="22"/>
                <w:szCs w:val="22"/>
              </w:rPr>
              <w:t>Dichotomous</w:t>
            </w:r>
          </w:p>
        </w:tc>
        <w:tc>
          <w:tcPr>
            <w:tcW w:w="4394" w:type="dxa"/>
            <w:vAlign w:val="center"/>
          </w:tcPr>
          <w:p w:rsidR="00213527" w:rsidRPr="001F33CB" w:rsidRDefault="00213527" w:rsidP="00714280">
            <w:pPr>
              <w:keepNext/>
              <w:keepLines/>
              <w:spacing w:before="120" w:after="120" w:line="240" w:lineRule="auto"/>
              <w:rPr>
                <w:sz w:val="22"/>
                <w:szCs w:val="22"/>
              </w:rPr>
            </w:pPr>
            <w:r w:rsidRPr="001F33CB">
              <w:rPr>
                <w:sz w:val="22"/>
                <w:szCs w:val="22"/>
              </w:rPr>
              <w:t>The reference group (coded 0) is female so the effect in the model is for male (1).</w:t>
            </w:r>
          </w:p>
        </w:tc>
      </w:tr>
      <w:tr w:rsidR="00213527" w:rsidRPr="001F33CB" w:rsidTr="00714280">
        <w:tc>
          <w:tcPr>
            <w:tcW w:w="3652" w:type="dxa"/>
            <w:vAlign w:val="center"/>
          </w:tcPr>
          <w:p w:rsidR="00213527" w:rsidRPr="001F33CB" w:rsidRDefault="00213527" w:rsidP="00714280">
            <w:pPr>
              <w:keepNext/>
              <w:keepLines/>
              <w:spacing w:before="120" w:after="120" w:line="240" w:lineRule="auto"/>
              <w:rPr>
                <w:bCs/>
                <w:color w:val="000000"/>
                <w:sz w:val="22"/>
                <w:szCs w:val="22"/>
              </w:rPr>
            </w:pPr>
            <w:r w:rsidRPr="001F33CB">
              <w:rPr>
                <w:bCs/>
                <w:color w:val="000000"/>
                <w:sz w:val="22"/>
                <w:szCs w:val="22"/>
              </w:rPr>
              <w:t>Free school meal eligibility (FSM)</w:t>
            </w:r>
          </w:p>
        </w:tc>
        <w:tc>
          <w:tcPr>
            <w:tcW w:w="1701" w:type="dxa"/>
            <w:vAlign w:val="center"/>
          </w:tcPr>
          <w:p w:rsidR="00213527" w:rsidRPr="001F33CB" w:rsidRDefault="00213527" w:rsidP="00714280">
            <w:pPr>
              <w:keepNext/>
              <w:keepLines/>
              <w:spacing w:before="120" w:after="120" w:line="240" w:lineRule="auto"/>
              <w:jc w:val="center"/>
              <w:rPr>
                <w:sz w:val="22"/>
                <w:szCs w:val="22"/>
              </w:rPr>
            </w:pPr>
            <w:r w:rsidRPr="001F33CB">
              <w:rPr>
                <w:sz w:val="22"/>
                <w:szCs w:val="22"/>
              </w:rPr>
              <w:t>Dichotomous</w:t>
            </w:r>
          </w:p>
        </w:tc>
        <w:tc>
          <w:tcPr>
            <w:tcW w:w="4394" w:type="dxa"/>
            <w:vAlign w:val="center"/>
          </w:tcPr>
          <w:p w:rsidR="00213527" w:rsidRPr="001F33CB" w:rsidRDefault="00213527" w:rsidP="00714280">
            <w:pPr>
              <w:keepNext/>
              <w:keepLines/>
              <w:spacing w:before="120" w:after="120" w:line="240" w:lineRule="auto"/>
              <w:rPr>
                <w:sz w:val="22"/>
                <w:szCs w:val="22"/>
              </w:rPr>
            </w:pPr>
            <w:r w:rsidRPr="001F33CB">
              <w:rPr>
                <w:sz w:val="22"/>
                <w:szCs w:val="22"/>
              </w:rPr>
              <w:t>This is a measure of socio-economic status based on whether the student is eligible and in receipt of free school meals (0=not eligible, 1=eligible)</w:t>
            </w:r>
          </w:p>
        </w:tc>
      </w:tr>
      <w:tr w:rsidR="00213527" w:rsidRPr="001F33CB" w:rsidTr="00714280">
        <w:tc>
          <w:tcPr>
            <w:tcW w:w="3652" w:type="dxa"/>
            <w:vAlign w:val="center"/>
          </w:tcPr>
          <w:p w:rsidR="00213527" w:rsidRPr="001F33CB" w:rsidRDefault="00213527" w:rsidP="00714280">
            <w:pPr>
              <w:keepNext/>
              <w:keepLines/>
              <w:spacing w:before="120" w:after="120" w:line="240" w:lineRule="auto"/>
              <w:rPr>
                <w:bCs/>
                <w:color w:val="000000"/>
                <w:sz w:val="22"/>
                <w:szCs w:val="22"/>
              </w:rPr>
            </w:pPr>
            <w:r w:rsidRPr="001F33CB">
              <w:rPr>
                <w:bCs/>
                <w:color w:val="000000"/>
                <w:sz w:val="22"/>
                <w:szCs w:val="22"/>
              </w:rPr>
              <w:t>Income deprivation affecting children index  (IDACI)</w:t>
            </w:r>
          </w:p>
        </w:tc>
        <w:tc>
          <w:tcPr>
            <w:tcW w:w="1701" w:type="dxa"/>
            <w:vAlign w:val="center"/>
          </w:tcPr>
          <w:p w:rsidR="00213527" w:rsidRPr="001F33CB" w:rsidRDefault="00213527" w:rsidP="00714280">
            <w:pPr>
              <w:keepNext/>
              <w:keepLines/>
              <w:spacing w:before="120" w:after="120" w:line="240" w:lineRule="auto"/>
              <w:jc w:val="center"/>
              <w:rPr>
                <w:sz w:val="22"/>
                <w:szCs w:val="22"/>
              </w:rPr>
            </w:pPr>
            <w:r w:rsidRPr="001F33CB">
              <w:rPr>
                <w:bCs/>
                <w:color w:val="000000"/>
                <w:sz w:val="22"/>
                <w:szCs w:val="22"/>
              </w:rPr>
              <w:t>Continuous</w:t>
            </w:r>
          </w:p>
        </w:tc>
        <w:tc>
          <w:tcPr>
            <w:tcW w:w="4394" w:type="dxa"/>
            <w:vAlign w:val="center"/>
          </w:tcPr>
          <w:p w:rsidR="00213527" w:rsidRPr="001F33CB" w:rsidRDefault="00213527" w:rsidP="00714280">
            <w:pPr>
              <w:keepNext/>
              <w:keepLines/>
              <w:spacing w:before="120" w:after="120" w:line="240" w:lineRule="auto"/>
              <w:rPr>
                <w:sz w:val="22"/>
                <w:szCs w:val="22"/>
              </w:rPr>
            </w:pPr>
            <w:r w:rsidRPr="001F33CB">
              <w:rPr>
                <w:sz w:val="22"/>
                <w:szCs w:val="22"/>
              </w:rPr>
              <w:t>This is a second, distinct, measure of socio-economic status on a scale from 0.0 to 1.0 indicating the proportion of children under age 16 in the local area living in low income households. Lower values of this index relate to wealthier areas, and higher values to poorer areas.</w:t>
            </w:r>
          </w:p>
        </w:tc>
      </w:tr>
      <w:tr w:rsidR="00213527" w:rsidRPr="001F33CB" w:rsidTr="00714280">
        <w:tc>
          <w:tcPr>
            <w:tcW w:w="3652" w:type="dxa"/>
            <w:vAlign w:val="center"/>
          </w:tcPr>
          <w:p w:rsidR="00213527" w:rsidRPr="001F33CB" w:rsidRDefault="00213527" w:rsidP="00714280">
            <w:pPr>
              <w:keepNext/>
              <w:keepLines/>
              <w:spacing w:before="120" w:after="120" w:line="240" w:lineRule="auto"/>
              <w:rPr>
                <w:bCs/>
                <w:color w:val="000000"/>
                <w:sz w:val="22"/>
                <w:szCs w:val="22"/>
              </w:rPr>
            </w:pPr>
            <w:r w:rsidRPr="001F33CB">
              <w:rPr>
                <w:bCs/>
                <w:color w:val="000000"/>
                <w:sz w:val="22"/>
                <w:szCs w:val="22"/>
              </w:rPr>
              <w:t>English attainment at 14</w:t>
            </w:r>
          </w:p>
        </w:tc>
        <w:tc>
          <w:tcPr>
            <w:tcW w:w="1701" w:type="dxa"/>
            <w:vAlign w:val="center"/>
          </w:tcPr>
          <w:p w:rsidR="00213527" w:rsidRPr="001F33CB" w:rsidRDefault="00213527" w:rsidP="00714280">
            <w:pPr>
              <w:spacing w:before="120" w:after="120" w:line="240" w:lineRule="auto"/>
              <w:jc w:val="center"/>
            </w:pPr>
            <w:r w:rsidRPr="001F33CB">
              <w:rPr>
                <w:bCs/>
                <w:color w:val="000000"/>
                <w:sz w:val="22"/>
                <w:szCs w:val="22"/>
              </w:rPr>
              <w:t>Continuous</w:t>
            </w:r>
          </w:p>
        </w:tc>
        <w:tc>
          <w:tcPr>
            <w:tcW w:w="4394" w:type="dxa"/>
            <w:vMerge w:val="restart"/>
            <w:vAlign w:val="center"/>
          </w:tcPr>
          <w:p w:rsidR="00213527" w:rsidRPr="001F33CB" w:rsidRDefault="00213527" w:rsidP="00714280">
            <w:pPr>
              <w:keepNext/>
              <w:keepLines/>
              <w:spacing w:before="120" w:after="120" w:line="240" w:lineRule="auto"/>
              <w:rPr>
                <w:sz w:val="22"/>
                <w:szCs w:val="22"/>
              </w:rPr>
            </w:pPr>
            <w:r w:rsidRPr="001F33CB">
              <w:rPr>
                <w:sz w:val="22"/>
                <w:szCs w:val="22"/>
              </w:rPr>
              <w:t>This are national test results at 14 in the respective subjects (on a scale from 0 to 8)</w:t>
            </w:r>
          </w:p>
        </w:tc>
      </w:tr>
      <w:tr w:rsidR="00213527" w:rsidRPr="001F33CB" w:rsidTr="00714280">
        <w:tc>
          <w:tcPr>
            <w:tcW w:w="3652" w:type="dxa"/>
            <w:vAlign w:val="center"/>
          </w:tcPr>
          <w:p w:rsidR="00213527" w:rsidRPr="001F33CB" w:rsidRDefault="00213527" w:rsidP="00714280">
            <w:pPr>
              <w:keepNext/>
              <w:keepLines/>
              <w:spacing w:before="120" w:after="120" w:line="240" w:lineRule="auto"/>
              <w:rPr>
                <w:bCs/>
                <w:color w:val="000000"/>
                <w:sz w:val="22"/>
                <w:szCs w:val="22"/>
              </w:rPr>
            </w:pPr>
            <w:r w:rsidRPr="001F33CB">
              <w:rPr>
                <w:bCs/>
                <w:color w:val="000000"/>
                <w:sz w:val="22"/>
                <w:szCs w:val="22"/>
              </w:rPr>
              <w:t>Mathematics attainment at 14</w:t>
            </w:r>
          </w:p>
        </w:tc>
        <w:tc>
          <w:tcPr>
            <w:tcW w:w="1701" w:type="dxa"/>
            <w:vAlign w:val="center"/>
          </w:tcPr>
          <w:p w:rsidR="00213527" w:rsidRPr="001F33CB" w:rsidRDefault="00213527" w:rsidP="00714280">
            <w:pPr>
              <w:spacing w:before="120" w:after="120" w:line="240" w:lineRule="auto"/>
              <w:jc w:val="center"/>
            </w:pPr>
            <w:r w:rsidRPr="001F33CB">
              <w:rPr>
                <w:bCs/>
                <w:color w:val="000000"/>
                <w:sz w:val="22"/>
                <w:szCs w:val="22"/>
              </w:rPr>
              <w:t>Continuous</w:t>
            </w:r>
          </w:p>
        </w:tc>
        <w:tc>
          <w:tcPr>
            <w:tcW w:w="4394" w:type="dxa"/>
            <w:vMerge/>
            <w:vAlign w:val="center"/>
          </w:tcPr>
          <w:p w:rsidR="00213527" w:rsidRPr="001F33CB" w:rsidRDefault="00213527" w:rsidP="00714280">
            <w:pPr>
              <w:keepNext/>
              <w:keepLines/>
              <w:spacing w:before="120" w:after="120" w:line="240" w:lineRule="auto"/>
              <w:rPr>
                <w:sz w:val="22"/>
                <w:szCs w:val="22"/>
              </w:rPr>
            </w:pPr>
          </w:p>
        </w:tc>
      </w:tr>
      <w:tr w:rsidR="00213527" w:rsidRPr="001F33CB" w:rsidTr="00714280">
        <w:tc>
          <w:tcPr>
            <w:tcW w:w="3652" w:type="dxa"/>
            <w:vAlign w:val="center"/>
          </w:tcPr>
          <w:p w:rsidR="00213527" w:rsidRPr="001F33CB" w:rsidRDefault="00213527" w:rsidP="00714280">
            <w:pPr>
              <w:keepNext/>
              <w:keepLines/>
              <w:spacing w:before="120" w:after="120" w:line="240" w:lineRule="auto"/>
              <w:rPr>
                <w:bCs/>
                <w:color w:val="000000"/>
                <w:sz w:val="22"/>
                <w:szCs w:val="22"/>
              </w:rPr>
            </w:pPr>
            <w:r w:rsidRPr="001F33CB">
              <w:rPr>
                <w:bCs/>
                <w:color w:val="000000"/>
                <w:sz w:val="22"/>
                <w:szCs w:val="22"/>
              </w:rPr>
              <w:t>Science attainment at 14</w:t>
            </w:r>
          </w:p>
        </w:tc>
        <w:tc>
          <w:tcPr>
            <w:tcW w:w="1701" w:type="dxa"/>
            <w:vAlign w:val="center"/>
          </w:tcPr>
          <w:p w:rsidR="00213527" w:rsidRPr="001F33CB" w:rsidRDefault="00213527" w:rsidP="00714280">
            <w:pPr>
              <w:spacing w:before="120" w:after="120" w:line="240" w:lineRule="auto"/>
              <w:jc w:val="center"/>
            </w:pPr>
            <w:r w:rsidRPr="001F33CB">
              <w:rPr>
                <w:bCs/>
                <w:color w:val="000000"/>
                <w:sz w:val="22"/>
                <w:szCs w:val="22"/>
              </w:rPr>
              <w:t>Continuous</w:t>
            </w:r>
          </w:p>
        </w:tc>
        <w:tc>
          <w:tcPr>
            <w:tcW w:w="4394" w:type="dxa"/>
            <w:vMerge/>
            <w:vAlign w:val="center"/>
          </w:tcPr>
          <w:p w:rsidR="00213527" w:rsidRPr="001F33CB" w:rsidRDefault="00213527" w:rsidP="00714280">
            <w:pPr>
              <w:keepNext/>
              <w:keepLines/>
              <w:spacing w:before="120" w:after="120" w:line="240" w:lineRule="auto"/>
              <w:rPr>
                <w:sz w:val="22"/>
                <w:szCs w:val="22"/>
              </w:rPr>
            </w:pPr>
          </w:p>
        </w:tc>
      </w:tr>
      <w:tr w:rsidR="00213527" w:rsidRPr="001F33CB" w:rsidTr="00714280">
        <w:tc>
          <w:tcPr>
            <w:tcW w:w="3652" w:type="dxa"/>
            <w:vAlign w:val="center"/>
          </w:tcPr>
          <w:p w:rsidR="00213527" w:rsidRPr="001F33CB" w:rsidRDefault="00213527" w:rsidP="00714280">
            <w:pPr>
              <w:keepNext/>
              <w:keepLines/>
              <w:spacing w:before="120" w:after="120" w:line="240" w:lineRule="auto"/>
              <w:rPr>
                <w:bCs/>
                <w:color w:val="000000"/>
                <w:sz w:val="22"/>
                <w:szCs w:val="22"/>
              </w:rPr>
            </w:pPr>
            <w:r w:rsidRPr="001F33CB">
              <w:rPr>
                <w:bCs/>
                <w:color w:val="000000"/>
                <w:sz w:val="22"/>
                <w:szCs w:val="22"/>
              </w:rPr>
              <w:t xml:space="preserve">Attainment in science at 16 </w:t>
            </w:r>
          </w:p>
        </w:tc>
        <w:tc>
          <w:tcPr>
            <w:tcW w:w="1701" w:type="dxa"/>
            <w:vAlign w:val="center"/>
          </w:tcPr>
          <w:p w:rsidR="00213527" w:rsidRPr="001F33CB" w:rsidRDefault="00213527" w:rsidP="00714280">
            <w:pPr>
              <w:keepNext/>
              <w:keepLines/>
              <w:spacing w:before="120" w:after="120" w:line="240" w:lineRule="auto"/>
              <w:jc w:val="center"/>
              <w:rPr>
                <w:bCs/>
                <w:color w:val="000000"/>
                <w:sz w:val="22"/>
                <w:szCs w:val="22"/>
              </w:rPr>
            </w:pPr>
            <w:r w:rsidRPr="001F33CB">
              <w:rPr>
                <w:bCs/>
                <w:color w:val="000000"/>
                <w:sz w:val="22"/>
                <w:szCs w:val="22"/>
              </w:rPr>
              <w:t>Continuous</w:t>
            </w:r>
          </w:p>
          <w:p w:rsidR="00213527" w:rsidRPr="001F33CB" w:rsidRDefault="00213527" w:rsidP="00714280">
            <w:pPr>
              <w:keepNext/>
              <w:keepLines/>
              <w:spacing w:before="120" w:after="120" w:line="240" w:lineRule="auto"/>
              <w:jc w:val="center"/>
              <w:rPr>
                <w:bCs/>
                <w:color w:val="000000"/>
                <w:sz w:val="22"/>
                <w:szCs w:val="22"/>
              </w:rPr>
            </w:pPr>
          </w:p>
        </w:tc>
        <w:tc>
          <w:tcPr>
            <w:tcW w:w="4394" w:type="dxa"/>
            <w:vAlign w:val="center"/>
          </w:tcPr>
          <w:p w:rsidR="00213527" w:rsidRPr="001F33CB" w:rsidRDefault="00213527" w:rsidP="00714280">
            <w:pPr>
              <w:keepNext/>
              <w:keepLines/>
              <w:spacing w:before="120" w:after="120" w:line="240" w:lineRule="auto"/>
              <w:rPr>
                <w:sz w:val="22"/>
                <w:szCs w:val="22"/>
              </w:rPr>
            </w:pPr>
            <w:r w:rsidRPr="001F33CB">
              <w:rPr>
                <w:sz w:val="22"/>
                <w:szCs w:val="22"/>
              </w:rPr>
              <w:t xml:space="preserve">This is the mean points score the student achieved in science (on a scale from 0 to 58). </w:t>
            </w:r>
          </w:p>
        </w:tc>
      </w:tr>
      <w:tr w:rsidR="00213527" w:rsidRPr="001F33CB" w:rsidTr="00714280">
        <w:tc>
          <w:tcPr>
            <w:tcW w:w="3652" w:type="dxa"/>
            <w:vAlign w:val="center"/>
          </w:tcPr>
          <w:p w:rsidR="00213527" w:rsidRPr="001F33CB" w:rsidRDefault="00213527" w:rsidP="00714280">
            <w:pPr>
              <w:keepNext/>
              <w:keepLines/>
              <w:spacing w:before="120" w:after="120" w:line="240" w:lineRule="auto"/>
              <w:rPr>
                <w:bCs/>
                <w:color w:val="000000"/>
                <w:sz w:val="22"/>
                <w:szCs w:val="22"/>
              </w:rPr>
            </w:pPr>
            <w:r w:rsidRPr="001F33CB">
              <w:rPr>
                <w:bCs/>
                <w:color w:val="000000"/>
                <w:sz w:val="22"/>
                <w:szCs w:val="22"/>
              </w:rPr>
              <w:t>14-16 school teaches up to age 18</w:t>
            </w:r>
          </w:p>
        </w:tc>
        <w:tc>
          <w:tcPr>
            <w:tcW w:w="1701" w:type="dxa"/>
            <w:vAlign w:val="center"/>
          </w:tcPr>
          <w:p w:rsidR="00213527" w:rsidRPr="001F33CB" w:rsidRDefault="00213527" w:rsidP="00714280">
            <w:pPr>
              <w:keepNext/>
              <w:keepLines/>
              <w:spacing w:before="120" w:after="120" w:line="240" w:lineRule="auto"/>
              <w:jc w:val="center"/>
              <w:rPr>
                <w:sz w:val="22"/>
                <w:szCs w:val="22"/>
              </w:rPr>
            </w:pPr>
            <w:r w:rsidRPr="001F33CB">
              <w:rPr>
                <w:sz w:val="22"/>
                <w:szCs w:val="22"/>
              </w:rPr>
              <w:t>Dichotomous</w:t>
            </w:r>
          </w:p>
        </w:tc>
        <w:tc>
          <w:tcPr>
            <w:tcW w:w="4394" w:type="dxa"/>
            <w:vAlign w:val="center"/>
          </w:tcPr>
          <w:p w:rsidR="00213527" w:rsidRPr="001F33CB" w:rsidRDefault="00213527" w:rsidP="00714280">
            <w:pPr>
              <w:keepNext/>
              <w:keepLines/>
              <w:spacing w:before="120" w:after="120" w:line="240" w:lineRule="auto"/>
              <w:rPr>
                <w:sz w:val="22"/>
                <w:szCs w:val="22"/>
              </w:rPr>
            </w:pPr>
            <w:r w:rsidRPr="001F33CB">
              <w:rPr>
                <w:sz w:val="22"/>
                <w:szCs w:val="22"/>
              </w:rPr>
              <w:t>This indicates whether the 14-16 school also provides post-compulsory education up to age 18 (0=No, 1=Yes).</w:t>
            </w:r>
          </w:p>
        </w:tc>
      </w:tr>
    </w:tbl>
    <w:p w:rsidR="00213527" w:rsidRPr="001F33CB" w:rsidRDefault="00213527" w:rsidP="00213527">
      <w:pPr>
        <w:spacing w:before="120"/>
        <w:rPr>
          <w:b/>
          <w:i/>
        </w:rPr>
      </w:pPr>
      <w:r w:rsidRPr="001F33CB">
        <w:rPr>
          <w:b/>
          <w:i/>
        </w:rPr>
        <w:t>Table A1: Predictors used in the multi-level logistic regression modelling</w:t>
      </w:r>
    </w:p>
    <w:p w:rsidR="00213527" w:rsidRDefault="00213527">
      <w:pPr>
        <w:spacing w:after="200" w:line="276" w:lineRule="auto"/>
      </w:pPr>
      <w:r>
        <w:br w:type="page"/>
      </w:r>
    </w:p>
    <w:p w:rsidR="00213527" w:rsidRPr="001F33CB" w:rsidRDefault="00213527" w:rsidP="00213527">
      <w:pPr>
        <w:rPr>
          <w:b/>
          <w:i/>
        </w:rPr>
        <w:sectPr w:rsidR="00213527" w:rsidRPr="001F33CB" w:rsidSect="00A62F51">
          <w:pgSz w:w="11906" w:h="16838"/>
          <w:pgMar w:top="1440" w:right="1440" w:bottom="1440" w:left="1440" w:header="708" w:footer="708" w:gutter="0"/>
          <w:cols w:space="708"/>
          <w:docGrid w:linePitch="360"/>
        </w:sectPr>
      </w:pPr>
    </w:p>
    <w:tbl>
      <w:tblPr>
        <w:tblStyle w:val="TableGrid"/>
        <w:tblW w:w="15835" w:type="dxa"/>
        <w:tblInd w:w="-601" w:type="dxa"/>
        <w:tblLayout w:type="fixed"/>
        <w:tblLook w:val="04A0" w:firstRow="1" w:lastRow="0" w:firstColumn="1" w:lastColumn="0" w:noHBand="0" w:noVBand="1"/>
      </w:tblPr>
      <w:tblGrid>
        <w:gridCol w:w="709"/>
        <w:gridCol w:w="1134"/>
        <w:gridCol w:w="993"/>
        <w:gridCol w:w="992"/>
        <w:gridCol w:w="850"/>
        <w:gridCol w:w="851"/>
        <w:gridCol w:w="850"/>
        <w:gridCol w:w="993"/>
        <w:gridCol w:w="992"/>
        <w:gridCol w:w="850"/>
        <w:gridCol w:w="898"/>
        <w:gridCol w:w="898"/>
        <w:gridCol w:w="898"/>
        <w:gridCol w:w="850"/>
        <w:gridCol w:w="851"/>
        <w:gridCol w:w="742"/>
        <w:gridCol w:w="742"/>
        <w:gridCol w:w="734"/>
        <w:gridCol w:w="8"/>
      </w:tblGrid>
      <w:tr w:rsidR="00213527" w:rsidRPr="001F33CB" w:rsidTr="00714280">
        <w:trPr>
          <w:gridAfter w:val="1"/>
          <w:wAfter w:w="8" w:type="dxa"/>
          <w:trHeight w:val="614"/>
        </w:trPr>
        <w:tc>
          <w:tcPr>
            <w:tcW w:w="709" w:type="dxa"/>
            <w:vMerge w:val="restart"/>
            <w:vAlign w:val="center"/>
          </w:tcPr>
          <w:p w:rsidR="00213527" w:rsidRPr="001F33CB" w:rsidRDefault="00213527" w:rsidP="00714280">
            <w:pPr>
              <w:spacing w:line="240" w:lineRule="auto"/>
              <w:jc w:val="center"/>
              <w:rPr>
                <w:b/>
                <w:sz w:val="16"/>
                <w:szCs w:val="16"/>
              </w:rPr>
            </w:pPr>
            <w:r w:rsidRPr="001F33CB">
              <w:rPr>
                <w:b/>
                <w:sz w:val="16"/>
                <w:szCs w:val="16"/>
              </w:rPr>
              <w:lastRenderedPageBreak/>
              <w:t>KS4 route</w:t>
            </w:r>
          </w:p>
        </w:tc>
        <w:tc>
          <w:tcPr>
            <w:tcW w:w="1134" w:type="dxa"/>
            <w:vMerge w:val="restart"/>
            <w:vAlign w:val="center"/>
          </w:tcPr>
          <w:p w:rsidR="00213527" w:rsidRPr="001F33CB" w:rsidRDefault="00213527" w:rsidP="00714280">
            <w:pPr>
              <w:spacing w:line="240" w:lineRule="auto"/>
              <w:jc w:val="center"/>
              <w:rPr>
                <w:b/>
                <w:sz w:val="16"/>
                <w:szCs w:val="16"/>
              </w:rPr>
            </w:pPr>
            <w:r w:rsidRPr="001F33CB">
              <w:rPr>
                <w:b/>
                <w:sz w:val="16"/>
                <w:szCs w:val="16"/>
              </w:rPr>
              <w:t>Post-16 qualification</w:t>
            </w:r>
          </w:p>
        </w:tc>
        <w:tc>
          <w:tcPr>
            <w:tcW w:w="11766" w:type="dxa"/>
            <w:gridSpan w:val="13"/>
            <w:tcBorders>
              <w:right w:val="single" w:sz="18" w:space="0" w:color="000000" w:themeColor="text1"/>
            </w:tcBorders>
            <w:vAlign w:val="center"/>
          </w:tcPr>
          <w:p w:rsidR="00213527" w:rsidRPr="001F33CB" w:rsidRDefault="00213527" w:rsidP="00714280">
            <w:pPr>
              <w:spacing w:line="240" w:lineRule="auto"/>
              <w:jc w:val="center"/>
              <w:rPr>
                <w:b/>
                <w:sz w:val="16"/>
                <w:szCs w:val="16"/>
              </w:rPr>
            </w:pPr>
            <w:r w:rsidRPr="001F33CB">
              <w:rPr>
                <w:b/>
                <w:sz w:val="16"/>
                <w:szCs w:val="16"/>
              </w:rPr>
              <w:t>Fixed parameter estimate (standard error)</w:t>
            </w:r>
          </w:p>
        </w:tc>
        <w:tc>
          <w:tcPr>
            <w:tcW w:w="2218" w:type="dxa"/>
            <w:gridSpan w:val="3"/>
            <w:vMerge w:val="restart"/>
            <w:tcBorders>
              <w:left w:val="single" w:sz="18" w:space="0" w:color="000000" w:themeColor="text1"/>
            </w:tcBorders>
            <w:vAlign w:val="center"/>
          </w:tcPr>
          <w:p w:rsidR="00213527" w:rsidRPr="001F33CB" w:rsidRDefault="00213527" w:rsidP="00714280">
            <w:pPr>
              <w:spacing w:line="240" w:lineRule="auto"/>
              <w:jc w:val="center"/>
              <w:rPr>
                <w:b/>
                <w:sz w:val="16"/>
                <w:szCs w:val="16"/>
              </w:rPr>
            </w:pPr>
            <w:r w:rsidRPr="001F33CB">
              <w:rPr>
                <w:b/>
                <w:sz w:val="16"/>
                <w:szCs w:val="16"/>
              </w:rPr>
              <w:t xml:space="preserve">Level 2 (school) residual variance estimate (standard error), </w:t>
            </w:r>
          </w:p>
          <w:p w:rsidR="00213527" w:rsidRPr="001F33CB" w:rsidRDefault="00213527" w:rsidP="00714280">
            <w:pPr>
              <w:spacing w:line="240" w:lineRule="auto"/>
              <w:jc w:val="center"/>
              <w:rPr>
                <w:b/>
                <w:sz w:val="16"/>
                <w:szCs w:val="16"/>
              </w:rPr>
            </w:pPr>
            <w:r w:rsidRPr="001F33CB">
              <w:rPr>
                <w:b/>
                <w:sz w:val="16"/>
                <w:szCs w:val="16"/>
              </w:rPr>
              <w:t>percentage of residual variance at school level</w:t>
            </w:r>
          </w:p>
        </w:tc>
      </w:tr>
      <w:tr w:rsidR="00213527" w:rsidRPr="001F33CB" w:rsidTr="00714280">
        <w:trPr>
          <w:gridAfter w:val="1"/>
          <w:wAfter w:w="8" w:type="dxa"/>
          <w:trHeight w:val="614"/>
        </w:trPr>
        <w:tc>
          <w:tcPr>
            <w:tcW w:w="709" w:type="dxa"/>
            <w:vMerge/>
            <w:vAlign w:val="center"/>
          </w:tcPr>
          <w:p w:rsidR="00213527" w:rsidRPr="001F33CB" w:rsidRDefault="00213527" w:rsidP="00714280">
            <w:pPr>
              <w:spacing w:line="240" w:lineRule="auto"/>
              <w:jc w:val="center"/>
              <w:rPr>
                <w:b/>
                <w:sz w:val="16"/>
                <w:szCs w:val="16"/>
              </w:rPr>
            </w:pPr>
          </w:p>
        </w:tc>
        <w:tc>
          <w:tcPr>
            <w:tcW w:w="1134" w:type="dxa"/>
            <w:vMerge/>
            <w:vAlign w:val="center"/>
          </w:tcPr>
          <w:p w:rsidR="00213527" w:rsidRPr="001F33CB" w:rsidRDefault="00213527" w:rsidP="00714280">
            <w:pPr>
              <w:spacing w:line="240" w:lineRule="auto"/>
              <w:jc w:val="center"/>
              <w:rPr>
                <w:b/>
                <w:sz w:val="16"/>
                <w:szCs w:val="16"/>
              </w:rPr>
            </w:pPr>
          </w:p>
        </w:tc>
        <w:tc>
          <w:tcPr>
            <w:tcW w:w="993" w:type="dxa"/>
            <w:tcBorders>
              <w:right w:val="single" w:sz="18" w:space="0" w:color="000000" w:themeColor="text1"/>
            </w:tcBorders>
            <w:vAlign w:val="center"/>
          </w:tcPr>
          <w:p w:rsidR="00213527" w:rsidRPr="001F33CB" w:rsidRDefault="00213527" w:rsidP="00714280">
            <w:pPr>
              <w:spacing w:line="240" w:lineRule="auto"/>
              <w:jc w:val="center"/>
              <w:rPr>
                <w:b/>
                <w:sz w:val="16"/>
                <w:szCs w:val="16"/>
              </w:rPr>
            </w:pPr>
            <w:r w:rsidRPr="001F33CB">
              <w:rPr>
                <w:b/>
                <w:sz w:val="16"/>
                <w:szCs w:val="16"/>
              </w:rPr>
              <w:t>Null model</w:t>
            </w:r>
          </w:p>
        </w:tc>
        <w:tc>
          <w:tcPr>
            <w:tcW w:w="1842" w:type="dxa"/>
            <w:gridSpan w:val="2"/>
            <w:tcBorders>
              <w:left w:val="single" w:sz="18" w:space="0" w:color="000000" w:themeColor="text1"/>
              <w:right w:val="single" w:sz="18" w:space="0" w:color="000000" w:themeColor="text1"/>
            </w:tcBorders>
            <w:vAlign w:val="center"/>
          </w:tcPr>
          <w:p w:rsidR="00213527" w:rsidRPr="001F33CB" w:rsidRDefault="00213527" w:rsidP="00714280">
            <w:pPr>
              <w:spacing w:line="240" w:lineRule="auto"/>
              <w:jc w:val="center"/>
              <w:rPr>
                <w:b/>
                <w:sz w:val="16"/>
                <w:szCs w:val="16"/>
              </w:rPr>
            </w:pPr>
            <w:r w:rsidRPr="001F33CB">
              <w:rPr>
                <w:b/>
                <w:sz w:val="16"/>
                <w:szCs w:val="16"/>
              </w:rPr>
              <w:t>Simple model (single predictor 21CS)</w:t>
            </w:r>
          </w:p>
        </w:tc>
        <w:tc>
          <w:tcPr>
            <w:tcW w:w="8931" w:type="dxa"/>
            <w:gridSpan w:val="10"/>
            <w:tcBorders>
              <w:left w:val="single" w:sz="18" w:space="0" w:color="000000" w:themeColor="text1"/>
              <w:right w:val="single" w:sz="18" w:space="0" w:color="000000" w:themeColor="text1"/>
            </w:tcBorders>
            <w:vAlign w:val="center"/>
          </w:tcPr>
          <w:p w:rsidR="00213527" w:rsidRPr="001F33CB" w:rsidRDefault="00213527" w:rsidP="00714280">
            <w:pPr>
              <w:spacing w:line="240" w:lineRule="auto"/>
              <w:jc w:val="center"/>
              <w:rPr>
                <w:b/>
                <w:sz w:val="16"/>
                <w:szCs w:val="16"/>
              </w:rPr>
            </w:pPr>
            <w:r w:rsidRPr="001F33CB">
              <w:rPr>
                <w:b/>
                <w:sz w:val="16"/>
                <w:szCs w:val="16"/>
              </w:rPr>
              <w:t>Full model (multiple predictors</w:t>
            </w:r>
            <w:r w:rsidR="002F2237">
              <w:rPr>
                <w:b/>
                <w:sz w:val="16"/>
                <w:szCs w:val="16"/>
              </w:rPr>
              <w:t xml:space="preserve"> – see Table A1 for further details</w:t>
            </w:r>
            <w:r w:rsidRPr="001F33CB">
              <w:rPr>
                <w:b/>
                <w:sz w:val="16"/>
                <w:szCs w:val="16"/>
              </w:rPr>
              <w:t>)</w:t>
            </w:r>
          </w:p>
        </w:tc>
        <w:tc>
          <w:tcPr>
            <w:tcW w:w="2218" w:type="dxa"/>
            <w:gridSpan w:val="3"/>
            <w:vMerge/>
            <w:tcBorders>
              <w:left w:val="single" w:sz="18" w:space="0" w:color="000000" w:themeColor="text1"/>
            </w:tcBorders>
            <w:vAlign w:val="center"/>
          </w:tcPr>
          <w:p w:rsidR="00213527" w:rsidRPr="001F33CB" w:rsidRDefault="00213527" w:rsidP="00714280">
            <w:pPr>
              <w:spacing w:line="240" w:lineRule="auto"/>
              <w:jc w:val="center"/>
              <w:rPr>
                <w:b/>
                <w:sz w:val="16"/>
                <w:szCs w:val="16"/>
              </w:rPr>
            </w:pPr>
          </w:p>
        </w:tc>
      </w:tr>
      <w:tr w:rsidR="00213527" w:rsidRPr="001F33CB" w:rsidTr="00714280">
        <w:trPr>
          <w:trHeight w:val="70"/>
        </w:trPr>
        <w:tc>
          <w:tcPr>
            <w:tcW w:w="709" w:type="dxa"/>
            <w:vMerge/>
          </w:tcPr>
          <w:p w:rsidR="00213527" w:rsidRPr="001F33CB" w:rsidRDefault="00213527" w:rsidP="00714280">
            <w:pPr>
              <w:spacing w:line="240" w:lineRule="auto"/>
              <w:rPr>
                <w:sz w:val="16"/>
                <w:szCs w:val="16"/>
              </w:rPr>
            </w:pPr>
          </w:p>
        </w:tc>
        <w:tc>
          <w:tcPr>
            <w:tcW w:w="1134" w:type="dxa"/>
            <w:vMerge/>
          </w:tcPr>
          <w:p w:rsidR="00213527" w:rsidRPr="001F33CB" w:rsidRDefault="00213527" w:rsidP="00714280">
            <w:pPr>
              <w:spacing w:line="240" w:lineRule="auto"/>
              <w:rPr>
                <w:sz w:val="16"/>
                <w:szCs w:val="16"/>
              </w:rPr>
            </w:pPr>
          </w:p>
        </w:tc>
        <w:tc>
          <w:tcPr>
            <w:tcW w:w="993" w:type="dxa"/>
            <w:vMerge w:val="restart"/>
            <w:tcBorders>
              <w:right w:val="single" w:sz="18" w:space="0" w:color="000000" w:themeColor="text1"/>
            </w:tcBorders>
            <w:vAlign w:val="center"/>
          </w:tcPr>
          <w:p w:rsidR="00213527" w:rsidRPr="001F33CB" w:rsidRDefault="00213527" w:rsidP="00714280">
            <w:pPr>
              <w:tabs>
                <w:tab w:val="left" w:pos="875"/>
              </w:tabs>
              <w:spacing w:line="240" w:lineRule="auto"/>
              <w:ind w:left="-117" w:right="-108"/>
              <w:jc w:val="center"/>
              <w:rPr>
                <w:b/>
                <w:color w:val="000000"/>
                <w:sz w:val="16"/>
                <w:szCs w:val="16"/>
              </w:rPr>
            </w:pPr>
            <w:r w:rsidRPr="001F33CB">
              <w:rPr>
                <w:b/>
                <w:color w:val="000000"/>
                <w:sz w:val="16"/>
                <w:szCs w:val="16"/>
              </w:rPr>
              <w:t>Constant</w:t>
            </w:r>
          </w:p>
        </w:tc>
        <w:tc>
          <w:tcPr>
            <w:tcW w:w="992" w:type="dxa"/>
            <w:vMerge w:val="restart"/>
            <w:tcBorders>
              <w:left w:val="single" w:sz="18" w:space="0" w:color="000000" w:themeColor="text1"/>
            </w:tcBorders>
            <w:vAlign w:val="center"/>
          </w:tcPr>
          <w:p w:rsidR="00213527" w:rsidRPr="001F33CB" w:rsidRDefault="00213527" w:rsidP="00714280">
            <w:pPr>
              <w:spacing w:line="240" w:lineRule="auto"/>
              <w:jc w:val="center"/>
              <w:rPr>
                <w:b/>
                <w:sz w:val="16"/>
                <w:szCs w:val="16"/>
              </w:rPr>
            </w:pPr>
            <w:r w:rsidRPr="001F33CB">
              <w:rPr>
                <w:b/>
                <w:sz w:val="16"/>
                <w:szCs w:val="16"/>
              </w:rPr>
              <w:t>Constant</w:t>
            </w:r>
          </w:p>
        </w:tc>
        <w:tc>
          <w:tcPr>
            <w:tcW w:w="850" w:type="dxa"/>
            <w:vMerge w:val="restart"/>
            <w:tcBorders>
              <w:right w:val="single" w:sz="18" w:space="0" w:color="000000" w:themeColor="text1"/>
            </w:tcBorders>
            <w:vAlign w:val="center"/>
          </w:tcPr>
          <w:p w:rsidR="00213527" w:rsidRPr="001F33CB" w:rsidRDefault="00213527" w:rsidP="00714280">
            <w:pPr>
              <w:spacing w:line="240" w:lineRule="auto"/>
              <w:jc w:val="center"/>
              <w:rPr>
                <w:b/>
                <w:sz w:val="16"/>
                <w:szCs w:val="16"/>
              </w:rPr>
            </w:pPr>
            <w:r w:rsidRPr="001F33CB">
              <w:rPr>
                <w:b/>
                <w:sz w:val="16"/>
                <w:szCs w:val="16"/>
              </w:rPr>
              <w:t>21CS</w:t>
            </w:r>
          </w:p>
        </w:tc>
        <w:tc>
          <w:tcPr>
            <w:tcW w:w="851" w:type="dxa"/>
            <w:vMerge w:val="restart"/>
            <w:tcBorders>
              <w:left w:val="single" w:sz="18" w:space="0" w:color="000000" w:themeColor="text1"/>
            </w:tcBorders>
            <w:vAlign w:val="center"/>
          </w:tcPr>
          <w:p w:rsidR="00213527" w:rsidRPr="001F33CB" w:rsidRDefault="00213527" w:rsidP="00714280">
            <w:pPr>
              <w:spacing w:line="240" w:lineRule="auto"/>
              <w:ind w:left="-108"/>
              <w:jc w:val="center"/>
              <w:rPr>
                <w:b/>
                <w:sz w:val="16"/>
                <w:szCs w:val="16"/>
              </w:rPr>
            </w:pPr>
            <w:r w:rsidRPr="001F33CB">
              <w:rPr>
                <w:b/>
                <w:sz w:val="16"/>
                <w:szCs w:val="16"/>
              </w:rPr>
              <w:t xml:space="preserve"> Constant</w:t>
            </w:r>
          </w:p>
        </w:tc>
        <w:tc>
          <w:tcPr>
            <w:tcW w:w="850" w:type="dxa"/>
            <w:vMerge w:val="restart"/>
            <w:vAlign w:val="center"/>
          </w:tcPr>
          <w:p w:rsidR="00213527" w:rsidRPr="001F33CB" w:rsidRDefault="00213527" w:rsidP="00714280">
            <w:pPr>
              <w:spacing w:line="240" w:lineRule="auto"/>
              <w:jc w:val="center"/>
              <w:rPr>
                <w:b/>
                <w:sz w:val="16"/>
                <w:szCs w:val="16"/>
              </w:rPr>
            </w:pPr>
            <w:r w:rsidRPr="001F33CB">
              <w:rPr>
                <w:b/>
                <w:sz w:val="16"/>
                <w:szCs w:val="16"/>
              </w:rPr>
              <w:t>21CS</w:t>
            </w:r>
          </w:p>
        </w:tc>
        <w:tc>
          <w:tcPr>
            <w:tcW w:w="993" w:type="dxa"/>
            <w:vMerge w:val="restart"/>
            <w:vAlign w:val="center"/>
          </w:tcPr>
          <w:p w:rsidR="00213527" w:rsidRPr="001F33CB" w:rsidRDefault="00213527" w:rsidP="00714280">
            <w:pPr>
              <w:spacing w:line="240" w:lineRule="auto"/>
              <w:jc w:val="center"/>
              <w:rPr>
                <w:b/>
                <w:sz w:val="16"/>
                <w:szCs w:val="16"/>
              </w:rPr>
            </w:pPr>
            <w:r w:rsidRPr="001F33CB">
              <w:rPr>
                <w:b/>
                <w:sz w:val="16"/>
                <w:szCs w:val="16"/>
              </w:rPr>
              <w:t xml:space="preserve">Gender </w:t>
            </w:r>
          </w:p>
          <w:p w:rsidR="00213527" w:rsidRPr="001F33CB" w:rsidRDefault="00213527" w:rsidP="00714280">
            <w:pPr>
              <w:spacing w:line="240" w:lineRule="auto"/>
              <w:jc w:val="center"/>
              <w:rPr>
                <w:b/>
                <w:sz w:val="16"/>
                <w:szCs w:val="16"/>
              </w:rPr>
            </w:pPr>
            <w:r w:rsidRPr="001F33CB">
              <w:rPr>
                <w:b/>
                <w:sz w:val="16"/>
                <w:szCs w:val="16"/>
              </w:rPr>
              <w:t>(Male)</w:t>
            </w:r>
          </w:p>
        </w:tc>
        <w:tc>
          <w:tcPr>
            <w:tcW w:w="1842" w:type="dxa"/>
            <w:gridSpan w:val="2"/>
            <w:vAlign w:val="center"/>
          </w:tcPr>
          <w:p w:rsidR="00213527" w:rsidRPr="001F33CB" w:rsidRDefault="00213527" w:rsidP="00714280">
            <w:pPr>
              <w:spacing w:line="240" w:lineRule="auto"/>
              <w:jc w:val="center"/>
              <w:rPr>
                <w:b/>
                <w:sz w:val="16"/>
                <w:szCs w:val="16"/>
              </w:rPr>
            </w:pPr>
            <w:r w:rsidRPr="001F33CB">
              <w:rPr>
                <w:b/>
                <w:sz w:val="16"/>
                <w:szCs w:val="16"/>
              </w:rPr>
              <w:t>Measures of socio-economic status</w:t>
            </w:r>
          </w:p>
        </w:tc>
        <w:tc>
          <w:tcPr>
            <w:tcW w:w="2694" w:type="dxa"/>
            <w:gridSpan w:val="3"/>
            <w:vAlign w:val="center"/>
          </w:tcPr>
          <w:p w:rsidR="00213527" w:rsidRPr="001F33CB" w:rsidRDefault="00213527" w:rsidP="00714280">
            <w:pPr>
              <w:spacing w:line="240" w:lineRule="auto"/>
              <w:jc w:val="center"/>
              <w:rPr>
                <w:b/>
                <w:sz w:val="16"/>
                <w:szCs w:val="16"/>
              </w:rPr>
            </w:pPr>
            <w:r w:rsidRPr="001F33CB">
              <w:rPr>
                <w:b/>
                <w:sz w:val="16"/>
                <w:szCs w:val="16"/>
              </w:rPr>
              <w:t xml:space="preserve">Attainment at 14 </w:t>
            </w:r>
          </w:p>
          <w:p w:rsidR="00213527" w:rsidRPr="001F33CB" w:rsidRDefault="00213527" w:rsidP="00714280">
            <w:pPr>
              <w:spacing w:line="240" w:lineRule="auto"/>
              <w:jc w:val="center"/>
              <w:rPr>
                <w:b/>
                <w:sz w:val="16"/>
                <w:szCs w:val="16"/>
              </w:rPr>
            </w:pPr>
            <w:r w:rsidRPr="001F33CB">
              <w:rPr>
                <w:b/>
                <w:sz w:val="16"/>
                <w:szCs w:val="16"/>
              </w:rPr>
              <w:t>(KS3 fine level)</w:t>
            </w:r>
          </w:p>
        </w:tc>
        <w:tc>
          <w:tcPr>
            <w:tcW w:w="850" w:type="dxa"/>
            <w:vMerge w:val="restart"/>
            <w:vAlign w:val="center"/>
          </w:tcPr>
          <w:p w:rsidR="00213527" w:rsidRPr="001F33CB" w:rsidRDefault="00213527" w:rsidP="00714280">
            <w:pPr>
              <w:spacing w:line="240" w:lineRule="auto"/>
              <w:ind w:left="-108" w:right="-108"/>
              <w:jc w:val="center"/>
              <w:rPr>
                <w:b/>
                <w:sz w:val="16"/>
                <w:szCs w:val="16"/>
              </w:rPr>
            </w:pPr>
            <w:r w:rsidRPr="001F33CB">
              <w:rPr>
                <w:b/>
                <w:sz w:val="16"/>
                <w:szCs w:val="16"/>
              </w:rPr>
              <w:t>Science attainment at 16 (KS4 points)</w:t>
            </w:r>
          </w:p>
        </w:tc>
        <w:tc>
          <w:tcPr>
            <w:tcW w:w="851" w:type="dxa"/>
            <w:vMerge w:val="restart"/>
            <w:tcBorders>
              <w:right w:val="single" w:sz="18" w:space="0" w:color="000000" w:themeColor="text1"/>
            </w:tcBorders>
            <w:vAlign w:val="center"/>
          </w:tcPr>
          <w:p w:rsidR="00213527" w:rsidRPr="001F33CB" w:rsidRDefault="00213527" w:rsidP="00714280">
            <w:pPr>
              <w:spacing w:line="240" w:lineRule="auto"/>
              <w:ind w:left="-108"/>
              <w:jc w:val="center"/>
              <w:rPr>
                <w:b/>
                <w:sz w:val="16"/>
                <w:szCs w:val="16"/>
              </w:rPr>
            </w:pPr>
            <w:r w:rsidRPr="001F33CB">
              <w:rPr>
                <w:b/>
                <w:sz w:val="16"/>
                <w:szCs w:val="16"/>
              </w:rPr>
              <w:t>14-16 school teaches to 18</w:t>
            </w:r>
          </w:p>
        </w:tc>
        <w:tc>
          <w:tcPr>
            <w:tcW w:w="742" w:type="dxa"/>
            <w:vMerge w:val="restart"/>
            <w:tcBorders>
              <w:left w:val="single" w:sz="18" w:space="0" w:color="000000" w:themeColor="text1"/>
            </w:tcBorders>
            <w:vAlign w:val="center"/>
          </w:tcPr>
          <w:p w:rsidR="00213527" w:rsidRPr="001F33CB" w:rsidRDefault="00213527" w:rsidP="00714280">
            <w:pPr>
              <w:spacing w:line="240" w:lineRule="auto"/>
              <w:jc w:val="center"/>
              <w:rPr>
                <w:b/>
                <w:sz w:val="16"/>
                <w:szCs w:val="16"/>
              </w:rPr>
            </w:pPr>
            <w:r w:rsidRPr="001F33CB">
              <w:rPr>
                <w:b/>
                <w:sz w:val="16"/>
                <w:szCs w:val="16"/>
              </w:rPr>
              <w:t>Null model</w:t>
            </w:r>
          </w:p>
        </w:tc>
        <w:tc>
          <w:tcPr>
            <w:tcW w:w="742" w:type="dxa"/>
            <w:vMerge w:val="restart"/>
            <w:vAlign w:val="center"/>
          </w:tcPr>
          <w:p w:rsidR="00213527" w:rsidRPr="001F33CB" w:rsidRDefault="00213527" w:rsidP="00714280">
            <w:pPr>
              <w:spacing w:line="240" w:lineRule="auto"/>
              <w:ind w:left="-88"/>
              <w:jc w:val="center"/>
              <w:rPr>
                <w:b/>
                <w:sz w:val="16"/>
                <w:szCs w:val="16"/>
              </w:rPr>
            </w:pPr>
            <w:r w:rsidRPr="001F33CB">
              <w:rPr>
                <w:b/>
                <w:sz w:val="16"/>
                <w:szCs w:val="16"/>
              </w:rPr>
              <w:t>Simple model</w:t>
            </w:r>
          </w:p>
        </w:tc>
        <w:tc>
          <w:tcPr>
            <w:tcW w:w="742" w:type="dxa"/>
            <w:gridSpan w:val="2"/>
            <w:vMerge w:val="restart"/>
            <w:vAlign w:val="center"/>
          </w:tcPr>
          <w:p w:rsidR="00213527" w:rsidRPr="001F33CB" w:rsidRDefault="00213527" w:rsidP="00714280">
            <w:pPr>
              <w:spacing w:line="240" w:lineRule="auto"/>
              <w:jc w:val="center"/>
              <w:rPr>
                <w:b/>
                <w:sz w:val="16"/>
                <w:szCs w:val="16"/>
              </w:rPr>
            </w:pPr>
            <w:r w:rsidRPr="001F33CB">
              <w:rPr>
                <w:b/>
                <w:sz w:val="16"/>
                <w:szCs w:val="16"/>
              </w:rPr>
              <w:t>Full model</w:t>
            </w:r>
          </w:p>
        </w:tc>
      </w:tr>
      <w:tr w:rsidR="00213527" w:rsidRPr="001F33CB" w:rsidTr="00714280">
        <w:trPr>
          <w:trHeight w:val="397"/>
        </w:trPr>
        <w:tc>
          <w:tcPr>
            <w:tcW w:w="709" w:type="dxa"/>
            <w:vMerge/>
            <w:tcBorders>
              <w:bottom w:val="single" w:sz="4" w:space="0" w:color="000000" w:themeColor="text1"/>
            </w:tcBorders>
          </w:tcPr>
          <w:p w:rsidR="00213527" w:rsidRPr="001F33CB" w:rsidRDefault="00213527" w:rsidP="00714280">
            <w:pPr>
              <w:spacing w:line="240" w:lineRule="auto"/>
              <w:rPr>
                <w:sz w:val="16"/>
                <w:szCs w:val="16"/>
              </w:rPr>
            </w:pPr>
          </w:p>
        </w:tc>
        <w:tc>
          <w:tcPr>
            <w:tcW w:w="1134" w:type="dxa"/>
            <w:vMerge/>
          </w:tcPr>
          <w:p w:rsidR="00213527" w:rsidRPr="001F33CB" w:rsidRDefault="00213527" w:rsidP="00714280">
            <w:pPr>
              <w:spacing w:line="240" w:lineRule="auto"/>
              <w:rPr>
                <w:sz w:val="16"/>
                <w:szCs w:val="16"/>
              </w:rPr>
            </w:pPr>
          </w:p>
        </w:tc>
        <w:tc>
          <w:tcPr>
            <w:tcW w:w="993" w:type="dxa"/>
            <w:vMerge/>
            <w:tcBorders>
              <w:right w:val="single" w:sz="18" w:space="0" w:color="000000" w:themeColor="text1"/>
            </w:tcBorders>
            <w:vAlign w:val="center"/>
          </w:tcPr>
          <w:p w:rsidR="00213527" w:rsidRPr="001F33CB" w:rsidRDefault="00213527" w:rsidP="00714280">
            <w:pPr>
              <w:spacing w:line="240" w:lineRule="auto"/>
              <w:jc w:val="center"/>
              <w:rPr>
                <w:sz w:val="16"/>
                <w:szCs w:val="16"/>
              </w:rPr>
            </w:pPr>
          </w:p>
        </w:tc>
        <w:tc>
          <w:tcPr>
            <w:tcW w:w="992" w:type="dxa"/>
            <w:vMerge/>
            <w:tcBorders>
              <w:left w:val="single" w:sz="18" w:space="0" w:color="000000" w:themeColor="text1"/>
            </w:tcBorders>
            <w:vAlign w:val="center"/>
          </w:tcPr>
          <w:p w:rsidR="00213527" w:rsidRPr="001F33CB" w:rsidRDefault="00213527" w:rsidP="00714280">
            <w:pPr>
              <w:spacing w:line="240" w:lineRule="auto"/>
              <w:jc w:val="center"/>
              <w:rPr>
                <w:sz w:val="16"/>
                <w:szCs w:val="16"/>
              </w:rPr>
            </w:pPr>
          </w:p>
        </w:tc>
        <w:tc>
          <w:tcPr>
            <w:tcW w:w="850" w:type="dxa"/>
            <w:vMerge/>
            <w:tcBorders>
              <w:right w:val="single" w:sz="18" w:space="0" w:color="000000" w:themeColor="text1"/>
            </w:tcBorders>
            <w:vAlign w:val="center"/>
          </w:tcPr>
          <w:p w:rsidR="00213527" w:rsidRPr="001F33CB" w:rsidRDefault="00213527" w:rsidP="00714280">
            <w:pPr>
              <w:spacing w:line="240" w:lineRule="auto"/>
              <w:jc w:val="center"/>
              <w:rPr>
                <w:sz w:val="16"/>
                <w:szCs w:val="16"/>
              </w:rPr>
            </w:pPr>
          </w:p>
        </w:tc>
        <w:tc>
          <w:tcPr>
            <w:tcW w:w="851" w:type="dxa"/>
            <w:vMerge/>
            <w:tcBorders>
              <w:left w:val="single" w:sz="18" w:space="0" w:color="000000" w:themeColor="text1"/>
            </w:tcBorders>
            <w:vAlign w:val="center"/>
          </w:tcPr>
          <w:p w:rsidR="00213527" w:rsidRPr="001F33CB" w:rsidRDefault="00213527" w:rsidP="00714280">
            <w:pPr>
              <w:spacing w:line="240" w:lineRule="auto"/>
              <w:jc w:val="center"/>
              <w:rPr>
                <w:sz w:val="16"/>
                <w:szCs w:val="16"/>
              </w:rPr>
            </w:pPr>
          </w:p>
        </w:tc>
        <w:tc>
          <w:tcPr>
            <w:tcW w:w="850" w:type="dxa"/>
            <w:vMerge/>
            <w:vAlign w:val="center"/>
          </w:tcPr>
          <w:p w:rsidR="00213527" w:rsidRPr="001F33CB" w:rsidRDefault="00213527" w:rsidP="00714280">
            <w:pPr>
              <w:spacing w:line="240" w:lineRule="auto"/>
              <w:jc w:val="center"/>
              <w:rPr>
                <w:sz w:val="16"/>
                <w:szCs w:val="16"/>
              </w:rPr>
            </w:pPr>
          </w:p>
        </w:tc>
        <w:tc>
          <w:tcPr>
            <w:tcW w:w="993" w:type="dxa"/>
            <w:vMerge/>
          </w:tcPr>
          <w:p w:rsidR="00213527" w:rsidRPr="001F33CB" w:rsidRDefault="00213527" w:rsidP="00714280">
            <w:pPr>
              <w:spacing w:line="240" w:lineRule="auto"/>
              <w:jc w:val="center"/>
              <w:rPr>
                <w:sz w:val="16"/>
                <w:szCs w:val="16"/>
              </w:rPr>
            </w:pPr>
          </w:p>
        </w:tc>
        <w:tc>
          <w:tcPr>
            <w:tcW w:w="992" w:type="dxa"/>
            <w:vAlign w:val="center"/>
          </w:tcPr>
          <w:p w:rsidR="00213527" w:rsidRPr="001F33CB" w:rsidRDefault="00213527" w:rsidP="00714280">
            <w:pPr>
              <w:spacing w:line="240" w:lineRule="auto"/>
              <w:jc w:val="center"/>
              <w:rPr>
                <w:b/>
                <w:sz w:val="16"/>
                <w:szCs w:val="16"/>
              </w:rPr>
            </w:pPr>
            <w:r w:rsidRPr="001F33CB">
              <w:rPr>
                <w:b/>
                <w:sz w:val="16"/>
                <w:szCs w:val="16"/>
              </w:rPr>
              <w:t>FSM-eligible</w:t>
            </w:r>
          </w:p>
        </w:tc>
        <w:tc>
          <w:tcPr>
            <w:tcW w:w="850" w:type="dxa"/>
            <w:vAlign w:val="center"/>
          </w:tcPr>
          <w:p w:rsidR="00213527" w:rsidRPr="001F33CB" w:rsidRDefault="00213527" w:rsidP="00714280">
            <w:pPr>
              <w:spacing w:line="240" w:lineRule="auto"/>
              <w:jc w:val="center"/>
              <w:rPr>
                <w:b/>
                <w:sz w:val="16"/>
                <w:szCs w:val="16"/>
              </w:rPr>
            </w:pPr>
            <w:r w:rsidRPr="001F33CB">
              <w:rPr>
                <w:b/>
                <w:sz w:val="16"/>
                <w:szCs w:val="16"/>
              </w:rPr>
              <w:t>IDACI</w:t>
            </w:r>
          </w:p>
        </w:tc>
        <w:tc>
          <w:tcPr>
            <w:tcW w:w="898" w:type="dxa"/>
            <w:vAlign w:val="center"/>
          </w:tcPr>
          <w:p w:rsidR="00213527" w:rsidRPr="001F33CB" w:rsidRDefault="00213527" w:rsidP="00714280">
            <w:pPr>
              <w:spacing w:line="240" w:lineRule="auto"/>
              <w:ind w:left="-108"/>
              <w:jc w:val="center"/>
              <w:rPr>
                <w:b/>
                <w:sz w:val="16"/>
                <w:szCs w:val="16"/>
              </w:rPr>
            </w:pPr>
            <w:r w:rsidRPr="001F33CB">
              <w:rPr>
                <w:b/>
                <w:sz w:val="16"/>
                <w:szCs w:val="16"/>
              </w:rPr>
              <w:t>English</w:t>
            </w:r>
          </w:p>
        </w:tc>
        <w:tc>
          <w:tcPr>
            <w:tcW w:w="898" w:type="dxa"/>
            <w:vAlign w:val="center"/>
          </w:tcPr>
          <w:p w:rsidR="00213527" w:rsidRPr="001F33CB" w:rsidRDefault="00213527" w:rsidP="00714280">
            <w:pPr>
              <w:spacing w:line="240" w:lineRule="auto"/>
              <w:ind w:left="-108"/>
              <w:jc w:val="center"/>
              <w:rPr>
                <w:b/>
                <w:sz w:val="16"/>
                <w:szCs w:val="16"/>
              </w:rPr>
            </w:pPr>
            <w:r w:rsidRPr="001F33CB">
              <w:rPr>
                <w:b/>
                <w:sz w:val="16"/>
                <w:szCs w:val="16"/>
              </w:rPr>
              <w:t>Maths</w:t>
            </w:r>
          </w:p>
        </w:tc>
        <w:tc>
          <w:tcPr>
            <w:tcW w:w="898" w:type="dxa"/>
            <w:vAlign w:val="center"/>
          </w:tcPr>
          <w:p w:rsidR="00213527" w:rsidRPr="001F33CB" w:rsidRDefault="00213527" w:rsidP="00714280">
            <w:pPr>
              <w:spacing w:line="240" w:lineRule="auto"/>
              <w:ind w:left="-108"/>
              <w:jc w:val="center"/>
              <w:rPr>
                <w:b/>
                <w:sz w:val="16"/>
                <w:szCs w:val="16"/>
              </w:rPr>
            </w:pPr>
            <w:r w:rsidRPr="001F33CB">
              <w:rPr>
                <w:b/>
                <w:sz w:val="16"/>
                <w:szCs w:val="16"/>
              </w:rPr>
              <w:t>Science</w:t>
            </w:r>
          </w:p>
        </w:tc>
        <w:tc>
          <w:tcPr>
            <w:tcW w:w="850" w:type="dxa"/>
            <w:vMerge/>
          </w:tcPr>
          <w:p w:rsidR="00213527" w:rsidRPr="001F33CB" w:rsidRDefault="00213527" w:rsidP="00714280">
            <w:pPr>
              <w:spacing w:line="240" w:lineRule="auto"/>
              <w:jc w:val="center"/>
              <w:rPr>
                <w:b/>
                <w:sz w:val="16"/>
                <w:szCs w:val="16"/>
              </w:rPr>
            </w:pPr>
          </w:p>
        </w:tc>
        <w:tc>
          <w:tcPr>
            <w:tcW w:w="851" w:type="dxa"/>
            <w:vMerge/>
            <w:tcBorders>
              <w:right w:val="single" w:sz="18" w:space="0" w:color="000000" w:themeColor="text1"/>
            </w:tcBorders>
          </w:tcPr>
          <w:p w:rsidR="00213527" w:rsidRPr="001F33CB" w:rsidRDefault="00213527" w:rsidP="00714280">
            <w:pPr>
              <w:spacing w:line="240" w:lineRule="auto"/>
              <w:jc w:val="center"/>
              <w:rPr>
                <w:b/>
                <w:sz w:val="16"/>
                <w:szCs w:val="16"/>
              </w:rPr>
            </w:pPr>
          </w:p>
        </w:tc>
        <w:tc>
          <w:tcPr>
            <w:tcW w:w="742" w:type="dxa"/>
            <w:vMerge/>
            <w:tcBorders>
              <w:left w:val="single" w:sz="18" w:space="0" w:color="000000" w:themeColor="text1"/>
            </w:tcBorders>
            <w:vAlign w:val="center"/>
          </w:tcPr>
          <w:p w:rsidR="00213527" w:rsidRPr="001F33CB" w:rsidRDefault="00213527" w:rsidP="00714280">
            <w:pPr>
              <w:spacing w:line="240" w:lineRule="auto"/>
              <w:jc w:val="center"/>
              <w:rPr>
                <w:b/>
                <w:sz w:val="16"/>
                <w:szCs w:val="16"/>
              </w:rPr>
            </w:pPr>
          </w:p>
        </w:tc>
        <w:tc>
          <w:tcPr>
            <w:tcW w:w="742" w:type="dxa"/>
            <w:vMerge/>
            <w:vAlign w:val="center"/>
          </w:tcPr>
          <w:p w:rsidR="00213527" w:rsidRPr="001F33CB" w:rsidRDefault="00213527" w:rsidP="00714280">
            <w:pPr>
              <w:spacing w:line="240" w:lineRule="auto"/>
              <w:jc w:val="center"/>
              <w:rPr>
                <w:b/>
                <w:sz w:val="16"/>
                <w:szCs w:val="16"/>
              </w:rPr>
            </w:pPr>
          </w:p>
        </w:tc>
        <w:tc>
          <w:tcPr>
            <w:tcW w:w="742" w:type="dxa"/>
            <w:gridSpan w:val="2"/>
            <w:vMerge/>
            <w:vAlign w:val="center"/>
          </w:tcPr>
          <w:p w:rsidR="00213527" w:rsidRPr="001F33CB" w:rsidRDefault="00213527" w:rsidP="00714280">
            <w:pPr>
              <w:spacing w:line="240" w:lineRule="auto"/>
              <w:jc w:val="center"/>
              <w:rPr>
                <w:b/>
                <w:sz w:val="16"/>
                <w:szCs w:val="16"/>
              </w:rPr>
            </w:pPr>
          </w:p>
        </w:tc>
      </w:tr>
      <w:tr w:rsidR="00213527" w:rsidRPr="001F33CB" w:rsidTr="004A3847">
        <w:trPr>
          <w:trHeight w:val="764"/>
        </w:trPr>
        <w:tc>
          <w:tcPr>
            <w:tcW w:w="709" w:type="dxa"/>
            <w:vMerge w:val="restart"/>
            <w:vAlign w:val="center"/>
          </w:tcPr>
          <w:p w:rsidR="00213527" w:rsidRPr="001F33CB" w:rsidRDefault="00213527" w:rsidP="00714280">
            <w:pPr>
              <w:spacing w:line="240" w:lineRule="auto"/>
              <w:rPr>
                <w:b/>
                <w:sz w:val="16"/>
                <w:szCs w:val="16"/>
              </w:rPr>
            </w:pPr>
            <w:r w:rsidRPr="001F33CB">
              <w:rPr>
                <w:b/>
                <w:sz w:val="16"/>
                <w:szCs w:val="16"/>
              </w:rPr>
              <w:t>DA</w:t>
            </w:r>
          </w:p>
        </w:tc>
        <w:tc>
          <w:tcPr>
            <w:tcW w:w="1134" w:type="dxa"/>
            <w:vAlign w:val="center"/>
          </w:tcPr>
          <w:p w:rsidR="00213527" w:rsidRPr="001F33CB" w:rsidRDefault="00213527" w:rsidP="00714280">
            <w:pPr>
              <w:spacing w:line="240" w:lineRule="auto"/>
              <w:rPr>
                <w:b/>
                <w:sz w:val="16"/>
                <w:szCs w:val="16"/>
              </w:rPr>
            </w:pPr>
            <w:r w:rsidRPr="001F33CB">
              <w:rPr>
                <w:b/>
                <w:sz w:val="16"/>
                <w:szCs w:val="16"/>
              </w:rPr>
              <w:t xml:space="preserve">Biology </w:t>
            </w:r>
          </w:p>
        </w:tc>
        <w:tc>
          <w:tcPr>
            <w:tcW w:w="993" w:type="dxa"/>
            <w:tcBorders>
              <w:righ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-2.656 (0.018)</w:t>
            </w:r>
          </w:p>
        </w:tc>
        <w:tc>
          <w:tcPr>
            <w:tcW w:w="992" w:type="dxa"/>
            <w:tcBorders>
              <w:left w:val="single" w:sz="18" w:space="0" w:color="000000" w:themeColor="text1"/>
            </w:tcBorders>
            <w:shd w:val="clear" w:color="auto" w:fill="FFFFFF" w:themeFill="background1"/>
            <w:vAlign w:val="center"/>
          </w:tcPr>
          <w:p w:rsidR="00213527" w:rsidRPr="004A3847" w:rsidRDefault="00213527" w:rsidP="00714280">
            <w:pPr>
              <w:spacing w:line="240" w:lineRule="auto"/>
              <w:ind w:left="33"/>
              <w:jc w:val="center"/>
              <w:rPr>
                <w:sz w:val="16"/>
                <w:szCs w:val="16"/>
              </w:rPr>
            </w:pPr>
            <w:r w:rsidRPr="004A3847">
              <w:rPr>
                <w:sz w:val="16"/>
                <w:szCs w:val="16"/>
              </w:rPr>
              <w:t>-2.700 (0.020)</w:t>
            </w:r>
          </w:p>
        </w:tc>
        <w:tc>
          <w:tcPr>
            <w:tcW w:w="850" w:type="dxa"/>
            <w:tcBorders>
              <w:righ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0.184 (0.041)</w:t>
            </w:r>
          </w:p>
        </w:tc>
        <w:tc>
          <w:tcPr>
            <w:tcW w:w="851" w:type="dxa"/>
            <w:tcBorders>
              <w:lef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-13.095 (0.111)</w:t>
            </w:r>
          </w:p>
        </w:tc>
        <w:tc>
          <w:tcPr>
            <w:tcW w:w="850" w:type="dxa"/>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-0.056 (0.035)</w:t>
            </w:r>
          </w:p>
        </w:tc>
        <w:tc>
          <w:tcPr>
            <w:tcW w:w="993"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-0.442 (0.019)</w:t>
            </w:r>
          </w:p>
        </w:tc>
        <w:tc>
          <w:tcPr>
            <w:tcW w:w="992" w:type="dxa"/>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0.065 (0.038)</w:t>
            </w:r>
          </w:p>
        </w:tc>
        <w:tc>
          <w:tcPr>
            <w:tcW w:w="850"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0.412 (0.065)</w:t>
            </w:r>
          </w:p>
        </w:tc>
        <w:tc>
          <w:tcPr>
            <w:tcW w:w="898"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-0.260 (0.018)</w:t>
            </w:r>
          </w:p>
        </w:tc>
        <w:tc>
          <w:tcPr>
            <w:tcW w:w="898"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-0.182 (0.017)</w:t>
            </w:r>
          </w:p>
        </w:tc>
        <w:tc>
          <w:tcPr>
            <w:tcW w:w="898"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0.661 (0.026)</w:t>
            </w:r>
          </w:p>
        </w:tc>
        <w:tc>
          <w:tcPr>
            <w:tcW w:w="850" w:type="dxa"/>
            <w:shd w:val="clear" w:color="auto" w:fill="FFFFFF" w:themeFill="background1"/>
            <w:vAlign w:val="center"/>
          </w:tcPr>
          <w:p w:rsidR="00213527" w:rsidRPr="004A3847" w:rsidRDefault="00213527" w:rsidP="00714280">
            <w:pPr>
              <w:spacing w:line="240" w:lineRule="auto"/>
              <w:ind w:left="-108"/>
              <w:jc w:val="center"/>
              <w:rPr>
                <w:sz w:val="16"/>
                <w:szCs w:val="16"/>
              </w:rPr>
            </w:pPr>
            <w:r w:rsidRPr="004A3847">
              <w:rPr>
                <w:sz w:val="16"/>
                <w:szCs w:val="16"/>
              </w:rPr>
              <w:t>0.201 (0.002)</w:t>
            </w:r>
          </w:p>
        </w:tc>
        <w:tc>
          <w:tcPr>
            <w:tcW w:w="851" w:type="dxa"/>
            <w:tcBorders>
              <w:right w:val="single" w:sz="18" w:space="0" w:color="000000" w:themeColor="text1"/>
            </w:tcBorders>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0.000 (0.002)</w:t>
            </w:r>
          </w:p>
        </w:tc>
        <w:tc>
          <w:tcPr>
            <w:tcW w:w="742" w:type="dxa"/>
            <w:tcBorders>
              <w:left w:val="single" w:sz="18" w:space="0" w:color="000000" w:themeColor="text1"/>
            </w:tcBorders>
            <w:shd w:val="clear" w:color="auto" w:fill="FFFFFF" w:themeFill="background1"/>
            <w:vAlign w:val="center"/>
          </w:tcPr>
          <w:p w:rsidR="00213527" w:rsidRPr="004A3847" w:rsidRDefault="00213527" w:rsidP="00714280">
            <w:pPr>
              <w:spacing w:line="240" w:lineRule="auto"/>
              <w:ind w:left="-99"/>
              <w:jc w:val="center"/>
              <w:rPr>
                <w:sz w:val="16"/>
                <w:szCs w:val="16"/>
              </w:rPr>
            </w:pPr>
            <w:r w:rsidRPr="004A3847">
              <w:rPr>
                <w:sz w:val="16"/>
                <w:szCs w:val="16"/>
              </w:rPr>
              <w:t xml:space="preserve">0.754 (0.025), </w:t>
            </w:r>
          </w:p>
          <w:p w:rsidR="00213527" w:rsidRPr="004A3847" w:rsidRDefault="00213527" w:rsidP="00714280">
            <w:pPr>
              <w:spacing w:line="240" w:lineRule="auto"/>
              <w:ind w:left="-99"/>
              <w:jc w:val="center"/>
              <w:rPr>
                <w:sz w:val="16"/>
                <w:szCs w:val="16"/>
              </w:rPr>
            </w:pPr>
            <w:r w:rsidRPr="004A3847">
              <w:rPr>
                <w:sz w:val="16"/>
                <w:szCs w:val="16"/>
              </w:rPr>
              <w:t xml:space="preserve"> 18.6%</w:t>
            </w:r>
          </w:p>
        </w:tc>
        <w:tc>
          <w:tcPr>
            <w:tcW w:w="742" w:type="dxa"/>
            <w:shd w:val="clear" w:color="auto" w:fill="FFFFFF" w:themeFill="background1"/>
            <w:vAlign w:val="center"/>
          </w:tcPr>
          <w:p w:rsidR="00213527" w:rsidRPr="004A3847" w:rsidRDefault="00213527" w:rsidP="00714280">
            <w:pPr>
              <w:spacing w:line="240" w:lineRule="auto"/>
              <w:ind w:left="-99"/>
              <w:jc w:val="center"/>
              <w:rPr>
                <w:sz w:val="16"/>
                <w:szCs w:val="16"/>
              </w:rPr>
            </w:pPr>
            <w:r w:rsidRPr="004A3847">
              <w:rPr>
                <w:sz w:val="16"/>
                <w:szCs w:val="16"/>
              </w:rPr>
              <w:t>0.750 (0.025),</w:t>
            </w:r>
          </w:p>
          <w:p w:rsidR="00213527" w:rsidRPr="004A3847" w:rsidRDefault="00213527" w:rsidP="00714280">
            <w:pPr>
              <w:spacing w:line="240" w:lineRule="auto"/>
              <w:ind w:left="-99"/>
              <w:jc w:val="center"/>
              <w:rPr>
                <w:sz w:val="16"/>
                <w:szCs w:val="16"/>
              </w:rPr>
            </w:pPr>
            <w:r w:rsidRPr="004A3847">
              <w:rPr>
                <w:sz w:val="16"/>
                <w:szCs w:val="16"/>
              </w:rPr>
              <w:t xml:space="preserve"> 18.6%</w:t>
            </w:r>
          </w:p>
        </w:tc>
        <w:tc>
          <w:tcPr>
            <w:tcW w:w="742" w:type="dxa"/>
            <w:gridSpan w:val="2"/>
            <w:shd w:val="clear" w:color="auto" w:fill="FFFFFF" w:themeFill="background1"/>
            <w:vAlign w:val="center"/>
          </w:tcPr>
          <w:p w:rsidR="00213527" w:rsidRPr="004A3847" w:rsidRDefault="00213527" w:rsidP="00714280">
            <w:pPr>
              <w:spacing w:line="240" w:lineRule="auto"/>
              <w:ind w:left="-112" w:hanging="63"/>
              <w:jc w:val="center"/>
              <w:rPr>
                <w:sz w:val="16"/>
                <w:szCs w:val="16"/>
              </w:rPr>
            </w:pPr>
            <w:r w:rsidRPr="004A3847">
              <w:rPr>
                <w:sz w:val="16"/>
                <w:szCs w:val="16"/>
              </w:rPr>
              <w:t>0.327 (0.015),</w:t>
            </w:r>
          </w:p>
          <w:p w:rsidR="00213527" w:rsidRPr="004A3847" w:rsidRDefault="00213527" w:rsidP="00714280">
            <w:pPr>
              <w:spacing w:line="240" w:lineRule="auto"/>
              <w:ind w:left="-112" w:hanging="63"/>
              <w:jc w:val="center"/>
              <w:rPr>
                <w:sz w:val="16"/>
                <w:szCs w:val="16"/>
              </w:rPr>
            </w:pPr>
            <w:r w:rsidRPr="004A3847">
              <w:rPr>
                <w:sz w:val="16"/>
                <w:szCs w:val="16"/>
              </w:rPr>
              <w:t xml:space="preserve"> 9.0%</w:t>
            </w:r>
          </w:p>
        </w:tc>
      </w:tr>
      <w:tr w:rsidR="00213527" w:rsidRPr="001F33CB" w:rsidTr="004A3847">
        <w:trPr>
          <w:trHeight w:val="764"/>
        </w:trPr>
        <w:tc>
          <w:tcPr>
            <w:tcW w:w="709" w:type="dxa"/>
            <w:vMerge/>
            <w:tcBorders>
              <w:top w:val="single" w:sz="18" w:space="0" w:color="000000" w:themeColor="text1"/>
            </w:tcBorders>
            <w:vAlign w:val="center"/>
          </w:tcPr>
          <w:p w:rsidR="00213527" w:rsidRPr="001F33CB" w:rsidRDefault="00213527" w:rsidP="00714280">
            <w:pPr>
              <w:spacing w:line="240" w:lineRule="auto"/>
              <w:rPr>
                <w:b/>
                <w:sz w:val="16"/>
                <w:szCs w:val="16"/>
              </w:rPr>
            </w:pPr>
          </w:p>
        </w:tc>
        <w:tc>
          <w:tcPr>
            <w:tcW w:w="1134" w:type="dxa"/>
            <w:tcBorders>
              <w:bottom w:val="single" w:sz="4" w:space="0" w:color="000000" w:themeColor="text1"/>
            </w:tcBorders>
            <w:vAlign w:val="center"/>
          </w:tcPr>
          <w:p w:rsidR="00213527" w:rsidRPr="001F33CB" w:rsidRDefault="00213527" w:rsidP="00714280">
            <w:pPr>
              <w:spacing w:line="240" w:lineRule="auto"/>
              <w:rPr>
                <w:b/>
                <w:sz w:val="16"/>
                <w:szCs w:val="16"/>
              </w:rPr>
            </w:pPr>
            <w:r w:rsidRPr="001F33CB">
              <w:rPr>
                <w:b/>
                <w:sz w:val="16"/>
                <w:szCs w:val="16"/>
              </w:rPr>
              <w:t>Chemistry</w:t>
            </w:r>
          </w:p>
        </w:tc>
        <w:tc>
          <w:tcPr>
            <w:tcW w:w="993" w:type="dxa"/>
            <w:tcBorders>
              <w:bottom w:val="single" w:sz="4" w:space="0" w:color="000000" w:themeColor="text1"/>
              <w:righ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-3.100 (0.022)</w:t>
            </w:r>
          </w:p>
        </w:tc>
        <w:tc>
          <w:tcPr>
            <w:tcW w:w="992" w:type="dxa"/>
            <w:tcBorders>
              <w:left w:val="single" w:sz="18" w:space="0" w:color="000000" w:themeColor="text1"/>
              <w:bottom w:val="single" w:sz="4"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-3.109 (0.025)</w:t>
            </w:r>
          </w:p>
        </w:tc>
        <w:tc>
          <w:tcPr>
            <w:tcW w:w="850" w:type="dxa"/>
            <w:tcBorders>
              <w:bottom w:val="single" w:sz="4" w:space="0" w:color="000000" w:themeColor="text1"/>
              <w:right w:val="single" w:sz="18" w:space="0" w:color="000000" w:themeColor="text1"/>
            </w:tcBorders>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0.040 (0.051)</w:t>
            </w:r>
          </w:p>
        </w:tc>
        <w:tc>
          <w:tcPr>
            <w:tcW w:w="851" w:type="dxa"/>
            <w:tcBorders>
              <w:left w:val="single" w:sz="18" w:space="0" w:color="000000" w:themeColor="text1"/>
              <w:bottom w:val="single" w:sz="4"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-16.613 (0.152)</w:t>
            </w:r>
          </w:p>
        </w:tc>
        <w:tc>
          <w:tcPr>
            <w:tcW w:w="850" w:type="dxa"/>
            <w:tcBorders>
              <w:bottom w:val="single" w:sz="4" w:space="0" w:color="000000" w:themeColor="text1"/>
            </w:tcBorders>
            <w:shd w:val="clear" w:color="auto" w:fill="FFFFFF" w:themeFill="background1"/>
            <w:vAlign w:val="center"/>
          </w:tcPr>
          <w:p w:rsidR="00213527" w:rsidRPr="004A3847" w:rsidRDefault="00213527" w:rsidP="00714280">
            <w:pPr>
              <w:spacing w:line="240" w:lineRule="auto"/>
              <w:ind w:left="33"/>
              <w:jc w:val="center"/>
              <w:rPr>
                <w:sz w:val="16"/>
                <w:szCs w:val="16"/>
              </w:rPr>
            </w:pPr>
            <w:r w:rsidRPr="004A3847">
              <w:rPr>
                <w:sz w:val="16"/>
                <w:szCs w:val="16"/>
              </w:rPr>
              <w:t>-0.250 (0.044)</w:t>
            </w:r>
          </w:p>
        </w:tc>
        <w:tc>
          <w:tcPr>
            <w:tcW w:w="993" w:type="dxa"/>
            <w:tcBorders>
              <w:bottom w:val="single" w:sz="4" w:space="0" w:color="000000" w:themeColor="text1"/>
            </w:tcBorders>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0.042 (0.024)</w:t>
            </w:r>
          </w:p>
        </w:tc>
        <w:tc>
          <w:tcPr>
            <w:tcW w:w="992" w:type="dxa"/>
            <w:tcBorders>
              <w:bottom w:val="single" w:sz="4"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0.264 (0.045)</w:t>
            </w:r>
          </w:p>
        </w:tc>
        <w:tc>
          <w:tcPr>
            <w:tcW w:w="850" w:type="dxa"/>
            <w:tcBorders>
              <w:bottom w:val="single" w:sz="4"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1.276 (0.079)</w:t>
            </w:r>
          </w:p>
        </w:tc>
        <w:tc>
          <w:tcPr>
            <w:tcW w:w="898" w:type="dxa"/>
            <w:tcBorders>
              <w:bottom w:val="single" w:sz="4"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-0.532 (0.022)</w:t>
            </w:r>
          </w:p>
        </w:tc>
        <w:tc>
          <w:tcPr>
            <w:tcW w:w="898" w:type="dxa"/>
            <w:tcBorders>
              <w:bottom w:val="single" w:sz="4"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0.349 (0.023)</w:t>
            </w:r>
          </w:p>
        </w:tc>
        <w:tc>
          <w:tcPr>
            <w:tcW w:w="898" w:type="dxa"/>
            <w:tcBorders>
              <w:bottom w:val="single" w:sz="4"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0.429 (0.033)</w:t>
            </w:r>
          </w:p>
        </w:tc>
        <w:tc>
          <w:tcPr>
            <w:tcW w:w="850" w:type="dxa"/>
            <w:tcBorders>
              <w:bottom w:val="single" w:sz="4" w:space="0" w:color="000000" w:themeColor="text1"/>
            </w:tcBorders>
            <w:shd w:val="clear" w:color="auto" w:fill="FFFFFF" w:themeFill="background1"/>
            <w:vAlign w:val="center"/>
          </w:tcPr>
          <w:p w:rsidR="00213527" w:rsidRPr="004A3847" w:rsidRDefault="00213527" w:rsidP="00714280">
            <w:pPr>
              <w:spacing w:line="240" w:lineRule="auto"/>
              <w:ind w:left="-108"/>
              <w:jc w:val="center"/>
              <w:rPr>
                <w:sz w:val="16"/>
                <w:szCs w:val="16"/>
              </w:rPr>
            </w:pPr>
            <w:r w:rsidRPr="004A3847">
              <w:rPr>
                <w:sz w:val="16"/>
                <w:szCs w:val="16"/>
              </w:rPr>
              <w:t>0.24 (0.003)</w:t>
            </w:r>
          </w:p>
        </w:tc>
        <w:tc>
          <w:tcPr>
            <w:tcW w:w="851" w:type="dxa"/>
            <w:tcBorders>
              <w:bottom w:val="single" w:sz="4" w:space="0" w:color="000000" w:themeColor="text1"/>
              <w:right w:val="single" w:sz="18" w:space="0" w:color="000000" w:themeColor="text1"/>
            </w:tcBorders>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0.002 (0.002)</w:t>
            </w:r>
          </w:p>
        </w:tc>
        <w:tc>
          <w:tcPr>
            <w:tcW w:w="742" w:type="dxa"/>
            <w:tcBorders>
              <w:left w:val="single" w:sz="18" w:space="0" w:color="000000" w:themeColor="text1"/>
              <w:bottom w:val="single" w:sz="4" w:space="0" w:color="000000" w:themeColor="text1"/>
            </w:tcBorders>
            <w:shd w:val="clear" w:color="auto" w:fill="FFFFFF" w:themeFill="background1"/>
            <w:vAlign w:val="center"/>
          </w:tcPr>
          <w:p w:rsidR="00213527" w:rsidRPr="004A3847" w:rsidRDefault="00213527" w:rsidP="00714280">
            <w:pPr>
              <w:spacing w:line="240" w:lineRule="auto"/>
              <w:ind w:left="-99"/>
              <w:jc w:val="center"/>
              <w:rPr>
                <w:sz w:val="16"/>
                <w:szCs w:val="16"/>
              </w:rPr>
            </w:pPr>
            <w:r w:rsidRPr="004A3847">
              <w:rPr>
                <w:sz w:val="16"/>
                <w:szCs w:val="16"/>
              </w:rPr>
              <w:t>1.122 (0.037),</w:t>
            </w:r>
          </w:p>
          <w:p w:rsidR="00213527" w:rsidRPr="004A3847" w:rsidRDefault="00213527" w:rsidP="00714280">
            <w:pPr>
              <w:spacing w:line="240" w:lineRule="auto"/>
              <w:ind w:left="-99"/>
              <w:jc w:val="center"/>
              <w:rPr>
                <w:sz w:val="16"/>
                <w:szCs w:val="16"/>
              </w:rPr>
            </w:pPr>
            <w:r w:rsidRPr="004A3847">
              <w:rPr>
                <w:sz w:val="16"/>
                <w:szCs w:val="16"/>
              </w:rPr>
              <w:t xml:space="preserve"> 25.4%</w:t>
            </w:r>
          </w:p>
        </w:tc>
        <w:tc>
          <w:tcPr>
            <w:tcW w:w="742" w:type="dxa"/>
            <w:tcBorders>
              <w:bottom w:val="single" w:sz="4" w:space="0" w:color="000000" w:themeColor="text1"/>
            </w:tcBorders>
            <w:shd w:val="clear" w:color="auto" w:fill="FFFFFF" w:themeFill="background1"/>
            <w:vAlign w:val="center"/>
          </w:tcPr>
          <w:p w:rsidR="00213527" w:rsidRPr="004A3847" w:rsidRDefault="00213527" w:rsidP="00714280">
            <w:pPr>
              <w:spacing w:line="240" w:lineRule="auto"/>
              <w:ind w:left="-99"/>
              <w:jc w:val="center"/>
              <w:rPr>
                <w:sz w:val="16"/>
                <w:szCs w:val="16"/>
              </w:rPr>
            </w:pPr>
            <w:r w:rsidRPr="004A3847">
              <w:rPr>
                <w:sz w:val="16"/>
                <w:szCs w:val="16"/>
              </w:rPr>
              <w:t xml:space="preserve">1.124 (0.037), </w:t>
            </w:r>
          </w:p>
          <w:p w:rsidR="00213527" w:rsidRPr="004A3847" w:rsidRDefault="00213527" w:rsidP="00714280">
            <w:pPr>
              <w:spacing w:line="240" w:lineRule="auto"/>
              <w:ind w:left="-99"/>
              <w:jc w:val="center"/>
              <w:rPr>
                <w:sz w:val="16"/>
                <w:szCs w:val="16"/>
              </w:rPr>
            </w:pPr>
            <w:r w:rsidRPr="004A3847">
              <w:rPr>
                <w:sz w:val="16"/>
                <w:szCs w:val="16"/>
              </w:rPr>
              <w:t>25.5%</w:t>
            </w:r>
          </w:p>
        </w:tc>
        <w:tc>
          <w:tcPr>
            <w:tcW w:w="742" w:type="dxa"/>
            <w:gridSpan w:val="2"/>
            <w:tcBorders>
              <w:bottom w:val="single" w:sz="4" w:space="0" w:color="000000" w:themeColor="text1"/>
            </w:tcBorders>
            <w:shd w:val="clear" w:color="auto" w:fill="FFFFFF" w:themeFill="background1"/>
            <w:vAlign w:val="center"/>
          </w:tcPr>
          <w:p w:rsidR="00213527" w:rsidRPr="004A3847" w:rsidRDefault="00213527" w:rsidP="00714280">
            <w:pPr>
              <w:spacing w:line="240" w:lineRule="auto"/>
              <w:ind w:left="-112" w:hanging="63"/>
              <w:jc w:val="center"/>
              <w:rPr>
                <w:sz w:val="16"/>
                <w:szCs w:val="16"/>
              </w:rPr>
            </w:pPr>
            <w:r w:rsidRPr="004A3847">
              <w:rPr>
                <w:sz w:val="16"/>
                <w:szCs w:val="16"/>
              </w:rPr>
              <w:t>0.517 (0.025),</w:t>
            </w:r>
          </w:p>
          <w:p w:rsidR="00213527" w:rsidRPr="004A3847" w:rsidRDefault="00213527" w:rsidP="00714280">
            <w:pPr>
              <w:spacing w:line="240" w:lineRule="auto"/>
              <w:ind w:left="-112" w:hanging="63"/>
              <w:jc w:val="center"/>
              <w:rPr>
                <w:sz w:val="16"/>
                <w:szCs w:val="16"/>
              </w:rPr>
            </w:pPr>
            <w:r w:rsidRPr="004A3847">
              <w:rPr>
                <w:sz w:val="16"/>
                <w:szCs w:val="16"/>
              </w:rPr>
              <w:t xml:space="preserve"> 13.6%</w:t>
            </w:r>
          </w:p>
        </w:tc>
      </w:tr>
      <w:tr w:rsidR="00213527" w:rsidRPr="001F33CB" w:rsidTr="004A3847">
        <w:trPr>
          <w:trHeight w:val="764"/>
        </w:trPr>
        <w:tc>
          <w:tcPr>
            <w:tcW w:w="709" w:type="dxa"/>
            <w:vMerge/>
            <w:tcBorders>
              <w:top w:val="single" w:sz="18" w:space="0" w:color="000000" w:themeColor="text1"/>
            </w:tcBorders>
            <w:vAlign w:val="center"/>
          </w:tcPr>
          <w:p w:rsidR="00213527" w:rsidRPr="001F33CB" w:rsidRDefault="00213527" w:rsidP="00714280">
            <w:pPr>
              <w:spacing w:line="240" w:lineRule="auto"/>
              <w:rPr>
                <w:b/>
                <w:sz w:val="16"/>
                <w:szCs w:val="16"/>
              </w:rPr>
            </w:pPr>
          </w:p>
        </w:tc>
        <w:tc>
          <w:tcPr>
            <w:tcW w:w="1134" w:type="dxa"/>
            <w:tcBorders>
              <w:bottom w:val="single" w:sz="18" w:space="0" w:color="000000" w:themeColor="text1"/>
            </w:tcBorders>
            <w:vAlign w:val="center"/>
          </w:tcPr>
          <w:p w:rsidR="00213527" w:rsidRPr="001F33CB" w:rsidRDefault="00213527" w:rsidP="00714280">
            <w:pPr>
              <w:spacing w:line="240" w:lineRule="auto"/>
              <w:rPr>
                <w:b/>
                <w:sz w:val="16"/>
                <w:szCs w:val="16"/>
              </w:rPr>
            </w:pPr>
            <w:r w:rsidRPr="001F33CB">
              <w:rPr>
                <w:b/>
                <w:sz w:val="16"/>
                <w:szCs w:val="16"/>
              </w:rPr>
              <w:t>Physics</w:t>
            </w:r>
          </w:p>
        </w:tc>
        <w:tc>
          <w:tcPr>
            <w:tcW w:w="993" w:type="dxa"/>
            <w:tcBorders>
              <w:bottom w:val="single" w:sz="18" w:space="0" w:color="000000" w:themeColor="text1"/>
              <w:righ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-3.545 (0.022)</w:t>
            </w:r>
          </w:p>
        </w:tc>
        <w:tc>
          <w:tcPr>
            <w:tcW w:w="992" w:type="dxa"/>
            <w:tcBorders>
              <w:left w:val="single" w:sz="18" w:space="0" w:color="000000" w:themeColor="text1"/>
              <w:bottom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-3.514 (0.025)</w:t>
            </w:r>
          </w:p>
        </w:tc>
        <w:tc>
          <w:tcPr>
            <w:tcW w:w="850" w:type="dxa"/>
            <w:tcBorders>
              <w:bottom w:val="single" w:sz="18" w:space="0" w:color="000000" w:themeColor="text1"/>
              <w:righ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-0.146 (0.052)</w:t>
            </w:r>
          </w:p>
        </w:tc>
        <w:tc>
          <w:tcPr>
            <w:tcW w:w="851" w:type="dxa"/>
            <w:tcBorders>
              <w:left w:val="single" w:sz="18" w:space="0" w:color="000000" w:themeColor="text1"/>
              <w:bottom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-20.617 (0.205)</w:t>
            </w:r>
          </w:p>
        </w:tc>
        <w:tc>
          <w:tcPr>
            <w:tcW w:w="850" w:type="dxa"/>
            <w:tcBorders>
              <w:bottom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-0.348 (0.045)</w:t>
            </w:r>
          </w:p>
        </w:tc>
        <w:tc>
          <w:tcPr>
            <w:tcW w:w="993" w:type="dxa"/>
            <w:tcBorders>
              <w:bottom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1.806 (0.034)</w:t>
            </w:r>
          </w:p>
        </w:tc>
        <w:tc>
          <w:tcPr>
            <w:tcW w:w="992" w:type="dxa"/>
            <w:tcBorders>
              <w:bottom w:val="single" w:sz="18" w:space="0" w:color="000000" w:themeColor="text1"/>
            </w:tcBorders>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0.041 (0.061)</w:t>
            </w:r>
          </w:p>
        </w:tc>
        <w:tc>
          <w:tcPr>
            <w:tcW w:w="850" w:type="dxa"/>
            <w:tcBorders>
              <w:bottom w:val="single" w:sz="18" w:space="0" w:color="000000" w:themeColor="text1"/>
            </w:tcBorders>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0.097 (0.098)</w:t>
            </w:r>
          </w:p>
        </w:tc>
        <w:tc>
          <w:tcPr>
            <w:tcW w:w="898" w:type="dxa"/>
            <w:tcBorders>
              <w:bottom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-0.721 (0.026)</w:t>
            </w:r>
          </w:p>
        </w:tc>
        <w:tc>
          <w:tcPr>
            <w:tcW w:w="898" w:type="dxa"/>
            <w:tcBorders>
              <w:bottom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1.141 (0.03)</w:t>
            </w:r>
          </w:p>
        </w:tc>
        <w:tc>
          <w:tcPr>
            <w:tcW w:w="898" w:type="dxa"/>
            <w:tcBorders>
              <w:bottom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0.574 (0.041)</w:t>
            </w:r>
          </w:p>
        </w:tc>
        <w:tc>
          <w:tcPr>
            <w:tcW w:w="850" w:type="dxa"/>
            <w:tcBorders>
              <w:bottom w:val="single" w:sz="18" w:space="0" w:color="000000" w:themeColor="text1"/>
            </w:tcBorders>
            <w:shd w:val="clear" w:color="auto" w:fill="FFFFFF" w:themeFill="background1"/>
            <w:vAlign w:val="center"/>
          </w:tcPr>
          <w:p w:rsidR="00213527" w:rsidRPr="004A3847" w:rsidRDefault="00213527" w:rsidP="00714280">
            <w:pPr>
              <w:spacing w:line="240" w:lineRule="auto"/>
              <w:ind w:left="-108"/>
              <w:jc w:val="center"/>
              <w:rPr>
                <w:sz w:val="16"/>
                <w:szCs w:val="16"/>
              </w:rPr>
            </w:pPr>
            <w:r w:rsidRPr="004A3847">
              <w:rPr>
                <w:sz w:val="16"/>
                <w:szCs w:val="16"/>
              </w:rPr>
              <w:t>0.176 (0.003)</w:t>
            </w:r>
          </w:p>
        </w:tc>
        <w:tc>
          <w:tcPr>
            <w:tcW w:w="851" w:type="dxa"/>
            <w:tcBorders>
              <w:bottom w:val="single" w:sz="18" w:space="0" w:color="000000" w:themeColor="text1"/>
              <w:right w:val="single" w:sz="18" w:space="0" w:color="000000" w:themeColor="text1"/>
            </w:tcBorders>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0.001 (0.002)</w:t>
            </w:r>
          </w:p>
        </w:tc>
        <w:tc>
          <w:tcPr>
            <w:tcW w:w="742" w:type="dxa"/>
            <w:tcBorders>
              <w:left w:val="single" w:sz="18" w:space="0" w:color="000000" w:themeColor="text1"/>
              <w:bottom w:val="single" w:sz="18" w:space="0" w:color="000000" w:themeColor="text1"/>
            </w:tcBorders>
            <w:shd w:val="clear" w:color="auto" w:fill="FFFFFF" w:themeFill="background1"/>
            <w:vAlign w:val="center"/>
          </w:tcPr>
          <w:p w:rsidR="00213527" w:rsidRPr="004A3847" w:rsidRDefault="00213527" w:rsidP="00714280">
            <w:pPr>
              <w:spacing w:line="240" w:lineRule="auto"/>
              <w:ind w:left="-99"/>
              <w:jc w:val="center"/>
              <w:rPr>
                <w:sz w:val="16"/>
                <w:szCs w:val="16"/>
              </w:rPr>
            </w:pPr>
            <w:r w:rsidRPr="004A3847">
              <w:rPr>
                <w:sz w:val="16"/>
                <w:szCs w:val="16"/>
              </w:rPr>
              <w:t>0.972 (0.036),</w:t>
            </w:r>
          </w:p>
          <w:p w:rsidR="00213527" w:rsidRPr="004A3847" w:rsidRDefault="00213527" w:rsidP="00714280">
            <w:pPr>
              <w:spacing w:line="240" w:lineRule="auto"/>
              <w:ind w:left="-99"/>
              <w:jc w:val="center"/>
              <w:rPr>
                <w:sz w:val="16"/>
                <w:szCs w:val="16"/>
              </w:rPr>
            </w:pPr>
            <w:r w:rsidRPr="004A3847">
              <w:rPr>
                <w:sz w:val="16"/>
                <w:szCs w:val="16"/>
              </w:rPr>
              <w:t xml:space="preserve"> 22.8%</w:t>
            </w:r>
          </w:p>
        </w:tc>
        <w:tc>
          <w:tcPr>
            <w:tcW w:w="742" w:type="dxa"/>
            <w:tcBorders>
              <w:bottom w:val="single" w:sz="18" w:space="0" w:color="000000" w:themeColor="text1"/>
            </w:tcBorders>
            <w:shd w:val="clear" w:color="auto" w:fill="FFFFFF" w:themeFill="background1"/>
            <w:vAlign w:val="center"/>
          </w:tcPr>
          <w:p w:rsidR="00213527" w:rsidRPr="004A3847" w:rsidRDefault="00213527" w:rsidP="00714280">
            <w:pPr>
              <w:spacing w:line="240" w:lineRule="auto"/>
              <w:ind w:left="-99"/>
              <w:jc w:val="center"/>
              <w:rPr>
                <w:sz w:val="16"/>
                <w:szCs w:val="16"/>
              </w:rPr>
            </w:pPr>
            <w:r w:rsidRPr="004A3847">
              <w:rPr>
                <w:sz w:val="16"/>
                <w:szCs w:val="16"/>
              </w:rPr>
              <w:t>0.956 (0.036),</w:t>
            </w:r>
          </w:p>
          <w:p w:rsidR="00213527" w:rsidRPr="004A3847" w:rsidRDefault="00213527" w:rsidP="00714280">
            <w:pPr>
              <w:spacing w:line="240" w:lineRule="auto"/>
              <w:ind w:left="-99"/>
              <w:jc w:val="center"/>
              <w:rPr>
                <w:sz w:val="16"/>
                <w:szCs w:val="16"/>
              </w:rPr>
            </w:pPr>
            <w:r w:rsidRPr="004A3847">
              <w:rPr>
                <w:sz w:val="16"/>
                <w:szCs w:val="16"/>
              </w:rPr>
              <w:t xml:space="preserve"> 22.5%</w:t>
            </w:r>
          </w:p>
        </w:tc>
        <w:tc>
          <w:tcPr>
            <w:tcW w:w="742" w:type="dxa"/>
            <w:gridSpan w:val="2"/>
            <w:tcBorders>
              <w:bottom w:val="single" w:sz="18" w:space="0" w:color="000000" w:themeColor="text1"/>
            </w:tcBorders>
            <w:shd w:val="clear" w:color="auto" w:fill="FFFFFF" w:themeFill="background1"/>
            <w:vAlign w:val="center"/>
          </w:tcPr>
          <w:p w:rsidR="00213527" w:rsidRPr="004A3847" w:rsidRDefault="00213527" w:rsidP="00714280">
            <w:pPr>
              <w:spacing w:line="240" w:lineRule="auto"/>
              <w:ind w:left="-112" w:hanging="63"/>
              <w:jc w:val="center"/>
              <w:rPr>
                <w:sz w:val="16"/>
                <w:szCs w:val="16"/>
              </w:rPr>
            </w:pPr>
            <w:r w:rsidRPr="004A3847">
              <w:rPr>
                <w:sz w:val="16"/>
                <w:szCs w:val="16"/>
              </w:rPr>
              <w:t>0.315 (0.022),</w:t>
            </w:r>
          </w:p>
          <w:p w:rsidR="00213527" w:rsidRPr="004A3847" w:rsidRDefault="00213527" w:rsidP="00714280">
            <w:pPr>
              <w:spacing w:line="240" w:lineRule="auto"/>
              <w:ind w:left="-112" w:hanging="63"/>
              <w:jc w:val="center"/>
              <w:rPr>
                <w:sz w:val="16"/>
                <w:szCs w:val="16"/>
              </w:rPr>
            </w:pPr>
            <w:r w:rsidRPr="004A3847">
              <w:rPr>
                <w:sz w:val="16"/>
                <w:szCs w:val="16"/>
              </w:rPr>
              <w:t>8.7%</w:t>
            </w:r>
          </w:p>
        </w:tc>
      </w:tr>
      <w:tr w:rsidR="00213527" w:rsidRPr="001F33CB" w:rsidTr="004A3847">
        <w:trPr>
          <w:trHeight w:val="764"/>
        </w:trPr>
        <w:tc>
          <w:tcPr>
            <w:tcW w:w="709" w:type="dxa"/>
            <w:vMerge w:val="restart"/>
            <w:tcBorders>
              <w:top w:val="single" w:sz="18" w:space="0" w:color="000000" w:themeColor="text1"/>
            </w:tcBorders>
            <w:vAlign w:val="center"/>
          </w:tcPr>
          <w:p w:rsidR="00213527" w:rsidRPr="001F33CB" w:rsidRDefault="00213527" w:rsidP="00714280">
            <w:pPr>
              <w:spacing w:line="240" w:lineRule="auto"/>
              <w:rPr>
                <w:b/>
                <w:sz w:val="16"/>
                <w:szCs w:val="16"/>
              </w:rPr>
            </w:pPr>
            <w:r w:rsidRPr="001F33CB">
              <w:rPr>
                <w:b/>
                <w:sz w:val="16"/>
                <w:szCs w:val="16"/>
              </w:rPr>
              <w:t>TA</w:t>
            </w:r>
          </w:p>
        </w:tc>
        <w:tc>
          <w:tcPr>
            <w:tcW w:w="1134" w:type="dxa"/>
            <w:tcBorders>
              <w:top w:val="single" w:sz="18" w:space="0" w:color="000000" w:themeColor="text1"/>
            </w:tcBorders>
            <w:vAlign w:val="center"/>
          </w:tcPr>
          <w:p w:rsidR="00213527" w:rsidRPr="001F33CB" w:rsidRDefault="00213527" w:rsidP="00714280">
            <w:pPr>
              <w:spacing w:line="240" w:lineRule="auto"/>
              <w:rPr>
                <w:b/>
                <w:sz w:val="16"/>
                <w:szCs w:val="16"/>
              </w:rPr>
            </w:pPr>
            <w:r w:rsidRPr="001F33CB">
              <w:rPr>
                <w:b/>
                <w:sz w:val="16"/>
                <w:szCs w:val="16"/>
              </w:rPr>
              <w:t xml:space="preserve">Biology </w:t>
            </w:r>
          </w:p>
        </w:tc>
        <w:tc>
          <w:tcPr>
            <w:tcW w:w="993" w:type="dxa"/>
            <w:tcBorders>
              <w:top w:val="single" w:sz="18" w:space="0" w:color="000000" w:themeColor="text1"/>
              <w:righ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-0.997 (0.017)</w:t>
            </w:r>
          </w:p>
        </w:tc>
        <w:tc>
          <w:tcPr>
            <w:tcW w:w="992" w:type="dxa"/>
            <w:tcBorders>
              <w:top w:val="single" w:sz="18" w:space="0" w:color="000000" w:themeColor="text1"/>
              <w:lef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-0.984 (0.019)</w:t>
            </w:r>
          </w:p>
        </w:tc>
        <w:tc>
          <w:tcPr>
            <w:tcW w:w="850" w:type="dxa"/>
            <w:tcBorders>
              <w:top w:val="single" w:sz="18" w:space="0" w:color="000000" w:themeColor="text1"/>
              <w:right w:val="single" w:sz="18" w:space="0" w:color="000000" w:themeColor="text1"/>
            </w:tcBorders>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-0.060 (0.041)</w:t>
            </w:r>
          </w:p>
        </w:tc>
        <w:tc>
          <w:tcPr>
            <w:tcW w:w="851" w:type="dxa"/>
            <w:tcBorders>
              <w:top w:val="single" w:sz="18" w:space="0" w:color="000000" w:themeColor="text1"/>
              <w:lef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-8.451 (0.179)</w:t>
            </w:r>
          </w:p>
        </w:tc>
        <w:tc>
          <w:tcPr>
            <w:tcW w:w="850" w:type="dxa"/>
            <w:tcBorders>
              <w:top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-0.081 (0.037)</w:t>
            </w:r>
          </w:p>
        </w:tc>
        <w:tc>
          <w:tcPr>
            <w:tcW w:w="993" w:type="dxa"/>
            <w:tcBorders>
              <w:top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-0.502 (0.023)</w:t>
            </w:r>
          </w:p>
        </w:tc>
        <w:tc>
          <w:tcPr>
            <w:tcW w:w="992" w:type="dxa"/>
            <w:tcBorders>
              <w:top w:val="single" w:sz="18" w:space="0" w:color="000000" w:themeColor="text1"/>
            </w:tcBorders>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-0.016 (0.055)</w:t>
            </w:r>
          </w:p>
        </w:tc>
        <w:tc>
          <w:tcPr>
            <w:tcW w:w="850" w:type="dxa"/>
            <w:tcBorders>
              <w:top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0.386 (0.083)</w:t>
            </w:r>
          </w:p>
        </w:tc>
        <w:tc>
          <w:tcPr>
            <w:tcW w:w="898" w:type="dxa"/>
            <w:tcBorders>
              <w:top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-0.24 (0.022)</w:t>
            </w:r>
          </w:p>
        </w:tc>
        <w:tc>
          <w:tcPr>
            <w:tcW w:w="898" w:type="dxa"/>
            <w:tcBorders>
              <w:top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-0.308 (0.022)</w:t>
            </w:r>
          </w:p>
        </w:tc>
        <w:tc>
          <w:tcPr>
            <w:tcW w:w="898" w:type="dxa"/>
            <w:tcBorders>
              <w:top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0.504 (0.037)</w:t>
            </w:r>
          </w:p>
        </w:tc>
        <w:tc>
          <w:tcPr>
            <w:tcW w:w="850" w:type="dxa"/>
            <w:tcBorders>
              <w:top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0.161 (0.003)</w:t>
            </w:r>
          </w:p>
        </w:tc>
        <w:tc>
          <w:tcPr>
            <w:tcW w:w="851" w:type="dxa"/>
            <w:tcBorders>
              <w:top w:val="single" w:sz="18" w:space="0" w:color="000000" w:themeColor="text1"/>
              <w:right w:val="single" w:sz="18" w:space="0" w:color="000000" w:themeColor="text1"/>
            </w:tcBorders>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0.065 (0.034)</w:t>
            </w:r>
          </w:p>
        </w:tc>
        <w:tc>
          <w:tcPr>
            <w:tcW w:w="742" w:type="dxa"/>
            <w:tcBorders>
              <w:top w:val="single" w:sz="18" w:space="0" w:color="000000" w:themeColor="text1"/>
              <w:left w:val="single" w:sz="18" w:space="0" w:color="000000" w:themeColor="text1"/>
            </w:tcBorders>
            <w:shd w:val="clear" w:color="auto" w:fill="FFFFFF" w:themeFill="background1"/>
            <w:vAlign w:val="center"/>
          </w:tcPr>
          <w:p w:rsidR="00213527" w:rsidRPr="004A3847" w:rsidRDefault="00213527" w:rsidP="00714280">
            <w:pPr>
              <w:spacing w:line="240" w:lineRule="auto"/>
              <w:ind w:left="-99"/>
              <w:jc w:val="center"/>
              <w:rPr>
                <w:sz w:val="16"/>
                <w:szCs w:val="16"/>
              </w:rPr>
            </w:pPr>
            <w:r w:rsidRPr="004A3847">
              <w:rPr>
                <w:sz w:val="16"/>
                <w:szCs w:val="16"/>
              </w:rPr>
              <w:t xml:space="preserve">0.3 (0.016), </w:t>
            </w:r>
          </w:p>
          <w:p w:rsidR="00213527" w:rsidRPr="004A3847" w:rsidRDefault="00213527" w:rsidP="00714280">
            <w:pPr>
              <w:spacing w:line="240" w:lineRule="auto"/>
              <w:ind w:left="-99"/>
              <w:jc w:val="center"/>
              <w:rPr>
                <w:sz w:val="16"/>
                <w:szCs w:val="16"/>
              </w:rPr>
            </w:pPr>
            <w:r w:rsidRPr="004A3847">
              <w:rPr>
                <w:sz w:val="16"/>
                <w:szCs w:val="16"/>
              </w:rPr>
              <w:t>8.4%</w:t>
            </w:r>
          </w:p>
        </w:tc>
        <w:tc>
          <w:tcPr>
            <w:tcW w:w="742" w:type="dxa"/>
            <w:tcBorders>
              <w:top w:val="single" w:sz="18" w:space="0" w:color="000000" w:themeColor="text1"/>
            </w:tcBorders>
            <w:shd w:val="clear" w:color="auto" w:fill="FFFFFF" w:themeFill="background1"/>
            <w:vAlign w:val="center"/>
          </w:tcPr>
          <w:p w:rsidR="00213527" w:rsidRPr="004A3847" w:rsidRDefault="00213527" w:rsidP="00714280">
            <w:pPr>
              <w:spacing w:line="240" w:lineRule="auto"/>
              <w:ind w:left="-99"/>
              <w:jc w:val="center"/>
              <w:rPr>
                <w:sz w:val="16"/>
                <w:szCs w:val="16"/>
              </w:rPr>
            </w:pPr>
            <w:r w:rsidRPr="004A3847">
              <w:rPr>
                <w:sz w:val="16"/>
                <w:szCs w:val="16"/>
              </w:rPr>
              <w:t>0.299 (0.016),</w:t>
            </w:r>
          </w:p>
          <w:p w:rsidR="00213527" w:rsidRPr="004A3847" w:rsidRDefault="00213527" w:rsidP="00714280">
            <w:pPr>
              <w:spacing w:line="240" w:lineRule="auto"/>
              <w:ind w:left="-99"/>
              <w:jc w:val="center"/>
              <w:rPr>
                <w:sz w:val="16"/>
                <w:szCs w:val="16"/>
              </w:rPr>
            </w:pPr>
            <w:r w:rsidRPr="004A3847">
              <w:rPr>
                <w:sz w:val="16"/>
                <w:szCs w:val="16"/>
              </w:rPr>
              <w:t xml:space="preserve"> 8.3%</w:t>
            </w:r>
          </w:p>
        </w:tc>
        <w:tc>
          <w:tcPr>
            <w:tcW w:w="742" w:type="dxa"/>
            <w:gridSpan w:val="2"/>
            <w:tcBorders>
              <w:top w:val="single" w:sz="18" w:space="0" w:color="000000" w:themeColor="text1"/>
            </w:tcBorders>
            <w:shd w:val="clear" w:color="auto" w:fill="FFFFFF" w:themeFill="background1"/>
            <w:vAlign w:val="center"/>
          </w:tcPr>
          <w:p w:rsidR="00213527" w:rsidRPr="004A3847" w:rsidRDefault="00213527" w:rsidP="00714280">
            <w:pPr>
              <w:spacing w:line="240" w:lineRule="auto"/>
              <w:ind w:left="-112" w:hanging="63"/>
              <w:jc w:val="center"/>
              <w:rPr>
                <w:sz w:val="16"/>
                <w:szCs w:val="16"/>
              </w:rPr>
            </w:pPr>
            <w:r w:rsidRPr="004A3847">
              <w:rPr>
                <w:sz w:val="16"/>
                <w:szCs w:val="16"/>
              </w:rPr>
              <w:t xml:space="preserve">0.170 (0.012), </w:t>
            </w:r>
          </w:p>
          <w:p w:rsidR="00213527" w:rsidRPr="004A3847" w:rsidRDefault="00213527" w:rsidP="00714280">
            <w:pPr>
              <w:spacing w:line="240" w:lineRule="auto"/>
              <w:ind w:left="-112" w:hanging="63"/>
              <w:jc w:val="center"/>
              <w:rPr>
                <w:sz w:val="16"/>
                <w:szCs w:val="16"/>
              </w:rPr>
            </w:pPr>
            <w:r w:rsidRPr="004A3847">
              <w:rPr>
                <w:sz w:val="16"/>
                <w:szCs w:val="16"/>
              </w:rPr>
              <w:t>4.9%</w:t>
            </w:r>
          </w:p>
        </w:tc>
      </w:tr>
      <w:tr w:rsidR="00213527" w:rsidRPr="001F33CB" w:rsidTr="004A3847">
        <w:trPr>
          <w:trHeight w:val="764"/>
        </w:trPr>
        <w:tc>
          <w:tcPr>
            <w:tcW w:w="709" w:type="dxa"/>
            <w:vMerge/>
            <w:tcBorders>
              <w:top w:val="single" w:sz="18" w:space="0" w:color="000000" w:themeColor="text1"/>
            </w:tcBorders>
            <w:vAlign w:val="center"/>
          </w:tcPr>
          <w:p w:rsidR="00213527" w:rsidRPr="001F33CB" w:rsidRDefault="00213527" w:rsidP="00714280">
            <w:pPr>
              <w:spacing w:line="240" w:lineRule="auto"/>
              <w:rPr>
                <w:b/>
                <w:sz w:val="16"/>
                <w:szCs w:val="16"/>
              </w:rPr>
            </w:pPr>
          </w:p>
        </w:tc>
        <w:tc>
          <w:tcPr>
            <w:tcW w:w="1134" w:type="dxa"/>
            <w:vAlign w:val="center"/>
          </w:tcPr>
          <w:p w:rsidR="00213527" w:rsidRPr="001F33CB" w:rsidRDefault="00213527" w:rsidP="00714280">
            <w:pPr>
              <w:spacing w:line="240" w:lineRule="auto"/>
              <w:rPr>
                <w:b/>
                <w:sz w:val="16"/>
                <w:szCs w:val="16"/>
              </w:rPr>
            </w:pPr>
            <w:r w:rsidRPr="001F33CB">
              <w:rPr>
                <w:b/>
                <w:sz w:val="16"/>
                <w:szCs w:val="16"/>
              </w:rPr>
              <w:t>Chemistry</w:t>
            </w:r>
          </w:p>
        </w:tc>
        <w:tc>
          <w:tcPr>
            <w:tcW w:w="993" w:type="dxa"/>
            <w:tcBorders>
              <w:righ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-1.157 (0.020)</w:t>
            </w:r>
          </w:p>
        </w:tc>
        <w:tc>
          <w:tcPr>
            <w:tcW w:w="992" w:type="dxa"/>
            <w:tcBorders>
              <w:lef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-1.127 (0.022)</w:t>
            </w:r>
          </w:p>
        </w:tc>
        <w:tc>
          <w:tcPr>
            <w:tcW w:w="850" w:type="dxa"/>
            <w:tcBorders>
              <w:righ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-0.142 (0.047)</w:t>
            </w:r>
          </w:p>
        </w:tc>
        <w:tc>
          <w:tcPr>
            <w:tcW w:w="851" w:type="dxa"/>
            <w:tcBorders>
              <w:lef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-12.876 (0.222)</w:t>
            </w:r>
          </w:p>
        </w:tc>
        <w:tc>
          <w:tcPr>
            <w:tcW w:w="850"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-0.246 (0.045)</w:t>
            </w:r>
          </w:p>
        </w:tc>
        <w:tc>
          <w:tcPr>
            <w:tcW w:w="993" w:type="dxa"/>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0.021 (0.026)</w:t>
            </w:r>
          </w:p>
        </w:tc>
        <w:tc>
          <w:tcPr>
            <w:tcW w:w="992"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0.152 (0.061)</w:t>
            </w:r>
          </w:p>
        </w:tc>
        <w:tc>
          <w:tcPr>
            <w:tcW w:w="850"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0.7</w:t>
            </w:r>
            <w:r w:rsidR="00EC1836">
              <w:rPr>
                <w:sz w:val="16"/>
                <w:szCs w:val="16"/>
              </w:rPr>
              <w:t>00</w:t>
            </w:r>
            <w:r w:rsidRPr="004A3847">
              <w:rPr>
                <w:sz w:val="16"/>
                <w:szCs w:val="16"/>
              </w:rPr>
              <w:t xml:space="preserve"> (0.094)</w:t>
            </w:r>
          </w:p>
        </w:tc>
        <w:tc>
          <w:tcPr>
            <w:tcW w:w="898"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-0.544 (0.024)</w:t>
            </w:r>
          </w:p>
        </w:tc>
        <w:tc>
          <w:tcPr>
            <w:tcW w:w="898"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0.127 (0.027)</w:t>
            </w:r>
          </w:p>
        </w:tc>
        <w:tc>
          <w:tcPr>
            <w:tcW w:w="898"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0.404 (0.043)</w:t>
            </w:r>
          </w:p>
        </w:tc>
        <w:tc>
          <w:tcPr>
            <w:tcW w:w="850"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0.226 (0.003)</w:t>
            </w:r>
          </w:p>
        </w:tc>
        <w:tc>
          <w:tcPr>
            <w:tcW w:w="851" w:type="dxa"/>
            <w:tcBorders>
              <w:right w:val="single" w:sz="18" w:space="0" w:color="000000" w:themeColor="text1"/>
            </w:tcBorders>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-0.026 (0.041)</w:t>
            </w:r>
          </w:p>
        </w:tc>
        <w:tc>
          <w:tcPr>
            <w:tcW w:w="742" w:type="dxa"/>
            <w:tcBorders>
              <w:left w:val="single" w:sz="18" w:space="0" w:color="000000" w:themeColor="text1"/>
            </w:tcBorders>
            <w:shd w:val="clear" w:color="auto" w:fill="FFFFFF" w:themeFill="background1"/>
            <w:vAlign w:val="center"/>
          </w:tcPr>
          <w:p w:rsidR="00213527" w:rsidRPr="004A3847" w:rsidRDefault="00213527" w:rsidP="00714280">
            <w:pPr>
              <w:spacing w:line="240" w:lineRule="auto"/>
              <w:ind w:left="-99"/>
              <w:jc w:val="center"/>
              <w:rPr>
                <w:sz w:val="16"/>
                <w:szCs w:val="16"/>
              </w:rPr>
            </w:pPr>
            <w:r w:rsidRPr="004A3847">
              <w:rPr>
                <w:sz w:val="16"/>
                <w:szCs w:val="16"/>
              </w:rPr>
              <w:t>0.424 (0.021,</w:t>
            </w:r>
          </w:p>
          <w:p w:rsidR="00213527" w:rsidRPr="004A3847" w:rsidRDefault="00213527" w:rsidP="00714280">
            <w:pPr>
              <w:spacing w:line="240" w:lineRule="auto"/>
              <w:ind w:left="-99"/>
              <w:jc w:val="center"/>
              <w:rPr>
                <w:sz w:val="16"/>
                <w:szCs w:val="16"/>
              </w:rPr>
            </w:pPr>
            <w:r w:rsidRPr="004A3847">
              <w:rPr>
                <w:sz w:val="16"/>
                <w:szCs w:val="16"/>
              </w:rPr>
              <w:t xml:space="preserve"> 11.4%</w:t>
            </w:r>
          </w:p>
        </w:tc>
        <w:tc>
          <w:tcPr>
            <w:tcW w:w="742" w:type="dxa"/>
            <w:shd w:val="clear" w:color="auto" w:fill="FFFFFF" w:themeFill="background1"/>
            <w:vAlign w:val="center"/>
          </w:tcPr>
          <w:p w:rsidR="00213527" w:rsidRPr="004A3847" w:rsidRDefault="00213527" w:rsidP="00714280">
            <w:pPr>
              <w:spacing w:line="240" w:lineRule="auto"/>
              <w:ind w:left="-99"/>
              <w:jc w:val="center"/>
              <w:rPr>
                <w:sz w:val="16"/>
                <w:szCs w:val="16"/>
              </w:rPr>
            </w:pPr>
            <w:r w:rsidRPr="004A3847">
              <w:rPr>
                <w:sz w:val="16"/>
                <w:szCs w:val="16"/>
              </w:rPr>
              <w:t>0.419 (0.021),</w:t>
            </w:r>
          </w:p>
          <w:p w:rsidR="00213527" w:rsidRPr="004A3847" w:rsidRDefault="00213527" w:rsidP="00714280">
            <w:pPr>
              <w:spacing w:line="240" w:lineRule="auto"/>
              <w:ind w:left="-99"/>
              <w:jc w:val="center"/>
              <w:rPr>
                <w:sz w:val="16"/>
                <w:szCs w:val="16"/>
              </w:rPr>
            </w:pPr>
            <w:r w:rsidRPr="004A3847">
              <w:rPr>
                <w:sz w:val="16"/>
                <w:szCs w:val="16"/>
              </w:rPr>
              <w:t xml:space="preserve"> 11.3%</w:t>
            </w:r>
          </w:p>
        </w:tc>
        <w:tc>
          <w:tcPr>
            <w:tcW w:w="742" w:type="dxa"/>
            <w:gridSpan w:val="2"/>
            <w:shd w:val="clear" w:color="auto" w:fill="FFFFFF" w:themeFill="background1"/>
            <w:vAlign w:val="center"/>
          </w:tcPr>
          <w:p w:rsidR="00213527" w:rsidRPr="004A3847" w:rsidRDefault="00213527" w:rsidP="00714280">
            <w:pPr>
              <w:spacing w:line="240" w:lineRule="auto"/>
              <w:ind w:left="-112" w:hanging="63"/>
              <w:jc w:val="center"/>
              <w:rPr>
                <w:sz w:val="16"/>
                <w:szCs w:val="16"/>
              </w:rPr>
            </w:pPr>
            <w:r w:rsidRPr="004A3847">
              <w:rPr>
                <w:sz w:val="16"/>
                <w:szCs w:val="16"/>
              </w:rPr>
              <w:t>0.271 (0.018,</w:t>
            </w:r>
          </w:p>
          <w:p w:rsidR="00213527" w:rsidRPr="004A3847" w:rsidRDefault="00213527" w:rsidP="00714280">
            <w:pPr>
              <w:spacing w:line="240" w:lineRule="auto"/>
              <w:ind w:left="-112" w:hanging="63"/>
              <w:jc w:val="center"/>
              <w:rPr>
                <w:sz w:val="16"/>
                <w:szCs w:val="16"/>
              </w:rPr>
            </w:pPr>
            <w:r w:rsidRPr="004A3847">
              <w:rPr>
                <w:sz w:val="16"/>
                <w:szCs w:val="16"/>
              </w:rPr>
              <w:t xml:space="preserve"> 7.6%</w:t>
            </w:r>
          </w:p>
        </w:tc>
      </w:tr>
      <w:tr w:rsidR="00213527" w:rsidRPr="001F33CB" w:rsidTr="004A3847">
        <w:trPr>
          <w:trHeight w:val="764"/>
        </w:trPr>
        <w:tc>
          <w:tcPr>
            <w:tcW w:w="709" w:type="dxa"/>
            <w:vMerge/>
            <w:tcBorders>
              <w:top w:val="single" w:sz="18" w:space="0" w:color="000000" w:themeColor="text1"/>
            </w:tcBorders>
            <w:vAlign w:val="center"/>
          </w:tcPr>
          <w:p w:rsidR="00213527" w:rsidRPr="001F33CB" w:rsidRDefault="00213527" w:rsidP="00714280">
            <w:pPr>
              <w:spacing w:line="240" w:lineRule="auto"/>
              <w:rPr>
                <w:b/>
                <w:sz w:val="16"/>
                <w:szCs w:val="16"/>
              </w:rPr>
            </w:pPr>
          </w:p>
        </w:tc>
        <w:tc>
          <w:tcPr>
            <w:tcW w:w="1134" w:type="dxa"/>
            <w:vAlign w:val="center"/>
          </w:tcPr>
          <w:p w:rsidR="00213527" w:rsidRPr="001F33CB" w:rsidRDefault="00213527" w:rsidP="00714280">
            <w:pPr>
              <w:spacing w:line="240" w:lineRule="auto"/>
              <w:rPr>
                <w:b/>
                <w:sz w:val="16"/>
                <w:szCs w:val="16"/>
              </w:rPr>
            </w:pPr>
            <w:r w:rsidRPr="001F33CB">
              <w:rPr>
                <w:b/>
                <w:sz w:val="16"/>
                <w:szCs w:val="16"/>
              </w:rPr>
              <w:t>Physics</w:t>
            </w:r>
          </w:p>
        </w:tc>
        <w:tc>
          <w:tcPr>
            <w:tcW w:w="993" w:type="dxa"/>
            <w:tcBorders>
              <w:righ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-1.661 (0.020)</w:t>
            </w:r>
          </w:p>
        </w:tc>
        <w:tc>
          <w:tcPr>
            <w:tcW w:w="992" w:type="dxa"/>
            <w:tcBorders>
              <w:lef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-1.621 (0.022)</w:t>
            </w:r>
          </w:p>
        </w:tc>
        <w:tc>
          <w:tcPr>
            <w:tcW w:w="850" w:type="dxa"/>
            <w:tcBorders>
              <w:righ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-0.191 (0.047)</w:t>
            </w:r>
          </w:p>
        </w:tc>
        <w:tc>
          <w:tcPr>
            <w:tcW w:w="851" w:type="dxa"/>
            <w:tcBorders>
              <w:lef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-17.051 (0.287)</w:t>
            </w:r>
          </w:p>
        </w:tc>
        <w:tc>
          <w:tcPr>
            <w:tcW w:w="850"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-0.263 (0.047)</w:t>
            </w:r>
          </w:p>
        </w:tc>
        <w:tc>
          <w:tcPr>
            <w:tcW w:w="993"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1.500 (0.034)</w:t>
            </w:r>
          </w:p>
        </w:tc>
        <w:tc>
          <w:tcPr>
            <w:tcW w:w="992" w:type="dxa"/>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-0.057 (0.080)</w:t>
            </w:r>
          </w:p>
        </w:tc>
        <w:tc>
          <w:tcPr>
            <w:tcW w:w="850" w:type="dxa"/>
            <w:shd w:val="clear" w:color="auto" w:fill="BFBFBF" w:themeFill="background1" w:themeFillShade="BF"/>
            <w:vAlign w:val="center"/>
          </w:tcPr>
          <w:p w:rsidR="00213527" w:rsidRPr="004A3847" w:rsidRDefault="00213527" w:rsidP="00714280">
            <w:pPr>
              <w:spacing w:line="240" w:lineRule="auto"/>
              <w:jc w:val="center"/>
              <w:rPr>
                <w:sz w:val="16"/>
                <w:szCs w:val="16"/>
              </w:rPr>
            </w:pPr>
            <w:r w:rsidRPr="004A3847">
              <w:rPr>
                <w:sz w:val="16"/>
                <w:szCs w:val="16"/>
              </w:rPr>
              <w:t>-0.047 (0.111)</w:t>
            </w:r>
          </w:p>
        </w:tc>
        <w:tc>
          <w:tcPr>
            <w:tcW w:w="898"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-0.710 (0.027)</w:t>
            </w:r>
          </w:p>
        </w:tc>
        <w:tc>
          <w:tcPr>
            <w:tcW w:w="898"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0.920 (0.034)</w:t>
            </w:r>
          </w:p>
        </w:tc>
        <w:tc>
          <w:tcPr>
            <w:tcW w:w="898"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0.497 (0.053)</w:t>
            </w:r>
          </w:p>
        </w:tc>
        <w:tc>
          <w:tcPr>
            <w:tcW w:w="850" w:type="dxa"/>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0.162 (0.003)</w:t>
            </w:r>
          </w:p>
        </w:tc>
        <w:tc>
          <w:tcPr>
            <w:tcW w:w="851" w:type="dxa"/>
            <w:tcBorders>
              <w:right w:val="single" w:sz="18" w:space="0" w:color="000000" w:themeColor="text1"/>
            </w:tcBorders>
            <w:shd w:val="clear" w:color="auto" w:fill="FFFFFF" w:themeFill="background1"/>
            <w:vAlign w:val="center"/>
          </w:tcPr>
          <w:p w:rsidR="00213527" w:rsidRPr="004A3847" w:rsidRDefault="00213527" w:rsidP="00714280">
            <w:pPr>
              <w:spacing w:line="240" w:lineRule="auto"/>
              <w:jc w:val="center"/>
              <w:rPr>
                <w:sz w:val="16"/>
                <w:szCs w:val="16"/>
              </w:rPr>
            </w:pPr>
            <w:r w:rsidRPr="004A3847">
              <w:rPr>
                <w:sz w:val="16"/>
                <w:szCs w:val="16"/>
              </w:rPr>
              <w:t>0.242 (0.043)</w:t>
            </w:r>
          </w:p>
        </w:tc>
        <w:tc>
          <w:tcPr>
            <w:tcW w:w="742" w:type="dxa"/>
            <w:tcBorders>
              <w:left w:val="single" w:sz="18" w:space="0" w:color="000000" w:themeColor="text1"/>
            </w:tcBorders>
            <w:shd w:val="clear" w:color="auto" w:fill="FFFFFF" w:themeFill="background1"/>
            <w:vAlign w:val="center"/>
          </w:tcPr>
          <w:p w:rsidR="00213527" w:rsidRPr="004A3847" w:rsidRDefault="00213527" w:rsidP="00714280">
            <w:pPr>
              <w:spacing w:line="240" w:lineRule="auto"/>
              <w:ind w:left="-99"/>
              <w:jc w:val="center"/>
              <w:rPr>
                <w:sz w:val="16"/>
                <w:szCs w:val="16"/>
              </w:rPr>
            </w:pPr>
            <w:r w:rsidRPr="004A3847">
              <w:rPr>
                <w:sz w:val="16"/>
                <w:szCs w:val="16"/>
              </w:rPr>
              <w:t xml:space="preserve">0.396 (0.019, </w:t>
            </w:r>
          </w:p>
          <w:p w:rsidR="00213527" w:rsidRPr="004A3847" w:rsidRDefault="00213527" w:rsidP="00714280">
            <w:pPr>
              <w:spacing w:line="240" w:lineRule="auto"/>
              <w:ind w:left="-99"/>
              <w:jc w:val="center"/>
              <w:rPr>
                <w:sz w:val="16"/>
                <w:szCs w:val="16"/>
              </w:rPr>
            </w:pPr>
            <w:r w:rsidRPr="004A3847">
              <w:rPr>
                <w:sz w:val="16"/>
                <w:szCs w:val="16"/>
              </w:rPr>
              <w:t>10.7%</w:t>
            </w:r>
          </w:p>
        </w:tc>
        <w:tc>
          <w:tcPr>
            <w:tcW w:w="742" w:type="dxa"/>
            <w:shd w:val="clear" w:color="auto" w:fill="FFFFFF" w:themeFill="background1"/>
            <w:vAlign w:val="center"/>
          </w:tcPr>
          <w:p w:rsidR="00213527" w:rsidRPr="004A3847" w:rsidRDefault="00213527" w:rsidP="00714280">
            <w:pPr>
              <w:spacing w:line="240" w:lineRule="auto"/>
              <w:ind w:left="-99"/>
              <w:jc w:val="center"/>
              <w:rPr>
                <w:sz w:val="16"/>
                <w:szCs w:val="16"/>
              </w:rPr>
            </w:pPr>
            <w:r w:rsidRPr="004A3847">
              <w:rPr>
                <w:sz w:val="16"/>
                <w:szCs w:val="16"/>
              </w:rPr>
              <w:t xml:space="preserve">0.357 (0.021), </w:t>
            </w:r>
          </w:p>
          <w:p w:rsidR="00213527" w:rsidRPr="004A3847" w:rsidRDefault="00213527" w:rsidP="00714280">
            <w:pPr>
              <w:spacing w:line="240" w:lineRule="auto"/>
              <w:ind w:left="-99"/>
              <w:jc w:val="center"/>
              <w:rPr>
                <w:sz w:val="16"/>
                <w:szCs w:val="16"/>
              </w:rPr>
            </w:pPr>
            <w:r w:rsidRPr="004A3847">
              <w:rPr>
                <w:sz w:val="16"/>
                <w:szCs w:val="16"/>
              </w:rPr>
              <w:t>9.8%</w:t>
            </w:r>
          </w:p>
        </w:tc>
        <w:tc>
          <w:tcPr>
            <w:tcW w:w="742" w:type="dxa"/>
            <w:gridSpan w:val="2"/>
            <w:shd w:val="clear" w:color="auto" w:fill="FFFFFF" w:themeFill="background1"/>
            <w:vAlign w:val="center"/>
          </w:tcPr>
          <w:p w:rsidR="00213527" w:rsidRPr="004A3847" w:rsidRDefault="00213527" w:rsidP="00714280">
            <w:pPr>
              <w:spacing w:line="240" w:lineRule="auto"/>
              <w:ind w:left="-112" w:hanging="63"/>
              <w:jc w:val="center"/>
              <w:rPr>
                <w:sz w:val="16"/>
                <w:szCs w:val="16"/>
              </w:rPr>
            </w:pPr>
            <w:r w:rsidRPr="004A3847">
              <w:rPr>
                <w:sz w:val="16"/>
                <w:szCs w:val="16"/>
              </w:rPr>
              <w:t xml:space="preserve">0.218 (0.018), </w:t>
            </w:r>
          </w:p>
          <w:p w:rsidR="00213527" w:rsidRPr="004A3847" w:rsidRDefault="00213527" w:rsidP="00714280">
            <w:pPr>
              <w:spacing w:line="240" w:lineRule="auto"/>
              <w:ind w:left="-112" w:hanging="63"/>
              <w:jc w:val="center"/>
              <w:rPr>
                <w:sz w:val="16"/>
                <w:szCs w:val="16"/>
              </w:rPr>
            </w:pPr>
            <w:r w:rsidRPr="004A3847">
              <w:rPr>
                <w:sz w:val="16"/>
                <w:szCs w:val="16"/>
              </w:rPr>
              <w:t>6.2%</w:t>
            </w:r>
          </w:p>
        </w:tc>
      </w:tr>
    </w:tbl>
    <w:p w:rsidR="00213527" w:rsidRPr="001F33CB" w:rsidRDefault="00213527" w:rsidP="00213527">
      <w:pPr>
        <w:rPr>
          <w:b/>
          <w:i/>
        </w:rPr>
      </w:pPr>
      <w:r w:rsidRPr="001F33CB">
        <w:rPr>
          <w:b/>
          <w:i/>
        </w:rPr>
        <w:t>Table A2: Model estimates (</w:t>
      </w:r>
      <w:proofErr w:type="gramStart"/>
      <w:r w:rsidRPr="001F33CB">
        <w:rPr>
          <w:b/>
          <w:i/>
        </w:rPr>
        <w:t>log(</w:t>
      </w:r>
      <w:proofErr w:type="gramEnd"/>
      <w:r w:rsidRPr="001F33CB">
        <w:rPr>
          <w:b/>
          <w:i/>
        </w:rPr>
        <w:t>odds ratio) for predicting participation in post-compulsory biology, chemistry and physics</w:t>
      </w:r>
    </w:p>
    <w:p w:rsidR="00213527" w:rsidRPr="001F33CB" w:rsidRDefault="00213527" w:rsidP="002F2237">
      <w:pPr>
        <w:spacing w:line="240" w:lineRule="auto"/>
      </w:pPr>
      <w:r w:rsidRPr="001F33CB">
        <w:t>Sample sizes - schools, students: DA: Null and simple models: 3065</w:t>
      </w:r>
      <w:r w:rsidR="002F2237">
        <w:t xml:space="preserve"> schools</w:t>
      </w:r>
      <w:r w:rsidRPr="001F33CB">
        <w:t>, 304693</w:t>
      </w:r>
      <w:r w:rsidR="002F2237">
        <w:t xml:space="preserve"> students</w:t>
      </w:r>
      <w:r w:rsidRPr="001F33CB">
        <w:t xml:space="preserve">; Full model: 3017, 281765; </w:t>
      </w:r>
    </w:p>
    <w:p w:rsidR="00213527" w:rsidRPr="001F33CB" w:rsidRDefault="00213527" w:rsidP="004A3847">
      <w:pPr>
        <w:spacing w:before="120" w:line="240" w:lineRule="auto"/>
        <w:ind w:left="2880" w:firstLine="720"/>
      </w:pPr>
      <w:r w:rsidRPr="001F33CB">
        <w:t>TA: Null and simple models: 1662, 66163; Full model: 1607, 60170</w:t>
      </w:r>
    </w:p>
    <w:p w:rsidR="002F2237" w:rsidRDefault="002F2237" w:rsidP="004A3847">
      <w:pPr>
        <w:spacing w:before="120" w:line="240" w:lineRule="auto"/>
      </w:pPr>
      <w:r>
        <w:t>Student numbers are smaller than the corresponding figures in Table 2 due to a small amount of missing data on some predictors.</w:t>
      </w:r>
    </w:p>
    <w:p w:rsidR="009A7229" w:rsidRDefault="009A7229" w:rsidP="009A7229">
      <w:pPr>
        <w:spacing w:before="120" w:line="240" w:lineRule="auto"/>
        <w:ind w:right="-359"/>
      </w:pPr>
      <w:r>
        <w:t>Uns</w:t>
      </w:r>
      <w:r w:rsidRPr="001F33CB">
        <w:t>haded cells indicate coefficient</w:t>
      </w:r>
      <w:r>
        <w:t>s</w:t>
      </w:r>
      <w:r w:rsidRPr="001F33CB">
        <w:t xml:space="preserve"> significantly different from zero at the 5% level</w:t>
      </w:r>
      <w:r>
        <w:t>, whilst shaded cells indicate non-significant effects.</w:t>
      </w:r>
    </w:p>
    <w:p w:rsidR="004A3847" w:rsidRDefault="004A3847" w:rsidP="004A3847">
      <w:pPr>
        <w:spacing w:before="120" w:line="240" w:lineRule="auto"/>
        <w:sectPr w:rsidR="004A3847" w:rsidSect="00213527">
          <w:pgSz w:w="16838" w:h="11906" w:orient="landscape"/>
          <w:pgMar w:top="1440" w:right="1440" w:bottom="1440" w:left="1440" w:header="708" w:footer="708" w:gutter="0"/>
          <w:cols w:space="708"/>
          <w:docGrid w:linePitch="360"/>
        </w:sect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037"/>
        <w:gridCol w:w="1488"/>
        <w:gridCol w:w="1545"/>
        <w:gridCol w:w="1378"/>
        <w:gridCol w:w="1838"/>
        <w:gridCol w:w="1276"/>
      </w:tblGrid>
      <w:tr w:rsidR="004D020D" w:rsidRPr="001F33CB" w:rsidTr="00714280">
        <w:trPr>
          <w:trHeight w:val="300"/>
        </w:trPr>
        <w:tc>
          <w:tcPr>
            <w:tcW w:w="1704" w:type="dxa"/>
            <w:gridSpan w:val="2"/>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lastRenderedPageBreak/>
              <w:t>14-16 qualification</w:t>
            </w:r>
          </w:p>
        </w:tc>
        <w:tc>
          <w:tcPr>
            <w:tcW w:w="1412"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16-18 qualification</w:t>
            </w:r>
          </w:p>
        </w:tc>
        <w:tc>
          <w:tcPr>
            <w:tcW w:w="1545"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Number progressing to 16-18 qualification within group</w:t>
            </w:r>
          </w:p>
        </w:tc>
        <w:tc>
          <w:tcPr>
            <w:tcW w:w="125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Percentage progressing to 16-18 qualification within group</w:t>
            </w:r>
          </w:p>
        </w:tc>
        <w:tc>
          <w:tcPr>
            <w:tcW w:w="2036" w:type="dxa"/>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Chi-square test of difference in percentages progressing: p-value and effect size (phi)</w:t>
            </w: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Total number of students within group</w:t>
            </w:r>
          </w:p>
        </w:tc>
      </w:tr>
      <w:tr w:rsidR="004D020D" w:rsidRPr="001F33CB" w:rsidTr="00714280">
        <w:trPr>
          <w:trHeight w:val="300"/>
        </w:trPr>
        <w:tc>
          <w:tcPr>
            <w:tcW w:w="667" w:type="dxa"/>
            <w:vMerge w:val="restart"/>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 xml:space="preserve"> </w:t>
            </w:r>
          </w:p>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DA</w:t>
            </w: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21CS</w:t>
            </w:r>
          </w:p>
        </w:tc>
        <w:tc>
          <w:tcPr>
            <w:tcW w:w="1412" w:type="dxa"/>
            <w:vMerge w:val="restart"/>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Biology</w:t>
            </w:r>
          </w:p>
        </w:tc>
        <w:tc>
          <w:tcPr>
            <w:tcW w:w="1545"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4,866</w:t>
            </w:r>
          </w:p>
        </w:tc>
        <w:tc>
          <w:tcPr>
            <w:tcW w:w="125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7.61</w:t>
            </w:r>
          </w:p>
        </w:tc>
        <w:tc>
          <w:tcPr>
            <w:tcW w:w="2036" w:type="dxa"/>
            <w:vMerge w:val="restart"/>
            <w:vAlign w:val="center"/>
          </w:tcPr>
          <w:p w:rsidR="004D020D" w:rsidRPr="001F33CB" w:rsidRDefault="004D020D" w:rsidP="00714280">
            <w:pPr>
              <w:spacing w:before="120" w:after="120" w:line="240" w:lineRule="auto"/>
              <w:jc w:val="center"/>
              <w:rPr>
                <w:color w:val="000000"/>
                <w:sz w:val="22"/>
                <w:szCs w:val="22"/>
              </w:rPr>
            </w:pPr>
            <w:r w:rsidRPr="001F33CB">
              <w:rPr>
                <w:color w:val="000000"/>
                <w:sz w:val="22"/>
                <w:szCs w:val="22"/>
              </w:rPr>
              <w:t>&lt;0.001</w:t>
            </w:r>
          </w:p>
          <w:p w:rsidR="004D020D" w:rsidRPr="001F33CB" w:rsidRDefault="004D020D" w:rsidP="00714280">
            <w:pPr>
              <w:spacing w:before="120" w:after="120" w:line="240" w:lineRule="auto"/>
              <w:jc w:val="center"/>
              <w:rPr>
                <w:color w:val="000000"/>
                <w:sz w:val="22"/>
                <w:szCs w:val="22"/>
              </w:rPr>
            </w:pPr>
            <w:r w:rsidRPr="001F33CB">
              <w:rPr>
                <w:color w:val="000000"/>
                <w:sz w:val="22"/>
                <w:szCs w:val="22"/>
              </w:rPr>
              <w:t>0.020</w:t>
            </w: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63,972</w:t>
            </w:r>
          </w:p>
        </w:tc>
      </w:tr>
      <w:tr w:rsidR="004D020D" w:rsidRPr="001F33CB" w:rsidTr="00714280">
        <w:trPr>
          <w:trHeight w:val="300"/>
        </w:trPr>
        <w:tc>
          <w:tcPr>
            <w:tcW w:w="667"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Non-21CS</w:t>
            </w:r>
          </w:p>
        </w:tc>
        <w:tc>
          <w:tcPr>
            <w:tcW w:w="1412"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545"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15,369</w:t>
            </w:r>
          </w:p>
        </w:tc>
        <w:tc>
          <w:tcPr>
            <w:tcW w:w="125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6.38</w:t>
            </w:r>
          </w:p>
        </w:tc>
        <w:tc>
          <w:tcPr>
            <w:tcW w:w="2036" w:type="dxa"/>
            <w:vMerge/>
            <w:vAlign w:val="center"/>
          </w:tcPr>
          <w:p w:rsidR="004D020D" w:rsidRPr="001F33CB" w:rsidRDefault="004D020D" w:rsidP="00714280">
            <w:pPr>
              <w:spacing w:before="120" w:after="120" w:line="240" w:lineRule="auto"/>
              <w:jc w:val="center"/>
              <w:rPr>
                <w:color w:val="000000"/>
                <w:sz w:val="22"/>
                <w:szCs w:val="22"/>
              </w:rPr>
            </w:pP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240,721</w:t>
            </w:r>
          </w:p>
        </w:tc>
      </w:tr>
      <w:tr w:rsidR="004D020D" w:rsidRPr="001F33CB" w:rsidTr="00714280">
        <w:trPr>
          <w:trHeight w:val="300"/>
        </w:trPr>
        <w:tc>
          <w:tcPr>
            <w:tcW w:w="667"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21CS</w:t>
            </w:r>
          </w:p>
        </w:tc>
        <w:tc>
          <w:tcPr>
            <w:tcW w:w="1412" w:type="dxa"/>
            <w:vMerge w:val="restart"/>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Chemistry</w:t>
            </w:r>
          </w:p>
        </w:tc>
        <w:tc>
          <w:tcPr>
            <w:tcW w:w="1545"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2,807</w:t>
            </w:r>
          </w:p>
        </w:tc>
        <w:tc>
          <w:tcPr>
            <w:tcW w:w="125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4.39</w:t>
            </w:r>
          </w:p>
        </w:tc>
        <w:tc>
          <w:tcPr>
            <w:tcW w:w="2036" w:type="dxa"/>
            <w:vMerge w:val="restart"/>
            <w:vAlign w:val="center"/>
          </w:tcPr>
          <w:p w:rsidR="004D020D" w:rsidRPr="001F33CB" w:rsidRDefault="004D020D" w:rsidP="00714280">
            <w:pPr>
              <w:spacing w:before="120" w:after="120" w:line="240" w:lineRule="auto"/>
              <w:jc w:val="center"/>
              <w:rPr>
                <w:color w:val="000000"/>
                <w:sz w:val="22"/>
                <w:szCs w:val="22"/>
              </w:rPr>
            </w:pPr>
            <w:r w:rsidRPr="001F33CB">
              <w:rPr>
                <w:color w:val="000000"/>
                <w:sz w:val="22"/>
                <w:szCs w:val="22"/>
              </w:rPr>
              <w:t>0.460</w:t>
            </w:r>
          </w:p>
          <w:p w:rsidR="004D020D" w:rsidRPr="001F33CB" w:rsidRDefault="004D020D" w:rsidP="00714280">
            <w:pPr>
              <w:spacing w:before="120" w:after="120" w:line="240" w:lineRule="auto"/>
              <w:jc w:val="center"/>
              <w:rPr>
                <w:color w:val="000000"/>
              </w:rPr>
            </w:pPr>
            <w:r w:rsidRPr="001F33CB">
              <w:rPr>
                <w:color w:val="000000"/>
                <w:sz w:val="22"/>
                <w:szCs w:val="22"/>
              </w:rPr>
              <w:t>0.001</w:t>
            </w: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63,972</w:t>
            </w:r>
          </w:p>
        </w:tc>
      </w:tr>
      <w:tr w:rsidR="004D020D" w:rsidRPr="001F33CB" w:rsidTr="00714280">
        <w:trPr>
          <w:trHeight w:val="300"/>
        </w:trPr>
        <w:tc>
          <w:tcPr>
            <w:tcW w:w="667"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Non-21CS</w:t>
            </w:r>
          </w:p>
        </w:tc>
        <w:tc>
          <w:tcPr>
            <w:tcW w:w="1412"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545"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10,400</w:t>
            </w:r>
          </w:p>
        </w:tc>
        <w:tc>
          <w:tcPr>
            <w:tcW w:w="125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4.32</w:t>
            </w:r>
          </w:p>
        </w:tc>
        <w:tc>
          <w:tcPr>
            <w:tcW w:w="2036" w:type="dxa"/>
            <w:vMerge/>
            <w:vAlign w:val="center"/>
          </w:tcPr>
          <w:p w:rsidR="004D020D" w:rsidRPr="001F33CB" w:rsidRDefault="004D020D" w:rsidP="00714280">
            <w:pPr>
              <w:spacing w:before="120" w:after="120" w:line="240" w:lineRule="auto"/>
              <w:jc w:val="center"/>
              <w:rPr>
                <w:i/>
                <w:color w:val="000000"/>
                <w:sz w:val="22"/>
                <w:szCs w:val="22"/>
              </w:rPr>
            </w:pP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240,721</w:t>
            </w:r>
          </w:p>
        </w:tc>
      </w:tr>
      <w:tr w:rsidR="004D020D" w:rsidRPr="001F33CB" w:rsidTr="00714280">
        <w:trPr>
          <w:trHeight w:val="300"/>
        </w:trPr>
        <w:tc>
          <w:tcPr>
            <w:tcW w:w="667"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21CS</w:t>
            </w:r>
          </w:p>
        </w:tc>
        <w:tc>
          <w:tcPr>
            <w:tcW w:w="1412" w:type="dxa"/>
            <w:vMerge w:val="restart"/>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Physics</w:t>
            </w:r>
          </w:p>
        </w:tc>
        <w:tc>
          <w:tcPr>
            <w:tcW w:w="1545"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1,641</w:t>
            </w:r>
          </w:p>
        </w:tc>
        <w:tc>
          <w:tcPr>
            <w:tcW w:w="125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2.57</w:t>
            </w:r>
          </w:p>
        </w:tc>
        <w:tc>
          <w:tcPr>
            <w:tcW w:w="2036" w:type="dxa"/>
            <w:vMerge w:val="restart"/>
            <w:vAlign w:val="center"/>
          </w:tcPr>
          <w:p w:rsidR="004D020D" w:rsidRPr="001F33CB" w:rsidRDefault="004D020D" w:rsidP="00714280">
            <w:pPr>
              <w:spacing w:before="120" w:after="120" w:line="240" w:lineRule="auto"/>
              <w:jc w:val="center"/>
              <w:rPr>
                <w:color w:val="000000"/>
                <w:sz w:val="22"/>
                <w:szCs w:val="22"/>
              </w:rPr>
            </w:pPr>
            <w:r w:rsidRPr="001F33CB">
              <w:rPr>
                <w:color w:val="000000"/>
                <w:sz w:val="22"/>
                <w:szCs w:val="22"/>
              </w:rPr>
              <w:t>&lt;0.001</w:t>
            </w:r>
          </w:p>
          <w:p w:rsidR="004D020D" w:rsidRPr="001F33CB" w:rsidRDefault="004D020D" w:rsidP="00714280">
            <w:pPr>
              <w:spacing w:before="120" w:after="120" w:line="240" w:lineRule="auto"/>
              <w:jc w:val="center"/>
              <w:rPr>
                <w:color w:val="000000"/>
              </w:rPr>
            </w:pPr>
            <w:r w:rsidRPr="001F33CB">
              <w:rPr>
                <w:color w:val="000000"/>
                <w:sz w:val="22"/>
                <w:szCs w:val="22"/>
              </w:rPr>
              <w:t>0.011</w:t>
            </w: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63,972</w:t>
            </w:r>
          </w:p>
        </w:tc>
      </w:tr>
      <w:tr w:rsidR="004D020D" w:rsidRPr="001F33CB" w:rsidTr="00714280">
        <w:trPr>
          <w:trHeight w:val="300"/>
        </w:trPr>
        <w:tc>
          <w:tcPr>
            <w:tcW w:w="667" w:type="dxa"/>
            <w:vMerge/>
            <w:shd w:val="clear" w:color="auto" w:fill="auto"/>
            <w:noWrap/>
            <w:vAlign w:val="center"/>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Non-21CS</w:t>
            </w:r>
          </w:p>
        </w:tc>
        <w:tc>
          <w:tcPr>
            <w:tcW w:w="1412" w:type="dxa"/>
            <w:vMerge/>
            <w:shd w:val="clear" w:color="auto" w:fill="auto"/>
            <w:noWrap/>
            <w:vAlign w:val="center"/>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545" w:type="dxa"/>
            <w:shd w:val="clear" w:color="auto" w:fill="auto"/>
            <w:noWrap/>
            <w:vAlign w:val="center"/>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7,290</w:t>
            </w:r>
          </w:p>
        </w:tc>
        <w:tc>
          <w:tcPr>
            <w:tcW w:w="1256" w:type="dxa"/>
            <w:shd w:val="clear" w:color="auto" w:fill="auto"/>
            <w:noWrap/>
            <w:vAlign w:val="center"/>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3.03</w:t>
            </w:r>
          </w:p>
        </w:tc>
        <w:tc>
          <w:tcPr>
            <w:tcW w:w="2036" w:type="dxa"/>
            <w:vMerge/>
            <w:vAlign w:val="center"/>
          </w:tcPr>
          <w:p w:rsidR="004D020D" w:rsidRPr="001F33CB" w:rsidRDefault="004D020D" w:rsidP="00714280">
            <w:pPr>
              <w:spacing w:before="120" w:after="120" w:line="240" w:lineRule="auto"/>
              <w:jc w:val="center"/>
              <w:rPr>
                <w:color w:val="000000"/>
                <w:sz w:val="22"/>
                <w:szCs w:val="22"/>
              </w:rPr>
            </w:pPr>
          </w:p>
        </w:tc>
        <w:tc>
          <w:tcPr>
            <w:tcW w:w="1276" w:type="dxa"/>
            <w:shd w:val="clear" w:color="auto" w:fill="auto"/>
            <w:noWrap/>
            <w:vAlign w:val="center"/>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240,721</w:t>
            </w:r>
          </w:p>
        </w:tc>
      </w:tr>
      <w:tr w:rsidR="004D020D" w:rsidRPr="001F33CB" w:rsidTr="00714280">
        <w:trPr>
          <w:trHeight w:val="300"/>
        </w:trPr>
        <w:tc>
          <w:tcPr>
            <w:tcW w:w="667" w:type="dxa"/>
            <w:vMerge/>
            <w:shd w:val="clear" w:color="auto" w:fill="auto"/>
            <w:noWrap/>
            <w:vAlign w:val="center"/>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21CS</w:t>
            </w:r>
          </w:p>
        </w:tc>
        <w:tc>
          <w:tcPr>
            <w:tcW w:w="1412" w:type="dxa"/>
            <w:vMerge w:val="restart"/>
            <w:shd w:val="clear" w:color="auto" w:fill="auto"/>
            <w:noWrap/>
            <w:vAlign w:val="center"/>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At least one of these qualifications</w:t>
            </w:r>
          </w:p>
        </w:tc>
        <w:tc>
          <w:tcPr>
            <w:tcW w:w="1545" w:type="dxa"/>
            <w:shd w:val="clear" w:color="auto" w:fill="auto"/>
            <w:noWrap/>
            <w:vAlign w:val="center"/>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6,724</w:t>
            </w:r>
          </w:p>
        </w:tc>
        <w:tc>
          <w:tcPr>
            <w:tcW w:w="1256" w:type="dxa"/>
            <w:shd w:val="clear" w:color="auto" w:fill="auto"/>
            <w:noWrap/>
            <w:vAlign w:val="center"/>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10.5</w:t>
            </w:r>
          </w:p>
        </w:tc>
        <w:tc>
          <w:tcPr>
            <w:tcW w:w="2036" w:type="dxa"/>
            <w:vMerge w:val="restart"/>
            <w:vAlign w:val="center"/>
          </w:tcPr>
          <w:p w:rsidR="004D020D" w:rsidRPr="001F33CB" w:rsidRDefault="004D020D" w:rsidP="00714280">
            <w:pPr>
              <w:spacing w:before="120" w:after="120" w:line="240" w:lineRule="auto"/>
              <w:jc w:val="center"/>
              <w:rPr>
                <w:color w:val="000000"/>
                <w:sz w:val="22"/>
                <w:szCs w:val="22"/>
              </w:rPr>
            </w:pPr>
            <w:r w:rsidRPr="001F33CB">
              <w:rPr>
                <w:color w:val="000000"/>
                <w:sz w:val="22"/>
                <w:szCs w:val="22"/>
              </w:rPr>
              <w:t>&lt;0.001</w:t>
            </w:r>
          </w:p>
          <w:p w:rsidR="004D020D" w:rsidRPr="001F33CB" w:rsidRDefault="004D020D" w:rsidP="00714280">
            <w:pPr>
              <w:spacing w:before="120" w:after="120" w:line="240" w:lineRule="auto"/>
              <w:jc w:val="center"/>
              <w:rPr>
                <w:color w:val="000000"/>
                <w:sz w:val="22"/>
                <w:szCs w:val="22"/>
              </w:rPr>
            </w:pPr>
            <w:r w:rsidRPr="001F33CB">
              <w:rPr>
                <w:color w:val="000000"/>
                <w:sz w:val="22"/>
                <w:szCs w:val="22"/>
              </w:rPr>
              <w:t>0.011</w:t>
            </w:r>
          </w:p>
        </w:tc>
        <w:tc>
          <w:tcPr>
            <w:tcW w:w="1276" w:type="dxa"/>
            <w:shd w:val="clear" w:color="auto" w:fill="auto"/>
            <w:noWrap/>
            <w:vAlign w:val="center"/>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23,420</w:t>
            </w:r>
          </w:p>
        </w:tc>
      </w:tr>
      <w:tr w:rsidR="004D020D" w:rsidRPr="001F33CB" w:rsidTr="00714280">
        <w:trPr>
          <w:trHeight w:val="632"/>
        </w:trPr>
        <w:tc>
          <w:tcPr>
            <w:tcW w:w="667"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Non-21CS</w:t>
            </w:r>
          </w:p>
        </w:tc>
        <w:tc>
          <w:tcPr>
            <w:tcW w:w="1412"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545" w:type="dxa"/>
            <w:shd w:val="clear" w:color="auto" w:fill="auto"/>
            <w:noWrap/>
            <w:vAlign w:val="center"/>
          </w:tcPr>
          <w:p w:rsidR="004D020D" w:rsidRPr="001F33CB" w:rsidRDefault="004D020D" w:rsidP="00714280">
            <w:pPr>
              <w:spacing w:before="120" w:after="120" w:line="240" w:lineRule="auto"/>
              <w:jc w:val="center"/>
              <w:rPr>
                <w:color w:val="000000"/>
                <w:sz w:val="22"/>
                <w:szCs w:val="22"/>
              </w:rPr>
            </w:pPr>
            <w:r w:rsidRPr="001F33CB">
              <w:rPr>
                <w:color w:val="000000"/>
                <w:sz w:val="22"/>
                <w:szCs w:val="22"/>
              </w:rPr>
              <w:t>23,420</w:t>
            </w:r>
          </w:p>
        </w:tc>
        <w:tc>
          <w:tcPr>
            <w:tcW w:w="1256" w:type="dxa"/>
            <w:shd w:val="clear" w:color="auto" w:fill="auto"/>
            <w:noWrap/>
            <w:vAlign w:val="center"/>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9.7</w:t>
            </w:r>
          </w:p>
        </w:tc>
        <w:tc>
          <w:tcPr>
            <w:tcW w:w="2036" w:type="dxa"/>
            <w:vMerge/>
            <w:vAlign w:val="center"/>
          </w:tcPr>
          <w:p w:rsidR="004D020D" w:rsidRPr="001F33CB" w:rsidRDefault="004D020D" w:rsidP="00714280">
            <w:pPr>
              <w:spacing w:before="120" w:after="120" w:line="240" w:lineRule="auto"/>
              <w:jc w:val="center"/>
              <w:rPr>
                <w:i/>
                <w:color w:val="000000"/>
                <w:sz w:val="22"/>
                <w:szCs w:val="22"/>
              </w:rPr>
            </w:pP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240,721</w:t>
            </w:r>
          </w:p>
        </w:tc>
      </w:tr>
      <w:tr w:rsidR="004D020D" w:rsidRPr="001F33CB" w:rsidTr="00714280">
        <w:trPr>
          <w:trHeight w:val="300"/>
        </w:trPr>
        <w:tc>
          <w:tcPr>
            <w:tcW w:w="667" w:type="dxa"/>
            <w:vMerge w:val="restart"/>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TA</w:t>
            </w: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21CS</w:t>
            </w:r>
          </w:p>
        </w:tc>
        <w:tc>
          <w:tcPr>
            <w:tcW w:w="1412" w:type="dxa"/>
            <w:vMerge w:val="restart"/>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Biology</w:t>
            </w:r>
          </w:p>
        </w:tc>
        <w:tc>
          <w:tcPr>
            <w:tcW w:w="1545"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3,587</w:t>
            </w:r>
          </w:p>
        </w:tc>
        <w:tc>
          <w:tcPr>
            <w:tcW w:w="125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25.8</w:t>
            </w:r>
          </w:p>
        </w:tc>
        <w:tc>
          <w:tcPr>
            <w:tcW w:w="2036" w:type="dxa"/>
            <w:vMerge w:val="restart"/>
            <w:vAlign w:val="center"/>
          </w:tcPr>
          <w:p w:rsidR="004D020D" w:rsidRPr="001F33CB" w:rsidRDefault="004D020D" w:rsidP="00714280">
            <w:pPr>
              <w:spacing w:before="120" w:after="120" w:line="240" w:lineRule="auto"/>
              <w:jc w:val="center"/>
              <w:rPr>
                <w:color w:val="000000"/>
                <w:sz w:val="22"/>
                <w:szCs w:val="22"/>
              </w:rPr>
            </w:pPr>
            <w:r w:rsidRPr="001F33CB">
              <w:rPr>
                <w:color w:val="000000"/>
                <w:sz w:val="22"/>
                <w:szCs w:val="22"/>
              </w:rPr>
              <w:t>&lt;0.001</w:t>
            </w:r>
          </w:p>
          <w:p w:rsidR="004D020D" w:rsidRPr="001F33CB" w:rsidRDefault="004D020D" w:rsidP="00714280">
            <w:pPr>
              <w:spacing w:before="120" w:after="120" w:line="240" w:lineRule="auto"/>
              <w:jc w:val="center"/>
              <w:rPr>
                <w:color w:val="000000"/>
              </w:rPr>
            </w:pPr>
            <w:r w:rsidRPr="001F33CB">
              <w:rPr>
                <w:color w:val="000000"/>
                <w:sz w:val="22"/>
                <w:szCs w:val="22"/>
              </w:rPr>
              <w:t>0.012</w:t>
            </w: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13,906</w:t>
            </w:r>
          </w:p>
        </w:tc>
      </w:tr>
      <w:tr w:rsidR="004D020D" w:rsidRPr="001F33CB" w:rsidTr="00714280">
        <w:trPr>
          <w:trHeight w:val="300"/>
        </w:trPr>
        <w:tc>
          <w:tcPr>
            <w:tcW w:w="667"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Non-21CS</w:t>
            </w:r>
          </w:p>
        </w:tc>
        <w:tc>
          <w:tcPr>
            <w:tcW w:w="1412"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545"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14,152</w:t>
            </w:r>
          </w:p>
        </w:tc>
        <w:tc>
          <w:tcPr>
            <w:tcW w:w="125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27.1</w:t>
            </w:r>
          </w:p>
        </w:tc>
        <w:tc>
          <w:tcPr>
            <w:tcW w:w="2036" w:type="dxa"/>
            <w:vMerge/>
            <w:vAlign w:val="center"/>
          </w:tcPr>
          <w:p w:rsidR="004D020D" w:rsidRPr="001F33CB" w:rsidRDefault="004D020D" w:rsidP="00714280">
            <w:pPr>
              <w:spacing w:before="120" w:after="120" w:line="240" w:lineRule="auto"/>
              <w:jc w:val="center"/>
              <w:rPr>
                <w:i/>
                <w:color w:val="000000"/>
                <w:sz w:val="22"/>
                <w:szCs w:val="22"/>
              </w:rPr>
            </w:pP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52,257</w:t>
            </w:r>
          </w:p>
        </w:tc>
      </w:tr>
      <w:tr w:rsidR="004D020D" w:rsidRPr="001F33CB" w:rsidTr="00714280">
        <w:trPr>
          <w:trHeight w:val="300"/>
        </w:trPr>
        <w:tc>
          <w:tcPr>
            <w:tcW w:w="667"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21CS</w:t>
            </w:r>
          </w:p>
        </w:tc>
        <w:tc>
          <w:tcPr>
            <w:tcW w:w="1412" w:type="dxa"/>
            <w:vMerge w:val="restart"/>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Chemistry</w:t>
            </w:r>
          </w:p>
        </w:tc>
        <w:tc>
          <w:tcPr>
            <w:tcW w:w="1545"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2,915</w:t>
            </w:r>
          </w:p>
        </w:tc>
        <w:tc>
          <w:tcPr>
            <w:tcW w:w="125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21.0</w:t>
            </w:r>
          </w:p>
        </w:tc>
        <w:tc>
          <w:tcPr>
            <w:tcW w:w="2036" w:type="dxa"/>
            <w:vMerge w:val="restart"/>
            <w:vAlign w:val="center"/>
          </w:tcPr>
          <w:p w:rsidR="004D020D" w:rsidRPr="001F33CB" w:rsidRDefault="004D020D" w:rsidP="00714280">
            <w:pPr>
              <w:spacing w:before="120" w:after="120" w:line="240" w:lineRule="auto"/>
              <w:jc w:val="center"/>
              <w:rPr>
                <w:color w:val="000000"/>
                <w:sz w:val="22"/>
                <w:szCs w:val="22"/>
              </w:rPr>
            </w:pPr>
            <w:r w:rsidRPr="001F33CB">
              <w:rPr>
                <w:color w:val="000000"/>
                <w:sz w:val="22"/>
                <w:szCs w:val="22"/>
              </w:rPr>
              <w:t>&lt;0.001</w:t>
            </w:r>
          </w:p>
          <w:p w:rsidR="004D020D" w:rsidRPr="001F33CB" w:rsidRDefault="004D020D" w:rsidP="00714280">
            <w:pPr>
              <w:spacing w:before="120" w:after="120" w:line="240" w:lineRule="auto"/>
              <w:jc w:val="center"/>
              <w:rPr>
                <w:color w:val="000000"/>
              </w:rPr>
            </w:pPr>
            <w:r w:rsidRPr="001F33CB">
              <w:rPr>
                <w:color w:val="000000"/>
                <w:sz w:val="22"/>
                <w:szCs w:val="22"/>
              </w:rPr>
              <w:t>0.032</w:t>
            </w: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13,906</w:t>
            </w:r>
          </w:p>
        </w:tc>
      </w:tr>
      <w:tr w:rsidR="004D020D" w:rsidRPr="001F33CB" w:rsidTr="00714280">
        <w:trPr>
          <w:trHeight w:val="300"/>
        </w:trPr>
        <w:tc>
          <w:tcPr>
            <w:tcW w:w="667"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Non-21CS</w:t>
            </w:r>
          </w:p>
        </w:tc>
        <w:tc>
          <w:tcPr>
            <w:tcW w:w="1412"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545"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12,675</w:t>
            </w:r>
          </w:p>
        </w:tc>
        <w:tc>
          <w:tcPr>
            <w:tcW w:w="125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24.3</w:t>
            </w:r>
          </w:p>
        </w:tc>
        <w:tc>
          <w:tcPr>
            <w:tcW w:w="2036" w:type="dxa"/>
            <w:vMerge/>
            <w:vAlign w:val="center"/>
          </w:tcPr>
          <w:p w:rsidR="004D020D" w:rsidRPr="001F33CB" w:rsidRDefault="004D020D" w:rsidP="00714280">
            <w:pPr>
              <w:spacing w:before="120" w:after="120" w:line="240" w:lineRule="auto"/>
              <w:jc w:val="center"/>
              <w:rPr>
                <w:i/>
                <w:color w:val="000000"/>
                <w:sz w:val="22"/>
                <w:szCs w:val="22"/>
              </w:rPr>
            </w:pP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52,257</w:t>
            </w:r>
          </w:p>
        </w:tc>
      </w:tr>
      <w:tr w:rsidR="004D020D" w:rsidRPr="001F33CB" w:rsidTr="00714280">
        <w:trPr>
          <w:trHeight w:val="300"/>
        </w:trPr>
        <w:tc>
          <w:tcPr>
            <w:tcW w:w="667" w:type="dxa"/>
            <w:vMerge/>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21CS</w:t>
            </w:r>
          </w:p>
        </w:tc>
        <w:tc>
          <w:tcPr>
            <w:tcW w:w="1412" w:type="dxa"/>
            <w:vMerge w:val="restart"/>
            <w:shd w:val="clear" w:color="auto" w:fill="auto"/>
            <w:noWrap/>
            <w:vAlign w:val="center"/>
            <w:hideMark/>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Physics</w:t>
            </w:r>
          </w:p>
        </w:tc>
        <w:tc>
          <w:tcPr>
            <w:tcW w:w="1545"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1,897</w:t>
            </w:r>
          </w:p>
        </w:tc>
        <w:tc>
          <w:tcPr>
            <w:tcW w:w="125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13.6</w:t>
            </w:r>
          </w:p>
        </w:tc>
        <w:tc>
          <w:tcPr>
            <w:tcW w:w="2036" w:type="dxa"/>
            <w:vMerge w:val="restart"/>
            <w:vAlign w:val="center"/>
          </w:tcPr>
          <w:p w:rsidR="004D020D" w:rsidRPr="001F33CB" w:rsidRDefault="004D020D" w:rsidP="00714280">
            <w:pPr>
              <w:spacing w:before="120" w:after="120" w:line="240" w:lineRule="auto"/>
              <w:jc w:val="center"/>
              <w:rPr>
                <w:color w:val="000000"/>
                <w:sz w:val="22"/>
                <w:szCs w:val="22"/>
              </w:rPr>
            </w:pPr>
            <w:r w:rsidRPr="001F33CB">
              <w:rPr>
                <w:color w:val="000000"/>
                <w:sz w:val="22"/>
                <w:szCs w:val="22"/>
              </w:rPr>
              <w:t>&lt;0.001</w:t>
            </w:r>
          </w:p>
          <w:p w:rsidR="004D020D" w:rsidRPr="001F33CB" w:rsidRDefault="004D020D" w:rsidP="00714280">
            <w:pPr>
              <w:spacing w:before="120" w:after="120" w:line="240" w:lineRule="auto"/>
              <w:jc w:val="center"/>
              <w:rPr>
                <w:color w:val="000000"/>
              </w:rPr>
            </w:pPr>
            <w:r w:rsidRPr="001F33CB">
              <w:rPr>
                <w:color w:val="000000"/>
                <w:sz w:val="22"/>
                <w:szCs w:val="22"/>
              </w:rPr>
              <w:t>0.035</w:t>
            </w: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13,906</w:t>
            </w:r>
          </w:p>
        </w:tc>
      </w:tr>
      <w:tr w:rsidR="004D020D" w:rsidRPr="001F33CB" w:rsidTr="00714280">
        <w:trPr>
          <w:trHeight w:val="300"/>
        </w:trPr>
        <w:tc>
          <w:tcPr>
            <w:tcW w:w="667" w:type="dxa"/>
            <w:vMerge/>
            <w:shd w:val="clear" w:color="auto" w:fill="auto"/>
            <w:noWrap/>
            <w:vAlign w:val="bottom"/>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Non-21CS</w:t>
            </w:r>
          </w:p>
        </w:tc>
        <w:tc>
          <w:tcPr>
            <w:tcW w:w="1412" w:type="dxa"/>
            <w:vMerge/>
            <w:shd w:val="clear" w:color="auto" w:fill="auto"/>
            <w:noWrap/>
            <w:vAlign w:val="bottom"/>
            <w:hideMark/>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545"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8,780</w:t>
            </w:r>
          </w:p>
        </w:tc>
        <w:tc>
          <w:tcPr>
            <w:tcW w:w="125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16.8</w:t>
            </w:r>
          </w:p>
        </w:tc>
        <w:tc>
          <w:tcPr>
            <w:tcW w:w="2036" w:type="dxa"/>
            <w:vMerge/>
            <w:vAlign w:val="center"/>
          </w:tcPr>
          <w:p w:rsidR="004D020D" w:rsidRPr="001F33CB" w:rsidRDefault="004D020D" w:rsidP="00714280">
            <w:pPr>
              <w:spacing w:before="120" w:after="120" w:line="240" w:lineRule="auto"/>
              <w:jc w:val="center"/>
              <w:rPr>
                <w:i/>
                <w:color w:val="000000"/>
                <w:sz w:val="22"/>
                <w:szCs w:val="22"/>
              </w:rPr>
            </w:pPr>
          </w:p>
        </w:tc>
        <w:tc>
          <w:tcPr>
            <w:tcW w:w="1276" w:type="dxa"/>
            <w:shd w:val="clear" w:color="auto" w:fill="auto"/>
            <w:noWrap/>
            <w:vAlign w:val="center"/>
            <w:hideMark/>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52,257</w:t>
            </w:r>
          </w:p>
        </w:tc>
      </w:tr>
      <w:tr w:rsidR="004D020D" w:rsidRPr="001F33CB" w:rsidTr="00714280">
        <w:trPr>
          <w:trHeight w:val="300"/>
        </w:trPr>
        <w:tc>
          <w:tcPr>
            <w:tcW w:w="667" w:type="dxa"/>
            <w:vMerge/>
            <w:shd w:val="clear" w:color="auto" w:fill="auto"/>
            <w:noWrap/>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21CS</w:t>
            </w:r>
          </w:p>
        </w:tc>
        <w:tc>
          <w:tcPr>
            <w:tcW w:w="1412" w:type="dxa"/>
            <w:vMerge w:val="restart"/>
            <w:shd w:val="clear" w:color="auto" w:fill="auto"/>
            <w:noWrap/>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At least one of these qualifications</w:t>
            </w:r>
          </w:p>
        </w:tc>
        <w:tc>
          <w:tcPr>
            <w:tcW w:w="1545" w:type="dxa"/>
            <w:shd w:val="clear" w:color="auto" w:fill="auto"/>
            <w:noWrap/>
            <w:vAlign w:val="center"/>
          </w:tcPr>
          <w:p w:rsidR="004D020D" w:rsidRPr="001F33CB" w:rsidRDefault="004D020D" w:rsidP="00714280">
            <w:pPr>
              <w:spacing w:before="120" w:after="120" w:line="240" w:lineRule="auto"/>
              <w:jc w:val="center"/>
              <w:rPr>
                <w:color w:val="000000"/>
                <w:sz w:val="22"/>
                <w:szCs w:val="22"/>
              </w:rPr>
            </w:pPr>
            <w:r w:rsidRPr="001F33CB">
              <w:rPr>
                <w:color w:val="000000"/>
                <w:sz w:val="22"/>
                <w:szCs w:val="22"/>
              </w:rPr>
              <w:t>5,471</w:t>
            </w:r>
          </w:p>
        </w:tc>
        <w:tc>
          <w:tcPr>
            <w:tcW w:w="1256" w:type="dxa"/>
            <w:shd w:val="clear" w:color="auto" w:fill="auto"/>
            <w:noWrap/>
            <w:vAlign w:val="center"/>
          </w:tcPr>
          <w:p w:rsidR="004D020D" w:rsidRPr="001F33CB" w:rsidRDefault="004D020D" w:rsidP="00714280">
            <w:pPr>
              <w:spacing w:before="120" w:after="120" w:line="240" w:lineRule="auto"/>
              <w:jc w:val="center"/>
              <w:rPr>
                <w:color w:val="000000"/>
                <w:sz w:val="22"/>
                <w:szCs w:val="22"/>
              </w:rPr>
            </w:pPr>
            <w:r w:rsidRPr="001F33CB">
              <w:rPr>
                <w:color w:val="000000"/>
                <w:sz w:val="22"/>
                <w:szCs w:val="22"/>
              </w:rPr>
              <w:t>39.3</w:t>
            </w:r>
          </w:p>
        </w:tc>
        <w:tc>
          <w:tcPr>
            <w:tcW w:w="2036" w:type="dxa"/>
            <w:vMerge w:val="restart"/>
            <w:vAlign w:val="center"/>
          </w:tcPr>
          <w:p w:rsidR="004D020D" w:rsidRPr="001F33CB" w:rsidRDefault="004D020D" w:rsidP="00714280">
            <w:pPr>
              <w:spacing w:before="120" w:after="120" w:line="240" w:lineRule="auto"/>
              <w:jc w:val="center"/>
              <w:rPr>
                <w:color w:val="000000"/>
                <w:sz w:val="22"/>
                <w:szCs w:val="22"/>
              </w:rPr>
            </w:pPr>
            <w:r w:rsidRPr="001F33CB">
              <w:rPr>
                <w:color w:val="000000"/>
                <w:sz w:val="22"/>
                <w:szCs w:val="22"/>
              </w:rPr>
              <w:t>&lt;0.001</w:t>
            </w:r>
          </w:p>
          <w:p w:rsidR="004D020D" w:rsidRPr="001F33CB" w:rsidRDefault="004D020D" w:rsidP="00714280">
            <w:pPr>
              <w:spacing w:before="120" w:after="120" w:line="240" w:lineRule="auto"/>
              <w:jc w:val="center"/>
              <w:rPr>
                <w:i/>
                <w:color w:val="000000"/>
                <w:sz w:val="22"/>
                <w:szCs w:val="22"/>
              </w:rPr>
            </w:pPr>
            <w:r w:rsidRPr="001F33CB">
              <w:rPr>
                <w:color w:val="000000"/>
                <w:sz w:val="22"/>
                <w:szCs w:val="22"/>
              </w:rPr>
              <w:t>0.030</w:t>
            </w:r>
          </w:p>
        </w:tc>
        <w:tc>
          <w:tcPr>
            <w:tcW w:w="1276" w:type="dxa"/>
            <w:shd w:val="clear" w:color="auto" w:fill="auto"/>
            <w:noWrap/>
            <w:vAlign w:val="center"/>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13,906</w:t>
            </w:r>
          </w:p>
        </w:tc>
      </w:tr>
      <w:tr w:rsidR="004D020D" w:rsidRPr="001F33CB" w:rsidTr="00714280">
        <w:trPr>
          <w:trHeight w:val="300"/>
        </w:trPr>
        <w:tc>
          <w:tcPr>
            <w:tcW w:w="667" w:type="dxa"/>
            <w:vMerge/>
            <w:shd w:val="clear" w:color="auto" w:fill="auto"/>
            <w:noWrap/>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037" w:type="dxa"/>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r w:rsidRPr="001F33CB">
              <w:rPr>
                <w:rFonts w:eastAsia="Times New Roman"/>
                <w:color w:val="000000"/>
                <w:sz w:val="22"/>
                <w:szCs w:val="22"/>
                <w:lang w:eastAsia="en-GB"/>
              </w:rPr>
              <w:t>Non-21CS</w:t>
            </w:r>
          </w:p>
        </w:tc>
        <w:tc>
          <w:tcPr>
            <w:tcW w:w="1412" w:type="dxa"/>
            <w:vMerge/>
            <w:shd w:val="clear" w:color="auto" w:fill="auto"/>
            <w:noWrap/>
            <w:vAlign w:val="bottom"/>
          </w:tcPr>
          <w:p w:rsidR="004D020D" w:rsidRPr="001F33CB" w:rsidRDefault="004D020D" w:rsidP="00714280">
            <w:pPr>
              <w:keepNext/>
              <w:keepLines/>
              <w:spacing w:before="120" w:after="120" w:line="240" w:lineRule="auto"/>
              <w:rPr>
                <w:rFonts w:eastAsia="Times New Roman"/>
                <w:color w:val="000000"/>
                <w:sz w:val="22"/>
                <w:szCs w:val="22"/>
                <w:lang w:eastAsia="en-GB"/>
              </w:rPr>
            </w:pPr>
          </w:p>
        </w:tc>
        <w:tc>
          <w:tcPr>
            <w:tcW w:w="1545" w:type="dxa"/>
            <w:shd w:val="clear" w:color="auto" w:fill="auto"/>
            <w:noWrap/>
            <w:vAlign w:val="center"/>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color w:val="000000"/>
                <w:sz w:val="22"/>
                <w:szCs w:val="22"/>
              </w:rPr>
              <w:t>22,485</w:t>
            </w:r>
          </w:p>
        </w:tc>
        <w:tc>
          <w:tcPr>
            <w:tcW w:w="1256" w:type="dxa"/>
            <w:shd w:val="clear" w:color="auto" w:fill="auto"/>
            <w:noWrap/>
            <w:vAlign w:val="center"/>
          </w:tcPr>
          <w:p w:rsidR="004D020D" w:rsidRPr="001F33CB" w:rsidRDefault="004D020D" w:rsidP="00714280">
            <w:pPr>
              <w:spacing w:before="120" w:after="120" w:line="240" w:lineRule="auto"/>
              <w:jc w:val="center"/>
              <w:rPr>
                <w:color w:val="000000"/>
                <w:sz w:val="22"/>
                <w:szCs w:val="22"/>
              </w:rPr>
            </w:pPr>
            <w:r w:rsidRPr="001F33CB">
              <w:rPr>
                <w:color w:val="000000"/>
                <w:sz w:val="22"/>
                <w:szCs w:val="22"/>
              </w:rPr>
              <w:t>43.0</w:t>
            </w:r>
          </w:p>
        </w:tc>
        <w:tc>
          <w:tcPr>
            <w:tcW w:w="2036" w:type="dxa"/>
            <w:vMerge/>
            <w:vAlign w:val="center"/>
          </w:tcPr>
          <w:p w:rsidR="004D020D" w:rsidRPr="001F33CB" w:rsidRDefault="004D020D" w:rsidP="00714280">
            <w:pPr>
              <w:spacing w:before="120" w:after="120" w:line="240" w:lineRule="auto"/>
              <w:jc w:val="center"/>
              <w:rPr>
                <w:i/>
                <w:color w:val="000000"/>
                <w:sz w:val="22"/>
                <w:szCs w:val="22"/>
              </w:rPr>
            </w:pPr>
          </w:p>
        </w:tc>
        <w:tc>
          <w:tcPr>
            <w:tcW w:w="1276" w:type="dxa"/>
            <w:shd w:val="clear" w:color="auto" w:fill="auto"/>
            <w:noWrap/>
            <w:vAlign w:val="center"/>
          </w:tcPr>
          <w:p w:rsidR="004D020D" w:rsidRPr="001F33CB" w:rsidRDefault="004D020D" w:rsidP="00714280">
            <w:pPr>
              <w:keepNext/>
              <w:keepLines/>
              <w:spacing w:before="120" w:after="120" w:line="240" w:lineRule="auto"/>
              <w:jc w:val="center"/>
              <w:rPr>
                <w:rFonts w:eastAsia="Times New Roman"/>
                <w:color w:val="000000"/>
                <w:sz w:val="22"/>
                <w:szCs w:val="22"/>
                <w:lang w:eastAsia="en-GB"/>
              </w:rPr>
            </w:pPr>
            <w:r w:rsidRPr="001F33CB">
              <w:rPr>
                <w:rFonts w:eastAsia="Times New Roman"/>
                <w:color w:val="000000"/>
                <w:sz w:val="22"/>
                <w:szCs w:val="22"/>
                <w:lang w:eastAsia="en-GB"/>
              </w:rPr>
              <w:t>52,257</w:t>
            </w:r>
          </w:p>
        </w:tc>
      </w:tr>
    </w:tbl>
    <w:p w:rsidR="004D020D" w:rsidRPr="001F33CB" w:rsidRDefault="004D020D" w:rsidP="004D020D">
      <w:pPr>
        <w:spacing w:before="120"/>
        <w:rPr>
          <w:b/>
          <w:i/>
        </w:rPr>
      </w:pPr>
      <w:r w:rsidRPr="001F33CB">
        <w:rPr>
          <w:b/>
          <w:i/>
        </w:rPr>
        <w:t>Table A3: Summary of progression to 16-18 qualifications</w:t>
      </w:r>
    </w:p>
    <w:p w:rsidR="00213527" w:rsidRPr="00213527" w:rsidRDefault="00213527" w:rsidP="00213527">
      <w:pPr>
        <w:spacing w:before="120"/>
      </w:pPr>
      <w:r>
        <w:br w:type="page"/>
      </w:r>
    </w:p>
    <w:p w:rsidR="001F33CB" w:rsidRDefault="00933F2F" w:rsidP="00F36EDA">
      <w:pPr>
        <w:pStyle w:val="Heading2"/>
      </w:pPr>
      <w:r w:rsidRPr="00933F2F">
        <w:lastRenderedPageBreak/>
        <w:t>Figure</w:t>
      </w:r>
      <w:r w:rsidR="006A25F7">
        <w:t>s</w:t>
      </w:r>
    </w:p>
    <w:p w:rsidR="006A25F7" w:rsidRPr="006A25F7" w:rsidRDefault="006A25F7" w:rsidP="006A25F7">
      <w:r>
        <w:rPr>
          <w:noProof/>
          <w:lang w:eastAsia="en-GB"/>
        </w:rPr>
        <w:drawing>
          <wp:inline distT="0" distB="0" distL="0" distR="0" wp14:anchorId="559AE435" wp14:editId="2FB9780B">
            <wp:extent cx="5731510" cy="3683842"/>
            <wp:effectExtent l="0" t="0" r="2159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1C6" w:rsidRDefault="008D01C6" w:rsidP="008D01C6">
      <w:pPr>
        <w:spacing w:before="120"/>
        <w:rPr>
          <w:b/>
          <w:i/>
        </w:rPr>
      </w:pPr>
      <w:r w:rsidRPr="001F33CB">
        <w:rPr>
          <w:b/>
          <w:i/>
        </w:rPr>
        <w:t>Figure 1: Percentages progressing from Dual Award to post-16 science by 14-16 qualification</w:t>
      </w:r>
    </w:p>
    <w:p w:rsidR="006A25F7" w:rsidRDefault="006A25F7" w:rsidP="008D01C6">
      <w:pPr>
        <w:spacing w:before="120"/>
        <w:rPr>
          <w:b/>
          <w:i/>
        </w:rPr>
      </w:pPr>
      <w:r>
        <w:rPr>
          <w:noProof/>
          <w:lang w:eastAsia="en-GB"/>
        </w:rPr>
        <w:lastRenderedPageBreak/>
        <w:drawing>
          <wp:inline distT="0" distB="0" distL="0" distR="0" wp14:anchorId="398361C4" wp14:editId="0FCC046B">
            <wp:extent cx="5731510" cy="3729768"/>
            <wp:effectExtent l="0" t="0" r="21590" b="234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0" w:name="_GoBack"/>
      <w:bookmarkEnd w:id="0"/>
    </w:p>
    <w:p w:rsidR="008D01C6" w:rsidRPr="001F33CB" w:rsidRDefault="008D01C6" w:rsidP="008D01C6">
      <w:pPr>
        <w:spacing w:before="120"/>
        <w:rPr>
          <w:b/>
          <w:i/>
        </w:rPr>
      </w:pPr>
      <w:r w:rsidRPr="001F33CB">
        <w:rPr>
          <w:b/>
          <w:i/>
        </w:rPr>
        <w:t>Figure 2: Percentages progressing from Triple Award to post-16 science by 14-16 qualification</w:t>
      </w:r>
    </w:p>
    <w:p w:rsidR="008D01C6" w:rsidRPr="001F33CB" w:rsidRDefault="008D01C6" w:rsidP="008D01C6">
      <w:pPr>
        <w:spacing w:before="120"/>
        <w:rPr>
          <w:b/>
          <w:i/>
        </w:rPr>
      </w:pPr>
    </w:p>
    <w:p w:rsidR="008D01C6" w:rsidRPr="008D01C6" w:rsidRDefault="008D01C6" w:rsidP="008D01C6"/>
    <w:sectPr w:rsidR="008D01C6" w:rsidRPr="008D01C6" w:rsidSect="002135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E3" w:rsidRDefault="001072E3" w:rsidP="00A72EA7">
      <w:pPr>
        <w:spacing w:line="240" w:lineRule="auto"/>
      </w:pPr>
      <w:r>
        <w:separator/>
      </w:r>
    </w:p>
  </w:endnote>
  <w:endnote w:type="continuationSeparator" w:id="0">
    <w:p w:rsidR="001072E3" w:rsidRDefault="001072E3" w:rsidP="00A72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735119"/>
      <w:docPartObj>
        <w:docPartGallery w:val="Page Numbers (Bottom of Page)"/>
        <w:docPartUnique/>
      </w:docPartObj>
    </w:sdtPr>
    <w:sdtEndPr>
      <w:rPr>
        <w:i/>
        <w:sz w:val="20"/>
        <w:szCs w:val="20"/>
      </w:rPr>
    </w:sdtEndPr>
    <w:sdtContent>
      <w:sdt>
        <w:sdtPr>
          <w:rPr>
            <w:i/>
            <w:sz w:val="20"/>
            <w:szCs w:val="20"/>
          </w:rPr>
          <w:id w:val="-1167165500"/>
          <w:docPartObj>
            <w:docPartGallery w:val="Page Numbers (Top of Page)"/>
            <w:docPartUnique/>
          </w:docPartObj>
        </w:sdtPr>
        <w:sdtEndPr/>
        <w:sdtContent>
          <w:p w:rsidR="001072E3" w:rsidRPr="002D4861" w:rsidRDefault="001072E3" w:rsidP="00BA2681">
            <w:pPr>
              <w:pStyle w:val="Footer"/>
              <w:jc w:val="right"/>
              <w:rPr>
                <w:i/>
                <w:sz w:val="20"/>
                <w:szCs w:val="20"/>
              </w:rPr>
            </w:pPr>
            <w:r w:rsidRPr="002D4861">
              <w:rPr>
                <w:i/>
                <w:sz w:val="20"/>
                <w:szCs w:val="20"/>
              </w:rPr>
              <w:t xml:space="preserve">Page </w:t>
            </w:r>
            <w:r w:rsidRPr="002D4861">
              <w:rPr>
                <w:b/>
                <w:bCs/>
                <w:i/>
                <w:sz w:val="20"/>
                <w:szCs w:val="20"/>
              </w:rPr>
              <w:fldChar w:fldCharType="begin"/>
            </w:r>
            <w:r w:rsidRPr="002D4861">
              <w:rPr>
                <w:b/>
                <w:bCs/>
                <w:i/>
                <w:sz w:val="20"/>
                <w:szCs w:val="20"/>
              </w:rPr>
              <w:instrText xml:space="preserve"> PAGE </w:instrText>
            </w:r>
            <w:r w:rsidRPr="002D4861">
              <w:rPr>
                <w:b/>
                <w:bCs/>
                <w:i/>
                <w:sz w:val="20"/>
                <w:szCs w:val="20"/>
              </w:rPr>
              <w:fldChar w:fldCharType="separate"/>
            </w:r>
            <w:r w:rsidR="006A25F7">
              <w:rPr>
                <w:b/>
                <w:bCs/>
                <w:i/>
                <w:noProof/>
                <w:sz w:val="20"/>
                <w:szCs w:val="20"/>
              </w:rPr>
              <w:t>14</w:t>
            </w:r>
            <w:r w:rsidRPr="002D4861">
              <w:rPr>
                <w:b/>
                <w:bCs/>
                <w:i/>
                <w:sz w:val="20"/>
                <w:szCs w:val="20"/>
              </w:rPr>
              <w:fldChar w:fldCharType="end"/>
            </w:r>
            <w:r w:rsidRPr="002D4861">
              <w:rPr>
                <w:i/>
                <w:sz w:val="20"/>
                <w:szCs w:val="20"/>
              </w:rPr>
              <w:t xml:space="preserve"> of </w:t>
            </w:r>
            <w:r w:rsidRPr="002D4861">
              <w:rPr>
                <w:b/>
                <w:bCs/>
                <w:i/>
                <w:sz w:val="20"/>
                <w:szCs w:val="20"/>
              </w:rPr>
              <w:fldChar w:fldCharType="begin"/>
            </w:r>
            <w:r w:rsidRPr="002D4861">
              <w:rPr>
                <w:b/>
                <w:bCs/>
                <w:i/>
                <w:sz w:val="20"/>
                <w:szCs w:val="20"/>
              </w:rPr>
              <w:instrText xml:space="preserve"> NUMPAGES  </w:instrText>
            </w:r>
            <w:r w:rsidRPr="002D4861">
              <w:rPr>
                <w:b/>
                <w:bCs/>
                <w:i/>
                <w:sz w:val="20"/>
                <w:szCs w:val="20"/>
              </w:rPr>
              <w:fldChar w:fldCharType="separate"/>
            </w:r>
            <w:r w:rsidR="006A25F7">
              <w:rPr>
                <w:b/>
                <w:bCs/>
                <w:i/>
                <w:noProof/>
                <w:sz w:val="20"/>
                <w:szCs w:val="20"/>
              </w:rPr>
              <w:t>34</w:t>
            </w:r>
            <w:r w:rsidRPr="002D4861">
              <w:rPr>
                <w:b/>
                <w:bCs/>
                <w:i/>
                <w:sz w:val="20"/>
                <w:szCs w:val="20"/>
              </w:rPr>
              <w:fldChar w:fldCharType="end"/>
            </w:r>
          </w:p>
        </w:sdtContent>
      </w:sdt>
    </w:sdtContent>
  </w:sdt>
  <w:p w:rsidR="001072E3" w:rsidRDefault="00107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2009820557"/>
      <w:docPartObj>
        <w:docPartGallery w:val="Page Numbers (Bottom of Page)"/>
        <w:docPartUnique/>
      </w:docPartObj>
    </w:sdtPr>
    <w:sdtEndPr/>
    <w:sdtContent>
      <w:sdt>
        <w:sdtPr>
          <w:rPr>
            <w:i/>
            <w:sz w:val="20"/>
            <w:szCs w:val="20"/>
          </w:rPr>
          <w:id w:val="-1838064119"/>
          <w:docPartObj>
            <w:docPartGallery w:val="Page Numbers (Top of Page)"/>
            <w:docPartUnique/>
          </w:docPartObj>
        </w:sdtPr>
        <w:sdtEndPr/>
        <w:sdtContent>
          <w:p w:rsidR="001072E3" w:rsidRPr="00A72EA7" w:rsidRDefault="001072E3" w:rsidP="00A72EA7">
            <w:pPr>
              <w:pStyle w:val="Footer"/>
              <w:jc w:val="right"/>
              <w:rPr>
                <w:i/>
                <w:sz w:val="20"/>
                <w:szCs w:val="20"/>
              </w:rPr>
            </w:pPr>
            <w:r w:rsidRPr="00A72EA7">
              <w:rPr>
                <w:i/>
                <w:sz w:val="20"/>
                <w:szCs w:val="20"/>
              </w:rPr>
              <w:t xml:space="preserve">Page </w:t>
            </w:r>
            <w:r w:rsidRPr="00A72EA7">
              <w:rPr>
                <w:b/>
                <w:bCs/>
                <w:i/>
                <w:sz w:val="20"/>
                <w:szCs w:val="20"/>
              </w:rPr>
              <w:fldChar w:fldCharType="begin"/>
            </w:r>
            <w:r w:rsidRPr="00A72EA7">
              <w:rPr>
                <w:b/>
                <w:bCs/>
                <w:i/>
                <w:sz w:val="20"/>
                <w:szCs w:val="20"/>
              </w:rPr>
              <w:instrText xml:space="preserve"> PAGE </w:instrText>
            </w:r>
            <w:r w:rsidRPr="00A72EA7">
              <w:rPr>
                <w:b/>
                <w:bCs/>
                <w:i/>
                <w:sz w:val="20"/>
                <w:szCs w:val="20"/>
              </w:rPr>
              <w:fldChar w:fldCharType="separate"/>
            </w:r>
            <w:r w:rsidR="006A25F7">
              <w:rPr>
                <w:b/>
                <w:bCs/>
                <w:i/>
                <w:noProof/>
                <w:sz w:val="20"/>
                <w:szCs w:val="20"/>
              </w:rPr>
              <w:t>33</w:t>
            </w:r>
            <w:r w:rsidRPr="00A72EA7">
              <w:rPr>
                <w:b/>
                <w:bCs/>
                <w:i/>
                <w:sz w:val="20"/>
                <w:szCs w:val="20"/>
              </w:rPr>
              <w:fldChar w:fldCharType="end"/>
            </w:r>
            <w:r w:rsidRPr="00A72EA7">
              <w:rPr>
                <w:i/>
                <w:sz w:val="20"/>
                <w:szCs w:val="20"/>
              </w:rPr>
              <w:t xml:space="preserve"> of </w:t>
            </w:r>
            <w:r w:rsidRPr="00A72EA7">
              <w:rPr>
                <w:b/>
                <w:bCs/>
                <w:i/>
                <w:sz w:val="20"/>
                <w:szCs w:val="20"/>
              </w:rPr>
              <w:fldChar w:fldCharType="begin"/>
            </w:r>
            <w:r w:rsidRPr="00A72EA7">
              <w:rPr>
                <w:b/>
                <w:bCs/>
                <w:i/>
                <w:sz w:val="20"/>
                <w:szCs w:val="20"/>
              </w:rPr>
              <w:instrText xml:space="preserve"> NUMPAGES  </w:instrText>
            </w:r>
            <w:r w:rsidRPr="00A72EA7">
              <w:rPr>
                <w:b/>
                <w:bCs/>
                <w:i/>
                <w:sz w:val="20"/>
                <w:szCs w:val="20"/>
              </w:rPr>
              <w:fldChar w:fldCharType="separate"/>
            </w:r>
            <w:r w:rsidR="006A25F7">
              <w:rPr>
                <w:b/>
                <w:bCs/>
                <w:i/>
                <w:noProof/>
                <w:sz w:val="20"/>
                <w:szCs w:val="20"/>
              </w:rPr>
              <w:t>35</w:t>
            </w:r>
            <w:r w:rsidRPr="00A72EA7">
              <w:rPr>
                <w:b/>
                <w:bCs/>
                <w:i/>
                <w:sz w:val="20"/>
                <w:szCs w:val="20"/>
              </w:rPr>
              <w:fldChar w:fldCharType="end"/>
            </w:r>
          </w:p>
        </w:sdtContent>
      </w:sdt>
    </w:sdtContent>
  </w:sdt>
  <w:p w:rsidR="001072E3" w:rsidRDefault="00107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E3" w:rsidRDefault="001072E3" w:rsidP="00A72EA7">
      <w:pPr>
        <w:spacing w:line="240" w:lineRule="auto"/>
      </w:pPr>
      <w:r>
        <w:separator/>
      </w:r>
    </w:p>
  </w:footnote>
  <w:footnote w:type="continuationSeparator" w:id="0">
    <w:p w:rsidR="001072E3" w:rsidRDefault="001072E3" w:rsidP="00A72EA7">
      <w:pPr>
        <w:spacing w:line="240" w:lineRule="auto"/>
      </w:pPr>
      <w:r>
        <w:continuationSeparator/>
      </w:r>
    </w:p>
  </w:footnote>
  <w:footnote w:id="1">
    <w:p w:rsidR="001072E3" w:rsidRDefault="001072E3">
      <w:pPr>
        <w:pStyle w:val="FootnoteText"/>
      </w:pPr>
      <w:r>
        <w:rPr>
          <w:rStyle w:val="FootnoteReference"/>
        </w:rPr>
        <w:footnoteRef/>
      </w:r>
      <w:r>
        <w:t xml:space="preserve"> </w:t>
      </w:r>
      <w:hyperlink r:id="rId1" w:history="1">
        <w:r w:rsidRPr="00C57090">
          <w:rPr>
            <w:rStyle w:val="Hyperlink"/>
          </w:rPr>
          <w:t>https://www.gov.uk/government/publications/national-curriculum-in-england-science-programmes-of-study</w:t>
        </w:r>
      </w:hyperlink>
      <w:r>
        <w:t xml:space="preserve"> </w:t>
      </w:r>
    </w:p>
  </w:footnote>
  <w:footnote w:id="2">
    <w:p w:rsidR="001072E3" w:rsidRDefault="001072E3" w:rsidP="00947C0A">
      <w:pPr>
        <w:pStyle w:val="FootnoteText"/>
      </w:pPr>
      <w:r>
        <w:rPr>
          <w:rStyle w:val="FootnoteReference"/>
        </w:rPr>
        <w:footnoteRef/>
      </w:r>
      <w:r>
        <w:t xml:space="preserve"> </w:t>
      </w:r>
      <w:hyperlink r:id="rId2" w:history="1">
        <w:r w:rsidRPr="006224F3">
          <w:rPr>
            <w:rStyle w:val="Hyperlink"/>
          </w:rPr>
          <w:t>http://www.education.gov.uk/researchandstatistics/national-pupil-database</w:t>
        </w:r>
      </w:hyperlink>
      <w:r>
        <w:t xml:space="preserve"> </w:t>
      </w:r>
    </w:p>
  </w:footnote>
  <w:footnote w:id="3">
    <w:p w:rsidR="001072E3" w:rsidRPr="00670E9F" w:rsidRDefault="001072E3">
      <w:pPr>
        <w:pStyle w:val="FootnoteText"/>
        <w:rPr>
          <w:rFonts w:ascii="Arial" w:hAnsi="Arial" w:cs="Arial"/>
        </w:rPr>
      </w:pPr>
      <w:r>
        <w:rPr>
          <w:rStyle w:val="FootnoteReference"/>
        </w:rPr>
        <w:footnoteRef/>
      </w:r>
      <w:r>
        <w:t xml:space="preserve"> </w:t>
      </w:r>
      <w:r w:rsidRPr="00670E9F">
        <w:rPr>
          <w:rFonts w:ascii="Arial" w:hAnsi="Arial" w:cs="Arial"/>
        </w:rPr>
        <w:t>Recall that any estimated effect is independent of all other effects – in other words, the estimates are interpreted as if all other predictors are controlled for.</w:t>
      </w:r>
    </w:p>
  </w:footnote>
  <w:footnote w:id="4">
    <w:p w:rsidR="001072E3" w:rsidRDefault="001072E3" w:rsidP="00213527">
      <w:pPr>
        <w:pStyle w:val="FootnoteText"/>
      </w:pPr>
      <w:r>
        <w:rPr>
          <w:rStyle w:val="FootnoteReference"/>
        </w:rPr>
        <w:footnoteRef/>
      </w:r>
      <w:r>
        <w:t xml:space="preserve"> Formally, these are </w:t>
      </w:r>
      <w:r w:rsidRPr="005C10B2">
        <w:t>General Certificate of Secondary Education</w:t>
      </w:r>
      <w:r>
        <w:t xml:space="preserve"> (GCSEs).</w:t>
      </w:r>
    </w:p>
  </w:footnote>
  <w:footnote w:id="5">
    <w:p w:rsidR="001072E3" w:rsidRDefault="001072E3" w:rsidP="00213527">
      <w:pPr>
        <w:pStyle w:val="FootnoteText"/>
      </w:pPr>
      <w:r>
        <w:rPr>
          <w:rStyle w:val="FootnoteReference"/>
        </w:rPr>
        <w:footnoteRef/>
      </w:r>
      <w:r>
        <w:t xml:space="preserve"> Formally, these are </w:t>
      </w:r>
      <w:r w:rsidRPr="005C10B2">
        <w:t>General Certificate of Education Advanced Level</w:t>
      </w:r>
      <w:r>
        <w:t xml:space="preserve"> (A-levels).</w:t>
      </w:r>
    </w:p>
  </w:footnote>
  <w:footnote w:id="6">
    <w:p w:rsidR="001072E3" w:rsidRDefault="001072E3" w:rsidP="00213527">
      <w:pPr>
        <w:pStyle w:val="FootnoteText"/>
      </w:pPr>
      <w:r>
        <w:rPr>
          <w:rStyle w:val="FootnoteReference"/>
        </w:rPr>
        <w:footnoteRef/>
      </w:r>
      <w:r>
        <w:t xml:space="preserve"> These are generally </w:t>
      </w:r>
      <w:r w:rsidRPr="00E0794D">
        <w:t xml:space="preserve">applied science </w:t>
      </w:r>
      <w:r>
        <w:t>qualifications</w:t>
      </w:r>
      <w:r w:rsidRPr="00E0794D">
        <w:t xml:space="preserve"> taken typically by lower attaining students</w:t>
      </w:r>
      <w:r>
        <w:t>. These qualifications will not be considered further in this paper.</w:t>
      </w:r>
    </w:p>
  </w:footnote>
  <w:footnote w:id="7">
    <w:p w:rsidR="001072E3" w:rsidRPr="00D7380E" w:rsidRDefault="001072E3" w:rsidP="00213527">
      <w:pPr>
        <w:pStyle w:val="FootnoteText"/>
        <w:spacing w:line="360" w:lineRule="auto"/>
        <w:rPr>
          <w:rFonts w:ascii="Arial" w:hAnsi="Arial" w:cs="Arial"/>
        </w:rPr>
      </w:pPr>
      <w:r w:rsidRPr="00D7380E">
        <w:rPr>
          <w:rStyle w:val="FootnoteReference"/>
          <w:rFonts w:ascii="Arial" w:hAnsi="Arial" w:cs="Arial"/>
        </w:rPr>
        <w:footnoteRef/>
      </w:r>
      <w:r w:rsidRPr="00D7380E">
        <w:rPr>
          <w:rFonts w:ascii="Arial" w:hAnsi="Arial" w:cs="Arial"/>
        </w:rPr>
        <w:t xml:space="preserve"> NS=not statistically different from 0 at the standard 5% level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72368E"/>
    <w:multiLevelType w:val="multilevel"/>
    <w:tmpl w:val="61BA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266C1E"/>
    <w:multiLevelType w:val="hybridMultilevel"/>
    <w:tmpl w:val="5F3CE614"/>
    <w:lvl w:ilvl="0" w:tplc="EB8056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754166"/>
    <w:multiLevelType w:val="multilevel"/>
    <w:tmpl w:val="4E0A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A97E37"/>
    <w:multiLevelType w:val="hybridMultilevel"/>
    <w:tmpl w:val="BF1E6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210A5C"/>
    <w:multiLevelType w:val="hybridMultilevel"/>
    <w:tmpl w:val="50C4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7D5B4B"/>
    <w:multiLevelType w:val="hybridMultilevel"/>
    <w:tmpl w:val="240C30CE"/>
    <w:lvl w:ilvl="0" w:tplc="07BE7D08">
      <w:start w:val="1"/>
      <w:numFmt w:val="decimal"/>
      <w:lvlText w:val="Q%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txfw9x5vtr9w6eef97v5ts75d0x25v5x0fw&quot;&gt;References&lt;record-ids&gt;&lt;item&gt;726&lt;/item&gt;&lt;item&gt;1225&lt;/item&gt;&lt;item&gt;1271&lt;/item&gt;&lt;item&gt;1365&lt;/item&gt;&lt;item&gt;1402&lt;/item&gt;&lt;item&gt;1422&lt;/item&gt;&lt;item&gt;1453&lt;/item&gt;&lt;item&gt;1517&lt;/item&gt;&lt;item&gt;1690&lt;/item&gt;&lt;item&gt;1783&lt;/item&gt;&lt;item&gt;1785&lt;/item&gt;&lt;/record-ids&gt;&lt;/item&gt;&lt;/Libraries&gt;"/>
  </w:docVars>
  <w:rsids>
    <w:rsidRoot w:val="00C05FF7"/>
    <w:rsid w:val="00010B62"/>
    <w:rsid w:val="00025631"/>
    <w:rsid w:val="00044659"/>
    <w:rsid w:val="00044A17"/>
    <w:rsid w:val="0004675B"/>
    <w:rsid w:val="000474CB"/>
    <w:rsid w:val="00047807"/>
    <w:rsid w:val="00050F9C"/>
    <w:rsid w:val="0005751F"/>
    <w:rsid w:val="00060193"/>
    <w:rsid w:val="0006044F"/>
    <w:rsid w:val="00070F37"/>
    <w:rsid w:val="00080AB0"/>
    <w:rsid w:val="000852F3"/>
    <w:rsid w:val="000A395C"/>
    <w:rsid w:val="000A3F8B"/>
    <w:rsid w:val="000B186E"/>
    <w:rsid w:val="000C3C47"/>
    <w:rsid w:val="000C4817"/>
    <w:rsid w:val="000C644B"/>
    <w:rsid w:val="000D7C7D"/>
    <w:rsid w:val="000E0863"/>
    <w:rsid w:val="000E0A5E"/>
    <w:rsid w:val="000E26E3"/>
    <w:rsid w:val="000E7C12"/>
    <w:rsid w:val="000F171F"/>
    <w:rsid w:val="000F2156"/>
    <w:rsid w:val="000F305C"/>
    <w:rsid w:val="000F7CFD"/>
    <w:rsid w:val="001072E3"/>
    <w:rsid w:val="00114E32"/>
    <w:rsid w:val="00116E82"/>
    <w:rsid w:val="00117224"/>
    <w:rsid w:val="001179CA"/>
    <w:rsid w:val="00117C04"/>
    <w:rsid w:val="00126C30"/>
    <w:rsid w:val="00127C9E"/>
    <w:rsid w:val="00134C57"/>
    <w:rsid w:val="00136E8E"/>
    <w:rsid w:val="00155DAF"/>
    <w:rsid w:val="00165A86"/>
    <w:rsid w:val="0017224F"/>
    <w:rsid w:val="00175F6E"/>
    <w:rsid w:val="001833CB"/>
    <w:rsid w:val="00184408"/>
    <w:rsid w:val="00192EAA"/>
    <w:rsid w:val="001A06C0"/>
    <w:rsid w:val="001A4BBB"/>
    <w:rsid w:val="001A784C"/>
    <w:rsid w:val="001C2F45"/>
    <w:rsid w:val="001C3FA4"/>
    <w:rsid w:val="001C7392"/>
    <w:rsid w:val="001D0BE3"/>
    <w:rsid w:val="001D40DD"/>
    <w:rsid w:val="001F33CB"/>
    <w:rsid w:val="001F6A0A"/>
    <w:rsid w:val="00213527"/>
    <w:rsid w:val="00215F6B"/>
    <w:rsid w:val="002348B7"/>
    <w:rsid w:val="00234FD6"/>
    <w:rsid w:val="00241653"/>
    <w:rsid w:val="00241A26"/>
    <w:rsid w:val="002535C5"/>
    <w:rsid w:val="00255980"/>
    <w:rsid w:val="002570A6"/>
    <w:rsid w:val="00257671"/>
    <w:rsid w:val="00263D1C"/>
    <w:rsid w:val="00264485"/>
    <w:rsid w:val="00265173"/>
    <w:rsid w:val="0027209C"/>
    <w:rsid w:val="00273123"/>
    <w:rsid w:val="00274217"/>
    <w:rsid w:val="00275752"/>
    <w:rsid w:val="00276AE9"/>
    <w:rsid w:val="002A237B"/>
    <w:rsid w:val="002A3532"/>
    <w:rsid w:val="002C774D"/>
    <w:rsid w:val="002C7EC2"/>
    <w:rsid w:val="002D0D75"/>
    <w:rsid w:val="002D2ECC"/>
    <w:rsid w:val="002E04B5"/>
    <w:rsid w:val="002E0501"/>
    <w:rsid w:val="002E2928"/>
    <w:rsid w:val="002E3DD7"/>
    <w:rsid w:val="002E68B7"/>
    <w:rsid w:val="002E7E77"/>
    <w:rsid w:val="002F120D"/>
    <w:rsid w:val="002F2237"/>
    <w:rsid w:val="002F695A"/>
    <w:rsid w:val="00302286"/>
    <w:rsid w:val="003057A5"/>
    <w:rsid w:val="00305DD7"/>
    <w:rsid w:val="00306AFA"/>
    <w:rsid w:val="003079E8"/>
    <w:rsid w:val="00307FCD"/>
    <w:rsid w:val="00317D0D"/>
    <w:rsid w:val="003274D8"/>
    <w:rsid w:val="00330467"/>
    <w:rsid w:val="00330B06"/>
    <w:rsid w:val="003335FE"/>
    <w:rsid w:val="00335E2D"/>
    <w:rsid w:val="00337897"/>
    <w:rsid w:val="003400F1"/>
    <w:rsid w:val="0035036D"/>
    <w:rsid w:val="00352804"/>
    <w:rsid w:val="00375C05"/>
    <w:rsid w:val="00383CBB"/>
    <w:rsid w:val="00396E59"/>
    <w:rsid w:val="003A7059"/>
    <w:rsid w:val="003C540E"/>
    <w:rsid w:val="003D0DFF"/>
    <w:rsid w:val="003D5BBA"/>
    <w:rsid w:val="0040642E"/>
    <w:rsid w:val="00416AA0"/>
    <w:rsid w:val="00424597"/>
    <w:rsid w:val="00433391"/>
    <w:rsid w:val="00443323"/>
    <w:rsid w:val="004452E5"/>
    <w:rsid w:val="00451151"/>
    <w:rsid w:val="00451F0D"/>
    <w:rsid w:val="00457CD0"/>
    <w:rsid w:val="00461CFD"/>
    <w:rsid w:val="004766C4"/>
    <w:rsid w:val="004807A7"/>
    <w:rsid w:val="00494B25"/>
    <w:rsid w:val="004A3847"/>
    <w:rsid w:val="004B181E"/>
    <w:rsid w:val="004D020D"/>
    <w:rsid w:val="004D595F"/>
    <w:rsid w:val="004D6859"/>
    <w:rsid w:val="004E1CE7"/>
    <w:rsid w:val="004E600B"/>
    <w:rsid w:val="004F2E52"/>
    <w:rsid w:val="00500654"/>
    <w:rsid w:val="005067D8"/>
    <w:rsid w:val="005069AD"/>
    <w:rsid w:val="00510487"/>
    <w:rsid w:val="0051420A"/>
    <w:rsid w:val="00515CCC"/>
    <w:rsid w:val="005418EC"/>
    <w:rsid w:val="005435F6"/>
    <w:rsid w:val="0055353C"/>
    <w:rsid w:val="0056264E"/>
    <w:rsid w:val="005726AE"/>
    <w:rsid w:val="00586220"/>
    <w:rsid w:val="005B0D14"/>
    <w:rsid w:val="005B22D2"/>
    <w:rsid w:val="005B4757"/>
    <w:rsid w:val="005C0080"/>
    <w:rsid w:val="005C10B2"/>
    <w:rsid w:val="005D6E2F"/>
    <w:rsid w:val="005D7CE6"/>
    <w:rsid w:val="005E201E"/>
    <w:rsid w:val="005E232D"/>
    <w:rsid w:val="005E4166"/>
    <w:rsid w:val="005E6316"/>
    <w:rsid w:val="005E7749"/>
    <w:rsid w:val="005F7375"/>
    <w:rsid w:val="005F7CE1"/>
    <w:rsid w:val="0060025D"/>
    <w:rsid w:val="00601A2D"/>
    <w:rsid w:val="0060236A"/>
    <w:rsid w:val="00602D22"/>
    <w:rsid w:val="00615718"/>
    <w:rsid w:val="006172C0"/>
    <w:rsid w:val="0063123F"/>
    <w:rsid w:val="00635F18"/>
    <w:rsid w:val="006422C8"/>
    <w:rsid w:val="00647B91"/>
    <w:rsid w:val="006549AA"/>
    <w:rsid w:val="00655CA9"/>
    <w:rsid w:val="0065796B"/>
    <w:rsid w:val="00667F3D"/>
    <w:rsid w:val="00670E9F"/>
    <w:rsid w:val="0067669C"/>
    <w:rsid w:val="00694D9B"/>
    <w:rsid w:val="006953FE"/>
    <w:rsid w:val="00697ECF"/>
    <w:rsid w:val="006A25F7"/>
    <w:rsid w:val="006C5A3D"/>
    <w:rsid w:val="006C6F78"/>
    <w:rsid w:val="006E1FB1"/>
    <w:rsid w:val="006E666A"/>
    <w:rsid w:val="006E79B0"/>
    <w:rsid w:val="006F163E"/>
    <w:rsid w:val="006F1984"/>
    <w:rsid w:val="006F2E54"/>
    <w:rsid w:val="006F3569"/>
    <w:rsid w:val="006F7B99"/>
    <w:rsid w:val="006F7FDA"/>
    <w:rsid w:val="00710A1A"/>
    <w:rsid w:val="00714280"/>
    <w:rsid w:val="007337CC"/>
    <w:rsid w:val="00750839"/>
    <w:rsid w:val="00750FBB"/>
    <w:rsid w:val="00752655"/>
    <w:rsid w:val="00752678"/>
    <w:rsid w:val="00752B89"/>
    <w:rsid w:val="00761AE8"/>
    <w:rsid w:val="00775B94"/>
    <w:rsid w:val="00784B66"/>
    <w:rsid w:val="0079176F"/>
    <w:rsid w:val="00792194"/>
    <w:rsid w:val="007939FD"/>
    <w:rsid w:val="007B19A6"/>
    <w:rsid w:val="007B4F4A"/>
    <w:rsid w:val="007D04E5"/>
    <w:rsid w:val="007D5D6E"/>
    <w:rsid w:val="007E223D"/>
    <w:rsid w:val="007E7E4F"/>
    <w:rsid w:val="007F1D96"/>
    <w:rsid w:val="00803127"/>
    <w:rsid w:val="0081154B"/>
    <w:rsid w:val="008204AD"/>
    <w:rsid w:val="00845385"/>
    <w:rsid w:val="00855B16"/>
    <w:rsid w:val="00856800"/>
    <w:rsid w:val="00867C88"/>
    <w:rsid w:val="00873D7B"/>
    <w:rsid w:val="00873DF1"/>
    <w:rsid w:val="0087754B"/>
    <w:rsid w:val="0088009D"/>
    <w:rsid w:val="00880119"/>
    <w:rsid w:val="00880A83"/>
    <w:rsid w:val="00885FC9"/>
    <w:rsid w:val="00890E90"/>
    <w:rsid w:val="00896CF7"/>
    <w:rsid w:val="008A06BB"/>
    <w:rsid w:val="008A1622"/>
    <w:rsid w:val="008A5F2A"/>
    <w:rsid w:val="008A6487"/>
    <w:rsid w:val="008B4247"/>
    <w:rsid w:val="008B4831"/>
    <w:rsid w:val="008B5465"/>
    <w:rsid w:val="008B6D84"/>
    <w:rsid w:val="008C0C61"/>
    <w:rsid w:val="008C1CF1"/>
    <w:rsid w:val="008C5E48"/>
    <w:rsid w:val="008D01C6"/>
    <w:rsid w:val="008D07A1"/>
    <w:rsid w:val="008D5FD2"/>
    <w:rsid w:val="008E51D1"/>
    <w:rsid w:val="008F39EF"/>
    <w:rsid w:val="008F3F66"/>
    <w:rsid w:val="008F5B0A"/>
    <w:rsid w:val="00904C61"/>
    <w:rsid w:val="0091059B"/>
    <w:rsid w:val="009153A4"/>
    <w:rsid w:val="009157E2"/>
    <w:rsid w:val="009214DE"/>
    <w:rsid w:val="00930117"/>
    <w:rsid w:val="00933F2F"/>
    <w:rsid w:val="00941161"/>
    <w:rsid w:val="00947C0A"/>
    <w:rsid w:val="00964404"/>
    <w:rsid w:val="00967E42"/>
    <w:rsid w:val="009919F8"/>
    <w:rsid w:val="00992DED"/>
    <w:rsid w:val="00992FDB"/>
    <w:rsid w:val="0099552F"/>
    <w:rsid w:val="009A0E5B"/>
    <w:rsid w:val="009A17A8"/>
    <w:rsid w:val="009A1C5E"/>
    <w:rsid w:val="009A2591"/>
    <w:rsid w:val="009A3CC2"/>
    <w:rsid w:val="009A6164"/>
    <w:rsid w:val="009A6FD1"/>
    <w:rsid w:val="009A7229"/>
    <w:rsid w:val="009B5A5E"/>
    <w:rsid w:val="009E2B53"/>
    <w:rsid w:val="009E3BAF"/>
    <w:rsid w:val="009E6DC5"/>
    <w:rsid w:val="009F07C0"/>
    <w:rsid w:val="009F4B63"/>
    <w:rsid w:val="009F582B"/>
    <w:rsid w:val="00A03502"/>
    <w:rsid w:val="00A13DC8"/>
    <w:rsid w:val="00A15491"/>
    <w:rsid w:val="00A35F61"/>
    <w:rsid w:val="00A36CF5"/>
    <w:rsid w:val="00A40C46"/>
    <w:rsid w:val="00A415F1"/>
    <w:rsid w:val="00A50304"/>
    <w:rsid w:val="00A50AA2"/>
    <w:rsid w:val="00A62F51"/>
    <w:rsid w:val="00A70099"/>
    <w:rsid w:val="00A72EA7"/>
    <w:rsid w:val="00A77843"/>
    <w:rsid w:val="00A866E9"/>
    <w:rsid w:val="00A87284"/>
    <w:rsid w:val="00A94FB1"/>
    <w:rsid w:val="00AA1D6E"/>
    <w:rsid w:val="00AA4B00"/>
    <w:rsid w:val="00AA6BF2"/>
    <w:rsid w:val="00AD1AD4"/>
    <w:rsid w:val="00AD1B4C"/>
    <w:rsid w:val="00AD3173"/>
    <w:rsid w:val="00AD54D7"/>
    <w:rsid w:val="00AD5996"/>
    <w:rsid w:val="00AE634B"/>
    <w:rsid w:val="00AF0EFC"/>
    <w:rsid w:val="00B07109"/>
    <w:rsid w:val="00B23795"/>
    <w:rsid w:val="00B23D4B"/>
    <w:rsid w:val="00B23E4E"/>
    <w:rsid w:val="00B35D0F"/>
    <w:rsid w:val="00B369E8"/>
    <w:rsid w:val="00B3772F"/>
    <w:rsid w:val="00B419CC"/>
    <w:rsid w:val="00B611EA"/>
    <w:rsid w:val="00B73992"/>
    <w:rsid w:val="00B7564E"/>
    <w:rsid w:val="00B86713"/>
    <w:rsid w:val="00B92EEE"/>
    <w:rsid w:val="00B95048"/>
    <w:rsid w:val="00BA23C0"/>
    <w:rsid w:val="00BA2681"/>
    <w:rsid w:val="00BA555D"/>
    <w:rsid w:val="00BA5611"/>
    <w:rsid w:val="00BB007B"/>
    <w:rsid w:val="00BB1683"/>
    <w:rsid w:val="00BE3302"/>
    <w:rsid w:val="00BF0C3F"/>
    <w:rsid w:val="00BF32BF"/>
    <w:rsid w:val="00BF3808"/>
    <w:rsid w:val="00BF7C01"/>
    <w:rsid w:val="00C02503"/>
    <w:rsid w:val="00C05FF7"/>
    <w:rsid w:val="00C06936"/>
    <w:rsid w:val="00C0791D"/>
    <w:rsid w:val="00C2139C"/>
    <w:rsid w:val="00C26D59"/>
    <w:rsid w:val="00C3208F"/>
    <w:rsid w:val="00C35EDA"/>
    <w:rsid w:val="00C406AE"/>
    <w:rsid w:val="00C43089"/>
    <w:rsid w:val="00C504BC"/>
    <w:rsid w:val="00C53E2E"/>
    <w:rsid w:val="00C573C6"/>
    <w:rsid w:val="00C57800"/>
    <w:rsid w:val="00C6603C"/>
    <w:rsid w:val="00C91BB9"/>
    <w:rsid w:val="00CA19CD"/>
    <w:rsid w:val="00CA42CD"/>
    <w:rsid w:val="00CC1B83"/>
    <w:rsid w:val="00CC30CF"/>
    <w:rsid w:val="00CC78E1"/>
    <w:rsid w:val="00CD468B"/>
    <w:rsid w:val="00CE01D9"/>
    <w:rsid w:val="00CE4F50"/>
    <w:rsid w:val="00CE5CDB"/>
    <w:rsid w:val="00D00D33"/>
    <w:rsid w:val="00D06B0D"/>
    <w:rsid w:val="00D12E9E"/>
    <w:rsid w:val="00D17E6F"/>
    <w:rsid w:val="00D2190B"/>
    <w:rsid w:val="00D26E0E"/>
    <w:rsid w:val="00D32CF4"/>
    <w:rsid w:val="00D40E87"/>
    <w:rsid w:val="00D45E8E"/>
    <w:rsid w:val="00D52E4C"/>
    <w:rsid w:val="00D55615"/>
    <w:rsid w:val="00D6318C"/>
    <w:rsid w:val="00D7380E"/>
    <w:rsid w:val="00D9733B"/>
    <w:rsid w:val="00DA2C12"/>
    <w:rsid w:val="00DA3B9F"/>
    <w:rsid w:val="00DA60B3"/>
    <w:rsid w:val="00DB2EE7"/>
    <w:rsid w:val="00DB4E7D"/>
    <w:rsid w:val="00DD20C6"/>
    <w:rsid w:val="00DD5725"/>
    <w:rsid w:val="00DE1B87"/>
    <w:rsid w:val="00DE3C8C"/>
    <w:rsid w:val="00DE6FF9"/>
    <w:rsid w:val="00E03F92"/>
    <w:rsid w:val="00E04AA2"/>
    <w:rsid w:val="00E057DF"/>
    <w:rsid w:val="00E05A91"/>
    <w:rsid w:val="00E0794D"/>
    <w:rsid w:val="00E10891"/>
    <w:rsid w:val="00E10D41"/>
    <w:rsid w:val="00E162B7"/>
    <w:rsid w:val="00E209F2"/>
    <w:rsid w:val="00E214E4"/>
    <w:rsid w:val="00E34CB5"/>
    <w:rsid w:val="00E36687"/>
    <w:rsid w:val="00E37823"/>
    <w:rsid w:val="00E37A12"/>
    <w:rsid w:val="00E43AB4"/>
    <w:rsid w:val="00E43B6A"/>
    <w:rsid w:val="00E465E9"/>
    <w:rsid w:val="00E46E76"/>
    <w:rsid w:val="00E46FE9"/>
    <w:rsid w:val="00E555F0"/>
    <w:rsid w:val="00E579DB"/>
    <w:rsid w:val="00E63A7D"/>
    <w:rsid w:val="00E7021D"/>
    <w:rsid w:val="00E73428"/>
    <w:rsid w:val="00E73924"/>
    <w:rsid w:val="00E73DEA"/>
    <w:rsid w:val="00E90111"/>
    <w:rsid w:val="00E93BB0"/>
    <w:rsid w:val="00E96CAA"/>
    <w:rsid w:val="00EA0829"/>
    <w:rsid w:val="00EA3FB0"/>
    <w:rsid w:val="00EA5919"/>
    <w:rsid w:val="00EB0921"/>
    <w:rsid w:val="00EB6608"/>
    <w:rsid w:val="00EB66B1"/>
    <w:rsid w:val="00EB7C7C"/>
    <w:rsid w:val="00EC0189"/>
    <w:rsid w:val="00EC1836"/>
    <w:rsid w:val="00EC4C26"/>
    <w:rsid w:val="00EC6C44"/>
    <w:rsid w:val="00ED15B2"/>
    <w:rsid w:val="00ED16F0"/>
    <w:rsid w:val="00ED288A"/>
    <w:rsid w:val="00ED4099"/>
    <w:rsid w:val="00EF5057"/>
    <w:rsid w:val="00F31856"/>
    <w:rsid w:val="00F322A0"/>
    <w:rsid w:val="00F3383F"/>
    <w:rsid w:val="00F367F1"/>
    <w:rsid w:val="00F36EDA"/>
    <w:rsid w:val="00F41640"/>
    <w:rsid w:val="00F419B2"/>
    <w:rsid w:val="00F5021B"/>
    <w:rsid w:val="00F73476"/>
    <w:rsid w:val="00F73E69"/>
    <w:rsid w:val="00F74E8E"/>
    <w:rsid w:val="00F81094"/>
    <w:rsid w:val="00F842EF"/>
    <w:rsid w:val="00FA006A"/>
    <w:rsid w:val="00FA241A"/>
    <w:rsid w:val="00FA7517"/>
    <w:rsid w:val="00FB1000"/>
    <w:rsid w:val="00FB4F7B"/>
    <w:rsid w:val="00FC7E02"/>
    <w:rsid w:val="00FD51EB"/>
    <w:rsid w:val="00FE45DB"/>
    <w:rsid w:val="00FF0CE2"/>
    <w:rsid w:val="00FF3C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B5"/>
    <w:pPr>
      <w:spacing w:after="0" w:line="480" w:lineRule="auto"/>
    </w:pPr>
  </w:style>
  <w:style w:type="paragraph" w:styleId="Heading1">
    <w:name w:val="heading 1"/>
    <w:basedOn w:val="Normal"/>
    <w:next w:val="Normal"/>
    <w:link w:val="Heading1Char"/>
    <w:autoRedefine/>
    <w:uiPriority w:val="9"/>
    <w:qFormat/>
    <w:rsid w:val="0087754B"/>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06044F"/>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87754B"/>
    <w:rPr>
      <w:rFonts w:eastAsiaTheme="majorEastAsia"/>
      <w:b/>
      <w:bCs/>
      <w:sz w:val="36"/>
      <w:szCs w:val="28"/>
    </w:rPr>
  </w:style>
  <w:style w:type="character" w:customStyle="1" w:styleId="Heading2Char">
    <w:name w:val="Heading 2 Char"/>
    <w:basedOn w:val="DefaultParagraphFont"/>
    <w:link w:val="Heading2"/>
    <w:uiPriority w:val="9"/>
    <w:rsid w:val="0006044F"/>
    <w:rPr>
      <w:rFonts w:eastAsiaTheme="majorEastAsia"/>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7B4F4A"/>
    <w:rPr>
      <w:color w:val="0000FF" w:themeColor="hyperlink"/>
      <w:u w:val="single"/>
    </w:rPr>
  </w:style>
  <w:style w:type="paragraph" w:styleId="Header">
    <w:name w:val="header"/>
    <w:basedOn w:val="Normal"/>
    <w:link w:val="HeaderChar"/>
    <w:uiPriority w:val="99"/>
    <w:unhideWhenUsed/>
    <w:rsid w:val="00A72EA7"/>
    <w:pPr>
      <w:tabs>
        <w:tab w:val="center" w:pos="4513"/>
        <w:tab w:val="right" w:pos="9026"/>
      </w:tabs>
      <w:spacing w:line="240" w:lineRule="auto"/>
    </w:pPr>
  </w:style>
  <w:style w:type="character" w:customStyle="1" w:styleId="HeaderChar">
    <w:name w:val="Header Char"/>
    <w:basedOn w:val="DefaultParagraphFont"/>
    <w:link w:val="Header"/>
    <w:uiPriority w:val="99"/>
    <w:rsid w:val="00A72EA7"/>
  </w:style>
  <w:style w:type="paragraph" w:styleId="Footer">
    <w:name w:val="footer"/>
    <w:basedOn w:val="Normal"/>
    <w:link w:val="FooterChar"/>
    <w:uiPriority w:val="99"/>
    <w:unhideWhenUsed/>
    <w:rsid w:val="00A72EA7"/>
    <w:pPr>
      <w:tabs>
        <w:tab w:val="center" w:pos="4513"/>
        <w:tab w:val="right" w:pos="9026"/>
      </w:tabs>
      <w:spacing w:line="240" w:lineRule="auto"/>
    </w:pPr>
  </w:style>
  <w:style w:type="character" w:customStyle="1" w:styleId="FooterChar">
    <w:name w:val="Footer Char"/>
    <w:basedOn w:val="DefaultParagraphFont"/>
    <w:link w:val="Footer"/>
    <w:uiPriority w:val="99"/>
    <w:rsid w:val="00A72EA7"/>
  </w:style>
  <w:style w:type="character" w:customStyle="1" w:styleId="apple-converted-space">
    <w:name w:val="apple-converted-space"/>
    <w:basedOn w:val="DefaultParagraphFont"/>
    <w:rsid w:val="00DB2EE7"/>
  </w:style>
  <w:style w:type="paragraph" w:styleId="FootnoteText">
    <w:name w:val="footnote text"/>
    <w:basedOn w:val="Normal"/>
    <w:link w:val="FootnoteTextChar"/>
    <w:uiPriority w:val="99"/>
    <w:semiHidden/>
    <w:rsid w:val="00752678"/>
    <w:pPr>
      <w:spacing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75267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752678"/>
    <w:rPr>
      <w:vertAlign w:val="superscript"/>
    </w:rPr>
  </w:style>
  <w:style w:type="paragraph" w:styleId="ListParagraph">
    <w:name w:val="List Paragraph"/>
    <w:basedOn w:val="Normal"/>
    <w:uiPriority w:val="34"/>
    <w:qFormat/>
    <w:rsid w:val="00992FDB"/>
    <w:pPr>
      <w:ind w:left="720"/>
      <w:contextualSpacing/>
    </w:pPr>
    <w:rPr>
      <w:rFonts w:asciiTheme="minorHAnsi" w:eastAsiaTheme="minorEastAsia" w:hAnsiTheme="minorHAnsi" w:cstheme="minorBidi"/>
      <w:szCs w:val="22"/>
      <w:lang w:eastAsia="zh-CN"/>
    </w:rPr>
  </w:style>
  <w:style w:type="table" w:styleId="TableGrid">
    <w:name w:val="Table Grid"/>
    <w:basedOn w:val="TableNormal"/>
    <w:uiPriority w:val="59"/>
    <w:rsid w:val="00992F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214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4E4"/>
    <w:rPr>
      <w:rFonts w:ascii="Tahoma" w:hAnsi="Tahoma" w:cs="Tahoma"/>
      <w:sz w:val="16"/>
      <w:szCs w:val="16"/>
    </w:rPr>
  </w:style>
  <w:style w:type="character" w:styleId="CommentReference">
    <w:name w:val="annotation reference"/>
    <w:basedOn w:val="DefaultParagraphFont"/>
    <w:uiPriority w:val="99"/>
    <w:semiHidden/>
    <w:unhideWhenUsed/>
    <w:rsid w:val="00C35EDA"/>
    <w:rPr>
      <w:sz w:val="16"/>
      <w:szCs w:val="16"/>
    </w:rPr>
  </w:style>
  <w:style w:type="paragraph" w:styleId="CommentText">
    <w:name w:val="annotation text"/>
    <w:basedOn w:val="Normal"/>
    <w:link w:val="CommentTextChar"/>
    <w:uiPriority w:val="99"/>
    <w:semiHidden/>
    <w:unhideWhenUsed/>
    <w:rsid w:val="00C35EDA"/>
    <w:pPr>
      <w:spacing w:line="240" w:lineRule="auto"/>
    </w:pPr>
    <w:rPr>
      <w:sz w:val="20"/>
      <w:szCs w:val="20"/>
    </w:rPr>
  </w:style>
  <w:style w:type="character" w:customStyle="1" w:styleId="CommentTextChar">
    <w:name w:val="Comment Text Char"/>
    <w:basedOn w:val="DefaultParagraphFont"/>
    <w:link w:val="CommentText"/>
    <w:uiPriority w:val="99"/>
    <w:semiHidden/>
    <w:rsid w:val="00C35EDA"/>
    <w:rPr>
      <w:sz w:val="20"/>
      <w:szCs w:val="20"/>
    </w:rPr>
  </w:style>
  <w:style w:type="paragraph" w:styleId="CommentSubject">
    <w:name w:val="annotation subject"/>
    <w:basedOn w:val="CommentText"/>
    <w:next w:val="CommentText"/>
    <w:link w:val="CommentSubjectChar"/>
    <w:uiPriority w:val="99"/>
    <w:semiHidden/>
    <w:unhideWhenUsed/>
    <w:rsid w:val="00C35EDA"/>
    <w:rPr>
      <w:b/>
      <w:bCs/>
    </w:rPr>
  </w:style>
  <w:style w:type="character" w:customStyle="1" w:styleId="CommentSubjectChar">
    <w:name w:val="Comment Subject Char"/>
    <w:basedOn w:val="CommentTextChar"/>
    <w:link w:val="CommentSubject"/>
    <w:uiPriority w:val="99"/>
    <w:semiHidden/>
    <w:rsid w:val="00C35EDA"/>
    <w:rPr>
      <w:b/>
      <w:bCs/>
      <w:sz w:val="20"/>
      <w:szCs w:val="20"/>
    </w:rPr>
  </w:style>
  <w:style w:type="paragraph" w:styleId="Revision">
    <w:name w:val="Revision"/>
    <w:hidden/>
    <w:uiPriority w:val="99"/>
    <w:semiHidden/>
    <w:rsid w:val="001C7392"/>
    <w:pPr>
      <w:spacing w:after="0" w:line="240" w:lineRule="auto"/>
    </w:pPr>
  </w:style>
  <w:style w:type="character" w:styleId="FollowedHyperlink">
    <w:name w:val="FollowedHyperlink"/>
    <w:basedOn w:val="DefaultParagraphFont"/>
    <w:uiPriority w:val="99"/>
    <w:semiHidden/>
    <w:unhideWhenUsed/>
    <w:rsid w:val="00EB7C7C"/>
    <w:rPr>
      <w:color w:val="800080" w:themeColor="followedHyperlink"/>
      <w:u w:val="single"/>
    </w:rPr>
  </w:style>
  <w:style w:type="paragraph" w:styleId="Bibliography">
    <w:name w:val="Bibliography"/>
    <w:basedOn w:val="Normal"/>
    <w:next w:val="Normal"/>
    <w:uiPriority w:val="37"/>
    <w:unhideWhenUsed/>
    <w:rsid w:val="00A03502"/>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B5"/>
    <w:pPr>
      <w:spacing w:after="0" w:line="480" w:lineRule="auto"/>
    </w:pPr>
  </w:style>
  <w:style w:type="paragraph" w:styleId="Heading1">
    <w:name w:val="heading 1"/>
    <w:basedOn w:val="Normal"/>
    <w:next w:val="Normal"/>
    <w:link w:val="Heading1Char"/>
    <w:autoRedefine/>
    <w:uiPriority w:val="9"/>
    <w:qFormat/>
    <w:rsid w:val="0087754B"/>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06044F"/>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87754B"/>
    <w:rPr>
      <w:rFonts w:eastAsiaTheme="majorEastAsia"/>
      <w:b/>
      <w:bCs/>
      <w:sz w:val="36"/>
      <w:szCs w:val="28"/>
    </w:rPr>
  </w:style>
  <w:style w:type="character" w:customStyle="1" w:styleId="Heading2Char">
    <w:name w:val="Heading 2 Char"/>
    <w:basedOn w:val="DefaultParagraphFont"/>
    <w:link w:val="Heading2"/>
    <w:uiPriority w:val="9"/>
    <w:rsid w:val="0006044F"/>
    <w:rPr>
      <w:rFonts w:eastAsiaTheme="majorEastAsia"/>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7B4F4A"/>
    <w:rPr>
      <w:color w:val="0000FF" w:themeColor="hyperlink"/>
      <w:u w:val="single"/>
    </w:rPr>
  </w:style>
  <w:style w:type="paragraph" w:styleId="Header">
    <w:name w:val="header"/>
    <w:basedOn w:val="Normal"/>
    <w:link w:val="HeaderChar"/>
    <w:uiPriority w:val="99"/>
    <w:unhideWhenUsed/>
    <w:rsid w:val="00A72EA7"/>
    <w:pPr>
      <w:tabs>
        <w:tab w:val="center" w:pos="4513"/>
        <w:tab w:val="right" w:pos="9026"/>
      </w:tabs>
      <w:spacing w:line="240" w:lineRule="auto"/>
    </w:pPr>
  </w:style>
  <w:style w:type="character" w:customStyle="1" w:styleId="HeaderChar">
    <w:name w:val="Header Char"/>
    <w:basedOn w:val="DefaultParagraphFont"/>
    <w:link w:val="Header"/>
    <w:uiPriority w:val="99"/>
    <w:rsid w:val="00A72EA7"/>
  </w:style>
  <w:style w:type="paragraph" w:styleId="Footer">
    <w:name w:val="footer"/>
    <w:basedOn w:val="Normal"/>
    <w:link w:val="FooterChar"/>
    <w:uiPriority w:val="99"/>
    <w:unhideWhenUsed/>
    <w:rsid w:val="00A72EA7"/>
    <w:pPr>
      <w:tabs>
        <w:tab w:val="center" w:pos="4513"/>
        <w:tab w:val="right" w:pos="9026"/>
      </w:tabs>
      <w:spacing w:line="240" w:lineRule="auto"/>
    </w:pPr>
  </w:style>
  <w:style w:type="character" w:customStyle="1" w:styleId="FooterChar">
    <w:name w:val="Footer Char"/>
    <w:basedOn w:val="DefaultParagraphFont"/>
    <w:link w:val="Footer"/>
    <w:uiPriority w:val="99"/>
    <w:rsid w:val="00A72EA7"/>
  </w:style>
  <w:style w:type="character" w:customStyle="1" w:styleId="apple-converted-space">
    <w:name w:val="apple-converted-space"/>
    <w:basedOn w:val="DefaultParagraphFont"/>
    <w:rsid w:val="00DB2EE7"/>
  </w:style>
  <w:style w:type="paragraph" w:styleId="FootnoteText">
    <w:name w:val="footnote text"/>
    <w:basedOn w:val="Normal"/>
    <w:link w:val="FootnoteTextChar"/>
    <w:uiPriority w:val="99"/>
    <w:semiHidden/>
    <w:rsid w:val="00752678"/>
    <w:pPr>
      <w:spacing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75267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752678"/>
    <w:rPr>
      <w:vertAlign w:val="superscript"/>
    </w:rPr>
  </w:style>
  <w:style w:type="paragraph" w:styleId="ListParagraph">
    <w:name w:val="List Paragraph"/>
    <w:basedOn w:val="Normal"/>
    <w:uiPriority w:val="34"/>
    <w:qFormat/>
    <w:rsid w:val="00992FDB"/>
    <w:pPr>
      <w:ind w:left="720"/>
      <w:contextualSpacing/>
    </w:pPr>
    <w:rPr>
      <w:rFonts w:asciiTheme="minorHAnsi" w:eastAsiaTheme="minorEastAsia" w:hAnsiTheme="minorHAnsi" w:cstheme="minorBidi"/>
      <w:szCs w:val="22"/>
      <w:lang w:eastAsia="zh-CN"/>
    </w:rPr>
  </w:style>
  <w:style w:type="table" w:styleId="TableGrid">
    <w:name w:val="Table Grid"/>
    <w:basedOn w:val="TableNormal"/>
    <w:uiPriority w:val="59"/>
    <w:rsid w:val="00992F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214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4E4"/>
    <w:rPr>
      <w:rFonts w:ascii="Tahoma" w:hAnsi="Tahoma" w:cs="Tahoma"/>
      <w:sz w:val="16"/>
      <w:szCs w:val="16"/>
    </w:rPr>
  </w:style>
  <w:style w:type="character" w:styleId="CommentReference">
    <w:name w:val="annotation reference"/>
    <w:basedOn w:val="DefaultParagraphFont"/>
    <w:uiPriority w:val="99"/>
    <w:semiHidden/>
    <w:unhideWhenUsed/>
    <w:rsid w:val="00C35EDA"/>
    <w:rPr>
      <w:sz w:val="16"/>
      <w:szCs w:val="16"/>
    </w:rPr>
  </w:style>
  <w:style w:type="paragraph" w:styleId="CommentText">
    <w:name w:val="annotation text"/>
    <w:basedOn w:val="Normal"/>
    <w:link w:val="CommentTextChar"/>
    <w:uiPriority w:val="99"/>
    <w:semiHidden/>
    <w:unhideWhenUsed/>
    <w:rsid w:val="00C35EDA"/>
    <w:pPr>
      <w:spacing w:line="240" w:lineRule="auto"/>
    </w:pPr>
    <w:rPr>
      <w:sz w:val="20"/>
      <w:szCs w:val="20"/>
    </w:rPr>
  </w:style>
  <w:style w:type="character" w:customStyle="1" w:styleId="CommentTextChar">
    <w:name w:val="Comment Text Char"/>
    <w:basedOn w:val="DefaultParagraphFont"/>
    <w:link w:val="CommentText"/>
    <w:uiPriority w:val="99"/>
    <w:semiHidden/>
    <w:rsid w:val="00C35EDA"/>
    <w:rPr>
      <w:sz w:val="20"/>
      <w:szCs w:val="20"/>
    </w:rPr>
  </w:style>
  <w:style w:type="paragraph" w:styleId="CommentSubject">
    <w:name w:val="annotation subject"/>
    <w:basedOn w:val="CommentText"/>
    <w:next w:val="CommentText"/>
    <w:link w:val="CommentSubjectChar"/>
    <w:uiPriority w:val="99"/>
    <w:semiHidden/>
    <w:unhideWhenUsed/>
    <w:rsid w:val="00C35EDA"/>
    <w:rPr>
      <w:b/>
      <w:bCs/>
    </w:rPr>
  </w:style>
  <w:style w:type="character" w:customStyle="1" w:styleId="CommentSubjectChar">
    <w:name w:val="Comment Subject Char"/>
    <w:basedOn w:val="CommentTextChar"/>
    <w:link w:val="CommentSubject"/>
    <w:uiPriority w:val="99"/>
    <w:semiHidden/>
    <w:rsid w:val="00C35EDA"/>
    <w:rPr>
      <w:b/>
      <w:bCs/>
      <w:sz w:val="20"/>
      <w:szCs w:val="20"/>
    </w:rPr>
  </w:style>
  <w:style w:type="paragraph" w:styleId="Revision">
    <w:name w:val="Revision"/>
    <w:hidden/>
    <w:uiPriority w:val="99"/>
    <w:semiHidden/>
    <w:rsid w:val="001C7392"/>
    <w:pPr>
      <w:spacing w:after="0" w:line="240" w:lineRule="auto"/>
    </w:pPr>
  </w:style>
  <w:style w:type="character" w:styleId="FollowedHyperlink">
    <w:name w:val="FollowedHyperlink"/>
    <w:basedOn w:val="DefaultParagraphFont"/>
    <w:uiPriority w:val="99"/>
    <w:semiHidden/>
    <w:unhideWhenUsed/>
    <w:rsid w:val="00EB7C7C"/>
    <w:rPr>
      <w:color w:val="800080" w:themeColor="followedHyperlink"/>
      <w:u w:val="single"/>
    </w:rPr>
  </w:style>
  <w:style w:type="paragraph" w:styleId="Bibliography">
    <w:name w:val="Bibliography"/>
    <w:basedOn w:val="Normal"/>
    <w:next w:val="Normal"/>
    <w:uiPriority w:val="37"/>
    <w:unhideWhenUsed/>
    <w:rsid w:val="00A03502"/>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1041">
      <w:bodyDiv w:val="1"/>
      <w:marLeft w:val="0"/>
      <w:marRight w:val="0"/>
      <w:marTop w:val="0"/>
      <w:marBottom w:val="0"/>
      <w:divBdr>
        <w:top w:val="none" w:sz="0" w:space="0" w:color="auto"/>
        <w:left w:val="none" w:sz="0" w:space="0" w:color="auto"/>
        <w:bottom w:val="none" w:sz="0" w:space="0" w:color="auto"/>
        <w:right w:val="none" w:sz="0" w:space="0" w:color="auto"/>
      </w:divBdr>
    </w:div>
    <w:div w:id="292563043">
      <w:bodyDiv w:val="1"/>
      <w:marLeft w:val="0"/>
      <w:marRight w:val="0"/>
      <w:marTop w:val="0"/>
      <w:marBottom w:val="0"/>
      <w:divBdr>
        <w:top w:val="none" w:sz="0" w:space="0" w:color="auto"/>
        <w:left w:val="none" w:sz="0" w:space="0" w:color="auto"/>
        <w:bottom w:val="none" w:sz="0" w:space="0" w:color="auto"/>
        <w:right w:val="none" w:sz="0" w:space="0" w:color="auto"/>
      </w:divBdr>
    </w:div>
    <w:div w:id="390543605">
      <w:bodyDiv w:val="1"/>
      <w:marLeft w:val="0"/>
      <w:marRight w:val="0"/>
      <w:marTop w:val="0"/>
      <w:marBottom w:val="0"/>
      <w:divBdr>
        <w:top w:val="none" w:sz="0" w:space="0" w:color="auto"/>
        <w:left w:val="none" w:sz="0" w:space="0" w:color="auto"/>
        <w:bottom w:val="none" w:sz="0" w:space="0" w:color="auto"/>
        <w:right w:val="none" w:sz="0" w:space="0" w:color="auto"/>
      </w:divBdr>
    </w:div>
    <w:div w:id="475033118">
      <w:bodyDiv w:val="1"/>
      <w:marLeft w:val="0"/>
      <w:marRight w:val="0"/>
      <w:marTop w:val="0"/>
      <w:marBottom w:val="0"/>
      <w:divBdr>
        <w:top w:val="none" w:sz="0" w:space="0" w:color="auto"/>
        <w:left w:val="none" w:sz="0" w:space="0" w:color="auto"/>
        <w:bottom w:val="none" w:sz="0" w:space="0" w:color="auto"/>
        <w:right w:val="none" w:sz="0" w:space="0" w:color="auto"/>
      </w:divBdr>
    </w:div>
    <w:div w:id="483131799">
      <w:bodyDiv w:val="1"/>
      <w:marLeft w:val="0"/>
      <w:marRight w:val="0"/>
      <w:marTop w:val="0"/>
      <w:marBottom w:val="0"/>
      <w:divBdr>
        <w:top w:val="none" w:sz="0" w:space="0" w:color="auto"/>
        <w:left w:val="none" w:sz="0" w:space="0" w:color="auto"/>
        <w:bottom w:val="none" w:sz="0" w:space="0" w:color="auto"/>
        <w:right w:val="none" w:sz="0" w:space="0" w:color="auto"/>
      </w:divBdr>
    </w:div>
    <w:div w:id="484131545">
      <w:bodyDiv w:val="1"/>
      <w:marLeft w:val="0"/>
      <w:marRight w:val="0"/>
      <w:marTop w:val="0"/>
      <w:marBottom w:val="0"/>
      <w:divBdr>
        <w:top w:val="none" w:sz="0" w:space="0" w:color="auto"/>
        <w:left w:val="none" w:sz="0" w:space="0" w:color="auto"/>
        <w:bottom w:val="none" w:sz="0" w:space="0" w:color="auto"/>
        <w:right w:val="none" w:sz="0" w:space="0" w:color="auto"/>
      </w:divBdr>
    </w:div>
    <w:div w:id="576671545">
      <w:bodyDiv w:val="1"/>
      <w:marLeft w:val="0"/>
      <w:marRight w:val="0"/>
      <w:marTop w:val="0"/>
      <w:marBottom w:val="0"/>
      <w:divBdr>
        <w:top w:val="none" w:sz="0" w:space="0" w:color="auto"/>
        <w:left w:val="none" w:sz="0" w:space="0" w:color="auto"/>
        <w:bottom w:val="none" w:sz="0" w:space="0" w:color="auto"/>
        <w:right w:val="none" w:sz="0" w:space="0" w:color="auto"/>
      </w:divBdr>
    </w:div>
    <w:div w:id="623728304">
      <w:bodyDiv w:val="1"/>
      <w:marLeft w:val="0"/>
      <w:marRight w:val="0"/>
      <w:marTop w:val="0"/>
      <w:marBottom w:val="0"/>
      <w:divBdr>
        <w:top w:val="none" w:sz="0" w:space="0" w:color="auto"/>
        <w:left w:val="none" w:sz="0" w:space="0" w:color="auto"/>
        <w:bottom w:val="none" w:sz="0" w:space="0" w:color="auto"/>
        <w:right w:val="none" w:sz="0" w:space="0" w:color="auto"/>
      </w:divBdr>
    </w:div>
    <w:div w:id="634481401">
      <w:bodyDiv w:val="1"/>
      <w:marLeft w:val="0"/>
      <w:marRight w:val="0"/>
      <w:marTop w:val="0"/>
      <w:marBottom w:val="0"/>
      <w:divBdr>
        <w:top w:val="none" w:sz="0" w:space="0" w:color="auto"/>
        <w:left w:val="none" w:sz="0" w:space="0" w:color="auto"/>
        <w:bottom w:val="none" w:sz="0" w:space="0" w:color="auto"/>
        <w:right w:val="none" w:sz="0" w:space="0" w:color="auto"/>
      </w:divBdr>
    </w:div>
    <w:div w:id="650670063">
      <w:bodyDiv w:val="1"/>
      <w:marLeft w:val="0"/>
      <w:marRight w:val="0"/>
      <w:marTop w:val="0"/>
      <w:marBottom w:val="0"/>
      <w:divBdr>
        <w:top w:val="none" w:sz="0" w:space="0" w:color="auto"/>
        <w:left w:val="none" w:sz="0" w:space="0" w:color="auto"/>
        <w:bottom w:val="none" w:sz="0" w:space="0" w:color="auto"/>
        <w:right w:val="none" w:sz="0" w:space="0" w:color="auto"/>
      </w:divBdr>
    </w:div>
    <w:div w:id="651368980">
      <w:bodyDiv w:val="1"/>
      <w:marLeft w:val="0"/>
      <w:marRight w:val="0"/>
      <w:marTop w:val="0"/>
      <w:marBottom w:val="0"/>
      <w:divBdr>
        <w:top w:val="none" w:sz="0" w:space="0" w:color="auto"/>
        <w:left w:val="none" w:sz="0" w:space="0" w:color="auto"/>
        <w:bottom w:val="none" w:sz="0" w:space="0" w:color="auto"/>
        <w:right w:val="none" w:sz="0" w:space="0" w:color="auto"/>
      </w:divBdr>
    </w:div>
    <w:div w:id="809053244">
      <w:bodyDiv w:val="1"/>
      <w:marLeft w:val="0"/>
      <w:marRight w:val="0"/>
      <w:marTop w:val="0"/>
      <w:marBottom w:val="0"/>
      <w:divBdr>
        <w:top w:val="none" w:sz="0" w:space="0" w:color="auto"/>
        <w:left w:val="none" w:sz="0" w:space="0" w:color="auto"/>
        <w:bottom w:val="none" w:sz="0" w:space="0" w:color="auto"/>
        <w:right w:val="none" w:sz="0" w:space="0" w:color="auto"/>
      </w:divBdr>
    </w:div>
    <w:div w:id="845483963">
      <w:bodyDiv w:val="1"/>
      <w:marLeft w:val="0"/>
      <w:marRight w:val="0"/>
      <w:marTop w:val="0"/>
      <w:marBottom w:val="0"/>
      <w:divBdr>
        <w:top w:val="none" w:sz="0" w:space="0" w:color="auto"/>
        <w:left w:val="none" w:sz="0" w:space="0" w:color="auto"/>
        <w:bottom w:val="none" w:sz="0" w:space="0" w:color="auto"/>
        <w:right w:val="none" w:sz="0" w:space="0" w:color="auto"/>
      </w:divBdr>
    </w:div>
    <w:div w:id="1692219325">
      <w:bodyDiv w:val="1"/>
      <w:marLeft w:val="0"/>
      <w:marRight w:val="0"/>
      <w:marTop w:val="0"/>
      <w:marBottom w:val="0"/>
      <w:divBdr>
        <w:top w:val="none" w:sz="0" w:space="0" w:color="auto"/>
        <w:left w:val="none" w:sz="0" w:space="0" w:color="auto"/>
        <w:bottom w:val="none" w:sz="0" w:space="0" w:color="auto"/>
        <w:right w:val="none" w:sz="0" w:space="0" w:color="auto"/>
      </w:divBdr>
    </w:div>
    <w:div w:id="1870023493">
      <w:bodyDiv w:val="1"/>
      <w:marLeft w:val="0"/>
      <w:marRight w:val="0"/>
      <w:marTop w:val="0"/>
      <w:marBottom w:val="0"/>
      <w:divBdr>
        <w:top w:val="none" w:sz="0" w:space="0" w:color="auto"/>
        <w:left w:val="none" w:sz="0" w:space="0" w:color="auto"/>
        <w:bottom w:val="none" w:sz="0" w:space="0" w:color="auto"/>
        <w:right w:val="none" w:sz="0" w:space="0" w:color="auto"/>
      </w:divBdr>
    </w:div>
    <w:div w:id="1941060882">
      <w:bodyDiv w:val="1"/>
      <w:marLeft w:val="0"/>
      <w:marRight w:val="0"/>
      <w:marTop w:val="0"/>
      <w:marBottom w:val="0"/>
      <w:divBdr>
        <w:top w:val="none" w:sz="0" w:space="0" w:color="auto"/>
        <w:left w:val="none" w:sz="0" w:space="0" w:color="auto"/>
        <w:bottom w:val="none" w:sz="0" w:space="0" w:color="auto"/>
        <w:right w:val="none" w:sz="0" w:space="0" w:color="auto"/>
      </w:divBdr>
    </w:div>
    <w:div w:id="197528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omer@leeds.ac.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uffieldfoundatio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mailto:m.s.homer@leeds.ac.uk" TargetMode="External"/><Relationship Id="rId4" Type="http://schemas.openxmlformats.org/officeDocument/2006/relationships/settings" Target="settings.xml"/><Relationship Id="rId9" Type="http://schemas.openxmlformats.org/officeDocument/2006/relationships/hyperlink" Target="mailto:J.Ryder@education.leeds.ac.uk" TargetMode="Externa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gov.uk/researchandstatistics/national-pupil-database" TargetMode="External"/><Relationship Id="rId1" Type="http://schemas.openxmlformats.org/officeDocument/2006/relationships/hyperlink" Target="https://www.gov.uk/government/publications/national-curriculum-in-england-science-programmes-of-stud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leeds.ac.uk\shared\Education&amp;Social-Sciences&amp;Law\Education\EDUData\Research%20Groups\EISER%20ESRC-Gatsby%20Research%20Study\NPD\Datasets\Year10_0708_COHORT2\KS5_A\A_Progress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leeds.ac.uk\shared\Education&amp;Social-Sciences&amp;Law\Education\EDUData\Research%20Groups\EISER%20ESRC-Gatsby%20Research%20Study\NPD\Datasets\Year10_0708_COHORT2\KS5_A\A_Progres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ByKS4RouteGradeDA!$C$14</c:f>
              <c:strCache>
                <c:ptCount val="1"/>
                <c:pt idx="0">
                  <c:v>21CS</c:v>
                </c:pt>
              </c:strCache>
            </c:strRef>
          </c:tx>
          <c:invertIfNegative val="0"/>
          <c:dLbls>
            <c:dLblPos val="ctr"/>
            <c:showLegendKey val="0"/>
            <c:showVal val="1"/>
            <c:showCatName val="0"/>
            <c:showSerName val="0"/>
            <c:showPercent val="0"/>
            <c:showBubbleSize val="0"/>
            <c:showLeaderLines val="0"/>
          </c:dLbls>
          <c:errBars>
            <c:errBarType val="both"/>
            <c:errValType val="cust"/>
            <c:noEndCap val="0"/>
            <c:plus>
              <c:numRef>
                <c:f>(ByKS4RouteGradeDA!$H$14,ByKS4RouteGradeDA!$U$14,ByKS4RouteGradeDA!$AF$14,ByKS4RouteGradeDA!$AP$14)</c:f>
                <c:numCache>
                  <c:formatCode>General</c:formatCode>
                  <c:ptCount val="4"/>
                  <c:pt idx="0">
                    <c:v>0.20543432788165364</c:v>
                  </c:pt>
                  <c:pt idx="1">
                    <c:v>0.1587244660756239</c:v>
                  </c:pt>
                  <c:pt idx="2">
                    <c:v>0.12251168589522284</c:v>
                  </c:pt>
                  <c:pt idx="3">
                    <c:v>0.23766497851891411</c:v>
                  </c:pt>
                </c:numCache>
              </c:numRef>
            </c:plus>
            <c:minus>
              <c:numRef>
                <c:f>(ByKS4RouteGradeDA!$H$14,ByKS4RouteGradeDA!$U$14,ByKS4RouteGradeDA!$AF$14,ByKS4RouteGradeDA!$AP$14)</c:f>
                <c:numCache>
                  <c:formatCode>General</c:formatCode>
                  <c:ptCount val="4"/>
                  <c:pt idx="0">
                    <c:v>0.20543432788165364</c:v>
                  </c:pt>
                  <c:pt idx="1">
                    <c:v>0.1587244660756239</c:v>
                  </c:pt>
                  <c:pt idx="2">
                    <c:v>0.12251168589522284</c:v>
                  </c:pt>
                  <c:pt idx="3">
                    <c:v>0.23766497851891411</c:v>
                  </c:pt>
                </c:numCache>
              </c:numRef>
            </c:minus>
          </c:errBars>
          <c:cat>
            <c:strRef>
              <c:f>ByKS4RouteGradeDA!$J$16:$J$19</c:f>
              <c:strCache>
                <c:ptCount val="4"/>
                <c:pt idx="0">
                  <c:v>Biology</c:v>
                </c:pt>
                <c:pt idx="1">
                  <c:v>Chemistry</c:v>
                </c:pt>
                <c:pt idx="2">
                  <c:v>Physics</c:v>
                </c:pt>
                <c:pt idx="3">
                  <c:v>At least one of these courses</c:v>
                </c:pt>
              </c:strCache>
            </c:strRef>
          </c:cat>
          <c:val>
            <c:numRef>
              <c:f>(ByKS4RouteGradeDA!$F$14,ByKS4RouteGradeDA!$S$14,ByKS4RouteGradeDA!$AD$14,ByKS4RouteGradeDA!$AN$14)</c:f>
              <c:numCache>
                <c:formatCode>0.00</c:formatCode>
                <c:ptCount val="4"/>
                <c:pt idx="0">
                  <c:v>7.6064528231101107</c:v>
                </c:pt>
                <c:pt idx="1">
                  <c:v>4.3878571875195398</c:v>
                </c:pt>
                <c:pt idx="2">
                  <c:v>2.5651847683361471</c:v>
                </c:pt>
                <c:pt idx="3" formatCode="0.0">
                  <c:v>10.510848496217095</c:v>
                </c:pt>
              </c:numCache>
            </c:numRef>
          </c:val>
        </c:ser>
        <c:ser>
          <c:idx val="0"/>
          <c:order val="1"/>
          <c:tx>
            <c:strRef>
              <c:f>ByKS4RouteGradeDA!$C$13</c:f>
              <c:strCache>
                <c:ptCount val="1"/>
                <c:pt idx="0">
                  <c:v>Non-21CS</c:v>
                </c:pt>
              </c:strCache>
            </c:strRef>
          </c:tx>
          <c:invertIfNegative val="0"/>
          <c:dLbls>
            <c:dLblPos val="ctr"/>
            <c:showLegendKey val="0"/>
            <c:showVal val="1"/>
            <c:showCatName val="0"/>
            <c:showSerName val="0"/>
            <c:showPercent val="0"/>
            <c:showBubbleSize val="0"/>
            <c:showLeaderLines val="0"/>
          </c:dLbls>
          <c:errBars>
            <c:errBarType val="both"/>
            <c:errValType val="cust"/>
            <c:noEndCap val="0"/>
            <c:plus>
              <c:numRef>
                <c:f>(ByKS4RouteGradeDA!$H$13,ByKS4RouteGradeDA!$U$13,ByKS4RouteGradeDA!$AF$13,ByKS4RouteGradeDA!$H$13,ByKS4RouteGradeDA!$U$13,ByKS4RouteGradeDA!$AF$13,ByKS4RouteGradeDA!$AP$13)</c:f>
                <c:numCache>
                  <c:formatCode>General</c:formatCode>
                  <c:ptCount val="7"/>
                  <c:pt idx="0">
                    <c:v>9.7664924064676875E-2</c:v>
                  </c:pt>
                  <c:pt idx="1">
                    <c:v>8.122103911917998E-2</c:v>
                  </c:pt>
                  <c:pt idx="2">
                    <c:v>6.8458618762759174E-2</c:v>
                  </c:pt>
                  <c:pt idx="3">
                    <c:v>9.7664924064676875E-2</c:v>
                  </c:pt>
                  <c:pt idx="4">
                    <c:v>8.122103911917998E-2</c:v>
                  </c:pt>
                  <c:pt idx="5">
                    <c:v>6.8458618762759174E-2</c:v>
                  </c:pt>
                  <c:pt idx="6">
                    <c:v>0.11838847078984217</c:v>
                  </c:pt>
                </c:numCache>
              </c:numRef>
            </c:plus>
            <c:minus>
              <c:numRef>
                <c:f>(ByKS4RouteGradeDA!$H$13,ByKS4RouteGradeDA!$U$13,ByKS4RouteGradeDA!$AF$13,ByKS4RouteGradeDA!$H$13,ByKS4RouteGradeDA!$U$13,ByKS4RouteGradeDA!$AF$13,ByKS4RouteGradeDA!$AP$13)</c:f>
                <c:numCache>
                  <c:formatCode>General</c:formatCode>
                  <c:ptCount val="7"/>
                  <c:pt idx="0">
                    <c:v>9.7664924064676875E-2</c:v>
                  </c:pt>
                  <c:pt idx="1">
                    <c:v>8.122103911917998E-2</c:v>
                  </c:pt>
                  <c:pt idx="2">
                    <c:v>6.8458618762759174E-2</c:v>
                  </c:pt>
                  <c:pt idx="3">
                    <c:v>9.7664924064676875E-2</c:v>
                  </c:pt>
                  <c:pt idx="4">
                    <c:v>8.122103911917998E-2</c:v>
                  </c:pt>
                  <c:pt idx="5">
                    <c:v>6.8458618762759174E-2</c:v>
                  </c:pt>
                  <c:pt idx="6">
                    <c:v>0.11838847078984217</c:v>
                  </c:pt>
                </c:numCache>
              </c:numRef>
            </c:minus>
          </c:errBars>
          <c:cat>
            <c:strRef>
              <c:f>ByKS4RouteGradeDA!$J$16:$J$19</c:f>
              <c:strCache>
                <c:ptCount val="4"/>
                <c:pt idx="0">
                  <c:v>Biology</c:v>
                </c:pt>
                <c:pt idx="1">
                  <c:v>Chemistry</c:v>
                </c:pt>
                <c:pt idx="2">
                  <c:v>Physics</c:v>
                </c:pt>
                <c:pt idx="3">
                  <c:v>At least one of these courses</c:v>
                </c:pt>
              </c:strCache>
            </c:strRef>
          </c:cat>
          <c:val>
            <c:numRef>
              <c:f>(ByKS4RouteGradeDA!$F$13,ByKS4RouteGradeDA!$S$13,ByKS4RouteGradeDA!$AD$13,ByKS4RouteGradeDA!$AN$13)</c:f>
              <c:numCache>
                <c:formatCode>0.00</c:formatCode>
                <c:ptCount val="4"/>
                <c:pt idx="0">
                  <c:v>6.3845696885606156</c:v>
                </c:pt>
                <c:pt idx="1">
                  <c:v>4.3203542690500623</c:v>
                </c:pt>
                <c:pt idx="2">
                  <c:v>3.0284021751322068</c:v>
                </c:pt>
                <c:pt idx="3" formatCode="0.0">
                  <c:v>9.7291054789569671</c:v>
                </c:pt>
              </c:numCache>
            </c:numRef>
          </c:val>
        </c:ser>
        <c:dLbls>
          <c:showLegendKey val="0"/>
          <c:showVal val="0"/>
          <c:showCatName val="0"/>
          <c:showSerName val="0"/>
          <c:showPercent val="0"/>
          <c:showBubbleSize val="0"/>
        </c:dLbls>
        <c:gapWidth val="150"/>
        <c:axId val="44722816"/>
        <c:axId val="44754048"/>
      </c:barChart>
      <c:catAx>
        <c:axId val="44722816"/>
        <c:scaling>
          <c:orientation val="minMax"/>
        </c:scaling>
        <c:delete val="0"/>
        <c:axPos val="b"/>
        <c:title>
          <c:tx>
            <c:rich>
              <a:bodyPr/>
              <a:lstStyle/>
              <a:p>
                <a:pPr>
                  <a:defRPr/>
                </a:pPr>
                <a:r>
                  <a:rPr lang="en-GB"/>
                  <a:t>Post -16</a:t>
                </a:r>
                <a:r>
                  <a:rPr lang="en-GB" baseline="0"/>
                  <a:t> science qualification</a:t>
                </a:r>
                <a:endParaRPr lang="en-GB"/>
              </a:p>
            </c:rich>
          </c:tx>
          <c:layout/>
          <c:overlay val="0"/>
        </c:title>
        <c:numFmt formatCode="General" sourceLinked="1"/>
        <c:majorTickMark val="out"/>
        <c:minorTickMark val="none"/>
        <c:tickLblPos val="nextTo"/>
        <c:crossAx val="44754048"/>
        <c:crosses val="autoZero"/>
        <c:auto val="1"/>
        <c:lblAlgn val="ctr"/>
        <c:lblOffset val="100"/>
        <c:noMultiLvlLbl val="0"/>
      </c:catAx>
      <c:valAx>
        <c:axId val="44754048"/>
        <c:scaling>
          <c:orientation val="minMax"/>
        </c:scaling>
        <c:delete val="0"/>
        <c:axPos val="l"/>
        <c:majorGridlines/>
        <c:title>
          <c:tx>
            <c:rich>
              <a:bodyPr rot="-5400000" vert="horz"/>
              <a:lstStyle/>
              <a:p>
                <a:pPr>
                  <a:defRPr/>
                </a:pPr>
                <a:r>
                  <a:rPr lang="en-GB"/>
                  <a:t>Percentage progressing from DA</a:t>
                </a:r>
              </a:p>
            </c:rich>
          </c:tx>
          <c:layout/>
          <c:overlay val="0"/>
        </c:title>
        <c:numFmt formatCode="0" sourceLinked="0"/>
        <c:majorTickMark val="out"/>
        <c:minorTickMark val="none"/>
        <c:tickLblPos val="nextTo"/>
        <c:crossAx val="447228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ByKS4RouteGradeDA!$C$14</c:f>
              <c:strCache>
                <c:ptCount val="1"/>
                <c:pt idx="0">
                  <c:v>21CS</c:v>
                </c:pt>
              </c:strCache>
            </c:strRef>
          </c:tx>
          <c:invertIfNegative val="0"/>
          <c:dLbls>
            <c:dLblPos val="ctr"/>
            <c:showLegendKey val="0"/>
            <c:showVal val="1"/>
            <c:showCatName val="0"/>
            <c:showSerName val="0"/>
            <c:showPercent val="0"/>
            <c:showBubbleSize val="0"/>
            <c:showLeaderLines val="0"/>
          </c:dLbls>
          <c:errBars>
            <c:errBarType val="both"/>
            <c:errValType val="cust"/>
            <c:noEndCap val="0"/>
            <c:plus>
              <c:numRef>
                <c:f>(ByKS4RouteGradeTA!$H$14,ByKS4RouteGradeTA!$U$14,ByKS4RouteGradeTA!$AF$14,ByKS4RouteGradeTA!$AP$14)</c:f>
                <c:numCache>
                  <c:formatCode>General</c:formatCode>
                  <c:ptCount val="4"/>
                  <c:pt idx="0">
                    <c:v>0.72717213472798004</c:v>
                  </c:pt>
                  <c:pt idx="1">
                    <c:v>0.67653554190300291</c:v>
                  </c:pt>
                  <c:pt idx="2">
                    <c:v>0.57047920948755848</c:v>
                  </c:pt>
                  <c:pt idx="3">
                    <c:v>0.81194878194199072</c:v>
                  </c:pt>
                </c:numCache>
              </c:numRef>
            </c:plus>
            <c:minus>
              <c:numRef>
                <c:f>(ByKS4RouteGradeTA!$H$14,ByKS4RouteGradeTA!$U$14,ByKS4RouteGradeTA!$AF$14,ByKS4RouteGradeTA!$AP$14)</c:f>
                <c:numCache>
                  <c:formatCode>General</c:formatCode>
                  <c:ptCount val="4"/>
                  <c:pt idx="0">
                    <c:v>0.72717213472798004</c:v>
                  </c:pt>
                  <c:pt idx="1">
                    <c:v>0.67653554190300291</c:v>
                  </c:pt>
                  <c:pt idx="2">
                    <c:v>0.57047920948755848</c:v>
                  </c:pt>
                  <c:pt idx="3">
                    <c:v>0.81194878194199072</c:v>
                  </c:pt>
                </c:numCache>
              </c:numRef>
            </c:minus>
          </c:errBars>
          <c:cat>
            <c:strRef>
              <c:f>ByKS4RouteGradeDA!$J$16:$J$19</c:f>
              <c:strCache>
                <c:ptCount val="4"/>
                <c:pt idx="0">
                  <c:v>Biology</c:v>
                </c:pt>
                <c:pt idx="1">
                  <c:v>Chemistry</c:v>
                </c:pt>
                <c:pt idx="2">
                  <c:v>Physics</c:v>
                </c:pt>
                <c:pt idx="3">
                  <c:v>At least one of these courses</c:v>
                </c:pt>
              </c:strCache>
            </c:strRef>
          </c:cat>
          <c:val>
            <c:numRef>
              <c:f>(ByKS4RouteGradeTA!$F$14,ByKS4RouteGradeTA!$S$14,ByKS4RouteGradeTA!$AD$14,ByKS4RouteGradeTA!$AN$14)</c:f>
              <c:numCache>
                <c:formatCode>0.0</c:formatCode>
                <c:ptCount val="4"/>
                <c:pt idx="0">
                  <c:v>25.794621026894866</c:v>
                </c:pt>
                <c:pt idx="1">
                  <c:v>20.9621746008917</c:v>
                </c:pt>
                <c:pt idx="2">
                  <c:v>13.641593556738099</c:v>
                </c:pt>
                <c:pt idx="3">
                  <c:v>39.342729756939448</c:v>
                </c:pt>
              </c:numCache>
            </c:numRef>
          </c:val>
        </c:ser>
        <c:ser>
          <c:idx val="0"/>
          <c:order val="1"/>
          <c:tx>
            <c:strRef>
              <c:f>ByKS4RouteGradeDA!$C$13</c:f>
              <c:strCache>
                <c:ptCount val="1"/>
                <c:pt idx="0">
                  <c:v>Non-21CS</c:v>
                </c:pt>
              </c:strCache>
            </c:strRef>
          </c:tx>
          <c:invertIfNegative val="0"/>
          <c:dLbls>
            <c:dLblPos val="ctr"/>
            <c:showLegendKey val="0"/>
            <c:showVal val="1"/>
            <c:showCatName val="0"/>
            <c:showSerName val="0"/>
            <c:showPercent val="0"/>
            <c:showBubbleSize val="0"/>
            <c:showLeaderLines val="0"/>
          </c:dLbls>
          <c:errBars>
            <c:errBarType val="both"/>
            <c:errValType val="cust"/>
            <c:noEndCap val="0"/>
            <c:plus>
              <c:numRef>
                <c:f>(ByKS4RouteGradeTA!$H$13,ByKS4RouteGradeTA!$U$13,ByKS4RouteGradeTA!$AF$13,ByKS4RouteGradeTA!$AP$13)</c:f>
                <c:numCache>
                  <c:formatCode>General</c:formatCode>
                  <c:ptCount val="4"/>
                  <c:pt idx="0">
                    <c:v>0.38101252589999207</c:v>
                  </c:pt>
                  <c:pt idx="1">
                    <c:v>0.36750411962332608</c:v>
                  </c:pt>
                  <c:pt idx="2">
                    <c:v>0.32056522125593789</c:v>
                  </c:pt>
                  <c:pt idx="3">
                    <c:v>0.42451184396364328</c:v>
                  </c:pt>
                </c:numCache>
              </c:numRef>
            </c:plus>
            <c:minus>
              <c:numRef>
                <c:f>(ByKS4RouteGradeTA!$H$13,ByKS4RouteGradeTA!$U$13,ByKS4RouteGradeTA!$AF$13,ByKS4RouteGradeTA!$AP$13)</c:f>
                <c:numCache>
                  <c:formatCode>General</c:formatCode>
                  <c:ptCount val="4"/>
                  <c:pt idx="0">
                    <c:v>0.38101252589999207</c:v>
                  </c:pt>
                  <c:pt idx="1">
                    <c:v>0.36750411962332608</c:v>
                  </c:pt>
                  <c:pt idx="2">
                    <c:v>0.32056522125593789</c:v>
                  </c:pt>
                  <c:pt idx="3">
                    <c:v>0.42451184396364328</c:v>
                  </c:pt>
                </c:numCache>
              </c:numRef>
            </c:minus>
          </c:errBars>
          <c:cat>
            <c:strRef>
              <c:f>ByKS4RouteGradeDA!$J$16:$J$19</c:f>
              <c:strCache>
                <c:ptCount val="4"/>
                <c:pt idx="0">
                  <c:v>Biology</c:v>
                </c:pt>
                <c:pt idx="1">
                  <c:v>Chemistry</c:v>
                </c:pt>
                <c:pt idx="2">
                  <c:v>Physics</c:v>
                </c:pt>
                <c:pt idx="3">
                  <c:v>At least one of these courses</c:v>
                </c:pt>
              </c:strCache>
            </c:strRef>
          </c:cat>
          <c:val>
            <c:numRef>
              <c:f>(ByKS4RouteGradeTA!$F$13,ByKS4RouteGradeTA!$S$13,ByKS4RouteGradeTA!$AD$13,ByKS4RouteGradeTA!$AN$13)</c:f>
              <c:numCache>
                <c:formatCode>0.0</c:formatCode>
                <c:ptCount val="4"/>
                <c:pt idx="0">
                  <c:v>27.08153931530704</c:v>
                </c:pt>
                <c:pt idx="1">
                  <c:v>24.255123715483094</c:v>
                </c:pt>
                <c:pt idx="2">
                  <c:v>16.801576822243909</c:v>
                </c:pt>
                <c:pt idx="3">
                  <c:v>43.027728342614388</c:v>
                </c:pt>
              </c:numCache>
            </c:numRef>
          </c:val>
        </c:ser>
        <c:dLbls>
          <c:showLegendKey val="0"/>
          <c:showVal val="0"/>
          <c:showCatName val="0"/>
          <c:showSerName val="0"/>
          <c:showPercent val="0"/>
          <c:showBubbleSize val="0"/>
        </c:dLbls>
        <c:gapWidth val="150"/>
        <c:axId val="132502272"/>
        <c:axId val="132504576"/>
      </c:barChart>
      <c:catAx>
        <c:axId val="132502272"/>
        <c:scaling>
          <c:orientation val="minMax"/>
        </c:scaling>
        <c:delete val="0"/>
        <c:axPos val="b"/>
        <c:title>
          <c:tx>
            <c:rich>
              <a:bodyPr/>
              <a:lstStyle/>
              <a:p>
                <a:pPr>
                  <a:defRPr/>
                </a:pPr>
                <a:r>
                  <a:rPr lang="en-GB"/>
                  <a:t>Post-16</a:t>
                </a:r>
                <a:r>
                  <a:rPr lang="en-GB" baseline="0"/>
                  <a:t> science qualification</a:t>
                </a:r>
                <a:endParaRPr lang="en-GB"/>
              </a:p>
            </c:rich>
          </c:tx>
          <c:layout/>
          <c:overlay val="0"/>
        </c:title>
        <c:numFmt formatCode="General" sourceLinked="1"/>
        <c:majorTickMark val="out"/>
        <c:minorTickMark val="none"/>
        <c:tickLblPos val="nextTo"/>
        <c:crossAx val="132504576"/>
        <c:crosses val="autoZero"/>
        <c:auto val="1"/>
        <c:lblAlgn val="ctr"/>
        <c:lblOffset val="100"/>
        <c:noMultiLvlLbl val="0"/>
      </c:catAx>
      <c:valAx>
        <c:axId val="132504576"/>
        <c:scaling>
          <c:orientation val="minMax"/>
        </c:scaling>
        <c:delete val="0"/>
        <c:axPos val="l"/>
        <c:majorGridlines/>
        <c:title>
          <c:tx>
            <c:rich>
              <a:bodyPr rot="-5400000" vert="horz"/>
              <a:lstStyle/>
              <a:p>
                <a:pPr>
                  <a:defRPr/>
                </a:pPr>
                <a:r>
                  <a:rPr lang="en-GB"/>
                  <a:t>Percentage progressing from TA</a:t>
                </a:r>
              </a:p>
            </c:rich>
          </c:tx>
          <c:layout/>
          <c:overlay val="0"/>
        </c:title>
        <c:numFmt formatCode="0" sourceLinked="0"/>
        <c:majorTickMark val="out"/>
        <c:minorTickMark val="none"/>
        <c:tickLblPos val="nextTo"/>
        <c:crossAx val="13250227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7422</Words>
  <Characters>42307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Homer</dc:creator>
  <cp:lastModifiedBy>edumsh</cp:lastModifiedBy>
  <cp:revision>3</cp:revision>
  <cp:lastPrinted>2015-01-08T14:42:00Z</cp:lastPrinted>
  <dcterms:created xsi:type="dcterms:W3CDTF">2015-03-27T10:59:00Z</dcterms:created>
  <dcterms:modified xsi:type="dcterms:W3CDTF">2015-03-27T11:02:00Z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zotero-version="4.0.23"&gt;&lt;session id="uUCdMoD8"/&gt;&lt;style id="http://www.zotero.org/styles/apa"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