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7" w:rsidRDefault="00546DFA" w:rsidP="00D507EA">
      <w:pPr>
        <w:spacing w:line="480" w:lineRule="auto"/>
        <w:rPr>
          <w:b/>
          <w:sz w:val="24"/>
          <w:szCs w:val="24"/>
        </w:rPr>
      </w:pPr>
      <w:bookmarkStart w:id="0" w:name="_GoBack"/>
      <w:bookmarkEnd w:id="0"/>
      <w:r w:rsidRPr="000F531F">
        <w:rPr>
          <w:b/>
          <w:sz w:val="24"/>
          <w:szCs w:val="24"/>
        </w:rPr>
        <w:t>The State of Regulation</w:t>
      </w:r>
      <w:r w:rsidR="0048494D">
        <w:rPr>
          <w:b/>
          <w:sz w:val="24"/>
          <w:szCs w:val="24"/>
        </w:rPr>
        <w:t xml:space="preserve"> in England</w:t>
      </w:r>
      <w:r w:rsidRPr="000F531F">
        <w:rPr>
          <w:b/>
          <w:sz w:val="24"/>
          <w:szCs w:val="24"/>
        </w:rPr>
        <w:t xml:space="preserve">: </w:t>
      </w:r>
      <w:r w:rsidR="00F03CA5" w:rsidRPr="000F531F">
        <w:rPr>
          <w:b/>
          <w:sz w:val="24"/>
          <w:szCs w:val="24"/>
        </w:rPr>
        <w:t>From the</w:t>
      </w:r>
      <w:r w:rsidR="006E1ACA" w:rsidRPr="000F531F">
        <w:rPr>
          <w:b/>
          <w:sz w:val="24"/>
          <w:szCs w:val="24"/>
        </w:rPr>
        <w:t xml:space="preserve"> </w:t>
      </w:r>
      <w:r w:rsidR="00F03CA5" w:rsidRPr="000F531F">
        <w:rPr>
          <w:b/>
          <w:sz w:val="24"/>
          <w:szCs w:val="24"/>
        </w:rPr>
        <w:t>G</w:t>
      </w:r>
      <w:r w:rsidR="00AC6DC7" w:rsidRPr="000F531F">
        <w:rPr>
          <w:b/>
          <w:sz w:val="24"/>
          <w:szCs w:val="24"/>
        </w:rPr>
        <w:t xml:space="preserve">eneral Social Care Council to the </w:t>
      </w:r>
      <w:r w:rsidR="009B2210" w:rsidRPr="000F531F">
        <w:rPr>
          <w:b/>
          <w:sz w:val="24"/>
          <w:szCs w:val="24"/>
        </w:rPr>
        <w:t>H</w:t>
      </w:r>
      <w:r w:rsidR="00AC6DC7" w:rsidRPr="000F531F">
        <w:rPr>
          <w:b/>
          <w:sz w:val="24"/>
          <w:szCs w:val="24"/>
        </w:rPr>
        <w:t>ealth</w:t>
      </w:r>
      <w:r w:rsidR="00DE7F4C" w:rsidRPr="000F531F">
        <w:rPr>
          <w:b/>
          <w:sz w:val="24"/>
          <w:szCs w:val="24"/>
        </w:rPr>
        <w:t xml:space="preserve"> and</w:t>
      </w:r>
      <w:r w:rsidR="00AC6DC7" w:rsidRPr="000F531F">
        <w:rPr>
          <w:b/>
          <w:sz w:val="24"/>
          <w:szCs w:val="24"/>
        </w:rPr>
        <w:t xml:space="preserve"> </w:t>
      </w:r>
      <w:r w:rsidR="009B2210" w:rsidRPr="000F531F">
        <w:rPr>
          <w:b/>
          <w:sz w:val="24"/>
          <w:szCs w:val="24"/>
        </w:rPr>
        <w:t>C</w:t>
      </w:r>
      <w:r w:rsidR="00AC6DC7" w:rsidRPr="000F531F">
        <w:rPr>
          <w:b/>
          <w:sz w:val="24"/>
          <w:szCs w:val="24"/>
        </w:rPr>
        <w:t xml:space="preserve">are </w:t>
      </w:r>
      <w:r w:rsidR="009B2210" w:rsidRPr="000F531F">
        <w:rPr>
          <w:b/>
          <w:sz w:val="24"/>
          <w:szCs w:val="24"/>
        </w:rPr>
        <w:t>P</w:t>
      </w:r>
      <w:r w:rsidR="00AC6DC7" w:rsidRPr="000F531F">
        <w:rPr>
          <w:b/>
          <w:sz w:val="24"/>
          <w:szCs w:val="24"/>
        </w:rPr>
        <w:t xml:space="preserve">rofessions </w:t>
      </w:r>
      <w:r w:rsidR="009B2210" w:rsidRPr="000F531F">
        <w:rPr>
          <w:b/>
          <w:sz w:val="24"/>
          <w:szCs w:val="24"/>
        </w:rPr>
        <w:t>C</w:t>
      </w:r>
      <w:r w:rsidR="009F419A">
        <w:rPr>
          <w:b/>
          <w:sz w:val="24"/>
          <w:szCs w:val="24"/>
        </w:rPr>
        <w:t>ouncil</w:t>
      </w:r>
    </w:p>
    <w:p w:rsidR="00372A38" w:rsidRDefault="00372A38" w:rsidP="00D507EA">
      <w:pPr>
        <w:spacing w:line="480" w:lineRule="auto"/>
        <w:rPr>
          <w:b/>
          <w:sz w:val="24"/>
          <w:szCs w:val="24"/>
        </w:rPr>
      </w:pPr>
    </w:p>
    <w:p w:rsidR="00372A38" w:rsidRDefault="00372A38" w:rsidP="00372A38">
      <w:r w:rsidRPr="00821C31">
        <w:rPr>
          <w:u w:val="single"/>
        </w:rPr>
        <w:t>Abstract</w:t>
      </w:r>
    </w:p>
    <w:p w:rsidR="00372A38" w:rsidRDefault="00A06536" w:rsidP="00D507EA">
      <w:pPr>
        <w:spacing w:line="480" w:lineRule="auto"/>
        <w:rPr>
          <w:sz w:val="24"/>
          <w:szCs w:val="24"/>
        </w:rPr>
      </w:pPr>
      <w:r>
        <w:rPr>
          <w:sz w:val="24"/>
          <w:szCs w:val="24"/>
        </w:rPr>
        <w:t xml:space="preserve">In this paper we </w:t>
      </w:r>
      <w:r w:rsidR="00372A38">
        <w:rPr>
          <w:sz w:val="24"/>
          <w:szCs w:val="24"/>
        </w:rPr>
        <w:t>analyse the way in which social work, as a profession, has coped with and responded to the various forms of regulation</w:t>
      </w:r>
      <w:r>
        <w:rPr>
          <w:sz w:val="24"/>
          <w:szCs w:val="24"/>
        </w:rPr>
        <w:t xml:space="preserve"> to which it has been subject</w:t>
      </w:r>
      <w:r w:rsidR="0048494D">
        <w:rPr>
          <w:sz w:val="24"/>
          <w:szCs w:val="24"/>
        </w:rPr>
        <w:t xml:space="preserve"> in England</w:t>
      </w:r>
      <w:r w:rsidR="00372A38">
        <w:rPr>
          <w:sz w:val="24"/>
          <w:szCs w:val="24"/>
        </w:rPr>
        <w:t xml:space="preserve">. </w:t>
      </w:r>
      <w:r w:rsidR="00372A38" w:rsidRPr="000F531F">
        <w:rPr>
          <w:sz w:val="24"/>
          <w:szCs w:val="24"/>
        </w:rPr>
        <w:t>First, we briefly detail the rise of externa</w:t>
      </w:r>
      <w:r w:rsidR="00372A38">
        <w:rPr>
          <w:sz w:val="24"/>
          <w:szCs w:val="24"/>
        </w:rPr>
        <w:t xml:space="preserve">l regulation of the professions, </w:t>
      </w:r>
      <w:r w:rsidR="00372A38" w:rsidRPr="000F531F">
        <w:rPr>
          <w:sz w:val="24"/>
          <w:szCs w:val="24"/>
        </w:rPr>
        <w:t>discuss</w:t>
      </w:r>
      <w:r>
        <w:rPr>
          <w:sz w:val="24"/>
          <w:szCs w:val="24"/>
        </w:rPr>
        <w:t>ing</w:t>
      </w:r>
      <w:r w:rsidR="00372A38" w:rsidRPr="000F531F">
        <w:rPr>
          <w:sz w:val="24"/>
          <w:szCs w:val="24"/>
        </w:rPr>
        <w:t xml:space="preserve"> </w:t>
      </w:r>
      <w:r w:rsidR="00372A38">
        <w:rPr>
          <w:sz w:val="24"/>
          <w:szCs w:val="24"/>
        </w:rPr>
        <w:t xml:space="preserve">both </w:t>
      </w:r>
      <w:r w:rsidR="00372A38" w:rsidRPr="000F531F">
        <w:rPr>
          <w:sz w:val="24"/>
          <w:szCs w:val="24"/>
        </w:rPr>
        <w:t>the rationale for</w:t>
      </w:r>
      <w:r w:rsidR="00372A38">
        <w:rPr>
          <w:sz w:val="24"/>
          <w:szCs w:val="24"/>
        </w:rPr>
        <w:t>, and criticisms of,</w:t>
      </w:r>
      <w:r w:rsidR="00372A38" w:rsidRPr="000F531F">
        <w:rPr>
          <w:sz w:val="24"/>
          <w:szCs w:val="24"/>
        </w:rPr>
        <w:t xml:space="preserve"> </w:t>
      </w:r>
      <w:r w:rsidR="00372A38">
        <w:rPr>
          <w:sz w:val="24"/>
          <w:szCs w:val="24"/>
        </w:rPr>
        <w:t>such developments</w:t>
      </w:r>
      <w:r w:rsidR="00372A38" w:rsidRPr="000F531F">
        <w:rPr>
          <w:sz w:val="24"/>
          <w:szCs w:val="24"/>
        </w:rPr>
        <w:t>. Second, we take a closer look at developm</w:t>
      </w:r>
      <w:r w:rsidR="00372A38">
        <w:rPr>
          <w:sz w:val="24"/>
          <w:szCs w:val="24"/>
        </w:rPr>
        <w:t>ents within social work and</w:t>
      </w:r>
      <w:r w:rsidR="00372A38" w:rsidRPr="000F531F">
        <w:rPr>
          <w:sz w:val="24"/>
          <w:szCs w:val="24"/>
        </w:rPr>
        <w:t xml:space="preserve"> the operation of the GSCC’s conduct proceedings from its inception </w:t>
      </w:r>
      <w:r>
        <w:rPr>
          <w:sz w:val="24"/>
          <w:szCs w:val="24"/>
        </w:rPr>
        <w:t xml:space="preserve">in 2001 </w:t>
      </w:r>
      <w:r w:rsidR="00372A38" w:rsidRPr="000F531F">
        <w:rPr>
          <w:sz w:val="24"/>
          <w:szCs w:val="24"/>
        </w:rPr>
        <w:t>until its</w:t>
      </w:r>
      <w:r w:rsidR="00372A38">
        <w:rPr>
          <w:sz w:val="24"/>
          <w:szCs w:val="24"/>
        </w:rPr>
        <w:t xml:space="preserve"> dissolution in 2012. Third, we </w:t>
      </w:r>
      <w:r w:rsidR="00372A38" w:rsidRPr="000F531F">
        <w:rPr>
          <w:sz w:val="24"/>
          <w:szCs w:val="24"/>
        </w:rPr>
        <w:t>focus on the H</w:t>
      </w:r>
      <w:r w:rsidR="00372A38">
        <w:rPr>
          <w:sz w:val="24"/>
          <w:szCs w:val="24"/>
        </w:rPr>
        <w:t xml:space="preserve">ealth and </w:t>
      </w:r>
      <w:r w:rsidR="00372A38" w:rsidRPr="000F531F">
        <w:rPr>
          <w:sz w:val="24"/>
          <w:szCs w:val="24"/>
        </w:rPr>
        <w:t>C</w:t>
      </w:r>
      <w:r w:rsidR="00372A38">
        <w:rPr>
          <w:sz w:val="24"/>
          <w:szCs w:val="24"/>
        </w:rPr>
        <w:t xml:space="preserve">are </w:t>
      </w:r>
      <w:r w:rsidR="00372A38" w:rsidRPr="000F531F">
        <w:rPr>
          <w:sz w:val="24"/>
          <w:szCs w:val="24"/>
        </w:rPr>
        <w:t>P</w:t>
      </w:r>
      <w:r w:rsidR="00372A38">
        <w:rPr>
          <w:sz w:val="24"/>
          <w:szCs w:val="24"/>
        </w:rPr>
        <w:t xml:space="preserve">rofessions </w:t>
      </w:r>
      <w:r w:rsidR="00372A38" w:rsidRPr="000F531F">
        <w:rPr>
          <w:sz w:val="24"/>
          <w:szCs w:val="24"/>
        </w:rPr>
        <w:t>C</w:t>
      </w:r>
      <w:r w:rsidR="00372A38">
        <w:rPr>
          <w:sz w:val="24"/>
          <w:szCs w:val="24"/>
        </w:rPr>
        <w:t>ouncil</w:t>
      </w:r>
      <w:r w:rsidR="00372A38" w:rsidRPr="000F531F">
        <w:rPr>
          <w:sz w:val="24"/>
          <w:szCs w:val="24"/>
        </w:rPr>
        <w:t xml:space="preserve"> and consider how it has begun its regulation of social workers since it took on this resp</w:t>
      </w:r>
      <w:r w:rsidR="00372A38">
        <w:rPr>
          <w:sz w:val="24"/>
          <w:szCs w:val="24"/>
        </w:rPr>
        <w:t xml:space="preserve">onsibility from August 2012. We </w:t>
      </w:r>
      <w:r w:rsidR="00372A38" w:rsidRPr="000F531F">
        <w:rPr>
          <w:sz w:val="24"/>
          <w:szCs w:val="24"/>
        </w:rPr>
        <w:t xml:space="preserve">conclude by outlining some </w:t>
      </w:r>
      <w:r w:rsidR="00372A38">
        <w:rPr>
          <w:sz w:val="24"/>
          <w:szCs w:val="24"/>
        </w:rPr>
        <w:t xml:space="preserve">of the </w:t>
      </w:r>
      <w:r w:rsidR="00372A38" w:rsidRPr="000F531F">
        <w:rPr>
          <w:sz w:val="24"/>
          <w:szCs w:val="24"/>
        </w:rPr>
        <w:t xml:space="preserve">concerns we have </w:t>
      </w:r>
      <w:r w:rsidR="00372A38">
        <w:rPr>
          <w:sz w:val="24"/>
          <w:szCs w:val="24"/>
        </w:rPr>
        <w:t xml:space="preserve">as well as discussing reasons as to why we feel </w:t>
      </w:r>
      <w:r w:rsidR="00877525">
        <w:rPr>
          <w:sz w:val="24"/>
          <w:szCs w:val="24"/>
        </w:rPr>
        <w:t>this area of work needs to be explored further</w:t>
      </w:r>
      <w:r w:rsidR="00372A38">
        <w:rPr>
          <w:sz w:val="24"/>
          <w:szCs w:val="24"/>
        </w:rPr>
        <w:t xml:space="preserve">. </w:t>
      </w:r>
    </w:p>
    <w:p w:rsidR="0048494D" w:rsidRPr="00372A38" w:rsidRDefault="0048494D" w:rsidP="00D507EA">
      <w:pPr>
        <w:spacing w:line="480" w:lineRule="auto"/>
        <w:rPr>
          <w:sz w:val="24"/>
          <w:szCs w:val="24"/>
        </w:rPr>
      </w:pPr>
      <w:r>
        <w:rPr>
          <w:sz w:val="24"/>
          <w:szCs w:val="24"/>
        </w:rPr>
        <w:t xml:space="preserve">Key Words: </w:t>
      </w:r>
      <w:r w:rsidR="00720231">
        <w:rPr>
          <w:sz w:val="24"/>
          <w:szCs w:val="24"/>
        </w:rPr>
        <w:t xml:space="preserve">Accountability; Capability; </w:t>
      </w:r>
      <w:r>
        <w:rPr>
          <w:sz w:val="24"/>
          <w:szCs w:val="24"/>
        </w:rPr>
        <w:t>Conduct; HCPC; Regulation</w:t>
      </w:r>
      <w:r w:rsidR="00720231">
        <w:rPr>
          <w:sz w:val="24"/>
          <w:szCs w:val="24"/>
        </w:rPr>
        <w:t>; Social Work</w:t>
      </w:r>
    </w:p>
    <w:p w:rsidR="00DA481A" w:rsidRPr="000F531F" w:rsidRDefault="00DA481A" w:rsidP="00D507EA">
      <w:pPr>
        <w:spacing w:line="480" w:lineRule="auto"/>
        <w:rPr>
          <w:sz w:val="24"/>
          <w:szCs w:val="24"/>
        </w:rPr>
      </w:pPr>
      <w:r w:rsidRPr="000F531F">
        <w:rPr>
          <w:sz w:val="24"/>
          <w:szCs w:val="24"/>
          <w:u w:val="single"/>
        </w:rPr>
        <w:t>Introduction</w:t>
      </w:r>
      <w:r w:rsidR="00494207" w:rsidRPr="000F531F">
        <w:rPr>
          <w:sz w:val="24"/>
          <w:szCs w:val="24"/>
        </w:rPr>
        <w:t xml:space="preserve"> </w:t>
      </w:r>
    </w:p>
    <w:p w:rsidR="00DA481A" w:rsidRPr="00F34541" w:rsidRDefault="003F379C" w:rsidP="00D507EA">
      <w:pPr>
        <w:autoSpaceDE w:val="0"/>
        <w:autoSpaceDN w:val="0"/>
        <w:adjustRightInd w:val="0"/>
        <w:spacing w:after="0" w:line="480" w:lineRule="auto"/>
        <w:rPr>
          <w:sz w:val="24"/>
          <w:szCs w:val="24"/>
        </w:rPr>
      </w:pPr>
      <w:r w:rsidRPr="00F34541">
        <w:rPr>
          <w:sz w:val="24"/>
          <w:szCs w:val="24"/>
        </w:rPr>
        <w:t>On</w:t>
      </w:r>
      <w:r w:rsidR="00051B03" w:rsidRPr="00F34541">
        <w:rPr>
          <w:sz w:val="24"/>
          <w:szCs w:val="24"/>
        </w:rPr>
        <w:t xml:space="preserve"> July</w:t>
      </w:r>
      <w:r w:rsidRPr="00F34541">
        <w:rPr>
          <w:sz w:val="24"/>
          <w:szCs w:val="24"/>
        </w:rPr>
        <w:t xml:space="preserve"> 31</w:t>
      </w:r>
      <w:r w:rsidR="00051B03" w:rsidRPr="00F34541">
        <w:rPr>
          <w:sz w:val="24"/>
          <w:szCs w:val="24"/>
        </w:rPr>
        <w:t xml:space="preserve"> 2012 the General Social Care Council (GSCC) which</w:t>
      </w:r>
      <w:r w:rsidR="00A06536">
        <w:rPr>
          <w:sz w:val="24"/>
          <w:szCs w:val="24"/>
        </w:rPr>
        <w:t>, since 2001</w:t>
      </w:r>
      <w:r w:rsidR="00051B03" w:rsidRPr="00F34541">
        <w:rPr>
          <w:sz w:val="24"/>
          <w:szCs w:val="24"/>
        </w:rPr>
        <w:t xml:space="preserve"> had been the body responsible for the regulation of socia</w:t>
      </w:r>
      <w:r w:rsidR="00A06536">
        <w:rPr>
          <w:sz w:val="24"/>
          <w:szCs w:val="24"/>
        </w:rPr>
        <w:t xml:space="preserve">l workers in England </w:t>
      </w:r>
      <w:r w:rsidR="00051B03" w:rsidRPr="00F34541">
        <w:rPr>
          <w:sz w:val="24"/>
          <w:szCs w:val="24"/>
        </w:rPr>
        <w:t>was abolished as part of what was termed ‘the bonfire of the quangos’ by the Conservative/Liberal Democrat coalition</w:t>
      </w:r>
      <w:r w:rsidRPr="00F34541">
        <w:rPr>
          <w:sz w:val="24"/>
          <w:szCs w:val="24"/>
        </w:rPr>
        <w:t xml:space="preserve"> government </w:t>
      </w:r>
      <w:r w:rsidR="00B66B62">
        <w:rPr>
          <w:sz w:val="24"/>
          <w:szCs w:val="24"/>
        </w:rPr>
        <w:t>(Sedghi, 2010</w:t>
      </w:r>
      <w:r w:rsidR="00B2265F">
        <w:rPr>
          <w:sz w:val="24"/>
          <w:szCs w:val="24"/>
        </w:rPr>
        <w:t>, online)</w:t>
      </w:r>
      <w:r w:rsidRPr="00F34541">
        <w:rPr>
          <w:sz w:val="24"/>
          <w:szCs w:val="24"/>
        </w:rPr>
        <w:t xml:space="preserve"> with all of its powers transferred on August 1 2012 to </w:t>
      </w:r>
      <w:r w:rsidR="00DA481A" w:rsidRPr="00F34541">
        <w:rPr>
          <w:sz w:val="24"/>
          <w:szCs w:val="24"/>
        </w:rPr>
        <w:t>the Health Professions Council (HPC) which, in recognition of the expansion of its remit</w:t>
      </w:r>
      <w:r w:rsidR="00D368FE" w:rsidRPr="00F34541">
        <w:rPr>
          <w:sz w:val="24"/>
          <w:szCs w:val="24"/>
        </w:rPr>
        <w:t>,</w:t>
      </w:r>
      <w:r w:rsidR="00DA481A" w:rsidRPr="00F34541">
        <w:rPr>
          <w:sz w:val="24"/>
          <w:szCs w:val="24"/>
        </w:rPr>
        <w:t xml:space="preserve"> changed its name to the Health </w:t>
      </w:r>
      <w:r w:rsidR="003D00AC" w:rsidRPr="0046778A">
        <w:rPr>
          <w:sz w:val="24"/>
          <w:szCs w:val="24"/>
        </w:rPr>
        <w:t xml:space="preserve">and </w:t>
      </w:r>
      <w:r w:rsidR="00DA481A" w:rsidRPr="0046778A">
        <w:rPr>
          <w:sz w:val="24"/>
          <w:szCs w:val="24"/>
        </w:rPr>
        <w:t>Care</w:t>
      </w:r>
      <w:r w:rsidR="00DA481A" w:rsidRPr="00F34541">
        <w:rPr>
          <w:sz w:val="24"/>
          <w:szCs w:val="24"/>
        </w:rPr>
        <w:t xml:space="preserve"> Professions Council (HCPC). The addition of </w:t>
      </w:r>
      <w:r w:rsidR="00DA481A" w:rsidRPr="00F34541">
        <w:rPr>
          <w:sz w:val="24"/>
          <w:szCs w:val="24"/>
        </w:rPr>
        <w:lastRenderedPageBreak/>
        <w:t>social workers to its regulatory responsibilit</w:t>
      </w:r>
      <w:r w:rsidR="000D27B7" w:rsidRPr="00F34541">
        <w:rPr>
          <w:sz w:val="24"/>
          <w:szCs w:val="24"/>
        </w:rPr>
        <w:t>i</w:t>
      </w:r>
      <w:r w:rsidR="00DA481A" w:rsidRPr="00F34541">
        <w:rPr>
          <w:sz w:val="24"/>
          <w:szCs w:val="24"/>
        </w:rPr>
        <w:t>es means</w:t>
      </w:r>
      <w:r w:rsidR="000D27B7" w:rsidRPr="00F34541">
        <w:rPr>
          <w:sz w:val="24"/>
          <w:szCs w:val="24"/>
        </w:rPr>
        <w:t xml:space="preserve"> t</w:t>
      </w:r>
      <w:r w:rsidR="00DA481A" w:rsidRPr="00F34541">
        <w:rPr>
          <w:sz w:val="24"/>
          <w:szCs w:val="24"/>
        </w:rPr>
        <w:t xml:space="preserve">he HCPC </w:t>
      </w:r>
      <w:r w:rsidR="000D27B7" w:rsidRPr="00F34541">
        <w:rPr>
          <w:sz w:val="24"/>
          <w:szCs w:val="24"/>
        </w:rPr>
        <w:t xml:space="preserve">now oversees the training, </w:t>
      </w:r>
      <w:r w:rsidR="0046778A">
        <w:rPr>
          <w:sz w:val="24"/>
          <w:szCs w:val="24"/>
        </w:rPr>
        <w:t xml:space="preserve">professional </w:t>
      </w:r>
      <w:r w:rsidR="000D27B7" w:rsidRPr="00F34541">
        <w:rPr>
          <w:sz w:val="24"/>
          <w:szCs w:val="24"/>
        </w:rPr>
        <w:t xml:space="preserve">standards and conduct of </w:t>
      </w:r>
      <w:r w:rsidR="00DA481A" w:rsidRPr="00F34541">
        <w:rPr>
          <w:sz w:val="24"/>
          <w:szCs w:val="24"/>
        </w:rPr>
        <w:t>sixteen</w:t>
      </w:r>
      <w:r w:rsidR="0003386A" w:rsidRPr="00F34541">
        <w:rPr>
          <w:sz w:val="24"/>
          <w:szCs w:val="24"/>
        </w:rPr>
        <w:t xml:space="preserve"> </w:t>
      </w:r>
      <w:r w:rsidR="00DA481A" w:rsidRPr="00F34541">
        <w:rPr>
          <w:sz w:val="24"/>
          <w:szCs w:val="24"/>
        </w:rPr>
        <w:t>professions</w:t>
      </w:r>
      <w:r w:rsidR="0003386A" w:rsidRPr="00F34541">
        <w:rPr>
          <w:sz w:val="24"/>
          <w:szCs w:val="24"/>
        </w:rPr>
        <w:t xml:space="preserve">, covering a broad range of practices such as, </w:t>
      </w:r>
      <w:r w:rsidR="0003386A" w:rsidRPr="00F34541">
        <w:rPr>
          <w:i/>
          <w:sz w:val="24"/>
          <w:szCs w:val="24"/>
        </w:rPr>
        <w:t>inter alia</w:t>
      </w:r>
      <w:r w:rsidR="0003386A" w:rsidRPr="00F34541">
        <w:rPr>
          <w:sz w:val="24"/>
          <w:szCs w:val="24"/>
        </w:rPr>
        <w:t>,</w:t>
      </w:r>
      <w:r w:rsidR="00DA481A" w:rsidRPr="00F34541">
        <w:rPr>
          <w:sz w:val="24"/>
          <w:szCs w:val="24"/>
        </w:rPr>
        <w:t xml:space="preserve"> </w:t>
      </w:r>
      <w:r w:rsidR="00DA481A" w:rsidRPr="00F34541">
        <w:rPr>
          <w:rFonts w:cs="HelveticaNeue-Light"/>
          <w:sz w:val="24"/>
          <w:szCs w:val="24"/>
        </w:rPr>
        <w:t>arts the</w:t>
      </w:r>
      <w:r w:rsidR="0003386A" w:rsidRPr="00F34541">
        <w:rPr>
          <w:rFonts w:cs="HelveticaNeue-Light"/>
          <w:sz w:val="24"/>
          <w:szCs w:val="24"/>
        </w:rPr>
        <w:t>rapists, biomedical scientists</w:t>
      </w:r>
      <w:r w:rsidR="000D27B7" w:rsidRPr="00F34541">
        <w:rPr>
          <w:rFonts w:cs="HelveticaNeue-Light"/>
          <w:sz w:val="24"/>
          <w:szCs w:val="24"/>
        </w:rPr>
        <w:t>, dietic</w:t>
      </w:r>
      <w:r w:rsidR="00DA481A" w:rsidRPr="00F34541">
        <w:rPr>
          <w:rFonts w:cs="HelveticaNeue-Light"/>
          <w:sz w:val="24"/>
          <w:szCs w:val="24"/>
        </w:rPr>
        <w:t>ians</w:t>
      </w:r>
      <w:r w:rsidR="0003386A" w:rsidRPr="00F34541">
        <w:rPr>
          <w:rFonts w:cs="HelveticaNeue-Light"/>
          <w:sz w:val="24"/>
          <w:szCs w:val="24"/>
        </w:rPr>
        <w:t xml:space="preserve"> </w:t>
      </w:r>
      <w:r w:rsidR="00DA481A" w:rsidRPr="00F34541">
        <w:rPr>
          <w:rFonts w:cs="HelveticaNeue-Light"/>
          <w:sz w:val="24"/>
          <w:szCs w:val="24"/>
        </w:rPr>
        <w:t>and speech and language therapists</w:t>
      </w:r>
      <w:r w:rsidR="000D27B7" w:rsidRPr="00F34541">
        <w:rPr>
          <w:rFonts w:cs="HelveticaNeue-Light"/>
          <w:sz w:val="24"/>
          <w:szCs w:val="24"/>
        </w:rPr>
        <w:t>.</w:t>
      </w:r>
      <w:r w:rsidR="0003386A" w:rsidRPr="00F34541">
        <w:rPr>
          <w:rFonts w:cs="HelveticaNeue-Light"/>
          <w:sz w:val="24"/>
          <w:szCs w:val="24"/>
        </w:rPr>
        <w:t xml:space="preserve"> </w:t>
      </w:r>
      <w:r w:rsidR="00051B03" w:rsidRPr="00F34541">
        <w:rPr>
          <w:rFonts w:cs="HelveticaNeue-Light"/>
          <w:sz w:val="24"/>
          <w:szCs w:val="24"/>
        </w:rPr>
        <w:t>Social workers are numerically by far the largest single group i</w:t>
      </w:r>
      <w:r w:rsidR="00FE05C5">
        <w:rPr>
          <w:rFonts w:cs="HelveticaNeue-Light"/>
          <w:sz w:val="24"/>
          <w:szCs w:val="24"/>
        </w:rPr>
        <w:t xml:space="preserve">n this disparate collection of </w:t>
      </w:r>
      <w:r w:rsidR="00A06536">
        <w:rPr>
          <w:rFonts w:cs="HelveticaNeue-Light"/>
          <w:sz w:val="24"/>
          <w:szCs w:val="24"/>
        </w:rPr>
        <w:t>‘</w:t>
      </w:r>
      <w:r w:rsidR="00FE05C5">
        <w:rPr>
          <w:rFonts w:cs="HelveticaNeue-Light"/>
          <w:sz w:val="24"/>
          <w:szCs w:val="24"/>
        </w:rPr>
        <w:t>allied health professionals</w:t>
      </w:r>
      <w:r w:rsidR="00A06536">
        <w:rPr>
          <w:rFonts w:cs="HelveticaNeue-Light"/>
          <w:sz w:val="24"/>
          <w:szCs w:val="24"/>
        </w:rPr>
        <w:t>’</w:t>
      </w:r>
      <w:r w:rsidR="00051B03" w:rsidRPr="00F34541">
        <w:rPr>
          <w:rFonts w:cs="HelveticaNeue-Light"/>
          <w:sz w:val="24"/>
          <w:szCs w:val="24"/>
        </w:rPr>
        <w:t>.</w:t>
      </w:r>
    </w:p>
    <w:p w:rsidR="00FE05C5" w:rsidRDefault="00FE05C5" w:rsidP="00D507EA">
      <w:pPr>
        <w:spacing w:line="480" w:lineRule="auto"/>
        <w:rPr>
          <w:sz w:val="24"/>
          <w:szCs w:val="24"/>
        </w:rPr>
      </w:pPr>
    </w:p>
    <w:p w:rsidR="00DA481A" w:rsidRPr="000F531F" w:rsidRDefault="000D27B7" w:rsidP="00D507EA">
      <w:pPr>
        <w:spacing w:line="480" w:lineRule="auto"/>
        <w:rPr>
          <w:sz w:val="24"/>
          <w:szCs w:val="24"/>
        </w:rPr>
      </w:pPr>
      <w:r w:rsidRPr="000F531F">
        <w:rPr>
          <w:sz w:val="24"/>
          <w:szCs w:val="24"/>
        </w:rPr>
        <w:t>The HCPC’s</w:t>
      </w:r>
      <w:r w:rsidR="00DA481A" w:rsidRPr="000F531F">
        <w:rPr>
          <w:sz w:val="24"/>
          <w:szCs w:val="24"/>
        </w:rPr>
        <w:t xml:space="preserve"> main f</w:t>
      </w:r>
      <w:r w:rsidRPr="000F531F">
        <w:rPr>
          <w:sz w:val="24"/>
          <w:szCs w:val="24"/>
        </w:rPr>
        <w:t>unction is to protect the public. I</w:t>
      </w:r>
      <w:r w:rsidR="00F34541">
        <w:rPr>
          <w:sz w:val="24"/>
          <w:szCs w:val="24"/>
        </w:rPr>
        <w:t xml:space="preserve">n its own words, it states: </w:t>
      </w:r>
      <w:r w:rsidR="00DA481A" w:rsidRPr="000F531F">
        <w:rPr>
          <w:sz w:val="24"/>
          <w:szCs w:val="24"/>
        </w:rPr>
        <w:t xml:space="preserve"> </w:t>
      </w:r>
    </w:p>
    <w:p w:rsidR="00C5321F" w:rsidRDefault="00FE05C5" w:rsidP="00F34541">
      <w:pPr>
        <w:spacing w:line="240" w:lineRule="auto"/>
        <w:ind w:left="567"/>
        <w:rPr>
          <w:rFonts w:cs="HelveticaNeue-Light"/>
          <w:sz w:val="24"/>
          <w:szCs w:val="24"/>
        </w:rPr>
      </w:pPr>
      <w:r>
        <w:rPr>
          <w:sz w:val="24"/>
          <w:szCs w:val="24"/>
        </w:rPr>
        <w:t>…</w:t>
      </w:r>
      <w:r w:rsidR="00C5321F">
        <w:rPr>
          <w:sz w:val="24"/>
          <w:szCs w:val="24"/>
        </w:rPr>
        <w:t xml:space="preserve"> </w:t>
      </w:r>
      <w:r w:rsidR="00DA481A" w:rsidRPr="000F531F">
        <w:rPr>
          <w:sz w:val="24"/>
          <w:szCs w:val="24"/>
        </w:rPr>
        <w:t xml:space="preserve">we set </w:t>
      </w:r>
      <w:r w:rsidR="00DA481A" w:rsidRPr="000F531F">
        <w:rPr>
          <w:rFonts w:cs="HelveticaNeue-Light"/>
          <w:sz w:val="24"/>
          <w:szCs w:val="24"/>
        </w:rPr>
        <w:t>standards for the education and training, professional skills, conduct,</w:t>
      </w:r>
      <w:r w:rsidR="00DA481A" w:rsidRPr="000F531F">
        <w:rPr>
          <w:sz w:val="24"/>
          <w:szCs w:val="24"/>
        </w:rPr>
        <w:t xml:space="preserve"> </w:t>
      </w:r>
      <w:r w:rsidR="00DA481A" w:rsidRPr="000F531F">
        <w:rPr>
          <w:rFonts w:cs="HelveticaNeue-Light"/>
          <w:sz w:val="24"/>
          <w:szCs w:val="24"/>
        </w:rPr>
        <w:t>performance, ethics and health of registrants (the professionals who are on</w:t>
      </w:r>
      <w:r w:rsidR="00DA481A" w:rsidRPr="000F531F">
        <w:rPr>
          <w:sz w:val="24"/>
          <w:szCs w:val="24"/>
        </w:rPr>
        <w:t xml:space="preserve"> </w:t>
      </w:r>
      <w:r w:rsidR="00DA481A" w:rsidRPr="000F531F">
        <w:rPr>
          <w:rFonts w:cs="HelveticaNeue-Light"/>
          <w:sz w:val="24"/>
          <w:szCs w:val="24"/>
        </w:rPr>
        <w:t>our Register); keep a register of professio</w:t>
      </w:r>
      <w:r w:rsidR="000D27B7" w:rsidRPr="000F531F">
        <w:rPr>
          <w:rFonts w:cs="HelveticaNeue-Light"/>
          <w:sz w:val="24"/>
          <w:szCs w:val="24"/>
        </w:rPr>
        <w:t>nals who meet those standards; approve</w:t>
      </w:r>
      <w:r w:rsidR="00DA481A" w:rsidRPr="000F531F">
        <w:rPr>
          <w:rFonts w:cs="HelveticaNeue-Light"/>
          <w:sz w:val="24"/>
          <w:szCs w:val="24"/>
        </w:rPr>
        <w:t xml:space="preserve"> programmes which professionals must complete before they can apply for registration with us; and take action when professionals on our Reg</w:t>
      </w:r>
      <w:r w:rsidR="00C5321F">
        <w:rPr>
          <w:rFonts w:cs="HelveticaNeue-Light"/>
          <w:sz w:val="24"/>
          <w:szCs w:val="24"/>
        </w:rPr>
        <w:t>ister do not meet our standards</w:t>
      </w:r>
      <w:r w:rsidR="00DA481A" w:rsidRPr="000F531F">
        <w:rPr>
          <w:rFonts w:cs="HelveticaNeue-Light"/>
          <w:sz w:val="24"/>
          <w:szCs w:val="24"/>
        </w:rPr>
        <w:t xml:space="preserve">. </w:t>
      </w:r>
      <w:r w:rsidR="00C5321F">
        <w:rPr>
          <w:rFonts w:cs="HelveticaNeue-Light"/>
          <w:sz w:val="24"/>
          <w:szCs w:val="24"/>
        </w:rPr>
        <w:t xml:space="preserve"> </w:t>
      </w:r>
    </w:p>
    <w:p w:rsidR="00DA481A" w:rsidRPr="000F531F" w:rsidRDefault="00DA481A" w:rsidP="00C5321F">
      <w:pPr>
        <w:spacing w:line="240" w:lineRule="auto"/>
        <w:ind w:left="567"/>
        <w:jc w:val="right"/>
        <w:rPr>
          <w:rFonts w:cs="HelveticaNeue-Light"/>
          <w:sz w:val="24"/>
          <w:szCs w:val="24"/>
        </w:rPr>
      </w:pPr>
      <w:r w:rsidRPr="000F531F">
        <w:rPr>
          <w:rFonts w:cs="HelveticaNeue-Light"/>
          <w:sz w:val="24"/>
          <w:szCs w:val="24"/>
        </w:rPr>
        <w:t>(HCPC, 2013, p.5)</w:t>
      </w:r>
    </w:p>
    <w:p w:rsidR="00056395" w:rsidRDefault="00056395" w:rsidP="00FE05C5">
      <w:pPr>
        <w:spacing w:after="120" w:line="480" w:lineRule="auto"/>
        <w:ind w:left="-96"/>
        <w:contextualSpacing/>
        <w:rPr>
          <w:sz w:val="24"/>
          <w:szCs w:val="24"/>
        </w:rPr>
      </w:pPr>
    </w:p>
    <w:p w:rsidR="00FE05C5" w:rsidRDefault="00F34541" w:rsidP="00FE05C5">
      <w:pPr>
        <w:spacing w:after="120" w:line="480" w:lineRule="auto"/>
        <w:ind w:left="-96"/>
        <w:contextualSpacing/>
        <w:rPr>
          <w:sz w:val="24"/>
          <w:szCs w:val="24"/>
        </w:rPr>
      </w:pPr>
      <w:r>
        <w:rPr>
          <w:sz w:val="24"/>
          <w:szCs w:val="24"/>
        </w:rPr>
        <w:t>Therefore, i</w:t>
      </w:r>
      <w:r w:rsidR="000D27B7" w:rsidRPr="000F531F">
        <w:rPr>
          <w:sz w:val="24"/>
          <w:szCs w:val="24"/>
        </w:rPr>
        <w:t>f a registered professional fails to meet the required professional standa</w:t>
      </w:r>
      <w:r w:rsidR="0046778A">
        <w:rPr>
          <w:sz w:val="24"/>
          <w:szCs w:val="24"/>
        </w:rPr>
        <w:t xml:space="preserve">rd they </w:t>
      </w:r>
      <w:r w:rsidR="00FE05C5">
        <w:rPr>
          <w:sz w:val="24"/>
          <w:szCs w:val="24"/>
        </w:rPr>
        <w:t>c</w:t>
      </w:r>
      <w:r w:rsidR="00AE1C33" w:rsidRPr="000F531F">
        <w:rPr>
          <w:sz w:val="24"/>
          <w:szCs w:val="24"/>
        </w:rPr>
        <w:t>an be called before a</w:t>
      </w:r>
      <w:r w:rsidR="000D27B7" w:rsidRPr="000F531F">
        <w:rPr>
          <w:sz w:val="24"/>
          <w:szCs w:val="24"/>
        </w:rPr>
        <w:t xml:space="preserve"> ‘</w:t>
      </w:r>
      <w:r w:rsidR="00E753F6" w:rsidRPr="000F531F">
        <w:rPr>
          <w:sz w:val="24"/>
          <w:szCs w:val="24"/>
        </w:rPr>
        <w:t>Fitness to Practis</w:t>
      </w:r>
      <w:r>
        <w:rPr>
          <w:sz w:val="24"/>
          <w:szCs w:val="24"/>
        </w:rPr>
        <w:t>e’ hearing where</w:t>
      </w:r>
      <w:r w:rsidR="000D27B7" w:rsidRPr="000F531F">
        <w:rPr>
          <w:sz w:val="24"/>
          <w:szCs w:val="24"/>
        </w:rPr>
        <w:t xml:space="preserve"> the ultimate sanction could </w:t>
      </w:r>
      <w:r>
        <w:rPr>
          <w:sz w:val="24"/>
          <w:szCs w:val="24"/>
        </w:rPr>
        <w:t>be that</w:t>
      </w:r>
      <w:r w:rsidR="00A06536">
        <w:rPr>
          <w:sz w:val="24"/>
          <w:szCs w:val="24"/>
        </w:rPr>
        <w:t xml:space="preserve"> </w:t>
      </w:r>
      <w:r w:rsidR="000D27B7" w:rsidRPr="000F531F">
        <w:rPr>
          <w:sz w:val="24"/>
          <w:szCs w:val="24"/>
        </w:rPr>
        <w:t xml:space="preserve">the registrant’s professional registration </w:t>
      </w:r>
      <w:r>
        <w:rPr>
          <w:sz w:val="24"/>
          <w:szCs w:val="24"/>
        </w:rPr>
        <w:t xml:space="preserve">is </w:t>
      </w:r>
      <w:r w:rsidR="000D27B7" w:rsidRPr="000F531F">
        <w:rPr>
          <w:sz w:val="24"/>
          <w:szCs w:val="24"/>
        </w:rPr>
        <w:t>removed.</w:t>
      </w:r>
      <w:r w:rsidR="0000727C" w:rsidRPr="000F531F">
        <w:rPr>
          <w:sz w:val="24"/>
          <w:szCs w:val="24"/>
        </w:rPr>
        <w:t xml:space="preserve"> This is especially pertinent given t</w:t>
      </w:r>
      <w:r w:rsidR="000D27B7" w:rsidRPr="000F531F">
        <w:rPr>
          <w:sz w:val="24"/>
          <w:szCs w:val="24"/>
        </w:rPr>
        <w:t>hat all the professions listed ab</w:t>
      </w:r>
      <w:r w:rsidR="00DE7F4C" w:rsidRPr="000F531F">
        <w:rPr>
          <w:sz w:val="24"/>
          <w:szCs w:val="24"/>
        </w:rPr>
        <w:t>ove have ‘protection of title’, meaning</w:t>
      </w:r>
      <w:r w:rsidR="00AE1C33" w:rsidRPr="000F531F">
        <w:rPr>
          <w:sz w:val="24"/>
          <w:szCs w:val="24"/>
        </w:rPr>
        <w:t xml:space="preserve"> that</w:t>
      </w:r>
      <w:r w:rsidR="000D27B7" w:rsidRPr="000F531F">
        <w:rPr>
          <w:sz w:val="24"/>
          <w:szCs w:val="24"/>
        </w:rPr>
        <w:t xml:space="preserve"> only those</w:t>
      </w:r>
      <w:r w:rsidR="00D368FE" w:rsidRPr="000F531F">
        <w:rPr>
          <w:sz w:val="24"/>
          <w:szCs w:val="24"/>
        </w:rPr>
        <w:t xml:space="preserve"> on the HCPC’s </w:t>
      </w:r>
      <w:r w:rsidR="00FE05C5">
        <w:rPr>
          <w:sz w:val="24"/>
          <w:szCs w:val="24"/>
        </w:rPr>
        <w:t>r</w:t>
      </w:r>
      <w:r w:rsidR="00AE1C33" w:rsidRPr="000F531F">
        <w:rPr>
          <w:sz w:val="24"/>
          <w:szCs w:val="24"/>
        </w:rPr>
        <w:t xml:space="preserve">egister </w:t>
      </w:r>
      <w:r w:rsidR="000D27B7" w:rsidRPr="000F531F">
        <w:rPr>
          <w:sz w:val="24"/>
          <w:szCs w:val="24"/>
        </w:rPr>
        <w:t>can call themselves by their</w:t>
      </w:r>
      <w:r w:rsidR="00D368FE" w:rsidRPr="000F531F">
        <w:rPr>
          <w:sz w:val="24"/>
          <w:szCs w:val="24"/>
        </w:rPr>
        <w:t xml:space="preserve"> respective professional title. </w:t>
      </w:r>
      <w:r w:rsidR="0000727C" w:rsidRPr="000F531F">
        <w:rPr>
          <w:sz w:val="24"/>
          <w:szCs w:val="24"/>
        </w:rPr>
        <w:t xml:space="preserve"> </w:t>
      </w:r>
      <w:r w:rsidR="0068790B">
        <w:rPr>
          <w:sz w:val="24"/>
          <w:szCs w:val="24"/>
        </w:rPr>
        <w:t xml:space="preserve">Thus, </w:t>
      </w:r>
      <w:r w:rsidR="0000727C" w:rsidRPr="000F531F">
        <w:rPr>
          <w:sz w:val="24"/>
          <w:szCs w:val="24"/>
        </w:rPr>
        <w:t>in terms of social</w:t>
      </w:r>
      <w:r w:rsidR="00A06536">
        <w:rPr>
          <w:sz w:val="24"/>
          <w:szCs w:val="24"/>
        </w:rPr>
        <w:t xml:space="preserve"> </w:t>
      </w:r>
      <w:r w:rsidR="0000727C" w:rsidRPr="000F531F">
        <w:rPr>
          <w:sz w:val="24"/>
          <w:szCs w:val="24"/>
        </w:rPr>
        <w:t xml:space="preserve">work, anyone </w:t>
      </w:r>
      <w:r w:rsidR="000D27B7" w:rsidRPr="000F531F">
        <w:rPr>
          <w:sz w:val="24"/>
          <w:szCs w:val="24"/>
        </w:rPr>
        <w:t>struck off can no longer pract</w:t>
      </w:r>
      <w:r w:rsidR="0000727C" w:rsidRPr="000F531F">
        <w:rPr>
          <w:sz w:val="24"/>
          <w:szCs w:val="24"/>
        </w:rPr>
        <w:t>ic</w:t>
      </w:r>
      <w:r w:rsidR="00AE1C33" w:rsidRPr="000F531F">
        <w:rPr>
          <w:sz w:val="24"/>
          <w:szCs w:val="24"/>
        </w:rPr>
        <w:t>e as, or even call themselves</w:t>
      </w:r>
      <w:r w:rsidR="000D27B7" w:rsidRPr="000F531F">
        <w:rPr>
          <w:sz w:val="24"/>
          <w:szCs w:val="24"/>
        </w:rPr>
        <w:t xml:space="preserve"> by their erstwh</w:t>
      </w:r>
      <w:r w:rsidR="0000727C" w:rsidRPr="000F531F">
        <w:rPr>
          <w:sz w:val="24"/>
          <w:szCs w:val="24"/>
        </w:rPr>
        <w:t>ile</w:t>
      </w:r>
      <w:r w:rsidR="00A06536">
        <w:rPr>
          <w:sz w:val="24"/>
          <w:szCs w:val="24"/>
        </w:rPr>
        <w:t xml:space="preserve"> </w:t>
      </w:r>
      <w:r w:rsidR="0000727C" w:rsidRPr="000F531F">
        <w:rPr>
          <w:sz w:val="24"/>
          <w:szCs w:val="24"/>
        </w:rPr>
        <w:t>specialist professional title</w:t>
      </w:r>
      <w:r>
        <w:rPr>
          <w:sz w:val="24"/>
          <w:szCs w:val="24"/>
        </w:rPr>
        <w:t xml:space="preserve"> of social worker</w:t>
      </w:r>
      <w:r w:rsidR="000D27B7" w:rsidRPr="000F531F">
        <w:rPr>
          <w:sz w:val="24"/>
          <w:szCs w:val="24"/>
        </w:rPr>
        <w:t>.</w:t>
      </w:r>
      <w:r w:rsidR="00D04FE3" w:rsidRPr="000F531F">
        <w:rPr>
          <w:sz w:val="24"/>
          <w:szCs w:val="24"/>
        </w:rPr>
        <w:t xml:space="preserve"> </w:t>
      </w:r>
      <w:r w:rsidR="00AE1C33" w:rsidRPr="000F531F">
        <w:rPr>
          <w:sz w:val="24"/>
          <w:szCs w:val="24"/>
        </w:rPr>
        <w:t xml:space="preserve">In determining </w:t>
      </w:r>
      <w:r w:rsidR="00E753F6" w:rsidRPr="000F531F">
        <w:rPr>
          <w:sz w:val="24"/>
          <w:szCs w:val="24"/>
        </w:rPr>
        <w:t>fitness to practis</w:t>
      </w:r>
      <w:r w:rsidR="003D00AC" w:rsidRPr="000F531F">
        <w:rPr>
          <w:sz w:val="24"/>
          <w:szCs w:val="24"/>
        </w:rPr>
        <w:t xml:space="preserve">e </w:t>
      </w:r>
      <w:r w:rsidR="00E118B7" w:rsidRPr="000F531F">
        <w:rPr>
          <w:sz w:val="24"/>
          <w:szCs w:val="24"/>
        </w:rPr>
        <w:t>the HCPC, as</w:t>
      </w:r>
      <w:r w:rsidR="00A06536">
        <w:rPr>
          <w:sz w:val="24"/>
          <w:szCs w:val="24"/>
        </w:rPr>
        <w:t xml:space="preserve"> </w:t>
      </w:r>
      <w:r w:rsidR="00E118B7" w:rsidRPr="000F531F">
        <w:rPr>
          <w:sz w:val="24"/>
          <w:szCs w:val="24"/>
        </w:rPr>
        <w:t>did the GSCC</w:t>
      </w:r>
      <w:r w:rsidR="00DE7F4C" w:rsidRPr="000F531F">
        <w:rPr>
          <w:sz w:val="24"/>
          <w:szCs w:val="24"/>
        </w:rPr>
        <w:t xml:space="preserve"> before it</w:t>
      </w:r>
      <w:r w:rsidR="00E118B7" w:rsidRPr="000F531F">
        <w:rPr>
          <w:sz w:val="24"/>
          <w:szCs w:val="24"/>
        </w:rPr>
        <w:t xml:space="preserve">, uses </w:t>
      </w:r>
      <w:r w:rsidR="00DA481A" w:rsidRPr="000F531F">
        <w:rPr>
          <w:sz w:val="24"/>
          <w:szCs w:val="24"/>
        </w:rPr>
        <w:t>the civil standard of proof when determining the outcome of its</w:t>
      </w:r>
      <w:r w:rsidR="00A06536">
        <w:rPr>
          <w:sz w:val="24"/>
          <w:szCs w:val="24"/>
        </w:rPr>
        <w:t xml:space="preserve"> </w:t>
      </w:r>
      <w:r w:rsidR="00DA481A" w:rsidRPr="000F531F">
        <w:rPr>
          <w:sz w:val="24"/>
          <w:szCs w:val="24"/>
        </w:rPr>
        <w:t>conduct hearings</w:t>
      </w:r>
      <w:r>
        <w:rPr>
          <w:sz w:val="24"/>
          <w:szCs w:val="24"/>
        </w:rPr>
        <w:t>. T</w:t>
      </w:r>
      <w:r w:rsidR="00DE7F4C" w:rsidRPr="000F531F">
        <w:rPr>
          <w:sz w:val="24"/>
          <w:szCs w:val="24"/>
        </w:rPr>
        <w:t>he decision</w:t>
      </w:r>
      <w:r w:rsidR="0000727C" w:rsidRPr="000F531F">
        <w:rPr>
          <w:sz w:val="24"/>
          <w:szCs w:val="24"/>
        </w:rPr>
        <w:t>, therefore, rests</w:t>
      </w:r>
      <w:r w:rsidR="00B66B62">
        <w:rPr>
          <w:sz w:val="24"/>
          <w:szCs w:val="24"/>
        </w:rPr>
        <w:t xml:space="preserve"> on the </w:t>
      </w:r>
      <w:r w:rsidR="00D04FE3" w:rsidRPr="00B66B62">
        <w:rPr>
          <w:i/>
          <w:sz w:val="24"/>
          <w:szCs w:val="24"/>
        </w:rPr>
        <w:t>balance of probabilities</w:t>
      </w:r>
      <w:r w:rsidR="00D04FE3" w:rsidRPr="000F531F">
        <w:rPr>
          <w:sz w:val="24"/>
          <w:szCs w:val="24"/>
        </w:rPr>
        <w:t xml:space="preserve"> rather than the higher cr</w:t>
      </w:r>
      <w:r w:rsidR="00B66B62">
        <w:rPr>
          <w:sz w:val="24"/>
          <w:szCs w:val="24"/>
        </w:rPr>
        <w:t xml:space="preserve">iminal proceedings standard of </w:t>
      </w:r>
      <w:r w:rsidR="00B66B62" w:rsidRPr="00B66B62">
        <w:rPr>
          <w:i/>
          <w:sz w:val="24"/>
          <w:szCs w:val="24"/>
        </w:rPr>
        <w:t>beyond reasonable doubt</w:t>
      </w:r>
      <w:r w:rsidR="00B66B62">
        <w:rPr>
          <w:sz w:val="24"/>
          <w:szCs w:val="24"/>
        </w:rPr>
        <w:t xml:space="preserve"> (HCPC, 2012)</w:t>
      </w:r>
      <w:r w:rsidR="00FE05C5">
        <w:rPr>
          <w:sz w:val="24"/>
          <w:szCs w:val="24"/>
        </w:rPr>
        <w:t>.</w:t>
      </w:r>
    </w:p>
    <w:p w:rsidR="00FE05C5" w:rsidRDefault="00FE05C5" w:rsidP="00FE05C5">
      <w:pPr>
        <w:spacing w:after="120" w:line="480" w:lineRule="auto"/>
        <w:ind w:left="-96"/>
        <w:contextualSpacing/>
        <w:rPr>
          <w:sz w:val="24"/>
          <w:szCs w:val="24"/>
        </w:rPr>
      </w:pPr>
    </w:p>
    <w:p w:rsidR="00E118B7" w:rsidRPr="000F531F" w:rsidRDefault="00D04FE3" w:rsidP="00FE05C5">
      <w:pPr>
        <w:spacing w:after="120" w:line="480" w:lineRule="auto"/>
        <w:ind w:left="-96"/>
        <w:contextualSpacing/>
        <w:rPr>
          <w:sz w:val="24"/>
          <w:szCs w:val="24"/>
        </w:rPr>
      </w:pPr>
      <w:r w:rsidRPr="000F531F">
        <w:rPr>
          <w:sz w:val="24"/>
          <w:szCs w:val="24"/>
        </w:rPr>
        <w:lastRenderedPageBreak/>
        <w:t xml:space="preserve">In addition to </w:t>
      </w:r>
      <w:r w:rsidR="00AB51C9" w:rsidRPr="000F531F">
        <w:rPr>
          <w:sz w:val="24"/>
          <w:szCs w:val="24"/>
        </w:rPr>
        <w:t xml:space="preserve">the </w:t>
      </w:r>
      <w:r w:rsidR="005E6F13" w:rsidRPr="000F531F">
        <w:rPr>
          <w:sz w:val="24"/>
          <w:szCs w:val="24"/>
        </w:rPr>
        <w:t xml:space="preserve">HCPC </w:t>
      </w:r>
      <w:r w:rsidRPr="000F531F">
        <w:rPr>
          <w:sz w:val="24"/>
          <w:szCs w:val="24"/>
        </w:rPr>
        <w:t>the</w:t>
      </w:r>
      <w:r w:rsidR="005E6F13" w:rsidRPr="000F531F">
        <w:rPr>
          <w:sz w:val="24"/>
          <w:szCs w:val="24"/>
        </w:rPr>
        <w:t>re are similar regulatory bodies such as the</w:t>
      </w:r>
      <w:r w:rsidRPr="000F531F">
        <w:rPr>
          <w:sz w:val="24"/>
          <w:szCs w:val="24"/>
        </w:rPr>
        <w:t xml:space="preserve"> General Medical Council</w:t>
      </w:r>
      <w:r w:rsidR="005E6F13" w:rsidRPr="000F531F">
        <w:rPr>
          <w:sz w:val="24"/>
          <w:szCs w:val="24"/>
        </w:rPr>
        <w:t xml:space="preserve"> </w:t>
      </w:r>
      <w:r w:rsidRPr="000F531F">
        <w:rPr>
          <w:sz w:val="24"/>
          <w:szCs w:val="24"/>
        </w:rPr>
        <w:t xml:space="preserve">, </w:t>
      </w:r>
      <w:r w:rsidR="00DE7F4C" w:rsidRPr="000F531F">
        <w:rPr>
          <w:sz w:val="24"/>
          <w:szCs w:val="24"/>
        </w:rPr>
        <w:t xml:space="preserve">General Dental Council, </w:t>
      </w:r>
      <w:r w:rsidRPr="000F531F">
        <w:rPr>
          <w:sz w:val="24"/>
          <w:szCs w:val="24"/>
        </w:rPr>
        <w:t xml:space="preserve">Nursing and Midwifery Council </w:t>
      </w:r>
      <w:r w:rsidR="005E6F13" w:rsidRPr="000F531F">
        <w:rPr>
          <w:sz w:val="24"/>
          <w:szCs w:val="24"/>
        </w:rPr>
        <w:t>and the Gen</w:t>
      </w:r>
      <w:r w:rsidR="00F34541">
        <w:rPr>
          <w:sz w:val="24"/>
          <w:szCs w:val="24"/>
        </w:rPr>
        <w:t>eral Pharmaceutical Council all of which</w:t>
      </w:r>
      <w:r w:rsidR="005E6F13" w:rsidRPr="000F531F">
        <w:rPr>
          <w:sz w:val="24"/>
          <w:szCs w:val="24"/>
        </w:rPr>
        <w:t xml:space="preserve"> regulate the standards and conduct of doctors,</w:t>
      </w:r>
      <w:r w:rsidR="00DE7F4C" w:rsidRPr="000F531F">
        <w:rPr>
          <w:sz w:val="24"/>
          <w:szCs w:val="24"/>
        </w:rPr>
        <w:t xml:space="preserve"> dentists, nurses, midwifes</w:t>
      </w:r>
      <w:r w:rsidR="005E6F13" w:rsidRPr="000F531F">
        <w:rPr>
          <w:sz w:val="24"/>
          <w:szCs w:val="24"/>
        </w:rPr>
        <w:t xml:space="preserve"> and pharmacists respectively. </w:t>
      </w:r>
      <w:r w:rsidR="00AC6DC7" w:rsidRPr="000F531F">
        <w:rPr>
          <w:sz w:val="24"/>
          <w:szCs w:val="24"/>
        </w:rPr>
        <w:t xml:space="preserve">This is somewhat contradictory in that </w:t>
      </w:r>
      <w:r w:rsidR="00DE7F4C" w:rsidRPr="000F531F">
        <w:rPr>
          <w:sz w:val="24"/>
          <w:szCs w:val="24"/>
        </w:rPr>
        <w:t xml:space="preserve">professional </w:t>
      </w:r>
      <w:r w:rsidR="00AC6DC7" w:rsidRPr="000F531F">
        <w:rPr>
          <w:sz w:val="24"/>
          <w:szCs w:val="24"/>
        </w:rPr>
        <w:t xml:space="preserve">self-regulation </w:t>
      </w:r>
      <w:r w:rsidR="00DE7F4C" w:rsidRPr="000F531F">
        <w:rPr>
          <w:sz w:val="24"/>
          <w:szCs w:val="24"/>
        </w:rPr>
        <w:t xml:space="preserve">and autonomy were once seen as </w:t>
      </w:r>
      <w:r w:rsidR="00AC6DC7" w:rsidRPr="000F531F">
        <w:rPr>
          <w:sz w:val="24"/>
          <w:szCs w:val="24"/>
        </w:rPr>
        <w:t>indica</w:t>
      </w:r>
      <w:r w:rsidR="005E6F13" w:rsidRPr="000F531F">
        <w:rPr>
          <w:sz w:val="24"/>
          <w:szCs w:val="24"/>
        </w:rPr>
        <w:t>tor</w:t>
      </w:r>
      <w:r w:rsidR="00DE7F4C" w:rsidRPr="000F531F">
        <w:rPr>
          <w:sz w:val="24"/>
          <w:szCs w:val="24"/>
        </w:rPr>
        <w:t>s</w:t>
      </w:r>
      <w:r w:rsidR="005E6F13" w:rsidRPr="000F531F">
        <w:rPr>
          <w:sz w:val="24"/>
          <w:szCs w:val="24"/>
        </w:rPr>
        <w:t xml:space="preserve"> of a profession’s standing</w:t>
      </w:r>
      <w:r w:rsidR="00C5321F">
        <w:rPr>
          <w:sz w:val="24"/>
          <w:szCs w:val="24"/>
        </w:rPr>
        <w:t xml:space="preserve"> (Haney, 2012).</w:t>
      </w:r>
      <w:r w:rsidR="005E6F13" w:rsidRPr="000F531F">
        <w:rPr>
          <w:sz w:val="24"/>
          <w:szCs w:val="24"/>
        </w:rPr>
        <w:t xml:space="preserve"> </w:t>
      </w:r>
      <w:r w:rsidR="00F34541">
        <w:rPr>
          <w:sz w:val="24"/>
          <w:szCs w:val="24"/>
        </w:rPr>
        <w:t>Over recent years there has been</w:t>
      </w:r>
      <w:r w:rsidR="00AB51C9" w:rsidRPr="000F531F">
        <w:rPr>
          <w:sz w:val="24"/>
          <w:szCs w:val="24"/>
        </w:rPr>
        <w:t xml:space="preserve"> comparatively</w:t>
      </w:r>
      <w:r w:rsidR="005E6F13" w:rsidRPr="000F531F">
        <w:rPr>
          <w:sz w:val="24"/>
          <w:szCs w:val="24"/>
        </w:rPr>
        <w:t xml:space="preserve"> little criticism of the external regulation of the professio</w:t>
      </w:r>
      <w:r w:rsidR="00A06536">
        <w:rPr>
          <w:sz w:val="24"/>
          <w:szCs w:val="24"/>
        </w:rPr>
        <w:t>ns. H</w:t>
      </w:r>
      <w:r w:rsidR="00F34541">
        <w:rPr>
          <w:sz w:val="24"/>
          <w:szCs w:val="24"/>
        </w:rPr>
        <w:t>owever</w:t>
      </w:r>
      <w:r w:rsidR="00A06536">
        <w:rPr>
          <w:sz w:val="24"/>
          <w:szCs w:val="24"/>
        </w:rPr>
        <w:t>,</w:t>
      </w:r>
      <w:r w:rsidR="005E6F13" w:rsidRPr="000F531F">
        <w:rPr>
          <w:sz w:val="24"/>
          <w:szCs w:val="24"/>
        </w:rPr>
        <w:t xml:space="preserve"> from a historical perspective such consensus is</w:t>
      </w:r>
      <w:r w:rsidR="00DE7F4C" w:rsidRPr="000F531F">
        <w:rPr>
          <w:sz w:val="24"/>
          <w:szCs w:val="24"/>
        </w:rPr>
        <w:t xml:space="preserve"> a</w:t>
      </w:r>
      <w:r w:rsidR="00F34541">
        <w:rPr>
          <w:sz w:val="24"/>
          <w:szCs w:val="24"/>
        </w:rPr>
        <w:t xml:space="preserve"> rel</w:t>
      </w:r>
      <w:r w:rsidR="0046778A">
        <w:rPr>
          <w:sz w:val="24"/>
          <w:szCs w:val="24"/>
        </w:rPr>
        <w:t>atively recent phenomenon. I</w:t>
      </w:r>
      <w:r w:rsidR="00DE7F4C" w:rsidRPr="000F531F">
        <w:rPr>
          <w:sz w:val="24"/>
          <w:szCs w:val="24"/>
        </w:rPr>
        <w:t>n the past</w:t>
      </w:r>
      <w:r w:rsidR="00F34541">
        <w:rPr>
          <w:sz w:val="24"/>
          <w:szCs w:val="24"/>
        </w:rPr>
        <w:t>, the concept of external regulation has provoked</w:t>
      </w:r>
      <w:r w:rsidR="00DE7F4C" w:rsidRPr="000F531F">
        <w:rPr>
          <w:sz w:val="24"/>
          <w:szCs w:val="24"/>
        </w:rPr>
        <w:t xml:space="preserve"> </w:t>
      </w:r>
      <w:r w:rsidR="005B2980" w:rsidRPr="000F531F">
        <w:rPr>
          <w:sz w:val="24"/>
          <w:szCs w:val="24"/>
        </w:rPr>
        <w:t xml:space="preserve">much debate and disagreement </w:t>
      </w:r>
      <w:r w:rsidR="0046778A">
        <w:rPr>
          <w:sz w:val="24"/>
          <w:szCs w:val="24"/>
        </w:rPr>
        <w:t>amongst</w:t>
      </w:r>
      <w:r w:rsidR="00F34541">
        <w:rPr>
          <w:sz w:val="24"/>
          <w:szCs w:val="24"/>
        </w:rPr>
        <w:t xml:space="preserve"> professional bodies, mainly because of the </w:t>
      </w:r>
      <w:r w:rsidR="00DE7F4C" w:rsidRPr="000F531F">
        <w:rPr>
          <w:sz w:val="24"/>
          <w:szCs w:val="24"/>
        </w:rPr>
        <w:t>concomitant</w:t>
      </w:r>
      <w:r w:rsidR="005B2980" w:rsidRPr="000F531F">
        <w:rPr>
          <w:sz w:val="24"/>
          <w:szCs w:val="24"/>
        </w:rPr>
        <w:t xml:space="preserve"> prospect of the loss of </w:t>
      </w:r>
      <w:r w:rsidR="005B2980" w:rsidRPr="00F34541">
        <w:rPr>
          <w:sz w:val="24"/>
          <w:szCs w:val="24"/>
        </w:rPr>
        <w:t>autonomy</w:t>
      </w:r>
      <w:r w:rsidR="00A06536">
        <w:rPr>
          <w:sz w:val="24"/>
          <w:szCs w:val="24"/>
        </w:rPr>
        <w:t xml:space="preserve"> by</w:t>
      </w:r>
      <w:r w:rsidR="00F34541" w:rsidRPr="00F34541">
        <w:rPr>
          <w:sz w:val="24"/>
          <w:szCs w:val="24"/>
        </w:rPr>
        <w:t xml:space="preserve"> </w:t>
      </w:r>
      <w:r w:rsidR="00CA6CF9">
        <w:rPr>
          <w:sz w:val="24"/>
          <w:szCs w:val="24"/>
        </w:rPr>
        <w:t xml:space="preserve">which professions were </w:t>
      </w:r>
      <w:r w:rsidR="00F34541" w:rsidRPr="00F34541">
        <w:rPr>
          <w:sz w:val="24"/>
          <w:szCs w:val="24"/>
        </w:rPr>
        <w:t>able to</w:t>
      </w:r>
      <w:r w:rsidR="003F379C" w:rsidRPr="00F34541">
        <w:rPr>
          <w:sz w:val="24"/>
          <w:szCs w:val="24"/>
        </w:rPr>
        <w:t xml:space="preserve"> regulate themselves</w:t>
      </w:r>
      <w:r w:rsidR="005B2980" w:rsidRPr="00F34541">
        <w:rPr>
          <w:sz w:val="24"/>
          <w:szCs w:val="24"/>
        </w:rPr>
        <w:t>.</w:t>
      </w:r>
      <w:r w:rsidR="005B2980" w:rsidRPr="000F531F">
        <w:rPr>
          <w:sz w:val="24"/>
          <w:szCs w:val="24"/>
        </w:rPr>
        <w:t xml:space="preserve"> </w:t>
      </w:r>
    </w:p>
    <w:p w:rsidR="00CA6CF9" w:rsidRDefault="00CA6CF9" w:rsidP="00D507EA">
      <w:pPr>
        <w:spacing w:line="480" w:lineRule="auto"/>
        <w:rPr>
          <w:sz w:val="24"/>
          <w:szCs w:val="24"/>
        </w:rPr>
      </w:pPr>
    </w:p>
    <w:p w:rsidR="00D368FE" w:rsidRPr="00E66B16" w:rsidRDefault="00372A38" w:rsidP="00D507EA">
      <w:pPr>
        <w:spacing w:line="480" w:lineRule="auto"/>
        <w:rPr>
          <w:sz w:val="24"/>
          <w:szCs w:val="24"/>
        </w:rPr>
      </w:pPr>
      <w:r>
        <w:rPr>
          <w:sz w:val="24"/>
          <w:szCs w:val="24"/>
        </w:rPr>
        <w:t>This paper</w:t>
      </w:r>
      <w:r w:rsidR="005B2980" w:rsidRPr="000F531F">
        <w:rPr>
          <w:sz w:val="24"/>
          <w:szCs w:val="24"/>
        </w:rPr>
        <w:t xml:space="preserve"> detail</w:t>
      </w:r>
      <w:r>
        <w:rPr>
          <w:sz w:val="24"/>
          <w:szCs w:val="24"/>
        </w:rPr>
        <w:t>s</w:t>
      </w:r>
      <w:r w:rsidR="005B2980" w:rsidRPr="000F531F">
        <w:rPr>
          <w:sz w:val="24"/>
          <w:szCs w:val="24"/>
        </w:rPr>
        <w:t xml:space="preserve"> the growth of professional regulation with particular focus on the HPC, GSCC and their replacement by the HCPC</w:t>
      </w:r>
      <w:r w:rsidR="00F34541">
        <w:rPr>
          <w:sz w:val="24"/>
          <w:szCs w:val="24"/>
        </w:rPr>
        <w:t xml:space="preserve"> in order to analyse the way in which social work, as a profession, has coped with and responded to the various forms of regulation </w:t>
      </w:r>
      <w:r w:rsidR="00A06536">
        <w:rPr>
          <w:sz w:val="24"/>
          <w:szCs w:val="24"/>
        </w:rPr>
        <w:t>to which it has been subject</w:t>
      </w:r>
      <w:r w:rsidR="00E66B16">
        <w:rPr>
          <w:sz w:val="24"/>
          <w:szCs w:val="24"/>
        </w:rPr>
        <w:t xml:space="preserve"> in England</w:t>
      </w:r>
      <w:r w:rsidR="005B2980" w:rsidRPr="000F531F">
        <w:rPr>
          <w:sz w:val="24"/>
          <w:szCs w:val="24"/>
        </w:rPr>
        <w:t xml:space="preserve">. First, we briefly detail the rise of </w:t>
      </w:r>
      <w:r w:rsidR="00AB51C9" w:rsidRPr="000F531F">
        <w:rPr>
          <w:sz w:val="24"/>
          <w:szCs w:val="24"/>
        </w:rPr>
        <w:t>externa</w:t>
      </w:r>
      <w:r w:rsidR="006D6311">
        <w:rPr>
          <w:sz w:val="24"/>
          <w:szCs w:val="24"/>
        </w:rPr>
        <w:t xml:space="preserve">l regulation of the professions, </w:t>
      </w:r>
      <w:r w:rsidR="005B2980" w:rsidRPr="000F531F">
        <w:rPr>
          <w:sz w:val="24"/>
          <w:szCs w:val="24"/>
        </w:rPr>
        <w:t xml:space="preserve">discuss the rationale for </w:t>
      </w:r>
      <w:r w:rsidR="0046778A">
        <w:rPr>
          <w:sz w:val="24"/>
          <w:szCs w:val="24"/>
        </w:rPr>
        <w:t xml:space="preserve">this </w:t>
      </w:r>
      <w:r w:rsidR="005B2980" w:rsidRPr="000F531F">
        <w:rPr>
          <w:sz w:val="24"/>
          <w:szCs w:val="24"/>
        </w:rPr>
        <w:t xml:space="preserve">and some of the criticisms that such a development attracted. Second, we </w:t>
      </w:r>
      <w:r w:rsidR="00AB51C9" w:rsidRPr="000F531F">
        <w:rPr>
          <w:sz w:val="24"/>
          <w:szCs w:val="24"/>
        </w:rPr>
        <w:t>take a closer look at</w:t>
      </w:r>
      <w:r w:rsidR="005B2980" w:rsidRPr="000F531F">
        <w:rPr>
          <w:sz w:val="24"/>
          <w:szCs w:val="24"/>
        </w:rPr>
        <w:t xml:space="preserve"> developm</w:t>
      </w:r>
      <w:r w:rsidR="00AB51C9" w:rsidRPr="000F531F">
        <w:rPr>
          <w:sz w:val="24"/>
          <w:szCs w:val="24"/>
        </w:rPr>
        <w:t>ents within social work and of the operation of the GSCC’s</w:t>
      </w:r>
      <w:r w:rsidR="005B2980" w:rsidRPr="000F531F">
        <w:rPr>
          <w:sz w:val="24"/>
          <w:szCs w:val="24"/>
        </w:rPr>
        <w:t xml:space="preserve"> conduct proceedings from its inception until its</w:t>
      </w:r>
      <w:r w:rsidR="0046778A">
        <w:rPr>
          <w:sz w:val="24"/>
          <w:szCs w:val="24"/>
        </w:rPr>
        <w:t xml:space="preserve"> dissolution in 2012. Third, we </w:t>
      </w:r>
      <w:r w:rsidR="005B2980" w:rsidRPr="000F531F">
        <w:rPr>
          <w:sz w:val="24"/>
          <w:szCs w:val="24"/>
        </w:rPr>
        <w:t>focus on the HCPC and consider how it has begun its regulation of social workers</w:t>
      </w:r>
      <w:r w:rsidR="004F5914" w:rsidRPr="000F531F">
        <w:rPr>
          <w:sz w:val="24"/>
          <w:szCs w:val="24"/>
        </w:rPr>
        <w:t xml:space="preserve"> since it took on this resp</w:t>
      </w:r>
      <w:r w:rsidR="0046778A">
        <w:rPr>
          <w:sz w:val="24"/>
          <w:szCs w:val="24"/>
        </w:rPr>
        <w:t xml:space="preserve">onsibility from August 2012. We </w:t>
      </w:r>
      <w:r w:rsidR="004F5914" w:rsidRPr="000F531F">
        <w:rPr>
          <w:sz w:val="24"/>
          <w:szCs w:val="24"/>
        </w:rPr>
        <w:t xml:space="preserve">conclude by outlining some </w:t>
      </w:r>
      <w:r w:rsidR="00DD5483">
        <w:rPr>
          <w:sz w:val="24"/>
          <w:szCs w:val="24"/>
        </w:rPr>
        <w:t xml:space="preserve">of the </w:t>
      </w:r>
      <w:r w:rsidR="004F5914" w:rsidRPr="000F531F">
        <w:rPr>
          <w:sz w:val="24"/>
          <w:szCs w:val="24"/>
        </w:rPr>
        <w:t xml:space="preserve">concerns we have </w:t>
      </w:r>
      <w:r w:rsidR="00DD5483">
        <w:rPr>
          <w:sz w:val="24"/>
          <w:szCs w:val="24"/>
        </w:rPr>
        <w:t>as well as discussing reasons as</w:t>
      </w:r>
      <w:r w:rsidR="00CA6CF9">
        <w:rPr>
          <w:sz w:val="24"/>
          <w:szCs w:val="24"/>
        </w:rPr>
        <w:t xml:space="preserve"> to why we feel further exploration</w:t>
      </w:r>
      <w:r w:rsidR="00DD5483">
        <w:rPr>
          <w:sz w:val="24"/>
          <w:szCs w:val="24"/>
        </w:rPr>
        <w:t xml:space="preserve"> into</w:t>
      </w:r>
      <w:r w:rsidR="00CA6CF9">
        <w:rPr>
          <w:sz w:val="24"/>
          <w:szCs w:val="24"/>
        </w:rPr>
        <w:t xml:space="preserve"> this area needs to be carried out</w:t>
      </w:r>
      <w:r w:rsidR="00DD5483">
        <w:rPr>
          <w:sz w:val="24"/>
          <w:szCs w:val="24"/>
        </w:rPr>
        <w:t xml:space="preserve">. </w:t>
      </w:r>
      <w:r w:rsidR="00E66B16" w:rsidRPr="00E66B16">
        <w:t>Whilst this paper focuses on England it is important to note that similar processes are occurri</w:t>
      </w:r>
      <w:r w:rsidR="00E66B16">
        <w:t xml:space="preserve">ng elsewhere in Europe, </w:t>
      </w:r>
      <w:r w:rsidR="00E66B16" w:rsidRPr="00E66B16">
        <w:t xml:space="preserve">for </w:t>
      </w:r>
      <w:r w:rsidR="00E66B16">
        <w:t>example, see Barracco</w:t>
      </w:r>
      <w:r w:rsidR="00E66B16" w:rsidRPr="00E66B16">
        <w:t xml:space="preserve"> </w:t>
      </w:r>
      <w:r w:rsidR="00E66B16">
        <w:t>(</w:t>
      </w:r>
      <w:r w:rsidR="00E66B16" w:rsidRPr="00E66B16">
        <w:t>2008</w:t>
      </w:r>
      <w:r w:rsidR="00E66B16">
        <w:t>) and De Bellis</w:t>
      </w:r>
      <w:r w:rsidR="00E66B16" w:rsidRPr="00E66B16">
        <w:t xml:space="preserve"> </w:t>
      </w:r>
      <w:r w:rsidR="00E66B16">
        <w:t>(</w:t>
      </w:r>
      <w:r w:rsidR="00E66B16" w:rsidRPr="00E66B16">
        <w:t>2009</w:t>
      </w:r>
      <w:r w:rsidR="00E66B16">
        <w:t>)</w:t>
      </w:r>
      <w:r w:rsidR="00E66B16" w:rsidRPr="00E66B16">
        <w:t xml:space="preserve"> for developments in</w:t>
      </w:r>
      <w:r w:rsidR="00E66B16">
        <w:t xml:space="preserve"> Italy and Germany respectively</w:t>
      </w:r>
      <w:r w:rsidR="00E66B16" w:rsidRPr="00E66B16">
        <w:t>.</w:t>
      </w:r>
    </w:p>
    <w:p w:rsidR="00056395" w:rsidRDefault="00056395" w:rsidP="00D507EA">
      <w:pPr>
        <w:spacing w:line="480" w:lineRule="auto"/>
        <w:rPr>
          <w:sz w:val="24"/>
          <w:szCs w:val="24"/>
          <w:u w:val="single"/>
        </w:rPr>
      </w:pPr>
    </w:p>
    <w:p w:rsidR="004E055D" w:rsidRPr="000F531F" w:rsidRDefault="001E111A" w:rsidP="00D507EA">
      <w:pPr>
        <w:spacing w:line="480" w:lineRule="auto"/>
        <w:rPr>
          <w:sz w:val="24"/>
          <w:szCs w:val="24"/>
        </w:rPr>
      </w:pPr>
      <w:r>
        <w:rPr>
          <w:sz w:val="24"/>
          <w:szCs w:val="24"/>
          <w:u w:val="single"/>
        </w:rPr>
        <w:t>The Early History of Professional Regulation</w:t>
      </w:r>
    </w:p>
    <w:p w:rsidR="00CA6CF9" w:rsidRDefault="00363C92" w:rsidP="00D507EA">
      <w:pPr>
        <w:spacing w:line="480" w:lineRule="auto"/>
        <w:rPr>
          <w:sz w:val="24"/>
          <w:szCs w:val="24"/>
        </w:rPr>
      </w:pPr>
      <w:r>
        <w:rPr>
          <w:sz w:val="24"/>
          <w:szCs w:val="24"/>
        </w:rPr>
        <w:t xml:space="preserve">The twentieth century </w:t>
      </w:r>
      <w:r w:rsidR="00980BB7" w:rsidRPr="000F531F">
        <w:rPr>
          <w:sz w:val="24"/>
          <w:szCs w:val="24"/>
        </w:rPr>
        <w:t xml:space="preserve">witnessed a growth in occupations seeking to become professions. </w:t>
      </w:r>
      <w:r w:rsidR="00DD5483">
        <w:rPr>
          <w:sz w:val="24"/>
          <w:szCs w:val="24"/>
        </w:rPr>
        <w:t>Yet whilst occupations sought to be recognised for their expertise</w:t>
      </w:r>
      <w:r w:rsidR="0046778A">
        <w:rPr>
          <w:sz w:val="24"/>
          <w:szCs w:val="24"/>
        </w:rPr>
        <w:t>,</w:t>
      </w:r>
      <w:r w:rsidR="00CA6CF9">
        <w:rPr>
          <w:sz w:val="24"/>
          <w:szCs w:val="24"/>
        </w:rPr>
        <w:t xml:space="preserve"> </w:t>
      </w:r>
      <w:r w:rsidR="0068790B">
        <w:rPr>
          <w:sz w:val="24"/>
          <w:szCs w:val="24"/>
        </w:rPr>
        <w:t>authors such as</w:t>
      </w:r>
      <w:r w:rsidR="0046778A">
        <w:rPr>
          <w:sz w:val="24"/>
          <w:szCs w:val="24"/>
        </w:rPr>
        <w:t xml:space="preserve"> </w:t>
      </w:r>
      <w:r w:rsidR="00A03B92">
        <w:rPr>
          <w:sz w:val="24"/>
          <w:szCs w:val="24"/>
        </w:rPr>
        <w:t>Schön (2001</w:t>
      </w:r>
      <w:r w:rsidR="00980BB7" w:rsidRPr="00DD5483">
        <w:rPr>
          <w:sz w:val="24"/>
          <w:szCs w:val="24"/>
        </w:rPr>
        <w:t xml:space="preserve">) noted </w:t>
      </w:r>
      <w:r w:rsidR="00CA6CF9">
        <w:rPr>
          <w:sz w:val="24"/>
          <w:szCs w:val="24"/>
        </w:rPr>
        <w:t xml:space="preserve">that at the same time there was a </w:t>
      </w:r>
      <w:r w:rsidR="00980BB7" w:rsidRPr="00DD5483">
        <w:rPr>
          <w:sz w:val="24"/>
          <w:szCs w:val="24"/>
        </w:rPr>
        <w:t>parallel increase in the questioning of pr</w:t>
      </w:r>
      <w:r w:rsidR="00CA6CF9">
        <w:rPr>
          <w:sz w:val="24"/>
          <w:szCs w:val="24"/>
        </w:rPr>
        <w:t>ofessional rights and freedoms. There was also a call</w:t>
      </w:r>
      <w:r w:rsidR="00DD5483" w:rsidRPr="00DD5483">
        <w:rPr>
          <w:sz w:val="24"/>
          <w:szCs w:val="24"/>
        </w:rPr>
        <w:t xml:space="preserve"> for them to be </w:t>
      </w:r>
      <w:r w:rsidR="00980BB7" w:rsidRPr="00DD5483">
        <w:rPr>
          <w:sz w:val="24"/>
          <w:szCs w:val="24"/>
        </w:rPr>
        <w:t>licence</w:t>
      </w:r>
      <w:r w:rsidR="00DD5483" w:rsidRPr="00DD5483">
        <w:rPr>
          <w:sz w:val="24"/>
          <w:szCs w:val="24"/>
        </w:rPr>
        <w:t>d</w:t>
      </w:r>
      <w:r w:rsidR="00980BB7" w:rsidRPr="00DD5483">
        <w:rPr>
          <w:sz w:val="24"/>
          <w:szCs w:val="24"/>
        </w:rPr>
        <w:t xml:space="preserve"> to prac</w:t>
      </w:r>
      <w:r w:rsidR="00CA6CF9">
        <w:rPr>
          <w:sz w:val="24"/>
          <w:szCs w:val="24"/>
        </w:rPr>
        <w:t>tis</w:t>
      </w:r>
      <w:r w:rsidR="00DD5483" w:rsidRPr="00DD5483">
        <w:rPr>
          <w:sz w:val="24"/>
          <w:szCs w:val="24"/>
        </w:rPr>
        <w:t xml:space="preserve">e and a </w:t>
      </w:r>
      <w:r w:rsidR="00CA6CF9">
        <w:rPr>
          <w:sz w:val="24"/>
          <w:szCs w:val="24"/>
        </w:rPr>
        <w:t xml:space="preserve">demand for a </w:t>
      </w:r>
      <w:r w:rsidR="00980BB7" w:rsidRPr="00DD5483">
        <w:rPr>
          <w:sz w:val="24"/>
          <w:szCs w:val="24"/>
        </w:rPr>
        <w:t xml:space="preserve">mandate </w:t>
      </w:r>
      <w:r w:rsidR="00DD5483" w:rsidRPr="00DD5483">
        <w:rPr>
          <w:sz w:val="24"/>
          <w:szCs w:val="24"/>
        </w:rPr>
        <w:t xml:space="preserve">to be implemented </w:t>
      </w:r>
      <w:r w:rsidR="00CA6CF9">
        <w:rPr>
          <w:sz w:val="24"/>
          <w:szCs w:val="24"/>
        </w:rPr>
        <w:t xml:space="preserve">so that professions could be subjected to </w:t>
      </w:r>
      <w:r w:rsidR="00DD5483" w:rsidRPr="00DD5483">
        <w:rPr>
          <w:sz w:val="24"/>
          <w:szCs w:val="24"/>
        </w:rPr>
        <w:t xml:space="preserve">a </w:t>
      </w:r>
      <w:r w:rsidR="00980BB7" w:rsidRPr="00DD5483">
        <w:rPr>
          <w:sz w:val="24"/>
          <w:szCs w:val="24"/>
        </w:rPr>
        <w:t>for</w:t>
      </w:r>
      <w:r w:rsidR="00DD5483" w:rsidRPr="00DD5483">
        <w:rPr>
          <w:sz w:val="24"/>
          <w:szCs w:val="24"/>
        </w:rPr>
        <w:t>m of</w:t>
      </w:r>
      <w:r w:rsidR="00CA6CF9">
        <w:rPr>
          <w:sz w:val="24"/>
          <w:szCs w:val="24"/>
        </w:rPr>
        <w:t xml:space="preserve"> social control. Schön</w:t>
      </w:r>
      <w:r w:rsidR="00CA6CF9" w:rsidRPr="00CA6CF9">
        <w:rPr>
          <w:sz w:val="24"/>
          <w:szCs w:val="24"/>
        </w:rPr>
        <w:t xml:space="preserve"> </w:t>
      </w:r>
      <w:r w:rsidR="00CA6CF9">
        <w:rPr>
          <w:sz w:val="24"/>
          <w:szCs w:val="24"/>
        </w:rPr>
        <w:t xml:space="preserve">noticed that as </w:t>
      </w:r>
      <w:r w:rsidR="00DD5483">
        <w:rPr>
          <w:sz w:val="24"/>
          <w:szCs w:val="24"/>
        </w:rPr>
        <w:t>a</w:t>
      </w:r>
      <w:r w:rsidR="00980BB7" w:rsidRPr="00DD5483">
        <w:rPr>
          <w:sz w:val="24"/>
          <w:szCs w:val="24"/>
        </w:rPr>
        <w:t xml:space="preserve"> growing scepticism </w:t>
      </w:r>
      <w:r w:rsidR="00DD5483">
        <w:rPr>
          <w:sz w:val="24"/>
          <w:szCs w:val="24"/>
        </w:rPr>
        <w:t xml:space="preserve">developed </w:t>
      </w:r>
      <w:r w:rsidR="00CA6CF9">
        <w:rPr>
          <w:sz w:val="24"/>
          <w:szCs w:val="24"/>
        </w:rPr>
        <w:t xml:space="preserve">in relation to </w:t>
      </w:r>
      <w:r w:rsidR="00980BB7" w:rsidRPr="00DD5483">
        <w:rPr>
          <w:sz w:val="24"/>
          <w:szCs w:val="24"/>
        </w:rPr>
        <w:t>professionals</w:t>
      </w:r>
      <w:r w:rsidR="00BC7298">
        <w:rPr>
          <w:sz w:val="24"/>
          <w:szCs w:val="24"/>
        </w:rPr>
        <w:t>’</w:t>
      </w:r>
      <w:r w:rsidR="00980BB7" w:rsidRPr="00DD5483">
        <w:rPr>
          <w:sz w:val="24"/>
          <w:szCs w:val="24"/>
        </w:rPr>
        <w:t xml:space="preserve"> claim</w:t>
      </w:r>
      <w:r w:rsidR="00CA6CF9">
        <w:rPr>
          <w:sz w:val="24"/>
          <w:szCs w:val="24"/>
        </w:rPr>
        <w:t>s of having</w:t>
      </w:r>
      <w:r w:rsidR="00980BB7" w:rsidRPr="00DD5483">
        <w:rPr>
          <w:sz w:val="24"/>
          <w:szCs w:val="24"/>
        </w:rPr>
        <w:t xml:space="preserve"> </w:t>
      </w:r>
      <w:r w:rsidR="00DD5483">
        <w:rPr>
          <w:sz w:val="24"/>
          <w:szCs w:val="24"/>
        </w:rPr>
        <w:t xml:space="preserve">an </w:t>
      </w:r>
      <w:r w:rsidR="00CA6CF9">
        <w:rPr>
          <w:sz w:val="24"/>
          <w:szCs w:val="24"/>
        </w:rPr>
        <w:t>extra ordinary knowledge</w:t>
      </w:r>
      <w:r w:rsidR="001E111A">
        <w:rPr>
          <w:sz w:val="24"/>
          <w:szCs w:val="24"/>
        </w:rPr>
        <w:t xml:space="preserve"> base</w:t>
      </w:r>
      <w:r w:rsidR="006D6311">
        <w:rPr>
          <w:sz w:val="24"/>
          <w:szCs w:val="24"/>
        </w:rPr>
        <w:t>,</w:t>
      </w:r>
      <w:r w:rsidR="00980BB7" w:rsidRPr="00DD5483">
        <w:rPr>
          <w:sz w:val="24"/>
          <w:szCs w:val="24"/>
        </w:rPr>
        <w:t xml:space="preserve"> </w:t>
      </w:r>
      <w:r w:rsidR="00DD5483">
        <w:rPr>
          <w:sz w:val="24"/>
          <w:szCs w:val="24"/>
        </w:rPr>
        <w:t>so did the</w:t>
      </w:r>
      <w:r w:rsidR="00CA6CF9">
        <w:rPr>
          <w:sz w:val="24"/>
          <w:szCs w:val="24"/>
        </w:rPr>
        <w:t xml:space="preserve"> </w:t>
      </w:r>
      <w:r w:rsidR="00D368FE" w:rsidRPr="00DD5483">
        <w:rPr>
          <w:sz w:val="24"/>
          <w:szCs w:val="24"/>
        </w:rPr>
        <w:t>attempts to</w:t>
      </w:r>
      <w:r w:rsidR="00DD5483">
        <w:rPr>
          <w:sz w:val="24"/>
          <w:szCs w:val="24"/>
        </w:rPr>
        <w:t xml:space="preserve"> regulate the professions</w:t>
      </w:r>
      <w:r>
        <w:rPr>
          <w:sz w:val="24"/>
          <w:szCs w:val="24"/>
        </w:rPr>
        <w:t xml:space="preserve"> increase</w:t>
      </w:r>
      <w:r w:rsidR="001E111A">
        <w:rPr>
          <w:sz w:val="24"/>
          <w:szCs w:val="24"/>
        </w:rPr>
        <w:t>; although</w:t>
      </w:r>
      <w:r w:rsidR="00DD5483">
        <w:rPr>
          <w:sz w:val="24"/>
          <w:szCs w:val="24"/>
        </w:rPr>
        <w:t xml:space="preserve"> this initially </w:t>
      </w:r>
      <w:r w:rsidR="00D368FE" w:rsidRPr="00DD5483">
        <w:rPr>
          <w:sz w:val="24"/>
          <w:szCs w:val="24"/>
        </w:rPr>
        <w:t>tended to emanate from the professions themselves by way of self-regulation.</w:t>
      </w:r>
      <w:r w:rsidR="00D368FE" w:rsidRPr="000F531F">
        <w:rPr>
          <w:sz w:val="24"/>
          <w:szCs w:val="24"/>
        </w:rPr>
        <w:t xml:space="preserve"> </w:t>
      </w:r>
    </w:p>
    <w:p w:rsidR="00CA6CF9" w:rsidRDefault="00CA6CF9" w:rsidP="00D507EA">
      <w:pPr>
        <w:spacing w:line="480" w:lineRule="auto"/>
        <w:rPr>
          <w:sz w:val="24"/>
          <w:szCs w:val="24"/>
        </w:rPr>
      </w:pPr>
    </w:p>
    <w:p w:rsidR="00CA6CF9" w:rsidRDefault="001E111A" w:rsidP="00D507EA">
      <w:pPr>
        <w:spacing w:line="480" w:lineRule="auto"/>
        <w:rPr>
          <w:sz w:val="24"/>
          <w:szCs w:val="24"/>
        </w:rPr>
      </w:pPr>
      <w:r>
        <w:rPr>
          <w:sz w:val="24"/>
          <w:szCs w:val="24"/>
        </w:rPr>
        <w:t>O</w:t>
      </w:r>
      <w:r w:rsidR="004E055D" w:rsidRPr="000F531F">
        <w:rPr>
          <w:sz w:val="24"/>
          <w:szCs w:val="24"/>
        </w:rPr>
        <w:t>ne of the first attempts at setting up a self-regulatory body for social work with its own framew</w:t>
      </w:r>
      <w:r w:rsidR="00D368FE" w:rsidRPr="000F531F">
        <w:rPr>
          <w:sz w:val="24"/>
          <w:szCs w:val="24"/>
        </w:rPr>
        <w:t>ork of ethics was in</w:t>
      </w:r>
      <w:r w:rsidR="005F321C" w:rsidRPr="000F531F">
        <w:rPr>
          <w:sz w:val="24"/>
          <w:szCs w:val="24"/>
        </w:rPr>
        <w:t xml:space="preserve"> 1907 </w:t>
      </w:r>
      <w:r w:rsidR="004E055D" w:rsidRPr="000F531F">
        <w:rPr>
          <w:sz w:val="24"/>
          <w:szCs w:val="24"/>
        </w:rPr>
        <w:t>when the Institute of Hospital Almoners and the Association of Hospital Almoners devised a voluntary professional register</w:t>
      </w:r>
      <w:r w:rsidR="00C5321F">
        <w:rPr>
          <w:sz w:val="24"/>
          <w:szCs w:val="24"/>
        </w:rPr>
        <w:t>, partly</w:t>
      </w:r>
      <w:r w:rsidR="00DD5483">
        <w:rPr>
          <w:sz w:val="24"/>
          <w:szCs w:val="24"/>
        </w:rPr>
        <w:t xml:space="preserve"> </w:t>
      </w:r>
      <w:r w:rsidR="00C5321F">
        <w:rPr>
          <w:sz w:val="24"/>
          <w:szCs w:val="24"/>
        </w:rPr>
        <w:t xml:space="preserve">in an attempt </w:t>
      </w:r>
      <w:r w:rsidR="00C5321F" w:rsidRPr="00C5321F">
        <w:rPr>
          <w:sz w:val="24"/>
          <w:szCs w:val="24"/>
        </w:rPr>
        <w:t>to place social workers within a formal framework of ethics.</w:t>
      </w:r>
      <w:r w:rsidR="00363C92">
        <w:rPr>
          <w:sz w:val="24"/>
          <w:szCs w:val="24"/>
        </w:rPr>
        <w:t xml:space="preserve"> In 1954, t</w:t>
      </w:r>
      <w:r w:rsidR="004E055D" w:rsidRPr="000F531F">
        <w:rPr>
          <w:sz w:val="24"/>
          <w:szCs w:val="24"/>
        </w:rPr>
        <w:t>here was an unsuccessful attempt to set up a Gene</w:t>
      </w:r>
      <w:r>
        <w:rPr>
          <w:sz w:val="24"/>
          <w:szCs w:val="24"/>
        </w:rPr>
        <w:t xml:space="preserve">ral Social Work Council </w:t>
      </w:r>
      <w:r w:rsidR="004E055D" w:rsidRPr="000F531F">
        <w:rPr>
          <w:sz w:val="24"/>
          <w:szCs w:val="24"/>
        </w:rPr>
        <w:t>(Guy, 1994</w:t>
      </w:r>
      <w:r w:rsidR="00C5321F">
        <w:rPr>
          <w:sz w:val="24"/>
          <w:szCs w:val="24"/>
        </w:rPr>
        <w:t>).</w:t>
      </w:r>
      <w:r w:rsidR="00523BD3" w:rsidRPr="000F531F">
        <w:rPr>
          <w:sz w:val="24"/>
          <w:szCs w:val="24"/>
        </w:rPr>
        <w:t xml:space="preserve"> </w:t>
      </w:r>
      <w:r>
        <w:rPr>
          <w:sz w:val="24"/>
          <w:szCs w:val="24"/>
        </w:rPr>
        <w:t>However,</w:t>
      </w:r>
      <w:r w:rsidR="00363C92">
        <w:rPr>
          <w:sz w:val="24"/>
          <w:szCs w:val="24"/>
        </w:rPr>
        <w:t xml:space="preserve"> in 1961, t</w:t>
      </w:r>
      <w:r w:rsidR="00523BD3" w:rsidRPr="000F531F">
        <w:rPr>
          <w:sz w:val="24"/>
          <w:szCs w:val="24"/>
        </w:rPr>
        <w:t xml:space="preserve">he Association of Psychiatric Social Workers </w:t>
      </w:r>
      <w:r w:rsidR="00363C92">
        <w:rPr>
          <w:sz w:val="24"/>
          <w:szCs w:val="24"/>
        </w:rPr>
        <w:t xml:space="preserve">did </w:t>
      </w:r>
      <w:r w:rsidR="00523BD3" w:rsidRPr="000F531F">
        <w:rPr>
          <w:sz w:val="24"/>
          <w:szCs w:val="24"/>
        </w:rPr>
        <w:t>set up a process of registr</w:t>
      </w:r>
      <w:r w:rsidR="00363C92">
        <w:rPr>
          <w:sz w:val="24"/>
          <w:szCs w:val="24"/>
        </w:rPr>
        <w:t xml:space="preserve">ation for its graduates </w:t>
      </w:r>
      <w:r w:rsidR="00523BD3" w:rsidRPr="000F531F">
        <w:rPr>
          <w:sz w:val="24"/>
          <w:szCs w:val="24"/>
        </w:rPr>
        <w:t>(Malherbe, 1980)</w:t>
      </w:r>
      <w:r w:rsidR="00C5321F">
        <w:rPr>
          <w:sz w:val="24"/>
          <w:szCs w:val="24"/>
        </w:rPr>
        <w:t>.</w:t>
      </w:r>
      <w:r w:rsidR="004E055D" w:rsidRPr="000F531F">
        <w:rPr>
          <w:sz w:val="24"/>
          <w:szCs w:val="24"/>
        </w:rPr>
        <w:t xml:space="preserve"> </w:t>
      </w:r>
      <w:r w:rsidR="00523BD3" w:rsidRPr="000F531F">
        <w:rPr>
          <w:sz w:val="24"/>
          <w:szCs w:val="24"/>
        </w:rPr>
        <w:t>When the British Association of Social Workers was formed in 1970</w:t>
      </w:r>
      <w:r w:rsidR="00C5321F">
        <w:rPr>
          <w:sz w:val="24"/>
          <w:szCs w:val="24"/>
        </w:rPr>
        <w:t>, albeit as a voluntary membership rather than regulatory body,</w:t>
      </w:r>
      <w:r w:rsidR="00523BD3" w:rsidRPr="000F531F">
        <w:rPr>
          <w:sz w:val="24"/>
          <w:szCs w:val="24"/>
        </w:rPr>
        <w:t xml:space="preserve"> there were call</w:t>
      </w:r>
      <w:r w:rsidR="0041119C" w:rsidRPr="000F531F">
        <w:rPr>
          <w:sz w:val="24"/>
          <w:szCs w:val="24"/>
        </w:rPr>
        <w:t>s</w:t>
      </w:r>
      <w:r w:rsidR="00523BD3" w:rsidRPr="000F531F">
        <w:rPr>
          <w:sz w:val="24"/>
          <w:szCs w:val="24"/>
        </w:rPr>
        <w:t xml:space="preserve"> to restrict membership to those with appropriate qualifications</w:t>
      </w:r>
      <w:r>
        <w:rPr>
          <w:sz w:val="24"/>
          <w:szCs w:val="24"/>
        </w:rPr>
        <w:t>,</w:t>
      </w:r>
      <w:r w:rsidR="00363C92">
        <w:rPr>
          <w:sz w:val="24"/>
          <w:szCs w:val="24"/>
        </w:rPr>
        <w:t xml:space="preserve"> yet, interestingly,</w:t>
      </w:r>
      <w:r w:rsidR="00CA6CF9">
        <w:rPr>
          <w:sz w:val="24"/>
          <w:szCs w:val="24"/>
        </w:rPr>
        <w:t xml:space="preserve"> this was seen as elitist by certain opposing </w:t>
      </w:r>
      <w:r w:rsidR="00523BD3" w:rsidRPr="000F531F">
        <w:rPr>
          <w:sz w:val="24"/>
          <w:szCs w:val="24"/>
        </w:rPr>
        <w:t>radical</w:t>
      </w:r>
      <w:r w:rsidR="0041119C" w:rsidRPr="000F531F">
        <w:rPr>
          <w:sz w:val="24"/>
          <w:szCs w:val="24"/>
        </w:rPr>
        <w:t>s</w:t>
      </w:r>
      <w:r w:rsidR="00523BD3" w:rsidRPr="000F531F">
        <w:rPr>
          <w:sz w:val="24"/>
          <w:szCs w:val="24"/>
        </w:rPr>
        <w:t xml:space="preserve"> (Payne, 2002). </w:t>
      </w:r>
    </w:p>
    <w:p w:rsidR="004E055D" w:rsidRPr="000F531F" w:rsidRDefault="001E111A" w:rsidP="00D507EA">
      <w:pPr>
        <w:spacing w:line="480" w:lineRule="auto"/>
        <w:rPr>
          <w:sz w:val="24"/>
          <w:szCs w:val="24"/>
        </w:rPr>
      </w:pPr>
      <w:r>
        <w:rPr>
          <w:sz w:val="24"/>
          <w:szCs w:val="24"/>
        </w:rPr>
        <w:t>C</w:t>
      </w:r>
      <w:r w:rsidR="004E055D" w:rsidRPr="000F531F">
        <w:rPr>
          <w:sz w:val="24"/>
          <w:szCs w:val="24"/>
        </w:rPr>
        <w:t xml:space="preserve">alls for the setting up of </w:t>
      </w:r>
      <w:r w:rsidR="00D93816" w:rsidRPr="000F531F">
        <w:rPr>
          <w:sz w:val="24"/>
          <w:szCs w:val="24"/>
        </w:rPr>
        <w:t xml:space="preserve">a </w:t>
      </w:r>
      <w:r w:rsidR="00523BD3" w:rsidRPr="000F531F">
        <w:rPr>
          <w:sz w:val="24"/>
          <w:szCs w:val="24"/>
        </w:rPr>
        <w:t xml:space="preserve">Social Work </w:t>
      </w:r>
      <w:r w:rsidR="004E055D" w:rsidRPr="000F531F">
        <w:rPr>
          <w:sz w:val="24"/>
          <w:szCs w:val="24"/>
        </w:rPr>
        <w:t xml:space="preserve">Council that would regulate standards in professional training and practice continued </w:t>
      </w:r>
      <w:r w:rsidR="00D93816" w:rsidRPr="000F531F">
        <w:rPr>
          <w:sz w:val="24"/>
          <w:szCs w:val="24"/>
        </w:rPr>
        <w:t xml:space="preserve">during the 1970s </w:t>
      </w:r>
      <w:r w:rsidR="004E055D" w:rsidRPr="000F531F">
        <w:rPr>
          <w:sz w:val="24"/>
          <w:szCs w:val="24"/>
        </w:rPr>
        <w:t>and</w:t>
      </w:r>
      <w:r w:rsidR="0000727C" w:rsidRPr="000F531F">
        <w:rPr>
          <w:sz w:val="24"/>
          <w:szCs w:val="24"/>
        </w:rPr>
        <w:t xml:space="preserve">, in part, led to the government setting up </w:t>
      </w:r>
      <w:r w:rsidR="00CA6CF9">
        <w:rPr>
          <w:sz w:val="24"/>
          <w:szCs w:val="24"/>
        </w:rPr>
        <w:t>the Barclay Committee which</w:t>
      </w:r>
      <w:r w:rsidR="0000727C" w:rsidRPr="000F531F">
        <w:rPr>
          <w:sz w:val="24"/>
          <w:szCs w:val="24"/>
        </w:rPr>
        <w:t xml:space="preserve"> consider</w:t>
      </w:r>
      <w:r w:rsidR="00CA6CF9">
        <w:rPr>
          <w:sz w:val="24"/>
          <w:szCs w:val="24"/>
        </w:rPr>
        <w:t>ed</w:t>
      </w:r>
      <w:r w:rsidR="0000727C" w:rsidRPr="000F531F">
        <w:rPr>
          <w:sz w:val="24"/>
          <w:szCs w:val="24"/>
        </w:rPr>
        <w:t xml:space="preserve"> whether there was a need for an external body to regulate social workers. It </w:t>
      </w:r>
      <w:r w:rsidR="004E055D" w:rsidRPr="000F531F">
        <w:rPr>
          <w:sz w:val="24"/>
          <w:szCs w:val="24"/>
        </w:rPr>
        <w:t>noted that the main argument by those in favour of such a Council, such as the British Association of Social Workers, was on the grounds that it would help protect the public but nevertheless the Committee concluded that the idea was premature:</w:t>
      </w:r>
    </w:p>
    <w:p w:rsidR="00DF53A4" w:rsidRDefault="004E055D" w:rsidP="00CA6CF9">
      <w:pPr>
        <w:spacing w:line="240" w:lineRule="auto"/>
        <w:ind w:left="567"/>
        <w:rPr>
          <w:sz w:val="24"/>
          <w:szCs w:val="24"/>
        </w:rPr>
      </w:pPr>
      <w:r w:rsidRPr="000F531F">
        <w:rPr>
          <w:sz w:val="24"/>
          <w:szCs w:val="24"/>
        </w:rPr>
        <w:t>We are all agreed that the protection of the public re</w:t>
      </w:r>
      <w:r w:rsidR="00CA6CF9">
        <w:rPr>
          <w:sz w:val="24"/>
          <w:szCs w:val="24"/>
        </w:rPr>
        <w:t xml:space="preserve">mains the strongest argument in </w:t>
      </w:r>
      <w:r w:rsidRPr="000F531F">
        <w:rPr>
          <w:sz w:val="24"/>
          <w:szCs w:val="24"/>
        </w:rPr>
        <w:t>favour of an independent Council in any profession. It would be valid in social work if it could be shown that it was the most appropriate means available to achieve this end. The Working Party as a whole does not consider th</w:t>
      </w:r>
      <w:r w:rsidR="00DF53A4">
        <w:rPr>
          <w:sz w:val="24"/>
          <w:szCs w:val="24"/>
        </w:rPr>
        <w:t>is to be so at the present time.</w:t>
      </w:r>
      <w:r w:rsidRPr="000F531F">
        <w:rPr>
          <w:sz w:val="24"/>
          <w:szCs w:val="24"/>
        </w:rPr>
        <w:t xml:space="preserve"> </w:t>
      </w:r>
    </w:p>
    <w:p w:rsidR="004E055D" w:rsidRPr="000F531F" w:rsidRDefault="004E055D" w:rsidP="00CA6CF9">
      <w:pPr>
        <w:spacing w:line="240" w:lineRule="auto"/>
        <w:jc w:val="right"/>
        <w:rPr>
          <w:sz w:val="24"/>
          <w:szCs w:val="24"/>
        </w:rPr>
      </w:pPr>
      <w:r w:rsidRPr="000F531F">
        <w:rPr>
          <w:sz w:val="24"/>
          <w:szCs w:val="24"/>
        </w:rPr>
        <w:t>(Barclay Report, 1982, p.186).</w:t>
      </w:r>
    </w:p>
    <w:p w:rsidR="00CA6CF9" w:rsidRDefault="00CA6CF9" w:rsidP="00D507EA">
      <w:pPr>
        <w:spacing w:line="480" w:lineRule="auto"/>
        <w:rPr>
          <w:sz w:val="24"/>
          <w:szCs w:val="24"/>
        </w:rPr>
      </w:pPr>
    </w:p>
    <w:p w:rsidR="00980BB7" w:rsidRPr="00DD5483" w:rsidRDefault="00DD5483" w:rsidP="00D507EA">
      <w:pPr>
        <w:spacing w:line="480" w:lineRule="auto"/>
        <w:rPr>
          <w:sz w:val="24"/>
          <w:szCs w:val="24"/>
        </w:rPr>
      </w:pPr>
      <w:r>
        <w:rPr>
          <w:sz w:val="24"/>
          <w:szCs w:val="24"/>
        </w:rPr>
        <w:t>However, this</w:t>
      </w:r>
      <w:r w:rsidR="004E055D" w:rsidRPr="000F531F">
        <w:rPr>
          <w:sz w:val="24"/>
          <w:szCs w:val="24"/>
        </w:rPr>
        <w:t xml:space="preserve"> (non)</w:t>
      </w:r>
      <w:r w:rsidR="00CA6CF9">
        <w:rPr>
          <w:sz w:val="24"/>
          <w:szCs w:val="24"/>
        </w:rPr>
        <w:t xml:space="preserve"> </w:t>
      </w:r>
      <w:r w:rsidR="004E055D" w:rsidRPr="000F531F">
        <w:rPr>
          <w:sz w:val="24"/>
          <w:szCs w:val="24"/>
        </w:rPr>
        <w:t>recommendation did n</w:t>
      </w:r>
      <w:r>
        <w:rPr>
          <w:sz w:val="24"/>
          <w:szCs w:val="24"/>
        </w:rPr>
        <w:t>ot deter those in favour of a c</w:t>
      </w:r>
      <w:r w:rsidR="004E055D" w:rsidRPr="000F531F">
        <w:rPr>
          <w:sz w:val="24"/>
          <w:szCs w:val="24"/>
        </w:rPr>
        <w:t>ouncil from conti</w:t>
      </w:r>
      <w:r w:rsidR="00D93816" w:rsidRPr="000F531F">
        <w:rPr>
          <w:sz w:val="24"/>
          <w:szCs w:val="24"/>
        </w:rPr>
        <w:t>n</w:t>
      </w:r>
      <w:r w:rsidR="00CA6CF9">
        <w:rPr>
          <w:sz w:val="24"/>
          <w:szCs w:val="24"/>
        </w:rPr>
        <w:t>uing to express their desire to have</w:t>
      </w:r>
      <w:r w:rsidR="004E055D" w:rsidRPr="000F531F">
        <w:rPr>
          <w:sz w:val="24"/>
          <w:szCs w:val="24"/>
        </w:rPr>
        <w:t xml:space="preserve"> one </w:t>
      </w:r>
      <w:r w:rsidR="00CA6CF9">
        <w:rPr>
          <w:sz w:val="24"/>
          <w:szCs w:val="24"/>
        </w:rPr>
        <w:t xml:space="preserve">introduced </w:t>
      </w:r>
      <w:r w:rsidR="004E055D" w:rsidRPr="000F531F">
        <w:rPr>
          <w:sz w:val="24"/>
          <w:szCs w:val="24"/>
        </w:rPr>
        <w:t>throughout the 1980s (Parker, 1990)</w:t>
      </w:r>
      <w:r w:rsidR="00D93816" w:rsidRPr="000F531F">
        <w:rPr>
          <w:sz w:val="24"/>
          <w:szCs w:val="24"/>
        </w:rPr>
        <w:t>.</w:t>
      </w:r>
      <w:r>
        <w:rPr>
          <w:sz w:val="24"/>
          <w:szCs w:val="24"/>
        </w:rPr>
        <w:t xml:space="preserve"> </w:t>
      </w:r>
      <w:r w:rsidR="00D93816" w:rsidRPr="00DD5483">
        <w:rPr>
          <w:sz w:val="24"/>
          <w:szCs w:val="24"/>
        </w:rPr>
        <w:t>Whilst there may have been no independent regulatory council for the profession</w:t>
      </w:r>
      <w:r w:rsidR="001E111A">
        <w:rPr>
          <w:sz w:val="24"/>
          <w:szCs w:val="24"/>
        </w:rPr>
        <w:t xml:space="preserve"> </w:t>
      </w:r>
      <w:r w:rsidR="00D93816" w:rsidRPr="00DD5483">
        <w:rPr>
          <w:sz w:val="24"/>
          <w:szCs w:val="24"/>
        </w:rPr>
        <w:t>as a whole</w:t>
      </w:r>
      <w:r w:rsidR="00CA6CF9">
        <w:rPr>
          <w:sz w:val="24"/>
          <w:szCs w:val="24"/>
        </w:rPr>
        <w:t>,</w:t>
      </w:r>
      <w:r w:rsidR="0041119C" w:rsidRPr="00DD5483">
        <w:rPr>
          <w:sz w:val="24"/>
          <w:szCs w:val="24"/>
        </w:rPr>
        <w:t xml:space="preserve"> there was on</w:t>
      </w:r>
      <w:r w:rsidR="004969F1" w:rsidRPr="00DD5483">
        <w:rPr>
          <w:sz w:val="24"/>
          <w:szCs w:val="24"/>
        </w:rPr>
        <w:t xml:space="preserve">e </w:t>
      </w:r>
      <w:r w:rsidR="00CA6CF9">
        <w:rPr>
          <w:sz w:val="24"/>
          <w:szCs w:val="24"/>
        </w:rPr>
        <w:t xml:space="preserve">which was </w:t>
      </w:r>
      <w:r w:rsidR="004969F1" w:rsidRPr="00DD5483">
        <w:rPr>
          <w:sz w:val="24"/>
          <w:szCs w:val="24"/>
        </w:rPr>
        <w:t>concerned with the education and training of social workers. F</w:t>
      </w:r>
      <w:r w:rsidR="00980BB7" w:rsidRPr="00DD5483">
        <w:rPr>
          <w:sz w:val="24"/>
          <w:szCs w:val="24"/>
        </w:rPr>
        <w:t>rom 1971</w:t>
      </w:r>
      <w:r w:rsidR="00384605" w:rsidRPr="00DD5483">
        <w:rPr>
          <w:sz w:val="24"/>
          <w:szCs w:val="24"/>
        </w:rPr>
        <w:t xml:space="preserve"> to 2001 the Central Council for Education and Train</w:t>
      </w:r>
      <w:r w:rsidR="00BC7298">
        <w:rPr>
          <w:sz w:val="24"/>
          <w:szCs w:val="24"/>
        </w:rPr>
        <w:t xml:space="preserve">ing in Social Work (CCETSW) was </w:t>
      </w:r>
      <w:r w:rsidR="00384605" w:rsidRPr="00DD5483">
        <w:rPr>
          <w:sz w:val="24"/>
          <w:szCs w:val="24"/>
        </w:rPr>
        <w:t>the statutory body that oversaw the education and</w:t>
      </w:r>
      <w:r>
        <w:rPr>
          <w:sz w:val="24"/>
          <w:szCs w:val="24"/>
        </w:rPr>
        <w:t xml:space="preserve"> training of social workers. Its role was to approve educational providers, award</w:t>
      </w:r>
      <w:r w:rsidR="00384605" w:rsidRPr="00DD5483">
        <w:rPr>
          <w:sz w:val="24"/>
          <w:szCs w:val="24"/>
        </w:rPr>
        <w:t xml:space="preserve"> qualification certificates and</w:t>
      </w:r>
      <w:r w:rsidR="005D02DB">
        <w:rPr>
          <w:sz w:val="24"/>
          <w:szCs w:val="24"/>
        </w:rPr>
        <w:t xml:space="preserve">, </w:t>
      </w:r>
      <w:r w:rsidR="00CA6CF9">
        <w:rPr>
          <w:sz w:val="24"/>
          <w:szCs w:val="24"/>
        </w:rPr>
        <w:t xml:space="preserve">rather </w:t>
      </w:r>
      <w:r w:rsidR="005D02DB">
        <w:rPr>
          <w:sz w:val="24"/>
          <w:szCs w:val="24"/>
        </w:rPr>
        <w:t>significantly,</w:t>
      </w:r>
      <w:r w:rsidR="00384605" w:rsidRPr="00DD5483">
        <w:rPr>
          <w:sz w:val="24"/>
          <w:szCs w:val="24"/>
        </w:rPr>
        <w:t xml:space="preserve"> h</w:t>
      </w:r>
      <w:r>
        <w:rPr>
          <w:sz w:val="24"/>
          <w:szCs w:val="24"/>
        </w:rPr>
        <w:t>o</w:t>
      </w:r>
      <w:r w:rsidR="00384605" w:rsidRPr="00DD5483">
        <w:rPr>
          <w:sz w:val="24"/>
          <w:szCs w:val="24"/>
        </w:rPr>
        <w:t>ld a register of all qualified s</w:t>
      </w:r>
      <w:r>
        <w:rPr>
          <w:sz w:val="24"/>
          <w:szCs w:val="24"/>
        </w:rPr>
        <w:t>ocial workers</w:t>
      </w:r>
      <w:r w:rsidR="00AB2599" w:rsidRPr="00DD5483">
        <w:rPr>
          <w:sz w:val="24"/>
          <w:szCs w:val="24"/>
        </w:rPr>
        <w:t xml:space="preserve">. </w:t>
      </w:r>
    </w:p>
    <w:p w:rsidR="00056395" w:rsidRDefault="00056395" w:rsidP="00D507EA">
      <w:pPr>
        <w:spacing w:line="480" w:lineRule="auto"/>
        <w:rPr>
          <w:sz w:val="24"/>
          <w:szCs w:val="24"/>
        </w:rPr>
      </w:pPr>
    </w:p>
    <w:p w:rsidR="00980BB7" w:rsidRDefault="00DD5483" w:rsidP="00D507EA">
      <w:pPr>
        <w:spacing w:line="480" w:lineRule="auto"/>
        <w:rPr>
          <w:sz w:val="24"/>
          <w:szCs w:val="24"/>
        </w:rPr>
      </w:pPr>
      <w:r>
        <w:rPr>
          <w:sz w:val="24"/>
          <w:szCs w:val="24"/>
        </w:rPr>
        <w:t xml:space="preserve">The establishment of CCETSW brought together </w:t>
      </w:r>
      <w:r w:rsidR="00980BB7" w:rsidRPr="00DD5483">
        <w:rPr>
          <w:sz w:val="24"/>
          <w:szCs w:val="24"/>
        </w:rPr>
        <w:t>disparate training bodies</w:t>
      </w:r>
      <w:r>
        <w:rPr>
          <w:sz w:val="24"/>
          <w:szCs w:val="24"/>
        </w:rPr>
        <w:t>, oversaw the devolution of generic practice</w:t>
      </w:r>
      <w:r w:rsidR="00980BB7" w:rsidRPr="00DD5483">
        <w:rPr>
          <w:sz w:val="24"/>
          <w:szCs w:val="24"/>
        </w:rPr>
        <w:t xml:space="preserve"> and led to the introduction of </w:t>
      </w:r>
      <w:r w:rsidR="005D02DB">
        <w:rPr>
          <w:sz w:val="24"/>
          <w:szCs w:val="24"/>
        </w:rPr>
        <w:t xml:space="preserve">a </w:t>
      </w:r>
      <w:r w:rsidR="00980BB7" w:rsidRPr="00DD5483">
        <w:rPr>
          <w:sz w:val="24"/>
          <w:szCs w:val="24"/>
        </w:rPr>
        <w:t>two ye</w:t>
      </w:r>
      <w:r w:rsidR="005115FA">
        <w:rPr>
          <w:sz w:val="24"/>
          <w:szCs w:val="24"/>
        </w:rPr>
        <w:t xml:space="preserve">ar generic qualifying programme which enabled social workers to qualify with </w:t>
      </w:r>
      <w:r w:rsidR="00980BB7" w:rsidRPr="00DD5483">
        <w:rPr>
          <w:sz w:val="24"/>
          <w:szCs w:val="24"/>
        </w:rPr>
        <w:t>a Certificate of Qualification in Social Work (CQSW)</w:t>
      </w:r>
      <w:r w:rsidR="005115FA">
        <w:rPr>
          <w:sz w:val="24"/>
          <w:szCs w:val="24"/>
        </w:rPr>
        <w:t xml:space="preserve"> award</w:t>
      </w:r>
      <w:r w:rsidR="00980BB7" w:rsidRPr="00DD5483">
        <w:rPr>
          <w:sz w:val="24"/>
          <w:szCs w:val="24"/>
        </w:rPr>
        <w:t xml:space="preserve">. </w:t>
      </w:r>
      <w:r w:rsidR="005115FA">
        <w:rPr>
          <w:sz w:val="24"/>
          <w:szCs w:val="24"/>
        </w:rPr>
        <w:t>C</w:t>
      </w:r>
      <w:r w:rsidR="00980BB7" w:rsidRPr="00DD5483">
        <w:rPr>
          <w:sz w:val="24"/>
          <w:szCs w:val="24"/>
        </w:rPr>
        <w:t xml:space="preserve">alls </w:t>
      </w:r>
      <w:r w:rsidR="005115FA">
        <w:rPr>
          <w:sz w:val="24"/>
          <w:szCs w:val="24"/>
        </w:rPr>
        <w:t xml:space="preserve">for there to be a </w:t>
      </w:r>
      <w:r w:rsidR="00980BB7" w:rsidRPr="00DD5483">
        <w:rPr>
          <w:sz w:val="24"/>
          <w:szCs w:val="24"/>
        </w:rPr>
        <w:t xml:space="preserve">General Social Work Council </w:t>
      </w:r>
      <w:r w:rsidR="005115FA">
        <w:rPr>
          <w:sz w:val="24"/>
          <w:szCs w:val="24"/>
        </w:rPr>
        <w:t xml:space="preserve">throughout the 1970s persisted </w:t>
      </w:r>
      <w:r w:rsidR="00980BB7" w:rsidRPr="00DD5483">
        <w:rPr>
          <w:sz w:val="24"/>
          <w:szCs w:val="24"/>
        </w:rPr>
        <w:t xml:space="preserve">(Malherbe 1982), but it was </w:t>
      </w:r>
      <w:r w:rsidR="00CA6CF9">
        <w:rPr>
          <w:sz w:val="24"/>
          <w:szCs w:val="24"/>
        </w:rPr>
        <w:t xml:space="preserve">after </w:t>
      </w:r>
      <w:r w:rsidR="00980BB7" w:rsidRPr="00DD5483">
        <w:rPr>
          <w:sz w:val="24"/>
          <w:szCs w:val="24"/>
        </w:rPr>
        <w:t xml:space="preserve">the election of a new Labour Government in 1997 </w:t>
      </w:r>
      <w:r w:rsidR="00CA6CF9">
        <w:rPr>
          <w:sz w:val="24"/>
          <w:szCs w:val="24"/>
        </w:rPr>
        <w:t xml:space="preserve">and </w:t>
      </w:r>
      <w:r w:rsidR="005115FA">
        <w:rPr>
          <w:sz w:val="24"/>
          <w:szCs w:val="24"/>
        </w:rPr>
        <w:t>the implementation of the Care Standards Act (2000)</w:t>
      </w:r>
      <w:r w:rsidR="00CA6CF9">
        <w:rPr>
          <w:sz w:val="24"/>
          <w:szCs w:val="24"/>
        </w:rPr>
        <w:t xml:space="preserve"> </w:t>
      </w:r>
      <w:r w:rsidR="00CA6CF9" w:rsidRPr="00DD5483">
        <w:rPr>
          <w:sz w:val="24"/>
          <w:szCs w:val="24"/>
        </w:rPr>
        <w:t>that</w:t>
      </w:r>
      <w:r w:rsidR="00CA6CF9">
        <w:rPr>
          <w:sz w:val="24"/>
          <w:szCs w:val="24"/>
        </w:rPr>
        <w:t xml:space="preserve"> the </w:t>
      </w:r>
      <w:r w:rsidR="00CA6CF9" w:rsidRPr="00DD5483">
        <w:rPr>
          <w:sz w:val="24"/>
          <w:szCs w:val="24"/>
        </w:rPr>
        <w:t>General Social Care Council (GSCC)</w:t>
      </w:r>
      <w:r w:rsidR="00CA6CF9">
        <w:rPr>
          <w:sz w:val="24"/>
          <w:szCs w:val="24"/>
        </w:rPr>
        <w:t xml:space="preserve"> was established.</w:t>
      </w:r>
    </w:p>
    <w:p w:rsidR="00CA6CF9" w:rsidRPr="00DD5483" w:rsidRDefault="00CA6CF9" w:rsidP="00D507EA">
      <w:pPr>
        <w:spacing w:line="480" w:lineRule="auto"/>
        <w:rPr>
          <w:sz w:val="24"/>
          <w:szCs w:val="24"/>
        </w:rPr>
      </w:pPr>
    </w:p>
    <w:p w:rsidR="00363226" w:rsidRDefault="005115FA" w:rsidP="00D507EA">
      <w:pPr>
        <w:spacing w:line="480" w:lineRule="auto"/>
        <w:rPr>
          <w:sz w:val="24"/>
          <w:szCs w:val="24"/>
        </w:rPr>
      </w:pPr>
      <w:r>
        <w:rPr>
          <w:sz w:val="24"/>
          <w:szCs w:val="24"/>
        </w:rPr>
        <w:t xml:space="preserve">In 2001, </w:t>
      </w:r>
      <w:r w:rsidR="00AB2599" w:rsidRPr="000F531F">
        <w:rPr>
          <w:sz w:val="24"/>
          <w:szCs w:val="24"/>
        </w:rPr>
        <w:t xml:space="preserve">CCETSW was </w:t>
      </w:r>
      <w:r w:rsidR="00980BB7" w:rsidRPr="000F531F">
        <w:rPr>
          <w:sz w:val="24"/>
          <w:szCs w:val="24"/>
        </w:rPr>
        <w:t xml:space="preserve">subsequently </w:t>
      </w:r>
      <w:r>
        <w:rPr>
          <w:sz w:val="24"/>
          <w:szCs w:val="24"/>
        </w:rPr>
        <w:t>abolished</w:t>
      </w:r>
      <w:r w:rsidR="00AB2599" w:rsidRPr="000F531F">
        <w:rPr>
          <w:sz w:val="24"/>
          <w:szCs w:val="24"/>
        </w:rPr>
        <w:t xml:space="preserve"> and its functions </w:t>
      </w:r>
      <w:r>
        <w:rPr>
          <w:sz w:val="24"/>
          <w:szCs w:val="24"/>
        </w:rPr>
        <w:t xml:space="preserve">were </w:t>
      </w:r>
      <w:r w:rsidR="00AB2599" w:rsidRPr="000F531F">
        <w:rPr>
          <w:sz w:val="24"/>
          <w:szCs w:val="24"/>
        </w:rPr>
        <w:t>taken over by t</w:t>
      </w:r>
      <w:r w:rsidR="00765C39" w:rsidRPr="000F531F">
        <w:rPr>
          <w:sz w:val="24"/>
          <w:szCs w:val="24"/>
        </w:rPr>
        <w:t>he GSCC</w:t>
      </w:r>
      <w:r w:rsidR="00AB2599" w:rsidRPr="000F531F">
        <w:rPr>
          <w:sz w:val="24"/>
          <w:szCs w:val="24"/>
        </w:rPr>
        <w:t xml:space="preserve">. The key differences between CCETSW and the GSCC was that with the latter social workers had to formally </w:t>
      </w:r>
      <w:r w:rsidR="00AB2599" w:rsidRPr="00CA6CF9">
        <w:rPr>
          <w:i/>
          <w:sz w:val="24"/>
          <w:szCs w:val="24"/>
        </w:rPr>
        <w:t>apply</w:t>
      </w:r>
      <w:r w:rsidR="00AB2599" w:rsidRPr="000F531F">
        <w:rPr>
          <w:sz w:val="24"/>
          <w:szCs w:val="24"/>
        </w:rPr>
        <w:t xml:space="preserve"> to be registered, it was no longer </w:t>
      </w:r>
      <w:r>
        <w:rPr>
          <w:sz w:val="24"/>
          <w:szCs w:val="24"/>
        </w:rPr>
        <w:t xml:space="preserve">an </w:t>
      </w:r>
      <w:r w:rsidR="00AB2599" w:rsidRPr="000F531F">
        <w:rPr>
          <w:sz w:val="24"/>
          <w:szCs w:val="24"/>
        </w:rPr>
        <w:t xml:space="preserve">automatic </w:t>
      </w:r>
      <w:r>
        <w:rPr>
          <w:sz w:val="24"/>
          <w:szCs w:val="24"/>
        </w:rPr>
        <w:t xml:space="preserve">process </w:t>
      </w:r>
      <w:r w:rsidR="00CA6CF9">
        <w:rPr>
          <w:sz w:val="24"/>
          <w:szCs w:val="24"/>
        </w:rPr>
        <w:t xml:space="preserve">that one was registered </w:t>
      </w:r>
      <w:r w:rsidR="00AB2599" w:rsidRPr="000F531F">
        <w:rPr>
          <w:sz w:val="24"/>
          <w:szCs w:val="24"/>
        </w:rPr>
        <w:t>once</w:t>
      </w:r>
      <w:r w:rsidR="00B760B4">
        <w:rPr>
          <w:sz w:val="24"/>
          <w:szCs w:val="24"/>
        </w:rPr>
        <w:t xml:space="preserve"> they had</w:t>
      </w:r>
      <w:r w:rsidR="00AB2599" w:rsidRPr="000F531F">
        <w:rPr>
          <w:sz w:val="24"/>
          <w:szCs w:val="24"/>
        </w:rPr>
        <w:t xml:space="preserve"> qualified</w:t>
      </w:r>
      <w:r>
        <w:rPr>
          <w:sz w:val="24"/>
          <w:szCs w:val="24"/>
        </w:rPr>
        <w:t>. T</w:t>
      </w:r>
      <w:r w:rsidR="00AB2599" w:rsidRPr="000F531F">
        <w:rPr>
          <w:sz w:val="24"/>
          <w:szCs w:val="24"/>
        </w:rPr>
        <w:t>he GSCC</w:t>
      </w:r>
      <w:r>
        <w:rPr>
          <w:sz w:val="24"/>
          <w:szCs w:val="24"/>
        </w:rPr>
        <w:t xml:space="preserve"> was also given the responsibility </w:t>
      </w:r>
      <w:r w:rsidR="00AB2599" w:rsidRPr="000F531F">
        <w:rPr>
          <w:sz w:val="24"/>
          <w:szCs w:val="24"/>
        </w:rPr>
        <w:t xml:space="preserve">to refer </w:t>
      </w:r>
      <w:r w:rsidR="0041119C" w:rsidRPr="000F531F">
        <w:rPr>
          <w:sz w:val="24"/>
          <w:szCs w:val="24"/>
        </w:rPr>
        <w:t xml:space="preserve">alleged </w:t>
      </w:r>
      <w:r w:rsidR="00AB2599" w:rsidRPr="000F531F">
        <w:rPr>
          <w:sz w:val="24"/>
          <w:szCs w:val="24"/>
        </w:rPr>
        <w:t xml:space="preserve">cases of </w:t>
      </w:r>
      <w:r w:rsidR="0041119C" w:rsidRPr="000F531F">
        <w:rPr>
          <w:sz w:val="24"/>
          <w:szCs w:val="24"/>
        </w:rPr>
        <w:t>misc</w:t>
      </w:r>
      <w:r w:rsidR="00B760B4">
        <w:rPr>
          <w:sz w:val="24"/>
          <w:szCs w:val="24"/>
        </w:rPr>
        <w:t>onduct to a tribunal which then</w:t>
      </w:r>
      <w:r w:rsidR="00AB2599" w:rsidRPr="000F531F">
        <w:rPr>
          <w:sz w:val="24"/>
          <w:szCs w:val="24"/>
        </w:rPr>
        <w:t xml:space="preserve"> had the power to strike someone off the social care register</w:t>
      </w:r>
      <w:r w:rsidR="001E111A">
        <w:rPr>
          <w:sz w:val="24"/>
          <w:szCs w:val="24"/>
        </w:rPr>
        <w:t xml:space="preserve"> if the complaint</w:t>
      </w:r>
      <w:r>
        <w:rPr>
          <w:sz w:val="24"/>
          <w:szCs w:val="24"/>
        </w:rPr>
        <w:t xml:space="preserve"> was upheld</w:t>
      </w:r>
      <w:r w:rsidR="001E111A">
        <w:rPr>
          <w:sz w:val="24"/>
          <w:szCs w:val="24"/>
        </w:rPr>
        <w:t>. With</w:t>
      </w:r>
      <w:r w:rsidR="00B760B4">
        <w:rPr>
          <w:sz w:val="24"/>
          <w:szCs w:val="24"/>
        </w:rPr>
        <w:t xml:space="preserve"> </w:t>
      </w:r>
      <w:r w:rsidR="00AB2599" w:rsidRPr="000F531F">
        <w:rPr>
          <w:sz w:val="24"/>
          <w:szCs w:val="24"/>
        </w:rPr>
        <w:t>‘protection of title’ co</w:t>
      </w:r>
      <w:r>
        <w:rPr>
          <w:sz w:val="24"/>
          <w:szCs w:val="24"/>
        </w:rPr>
        <w:t xml:space="preserve">ming into force on 1 April 2005, it also meant that </w:t>
      </w:r>
      <w:r w:rsidR="00AB2599" w:rsidRPr="000F531F">
        <w:rPr>
          <w:sz w:val="24"/>
          <w:szCs w:val="24"/>
        </w:rPr>
        <w:t>only those on the GSCC’s</w:t>
      </w:r>
      <w:r w:rsidR="00B760B4">
        <w:rPr>
          <w:sz w:val="24"/>
          <w:szCs w:val="24"/>
        </w:rPr>
        <w:t xml:space="preserve"> register could now </w:t>
      </w:r>
      <w:r w:rsidR="004969F1" w:rsidRPr="000F531F">
        <w:rPr>
          <w:sz w:val="24"/>
          <w:szCs w:val="24"/>
        </w:rPr>
        <w:t xml:space="preserve">call themselves, </w:t>
      </w:r>
      <w:r w:rsidR="00B760B4">
        <w:rPr>
          <w:sz w:val="24"/>
          <w:szCs w:val="24"/>
        </w:rPr>
        <w:t xml:space="preserve">or legally work as, </w:t>
      </w:r>
      <w:r w:rsidR="004969F1" w:rsidRPr="000F531F">
        <w:rPr>
          <w:sz w:val="24"/>
          <w:szCs w:val="24"/>
        </w:rPr>
        <w:t>a</w:t>
      </w:r>
      <w:r w:rsidR="00AB2599" w:rsidRPr="000F531F">
        <w:rPr>
          <w:sz w:val="24"/>
          <w:szCs w:val="24"/>
        </w:rPr>
        <w:t xml:space="preserve"> social worker (McLaughlin, 2007).</w:t>
      </w:r>
      <w:r w:rsidR="00B760B4">
        <w:rPr>
          <w:sz w:val="24"/>
          <w:szCs w:val="24"/>
        </w:rPr>
        <w:t>The inauguration of thi</w:t>
      </w:r>
      <w:r w:rsidR="001E111A">
        <w:rPr>
          <w:sz w:val="24"/>
          <w:szCs w:val="24"/>
        </w:rPr>
        <w:t>s new regulatory body</w:t>
      </w:r>
      <w:r w:rsidR="00765C39" w:rsidRPr="000F531F">
        <w:rPr>
          <w:sz w:val="24"/>
          <w:szCs w:val="24"/>
        </w:rPr>
        <w:t xml:space="preserve"> marked a significant developmen</w:t>
      </w:r>
      <w:r>
        <w:rPr>
          <w:sz w:val="24"/>
          <w:szCs w:val="24"/>
        </w:rPr>
        <w:t xml:space="preserve">t in the history of social work. </w:t>
      </w:r>
    </w:p>
    <w:p w:rsidR="00B760B4" w:rsidRDefault="00B760B4" w:rsidP="00D507EA">
      <w:pPr>
        <w:spacing w:line="480" w:lineRule="auto"/>
        <w:rPr>
          <w:sz w:val="24"/>
          <w:szCs w:val="24"/>
        </w:rPr>
      </w:pPr>
    </w:p>
    <w:p w:rsidR="005115FA" w:rsidRPr="00DF53A4" w:rsidRDefault="00B760B4" w:rsidP="00D507EA">
      <w:pPr>
        <w:spacing w:line="480" w:lineRule="auto"/>
        <w:rPr>
          <w:sz w:val="24"/>
          <w:szCs w:val="24"/>
        </w:rPr>
      </w:pPr>
      <w:r>
        <w:rPr>
          <w:sz w:val="24"/>
          <w:szCs w:val="24"/>
          <w:u w:val="single"/>
        </w:rPr>
        <w:t>The inauguration of professional r</w:t>
      </w:r>
      <w:r w:rsidR="005115FA" w:rsidRPr="005115FA">
        <w:rPr>
          <w:sz w:val="24"/>
          <w:szCs w:val="24"/>
          <w:u w:val="single"/>
        </w:rPr>
        <w:t>egulation</w:t>
      </w:r>
      <w:r>
        <w:rPr>
          <w:sz w:val="24"/>
          <w:szCs w:val="24"/>
          <w:u w:val="single"/>
        </w:rPr>
        <w:t xml:space="preserve"> in social work</w:t>
      </w:r>
    </w:p>
    <w:p w:rsidR="00B760B4" w:rsidRPr="00E66B16" w:rsidRDefault="005115FA" w:rsidP="00D507EA">
      <w:pPr>
        <w:spacing w:line="480" w:lineRule="auto"/>
        <w:rPr>
          <w:sz w:val="24"/>
          <w:szCs w:val="24"/>
        </w:rPr>
      </w:pPr>
      <w:r>
        <w:rPr>
          <w:sz w:val="24"/>
          <w:szCs w:val="24"/>
        </w:rPr>
        <w:t>As mentioned earlier, t</w:t>
      </w:r>
      <w:r w:rsidR="004969F1" w:rsidRPr="000F531F">
        <w:rPr>
          <w:sz w:val="24"/>
          <w:szCs w:val="24"/>
        </w:rPr>
        <w:t xml:space="preserve">he GSCC was a product </w:t>
      </w:r>
      <w:r w:rsidR="00BC7298">
        <w:rPr>
          <w:sz w:val="24"/>
          <w:szCs w:val="24"/>
        </w:rPr>
        <w:t xml:space="preserve">of </w:t>
      </w:r>
      <w:r w:rsidR="004969F1" w:rsidRPr="000F531F">
        <w:rPr>
          <w:sz w:val="24"/>
          <w:szCs w:val="24"/>
        </w:rPr>
        <w:t>the</w:t>
      </w:r>
      <w:r>
        <w:rPr>
          <w:sz w:val="24"/>
          <w:szCs w:val="24"/>
        </w:rPr>
        <w:t xml:space="preserve"> New Labour government </w:t>
      </w:r>
      <w:r w:rsidR="00B760B4">
        <w:rPr>
          <w:sz w:val="24"/>
          <w:szCs w:val="24"/>
        </w:rPr>
        <w:t>which</w:t>
      </w:r>
      <w:r w:rsidR="00BC7298">
        <w:rPr>
          <w:sz w:val="24"/>
          <w:szCs w:val="24"/>
        </w:rPr>
        <w:t xml:space="preserve"> </w:t>
      </w:r>
      <w:r w:rsidR="00F56555" w:rsidRPr="000F531F">
        <w:rPr>
          <w:sz w:val="24"/>
          <w:szCs w:val="24"/>
        </w:rPr>
        <w:t xml:space="preserve">came </w:t>
      </w:r>
      <w:r>
        <w:rPr>
          <w:sz w:val="24"/>
          <w:szCs w:val="24"/>
        </w:rPr>
        <w:t>in</w:t>
      </w:r>
      <w:r w:rsidR="00F56555" w:rsidRPr="000F531F">
        <w:rPr>
          <w:sz w:val="24"/>
          <w:szCs w:val="24"/>
        </w:rPr>
        <w:t>to power in 1997</w:t>
      </w:r>
      <w:r w:rsidR="005C1B01">
        <w:rPr>
          <w:sz w:val="24"/>
          <w:szCs w:val="24"/>
        </w:rPr>
        <w:t>. In fact, its</w:t>
      </w:r>
      <w:r w:rsidR="00B760B4">
        <w:rPr>
          <w:sz w:val="24"/>
          <w:szCs w:val="24"/>
        </w:rPr>
        <w:t xml:space="preserve"> arrival</w:t>
      </w:r>
      <w:r>
        <w:rPr>
          <w:sz w:val="24"/>
          <w:szCs w:val="24"/>
        </w:rPr>
        <w:t xml:space="preserve"> into Government</w:t>
      </w:r>
      <w:r w:rsidR="00F56555" w:rsidRPr="000F531F">
        <w:rPr>
          <w:sz w:val="24"/>
          <w:szCs w:val="24"/>
        </w:rPr>
        <w:t xml:space="preserve"> saw a marked increase in th</w:t>
      </w:r>
      <w:r w:rsidR="00B760B4">
        <w:rPr>
          <w:sz w:val="24"/>
          <w:szCs w:val="24"/>
        </w:rPr>
        <w:t xml:space="preserve">e regulation of </w:t>
      </w:r>
      <w:r w:rsidR="00B760B4" w:rsidRPr="00B760B4">
        <w:rPr>
          <w:i/>
          <w:sz w:val="24"/>
          <w:szCs w:val="24"/>
        </w:rPr>
        <w:t>all</w:t>
      </w:r>
      <w:r w:rsidR="00BC7298">
        <w:rPr>
          <w:sz w:val="24"/>
          <w:szCs w:val="24"/>
        </w:rPr>
        <w:t xml:space="preserve"> professions</w:t>
      </w:r>
      <w:r w:rsidR="00833656">
        <w:rPr>
          <w:sz w:val="24"/>
          <w:szCs w:val="24"/>
        </w:rPr>
        <w:t xml:space="preserve"> (Haney, 2012</w:t>
      </w:r>
      <w:r w:rsidR="00833656" w:rsidRPr="00E66B16">
        <w:rPr>
          <w:sz w:val="24"/>
          <w:szCs w:val="24"/>
        </w:rPr>
        <w:t>).</w:t>
      </w:r>
      <w:r w:rsidR="00BC7298" w:rsidRPr="00E66B16">
        <w:rPr>
          <w:sz w:val="24"/>
          <w:szCs w:val="24"/>
        </w:rPr>
        <w:t xml:space="preserve"> </w:t>
      </w:r>
      <w:r w:rsidR="00B760B4" w:rsidRPr="00E66B16">
        <w:rPr>
          <w:sz w:val="24"/>
          <w:szCs w:val="24"/>
        </w:rPr>
        <w:t>Labour, whose role in former times had been to defend the ideals of the working class,</w:t>
      </w:r>
      <w:r w:rsidR="005C1B01" w:rsidRPr="00E66B16">
        <w:rPr>
          <w:sz w:val="24"/>
          <w:szCs w:val="24"/>
        </w:rPr>
        <w:t xml:space="preserve"> in theory if not in practice,</w:t>
      </w:r>
      <w:r w:rsidR="00B760B4" w:rsidRPr="00E66B16">
        <w:rPr>
          <w:sz w:val="24"/>
          <w:szCs w:val="24"/>
        </w:rPr>
        <w:t xml:space="preserve"> returned this time around with a different agenda: to continue promoting the ideology </w:t>
      </w:r>
      <w:r w:rsidR="005C1B01" w:rsidRPr="00E66B16">
        <w:rPr>
          <w:sz w:val="24"/>
          <w:szCs w:val="24"/>
        </w:rPr>
        <w:t>of the previous Conservative government</w:t>
      </w:r>
      <w:r w:rsidR="00B760B4" w:rsidRPr="00E66B16">
        <w:rPr>
          <w:sz w:val="24"/>
          <w:szCs w:val="24"/>
        </w:rPr>
        <w:t xml:space="preserve"> by pursuing and augmenting ‘neo-liberal polici</w:t>
      </w:r>
      <w:r w:rsidR="005C1B01" w:rsidRPr="00E66B16">
        <w:rPr>
          <w:sz w:val="24"/>
          <w:szCs w:val="24"/>
        </w:rPr>
        <w:t>es in Britain’ (Ferguson, 2008, p.</w:t>
      </w:r>
      <w:r w:rsidR="00B760B4" w:rsidRPr="00E66B16">
        <w:rPr>
          <w:sz w:val="24"/>
          <w:szCs w:val="24"/>
        </w:rPr>
        <w:t>2). Although neo-liberalism was defined as a ‘theory of political economic practices’ it was recommended that, in order for it to be successful, all</w:t>
      </w:r>
      <w:r w:rsidR="009E5094" w:rsidRPr="00E66B16">
        <w:rPr>
          <w:sz w:val="24"/>
          <w:szCs w:val="24"/>
        </w:rPr>
        <w:t xml:space="preserve"> state owned institutions</w:t>
      </w:r>
      <w:r w:rsidR="00B760B4" w:rsidRPr="00E66B16">
        <w:rPr>
          <w:sz w:val="24"/>
          <w:szCs w:val="24"/>
        </w:rPr>
        <w:t xml:space="preserve">, such as education, health care and social services, had to be turned into </w:t>
      </w:r>
      <w:r w:rsidR="007A2CD1" w:rsidRPr="00E66B16">
        <w:rPr>
          <w:sz w:val="24"/>
          <w:szCs w:val="24"/>
        </w:rPr>
        <w:t xml:space="preserve">‘markets’, or in other words, organisations which traded </w:t>
      </w:r>
      <w:r w:rsidR="00B760B4" w:rsidRPr="00E66B16">
        <w:rPr>
          <w:sz w:val="24"/>
          <w:szCs w:val="24"/>
        </w:rPr>
        <w:t>(Ha</w:t>
      </w:r>
      <w:r w:rsidR="005C1B01" w:rsidRPr="00E66B16">
        <w:rPr>
          <w:sz w:val="24"/>
          <w:szCs w:val="24"/>
        </w:rPr>
        <w:t>rvey, 2006, p.2). The rationale was that</w:t>
      </w:r>
      <w:r w:rsidR="00B760B4" w:rsidRPr="00E66B16">
        <w:rPr>
          <w:sz w:val="24"/>
          <w:szCs w:val="24"/>
        </w:rPr>
        <w:t xml:space="preserve"> everyone </w:t>
      </w:r>
      <w:r w:rsidR="007A2CD1" w:rsidRPr="00E66B16">
        <w:rPr>
          <w:sz w:val="24"/>
          <w:szCs w:val="24"/>
        </w:rPr>
        <w:t xml:space="preserve">could </w:t>
      </w:r>
      <w:r w:rsidR="00B760B4" w:rsidRPr="00E66B16">
        <w:rPr>
          <w:sz w:val="24"/>
          <w:szCs w:val="24"/>
        </w:rPr>
        <w:t xml:space="preserve">benefit from a market society (Pratt, 2005). </w:t>
      </w:r>
    </w:p>
    <w:p w:rsidR="00B760B4" w:rsidRPr="00E66B16" w:rsidRDefault="00B760B4" w:rsidP="00D507EA">
      <w:pPr>
        <w:spacing w:line="480" w:lineRule="auto"/>
        <w:rPr>
          <w:sz w:val="24"/>
          <w:szCs w:val="24"/>
        </w:rPr>
      </w:pPr>
    </w:p>
    <w:p w:rsidR="00794C45" w:rsidRDefault="00B760B4" w:rsidP="00D507EA">
      <w:pPr>
        <w:spacing w:line="480" w:lineRule="auto"/>
        <w:rPr>
          <w:rFonts w:cs="Arial"/>
          <w:sz w:val="24"/>
          <w:szCs w:val="24"/>
        </w:rPr>
      </w:pPr>
      <w:r w:rsidRPr="00E66B16">
        <w:rPr>
          <w:sz w:val="24"/>
          <w:szCs w:val="24"/>
        </w:rPr>
        <w:t xml:space="preserve"> </w:t>
      </w:r>
      <w:r w:rsidR="009E5094" w:rsidRPr="00E66B16">
        <w:rPr>
          <w:sz w:val="24"/>
          <w:szCs w:val="24"/>
        </w:rPr>
        <w:t>Another key theme of New Labour’s ideology was to modernise social services. But it was felt that for this to be achieved, social work needed to fall in line with the ‘perceived requirements of a globalised economy’ and should do so by incorporating particular strategies such as ‘managerialism, regulation an</w:t>
      </w:r>
      <w:r w:rsidR="005C1B01" w:rsidRPr="00E66B16">
        <w:rPr>
          <w:sz w:val="24"/>
          <w:szCs w:val="24"/>
        </w:rPr>
        <w:t>d consumerism’ (Ferguson, 2008, p.</w:t>
      </w:r>
      <w:r w:rsidR="009E5094" w:rsidRPr="00E66B16">
        <w:rPr>
          <w:sz w:val="24"/>
          <w:szCs w:val="24"/>
        </w:rPr>
        <w:t xml:space="preserve">46). </w:t>
      </w:r>
      <w:r w:rsidR="00833656" w:rsidRPr="00E66B16">
        <w:rPr>
          <w:sz w:val="24"/>
          <w:szCs w:val="24"/>
        </w:rPr>
        <w:t>A</w:t>
      </w:r>
      <w:r w:rsidR="00BC7298">
        <w:rPr>
          <w:sz w:val="24"/>
          <w:szCs w:val="24"/>
        </w:rPr>
        <w:t xml:space="preserve"> key</w:t>
      </w:r>
      <w:r w:rsidR="00F56555" w:rsidRPr="000F531F">
        <w:rPr>
          <w:sz w:val="24"/>
          <w:szCs w:val="24"/>
        </w:rPr>
        <w:t xml:space="preserve"> </w:t>
      </w:r>
      <w:r w:rsidR="005115FA">
        <w:rPr>
          <w:rFonts w:cs="Arial"/>
          <w:sz w:val="24"/>
          <w:szCs w:val="24"/>
        </w:rPr>
        <w:t xml:space="preserve">piece of legislation </w:t>
      </w:r>
      <w:r w:rsidR="005C1B01">
        <w:rPr>
          <w:rFonts w:cs="Arial"/>
          <w:sz w:val="24"/>
          <w:szCs w:val="24"/>
        </w:rPr>
        <w:t>to emerge</w:t>
      </w:r>
      <w:r w:rsidR="009E5094">
        <w:rPr>
          <w:rFonts w:cs="Arial"/>
          <w:sz w:val="24"/>
          <w:szCs w:val="24"/>
        </w:rPr>
        <w:t xml:space="preserve"> </w:t>
      </w:r>
      <w:r w:rsidR="00BC7298">
        <w:rPr>
          <w:rFonts w:cs="Arial"/>
          <w:sz w:val="24"/>
          <w:szCs w:val="24"/>
        </w:rPr>
        <w:t>in terms of</w:t>
      </w:r>
      <w:r w:rsidR="005115FA">
        <w:rPr>
          <w:rFonts w:cs="Arial"/>
          <w:sz w:val="24"/>
          <w:szCs w:val="24"/>
        </w:rPr>
        <w:t xml:space="preserve"> </w:t>
      </w:r>
      <w:r w:rsidR="007D0A22" w:rsidRPr="000F531F">
        <w:rPr>
          <w:rFonts w:cs="Arial"/>
          <w:sz w:val="24"/>
          <w:szCs w:val="24"/>
        </w:rPr>
        <w:t xml:space="preserve">the regulation and provision of social work practice </w:t>
      </w:r>
      <w:r w:rsidR="009E5094">
        <w:rPr>
          <w:rFonts w:cs="Arial"/>
          <w:sz w:val="24"/>
          <w:szCs w:val="24"/>
        </w:rPr>
        <w:t>to training</w:t>
      </w:r>
      <w:r w:rsidR="00BC7298">
        <w:rPr>
          <w:rFonts w:cs="Arial"/>
          <w:sz w:val="24"/>
          <w:szCs w:val="24"/>
        </w:rPr>
        <w:t xml:space="preserve"> </w:t>
      </w:r>
      <w:r w:rsidR="00833656">
        <w:rPr>
          <w:rFonts w:cs="Arial"/>
          <w:sz w:val="24"/>
          <w:szCs w:val="24"/>
        </w:rPr>
        <w:t>was the Care Standards Act</w:t>
      </w:r>
      <w:r w:rsidR="005115FA">
        <w:rPr>
          <w:rFonts w:cs="Arial"/>
          <w:sz w:val="24"/>
          <w:szCs w:val="24"/>
        </w:rPr>
        <w:t xml:space="preserve"> (2000) (CSA)</w:t>
      </w:r>
      <w:r w:rsidR="007D0A22" w:rsidRPr="000F531F">
        <w:rPr>
          <w:rFonts w:cs="Arial"/>
          <w:sz w:val="24"/>
          <w:szCs w:val="24"/>
        </w:rPr>
        <w:t>. The CSA required the setting up of a ‘body corporate to be known as Gen</w:t>
      </w:r>
      <w:r w:rsidR="005115FA">
        <w:rPr>
          <w:rFonts w:cs="Arial"/>
          <w:sz w:val="24"/>
          <w:szCs w:val="24"/>
        </w:rPr>
        <w:t>eral Social Care Council’</w:t>
      </w:r>
      <w:r w:rsidR="007D0A22" w:rsidRPr="000F531F">
        <w:rPr>
          <w:rFonts w:cs="Arial"/>
          <w:sz w:val="24"/>
          <w:szCs w:val="24"/>
        </w:rPr>
        <w:t xml:space="preserve"> </w:t>
      </w:r>
      <w:r w:rsidR="005115FA">
        <w:rPr>
          <w:rFonts w:cs="Arial"/>
          <w:sz w:val="24"/>
          <w:szCs w:val="24"/>
        </w:rPr>
        <w:t xml:space="preserve">(GSCC) </w:t>
      </w:r>
      <w:r w:rsidR="007D0A22" w:rsidRPr="000F531F">
        <w:rPr>
          <w:rFonts w:cs="Arial"/>
          <w:sz w:val="24"/>
          <w:szCs w:val="24"/>
        </w:rPr>
        <w:t xml:space="preserve">(Section 54[1]) </w:t>
      </w:r>
      <w:r w:rsidR="005115FA">
        <w:rPr>
          <w:rFonts w:cs="Arial"/>
          <w:sz w:val="24"/>
          <w:szCs w:val="24"/>
        </w:rPr>
        <w:t xml:space="preserve">and it was the GSCC </w:t>
      </w:r>
      <w:r w:rsidR="007D0A22" w:rsidRPr="000F531F">
        <w:rPr>
          <w:rFonts w:cs="Arial"/>
          <w:sz w:val="24"/>
          <w:szCs w:val="24"/>
        </w:rPr>
        <w:t>which was charged with impl</w:t>
      </w:r>
      <w:r w:rsidR="007A2CD1">
        <w:rPr>
          <w:rFonts w:cs="Arial"/>
          <w:sz w:val="24"/>
          <w:szCs w:val="24"/>
        </w:rPr>
        <w:t>ementing the requirements of this</w:t>
      </w:r>
      <w:r w:rsidR="007D0A22" w:rsidRPr="000F531F">
        <w:rPr>
          <w:rFonts w:cs="Arial"/>
          <w:sz w:val="24"/>
          <w:szCs w:val="24"/>
        </w:rPr>
        <w:t xml:space="preserve"> Act. </w:t>
      </w:r>
    </w:p>
    <w:p w:rsidR="00794C45" w:rsidRDefault="00794C45" w:rsidP="00D507EA">
      <w:pPr>
        <w:spacing w:line="480" w:lineRule="auto"/>
        <w:rPr>
          <w:rFonts w:cs="Arial"/>
          <w:sz w:val="24"/>
          <w:szCs w:val="24"/>
        </w:rPr>
      </w:pPr>
    </w:p>
    <w:p w:rsidR="00794C45" w:rsidRDefault="007D0A22" w:rsidP="00D507EA">
      <w:pPr>
        <w:spacing w:line="480" w:lineRule="auto"/>
        <w:rPr>
          <w:rFonts w:cs="Arial"/>
          <w:sz w:val="24"/>
          <w:szCs w:val="24"/>
        </w:rPr>
      </w:pPr>
      <w:r w:rsidRPr="000F531F">
        <w:rPr>
          <w:rFonts w:cs="Arial"/>
          <w:sz w:val="24"/>
          <w:szCs w:val="24"/>
        </w:rPr>
        <w:t xml:space="preserve">This was part of the agenda </w:t>
      </w:r>
      <w:r w:rsidR="005115FA">
        <w:rPr>
          <w:rFonts w:cs="Arial"/>
          <w:sz w:val="24"/>
          <w:szCs w:val="24"/>
        </w:rPr>
        <w:t>set out by New Labour in 1998 as part of</w:t>
      </w:r>
      <w:r w:rsidRPr="000F531F">
        <w:rPr>
          <w:rFonts w:cs="Arial"/>
          <w:sz w:val="24"/>
          <w:szCs w:val="24"/>
        </w:rPr>
        <w:t xml:space="preserve"> </w:t>
      </w:r>
      <w:r w:rsidR="00BC7298">
        <w:rPr>
          <w:rFonts w:cs="Arial"/>
          <w:sz w:val="24"/>
          <w:szCs w:val="24"/>
        </w:rPr>
        <w:t xml:space="preserve">its </w:t>
      </w:r>
      <w:r w:rsidRPr="000F531F">
        <w:rPr>
          <w:rFonts w:cs="Arial"/>
          <w:sz w:val="24"/>
          <w:szCs w:val="24"/>
        </w:rPr>
        <w:t xml:space="preserve">‘Modernising Social Services’ </w:t>
      </w:r>
      <w:r w:rsidR="005C1B01">
        <w:rPr>
          <w:rFonts w:cs="Arial"/>
          <w:sz w:val="24"/>
          <w:szCs w:val="24"/>
        </w:rPr>
        <w:t>agenda</w:t>
      </w:r>
      <w:r w:rsidR="00BC7298">
        <w:rPr>
          <w:rFonts w:cs="Arial"/>
          <w:sz w:val="24"/>
          <w:szCs w:val="24"/>
        </w:rPr>
        <w:t>(D</w:t>
      </w:r>
      <w:r w:rsidR="00794C45">
        <w:rPr>
          <w:rFonts w:cs="Arial"/>
          <w:sz w:val="24"/>
          <w:szCs w:val="24"/>
        </w:rPr>
        <w:t xml:space="preserve">epartment of </w:t>
      </w:r>
      <w:r w:rsidR="00BC7298">
        <w:rPr>
          <w:rFonts w:cs="Arial"/>
          <w:sz w:val="24"/>
          <w:szCs w:val="24"/>
        </w:rPr>
        <w:t>H</w:t>
      </w:r>
      <w:r w:rsidR="00794C45">
        <w:rPr>
          <w:rFonts w:cs="Arial"/>
          <w:sz w:val="24"/>
          <w:szCs w:val="24"/>
        </w:rPr>
        <w:t>ealth</w:t>
      </w:r>
      <w:r w:rsidR="00BC7298">
        <w:rPr>
          <w:rFonts w:cs="Arial"/>
          <w:sz w:val="24"/>
          <w:szCs w:val="24"/>
        </w:rPr>
        <w:t>, 1998</w:t>
      </w:r>
      <w:r w:rsidRPr="000F531F">
        <w:rPr>
          <w:rFonts w:cs="Arial"/>
          <w:sz w:val="24"/>
          <w:szCs w:val="24"/>
        </w:rPr>
        <w:t>) which aimed to ‘improve the protection of vulnerable people’ (p.9).</w:t>
      </w:r>
      <w:r w:rsidRPr="000F531F">
        <w:rPr>
          <w:sz w:val="24"/>
          <w:szCs w:val="24"/>
        </w:rPr>
        <w:t xml:space="preserve"> </w:t>
      </w:r>
      <w:r w:rsidRPr="000F531F">
        <w:rPr>
          <w:rFonts w:cs="Arial"/>
          <w:sz w:val="24"/>
          <w:szCs w:val="24"/>
        </w:rPr>
        <w:t>Section 56 placed a duty on the GSCC to maintain a register of social workers, whilst section 62 required it to prepare</w:t>
      </w:r>
      <w:r w:rsidR="00EB484A">
        <w:rPr>
          <w:rFonts w:cs="Arial"/>
          <w:sz w:val="24"/>
          <w:szCs w:val="24"/>
        </w:rPr>
        <w:t>,</w:t>
      </w:r>
      <w:r w:rsidRPr="000F531F">
        <w:rPr>
          <w:rFonts w:cs="Arial"/>
          <w:sz w:val="24"/>
          <w:szCs w:val="24"/>
        </w:rPr>
        <w:t xml:space="preserve"> and from time to time</w:t>
      </w:r>
      <w:r w:rsidR="00EB484A">
        <w:rPr>
          <w:rFonts w:cs="Arial"/>
          <w:sz w:val="24"/>
          <w:szCs w:val="24"/>
        </w:rPr>
        <w:t>,</w:t>
      </w:r>
      <w:r w:rsidRPr="000F531F">
        <w:rPr>
          <w:rFonts w:cs="Arial"/>
          <w:sz w:val="24"/>
          <w:szCs w:val="24"/>
        </w:rPr>
        <w:t xml:space="preserve"> </w:t>
      </w:r>
      <w:r w:rsidR="00794C45">
        <w:rPr>
          <w:rFonts w:cs="Arial"/>
          <w:sz w:val="24"/>
          <w:szCs w:val="24"/>
        </w:rPr>
        <w:t>publish codes of practice which laid</w:t>
      </w:r>
      <w:r w:rsidRPr="000F531F">
        <w:rPr>
          <w:rFonts w:cs="Arial"/>
          <w:sz w:val="24"/>
          <w:szCs w:val="24"/>
        </w:rPr>
        <w:t xml:space="preserve"> down</w:t>
      </w:r>
      <w:r w:rsidR="00794C45">
        <w:rPr>
          <w:rFonts w:cs="Arial"/>
          <w:sz w:val="24"/>
          <w:szCs w:val="24"/>
        </w:rPr>
        <w:t xml:space="preserve"> the</w:t>
      </w:r>
      <w:r w:rsidRPr="000F531F">
        <w:rPr>
          <w:rFonts w:cs="Arial"/>
          <w:sz w:val="24"/>
          <w:szCs w:val="24"/>
        </w:rPr>
        <w:t xml:space="preserve"> ‘standards of conduct and practice</w:t>
      </w:r>
      <w:r w:rsidR="00794C45">
        <w:rPr>
          <w:rFonts w:cs="Arial"/>
          <w:sz w:val="24"/>
          <w:szCs w:val="24"/>
        </w:rPr>
        <w:t>’ which were</w:t>
      </w:r>
      <w:r w:rsidRPr="000F531F">
        <w:rPr>
          <w:rFonts w:cs="Arial"/>
          <w:sz w:val="24"/>
          <w:szCs w:val="24"/>
        </w:rPr>
        <w:t xml:space="preserve"> </w:t>
      </w:r>
      <w:r w:rsidR="00794C45">
        <w:rPr>
          <w:rFonts w:cs="Arial"/>
          <w:sz w:val="24"/>
          <w:szCs w:val="24"/>
        </w:rPr>
        <w:t>‘</w:t>
      </w:r>
      <w:r w:rsidRPr="000F531F">
        <w:rPr>
          <w:rFonts w:cs="Arial"/>
          <w:sz w:val="24"/>
          <w:szCs w:val="24"/>
        </w:rPr>
        <w:t>exp</w:t>
      </w:r>
      <w:r w:rsidR="00794C45">
        <w:rPr>
          <w:rFonts w:cs="Arial"/>
          <w:sz w:val="24"/>
          <w:szCs w:val="24"/>
        </w:rPr>
        <w:t>ected of social care workers’. As a result, i</w:t>
      </w:r>
      <w:r w:rsidRPr="000F531F">
        <w:rPr>
          <w:rFonts w:cs="Arial"/>
          <w:sz w:val="24"/>
          <w:szCs w:val="24"/>
        </w:rPr>
        <w:t>n 2002</w:t>
      </w:r>
      <w:r w:rsidR="00794C45">
        <w:rPr>
          <w:rFonts w:cs="Arial"/>
          <w:sz w:val="24"/>
          <w:szCs w:val="24"/>
        </w:rPr>
        <w:t>,</w:t>
      </w:r>
      <w:r w:rsidRPr="000F531F">
        <w:rPr>
          <w:rFonts w:cs="Arial"/>
          <w:sz w:val="24"/>
          <w:szCs w:val="24"/>
        </w:rPr>
        <w:t xml:space="preserve"> the GSCC published the national </w:t>
      </w:r>
      <w:r w:rsidRPr="000F531F">
        <w:rPr>
          <w:rFonts w:cs="Arial"/>
          <w:i/>
          <w:sz w:val="24"/>
          <w:szCs w:val="24"/>
        </w:rPr>
        <w:t>Codes of Practice for Social Care Workers and Employers,</w:t>
      </w:r>
      <w:r w:rsidR="00794C45">
        <w:rPr>
          <w:rFonts w:cs="Arial"/>
          <w:sz w:val="24"/>
          <w:szCs w:val="24"/>
        </w:rPr>
        <w:t xml:space="preserve"> and on</w:t>
      </w:r>
      <w:r w:rsidRPr="000F531F">
        <w:rPr>
          <w:rFonts w:cs="Arial"/>
          <w:sz w:val="24"/>
          <w:szCs w:val="24"/>
        </w:rPr>
        <w:t xml:space="preserve"> April 1</w:t>
      </w:r>
      <w:r w:rsidRPr="000F531F">
        <w:rPr>
          <w:rFonts w:cs="Arial"/>
          <w:sz w:val="24"/>
          <w:szCs w:val="24"/>
          <w:vertAlign w:val="superscript"/>
        </w:rPr>
        <w:t>st</w:t>
      </w:r>
      <w:r w:rsidR="00794C45">
        <w:rPr>
          <w:rFonts w:cs="Arial"/>
          <w:sz w:val="24"/>
          <w:szCs w:val="24"/>
        </w:rPr>
        <w:t xml:space="preserve"> 2003 </w:t>
      </w:r>
      <w:r w:rsidRPr="000F531F">
        <w:rPr>
          <w:rFonts w:cs="Arial"/>
          <w:sz w:val="24"/>
          <w:szCs w:val="24"/>
        </w:rPr>
        <w:t>the social care register</w:t>
      </w:r>
      <w:r w:rsidR="00794C45">
        <w:rPr>
          <w:rFonts w:cs="Arial"/>
          <w:sz w:val="24"/>
          <w:szCs w:val="24"/>
        </w:rPr>
        <w:t xml:space="preserve"> was introduced</w:t>
      </w:r>
      <w:r w:rsidRPr="000F531F">
        <w:rPr>
          <w:rFonts w:cs="Arial"/>
          <w:sz w:val="24"/>
          <w:szCs w:val="24"/>
        </w:rPr>
        <w:t>.</w:t>
      </w:r>
    </w:p>
    <w:p w:rsidR="007D0A22" w:rsidRPr="000F531F" w:rsidRDefault="007D0A22" w:rsidP="00D507EA">
      <w:pPr>
        <w:spacing w:line="480" w:lineRule="auto"/>
        <w:rPr>
          <w:sz w:val="24"/>
          <w:szCs w:val="24"/>
        </w:rPr>
      </w:pPr>
      <w:r w:rsidRPr="000F531F">
        <w:rPr>
          <w:rFonts w:cs="Arial"/>
          <w:sz w:val="24"/>
          <w:szCs w:val="24"/>
        </w:rPr>
        <w:t xml:space="preserve"> </w:t>
      </w:r>
    </w:p>
    <w:p w:rsidR="00F56555" w:rsidRPr="000F531F" w:rsidRDefault="007D0A22" w:rsidP="00D507EA">
      <w:pPr>
        <w:spacing w:line="480" w:lineRule="auto"/>
        <w:rPr>
          <w:sz w:val="24"/>
          <w:szCs w:val="24"/>
        </w:rPr>
      </w:pPr>
      <w:r w:rsidRPr="000F531F">
        <w:rPr>
          <w:sz w:val="24"/>
          <w:szCs w:val="24"/>
        </w:rPr>
        <w:t xml:space="preserve">For the health professions, </w:t>
      </w:r>
      <w:r w:rsidR="00F56555" w:rsidRPr="000F531F">
        <w:rPr>
          <w:sz w:val="24"/>
          <w:szCs w:val="24"/>
        </w:rPr>
        <w:t xml:space="preserve">Section 60 of the Health Act 1999 provided powers ‘to make provision to modify the regulation of any profession so far as it appears to be necessary or expedient for the purpose of securing or improving the regulation of the profession or the services which they provide’. In discussing this, Haney (2012) points out that </w:t>
      </w:r>
      <w:r w:rsidR="00817912" w:rsidRPr="000F531F">
        <w:rPr>
          <w:sz w:val="24"/>
          <w:szCs w:val="24"/>
        </w:rPr>
        <w:t xml:space="preserve">whilst ostensibly the </w:t>
      </w:r>
      <w:r w:rsidR="00F56555" w:rsidRPr="000F531F">
        <w:rPr>
          <w:sz w:val="24"/>
          <w:szCs w:val="24"/>
        </w:rPr>
        <w:t xml:space="preserve">government </w:t>
      </w:r>
      <w:r w:rsidR="00817912" w:rsidRPr="000F531F">
        <w:rPr>
          <w:sz w:val="24"/>
          <w:szCs w:val="24"/>
        </w:rPr>
        <w:t xml:space="preserve">followed </w:t>
      </w:r>
      <w:r w:rsidR="00F56555" w:rsidRPr="000F531F">
        <w:rPr>
          <w:sz w:val="24"/>
          <w:szCs w:val="24"/>
        </w:rPr>
        <w:t xml:space="preserve">due democratic process </w:t>
      </w:r>
      <w:r w:rsidR="00817912" w:rsidRPr="000F531F">
        <w:rPr>
          <w:sz w:val="24"/>
          <w:szCs w:val="24"/>
        </w:rPr>
        <w:t>in getting the Act on to the statute book, the vagueness of the wording allowed it</w:t>
      </w:r>
      <w:r w:rsidR="00F56555" w:rsidRPr="000F531F">
        <w:rPr>
          <w:sz w:val="24"/>
          <w:szCs w:val="24"/>
        </w:rPr>
        <w:t xml:space="preserve"> to take executi</w:t>
      </w:r>
      <w:r w:rsidR="00817912" w:rsidRPr="000F531F">
        <w:rPr>
          <w:sz w:val="24"/>
          <w:szCs w:val="24"/>
        </w:rPr>
        <w:t xml:space="preserve">ve action at some future date </w:t>
      </w:r>
      <w:r w:rsidR="0041119C" w:rsidRPr="000F531F">
        <w:rPr>
          <w:sz w:val="24"/>
          <w:szCs w:val="24"/>
        </w:rPr>
        <w:t xml:space="preserve">by </w:t>
      </w:r>
      <w:r w:rsidR="00817912" w:rsidRPr="000F531F">
        <w:rPr>
          <w:sz w:val="24"/>
          <w:szCs w:val="24"/>
        </w:rPr>
        <w:t>way of</w:t>
      </w:r>
      <w:r w:rsidR="0041119C" w:rsidRPr="000F531F">
        <w:rPr>
          <w:sz w:val="24"/>
          <w:szCs w:val="24"/>
        </w:rPr>
        <w:t xml:space="preserve"> </w:t>
      </w:r>
      <w:r w:rsidR="00EB484A">
        <w:rPr>
          <w:sz w:val="24"/>
          <w:szCs w:val="24"/>
        </w:rPr>
        <w:t xml:space="preserve">a </w:t>
      </w:r>
      <w:r w:rsidR="00F56555" w:rsidRPr="000F531F">
        <w:rPr>
          <w:sz w:val="24"/>
          <w:szCs w:val="24"/>
        </w:rPr>
        <w:t xml:space="preserve">secondary </w:t>
      </w:r>
      <w:r w:rsidR="00EB484A">
        <w:rPr>
          <w:sz w:val="24"/>
          <w:szCs w:val="24"/>
        </w:rPr>
        <w:t xml:space="preserve">piece of </w:t>
      </w:r>
      <w:r w:rsidR="00F56555" w:rsidRPr="000F531F">
        <w:rPr>
          <w:sz w:val="24"/>
          <w:szCs w:val="24"/>
        </w:rPr>
        <w:t>legi</w:t>
      </w:r>
      <w:r w:rsidR="00817912" w:rsidRPr="000F531F">
        <w:rPr>
          <w:sz w:val="24"/>
          <w:szCs w:val="24"/>
        </w:rPr>
        <w:t>slation</w:t>
      </w:r>
      <w:r w:rsidRPr="000F531F">
        <w:rPr>
          <w:sz w:val="24"/>
          <w:szCs w:val="24"/>
        </w:rPr>
        <w:t xml:space="preserve">, in this case the Health Professions Order </w:t>
      </w:r>
      <w:r w:rsidR="0041119C" w:rsidRPr="000F531F">
        <w:rPr>
          <w:sz w:val="24"/>
          <w:szCs w:val="24"/>
        </w:rPr>
        <w:t>(HPO)</w:t>
      </w:r>
      <w:r w:rsidR="00EB484A">
        <w:rPr>
          <w:sz w:val="24"/>
          <w:szCs w:val="24"/>
        </w:rPr>
        <w:t>(</w:t>
      </w:r>
      <w:r w:rsidRPr="000F531F">
        <w:rPr>
          <w:sz w:val="24"/>
          <w:szCs w:val="24"/>
        </w:rPr>
        <w:t>2001</w:t>
      </w:r>
      <w:r w:rsidR="00EB484A">
        <w:rPr>
          <w:sz w:val="24"/>
          <w:szCs w:val="24"/>
        </w:rPr>
        <w:t>)</w:t>
      </w:r>
      <w:r w:rsidRPr="000F531F">
        <w:rPr>
          <w:sz w:val="24"/>
          <w:szCs w:val="24"/>
        </w:rPr>
        <w:t xml:space="preserve">, </w:t>
      </w:r>
      <w:r w:rsidR="00817912" w:rsidRPr="000F531F">
        <w:rPr>
          <w:sz w:val="24"/>
          <w:szCs w:val="24"/>
        </w:rPr>
        <w:t>which</w:t>
      </w:r>
      <w:r w:rsidR="00EB484A">
        <w:rPr>
          <w:sz w:val="24"/>
          <w:szCs w:val="24"/>
        </w:rPr>
        <w:t xml:space="preserve">, subsequently, </w:t>
      </w:r>
      <w:r w:rsidR="00817912" w:rsidRPr="000F531F">
        <w:rPr>
          <w:sz w:val="24"/>
          <w:szCs w:val="24"/>
        </w:rPr>
        <w:t>did not require general House of Commons scrutiny and discussion.</w:t>
      </w:r>
      <w:r w:rsidR="00305B9B">
        <w:rPr>
          <w:sz w:val="24"/>
          <w:szCs w:val="24"/>
        </w:rPr>
        <w:t xml:space="preserve"> As Haney highlights</w:t>
      </w:r>
      <w:r w:rsidR="00F56555" w:rsidRPr="000F531F">
        <w:rPr>
          <w:sz w:val="24"/>
          <w:szCs w:val="24"/>
        </w:rPr>
        <w:t>,</w:t>
      </w:r>
      <w:r w:rsidR="00AA0380" w:rsidRPr="000F531F">
        <w:rPr>
          <w:sz w:val="24"/>
          <w:szCs w:val="24"/>
        </w:rPr>
        <w:t xml:space="preserve"> </w:t>
      </w:r>
      <w:r w:rsidR="00F56555" w:rsidRPr="000F531F">
        <w:rPr>
          <w:sz w:val="24"/>
          <w:szCs w:val="24"/>
        </w:rPr>
        <w:t>‘in an attempt to pass record levels of legislation this Labour government introduced cut-off times for debates, and the use of increasing levels of secondary instruments which required</w:t>
      </w:r>
      <w:r w:rsidR="00AA0380" w:rsidRPr="000F531F">
        <w:rPr>
          <w:sz w:val="24"/>
          <w:szCs w:val="24"/>
        </w:rPr>
        <w:t xml:space="preserve"> no general debate</w:t>
      </w:r>
      <w:r w:rsidR="00EB484A">
        <w:rPr>
          <w:sz w:val="24"/>
          <w:szCs w:val="24"/>
        </w:rPr>
        <w:t>’</w:t>
      </w:r>
      <w:r w:rsidR="00AA0380" w:rsidRPr="000F531F">
        <w:rPr>
          <w:sz w:val="24"/>
          <w:szCs w:val="24"/>
        </w:rPr>
        <w:t xml:space="preserve"> (pp.6-7).</w:t>
      </w:r>
      <w:r w:rsidR="005C1B01">
        <w:rPr>
          <w:sz w:val="24"/>
          <w:szCs w:val="24"/>
        </w:rPr>
        <w:t xml:space="preserve"> So although previous g</w:t>
      </w:r>
      <w:r w:rsidR="00EB484A">
        <w:rPr>
          <w:sz w:val="24"/>
          <w:szCs w:val="24"/>
        </w:rPr>
        <w:t>overnments had questioned the relevance of professional regulation, it is evid</w:t>
      </w:r>
      <w:r w:rsidR="005C1B01">
        <w:rPr>
          <w:sz w:val="24"/>
          <w:szCs w:val="24"/>
        </w:rPr>
        <w:t>ent that New Labour was clear about what it felt was</w:t>
      </w:r>
      <w:r w:rsidR="00EB484A">
        <w:rPr>
          <w:sz w:val="24"/>
          <w:szCs w:val="24"/>
        </w:rPr>
        <w:t xml:space="preserve"> needed and manipulated</w:t>
      </w:r>
      <w:r w:rsidR="005C1B01">
        <w:rPr>
          <w:sz w:val="24"/>
          <w:szCs w:val="24"/>
        </w:rPr>
        <w:t xml:space="preserve"> procedures to ensure that its</w:t>
      </w:r>
      <w:r w:rsidR="00EB484A">
        <w:rPr>
          <w:sz w:val="24"/>
          <w:szCs w:val="24"/>
        </w:rPr>
        <w:t xml:space="preserve"> agenda to do so was not delayed. </w:t>
      </w:r>
      <w:r w:rsidR="00F56555" w:rsidRPr="000F531F">
        <w:rPr>
          <w:sz w:val="24"/>
          <w:szCs w:val="24"/>
        </w:rPr>
        <w:t xml:space="preserve"> </w:t>
      </w:r>
    </w:p>
    <w:p w:rsidR="00305B9B" w:rsidRDefault="00305B9B" w:rsidP="00D507EA">
      <w:pPr>
        <w:spacing w:line="480" w:lineRule="auto"/>
        <w:rPr>
          <w:sz w:val="24"/>
          <w:szCs w:val="24"/>
        </w:rPr>
      </w:pPr>
    </w:p>
    <w:p w:rsidR="001443A9" w:rsidRDefault="00EB484A" w:rsidP="00D507EA">
      <w:pPr>
        <w:spacing w:line="480" w:lineRule="auto"/>
        <w:rPr>
          <w:sz w:val="24"/>
          <w:szCs w:val="24"/>
        </w:rPr>
      </w:pPr>
      <w:r>
        <w:rPr>
          <w:sz w:val="24"/>
          <w:szCs w:val="24"/>
        </w:rPr>
        <w:t>In 2002, t</w:t>
      </w:r>
      <w:r w:rsidR="00AA0380" w:rsidRPr="000F531F">
        <w:rPr>
          <w:sz w:val="24"/>
          <w:szCs w:val="24"/>
        </w:rPr>
        <w:t>he Health Professions Cou</w:t>
      </w:r>
      <w:r>
        <w:rPr>
          <w:sz w:val="24"/>
          <w:szCs w:val="24"/>
        </w:rPr>
        <w:t>ncil was established after</w:t>
      </w:r>
      <w:r w:rsidR="00AA0380" w:rsidRPr="000F531F">
        <w:rPr>
          <w:sz w:val="24"/>
          <w:szCs w:val="24"/>
        </w:rPr>
        <w:t xml:space="preserve"> it replaced the Council for Professions Supplem</w:t>
      </w:r>
      <w:r>
        <w:rPr>
          <w:sz w:val="24"/>
          <w:szCs w:val="24"/>
        </w:rPr>
        <w:t>entary to Medicine (CPSM) which was</w:t>
      </w:r>
      <w:r w:rsidR="00AA0380" w:rsidRPr="000F531F">
        <w:rPr>
          <w:sz w:val="24"/>
          <w:szCs w:val="24"/>
        </w:rPr>
        <w:t xml:space="preserve"> set up in 1960. Haney (2012) notes how there was considerable opposition to the imposition of an external, non-professional body to regulate t</w:t>
      </w:r>
      <w:r>
        <w:rPr>
          <w:sz w:val="24"/>
          <w:szCs w:val="24"/>
        </w:rPr>
        <w:t>he health professions. It is the</w:t>
      </w:r>
      <w:r w:rsidR="00AA0380" w:rsidRPr="000F531F">
        <w:rPr>
          <w:sz w:val="24"/>
          <w:szCs w:val="24"/>
        </w:rPr>
        <w:t xml:space="preserve"> ‘external regulation’ </w:t>
      </w:r>
      <w:r>
        <w:rPr>
          <w:sz w:val="24"/>
          <w:szCs w:val="24"/>
        </w:rPr>
        <w:t xml:space="preserve">aspect which </w:t>
      </w:r>
      <w:r w:rsidR="00AA0380" w:rsidRPr="000F531F">
        <w:rPr>
          <w:sz w:val="24"/>
          <w:szCs w:val="24"/>
        </w:rPr>
        <w:t>is a key point</w:t>
      </w:r>
      <w:r>
        <w:rPr>
          <w:sz w:val="24"/>
          <w:szCs w:val="24"/>
        </w:rPr>
        <w:t xml:space="preserve"> in this context</w:t>
      </w:r>
      <w:r w:rsidR="00AA0380" w:rsidRPr="000F531F">
        <w:rPr>
          <w:sz w:val="24"/>
          <w:szCs w:val="24"/>
        </w:rPr>
        <w:t>. In the debates that took place conce</w:t>
      </w:r>
      <w:r>
        <w:rPr>
          <w:sz w:val="24"/>
          <w:szCs w:val="24"/>
        </w:rPr>
        <w:t xml:space="preserve">rning the setting up of the HPC, </w:t>
      </w:r>
      <w:r w:rsidR="00AA0380" w:rsidRPr="000F531F">
        <w:rPr>
          <w:sz w:val="24"/>
          <w:szCs w:val="24"/>
        </w:rPr>
        <w:t xml:space="preserve">politicians often spoke about </w:t>
      </w:r>
      <w:r>
        <w:rPr>
          <w:sz w:val="24"/>
          <w:szCs w:val="24"/>
        </w:rPr>
        <w:t>how opposition mainly came</w:t>
      </w:r>
      <w:r w:rsidR="00AA0380" w:rsidRPr="000F531F">
        <w:rPr>
          <w:sz w:val="24"/>
          <w:szCs w:val="24"/>
        </w:rPr>
        <w:t xml:space="preserve"> from the </w:t>
      </w:r>
      <w:r w:rsidR="00AA0380" w:rsidRPr="000F531F">
        <w:rPr>
          <w:i/>
          <w:sz w:val="24"/>
          <w:szCs w:val="24"/>
        </w:rPr>
        <w:t>unregulated</w:t>
      </w:r>
      <w:r w:rsidR="00AA0380" w:rsidRPr="000F531F">
        <w:rPr>
          <w:sz w:val="24"/>
          <w:szCs w:val="24"/>
        </w:rPr>
        <w:t xml:space="preserve"> sector</w:t>
      </w:r>
      <w:r>
        <w:rPr>
          <w:sz w:val="24"/>
          <w:szCs w:val="24"/>
        </w:rPr>
        <w:t xml:space="preserve"> as the majority of other professions (mentioned above) were regulated by their respective </w:t>
      </w:r>
      <w:r w:rsidR="00765C39" w:rsidRPr="000F531F">
        <w:rPr>
          <w:sz w:val="24"/>
          <w:szCs w:val="24"/>
        </w:rPr>
        <w:t>professional bodies</w:t>
      </w:r>
      <w:r w:rsidR="00AA0380" w:rsidRPr="000F531F">
        <w:rPr>
          <w:sz w:val="24"/>
          <w:szCs w:val="24"/>
        </w:rPr>
        <w:t>.</w:t>
      </w:r>
      <w:r w:rsidR="00765C39" w:rsidRPr="000F531F">
        <w:rPr>
          <w:sz w:val="24"/>
          <w:szCs w:val="24"/>
        </w:rPr>
        <w:t xml:space="preserve"> </w:t>
      </w:r>
      <w:r>
        <w:rPr>
          <w:sz w:val="24"/>
          <w:szCs w:val="24"/>
        </w:rPr>
        <w:t xml:space="preserve">It was the notion of </w:t>
      </w:r>
      <w:r w:rsidR="00765C39" w:rsidRPr="00EB484A">
        <w:rPr>
          <w:sz w:val="24"/>
          <w:szCs w:val="24"/>
        </w:rPr>
        <w:t>such self-regulation</w:t>
      </w:r>
      <w:r w:rsidR="00AA0380" w:rsidRPr="00EB484A">
        <w:rPr>
          <w:sz w:val="24"/>
          <w:szCs w:val="24"/>
        </w:rPr>
        <w:t xml:space="preserve"> </w:t>
      </w:r>
      <w:r>
        <w:rPr>
          <w:sz w:val="24"/>
          <w:szCs w:val="24"/>
        </w:rPr>
        <w:t xml:space="preserve">which </w:t>
      </w:r>
      <w:r w:rsidR="00765C39" w:rsidRPr="00EB484A">
        <w:rPr>
          <w:sz w:val="24"/>
          <w:szCs w:val="24"/>
        </w:rPr>
        <w:t xml:space="preserve">was </w:t>
      </w:r>
      <w:r w:rsidR="00C75158" w:rsidRPr="00EB484A">
        <w:rPr>
          <w:sz w:val="24"/>
          <w:szCs w:val="24"/>
        </w:rPr>
        <w:t>criticised</w:t>
      </w:r>
      <w:r w:rsidR="005C1B01">
        <w:rPr>
          <w:sz w:val="24"/>
          <w:szCs w:val="24"/>
        </w:rPr>
        <w:t xml:space="preserve"> as it was considered as allowing</w:t>
      </w:r>
      <w:r w:rsidR="00C75158" w:rsidRPr="00EB484A">
        <w:rPr>
          <w:sz w:val="24"/>
          <w:szCs w:val="24"/>
        </w:rPr>
        <w:t xml:space="preserve"> </w:t>
      </w:r>
      <w:r w:rsidR="00C84968">
        <w:rPr>
          <w:sz w:val="24"/>
          <w:szCs w:val="24"/>
        </w:rPr>
        <w:t>professional self-interest</w:t>
      </w:r>
      <w:r>
        <w:rPr>
          <w:sz w:val="24"/>
          <w:szCs w:val="24"/>
        </w:rPr>
        <w:t xml:space="preserve"> to</w:t>
      </w:r>
      <w:r w:rsidR="00C75158" w:rsidRPr="00EB484A">
        <w:rPr>
          <w:sz w:val="24"/>
          <w:szCs w:val="24"/>
        </w:rPr>
        <w:t xml:space="preserve"> override the public interest (</w:t>
      </w:r>
      <w:r w:rsidR="00833656" w:rsidRPr="00DD5483">
        <w:rPr>
          <w:sz w:val="24"/>
          <w:szCs w:val="24"/>
        </w:rPr>
        <w:t>Schön</w:t>
      </w:r>
      <w:r w:rsidR="00A03B92">
        <w:rPr>
          <w:sz w:val="24"/>
          <w:szCs w:val="24"/>
        </w:rPr>
        <w:t>, 2001</w:t>
      </w:r>
      <w:r w:rsidR="00C75158" w:rsidRPr="00EB484A">
        <w:rPr>
          <w:sz w:val="24"/>
          <w:szCs w:val="24"/>
        </w:rPr>
        <w:t>).</w:t>
      </w:r>
      <w:r w:rsidR="00C84968">
        <w:rPr>
          <w:sz w:val="24"/>
          <w:szCs w:val="24"/>
        </w:rPr>
        <w:t xml:space="preserve"> Never</w:t>
      </w:r>
      <w:r>
        <w:rPr>
          <w:sz w:val="24"/>
          <w:szCs w:val="24"/>
        </w:rPr>
        <w:t xml:space="preserve">theless, </w:t>
      </w:r>
      <w:r w:rsidR="0041119C" w:rsidRPr="000F531F">
        <w:rPr>
          <w:sz w:val="24"/>
          <w:szCs w:val="24"/>
        </w:rPr>
        <w:t xml:space="preserve">the HPO </w:t>
      </w:r>
      <w:r>
        <w:rPr>
          <w:sz w:val="24"/>
          <w:szCs w:val="24"/>
        </w:rPr>
        <w:t>was passed and the</w:t>
      </w:r>
      <w:r w:rsidR="00AA0380" w:rsidRPr="000F531F">
        <w:rPr>
          <w:sz w:val="24"/>
          <w:szCs w:val="24"/>
        </w:rPr>
        <w:t xml:space="preserve"> HPC </w:t>
      </w:r>
      <w:r>
        <w:rPr>
          <w:sz w:val="24"/>
          <w:szCs w:val="24"/>
        </w:rPr>
        <w:t>w</w:t>
      </w:r>
      <w:r w:rsidR="00AA0380" w:rsidRPr="000F531F">
        <w:rPr>
          <w:sz w:val="24"/>
          <w:szCs w:val="24"/>
        </w:rPr>
        <w:t>as</w:t>
      </w:r>
      <w:r>
        <w:rPr>
          <w:sz w:val="24"/>
          <w:szCs w:val="24"/>
        </w:rPr>
        <w:t xml:space="preserve"> established as</w:t>
      </w:r>
      <w:r w:rsidR="00AA0380" w:rsidRPr="000F531F">
        <w:rPr>
          <w:sz w:val="24"/>
          <w:szCs w:val="24"/>
        </w:rPr>
        <w:t xml:space="preserve"> an umbrella regulator for s</w:t>
      </w:r>
      <w:r>
        <w:rPr>
          <w:sz w:val="24"/>
          <w:szCs w:val="24"/>
        </w:rPr>
        <w:t>everal health professions. This</w:t>
      </w:r>
      <w:r w:rsidR="00AA0380" w:rsidRPr="000F531F">
        <w:rPr>
          <w:sz w:val="24"/>
          <w:szCs w:val="24"/>
        </w:rPr>
        <w:t xml:space="preserve"> ‘rather quiet coup</w:t>
      </w:r>
      <w:r>
        <w:rPr>
          <w:sz w:val="24"/>
          <w:szCs w:val="24"/>
        </w:rPr>
        <w:t>’</w:t>
      </w:r>
      <w:r w:rsidR="00F427B1">
        <w:rPr>
          <w:sz w:val="24"/>
          <w:szCs w:val="24"/>
        </w:rPr>
        <w:t>, Haney argues,</w:t>
      </w:r>
      <w:r>
        <w:rPr>
          <w:sz w:val="24"/>
          <w:szCs w:val="24"/>
        </w:rPr>
        <w:t xml:space="preserve"> subsequently</w:t>
      </w:r>
      <w:r w:rsidR="00AA0380" w:rsidRPr="000F531F">
        <w:rPr>
          <w:sz w:val="24"/>
          <w:szCs w:val="24"/>
        </w:rPr>
        <w:t xml:space="preserve"> marked the change from </w:t>
      </w:r>
      <w:r>
        <w:rPr>
          <w:sz w:val="24"/>
          <w:szCs w:val="24"/>
        </w:rPr>
        <w:t xml:space="preserve">that of </w:t>
      </w:r>
      <w:r w:rsidR="00AA0380" w:rsidRPr="000F531F">
        <w:rPr>
          <w:sz w:val="24"/>
          <w:szCs w:val="24"/>
        </w:rPr>
        <w:t>statutory regulation (where power is passed to an organization respo</w:t>
      </w:r>
      <w:r>
        <w:rPr>
          <w:sz w:val="24"/>
          <w:szCs w:val="24"/>
        </w:rPr>
        <w:t>nsible for the practice) to a</w:t>
      </w:r>
      <w:r w:rsidR="00AA0380" w:rsidRPr="000F531F">
        <w:rPr>
          <w:sz w:val="24"/>
          <w:szCs w:val="24"/>
        </w:rPr>
        <w:t xml:space="preserve"> new </w:t>
      </w:r>
      <w:r>
        <w:rPr>
          <w:sz w:val="24"/>
          <w:szCs w:val="24"/>
        </w:rPr>
        <w:t xml:space="preserve">form of </w:t>
      </w:r>
      <w:r w:rsidR="00AA0380" w:rsidRPr="000F531F">
        <w:rPr>
          <w:sz w:val="24"/>
          <w:szCs w:val="24"/>
        </w:rPr>
        <w:t>regulation</w:t>
      </w:r>
      <w:r>
        <w:rPr>
          <w:sz w:val="24"/>
          <w:szCs w:val="24"/>
        </w:rPr>
        <w:t xml:space="preserve">, one </w:t>
      </w:r>
      <w:r w:rsidR="00F427B1">
        <w:rPr>
          <w:sz w:val="24"/>
          <w:szCs w:val="24"/>
        </w:rPr>
        <w:t xml:space="preserve">which was not affiliated with or experienced in any of the professions’ specific areas practice </w:t>
      </w:r>
      <w:r w:rsidR="00AA0380" w:rsidRPr="000F531F">
        <w:rPr>
          <w:sz w:val="24"/>
          <w:szCs w:val="24"/>
        </w:rPr>
        <w:t>(Haney, 2012, p.7).</w:t>
      </w:r>
      <w:r w:rsidR="001E286C" w:rsidRPr="000F531F">
        <w:rPr>
          <w:sz w:val="24"/>
          <w:szCs w:val="24"/>
        </w:rPr>
        <w:t xml:space="preserve"> </w:t>
      </w:r>
    </w:p>
    <w:p w:rsidR="00056395" w:rsidRDefault="00056395" w:rsidP="00D507EA">
      <w:pPr>
        <w:spacing w:line="480" w:lineRule="auto"/>
        <w:rPr>
          <w:sz w:val="24"/>
          <w:szCs w:val="24"/>
          <w:u w:val="single"/>
        </w:rPr>
      </w:pPr>
    </w:p>
    <w:p w:rsidR="00B45010" w:rsidRPr="00C84968" w:rsidRDefault="001E370B" w:rsidP="00D507EA">
      <w:pPr>
        <w:spacing w:line="480" w:lineRule="auto"/>
        <w:rPr>
          <w:sz w:val="24"/>
          <w:szCs w:val="24"/>
          <w:u w:val="single"/>
        </w:rPr>
      </w:pPr>
      <w:r w:rsidRPr="00E66B16">
        <w:rPr>
          <w:sz w:val="24"/>
          <w:szCs w:val="24"/>
        </w:rPr>
        <w:t xml:space="preserve">There were </w:t>
      </w:r>
      <w:r w:rsidR="001443A9" w:rsidRPr="00E66B16">
        <w:rPr>
          <w:sz w:val="24"/>
          <w:szCs w:val="24"/>
        </w:rPr>
        <w:t xml:space="preserve">also </w:t>
      </w:r>
      <w:r w:rsidR="009607AA" w:rsidRPr="00E66B16">
        <w:rPr>
          <w:sz w:val="24"/>
          <w:szCs w:val="24"/>
        </w:rPr>
        <w:t>worries that regulatory</w:t>
      </w:r>
      <w:r w:rsidRPr="00E66B16">
        <w:rPr>
          <w:sz w:val="24"/>
          <w:szCs w:val="24"/>
        </w:rPr>
        <w:t xml:space="preserve"> control over the practice of psychologists and therapists would lead to ‘a nightmare of surveillance and perpetual insecurity’ (Parker, 2009, p.213). Parker was also concerned with the normative character</w:t>
      </w:r>
      <w:r w:rsidR="009607AA" w:rsidRPr="00E66B16">
        <w:rPr>
          <w:sz w:val="24"/>
          <w:szCs w:val="24"/>
        </w:rPr>
        <w:t xml:space="preserve"> of</w:t>
      </w:r>
      <w:r w:rsidRPr="00E66B16">
        <w:rPr>
          <w:sz w:val="24"/>
          <w:szCs w:val="24"/>
        </w:rPr>
        <w:t xml:space="preserve"> </w:t>
      </w:r>
      <w:r w:rsidR="009607AA" w:rsidRPr="00E66B16">
        <w:rPr>
          <w:sz w:val="24"/>
          <w:szCs w:val="24"/>
        </w:rPr>
        <w:t>regulation. In</w:t>
      </w:r>
      <w:r w:rsidRPr="00E66B16">
        <w:rPr>
          <w:sz w:val="24"/>
          <w:szCs w:val="24"/>
        </w:rPr>
        <w:t xml:space="preserve"> </w:t>
      </w:r>
      <w:r w:rsidR="00124457" w:rsidRPr="00E66B16">
        <w:rPr>
          <w:sz w:val="24"/>
          <w:szCs w:val="24"/>
        </w:rPr>
        <w:t xml:space="preserve">setting </w:t>
      </w:r>
      <w:r w:rsidR="009607AA" w:rsidRPr="00E66B16">
        <w:rPr>
          <w:sz w:val="24"/>
          <w:szCs w:val="24"/>
        </w:rPr>
        <w:t>‘</w:t>
      </w:r>
      <w:r w:rsidR="00124457" w:rsidRPr="00E66B16">
        <w:rPr>
          <w:sz w:val="24"/>
          <w:szCs w:val="24"/>
        </w:rPr>
        <w:t>of</w:t>
      </w:r>
      <w:r w:rsidR="009607AA" w:rsidRPr="00E66B16">
        <w:rPr>
          <w:sz w:val="24"/>
          <w:szCs w:val="24"/>
        </w:rPr>
        <w:t>ficial’</w:t>
      </w:r>
      <w:r w:rsidRPr="00E66B16">
        <w:rPr>
          <w:sz w:val="24"/>
          <w:szCs w:val="24"/>
        </w:rPr>
        <w:t xml:space="preserve"> moral</w:t>
      </w:r>
      <w:r w:rsidR="00124457" w:rsidRPr="00E66B16">
        <w:rPr>
          <w:sz w:val="24"/>
          <w:szCs w:val="24"/>
        </w:rPr>
        <w:t xml:space="preserve"> standards </w:t>
      </w:r>
      <w:r w:rsidR="009607AA" w:rsidRPr="00E66B16">
        <w:rPr>
          <w:sz w:val="24"/>
          <w:szCs w:val="24"/>
        </w:rPr>
        <w:t>by which practitioners were to be judged against</w:t>
      </w:r>
      <w:r w:rsidR="00124457" w:rsidRPr="00E66B16">
        <w:rPr>
          <w:sz w:val="24"/>
          <w:szCs w:val="24"/>
        </w:rPr>
        <w:t xml:space="preserve">, </w:t>
      </w:r>
      <w:r w:rsidR="009607AA" w:rsidRPr="00E66B16">
        <w:rPr>
          <w:sz w:val="24"/>
          <w:szCs w:val="24"/>
        </w:rPr>
        <w:t>the</w:t>
      </w:r>
      <w:r w:rsidR="007A2CD1" w:rsidRPr="00E66B16">
        <w:rPr>
          <w:sz w:val="24"/>
          <w:szCs w:val="24"/>
        </w:rPr>
        <w:t>re was</w:t>
      </w:r>
      <w:r w:rsidR="009607AA" w:rsidRPr="00E66B16">
        <w:rPr>
          <w:sz w:val="24"/>
          <w:szCs w:val="24"/>
        </w:rPr>
        <w:t xml:space="preserve"> a danger that an uncritical conform</w:t>
      </w:r>
      <w:r w:rsidR="007A2CD1" w:rsidRPr="00E66B16">
        <w:rPr>
          <w:sz w:val="24"/>
          <w:szCs w:val="24"/>
        </w:rPr>
        <w:t>ity to prevailing social mores w</w:t>
      </w:r>
      <w:r w:rsidR="009607AA" w:rsidRPr="00E66B16">
        <w:rPr>
          <w:sz w:val="24"/>
          <w:szCs w:val="24"/>
        </w:rPr>
        <w:t>ould ensue.</w:t>
      </w:r>
      <w:r w:rsidR="009607AA" w:rsidRPr="00E66B16">
        <w:rPr>
          <w:b/>
          <w:sz w:val="24"/>
          <w:szCs w:val="24"/>
        </w:rPr>
        <w:t xml:space="preserve"> </w:t>
      </w:r>
      <w:r w:rsidR="001443A9" w:rsidRPr="00E66B16">
        <w:rPr>
          <w:sz w:val="24"/>
          <w:szCs w:val="24"/>
        </w:rPr>
        <w:t>Others raised objections to the ‘tick box doxology’ of the r</w:t>
      </w:r>
      <w:r w:rsidR="00B45010" w:rsidRPr="00E66B16">
        <w:rPr>
          <w:sz w:val="24"/>
          <w:szCs w:val="24"/>
        </w:rPr>
        <w:t>egulatory process of the health professions</w:t>
      </w:r>
      <w:r w:rsidR="001443A9" w:rsidRPr="00E66B16">
        <w:rPr>
          <w:sz w:val="24"/>
          <w:szCs w:val="24"/>
        </w:rPr>
        <w:t xml:space="preserve"> (Postle, 2009), something that</w:t>
      </w:r>
      <w:r w:rsidR="00B2265F" w:rsidRPr="00E66B16">
        <w:rPr>
          <w:sz w:val="24"/>
          <w:szCs w:val="24"/>
        </w:rPr>
        <w:t xml:space="preserve"> had previously been identified</w:t>
      </w:r>
      <w:r w:rsidR="001443A9" w:rsidRPr="00E66B16">
        <w:rPr>
          <w:sz w:val="24"/>
          <w:szCs w:val="24"/>
        </w:rPr>
        <w:t xml:space="preserve"> as a danger</w:t>
      </w:r>
      <w:r w:rsidR="00B2265F" w:rsidRPr="00E66B16">
        <w:rPr>
          <w:sz w:val="24"/>
          <w:szCs w:val="24"/>
        </w:rPr>
        <w:t xml:space="preserve"> for social work as it moved</w:t>
      </w:r>
      <w:r w:rsidR="001443A9" w:rsidRPr="00E66B16">
        <w:rPr>
          <w:sz w:val="24"/>
          <w:szCs w:val="24"/>
        </w:rPr>
        <w:t xml:space="preserve"> towards competency-based training in the 1990s (Dominelli, 1996).</w:t>
      </w:r>
      <w:r w:rsidR="009607AA" w:rsidRPr="00E66B16">
        <w:rPr>
          <w:b/>
          <w:sz w:val="24"/>
          <w:szCs w:val="24"/>
        </w:rPr>
        <w:t xml:space="preserve"> </w:t>
      </w:r>
      <w:r w:rsidR="009607AA" w:rsidRPr="00E66B16">
        <w:rPr>
          <w:sz w:val="24"/>
          <w:szCs w:val="24"/>
        </w:rPr>
        <w:t xml:space="preserve">The concern here </w:t>
      </w:r>
      <w:r w:rsidR="00B45010" w:rsidRPr="00E66B16">
        <w:rPr>
          <w:sz w:val="24"/>
          <w:szCs w:val="24"/>
        </w:rPr>
        <w:t>i</w:t>
      </w:r>
      <w:r w:rsidR="009607AA" w:rsidRPr="00E66B16">
        <w:rPr>
          <w:sz w:val="24"/>
          <w:szCs w:val="24"/>
        </w:rPr>
        <w:t>s that ‘knowledge’ becomes treated as something packaged</w:t>
      </w:r>
      <w:r w:rsidR="00B45010" w:rsidRPr="00E66B16">
        <w:rPr>
          <w:sz w:val="24"/>
          <w:szCs w:val="24"/>
        </w:rPr>
        <w:t xml:space="preserve">, </w:t>
      </w:r>
      <w:r w:rsidR="009607AA" w:rsidRPr="00E66B16">
        <w:rPr>
          <w:sz w:val="24"/>
          <w:szCs w:val="24"/>
        </w:rPr>
        <w:t>appro</w:t>
      </w:r>
      <w:r w:rsidR="00B45010" w:rsidRPr="00E66B16">
        <w:rPr>
          <w:sz w:val="24"/>
          <w:szCs w:val="24"/>
        </w:rPr>
        <w:t>ved and monitored</w:t>
      </w:r>
      <w:r w:rsidR="00B45010" w:rsidRPr="00C84968">
        <w:rPr>
          <w:sz w:val="24"/>
          <w:szCs w:val="24"/>
          <w:u w:val="single"/>
        </w:rPr>
        <w:t xml:space="preserve"> </w:t>
      </w:r>
      <w:r w:rsidR="00B45010" w:rsidRPr="00E66B16">
        <w:rPr>
          <w:sz w:val="24"/>
          <w:szCs w:val="24"/>
        </w:rPr>
        <w:t>by the relevant authorities</w:t>
      </w:r>
      <w:r w:rsidR="009607AA" w:rsidRPr="00E66B16">
        <w:rPr>
          <w:sz w:val="24"/>
          <w:szCs w:val="24"/>
        </w:rPr>
        <w:t>, a process that severely restricts critical thinking or non-mainstream ways of viewing and treating individual and social problems</w:t>
      </w:r>
      <w:r w:rsidR="00B45010" w:rsidRPr="00E66B16">
        <w:rPr>
          <w:sz w:val="24"/>
          <w:szCs w:val="24"/>
        </w:rPr>
        <w:t xml:space="preserve"> (Parker, 2009)</w:t>
      </w:r>
      <w:r w:rsidR="009607AA" w:rsidRPr="00E66B16">
        <w:rPr>
          <w:sz w:val="24"/>
          <w:szCs w:val="24"/>
        </w:rPr>
        <w:t>.</w:t>
      </w:r>
    </w:p>
    <w:p w:rsidR="007A2CD1" w:rsidRDefault="007A2CD1" w:rsidP="00D507EA">
      <w:pPr>
        <w:spacing w:line="480" w:lineRule="auto"/>
        <w:rPr>
          <w:sz w:val="24"/>
          <w:szCs w:val="24"/>
        </w:rPr>
      </w:pPr>
    </w:p>
    <w:p w:rsidR="00833656" w:rsidRDefault="00C84968" w:rsidP="00D507EA">
      <w:pPr>
        <w:spacing w:line="480" w:lineRule="auto"/>
        <w:rPr>
          <w:sz w:val="24"/>
          <w:szCs w:val="24"/>
        </w:rPr>
      </w:pPr>
      <w:r>
        <w:rPr>
          <w:sz w:val="24"/>
          <w:szCs w:val="24"/>
        </w:rPr>
        <w:t>W</w:t>
      </w:r>
      <w:r w:rsidR="00300F43" w:rsidRPr="00AB4799">
        <w:rPr>
          <w:sz w:val="24"/>
          <w:szCs w:val="24"/>
        </w:rPr>
        <w:t>hilst</w:t>
      </w:r>
      <w:r w:rsidR="00287B98">
        <w:rPr>
          <w:sz w:val="24"/>
          <w:szCs w:val="24"/>
        </w:rPr>
        <w:t xml:space="preserve"> Haney certainly raises</w:t>
      </w:r>
      <w:r w:rsidR="00F427B1" w:rsidRPr="00AB4799">
        <w:rPr>
          <w:sz w:val="24"/>
          <w:szCs w:val="24"/>
        </w:rPr>
        <w:t xml:space="preserve"> a significant</w:t>
      </w:r>
      <w:r w:rsidR="00287B98">
        <w:rPr>
          <w:sz w:val="24"/>
          <w:szCs w:val="24"/>
        </w:rPr>
        <w:t xml:space="preserve"> issue</w:t>
      </w:r>
      <w:r w:rsidR="00300F43" w:rsidRPr="00AB4799">
        <w:rPr>
          <w:sz w:val="24"/>
          <w:szCs w:val="24"/>
        </w:rPr>
        <w:t xml:space="preserve"> </w:t>
      </w:r>
      <w:r w:rsidR="00F427B1" w:rsidRPr="00AB4799">
        <w:rPr>
          <w:sz w:val="24"/>
          <w:szCs w:val="24"/>
        </w:rPr>
        <w:t xml:space="preserve">she </w:t>
      </w:r>
      <w:r w:rsidR="00287B98">
        <w:rPr>
          <w:sz w:val="24"/>
          <w:szCs w:val="24"/>
        </w:rPr>
        <w:t>perhaps</w:t>
      </w:r>
      <w:r w:rsidR="00F427B1" w:rsidRPr="00AB4799">
        <w:rPr>
          <w:sz w:val="24"/>
          <w:szCs w:val="24"/>
        </w:rPr>
        <w:t xml:space="preserve"> overstate</w:t>
      </w:r>
      <w:r w:rsidR="006E5534">
        <w:rPr>
          <w:sz w:val="24"/>
          <w:szCs w:val="24"/>
        </w:rPr>
        <w:t>s</w:t>
      </w:r>
      <w:r w:rsidR="00F427B1" w:rsidRPr="00AB4799">
        <w:rPr>
          <w:sz w:val="24"/>
          <w:szCs w:val="24"/>
        </w:rPr>
        <w:t xml:space="preserve"> the case when she argues that there wa</w:t>
      </w:r>
      <w:r w:rsidR="00300F43" w:rsidRPr="00AB4799">
        <w:rPr>
          <w:sz w:val="24"/>
          <w:szCs w:val="24"/>
        </w:rPr>
        <w:t>s no knowledge of profession</w:t>
      </w:r>
      <w:r>
        <w:rPr>
          <w:sz w:val="24"/>
          <w:szCs w:val="24"/>
        </w:rPr>
        <w:t>al practice within the HPC and latterly the HCPC</w:t>
      </w:r>
      <w:r w:rsidR="007A2CD1">
        <w:rPr>
          <w:sz w:val="24"/>
          <w:szCs w:val="24"/>
        </w:rPr>
        <w:t>. It did, f</w:t>
      </w:r>
      <w:r w:rsidR="00F427B1" w:rsidRPr="00AB4799">
        <w:rPr>
          <w:sz w:val="24"/>
          <w:szCs w:val="24"/>
        </w:rPr>
        <w:t xml:space="preserve">or </w:t>
      </w:r>
      <w:r w:rsidR="007A2CD1">
        <w:rPr>
          <w:sz w:val="24"/>
          <w:szCs w:val="24"/>
        </w:rPr>
        <w:t>example,</w:t>
      </w:r>
      <w:r w:rsidR="00F427B1" w:rsidRPr="00AB4799">
        <w:rPr>
          <w:sz w:val="24"/>
          <w:szCs w:val="24"/>
        </w:rPr>
        <w:t xml:space="preserve"> </w:t>
      </w:r>
      <w:r w:rsidR="007A2CD1">
        <w:rPr>
          <w:sz w:val="24"/>
          <w:szCs w:val="24"/>
        </w:rPr>
        <w:t>create</w:t>
      </w:r>
      <w:r w:rsidR="00300F43" w:rsidRPr="00AB4799">
        <w:rPr>
          <w:sz w:val="24"/>
          <w:szCs w:val="24"/>
        </w:rPr>
        <w:t xml:space="preserve"> the </w:t>
      </w:r>
      <w:r w:rsidR="00300F43" w:rsidRPr="00AB4799">
        <w:rPr>
          <w:i/>
          <w:sz w:val="24"/>
          <w:szCs w:val="24"/>
        </w:rPr>
        <w:t>Standards of Proficiency</w:t>
      </w:r>
      <w:r w:rsidR="00300F43" w:rsidRPr="00AB4799">
        <w:rPr>
          <w:sz w:val="24"/>
          <w:szCs w:val="24"/>
        </w:rPr>
        <w:t xml:space="preserve"> (SOPs) which set standards for practice </w:t>
      </w:r>
      <w:r w:rsidR="00E602AA" w:rsidRPr="00AB4799">
        <w:rPr>
          <w:sz w:val="24"/>
          <w:szCs w:val="24"/>
        </w:rPr>
        <w:t>for each of the sixteen professions that the</w:t>
      </w:r>
      <w:r w:rsidR="00300F43" w:rsidRPr="00AB4799">
        <w:rPr>
          <w:sz w:val="24"/>
          <w:szCs w:val="24"/>
        </w:rPr>
        <w:t xml:space="preserve"> HCPC </w:t>
      </w:r>
      <w:r w:rsidR="00E602AA" w:rsidRPr="00AB4799">
        <w:rPr>
          <w:sz w:val="24"/>
          <w:szCs w:val="24"/>
        </w:rPr>
        <w:t xml:space="preserve">regulates, </w:t>
      </w:r>
      <w:r w:rsidR="00F427B1" w:rsidRPr="00AB4799">
        <w:rPr>
          <w:sz w:val="24"/>
          <w:szCs w:val="24"/>
        </w:rPr>
        <w:t xml:space="preserve">an action </w:t>
      </w:r>
      <w:r w:rsidR="0068790B" w:rsidRPr="00AB4799">
        <w:rPr>
          <w:sz w:val="24"/>
          <w:szCs w:val="24"/>
        </w:rPr>
        <w:t>which requires</w:t>
      </w:r>
      <w:r w:rsidR="00E602AA" w:rsidRPr="00AB4799">
        <w:rPr>
          <w:sz w:val="24"/>
          <w:szCs w:val="24"/>
        </w:rPr>
        <w:t xml:space="preserve"> some knowledge of</w:t>
      </w:r>
      <w:r w:rsidR="00320ADA">
        <w:rPr>
          <w:sz w:val="24"/>
          <w:szCs w:val="24"/>
        </w:rPr>
        <w:t>, and engagement with</w:t>
      </w:r>
      <w:r w:rsidR="00833656">
        <w:rPr>
          <w:sz w:val="24"/>
          <w:szCs w:val="24"/>
        </w:rPr>
        <w:t>,</w:t>
      </w:r>
      <w:r w:rsidR="00E602AA" w:rsidRPr="00AB4799">
        <w:rPr>
          <w:sz w:val="24"/>
          <w:szCs w:val="24"/>
        </w:rPr>
        <w:t xml:space="preserve"> the</w:t>
      </w:r>
      <w:r w:rsidR="00F427B1" w:rsidRPr="00AB4799">
        <w:rPr>
          <w:sz w:val="24"/>
          <w:szCs w:val="24"/>
        </w:rPr>
        <w:t xml:space="preserve"> profession in question. </w:t>
      </w:r>
      <w:r w:rsidR="00320ADA">
        <w:rPr>
          <w:sz w:val="24"/>
          <w:szCs w:val="24"/>
        </w:rPr>
        <w:t xml:space="preserve">Nonetheless, </w:t>
      </w:r>
      <w:r w:rsidR="00E602AA" w:rsidRPr="00AB4799">
        <w:rPr>
          <w:sz w:val="24"/>
          <w:szCs w:val="24"/>
        </w:rPr>
        <w:t xml:space="preserve"> due to</w:t>
      </w:r>
      <w:r w:rsidR="00300F43" w:rsidRPr="00AB4799">
        <w:rPr>
          <w:sz w:val="24"/>
          <w:szCs w:val="24"/>
        </w:rPr>
        <w:t xml:space="preserve"> the num</w:t>
      </w:r>
      <w:r w:rsidR="00F427B1" w:rsidRPr="00AB4799">
        <w:rPr>
          <w:sz w:val="24"/>
          <w:szCs w:val="24"/>
        </w:rPr>
        <w:t xml:space="preserve">bers of </w:t>
      </w:r>
      <w:r>
        <w:rPr>
          <w:sz w:val="24"/>
          <w:szCs w:val="24"/>
        </w:rPr>
        <w:t>professions it oversees, it can</w:t>
      </w:r>
      <w:r w:rsidR="00F427B1" w:rsidRPr="00AB4799">
        <w:rPr>
          <w:sz w:val="24"/>
          <w:szCs w:val="24"/>
        </w:rPr>
        <w:t xml:space="preserve"> </w:t>
      </w:r>
      <w:r w:rsidR="00217402">
        <w:rPr>
          <w:sz w:val="24"/>
          <w:szCs w:val="24"/>
        </w:rPr>
        <w:t>present</w:t>
      </w:r>
      <w:r w:rsidR="00E602AA" w:rsidRPr="00AB4799">
        <w:rPr>
          <w:sz w:val="24"/>
          <w:szCs w:val="24"/>
        </w:rPr>
        <w:t xml:space="preserve"> as </w:t>
      </w:r>
      <w:r>
        <w:rPr>
          <w:sz w:val="24"/>
          <w:szCs w:val="24"/>
        </w:rPr>
        <w:t>being</w:t>
      </w:r>
      <w:r w:rsidR="00F427B1" w:rsidRPr="00AB4799">
        <w:rPr>
          <w:sz w:val="24"/>
          <w:szCs w:val="24"/>
        </w:rPr>
        <w:t xml:space="preserve"> more akin to that of an</w:t>
      </w:r>
      <w:r w:rsidR="00E602AA" w:rsidRPr="00AB4799">
        <w:rPr>
          <w:sz w:val="24"/>
          <w:szCs w:val="24"/>
        </w:rPr>
        <w:t xml:space="preserve"> external lay regulator</w:t>
      </w:r>
      <w:r w:rsidR="00320ADA">
        <w:rPr>
          <w:sz w:val="24"/>
          <w:szCs w:val="24"/>
        </w:rPr>
        <w:t xml:space="preserve"> applying generic processes and standards across all the professions it regulates</w:t>
      </w:r>
      <w:r w:rsidR="00300F43" w:rsidRPr="00AB4799">
        <w:rPr>
          <w:sz w:val="24"/>
          <w:szCs w:val="24"/>
        </w:rPr>
        <w:t xml:space="preserve">. </w:t>
      </w:r>
      <w:r w:rsidR="00320ADA">
        <w:rPr>
          <w:sz w:val="24"/>
          <w:szCs w:val="24"/>
        </w:rPr>
        <w:t>I</w:t>
      </w:r>
      <w:r w:rsidR="00F427B1" w:rsidRPr="00AB4799">
        <w:rPr>
          <w:sz w:val="24"/>
          <w:szCs w:val="24"/>
        </w:rPr>
        <w:t xml:space="preserve">n contrast, the GSCC was </w:t>
      </w:r>
      <w:r w:rsidR="00320ADA">
        <w:rPr>
          <w:sz w:val="24"/>
          <w:szCs w:val="24"/>
        </w:rPr>
        <w:t xml:space="preserve">arguably </w:t>
      </w:r>
      <w:r w:rsidR="00F427B1" w:rsidRPr="00AB4799">
        <w:rPr>
          <w:sz w:val="24"/>
          <w:szCs w:val="24"/>
        </w:rPr>
        <w:t xml:space="preserve">able to develop </w:t>
      </w:r>
      <w:r w:rsidR="00320ADA">
        <w:rPr>
          <w:sz w:val="24"/>
          <w:szCs w:val="24"/>
        </w:rPr>
        <w:t xml:space="preserve">a </w:t>
      </w:r>
      <w:r w:rsidR="00F427B1" w:rsidRPr="00AB4799">
        <w:rPr>
          <w:sz w:val="24"/>
          <w:szCs w:val="24"/>
        </w:rPr>
        <w:t>greater depth</w:t>
      </w:r>
      <w:r w:rsidR="00320ADA">
        <w:rPr>
          <w:sz w:val="24"/>
          <w:szCs w:val="24"/>
        </w:rPr>
        <w:t xml:space="preserve"> of professional knowledge and understanding</w:t>
      </w:r>
      <w:r w:rsidR="00F427B1" w:rsidRPr="00AB4799">
        <w:rPr>
          <w:sz w:val="24"/>
          <w:szCs w:val="24"/>
        </w:rPr>
        <w:t xml:space="preserve"> with its</w:t>
      </w:r>
      <w:r w:rsidR="00320ADA">
        <w:rPr>
          <w:sz w:val="24"/>
          <w:szCs w:val="24"/>
        </w:rPr>
        <w:t xml:space="preserve"> more</w:t>
      </w:r>
      <w:r w:rsidR="00300F43" w:rsidRPr="00AB4799">
        <w:rPr>
          <w:sz w:val="24"/>
          <w:szCs w:val="24"/>
        </w:rPr>
        <w:t xml:space="preserve"> ‘specialist’ model </w:t>
      </w:r>
      <w:r w:rsidR="00F427B1" w:rsidRPr="00AB4799">
        <w:rPr>
          <w:sz w:val="24"/>
          <w:szCs w:val="24"/>
        </w:rPr>
        <w:t xml:space="preserve">of knowledge in practice as a result of having that connection with the </w:t>
      </w:r>
      <w:r w:rsidR="00320ADA">
        <w:rPr>
          <w:sz w:val="24"/>
          <w:szCs w:val="24"/>
        </w:rPr>
        <w:t>one (</w:t>
      </w:r>
      <w:r w:rsidR="00F427B1" w:rsidRPr="00AB4799">
        <w:rPr>
          <w:sz w:val="24"/>
          <w:szCs w:val="24"/>
        </w:rPr>
        <w:t>social work</w:t>
      </w:r>
      <w:r w:rsidR="00320ADA">
        <w:rPr>
          <w:sz w:val="24"/>
          <w:szCs w:val="24"/>
        </w:rPr>
        <w:t>)</w:t>
      </w:r>
      <w:r w:rsidR="00F427B1" w:rsidRPr="00AB4799">
        <w:rPr>
          <w:sz w:val="24"/>
          <w:szCs w:val="24"/>
        </w:rPr>
        <w:t xml:space="preserve"> role</w:t>
      </w:r>
      <w:r w:rsidR="0068790B">
        <w:rPr>
          <w:sz w:val="24"/>
          <w:szCs w:val="24"/>
        </w:rPr>
        <w:t>.</w:t>
      </w:r>
      <w:r w:rsidR="00E602AA" w:rsidRPr="00AB4799">
        <w:rPr>
          <w:sz w:val="24"/>
          <w:szCs w:val="24"/>
        </w:rPr>
        <w:t xml:space="preserve"> </w:t>
      </w:r>
    </w:p>
    <w:p w:rsidR="007A2CD1" w:rsidRDefault="007A2CD1" w:rsidP="00D507EA">
      <w:pPr>
        <w:spacing w:line="480" w:lineRule="auto"/>
        <w:rPr>
          <w:sz w:val="24"/>
          <w:szCs w:val="24"/>
        </w:rPr>
      </w:pPr>
    </w:p>
    <w:p w:rsidR="001E286C" w:rsidRPr="000F531F" w:rsidRDefault="007A2CD1" w:rsidP="00D507EA">
      <w:pPr>
        <w:spacing w:line="480" w:lineRule="auto"/>
        <w:rPr>
          <w:sz w:val="24"/>
          <w:szCs w:val="24"/>
        </w:rPr>
      </w:pPr>
      <w:r>
        <w:rPr>
          <w:sz w:val="24"/>
          <w:szCs w:val="24"/>
        </w:rPr>
        <w:t>Despite the rise in</w:t>
      </w:r>
      <w:r w:rsidR="001E286C" w:rsidRPr="000F531F">
        <w:rPr>
          <w:sz w:val="24"/>
          <w:szCs w:val="24"/>
        </w:rPr>
        <w:t xml:space="preserve"> state regulation of the professions by bodies such as the HPC, GSCC </w:t>
      </w:r>
      <w:r w:rsidRPr="000F531F">
        <w:rPr>
          <w:sz w:val="24"/>
          <w:szCs w:val="24"/>
        </w:rPr>
        <w:t>and now</w:t>
      </w:r>
      <w:r w:rsidR="00A113D0">
        <w:rPr>
          <w:sz w:val="24"/>
          <w:szCs w:val="24"/>
        </w:rPr>
        <w:t xml:space="preserve"> the</w:t>
      </w:r>
      <w:r w:rsidR="001E286C" w:rsidRPr="000F531F">
        <w:rPr>
          <w:sz w:val="24"/>
          <w:szCs w:val="24"/>
        </w:rPr>
        <w:t xml:space="preserve"> HCPC there has been relatively little criticism of such developments. Whilst inspection regimes such as Ofsted </w:t>
      </w:r>
      <w:r w:rsidR="00A113D0">
        <w:rPr>
          <w:sz w:val="24"/>
          <w:szCs w:val="24"/>
        </w:rPr>
        <w:t>are</w:t>
      </w:r>
      <w:r w:rsidR="001E286C" w:rsidRPr="000F531F">
        <w:rPr>
          <w:sz w:val="24"/>
          <w:szCs w:val="24"/>
        </w:rPr>
        <w:t xml:space="preserve"> held up to ridi</w:t>
      </w:r>
      <w:r w:rsidR="00F427B1">
        <w:rPr>
          <w:sz w:val="24"/>
          <w:szCs w:val="24"/>
        </w:rPr>
        <w:t>cule by many, such sentiment is rarely expressed towards</w:t>
      </w:r>
      <w:r w:rsidR="001E286C" w:rsidRPr="000F531F">
        <w:rPr>
          <w:sz w:val="24"/>
          <w:szCs w:val="24"/>
        </w:rPr>
        <w:t xml:space="preserve"> the regulation of the health and care professions</w:t>
      </w:r>
      <w:r w:rsidR="00833656">
        <w:rPr>
          <w:sz w:val="24"/>
          <w:szCs w:val="24"/>
        </w:rPr>
        <w:t>,</w:t>
      </w:r>
      <w:r w:rsidR="001443A9">
        <w:rPr>
          <w:sz w:val="24"/>
          <w:szCs w:val="24"/>
        </w:rPr>
        <w:t xml:space="preserve"> and relatively few critical voices have been heard</w:t>
      </w:r>
      <w:r w:rsidR="00C84968">
        <w:rPr>
          <w:sz w:val="24"/>
          <w:szCs w:val="24"/>
        </w:rPr>
        <w:t xml:space="preserve"> (some exceptions are </w:t>
      </w:r>
      <w:r w:rsidR="001E286C" w:rsidRPr="000F531F">
        <w:rPr>
          <w:sz w:val="24"/>
          <w:szCs w:val="24"/>
        </w:rPr>
        <w:t xml:space="preserve">McLaughlin, 2007; </w:t>
      </w:r>
      <w:r w:rsidR="00B33477">
        <w:rPr>
          <w:sz w:val="24"/>
          <w:szCs w:val="24"/>
        </w:rPr>
        <w:t xml:space="preserve">House and Totton; 1997; Parker and Revelli, 2009; </w:t>
      </w:r>
      <w:r w:rsidR="001E286C" w:rsidRPr="000F531F">
        <w:rPr>
          <w:sz w:val="24"/>
          <w:szCs w:val="24"/>
        </w:rPr>
        <w:t>Haney, 2012</w:t>
      </w:r>
      <w:r w:rsidR="00681320" w:rsidRPr="000F531F">
        <w:rPr>
          <w:sz w:val="24"/>
          <w:szCs w:val="24"/>
        </w:rPr>
        <w:t>; Furness, 2013</w:t>
      </w:r>
      <w:r w:rsidR="001E286C" w:rsidRPr="000F531F">
        <w:rPr>
          <w:sz w:val="24"/>
          <w:szCs w:val="24"/>
        </w:rPr>
        <w:t>). For Haney, the abolition of the H</w:t>
      </w:r>
      <w:r w:rsidR="00F427B1">
        <w:rPr>
          <w:sz w:val="24"/>
          <w:szCs w:val="24"/>
        </w:rPr>
        <w:t>C</w:t>
      </w:r>
      <w:r w:rsidR="001E286C" w:rsidRPr="000F531F">
        <w:rPr>
          <w:sz w:val="24"/>
          <w:szCs w:val="24"/>
        </w:rPr>
        <w:t xml:space="preserve">PC </w:t>
      </w:r>
      <w:r w:rsidR="00F427B1">
        <w:rPr>
          <w:sz w:val="24"/>
          <w:szCs w:val="24"/>
        </w:rPr>
        <w:t xml:space="preserve">would allow </w:t>
      </w:r>
      <w:r w:rsidR="001E286C" w:rsidRPr="000F531F">
        <w:rPr>
          <w:sz w:val="24"/>
          <w:szCs w:val="24"/>
        </w:rPr>
        <w:t>a return to work-based regulation</w:t>
      </w:r>
      <w:r w:rsidR="00A113D0">
        <w:rPr>
          <w:sz w:val="24"/>
          <w:szCs w:val="24"/>
        </w:rPr>
        <w:t xml:space="preserve"> and offer an opportunity for</w:t>
      </w:r>
      <w:r w:rsidR="001E286C" w:rsidRPr="000F531F">
        <w:rPr>
          <w:sz w:val="24"/>
          <w:szCs w:val="24"/>
        </w:rPr>
        <w:t xml:space="preserve"> the vast amount of money subsumed by such a monolithic body to be reinvested in more productive, intelligent work. The problem with regulation being in the hands of an external body</w:t>
      </w:r>
      <w:r w:rsidR="00F427B1">
        <w:rPr>
          <w:sz w:val="24"/>
          <w:szCs w:val="24"/>
        </w:rPr>
        <w:t>, she argues,</w:t>
      </w:r>
      <w:r w:rsidR="001E286C" w:rsidRPr="000F531F">
        <w:rPr>
          <w:sz w:val="24"/>
          <w:szCs w:val="24"/>
        </w:rPr>
        <w:t xml:space="preserve"> is that when it is</w:t>
      </w:r>
      <w:r w:rsidR="00287B98">
        <w:rPr>
          <w:sz w:val="24"/>
          <w:szCs w:val="24"/>
        </w:rPr>
        <w:t>:</w:t>
      </w:r>
    </w:p>
    <w:p w:rsidR="00DF53A4" w:rsidRDefault="00287B98" w:rsidP="00F427B1">
      <w:pPr>
        <w:spacing w:line="240" w:lineRule="auto"/>
        <w:ind w:left="567"/>
        <w:rPr>
          <w:sz w:val="24"/>
          <w:szCs w:val="24"/>
        </w:rPr>
      </w:pPr>
      <w:r>
        <w:rPr>
          <w:sz w:val="24"/>
          <w:szCs w:val="24"/>
        </w:rPr>
        <w:t>..</w:t>
      </w:r>
      <w:r w:rsidR="001E286C" w:rsidRPr="000F531F">
        <w:rPr>
          <w:sz w:val="24"/>
          <w:szCs w:val="24"/>
        </w:rPr>
        <w:t xml:space="preserve">split off and handed to people who are asked to know nothing of the practice, a lacuna is created. In such a case no reason, no body of knowledge, no evidence, no discrete idea or philosophy underpins the ‘system’ of regulation – these are the conditions in which political and economic power can grow unchecked. </w:t>
      </w:r>
    </w:p>
    <w:p w:rsidR="001E286C" w:rsidRPr="000F531F" w:rsidRDefault="001E286C" w:rsidP="00DF53A4">
      <w:pPr>
        <w:spacing w:line="240" w:lineRule="auto"/>
        <w:ind w:left="567"/>
        <w:jc w:val="right"/>
        <w:rPr>
          <w:sz w:val="24"/>
          <w:szCs w:val="24"/>
        </w:rPr>
      </w:pPr>
      <w:r w:rsidRPr="000F531F">
        <w:rPr>
          <w:sz w:val="24"/>
          <w:szCs w:val="24"/>
        </w:rPr>
        <w:t>(Haney, 2012, p.9)</w:t>
      </w:r>
    </w:p>
    <w:p w:rsidR="00E602AA" w:rsidRPr="000F531F" w:rsidRDefault="001E286C" w:rsidP="00D507EA">
      <w:pPr>
        <w:spacing w:line="480" w:lineRule="auto"/>
        <w:ind w:hanging="720"/>
        <w:rPr>
          <w:sz w:val="24"/>
          <w:szCs w:val="24"/>
        </w:rPr>
      </w:pPr>
      <w:r w:rsidRPr="000F531F">
        <w:rPr>
          <w:sz w:val="24"/>
          <w:szCs w:val="24"/>
        </w:rPr>
        <w:t xml:space="preserve">             </w:t>
      </w:r>
    </w:p>
    <w:p w:rsidR="00F7741F" w:rsidRDefault="00E602AA" w:rsidP="00823D64">
      <w:pPr>
        <w:spacing w:line="480" w:lineRule="auto"/>
        <w:ind w:hanging="720"/>
        <w:rPr>
          <w:sz w:val="24"/>
          <w:szCs w:val="24"/>
        </w:rPr>
      </w:pPr>
      <w:r w:rsidRPr="000F531F">
        <w:rPr>
          <w:sz w:val="24"/>
          <w:szCs w:val="24"/>
        </w:rPr>
        <w:tab/>
      </w:r>
      <w:r w:rsidR="00F427B1" w:rsidRPr="00823D64">
        <w:rPr>
          <w:sz w:val="24"/>
          <w:szCs w:val="24"/>
        </w:rPr>
        <w:t xml:space="preserve">Although Haney does have a point, she does overlook </w:t>
      </w:r>
      <w:r w:rsidR="00EF7B00">
        <w:rPr>
          <w:sz w:val="24"/>
          <w:szCs w:val="24"/>
        </w:rPr>
        <w:t>some elements of professional involvement and engagement</w:t>
      </w:r>
      <w:r w:rsidR="00F427B1" w:rsidRPr="00823D64">
        <w:rPr>
          <w:sz w:val="24"/>
          <w:szCs w:val="24"/>
        </w:rPr>
        <w:t xml:space="preserve">. </w:t>
      </w:r>
      <w:r w:rsidRPr="00823D64">
        <w:rPr>
          <w:sz w:val="24"/>
          <w:szCs w:val="24"/>
        </w:rPr>
        <w:t xml:space="preserve">For example, </w:t>
      </w:r>
      <w:r w:rsidR="00EF7B00">
        <w:rPr>
          <w:sz w:val="24"/>
          <w:szCs w:val="24"/>
        </w:rPr>
        <w:t>a wide range of organisation</w:t>
      </w:r>
      <w:r w:rsidR="00F224D3">
        <w:rPr>
          <w:sz w:val="24"/>
          <w:szCs w:val="24"/>
        </w:rPr>
        <w:t>s</w:t>
      </w:r>
      <w:r w:rsidR="00EF7B00">
        <w:rPr>
          <w:sz w:val="24"/>
          <w:szCs w:val="24"/>
        </w:rPr>
        <w:t xml:space="preserve"> responded to the open consultation on the </w:t>
      </w:r>
      <w:r w:rsidRPr="00823D64">
        <w:rPr>
          <w:sz w:val="24"/>
          <w:szCs w:val="24"/>
        </w:rPr>
        <w:t xml:space="preserve">construction of the </w:t>
      </w:r>
      <w:r w:rsidRPr="00823D64">
        <w:rPr>
          <w:i/>
          <w:sz w:val="24"/>
          <w:szCs w:val="24"/>
        </w:rPr>
        <w:t>Standards of Proficiency for Social Work</w:t>
      </w:r>
      <w:r w:rsidR="00EF7B00">
        <w:rPr>
          <w:sz w:val="24"/>
          <w:szCs w:val="24"/>
        </w:rPr>
        <w:t xml:space="preserve">, including The College of Social Work, the British </w:t>
      </w:r>
      <w:r w:rsidR="00F224D3">
        <w:rPr>
          <w:sz w:val="24"/>
          <w:szCs w:val="24"/>
        </w:rPr>
        <w:t>Association</w:t>
      </w:r>
      <w:r w:rsidR="00287B98">
        <w:rPr>
          <w:sz w:val="24"/>
          <w:szCs w:val="24"/>
        </w:rPr>
        <w:t xml:space="preserve"> of Social Workers, </w:t>
      </w:r>
      <w:r w:rsidR="00EF7B00">
        <w:rPr>
          <w:sz w:val="24"/>
          <w:szCs w:val="24"/>
        </w:rPr>
        <w:t xml:space="preserve">the </w:t>
      </w:r>
      <w:r w:rsidR="00F224D3">
        <w:rPr>
          <w:sz w:val="24"/>
          <w:szCs w:val="24"/>
        </w:rPr>
        <w:t>Association</w:t>
      </w:r>
      <w:r w:rsidR="00EF7B00">
        <w:rPr>
          <w:sz w:val="24"/>
          <w:szCs w:val="24"/>
        </w:rPr>
        <w:t xml:space="preserve"> of Professors of Social Work and the </w:t>
      </w:r>
      <w:r w:rsidR="00F224D3">
        <w:rPr>
          <w:sz w:val="24"/>
          <w:szCs w:val="24"/>
        </w:rPr>
        <w:t>Association</w:t>
      </w:r>
      <w:r w:rsidR="00EF7B00">
        <w:rPr>
          <w:sz w:val="24"/>
          <w:szCs w:val="24"/>
        </w:rPr>
        <w:t xml:space="preserve"> of Directors of Adult Social Services (HCPC 2011)</w:t>
      </w:r>
      <w:r w:rsidR="00F427B1" w:rsidRPr="00823D64">
        <w:rPr>
          <w:sz w:val="24"/>
          <w:szCs w:val="24"/>
        </w:rPr>
        <w:t xml:space="preserve">. </w:t>
      </w:r>
      <w:r w:rsidR="00EF7B00">
        <w:rPr>
          <w:sz w:val="24"/>
          <w:szCs w:val="24"/>
        </w:rPr>
        <w:t xml:space="preserve">Furthermore, </w:t>
      </w:r>
      <w:r w:rsidRPr="00823D64">
        <w:rPr>
          <w:sz w:val="24"/>
          <w:szCs w:val="24"/>
        </w:rPr>
        <w:t>the ‘reviewers’ who go out and</w:t>
      </w:r>
      <w:r w:rsidR="00823D64" w:rsidRPr="00823D64">
        <w:rPr>
          <w:sz w:val="24"/>
          <w:szCs w:val="24"/>
        </w:rPr>
        <w:t xml:space="preserve"> actually</w:t>
      </w:r>
      <w:r w:rsidRPr="00823D64">
        <w:rPr>
          <w:sz w:val="24"/>
          <w:szCs w:val="24"/>
        </w:rPr>
        <w:t xml:space="preserve"> inspect programmes </w:t>
      </w:r>
      <w:r w:rsidR="00823D64" w:rsidRPr="00823D64">
        <w:rPr>
          <w:sz w:val="24"/>
          <w:szCs w:val="24"/>
        </w:rPr>
        <w:t xml:space="preserve">which are being </w:t>
      </w:r>
      <w:r w:rsidR="00EF7B00" w:rsidRPr="00823D64">
        <w:rPr>
          <w:sz w:val="24"/>
          <w:szCs w:val="24"/>
        </w:rPr>
        <w:t>delivered</w:t>
      </w:r>
      <w:r w:rsidR="00823D64" w:rsidRPr="00823D64">
        <w:rPr>
          <w:sz w:val="24"/>
          <w:szCs w:val="24"/>
        </w:rPr>
        <w:t xml:space="preserve"> </w:t>
      </w:r>
      <w:r w:rsidRPr="00823D64">
        <w:rPr>
          <w:sz w:val="24"/>
          <w:szCs w:val="24"/>
        </w:rPr>
        <w:t>are</w:t>
      </w:r>
      <w:r w:rsidR="00EF7B00">
        <w:rPr>
          <w:sz w:val="24"/>
          <w:szCs w:val="24"/>
        </w:rPr>
        <w:t xml:space="preserve"> primarily</w:t>
      </w:r>
      <w:r w:rsidRPr="00823D64">
        <w:rPr>
          <w:sz w:val="24"/>
          <w:szCs w:val="24"/>
        </w:rPr>
        <w:t xml:space="preserve"> from the</w:t>
      </w:r>
      <w:r w:rsidR="007A2CD1">
        <w:rPr>
          <w:sz w:val="24"/>
          <w:szCs w:val="24"/>
        </w:rPr>
        <w:t>ir</w:t>
      </w:r>
      <w:r w:rsidR="00EF7B00">
        <w:rPr>
          <w:sz w:val="24"/>
          <w:szCs w:val="24"/>
        </w:rPr>
        <w:t xml:space="preserve"> ‘home’</w:t>
      </w:r>
      <w:r w:rsidRPr="00823D64">
        <w:rPr>
          <w:sz w:val="24"/>
          <w:szCs w:val="24"/>
        </w:rPr>
        <w:t xml:space="preserve"> profession. </w:t>
      </w:r>
    </w:p>
    <w:p w:rsidR="00287B98" w:rsidRDefault="00287B98" w:rsidP="00823D64">
      <w:pPr>
        <w:spacing w:line="480" w:lineRule="auto"/>
        <w:ind w:hanging="720"/>
        <w:rPr>
          <w:sz w:val="24"/>
          <w:szCs w:val="24"/>
        </w:rPr>
      </w:pPr>
      <w:r>
        <w:rPr>
          <w:sz w:val="24"/>
          <w:szCs w:val="24"/>
        </w:rPr>
        <w:tab/>
      </w:r>
    </w:p>
    <w:p w:rsidR="001E286C" w:rsidRPr="000F531F" w:rsidRDefault="00287B98" w:rsidP="00823D64">
      <w:pPr>
        <w:spacing w:line="480" w:lineRule="auto"/>
        <w:ind w:hanging="720"/>
        <w:rPr>
          <w:sz w:val="24"/>
          <w:szCs w:val="24"/>
        </w:rPr>
      </w:pPr>
      <w:r>
        <w:rPr>
          <w:sz w:val="24"/>
          <w:szCs w:val="24"/>
        </w:rPr>
        <w:tab/>
      </w:r>
      <w:r w:rsidR="00823D64">
        <w:rPr>
          <w:sz w:val="24"/>
          <w:szCs w:val="24"/>
        </w:rPr>
        <w:t xml:space="preserve">When discussing the call from </w:t>
      </w:r>
      <w:r w:rsidR="001E286C" w:rsidRPr="000F531F">
        <w:rPr>
          <w:sz w:val="24"/>
          <w:szCs w:val="24"/>
        </w:rPr>
        <w:t xml:space="preserve">within government </w:t>
      </w:r>
      <w:r w:rsidR="006806FE">
        <w:rPr>
          <w:sz w:val="24"/>
          <w:szCs w:val="24"/>
        </w:rPr>
        <w:t xml:space="preserve">relating to </w:t>
      </w:r>
      <w:r w:rsidR="00823D64">
        <w:rPr>
          <w:sz w:val="24"/>
          <w:szCs w:val="24"/>
        </w:rPr>
        <w:t>the need for professional state regu</w:t>
      </w:r>
      <w:r w:rsidR="006806FE">
        <w:rPr>
          <w:sz w:val="24"/>
          <w:szCs w:val="24"/>
        </w:rPr>
        <w:t xml:space="preserve">lation, Haney argues </w:t>
      </w:r>
      <w:r w:rsidR="001E286C" w:rsidRPr="000F531F">
        <w:rPr>
          <w:sz w:val="24"/>
          <w:szCs w:val="24"/>
        </w:rPr>
        <w:t xml:space="preserve">that ‘today’s professional class appears like the old unions, something to be controlled and contained’ (Haney, 2012, p.10).  </w:t>
      </w:r>
      <w:r w:rsidR="00823D64">
        <w:rPr>
          <w:sz w:val="24"/>
          <w:szCs w:val="24"/>
        </w:rPr>
        <w:t xml:space="preserve">Yet in order to fully understand Haney’s argument we need to consider her position in the debate. As a former psychoanalyst, </w:t>
      </w:r>
      <w:r w:rsidR="001E286C" w:rsidRPr="000F531F">
        <w:rPr>
          <w:sz w:val="24"/>
          <w:szCs w:val="24"/>
        </w:rPr>
        <w:t>Haney’s call for such professionals to be left al</w:t>
      </w:r>
      <w:r w:rsidR="00681320" w:rsidRPr="000F531F">
        <w:rPr>
          <w:sz w:val="24"/>
          <w:szCs w:val="24"/>
        </w:rPr>
        <w:t>one from statutory regulation</w:t>
      </w:r>
      <w:r w:rsidR="001E286C" w:rsidRPr="000F531F">
        <w:rPr>
          <w:sz w:val="24"/>
          <w:szCs w:val="24"/>
        </w:rPr>
        <w:t xml:space="preserve"> </w:t>
      </w:r>
      <w:r w:rsidR="00823D64">
        <w:rPr>
          <w:sz w:val="24"/>
          <w:szCs w:val="24"/>
        </w:rPr>
        <w:t xml:space="preserve">is </w:t>
      </w:r>
      <w:r w:rsidR="001E286C" w:rsidRPr="000F531F">
        <w:rPr>
          <w:sz w:val="24"/>
          <w:szCs w:val="24"/>
        </w:rPr>
        <w:t>more understandable than a similar objection to the state regulation of social work. Social work is, after all, charged with</w:t>
      </w:r>
      <w:r w:rsidR="00681320" w:rsidRPr="000F531F">
        <w:rPr>
          <w:sz w:val="24"/>
          <w:szCs w:val="24"/>
        </w:rPr>
        <w:t xml:space="preserve"> </w:t>
      </w:r>
      <w:r w:rsidR="001E286C" w:rsidRPr="000F531F">
        <w:rPr>
          <w:sz w:val="24"/>
          <w:szCs w:val="24"/>
        </w:rPr>
        <w:t xml:space="preserve">carrying out statutory duties passed by the state. The decision to access health services is generally a voluntary one, and even if a medical professional advises us that we require medical intervention we have the right to refuse such help (albeit with exceptions for these subject to the Mental Health Act or Mental Capacity Act). </w:t>
      </w:r>
    </w:p>
    <w:p w:rsidR="00287B98" w:rsidRDefault="00823D64" w:rsidP="00D507EA">
      <w:pPr>
        <w:spacing w:line="480" w:lineRule="auto"/>
        <w:ind w:hanging="720"/>
        <w:rPr>
          <w:sz w:val="24"/>
          <w:szCs w:val="24"/>
        </w:rPr>
      </w:pPr>
      <w:r>
        <w:rPr>
          <w:sz w:val="24"/>
          <w:szCs w:val="24"/>
        </w:rPr>
        <w:tab/>
      </w:r>
    </w:p>
    <w:p w:rsidR="00823D64" w:rsidRPr="000F531F" w:rsidRDefault="00287B98" w:rsidP="00D507EA">
      <w:pPr>
        <w:spacing w:line="480" w:lineRule="auto"/>
        <w:ind w:hanging="720"/>
        <w:rPr>
          <w:sz w:val="24"/>
          <w:szCs w:val="24"/>
        </w:rPr>
      </w:pPr>
      <w:r>
        <w:rPr>
          <w:sz w:val="24"/>
          <w:szCs w:val="24"/>
        </w:rPr>
        <w:tab/>
      </w:r>
      <w:r w:rsidR="00823D64">
        <w:rPr>
          <w:sz w:val="24"/>
          <w:szCs w:val="24"/>
        </w:rPr>
        <w:t>However, there are times when</w:t>
      </w:r>
      <w:r w:rsidR="001E286C" w:rsidRPr="000F531F">
        <w:rPr>
          <w:sz w:val="24"/>
          <w:szCs w:val="24"/>
        </w:rPr>
        <w:t xml:space="preserve"> engagement with social workers is n</w:t>
      </w:r>
      <w:r w:rsidR="00823D64">
        <w:rPr>
          <w:sz w:val="24"/>
          <w:szCs w:val="24"/>
        </w:rPr>
        <w:t>ot voluntary. G</w:t>
      </w:r>
      <w:r w:rsidR="001E286C" w:rsidRPr="000F531F">
        <w:rPr>
          <w:sz w:val="24"/>
          <w:szCs w:val="24"/>
        </w:rPr>
        <w:t>iven th</w:t>
      </w:r>
      <w:r w:rsidR="006806FE">
        <w:rPr>
          <w:sz w:val="24"/>
          <w:szCs w:val="24"/>
        </w:rPr>
        <w:t>at social workers have legal</w:t>
      </w:r>
      <w:r w:rsidR="001E286C" w:rsidRPr="000F531F">
        <w:rPr>
          <w:sz w:val="24"/>
          <w:szCs w:val="24"/>
        </w:rPr>
        <w:t xml:space="preserve"> powers to intervene in people’s lives whether it is wanted or not, many people will view their engagement with social workers as something </w:t>
      </w:r>
      <w:r w:rsidR="00823D64">
        <w:rPr>
          <w:sz w:val="24"/>
          <w:szCs w:val="24"/>
        </w:rPr>
        <w:t xml:space="preserve">that is </w:t>
      </w:r>
      <w:r w:rsidR="001E286C" w:rsidRPr="000F531F">
        <w:rPr>
          <w:sz w:val="24"/>
          <w:szCs w:val="24"/>
        </w:rPr>
        <w:t xml:space="preserve">imposed </w:t>
      </w:r>
      <w:r w:rsidR="00823D64">
        <w:rPr>
          <w:sz w:val="24"/>
          <w:szCs w:val="24"/>
        </w:rPr>
        <w:t>up</w:t>
      </w:r>
      <w:r w:rsidR="001E286C" w:rsidRPr="000F531F">
        <w:rPr>
          <w:sz w:val="24"/>
          <w:szCs w:val="24"/>
        </w:rPr>
        <w:t xml:space="preserve">on them against their </w:t>
      </w:r>
      <w:r w:rsidR="00823D64">
        <w:rPr>
          <w:sz w:val="24"/>
          <w:szCs w:val="24"/>
        </w:rPr>
        <w:t xml:space="preserve">own </w:t>
      </w:r>
      <w:r w:rsidR="001E286C" w:rsidRPr="000F531F">
        <w:rPr>
          <w:sz w:val="24"/>
          <w:szCs w:val="24"/>
        </w:rPr>
        <w:t xml:space="preserve">wishes. As such, perhaps it is not surprising that there have been few objections </w:t>
      </w:r>
      <w:r w:rsidR="00D507EA" w:rsidRPr="000F531F">
        <w:rPr>
          <w:sz w:val="24"/>
          <w:szCs w:val="24"/>
        </w:rPr>
        <w:t xml:space="preserve">from </w:t>
      </w:r>
      <w:r w:rsidR="008C2C8B" w:rsidRPr="000F531F">
        <w:rPr>
          <w:sz w:val="24"/>
          <w:szCs w:val="24"/>
        </w:rPr>
        <w:t xml:space="preserve">within or </w:t>
      </w:r>
      <w:r w:rsidR="00C6221F">
        <w:rPr>
          <w:sz w:val="24"/>
          <w:szCs w:val="24"/>
        </w:rPr>
        <w:t>outside</w:t>
      </w:r>
      <w:r w:rsidR="00D507EA" w:rsidRPr="000F531F">
        <w:rPr>
          <w:sz w:val="24"/>
          <w:szCs w:val="24"/>
        </w:rPr>
        <w:t xml:space="preserve"> </w:t>
      </w:r>
      <w:r w:rsidR="008C2C8B" w:rsidRPr="000F531F">
        <w:rPr>
          <w:sz w:val="24"/>
          <w:szCs w:val="24"/>
        </w:rPr>
        <w:t>social work</w:t>
      </w:r>
      <w:r w:rsidR="00D507EA" w:rsidRPr="000F531F">
        <w:rPr>
          <w:sz w:val="24"/>
          <w:szCs w:val="24"/>
        </w:rPr>
        <w:t xml:space="preserve"> over</w:t>
      </w:r>
      <w:r w:rsidR="001E286C" w:rsidRPr="000F531F">
        <w:rPr>
          <w:sz w:val="24"/>
          <w:szCs w:val="24"/>
        </w:rPr>
        <w:t xml:space="preserve"> the powers given to the HCPC (and GSCC before it) to regulate the conduct of social workers</w:t>
      </w:r>
      <w:r w:rsidR="008C2C8B" w:rsidRPr="000F531F">
        <w:rPr>
          <w:sz w:val="24"/>
          <w:szCs w:val="24"/>
        </w:rPr>
        <w:t xml:space="preserve">. </w:t>
      </w:r>
      <w:r w:rsidR="001E286C" w:rsidRPr="000F531F">
        <w:rPr>
          <w:sz w:val="24"/>
          <w:szCs w:val="24"/>
        </w:rPr>
        <w:t xml:space="preserve">After all, if social work is a body of the state then Haney’s call for the abolition of the HCPC and a return to ‘work-based regulation’ does not apply to social work; the state </w:t>
      </w:r>
      <w:r w:rsidR="00986122" w:rsidRPr="000F531F">
        <w:rPr>
          <w:sz w:val="24"/>
          <w:szCs w:val="24"/>
        </w:rPr>
        <w:t xml:space="preserve">via these regulatory bodies </w:t>
      </w:r>
      <w:r w:rsidR="001E286C" w:rsidRPr="000F531F">
        <w:rPr>
          <w:sz w:val="24"/>
          <w:szCs w:val="24"/>
        </w:rPr>
        <w:t>is already</w:t>
      </w:r>
      <w:r w:rsidR="005F321C" w:rsidRPr="000F531F">
        <w:rPr>
          <w:sz w:val="24"/>
          <w:szCs w:val="24"/>
        </w:rPr>
        <w:t>, to a degree,</w:t>
      </w:r>
      <w:r w:rsidR="001E286C" w:rsidRPr="000F531F">
        <w:rPr>
          <w:sz w:val="24"/>
          <w:szCs w:val="24"/>
        </w:rPr>
        <w:t xml:space="preserve"> regulati</w:t>
      </w:r>
      <w:r w:rsidR="005F321C" w:rsidRPr="000F531F">
        <w:rPr>
          <w:sz w:val="24"/>
          <w:szCs w:val="24"/>
        </w:rPr>
        <w:t>ng itself</w:t>
      </w:r>
      <w:r w:rsidR="001E286C" w:rsidRPr="000F531F">
        <w:rPr>
          <w:sz w:val="24"/>
          <w:szCs w:val="24"/>
        </w:rPr>
        <w:t>.</w:t>
      </w:r>
    </w:p>
    <w:p w:rsidR="00287B98" w:rsidRDefault="00287B98" w:rsidP="00D507EA">
      <w:pPr>
        <w:spacing w:line="480" w:lineRule="auto"/>
        <w:rPr>
          <w:sz w:val="24"/>
          <w:szCs w:val="24"/>
          <w:u w:val="single"/>
        </w:rPr>
      </w:pPr>
    </w:p>
    <w:p w:rsidR="004E0AC7" w:rsidRPr="000F531F" w:rsidRDefault="004E0AC7" w:rsidP="00D507EA">
      <w:pPr>
        <w:spacing w:line="480" w:lineRule="auto"/>
        <w:rPr>
          <w:sz w:val="24"/>
          <w:szCs w:val="24"/>
          <w:u w:val="single"/>
        </w:rPr>
      </w:pPr>
      <w:r w:rsidRPr="000F531F">
        <w:rPr>
          <w:sz w:val="24"/>
          <w:szCs w:val="24"/>
          <w:u w:val="single"/>
        </w:rPr>
        <w:t>Regulating Social Work: From the GSCC to the HCPC</w:t>
      </w:r>
    </w:p>
    <w:p w:rsidR="008C2C8B" w:rsidRPr="000F531F" w:rsidRDefault="00986122" w:rsidP="00D507EA">
      <w:pPr>
        <w:spacing w:line="480" w:lineRule="auto"/>
        <w:rPr>
          <w:sz w:val="24"/>
          <w:szCs w:val="24"/>
        </w:rPr>
      </w:pPr>
      <w:r w:rsidRPr="000F531F">
        <w:rPr>
          <w:sz w:val="24"/>
          <w:szCs w:val="24"/>
        </w:rPr>
        <w:t>Regulation in social work, as with the health professions</w:t>
      </w:r>
      <w:r w:rsidR="008C2C8B" w:rsidRPr="000F531F">
        <w:rPr>
          <w:sz w:val="24"/>
          <w:szCs w:val="24"/>
        </w:rPr>
        <w:t>, can be perceived as a practical</w:t>
      </w:r>
      <w:r w:rsidRPr="000F531F">
        <w:rPr>
          <w:sz w:val="24"/>
          <w:szCs w:val="24"/>
        </w:rPr>
        <w:t xml:space="preserve"> measure in order to protect the interests of the public. Indeed, protection of the public was the main rationale given by</w:t>
      </w:r>
      <w:r w:rsidR="00823D64">
        <w:rPr>
          <w:sz w:val="24"/>
          <w:szCs w:val="24"/>
        </w:rPr>
        <w:t xml:space="preserve"> the proponents </w:t>
      </w:r>
      <w:r w:rsidR="00C6221F">
        <w:rPr>
          <w:sz w:val="24"/>
          <w:szCs w:val="24"/>
        </w:rPr>
        <w:t xml:space="preserve">of </w:t>
      </w:r>
      <w:r w:rsidRPr="000F531F">
        <w:rPr>
          <w:sz w:val="24"/>
          <w:szCs w:val="24"/>
        </w:rPr>
        <w:t>increased external re</w:t>
      </w:r>
      <w:r w:rsidR="00823D64">
        <w:rPr>
          <w:sz w:val="24"/>
          <w:szCs w:val="24"/>
        </w:rPr>
        <w:t>gulation. However, concerns have been raised that there i</w:t>
      </w:r>
      <w:r w:rsidRPr="000F531F">
        <w:rPr>
          <w:sz w:val="24"/>
          <w:szCs w:val="24"/>
        </w:rPr>
        <w:t>s a danger, particularly in relation to social work, that individual social workers could be held accountable for failings that are ultimately roote</w:t>
      </w:r>
      <w:r w:rsidR="008C2C8B" w:rsidRPr="000F531F">
        <w:rPr>
          <w:sz w:val="24"/>
          <w:szCs w:val="24"/>
        </w:rPr>
        <w:t xml:space="preserve">d in more </w:t>
      </w:r>
      <w:r w:rsidR="00823D64">
        <w:rPr>
          <w:sz w:val="24"/>
          <w:szCs w:val="24"/>
        </w:rPr>
        <w:t xml:space="preserve">systemic or </w:t>
      </w:r>
      <w:r w:rsidR="008C2C8B" w:rsidRPr="000F531F">
        <w:rPr>
          <w:sz w:val="24"/>
          <w:szCs w:val="24"/>
        </w:rPr>
        <w:t>organizational problem</w:t>
      </w:r>
      <w:r w:rsidRPr="000F531F">
        <w:rPr>
          <w:sz w:val="24"/>
          <w:szCs w:val="24"/>
        </w:rPr>
        <w:t>s such as high cas</w:t>
      </w:r>
      <w:r w:rsidR="00447FC7" w:rsidRPr="000F531F">
        <w:rPr>
          <w:sz w:val="24"/>
          <w:szCs w:val="24"/>
        </w:rPr>
        <w:t xml:space="preserve">eloads, inadequate resources </w:t>
      </w:r>
      <w:r w:rsidR="00FD6570">
        <w:rPr>
          <w:sz w:val="24"/>
          <w:szCs w:val="24"/>
        </w:rPr>
        <w:t xml:space="preserve">and </w:t>
      </w:r>
      <w:r w:rsidR="00447FC7" w:rsidRPr="000F531F">
        <w:rPr>
          <w:sz w:val="24"/>
          <w:szCs w:val="24"/>
        </w:rPr>
        <w:t>poor</w:t>
      </w:r>
      <w:r w:rsidRPr="000F531F">
        <w:rPr>
          <w:sz w:val="24"/>
          <w:szCs w:val="24"/>
        </w:rPr>
        <w:t xml:space="preserve"> st</w:t>
      </w:r>
      <w:r w:rsidR="00447FC7" w:rsidRPr="000F531F">
        <w:rPr>
          <w:sz w:val="24"/>
          <w:szCs w:val="24"/>
        </w:rPr>
        <w:t>aff supervision</w:t>
      </w:r>
      <w:r w:rsidR="00FD6570">
        <w:rPr>
          <w:sz w:val="24"/>
          <w:szCs w:val="24"/>
        </w:rPr>
        <w:t xml:space="preserve"> -</w:t>
      </w:r>
      <w:r w:rsidR="00447FC7" w:rsidRPr="000F531F">
        <w:rPr>
          <w:sz w:val="24"/>
          <w:szCs w:val="24"/>
        </w:rPr>
        <w:t xml:space="preserve"> as well as being situated within a defensive blame culture (Leigh, 2013</w:t>
      </w:r>
      <w:r w:rsidR="00E76B12">
        <w:rPr>
          <w:sz w:val="24"/>
          <w:szCs w:val="24"/>
        </w:rPr>
        <w:t>; 2014</w:t>
      </w:r>
      <w:r w:rsidR="00823D64">
        <w:rPr>
          <w:sz w:val="24"/>
          <w:szCs w:val="24"/>
        </w:rPr>
        <w:t>). This can lead to</w:t>
      </w:r>
      <w:r w:rsidRPr="000F531F">
        <w:rPr>
          <w:sz w:val="24"/>
          <w:szCs w:val="24"/>
        </w:rPr>
        <w:t xml:space="preserve"> a narrow focus </w:t>
      </w:r>
      <w:r w:rsidR="00823D64">
        <w:rPr>
          <w:sz w:val="24"/>
          <w:szCs w:val="24"/>
        </w:rPr>
        <w:t>being placed up</w:t>
      </w:r>
      <w:r w:rsidRPr="000F531F">
        <w:rPr>
          <w:sz w:val="24"/>
          <w:szCs w:val="24"/>
        </w:rPr>
        <w:t xml:space="preserve">on the conduct of the social worker </w:t>
      </w:r>
      <w:r w:rsidR="00823D64">
        <w:rPr>
          <w:sz w:val="24"/>
          <w:szCs w:val="24"/>
        </w:rPr>
        <w:t xml:space="preserve">instead of </w:t>
      </w:r>
      <w:r w:rsidRPr="000F531F">
        <w:rPr>
          <w:sz w:val="24"/>
          <w:szCs w:val="24"/>
        </w:rPr>
        <w:t xml:space="preserve">the </w:t>
      </w:r>
      <w:r w:rsidRPr="000F531F">
        <w:rPr>
          <w:i/>
          <w:sz w:val="24"/>
          <w:szCs w:val="24"/>
        </w:rPr>
        <w:t>role</w:t>
      </w:r>
      <w:r w:rsidRPr="000F531F">
        <w:rPr>
          <w:sz w:val="24"/>
          <w:szCs w:val="24"/>
        </w:rPr>
        <w:t xml:space="preserve"> and </w:t>
      </w:r>
      <w:r w:rsidRPr="000F531F">
        <w:rPr>
          <w:i/>
          <w:sz w:val="24"/>
          <w:szCs w:val="24"/>
        </w:rPr>
        <w:t>responsibility</w:t>
      </w:r>
      <w:r w:rsidRPr="000F531F">
        <w:rPr>
          <w:sz w:val="24"/>
          <w:szCs w:val="24"/>
        </w:rPr>
        <w:t xml:space="preserve"> of the professional in question. </w:t>
      </w:r>
    </w:p>
    <w:p w:rsidR="00986122" w:rsidRDefault="00986122" w:rsidP="00D507EA">
      <w:pPr>
        <w:spacing w:line="480" w:lineRule="auto"/>
        <w:rPr>
          <w:sz w:val="24"/>
          <w:szCs w:val="24"/>
        </w:rPr>
      </w:pPr>
      <w:r w:rsidRPr="000F531F">
        <w:rPr>
          <w:sz w:val="24"/>
          <w:szCs w:val="24"/>
        </w:rPr>
        <w:t>There is also the danger that</w:t>
      </w:r>
      <w:r w:rsidR="00642000" w:rsidRPr="000F531F">
        <w:rPr>
          <w:sz w:val="24"/>
          <w:szCs w:val="24"/>
        </w:rPr>
        <w:t xml:space="preserve"> risk averse and </w:t>
      </w:r>
      <w:r w:rsidRPr="000F531F">
        <w:rPr>
          <w:sz w:val="24"/>
          <w:szCs w:val="24"/>
        </w:rPr>
        <w:t>media wary employers may formalise concerns via the misconduct process</w:t>
      </w:r>
      <w:r w:rsidR="00823D64">
        <w:rPr>
          <w:sz w:val="24"/>
          <w:szCs w:val="24"/>
        </w:rPr>
        <w:t xml:space="preserve"> instead of </w:t>
      </w:r>
      <w:r w:rsidR="00C6221F">
        <w:rPr>
          <w:sz w:val="24"/>
          <w:szCs w:val="24"/>
        </w:rPr>
        <w:t>attempting to resolve</w:t>
      </w:r>
      <w:r w:rsidR="00823D64">
        <w:rPr>
          <w:sz w:val="24"/>
          <w:szCs w:val="24"/>
        </w:rPr>
        <w:t xml:space="preserve"> them themselves</w:t>
      </w:r>
      <w:r w:rsidRPr="000F531F">
        <w:rPr>
          <w:sz w:val="24"/>
          <w:szCs w:val="24"/>
        </w:rPr>
        <w:t xml:space="preserve">. This was something noted by Furness (2013) in her analysis of GSCC conduct hearings held between April 2006 and July 2012, leading her to </w:t>
      </w:r>
      <w:r w:rsidR="00642000" w:rsidRPr="000F531F">
        <w:rPr>
          <w:sz w:val="24"/>
          <w:szCs w:val="24"/>
        </w:rPr>
        <w:t xml:space="preserve">argue that it </w:t>
      </w:r>
      <w:r w:rsidRPr="000F531F">
        <w:rPr>
          <w:sz w:val="24"/>
          <w:szCs w:val="24"/>
        </w:rPr>
        <w:t>needs to be recognised by regulators, and we would add by employers also, that soci</w:t>
      </w:r>
      <w:r w:rsidR="00C6221F">
        <w:rPr>
          <w:sz w:val="24"/>
          <w:szCs w:val="24"/>
        </w:rPr>
        <w:t xml:space="preserve">al workers do make mistakes but </w:t>
      </w:r>
      <w:r w:rsidRPr="000F531F">
        <w:rPr>
          <w:sz w:val="24"/>
          <w:szCs w:val="24"/>
        </w:rPr>
        <w:t>they</w:t>
      </w:r>
      <w:r w:rsidR="00642000" w:rsidRPr="000F531F">
        <w:rPr>
          <w:sz w:val="24"/>
          <w:szCs w:val="24"/>
        </w:rPr>
        <w:t xml:space="preserve"> can improve on their practice and often this can be achieved </w:t>
      </w:r>
      <w:r w:rsidRPr="000F531F">
        <w:rPr>
          <w:sz w:val="24"/>
          <w:szCs w:val="24"/>
        </w:rPr>
        <w:t>w</w:t>
      </w:r>
      <w:r w:rsidR="006806FE">
        <w:rPr>
          <w:sz w:val="24"/>
          <w:szCs w:val="24"/>
        </w:rPr>
        <w:t>ithout</w:t>
      </w:r>
      <w:r w:rsidRPr="000F531F">
        <w:rPr>
          <w:sz w:val="24"/>
          <w:szCs w:val="24"/>
        </w:rPr>
        <w:t xml:space="preserve"> resort </w:t>
      </w:r>
      <w:r w:rsidR="00642000" w:rsidRPr="000F531F">
        <w:rPr>
          <w:sz w:val="24"/>
          <w:szCs w:val="24"/>
        </w:rPr>
        <w:t xml:space="preserve">to </w:t>
      </w:r>
      <w:r w:rsidR="00E11C40">
        <w:rPr>
          <w:sz w:val="24"/>
          <w:szCs w:val="24"/>
        </w:rPr>
        <w:t xml:space="preserve">a </w:t>
      </w:r>
      <w:r w:rsidR="00642000" w:rsidRPr="000F531F">
        <w:rPr>
          <w:sz w:val="24"/>
          <w:szCs w:val="24"/>
        </w:rPr>
        <w:t>formal investigation</w:t>
      </w:r>
      <w:r w:rsidR="00DF53A4">
        <w:rPr>
          <w:sz w:val="24"/>
          <w:szCs w:val="24"/>
        </w:rPr>
        <w:t>. In addition, McLaughlin</w:t>
      </w:r>
      <w:r w:rsidR="00C6221F">
        <w:rPr>
          <w:sz w:val="24"/>
          <w:szCs w:val="24"/>
        </w:rPr>
        <w:t xml:space="preserve"> (2010</w:t>
      </w:r>
      <w:r w:rsidR="00E11C40">
        <w:rPr>
          <w:sz w:val="24"/>
          <w:szCs w:val="24"/>
        </w:rPr>
        <w:t xml:space="preserve">) </w:t>
      </w:r>
      <w:r w:rsidRPr="000F531F">
        <w:rPr>
          <w:sz w:val="24"/>
          <w:szCs w:val="24"/>
        </w:rPr>
        <w:t>noted that there was ‘an inherent imbalance of power in the [hearings and appeal] proceedings, which heavily [favoured] the GSCC and [were] detrimental to the social worker’s chance of receiving a fair he</w:t>
      </w:r>
      <w:r w:rsidR="00642000" w:rsidRPr="000F531F">
        <w:rPr>
          <w:sz w:val="24"/>
          <w:szCs w:val="24"/>
        </w:rPr>
        <w:t>aring’</w:t>
      </w:r>
      <w:r w:rsidR="00C6221F">
        <w:rPr>
          <w:sz w:val="24"/>
          <w:szCs w:val="24"/>
        </w:rPr>
        <w:t xml:space="preserve"> (p.311)</w:t>
      </w:r>
      <w:r w:rsidRPr="000F531F">
        <w:rPr>
          <w:sz w:val="24"/>
          <w:szCs w:val="24"/>
        </w:rPr>
        <w:t>.</w:t>
      </w:r>
    </w:p>
    <w:p w:rsidR="00287B98" w:rsidRDefault="00287B98" w:rsidP="00875438">
      <w:pPr>
        <w:pStyle w:val="CommentText"/>
        <w:spacing w:line="480" w:lineRule="auto"/>
        <w:rPr>
          <w:sz w:val="24"/>
          <w:szCs w:val="24"/>
        </w:rPr>
      </w:pPr>
    </w:p>
    <w:p w:rsidR="00875438" w:rsidRPr="00875438" w:rsidRDefault="00875438" w:rsidP="00875438">
      <w:pPr>
        <w:pStyle w:val="CommentText"/>
        <w:spacing w:line="480" w:lineRule="auto"/>
        <w:rPr>
          <w:sz w:val="24"/>
          <w:szCs w:val="24"/>
        </w:rPr>
      </w:pPr>
      <w:r w:rsidRPr="00875438">
        <w:rPr>
          <w:sz w:val="24"/>
          <w:szCs w:val="24"/>
        </w:rPr>
        <w:t xml:space="preserve">A parallel example is the use of a narrative of ‘missed opportunities’ when Serious Case Reviews are conducted. As Thompson </w:t>
      </w:r>
      <w:r>
        <w:rPr>
          <w:sz w:val="24"/>
          <w:szCs w:val="24"/>
        </w:rPr>
        <w:t xml:space="preserve">(2013) </w:t>
      </w:r>
      <w:r w:rsidRPr="00875438">
        <w:rPr>
          <w:sz w:val="24"/>
          <w:szCs w:val="24"/>
        </w:rPr>
        <w:t>points out, such a narrative misses the point – there are always missed opportunities, what matters is whether the worker did or did not fulfil their duties to a reasonable standard</w:t>
      </w:r>
      <w:r>
        <w:rPr>
          <w:sz w:val="24"/>
          <w:szCs w:val="24"/>
        </w:rPr>
        <w:t>:</w:t>
      </w:r>
    </w:p>
    <w:p w:rsidR="00875438" w:rsidRPr="00875438" w:rsidRDefault="00875438" w:rsidP="00875438">
      <w:pPr>
        <w:spacing w:after="0" w:line="240" w:lineRule="auto"/>
        <w:ind w:left="567"/>
        <w:contextualSpacing/>
        <w:rPr>
          <w:rFonts w:ascii="Times New Roman" w:eastAsia="Times New Roman" w:hAnsi="Times New Roman" w:cs="Times New Roman"/>
          <w:color w:val="0BD0D9"/>
          <w:sz w:val="24"/>
          <w:szCs w:val="24"/>
        </w:rPr>
      </w:pPr>
      <w:r w:rsidRPr="00875438">
        <w:rPr>
          <w:rFonts w:hAnsi="Constantia"/>
          <w:iCs/>
          <w:color w:val="000000" w:themeColor="text1"/>
          <w:kern w:val="24"/>
          <w:sz w:val="24"/>
          <w:szCs w:val="24"/>
        </w:rPr>
        <w:t>The main reason for my concern is that the question of whether opportunities were missed is the wrong one to ask. It distorts and oversimplifies the situation and sets social workers (and others) up to fail.</w:t>
      </w:r>
      <w:r w:rsidRPr="00875438">
        <w:rPr>
          <w:rFonts w:hAnsi="Constantia"/>
          <w:iCs/>
          <w:color w:val="000000" w:themeColor="text1"/>
          <w:kern w:val="24"/>
          <w:sz w:val="24"/>
          <w:szCs w:val="24"/>
        </w:rPr>
        <w:t>…</w:t>
      </w:r>
      <w:r w:rsidRPr="00875438">
        <w:rPr>
          <w:rFonts w:hAnsi="Constantia"/>
          <w:iCs/>
          <w:color w:val="000000" w:themeColor="text1"/>
          <w:kern w:val="24"/>
          <w:sz w:val="24"/>
          <w:szCs w:val="24"/>
        </w:rPr>
        <w:t xml:space="preserve"> However, it is the failure of professional duty that we should b</w:t>
      </w:r>
      <w:r w:rsidR="006806FE">
        <w:rPr>
          <w:rFonts w:hAnsi="Constantia"/>
          <w:iCs/>
          <w:color w:val="000000" w:themeColor="text1"/>
          <w:kern w:val="24"/>
          <w:sz w:val="24"/>
          <w:szCs w:val="24"/>
        </w:rPr>
        <w:t xml:space="preserve">e focusing on, rather than the </w:t>
      </w:r>
      <w:r w:rsidR="006806FE">
        <w:rPr>
          <w:rFonts w:hAnsi="Constantia"/>
          <w:iCs/>
          <w:color w:val="000000" w:themeColor="text1"/>
          <w:kern w:val="24"/>
          <w:sz w:val="24"/>
          <w:szCs w:val="24"/>
        </w:rPr>
        <w:t>‘</w:t>
      </w:r>
      <w:r w:rsidR="006806FE">
        <w:rPr>
          <w:rFonts w:hAnsi="Constantia"/>
          <w:iCs/>
          <w:color w:val="000000" w:themeColor="text1"/>
          <w:kern w:val="24"/>
          <w:sz w:val="24"/>
          <w:szCs w:val="24"/>
        </w:rPr>
        <w:t>missed opportunities</w:t>
      </w:r>
      <w:r w:rsidR="006806FE">
        <w:rPr>
          <w:rFonts w:hAnsi="Constantia"/>
          <w:iCs/>
          <w:color w:val="000000" w:themeColor="text1"/>
          <w:kern w:val="24"/>
          <w:sz w:val="24"/>
          <w:szCs w:val="24"/>
        </w:rPr>
        <w:t>’</w:t>
      </w:r>
      <w:r w:rsidRPr="00875438">
        <w:rPr>
          <w:rFonts w:hAnsi="Constantia"/>
          <w:iCs/>
          <w:color w:val="000000" w:themeColor="text1"/>
          <w:kern w:val="24"/>
          <w:sz w:val="24"/>
          <w:szCs w:val="24"/>
        </w:rPr>
        <w:t xml:space="preserve">, as most missed opportunities will not amount to a failure of professional duty. </w:t>
      </w:r>
    </w:p>
    <w:p w:rsidR="00875438" w:rsidRPr="00875438" w:rsidRDefault="00875438" w:rsidP="00875438">
      <w:pPr>
        <w:spacing w:line="480" w:lineRule="auto"/>
        <w:jc w:val="right"/>
        <w:rPr>
          <w:sz w:val="24"/>
          <w:szCs w:val="24"/>
        </w:rPr>
      </w:pPr>
      <w:r w:rsidRPr="00875438">
        <w:rPr>
          <w:rFonts w:hAnsi="Constantia"/>
          <w:color w:val="000000" w:themeColor="text1"/>
          <w:kern w:val="24"/>
          <w:sz w:val="24"/>
          <w:szCs w:val="24"/>
        </w:rPr>
        <w:t>(Thompson</w:t>
      </w:r>
      <w:r>
        <w:rPr>
          <w:rFonts w:hAnsi="Constantia"/>
          <w:color w:val="000000" w:themeColor="text1"/>
          <w:kern w:val="24"/>
          <w:sz w:val="24"/>
          <w:szCs w:val="24"/>
        </w:rPr>
        <w:t>, 2013</w:t>
      </w:r>
      <w:r w:rsidR="00C6221F">
        <w:rPr>
          <w:rFonts w:hAnsi="Constantia"/>
          <w:color w:val="000000" w:themeColor="text1"/>
          <w:kern w:val="24"/>
          <w:sz w:val="24"/>
          <w:szCs w:val="24"/>
        </w:rPr>
        <w:t>, online</w:t>
      </w:r>
      <w:r>
        <w:rPr>
          <w:rFonts w:hAnsi="Constantia"/>
          <w:color w:val="000000" w:themeColor="text1"/>
          <w:kern w:val="24"/>
          <w:sz w:val="24"/>
          <w:szCs w:val="24"/>
        </w:rPr>
        <w:t>)</w:t>
      </w:r>
      <w:r w:rsidRPr="00875438">
        <w:rPr>
          <w:rFonts w:hAnsi="Constantia"/>
          <w:color w:val="000000" w:themeColor="text1"/>
          <w:kern w:val="24"/>
          <w:sz w:val="24"/>
          <w:szCs w:val="24"/>
        </w:rPr>
        <w:t xml:space="preserve"> </w:t>
      </w:r>
    </w:p>
    <w:p w:rsidR="001E286C" w:rsidRPr="000F531F" w:rsidRDefault="006806FE" w:rsidP="00D507EA">
      <w:pPr>
        <w:spacing w:line="480" w:lineRule="auto"/>
        <w:rPr>
          <w:sz w:val="24"/>
          <w:szCs w:val="24"/>
        </w:rPr>
      </w:pPr>
      <w:r>
        <w:rPr>
          <w:sz w:val="24"/>
          <w:szCs w:val="24"/>
        </w:rPr>
        <w:t>P</w:t>
      </w:r>
      <w:r w:rsidR="002C7AA7" w:rsidRPr="000F531F">
        <w:rPr>
          <w:sz w:val="24"/>
          <w:szCs w:val="24"/>
        </w:rPr>
        <w:t>rior to its dissolution</w:t>
      </w:r>
      <w:r w:rsidR="00481F22">
        <w:rPr>
          <w:sz w:val="24"/>
          <w:szCs w:val="24"/>
        </w:rPr>
        <w:t>,</w:t>
      </w:r>
      <w:r w:rsidR="002C7AA7" w:rsidRPr="000F531F">
        <w:rPr>
          <w:sz w:val="24"/>
          <w:szCs w:val="24"/>
        </w:rPr>
        <w:t xml:space="preserve"> the GSCC published several reports in order</w:t>
      </w:r>
      <w:r w:rsidR="00C6221F">
        <w:rPr>
          <w:sz w:val="24"/>
          <w:szCs w:val="24"/>
        </w:rPr>
        <w:t xml:space="preserve"> to provide an overview of </w:t>
      </w:r>
      <w:r w:rsidR="00481F22">
        <w:rPr>
          <w:sz w:val="24"/>
          <w:szCs w:val="24"/>
        </w:rPr>
        <w:t xml:space="preserve">what </w:t>
      </w:r>
      <w:r w:rsidR="00C6221F">
        <w:rPr>
          <w:sz w:val="24"/>
          <w:szCs w:val="24"/>
        </w:rPr>
        <w:t>its</w:t>
      </w:r>
      <w:r w:rsidR="00481F22">
        <w:rPr>
          <w:sz w:val="24"/>
          <w:szCs w:val="24"/>
        </w:rPr>
        <w:t xml:space="preserve"> investigatory processes involved. These explained why investigations</w:t>
      </w:r>
      <w:r w:rsidR="002C7AA7" w:rsidRPr="000F531F">
        <w:rPr>
          <w:sz w:val="24"/>
          <w:szCs w:val="24"/>
        </w:rPr>
        <w:t xml:space="preserve"> were undertaken and</w:t>
      </w:r>
      <w:r w:rsidR="00481F22">
        <w:rPr>
          <w:sz w:val="24"/>
          <w:szCs w:val="24"/>
        </w:rPr>
        <w:t xml:space="preserve"> how certain decisions were made so as </w:t>
      </w:r>
      <w:r w:rsidR="002C7AA7" w:rsidRPr="000F531F">
        <w:rPr>
          <w:sz w:val="24"/>
          <w:szCs w:val="24"/>
        </w:rPr>
        <w:t>to provide ‘a legacy of learning’ for future regulators of</w:t>
      </w:r>
      <w:r w:rsidR="00C6221F">
        <w:rPr>
          <w:sz w:val="24"/>
          <w:szCs w:val="24"/>
        </w:rPr>
        <w:t xml:space="preserve"> the profession (Furness, 2013, p.</w:t>
      </w:r>
      <w:r w:rsidR="002C7AA7" w:rsidRPr="000F531F">
        <w:rPr>
          <w:sz w:val="24"/>
          <w:szCs w:val="24"/>
        </w:rPr>
        <w:t xml:space="preserve">2).  One of these reports, </w:t>
      </w:r>
      <w:r w:rsidR="002C7AA7" w:rsidRPr="000F531F">
        <w:rPr>
          <w:i/>
          <w:sz w:val="24"/>
          <w:szCs w:val="24"/>
        </w:rPr>
        <w:t>Regulating Social Workers</w:t>
      </w:r>
      <w:r w:rsidR="002C7AA7" w:rsidRPr="000F531F">
        <w:rPr>
          <w:sz w:val="24"/>
          <w:szCs w:val="24"/>
        </w:rPr>
        <w:t xml:space="preserve"> (2001-12) provided details of the characteristics of registrants, the sources and number of referrals along with a breakdown of the reasons relating to why sanctions were taken against appellants (GSCC, 2012). It emerged that between the period of April 2004 and September 2011, the GSCC received 4,118 referrals in respect o</w:t>
      </w:r>
      <w:r w:rsidR="00E11C40">
        <w:rPr>
          <w:sz w:val="24"/>
          <w:szCs w:val="24"/>
        </w:rPr>
        <w:t xml:space="preserve">f qualified social workers </w:t>
      </w:r>
      <w:r w:rsidR="002C7AA7" w:rsidRPr="000F531F">
        <w:rPr>
          <w:sz w:val="24"/>
          <w:szCs w:val="24"/>
        </w:rPr>
        <w:t>of which came</w:t>
      </w:r>
      <w:r w:rsidR="00E11C40">
        <w:rPr>
          <w:sz w:val="24"/>
          <w:szCs w:val="24"/>
        </w:rPr>
        <w:t xml:space="preserve"> 34%</w:t>
      </w:r>
      <w:r w:rsidR="002C7AA7" w:rsidRPr="000F531F">
        <w:rPr>
          <w:sz w:val="24"/>
          <w:szCs w:val="24"/>
        </w:rPr>
        <w:t xml:space="preserve"> from employers. When referrals were made by the police or the employer it was more likely that the finding of the hearing would be that the social worker had committed misconduct (GSCC, 2012). </w:t>
      </w:r>
      <w:r w:rsidR="00490C49" w:rsidRPr="000F531F">
        <w:rPr>
          <w:sz w:val="24"/>
          <w:szCs w:val="24"/>
        </w:rPr>
        <w:t>Of concern</w:t>
      </w:r>
      <w:r w:rsidR="00481F22">
        <w:rPr>
          <w:sz w:val="24"/>
          <w:szCs w:val="24"/>
        </w:rPr>
        <w:t>,</w:t>
      </w:r>
      <w:r w:rsidR="00490C49" w:rsidRPr="000F531F">
        <w:rPr>
          <w:sz w:val="24"/>
          <w:szCs w:val="24"/>
        </w:rPr>
        <w:t xml:space="preserve"> and something worthy of further investigation</w:t>
      </w:r>
      <w:r w:rsidR="00481F22">
        <w:rPr>
          <w:sz w:val="24"/>
          <w:szCs w:val="24"/>
        </w:rPr>
        <w:t>,</w:t>
      </w:r>
      <w:r w:rsidR="00490C49" w:rsidRPr="000F531F">
        <w:rPr>
          <w:sz w:val="24"/>
          <w:szCs w:val="24"/>
        </w:rPr>
        <w:t xml:space="preserve"> was that of those social work</w:t>
      </w:r>
      <w:r>
        <w:rPr>
          <w:sz w:val="24"/>
          <w:szCs w:val="24"/>
        </w:rPr>
        <w:t>ers who had</w:t>
      </w:r>
      <w:r w:rsidR="00481F22">
        <w:rPr>
          <w:sz w:val="24"/>
          <w:szCs w:val="24"/>
        </w:rPr>
        <w:t xml:space="preserve"> had</w:t>
      </w:r>
      <w:r w:rsidR="00490C49" w:rsidRPr="000F531F">
        <w:rPr>
          <w:sz w:val="24"/>
          <w:szCs w:val="24"/>
        </w:rPr>
        <w:t xml:space="preserve"> a formal complaint made against them, there was </w:t>
      </w:r>
      <w:r>
        <w:rPr>
          <w:sz w:val="24"/>
          <w:szCs w:val="24"/>
        </w:rPr>
        <w:t>a significant over</w:t>
      </w:r>
      <w:r w:rsidR="001E286C" w:rsidRPr="000F531F">
        <w:rPr>
          <w:sz w:val="24"/>
          <w:szCs w:val="24"/>
        </w:rPr>
        <w:t>representation of men, black</w:t>
      </w:r>
      <w:r w:rsidR="00490C49" w:rsidRPr="000F531F">
        <w:rPr>
          <w:sz w:val="24"/>
          <w:szCs w:val="24"/>
        </w:rPr>
        <w:t xml:space="preserve"> staff</w:t>
      </w:r>
      <w:r w:rsidR="001E286C" w:rsidRPr="000F531F">
        <w:rPr>
          <w:sz w:val="24"/>
          <w:szCs w:val="24"/>
        </w:rPr>
        <w:t>, those aged between forty and forty-nine, and those who identified as disabled (GSCC, 2012, p.61)</w:t>
      </w:r>
      <w:r w:rsidR="00490C49" w:rsidRPr="000F531F">
        <w:rPr>
          <w:sz w:val="24"/>
          <w:szCs w:val="24"/>
        </w:rPr>
        <w:t>.</w:t>
      </w:r>
    </w:p>
    <w:p w:rsidR="00FD6551" w:rsidRPr="000F531F" w:rsidRDefault="00363226" w:rsidP="00D507EA">
      <w:pPr>
        <w:spacing w:line="480" w:lineRule="auto"/>
        <w:rPr>
          <w:sz w:val="24"/>
          <w:szCs w:val="24"/>
        </w:rPr>
      </w:pPr>
      <w:r>
        <w:rPr>
          <w:sz w:val="24"/>
          <w:szCs w:val="24"/>
        </w:rPr>
        <w:t xml:space="preserve">In recent years there has </w:t>
      </w:r>
      <w:r w:rsidR="006806FE">
        <w:rPr>
          <w:sz w:val="24"/>
          <w:szCs w:val="24"/>
        </w:rPr>
        <w:t xml:space="preserve">also </w:t>
      </w:r>
      <w:r>
        <w:rPr>
          <w:sz w:val="24"/>
          <w:szCs w:val="24"/>
        </w:rPr>
        <w:t>been increased</w:t>
      </w:r>
      <w:r w:rsidR="00FD6551" w:rsidRPr="000F531F">
        <w:rPr>
          <w:sz w:val="24"/>
          <w:szCs w:val="24"/>
        </w:rPr>
        <w:t xml:space="preserve"> attention </w:t>
      </w:r>
      <w:r>
        <w:rPr>
          <w:sz w:val="24"/>
          <w:szCs w:val="24"/>
        </w:rPr>
        <w:t xml:space="preserve">on the moral </w:t>
      </w:r>
      <w:r w:rsidR="006806FE">
        <w:rPr>
          <w:sz w:val="24"/>
          <w:szCs w:val="24"/>
        </w:rPr>
        <w:t xml:space="preserve">character of registrants, </w:t>
      </w:r>
      <w:r>
        <w:rPr>
          <w:sz w:val="24"/>
          <w:szCs w:val="24"/>
        </w:rPr>
        <w:t>particular</w:t>
      </w:r>
      <w:r w:rsidR="00481F22">
        <w:rPr>
          <w:sz w:val="24"/>
          <w:szCs w:val="24"/>
        </w:rPr>
        <w:t>ly in relation to</w:t>
      </w:r>
      <w:r>
        <w:rPr>
          <w:sz w:val="24"/>
          <w:szCs w:val="24"/>
        </w:rPr>
        <w:t xml:space="preserve"> </w:t>
      </w:r>
      <w:r w:rsidR="00FD6551" w:rsidRPr="000F531F">
        <w:rPr>
          <w:sz w:val="24"/>
          <w:szCs w:val="24"/>
        </w:rPr>
        <w:t xml:space="preserve">how the moral character of </w:t>
      </w:r>
      <w:r w:rsidR="00642000" w:rsidRPr="000F531F">
        <w:rPr>
          <w:sz w:val="24"/>
          <w:szCs w:val="24"/>
        </w:rPr>
        <w:t xml:space="preserve">the </w:t>
      </w:r>
      <w:r w:rsidR="006806FE">
        <w:rPr>
          <w:sz w:val="24"/>
          <w:szCs w:val="24"/>
        </w:rPr>
        <w:t>person</w:t>
      </w:r>
      <w:r w:rsidR="00FD6551" w:rsidRPr="000F531F">
        <w:rPr>
          <w:sz w:val="24"/>
          <w:szCs w:val="24"/>
        </w:rPr>
        <w:t xml:space="preserve"> could be assessed alongside </w:t>
      </w:r>
      <w:r w:rsidR="00481F22">
        <w:rPr>
          <w:sz w:val="24"/>
          <w:szCs w:val="24"/>
        </w:rPr>
        <w:t xml:space="preserve">their </w:t>
      </w:r>
      <w:r w:rsidR="00FD6551" w:rsidRPr="000F531F">
        <w:rPr>
          <w:sz w:val="24"/>
          <w:szCs w:val="24"/>
        </w:rPr>
        <w:t xml:space="preserve">technical skills. </w:t>
      </w:r>
      <w:r w:rsidR="00642000" w:rsidRPr="000F531F">
        <w:rPr>
          <w:sz w:val="24"/>
          <w:szCs w:val="24"/>
        </w:rPr>
        <w:t xml:space="preserve">For example, Banks (2010) </w:t>
      </w:r>
      <w:r w:rsidR="00FD6551" w:rsidRPr="000F531F">
        <w:rPr>
          <w:sz w:val="24"/>
          <w:szCs w:val="24"/>
        </w:rPr>
        <w:t>has highlighted how a</w:t>
      </w:r>
      <w:r w:rsidR="00E753F6" w:rsidRPr="000F531F">
        <w:rPr>
          <w:sz w:val="24"/>
          <w:szCs w:val="24"/>
        </w:rPr>
        <w:t xml:space="preserve"> rule based approach to practise</w:t>
      </w:r>
      <w:r w:rsidR="00FD6551" w:rsidRPr="000F531F">
        <w:rPr>
          <w:sz w:val="24"/>
          <w:szCs w:val="24"/>
        </w:rPr>
        <w:t xml:space="preserve"> can develop certain limitations for the practitioner in terms of the prescriptive eleme</w:t>
      </w:r>
      <w:r w:rsidR="00B10B18" w:rsidRPr="000F531F">
        <w:rPr>
          <w:sz w:val="24"/>
          <w:szCs w:val="24"/>
        </w:rPr>
        <w:t>nt that it entails</w:t>
      </w:r>
      <w:r w:rsidR="00FD6551" w:rsidRPr="000F531F">
        <w:rPr>
          <w:sz w:val="24"/>
          <w:szCs w:val="24"/>
        </w:rPr>
        <w:t>. In addition</w:t>
      </w:r>
      <w:r w:rsidR="00642000" w:rsidRPr="000F531F">
        <w:rPr>
          <w:sz w:val="24"/>
          <w:szCs w:val="24"/>
        </w:rPr>
        <w:t>,</w:t>
      </w:r>
      <w:r w:rsidR="00FD6551" w:rsidRPr="000F531F">
        <w:rPr>
          <w:sz w:val="24"/>
          <w:szCs w:val="24"/>
        </w:rPr>
        <w:t xml:space="preserve"> Reamer (2006) has raised the issue of the conflict social workers face when having to decide whether ethical dilemmas or core professional values should take precedence in practice. This divide can lead to two different outcomes depending on the decisions being made by the social w</w:t>
      </w:r>
      <w:r w:rsidR="004F28A8" w:rsidRPr="000F531F">
        <w:rPr>
          <w:sz w:val="24"/>
          <w:szCs w:val="24"/>
        </w:rPr>
        <w:t>orker and the organisation;</w:t>
      </w:r>
      <w:r w:rsidR="00FD6551" w:rsidRPr="000F531F">
        <w:rPr>
          <w:sz w:val="24"/>
          <w:szCs w:val="24"/>
        </w:rPr>
        <w:t xml:space="preserve"> in some cases allegations of intentional, unethical practice were being made</w:t>
      </w:r>
      <w:r w:rsidR="00C6221F">
        <w:rPr>
          <w:sz w:val="24"/>
          <w:szCs w:val="24"/>
        </w:rPr>
        <w:t>,</w:t>
      </w:r>
      <w:r w:rsidR="00FD6551" w:rsidRPr="000F531F">
        <w:rPr>
          <w:sz w:val="24"/>
          <w:szCs w:val="24"/>
        </w:rPr>
        <w:t xml:space="preserve"> whereas in other situations certain decisions were seen as being uninten</w:t>
      </w:r>
      <w:r w:rsidR="00642000" w:rsidRPr="000F531F">
        <w:rPr>
          <w:sz w:val="24"/>
          <w:szCs w:val="24"/>
        </w:rPr>
        <w:t>tional but well thought out.</w:t>
      </w:r>
      <w:r w:rsidR="00FD6551" w:rsidRPr="000F531F">
        <w:rPr>
          <w:sz w:val="24"/>
          <w:szCs w:val="24"/>
        </w:rPr>
        <w:t xml:space="preserve"> F</w:t>
      </w:r>
      <w:r w:rsidR="00642000" w:rsidRPr="000F531F">
        <w:rPr>
          <w:sz w:val="24"/>
          <w:szCs w:val="24"/>
        </w:rPr>
        <w:t>urness (2013) found</w:t>
      </w:r>
      <w:r w:rsidR="00FD6551" w:rsidRPr="000F531F">
        <w:rPr>
          <w:sz w:val="24"/>
          <w:szCs w:val="24"/>
        </w:rPr>
        <w:t xml:space="preserve"> that when decisions were deemed, in terms of misconduct, as intentional or unintentional, the insight of the worker who had been involved in that situation was always needed in order to explain those actions or behaviours. This not only clarified why certain decisions were made but it also enabled professionals to understand the issues surrounding malpractice. </w:t>
      </w:r>
    </w:p>
    <w:p w:rsidR="00287B98" w:rsidRDefault="00287B98" w:rsidP="00C6221F">
      <w:pPr>
        <w:spacing w:before="100" w:beforeAutospacing="1" w:after="115" w:line="480" w:lineRule="auto"/>
        <w:rPr>
          <w:rFonts w:cs="HelveticaNeue-Light"/>
          <w:sz w:val="24"/>
          <w:szCs w:val="24"/>
        </w:rPr>
      </w:pPr>
    </w:p>
    <w:p w:rsidR="000E6645" w:rsidRDefault="00642000" w:rsidP="00446481">
      <w:pPr>
        <w:spacing w:before="100" w:beforeAutospacing="1" w:after="115" w:line="480" w:lineRule="auto"/>
        <w:rPr>
          <w:rFonts w:cs="HelveticaNeue-Light"/>
          <w:sz w:val="24"/>
          <w:szCs w:val="24"/>
        </w:rPr>
      </w:pPr>
      <w:r w:rsidRPr="000F531F">
        <w:rPr>
          <w:rFonts w:cs="HelveticaNeue-Light"/>
          <w:sz w:val="24"/>
          <w:szCs w:val="24"/>
        </w:rPr>
        <w:t xml:space="preserve">Such </w:t>
      </w:r>
      <w:r w:rsidR="004F1B77" w:rsidRPr="000F531F">
        <w:rPr>
          <w:rFonts w:cs="HelveticaNeue-Light"/>
          <w:sz w:val="24"/>
          <w:szCs w:val="24"/>
        </w:rPr>
        <w:t>concern</w:t>
      </w:r>
      <w:r w:rsidRPr="000F531F">
        <w:rPr>
          <w:rFonts w:cs="HelveticaNeue-Light"/>
          <w:sz w:val="24"/>
          <w:szCs w:val="24"/>
        </w:rPr>
        <w:t>s</w:t>
      </w:r>
      <w:r w:rsidR="004F1B77" w:rsidRPr="000F531F">
        <w:rPr>
          <w:rFonts w:cs="HelveticaNeue-Light"/>
          <w:sz w:val="24"/>
          <w:szCs w:val="24"/>
        </w:rPr>
        <w:t xml:space="preserve"> about the ability of the GSCC to understand the complexiti</w:t>
      </w:r>
      <w:r w:rsidRPr="000F531F">
        <w:rPr>
          <w:rFonts w:cs="HelveticaNeue-Light"/>
          <w:sz w:val="24"/>
          <w:szCs w:val="24"/>
        </w:rPr>
        <w:t>es of the social work role</w:t>
      </w:r>
      <w:r w:rsidR="004F1B77" w:rsidRPr="000F531F">
        <w:rPr>
          <w:rFonts w:cs="HelveticaNeue-Light"/>
          <w:sz w:val="24"/>
          <w:szCs w:val="24"/>
        </w:rPr>
        <w:t xml:space="preserve"> </w:t>
      </w:r>
      <w:r w:rsidR="00363226">
        <w:rPr>
          <w:rFonts w:cs="HelveticaNeue-Light"/>
          <w:sz w:val="24"/>
          <w:szCs w:val="24"/>
        </w:rPr>
        <w:t>will</w:t>
      </w:r>
      <w:r w:rsidRPr="000F531F">
        <w:rPr>
          <w:rFonts w:cs="HelveticaNeue-Light"/>
          <w:sz w:val="24"/>
          <w:szCs w:val="24"/>
        </w:rPr>
        <w:t xml:space="preserve">, if anything, </w:t>
      </w:r>
      <w:r w:rsidR="000B3CE3">
        <w:rPr>
          <w:rFonts w:cs="HelveticaNeue-Light"/>
          <w:sz w:val="24"/>
          <w:szCs w:val="24"/>
        </w:rPr>
        <w:t xml:space="preserve">have </w:t>
      </w:r>
      <w:r w:rsidRPr="000F531F">
        <w:rPr>
          <w:rFonts w:cs="HelveticaNeue-Light"/>
          <w:sz w:val="24"/>
          <w:szCs w:val="24"/>
        </w:rPr>
        <w:t>been heightened with the transfer of reg</w:t>
      </w:r>
      <w:r w:rsidR="00E11C40">
        <w:rPr>
          <w:rFonts w:cs="HelveticaNeue-Light"/>
          <w:sz w:val="24"/>
          <w:szCs w:val="24"/>
        </w:rPr>
        <w:t>ulatory authority to the HCPC. For if the GSCC struggled to mana</w:t>
      </w:r>
      <w:r w:rsidR="00446481">
        <w:rPr>
          <w:rFonts w:cs="HelveticaNeue-Light"/>
          <w:sz w:val="24"/>
          <w:szCs w:val="24"/>
        </w:rPr>
        <w:t xml:space="preserve">ge these complexities, how will a health </w:t>
      </w:r>
      <w:r w:rsidR="00E11C40">
        <w:rPr>
          <w:rFonts w:cs="HelveticaNeue-Light"/>
          <w:sz w:val="24"/>
          <w:szCs w:val="24"/>
        </w:rPr>
        <w:t>oriented body be</w:t>
      </w:r>
      <w:r w:rsidR="00C14FC7" w:rsidRPr="000F531F">
        <w:rPr>
          <w:rFonts w:cs="HelveticaNeue-Light"/>
          <w:sz w:val="24"/>
          <w:szCs w:val="24"/>
        </w:rPr>
        <w:t xml:space="preserve"> ca</w:t>
      </w:r>
      <w:r w:rsidRPr="000F531F">
        <w:rPr>
          <w:rFonts w:cs="HelveticaNeue-Light"/>
          <w:sz w:val="24"/>
          <w:szCs w:val="24"/>
        </w:rPr>
        <w:t xml:space="preserve">pable of understanding the </w:t>
      </w:r>
      <w:r w:rsidR="00C14FC7" w:rsidRPr="000F531F">
        <w:rPr>
          <w:rFonts w:cs="HelveticaNeue-Light"/>
          <w:sz w:val="24"/>
          <w:szCs w:val="24"/>
        </w:rPr>
        <w:t>professional and ethical dilemmas that social workers can face</w:t>
      </w:r>
      <w:r w:rsidR="00E11C40">
        <w:rPr>
          <w:rFonts w:cs="HelveticaNeue-Light"/>
          <w:sz w:val="24"/>
          <w:szCs w:val="24"/>
        </w:rPr>
        <w:t>?</w:t>
      </w:r>
      <w:r w:rsidR="00363226">
        <w:rPr>
          <w:rFonts w:cs="HelveticaNeue-Light"/>
          <w:sz w:val="24"/>
          <w:szCs w:val="24"/>
        </w:rPr>
        <w:t xml:space="preserve"> </w:t>
      </w:r>
      <w:r w:rsidR="000E6645">
        <w:rPr>
          <w:rFonts w:cs="HelveticaNeue-Light"/>
          <w:sz w:val="24"/>
          <w:szCs w:val="24"/>
        </w:rPr>
        <w:t xml:space="preserve"> In an attempt to alleviate such problems, the HCPC stipulates that</w:t>
      </w:r>
      <w:r w:rsidR="000E6645" w:rsidRPr="00363226">
        <w:rPr>
          <w:rFonts w:cs="HelveticaNeue-Light"/>
          <w:sz w:val="24"/>
          <w:szCs w:val="24"/>
        </w:rPr>
        <w:t xml:space="preserve"> the fitness to </w:t>
      </w:r>
      <w:r w:rsidR="000E6645" w:rsidRPr="00363226">
        <w:rPr>
          <w:rFonts w:cs="HelveticaNeue-Light"/>
          <w:color w:val="000000" w:themeColor="text1"/>
          <w:sz w:val="24"/>
          <w:szCs w:val="24"/>
        </w:rPr>
        <w:t>practise</w:t>
      </w:r>
      <w:r w:rsidR="000E6645">
        <w:rPr>
          <w:rFonts w:cs="HelveticaNeue-Light"/>
          <w:color w:val="000000" w:themeColor="text1"/>
          <w:sz w:val="24"/>
          <w:szCs w:val="24"/>
        </w:rPr>
        <w:t xml:space="preserve"> panel considering each case will ‘usually’ </w:t>
      </w:r>
      <w:r w:rsidR="000E6645">
        <w:rPr>
          <w:rFonts w:cs="HelveticaNeue-Light"/>
          <w:sz w:val="24"/>
          <w:szCs w:val="24"/>
        </w:rPr>
        <w:t xml:space="preserve">comprise a registrant from the same profession as the person being investigated, </w:t>
      </w:r>
      <w:r w:rsidR="00446481">
        <w:rPr>
          <w:rFonts w:cs="HelveticaNeue-Light"/>
          <w:sz w:val="24"/>
          <w:szCs w:val="24"/>
        </w:rPr>
        <w:t xml:space="preserve">in addition to </w:t>
      </w:r>
      <w:r w:rsidR="000E6645">
        <w:rPr>
          <w:rFonts w:cs="HelveticaNeue-Light"/>
          <w:sz w:val="24"/>
          <w:szCs w:val="24"/>
        </w:rPr>
        <w:t>a lay person who is not registered with the HCPC and a chairperson who leads the hearing and speaks for the panel (HCPC, no date</w:t>
      </w:r>
      <w:r w:rsidR="00E66B16">
        <w:rPr>
          <w:rFonts w:cs="HelveticaNeue-Light"/>
          <w:sz w:val="24"/>
          <w:szCs w:val="24"/>
        </w:rPr>
        <w:t>,</w:t>
      </w:r>
      <w:r w:rsidR="000E6645">
        <w:rPr>
          <w:rFonts w:cs="HelveticaNeue-Light"/>
          <w:sz w:val="24"/>
          <w:szCs w:val="24"/>
        </w:rPr>
        <w:t xml:space="preserve"> online). </w:t>
      </w:r>
    </w:p>
    <w:p w:rsidR="00642000" w:rsidRPr="000F531F" w:rsidRDefault="00642000" w:rsidP="00E11C40">
      <w:pPr>
        <w:spacing w:after="0" w:line="480" w:lineRule="auto"/>
        <w:rPr>
          <w:sz w:val="24"/>
          <w:szCs w:val="24"/>
        </w:rPr>
      </w:pPr>
    </w:p>
    <w:p w:rsidR="00E11C40" w:rsidRPr="00DF53A4" w:rsidRDefault="00056395" w:rsidP="00D507EA">
      <w:pPr>
        <w:spacing w:line="480" w:lineRule="auto"/>
        <w:rPr>
          <w:rFonts w:cs="HelveticaNeue-Light"/>
          <w:sz w:val="24"/>
          <w:szCs w:val="24"/>
          <w:u w:val="single"/>
        </w:rPr>
      </w:pPr>
      <w:r>
        <w:rPr>
          <w:rFonts w:cs="HelveticaNeue-Light"/>
          <w:sz w:val="24"/>
          <w:szCs w:val="24"/>
          <w:u w:val="single"/>
        </w:rPr>
        <w:t>Disciplinary</w:t>
      </w:r>
      <w:r w:rsidR="00305B9B">
        <w:rPr>
          <w:rFonts w:cs="HelveticaNeue-Light"/>
          <w:sz w:val="24"/>
          <w:szCs w:val="24"/>
          <w:u w:val="single"/>
        </w:rPr>
        <w:t xml:space="preserve"> processes</w:t>
      </w:r>
    </w:p>
    <w:p w:rsidR="000560B4" w:rsidRPr="000F531F" w:rsidRDefault="000560B4" w:rsidP="00D507EA">
      <w:pPr>
        <w:spacing w:line="480" w:lineRule="auto"/>
        <w:rPr>
          <w:rFonts w:cs="HelveticaNeue-Light"/>
          <w:sz w:val="24"/>
          <w:szCs w:val="24"/>
        </w:rPr>
      </w:pPr>
      <w:r w:rsidRPr="000F531F">
        <w:rPr>
          <w:rFonts w:cs="HelveticaNeue-Light"/>
          <w:sz w:val="24"/>
          <w:szCs w:val="24"/>
        </w:rPr>
        <w:t>According to its 2012-2013 annual report the HCPC</w:t>
      </w:r>
      <w:r w:rsidR="007F7AC6" w:rsidRPr="000F531F">
        <w:rPr>
          <w:rFonts w:cs="HelveticaNeue-Light"/>
          <w:sz w:val="24"/>
          <w:szCs w:val="24"/>
        </w:rPr>
        <w:t xml:space="preserve"> (2013)</w:t>
      </w:r>
      <w:r w:rsidRPr="000F531F">
        <w:rPr>
          <w:rFonts w:cs="HelveticaNeue-Light"/>
          <w:sz w:val="24"/>
          <w:szCs w:val="24"/>
        </w:rPr>
        <w:t xml:space="preserve"> received more complaints about social workers than any othe</w:t>
      </w:r>
      <w:r w:rsidR="001850F2" w:rsidRPr="000F531F">
        <w:rPr>
          <w:rFonts w:cs="HelveticaNeue-Light"/>
          <w:sz w:val="24"/>
          <w:szCs w:val="24"/>
        </w:rPr>
        <w:t xml:space="preserve">r profession within its remit; </w:t>
      </w:r>
      <w:r w:rsidRPr="000F531F">
        <w:rPr>
          <w:rFonts w:cs="HelveticaNeue-Light"/>
          <w:sz w:val="24"/>
          <w:szCs w:val="24"/>
        </w:rPr>
        <w:t>there were 733 complaints concerning soc</w:t>
      </w:r>
      <w:r w:rsidR="001850F2" w:rsidRPr="000F531F">
        <w:rPr>
          <w:rFonts w:cs="HelveticaNeue-Light"/>
          <w:sz w:val="24"/>
          <w:szCs w:val="24"/>
        </w:rPr>
        <w:t xml:space="preserve">ial workers compared with 262 relating to </w:t>
      </w:r>
      <w:r w:rsidRPr="000F531F">
        <w:rPr>
          <w:rFonts w:cs="HelveticaNeue-Light"/>
          <w:sz w:val="24"/>
          <w:szCs w:val="24"/>
        </w:rPr>
        <w:t xml:space="preserve">paramedics </w:t>
      </w:r>
      <w:r w:rsidR="001850F2" w:rsidRPr="000F531F">
        <w:rPr>
          <w:rFonts w:cs="HelveticaNeue-Light"/>
          <w:sz w:val="24"/>
          <w:szCs w:val="24"/>
        </w:rPr>
        <w:t xml:space="preserve">who </w:t>
      </w:r>
      <w:r w:rsidRPr="000F531F">
        <w:rPr>
          <w:rFonts w:cs="HelveticaNeue-Light"/>
          <w:sz w:val="24"/>
          <w:szCs w:val="24"/>
        </w:rPr>
        <w:t>had the next highest number of complaints</w:t>
      </w:r>
      <w:r w:rsidR="00975C84" w:rsidRPr="000F531F">
        <w:rPr>
          <w:rFonts w:cs="HelveticaNeue-Light"/>
          <w:sz w:val="24"/>
          <w:szCs w:val="24"/>
        </w:rPr>
        <w:t xml:space="preserve">, </w:t>
      </w:r>
      <w:r w:rsidRPr="000F531F">
        <w:rPr>
          <w:rFonts w:cs="HelveticaNeue-Light"/>
          <w:sz w:val="24"/>
          <w:szCs w:val="24"/>
        </w:rPr>
        <w:t xml:space="preserve">significantly fewer than </w:t>
      </w:r>
      <w:r w:rsidR="001850F2" w:rsidRPr="000F531F">
        <w:rPr>
          <w:rFonts w:cs="HelveticaNeue-Light"/>
          <w:sz w:val="24"/>
          <w:szCs w:val="24"/>
        </w:rPr>
        <w:t>that of</w:t>
      </w:r>
      <w:r w:rsidR="002D72EF" w:rsidRPr="000F531F">
        <w:rPr>
          <w:rFonts w:cs="HelveticaNeue-Light"/>
          <w:sz w:val="24"/>
          <w:szCs w:val="24"/>
        </w:rPr>
        <w:t xml:space="preserve"> social workers. </w:t>
      </w:r>
      <w:r w:rsidR="00E11C40">
        <w:rPr>
          <w:rFonts w:cs="HelveticaNeue-Light"/>
          <w:sz w:val="24"/>
          <w:szCs w:val="24"/>
        </w:rPr>
        <w:t>Yet,</w:t>
      </w:r>
      <w:r w:rsidR="00481F22">
        <w:rPr>
          <w:rFonts w:cs="HelveticaNeue-Light"/>
          <w:sz w:val="24"/>
          <w:szCs w:val="24"/>
        </w:rPr>
        <w:t xml:space="preserve"> although there were more referrals made about social workers,</w:t>
      </w:r>
      <w:r w:rsidR="00E11C40">
        <w:rPr>
          <w:rFonts w:cs="HelveticaNeue-Light"/>
          <w:sz w:val="24"/>
          <w:szCs w:val="24"/>
        </w:rPr>
        <w:t xml:space="preserve"> it is important to note that </w:t>
      </w:r>
      <w:r w:rsidRPr="000F531F">
        <w:rPr>
          <w:rFonts w:cs="HelveticaNeue-Light"/>
          <w:sz w:val="24"/>
          <w:szCs w:val="24"/>
        </w:rPr>
        <w:t>ther</w:t>
      </w:r>
      <w:r w:rsidR="001850F2" w:rsidRPr="000F531F">
        <w:rPr>
          <w:rFonts w:cs="HelveticaNeue-Light"/>
          <w:sz w:val="24"/>
          <w:szCs w:val="24"/>
        </w:rPr>
        <w:t xml:space="preserve">e are </w:t>
      </w:r>
      <w:r w:rsidR="008F28BF">
        <w:rPr>
          <w:rFonts w:cs="HelveticaNeue-Light"/>
          <w:sz w:val="24"/>
          <w:szCs w:val="24"/>
        </w:rPr>
        <w:t>more</w:t>
      </w:r>
      <w:r w:rsidRPr="000F531F">
        <w:rPr>
          <w:rFonts w:cs="HelveticaNeue-Light"/>
          <w:sz w:val="24"/>
          <w:szCs w:val="24"/>
        </w:rPr>
        <w:t xml:space="preserve"> </w:t>
      </w:r>
      <w:r w:rsidR="00446481">
        <w:rPr>
          <w:rFonts w:cs="HelveticaNeue-Light"/>
          <w:sz w:val="24"/>
          <w:szCs w:val="24"/>
        </w:rPr>
        <w:t xml:space="preserve">social workers </w:t>
      </w:r>
      <w:r w:rsidR="00E11C40">
        <w:rPr>
          <w:rFonts w:cs="HelveticaNeue-Light"/>
          <w:sz w:val="24"/>
          <w:szCs w:val="24"/>
        </w:rPr>
        <w:t xml:space="preserve">(83,241 in total) </w:t>
      </w:r>
      <w:r w:rsidRPr="000F531F">
        <w:rPr>
          <w:rFonts w:cs="HelveticaNeue-Light"/>
          <w:sz w:val="24"/>
          <w:szCs w:val="24"/>
        </w:rPr>
        <w:t xml:space="preserve">registered </w:t>
      </w:r>
      <w:r w:rsidR="001850F2" w:rsidRPr="000F531F">
        <w:rPr>
          <w:rFonts w:cs="HelveticaNeue-Light"/>
          <w:sz w:val="24"/>
          <w:szCs w:val="24"/>
        </w:rPr>
        <w:t xml:space="preserve">with the HCPC </w:t>
      </w:r>
      <w:r w:rsidRPr="000F531F">
        <w:rPr>
          <w:rFonts w:cs="HelveticaNeue-Light"/>
          <w:sz w:val="24"/>
          <w:szCs w:val="24"/>
        </w:rPr>
        <w:t>than any other pro</w:t>
      </w:r>
      <w:r w:rsidR="002D72EF" w:rsidRPr="000F531F">
        <w:rPr>
          <w:rFonts w:cs="HelveticaNeue-Light"/>
          <w:sz w:val="24"/>
          <w:szCs w:val="24"/>
        </w:rPr>
        <w:t>fession</w:t>
      </w:r>
      <w:r w:rsidR="00C6221F">
        <w:rPr>
          <w:rFonts w:cs="HelveticaNeue-Light"/>
          <w:sz w:val="24"/>
          <w:szCs w:val="24"/>
        </w:rPr>
        <w:t>,</w:t>
      </w:r>
      <w:r w:rsidRPr="000F531F">
        <w:rPr>
          <w:rFonts w:cs="HelveticaNeue-Light"/>
          <w:sz w:val="24"/>
          <w:szCs w:val="24"/>
        </w:rPr>
        <w:t xml:space="preserve"> with the next high</w:t>
      </w:r>
      <w:r w:rsidR="00446481">
        <w:rPr>
          <w:rFonts w:cs="HelveticaNeue-Light"/>
          <w:sz w:val="24"/>
          <w:szCs w:val="24"/>
        </w:rPr>
        <w:t>est being physiotherapists (</w:t>
      </w:r>
      <w:r w:rsidRPr="000F531F">
        <w:rPr>
          <w:rFonts w:cs="HelveticaNeue-Light"/>
          <w:sz w:val="24"/>
          <w:szCs w:val="24"/>
        </w:rPr>
        <w:t>46,842</w:t>
      </w:r>
      <w:r w:rsidR="00446481">
        <w:rPr>
          <w:rFonts w:cs="HelveticaNeue-Light"/>
          <w:sz w:val="24"/>
          <w:szCs w:val="24"/>
        </w:rPr>
        <w:t>)</w:t>
      </w:r>
      <w:r w:rsidRPr="000F531F">
        <w:rPr>
          <w:rFonts w:cs="HelveticaNeue-Light"/>
          <w:sz w:val="24"/>
          <w:szCs w:val="24"/>
        </w:rPr>
        <w:t xml:space="preserve">, </w:t>
      </w:r>
      <w:r w:rsidR="00446481">
        <w:rPr>
          <w:rFonts w:cs="HelveticaNeue-Light"/>
          <w:sz w:val="24"/>
          <w:szCs w:val="24"/>
        </w:rPr>
        <w:t>then</w:t>
      </w:r>
      <w:r w:rsidR="001850F2" w:rsidRPr="000F531F">
        <w:rPr>
          <w:rFonts w:cs="HelveticaNeue-Light"/>
          <w:sz w:val="24"/>
          <w:szCs w:val="24"/>
        </w:rPr>
        <w:t xml:space="preserve"> occupational therapists</w:t>
      </w:r>
      <w:r w:rsidR="00446481">
        <w:rPr>
          <w:rFonts w:cs="HelveticaNeue-Light"/>
          <w:sz w:val="24"/>
          <w:szCs w:val="24"/>
        </w:rPr>
        <w:t xml:space="preserve"> (33,717)</w:t>
      </w:r>
      <w:r w:rsidR="00C6221F">
        <w:rPr>
          <w:rFonts w:cs="HelveticaNeue-Light"/>
          <w:sz w:val="24"/>
          <w:szCs w:val="24"/>
        </w:rPr>
        <w:t>,</w:t>
      </w:r>
      <w:r w:rsidRPr="000F531F">
        <w:rPr>
          <w:rFonts w:cs="HelveticaNeue-Light"/>
          <w:sz w:val="24"/>
          <w:szCs w:val="24"/>
        </w:rPr>
        <w:t xml:space="preserve"> with all the others ranging from </w:t>
      </w:r>
      <w:r w:rsidR="001850F2" w:rsidRPr="000F531F">
        <w:rPr>
          <w:rFonts w:cs="HelveticaNeue-Light"/>
          <w:sz w:val="24"/>
          <w:szCs w:val="24"/>
        </w:rPr>
        <w:t xml:space="preserve">that of </w:t>
      </w:r>
      <w:r w:rsidR="00446481">
        <w:rPr>
          <w:rFonts w:cs="HelveticaNeue-Light"/>
          <w:sz w:val="24"/>
          <w:szCs w:val="24"/>
        </w:rPr>
        <w:t>radiographers (</w:t>
      </w:r>
      <w:r w:rsidRPr="000F531F">
        <w:rPr>
          <w:rFonts w:cs="HelveticaNeue-Light"/>
          <w:sz w:val="24"/>
          <w:szCs w:val="24"/>
        </w:rPr>
        <w:t>27,820</w:t>
      </w:r>
      <w:r w:rsidR="00446481">
        <w:rPr>
          <w:rFonts w:cs="HelveticaNeue-Light"/>
          <w:sz w:val="24"/>
          <w:szCs w:val="24"/>
        </w:rPr>
        <w:t>)</w:t>
      </w:r>
      <w:r w:rsidRPr="000F531F">
        <w:rPr>
          <w:rFonts w:cs="HelveticaNeue-Light"/>
          <w:sz w:val="24"/>
          <w:szCs w:val="24"/>
        </w:rPr>
        <w:t xml:space="preserve"> to prosthetists/orthotists </w:t>
      </w:r>
      <w:r w:rsidR="001850F2" w:rsidRPr="000F531F">
        <w:rPr>
          <w:rFonts w:cs="HelveticaNeue-Light"/>
          <w:sz w:val="24"/>
          <w:szCs w:val="24"/>
        </w:rPr>
        <w:t>who have the</w:t>
      </w:r>
      <w:r w:rsidR="00446481">
        <w:rPr>
          <w:rFonts w:cs="HelveticaNeue-Light"/>
          <w:sz w:val="24"/>
          <w:szCs w:val="24"/>
        </w:rPr>
        <w:t xml:space="preserve"> fewest </w:t>
      </w:r>
      <w:r w:rsidR="00CC1DCE" w:rsidRPr="000F531F">
        <w:rPr>
          <w:rFonts w:cs="HelveticaNeue-Light"/>
          <w:sz w:val="24"/>
          <w:szCs w:val="24"/>
        </w:rPr>
        <w:t>registrants</w:t>
      </w:r>
      <w:r w:rsidR="00446481">
        <w:rPr>
          <w:rFonts w:cs="HelveticaNeue-Light"/>
          <w:sz w:val="24"/>
          <w:szCs w:val="24"/>
        </w:rPr>
        <w:t xml:space="preserve"> (936)</w:t>
      </w:r>
      <w:r w:rsidR="00CC1DCE" w:rsidRPr="000F531F">
        <w:rPr>
          <w:rFonts w:cs="HelveticaNeue-Light"/>
          <w:sz w:val="24"/>
          <w:szCs w:val="24"/>
        </w:rPr>
        <w:t>. So, although</w:t>
      </w:r>
      <w:r w:rsidRPr="000F531F">
        <w:rPr>
          <w:rFonts w:cs="HelveticaNeue-Light"/>
          <w:sz w:val="24"/>
          <w:szCs w:val="24"/>
        </w:rPr>
        <w:t xml:space="preserve"> numerically </w:t>
      </w:r>
      <w:r w:rsidR="00CC1DCE" w:rsidRPr="000F531F">
        <w:rPr>
          <w:rFonts w:cs="HelveticaNeue-Light"/>
          <w:sz w:val="24"/>
          <w:szCs w:val="24"/>
        </w:rPr>
        <w:t>social work has</w:t>
      </w:r>
      <w:r w:rsidRPr="000F531F">
        <w:rPr>
          <w:rFonts w:cs="HelveticaNeue-Light"/>
          <w:sz w:val="24"/>
          <w:szCs w:val="24"/>
        </w:rPr>
        <w:t xml:space="preserve"> the most registrants subject to concerns, as a percentage of all </w:t>
      </w:r>
      <w:r w:rsidR="00CC1DCE" w:rsidRPr="000F531F">
        <w:rPr>
          <w:rFonts w:cs="HelveticaNeue-Light"/>
          <w:sz w:val="24"/>
          <w:szCs w:val="24"/>
        </w:rPr>
        <w:t xml:space="preserve">professions’ </w:t>
      </w:r>
      <w:r w:rsidRPr="000F531F">
        <w:rPr>
          <w:rFonts w:cs="HelveticaNeue-Light"/>
          <w:sz w:val="24"/>
          <w:szCs w:val="24"/>
        </w:rPr>
        <w:t>registrants</w:t>
      </w:r>
      <w:r w:rsidR="00237C7B">
        <w:rPr>
          <w:rFonts w:cs="HelveticaNeue-Light"/>
          <w:sz w:val="24"/>
          <w:szCs w:val="24"/>
        </w:rPr>
        <w:t>,</w:t>
      </w:r>
      <w:r w:rsidRPr="000F531F">
        <w:rPr>
          <w:rFonts w:cs="HelveticaNeue-Light"/>
          <w:sz w:val="24"/>
          <w:szCs w:val="24"/>
        </w:rPr>
        <w:t xml:space="preserve"> social workers were the fourth most complained about profession, </w:t>
      </w:r>
      <w:r w:rsidR="003028F6" w:rsidRPr="000F531F">
        <w:rPr>
          <w:rFonts w:cs="HelveticaNeue-Light"/>
          <w:sz w:val="24"/>
          <w:szCs w:val="24"/>
        </w:rPr>
        <w:t xml:space="preserve">with 0.88% percent being ‘subject to concerns’, </w:t>
      </w:r>
      <w:r w:rsidRPr="000F531F">
        <w:rPr>
          <w:rFonts w:cs="HelveticaNeue-Light"/>
          <w:sz w:val="24"/>
          <w:szCs w:val="24"/>
        </w:rPr>
        <w:t>behind hearing aid dispensers (1.38%), paramedics (1.35%) and practitioner psychologists (0.93%) respectively</w:t>
      </w:r>
      <w:r w:rsidR="005611CA">
        <w:rPr>
          <w:rFonts w:cs="HelveticaNeue-Light"/>
          <w:sz w:val="24"/>
          <w:szCs w:val="24"/>
        </w:rPr>
        <w:t xml:space="preserve"> (HCP</w:t>
      </w:r>
      <w:r w:rsidR="003028F6" w:rsidRPr="000F531F">
        <w:rPr>
          <w:rFonts w:cs="HelveticaNeue-Light"/>
          <w:sz w:val="24"/>
          <w:szCs w:val="24"/>
        </w:rPr>
        <w:t>C, 2013, p.13)</w:t>
      </w:r>
      <w:r w:rsidRPr="000F531F">
        <w:rPr>
          <w:rFonts w:cs="HelveticaNeue-Light"/>
          <w:sz w:val="24"/>
          <w:szCs w:val="24"/>
        </w:rPr>
        <w:t>.</w:t>
      </w:r>
    </w:p>
    <w:p w:rsidR="00287B98" w:rsidRDefault="00287B98" w:rsidP="00D507EA">
      <w:pPr>
        <w:spacing w:line="480" w:lineRule="auto"/>
        <w:rPr>
          <w:rFonts w:cs="HelveticaNeue-Light"/>
          <w:sz w:val="24"/>
          <w:szCs w:val="24"/>
        </w:rPr>
      </w:pPr>
    </w:p>
    <w:p w:rsidR="000560B4" w:rsidRPr="000F531F" w:rsidRDefault="000560B4" w:rsidP="00D507EA">
      <w:pPr>
        <w:spacing w:line="480" w:lineRule="auto"/>
        <w:rPr>
          <w:rFonts w:cs="HelveticaNeue-Light"/>
          <w:sz w:val="24"/>
          <w:szCs w:val="24"/>
        </w:rPr>
      </w:pPr>
      <w:r w:rsidRPr="000F531F">
        <w:rPr>
          <w:rFonts w:cs="HelveticaNeue-Light"/>
          <w:sz w:val="24"/>
          <w:szCs w:val="24"/>
        </w:rPr>
        <w:t>However, it has to be borne in mind that the social work cases detailed are only those referred directly to the HCPC which did not take on this role until August 2012</w:t>
      </w:r>
      <w:r w:rsidR="005611CA">
        <w:rPr>
          <w:rFonts w:cs="HelveticaNeue-Light"/>
          <w:sz w:val="24"/>
          <w:szCs w:val="24"/>
        </w:rPr>
        <w:t>,</w:t>
      </w:r>
      <w:r w:rsidRPr="000F531F">
        <w:rPr>
          <w:rFonts w:cs="HelveticaNeue-Light"/>
          <w:sz w:val="24"/>
          <w:szCs w:val="24"/>
        </w:rPr>
        <w:t xml:space="preserve"> so it is reasonable to surmise that the numbers and percentage of social workers subject to concerns will be higher in subsequent reports. Indeed, in addition to those social workers</w:t>
      </w:r>
      <w:r w:rsidR="005611CA">
        <w:rPr>
          <w:rFonts w:cs="HelveticaNeue-Light"/>
          <w:sz w:val="24"/>
          <w:szCs w:val="24"/>
        </w:rPr>
        <w:t xml:space="preserve"> who</w:t>
      </w:r>
      <w:r w:rsidR="00CC1DCE" w:rsidRPr="000F531F">
        <w:rPr>
          <w:rFonts w:cs="HelveticaNeue-Light"/>
          <w:sz w:val="24"/>
          <w:szCs w:val="24"/>
        </w:rPr>
        <w:t xml:space="preserve"> have been referred</w:t>
      </w:r>
      <w:r w:rsidR="00446481">
        <w:rPr>
          <w:rFonts w:cs="HelveticaNeue-Light"/>
          <w:sz w:val="24"/>
          <w:szCs w:val="24"/>
        </w:rPr>
        <w:t xml:space="preserve"> directly to it</w:t>
      </w:r>
      <w:r w:rsidR="00CC1DCE" w:rsidRPr="000F531F">
        <w:rPr>
          <w:rFonts w:cs="HelveticaNeue-Light"/>
          <w:sz w:val="24"/>
          <w:szCs w:val="24"/>
        </w:rPr>
        <w:t xml:space="preserve">, </w:t>
      </w:r>
      <w:r w:rsidRPr="000F531F">
        <w:rPr>
          <w:rFonts w:cs="HelveticaNeue-Light"/>
          <w:sz w:val="24"/>
          <w:szCs w:val="24"/>
        </w:rPr>
        <w:t xml:space="preserve">the HCPC also considered 217 cases initially investigated by the GSCC but </w:t>
      </w:r>
      <w:r w:rsidR="00446481">
        <w:rPr>
          <w:rFonts w:cs="HelveticaNeue-Light"/>
          <w:sz w:val="24"/>
          <w:szCs w:val="24"/>
        </w:rPr>
        <w:t xml:space="preserve">which </w:t>
      </w:r>
      <w:r w:rsidR="005611CA">
        <w:rPr>
          <w:rFonts w:cs="HelveticaNeue-Light"/>
          <w:sz w:val="24"/>
          <w:szCs w:val="24"/>
        </w:rPr>
        <w:t xml:space="preserve">were </w:t>
      </w:r>
      <w:r w:rsidRPr="000F531F">
        <w:rPr>
          <w:rFonts w:cs="HelveticaNeue-Light"/>
          <w:sz w:val="24"/>
          <w:szCs w:val="24"/>
        </w:rPr>
        <w:t>subsequently transferred to the HCPC.  Of these</w:t>
      </w:r>
      <w:r w:rsidR="005611CA">
        <w:rPr>
          <w:rFonts w:cs="HelveticaNeue-Light"/>
          <w:sz w:val="24"/>
          <w:szCs w:val="24"/>
        </w:rPr>
        <w:t>,</w:t>
      </w:r>
      <w:r w:rsidRPr="000F531F">
        <w:rPr>
          <w:rFonts w:cs="HelveticaNeue-Light"/>
          <w:sz w:val="24"/>
          <w:szCs w:val="24"/>
        </w:rPr>
        <w:t xml:space="preserve"> 120 were considered by its Investigating Committee between August 1</w:t>
      </w:r>
      <w:r w:rsidRPr="000F531F">
        <w:rPr>
          <w:rFonts w:cs="HelveticaNeue-Light"/>
          <w:sz w:val="24"/>
          <w:szCs w:val="24"/>
          <w:vertAlign w:val="superscript"/>
        </w:rPr>
        <w:t>st</w:t>
      </w:r>
      <w:r w:rsidRPr="000F531F">
        <w:rPr>
          <w:rFonts w:cs="HelveticaNeue-Light"/>
          <w:sz w:val="24"/>
          <w:szCs w:val="24"/>
        </w:rPr>
        <w:t xml:space="preserve"> 2012 and 31 March 2013. It found that there was a case to answer in 100 of these cases, </w:t>
      </w:r>
      <w:r w:rsidR="00E11C40">
        <w:rPr>
          <w:rFonts w:cs="HelveticaNeue-Light"/>
          <w:sz w:val="24"/>
          <w:szCs w:val="24"/>
        </w:rPr>
        <w:t xml:space="preserve">which equates to </w:t>
      </w:r>
      <w:r w:rsidR="005611CA">
        <w:rPr>
          <w:rFonts w:cs="HelveticaNeue-Light"/>
          <w:sz w:val="24"/>
          <w:szCs w:val="24"/>
        </w:rPr>
        <w:t>a ‘case to answer’ ratio</w:t>
      </w:r>
      <w:r w:rsidRPr="000F531F">
        <w:rPr>
          <w:rFonts w:cs="HelveticaNeue-Light"/>
          <w:sz w:val="24"/>
          <w:szCs w:val="24"/>
        </w:rPr>
        <w:t xml:space="preserve"> of 83% (HCPC, 2013).</w:t>
      </w:r>
    </w:p>
    <w:p w:rsidR="00287B98" w:rsidRDefault="00287B98" w:rsidP="00D507EA">
      <w:pPr>
        <w:spacing w:line="480" w:lineRule="auto"/>
        <w:rPr>
          <w:rFonts w:cs="HelveticaNeue-Light"/>
          <w:sz w:val="24"/>
          <w:szCs w:val="24"/>
        </w:rPr>
      </w:pPr>
    </w:p>
    <w:p w:rsidR="000560B4" w:rsidRPr="000F531F" w:rsidRDefault="000560B4" w:rsidP="00D507EA">
      <w:pPr>
        <w:spacing w:line="480" w:lineRule="auto"/>
        <w:rPr>
          <w:rFonts w:cs="HelveticaNeue-Light"/>
          <w:sz w:val="24"/>
          <w:szCs w:val="24"/>
        </w:rPr>
      </w:pPr>
      <w:r w:rsidRPr="000F531F">
        <w:rPr>
          <w:rFonts w:cs="HelveticaNeue-Light"/>
          <w:sz w:val="24"/>
          <w:szCs w:val="24"/>
        </w:rPr>
        <w:t xml:space="preserve">It is </w:t>
      </w:r>
      <w:r w:rsidR="00446481">
        <w:rPr>
          <w:rFonts w:cs="HelveticaNeue-Light"/>
          <w:sz w:val="24"/>
          <w:szCs w:val="24"/>
        </w:rPr>
        <w:t xml:space="preserve">worth noting that it is </w:t>
      </w:r>
      <w:r w:rsidRPr="000F531F">
        <w:rPr>
          <w:rFonts w:cs="HelveticaNeue-Light"/>
          <w:sz w:val="24"/>
          <w:szCs w:val="24"/>
        </w:rPr>
        <w:t>not n</w:t>
      </w:r>
      <w:r w:rsidR="00446481">
        <w:rPr>
          <w:rFonts w:cs="HelveticaNeue-Light"/>
          <w:sz w:val="24"/>
          <w:szCs w:val="24"/>
        </w:rPr>
        <w:t>ecessary for a complaint to be for</w:t>
      </w:r>
      <w:r w:rsidR="005611CA">
        <w:rPr>
          <w:rFonts w:cs="HelveticaNeue-Light"/>
          <w:sz w:val="24"/>
          <w:szCs w:val="24"/>
        </w:rPr>
        <w:t xml:space="preserve"> an investigation</w:t>
      </w:r>
      <w:r w:rsidR="00446481">
        <w:rPr>
          <w:rFonts w:cs="HelveticaNeue-Light"/>
          <w:sz w:val="24"/>
          <w:szCs w:val="24"/>
        </w:rPr>
        <w:t xml:space="preserve"> to take place</w:t>
      </w:r>
      <w:r w:rsidR="005611CA">
        <w:rPr>
          <w:rFonts w:cs="HelveticaNeue-Light"/>
          <w:sz w:val="24"/>
          <w:szCs w:val="24"/>
        </w:rPr>
        <w:t xml:space="preserve">. </w:t>
      </w:r>
      <w:r w:rsidRPr="000F531F">
        <w:rPr>
          <w:rFonts w:cs="HelveticaNeue-Light"/>
          <w:sz w:val="24"/>
          <w:szCs w:val="24"/>
        </w:rPr>
        <w:t xml:space="preserve">Article 22(6) of the Health and Social Work Professions Order </w:t>
      </w:r>
      <w:r w:rsidR="00E11C40">
        <w:rPr>
          <w:rFonts w:cs="HelveticaNeue-Light"/>
          <w:sz w:val="24"/>
          <w:szCs w:val="24"/>
        </w:rPr>
        <w:t>(</w:t>
      </w:r>
      <w:r w:rsidRPr="000F531F">
        <w:rPr>
          <w:rFonts w:cs="HelveticaNeue-Light"/>
          <w:sz w:val="24"/>
          <w:szCs w:val="24"/>
        </w:rPr>
        <w:t>2001</w:t>
      </w:r>
      <w:r w:rsidR="00E11C40">
        <w:rPr>
          <w:rFonts w:cs="HelveticaNeue-Light"/>
          <w:sz w:val="24"/>
          <w:szCs w:val="24"/>
        </w:rPr>
        <w:t>)</w:t>
      </w:r>
      <w:r w:rsidR="00446481">
        <w:rPr>
          <w:rFonts w:cs="HelveticaNeue-Light"/>
          <w:sz w:val="24"/>
          <w:szCs w:val="24"/>
        </w:rPr>
        <w:t xml:space="preserve"> allows the HCPC</w:t>
      </w:r>
      <w:r w:rsidRPr="000F531F">
        <w:rPr>
          <w:rFonts w:cs="HelveticaNeue-Light"/>
          <w:sz w:val="24"/>
          <w:szCs w:val="24"/>
        </w:rPr>
        <w:t xml:space="preserve"> to investigate in response to a media report or where someone prov</w:t>
      </w:r>
      <w:r w:rsidR="00446481">
        <w:rPr>
          <w:rFonts w:cs="HelveticaNeue-Light"/>
          <w:sz w:val="24"/>
          <w:szCs w:val="24"/>
        </w:rPr>
        <w:t xml:space="preserve">ides information which it </w:t>
      </w:r>
      <w:r w:rsidRPr="000F531F">
        <w:rPr>
          <w:rFonts w:cs="HelveticaNeue-Light"/>
          <w:sz w:val="24"/>
          <w:szCs w:val="24"/>
        </w:rPr>
        <w:t>deems sufficient to warrant an investigation</w:t>
      </w:r>
      <w:r w:rsidR="00446481">
        <w:rPr>
          <w:rFonts w:cs="HelveticaNeue-Light"/>
          <w:sz w:val="24"/>
          <w:szCs w:val="24"/>
        </w:rPr>
        <w:t>,</w:t>
      </w:r>
      <w:r w:rsidRPr="000F531F">
        <w:rPr>
          <w:rFonts w:cs="HelveticaNeue-Light"/>
          <w:sz w:val="24"/>
          <w:szCs w:val="24"/>
        </w:rPr>
        <w:t xml:space="preserve"> even if the referrer does not want to raise the matter informally. The same article </w:t>
      </w:r>
      <w:r w:rsidR="00446481">
        <w:rPr>
          <w:rFonts w:cs="HelveticaNeue-Light"/>
          <w:sz w:val="24"/>
          <w:szCs w:val="24"/>
        </w:rPr>
        <w:t xml:space="preserve">also </w:t>
      </w:r>
      <w:r w:rsidRPr="000F531F">
        <w:rPr>
          <w:rFonts w:cs="HelveticaNeue-Light"/>
          <w:sz w:val="24"/>
          <w:szCs w:val="24"/>
        </w:rPr>
        <w:t xml:space="preserve">encourages professionals to </w:t>
      </w:r>
      <w:r w:rsidR="00287B98" w:rsidRPr="000F531F">
        <w:rPr>
          <w:rFonts w:cs="HelveticaNeue-Light"/>
          <w:sz w:val="24"/>
          <w:szCs w:val="24"/>
        </w:rPr>
        <w:t>self-refer</w:t>
      </w:r>
      <w:r w:rsidR="00446481">
        <w:rPr>
          <w:rFonts w:cs="HelveticaNeue-Light"/>
          <w:sz w:val="24"/>
          <w:szCs w:val="24"/>
        </w:rPr>
        <w:t xml:space="preserve"> with </w:t>
      </w:r>
      <w:r w:rsidRPr="000F531F">
        <w:rPr>
          <w:rFonts w:cs="HelveticaNeue-Light"/>
          <w:sz w:val="24"/>
          <w:szCs w:val="24"/>
        </w:rPr>
        <w:t xml:space="preserve">standard 4 of the HCPC’s standards of conduct, performance and ethics </w:t>
      </w:r>
      <w:r w:rsidR="00446481">
        <w:rPr>
          <w:rFonts w:cs="HelveticaNeue-Light"/>
          <w:sz w:val="24"/>
          <w:szCs w:val="24"/>
        </w:rPr>
        <w:t>stating</w:t>
      </w:r>
      <w:r w:rsidRPr="000F531F">
        <w:rPr>
          <w:rFonts w:cs="HelveticaNeue-Light"/>
          <w:sz w:val="24"/>
          <w:szCs w:val="24"/>
        </w:rPr>
        <w:t xml:space="preserve"> that registrants must report to the HCPC ‘any important information’ about their ‘conduct or competence’ (</w:t>
      </w:r>
      <w:r w:rsidR="003028F6" w:rsidRPr="000F531F">
        <w:rPr>
          <w:rFonts w:cs="HelveticaNeue-Light"/>
          <w:sz w:val="24"/>
          <w:szCs w:val="24"/>
        </w:rPr>
        <w:t>HCPC, 2013, p.11</w:t>
      </w:r>
      <w:r w:rsidRPr="000F531F">
        <w:rPr>
          <w:rFonts w:cs="HelveticaNeue-Light"/>
          <w:sz w:val="24"/>
          <w:szCs w:val="24"/>
        </w:rPr>
        <w:t xml:space="preserve">) </w:t>
      </w:r>
    </w:p>
    <w:p w:rsidR="00287B98" w:rsidRDefault="00287B98" w:rsidP="00D507EA">
      <w:pPr>
        <w:spacing w:line="480" w:lineRule="auto"/>
        <w:rPr>
          <w:rFonts w:cs="HelveticaNeue-Light"/>
          <w:sz w:val="24"/>
          <w:szCs w:val="24"/>
        </w:rPr>
      </w:pPr>
    </w:p>
    <w:p w:rsidR="000560B4" w:rsidRPr="000F531F" w:rsidRDefault="000560B4" w:rsidP="00D507EA">
      <w:pPr>
        <w:spacing w:line="480" w:lineRule="auto"/>
        <w:rPr>
          <w:rFonts w:cs="HelveticaNeue-Light"/>
          <w:sz w:val="24"/>
          <w:szCs w:val="24"/>
        </w:rPr>
      </w:pPr>
      <w:r w:rsidRPr="000F531F">
        <w:rPr>
          <w:rFonts w:cs="HelveticaNeue-Light"/>
          <w:sz w:val="24"/>
          <w:szCs w:val="24"/>
        </w:rPr>
        <w:t xml:space="preserve">Initial concerns are </w:t>
      </w:r>
      <w:r w:rsidR="00E11C40">
        <w:rPr>
          <w:rFonts w:cs="HelveticaNeue-Light"/>
          <w:sz w:val="24"/>
          <w:szCs w:val="24"/>
        </w:rPr>
        <w:t xml:space="preserve">then </w:t>
      </w:r>
      <w:r w:rsidRPr="000F531F">
        <w:rPr>
          <w:rFonts w:cs="HelveticaNeue-Light"/>
          <w:sz w:val="24"/>
          <w:szCs w:val="24"/>
        </w:rPr>
        <w:t>discussed by the Investigating Committee and if it decides there is a case to answer the HCPC is obliged to proceed with the case to a final hearing.</w:t>
      </w:r>
      <w:r w:rsidR="005611CA">
        <w:rPr>
          <w:rFonts w:cs="HelveticaNeue-Light"/>
          <w:sz w:val="24"/>
          <w:szCs w:val="24"/>
        </w:rPr>
        <w:t xml:space="preserve"> At this stage the complaint can still be deemed to be ‘not well founded’.</w:t>
      </w:r>
    </w:p>
    <w:p w:rsidR="009778A2" w:rsidRDefault="000560B4" w:rsidP="008E3E01">
      <w:pPr>
        <w:autoSpaceDE w:val="0"/>
        <w:autoSpaceDN w:val="0"/>
        <w:adjustRightInd w:val="0"/>
        <w:spacing w:after="0" w:line="240" w:lineRule="auto"/>
        <w:ind w:left="567"/>
        <w:rPr>
          <w:rFonts w:cs="HelveticaNeue-Light"/>
          <w:sz w:val="24"/>
          <w:szCs w:val="24"/>
        </w:rPr>
      </w:pPr>
      <w:r w:rsidRPr="000F531F">
        <w:rPr>
          <w:rFonts w:cs="HelveticaNeue-Light"/>
          <w:sz w:val="24"/>
          <w:szCs w:val="24"/>
        </w:rPr>
        <w:t xml:space="preserve">Final hearings that are ‘not well founded’ involve cases where, at the hearing, the panel does not find the facts have been proved to the required standard or concludes that, even if those facts are provided they do not amount to the statutory ground (eg misconduct) or show that fitness to practise is impaired. In that event, the hearing concludes and no further action is taken. </w:t>
      </w:r>
    </w:p>
    <w:p w:rsidR="000560B4" w:rsidRPr="000F531F" w:rsidRDefault="000560B4" w:rsidP="009778A2">
      <w:pPr>
        <w:autoSpaceDE w:val="0"/>
        <w:autoSpaceDN w:val="0"/>
        <w:adjustRightInd w:val="0"/>
        <w:spacing w:after="0" w:line="480" w:lineRule="auto"/>
        <w:ind w:left="567"/>
        <w:jc w:val="right"/>
        <w:rPr>
          <w:rFonts w:cs="HelveticaNeue-Light"/>
          <w:sz w:val="24"/>
          <w:szCs w:val="24"/>
        </w:rPr>
      </w:pPr>
      <w:r w:rsidRPr="000F531F">
        <w:rPr>
          <w:rFonts w:cs="HelveticaNeue-Light"/>
          <w:sz w:val="24"/>
          <w:szCs w:val="24"/>
        </w:rPr>
        <w:t>(HCPC, 2013, p.37)</w:t>
      </w:r>
    </w:p>
    <w:p w:rsidR="000560B4" w:rsidRPr="000F531F" w:rsidRDefault="000560B4" w:rsidP="00D507EA">
      <w:pPr>
        <w:autoSpaceDE w:val="0"/>
        <w:autoSpaceDN w:val="0"/>
        <w:adjustRightInd w:val="0"/>
        <w:spacing w:after="0" w:line="480" w:lineRule="auto"/>
        <w:rPr>
          <w:rFonts w:cs="HelveticaNeue-Light"/>
          <w:sz w:val="24"/>
          <w:szCs w:val="24"/>
        </w:rPr>
      </w:pPr>
    </w:p>
    <w:p w:rsidR="000560B4" w:rsidRPr="000F531F" w:rsidRDefault="000560B4" w:rsidP="00D507EA">
      <w:pPr>
        <w:autoSpaceDE w:val="0"/>
        <w:autoSpaceDN w:val="0"/>
        <w:adjustRightInd w:val="0"/>
        <w:spacing w:after="0" w:line="480" w:lineRule="auto"/>
        <w:rPr>
          <w:rFonts w:cs="HelveticaNeue-Light"/>
          <w:sz w:val="24"/>
          <w:szCs w:val="24"/>
        </w:rPr>
      </w:pPr>
      <w:r w:rsidRPr="000F531F">
        <w:rPr>
          <w:rFonts w:cs="HelveticaNeue-Light"/>
          <w:sz w:val="24"/>
          <w:szCs w:val="24"/>
        </w:rPr>
        <w:t xml:space="preserve">It is also important to note that </w:t>
      </w:r>
      <w:r w:rsidR="00BF4E9E" w:rsidRPr="000F531F">
        <w:rPr>
          <w:rFonts w:cs="HelveticaNeue-Light"/>
          <w:sz w:val="24"/>
          <w:szCs w:val="24"/>
        </w:rPr>
        <w:t xml:space="preserve">if </w:t>
      </w:r>
      <w:r w:rsidRPr="000F531F">
        <w:rPr>
          <w:rFonts w:cs="HelveticaNeue-Light"/>
          <w:sz w:val="24"/>
          <w:szCs w:val="24"/>
        </w:rPr>
        <w:t>an allegation is substantiated thi</w:t>
      </w:r>
      <w:r w:rsidR="00BF4E9E" w:rsidRPr="000F531F">
        <w:rPr>
          <w:rFonts w:cs="HelveticaNeue-Light"/>
          <w:sz w:val="24"/>
          <w:szCs w:val="24"/>
        </w:rPr>
        <w:t>s does not necessarily mean that</w:t>
      </w:r>
      <w:r w:rsidRPr="000F531F">
        <w:rPr>
          <w:rFonts w:cs="HelveticaNeue-Light"/>
          <w:sz w:val="24"/>
          <w:szCs w:val="24"/>
        </w:rPr>
        <w:t xml:space="preserve"> the practitioner </w:t>
      </w:r>
      <w:r w:rsidR="00BF4E9E" w:rsidRPr="000F531F">
        <w:rPr>
          <w:rFonts w:cs="HelveticaNeue-Light"/>
          <w:sz w:val="24"/>
          <w:szCs w:val="24"/>
        </w:rPr>
        <w:t xml:space="preserve">will be </w:t>
      </w:r>
      <w:r w:rsidR="00E753F6" w:rsidRPr="000F531F">
        <w:rPr>
          <w:rFonts w:cs="HelveticaNeue-Light"/>
          <w:sz w:val="24"/>
          <w:szCs w:val="24"/>
        </w:rPr>
        <w:t>deemed unfit to practis</w:t>
      </w:r>
      <w:r w:rsidRPr="000F531F">
        <w:rPr>
          <w:rFonts w:cs="HelveticaNeue-Light"/>
          <w:sz w:val="24"/>
          <w:szCs w:val="24"/>
        </w:rPr>
        <w:t>e.</w:t>
      </w:r>
    </w:p>
    <w:p w:rsidR="000560B4" w:rsidRPr="000F531F" w:rsidRDefault="000560B4" w:rsidP="00D507EA">
      <w:pPr>
        <w:autoSpaceDE w:val="0"/>
        <w:autoSpaceDN w:val="0"/>
        <w:adjustRightInd w:val="0"/>
        <w:spacing w:after="0" w:line="480" w:lineRule="auto"/>
        <w:rPr>
          <w:rFonts w:cs="HelveticaNeue-Light"/>
          <w:sz w:val="24"/>
          <w:szCs w:val="24"/>
        </w:rPr>
      </w:pPr>
    </w:p>
    <w:p w:rsidR="009778A2" w:rsidRDefault="000560B4" w:rsidP="00875438">
      <w:pPr>
        <w:autoSpaceDE w:val="0"/>
        <w:autoSpaceDN w:val="0"/>
        <w:adjustRightInd w:val="0"/>
        <w:spacing w:after="0" w:line="240" w:lineRule="auto"/>
        <w:ind w:left="510"/>
        <w:rPr>
          <w:rFonts w:cs="HelveticaNeue-Light"/>
          <w:sz w:val="24"/>
          <w:szCs w:val="24"/>
        </w:rPr>
      </w:pPr>
      <w:r w:rsidRPr="000F531F">
        <w:rPr>
          <w:rFonts w:cs="HelveticaNeue-Light"/>
          <w:sz w:val="24"/>
          <w:szCs w:val="24"/>
        </w:rPr>
        <w:t xml:space="preserve">In some cases, even though the facts may be judged to amount to the ground of the allegation (eg misconduct, lack of competence), a panel may determine that the ground does not amount to an impairment of current fitness to practise. For example, if an allegation was minor in nature or an isolated incident, and where reoccurrence is unlikely a panel may not find impairment. In 2012–13 this occurred in nine cases (17%). </w:t>
      </w:r>
    </w:p>
    <w:p w:rsidR="000560B4" w:rsidRPr="000F531F" w:rsidRDefault="000560B4" w:rsidP="009778A2">
      <w:pPr>
        <w:autoSpaceDE w:val="0"/>
        <w:autoSpaceDN w:val="0"/>
        <w:adjustRightInd w:val="0"/>
        <w:spacing w:after="0" w:line="480" w:lineRule="auto"/>
        <w:ind w:left="510"/>
        <w:jc w:val="right"/>
        <w:rPr>
          <w:rFonts w:cs="HelveticaNeue-Light"/>
          <w:sz w:val="24"/>
          <w:szCs w:val="24"/>
        </w:rPr>
      </w:pPr>
      <w:r w:rsidRPr="000F531F">
        <w:rPr>
          <w:rFonts w:cs="HelveticaNeue-Light"/>
          <w:sz w:val="24"/>
          <w:szCs w:val="24"/>
        </w:rPr>
        <w:t>(HCPC, 2013, p.38)</w:t>
      </w:r>
    </w:p>
    <w:p w:rsidR="00BF4E9E" w:rsidRPr="000F531F" w:rsidRDefault="00BF4E9E" w:rsidP="00D507EA">
      <w:pPr>
        <w:spacing w:line="480" w:lineRule="auto"/>
        <w:rPr>
          <w:sz w:val="24"/>
          <w:szCs w:val="24"/>
        </w:rPr>
      </w:pPr>
    </w:p>
    <w:p w:rsidR="001F49D4" w:rsidRPr="000F531F" w:rsidRDefault="001F49D4" w:rsidP="00D507EA">
      <w:pPr>
        <w:spacing w:line="480" w:lineRule="auto"/>
        <w:rPr>
          <w:sz w:val="24"/>
          <w:szCs w:val="24"/>
        </w:rPr>
      </w:pPr>
      <w:r w:rsidRPr="000F531F">
        <w:rPr>
          <w:sz w:val="24"/>
          <w:szCs w:val="24"/>
        </w:rPr>
        <w:t>The focus of the HCPC proceedings is on the action and behaviour of the individual s</w:t>
      </w:r>
      <w:r w:rsidR="003028F6" w:rsidRPr="000F531F">
        <w:rPr>
          <w:sz w:val="24"/>
          <w:szCs w:val="24"/>
        </w:rPr>
        <w:t>ocial worker. As Furness (2013</w:t>
      </w:r>
      <w:r w:rsidRPr="000F531F">
        <w:rPr>
          <w:sz w:val="24"/>
          <w:szCs w:val="24"/>
        </w:rPr>
        <w:t xml:space="preserve">) </w:t>
      </w:r>
      <w:r w:rsidR="00CC1DCE" w:rsidRPr="000F531F">
        <w:rPr>
          <w:sz w:val="24"/>
          <w:szCs w:val="24"/>
        </w:rPr>
        <w:t xml:space="preserve">highlighted, </w:t>
      </w:r>
      <w:r w:rsidRPr="000F531F">
        <w:rPr>
          <w:sz w:val="24"/>
          <w:szCs w:val="24"/>
        </w:rPr>
        <w:t xml:space="preserve">this represents a key difference between such hearings and serious case inquiries. The latter </w:t>
      </w:r>
      <w:r w:rsidR="00764A67" w:rsidRPr="000F531F">
        <w:rPr>
          <w:sz w:val="24"/>
          <w:szCs w:val="24"/>
        </w:rPr>
        <w:t xml:space="preserve">certainly </w:t>
      </w:r>
      <w:r w:rsidRPr="000F531F">
        <w:rPr>
          <w:sz w:val="24"/>
          <w:szCs w:val="24"/>
        </w:rPr>
        <w:t>provide a narrative and moral judgement about the conduct of professionals but</w:t>
      </w:r>
      <w:r w:rsidR="00764A67" w:rsidRPr="000F531F">
        <w:rPr>
          <w:sz w:val="24"/>
          <w:szCs w:val="24"/>
        </w:rPr>
        <w:t>, crucially, they</w:t>
      </w:r>
      <w:r w:rsidRPr="000F531F">
        <w:rPr>
          <w:sz w:val="24"/>
          <w:szCs w:val="24"/>
        </w:rPr>
        <w:t xml:space="preserve"> also consider organisational factors tha</w:t>
      </w:r>
      <w:r w:rsidR="00764A67" w:rsidRPr="000F531F">
        <w:rPr>
          <w:sz w:val="24"/>
          <w:szCs w:val="24"/>
        </w:rPr>
        <w:t>t m</w:t>
      </w:r>
      <w:r w:rsidR="00E11C40">
        <w:rPr>
          <w:sz w:val="24"/>
          <w:szCs w:val="24"/>
        </w:rPr>
        <w:t>ay have impacted on practice. In</w:t>
      </w:r>
      <w:r w:rsidR="00764A67" w:rsidRPr="000F531F">
        <w:rPr>
          <w:sz w:val="24"/>
          <w:szCs w:val="24"/>
        </w:rPr>
        <w:t xml:space="preserve"> contrast</w:t>
      </w:r>
      <w:r w:rsidR="005611CA">
        <w:rPr>
          <w:sz w:val="24"/>
          <w:szCs w:val="24"/>
        </w:rPr>
        <w:t>,</w:t>
      </w:r>
      <w:r w:rsidR="00764A67" w:rsidRPr="000F531F">
        <w:rPr>
          <w:sz w:val="24"/>
          <w:szCs w:val="24"/>
        </w:rPr>
        <w:t xml:space="preserve"> HCPC hearings</w:t>
      </w:r>
      <w:r w:rsidRPr="000F531F">
        <w:rPr>
          <w:sz w:val="24"/>
          <w:szCs w:val="24"/>
        </w:rPr>
        <w:t xml:space="preserve"> </w:t>
      </w:r>
      <w:r w:rsidR="00764A67" w:rsidRPr="000F531F">
        <w:rPr>
          <w:sz w:val="24"/>
          <w:szCs w:val="24"/>
        </w:rPr>
        <w:t>are predominantly</w:t>
      </w:r>
      <w:r w:rsidRPr="000F531F">
        <w:rPr>
          <w:sz w:val="24"/>
          <w:szCs w:val="24"/>
        </w:rPr>
        <w:t xml:space="preserve"> focussed on the actions and behaviour of the individual registrant.</w:t>
      </w:r>
    </w:p>
    <w:p w:rsidR="00287B98" w:rsidRDefault="00287B98" w:rsidP="00D507EA">
      <w:pPr>
        <w:spacing w:line="480" w:lineRule="auto"/>
        <w:rPr>
          <w:sz w:val="24"/>
          <w:szCs w:val="24"/>
        </w:rPr>
      </w:pPr>
    </w:p>
    <w:p w:rsidR="00BF4E9E" w:rsidRPr="00504CEF" w:rsidRDefault="005611CA" w:rsidP="00D507EA">
      <w:pPr>
        <w:spacing w:line="480" w:lineRule="auto"/>
        <w:rPr>
          <w:b/>
          <w:sz w:val="24"/>
          <w:szCs w:val="24"/>
        </w:rPr>
      </w:pPr>
      <w:r>
        <w:rPr>
          <w:sz w:val="24"/>
          <w:szCs w:val="24"/>
        </w:rPr>
        <w:t>This is a</w:t>
      </w:r>
      <w:r w:rsidR="00361EF7">
        <w:rPr>
          <w:sz w:val="24"/>
          <w:szCs w:val="24"/>
        </w:rPr>
        <w:t xml:space="preserve"> </w:t>
      </w:r>
      <w:r>
        <w:rPr>
          <w:sz w:val="24"/>
          <w:szCs w:val="24"/>
        </w:rPr>
        <w:t>cause for concern. F</w:t>
      </w:r>
      <w:r w:rsidR="00446481">
        <w:rPr>
          <w:sz w:val="24"/>
          <w:szCs w:val="24"/>
        </w:rPr>
        <w:t>or instance</w:t>
      </w:r>
      <w:r>
        <w:rPr>
          <w:sz w:val="24"/>
          <w:szCs w:val="24"/>
        </w:rPr>
        <w:t>,</w:t>
      </w:r>
      <w:r w:rsidR="00BF4E9E" w:rsidRPr="000F531F">
        <w:rPr>
          <w:sz w:val="24"/>
          <w:szCs w:val="24"/>
        </w:rPr>
        <w:t xml:space="preserve"> </w:t>
      </w:r>
      <w:r w:rsidR="000560B4" w:rsidRPr="000F531F">
        <w:rPr>
          <w:sz w:val="24"/>
          <w:szCs w:val="24"/>
        </w:rPr>
        <w:t>Mc</w:t>
      </w:r>
      <w:r w:rsidR="00BF4E9E" w:rsidRPr="000F531F">
        <w:rPr>
          <w:sz w:val="24"/>
          <w:szCs w:val="24"/>
        </w:rPr>
        <w:t>Gregor (2014) has highlighted</w:t>
      </w:r>
      <w:r w:rsidR="000560B4" w:rsidRPr="000F531F">
        <w:rPr>
          <w:sz w:val="24"/>
          <w:szCs w:val="24"/>
        </w:rPr>
        <w:t xml:space="preserve"> a reoccurring theme in the HCPC hearings she has attended. She found that despite </w:t>
      </w:r>
      <w:r w:rsidR="00E11C40">
        <w:rPr>
          <w:sz w:val="24"/>
          <w:szCs w:val="24"/>
        </w:rPr>
        <w:t>it being acknowledged that social workers have</w:t>
      </w:r>
      <w:r w:rsidR="000560B4" w:rsidRPr="000F531F">
        <w:rPr>
          <w:sz w:val="24"/>
          <w:szCs w:val="24"/>
        </w:rPr>
        <w:t xml:space="preserve"> to deal with the burden of h</w:t>
      </w:r>
      <w:r w:rsidR="00BF4E9E" w:rsidRPr="000F531F">
        <w:rPr>
          <w:sz w:val="24"/>
          <w:szCs w:val="24"/>
        </w:rPr>
        <w:t>olding high caseloads and</w:t>
      </w:r>
      <w:r w:rsidR="000560B4" w:rsidRPr="000F531F">
        <w:rPr>
          <w:sz w:val="24"/>
          <w:szCs w:val="24"/>
        </w:rPr>
        <w:t xml:space="preserve"> receiving poor supervision, these problems were not taken into account by those on the HCPC panel</w:t>
      </w:r>
      <w:r w:rsidR="00BF4E9E" w:rsidRPr="000F531F">
        <w:rPr>
          <w:sz w:val="24"/>
          <w:szCs w:val="24"/>
        </w:rPr>
        <w:t xml:space="preserve">, and </w:t>
      </w:r>
      <w:r w:rsidR="000560B4" w:rsidRPr="000F531F">
        <w:rPr>
          <w:sz w:val="24"/>
          <w:szCs w:val="24"/>
        </w:rPr>
        <w:t xml:space="preserve">practitioners </w:t>
      </w:r>
      <w:r w:rsidR="00BF4E9E" w:rsidRPr="000F531F">
        <w:rPr>
          <w:sz w:val="24"/>
          <w:szCs w:val="24"/>
        </w:rPr>
        <w:t>were liable to be</w:t>
      </w:r>
      <w:r w:rsidR="000560B4" w:rsidRPr="000F531F">
        <w:rPr>
          <w:sz w:val="24"/>
          <w:szCs w:val="24"/>
        </w:rPr>
        <w:t xml:space="preserve"> found accountable for having limited insight into their own failings. </w:t>
      </w:r>
      <w:r w:rsidR="00F7741F">
        <w:t>This highlights some strengths of the HCPC's predecessor in terms of how the GSCC proceeded in such cases. For example</w:t>
      </w:r>
      <w:r w:rsidR="000560B4" w:rsidRPr="000F531F">
        <w:rPr>
          <w:sz w:val="24"/>
          <w:szCs w:val="24"/>
        </w:rPr>
        <w:t xml:space="preserve"> </w:t>
      </w:r>
      <w:r w:rsidR="00BF4E9E" w:rsidRPr="00F7741F">
        <w:rPr>
          <w:sz w:val="24"/>
          <w:szCs w:val="24"/>
        </w:rPr>
        <w:t>in her analysis of GSCC hearings</w:t>
      </w:r>
      <w:r w:rsidR="00361EF7" w:rsidRPr="00F7741F">
        <w:rPr>
          <w:sz w:val="24"/>
          <w:szCs w:val="24"/>
        </w:rPr>
        <w:t>,</w:t>
      </w:r>
      <w:r w:rsidR="00BF4E9E" w:rsidRPr="00F7741F">
        <w:rPr>
          <w:sz w:val="24"/>
          <w:szCs w:val="24"/>
        </w:rPr>
        <w:t xml:space="preserve"> Furness (2013) found that when decisions were deemed, in terms of misconduct, as intentional or unintentional, the insight of the worker who had been involved in that situation was always needed in order to explain those actions or behaviours. This not only clarified why certain decisions were made but it also enabled professionals to understand the issues surrounding malpractice.</w:t>
      </w:r>
      <w:r w:rsidR="00BF4E9E" w:rsidRPr="000F531F">
        <w:rPr>
          <w:sz w:val="24"/>
          <w:szCs w:val="24"/>
        </w:rPr>
        <w:t xml:space="preserve"> </w:t>
      </w:r>
    </w:p>
    <w:p w:rsidR="00287B98" w:rsidRDefault="000560B4" w:rsidP="00D507EA">
      <w:pPr>
        <w:spacing w:after="0" w:line="480" w:lineRule="auto"/>
        <w:ind w:hanging="720"/>
        <w:rPr>
          <w:sz w:val="24"/>
          <w:szCs w:val="24"/>
        </w:rPr>
      </w:pPr>
      <w:r w:rsidRPr="000F531F">
        <w:rPr>
          <w:sz w:val="24"/>
          <w:szCs w:val="24"/>
        </w:rPr>
        <w:tab/>
      </w:r>
    </w:p>
    <w:p w:rsidR="008A01D2" w:rsidRPr="000F531F" w:rsidRDefault="00287B98" w:rsidP="00D507EA">
      <w:pPr>
        <w:spacing w:after="0" w:line="480" w:lineRule="auto"/>
        <w:ind w:hanging="720"/>
        <w:rPr>
          <w:sz w:val="24"/>
          <w:szCs w:val="24"/>
        </w:rPr>
      </w:pPr>
      <w:r>
        <w:rPr>
          <w:sz w:val="24"/>
          <w:szCs w:val="24"/>
        </w:rPr>
        <w:tab/>
      </w:r>
      <w:r w:rsidR="00E11C40">
        <w:rPr>
          <w:sz w:val="24"/>
          <w:szCs w:val="24"/>
        </w:rPr>
        <w:t>Whilst it is recognised that t</w:t>
      </w:r>
      <w:r w:rsidR="005611CA">
        <w:rPr>
          <w:sz w:val="24"/>
          <w:szCs w:val="24"/>
        </w:rPr>
        <w:t>he HCPC’</w:t>
      </w:r>
      <w:r w:rsidR="00980922" w:rsidRPr="000F531F">
        <w:rPr>
          <w:sz w:val="24"/>
          <w:szCs w:val="24"/>
        </w:rPr>
        <w:t>s responsibility for social work may</w:t>
      </w:r>
      <w:r w:rsidR="00E11C40">
        <w:rPr>
          <w:sz w:val="24"/>
          <w:szCs w:val="24"/>
        </w:rPr>
        <w:t xml:space="preserve"> still be in its infancy</w:t>
      </w:r>
      <w:r w:rsidR="00980922" w:rsidRPr="000F531F">
        <w:rPr>
          <w:sz w:val="24"/>
          <w:szCs w:val="24"/>
        </w:rPr>
        <w:t xml:space="preserve"> there are already calls for consideration to be given </w:t>
      </w:r>
      <w:r w:rsidR="00E11C40">
        <w:rPr>
          <w:sz w:val="24"/>
          <w:szCs w:val="24"/>
        </w:rPr>
        <w:t xml:space="preserve">as </w:t>
      </w:r>
      <w:r w:rsidR="00980922" w:rsidRPr="000F531F">
        <w:rPr>
          <w:sz w:val="24"/>
          <w:szCs w:val="24"/>
        </w:rPr>
        <w:t>to whether it is</w:t>
      </w:r>
      <w:r w:rsidR="00E11C40">
        <w:rPr>
          <w:sz w:val="24"/>
          <w:szCs w:val="24"/>
        </w:rPr>
        <w:t xml:space="preserve"> indeed</w:t>
      </w:r>
      <w:r w:rsidR="00980922" w:rsidRPr="000F531F">
        <w:rPr>
          <w:sz w:val="24"/>
          <w:szCs w:val="24"/>
        </w:rPr>
        <w:t xml:space="preserve"> the</w:t>
      </w:r>
      <w:r w:rsidR="001F49D4" w:rsidRPr="000F531F">
        <w:rPr>
          <w:sz w:val="24"/>
          <w:szCs w:val="24"/>
        </w:rPr>
        <w:t xml:space="preserve"> most appropriate body to do so, with a </w:t>
      </w:r>
      <w:r w:rsidR="008A01D2" w:rsidRPr="000F531F">
        <w:rPr>
          <w:sz w:val="24"/>
          <w:szCs w:val="24"/>
        </w:rPr>
        <w:t xml:space="preserve">government commissioned </w:t>
      </w:r>
      <w:r w:rsidR="001F49D4" w:rsidRPr="000F531F">
        <w:rPr>
          <w:sz w:val="24"/>
          <w:szCs w:val="24"/>
        </w:rPr>
        <w:t>report into</w:t>
      </w:r>
      <w:r w:rsidR="00BF4E9E" w:rsidRPr="000F531F">
        <w:rPr>
          <w:sz w:val="24"/>
          <w:szCs w:val="24"/>
        </w:rPr>
        <w:t xml:space="preserve"> social work education</w:t>
      </w:r>
      <w:r w:rsidR="008A01D2" w:rsidRPr="000F531F">
        <w:rPr>
          <w:sz w:val="24"/>
          <w:szCs w:val="24"/>
        </w:rPr>
        <w:t xml:space="preserve"> </w:t>
      </w:r>
      <w:r w:rsidR="001F49D4" w:rsidRPr="000F531F">
        <w:rPr>
          <w:sz w:val="24"/>
          <w:szCs w:val="24"/>
        </w:rPr>
        <w:t>recommending that</w:t>
      </w:r>
      <w:r w:rsidR="00E11C40">
        <w:rPr>
          <w:sz w:val="24"/>
          <w:szCs w:val="24"/>
        </w:rPr>
        <w:t>:</w:t>
      </w:r>
    </w:p>
    <w:p w:rsidR="008A01D2" w:rsidRPr="000F531F" w:rsidRDefault="008A01D2" w:rsidP="00D507EA">
      <w:pPr>
        <w:spacing w:after="0" w:line="480" w:lineRule="auto"/>
        <w:ind w:hanging="720"/>
        <w:rPr>
          <w:sz w:val="24"/>
          <w:szCs w:val="24"/>
        </w:rPr>
      </w:pPr>
      <w:r w:rsidRPr="000F531F">
        <w:rPr>
          <w:sz w:val="24"/>
          <w:szCs w:val="24"/>
        </w:rPr>
        <w:t xml:space="preserve"> </w:t>
      </w:r>
    </w:p>
    <w:p w:rsidR="009778A2" w:rsidRDefault="008A01D2" w:rsidP="008E3E01">
      <w:pPr>
        <w:spacing w:after="0" w:line="240" w:lineRule="auto"/>
        <w:ind w:left="567"/>
        <w:rPr>
          <w:sz w:val="24"/>
          <w:szCs w:val="24"/>
        </w:rPr>
      </w:pPr>
      <w:r w:rsidRPr="000F531F">
        <w:rPr>
          <w:sz w:val="24"/>
          <w:szCs w:val="24"/>
        </w:rPr>
        <w:t xml:space="preserve">The Department for Education should consider whether the role of HCPC in regulating the social work profession, including prescribing standards of proficiency and approving HEI </w:t>
      </w:r>
      <w:r w:rsidR="00DF53A4">
        <w:rPr>
          <w:sz w:val="24"/>
          <w:szCs w:val="24"/>
        </w:rPr>
        <w:t>(</w:t>
      </w:r>
      <w:r w:rsidRPr="000F531F">
        <w:rPr>
          <w:sz w:val="24"/>
          <w:szCs w:val="24"/>
        </w:rPr>
        <w:t>Higher Education Instituti</w:t>
      </w:r>
      <w:r w:rsidR="00DF53A4">
        <w:rPr>
          <w:sz w:val="24"/>
          <w:szCs w:val="24"/>
        </w:rPr>
        <w:t>ons)</w:t>
      </w:r>
      <w:r w:rsidRPr="000F531F">
        <w:rPr>
          <w:sz w:val="24"/>
          <w:szCs w:val="24"/>
        </w:rPr>
        <w:t xml:space="preserve"> social work courses, duplicates the role of the College of Social Work, and, if so, whether those duties shoul</w:t>
      </w:r>
      <w:r w:rsidR="00E11C40">
        <w:rPr>
          <w:sz w:val="24"/>
          <w:szCs w:val="24"/>
        </w:rPr>
        <w:t>d be transferred to the College</w:t>
      </w:r>
      <w:r w:rsidR="009778A2">
        <w:rPr>
          <w:sz w:val="24"/>
          <w:szCs w:val="24"/>
        </w:rPr>
        <w:t>.</w:t>
      </w:r>
      <w:r w:rsidR="00DF53A4">
        <w:rPr>
          <w:sz w:val="24"/>
          <w:szCs w:val="24"/>
        </w:rPr>
        <w:t xml:space="preserve"> </w:t>
      </w:r>
    </w:p>
    <w:p w:rsidR="008A01D2" w:rsidRPr="000F531F" w:rsidRDefault="00DF53A4" w:rsidP="009778A2">
      <w:pPr>
        <w:spacing w:after="0" w:line="480" w:lineRule="auto"/>
        <w:ind w:left="567"/>
        <w:jc w:val="right"/>
        <w:rPr>
          <w:sz w:val="24"/>
          <w:szCs w:val="24"/>
        </w:rPr>
      </w:pPr>
      <w:r>
        <w:rPr>
          <w:sz w:val="24"/>
          <w:szCs w:val="24"/>
        </w:rPr>
        <w:t>(Narey, 2014</w:t>
      </w:r>
      <w:r w:rsidR="009778A2">
        <w:rPr>
          <w:sz w:val="24"/>
          <w:szCs w:val="24"/>
        </w:rPr>
        <w:t>, p.27)</w:t>
      </w:r>
    </w:p>
    <w:p w:rsidR="00287B98" w:rsidRDefault="00287B98" w:rsidP="008E3E01">
      <w:pPr>
        <w:pStyle w:val="CommentText"/>
        <w:spacing w:line="480" w:lineRule="auto"/>
        <w:rPr>
          <w:sz w:val="24"/>
          <w:szCs w:val="24"/>
        </w:rPr>
      </w:pPr>
    </w:p>
    <w:p w:rsidR="00E11C40" w:rsidRPr="008E3E01" w:rsidRDefault="00E11C40" w:rsidP="008E3E01">
      <w:pPr>
        <w:pStyle w:val="CommentText"/>
        <w:spacing w:line="480" w:lineRule="auto"/>
      </w:pPr>
      <w:r>
        <w:rPr>
          <w:sz w:val="24"/>
          <w:szCs w:val="24"/>
        </w:rPr>
        <w:t>Yet t</w:t>
      </w:r>
      <w:r w:rsidR="00725EB2" w:rsidRPr="000F531F">
        <w:rPr>
          <w:sz w:val="24"/>
          <w:szCs w:val="24"/>
        </w:rPr>
        <w:t>he College of Social Work (TCSW) is itself a recent creation</w:t>
      </w:r>
      <w:r>
        <w:rPr>
          <w:sz w:val="24"/>
          <w:szCs w:val="24"/>
        </w:rPr>
        <w:t>. It was</w:t>
      </w:r>
      <w:r w:rsidR="00725EB2" w:rsidRPr="000F531F">
        <w:rPr>
          <w:sz w:val="24"/>
          <w:szCs w:val="24"/>
        </w:rPr>
        <w:t xml:space="preserve"> established in </w:t>
      </w:r>
      <w:r w:rsidR="00E36342" w:rsidRPr="000F531F">
        <w:rPr>
          <w:sz w:val="24"/>
          <w:szCs w:val="24"/>
        </w:rPr>
        <w:t xml:space="preserve">2012 </w:t>
      </w:r>
      <w:r w:rsidR="00725EB2" w:rsidRPr="000F531F">
        <w:rPr>
          <w:sz w:val="24"/>
          <w:szCs w:val="24"/>
        </w:rPr>
        <w:t xml:space="preserve">following a recommendation from the Social Work Task Force </w:t>
      </w:r>
      <w:r w:rsidR="00E36342" w:rsidRPr="000F531F">
        <w:rPr>
          <w:sz w:val="24"/>
          <w:szCs w:val="24"/>
        </w:rPr>
        <w:t xml:space="preserve">in 2009 </w:t>
      </w:r>
      <w:r w:rsidR="00725EB2" w:rsidRPr="000F531F">
        <w:rPr>
          <w:sz w:val="24"/>
          <w:szCs w:val="24"/>
        </w:rPr>
        <w:t xml:space="preserve">for the ‘creation of an independent </w:t>
      </w:r>
      <w:r w:rsidR="00E06289" w:rsidRPr="000F531F">
        <w:rPr>
          <w:sz w:val="24"/>
          <w:szCs w:val="24"/>
        </w:rPr>
        <w:t>national college of social work, developed and led by social workers’ (SWTF, 2009, p.45</w:t>
      </w:r>
      <w:r w:rsidR="00DF53A4">
        <w:rPr>
          <w:sz w:val="24"/>
          <w:szCs w:val="24"/>
        </w:rPr>
        <w:t>). The College’s</w:t>
      </w:r>
      <w:r w:rsidR="00725EB2" w:rsidRPr="000F531F">
        <w:rPr>
          <w:sz w:val="24"/>
          <w:szCs w:val="24"/>
        </w:rPr>
        <w:t xml:space="preserve"> website claims that </w:t>
      </w:r>
      <w:r w:rsidR="00E06289" w:rsidRPr="000F531F">
        <w:rPr>
          <w:sz w:val="24"/>
          <w:szCs w:val="24"/>
        </w:rPr>
        <w:t>this has happened and that the organisation is ‘le</w:t>
      </w:r>
      <w:r w:rsidR="00725EB2" w:rsidRPr="000F531F">
        <w:rPr>
          <w:sz w:val="24"/>
          <w:szCs w:val="24"/>
        </w:rPr>
        <w:t>d by and a</w:t>
      </w:r>
      <w:r w:rsidR="00E06289" w:rsidRPr="000F531F">
        <w:rPr>
          <w:sz w:val="24"/>
          <w:szCs w:val="24"/>
        </w:rPr>
        <w:t>ccountable to its members’ and</w:t>
      </w:r>
      <w:r w:rsidR="00725EB2" w:rsidRPr="000F531F">
        <w:rPr>
          <w:sz w:val="24"/>
          <w:szCs w:val="24"/>
        </w:rPr>
        <w:t xml:space="preserve"> exists ‘to uphold the agreed professional standards and promote the profession’ (</w:t>
      </w:r>
      <w:hyperlink r:id="rId8" w:history="1">
        <w:r w:rsidR="003A1F20" w:rsidRPr="00110F92">
          <w:rPr>
            <w:rStyle w:val="Hyperlink"/>
            <w:sz w:val="24"/>
            <w:szCs w:val="24"/>
          </w:rPr>
          <w:t>http://www.tcsw.org.uk/about-us/</w:t>
        </w:r>
      </w:hyperlink>
      <w:r w:rsidR="00725EB2" w:rsidRPr="000F531F">
        <w:rPr>
          <w:sz w:val="24"/>
          <w:szCs w:val="24"/>
        </w:rPr>
        <w:t xml:space="preserve">). </w:t>
      </w:r>
      <w:r w:rsidR="00FD7A75" w:rsidRPr="000F531F">
        <w:rPr>
          <w:sz w:val="24"/>
          <w:szCs w:val="24"/>
        </w:rPr>
        <w:t>Given</w:t>
      </w:r>
      <w:r>
        <w:rPr>
          <w:sz w:val="24"/>
          <w:szCs w:val="24"/>
        </w:rPr>
        <w:t xml:space="preserve"> the way in which social work is vilified by some from </w:t>
      </w:r>
      <w:r w:rsidR="00FD7A75" w:rsidRPr="000F531F">
        <w:rPr>
          <w:sz w:val="24"/>
          <w:szCs w:val="24"/>
        </w:rPr>
        <w:t>within government, the media and the public</w:t>
      </w:r>
      <w:r w:rsidR="008F28BF">
        <w:rPr>
          <w:sz w:val="24"/>
          <w:szCs w:val="24"/>
        </w:rPr>
        <w:t xml:space="preserve"> (Leigh, 2013; 2014)</w:t>
      </w:r>
      <w:r w:rsidR="00AF115D">
        <w:rPr>
          <w:sz w:val="24"/>
          <w:szCs w:val="24"/>
        </w:rPr>
        <w:t>,</w:t>
      </w:r>
      <w:r w:rsidR="00FD7A75" w:rsidRPr="000F531F">
        <w:rPr>
          <w:sz w:val="24"/>
          <w:szCs w:val="24"/>
        </w:rPr>
        <w:t xml:space="preserve"> perhaps such </w:t>
      </w:r>
      <w:r>
        <w:rPr>
          <w:sz w:val="24"/>
          <w:szCs w:val="24"/>
        </w:rPr>
        <w:t>a call by Narey for the profession</w:t>
      </w:r>
      <w:r w:rsidR="00725EB2" w:rsidRPr="000F531F">
        <w:rPr>
          <w:sz w:val="24"/>
          <w:szCs w:val="24"/>
        </w:rPr>
        <w:t xml:space="preserve"> to be overseen by</w:t>
      </w:r>
      <w:r w:rsidR="000560B4" w:rsidRPr="000F531F">
        <w:rPr>
          <w:sz w:val="24"/>
          <w:szCs w:val="24"/>
        </w:rPr>
        <w:t xml:space="preserve"> its own organisation </w:t>
      </w:r>
      <w:r w:rsidR="00FD7A75" w:rsidRPr="000F531F">
        <w:rPr>
          <w:sz w:val="24"/>
          <w:szCs w:val="24"/>
        </w:rPr>
        <w:t xml:space="preserve">is </w:t>
      </w:r>
      <w:r>
        <w:rPr>
          <w:sz w:val="24"/>
          <w:szCs w:val="24"/>
        </w:rPr>
        <w:t>an idea which is</w:t>
      </w:r>
      <w:r w:rsidR="00C67D25">
        <w:rPr>
          <w:sz w:val="24"/>
          <w:szCs w:val="24"/>
        </w:rPr>
        <w:t xml:space="preserve"> </w:t>
      </w:r>
      <w:r w:rsidR="00FD7A75" w:rsidRPr="000F531F">
        <w:rPr>
          <w:sz w:val="24"/>
          <w:szCs w:val="24"/>
        </w:rPr>
        <w:t>unlikely to garner widespread support</w:t>
      </w:r>
      <w:r w:rsidR="000560B4" w:rsidRPr="000F531F">
        <w:rPr>
          <w:sz w:val="24"/>
          <w:szCs w:val="24"/>
        </w:rPr>
        <w:t xml:space="preserve">. </w:t>
      </w:r>
      <w:r w:rsidR="002845B0" w:rsidRPr="002845B0">
        <w:rPr>
          <w:sz w:val="24"/>
          <w:szCs w:val="24"/>
        </w:rPr>
        <w:t xml:space="preserve">Furthermore, the parallel Croisdale-Appleby (2014) review of social work education did not agree with Narey on this point, arguing for the HCPC to retain a regulatory function </w:t>
      </w:r>
      <w:r w:rsidR="008F28BF">
        <w:rPr>
          <w:sz w:val="24"/>
          <w:szCs w:val="24"/>
        </w:rPr>
        <w:t>over the profession. Clearly this</w:t>
      </w:r>
      <w:r w:rsidR="002845B0" w:rsidRPr="002845B0">
        <w:rPr>
          <w:sz w:val="24"/>
          <w:szCs w:val="24"/>
        </w:rPr>
        <w:t xml:space="preserve"> issue remains a contested one.</w:t>
      </w:r>
    </w:p>
    <w:p w:rsidR="00287B98" w:rsidRDefault="00287B98" w:rsidP="00D507EA">
      <w:pPr>
        <w:autoSpaceDE w:val="0"/>
        <w:autoSpaceDN w:val="0"/>
        <w:adjustRightInd w:val="0"/>
        <w:spacing w:after="0" w:line="480" w:lineRule="auto"/>
        <w:rPr>
          <w:rFonts w:cs="HelveticaNeue-Light"/>
          <w:sz w:val="24"/>
          <w:szCs w:val="24"/>
          <w:u w:val="single"/>
        </w:rPr>
      </w:pPr>
    </w:p>
    <w:p w:rsidR="00701111" w:rsidRPr="000F531F" w:rsidRDefault="00764A67" w:rsidP="00D507EA">
      <w:pPr>
        <w:autoSpaceDE w:val="0"/>
        <w:autoSpaceDN w:val="0"/>
        <w:adjustRightInd w:val="0"/>
        <w:spacing w:after="0" w:line="480" w:lineRule="auto"/>
        <w:rPr>
          <w:rFonts w:cs="HelveticaNeue-Light"/>
          <w:sz w:val="24"/>
          <w:szCs w:val="24"/>
        </w:rPr>
      </w:pPr>
      <w:r w:rsidRPr="000F531F">
        <w:rPr>
          <w:rFonts w:cs="HelveticaNeue-Light"/>
          <w:sz w:val="24"/>
          <w:szCs w:val="24"/>
          <w:u w:val="single"/>
        </w:rPr>
        <w:t>Conclusion</w:t>
      </w:r>
      <w:r w:rsidRPr="000F531F">
        <w:rPr>
          <w:rFonts w:cs="HelveticaNeue-Light"/>
          <w:sz w:val="24"/>
          <w:szCs w:val="24"/>
        </w:rPr>
        <w:t xml:space="preserve"> </w:t>
      </w:r>
    </w:p>
    <w:p w:rsidR="00AB4799" w:rsidRPr="00E66B16" w:rsidRDefault="00504CEF" w:rsidP="00D507EA">
      <w:pPr>
        <w:spacing w:line="480" w:lineRule="auto"/>
        <w:rPr>
          <w:b/>
          <w:sz w:val="24"/>
          <w:szCs w:val="24"/>
        </w:rPr>
      </w:pPr>
      <w:r w:rsidRPr="00E66B16">
        <w:rPr>
          <w:sz w:val="24"/>
          <w:szCs w:val="24"/>
        </w:rPr>
        <w:t>This paper has discussed</w:t>
      </w:r>
      <w:r w:rsidR="00DC48F4" w:rsidRPr="00E66B16">
        <w:rPr>
          <w:sz w:val="24"/>
          <w:szCs w:val="24"/>
        </w:rPr>
        <w:t xml:space="preserve"> the ways in which the social work profession has responded to</w:t>
      </w:r>
      <w:r w:rsidRPr="00E66B16">
        <w:rPr>
          <w:sz w:val="24"/>
          <w:szCs w:val="24"/>
        </w:rPr>
        <w:t>,</w:t>
      </w:r>
      <w:r w:rsidR="00DC48F4" w:rsidRPr="00E66B16">
        <w:rPr>
          <w:sz w:val="24"/>
          <w:szCs w:val="24"/>
        </w:rPr>
        <w:t xml:space="preserve"> and coped with</w:t>
      </w:r>
      <w:r w:rsidRPr="00E66B16">
        <w:rPr>
          <w:sz w:val="24"/>
          <w:szCs w:val="24"/>
        </w:rPr>
        <w:t>,</w:t>
      </w:r>
      <w:r w:rsidR="00DC48F4" w:rsidRPr="00E66B16">
        <w:rPr>
          <w:sz w:val="24"/>
          <w:szCs w:val="24"/>
        </w:rPr>
        <w:t xml:space="preserve"> the various forms of regulation </w:t>
      </w:r>
      <w:r w:rsidRPr="00E66B16">
        <w:rPr>
          <w:sz w:val="24"/>
          <w:szCs w:val="24"/>
        </w:rPr>
        <w:t>to which it has been subject, in the process highlighting</w:t>
      </w:r>
      <w:r w:rsidR="008F28BF" w:rsidRPr="00E66B16">
        <w:rPr>
          <w:sz w:val="24"/>
          <w:szCs w:val="24"/>
        </w:rPr>
        <w:t xml:space="preserve"> s</w:t>
      </w:r>
      <w:r w:rsidR="007A6D4D" w:rsidRPr="00E66B16">
        <w:rPr>
          <w:sz w:val="24"/>
          <w:szCs w:val="24"/>
        </w:rPr>
        <w:t xml:space="preserve">ome of the influences </w:t>
      </w:r>
      <w:r w:rsidR="000D7A89" w:rsidRPr="00E66B16">
        <w:rPr>
          <w:sz w:val="24"/>
          <w:szCs w:val="24"/>
        </w:rPr>
        <w:t xml:space="preserve">which have been key to the development of </w:t>
      </w:r>
      <w:r w:rsidR="007A6D4D" w:rsidRPr="00E66B16">
        <w:rPr>
          <w:sz w:val="24"/>
          <w:szCs w:val="24"/>
        </w:rPr>
        <w:t>regulat</w:t>
      </w:r>
      <w:r w:rsidR="000D7A89" w:rsidRPr="00E66B16">
        <w:rPr>
          <w:sz w:val="24"/>
          <w:szCs w:val="24"/>
        </w:rPr>
        <w:t xml:space="preserve">ion in </w:t>
      </w:r>
      <w:r w:rsidR="00AF115D" w:rsidRPr="00E66B16">
        <w:rPr>
          <w:sz w:val="24"/>
          <w:szCs w:val="24"/>
        </w:rPr>
        <w:t xml:space="preserve">the </w:t>
      </w:r>
      <w:r w:rsidR="000D7A89" w:rsidRPr="00E66B16">
        <w:rPr>
          <w:sz w:val="24"/>
          <w:szCs w:val="24"/>
        </w:rPr>
        <w:t>health and care profession</w:t>
      </w:r>
      <w:r w:rsidR="007A6D4D" w:rsidRPr="00E66B16">
        <w:rPr>
          <w:sz w:val="24"/>
          <w:szCs w:val="24"/>
        </w:rPr>
        <w:t>s</w:t>
      </w:r>
      <w:r w:rsidR="00DC48F4" w:rsidRPr="00E66B16">
        <w:rPr>
          <w:sz w:val="24"/>
          <w:szCs w:val="24"/>
        </w:rPr>
        <w:t xml:space="preserve">. </w:t>
      </w:r>
    </w:p>
    <w:p w:rsidR="00287B98" w:rsidRPr="008F28BF" w:rsidRDefault="00287B98" w:rsidP="00D507EA">
      <w:pPr>
        <w:spacing w:line="480" w:lineRule="auto"/>
        <w:rPr>
          <w:sz w:val="24"/>
          <w:szCs w:val="24"/>
          <w:u w:val="single"/>
        </w:rPr>
      </w:pPr>
    </w:p>
    <w:p w:rsidR="00701111" w:rsidRPr="00E66B16" w:rsidRDefault="00D5127F" w:rsidP="00D507EA">
      <w:pPr>
        <w:spacing w:line="480" w:lineRule="auto"/>
        <w:rPr>
          <w:sz w:val="24"/>
          <w:szCs w:val="24"/>
        </w:rPr>
      </w:pPr>
      <w:r w:rsidRPr="00E66B16">
        <w:rPr>
          <w:sz w:val="24"/>
          <w:szCs w:val="24"/>
        </w:rPr>
        <w:t>Even though</w:t>
      </w:r>
      <w:r w:rsidR="00AB4799" w:rsidRPr="00E66B16">
        <w:rPr>
          <w:sz w:val="24"/>
          <w:szCs w:val="24"/>
        </w:rPr>
        <w:t xml:space="preserve"> aspects of the way in which the HCPC operates have been broadly welcomed, they are not without criticism. </w:t>
      </w:r>
      <w:r w:rsidR="000D7A89" w:rsidRPr="00E66B16">
        <w:rPr>
          <w:sz w:val="24"/>
          <w:szCs w:val="24"/>
        </w:rPr>
        <w:t xml:space="preserve">There are </w:t>
      </w:r>
      <w:r w:rsidR="007A6D4D" w:rsidRPr="00E66B16">
        <w:rPr>
          <w:sz w:val="24"/>
          <w:szCs w:val="24"/>
        </w:rPr>
        <w:t xml:space="preserve">those who </w:t>
      </w:r>
      <w:r w:rsidR="000D7A89" w:rsidRPr="00E66B16">
        <w:rPr>
          <w:sz w:val="24"/>
          <w:szCs w:val="24"/>
        </w:rPr>
        <w:t xml:space="preserve">have </w:t>
      </w:r>
      <w:r w:rsidR="007A6D4D" w:rsidRPr="00E66B16">
        <w:rPr>
          <w:sz w:val="24"/>
          <w:szCs w:val="24"/>
        </w:rPr>
        <w:t xml:space="preserve">questioned the way </w:t>
      </w:r>
      <w:r w:rsidR="000D7A89" w:rsidRPr="00E66B16">
        <w:rPr>
          <w:sz w:val="24"/>
          <w:szCs w:val="24"/>
        </w:rPr>
        <w:t>in which the democratic process has been</w:t>
      </w:r>
      <w:r w:rsidR="007A6D4D" w:rsidRPr="00E66B16">
        <w:rPr>
          <w:sz w:val="24"/>
          <w:szCs w:val="24"/>
        </w:rPr>
        <w:t xml:space="preserve"> compromised</w:t>
      </w:r>
      <w:r w:rsidR="000D7A89" w:rsidRPr="00E66B16">
        <w:rPr>
          <w:sz w:val="24"/>
          <w:szCs w:val="24"/>
        </w:rPr>
        <w:t xml:space="preserve"> (Haney, 2012)</w:t>
      </w:r>
      <w:r w:rsidRPr="00E66B16">
        <w:rPr>
          <w:sz w:val="24"/>
          <w:szCs w:val="24"/>
        </w:rPr>
        <w:t xml:space="preserve"> and </w:t>
      </w:r>
      <w:r w:rsidR="000D7A89" w:rsidRPr="00E66B16">
        <w:rPr>
          <w:sz w:val="24"/>
          <w:szCs w:val="24"/>
        </w:rPr>
        <w:t xml:space="preserve">those who have highlighted </w:t>
      </w:r>
      <w:r w:rsidR="007A6D4D" w:rsidRPr="00E66B16">
        <w:rPr>
          <w:sz w:val="24"/>
          <w:szCs w:val="24"/>
        </w:rPr>
        <w:t>the inhere</w:t>
      </w:r>
      <w:r w:rsidR="00420E62" w:rsidRPr="00E66B16">
        <w:rPr>
          <w:sz w:val="24"/>
          <w:szCs w:val="24"/>
        </w:rPr>
        <w:t>nt power imbalance in proceedings</w:t>
      </w:r>
      <w:r w:rsidR="000D7A89" w:rsidRPr="00E66B16">
        <w:rPr>
          <w:sz w:val="24"/>
          <w:szCs w:val="24"/>
        </w:rPr>
        <w:t xml:space="preserve"> (Furness, 2012, McLaughlin, 2007;</w:t>
      </w:r>
      <w:r w:rsidRPr="00E66B16">
        <w:rPr>
          <w:sz w:val="24"/>
          <w:szCs w:val="24"/>
        </w:rPr>
        <w:t xml:space="preserve"> </w:t>
      </w:r>
      <w:r w:rsidR="000D7A89" w:rsidRPr="00E66B16">
        <w:rPr>
          <w:sz w:val="24"/>
          <w:szCs w:val="24"/>
        </w:rPr>
        <w:t>2010)</w:t>
      </w:r>
      <w:r w:rsidR="004B4573" w:rsidRPr="00E66B16">
        <w:rPr>
          <w:sz w:val="24"/>
          <w:szCs w:val="24"/>
        </w:rPr>
        <w:t>. T</w:t>
      </w:r>
      <w:r w:rsidRPr="00E66B16">
        <w:rPr>
          <w:sz w:val="24"/>
          <w:szCs w:val="24"/>
        </w:rPr>
        <w:t xml:space="preserve">here are also </w:t>
      </w:r>
      <w:r w:rsidR="000D7A89" w:rsidRPr="00E66B16">
        <w:rPr>
          <w:sz w:val="24"/>
          <w:szCs w:val="24"/>
        </w:rPr>
        <w:t>those who have argued that there is a common</w:t>
      </w:r>
      <w:r w:rsidR="00420E62" w:rsidRPr="00E66B16">
        <w:rPr>
          <w:sz w:val="24"/>
          <w:szCs w:val="24"/>
        </w:rPr>
        <w:t xml:space="preserve"> failure to take into account wider structural, organisat</w:t>
      </w:r>
      <w:r w:rsidR="00287B98" w:rsidRPr="00E66B16">
        <w:rPr>
          <w:sz w:val="24"/>
          <w:szCs w:val="24"/>
        </w:rPr>
        <w:t>ional or procedural factors</w:t>
      </w:r>
      <w:r w:rsidRPr="00E66B16">
        <w:rPr>
          <w:sz w:val="24"/>
          <w:szCs w:val="24"/>
        </w:rPr>
        <w:t xml:space="preserve">, </w:t>
      </w:r>
      <w:r w:rsidR="004B4573" w:rsidRPr="00E66B16">
        <w:rPr>
          <w:sz w:val="24"/>
          <w:szCs w:val="24"/>
        </w:rPr>
        <w:t>all of</w:t>
      </w:r>
      <w:r w:rsidR="00287B98" w:rsidRPr="00E66B16">
        <w:rPr>
          <w:sz w:val="24"/>
          <w:szCs w:val="24"/>
        </w:rPr>
        <w:t xml:space="preserve"> which</w:t>
      </w:r>
      <w:r w:rsidR="00420E62" w:rsidRPr="00E66B16">
        <w:rPr>
          <w:sz w:val="24"/>
          <w:szCs w:val="24"/>
        </w:rPr>
        <w:t xml:space="preserve"> can </w:t>
      </w:r>
      <w:r w:rsidR="004B4573" w:rsidRPr="00E66B16">
        <w:rPr>
          <w:sz w:val="24"/>
          <w:szCs w:val="24"/>
        </w:rPr>
        <w:t xml:space="preserve">significantly </w:t>
      </w:r>
      <w:r w:rsidR="00420E62" w:rsidRPr="00E66B16">
        <w:rPr>
          <w:sz w:val="24"/>
          <w:szCs w:val="24"/>
        </w:rPr>
        <w:t>impact on social workers’ ability to fulfil their professional duties to the best of their abilities</w:t>
      </w:r>
      <w:r w:rsidR="00916174" w:rsidRPr="00E66B16">
        <w:rPr>
          <w:sz w:val="24"/>
          <w:szCs w:val="24"/>
        </w:rPr>
        <w:t xml:space="preserve"> (Leigh, 2013; </w:t>
      </w:r>
      <w:r w:rsidRPr="00E66B16">
        <w:rPr>
          <w:sz w:val="24"/>
          <w:szCs w:val="24"/>
        </w:rPr>
        <w:t>2014;</w:t>
      </w:r>
      <w:r w:rsidR="000D7A89" w:rsidRPr="00E66B16">
        <w:rPr>
          <w:sz w:val="24"/>
          <w:szCs w:val="24"/>
        </w:rPr>
        <w:t xml:space="preserve"> McGregor, 2014)</w:t>
      </w:r>
      <w:r w:rsidR="00420E62" w:rsidRPr="00E66B16">
        <w:rPr>
          <w:sz w:val="24"/>
          <w:szCs w:val="24"/>
        </w:rPr>
        <w:t>.</w:t>
      </w:r>
    </w:p>
    <w:p w:rsidR="00D5127F" w:rsidRPr="008F28BF" w:rsidRDefault="00D5127F" w:rsidP="00D507EA">
      <w:pPr>
        <w:spacing w:line="480" w:lineRule="auto"/>
        <w:rPr>
          <w:sz w:val="24"/>
          <w:szCs w:val="24"/>
          <w:u w:val="single"/>
        </w:rPr>
      </w:pPr>
    </w:p>
    <w:p w:rsidR="004B4573" w:rsidRPr="00E66B16" w:rsidRDefault="00D5127F" w:rsidP="00D507EA">
      <w:pPr>
        <w:spacing w:line="480" w:lineRule="auto"/>
        <w:rPr>
          <w:sz w:val="24"/>
          <w:szCs w:val="24"/>
        </w:rPr>
      </w:pPr>
      <w:r w:rsidRPr="00E66B16">
        <w:rPr>
          <w:sz w:val="24"/>
          <w:szCs w:val="24"/>
        </w:rPr>
        <w:t>Whilst this</w:t>
      </w:r>
      <w:r w:rsidR="000D7A89" w:rsidRPr="00E66B16">
        <w:rPr>
          <w:sz w:val="24"/>
          <w:szCs w:val="24"/>
        </w:rPr>
        <w:t xml:space="preserve"> review</w:t>
      </w:r>
      <w:r w:rsidRPr="00E66B16">
        <w:rPr>
          <w:sz w:val="24"/>
          <w:szCs w:val="24"/>
        </w:rPr>
        <w:t xml:space="preserve"> has</w:t>
      </w:r>
      <w:r w:rsidR="00287B98" w:rsidRPr="00E66B16">
        <w:rPr>
          <w:sz w:val="24"/>
          <w:szCs w:val="24"/>
        </w:rPr>
        <w:t xml:space="preserve"> </w:t>
      </w:r>
      <w:r w:rsidRPr="00E66B16">
        <w:rPr>
          <w:sz w:val="24"/>
          <w:szCs w:val="24"/>
        </w:rPr>
        <w:t xml:space="preserve">recognised </w:t>
      </w:r>
      <w:r w:rsidR="00AB4799" w:rsidRPr="00E66B16">
        <w:rPr>
          <w:sz w:val="24"/>
          <w:szCs w:val="24"/>
        </w:rPr>
        <w:t>t</w:t>
      </w:r>
      <w:r w:rsidR="000B2A4E" w:rsidRPr="00E66B16">
        <w:rPr>
          <w:sz w:val="24"/>
          <w:szCs w:val="24"/>
        </w:rPr>
        <w:t>hat handling organisation</w:t>
      </w:r>
      <w:r w:rsidR="00AB4799" w:rsidRPr="00E66B16">
        <w:rPr>
          <w:sz w:val="24"/>
          <w:szCs w:val="24"/>
        </w:rPr>
        <w:t xml:space="preserve">al complaints is far from </w:t>
      </w:r>
      <w:r w:rsidR="00B75AF4" w:rsidRPr="00E66B16">
        <w:rPr>
          <w:sz w:val="24"/>
          <w:szCs w:val="24"/>
        </w:rPr>
        <w:t>what can be called</w:t>
      </w:r>
      <w:r w:rsidR="00420E62" w:rsidRPr="00E66B16">
        <w:rPr>
          <w:sz w:val="24"/>
          <w:szCs w:val="24"/>
        </w:rPr>
        <w:t xml:space="preserve"> </w:t>
      </w:r>
      <w:r w:rsidR="004B4573" w:rsidRPr="00E66B16">
        <w:rPr>
          <w:sz w:val="24"/>
          <w:szCs w:val="24"/>
        </w:rPr>
        <w:t>‘</w:t>
      </w:r>
      <w:r w:rsidR="00420E62" w:rsidRPr="00E66B16">
        <w:rPr>
          <w:sz w:val="24"/>
          <w:szCs w:val="24"/>
        </w:rPr>
        <w:t>a straight</w:t>
      </w:r>
      <w:r w:rsidR="000B2A4E" w:rsidRPr="00E66B16">
        <w:rPr>
          <w:sz w:val="24"/>
          <w:szCs w:val="24"/>
        </w:rPr>
        <w:t>forward process</w:t>
      </w:r>
      <w:r w:rsidR="004B4573" w:rsidRPr="00E66B16">
        <w:rPr>
          <w:sz w:val="24"/>
          <w:szCs w:val="24"/>
        </w:rPr>
        <w:t>’</w:t>
      </w:r>
      <w:r w:rsidRPr="00E66B16">
        <w:rPr>
          <w:sz w:val="24"/>
          <w:szCs w:val="24"/>
        </w:rPr>
        <w:t>, it is still nevertheless concerning that there has been a r</w:t>
      </w:r>
      <w:r w:rsidR="000B2A4E" w:rsidRPr="00E66B16">
        <w:rPr>
          <w:sz w:val="24"/>
          <w:szCs w:val="24"/>
        </w:rPr>
        <w:t xml:space="preserve">ise in complaints being made to the HCPC from </w:t>
      </w:r>
      <w:r w:rsidR="002E6FB8" w:rsidRPr="00E66B16">
        <w:rPr>
          <w:sz w:val="24"/>
          <w:szCs w:val="24"/>
        </w:rPr>
        <w:t xml:space="preserve">social work </w:t>
      </w:r>
      <w:r w:rsidR="00AB4799" w:rsidRPr="00E66B16">
        <w:rPr>
          <w:sz w:val="24"/>
          <w:szCs w:val="24"/>
        </w:rPr>
        <w:t>agencies</w:t>
      </w:r>
      <w:r w:rsidRPr="00E66B16">
        <w:rPr>
          <w:sz w:val="24"/>
          <w:szCs w:val="24"/>
        </w:rPr>
        <w:t xml:space="preserve"> in relation to systemic issues. </w:t>
      </w:r>
    </w:p>
    <w:p w:rsidR="000B2A4E" w:rsidRPr="008F28BF" w:rsidRDefault="00D5127F" w:rsidP="00D507EA">
      <w:pPr>
        <w:spacing w:line="480" w:lineRule="auto"/>
        <w:rPr>
          <w:sz w:val="24"/>
          <w:szCs w:val="24"/>
          <w:u w:val="single"/>
        </w:rPr>
      </w:pPr>
      <w:r w:rsidRPr="00E66B16">
        <w:rPr>
          <w:sz w:val="24"/>
          <w:szCs w:val="24"/>
        </w:rPr>
        <w:t xml:space="preserve">Although regulation was introduced </w:t>
      </w:r>
      <w:r w:rsidR="00916174" w:rsidRPr="00E66B16">
        <w:rPr>
          <w:sz w:val="24"/>
          <w:szCs w:val="24"/>
        </w:rPr>
        <w:t xml:space="preserve">by New Labour </w:t>
      </w:r>
      <w:r w:rsidRPr="00E66B16">
        <w:rPr>
          <w:sz w:val="24"/>
          <w:szCs w:val="24"/>
        </w:rPr>
        <w:t xml:space="preserve">primarily to improve the protection of vulnerable people, it did not foresee that </w:t>
      </w:r>
      <w:r w:rsidR="005E324A" w:rsidRPr="00E66B16">
        <w:rPr>
          <w:sz w:val="24"/>
          <w:szCs w:val="24"/>
        </w:rPr>
        <w:t xml:space="preserve">as a result of regulating the workforce </w:t>
      </w:r>
      <w:r w:rsidRPr="00E66B16">
        <w:rPr>
          <w:sz w:val="24"/>
          <w:szCs w:val="24"/>
        </w:rPr>
        <w:t xml:space="preserve">social workers </w:t>
      </w:r>
      <w:r w:rsidR="005E324A" w:rsidRPr="00E66B16">
        <w:rPr>
          <w:sz w:val="24"/>
          <w:szCs w:val="24"/>
        </w:rPr>
        <w:t xml:space="preserve">could </w:t>
      </w:r>
      <w:r w:rsidRPr="00E66B16">
        <w:rPr>
          <w:sz w:val="24"/>
          <w:szCs w:val="24"/>
        </w:rPr>
        <w:t xml:space="preserve">one day be </w:t>
      </w:r>
      <w:r w:rsidR="00916174" w:rsidRPr="00E66B16">
        <w:rPr>
          <w:sz w:val="24"/>
          <w:szCs w:val="24"/>
        </w:rPr>
        <w:t xml:space="preserve">deemed as a group in need of protecting. </w:t>
      </w:r>
      <w:r w:rsidR="005E324A" w:rsidRPr="00E66B16">
        <w:rPr>
          <w:sz w:val="24"/>
          <w:szCs w:val="24"/>
        </w:rPr>
        <w:t xml:space="preserve">Indeed, it has been brought to light that many </w:t>
      </w:r>
      <w:r w:rsidR="00AB4799" w:rsidRPr="00E66B16">
        <w:rPr>
          <w:sz w:val="24"/>
          <w:szCs w:val="24"/>
        </w:rPr>
        <w:t>of those</w:t>
      </w:r>
      <w:r w:rsidR="00420E62" w:rsidRPr="00E66B16">
        <w:rPr>
          <w:sz w:val="24"/>
          <w:szCs w:val="24"/>
        </w:rPr>
        <w:t xml:space="preserve"> social worker</w:t>
      </w:r>
      <w:r w:rsidR="00AB4799" w:rsidRPr="00E66B16">
        <w:rPr>
          <w:sz w:val="24"/>
          <w:szCs w:val="24"/>
        </w:rPr>
        <w:t>s</w:t>
      </w:r>
      <w:r w:rsidR="001D3CA4" w:rsidRPr="00E66B16">
        <w:rPr>
          <w:sz w:val="24"/>
          <w:szCs w:val="24"/>
        </w:rPr>
        <w:t xml:space="preserve"> </w:t>
      </w:r>
      <w:r w:rsidR="00AB4799" w:rsidRPr="00E66B16">
        <w:rPr>
          <w:sz w:val="24"/>
          <w:szCs w:val="24"/>
        </w:rPr>
        <w:t xml:space="preserve">who are </w:t>
      </w:r>
      <w:r w:rsidR="001D3CA4" w:rsidRPr="00E66B16">
        <w:rPr>
          <w:sz w:val="24"/>
          <w:szCs w:val="24"/>
        </w:rPr>
        <w:t>subject to the regulatory process from ini</w:t>
      </w:r>
      <w:r w:rsidR="004B4573" w:rsidRPr="00E66B16">
        <w:rPr>
          <w:sz w:val="24"/>
          <w:szCs w:val="24"/>
        </w:rPr>
        <w:t>tial complaint to final outcome</w:t>
      </w:r>
      <w:r w:rsidR="001D3CA4" w:rsidRPr="00E66B16">
        <w:rPr>
          <w:sz w:val="24"/>
          <w:szCs w:val="24"/>
        </w:rPr>
        <w:t xml:space="preserve"> </w:t>
      </w:r>
      <w:r w:rsidR="000B2A4E" w:rsidRPr="00E66B16">
        <w:rPr>
          <w:sz w:val="24"/>
          <w:szCs w:val="24"/>
        </w:rPr>
        <w:t>choose not to attend their fitness to pr</w:t>
      </w:r>
      <w:r w:rsidR="002E6FB8" w:rsidRPr="00E66B16">
        <w:rPr>
          <w:sz w:val="24"/>
          <w:szCs w:val="24"/>
        </w:rPr>
        <w:t>ac</w:t>
      </w:r>
      <w:r w:rsidR="00AB4799" w:rsidRPr="00E66B16">
        <w:rPr>
          <w:sz w:val="24"/>
          <w:szCs w:val="24"/>
        </w:rPr>
        <w:t xml:space="preserve">tise hearing (McGregor, 2014). </w:t>
      </w:r>
      <w:r w:rsidR="005E324A" w:rsidRPr="00E66B16">
        <w:rPr>
          <w:sz w:val="24"/>
          <w:szCs w:val="24"/>
        </w:rPr>
        <w:t>The reason for their absence is unknown. Yet what</w:t>
      </w:r>
      <w:r w:rsidR="00916174" w:rsidRPr="00E66B16">
        <w:rPr>
          <w:sz w:val="24"/>
          <w:szCs w:val="24"/>
        </w:rPr>
        <w:t xml:space="preserve"> is known</w:t>
      </w:r>
      <w:r w:rsidR="005E324A" w:rsidRPr="00E66B16">
        <w:rPr>
          <w:sz w:val="24"/>
          <w:szCs w:val="24"/>
        </w:rPr>
        <w:t>,</w:t>
      </w:r>
      <w:r w:rsidR="004B4573" w:rsidRPr="00E66B16">
        <w:rPr>
          <w:sz w:val="24"/>
          <w:szCs w:val="24"/>
        </w:rPr>
        <w:t xml:space="preserve"> is that a number of ethical,</w:t>
      </w:r>
      <w:r w:rsidR="005E324A" w:rsidRPr="00E66B16">
        <w:rPr>
          <w:sz w:val="24"/>
          <w:szCs w:val="24"/>
        </w:rPr>
        <w:t xml:space="preserve"> structural </w:t>
      </w:r>
      <w:r w:rsidR="004B4573" w:rsidRPr="00E66B16">
        <w:rPr>
          <w:sz w:val="24"/>
          <w:szCs w:val="24"/>
        </w:rPr>
        <w:t xml:space="preserve">and </w:t>
      </w:r>
      <w:r w:rsidR="005E324A" w:rsidRPr="00E66B16">
        <w:rPr>
          <w:sz w:val="24"/>
          <w:szCs w:val="24"/>
        </w:rPr>
        <w:t>organisational complications can occur</w:t>
      </w:r>
      <w:r w:rsidR="00916174" w:rsidRPr="00E66B16">
        <w:rPr>
          <w:sz w:val="24"/>
          <w:szCs w:val="24"/>
        </w:rPr>
        <w:t xml:space="preserve"> (Leigh, 2013; 2014)</w:t>
      </w:r>
      <w:r w:rsidR="004B4573" w:rsidRPr="00E66B16">
        <w:rPr>
          <w:sz w:val="24"/>
          <w:szCs w:val="24"/>
        </w:rPr>
        <w:t>. T</w:t>
      </w:r>
      <w:r w:rsidR="005E324A" w:rsidRPr="00E66B16">
        <w:rPr>
          <w:sz w:val="24"/>
          <w:szCs w:val="24"/>
        </w:rPr>
        <w:t>hese may not only obfuscate the decisions made by the regulator of our profession</w:t>
      </w:r>
      <w:r w:rsidR="005E324A" w:rsidRPr="008F28BF">
        <w:rPr>
          <w:sz w:val="24"/>
          <w:szCs w:val="24"/>
          <w:u w:val="single"/>
        </w:rPr>
        <w:t xml:space="preserve"> </w:t>
      </w:r>
      <w:r w:rsidR="005E324A" w:rsidRPr="00E66B16">
        <w:rPr>
          <w:sz w:val="24"/>
          <w:szCs w:val="24"/>
        </w:rPr>
        <w:t>but also prevent social workers from giving their perspectives of what is happening behind the scenes of their neo-liberal organisation.</w:t>
      </w:r>
      <w:r w:rsidR="005E324A" w:rsidRPr="008F28BF">
        <w:rPr>
          <w:sz w:val="24"/>
          <w:szCs w:val="24"/>
          <w:u w:val="single"/>
        </w:rPr>
        <w:t xml:space="preserve"> </w:t>
      </w:r>
    </w:p>
    <w:p w:rsidR="00E66B16" w:rsidRDefault="00E66B16">
      <w:pPr>
        <w:rPr>
          <w:rFonts w:cs="HelveticaNeue-Light"/>
          <w:sz w:val="24"/>
          <w:szCs w:val="24"/>
        </w:rPr>
      </w:pPr>
      <w:r>
        <w:rPr>
          <w:rFonts w:cs="HelveticaNeue-Light"/>
          <w:sz w:val="24"/>
          <w:szCs w:val="24"/>
        </w:rPr>
        <w:br w:type="page"/>
      </w:r>
    </w:p>
    <w:p w:rsidR="007F7AC6" w:rsidRPr="00DF53A4" w:rsidRDefault="007F7AC6" w:rsidP="00E66B16">
      <w:pPr>
        <w:jc w:val="center"/>
        <w:rPr>
          <w:sz w:val="24"/>
          <w:szCs w:val="24"/>
          <w:u w:val="single"/>
        </w:rPr>
      </w:pPr>
      <w:r w:rsidRPr="000F531F">
        <w:rPr>
          <w:sz w:val="24"/>
          <w:szCs w:val="24"/>
          <w:u w:val="single"/>
        </w:rPr>
        <w:t>References</w:t>
      </w:r>
    </w:p>
    <w:p w:rsidR="00B33477" w:rsidRPr="00E70BC7" w:rsidRDefault="00E70BC7" w:rsidP="00E70BC7">
      <w:pPr>
        <w:autoSpaceDE w:val="0"/>
        <w:autoSpaceDN w:val="0"/>
        <w:adjustRightInd w:val="0"/>
        <w:spacing w:after="0" w:line="480" w:lineRule="auto"/>
        <w:rPr>
          <w:rFonts w:cs="AdvTimes"/>
          <w:sz w:val="24"/>
          <w:szCs w:val="24"/>
        </w:rPr>
      </w:pPr>
      <w:r>
        <w:rPr>
          <w:rFonts w:cs="AdvTimes"/>
          <w:sz w:val="24"/>
          <w:szCs w:val="24"/>
        </w:rPr>
        <w:t>Barracco, A. (2008) ‘</w:t>
      </w:r>
      <w:r w:rsidR="00B33477" w:rsidRPr="00E70BC7">
        <w:rPr>
          <w:rFonts w:cs="AdvTimes"/>
          <w:sz w:val="24"/>
          <w:szCs w:val="24"/>
        </w:rPr>
        <w:t>Psychology, psychother</w:t>
      </w:r>
      <w:r>
        <w:rPr>
          <w:rFonts w:cs="AdvTimes"/>
          <w:sz w:val="24"/>
          <w:szCs w:val="24"/>
        </w:rPr>
        <w:t xml:space="preserve">apy and psychoanalysis in Italy’ in </w:t>
      </w:r>
      <w:r w:rsidR="00B33477" w:rsidRPr="00E70BC7">
        <w:rPr>
          <w:rFonts w:cs="AdvTimes"/>
          <w:sz w:val="24"/>
          <w:szCs w:val="24"/>
        </w:rPr>
        <w:t>Parker</w:t>
      </w:r>
      <w:r>
        <w:rPr>
          <w:rFonts w:cs="AdvTimes"/>
          <w:sz w:val="24"/>
          <w:szCs w:val="24"/>
        </w:rPr>
        <w:t>, I. and</w:t>
      </w:r>
      <w:r w:rsidR="00B33477" w:rsidRPr="00E70BC7">
        <w:rPr>
          <w:rFonts w:cs="AdvTimes"/>
          <w:sz w:val="24"/>
          <w:szCs w:val="24"/>
        </w:rPr>
        <w:t xml:space="preserve"> Revelli</w:t>
      </w:r>
      <w:r>
        <w:rPr>
          <w:rFonts w:cs="AdvTimes"/>
          <w:sz w:val="24"/>
          <w:szCs w:val="24"/>
        </w:rPr>
        <w:t>, S. (eds.)</w:t>
      </w:r>
      <w:r w:rsidR="00B33477" w:rsidRPr="00E70BC7">
        <w:rPr>
          <w:rFonts w:cs="AdvTimes"/>
          <w:sz w:val="24"/>
          <w:szCs w:val="24"/>
        </w:rPr>
        <w:t xml:space="preserve"> </w:t>
      </w:r>
      <w:r w:rsidR="00B33477" w:rsidRPr="00E70BC7">
        <w:rPr>
          <w:rFonts w:cs="AdvTimes-i"/>
          <w:sz w:val="24"/>
          <w:szCs w:val="24"/>
          <w:u w:val="single"/>
        </w:rPr>
        <w:t>Psychoanalytic practice and state regulation</w:t>
      </w:r>
      <w:r>
        <w:rPr>
          <w:rFonts w:cs="AdvTimes"/>
          <w:sz w:val="24"/>
          <w:szCs w:val="24"/>
        </w:rPr>
        <w:t xml:space="preserve">, </w:t>
      </w:r>
      <w:r w:rsidR="00B33477" w:rsidRPr="00E70BC7">
        <w:rPr>
          <w:rFonts w:cs="AdvTimes"/>
          <w:sz w:val="24"/>
          <w:szCs w:val="24"/>
        </w:rPr>
        <w:t>London: Karnac.</w:t>
      </w:r>
    </w:p>
    <w:p w:rsidR="00B33477" w:rsidRDefault="00B33477" w:rsidP="00D507EA">
      <w:pPr>
        <w:spacing w:line="480" w:lineRule="auto"/>
      </w:pPr>
    </w:p>
    <w:p w:rsidR="002845B0" w:rsidRDefault="00716F66" w:rsidP="00D507EA">
      <w:pPr>
        <w:spacing w:line="480" w:lineRule="auto"/>
        <w:rPr>
          <w:sz w:val="24"/>
          <w:szCs w:val="24"/>
        </w:rPr>
      </w:pPr>
      <w:r>
        <w:t>Croisdale-Appleby, D. (2014) ‘Social Work Education Review’, London, Department of Health.</w:t>
      </w:r>
    </w:p>
    <w:p w:rsidR="007F7AC6" w:rsidRPr="000F531F" w:rsidRDefault="007F7AC6" w:rsidP="00D507EA">
      <w:pPr>
        <w:spacing w:line="480" w:lineRule="auto"/>
        <w:rPr>
          <w:sz w:val="24"/>
          <w:szCs w:val="24"/>
        </w:rPr>
      </w:pPr>
      <w:r w:rsidRPr="000F531F">
        <w:rPr>
          <w:sz w:val="24"/>
          <w:szCs w:val="24"/>
        </w:rPr>
        <w:t>Barclay Report</w:t>
      </w:r>
      <w:r w:rsidR="00802EC1">
        <w:rPr>
          <w:sz w:val="24"/>
          <w:szCs w:val="24"/>
        </w:rPr>
        <w:t xml:space="preserve"> (1982) </w:t>
      </w:r>
      <w:r w:rsidR="00C17467" w:rsidRPr="00802EC1">
        <w:rPr>
          <w:i/>
          <w:sz w:val="24"/>
          <w:szCs w:val="24"/>
        </w:rPr>
        <w:t>Social</w:t>
      </w:r>
      <w:r w:rsidR="00802EC1" w:rsidRPr="00802EC1">
        <w:rPr>
          <w:i/>
          <w:sz w:val="24"/>
          <w:szCs w:val="24"/>
        </w:rPr>
        <w:t xml:space="preserve"> Workers: Their Roles and Tasks</w:t>
      </w:r>
      <w:r w:rsidR="00C17467" w:rsidRPr="000F531F">
        <w:rPr>
          <w:sz w:val="24"/>
          <w:szCs w:val="24"/>
        </w:rPr>
        <w:t>, London: Bedford Square Press.</w:t>
      </w:r>
    </w:p>
    <w:p w:rsidR="007F7AC6" w:rsidRDefault="007F7AC6" w:rsidP="00D507EA">
      <w:pPr>
        <w:spacing w:line="480" w:lineRule="auto"/>
        <w:rPr>
          <w:sz w:val="24"/>
          <w:szCs w:val="24"/>
        </w:rPr>
      </w:pPr>
      <w:r w:rsidRPr="000F531F">
        <w:rPr>
          <w:sz w:val="24"/>
          <w:szCs w:val="24"/>
        </w:rPr>
        <w:t>Banks (2010)</w:t>
      </w:r>
      <w:r w:rsidR="00B10B18" w:rsidRPr="000F531F">
        <w:rPr>
          <w:sz w:val="24"/>
          <w:szCs w:val="24"/>
        </w:rPr>
        <w:t xml:space="preserve"> ‘Integrity in Profess</w:t>
      </w:r>
      <w:r w:rsidR="004F28A8" w:rsidRPr="000F531F">
        <w:rPr>
          <w:sz w:val="24"/>
          <w:szCs w:val="24"/>
        </w:rPr>
        <w:t>i</w:t>
      </w:r>
      <w:r w:rsidR="00B10B18" w:rsidRPr="000F531F">
        <w:rPr>
          <w:sz w:val="24"/>
          <w:szCs w:val="24"/>
        </w:rPr>
        <w:t>onal Life</w:t>
      </w:r>
      <w:r w:rsidR="004F28A8" w:rsidRPr="000F531F">
        <w:rPr>
          <w:sz w:val="24"/>
          <w:szCs w:val="24"/>
        </w:rPr>
        <w:t xml:space="preserve">: Issues of conduct, commitment and capacity’, </w:t>
      </w:r>
      <w:r w:rsidR="004F28A8" w:rsidRPr="000F531F">
        <w:rPr>
          <w:i/>
          <w:sz w:val="24"/>
          <w:szCs w:val="24"/>
        </w:rPr>
        <w:t>British Journal of Social Work</w:t>
      </w:r>
      <w:r w:rsidR="004F28A8" w:rsidRPr="000F531F">
        <w:rPr>
          <w:sz w:val="24"/>
          <w:szCs w:val="24"/>
        </w:rPr>
        <w:t>, vol.40, pp.2168-2184.</w:t>
      </w:r>
    </w:p>
    <w:p w:rsidR="00AF115D" w:rsidRDefault="00AF115D" w:rsidP="00AF115D">
      <w:pPr>
        <w:pStyle w:val="BodyText"/>
        <w:rPr>
          <w:rFonts w:ascii="Calibri" w:hAnsi="Calibri"/>
          <w:sz w:val="24"/>
        </w:rPr>
      </w:pPr>
      <w:r w:rsidRPr="00AF115D">
        <w:rPr>
          <w:rFonts w:asciiTheme="minorHAnsi" w:hAnsiTheme="minorHAnsi"/>
          <w:sz w:val="24"/>
        </w:rPr>
        <w:t>DOH (1998</w:t>
      </w:r>
      <w:r w:rsidRPr="00AF115D">
        <w:rPr>
          <w:rFonts w:ascii="Calibri" w:hAnsi="Calibri"/>
          <w:sz w:val="24"/>
        </w:rPr>
        <w:t>) (Department of Health</w:t>
      </w:r>
      <w:r w:rsidR="00802EC1">
        <w:rPr>
          <w:rFonts w:ascii="Calibri" w:hAnsi="Calibri"/>
          <w:sz w:val="24"/>
        </w:rPr>
        <w:t xml:space="preserve">) </w:t>
      </w:r>
      <w:r w:rsidRPr="00802EC1">
        <w:rPr>
          <w:rFonts w:ascii="Calibri" w:hAnsi="Calibri"/>
          <w:i/>
          <w:sz w:val="24"/>
        </w:rPr>
        <w:t>Modernising Social Services</w:t>
      </w:r>
      <w:r w:rsidRPr="00AF115D">
        <w:rPr>
          <w:rFonts w:ascii="Calibri" w:hAnsi="Calibri"/>
          <w:sz w:val="24"/>
        </w:rPr>
        <w:t>, London: Department of Health.</w:t>
      </w:r>
    </w:p>
    <w:p w:rsidR="00B2265F" w:rsidRDefault="00B2265F" w:rsidP="00AF115D">
      <w:pPr>
        <w:pStyle w:val="BodyText"/>
        <w:rPr>
          <w:rFonts w:ascii="Calibri" w:hAnsi="Calibri"/>
          <w:sz w:val="24"/>
        </w:rPr>
      </w:pPr>
    </w:p>
    <w:p w:rsidR="00B2265F" w:rsidRDefault="00B2265F" w:rsidP="00AF115D">
      <w:pPr>
        <w:pStyle w:val="BodyText"/>
        <w:rPr>
          <w:rFonts w:ascii="Calibri" w:hAnsi="Calibri"/>
          <w:sz w:val="24"/>
        </w:rPr>
      </w:pPr>
    </w:p>
    <w:p w:rsidR="00B2265F" w:rsidRPr="00B2265F" w:rsidRDefault="00B2265F" w:rsidP="00B2265F">
      <w:pPr>
        <w:spacing w:line="480" w:lineRule="auto"/>
        <w:rPr>
          <w:sz w:val="24"/>
          <w:szCs w:val="24"/>
        </w:rPr>
      </w:pPr>
      <w:r w:rsidRPr="00B2265F">
        <w:rPr>
          <w:sz w:val="24"/>
          <w:szCs w:val="24"/>
        </w:rPr>
        <w:t xml:space="preserve">Dominelli, L. (1996) ‘Deprofessionalizing Social Work: Anti-oppressive Practice, Competences and Postmodernism’, </w:t>
      </w:r>
      <w:r w:rsidRPr="00B2265F">
        <w:rPr>
          <w:i/>
          <w:iCs/>
          <w:sz w:val="24"/>
          <w:szCs w:val="24"/>
        </w:rPr>
        <w:t>British Journal of Social Work</w:t>
      </w:r>
      <w:r w:rsidRPr="00B2265F">
        <w:rPr>
          <w:sz w:val="24"/>
          <w:szCs w:val="24"/>
        </w:rPr>
        <w:t>, vol.25, pp.153-175.</w:t>
      </w:r>
    </w:p>
    <w:p w:rsidR="00AF115D" w:rsidRPr="00AF115D" w:rsidRDefault="00AF115D" w:rsidP="00AF115D">
      <w:pPr>
        <w:pStyle w:val="BodyText"/>
        <w:rPr>
          <w:rFonts w:ascii="Times New Roman" w:hAnsi="Times New Roman"/>
          <w:sz w:val="24"/>
        </w:rPr>
      </w:pPr>
    </w:p>
    <w:p w:rsidR="00802EC1" w:rsidRDefault="00802EC1" w:rsidP="00D507EA">
      <w:pPr>
        <w:spacing w:line="480" w:lineRule="auto"/>
        <w:rPr>
          <w:sz w:val="24"/>
          <w:szCs w:val="24"/>
        </w:rPr>
      </w:pPr>
      <w:r>
        <w:rPr>
          <w:sz w:val="24"/>
          <w:szCs w:val="24"/>
        </w:rPr>
        <w:t xml:space="preserve">Ferguson, I. (2008) </w:t>
      </w:r>
      <w:r w:rsidRPr="00802EC1">
        <w:rPr>
          <w:i/>
          <w:sz w:val="24"/>
          <w:szCs w:val="24"/>
        </w:rPr>
        <w:t>Reclaiming Social Work: Challenging neo-liberalism and promoting social justice</w:t>
      </w:r>
      <w:r>
        <w:rPr>
          <w:sz w:val="24"/>
          <w:szCs w:val="24"/>
        </w:rPr>
        <w:t xml:space="preserve">. London: Sage. </w:t>
      </w:r>
    </w:p>
    <w:p w:rsidR="007F7AC6" w:rsidRPr="000F531F" w:rsidRDefault="007F7AC6" w:rsidP="00D507EA">
      <w:pPr>
        <w:spacing w:line="480" w:lineRule="auto"/>
        <w:rPr>
          <w:sz w:val="24"/>
          <w:szCs w:val="24"/>
        </w:rPr>
      </w:pPr>
      <w:r w:rsidRPr="000F531F">
        <w:rPr>
          <w:sz w:val="24"/>
          <w:szCs w:val="24"/>
        </w:rPr>
        <w:t xml:space="preserve">Furness, S. (2013) ‘Conduct Matters: The regulation of social work in England’, </w:t>
      </w:r>
      <w:r w:rsidRPr="000F531F">
        <w:rPr>
          <w:i/>
          <w:sz w:val="24"/>
          <w:szCs w:val="24"/>
        </w:rPr>
        <w:t>British Journal of Social Work</w:t>
      </w:r>
      <w:r w:rsidRPr="000F531F">
        <w:rPr>
          <w:sz w:val="24"/>
          <w:szCs w:val="24"/>
        </w:rPr>
        <w:t>, advance access published 12/11/13.</w:t>
      </w:r>
    </w:p>
    <w:p w:rsidR="007F7AC6" w:rsidRPr="000F531F" w:rsidRDefault="007F7AC6" w:rsidP="00D507EA">
      <w:pPr>
        <w:spacing w:line="480" w:lineRule="auto"/>
        <w:rPr>
          <w:sz w:val="24"/>
          <w:szCs w:val="24"/>
        </w:rPr>
      </w:pPr>
      <w:r w:rsidRPr="000F531F">
        <w:rPr>
          <w:sz w:val="24"/>
          <w:szCs w:val="24"/>
        </w:rPr>
        <w:t>GSCC (2012)</w:t>
      </w:r>
      <w:r w:rsidR="004F28A8" w:rsidRPr="000F531F">
        <w:rPr>
          <w:sz w:val="24"/>
          <w:szCs w:val="24"/>
        </w:rPr>
        <w:t>(General Social care Council)</w:t>
      </w:r>
      <w:r w:rsidR="00802EC1">
        <w:rPr>
          <w:sz w:val="24"/>
          <w:szCs w:val="24"/>
        </w:rPr>
        <w:t xml:space="preserve"> </w:t>
      </w:r>
      <w:r w:rsidRPr="00802EC1">
        <w:rPr>
          <w:i/>
          <w:sz w:val="24"/>
          <w:szCs w:val="24"/>
        </w:rPr>
        <w:t>Regulating Social Workers</w:t>
      </w:r>
      <w:r w:rsidR="004F28A8" w:rsidRPr="00802EC1">
        <w:rPr>
          <w:i/>
          <w:sz w:val="24"/>
          <w:szCs w:val="24"/>
        </w:rPr>
        <w:t xml:space="preserve"> 2001 -2012</w:t>
      </w:r>
      <w:r w:rsidR="004F28A8" w:rsidRPr="000F531F">
        <w:rPr>
          <w:sz w:val="24"/>
          <w:szCs w:val="24"/>
        </w:rPr>
        <w:t xml:space="preserve">, London, </w:t>
      </w:r>
      <w:r w:rsidR="00C978BC" w:rsidRPr="000F531F">
        <w:rPr>
          <w:sz w:val="24"/>
          <w:szCs w:val="24"/>
        </w:rPr>
        <w:t>G</w:t>
      </w:r>
      <w:r w:rsidR="004F28A8" w:rsidRPr="000F531F">
        <w:rPr>
          <w:sz w:val="24"/>
          <w:szCs w:val="24"/>
        </w:rPr>
        <w:t>eneral Social Care Council.</w:t>
      </w:r>
    </w:p>
    <w:p w:rsidR="007F7AC6" w:rsidRPr="000F531F" w:rsidRDefault="007F7AC6" w:rsidP="00D507EA">
      <w:pPr>
        <w:spacing w:line="480" w:lineRule="auto"/>
        <w:rPr>
          <w:sz w:val="24"/>
          <w:szCs w:val="24"/>
        </w:rPr>
      </w:pPr>
      <w:r w:rsidRPr="000F531F">
        <w:rPr>
          <w:sz w:val="24"/>
          <w:szCs w:val="24"/>
        </w:rPr>
        <w:t xml:space="preserve">Guy, P. (1994) ‘A General Social Work Council – A critical look at the issues’, </w:t>
      </w:r>
      <w:r w:rsidRPr="000F531F">
        <w:rPr>
          <w:i/>
          <w:sz w:val="24"/>
          <w:szCs w:val="24"/>
        </w:rPr>
        <w:t>British Journal of Social Work</w:t>
      </w:r>
      <w:r w:rsidRPr="000F531F">
        <w:rPr>
          <w:sz w:val="24"/>
          <w:szCs w:val="24"/>
        </w:rPr>
        <w:t>, vol.24, pp.261-271.</w:t>
      </w:r>
    </w:p>
    <w:p w:rsidR="007F7AC6" w:rsidRPr="000F531F" w:rsidRDefault="007F7AC6" w:rsidP="00D507EA">
      <w:pPr>
        <w:spacing w:line="480" w:lineRule="auto"/>
        <w:rPr>
          <w:i/>
          <w:sz w:val="24"/>
          <w:szCs w:val="24"/>
        </w:rPr>
      </w:pPr>
      <w:r w:rsidRPr="000F531F">
        <w:rPr>
          <w:sz w:val="24"/>
          <w:szCs w:val="24"/>
        </w:rPr>
        <w:t xml:space="preserve">Hallett, C. (1983) ‘Social Workers: Their role and tasks (1982)’, </w:t>
      </w:r>
      <w:r w:rsidRPr="000F531F">
        <w:rPr>
          <w:i/>
          <w:sz w:val="24"/>
          <w:szCs w:val="24"/>
        </w:rPr>
        <w:t>British Journal of Social Work</w:t>
      </w:r>
      <w:r w:rsidRPr="000F531F">
        <w:rPr>
          <w:sz w:val="24"/>
          <w:szCs w:val="24"/>
        </w:rPr>
        <w:t>, vol.13, pp.395-404.</w:t>
      </w:r>
    </w:p>
    <w:p w:rsidR="007F7AC6" w:rsidRDefault="00802EC1" w:rsidP="00D507EA">
      <w:pPr>
        <w:spacing w:line="480" w:lineRule="auto"/>
        <w:rPr>
          <w:sz w:val="24"/>
          <w:szCs w:val="24"/>
        </w:rPr>
      </w:pPr>
      <w:r>
        <w:rPr>
          <w:sz w:val="24"/>
          <w:szCs w:val="24"/>
        </w:rPr>
        <w:t xml:space="preserve">Haney, J. (2012) </w:t>
      </w:r>
      <w:r w:rsidR="007F7AC6" w:rsidRPr="00802EC1">
        <w:rPr>
          <w:i/>
          <w:sz w:val="24"/>
          <w:szCs w:val="24"/>
        </w:rPr>
        <w:t>Regulation in Action</w:t>
      </w:r>
      <w:r w:rsidR="007F7AC6" w:rsidRPr="000F531F">
        <w:rPr>
          <w:sz w:val="24"/>
          <w:szCs w:val="24"/>
        </w:rPr>
        <w:t>, London: Karnac Books.</w:t>
      </w:r>
    </w:p>
    <w:p w:rsidR="00802EC1" w:rsidRDefault="00802EC1" w:rsidP="00D507EA">
      <w:pPr>
        <w:spacing w:line="480" w:lineRule="auto"/>
        <w:rPr>
          <w:sz w:val="24"/>
          <w:szCs w:val="24"/>
        </w:rPr>
      </w:pPr>
      <w:r>
        <w:rPr>
          <w:sz w:val="24"/>
          <w:szCs w:val="24"/>
        </w:rPr>
        <w:t xml:space="preserve">Harvey, D. (2005) A brief history of neo-liberalism. Oxford: Oxford Press. </w:t>
      </w:r>
    </w:p>
    <w:p w:rsidR="008E3E01" w:rsidRDefault="008E3E01" w:rsidP="00D507EA">
      <w:pPr>
        <w:spacing w:line="480" w:lineRule="auto"/>
        <w:rPr>
          <w:sz w:val="24"/>
          <w:szCs w:val="24"/>
        </w:rPr>
      </w:pPr>
      <w:r w:rsidRPr="00F224D3">
        <w:rPr>
          <w:sz w:val="24"/>
          <w:szCs w:val="24"/>
        </w:rPr>
        <w:t xml:space="preserve">HCPC (Health and Care Professions Council) </w:t>
      </w:r>
      <w:r w:rsidR="00802EC1">
        <w:rPr>
          <w:sz w:val="24"/>
          <w:szCs w:val="24"/>
        </w:rPr>
        <w:t>(no date) ‘At t</w:t>
      </w:r>
      <w:r>
        <w:rPr>
          <w:sz w:val="24"/>
          <w:szCs w:val="24"/>
        </w:rPr>
        <w:t xml:space="preserve">he Hearing’, </w:t>
      </w:r>
      <w:hyperlink r:id="rId9" w:history="1">
        <w:r w:rsidRPr="00033CDC">
          <w:rPr>
            <w:rStyle w:val="Hyperlink"/>
            <w:rFonts w:cs="HelveticaNeue-Light"/>
            <w:sz w:val="24"/>
            <w:szCs w:val="24"/>
          </w:rPr>
          <w:t>http://www.hpc-uk.org/complaints/hearings/atthehearing/</w:t>
        </w:r>
      </w:hyperlink>
      <w:r>
        <w:rPr>
          <w:rFonts w:cs="HelveticaNeue-Light"/>
          <w:sz w:val="24"/>
          <w:szCs w:val="24"/>
        </w:rPr>
        <w:t xml:space="preserve"> (accessed 21/6/14)</w:t>
      </w:r>
    </w:p>
    <w:p w:rsidR="00F224D3" w:rsidRPr="00802EC1" w:rsidRDefault="00F224D3" w:rsidP="00802EC1">
      <w:pPr>
        <w:pStyle w:val="CommentText"/>
        <w:spacing w:line="480" w:lineRule="auto"/>
        <w:rPr>
          <w:sz w:val="24"/>
          <w:szCs w:val="24"/>
        </w:rPr>
      </w:pPr>
      <w:r w:rsidRPr="00F224D3">
        <w:rPr>
          <w:sz w:val="24"/>
          <w:szCs w:val="24"/>
        </w:rPr>
        <w:t>HCPC (Health and Care Professions Council) (2011) Responses to the consultation on draft standards of proficiency for social workers in England</w:t>
      </w:r>
      <w:r w:rsidR="00802EC1">
        <w:rPr>
          <w:sz w:val="24"/>
          <w:szCs w:val="24"/>
        </w:rPr>
        <w:t xml:space="preserve"> </w:t>
      </w:r>
      <w:hyperlink r:id="rId10" w:history="1">
        <w:r w:rsidR="00802EC1" w:rsidRPr="000417BD">
          <w:rPr>
            <w:rStyle w:val="Hyperlink"/>
            <w:sz w:val="24"/>
            <w:szCs w:val="24"/>
          </w:rPr>
          <w:t>http://www.hpc-uk.org/aboutus/consultations/closed/index.asp?id=124</w:t>
        </w:r>
      </w:hyperlink>
      <w:r w:rsidR="00802EC1">
        <w:rPr>
          <w:sz w:val="24"/>
          <w:szCs w:val="24"/>
        </w:rPr>
        <w:t xml:space="preserve"> </w:t>
      </w:r>
      <w:r w:rsidRPr="00F224D3">
        <w:rPr>
          <w:sz w:val="24"/>
          <w:szCs w:val="24"/>
        </w:rPr>
        <w:t xml:space="preserve"> </w:t>
      </w:r>
      <w:r>
        <w:rPr>
          <w:sz w:val="24"/>
          <w:szCs w:val="24"/>
        </w:rPr>
        <w:t xml:space="preserve"> a</w:t>
      </w:r>
      <w:r w:rsidRPr="00F224D3">
        <w:rPr>
          <w:sz w:val="24"/>
          <w:szCs w:val="24"/>
        </w:rPr>
        <w:t>ccessed 20/06/14</w:t>
      </w:r>
      <w:r>
        <w:rPr>
          <w:sz w:val="24"/>
          <w:szCs w:val="24"/>
        </w:rPr>
        <w:t xml:space="preserve"> </w:t>
      </w:r>
    </w:p>
    <w:p w:rsidR="00B66B62" w:rsidRPr="000F531F" w:rsidRDefault="00B66B62" w:rsidP="00D507EA">
      <w:pPr>
        <w:spacing w:line="480" w:lineRule="auto"/>
        <w:rPr>
          <w:sz w:val="24"/>
          <w:szCs w:val="24"/>
        </w:rPr>
      </w:pPr>
      <w:r w:rsidRPr="000F531F">
        <w:rPr>
          <w:sz w:val="24"/>
          <w:szCs w:val="24"/>
        </w:rPr>
        <w:t>HCPC (Health and</w:t>
      </w:r>
      <w:r>
        <w:rPr>
          <w:sz w:val="24"/>
          <w:szCs w:val="24"/>
        </w:rPr>
        <w:t xml:space="preserve"> Care Professions Council) (2012) ‘Practice Note: Finding that practice is </w:t>
      </w:r>
      <w:r w:rsidR="00C5321F">
        <w:rPr>
          <w:sz w:val="24"/>
          <w:szCs w:val="24"/>
        </w:rPr>
        <w:t xml:space="preserve">“impaired”’, London: HCPC </w:t>
      </w:r>
      <w:hyperlink r:id="rId11" w:history="1">
        <w:r w:rsidR="00C5321F" w:rsidRPr="00FA6A5A">
          <w:rPr>
            <w:rStyle w:val="Hyperlink"/>
            <w:sz w:val="24"/>
            <w:szCs w:val="24"/>
          </w:rPr>
          <w:t>http://www.hcpc-uk.org.uk/assets/documents/1000289FFindingthatFitnesstoPractiseisImpaired.pdf</w:t>
        </w:r>
      </w:hyperlink>
      <w:r w:rsidR="00C5321F">
        <w:rPr>
          <w:sz w:val="24"/>
          <w:szCs w:val="24"/>
        </w:rPr>
        <w:t xml:space="preserve"> </w:t>
      </w:r>
    </w:p>
    <w:p w:rsidR="007F7AC6" w:rsidRPr="000F531F" w:rsidRDefault="007F7AC6" w:rsidP="00D507EA">
      <w:pPr>
        <w:spacing w:line="480" w:lineRule="auto"/>
        <w:rPr>
          <w:sz w:val="24"/>
          <w:szCs w:val="24"/>
        </w:rPr>
      </w:pPr>
      <w:r w:rsidRPr="000F531F">
        <w:rPr>
          <w:sz w:val="24"/>
          <w:szCs w:val="24"/>
        </w:rPr>
        <w:t xml:space="preserve">HCPC (Health and Care Professions Council) (2013) ‘Fitness to Practise Annual Report 2013’, </w:t>
      </w:r>
      <w:r w:rsidR="00C5321F">
        <w:rPr>
          <w:sz w:val="24"/>
          <w:szCs w:val="24"/>
        </w:rPr>
        <w:t xml:space="preserve">London, </w:t>
      </w:r>
      <w:r w:rsidRPr="000F531F">
        <w:rPr>
          <w:sz w:val="24"/>
          <w:szCs w:val="24"/>
        </w:rPr>
        <w:t>HCPC</w:t>
      </w:r>
      <w:r w:rsidR="00C5321F">
        <w:rPr>
          <w:sz w:val="24"/>
          <w:szCs w:val="24"/>
        </w:rPr>
        <w:t xml:space="preserve"> </w:t>
      </w:r>
      <w:hyperlink r:id="rId12" w:history="1">
        <w:r w:rsidR="00AB4799" w:rsidRPr="007C6A9E">
          <w:rPr>
            <w:rStyle w:val="Hyperlink"/>
            <w:sz w:val="24"/>
            <w:szCs w:val="24"/>
          </w:rPr>
          <w:t>http://www.hcpcuk.org/assets/documents/100042D7Fitnesstopractiseannualreport2013.pdf</w:t>
        </w:r>
      </w:hyperlink>
      <w:r w:rsidRPr="000F531F">
        <w:rPr>
          <w:sz w:val="24"/>
          <w:szCs w:val="24"/>
        </w:rPr>
        <w:t xml:space="preserve"> (accessed 1/4/14)</w:t>
      </w:r>
    </w:p>
    <w:p w:rsidR="00916174" w:rsidRPr="00916174" w:rsidRDefault="007F7AC6" w:rsidP="00916174">
      <w:pPr>
        <w:spacing w:line="480" w:lineRule="auto"/>
        <w:rPr>
          <w:rFonts w:eastAsiaTheme="minorHAnsi" w:cs="Times New Roman"/>
          <w:sz w:val="24"/>
          <w:szCs w:val="24"/>
          <w:lang w:eastAsia="en-US"/>
        </w:rPr>
      </w:pPr>
      <w:r w:rsidRPr="00916174">
        <w:rPr>
          <w:sz w:val="24"/>
          <w:szCs w:val="24"/>
        </w:rPr>
        <w:t>Leigh, J. (2013</w:t>
      </w:r>
      <w:r w:rsidRPr="00916174">
        <w:rPr>
          <w:i/>
          <w:sz w:val="24"/>
          <w:szCs w:val="24"/>
        </w:rPr>
        <w:t>)</w:t>
      </w:r>
      <w:r w:rsidR="00916174" w:rsidRPr="00916174">
        <w:rPr>
          <w:i/>
          <w:sz w:val="24"/>
          <w:szCs w:val="24"/>
        </w:rPr>
        <w:t xml:space="preserve"> </w:t>
      </w:r>
      <w:r w:rsidR="00916174" w:rsidRPr="00802EC1">
        <w:rPr>
          <w:sz w:val="24"/>
          <w:szCs w:val="24"/>
        </w:rPr>
        <w:t>The Process of Professionalization: Exploring the identities of child protection social worker</w:t>
      </w:r>
      <w:r w:rsidR="00AB4799" w:rsidRPr="00802EC1">
        <w:rPr>
          <w:sz w:val="24"/>
          <w:szCs w:val="24"/>
        </w:rPr>
        <w:t>.</w:t>
      </w:r>
      <w:r w:rsidR="00916174" w:rsidRPr="00916174">
        <w:rPr>
          <w:sz w:val="24"/>
          <w:szCs w:val="24"/>
        </w:rPr>
        <w:t xml:space="preserve"> </w:t>
      </w:r>
      <w:r w:rsidR="00916174" w:rsidRPr="00802EC1">
        <w:rPr>
          <w:i/>
          <w:sz w:val="24"/>
          <w:szCs w:val="24"/>
        </w:rPr>
        <w:t>Journal of Social Work</w:t>
      </w:r>
      <w:r w:rsidR="00916174" w:rsidRPr="00916174">
        <w:rPr>
          <w:sz w:val="24"/>
          <w:szCs w:val="24"/>
        </w:rPr>
        <w:t xml:space="preserve">. </w:t>
      </w:r>
      <w:r w:rsidR="00916174" w:rsidRPr="00916174">
        <w:rPr>
          <w:rFonts w:eastAsiaTheme="minorHAnsi" w:cs="Times New Roman"/>
          <w:sz w:val="24"/>
          <w:szCs w:val="24"/>
          <w:lang w:eastAsia="en-US"/>
        </w:rPr>
        <w:t>Published online 7</w:t>
      </w:r>
      <w:r w:rsidR="00916174" w:rsidRPr="00916174">
        <w:rPr>
          <w:rFonts w:eastAsiaTheme="minorHAnsi" w:cs="Times New Roman"/>
          <w:sz w:val="24"/>
          <w:szCs w:val="24"/>
          <w:vertAlign w:val="superscript"/>
          <w:lang w:eastAsia="en-US"/>
        </w:rPr>
        <w:t>th</w:t>
      </w:r>
      <w:r w:rsidR="00916174" w:rsidRPr="00916174">
        <w:rPr>
          <w:rFonts w:eastAsiaTheme="minorHAnsi" w:cs="Times New Roman"/>
          <w:sz w:val="24"/>
          <w:szCs w:val="24"/>
          <w:lang w:eastAsia="en-US"/>
        </w:rPr>
        <w:t xml:space="preserve"> October, 2013. </w:t>
      </w:r>
      <w:r w:rsidR="00916174" w:rsidRPr="00916174">
        <w:rPr>
          <w:rFonts w:eastAsiaTheme="minorHAnsi" w:cs="Arial"/>
          <w:sz w:val="24"/>
          <w:szCs w:val="24"/>
          <w:lang w:eastAsia="en-US"/>
        </w:rPr>
        <w:t>DOI: 10.1177/1468017313504380</w:t>
      </w:r>
    </w:p>
    <w:p w:rsidR="007F7AC6" w:rsidRPr="00916174" w:rsidRDefault="00916174" w:rsidP="00916174">
      <w:pPr>
        <w:spacing w:line="480" w:lineRule="auto"/>
        <w:rPr>
          <w:sz w:val="24"/>
          <w:szCs w:val="24"/>
        </w:rPr>
      </w:pPr>
      <w:r w:rsidRPr="00916174">
        <w:rPr>
          <w:sz w:val="24"/>
          <w:szCs w:val="24"/>
        </w:rPr>
        <w:t xml:space="preserve">Leigh, J. (2014) The story of the PPO Queen: the acceptance and development of a spoiled identity. </w:t>
      </w:r>
      <w:r w:rsidRPr="00916174">
        <w:rPr>
          <w:i/>
          <w:sz w:val="24"/>
          <w:szCs w:val="24"/>
        </w:rPr>
        <w:t>Child and Family Social Work</w:t>
      </w:r>
      <w:r w:rsidRPr="00916174">
        <w:rPr>
          <w:sz w:val="24"/>
          <w:szCs w:val="24"/>
        </w:rPr>
        <w:t xml:space="preserve">. </w:t>
      </w:r>
      <w:r w:rsidR="00802EC1">
        <w:rPr>
          <w:sz w:val="24"/>
          <w:szCs w:val="24"/>
        </w:rPr>
        <w:t>26 May</w:t>
      </w:r>
      <w:r w:rsidRPr="00916174">
        <w:rPr>
          <w:sz w:val="24"/>
          <w:szCs w:val="24"/>
        </w:rPr>
        <w:t xml:space="preserve"> 2014, DOI: 10.1111/cfs.12157</w:t>
      </w:r>
      <w:r w:rsidR="00AB4799" w:rsidRPr="00916174">
        <w:rPr>
          <w:sz w:val="24"/>
          <w:szCs w:val="24"/>
        </w:rPr>
        <w:t xml:space="preserve"> </w:t>
      </w:r>
    </w:p>
    <w:p w:rsidR="007F7AC6" w:rsidRPr="000F531F" w:rsidRDefault="007F7AC6" w:rsidP="00D507EA">
      <w:pPr>
        <w:spacing w:line="480" w:lineRule="auto"/>
        <w:rPr>
          <w:sz w:val="24"/>
          <w:szCs w:val="24"/>
        </w:rPr>
      </w:pPr>
      <w:r w:rsidRPr="000F531F">
        <w:rPr>
          <w:sz w:val="24"/>
          <w:szCs w:val="24"/>
        </w:rPr>
        <w:t>Malherbe, M. (1980) ‘Accreditation in Social Work: Principles and Issues in Context: A Contribution to the Debate’, (CCETSW Study 4) London: CCETSW.</w:t>
      </w:r>
    </w:p>
    <w:p w:rsidR="007F7AC6" w:rsidRPr="00A03B92" w:rsidRDefault="00AB4799" w:rsidP="00A03B92">
      <w:pPr>
        <w:spacing w:line="480" w:lineRule="auto"/>
        <w:rPr>
          <w:sz w:val="24"/>
          <w:szCs w:val="24"/>
        </w:rPr>
      </w:pPr>
      <w:r w:rsidRPr="00AB4799">
        <w:rPr>
          <w:sz w:val="24"/>
          <w:szCs w:val="24"/>
        </w:rPr>
        <w:t>McGregor, K. (2014) ‘</w:t>
      </w:r>
      <w:r w:rsidR="00916174">
        <w:rPr>
          <w:sz w:val="24"/>
          <w:szCs w:val="24"/>
        </w:rPr>
        <w:t>I</w:t>
      </w:r>
      <w:r w:rsidRPr="00AB4799">
        <w:rPr>
          <w:sz w:val="24"/>
          <w:szCs w:val="24"/>
        </w:rPr>
        <w:t>s enough attention given to caseloads, supervisions and management during fitness to practise hearings?’ Community Care, 14</w:t>
      </w:r>
      <w:r w:rsidRPr="00AB4799">
        <w:rPr>
          <w:sz w:val="24"/>
          <w:szCs w:val="24"/>
          <w:vertAlign w:val="superscript"/>
        </w:rPr>
        <w:t>th</w:t>
      </w:r>
      <w:r w:rsidRPr="00AB4799">
        <w:rPr>
          <w:sz w:val="24"/>
          <w:szCs w:val="24"/>
        </w:rPr>
        <w:t xml:space="preserve"> February, 2014. </w:t>
      </w:r>
      <w:hyperlink r:id="rId13" w:history="1">
        <w:r w:rsidRPr="00AB4799">
          <w:rPr>
            <w:rStyle w:val="Hyperlink"/>
            <w:sz w:val="24"/>
            <w:szCs w:val="24"/>
          </w:rPr>
          <w:t>http://www.communitycare.co.uk/2014/02/17/enough-attention-given-caseloads-supervision-management-fitness-practise-hearings/</w:t>
        </w:r>
      </w:hyperlink>
      <w:r w:rsidRPr="00AB4799">
        <w:rPr>
          <w:sz w:val="24"/>
          <w:szCs w:val="24"/>
        </w:rPr>
        <w:t xml:space="preserve"> </w:t>
      </w:r>
    </w:p>
    <w:p w:rsidR="007F7AC6" w:rsidRPr="000F531F" w:rsidRDefault="00916174" w:rsidP="00D507EA">
      <w:pPr>
        <w:spacing w:after="0" w:line="480" w:lineRule="auto"/>
        <w:rPr>
          <w:rFonts w:eastAsia="Times New Roman" w:cs="Times New Roman"/>
          <w:color w:val="000000"/>
          <w:sz w:val="24"/>
          <w:szCs w:val="24"/>
        </w:rPr>
      </w:pPr>
      <w:r>
        <w:rPr>
          <w:rFonts w:eastAsia="Times New Roman" w:cs="Times New Roman"/>
          <w:color w:val="000000"/>
          <w:sz w:val="24"/>
          <w:szCs w:val="24"/>
        </w:rPr>
        <w:t>McLaughlin K. (2007) ‘</w:t>
      </w:r>
      <w:r w:rsidR="007F7AC6" w:rsidRPr="000F531F">
        <w:rPr>
          <w:rFonts w:eastAsia="Times New Roman" w:cs="Times New Roman"/>
          <w:color w:val="000000"/>
          <w:sz w:val="24"/>
          <w:szCs w:val="24"/>
        </w:rPr>
        <w:t xml:space="preserve">Regulation and Risk in Social Work: The General Social Care Council and the </w:t>
      </w:r>
      <w:r>
        <w:rPr>
          <w:rFonts w:eastAsia="Times New Roman" w:cs="Times New Roman"/>
          <w:color w:val="000000"/>
          <w:sz w:val="24"/>
          <w:szCs w:val="24"/>
        </w:rPr>
        <w:t>Social Care Register in Context’</w:t>
      </w:r>
      <w:r w:rsidR="007F7AC6" w:rsidRPr="000F531F">
        <w:rPr>
          <w:rFonts w:eastAsia="Times New Roman" w:cs="Times New Roman"/>
          <w:i/>
          <w:iCs/>
          <w:color w:val="000000"/>
          <w:sz w:val="24"/>
          <w:szCs w:val="24"/>
        </w:rPr>
        <w:t xml:space="preserve"> British Journal of Social Work Advance Access</w:t>
      </w:r>
      <w:r w:rsidR="007F7AC6" w:rsidRPr="000F531F">
        <w:rPr>
          <w:rFonts w:eastAsia="Times New Roman" w:cs="Times New Roman"/>
          <w:color w:val="000000"/>
          <w:sz w:val="24"/>
          <w:szCs w:val="24"/>
        </w:rPr>
        <w:t>, vol.37 no.7, pp.1263-1277</w:t>
      </w:r>
    </w:p>
    <w:p w:rsidR="007F7AC6" w:rsidRPr="000F531F" w:rsidRDefault="007F7AC6" w:rsidP="00D507EA">
      <w:pPr>
        <w:spacing w:after="0" w:line="480" w:lineRule="auto"/>
        <w:rPr>
          <w:rFonts w:eastAsia="Times New Roman" w:cs="Times New Roman"/>
          <w:color w:val="000000"/>
          <w:sz w:val="24"/>
          <w:szCs w:val="24"/>
        </w:rPr>
      </w:pPr>
    </w:p>
    <w:p w:rsidR="007F7AC6" w:rsidRPr="000F531F" w:rsidRDefault="00802EC1" w:rsidP="00D507EA">
      <w:pPr>
        <w:spacing w:after="0" w:line="480" w:lineRule="auto"/>
        <w:rPr>
          <w:rFonts w:eastAsia="Times New Roman" w:cs="Times New Roman"/>
          <w:color w:val="000000"/>
          <w:sz w:val="24"/>
          <w:szCs w:val="24"/>
        </w:rPr>
      </w:pPr>
      <w:r>
        <w:rPr>
          <w:rFonts w:eastAsia="Times New Roman" w:cs="Times New Roman"/>
          <w:color w:val="000000"/>
          <w:sz w:val="24"/>
          <w:szCs w:val="24"/>
        </w:rPr>
        <w:t>McLaughlin K. (2010) ‘</w:t>
      </w:r>
      <w:r w:rsidR="007F7AC6" w:rsidRPr="000F531F">
        <w:rPr>
          <w:rFonts w:eastAsia="Times New Roman" w:cs="Times New Roman"/>
          <w:color w:val="000000"/>
          <w:sz w:val="24"/>
          <w:szCs w:val="24"/>
        </w:rPr>
        <w:t>The Social Worker versus the General Social Care Council: An Analysis of Care Standards Tribunal Hearings and Decisions</w:t>
      </w:r>
      <w:r>
        <w:rPr>
          <w:rFonts w:eastAsia="Times New Roman" w:cs="Times New Roman"/>
          <w:color w:val="000000"/>
          <w:sz w:val="24"/>
          <w:szCs w:val="24"/>
        </w:rPr>
        <w:t>’</w:t>
      </w:r>
      <w:r w:rsidR="007F7AC6" w:rsidRPr="000F531F">
        <w:rPr>
          <w:rFonts w:eastAsia="Times New Roman" w:cs="Times New Roman"/>
          <w:i/>
          <w:iCs/>
          <w:color w:val="000000"/>
          <w:sz w:val="24"/>
          <w:szCs w:val="24"/>
        </w:rPr>
        <w:t xml:space="preserve"> British Journal of Social Work</w:t>
      </w:r>
      <w:r w:rsidR="007F7AC6" w:rsidRPr="000F531F">
        <w:rPr>
          <w:rFonts w:eastAsia="Times New Roman" w:cs="Times New Roman"/>
          <w:color w:val="000000"/>
          <w:sz w:val="24"/>
          <w:szCs w:val="24"/>
        </w:rPr>
        <w:t>, vol.40 no.1, pp.311-327</w:t>
      </w:r>
    </w:p>
    <w:p w:rsidR="00B33477" w:rsidRPr="00B33477" w:rsidRDefault="00E70BC7" w:rsidP="00E70BC7">
      <w:pPr>
        <w:autoSpaceDE w:val="0"/>
        <w:autoSpaceDN w:val="0"/>
        <w:adjustRightInd w:val="0"/>
        <w:spacing w:after="0" w:line="480" w:lineRule="auto"/>
        <w:rPr>
          <w:rFonts w:cs="AdvTimes-i"/>
          <w:sz w:val="24"/>
          <w:szCs w:val="24"/>
        </w:rPr>
      </w:pPr>
      <w:r>
        <w:rPr>
          <w:rFonts w:cs="AdvTimes"/>
          <w:sz w:val="24"/>
          <w:szCs w:val="24"/>
        </w:rPr>
        <w:t>Mowbray, R. (1995)</w:t>
      </w:r>
      <w:r w:rsidR="00B33477" w:rsidRPr="00B33477">
        <w:rPr>
          <w:rFonts w:cs="AdvTimes"/>
          <w:sz w:val="24"/>
          <w:szCs w:val="24"/>
        </w:rPr>
        <w:t xml:space="preserve"> </w:t>
      </w:r>
      <w:r>
        <w:rPr>
          <w:rFonts w:cs="AdvTimes"/>
          <w:sz w:val="24"/>
          <w:szCs w:val="24"/>
        </w:rPr>
        <w:t>‘</w:t>
      </w:r>
      <w:r w:rsidR="00B33477" w:rsidRPr="00B33477">
        <w:rPr>
          <w:rFonts w:cs="AdvTimes-i"/>
          <w:sz w:val="24"/>
          <w:szCs w:val="24"/>
        </w:rPr>
        <w:t>The case against psychotherapy registration: A conservation issue</w:t>
      </w:r>
    </w:p>
    <w:p w:rsidR="00B33477" w:rsidRDefault="00B33477" w:rsidP="00E70BC7">
      <w:pPr>
        <w:autoSpaceDE w:val="0"/>
        <w:autoSpaceDN w:val="0"/>
        <w:adjustRightInd w:val="0"/>
        <w:spacing w:after="0" w:line="480" w:lineRule="auto"/>
        <w:rPr>
          <w:rFonts w:cs="AdvTimes"/>
          <w:sz w:val="24"/>
          <w:szCs w:val="24"/>
        </w:rPr>
      </w:pPr>
      <w:r w:rsidRPr="00B33477">
        <w:rPr>
          <w:rFonts w:cs="AdvTimes-i"/>
          <w:sz w:val="24"/>
          <w:szCs w:val="24"/>
        </w:rPr>
        <w:t>for the human potential movement</w:t>
      </w:r>
      <w:r w:rsidR="00E70BC7">
        <w:rPr>
          <w:rFonts w:cs="AdvTimes"/>
          <w:sz w:val="24"/>
          <w:szCs w:val="24"/>
        </w:rPr>
        <w:t>’,</w:t>
      </w:r>
      <w:r w:rsidRPr="00B33477">
        <w:rPr>
          <w:rFonts w:cs="AdvTimes"/>
          <w:sz w:val="24"/>
          <w:szCs w:val="24"/>
        </w:rPr>
        <w:t xml:space="preserve"> London: Transmarginal Press.</w:t>
      </w:r>
    </w:p>
    <w:p w:rsidR="00E70BC7" w:rsidRPr="00B33477" w:rsidRDefault="00E70BC7" w:rsidP="00B33477">
      <w:pPr>
        <w:autoSpaceDE w:val="0"/>
        <w:autoSpaceDN w:val="0"/>
        <w:adjustRightInd w:val="0"/>
        <w:spacing w:after="0" w:line="240" w:lineRule="auto"/>
        <w:rPr>
          <w:rFonts w:cs="AdvTimes"/>
          <w:sz w:val="24"/>
          <w:szCs w:val="24"/>
        </w:rPr>
      </w:pPr>
    </w:p>
    <w:p w:rsidR="007F7AC6" w:rsidRPr="000F531F" w:rsidRDefault="007F7AC6" w:rsidP="00D507EA">
      <w:pPr>
        <w:spacing w:line="480" w:lineRule="auto"/>
        <w:rPr>
          <w:sz w:val="24"/>
          <w:szCs w:val="24"/>
        </w:rPr>
      </w:pPr>
      <w:r w:rsidRPr="000F531F">
        <w:rPr>
          <w:sz w:val="24"/>
          <w:szCs w:val="24"/>
        </w:rPr>
        <w:t>Narey,</w:t>
      </w:r>
      <w:r w:rsidR="00802EC1">
        <w:rPr>
          <w:sz w:val="24"/>
          <w:szCs w:val="24"/>
        </w:rPr>
        <w:t xml:space="preserve"> M. (2014</w:t>
      </w:r>
      <w:r w:rsidR="00802EC1" w:rsidRPr="00802EC1">
        <w:rPr>
          <w:i/>
          <w:sz w:val="24"/>
          <w:szCs w:val="24"/>
        </w:rPr>
        <w:t xml:space="preserve">) </w:t>
      </w:r>
      <w:r w:rsidRPr="00802EC1">
        <w:rPr>
          <w:i/>
          <w:sz w:val="24"/>
          <w:szCs w:val="24"/>
        </w:rPr>
        <w:t>Making the education of social workers consistently effective: Report of Sir Martin Narey’s independent review of the education of children’s social workers</w:t>
      </w:r>
      <w:r w:rsidRPr="000F531F">
        <w:rPr>
          <w:sz w:val="24"/>
          <w:szCs w:val="24"/>
        </w:rPr>
        <w:t>, London: Department for Education.</w:t>
      </w:r>
    </w:p>
    <w:p w:rsidR="00B33477" w:rsidRPr="00E70BC7" w:rsidRDefault="00E70BC7" w:rsidP="00E70BC7">
      <w:pPr>
        <w:autoSpaceDE w:val="0"/>
        <w:autoSpaceDN w:val="0"/>
        <w:adjustRightInd w:val="0"/>
        <w:spacing w:after="0" w:line="480" w:lineRule="auto"/>
        <w:rPr>
          <w:rFonts w:cs="AdvTimes"/>
          <w:sz w:val="24"/>
          <w:szCs w:val="24"/>
        </w:rPr>
      </w:pPr>
      <w:r>
        <w:rPr>
          <w:rFonts w:cs="AdvTimes"/>
          <w:sz w:val="24"/>
          <w:szCs w:val="24"/>
        </w:rPr>
        <w:t>Parker, I. and Revelli, S. (eds.) (2008) ‘</w:t>
      </w:r>
      <w:r w:rsidR="00B33477" w:rsidRPr="00E70BC7">
        <w:rPr>
          <w:rFonts w:cs="AdvTimes-i"/>
          <w:sz w:val="24"/>
          <w:szCs w:val="24"/>
        </w:rPr>
        <w:t>Psychoanalytic practice and state regulation</w:t>
      </w:r>
      <w:r>
        <w:rPr>
          <w:rFonts w:cs="AdvTimes"/>
          <w:sz w:val="24"/>
          <w:szCs w:val="24"/>
        </w:rPr>
        <w:t>’,</w:t>
      </w:r>
    </w:p>
    <w:p w:rsidR="00B33477" w:rsidRDefault="00B33477" w:rsidP="00E70BC7">
      <w:pPr>
        <w:spacing w:after="0" w:line="480" w:lineRule="auto"/>
        <w:rPr>
          <w:rFonts w:cs="AdvTimes"/>
          <w:sz w:val="24"/>
          <w:szCs w:val="24"/>
        </w:rPr>
      </w:pPr>
      <w:r w:rsidRPr="00E70BC7">
        <w:rPr>
          <w:rFonts w:cs="AdvTimes"/>
          <w:sz w:val="24"/>
          <w:szCs w:val="24"/>
        </w:rPr>
        <w:t>London: Karnac.</w:t>
      </w:r>
    </w:p>
    <w:p w:rsidR="00E70BC7" w:rsidRPr="00E70BC7" w:rsidRDefault="00E70BC7" w:rsidP="00E70BC7">
      <w:pPr>
        <w:spacing w:after="0" w:line="480" w:lineRule="auto"/>
        <w:rPr>
          <w:rFonts w:eastAsia="Times New Roman" w:cs="Times New Roman"/>
          <w:color w:val="000000"/>
          <w:sz w:val="24"/>
          <w:szCs w:val="24"/>
        </w:rPr>
      </w:pPr>
    </w:p>
    <w:p w:rsidR="007F7AC6" w:rsidRPr="000F531F" w:rsidRDefault="00802EC1" w:rsidP="00D507EA">
      <w:pPr>
        <w:spacing w:line="480" w:lineRule="auto"/>
        <w:rPr>
          <w:sz w:val="24"/>
          <w:szCs w:val="24"/>
        </w:rPr>
      </w:pPr>
      <w:r>
        <w:rPr>
          <w:sz w:val="24"/>
          <w:szCs w:val="24"/>
        </w:rPr>
        <w:t xml:space="preserve">Parker, R. (1990) </w:t>
      </w:r>
      <w:r w:rsidR="007F7AC6" w:rsidRPr="00802EC1">
        <w:rPr>
          <w:i/>
          <w:sz w:val="24"/>
          <w:szCs w:val="24"/>
        </w:rPr>
        <w:t>Safeguarding Standards</w:t>
      </w:r>
      <w:r w:rsidR="007F7AC6" w:rsidRPr="000F531F">
        <w:rPr>
          <w:sz w:val="24"/>
          <w:szCs w:val="24"/>
        </w:rPr>
        <w:t>, London: National Institute of Social Work.</w:t>
      </w:r>
    </w:p>
    <w:p w:rsidR="007F7AC6" w:rsidRPr="000F531F" w:rsidRDefault="007F7AC6" w:rsidP="00D507EA">
      <w:pPr>
        <w:spacing w:line="480" w:lineRule="auto"/>
        <w:rPr>
          <w:sz w:val="24"/>
          <w:szCs w:val="24"/>
        </w:rPr>
      </w:pPr>
      <w:r w:rsidRPr="000F531F">
        <w:rPr>
          <w:sz w:val="24"/>
          <w:szCs w:val="24"/>
        </w:rPr>
        <w:t xml:space="preserve">Payne, M. (2002) ‘The Role and Achievement of a Professional Association in the Late Twentieth Century: The British Association of Social Workers 1970-2000’, </w:t>
      </w:r>
      <w:r w:rsidRPr="000F531F">
        <w:rPr>
          <w:i/>
          <w:iCs/>
          <w:sz w:val="24"/>
          <w:szCs w:val="24"/>
        </w:rPr>
        <w:t>British Journal of Social Work</w:t>
      </w:r>
      <w:r w:rsidRPr="000F531F">
        <w:rPr>
          <w:sz w:val="24"/>
          <w:szCs w:val="24"/>
        </w:rPr>
        <w:t>, vol.32, pp.969-995.</w:t>
      </w:r>
    </w:p>
    <w:p w:rsidR="00802EC1" w:rsidRDefault="00802EC1" w:rsidP="00D507EA">
      <w:pPr>
        <w:spacing w:line="480" w:lineRule="auto"/>
        <w:rPr>
          <w:sz w:val="24"/>
          <w:szCs w:val="24"/>
        </w:rPr>
      </w:pPr>
      <w:r>
        <w:rPr>
          <w:sz w:val="24"/>
          <w:szCs w:val="24"/>
        </w:rPr>
        <w:t xml:space="preserve">Pratt, A. (2005) ‘Neoliberalism and social policy’ in M. Lavalette and A. Pratt (eds) </w:t>
      </w:r>
      <w:r w:rsidRPr="00802EC1">
        <w:rPr>
          <w:i/>
          <w:sz w:val="24"/>
          <w:szCs w:val="24"/>
        </w:rPr>
        <w:t>Social Policy: Theories, Concepts and Issues.</w:t>
      </w:r>
      <w:r>
        <w:rPr>
          <w:sz w:val="24"/>
          <w:szCs w:val="24"/>
        </w:rPr>
        <w:t xml:space="preserve"> London: Sage. </w:t>
      </w:r>
    </w:p>
    <w:p w:rsidR="007F7AC6" w:rsidRDefault="007F7AC6" w:rsidP="00D507EA">
      <w:pPr>
        <w:spacing w:line="480" w:lineRule="auto"/>
        <w:rPr>
          <w:sz w:val="24"/>
          <w:szCs w:val="24"/>
        </w:rPr>
      </w:pPr>
      <w:r w:rsidRPr="000F531F">
        <w:rPr>
          <w:sz w:val="24"/>
          <w:szCs w:val="24"/>
        </w:rPr>
        <w:t xml:space="preserve">Reamer, </w:t>
      </w:r>
      <w:r w:rsidR="004F28A8" w:rsidRPr="000F531F">
        <w:rPr>
          <w:sz w:val="24"/>
          <w:szCs w:val="24"/>
        </w:rPr>
        <w:t xml:space="preserve">R.G. </w:t>
      </w:r>
      <w:r w:rsidRPr="000F531F">
        <w:rPr>
          <w:sz w:val="24"/>
          <w:szCs w:val="24"/>
        </w:rPr>
        <w:t>(2006)</w:t>
      </w:r>
      <w:r w:rsidR="00916174">
        <w:rPr>
          <w:sz w:val="24"/>
          <w:szCs w:val="24"/>
        </w:rPr>
        <w:t xml:space="preserve"> </w:t>
      </w:r>
      <w:r w:rsidR="004F28A8" w:rsidRPr="00916174">
        <w:rPr>
          <w:i/>
          <w:sz w:val="24"/>
          <w:szCs w:val="24"/>
        </w:rPr>
        <w:t>Social Work Values and Et</w:t>
      </w:r>
      <w:r w:rsidR="00916174" w:rsidRPr="00916174">
        <w:rPr>
          <w:i/>
          <w:sz w:val="24"/>
          <w:szCs w:val="24"/>
        </w:rPr>
        <w:t>hics</w:t>
      </w:r>
      <w:r w:rsidR="004F28A8" w:rsidRPr="000F531F">
        <w:rPr>
          <w:sz w:val="24"/>
          <w:szCs w:val="24"/>
        </w:rPr>
        <w:t xml:space="preserve"> (3</w:t>
      </w:r>
      <w:r w:rsidR="004F28A8" w:rsidRPr="000F531F">
        <w:rPr>
          <w:sz w:val="24"/>
          <w:szCs w:val="24"/>
          <w:vertAlign w:val="superscript"/>
        </w:rPr>
        <w:t>rd</w:t>
      </w:r>
      <w:r w:rsidR="004F28A8" w:rsidRPr="000F531F">
        <w:rPr>
          <w:sz w:val="24"/>
          <w:szCs w:val="24"/>
        </w:rPr>
        <w:t xml:space="preserve"> edition), New York: Columbia University Press.</w:t>
      </w:r>
    </w:p>
    <w:p w:rsidR="003A1F20" w:rsidRPr="00A03B92" w:rsidRDefault="00A03B92" w:rsidP="00A03B92">
      <w:pPr>
        <w:autoSpaceDE w:val="0"/>
        <w:autoSpaceDN w:val="0"/>
        <w:adjustRightInd w:val="0"/>
        <w:spacing w:after="0" w:line="480" w:lineRule="auto"/>
        <w:rPr>
          <w:rFonts w:cs="Arial-BoldMT"/>
          <w:bCs/>
          <w:sz w:val="24"/>
          <w:szCs w:val="24"/>
        </w:rPr>
      </w:pPr>
      <w:r>
        <w:rPr>
          <w:sz w:val="24"/>
          <w:szCs w:val="24"/>
        </w:rPr>
        <w:t>Schön, D. (2001[1984])</w:t>
      </w:r>
      <w:r w:rsidRPr="00A03B92">
        <w:rPr>
          <w:rFonts w:cs="Arial-BoldMT"/>
          <w:bCs/>
          <w:sz w:val="24"/>
          <w:szCs w:val="24"/>
        </w:rPr>
        <w:t xml:space="preserve"> </w:t>
      </w:r>
      <w:r>
        <w:rPr>
          <w:rFonts w:cs="Arial-BoldMT"/>
          <w:bCs/>
          <w:sz w:val="24"/>
          <w:szCs w:val="24"/>
        </w:rPr>
        <w:t>‘</w:t>
      </w:r>
      <w:r w:rsidR="003A1F20" w:rsidRPr="00A03B92">
        <w:rPr>
          <w:rFonts w:cs="Arial-BoldMT"/>
          <w:bCs/>
          <w:sz w:val="24"/>
          <w:szCs w:val="24"/>
        </w:rPr>
        <w:t>The Crisis of Professional Knowledge and the Pursuit of an</w:t>
      </w:r>
    </w:p>
    <w:p w:rsidR="00A03B92" w:rsidRPr="00A03B92" w:rsidRDefault="003A1F20" w:rsidP="00A03B92">
      <w:pPr>
        <w:autoSpaceDE w:val="0"/>
        <w:autoSpaceDN w:val="0"/>
        <w:adjustRightInd w:val="0"/>
        <w:spacing w:after="0" w:line="480" w:lineRule="auto"/>
        <w:rPr>
          <w:rFonts w:ascii="ArialMT" w:hAnsi="ArialMT" w:cs="ArialMT"/>
          <w:sz w:val="24"/>
          <w:szCs w:val="24"/>
        </w:rPr>
      </w:pPr>
      <w:r w:rsidRPr="00A03B92">
        <w:rPr>
          <w:rFonts w:cs="Arial-BoldMT"/>
          <w:bCs/>
          <w:sz w:val="24"/>
          <w:szCs w:val="24"/>
        </w:rPr>
        <w:t>Epistemology of Practice</w:t>
      </w:r>
      <w:r w:rsidR="00A03B92">
        <w:rPr>
          <w:rFonts w:cs="Arial-BoldMT"/>
          <w:bCs/>
          <w:sz w:val="24"/>
          <w:szCs w:val="24"/>
        </w:rPr>
        <w:t xml:space="preserve">’ in Raven, J. and Stephenson, J. (eds.) (2001) </w:t>
      </w:r>
      <w:r w:rsidR="00A03B92" w:rsidRPr="00916174">
        <w:rPr>
          <w:rFonts w:cs="Arial-BoldMT"/>
          <w:bCs/>
          <w:i/>
          <w:sz w:val="24"/>
          <w:szCs w:val="24"/>
        </w:rPr>
        <w:t>Competence in the Learning Society</w:t>
      </w:r>
      <w:r w:rsidR="00A03B92">
        <w:rPr>
          <w:rFonts w:cs="Arial-BoldMT"/>
          <w:bCs/>
          <w:sz w:val="24"/>
          <w:szCs w:val="24"/>
        </w:rPr>
        <w:t>, New York: Peter Lang</w:t>
      </w:r>
      <w:r w:rsidR="00A03B92">
        <w:rPr>
          <w:rFonts w:ascii="ArialMT" w:hAnsi="ArialMT" w:cs="ArialMT"/>
          <w:sz w:val="24"/>
          <w:szCs w:val="24"/>
        </w:rPr>
        <w:t>.</w:t>
      </w:r>
    </w:p>
    <w:p w:rsidR="00A03B92" w:rsidRDefault="00A03B92" w:rsidP="00A03B92">
      <w:pPr>
        <w:autoSpaceDE w:val="0"/>
        <w:autoSpaceDN w:val="0"/>
        <w:adjustRightInd w:val="0"/>
        <w:spacing w:after="0" w:line="240" w:lineRule="auto"/>
        <w:rPr>
          <w:rFonts w:ascii="ArialMT" w:hAnsi="ArialMT" w:cs="ArialMT"/>
          <w:sz w:val="24"/>
          <w:szCs w:val="24"/>
        </w:rPr>
      </w:pPr>
    </w:p>
    <w:p w:rsidR="00B66B62" w:rsidRPr="00B66B62" w:rsidRDefault="00B66B62" w:rsidP="00D507EA">
      <w:pPr>
        <w:spacing w:line="480" w:lineRule="auto"/>
        <w:rPr>
          <w:sz w:val="24"/>
          <w:szCs w:val="24"/>
        </w:rPr>
      </w:pPr>
      <w:r>
        <w:rPr>
          <w:sz w:val="24"/>
          <w:szCs w:val="24"/>
        </w:rPr>
        <w:t xml:space="preserve">Sedghi, A. (2010) ‘Quango Cuts: Full list of bodies affected’, </w:t>
      </w:r>
      <w:r>
        <w:rPr>
          <w:i/>
          <w:sz w:val="24"/>
          <w:szCs w:val="24"/>
        </w:rPr>
        <w:t>The Guardian</w:t>
      </w:r>
      <w:r>
        <w:rPr>
          <w:sz w:val="24"/>
          <w:szCs w:val="24"/>
        </w:rPr>
        <w:t xml:space="preserve">, 14/10/10, </w:t>
      </w:r>
      <w:hyperlink r:id="rId14" w:history="1">
        <w:r w:rsidRPr="00FA6A5A">
          <w:rPr>
            <w:rStyle w:val="Hyperlink"/>
            <w:sz w:val="24"/>
            <w:szCs w:val="24"/>
          </w:rPr>
          <w:t>http://www.theguardian.com/news/datablog/2010/oct/14/quango-cuts-list</w:t>
        </w:r>
      </w:hyperlink>
      <w:r>
        <w:rPr>
          <w:sz w:val="24"/>
          <w:szCs w:val="24"/>
        </w:rPr>
        <w:t xml:space="preserve"> (accessed 24/4/14)</w:t>
      </w:r>
    </w:p>
    <w:p w:rsidR="007F7AC6" w:rsidRDefault="007F7AC6" w:rsidP="00D507EA">
      <w:pPr>
        <w:spacing w:line="480" w:lineRule="auto"/>
        <w:rPr>
          <w:sz w:val="24"/>
          <w:szCs w:val="24"/>
        </w:rPr>
      </w:pPr>
      <w:r w:rsidRPr="000F531F">
        <w:rPr>
          <w:sz w:val="24"/>
          <w:szCs w:val="24"/>
        </w:rPr>
        <w:t>SWTF (</w:t>
      </w:r>
      <w:r w:rsidR="00802EC1">
        <w:rPr>
          <w:sz w:val="24"/>
          <w:szCs w:val="24"/>
        </w:rPr>
        <w:t xml:space="preserve">2009) (Social Work Task Force) </w:t>
      </w:r>
      <w:r w:rsidRPr="00802EC1">
        <w:rPr>
          <w:i/>
          <w:sz w:val="24"/>
          <w:szCs w:val="24"/>
        </w:rPr>
        <w:t>Building a Safe, Confident Future: The final report of the Social Work Task Force</w:t>
      </w:r>
      <w:r w:rsidRPr="000F531F">
        <w:rPr>
          <w:sz w:val="24"/>
          <w:szCs w:val="24"/>
        </w:rPr>
        <w:t>, London: Department for Children, Schools and Families.</w:t>
      </w:r>
    </w:p>
    <w:p w:rsidR="00875438" w:rsidRPr="00875438" w:rsidRDefault="00875438" w:rsidP="00875438">
      <w:pPr>
        <w:spacing w:line="480" w:lineRule="auto"/>
        <w:rPr>
          <w:sz w:val="24"/>
          <w:szCs w:val="24"/>
        </w:rPr>
      </w:pPr>
      <w:r w:rsidRPr="00875438">
        <w:rPr>
          <w:rFonts w:hAnsi="Constantia"/>
          <w:color w:val="000000" w:themeColor="text1"/>
          <w:kern w:val="24"/>
          <w:sz w:val="24"/>
          <w:szCs w:val="24"/>
        </w:rPr>
        <w:t>Thompson</w:t>
      </w:r>
      <w:r w:rsidR="00897F20">
        <w:rPr>
          <w:rFonts w:hAnsi="Constantia"/>
          <w:color w:val="000000" w:themeColor="text1"/>
          <w:kern w:val="24"/>
          <w:sz w:val="24"/>
          <w:szCs w:val="24"/>
        </w:rPr>
        <w:t xml:space="preserve">, </w:t>
      </w:r>
      <w:r>
        <w:rPr>
          <w:rFonts w:hAnsi="Constantia"/>
          <w:color w:val="000000" w:themeColor="text1"/>
          <w:kern w:val="24"/>
          <w:sz w:val="24"/>
          <w:szCs w:val="24"/>
        </w:rPr>
        <w:t>N. (2013)</w:t>
      </w:r>
      <w:r w:rsidRPr="00875438">
        <w:rPr>
          <w:rFonts w:hAnsi="Constantia"/>
          <w:color w:val="000000" w:themeColor="text1"/>
          <w:kern w:val="24"/>
          <w:sz w:val="24"/>
          <w:szCs w:val="24"/>
        </w:rPr>
        <w:t xml:space="preserve"> </w:t>
      </w:r>
      <w:r w:rsidR="00897F20">
        <w:rPr>
          <w:rFonts w:hAnsi="Constantia"/>
          <w:color w:val="000000" w:themeColor="text1"/>
          <w:kern w:val="24"/>
          <w:sz w:val="24"/>
          <w:szCs w:val="24"/>
        </w:rPr>
        <w:t>‘</w:t>
      </w:r>
      <w:r w:rsidR="00897F20">
        <w:rPr>
          <w:rFonts w:hAnsi="Constantia"/>
          <w:color w:val="000000" w:themeColor="text1"/>
          <w:kern w:val="24"/>
          <w:sz w:val="24"/>
          <w:szCs w:val="24"/>
        </w:rPr>
        <w:t xml:space="preserve">Child Protection: Talking about </w:t>
      </w:r>
      <w:r w:rsidR="00897F20">
        <w:rPr>
          <w:rFonts w:hAnsi="Constantia"/>
          <w:color w:val="000000" w:themeColor="text1"/>
          <w:kern w:val="24"/>
          <w:sz w:val="24"/>
          <w:szCs w:val="24"/>
        </w:rPr>
        <w:t>“</w:t>
      </w:r>
      <w:r w:rsidR="00897F20">
        <w:rPr>
          <w:rFonts w:hAnsi="Constantia"/>
          <w:color w:val="000000" w:themeColor="text1"/>
          <w:kern w:val="24"/>
          <w:sz w:val="24"/>
          <w:szCs w:val="24"/>
        </w:rPr>
        <w:t>missed opportunities</w:t>
      </w:r>
      <w:r w:rsidR="00897F20">
        <w:rPr>
          <w:rFonts w:hAnsi="Constantia"/>
          <w:color w:val="000000" w:themeColor="text1"/>
          <w:kern w:val="24"/>
          <w:sz w:val="24"/>
          <w:szCs w:val="24"/>
        </w:rPr>
        <w:t>”</w:t>
      </w:r>
      <w:r w:rsidR="00897F20">
        <w:rPr>
          <w:rFonts w:hAnsi="Constantia"/>
          <w:color w:val="000000" w:themeColor="text1"/>
          <w:kern w:val="24"/>
          <w:sz w:val="24"/>
          <w:szCs w:val="24"/>
        </w:rPr>
        <w:t xml:space="preserve"> misses the point</w:t>
      </w:r>
      <w:r w:rsidR="00897F20">
        <w:rPr>
          <w:rFonts w:hAnsi="Constantia"/>
          <w:color w:val="000000" w:themeColor="text1"/>
          <w:kern w:val="24"/>
          <w:sz w:val="24"/>
          <w:szCs w:val="24"/>
        </w:rPr>
        <w:t>’</w:t>
      </w:r>
      <w:r w:rsidR="00897F20">
        <w:rPr>
          <w:rFonts w:hAnsi="Constantia"/>
          <w:color w:val="000000" w:themeColor="text1"/>
          <w:kern w:val="24"/>
          <w:sz w:val="24"/>
          <w:szCs w:val="24"/>
        </w:rPr>
        <w:t xml:space="preserve">, </w:t>
      </w:r>
      <w:r w:rsidR="00897F20" w:rsidRPr="00897F20">
        <w:rPr>
          <w:rFonts w:hAnsi="Constantia"/>
          <w:i/>
          <w:color w:val="000000" w:themeColor="text1"/>
          <w:kern w:val="24"/>
          <w:sz w:val="24"/>
          <w:szCs w:val="24"/>
        </w:rPr>
        <w:t xml:space="preserve">The </w:t>
      </w:r>
      <w:r w:rsidRPr="00897F20">
        <w:rPr>
          <w:rFonts w:hAnsi="Constantia"/>
          <w:i/>
          <w:color w:val="000000" w:themeColor="text1"/>
          <w:kern w:val="24"/>
          <w:sz w:val="24"/>
          <w:szCs w:val="24"/>
        </w:rPr>
        <w:t>Guardian</w:t>
      </w:r>
      <w:r w:rsidRPr="00875438">
        <w:rPr>
          <w:rFonts w:hAnsi="Constantia"/>
          <w:color w:val="000000" w:themeColor="text1"/>
          <w:kern w:val="24"/>
          <w:sz w:val="24"/>
          <w:szCs w:val="24"/>
        </w:rPr>
        <w:t xml:space="preserve"> 3/12/13</w:t>
      </w:r>
      <w:r w:rsidR="00897F20">
        <w:rPr>
          <w:rFonts w:hAnsi="Constantia"/>
          <w:color w:val="000000" w:themeColor="text1"/>
          <w:kern w:val="24"/>
          <w:sz w:val="24"/>
          <w:szCs w:val="24"/>
        </w:rPr>
        <w:t xml:space="preserve">, </w:t>
      </w:r>
      <w:hyperlink r:id="rId15" w:history="1">
        <w:r w:rsidR="00897F20" w:rsidRPr="00033CDC">
          <w:rPr>
            <w:rStyle w:val="Hyperlink"/>
            <w:rFonts w:hAnsi="Constantia"/>
            <w:kern w:val="24"/>
            <w:sz w:val="24"/>
            <w:szCs w:val="24"/>
          </w:rPr>
          <w:t>http://www.theguardian.com/social-care-network/2013/dec/03/child-protection-missed-opportunities-social-workers</w:t>
        </w:r>
      </w:hyperlink>
      <w:r w:rsidR="00897F20">
        <w:rPr>
          <w:rFonts w:hAnsi="Constantia"/>
          <w:color w:val="000000" w:themeColor="text1"/>
          <w:kern w:val="24"/>
          <w:sz w:val="24"/>
          <w:szCs w:val="24"/>
        </w:rPr>
        <w:t xml:space="preserve"> (accessed 20/2/14).</w:t>
      </w:r>
    </w:p>
    <w:p w:rsidR="00875438" w:rsidRPr="000F531F" w:rsidRDefault="00875438" w:rsidP="00D507EA">
      <w:pPr>
        <w:spacing w:line="480" w:lineRule="auto"/>
        <w:rPr>
          <w:sz w:val="24"/>
          <w:szCs w:val="24"/>
        </w:rPr>
      </w:pPr>
    </w:p>
    <w:p w:rsidR="004913E7" w:rsidRPr="00827152" w:rsidRDefault="004913E7" w:rsidP="00D507EA">
      <w:pPr>
        <w:spacing w:line="480" w:lineRule="auto"/>
      </w:pPr>
    </w:p>
    <w:sectPr w:rsidR="004913E7" w:rsidRPr="00827152" w:rsidSect="00D8799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9B" w:rsidRDefault="007D7F9B" w:rsidP="003D00AC">
      <w:pPr>
        <w:spacing w:after="0" w:line="240" w:lineRule="auto"/>
      </w:pPr>
      <w:r>
        <w:separator/>
      </w:r>
    </w:p>
  </w:endnote>
  <w:endnote w:type="continuationSeparator" w:id="0">
    <w:p w:rsidR="007D7F9B" w:rsidRDefault="007D7F9B" w:rsidP="003D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dvTimes">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054"/>
      <w:docPartObj>
        <w:docPartGallery w:val="Page Numbers (Bottom of Page)"/>
        <w:docPartUnique/>
      </w:docPartObj>
    </w:sdtPr>
    <w:sdtEndPr/>
    <w:sdtContent>
      <w:p w:rsidR="00446481" w:rsidRDefault="00270653">
        <w:pPr>
          <w:pStyle w:val="Footer"/>
          <w:jc w:val="center"/>
        </w:pPr>
        <w:r>
          <w:fldChar w:fldCharType="begin"/>
        </w:r>
        <w:r>
          <w:instrText xml:space="preserve"> PAGE</w:instrText>
        </w:r>
        <w:r>
          <w:instrText xml:space="preserve">   \* MERGEFORMAT </w:instrText>
        </w:r>
        <w:r>
          <w:fldChar w:fldCharType="separate"/>
        </w:r>
        <w:r>
          <w:rPr>
            <w:noProof/>
          </w:rPr>
          <w:t>2</w:t>
        </w:r>
        <w:r>
          <w:rPr>
            <w:noProof/>
          </w:rPr>
          <w:fldChar w:fldCharType="end"/>
        </w:r>
      </w:p>
    </w:sdtContent>
  </w:sdt>
  <w:p w:rsidR="00446481" w:rsidRDefault="00446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9B" w:rsidRDefault="007D7F9B" w:rsidP="003D00AC">
      <w:pPr>
        <w:spacing w:after="0" w:line="240" w:lineRule="auto"/>
      </w:pPr>
      <w:r>
        <w:separator/>
      </w:r>
    </w:p>
  </w:footnote>
  <w:footnote w:type="continuationSeparator" w:id="0">
    <w:p w:rsidR="007D7F9B" w:rsidRDefault="007D7F9B" w:rsidP="003D0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4582"/>
    <w:multiLevelType w:val="hybridMultilevel"/>
    <w:tmpl w:val="A050C1C8"/>
    <w:lvl w:ilvl="0" w:tplc="8BB29612">
      <w:start w:val="1"/>
      <w:numFmt w:val="bullet"/>
      <w:lvlText w:val=""/>
      <w:lvlJc w:val="left"/>
      <w:pPr>
        <w:tabs>
          <w:tab w:val="num" w:pos="720"/>
        </w:tabs>
        <w:ind w:left="720" w:hanging="360"/>
      </w:pPr>
      <w:rPr>
        <w:rFonts w:ascii="Wingdings 2" w:hAnsi="Wingdings 2" w:hint="default"/>
      </w:rPr>
    </w:lvl>
    <w:lvl w:ilvl="1" w:tplc="AAF4E1EA" w:tentative="1">
      <w:start w:val="1"/>
      <w:numFmt w:val="bullet"/>
      <w:lvlText w:val=""/>
      <w:lvlJc w:val="left"/>
      <w:pPr>
        <w:tabs>
          <w:tab w:val="num" w:pos="1440"/>
        </w:tabs>
        <w:ind w:left="1440" w:hanging="360"/>
      </w:pPr>
      <w:rPr>
        <w:rFonts w:ascii="Wingdings 2" w:hAnsi="Wingdings 2" w:hint="default"/>
      </w:rPr>
    </w:lvl>
    <w:lvl w:ilvl="2" w:tplc="644A05C4" w:tentative="1">
      <w:start w:val="1"/>
      <w:numFmt w:val="bullet"/>
      <w:lvlText w:val=""/>
      <w:lvlJc w:val="left"/>
      <w:pPr>
        <w:tabs>
          <w:tab w:val="num" w:pos="2160"/>
        </w:tabs>
        <w:ind w:left="2160" w:hanging="360"/>
      </w:pPr>
      <w:rPr>
        <w:rFonts w:ascii="Wingdings 2" w:hAnsi="Wingdings 2" w:hint="default"/>
      </w:rPr>
    </w:lvl>
    <w:lvl w:ilvl="3" w:tplc="6F5471B8" w:tentative="1">
      <w:start w:val="1"/>
      <w:numFmt w:val="bullet"/>
      <w:lvlText w:val=""/>
      <w:lvlJc w:val="left"/>
      <w:pPr>
        <w:tabs>
          <w:tab w:val="num" w:pos="2880"/>
        </w:tabs>
        <w:ind w:left="2880" w:hanging="360"/>
      </w:pPr>
      <w:rPr>
        <w:rFonts w:ascii="Wingdings 2" w:hAnsi="Wingdings 2" w:hint="default"/>
      </w:rPr>
    </w:lvl>
    <w:lvl w:ilvl="4" w:tplc="1868A828" w:tentative="1">
      <w:start w:val="1"/>
      <w:numFmt w:val="bullet"/>
      <w:lvlText w:val=""/>
      <w:lvlJc w:val="left"/>
      <w:pPr>
        <w:tabs>
          <w:tab w:val="num" w:pos="3600"/>
        </w:tabs>
        <w:ind w:left="3600" w:hanging="360"/>
      </w:pPr>
      <w:rPr>
        <w:rFonts w:ascii="Wingdings 2" w:hAnsi="Wingdings 2" w:hint="default"/>
      </w:rPr>
    </w:lvl>
    <w:lvl w:ilvl="5" w:tplc="7686802E" w:tentative="1">
      <w:start w:val="1"/>
      <w:numFmt w:val="bullet"/>
      <w:lvlText w:val=""/>
      <w:lvlJc w:val="left"/>
      <w:pPr>
        <w:tabs>
          <w:tab w:val="num" w:pos="4320"/>
        </w:tabs>
        <w:ind w:left="4320" w:hanging="360"/>
      </w:pPr>
      <w:rPr>
        <w:rFonts w:ascii="Wingdings 2" w:hAnsi="Wingdings 2" w:hint="default"/>
      </w:rPr>
    </w:lvl>
    <w:lvl w:ilvl="6" w:tplc="D5FEF004" w:tentative="1">
      <w:start w:val="1"/>
      <w:numFmt w:val="bullet"/>
      <w:lvlText w:val=""/>
      <w:lvlJc w:val="left"/>
      <w:pPr>
        <w:tabs>
          <w:tab w:val="num" w:pos="5040"/>
        </w:tabs>
        <w:ind w:left="5040" w:hanging="360"/>
      </w:pPr>
      <w:rPr>
        <w:rFonts w:ascii="Wingdings 2" w:hAnsi="Wingdings 2" w:hint="default"/>
      </w:rPr>
    </w:lvl>
    <w:lvl w:ilvl="7" w:tplc="51324F0C" w:tentative="1">
      <w:start w:val="1"/>
      <w:numFmt w:val="bullet"/>
      <w:lvlText w:val=""/>
      <w:lvlJc w:val="left"/>
      <w:pPr>
        <w:tabs>
          <w:tab w:val="num" w:pos="5760"/>
        </w:tabs>
        <w:ind w:left="5760" w:hanging="360"/>
      </w:pPr>
      <w:rPr>
        <w:rFonts w:ascii="Wingdings 2" w:hAnsi="Wingdings 2" w:hint="default"/>
      </w:rPr>
    </w:lvl>
    <w:lvl w:ilvl="8" w:tplc="102603DE" w:tentative="1">
      <w:start w:val="1"/>
      <w:numFmt w:val="bullet"/>
      <w:lvlText w:val=""/>
      <w:lvlJc w:val="left"/>
      <w:pPr>
        <w:tabs>
          <w:tab w:val="num" w:pos="6480"/>
        </w:tabs>
        <w:ind w:left="6480" w:hanging="360"/>
      </w:pPr>
      <w:rPr>
        <w:rFonts w:ascii="Wingdings 2" w:hAnsi="Wingdings 2" w:hint="default"/>
      </w:rPr>
    </w:lvl>
  </w:abstractNum>
  <w:abstractNum w:abstractNumId="1">
    <w:nsid w:val="5FCE38F5"/>
    <w:multiLevelType w:val="hybridMultilevel"/>
    <w:tmpl w:val="7AA0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0"/>
    <w:rsid w:val="0000062B"/>
    <w:rsid w:val="0000727C"/>
    <w:rsid w:val="000219D5"/>
    <w:rsid w:val="00023DA9"/>
    <w:rsid w:val="0003386A"/>
    <w:rsid w:val="00051B03"/>
    <w:rsid w:val="000529D5"/>
    <w:rsid w:val="000560B4"/>
    <w:rsid w:val="00056395"/>
    <w:rsid w:val="00066D12"/>
    <w:rsid w:val="000745B4"/>
    <w:rsid w:val="00091EA3"/>
    <w:rsid w:val="000A58B6"/>
    <w:rsid w:val="000B2A4E"/>
    <w:rsid w:val="000B3CE3"/>
    <w:rsid w:val="000D27B7"/>
    <w:rsid w:val="000D3D76"/>
    <w:rsid w:val="000D7395"/>
    <w:rsid w:val="000D7A89"/>
    <w:rsid w:val="000E6645"/>
    <w:rsid w:val="000F531F"/>
    <w:rsid w:val="001155B1"/>
    <w:rsid w:val="00124457"/>
    <w:rsid w:val="001420F9"/>
    <w:rsid w:val="001439A2"/>
    <w:rsid w:val="001443A9"/>
    <w:rsid w:val="00145F8C"/>
    <w:rsid w:val="00154DA0"/>
    <w:rsid w:val="001558BE"/>
    <w:rsid w:val="001562A0"/>
    <w:rsid w:val="00161659"/>
    <w:rsid w:val="001850F2"/>
    <w:rsid w:val="0018795D"/>
    <w:rsid w:val="001929E7"/>
    <w:rsid w:val="001A3594"/>
    <w:rsid w:val="001C7786"/>
    <w:rsid w:val="001D38CD"/>
    <w:rsid w:val="001D3CA4"/>
    <w:rsid w:val="001E111A"/>
    <w:rsid w:val="001E286C"/>
    <w:rsid w:val="001E370B"/>
    <w:rsid w:val="001F49D4"/>
    <w:rsid w:val="001F7017"/>
    <w:rsid w:val="002015EB"/>
    <w:rsid w:val="00201B9D"/>
    <w:rsid w:val="00216285"/>
    <w:rsid w:val="00217402"/>
    <w:rsid w:val="00237C7B"/>
    <w:rsid w:val="00255822"/>
    <w:rsid w:val="00270653"/>
    <w:rsid w:val="002845B0"/>
    <w:rsid w:val="00285F7C"/>
    <w:rsid w:val="00287B98"/>
    <w:rsid w:val="00287E9B"/>
    <w:rsid w:val="00291D03"/>
    <w:rsid w:val="00291D80"/>
    <w:rsid w:val="00291FE2"/>
    <w:rsid w:val="00292274"/>
    <w:rsid w:val="002A33E6"/>
    <w:rsid w:val="002C2214"/>
    <w:rsid w:val="002C5448"/>
    <w:rsid w:val="002C7AA7"/>
    <w:rsid w:val="002D72EF"/>
    <w:rsid w:val="002E2EF4"/>
    <w:rsid w:val="002E3D37"/>
    <w:rsid w:val="002E6FB8"/>
    <w:rsid w:val="00300F43"/>
    <w:rsid w:val="003028F6"/>
    <w:rsid w:val="00305B9B"/>
    <w:rsid w:val="003112CB"/>
    <w:rsid w:val="00320ADA"/>
    <w:rsid w:val="0032736C"/>
    <w:rsid w:val="00361EF7"/>
    <w:rsid w:val="00363226"/>
    <w:rsid w:val="00363C92"/>
    <w:rsid w:val="00370242"/>
    <w:rsid w:val="00372A38"/>
    <w:rsid w:val="00383C25"/>
    <w:rsid w:val="00384605"/>
    <w:rsid w:val="003A1F20"/>
    <w:rsid w:val="003A7FDC"/>
    <w:rsid w:val="003C0822"/>
    <w:rsid w:val="003C4DAD"/>
    <w:rsid w:val="003D0094"/>
    <w:rsid w:val="003D00AC"/>
    <w:rsid w:val="003F379C"/>
    <w:rsid w:val="0041119C"/>
    <w:rsid w:val="00420E62"/>
    <w:rsid w:val="00424045"/>
    <w:rsid w:val="00425F72"/>
    <w:rsid w:val="00433CA1"/>
    <w:rsid w:val="00446481"/>
    <w:rsid w:val="00447FC7"/>
    <w:rsid w:val="0045627A"/>
    <w:rsid w:val="0046601C"/>
    <w:rsid w:val="0046778A"/>
    <w:rsid w:val="00473019"/>
    <w:rsid w:val="00481F22"/>
    <w:rsid w:val="0048494D"/>
    <w:rsid w:val="00490C49"/>
    <w:rsid w:val="004913E7"/>
    <w:rsid w:val="00494207"/>
    <w:rsid w:val="004969F1"/>
    <w:rsid w:val="004B4573"/>
    <w:rsid w:val="004E055D"/>
    <w:rsid w:val="004E0AC7"/>
    <w:rsid w:val="004F1B77"/>
    <w:rsid w:val="004F28A8"/>
    <w:rsid w:val="004F2E16"/>
    <w:rsid w:val="004F5914"/>
    <w:rsid w:val="00504CEF"/>
    <w:rsid w:val="005115FA"/>
    <w:rsid w:val="00523BD3"/>
    <w:rsid w:val="00525FAD"/>
    <w:rsid w:val="0054340D"/>
    <w:rsid w:val="00546DFA"/>
    <w:rsid w:val="005611CA"/>
    <w:rsid w:val="00573BDD"/>
    <w:rsid w:val="005866BC"/>
    <w:rsid w:val="00593736"/>
    <w:rsid w:val="00594145"/>
    <w:rsid w:val="005A2F3E"/>
    <w:rsid w:val="005A35FB"/>
    <w:rsid w:val="005B2980"/>
    <w:rsid w:val="005C1B01"/>
    <w:rsid w:val="005D02DB"/>
    <w:rsid w:val="005D1482"/>
    <w:rsid w:val="005E324A"/>
    <w:rsid w:val="005E6F13"/>
    <w:rsid w:val="005F321C"/>
    <w:rsid w:val="005F490C"/>
    <w:rsid w:val="0061770B"/>
    <w:rsid w:val="00642000"/>
    <w:rsid w:val="006659CE"/>
    <w:rsid w:val="00671F39"/>
    <w:rsid w:val="006806FE"/>
    <w:rsid w:val="00681320"/>
    <w:rsid w:val="0068573D"/>
    <w:rsid w:val="0068790B"/>
    <w:rsid w:val="006B12D2"/>
    <w:rsid w:val="006B3DCD"/>
    <w:rsid w:val="006D6311"/>
    <w:rsid w:val="006E1ACA"/>
    <w:rsid w:val="006E5534"/>
    <w:rsid w:val="006E75FE"/>
    <w:rsid w:val="00701111"/>
    <w:rsid w:val="00702497"/>
    <w:rsid w:val="00716F66"/>
    <w:rsid w:val="00720231"/>
    <w:rsid w:val="00725EB2"/>
    <w:rsid w:val="00726862"/>
    <w:rsid w:val="007304D7"/>
    <w:rsid w:val="0073497C"/>
    <w:rsid w:val="00764A67"/>
    <w:rsid w:val="00765C39"/>
    <w:rsid w:val="00774A3B"/>
    <w:rsid w:val="0079413C"/>
    <w:rsid w:val="00794C45"/>
    <w:rsid w:val="007A2A23"/>
    <w:rsid w:val="007A2CD1"/>
    <w:rsid w:val="007A6D4D"/>
    <w:rsid w:val="007B1811"/>
    <w:rsid w:val="007B4627"/>
    <w:rsid w:val="007B7CA8"/>
    <w:rsid w:val="007D0A22"/>
    <w:rsid w:val="007D542C"/>
    <w:rsid w:val="007D6638"/>
    <w:rsid w:val="007D7F9B"/>
    <w:rsid w:val="007E3D4A"/>
    <w:rsid w:val="007F3929"/>
    <w:rsid w:val="007F7AC6"/>
    <w:rsid w:val="00802EC1"/>
    <w:rsid w:val="00813936"/>
    <w:rsid w:val="00817912"/>
    <w:rsid w:val="00817BC4"/>
    <w:rsid w:val="00820F38"/>
    <w:rsid w:val="00823D64"/>
    <w:rsid w:val="00827152"/>
    <w:rsid w:val="00833656"/>
    <w:rsid w:val="00842BED"/>
    <w:rsid w:val="0084304C"/>
    <w:rsid w:val="008468A7"/>
    <w:rsid w:val="00866A1E"/>
    <w:rsid w:val="00875438"/>
    <w:rsid w:val="00875ECA"/>
    <w:rsid w:val="00877525"/>
    <w:rsid w:val="00882AD8"/>
    <w:rsid w:val="00897986"/>
    <w:rsid w:val="00897F20"/>
    <w:rsid w:val="008A01D2"/>
    <w:rsid w:val="008A1CD9"/>
    <w:rsid w:val="008B7D04"/>
    <w:rsid w:val="008C2C8B"/>
    <w:rsid w:val="008E3E01"/>
    <w:rsid w:val="008E7DA5"/>
    <w:rsid w:val="008F28BF"/>
    <w:rsid w:val="009135C3"/>
    <w:rsid w:val="00914972"/>
    <w:rsid w:val="00916174"/>
    <w:rsid w:val="00916EFC"/>
    <w:rsid w:val="00926F5F"/>
    <w:rsid w:val="00955773"/>
    <w:rsid w:val="00955C33"/>
    <w:rsid w:val="009607AA"/>
    <w:rsid w:val="00975C84"/>
    <w:rsid w:val="009778A2"/>
    <w:rsid w:val="00980922"/>
    <w:rsid w:val="00980BB7"/>
    <w:rsid w:val="00986122"/>
    <w:rsid w:val="00992D2F"/>
    <w:rsid w:val="009B2210"/>
    <w:rsid w:val="009D4F32"/>
    <w:rsid w:val="009D4FFE"/>
    <w:rsid w:val="009E28A6"/>
    <w:rsid w:val="009E5094"/>
    <w:rsid w:val="009F419A"/>
    <w:rsid w:val="009F5F77"/>
    <w:rsid w:val="009F6EFB"/>
    <w:rsid w:val="00A03497"/>
    <w:rsid w:val="00A03B92"/>
    <w:rsid w:val="00A06536"/>
    <w:rsid w:val="00A113D0"/>
    <w:rsid w:val="00A461B1"/>
    <w:rsid w:val="00A47AC7"/>
    <w:rsid w:val="00A51DB7"/>
    <w:rsid w:val="00A6360D"/>
    <w:rsid w:val="00A73346"/>
    <w:rsid w:val="00A9370D"/>
    <w:rsid w:val="00A95E70"/>
    <w:rsid w:val="00AA0380"/>
    <w:rsid w:val="00AB2599"/>
    <w:rsid w:val="00AB4799"/>
    <w:rsid w:val="00AB51C9"/>
    <w:rsid w:val="00AB6B28"/>
    <w:rsid w:val="00AC0361"/>
    <w:rsid w:val="00AC6DC7"/>
    <w:rsid w:val="00AD3C50"/>
    <w:rsid w:val="00AE1C33"/>
    <w:rsid w:val="00AE7D71"/>
    <w:rsid w:val="00AF096F"/>
    <w:rsid w:val="00AF115D"/>
    <w:rsid w:val="00B10B18"/>
    <w:rsid w:val="00B2265F"/>
    <w:rsid w:val="00B33477"/>
    <w:rsid w:val="00B45010"/>
    <w:rsid w:val="00B45960"/>
    <w:rsid w:val="00B53B87"/>
    <w:rsid w:val="00B56D09"/>
    <w:rsid w:val="00B66B62"/>
    <w:rsid w:val="00B75AF4"/>
    <w:rsid w:val="00B760B4"/>
    <w:rsid w:val="00BB45AA"/>
    <w:rsid w:val="00BB67B8"/>
    <w:rsid w:val="00BC7298"/>
    <w:rsid w:val="00BE7E85"/>
    <w:rsid w:val="00BF4E9E"/>
    <w:rsid w:val="00C14FC7"/>
    <w:rsid w:val="00C16F3C"/>
    <w:rsid w:val="00C17467"/>
    <w:rsid w:val="00C33FC5"/>
    <w:rsid w:val="00C44F68"/>
    <w:rsid w:val="00C5321F"/>
    <w:rsid w:val="00C6221F"/>
    <w:rsid w:val="00C67D25"/>
    <w:rsid w:val="00C70E47"/>
    <w:rsid w:val="00C75158"/>
    <w:rsid w:val="00C760F5"/>
    <w:rsid w:val="00C84968"/>
    <w:rsid w:val="00C95CB6"/>
    <w:rsid w:val="00C978BC"/>
    <w:rsid w:val="00CA6CF9"/>
    <w:rsid w:val="00CC1DCE"/>
    <w:rsid w:val="00CD62A1"/>
    <w:rsid w:val="00CE1589"/>
    <w:rsid w:val="00CF0053"/>
    <w:rsid w:val="00CF7255"/>
    <w:rsid w:val="00D04FE3"/>
    <w:rsid w:val="00D1553D"/>
    <w:rsid w:val="00D302BB"/>
    <w:rsid w:val="00D368FE"/>
    <w:rsid w:val="00D507EA"/>
    <w:rsid w:val="00D5127F"/>
    <w:rsid w:val="00D84053"/>
    <w:rsid w:val="00D87999"/>
    <w:rsid w:val="00D91EA7"/>
    <w:rsid w:val="00D932DF"/>
    <w:rsid w:val="00D9358C"/>
    <w:rsid w:val="00D93816"/>
    <w:rsid w:val="00D94D40"/>
    <w:rsid w:val="00D9660B"/>
    <w:rsid w:val="00DA20E9"/>
    <w:rsid w:val="00DA2B4D"/>
    <w:rsid w:val="00DA481A"/>
    <w:rsid w:val="00DC0DD8"/>
    <w:rsid w:val="00DC48F4"/>
    <w:rsid w:val="00DD5483"/>
    <w:rsid w:val="00DD5F5E"/>
    <w:rsid w:val="00DE7F4C"/>
    <w:rsid w:val="00DE7FAD"/>
    <w:rsid w:val="00DF53A4"/>
    <w:rsid w:val="00E06289"/>
    <w:rsid w:val="00E118B7"/>
    <w:rsid w:val="00E11C40"/>
    <w:rsid w:val="00E12009"/>
    <w:rsid w:val="00E16861"/>
    <w:rsid w:val="00E17293"/>
    <w:rsid w:val="00E36342"/>
    <w:rsid w:val="00E4792E"/>
    <w:rsid w:val="00E51748"/>
    <w:rsid w:val="00E602AA"/>
    <w:rsid w:val="00E61771"/>
    <w:rsid w:val="00E61A43"/>
    <w:rsid w:val="00E66B16"/>
    <w:rsid w:val="00E700E8"/>
    <w:rsid w:val="00E70BC7"/>
    <w:rsid w:val="00E753F6"/>
    <w:rsid w:val="00E759B6"/>
    <w:rsid w:val="00E76B12"/>
    <w:rsid w:val="00EA295E"/>
    <w:rsid w:val="00EB3EC5"/>
    <w:rsid w:val="00EB47AD"/>
    <w:rsid w:val="00EB484A"/>
    <w:rsid w:val="00EF4148"/>
    <w:rsid w:val="00EF7B00"/>
    <w:rsid w:val="00F03CA5"/>
    <w:rsid w:val="00F10657"/>
    <w:rsid w:val="00F17AE1"/>
    <w:rsid w:val="00F224D3"/>
    <w:rsid w:val="00F34541"/>
    <w:rsid w:val="00F36352"/>
    <w:rsid w:val="00F427B1"/>
    <w:rsid w:val="00F55BCC"/>
    <w:rsid w:val="00F56555"/>
    <w:rsid w:val="00F74347"/>
    <w:rsid w:val="00F7741F"/>
    <w:rsid w:val="00F83FC6"/>
    <w:rsid w:val="00F91F6A"/>
    <w:rsid w:val="00FA0495"/>
    <w:rsid w:val="00FA53FA"/>
    <w:rsid w:val="00FC6F04"/>
    <w:rsid w:val="00FD6551"/>
    <w:rsid w:val="00FD6570"/>
    <w:rsid w:val="00FD7A75"/>
    <w:rsid w:val="00FE05C5"/>
    <w:rsid w:val="00FE2D7C"/>
    <w:rsid w:val="00FE6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DC5DA-636B-4895-8B71-BBC093F0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152"/>
    <w:rPr>
      <w:color w:val="0000FF" w:themeColor="hyperlink"/>
      <w:u w:val="single"/>
    </w:rPr>
  </w:style>
  <w:style w:type="paragraph" w:styleId="ListParagraph">
    <w:name w:val="List Paragraph"/>
    <w:basedOn w:val="Normal"/>
    <w:uiPriority w:val="34"/>
    <w:qFormat/>
    <w:rsid w:val="00E16861"/>
    <w:pPr>
      <w:ind w:left="720"/>
      <w:contextualSpacing/>
    </w:pPr>
  </w:style>
  <w:style w:type="paragraph" w:styleId="BalloonText">
    <w:name w:val="Balloon Text"/>
    <w:basedOn w:val="Normal"/>
    <w:link w:val="BalloonTextChar"/>
    <w:uiPriority w:val="99"/>
    <w:semiHidden/>
    <w:unhideWhenUsed/>
    <w:rsid w:val="004F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914"/>
    <w:rPr>
      <w:rFonts w:ascii="Tahoma" w:hAnsi="Tahoma" w:cs="Tahoma"/>
      <w:sz w:val="16"/>
      <w:szCs w:val="16"/>
    </w:rPr>
  </w:style>
  <w:style w:type="paragraph" w:styleId="FootnoteText">
    <w:name w:val="footnote text"/>
    <w:basedOn w:val="Normal"/>
    <w:link w:val="FootnoteTextChar"/>
    <w:uiPriority w:val="99"/>
    <w:semiHidden/>
    <w:unhideWhenUsed/>
    <w:rsid w:val="003D0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0AC"/>
    <w:rPr>
      <w:sz w:val="20"/>
      <w:szCs w:val="20"/>
    </w:rPr>
  </w:style>
  <w:style w:type="character" w:styleId="FootnoteReference">
    <w:name w:val="footnote reference"/>
    <w:basedOn w:val="DefaultParagraphFont"/>
    <w:uiPriority w:val="99"/>
    <w:semiHidden/>
    <w:unhideWhenUsed/>
    <w:rsid w:val="003D00AC"/>
    <w:rPr>
      <w:vertAlign w:val="superscript"/>
    </w:rPr>
  </w:style>
  <w:style w:type="character" w:styleId="CommentReference">
    <w:name w:val="annotation reference"/>
    <w:basedOn w:val="DefaultParagraphFont"/>
    <w:uiPriority w:val="99"/>
    <w:semiHidden/>
    <w:unhideWhenUsed/>
    <w:rsid w:val="00AC0361"/>
    <w:rPr>
      <w:sz w:val="16"/>
      <w:szCs w:val="16"/>
    </w:rPr>
  </w:style>
  <w:style w:type="paragraph" w:styleId="CommentText">
    <w:name w:val="annotation text"/>
    <w:basedOn w:val="Normal"/>
    <w:link w:val="CommentTextChar"/>
    <w:uiPriority w:val="99"/>
    <w:unhideWhenUsed/>
    <w:rsid w:val="00AC0361"/>
    <w:pPr>
      <w:spacing w:line="240" w:lineRule="auto"/>
    </w:pPr>
    <w:rPr>
      <w:sz w:val="20"/>
      <w:szCs w:val="20"/>
    </w:rPr>
  </w:style>
  <w:style w:type="character" w:customStyle="1" w:styleId="CommentTextChar">
    <w:name w:val="Comment Text Char"/>
    <w:basedOn w:val="DefaultParagraphFont"/>
    <w:link w:val="CommentText"/>
    <w:uiPriority w:val="99"/>
    <w:rsid w:val="00AC0361"/>
    <w:rPr>
      <w:sz w:val="20"/>
      <w:szCs w:val="20"/>
    </w:rPr>
  </w:style>
  <w:style w:type="paragraph" w:styleId="CommentSubject">
    <w:name w:val="annotation subject"/>
    <w:basedOn w:val="CommentText"/>
    <w:next w:val="CommentText"/>
    <w:link w:val="CommentSubjectChar"/>
    <w:uiPriority w:val="99"/>
    <w:semiHidden/>
    <w:unhideWhenUsed/>
    <w:rsid w:val="00AC0361"/>
    <w:rPr>
      <w:b/>
      <w:bCs/>
    </w:rPr>
  </w:style>
  <w:style w:type="character" w:customStyle="1" w:styleId="CommentSubjectChar">
    <w:name w:val="Comment Subject Char"/>
    <w:basedOn w:val="CommentTextChar"/>
    <w:link w:val="CommentSubject"/>
    <w:uiPriority w:val="99"/>
    <w:semiHidden/>
    <w:rsid w:val="00AC0361"/>
    <w:rPr>
      <w:b/>
      <w:bCs/>
      <w:sz w:val="20"/>
      <w:szCs w:val="20"/>
    </w:rPr>
  </w:style>
  <w:style w:type="paragraph" w:styleId="Header">
    <w:name w:val="header"/>
    <w:basedOn w:val="Normal"/>
    <w:link w:val="HeaderChar"/>
    <w:uiPriority w:val="99"/>
    <w:semiHidden/>
    <w:unhideWhenUsed/>
    <w:rsid w:val="00D507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07EA"/>
  </w:style>
  <w:style w:type="paragraph" w:styleId="Footer">
    <w:name w:val="footer"/>
    <w:basedOn w:val="Normal"/>
    <w:link w:val="FooterChar"/>
    <w:uiPriority w:val="99"/>
    <w:unhideWhenUsed/>
    <w:rsid w:val="00D50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7EA"/>
  </w:style>
  <w:style w:type="paragraph" w:styleId="NormalWeb">
    <w:name w:val="Normal (Web)"/>
    <w:basedOn w:val="Normal"/>
    <w:uiPriority w:val="99"/>
    <w:semiHidden/>
    <w:unhideWhenUsed/>
    <w:rsid w:val="007B7CA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F115D"/>
    <w:pPr>
      <w:spacing w:after="0" w:line="240" w:lineRule="auto"/>
      <w:jc w:val="both"/>
    </w:pPr>
    <w:rPr>
      <w:rFonts w:ascii="Arial" w:eastAsia="Times New Roman" w:hAnsi="Arial" w:cs="Times New Roman"/>
      <w:kern w:val="28"/>
      <w:szCs w:val="20"/>
      <w:lang w:eastAsia="en-US"/>
    </w:rPr>
  </w:style>
  <w:style w:type="character" w:customStyle="1" w:styleId="BodyTextChar">
    <w:name w:val="Body Text Char"/>
    <w:basedOn w:val="DefaultParagraphFont"/>
    <w:link w:val="BodyText"/>
    <w:rsid w:val="00AF115D"/>
    <w:rPr>
      <w:rFonts w:ascii="Arial" w:eastAsia="Times New Roman" w:hAnsi="Arial" w:cs="Times New Roman"/>
      <w:kern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428694">
      <w:bodyDiv w:val="1"/>
      <w:marLeft w:val="0"/>
      <w:marRight w:val="0"/>
      <w:marTop w:val="0"/>
      <w:marBottom w:val="0"/>
      <w:divBdr>
        <w:top w:val="none" w:sz="0" w:space="0" w:color="auto"/>
        <w:left w:val="none" w:sz="0" w:space="0" w:color="auto"/>
        <w:bottom w:val="none" w:sz="0" w:space="0" w:color="auto"/>
        <w:right w:val="none" w:sz="0" w:space="0" w:color="auto"/>
      </w:divBdr>
      <w:divsChild>
        <w:div w:id="688483509">
          <w:marLeft w:val="432"/>
          <w:marRight w:val="0"/>
          <w:marTop w:val="125"/>
          <w:marBottom w:val="0"/>
          <w:divBdr>
            <w:top w:val="none" w:sz="0" w:space="0" w:color="auto"/>
            <w:left w:val="none" w:sz="0" w:space="0" w:color="auto"/>
            <w:bottom w:val="none" w:sz="0" w:space="0" w:color="auto"/>
            <w:right w:val="none" w:sz="0" w:space="0" w:color="auto"/>
          </w:divBdr>
        </w:div>
        <w:div w:id="611981516">
          <w:marLeft w:val="432"/>
          <w:marRight w:val="0"/>
          <w:marTop w:val="125"/>
          <w:marBottom w:val="0"/>
          <w:divBdr>
            <w:top w:val="none" w:sz="0" w:space="0" w:color="auto"/>
            <w:left w:val="none" w:sz="0" w:space="0" w:color="auto"/>
            <w:bottom w:val="none" w:sz="0" w:space="0" w:color="auto"/>
            <w:right w:val="none" w:sz="0" w:space="0" w:color="auto"/>
          </w:divBdr>
        </w:div>
      </w:divsChild>
    </w:div>
    <w:div w:id="17896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w.org.uk/about-us/" TargetMode="External"/><Relationship Id="rId13" Type="http://schemas.openxmlformats.org/officeDocument/2006/relationships/hyperlink" Target="http://www.communitycare.co.uk/2014/02/17/enough-attention-given-caseloads-supervision-management-fitness-practise-hearin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pcuk.org/assets/documents/100042D7Fitnesstopractiseannualreport201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pc-uk.org.uk/assets/documents/1000289FFindingthatFitnesstoPractiseisImpaired.pdf" TargetMode="External"/><Relationship Id="rId5" Type="http://schemas.openxmlformats.org/officeDocument/2006/relationships/webSettings" Target="webSettings.xml"/><Relationship Id="rId15" Type="http://schemas.openxmlformats.org/officeDocument/2006/relationships/hyperlink" Target="http://www.theguardian.com/social-care-network/2013/dec/03/child-protection-missed-opportunities-social-workers" TargetMode="External"/><Relationship Id="rId10" Type="http://schemas.openxmlformats.org/officeDocument/2006/relationships/hyperlink" Target="http://www.hpc-uk.org/aboutus/consultations/closed/index.asp?id=124" TargetMode="External"/><Relationship Id="rId4" Type="http://schemas.openxmlformats.org/officeDocument/2006/relationships/settings" Target="settings.xml"/><Relationship Id="rId9" Type="http://schemas.openxmlformats.org/officeDocument/2006/relationships/hyperlink" Target="http://www.hpc-uk.org/complaints/hearings/atthehearing/" TargetMode="External"/><Relationship Id="rId14" Type="http://schemas.openxmlformats.org/officeDocument/2006/relationships/hyperlink" Target="http://www.theguardian.com/news/datablog/2010/oct/14/quango-cu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ECA75-60AC-43F6-899A-1BD7095C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6180</Words>
  <Characters>35230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HPSCLAP19</dc:creator>
  <cp:lastModifiedBy>admin</cp:lastModifiedBy>
  <cp:revision>2</cp:revision>
  <cp:lastPrinted>2014-06-21T13:34:00Z</cp:lastPrinted>
  <dcterms:created xsi:type="dcterms:W3CDTF">2015-05-07T12:21:00Z</dcterms:created>
  <dcterms:modified xsi:type="dcterms:W3CDTF">2015-05-07T12:21:00Z</dcterms:modified>
</cp:coreProperties>
</file>