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4DB" w:rsidRPr="00117825" w:rsidRDefault="003F44DB" w:rsidP="00117825">
      <w:pPr>
        <w:tabs>
          <w:tab w:val="left" w:pos="284"/>
          <w:tab w:val="center" w:pos="4680"/>
        </w:tabs>
        <w:suppressAutoHyphens/>
        <w:spacing w:line="480" w:lineRule="auto"/>
        <w:jc w:val="center"/>
        <w:rPr>
          <w:b/>
          <w:color w:val="000000"/>
          <w:spacing w:val="-3"/>
        </w:rPr>
      </w:pPr>
      <w:bookmarkStart w:id="0" w:name="_GoBack"/>
      <w:bookmarkEnd w:id="0"/>
      <w:r w:rsidRPr="00117825">
        <w:rPr>
          <w:b/>
          <w:color w:val="000000"/>
          <w:spacing w:val="-3"/>
        </w:rPr>
        <w:t>W</w:t>
      </w:r>
      <w:r w:rsidR="00C776B1" w:rsidRPr="00117825">
        <w:rPr>
          <w:b/>
          <w:color w:val="000000"/>
          <w:spacing w:val="-3"/>
        </w:rPr>
        <w:t>hen Consumers Doubt, Watch Out!</w:t>
      </w:r>
      <w:r w:rsidR="000111E3" w:rsidRPr="00117825">
        <w:rPr>
          <w:b/>
          <w:color w:val="000000"/>
          <w:spacing w:val="-3"/>
        </w:rPr>
        <w:t xml:space="preserve"> The Role </w:t>
      </w:r>
      <w:r w:rsidRPr="00117825">
        <w:rPr>
          <w:b/>
          <w:color w:val="000000"/>
          <w:spacing w:val="-3"/>
        </w:rPr>
        <w:t xml:space="preserve">of </w:t>
      </w:r>
      <w:r w:rsidR="000111E3" w:rsidRPr="00117825">
        <w:rPr>
          <w:b/>
          <w:color w:val="000000"/>
          <w:spacing w:val="-3"/>
        </w:rPr>
        <w:t xml:space="preserve">CSR </w:t>
      </w:r>
      <w:r w:rsidR="003016D8" w:rsidRPr="00117825">
        <w:rPr>
          <w:b/>
          <w:color w:val="000000"/>
          <w:spacing w:val="-3"/>
        </w:rPr>
        <w:t>Skepticism</w:t>
      </w:r>
    </w:p>
    <w:p w:rsidR="00A94BBA" w:rsidRPr="00117825" w:rsidRDefault="00A94BBA" w:rsidP="00E64ACA">
      <w:pPr>
        <w:tabs>
          <w:tab w:val="center" w:pos="4680"/>
        </w:tabs>
        <w:suppressAutoHyphens/>
        <w:spacing w:line="480" w:lineRule="auto"/>
        <w:rPr>
          <w:bCs/>
          <w:color w:val="000000"/>
        </w:rPr>
      </w:pPr>
    </w:p>
    <w:p w:rsidR="00A94BBA" w:rsidRPr="00117825" w:rsidRDefault="00A94BBA" w:rsidP="00117825">
      <w:pPr>
        <w:tabs>
          <w:tab w:val="center" w:pos="4680"/>
        </w:tabs>
        <w:suppressAutoHyphens/>
        <w:spacing w:line="480" w:lineRule="auto"/>
        <w:jc w:val="center"/>
        <w:outlineLvl w:val="0"/>
        <w:rPr>
          <w:color w:val="000000"/>
        </w:rPr>
      </w:pPr>
      <w:proofErr w:type="spellStart"/>
      <w:r w:rsidRPr="00117825">
        <w:rPr>
          <w:bCs/>
          <w:color w:val="000000"/>
          <w:spacing w:val="-3"/>
        </w:rPr>
        <w:t>Dionysis</w:t>
      </w:r>
      <w:proofErr w:type="spellEnd"/>
      <w:r w:rsidRPr="00117825">
        <w:rPr>
          <w:bCs/>
          <w:color w:val="000000"/>
          <w:spacing w:val="-3"/>
        </w:rPr>
        <w:t xml:space="preserve"> </w:t>
      </w:r>
      <w:proofErr w:type="spellStart"/>
      <w:r w:rsidRPr="00117825">
        <w:rPr>
          <w:bCs/>
          <w:color w:val="000000"/>
          <w:spacing w:val="-3"/>
        </w:rPr>
        <w:t>Skarmeas</w:t>
      </w:r>
      <w:proofErr w:type="spellEnd"/>
      <w:r w:rsidR="001D4DEE">
        <w:rPr>
          <w:bCs/>
          <w:color w:val="000000"/>
          <w:spacing w:val="-3"/>
        </w:rPr>
        <w:t xml:space="preserve">, </w:t>
      </w:r>
      <w:r w:rsidR="001D4DEE" w:rsidRPr="00117825">
        <w:rPr>
          <w:spacing w:val="-3"/>
        </w:rPr>
        <w:t>Athens University of Economics and Business,</w:t>
      </w:r>
    </w:p>
    <w:p w:rsidR="00A94BBA" w:rsidRPr="00117825" w:rsidRDefault="001D4DEE" w:rsidP="00117825">
      <w:pPr>
        <w:tabs>
          <w:tab w:val="center" w:pos="4680"/>
        </w:tabs>
        <w:suppressAutoHyphens/>
        <w:spacing w:line="480" w:lineRule="auto"/>
        <w:jc w:val="center"/>
        <w:outlineLvl w:val="0"/>
        <w:rPr>
          <w:color w:val="000000"/>
        </w:rPr>
      </w:pPr>
      <w:r>
        <w:rPr>
          <w:bCs/>
          <w:color w:val="000000"/>
          <w:spacing w:val="-3"/>
        </w:rPr>
        <w:t xml:space="preserve">Constantinos N. Leonidou, </w:t>
      </w:r>
      <w:r w:rsidRPr="00117825">
        <w:rPr>
          <w:spacing w:val="-3"/>
        </w:rPr>
        <w:t>Athens University of Economics and Business,</w:t>
      </w:r>
    </w:p>
    <w:p w:rsidR="00A94BBA" w:rsidRDefault="00A94BBA" w:rsidP="00117825">
      <w:pPr>
        <w:tabs>
          <w:tab w:val="center" w:pos="4680"/>
        </w:tabs>
        <w:suppressAutoHyphens/>
        <w:spacing w:line="480" w:lineRule="auto"/>
        <w:jc w:val="center"/>
        <w:rPr>
          <w:color w:val="000000"/>
        </w:rPr>
      </w:pPr>
    </w:p>
    <w:p w:rsidR="00A03209" w:rsidRPr="00A03209" w:rsidRDefault="00A03209" w:rsidP="00117825">
      <w:pPr>
        <w:tabs>
          <w:tab w:val="center" w:pos="4680"/>
        </w:tabs>
        <w:suppressAutoHyphens/>
        <w:spacing w:line="480" w:lineRule="auto"/>
        <w:jc w:val="center"/>
        <w:rPr>
          <w:b/>
          <w:i/>
          <w:color w:val="000000"/>
        </w:rPr>
      </w:pPr>
      <w:r w:rsidRPr="00A03209">
        <w:rPr>
          <w:b/>
          <w:i/>
          <w:color w:val="000000"/>
        </w:rPr>
        <w:t>Journal of Business Research</w:t>
      </w:r>
    </w:p>
    <w:p w:rsidR="00117825" w:rsidRDefault="00117825" w:rsidP="00117825">
      <w:pPr>
        <w:spacing w:line="480" w:lineRule="auto"/>
        <w:jc w:val="center"/>
      </w:pPr>
      <w:r>
        <w:t>Submission: February 2012</w:t>
      </w:r>
    </w:p>
    <w:p w:rsidR="00117825" w:rsidRDefault="00117825" w:rsidP="00117825">
      <w:pPr>
        <w:spacing w:line="480" w:lineRule="auto"/>
        <w:jc w:val="center"/>
      </w:pPr>
      <w:r>
        <w:t>Revision: May 2012</w:t>
      </w:r>
    </w:p>
    <w:p w:rsidR="00117825" w:rsidRDefault="00117825" w:rsidP="00117825">
      <w:pPr>
        <w:spacing w:line="480" w:lineRule="auto"/>
        <w:jc w:val="center"/>
      </w:pPr>
      <w:r>
        <w:t>Acceptance: July 2012</w:t>
      </w:r>
    </w:p>
    <w:p w:rsidR="00E1691C" w:rsidRPr="00117825" w:rsidRDefault="00E1691C" w:rsidP="00117825">
      <w:pPr>
        <w:tabs>
          <w:tab w:val="center" w:pos="4680"/>
        </w:tabs>
        <w:suppressAutoHyphens/>
        <w:spacing w:line="480" w:lineRule="auto"/>
        <w:jc w:val="center"/>
        <w:rPr>
          <w:color w:val="000000"/>
        </w:rPr>
      </w:pPr>
    </w:p>
    <w:p w:rsidR="00E1691C" w:rsidRPr="00117825" w:rsidRDefault="00E1691C" w:rsidP="00E64ACA">
      <w:pPr>
        <w:tabs>
          <w:tab w:val="center" w:pos="4680"/>
        </w:tabs>
        <w:suppressAutoHyphens/>
        <w:spacing w:line="480" w:lineRule="auto"/>
        <w:rPr>
          <w:color w:val="000000"/>
          <w:spacing w:val="-3"/>
        </w:rPr>
      </w:pPr>
    </w:p>
    <w:p w:rsidR="00085E6E" w:rsidRPr="00117825" w:rsidRDefault="00B857E0" w:rsidP="00B857E0">
      <w:pPr>
        <w:tabs>
          <w:tab w:val="left" w:pos="567"/>
        </w:tabs>
        <w:suppressAutoHyphens/>
        <w:spacing w:line="480" w:lineRule="auto"/>
        <w:rPr>
          <w:spacing w:val="-3"/>
        </w:rPr>
      </w:pPr>
      <w:r w:rsidRPr="00B857E0">
        <w:rPr>
          <w:color w:val="000000"/>
        </w:rPr>
        <w:tab/>
      </w:r>
      <w:r w:rsidR="00A94BBA" w:rsidRPr="00117825">
        <w:rPr>
          <w:color w:val="000000"/>
        </w:rPr>
        <w:t xml:space="preserve">Send correspondence to </w:t>
      </w:r>
      <w:proofErr w:type="spellStart"/>
      <w:r w:rsidR="005206DB" w:rsidRPr="00117825">
        <w:rPr>
          <w:spacing w:val="-3"/>
        </w:rPr>
        <w:t>Dionysis</w:t>
      </w:r>
      <w:proofErr w:type="spellEnd"/>
      <w:r w:rsidR="005206DB" w:rsidRPr="00117825">
        <w:rPr>
          <w:spacing w:val="-3"/>
        </w:rPr>
        <w:t xml:space="preserve"> </w:t>
      </w:r>
      <w:proofErr w:type="spellStart"/>
      <w:r w:rsidR="005206DB" w:rsidRPr="00117825">
        <w:rPr>
          <w:spacing w:val="-3"/>
        </w:rPr>
        <w:t>Skarmeas</w:t>
      </w:r>
      <w:proofErr w:type="spellEnd"/>
      <w:r w:rsidR="001D4DEE">
        <w:rPr>
          <w:spacing w:val="-3"/>
        </w:rPr>
        <w:t xml:space="preserve">, </w:t>
      </w:r>
      <w:r w:rsidR="00085E6E" w:rsidRPr="00117825">
        <w:rPr>
          <w:spacing w:val="-3"/>
        </w:rPr>
        <w:t xml:space="preserve">Athens University of Economics and Business, Department of Marketing and Communication, 12 </w:t>
      </w:r>
      <w:proofErr w:type="spellStart"/>
      <w:r w:rsidR="00085E6E" w:rsidRPr="00117825">
        <w:rPr>
          <w:spacing w:val="-3"/>
        </w:rPr>
        <w:t>Derigny</w:t>
      </w:r>
      <w:proofErr w:type="spellEnd"/>
      <w:r w:rsidR="00085E6E" w:rsidRPr="00117825">
        <w:rPr>
          <w:spacing w:val="-3"/>
        </w:rPr>
        <w:t xml:space="preserve"> </w:t>
      </w:r>
      <w:r w:rsidR="00970FDF">
        <w:rPr>
          <w:spacing w:val="-3"/>
        </w:rPr>
        <w:t xml:space="preserve">Str., Athens 10434, Greece, </w:t>
      </w:r>
      <w:r w:rsidR="00085E6E" w:rsidRPr="00117825">
        <w:rPr>
          <w:spacing w:val="-3"/>
        </w:rPr>
        <w:t xml:space="preserve">phone: +30 (0) 210 8203 417, Fax: </w:t>
      </w:r>
      <w:r w:rsidR="00085E6E" w:rsidRPr="00117825">
        <w:rPr>
          <w:bCs/>
          <w:spacing w:val="-3"/>
        </w:rPr>
        <w:t>+</w:t>
      </w:r>
      <w:r w:rsidR="00085E6E" w:rsidRPr="00117825">
        <w:rPr>
          <w:spacing w:val="-3"/>
        </w:rPr>
        <w:t>30 (0) 210 8203 417</w:t>
      </w:r>
      <w:r w:rsidR="00970FDF">
        <w:rPr>
          <w:spacing w:val="-3"/>
        </w:rPr>
        <w:t>,</w:t>
      </w:r>
      <w:r w:rsidR="00085E6E" w:rsidRPr="00117825">
        <w:rPr>
          <w:bCs/>
          <w:spacing w:val="-3"/>
        </w:rPr>
        <w:t xml:space="preserve"> </w:t>
      </w:r>
      <w:r w:rsidR="00AF05D4" w:rsidRPr="00117825">
        <w:rPr>
          <w:bCs/>
          <w:spacing w:val="-3"/>
        </w:rPr>
        <w:t>(</w:t>
      </w:r>
      <w:r w:rsidR="00085E6E" w:rsidRPr="00117825">
        <w:rPr>
          <w:spacing w:val="-3"/>
        </w:rPr>
        <w:t xml:space="preserve"> </w:t>
      </w:r>
      <w:r w:rsidR="00085E6E" w:rsidRPr="001D4DEE">
        <w:rPr>
          <w:spacing w:val="-3"/>
        </w:rPr>
        <w:t>dskarmeas@aueb.gr</w:t>
      </w:r>
      <w:r w:rsidR="00AF05D4" w:rsidRPr="00117825">
        <w:rPr>
          <w:spacing w:val="-3"/>
        </w:rPr>
        <w:t>)</w:t>
      </w:r>
      <w:r w:rsidR="00FE2017" w:rsidRPr="00117825">
        <w:rPr>
          <w:spacing w:val="-3"/>
        </w:rPr>
        <w:t xml:space="preserve">; Constantinos N. Leonidou, </w:t>
      </w:r>
      <w:r w:rsidR="00FE2017" w:rsidRPr="00117825">
        <w:rPr>
          <w:bCs/>
          <w:spacing w:val="-3"/>
        </w:rPr>
        <w:t xml:space="preserve"> </w:t>
      </w:r>
      <w:r w:rsidR="00FE2017" w:rsidRPr="00117825">
        <w:rPr>
          <w:spacing w:val="-3"/>
        </w:rPr>
        <w:t xml:space="preserve">Leeds University Business School, University of Leeds, Maurice </w:t>
      </w:r>
      <w:proofErr w:type="spellStart"/>
      <w:r w:rsidR="00FE2017" w:rsidRPr="00117825">
        <w:rPr>
          <w:spacing w:val="-3"/>
        </w:rPr>
        <w:t>Keyworth</w:t>
      </w:r>
      <w:proofErr w:type="spellEnd"/>
      <w:r w:rsidR="00FE2017" w:rsidRPr="00117825">
        <w:rPr>
          <w:spacing w:val="-3"/>
        </w:rPr>
        <w:t xml:space="preserve"> Building Lee</w:t>
      </w:r>
      <w:r w:rsidR="00970FDF">
        <w:rPr>
          <w:spacing w:val="-3"/>
        </w:rPr>
        <w:t xml:space="preserve">ds LS2 9JT, United Kingdom, </w:t>
      </w:r>
      <w:r w:rsidR="00FE2017" w:rsidRPr="00117825">
        <w:rPr>
          <w:spacing w:val="-3"/>
        </w:rPr>
        <w:t xml:space="preserve">phone: </w:t>
      </w:r>
      <w:r w:rsidR="00FE2017" w:rsidRPr="00117825">
        <w:t>+44 (0) 113 343 6855</w:t>
      </w:r>
      <w:r w:rsidR="00FE2017" w:rsidRPr="00117825">
        <w:rPr>
          <w:spacing w:val="-3"/>
        </w:rPr>
        <w:t xml:space="preserve">, Fax: </w:t>
      </w:r>
      <w:r w:rsidR="00FE2017" w:rsidRPr="00117825">
        <w:rPr>
          <w:bCs/>
          <w:spacing w:val="-3"/>
        </w:rPr>
        <w:t>+44 (0) 113 343 4885 (</w:t>
      </w:r>
      <w:r w:rsidR="001D4DEE">
        <w:rPr>
          <w:spacing w:val="-3"/>
        </w:rPr>
        <w:t>C</w:t>
      </w:r>
      <w:r w:rsidR="00FE2017" w:rsidRPr="001D4DEE">
        <w:rPr>
          <w:spacing w:val="-3"/>
        </w:rPr>
        <w:t>.Leonidou@leeds.ac.uk</w:t>
      </w:r>
      <w:r w:rsidR="00FE2017" w:rsidRPr="00117825">
        <w:rPr>
          <w:spacing w:val="-3"/>
        </w:rPr>
        <w:t>).</w:t>
      </w:r>
    </w:p>
    <w:p w:rsidR="00E64ACA" w:rsidRDefault="00E64ACA" w:rsidP="001D4DEE">
      <w:pPr>
        <w:spacing w:line="480" w:lineRule="auto"/>
        <w:rPr>
          <w:rFonts w:eastAsia="Calibri"/>
          <w:lang w:bidi="en-US"/>
        </w:rPr>
      </w:pPr>
    </w:p>
    <w:p w:rsidR="00E64ACA" w:rsidRDefault="00E64ACA" w:rsidP="001D4DEE">
      <w:pPr>
        <w:spacing w:line="480" w:lineRule="auto"/>
        <w:rPr>
          <w:rFonts w:eastAsia="Calibri"/>
          <w:lang w:bidi="en-US"/>
        </w:rPr>
      </w:pPr>
    </w:p>
    <w:p w:rsidR="00085E6E" w:rsidRPr="005A4177" w:rsidRDefault="001D4DEE" w:rsidP="001D4DEE">
      <w:pPr>
        <w:spacing w:line="480" w:lineRule="auto"/>
        <w:rPr>
          <w:rFonts w:eastAsia="Calibri"/>
          <w:lang w:bidi="en-US"/>
        </w:rPr>
      </w:pPr>
      <w:r w:rsidRPr="005A4177">
        <w:rPr>
          <w:rFonts w:eastAsia="Calibri"/>
          <w:lang w:bidi="en-US"/>
        </w:rPr>
        <w:t>Acknowledgments</w:t>
      </w:r>
    </w:p>
    <w:p w:rsidR="00FD1574" w:rsidRPr="00117825" w:rsidRDefault="00B857E0" w:rsidP="002553B2">
      <w:pPr>
        <w:tabs>
          <w:tab w:val="left" w:pos="-720"/>
          <w:tab w:val="left" w:pos="567"/>
        </w:tabs>
        <w:suppressAutoHyphens/>
        <w:spacing w:line="480" w:lineRule="auto"/>
        <w:rPr>
          <w:b/>
          <w:bCs/>
          <w:color w:val="000000"/>
        </w:rPr>
        <w:sectPr w:rsidR="00FD1574" w:rsidRPr="00117825" w:rsidSect="002C5511">
          <w:headerReference w:type="default" r:id="rId8"/>
          <w:pgSz w:w="11906" w:h="16838" w:code="9"/>
          <w:pgMar w:top="1418" w:right="1418" w:bottom="1418" w:left="1418" w:header="709" w:footer="709" w:gutter="0"/>
          <w:pgNumType w:start="1"/>
          <w:cols w:space="708"/>
          <w:titlePg/>
          <w:docGrid w:linePitch="360"/>
        </w:sectPr>
      </w:pPr>
      <w:r w:rsidRPr="00B857E0">
        <w:rPr>
          <w:color w:val="000000"/>
        </w:rPr>
        <w:tab/>
      </w:r>
      <w:r w:rsidR="00117825" w:rsidRPr="00117825">
        <w:rPr>
          <w:color w:val="000000"/>
        </w:rPr>
        <w:t xml:space="preserve">The authors thank Constantine S. </w:t>
      </w:r>
      <w:proofErr w:type="spellStart"/>
      <w:r w:rsidR="00117825" w:rsidRPr="00117825">
        <w:rPr>
          <w:color w:val="000000"/>
        </w:rPr>
        <w:t>Katsikeas</w:t>
      </w:r>
      <w:proofErr w:type="spellEnd"/>
      <w:r w:rsidR="00117825" w:rsidRPr="00117825">
        <w:rPr>
          <w:color w:val="000000"/>
        </w:rPr>
        <w:t xml:space="preserve"> (University of Leeds), </w:t>
      </w:r>
      <w:r w:rsidR="00117825" w:rsidRPr="00117825">
        <w:rPr>
          <w:bCs/>
          <w:color w:val="000000"/>
        </w:rPr>
        <w:t>Leyland F. Pitt (</w:t>
      </w:r>
      <w:r w:rsidR="00117825" w:rsidRPr="00117825">
        <w:rPr>
          <w:color w:val="000000"/>
        </w:rPr>
        <w:t xml:space="preserve">Simon Fraser University), and Leonidas C. Leonidou (University of Cyprus) for their constructive comments and suggestions on previous drafts of this manuscript. The authors also thank the Special Issue editors and the anonymous </w:t>
      </w:r>
      <w:r w:rsidR="00117825" w:rsidRPr="00117825">
        <w:rPr>
          <w:i/>
          <w:color w:val="000000"/>
        </w:rPr>
        <w:t>JBR</w:t>
      </w:r>
      <w:r w:rsidR="00117825" w:rsidRPr="00117825">
        <w:rPr>
          <w:color w:val="000000"/>
        </w:rPr>
        <w:t xml:space="preserve"> reviewers for their guidance, valuable insights, and constructive comments</w:t>
      </w:r>
      <w:r w:rsidR="001D4DEE">
        <w:rPr>
          <w:color w:val="000000"/>
        </w:rPr>
        <w:t xml:space="preserve">. </w:t>
      </w:r>
    </w:p>
    <w:p w:rsidR="00A94BBA" w:rsidRDefault="00B6560F" w:rsidP="00E64ACA">
      <w:pPr>
        <w:tabs>
          <w:tab w:val="left" w:pos="284"/>
          <w:tab w:val="center" w:pos="4680"/>
        </w:tabs>
        <w:suppressAutoHyphens/>
        <w:spacing w:line="480" w:lineRule="auto"/>
        <w:jc w:val="center"/>
        <w:rPr>
          <w:b/>
          <w:color w:val="000000"/>
          <w:spacing w:val="-3"/>
        </w:rPr>
      </w:pPr>
      <w:r w:rsidRPr="00117825">
        <w:rPr>
          <w:b/>
          <w:color w:val="000000"/>
          <w:spacing w:val="-3"/>
        </w:rPr>
        <w:lastRenderedPageBreak/>
        <w:t>ABSTRACT</w:t>
      </w:r>
    </w:p>
    <w:p w:rsidR="00E64ACA" w:rsidRPr="00117825" w:rsidRDefault="00E64ACA" w:rsidP="00E64ACA">
      <w:pPr>
        <w:tabs>
          <w:tab w:val="left" w:pos="284"/>
          <w:tab w:val="center" w:pos="4680"/>
        </w:tabs>
        <w:suppressAutoHyphens/>
        <w:spacing w:line="480" w:lineRule="auto"/>
        <w:jc w:val="center"/>
        <w:rPr>
          <w:b/>
          <w:color w:val="000000"/>
          <w:spacing w:val="-3"/>
        </w:rPr>
      </w:pPr>
    </w:p>
    <w:p w:rsidR="00F7153B" w:rsidRPr="00117825" w:rsidRDefault="00B857E0" w:rsidP="00117825">
      <w:pPr>
        <w:tabs>
          <w:tab w:val="left" w:pos="567"/>
        </w:tabs>
        <w:suppressAutoHyphens/>
        <w:spacing w:line="480" w:lineRule="auto"/>
        <w:rPr>
          <w:color w:val="000000"/>
        </w:rPr>
      </w:pPr>
      <w:r w:rsidRPr="00B857E0">
        <w:rPr>
          <w:color w:val="000000"/>
          <w:spacing w:val="-3"/>
        </w:rPr>
        <w:tab/>
      </w:r>
      <w:r w:rsidR="001B4BFF" w:rsidRPr="00117825">
        <w:rPr>
          <w:color w:val="000000"/>
          <w:spacing w:val="-3"/>
        </w:rPr>
        <w:t xml:space="preserve">Corporate </w:t>
      </w:r>
      <w:r w:rsidR="008515C4" w:rsidRPr="00117825">
        <w:rPr>
          <w:color w:val="000000"/>
          <w:spacing w:val="-3"/>
        </w:rPr>
        <w:t>s</w:t>
      </w:r>
      <w:r w:rsidR="001B4BFF" w:rsidRPr="00117825">
        <w:rPr>
          <w:color w:val="000000"/>
          <w:spacing w:val="-3"/>
        </w:rPr>
        <w:t xml:space="preserve">ocial </w:t>
      </w:r>
      <w:r w:rsidR="008515C4" w:rsidRPr="00117825">
        <w:rPr>
          <w:color w:val="000000"/>
          <w:spacing w:val="-3"/>
        </w:rPr>
        <w:t>r</w:t>
      </w:r>
      <w:r w:rsidR="001B4BFF" w:rsidRPr="00117825">
        <w:rPr>
          <w:color w:val="000000"/>
          <w:spacing w:val="-3"/>
        </w:rPr>
        <w:t xml:space="preserve">esponsibility </w:t>
      </w:r>
      <w:r w:rsidR="00B04EF5" w:rsidRPr="00117825">
        <w:rPr>
          <w:color w:val="000000"/>
          <w:spacing w:val="-3"/>
        </w:rPr>
        <w:t xml:space="preserve">(CSR) </w:t>
      </w:r>
      <w:r w:rsidR="001B4BFF" w:rsidRPr="00117825">
        <w:rPr>
          <w:color w:val="000000"/>
          <w:spacing w:val="-3"/>
        </w:rPr>
        <w:t xml:space="preserve">is </w:t>
      </w:r>
      <w:r w:rsidR="008A757F" w:rsidRPr="00117825">
        <w:rPr>
          <w:color w:val="000000"/>
          <w:spacing w:val="-3"/>
        </w:rPr>
        <w:t xml:space="preserve">a </w:t>
      </w:r>
      <w:r w:rsidR="00B04EF5" w:rsidRPr="00117825">
        <w:rPr>
          <w:color w:val="000000"/>
          <w:spacing w:val="-3"/>
        </w:rPr>
        <w:t>hot topic</w:t>
      </w:r>
      <w:r w:rsidR="00B04EF5" w:rsidRPr="00117825">
        <w:t xml:space="preserve"> </w:t>
      </w:r>
      <w:r w:rsidR="00B04EF5" w:rsidRPr="00117825">
        <w:rPr>
          <w:color w:val="000000"/>
          <w:spacing w:val="-3"/>
        </w:rPr>
        <w:t xml:space="preserve">in management today. More than ever before, </w:t>
      </w:r>
      <w:r w:rsidR="002342ED" w:rsidRPr="00117825">
        <w:rPr>
          <w:color w:val="000000"/>
          <w:spacing w:val="-3"/>
        </w:rPr>
        <w:t xml:space="preserve">companies </w:t>
      </w:r>
      <w:r w:rsidR="00B04EF5" w:rsidRPr="00117825">
        <w:rPr>
          <w:color w:val="000000"/>
          <w:spacing w:val="-3"/>
        </w:rPr>
        <w:t>engage in CSR initiatives</w:t>
      </w:r>
      <w:r w:rsidR="002002A8" w:rsidRPr="00117825">
        <w:rPr>
          <w:color w:val="000000"/>
          <w:spacing w:val="-3"/>
        </w:rPr>
        <w:t xml:space="preserve"> to </w:t>
      </w:r>
      <w:r w:rsidR="00BC2DE9" w:rsidRPr="00117825">
        <w:rPr>
          <w:color w:val="000000"/>
          <w:spacing w:val="-3"/>
        </w:rPr>
        <w:t>mak</w:t>
      </w:r>
      <w:r w:rsidR="00AE41F5" w:rsidRPr="00117825">
        <w:rPr>
          <w:color w:val="000000"/>
          <w:spacing w:val="-3"/>
        </w:rPr>
        <w:t>e</w:t>
      </w:r>
      <w:r w:rsidR="00BC2DE9" w:rsidRPr="00117825">
        <w:rPr>
          <w:color w:val="000000"/>
          <w:spacing w:val="-3"/>
        </w:rPr>
        <w:t xml:space="preserve"> a positive contribution to </w:t>
      </w:r>
      <w:r w:rsidR="002002A8" w:rsidRPr="00117825">
        <w:rPr>
          <w:color w:val="000000"/>
          <w:spacing w:val="-3"/>
        </w:rPr>
        <w:t xml:space="preserve">society or </w:t>
      </w:r>
      <w:r w:rsidR="00BC2DE9" w:rsidRPr="00117825">
        <w:rPr>
          <w:color w:val="000000"/>
          <w:spacing w:val="-3"/>
        </w:rPr>
        <w:t>support</w:t>
      </w:r>
      <w:r w:rsidR="002002A8" w:rsidRPr="00117825">
        <w:rPr>
          <w:color w:val="000000"/>
          <w:spacing w:val="-3"/>
        </w:rPr>
        <w:t xml:space="preserve"> their strategic </w:t>
      </w:r>
      <w:r w:rsidR="00BC2DE9" w:rsidRPr="00117825">
        <w:rPr>
          <w:color w:val="000000"/>
          <w:spacing w:val="-3"/>
        </w:rPr>
        <w:t xml:space="preserve">goals. </w:t>
      </w:r>
      <w:r w:rsidR="00AE41F5" w:rsidRPr="00117825">
        <w:rPr>
          <w:color w:val="000000"/>
          <w:spacing w:val="-3"/>
        </w:rPr>
        <w:t xml:space="preserve">Yet, in the face of a plethora of CSR claims and </w:t>
      </w:r>
      <w:r w:rsidR="00DC7E22" w:rsidRPr="00117825">
        <w:rPr>
          <w:color w:val="000000"/>
          <w:spacing w:val="-3"/>
        </w:rPr>
        <w:t xml:space="preserve">numerous </w:t>
      </w:r>
      <w:r w:rsidR="00AE41F5" w:rsidRPr="00117825">
        <w:rPr>
          <w:color w:val="000000"/>
          <w:spacing w:val="-3"/>
        </w:rPr>
        <w:t xml:space="preserve">reported incidents of </w:t>
      </w:r>
      <w:r w:rsidR="00B83E6F" w:rsidRPr="00117825">
        <w:rPr>
          <w:color w:val="000000"/>
          <w:spacing w:val="-3"/>
        </w:rPr>
        <w:t>corporate misconduct</w:t>
      </w:r>
      <w:r w:rsidR="002636C6" w:rsidRPr="00117825">
        <w:rPr>
          <w:color w:val="000000"/>
          <w:spacing w:val="-3"/>
        </w:rPr>
        <w:t xml:space="preserve">, </w:t>
      </w:r>
      <w:r w:rsidR="00B83E6F" w:rsidRPr="00117825">
        <w:rPr>
          <w:color w:val="000000"/>
          <w:spacing w:val="-3"/>
        </w:rPr>
        <w:t xml:space="preserve">many </w:t>
      </w:r>
      <w:r w:rsidR="00DC7E22" w:rsidRPr="00117825">
        <w:rPr>
          <w:color w:val="000000"/>
          <w:spacing w:val="-3"/>
        </w:rPr>
        <w:t>people</w:t>
      </w:r>
      <w:r w:rsidR="002636C6" w:rsidRPr="00117825">
        <w:rPr>
          <w:color w:val="000000"/>
          <w:spacing w:val="-3"/>
        </w:rPr>
        <w:t xml:space="preserve"> </w:t>
      </w:r>
      <w:r w:rsidR="003D42A1" w:rsidRPr="00117825">
        <w:rPr>
          <w:color w:val="000000"/>
          <w:spacing w:val="-3"/>
        </w:rPr>
        <w:t>doubt</w:t>
      </w:r>
      <w:r w:rsidR="00C21F06" w:rsidRPr="00117825">
        <w:rPr>
          <w:color w:val="000000"/>
          <w:spacing w:val="-3"/>
        </w:rPr>
        <w:t xml:space="preserve"> the extent to which companies live up to their professed standards</w:t>
      </w:r>
      <w:r w:rsidR="008A757F" w:rsidRPr="00117825">
        <w:rPr>
          <w:color w:val="000000"/>
          <w:spacing w:val="-3"/>
        </w:rPr>
        <w:t>,</w:t>
      </w:r>
      <w:r w:rsidR="00C21F06" w:rsidRPr="00117825">
        <w:rPr>
          <w:color w:val="000000"/>
          <w:spacing w:val="-3"/>
        </w:rPr>
        <w:t xml:space="preserve"> </w:t>
      </w:r>
      <w:r w:rsidR="003D42A1" w:rsidRPr="00117825">
        <w:rPr>
          <w:color w:val="000000"/>
          <w:spacing w:val="-3"/>
        </w:rPr>
        <w:t>a</w:t>
      </w:r>
      <w:r w:rsidR="002636C6" w:rsidRPr="00117825">
        <w:rPr>
          <w:color w:val="000000"/>
          <w:spacing w:val="-3"/>
        </w:rPr>
        <w:t xml:space="preserve">nd </w:t>
      </w:r>
      <w:r w:rsidR="00055F60" w:rsidRPr="00117825">
        <w:rPr>
          <w:color w:val="000000"/>
          <w:spacing w:val="-3"/>
        </w:rPr>
        <w:t xml:space="preserve">consumer </w:t>
      </w:r>
      <w:r w:rsidR="002636C6" w:rsidRPr="00117825">
        <w:rPr>
          <w:color w:val="000000"/>
          <w:spacing w:val="-3"/>
        </w:rPr>
        <w:t>skepticism toward corporate social involvement is on the rise.</w:t>
      </w:r>
      <w:r w:rsidR="00371A5F" w:rsidRPr="00117825">
        <w:rPr>
          <w:color w:val="000000"/>
        </w:rPr>
        <w:t xml:space="preserve"> </w:t>
      </w:r>
      <w:r w:rsidR="00DC7E22" w:rsidRPr="00117825">
        <w:rPr>
          <w:color w:val="000000"/>
        </w:rPr>
        <w:t>Drawing on attribution theory, th</w:t>
      </w:r>
      <w:r w:rsidR="00371A5F" w:rsidRPr="00117825">
        <w:rPr>
          <w:color w:val="000000"/>
        </w:rPr>
        <w:t xml:space="preserve">is </w:t>
      </w:r>
      <w:r w:rsidR="00DC7E22" w:rsidRPr="00117825">
        <w:rPr>
          <w:color w:val="000000"/>
        </w:rPr>
        <w:t xml:space="preserve">study </w:t>
      </w:r>
      <w:r w:rsidR="00C14C46" w:rsidRPr="00117825">
        <w:rPr>
          <w:color w:val="000000"/>
        </w:rPr>
        <w:t>proposes</w:t>
      </w:r>
      <w:r w:rsidR="00DC7E22" w:rsidRPr="00117825">
        <w:rPr>
          <w:color w:val="000000"/>
        </w:rPr>
        <w:t xml:space="preserve"> and test</w:t>
      </w:r>
      <w:r w:rsidR="00D073FA" w:rsidRPr="00117825">
        <w:rPr>
          <w:color w:val="000000"/>
        </w:rPr>
        <w:t>s</w:t>
      </w:r>
      <w:r w:rsidR="00DC7E22" w:rsidRPr="00117825">
        <w:rPr>
          <w:color w:val="000000"/>
        </w:rPr>
        <w:t xml:space="preserve"> a model </w:t>
      </w:r>
      <w:r w:rsidR="00C14C46" w:rsidRPr="00117825">
        <w:rPr>
          <w:color w:val="000000"/>
        </w:rPr>
        <w:t>that</w:t>
      </w:r>
      <w:r w:rsidR="00D073FA" w:rsidRPr="00117825">
        <w:rPr>
          <w:color w:val="000000"/>
        </w:rPr>
        <w:t xml:space="preserve"> </w:t>
      </w:r>
      <w:r w:rsidR="00C14C46" w:rsidRPr="00117825">
        <w:rPr>
          <w:color w:val="000000"/>
        </w:rPr>
        <w:t xml:space="preserve">explains </w:t>
      </w:r>
      <w:r w:rsidR="00E31394" w:rsidRPr="00117825">
        <w:rPr>
          <w:color w:val="000000"/>
        </w:rPr>
        <w:t xml:space="preserve">both </w:t>
      </w:r>
      <w:r w:rsidR="00C14C46" w:rsidRPr="00117825">
        <w:rPr>
          <w:color w:val="000000"/>
        </w:rPr>
        <w:t xml:space="preserve">how </w:t>
      </w:r>
      <w:r w:rsidR="00DC7E22" w:rsidRPr="00117825">
        <w:rPr>
          <w:color w:val="000000"/>
        </w:rPr>
        <w:t>consumer</w:t>
      </w:r>
      <w:r w:rsidR="00D073FA" w:rsidRPr="00117825">
        <w:t xml:space="preserve"> </w:t>
      </w:r>
      <w:r w:rsidR="00D073FA" w:rsidRPr="00117825">
        <w:rPr>
          <w:color w:val="000000"/>
        </w:rPr>
        <w:t xml:space="preserve">skepticism toward </w:t>
      </w:r>
      <w:r w:rsidR="0070605F" w:rsidRPr="00117825">
        <w:rPr>
          <w:color w:val="000000"/>
        </w:rPr>
        <w:t xml:space="preserve">the </w:t>
      </w:r>
      <w:r w:rsidR="00D073FA" w:rsidRPr="00117825">
        <w:rPr>
          <w:color w:val="000000"/>
        </w:rPr>
        <w:t xml:space="preserve">CSR </w:t>
      </w:r>
      <w:r w:rsidR="0070605F" w:rsidRPr="00117825">
        <w:rPr>
          <w:color w:val="000000"/>
        </w:rPr>
        <w:t xml:space="preserve">of grocery retailers </w:t>
      </w:r>
      <w:r w:rsidR="00C14C46" w:rsidRPr="00117825">
        <w:rPr>
          <w:color w:val="000000"/>
        </w:rPr>
        <w:t xml:space="preserve">develops and </w:t>
      </w:r>
      <w:r w:rsidR="0070605F" w:rsidRPr="00117825">
        <w:rPr>
          <w:color w:val="000000"/>
        </w:rPr>
        <w:t>its i</w:t>
      </w:r>
      <w:r w:rsidR="003F44DB" w:rsidRPr="00117825">
        <w:rPr>
          <w:color w:val="000000"/>
        </w:rPr>
        <w:t>nfluence on important consumer-</w:t>
      </w:r>
      <w:r w:rsidR="0070605F" w:rsidRPr="00117825">
        <w:rPr>
          <w:color w:val="000000"/>
        </w:rPr>
        <w:t>related outcomes. The findings reveal that attributions of egoistic- and stakeholder-</w:t>
      </w:r>
      <w:r w:rsidR="005F44F7" w:rsidRPr="00117825">
        <w:rPr>
          <w:color w:val="000000"/>
        </w:rPr>
        <w:t xml:space="preserve">driven </w:t>
      </w:r>
      <w:r w:rsidR="0070605F" w:rsidRPr="00117825">
        <w:rPr>
          <w:color w:val="000000"/>
        </w:rPr>
        <w:t xml:space="preserve">motives elicit </w:t>
      </w:r>
      <w:r w:rsidR="005F44F7" w:rsidRPr="00117825">
        <w:rPr>
          <w:color w:val="000000"/>
        </w:rPr>
        <w:t xml:space="preserve">consumer </w:t>
      </w:r>
      <w:r w:rsidR="0070605F" w:rsidRPr="00117825">
        <w:rPr>
          <w:color w:val="000000"/>
        </w:rPr>
        <w:t xml:space="preserve">skepticism </w:t>
      </w:r>
      <w:r w:rsidR="000065C8" w:rsidRPr="00117825">
        <w:rPr>
          <w:color w:val="000000"/>
        </w:rPr>
        <w:t xml:space="preserve">toward </w:t>
      </w:r>
      <w:r w:rsidR="0070605F" w:rsidRPr="00117825">
        <w:rPr>
          <w:color w:val="000000"/>
        </w:rPr>
        <w:t>CSR</w:t>
      </w:r>
      <w:r w:rsidR="000065C8" w:rsidRPr="00117825">
        <w:rPr>
          <w:color w:val="000000"/>
        </w:rPr>
        <w:t xml:space="preserve">, while </w:t>
      </w:r>
      <w:r w:rsidR="0070605F" w:rsidRPr="00117825">
        <w:rPr>
          <w:color w:val="000000"/>
        </w:rPr>
        <w:t>values</w:t>
      </w:r>
      <w:r w:rsidR="000065C8" w:rsidRPr="00117825">
        <w:t>-</w:t>
      </w:r>
      <w:r w:rsidR="000065C8" w:rsidRPr="00117825">
        <w:rPr>
          <w:color w:val="000000"/>
        </w:rPr>
        <w:t xml:space="preserve">driven attributions inhibit skepticism. </w:t>
      </w:r>
      <w:r w:rsidR="008A757F" w:rsidRPr="00117825">
        <w:rPr>
          <w:color w:val="000000"/>
        </w:rPr>
        <w:t>The</w:t>
      </w:r>
      <w:r w:rsidR="000065C8" w:rsidRPr="00117825">
        <w:rPr>
          <w:color w:val="000000"/>
        </w:rPr>
        <w:t xml:space="preserve"> results </w:t>
      </w:r>
      <w:r w:rsidR="008A757F" w:rsidRPr="00117825">
        <w:rPr>
          <w:color w:val="000000"/>
        </w:rPr>
        <w:t xml:space="preserve">also </w:t>
      </w:r>
      <w:r w:rsidR="000065C8" w:rsidRPr="00117825">
        <w:rPr>
          <w:color w:val="000000"/>
        </w:rPr>
        <w:t xml:space="preserve">indicate that </w:t>
      </w:r>
      <w:r w:rsidR="002342ED" w:rsidRPr="00117825">
        <w:rPr>
          <w:color w:val="000000"/>
        </w:rPr>
        <w:t xml:space="preserve">CSR </w:t>
      </w:r>
      <w:r w:rsidR="00494823" w:rsidRPr="00117825">
        <w:rPr>
          <w:color w:val="000000"/>
        </w:rPr>
        <w:t xml:space="preserve">skepticism </w:t>
      </w:r>
      <w:r w:rsidR="005F44F7" w:rsidRPr="00117825">
        <w:rPr>
          <w:color w:val="000000"/>
        </w:rPr>
        <w:t>hurts retailer equity, decreases resistance to negative information about the retailer</w:t>
      </w:r>
      <w:r w:rsidR="00233A05" w:rsidRPr="00117825">
        <w:rPr>
          <w:color w:val="000000"/>
        </w:rPr>
        <w:t>,</w:t>
      </w:r>
      <w:r w:rsidR="005F44F7" w:rsidRPr="00117825">
        <w:rPr>
          <w:color w:val="000000"/>
        </w:rPr>
        <w:t xml:space="preserve"> and </w:t>
      </w:r>
      <w:r w:rsidR="00494823" w:rsidRPr="00117825">
        <w:rPr>
          <w:color w:val="000000"/>
        </w:rPr>
        <w:t>stimulates</w:t>
      </w:r>
      <w:r w:rsidR="00835290" w:rsidRPr="00117825">
        <w:rPr>
          <w:color w:val="000000"/>
        </w:rPr>
        <w:t xml:space="preserve"> </w:t>
      </w:r>
      <w:r w:rsidR="007E7EC9" w:rsidRPr="00117825">
        <w:rPr>
          <w:color w:val="000000"/>
        </w:rPr>
        <w:t xml:space="preserve">unfavorable </w:t>
      </w:r>
      <w:r w:rsidR="00835290" w:rsidRPr="00117825">
        <w:rPr>
          <w:color w:val="000000"/>
        </w:rPr>
        <w:t>word</w:t>
      </w:r>
      <w:r w:rsidR="008A757F" w:rsidRPr="00117825">
        <w:rPr>
          <w:color w:val="000000"/>
        </w:rPr>
        <w:t xml:space="preserve"> </w:t>
      </w:r>
      <w:r w:rsidR="00835290" w:rsidRPr="00117825">
        <w:rPr>
          <w:color w:val="000000"/>
        </w:rPr>
        <w:t>of</w:t>
      </w:r>
      <w:r w:rsidR="008A757F" w:rsidRPr="00117825">
        <w:rPr>
          <w:color w:val="000000"/>
        </w:rPr>
        <w:t xml:space="preserve"> </w:t>
      </w:r>
      <w:r w:rsidR="005F44F7" w:rsidRPr="00117825">
        <w:rPr>
          <w:color w:val="000000"/>
        </w:rPr>
        <w:t>mouth.</w:t>
      </w:r>
      <w:r w:rsidR="009449C1" w:rsidRPr="00117825">
        <w:rPr>
          <w:color w:val="000000"/>
        </w:rPr>
        <w:t xml:space="preserve"> </w:t>
      </w:r>
    </w:p>
    <w:p w:rsidR="00EB4944" w:rsidRPr="00117825" w:rsidRDefault="00EB4944" w:rsidP="00117825">
      <w:pPr>
        <w:tabs>
          <w:tab w:val="left" w:pos="-720"/>
          <w:tab w:val="left" w:pos="284"/>
        </w:tabs>
        <w:suppressAutoHyphens/>
        <w:spacing w:line="480" w:lineRule="auto"/>
        <w:rPr>
          <w:color w:val="000000"/>
        </w:rPr>
      </w:pPr>
    </w:p>
    <w:p w:rsidR="00230162" w:rsidRPr="00117825" w:rsidRDefault="00B857E0" w:rsidP="002553B2">
      <w:pPr>
        <w:tabs>
          <w:tab w:val="left" w:pos="567"/>
        </w:tabs>
        <w:suppressAutoHyphens/>
        <w:spacing w:line="480" w:lineRule="auto"/>
        <w:rPr>
          <w:b/>
          <w:bCs/>
          <w:color w:val="000000"/>
        </w:rPr>
      </w:pPr>
      <w:r w:rsidRPr="00B857E0">
        <w:rPr>
          <w:color w:val="000000"/>
        </w:rPr>
        <w:tab/>
      </w:r>
      <w:r w:rsidR="00230162" w:rsidRPr="00970FDF">
        <w:rPr>
          <w:bCs/>
          <w:color w:val="000000"/>
          <w:spacing w:val="-3"/>
        </w:rPr>
        <w:t>Keywords:</w:t>
      </w:r>
      <w:r w:rsidR="00E1691C" w:rsidRPr="00117825">
        <w:rPr>
          <w:color w:val="000000"/>
          <w:spacing w:val="-3"/>
        </w:rPr>
        <w:t xml:space="preserve"> </w:t>
      </w:r>
      <w:r w:rsidR="00085E6E" w:rsidRPr="00117825">
        <w:rPr>
          <w:color w:val="000000"/>
          <w:spacing w:val="-3"/>
        </w:rPr>
        <w:t xml:space="preserve">corporate social responsibility; </w:t>
      </w:r>
      <w:r w:rsidR="00B6560F" w:rsidRPr="00117825">
        <w:rPr>
          <w:color w:val="000000"/>
          <w:spacing w:val="-3"/>
        </w:rPr>
        <w:t xml:space="preserve">attributions; </w:t>
      </w:r>
      <w:r w:rsidR="00085E6E" w:rsidRPr="00117825">
        <w:rPr>
          <w:color w:val="000000"/>
          <w:spacing w:val="-3"/>
        </w:rPr>
        <w:t xml:space="preserve">skepticism; retailing; </w:t>
      </w:r>
      <w:r w:rsidR="00B6560F" w:rsidRPr="00117825">
        <w:rPr>
          <w:color w:val="000000"/>
          <w:spacing w:val="-3"/>
        </w:rPr>
        <w:t>equity</w:t>
      </w:r>
      <w:r w:rsidR="00966A8B" w:rsidRPr="00117825">
        <w:rPr>
          <w:color w:val="000000"/>
          <w:spacing w:val="-3"/>
        </w:rPr>
        <w:t>;</w:t>
      </w:r>
      <w:r w:rsidR="00B6560F" w:rsidRPr="00117825">
        <w:rPr>
          <w:color w:val="000000"/>
          <w:spacing w:val="-3"/>
        </w:rPr>
        <w:t xml:space="preserve"> </w:t>
      </w:r>
      <w:r w:rsidR="008A757F" w:rsidRPr="00117825">
        <w:rPr>
          <w:color w:val="000000"/>
          <w:spacing w:val="-3"/>
        </w:rPr>
        <w:t>word of mouth</w:t>
      </w:r>
      <w:r w:rsidR="002876CA" w:rsidRPr="00117825">
        <w:rPr>
          <w:color w:val="000000"/>
          <w:spacing w:val="-3"/>
        </w:rPr>
        <w:t>; res</w:t>
      </w:r>
      <w:r w:rsidR="00B6560F" w:rsidRPr="00117825">
        <w:rPr>
          <w:color w:val="000000"/>
          <w:spacing w:val="-3"/>
        </w:rPr>
        <w:t>ilience to negative information</w:t>
      </w:r>
      <w:r w:rsidR="00085E6E" w:rsidRPr="00117825">
        <w:rPr>
          <w:color w:val="000000"/>
          <w:spacing w:val="-3"/>
        </w:rPr>
        <w:t>.</w:t>
      </w:r>
    </w:p>
    <w:p w:rsidR="00E474CC" w:rsidRPr="00117825" w:rsidRDefault="00E474CC" w:rsidP="00117825">
      <w:pPr>
        <w:tabs>
          <w:tab w:val="left" w:pos="284"/>
        </w:tabs>
        <w:spacing w:line="480" w:lineRule="auto"/>
        <w:rPr>
          <w:color w:val="000000"/>
        </w:rPr>
      </w:pPr>
    </w:p>
    <w:p w:rsidR="000111E3" w:rsidRPr="00117825" w:rsidRDefault="000111E3" w:rsidP="00117825">
      <w:pPr>
        <w:tabs>
          <w:tab w:val="left" w:pos="284"/>
        </w:tabs>
        <w:spacing w:line="480" w:lineRule="auto"/>
        <w:rPr>
          <w:color w:val="000000"/>
        </w:rPr>
      </w:pPr>
    </w:p>
    <w:p w:rsidR="002342ED" w:rsidRPr="00117825" w:rsidRDefault="002342ED" w:rsidP="00117825">
      <w:pPr>
        <w:tabs>
          <w:tab w:val="left" w:pos="284"/>
        </w:tabs>
        <w:spacing w:line="480" w:lineRule="auto"/>
        <w:rPr>
          <w:color w:val="000000"/>
        </w:rPr>
      </w:pPr>
    </w:p>
    <w:p w:rsidR="002342ED" w:rsidRPr="00117825" w:rsidRDefault="002342ED" w:rsidP="00117825">
      <w:pPr>
        <w:tabs>
          <w:tab w:val="left" w:pos="284"/>
        </w:tabs>
        <w:spacing w:line="480" w:lineRule="auto"/>
        <w:rPr>
          <w:color w:val="000000"/>
        </w:rPr>
      </w:pPr>
    </w:p>
    <w:p w:rsidR="00E64ACA" w:rsidRPr="00117825" w:rsidRDefault="008515C4" w:rsidP="00E64ACA">
      <w:pPr>
        <w:tabs>
          <w:tab w:val="left" w:pos="284"/>
          <w:tab w:val="center" w:pos="4680"/>
        </w:tabs>
        <w:suppressAutoHyphens/>
        <w:spacing w:line="480" w:lineRule="auto"/>
        <w:jc w:val="center"/>
        <w:rPr>
          <w:b/>
          <w:color w:val="000000"/>
          <w:spacing w:val="-3"/>
        </w:rPr>
      </w:pPr>
      <w:r w:rsidRPr="00117825">
        <w:rPr>
          <w:i/>
          <w:color w:val="000000"/>
        </w:rPr>
        <w:br w:type="page"/>
      </w:r>
      <w:r w:rsidR="00E64ACA" w:rsidRPr="00117825">
        <w:rPr>
          <w:b/>
          <w:color w:val="000000"/>
          <w:spacing w:val="-3"/>
        </w:rPr>
        <w:lastRenderedPageBreak/>
        <w:t>When Consumers Doubt, Watch Out! The Role of CSR Skepticism</w:t>
      </w:r>
    </w:p>
    <w:p w:rsidR="00E64ACA" w:rsidRPr="00217369" w:rsidRDefault="00E64ACA" w:rsidP="00117825">
      <w:pPr>
        <w:tabs>
          <w:tab w:val="left" w:pos="284"/>
          <w:tab w:val="center" w:pos="4680"/>
        </w:tabs>
        <w:suppressAutoHyphens/>
        <w:spacing w:line="480" w:lineRule="auto"/>
        <w:jc w:val="center"/>
        <w:outlineLvl w:val="0"/>
        <w:rPr>
          <w:color w:val="000000"/>
        </w:rPr>
      </w:pPr>
    </w:p>
    <w:p w:rsidR="008515C4" w:rsidRDefault="008515C4" w:rsidP="00E64ACA">
      <w:pPr>
        <w:tabs>
          <w:tab w:val="left" w:pos="284"/>
          <w:tab w:val="center" w:pos="4680"/>
        </w:tabs>
        <w:suppressAutoHyphens/>
        <w:spacing w:line="480" w:lineRule="auto"/>
        <w:jc w:val="center"/>
        <w:outlineLvl w:val="0"/>
        <w:rPr>
          <w:color w:val="000000"/>
        </w:rPr>
      </w:pPr>
      <w:r w:rsidRPr="00217369">
        <w:rPr>
          <w:color w:val="000000"/>
        </w:rPr>
        <w:t xml:space="preserve">Doubts are </w:t>
      </w:r>
      <w:proofErr w:type="gramStart"/>
      <w:r w:rsidRPr="00217369">
        <w:rPr>
          <w:color w:val="000000"/>
        </w:rPr>
        <w:t>more cruel</w:t>
      </w:r>
      <w:proofErr w:type="gramEnd"/>
      <w:r w:rsidRPr="00217369">
        <w:rPr>
          <w:color w:val="000000"/>
        </w:rPr>
        <w:t xml:space="preserve"> than the worst of truth. </w:t>
      </w:r>
      <w:r w:rsidRPr="00117825">
        <w:rPr>
          <w:color w:val="000000"/>
        </w:rPr>
        <w:t>Moliere</w:t>
      </w:r>
    </w:p>
    <w:p w:rsidR="00671025" w:rsidRPr="00117825" w:rsidRDefault="00671025" w:rsidP="00E64ACA">
      <w:pPr>
        <w:tabs>
          <w:tab w:val="left" w:pos="284"/>
          <w:tab w:val="center" w:pos="4680"/>
        </w:tabs>
        <w:suppressAutoHyphens/>
        <w:spacing w:line="480" w:lineRule="auto"/>
        <w:jc w:val="center"/>
        <w:outlineLvl w:val="0"/>
        <w:rPr>
          <w:color w:val="000000"/>
        </w:rPr>
      </w:pPr>
    </w:p>
    <w:p w:rsidR="00C3246C" w:rsidRPr="00117825" w:rsidRDefault="00EB4944" w:rsidP="00117825">
      <w:pPr>
        <w:tabs>
          <w:tab w:val="left" w:pos="284"/>
          <w:tab w:val="center" w:pos="4680"/>
        </w:tabs>
        <w:suppressAutoHyphens/>
        <w:spacing w:line="480" w:lineRule="auto"/>
        <w:outlineLvl w:val="0"/>
        <w:rPr>
          <w:b/>
          <w:color w:val="000000"/>
        </w:rPr>
      </w:pPr>
      <w:r w:rsidRPr="00117825">
        <w:rPr>
          <w:b/>
          <w:color w:val="000000"/>
        </w:rPr>
        <w:t xml:space="preserve">1. </w:t>
      </w:r>
      <w:r w:rsidR="0042673C" w:rsidRPr="00117825">
        <w:rPr>
          <w:b/>
          <w:color w:val="000000"/>
        </w:rPr>
        <w:t>I</w:t>
      </w:r>
      <w:r w:rsidRPr="00117825">
        <w:rPr>
          <w:b/>
          <w:color w:val="000000"/>
        </w:rPr>
        <w:t>ntroduction</w:t>
      </w:r>
    </w:p>
    <w:p w:rsidR="003326E3" w:rsidRPr="00117825" w:rsidRDefault="00B857E0" w:rsidP="00117825">
      <w:pPr>
        <w:tabs>
          <w:tab w:val="left" w:pos="567"/>
        </w:tabs>
        <w:spacing w:line="480" w:lineRule="auto"/>
      </w:pPr>
      <w:r w:rsidRPr="00B857E0">
        <w:rPr>
          <w:rFonts w:eastAsia="Calibri"/>
          <w:color w:val="000000"/>
          <w:lang w:eastAsia="el-GR"/>
        </w:rPr>
        <w:tab/>
      </w:r>
      <w:r w:rsidR="008A757F" w:rsidRPr="00117825">
        <w:rPr>
          <w:rFonts w:eastAsia="Calibri"/>
          <w:color w:val="000000"/>
          <w:lang w:eastAsia="el-GR"/>
        </w:rPr>
        <w:t>C</w:t>
      </w:r>
      <w:r w:rsidR="00102C09" w:rsidRPr="00117825">
        <w:rPr>
          <w:rFonts w:eastAsia="Calibri"/>
          <w:color w:val="000000"/>
          <w:lang w:eastAsia="el-GR"/>
        </w:rPr>
        <w:t>onsumers, governments, and other corporate stakeholders</w:t>
      </w:r>
      <w:r w:rsidR="006351C7" w:rsidRPr="00117825">
        <w:t xml:space="preserve"> </w:t>
      </w:r>
      <w:r w:rsidR="008A757F" w:rsidRPr="00117825">
        <w:t xml:space="preserve">are </w:t>
      </w:r>
      <w:r w:rsidR="006351C7" w:rsidRPr="00117825">
        <w:rPr>
          <w:rFonts w:eastAsia="Calibri"/>
          <w:color w:val="000000"/>
          <w:lang w:eastAsia="el-GR"/>
        </w:rPr>
        <w:t>increasing</w:t>
      </w:r>
      <w:r w:rsidR="008A757F" w:rsidRPr="00117825">
        <w:rPr>
          <w:rFonts w:eastAsia="Calibri"/>
          <w:color w:val="000000"/>
          <w:lang w:eastAsia="el-GR"/>
        </w:rPr>
        <w:t>ly</w:t>
      </w:r>
      <w:r w:rsidR="006351C7" w:rsidRPr="00117825">
        <w:rPr>
          <w:rFonts w:eastAsia="Calibri"/>
          <w:color w:val="000000"/>
          <w:lang w:eastAsia="el-GR"/>
        </w:rPr>
        <w:t xml:space="preserve"> interest</w:t>
      </w:r>
      <w:r w:rsidR="008A757F" w:rsidRPr="00117825">
        <w:rPr>
          <w:rFonts w:eastAsia="Calibri"/>
          <w:color w:val="000000"/>
          <w:lang w:eastAsia="el-GR"/>
        </w:rPr>
        <w:t>ed</w:t>
      </w:r>
      <w:r w:rsidR="006351C7" w:rsidRPr="00117825">
        <w:rPr>
          <w:rFonts w:eastAsia="Calibri"/>
          <w:color w:val="000000"/>
          <w:lang w:eastAsia="el-GR"/>
        </w:rPr>
        <w:t xml:space="preserve"> in </w:t>
      </w:r>
      <w:r w:rsidR="009326D9" w:rsidRPr="00117825">
        <w:rPr>
          <w:rFonts w:eastAsia="Calibri"/>
          <w:color w:val="000000"/>
          <w:lang w:eastAsia="el-GR"/>
        </w:rPr>
        <w:t>the contributions companies can and should make to society</w:t>
      </w:r>
      <w:r w:rsidR="008A757F" w:rsidRPr="00117825">
        <w:rPr>
          <w:rFonts w:eastAsia="Calibri"/>
          <w:color w:val="000000"/>
          <w:lang w:eastAsia="el-GR"/>
        </w:rPr>
        <w:t>,</w:t>
      </w:r>
      <w:r w:rsidR="009326D9" w:rsidRPr="00117825">
        <w:rPr>
          <w:rFonts w:eastAsia="Calibri"/>
          <w:color w:val="000000"/>
          <w:lang w:eastAsia="el-GR"/>
        </w:rPr>
        <w:t xml:space="preserve"> </w:t>
      </w:r>
      <w:r w:rsidR="00DF1BB0" w:rsidRPr="00117825">
        <w:rPr>
          <w:rFonts w:eastAsia="Calibri"/>
          <w:color w:val="000000"/>
          <w:lang w:eastAsia="el-GR"/>
        </w:rPr>
        <w:t xml:space="preserve">and </w:t>
      </w:r>
      <w:r w:rsidR="006351C7" w:rsidRPr="00117825">
        <w:rPr>
          <w:rFonts w:eastAsia="Calibri"/>
          <w:color w:val="000000"/>
          <w:lang w:eastAsia="el-GR"/>
        </w:rPr>
        <w:t xml:space="preserve">corporate social </w:t>
      </w:r>
      <w:r w:rsidR="009326D9" w:rsidRPr="00117825">
        <w:rPr>
          <w:rFonts w:eastAsia="Calibri"/>
          <w:color w:val="000000"/>
          <w:lang w:eastAsia="el-GR"/>
        </w:rPr>
        <w:t xml:space="preserve">responsibility </w:t>
      </w:r>
      <w:r w:rsidR="006351C7" w:rsidRPr="00117825">
        <w:rPr>
          <w:rFonts w:eastAsia="Calibri"/>
          <w:color w:val="000000"/>
          <w:lang w:eastAsia="el-GR"/>
        </w:rPr>
        <w:t>(CSR) issues</w:t>
      </w:r>
      <w:r w:rsidR="00102C09" w:rsidRPr="00117825">
        <w:rPr>
          <w:rFonts w:eastAsia="Calibri"/>
          <w:color w:val="000000"/>
          <w:lang w:eastAsia="el-GR"/>
        </w:rPr>
        <w:t xml:space="preserve"> </w:t>
      </w:r>
      <w:r w:rsidR="00E56C15" w:rsidRPr="00117825">
        <w:rPr>
          <w:rFonts w:eastAsia="Calibri"/>
          <w:color w:val="000000"/>
          <w:lang w:eastAsia="el-GR"/>
        </w:rPr>
        <w:t>prominent</w:t>
      </w:r>
      <w:r w:rsidR="008A757F" w:rsidRPr="00117825">
        <w:rPr>
          <w:rFonts w:eastAsia="Calibri"/>
          <w:color w:val="000000"/>
          <w:lang w:eastAsia="el-GR"/>
        </w:rPr>
        <w:t>ly appear</w:t>
      </w:r>
      <w:r w:rsidR="00E56C15" w:rsidRPr="00117825">
        <w:rPr>
          <w:rFonts w:eastAsia="Calibri"/>
          <w:color w:val="000000"/>
          <w:lang w:eastAsia="el-GR"/>
        </w:rPr>
        <w:t xml:space="preserve"> on the corporate agenda</w:t>
      </w:r>
      <w:r w:rsidR="00DA0F4B" w:rsidRPr="00117825">
        <w:rPr>
          <w:rFonts w:eastAsia="Calibri"/>
          <w:color w:val="000000"/>
          <w:lang w:eastAsia="el-GR"/>
        </w:rPr>
        <w:t xml:space="preserve">. </w:t>
      </w:r>
      <w:r w:rsidR="008A757F" w:rsidRPr="00117825">
        <w:rPr>
          <w:rFonts w:eastAsia="Calibri"/>
          <w:color w:val="000000"/>
          <w:lang w:eastAsia="el-GR"/>
        </w:rPr>
        <w:t xml:space="preserve">Such interest </w:t>
      </w:r>
      <w:r w:rsidR="005F1892" w:rsidRPr="00117825">
        <w:rPr>
          <w:rFonts w:eastAsia="Calibri"/>
          <w:color w:val="000000"/>
          <w:lang w:eastAsia="el-GR"/>
        </w:rPr>
        <w:t>has stimulate</w:t>
      </w:r>
      <w:r w:rsidR="008E7A6E" w:rsidRPr="00117825">
        <w:rPr>
          <w:rFonts w:eastAsia="Calibri"/>
          <w:color w:val="000000"/>
          <w:lang w:eastAsia="el-GR"/>
        </w:rPr>
        <w:t>d</w:t>
      </w:r>
      <w:r w:rsidR="005F1892" w:rsidRPr="00117825">
        <w:rPr>
          <w:rFonts w:eastAsia="Calibri"/>
          <w:color w:val="000000"/>
          <w:lang w:eastAsia="el-GR"/>
        </w:rPr>
        <w:t xml:space="preserve"> a great deal of research on the </w:t>
      </w:r>
      <w:r w:rsidR="008E7A6E" w:rsidRPr="00117825">
        <w:rPr>
          <w:rFonts w:eastAsia="Calibri"/>
          <w:color w:val="000000"/>
          <w:lang w:eastAsia="el-GR"/>
        </w:rPr>
        <w:t>importance</w:t>
      </w:r>
      <w:r w:rsidR="005F1892" w:rsidRPr="00117825">
        <w:rPr>
          <w:rFonts w:eastAsia="Calibri"/>
          <w:color w:val="000000"/>
          <w:lang w:eastAsia="el-GR"/>
        </w:rPr>
        <w:t xml:space="preserve"> of CSR in general</w:t>
      </w:r>
      <w:r w:rsidR="00A84F27" w:rsidRPr="00117825">
        <w:rPr>
          <w:rFonts w:eastAsia="Calibri"/>
          <w:color w:val="000000"/>
          <w:lang w:eastAsia="el-GR"/>
        </w:rPr>
        <w:t xml:space="preserve"> </w:t>
      </w:r>
      <w:r w:rsidR="008E7A6E" w:rsidRPr="00117825">
        <w:rPr>
          <w:rFonts w:eastAsia="Calibri"/>
          <w:color w:val="000000"/>
          <w:lang w:eastAsia="el-GR"/>
        </w:rPr>
        <w:t>and</w:t>
      </w:r>
      <w:r w:rsidR="005F1892" w:rsidRPr="00117825">
        <w:rPr>
          <w:rFonts w:eastAsia="Calibri"/>
          <w:color w:val="000000"/>
          <w:lang w:eastAsia="el-GR"/>
        </w:rPr>
        <w:t xml:space="preserve"> </w:t>
      </w:r>
      <w:r w:rsidR="008E7A6E" w:rsidRPr="00117825">
        <w:rPr>
          <w:rFonts w:eastAsia="Calibri"/>
          <w:color w:val="000000"/>
          <w:lang w:eastAsia="el-GR"/>
        </w:rPr>
        <w:t xml:space="preserve">the extent to which </w:t>
      </w:r>
      <w:r w:rsidR="00260DC5" w:rsidRPr="00117825">
        <w:rPr>
          <w:rFonts w:eastAsia="Calibri"/>
          <w:color w:val="000000"/>
          <w:lang w:eastAsia="el-GR"/>
        </w:rPr>
        <w:t xml:space="preserve">companies </w:t>
      </w:r>
      <w:r w:rsidR="008A757F" w:rsidRPr="00117825">
        <w:rPr>
          <w:rFonts w:eastAsia="Calibri"/>
          <w:color w:val="000000"/>
          <w:lang w:eastAsia="el-GR"/>
        </w:rPr>
        <w:t>“</w:t>
      </w:r>
      <w:r w:rsidR="00663748" w:rsidRPr="00117825">
        <w:rPr>
          <w:rFonts w:eastAsia="Calibri"/>
          <w:color w:val="000000"/>
          <w:lang w:eastAsia="el-GR"/>
        </w:rPr>
        <w:t>do well by doing good</w:t>
      </w:r>
      <w:r w:rsidR="008A757F" w:rsidRPr="00117825">
        <w:rPr>
          <w:rFonts w:eastAsia="Calibri"/>
          <w:color w:val="000000"/>
          <w:lang w:eastAsia="el-GR"/>
        </w:rPr>
        <w:t>”</w:t>
      </w:r>
      <w:r w:rsidR="005F1892" w:rsidRPr="00117825">
        <w:rPr>
          <w:rFonts w:eastAsia="Calibri"/>
          <w:color w:val="000000"/>
          <w:lang w:eastAsia="el-GR"/>
        </w:rPr>
        <w:t xml:space="preserve"> in particular. </w:t>
      </w:r>
      <w:r w:rsidR="001F5FB8" w:rsidRPr="00117825">
        <w:rPr>
          <w:rFonts w:eastAsia="Calibri"/>
          <w:color w:val="000000"/>
          <w:lang w:eastAsia="el-GR"/>
        </w:rPr>
        <w:t xml:space="preserve">The normative case for CSR focuses on </w:t>
      </w:r>
      <w:r w:rsidR="008A757F" w:rsidRPr="00117825">
        <w:rPr>
          <w:rFonts w:eastAsia="Calibri"/>
          <w:color w:val="000000"/>
          <w:lang w:eastAsia="el-GR"/>
        </w:rPr>
        <w:t xml:space="preserve">companies’ </w:t>
      </w:r>
      <w:r w:rsidR="001F5FB8" w:rsidRPr="00117825">
        <w:rPr>
          <w:rFonts w:eastAsia="Calibri"/>
          <w:color w:val="000000"/>
          <w:lang w:eastAsia="el-GR"/>
        </w:rPr>
        <w:t>obligation to apply ethical standards to</w:t>
      </w:r>
      <w:r w:rsidR="001F5FB8" w:rsidRPr="00117825">
        <w:t xml:space="preserve"> their business</w:t>
      </w:r>
      <w:r w:rsidR="003C2ED0" w:rsidRPr="00117825">
        <w:t>es</w:t>
      </w:r>
      <w:r w:rsidR="001F5FB8" w:rsidRPr="00117825">
        <w:t xml:space="preserve"> and </w:t>
      </w:r>
      <w:r w:rsidR="001F5FB8" w:rsidRPr="00117825">
        <w:rPr>
          <w:rFonts w:eastAsia="Calibri"/>
          <w:color w:val="000000"/>
          <w:lang w:eastAsia="el-GR"/>
        </w:rPr>
        <w:t>address societal problems and ills</w:t>
      </w:r>
      <w:r w:rsidR="00F67183" w:rsidRPr="00117825">
        <w:rPr>
          <w:rFonts w:eastAsia="Calibri"/>
          <w:color w:val="000000"/>
          <w:lang w:eastAsia="el-GR"/>
        </w:rPr>
        <w:t xml:space="preserve">. </w:t>
      </w:r>
      <w:r w:rsidR="0026356C" w:rsidRPr="00117825">
        <w:rPr>
          <w:rFonts w:eastAsia="Calibri"/>
          <w:color w:val="000000"/>
          <w:lang w:eastAsia="el-GR"/>
        </w:rPr>
        <w:t>The business case for CSR emphasizes the benefits to reputation</w:t>
      </w:r>
      <w:r w:rsidR="00F67183" w:rsidRPr="00117825">
        <w:rPr>
          <w:rFonts w:eastAsia="Calibri"/>
          <w:color w:val="000000"/>
          <w:lang w:eastAsia="el-GR"/>
        </w:rPr>
        <w:t xml:space="preserve"> and goodwill</w:t>
      </w:r>
      <w:r w:rsidR="0026356C" w:rsidRPr="00117825">
        <w:rPr>
          <w:rFonts w:eastAsia="Calibri"/>
          <w:color w:val="000000"/>
          <w:lang w:eastAsia="el-GR"/>
        </w:rPr>
        <w:t xml:space="preserve">, employee and </w:t>
      </w:r>
      <w:r w:rsidR="005F1892" w:rsidRPr="00117825">
        <w:rPr>
          <w:rFonts w:eastAsia="Calibri"/>
          <w:color w:val="000000"/>
          <w:lang w:eastAsia="el-GR"/>
        </w:rPr>
        <w:t xml:space="preserve">customer </w:t>
      </w:r>
      <w:r w:rsidR="00F67183" w:rsidRPr="00117825">
        <w:rPr>
          <w:rFonts w:eastAsia="Calibri"/>
          <w:color w:val="000000"/>
          <w:lang w:eastAsia="el-GR"/>
        </w:rPr>
        <w:t xml:space="preserve">satisfaction and </w:t>
      </w:r>
      <w:r w:rsidR="0026356C" w:rsidRPr="00117825">
        <w:rPr>
          <w:rFonts w:eastAsia="Calibri"/>
          <w:color w:val="000000"/>
          <w:lang w:eastAsia="el-GR"/>
        </w:rPr>
        <w:t>loyalty</w:t>
      </w:r>
      <w:r w:rsidR="008317D6" w:rsidRPr="00117825">
        <w:rPr>
          <w:rFonts w:eastAsia="Calibri"/>
          <w:color w:val="000000"/>
          <w:lang w:eastAsia="el-GR"/>
        </w:rPr>
        <w:t>,</w:t>
      </w:r>
      <w:r w:rsidR="00882392" w:rsidRPr="00117825">
        <w:rPr>
          <w:rFonts w:eastAsia="Calibri"/>
          <w:color w:val="000000"/>
          <w:lang w:eastAsia="el-GR"/>
        </w:rPr>
        <w:t xml:space="preserve"> and bottom-</w:t>
      </w:r>
      <w:r w:rsidR="00211F07" w:rsidRPr="00117825">
        <w:rPr>
          <w:rFonts w:eastAsia="Calibri"/>
          <w:color w:val="000000"/>
          <w:lang w:eastAsia="el-GR"/>
        </w:rPr>
        <w:t>line performance</w:t>
      </w:r>
      <w:r w:rsidR="005F1892" w:rsidRPr="00117825">
        <w:rPr>
          <w:rFonts w:eastAsia="Calibri"/>
          <w:color w:val="000000"/>
          <w:lang w:eastAsia="el-GR"/>
        </w:rPr>
        <w:t>.</w:t>
      </w:r>
      <w:r w:rsidR="00A84F27" w:rsidRPr="00117825">
        <w:t xml:space="preserve"> </w:t>
      </w:r>
      <w:r w:rsidR="005D6456" w:rsidRPr="00117825">
        <w:t>T</w:t>
      </w:r>
      <w:r w:rsidR="008A757F" w:rsidRPr="00117825">
        <w:t>hus</w:t>
      </w:r>
      <w:r w:rsidR="00933223" w:rsidRPr="00117825">
        <w:t xml:space="preserve">, </w:t>
      </w:r>
      <w:r w:rsidR="00C1201A" w:rsidRPr="00117825">
        <w:t xml:space="preserve">corporate social involvement </w:t>
      </w:r>
      <w:r w:rsidR="00C746B0" w:rsidRPr="00117825">
        <w:t xml:space="preserve">is no longer </w:t>
      </w:r>
      <w:r w:rsidR="003326E3" w:rsidRPr="00117825">
        <w:t>a fringe activity by a few</w:t>
      </w:r>
      <w:r w:rsidR="00C1201A" w:rsidRPr="00117825">
        <w:t xml:space="preserve"> companies</w:t>
      </w:r>
      <w:r w:rsidR="003C2ED0" w:rsidRPr="00117825">
        <w:t>,</w:t>
      </w:r>
      <w:r w:rsidR="00C746B0" w:rsidRPr="00117825">
        <w:t xml:space="preserve"> but rather</w:t>
      </w:r>
      <w:r w:rsidR="003326E3" w:rsidRPr="00117825">
        <w:t xml:space="preserve"> a mainstream, highly visible, and commonplace practice.</w:t>
      </w:r>
      <w:r w:rsidR="001828EA" w:rsidRPr="00117825">
        <w:t xml:space="preserve"> </w:t>
      </w:r>
    </w:p>
    <w:p w:rsidR="00E80DFC" w:rsidRPr="00117825" w:rsidRDefault="00B857E0" w:rsidP="00117825">
      <w:pPr>
        <w:tabs>
          <w:tab w:val="left" w:pos="567"/>
        </w:tabs>
        <w:spacing w:line="480" w:lineRule="auto"/>
        <w:rPr>
          <w:rFonts w:eastAsia="Calibri"/>
          <w:bCs/>
          <w:color w:val="000000"/>
          <w:lang w:eastAsia="el-GR"/>
        </w:rPr>
      </w:pPr>
      <w:r w:rsidRPr="00B857E0">
        <w:rPr>
          <w:rFonts w:eastAsia="Calibri"/>
          <w:color w:val="000000"/>
          <w:lang w:eastAsia="el-GR"/>
        </w:rPr>
        <w:tab/>
      </w:r>
      <w:r w:rsidR="00B0296D" w:rsidRPr="00117825">
        <w:rPr>
          <w:rFonts w:eastAsia="Calibri"/>
          <w:color w:val="000000"/>
          <w:lang w:eastAsia="el-GR"/>
        </w:rPr>
        <w:t xml:space="preserve">While </w:t>
      </w:r>
      <w:r w:rsidR="00027667" w:rsidRPr="00117825">
        <w:rPr>
          <w:rFonts w:eastAsia="Calibri"/>
          <w:color w:val="000000"/>
          <w:lang w:eastAsia="el-GR"/>
        </w:rPr>
        <w:t xml:space="preserve">more and more </w:t>
      </w:r>
      <w:r w:rsidR="003F44DB" w:rsidRPr="00117825">
        <w:rPr>
          <w:rFonts w:eastAsia="Calibri"/>
          <w:color w:val="000000"/>
          <w:lang w:eastAsia="el-GR"/>
        </w:rPr>
        <w:t xml:space="preserve">companies </w:t>
      </w:r>
      <w:r w:rsidR="00027667" w:rsidRPr="00117825">
        <w:rPr>
          <w:rFonts w:eastAsia="Calibri"/>
          <w:color w:val="000000"/>
          <w:lang w:eastAsia="el-GR"/>
        </w:rPr>
        <w:t>embark</w:t>
      </w:r>
      <w:r w:rsidR="00B0296D" w:rsidRPr="00117825">
        <w:rPr>
          <w:rFonts w:eastAsia="Calibri"/>
          <w:color w:val="000000"/>
          <w:lang w:eastAsia="el-GR"/>
        </w:rPr>
        <w:t xml:space="preserve"> </w:t>
      </w:r>
      <w:r w:rsidR="00027667" w:rsidRPr="00117825">
        <w:rPr>
          <w:rFonts w:eastAsia="Calibri"/>
          <w:color w:val="000000"/>
          <w:lang w:eastAsia="el-GR"/>
        </w:rPr>
        <w:t>on</w:t>
      </w:r>
      <w:r w:rsidR="00B0296D" w:rsidRPr="00117825">
        <w:rPr>
          <w:rFonts w:eastAsia="Calibri"/>
          <w:color w:val="000000"/>
          <w:lang w:eastAsia="el-GR"/>
        </w:rPr>
        <w:t xml:space="preserve"> the CSR bandwagon</w:t>
      </w:r>
      <w:r w:rsidR="00027667" w:rsidRPr="00117825">
        <w:rPr>
          <w:rFonts w:eastAsia="Calibri"/>
          <w:color w:val="000000"/>
          <w:lang w:eastAsia="el-GR"/>
        </w:rPr>
        <w:t xml:space="preserve"> to </w:t>
      </w:r>
      <w:r w:rsidR="00027667" w:rsidRPr="00117825">
        <w:t>leverage reputational and financial benefits</w:t>
      </w:r>
      <w:r w:rsidR="00B0296D" w:rsidRPr="00117825">
        <w:rPr>
          <w:rFonts w:eastAsia="Calibri"/>
          <w:color w:val="000000"/>
          <w:lang w:eastAsia="el-GR"/>
        </w:rPr>
        <w:t xml:space="preserve">, </w:t>
      </w:r>
      <w:r w:rsidR="0049797C" w:rsidRPr="00117825">
        <w:rPr>
          <w:rFonts w:eastAsia="Calibri"/>
          <w:color w:val="000000"/>
          <w:lang w:eastAsia="el-GR"/>
        </w:rPr>
        <w:t>incidents of</w:t>
      </w:r>
      <w:r w:rsidR="00DA0F4B" w:rsidRPr="00117825">
        <w:rPr>
          <w:rFonts w:eastAsia="Calibri"/>
          <w:color w:val="000000"/>
          <w:lang w:eastAsia="el-GR"/>
        </w:rPr>
        <w:t xml:space="preserve"> </w:t>
      </w:r>
      <w:r w:rsidR="003F44DB" w:rsidRPr="00117825">
        <w:rPr>
          <w:rFonts w:eastAsia="Calibri"/>
          <w:color w:val="000000"/>
          <w:lang w:eastAsia="el-GR"/>
        </w:rPr>
        <w:t>socially irresponsible company</w:t>
      </w:r>
      <w:r w:rsidR="006219C3" w:rsidRPr="00117825">
        <w:rPr>
          <w:rFonts w:eastAsia="Calibri"/>
          <w:color w:val="000000"/>
          <w:lang w:eastAsia="el-GR"/>
        </w:rPr>
        <w:t xml:space="preserve"> behavior </w:t>
      </w:r>
      <w:r w:rsidR="009F6D39" w:rsidRPr="00117825">
        <w:rPr>
          <w:rFonts w:eastAsia="Calibri"/>
          <w:bCs/>
          <w:color w:val="000000"/>
          <w:lang w:eastAsia="el-GR"/>
        </w:rPr>
        <w:t>continue to occur at an alarming rate (e.g., Carson,</w:t>
      </w:r>
      <w:r w:rsidR="00E57E57" w:rsidRPr="00117825">
        <w:rPr>
          <w:rFonts w:eastAsia="Calibri"/>
          <w:bCs/>
          <w:color w:val="000000"/>
          <w:lang w:eastAsia="el-GR"/>
        </w:rPr>
        <w:t xml:space="preserve"> </w:t>
      </w:r>
      <w:r w:rsidR="009F6D39" w:rsidRPr="00117825">
        <w:rPr>
          <w:rFonts w:eastAsia="Calibri"/>
          <w:bCs/>
          <w:color w:val="000000"/>
          <w:lang w:eastAsia="el-GR"/>
        </w:rPr>
        <w:t xml:space="preserve">2003; </w:t>
      </w:r>
      <w:r w:rsidR="00426DB9" w:rsidRPr="00117825">
        <w:rPr>
          <w:rFonts w:eastAsia="Calibri"/>
          <w:bCs/>
          <w:color w:val="000000"/>
          <w:lang w:eastAsia="el-GR"/>
        </w:rPr>
        <w:t>Wagner, Lutz, &amp;</w:t>
      </w:r>
      <w:r w:rsidR="009F6D39" w:rsidRPr="00117825">
        <w:rPr>
          <w:rFonts w:eastAsia="Calibri"/>
          <w:bCs/>
          <w:color w:val="000000"/>
          <w:lang w:eastAsia="el-GR"/>
        </w:rPr>
        <w:t xml:space="preserve"> </w:t>
      </w:r>
      <w:proofErr w:type="spellStart"/>
      <w:r w:rsidR="009F6D39" w:rsidRPr="00117825">
        <w:rPr>
          <w:rFonts w:eastAsia="Calibri"/>
          <w:bCs/>
          <w:color w:val="000000"/>
          <w:lang w:eastAsia="el-GR"/>
        </w:rPr>
        <w:t>Weitz</w:t>
      </w:r>
      <w:proofErr w:type="spellEnd"/>
      <w:r w:rsidR="009F6D39" w:rsidRPr="00117825">
        <w:rPr>
          <w:rFonts w:eastAsia="Calibri"/>
          <w:bCs/>
          <w:color w:val="000000"/>
          <w:lang w:eastAsia="el-GR"/>
        </w:rPr>
        <w:t xml:space="preserve">, 2009). The media is replete with reports of </w:t>
      </w:r>
      <w:r w:rsidR="007E7EA5" w:rsidRPr="00117825">
        <w:rPr>
          <w:rFonts w:eastAsia="Calibri"/>
          <w:color w:val="000000"/>
          <w:lang w:eastAsia="el-GR"/>
        </w:rPr>
        <w:t xml:space="preserve">consumer </w:t>
      </w:r>
      <w:r w:rsidR="00671ADE" w:rsidRPr="00117825">
        <w:rPr>
          <w:rFonts w:eastAsia="Calibri"/>
          <w:color w:val="000000"/>
          <w:lang w:eastAsia="el-GR"/>
        </w:rPr>
        <w:t xml:space="preserve">fraud and </w:t>
      </w:r>
      <w:r w:rsidR="007E7EA5" w:rsidRPr="00117825">
        <w:rPr>
          <w:rFonts w:eastAsia="Calibri"/>
          <w:color w:val="000000"/>
          <w:lang w:eastAsia="el-GR"/>
        </w:rPr>
        <w:t>scams (</w:t>
      </w:r>
      <w:r w:rsidR="008F3000" w:rsidRPr="00117825">
        <w:rPr>
          <w:rFonts w:eastAsia="Calibri"/>
          <w:color w:val="000000"/>
          <w:lang w:eastAsia="el-GR"/>
        </w:rPr>
        <w:t>e.g., pyramid schemes,</w:t>
      </w:r>
      <w:r w:rsidR="003F44DB" w:rsidRPr="00117825">
        <w:rPr>
          <w:rFonts w:eastAsia="Calibri"/>
          <w:color w:val="000000"/>
          <w:lang w:eastAsia="el-GR"/>
        </w:rPr>
        <w:t xml:space="preserve"> cold calling</w:t>
      </w:r>
      <w:r w:rsidR="008F3000" w:rsidRPr="00117825">
        <w:rPr>
          <w:rFonts w:eastAsia="Calibri"/>
          <w:color w:val="000000"/>
          <w:lang w:eastAsia="el-GR"/>
        </w:rPr>
        <w:t>), financial</w:t>
      </w:r>
      <w:r w:rsidR="00C82BFA" w:rsidRPr="00117825">
        <w:rPr>
          <w:rFonts w:eastAsia="Calibri"/>
          <w:color w:val="000000"/>
          <w:lang w:eastAsia="el-GR"/>
        </w:rPr>
        <w:t xml:space="preserve"> scandals</w:t>
      </w:r>
      <w:r w:rsidR="00842E58" w:rsidRPr="00117825">
        <w:rPr>
          <w:rFonts w:eastAsia="Calibri"/>
          <w:color w:val="000000"/>
          <w:lang w:eastAsia="el-GR"/>
        </w:rPr>
        <w:t xml:space="preserve"> (e.g., Enron, World</w:t>
      </w:r>
      <w:r w:rsidR="00C746B0" w:rsidRPr="00117825">
        <w:rPr>
          <w:rFonts w:eastAsia="Calibri"/>
          <w:color w:val="000000"/>
          <w:lang w:eastAsia="el-GR"/>
        </w:rPr>
        <w:t>C</w:t>
      </w:r>
      <w:r w:rsidR="00842E58" w:rsidRPr="00117825">
        <w:rPr>
          <w:rFonts w:eastAsia="Calibri"/>
          <w:color w:val="000000"/>
          <w:lang w:eastAsia="el-GR"/>
        </w:rPr>
        <w:t>o</w:t>
      </w:r>
      <w:r w:rsidR="00C82BFA" w:rsidRPr="00117825">
        <w:rPr>
          <w:rFonts w:eastAsia="Calibri"/>
          <w:color w:val="000000"/>
          <w:lang w:eastAsia="el-GR"/>
        </w:rPr>
        <w:t>m</w:t>
      </w:r>
      <w:r w:rsidR="00842E58" w:rsidRPr="00117825">
        <w:rPr>
          <w:rFonts w:eastAsia="Calibri"/>
          <w:color w:val="000000"/>
          <w:lang w:eastAsia="el-GR"/>
        </w:rPr>
        <w:t>)</w:t>
      </w:r>
      <w:r w:rsidR="00C82BFA" w:rsidRPr="00117825">
        <w:rPr>
          <w:rFonts w:eastAsia="Calibri"/>
          <w:color w:val="000000"/>
          <w:lang w:eastAsia="el-GR"/>
        </w:rPr>
        <w:t>, social transgressions (e.g., Nike, G</w:t>
      </w:r>
      <w:r w:rsidR="00C746B0" w:rsidRPr="00117825">
        <w:rPr>
          <w:rFonts w:eastAsia="Calibri"/>
          <w:color w:val="000000"/>
          <w:lang w:eastAsia="el-GR"/>
        </w:rPr>
        <w:t>ap</w:t>
      </w:r>
      <w:r w:rsidR="00C82BFA" w:rsidRPr="00117825">
        <w:rPr>
          <w:rFonts w:eastAsia="Calibri"/>
          <w:color w:val="000000"/>
          <w:lang w:eastAsia="el-GR"/>
        </w:rPr>
        <w:t>)</w:t>
      </w:r>
      <w:r w:rsidR="00DA0F4B" w:rsidRPr="00117825">
        <w:rPr>
          <w:rFonts w:eastAsia="Calibri"/>
          <w:color w:val="000000"/>
          <w:lang w:eastAsia="el-GR"/>
        </w:rPr>
        <w:t xml:space="preserve">, and </w:t>
      </w:r>
      <w:r w:rsidR="00842E58" w:rsidRPr="00117825">
        <w:rPr>
          <w:rFonts w:eastAsia="Calibri"/>
          <w:color w:val="000000"/>
          <w:lang w:eastAsia="el-GR"/>
        </w:rPr>
        <w:t xml:space="preserve">environmental disasters (e.g., BP </w:t>
      </w:r>
      <w:r w:rsidR="00C82BFA" w:rsidRPr="00117825">
        <w:rPr>
          <w:rFonts w:eastAsia="Calibri"/>
          <w:color w:val="000000"/>
          <w:lang w:eastAsia="el-GR"/>
        </w:rPr>
        <w:t xml:space="preserve">in the Gulf of Mexico, TEPCO </w:t>
      </w:r>
      <w:r w:rsidR="00C746B0" w:rsidRPr="00117825">
        <w:rPr>
          <w:rFonts w:eastAsia="Calibri"/>
          <w:color w:val="000000"/>
          <w:lang w:eastAsia="el-GR"/>
        </w:rPr>
        <w:t xml:space="preserve">at </w:t>
      </w:r>
      <w:r w:rsidR="00C82BFA" w:rsidRPr="00117825">
        <w:rPr>
          <w:rFonts w:eastAsia="Calibri"/>
          <w:bCs/>
          <w:color w:val="000000"/>
          <w:lang w:eastAsia="el-GR"/>
        </w:rPr>
        <w:t>Fukushima Daiichi)</w:t>
      </w:r>
      <w:r w:rsidR="001C7097" w:rsidRPr="00117825">
        <w:rPr>
          <w:rFonts w:eastAsia="Calibri"/>
          <w:bCs/>
          <w:color w:val="000000"/>
          <w:lang w:eastAsia="el-GR"/>
        </w:rPr>
        <w:t>,</w:t>
      </w:r>
      <w:r w:rsidR="009F6D39" w:rsidRPr="00117825">
        <w:rPr>
          <w:rFonts w:eastAsia="Calibri"/>
          <w:bCs/>
          <w:color w:val="000000"/>
          <w:lang w:eastAsia="el-GR"/>
        </w:rPr>
        <w:t xml:space="preserve"> revealing </w:t>
      </w:r>
      <w:r w:rsidR="009631EB" w:rsidRPr="00117825">
        <w:rPr>
          <w:rFonts w:eastAsia="Calibri"/>
          <w:bCs/>
          <w:color w:val="000000"/>
          <w:lang w:eastAsia="el-GR"/>
        </w:rPr>
        <w:t>corporate misfeasance, misconduct, and wrongdoing</w:t>
      </w:r>
      <w:r w:rsidR="0049797C" w:rsidRPr="00117825">
        <w:rPr>
          <w:rFonts w:eastAsia="Calibri"/>
          <w:bCs/>
          <w:color w:val="000000"/>
          <w:lang w:eastAsia="el-GR"/>
        </w:rPr>
        <w:t xml:space="preserve">. </w:t>
      </w:r>
      <w:r w:rsidR="009631EB" w:rsidRPr="00117825">
        <w:rPr>
          <w:rFonts w:eastAsia="Calibri"/>
          <w:bCs/>
          <w:color w:val="000000"/>
          <w:lang w:eastAsia="el-GR"/>
        </w:rPr>
        <w:t xml:space="preserve">Consumers receive </w:t>
      </w:r>
      <w:r w:rsidR="007F1FFB" w:rsidRPr="00117825">
        <w:rPr>
          <w:rFonts w:eastAsia="Calibri"/>
          <w:bCs/>
          <w:color w:val="000000"/>
          <w:lang w:eastAsia="el-GR"/>
        </w:rPr>
        <w:t xml:space="preserve">conflicting information about CSR involvement and often have trouble distinguishing </w:t>
      </w:r>
      <w:r w:rsidR="007F1FFB" w:rsidRPr="00117825">
        <w:rPr>
          <w:rFonts w:eastAsia="Calibri"/>
          <w:color w:val="000000"/>
          <w:lang w:eastAsia="el-GR"/>
        </w:rPr>
        <w:t>socially conscious from irresponsible companies</w:t>
      </w:r>
      <w:r w:rsidR="007F1FFB" w:rsidRPr="00117825">
        <w:rPr>
          <w:rFonts w:eastAsia="Calibri"/>
          <w:bCs/>
          <w:color w:val="000000"/>
          <w:lang w:eastAsia="el-GR"/>
        </w:rPr>
        <w:t xml:space="preserve"> (</w:t>
      </w:r>
      <w:r w:rsidR="00BA3AAD" w:rsidRPr="00117825">
        <w:rPr>
          <w:rFonts w:eastAsia="Calibri"/>
          <w:bCs/>
          <w:color w:val="000000"/>
          <w:lang w:eastAsia="el-GR"/>
        </w:rPr>
        <w:t xml:space="preserve">Bernstein, 2009; </w:t>
      </w:r>
      <w:proofErr w:type="spellStart"/>
      <w:r w:rsidR="007F1FFB" w:rsidRPr="00117825">
        <w:rPr>
          <w:rFonts w:eastAsia="Calibri"/>
          <w:bCs/>
          <w:color w:val="000000"/>
          <w:lang w:eastAsia="el-GR"/>
        </w:rPr>
        <w:t>Parguel</w:t>
      </w:r>
      <w:proofErr w:type="spellEnd"/>
      <w:r w:rsidR="0099757E" w:rsidRPr="00117825">
        <w:rPr>
          <w:rFonts w:eastAsia="Calibri"/>
          <w:bCs/>
          <w:color w:val="000000"/>
          <w:lang w:eastAsia="el-GR"/>
        </w:rPr>
        <w:t>,</w:t>
      </w:r>
      <w:r w:rsidR="007F1FFB" w:rsidRPr="00117825">
        <w:rPr>
          <w:rFonts w:eastAsia="Calibri"/>
          <w:bCs/>
          <w:color w:val="000000"/>
          <w:lang w:eastAsia="el-GR"/>
        </w:rPr>
        <w:t xml:space="preserve"> </w:t>
      </w:r>
      <w:r w:rsidR="001D1793" w:rsidRPr="00117825">
        <w:rPr>
          <w:rFonts w:eastAsia="Calibri"/>
          <w:bCs/>
          <w:color w:val="000000"/>
          <w:lang w:eastAsia="el-GR"/>
        </w:rPr>
        <w:t>Benoit</w:t>
      </w:r>
      <w:r w:rsidR="0099757E" w:rsidRPr="00117825">
        <w:rPr>
          <w:rFonts w:eastAsia="Calibri"/>
          <w:bCs/>
          <w:color w:val="000000"/>
          <w:lang w:eastAsia="el-GR"/>
        </w:rPr>
        <w:t>-Moreau</w:t>
      </w:r>
      <w:r w:rsidR="007F1FFB" w:rsidRPr="00117825">
        <w:rPr>
          <w:rFonts w:eastAsia="Calibri"/>
          <w:bCs/>
          <w:color w:val="000000"/>
          <w:lang w:eastAsia="el-GR"/>
        </w:rPr>
        <w:t xml:space="preserve">, </w:t>
      </w:r>
      <w:r w:rsidR="00426DB9" w:rsidRPr="00117825">
        <w:rPr>
          <w:rFonts w:eastAsia="Calibri"/>
          <w:bCs/>
          <w:color w:val="000000"/>
          <w:lang w:eastAsia="el-GR"/>
        </w:rPr>
        <w:t>&amp;</w:t>
      </w:r>
      <w:r w:rsidR="0099757E" w:rsidRPr="00117825">
        <w:rPr>
          <w:rFonts w:eastAsia="Calibri"/>
          <w:bCs/>
          <w:color w:val="000000"/>
          <w:lang w:eastAsia="el-GR"/>
        </w:rPr>
        <w:t xml:space="preserve"> </w:t>
      </w:r>
      <w:proofErr w:type="spellStart"/>
      <w:r w:rsidR="0099757E" w:rsidRPr="00117825">
        <w:rPr>
          <w:rFonts w:eastAsia="Calibri"/>
          <w:bCs/>
          <w:color w:val="000000"/>
          <w:lang w:eastAsia="el-GR"/>
        </w:rPr>
        <w:t>Larceneux</w:t>
      </w:r>
      <w:proofErr w:type="spellEnd"/>
      <w:r w:rsidR="0099757E" w:rsidRPr="00117825">
        <w:rPr>
          <w:rFonts w:eastAsia="Calibri"/>
          <w:bCs/>
          <w:color w:val="000000"/>
          <w:lang w:eastAsia="el-GR"/>
        </w:rPr>
        <w:t xml:space="preserve">, </w:t>
      </w:r>
      <w:r w:rsidR="007F1FFB" w:rsidRPr="00117825">
        <w:rPr>
          <w:rFonts w:eastAsia="Calibri"/>
          <w:bCs/>
          <w:color w:val="000000"/>
          <w:lang w:eastAsia="el-GR"/>
        </w:rPr>
        <w:t xml:space="preserve">2011). </w:t>
      </w:r>
      <w:r w:rsidR="00C746B0" w:rsidRPr="00117825">
        <w:rPr>
          <w:rFonts w:eastAsia="Calibri"/>
          <w:bCs/>
          <w:color w:val="000000"/>
          <w:lang w:eastAsia="el-GR"/>
        </w:rPr>
        <w:t>Thus</w:t>
      </w:r>
      <w:r w:rsidR="000561C6" w:rsidRPr="00117825">
        <w:rPr>
          <w:rFonts w:eastAsia="Calibri"/>
          <w:bCs/>
          <w:color w:val="000000"/>
          <w:lang w:eastAsia="el-GR"/>
        </w:rPr>
        <w:t xml:space="preserve">, </w:t>
      </w:r>
      <w:r w:rsidR="001D1793" w:rsidRPr="00117825">
        <w:rPr>
          <w:rFonts w:eastAsia="Calibri"/>
          <w:bCs/>
          <w:color w:val="000000"/>
          <w:lang w:eastAsia="el-GR"/>
        </w:rPr>
        <w:t xml:space="preserve">they </w:t>
      </w:r>
      <w:r w:rsidR="000561C6" w:rsidRPr="00117825">
        <w:rPr>
          <w:rFonts w:eastAsia="Calibri"/>
          <w:bCs/>
          <w:color w:val="000000"/>
          <w:lang w:eastAsia="el-GR"/>
        </w:rPr>
        <w:t xml:space="preserve">tend to question why companies </w:t>
      </w:r>
      <w:r w:rsidR="009D2EA3" w:rsidRPr="00117825">
        <w:rPr>
          <w:rFonts w:eastAsia="Calibri"/>
          <w:bCs/>
          <w:color w:val="000000"/>
          <w:lang w:eastAsia="el-GR"/>
        </w:rPr>
        <w:t>embrace</w:t>
      </w:r>
      <w:r w:rsidR="000561C6" w:rsidRPr="00117825">
        <w:rPr>
          <w:rFonts w:eastAsia="Calibri"/>
          <w:bCs/>
          <w:color w:val="000000"/>
          <w:lang w:eastAsia="el-GR"/>
        </w:rPr>
        <w:t xml:space="preserve"> </w:t>
      </w:r>
      <w:r w:rsidR="000561C6" w:rsidRPr="00117825">
        <w:rPr>
          <w:rFonts w:eastAsia="Calibri"/>
          <w:color w:val="000000"/>
          <w:lang w:eastAsia="el-GR"/>
        </w:rPr>
        <w:t>CSR</w:t>
      </w:r>
      <w:r w:rsidR="00C746B0" w:rsidRPr="00117825">
        <w:rPr>
          <w:rFonts w:eastAsia="Calibri"/>
          <w:color w:val="000000"/>
          <w:lang w:eastAsia="el-GR"/>
        </w:rPr>
        <w:t xml:space="preserve"> and</w:t>
      </w:r>
      <w:r w:rsidR="000561C6" w:rsidRPr="00117825">
        <w:rPr>
          <w:rFonts w:eastAsia="Calibri"/>
          <w:color w:val="000000"/>
          <w:lang w:eastAsia="el-GR"/>
        </w:rPr>
        <w:t xml:space="preserve"> how such activities </w:t>
      </w:r>
      <w:proofErr w:type="gramStart"/>
      <w:r w:rsidR="000561C6" w:rsidRPr="00117825">
        <w:rPr>
          <w:rFonts w:eastAsia="Calibri"/>
          <w:color w:val="000000"/>
          <w:lang w:eastAsia="el-GR"/>
        </w:rPr>
        <w:lastRenderedPageBreak/>
        <w:t>contribute</w:t>
      </w:r>
      <w:proofErr w:type="gramEnd"/>
      <w:r w:rsidR="000561C6" w:rsidRPr="00117825">
        <w:rPr>
          <w:rFonts w:eastAsia="Calibri"/>
          <w:color w:val="000000"/>
          <w:lang w:eastAsia="el-GR"/>
        </w:rPr>
        <w:t xml:space="preserve"> to </w:t>
      </w:r>
      <w:r w:rsidR="009D2EA3" w:rsidRPr="00117825">
        <w:rPr>
          <w:rFonts w:eastAsia="Calibri"/>
          <w:color w:val="000000"/>
          <w:lang w:eastAsia="el-GR"/>
        </w:rPr>
        <w:t>social well-being and become skeptical about corporate social involvement (</w:t>
      </w:r>
      <w:r w:rsidR="00426DB9" w:rsidRPr="00117825">
        <w:rPr>
          <w:rFonts w:eastAsia="Calibri"/>
          <w:color w:val="000000"/>
          <w:lang w:eastAsia="el-GR"/>
        </w:rPr>
        <w:t>Forehand &amp;</w:t>
      </w:r>
      <w:r w:rsidR="001E4AB7" w:rsidRPr="00117825">
        <w:rPr>
          <w:rFonts w:eastAsia="Calibri"/>
          <w:color w:val="000000"/>
          <w:lang w:eastAsia="el-GR"/>
        </w:rPr>
        <w:t xml:space="preserve"> Grier, 2003</w:t>
      </w:r>
      <w:r w:rsidR="007408DE" w:rsidRPr="00117825">
        <w:rPr>
          <w:rFonts w:eastAsia="Calibri"/>
          <w:color w:val="000000"/>
          <w:lang w:eastAsia="el-GR"/>
        </w:rPr>
        <w:t xml:space="preserve">; </w:t>
      </w:r>
      <w:proofErr w:type="spellStart"/>
      <w:r w:rsidR="00426DB9" w:rsidRPr="00117825">
        <w:rPr>
          <w:rFonts w:eastAsia="Calibri"/>
          <w:color w:val="000000"/>
          <w:lang w:eastAsia="el-GR"/>
        </w:rPr>
        <w:t>Vanhamme</w:t>
      </w:r>
      <w:proofErr w:type="spellEnd"/>
      <w:r w:rsidR="00426DB9" w:rsidRPr="00117825">
        <w:rPr>
          <w:rFonts w:eastAsia="Calibri"/>
          <w:color w:val="000000"/>
          <w:lang w:eastAsia="el-GR"/>
        </w:rPr>
        <w:t xml:space="preserve"> &amp;</w:t>
      </w:r>
      <w:r w:rsidR="0099757E" w:rsidRPr="00117825">
        <w:rPr>
          <w:rFonts w:eastAsia="Calibri"/>
          <w:color w:val="000000"/>
          <w:lang w:eastAsia="el-GR"/>
        </w:rPr>
        <w:t xml:space="preserve"> </w:t>
      </w:r>
      <w:proofErr w:type="spellStart"/>
      <w:r w:rsidR="0099757E" w:rsidRPr="00117825">
        <w:rPr>
          <w:rFonts w:eastAsia="Calibri"/>
          <w:color w:val="000000"/>
          <w:lang w:eastAsia="el-GR"/>
        </w:rPr>
        <w:t>Grobben</w:t>
      </w:r>
      <w:proofErr w:type="spellEnd"/>
      <w:r w:rsidR="0099757E" w:rsidRPr="00117825">
        <w:rPr>
          <w:rFonts w:eastAsia="Calibri"/>
          <w:color w:val="000000"/>
          <w:lang w:eastAsia="el-GR"/>
        </w:rPr>
        <w:t>, 2009</w:t>
      </w:r>
      <w:r w:rsidR="001E4AB7" w:rsidRPr="00117825">
        <w:rPr>
          <w:rFonts w:eastAsia="Calibri"/>
          <w:color w:val="000000"/>
          <w:lang w:eastAsia="el-GR"/>
        </w:rPr>
        <w:t xml:space="preserve">). </w:t>
      </w:r>
    </w:p>
    <w:p w:rsidR="006B1756" w:rsidRPr="00117825" w:rsidRDefault="00B857E0" w:rsidP="00117825">
      <w:pPr>
        <w:tabs>
          <w:tab w:val="left" w:pos="567"/>
        </w:tabs>
        <w:spacing w:line="480" w:lineRule="auto"/>
        <w:rPr>
          <w:rFonts w:eastAsia="Calibri"/>
          <w:color w:val="000000"/>
          <w:lang w:eastAsia="el-GR"/>
        </w:rPr>
      </w:pPr>
      <w:r w:rsidRPr="00B857E0">
        <w:rPr>
          <w:rFonts w:eastAsia="Calibri"/>
          <w:color w:val="000000"/>
          <w:lang w:eastAsia="el-GR"/>
        </w:rPr>
        <w:tab/>
      </w:r>
      <w:r w:rsidR="00CF35C4" w:rsidRPr="00117825">
        <w:rPr>
          <w:rFonts w:eastAsia="Calibri"/>
          <w:color w:val="000000"/>
          <w:lang w:eastAsia="el-GR"/>
        </w:rPr>
        <w:t xml:space="preserve">Despite the </w:t>
      </w:r>
      <w:r w:rsidR="00F86186" w:rsidRPr="00117825">
        <w:rPr>
          <w:rFonts w:eastAsia="Calibri"/>
          <w:color w:val="000000"/>
          <w:lang w:eastAsia="el-GR"/>
        </w:rPr>
        <w:t xml:space="preserve">widespread occurrence </w:t>
      </w:r>
      <w:r w:rsidR="00CF35C4" w:rsidRPr="00117825">
        <w:rPr>
          <w:rFonts w:eastAsia="Calibri"/>
          <w:color w:val="000000"/>
          <w:lang w:eastAsia="el-GR"/>
        </w:rPr>
        <w:t xml:space="preserve">and </w:t>
      </w:r>
      <w:r w:rsidR="00F86186" w:rsidRPr="00117825">
        <w:rPr>
          <w:rFonts w:eastAsia="Calibri"/>
          <w:color w:val="000000"/>
          <w:lang w:eastAsia="el-GR"/>
        </w:rPr>
        <w:t xml:space="preserve">importance </w:t>
      </w:r>
      <w:r w:rsidR="00406D6F" w:rsidRPr="00117825">
        <w:rPr>
          <w:rFonts w:eastAsia="Calibri"/>
          <w:color w:val="000000"/>
          <w:lang w:eastAsia="el-GR"/>
        </w:rPr>
        <w:t xml:space="preserve">of consumer skepticism toward </w:t>
      </w:r>
      <w:r w:rsidR="00BB66DF" w:rsidRPr="00117825">
        <w:rPr>
          <w:rFonts w:eastAsia="Calibri"/>
          <w:color w:val="000000"/>
          <w:lang w:eastAsia="el-GR"/>
        </w:rPr>
        <w:t>firm actions</w:t>
      </w:r>
      <w:r w:rsidR="00270A1F" w:rsidRPr="00117825">
        <w:rPr>
          <w:rFonts w:eastAsia="Calibri"/>
          <w:color w:val="000000"/>
          <w:lang w:eastAsia="el-GR"/>
        </w:rPr>
        <w:t>,</w:t>
      </w:r>
      <w:r w:rsidR="00957A4F" w:rsidRPr="00117825">
        <w:rPr>
          <w:rFonts w:eastAsia="Calibri"/>
          <w:color w:val="000000"/>
          <w:lang w:eastAsia="el-GR"/>
        </w:rPr>
        <w:t xml:space="preserve"> </w:t>
      </w:r>
      <w:r w:rsidR="00E53646" w:rsidRPr="00117825">
        <w:rPr>
          <w:rFonts w:eastAsia="Calibri"/>
          <w:color w:val="000000"/>
          <w:lang w:eastAsia="el-GR"/>
        </w:rPr>
        <w:t>studies on the</w:t>
      </w:r>
      <w:r w:rsidR="00BB66DF" w:rsidRPr="00117825">
        <w:rPr>
          <w:rFonts w:eastAsia="Calibri"/>
          <w:color w:val="000000"/>
          <w:lang w:eastAsia="el-GR"/>
        </w:rPr>
        <w:t xml:space="preserve"> determinants and consequences of consumer skepticism toward CSR</w:t>
      </w:r>
      <w:r w:rsidR="00C746B0" w:rsidRPr="00117825">
        <w:rPr>
          <w:rFonts w:eastAsia="Calibri"/>
          <w:color w:val="000000"/>
          <w:lang w:eastAsia="el-GR"/>
        </w:rPr>
        <w:t xml:space="preserve"> are lacking</w:t>
      </w:r>
      <w:r w:rsidR="00BB66DF" w:rsidRPr="00117825">
        <w:rPr>
          <w:rFonts w:eastAsia="Calibri"/>
          <w:color w:val="000000"/>
          <w:lang w:eastAsia="el-GR"/>
        </w:rPr>
        <w:t xml:space="preserve">. </w:t>
      </w:r>
      <w:r w:rsidR="00406D6F" w:rsidRPr="00117825">
        <w:rPr>
          <w:rFonts w:eastAsia="Calibri"/>
          <w:color w:val="000000"/>
          <w:lang w:eastAsia="el-GR"/>
        </w:rPr>
        <w:t>Th</w:t>
      </w:r>
      <w:r w:rsidR="00A21F82" w:rsidRPr="00117825">
        <w:rPr>
          <w:rFonts w:eastAsia="Calibri"/>
          <w:color w:val="000000"/>
          <w:lang w:eastAsia="el-GR"/>
        </w:rPr>
        <w:t xml:space="preserve">is </w:t>
      </w:r>
      <w:r w:rsidR="00DB3951" w:rsidRPr="00117825">
        <w:rPr>
          <w:rFonts w:eastAsia="Calibri"/>
          <w:color w:val="000000"/>
          <w:lang w:eastAsia="el-GR"/>
        </w:rPr>
        <w:t>dearth</w:t>
      </w:r>
      <w:r w:rsidR="00E53646" w:rsidRPr="00117825">
        <w:rPr>
          <w:rFonts w:eastAsia="Calibri"/>
          <w:color w:val="000000"/>
          <w:lang w:eastAsia="el-GR"/>
        </w:rPr>
        <w:t xml:space="preserve"> of research </w:t>
      </w:r>
      <w:r w:rsidR="00676118" w:rsidRPr="00117825">
        <w:rPr>
          <w:rFonts w:eastAsia="Calibri"/>
          <w:color w:val="000000"/>
          <w:lang w:eastAsia="el-GR"/>
        </w:rPr>
        <w:t>is</w:t>
      </w:r>
      <w:r w:rsidR="00A21F82" w:rsidRPr="00117825">
        <w:t xml:space="preserve"> </w:t>
      </w:r>
      <w:r w:rsidR="00A21F82" w:rsidRPr="00117825">
        <w:rPr>
          <w:rFonts w:eastAsia="Calibri"/>
          <w:color w:val="000000"/>
          <w:lang w:eastAsia="el-GR"/>
        </w:rPr>
        <w:t>unfortunate</w:t>
      </w:r>
      <w:r w:rsidR="00676118" w:rsidRPr="00117825">
        <w:rPr>
          <w:rFonts w:eastAsia="Calibri"/>
          <w:color w:val="000000"/>
          <w:lang w:eastAsia="el-GR"/>
        </w:rPr>
        <w:t xml:space="preserve"> </w:t>
      </w:r>
      <w:r w:rsidR="009B1950" w:rsidRPr="00117825">
        <w:rPr>
          <w:rFonts w:eastAsia="Calibri"/>
          <w:color w:val="000000"/>
          <w:lang w:eastAsia="el-GR"/>
        </w:rPr>
        <w:t xml:space="preserve">for three </w:t>
      </w:r>
      <w:r w:rsidR="002F7009" w:rsidRPr="00117825">
        <w:rPr>
          <w:rFonts w:eastAsia="Calibri"/>
          <w:color w:val="000000"/>
          <w:lang w:eastAsia="el-GR"/>
        </w:rPr>
        <w:t xml:space="preserve">main </w:t>
      </w:r>
      <w:r w:rsidR="009B1950" w:rsidRPr="00117825">
        <w:rPr>
          <w:rFonts w:eastAsia="Calibri"/>
          <w:color w:val="000000"/>
          <w:lang w:eastAsia="el-GR"/>
        </w:rPr>
        <w:t xml:space="preserve">reasons. First, </w:t>
      </w:r>
      <w:r w:rsidR="00676118" w:rsidRPr="00117825">
        <w:rPr>
          <w:rFonts w:eastAsia="Calibri"/>
          <w:color w:val="000000"/>
          <w:lang w:eastAsia="el-GR"/>
        </w:rPr>
        <w:t xml:space="preserve">skepticism </w:t>
      </w:r>
      <w:r w:rsidR="00F5019F" w:rsidRPr="00117825">
        <w:rPr>
          <w:rFonts w:eastAsia="Calibri"/>
          <w:color w:val="000000"/>
          <w:lang w:eastAsia="el-GR"/>
        </w:rPr>
        <w:t>constitutes</w:t>
      </w:r>
      <w:r w:rsidR="00A21F82" w:rsidRPr="00117825">
        <w:rPr>
          <w:rFonts w:eastAsia="Calibri"/>
          <w:color w:val="000000"/>
          <w:lang w:eastAsia="el-GR"/>
        </w:rPr>
        <w:t xml:space="preserve"> one of the most intriguing </w:t>
      </w:r>
      <w:r w:rsidR="008B6456" w:rsidRPr="00117825">
        <w:rPr>
          <w:rFonts w:eastAsia="Calibri"/>
          <w:color w:val="000000"/>
          <w:lang w:eastAsia="el-GR"/>
        </w:rPr>
        <w:t>phenomena</w:t>
      </w:r>
      <w:r w:rsidR="00A21F82" w:rsidRPr="00117825">
        <w:rPr>
          <w:rFonts w:eastAsia="Calibri"/>
          <w:color w:val="000000"/>
          <w:lang w:eastAsia="el-GR"/>
        </w:rPr>
        <w:t xml:space="preserve"> </w:t>
      </w:r>
      <w:r w:rsidR="008B6456" w:rsidRPr="00117825">
        <w:rPr>
          <w:rFonts w:eastAsia="Calibri"/>
          <w:color w:val="000000"/>
          <w:lang w:eastAsia="el-GR"/>
        </w:rPr>
        <w:t xml:space="preserve">that manifest in a range of situations </w:t>
      </w:r>
      <w:r w:rsidR="00A21F82" w:rsidRPr="00117825">
        <w:rPr>
          <w:rFonts w:eastAsia="Calibri"/>
          <w:color w:val="000000"/>
          <w:lang w:eastAsia="el-GR"/>
        </w:rPr>
        <w:t>(</w:t>
      </w:r>
      <w:r w:rsidR="00435580" w:rsidRPr="00117825">
        <w:rPr>
          <w:rFonts w:eastAsia="Calibri"/>
          <w:color w:val="000000"/>
          <w:lang w:eastAsia="el-GR"/>
        </w:rPr>
        <w:t xml:space="preserve">e.g., </w:t>
      </w:r>
      <w:r w:rsidR="00707CA0" w:rsidRPr="00117825">
        <w:rPr>
          <w:rFonts w:eastAsia="Calibri"/>
          <w:color w:val="000000"/>
          <w:lang w:eastAsia="el-GR"/>
        </w:rPr>
        <w:t>McGrath, 2011; Taber &amp; Lodge, 2006</w:t>
      </w:r>
      <w:r w:rsidR="00A21F82" w:rsidRPr="00117825">
        <w:rPr>
          <w:rFonts w:eastAsia="Calibri"/>
          <w:color w:val="000000"/>
          <w:lang w:eastAsia="el-GR"/>
        </w:rPr>
        <w:t>)</w:t>
      </w:r>
      <w:r w:rsidR="009B1950" w:rsidRPr="00117825">
        <w:rPr>
          <w:rFonts w:eastAsia="Calibri"/>
          <w:color w:val="000000"/>
          <w:lang w:eastAsia="el-GR"/>
        </w:rPr>
        <w:t xml:space="preserve">. Second, </w:t>
      </w:r>
      <w:r w:rsidR="00E12E12" w:rsidRPr="00117825">
        <w:rPr>
          <w:rFonts w:eastAsia="Calibri"/>
          <w:color w:val="000000"/>
          <w:lang w:eastAsia="el-GR"/>
        </w:rPr>
        <w:t xml:space="preserve">interest </w:t>
      </w:r>
      <w:r w:rsidR="00311493" w:rsidRPr="00117825">
        <w:rPr>
          <w:rFonts w:eastAsia="Calibri"/>
          <w:color w:val="000000"/>
          <w:lang w:eastAsia="el-GR"/>
        </w:rPr>
        <w:t xml:space="preserve">is rapidly increasing </w:t>
      </w:r>
      <w:r w:rsidR="00E12E12" w:rsidRPr="00117825">
        <w:rPr>
          <w:rFonts w:eastAsia="Calibri"/>
          <w:color w:val="000000"/>
          <w:lang w:eastAsia="el-GR"/>
        </w:rPr>
        <w:t xml:space="preserve">in </w:t>
      </w:r>
      <w:r w:rsidR="006B1756" w:rsidRPr="00117825">
        <w:rPr>
          <w:rFonts w:eastAsia="Calibri"/>
          <w:color w:val="000000"/>
          <w:lang w:eastAsia="el-GR"/>
        </w:rPr>
        <w:t>negative consumer responses to corporate actions</w:t>
      </w:r>
      <w:r w:rsidR="00311493" w:rsidRPr="00117825">
        <w:rPr>
          <w:rFonts w:eastAsia="Calibri"/>
          <w:color w:val="000000"/>
          <w:lang w:eastAsia="el-GR"/>
        </w:rPr>
        <w:t>,</w:t>
      </w:r>
      <w:r w:rsidR="006B1756" w:rsidRPr="00117825">
        <w:rPr>
          <w:rFonts w:eastAsia="Calibri"/>
          <w:color w:val="000000"/>
          <w:lang w:eastAsia="el-GR"/>
        </w:rPr>
        <w:t xml:space="preserve"> su</w:t>
      </w:r>
      <w:r w:rsidR="00426DB9" w:rsidRPr="00117825">
        <w:rPr>
          <w:rFonts w:eastAsia="Calibri"/>
          <w:color w:val="000000"/>
          <w:lang w:eastAsia="el-GR"/>
        </w:rPr>
        <w:t>ch as boycott (Klein, Smith, &amp;</w:t>
      </w:r>
      <w:r w:rsidR="006B1756" w:rsidRPr="00117825">
        <w:rPr>
          <w:rFonts w:eastAsia="Calibri"/>
          <w:color w:val="000000"/>
          <w:lang w:eastAsia="el-GR"/>
        </w:rPr>
        <w:t xml:space="preserve"> John, 2004), outrage (</w:t>
      </w:r>
      <w:proofErr w:type="spellStart"/>
      <w:r w:rsidR="006B1756" w:rsidRPr="00117825">
        <w:rPr>
          <w:rFonts w:eastAsia="Calibri"/>
          <w:color w:val="000000"/>
          <w:lang w:eastAsia="el-GR"/>
        </w:rPr>
        <w:t>Lindenmeier</w:t>
      </w:r>
      <w:proofErr w:type="spellEnd"/>
      <w:r w:rsidR="006B1756" w:rsidRPr="00117825">
        <w:rPr>
          <w:rFonts w:eastAsia="Calibri"/>
          <w:color w:val="000000"/>
          <w:lang w:eastAsia="el-GR"/>
        </w:rPr>
        <w:t xml:space="preserve">, </w:t>
      </w:r>
      <w:proofErr w:type="spellStart"/>
      <w:r w:rsidR="006B1756" w:rsidRPr="00117825">
        <w:rPr>
          <w:rFonts w:eastAsia="Calibri"/>
          <w:color w:val="000000"/>
          <w:lang w:eastAsia="el-GR"/>
        </w:rPr>
        <w:t>Schle</w:t>
      </w:r>
      <w:r w:rsidR="00426DB9" w:rsidRPr="00117825">
        <w:rPr>
          <w:rFonts w:eastAsia="Calibri"/>
          <w:color w:val="000000"/>
          <w:lang w:eastAsia="el-GR"/>
        </w:rPr>
        <w:t>er</w:t>
      </w:r>
      <w:proofErr w:type="spellEnd"/>
      <w:r w:rsidR="00426DB9" w:rsidRPr="00117825">
        <w:rPr>
          <w:rFonts w:eastAsia="Calibri"/>
          <w:color w:val="000000"/>
          <w:lang w:eastAsia="el-GR"/>
        </w:rPr>
        <w:t>, &amp;</w:t>
      </w:r>
      <w:r w:rsidR="006B1756" w:rsidRPr="00117825">
        <w:rPr>
          <w:rFonts w:eastAsia="Calibri"/>
          <w:color w:val="000000"/>
          <w:lang w:eastAsia="el-GR"/>
        </w:rPr>
        <w:t xml:space="preserve"> </w:t>
      </w:r>
      <w:proofErr w:type="spellStart"/>
      <w:r w:rsidR="006B1756" w:rsidRPr="00117825">
        <w:rPr>
          <w:rFonts w:eastAsia="Calibri"/>
          <w:color w:val="000000"/>
          <w:lang w:eastAsia="el-GR"/>
        </w:rPr>
        <w:t>Pricl</w:t>
      </w:r>
      <w:proofErr w:type="spellEnd"/>
      <w:r w:rsidR="006B1756" w:rsidRPr="00117825">
        <w:rPr>
          <w:rFonts w:eastAsia="Calibri"/>
          <w:color w:val="000000"/>
          <w:lang w:eastAsia="el-GR"/>
        </w:rPr>
        <w:t>, 2012), suspicion (</w:t>
      </w:r>
      <w:r w:rsidR="00426DB9" w:rsidRPr="00117825">
        <w:rPr>
          <w:rFonts w:eastAsia="Calibri"/>
          <w:color w:val="000000"/>
          <w:lang w:eastAsia="el-GR"/>
        </w:rPr>
        <w:t>Ferguson, Ellen, &amp;</w:t>
      </w:r>
      <w:r w:rsidR="00DE2921" w:rsidRPr="00117825">
        <w:rPr>
          <w:rFonts w:eastAsia="Calibri"/>
          <w:color w:val="000000"/>
          <w:lang w:eastAsia="el-GR"/>
        </w:rPr>
        <w:t xml:space="preserve"> </w:t>
      </w:r>
      <w:proofErr w:type="spellStart"/>
      <w:r w:rsidR="00DE2921" w:rsidRPr="00117825">
        <w:rPr>
          <w:rFonts w:eastAsia="Calibri"/>
          <w:color w:val="000000"/>
          <w:lang w:eastAsia="el-GR"/>
        </w:rPr>
        <w:t>Piscopo</w:t>
      </w:r>
      <w:proofErr w:type="spellEnd"/>
      <w:r w:rsidR="00DE2921" w:rsidRPr="00117825">
        <w:rPr>
          <w:rFonts w:eastAsia="Calibri"/>
          <w:color w:val="000000"/>
          <w:lang w:eastAsia="el-GR"/>
        </w:rPr>
        <w:t>, 2011</w:t>
      </w:r>
      <w:r w:rsidR="00426DB9" w:rsidRPr="00117825">
        <w:rPr>
          <w:rFonts w:eastAsia="Calibri"/>
          <w:color w:val="000000"/>
          <w:lang w:eastAsia="el-GR"/>
        </w:rPr>
        <w:t>), cynicism (</w:t>
      </w:r>
      <w:proofErr w:type="spellStart"/>
      <w:r w:rsidR="00426DB9" w:rsidRPr="00117825">
        <w:rPr>
          <w:rFonts w:eastAsia="Calibri"/>
          <w:color w:val="000000"/>
          <w:lang w:eastAsia="el-GR"/>
        </w:rPr>
        <w:t>Chyllinski</w:t>
      </w:r>
      <w:proofErr w:type="spellEnd"/>
      <w:r w:rsidR="00426DB9" w:rsidRPr="00117825">
        <w:rPr>
          <w:rFonts w:eastAsia="Calibri"/>
          <w:color w:val="000000"/>
          <w:lang w:eastAsia="el-GR"/>
        </w:rPr>
        <w:t xml:space="preserve"> &amp;</w:t>
      </w:r>
      <w:r w:rsidR="006B1756" w:rsidRPr="00117825">
        <w:rPr>
          <w:rFonts w:eastAsia="Calibri"/>
          <w:color w:val="000000"/>
          <w:lang w:eastAsia="el-GR"/>
        </w:rPr>
        <w:t xml:space="preserve"> Chu, 2010), </w:t>
      </w:r>
      <w:r w:rsidR="00426DB9" w:rsidRPr="00117825">
        <w:rPr>
          <w:rFonts w:eastAsia="Calibri"/>
          <w:color w:val="000000"/>
          <w:lang w:eastAsia="el-GR"/>
        </w:rPr>
        <w:t>distrust (</w:t>
      </w:r>
      <w:proofErr w:type="spellStart"/>
      <w:r w:rsidR="00426DB9" w:rsidRPr="00117825">
        <w:rPr>
          <w:rFonts w:eastAsia="Calibri"/>
          <w:color w:val="000000"/>
          <w:lang w:eastAsia="el-GR"/>
        </w:rPr>
        <w:t>Darke</w:t>
      </w:r>
      <w:proofErr w:type="spellEnd"/>
      <w:r w:rsidR="00426DB9" w:rsidRPr="00117825">
        <w:rPr>
          <w:rFonts w:eastAsia="Calibri"/>
          <w:color w:val="000000"/>
          <w:lang w:eastAsia="el-GR"/>
        </w:rPr>
        <w:t xml:space="preserve"> &amp; </w:t>
      </w:r>
      <w:r w:rsidR="00431295" w:rsidRPr="00117825">
        <w:rPr>
          <w:rFonts w:eastAsia="Calibri"/>
          <w:color w:val="000000"/>
          <w:lang w:eastAsia="el-GR"/>
        </w:rPr>
        <w:t>Ritchie, 2007)</w:t>
      </w:r>
      <w:r w:rsidR="006A2649" w:rsidRPr="00117825">
        <w:rPr>
          <w:rFonts w:eastAsia="Calibri"/>
          <w:color w:val="000000"/>
          <w:lang w:eastAsia="el-GR"/>
        </w:rPr>
        <w:t>,</w:t>
      </w:r>
      <w:r w:rsidR="00EF325F" w:rsidRPr="00117825">
        <w:rPr>
          <w:rFonts w:eastAsia="Calibri"/>
          <w:color w:val="000000"/>
          <w:lang w:eastAsia="el-GR"/>
        </w:rPr>
        <w:t xml:space="preserve"> </w:t>
      </w:r>
      <w:r w:rsidR="0050153E" w:rsidRPr="00117825">
        <w:rPr>
          <w:rFonts w:eastAsia="Calibri"/>
          <w:color w:val="000000"/>
          <w:lang w:eastAsia="el-GR"/>
        </w:rPr>
        <w:t xml:space="preserve">perceptions of </w:t>
      </w:r>
      <w:r w:rsidR="00A73DA3" w:rsidRPr="00117825">
        <w:rPr>
          <w:rFonts w:eastAsia="Calibri"/>
          <w:color w:val="000000"/>
          <w:lang w:eastAsia="el-GR"/>
        </w:rPr>
        <w:t>corporate social irresponsibility (Lange &amp; Washburn, 2012)</w:t>
      </w:r>
      <w:r w:rsidR="004D27EF" w:rsidRPr="00117825">
        <w:rPr>
          <w:rFonts w:eastAsia="Calibri"/>
          <w:color w:val="000000"/>
          <w:lang w:eastAsia="el-GR"/>
        </w:rPr>
        <w:t>,</w:t>
      </w:r>
      <w:r w:rsidR="00A73DA3" w:rsidRPr="00117825">
        <w:rPr>
          <w:rFonts w:eastAsia="Calibri"/>
          <w:color w:val="000000"/>
          <w:lang w:eastAsia="el-GR"/>
        </w:rPr>
        <w:t xml:space="preserve"> </w:t>
      </w:r>
      <w:r w:rsidR="004D27EF" w:rsidRPr="00117825">
        <w:rPr>
          <w:rFonts w:eastAsia="Calibri"/>
          <w:color w:val="000000"/>
          <w:lang w:eastAsia="el-GR"/>
        </w:rPr>
        <w:t xml:space="preserve">and perceptions </w:t>
      </w:r>
      <w:r w:rsidR="00311493" w:rsidRPr="00117825">
        <w:rPr>
          <w:rFonts w:eastAsia="Calibri"/>
          <w:color w:val="000000"/>
          <w:lang w:eastAsia="el-GR"/>
        </w:rPr>
        <w:t xml:space="preserve">of </w:t>
      </w:r>
      <w:r w:rsidR="006B1756" w:rsidRPr="00117825">
        <w:rPr>
          <w:rFonts w:eastAsia="Calibri"/>
          <w:color w:val="000000"/>
          <w:lang w:eastAsia="el-GR"/>
        </w:rPr>
        <w:t>corporate hypocrisy (</w:t>
      </w:r>
      <w:r w:rsidR="00426DB9" w:rsidRPr="00117825">
        <w:rPr>
          <w:rFonts w:eastAsia="Calibri"/>
          <w:color w:val="000000"/>
          <w:lang w:eastAsia="el-GR"/>
        </w:rPr>
        <w:t>Wagner</w:t>
      </w:r>
      <w:r w:rsidR="00B85FDD" w:rsidRPr="00117825">
        <w:rPr>
          <w:rFonts w:eastAsia="Calibri"/>
          <w:color w:val="000000"/>
          <w:lang w:eastAsia="el-GR"/>
        </w:rPr>
        <w:t xml:space="preserve"> et al.</w:t>
      </w:r>
      <w:r w:rsidR="00426DB9" w:rsidRPr="00117825">
        <w:rPr>
          <w:rFonts w:eastAsia="Calibri"/>
          <w:color w:val="000000"/>
          <w:lang w:eastAsia="el-GR"/>
        </w:rPr>
        <w:t xml:space="preserve">, </w:t>
      </w:r>
      <w:r w:rsidR="0099757E" w:rsidRPr="00117825">
        <w:rPr>
          <w:rFonts w:eastAsia="Calibri"/>
          <w:color w:val="000000"/>
          <w:lang w:eastAsia="el-GR"/>
        </w:rPr>
        <w:t>2009</w:t>
      </w:r>
      <w:r w:rsidR="006B1756" w:rsidRPr="00117825">
        <w:rPr>
          <w:rFonts w:eastAsia="Calibri"/>
          <w:color w:val="000000"/>
          <w:lang w:eastAsia="el-GR"/>
        </w:rPr>
        <w:t>)</w:t>
      </w:r>
      <w:r w:rsidR="0050153E" w:rsidRPr="00117825">
        <w:rPr>
          <w:rFonts w:eastAsia="Calibri"/>
          <w:color w:val="000000"/>
          <w:lang w:eastAsia="el-GR"/>
        </w:rPr>
        <w:t xml:space="preserve">. </w:t>
      </w:r>
      <w:r w:rsidR="00311493" w:rsidRPr="00117825">
        <w:rPr>
          <w:rFonts w:eastAsia="Calibri"/>
          <w:color w:val="000000"/>
          <w:lang w:eastAsia="el-GR"/>
        </w:rPr>
        <w:t>Third</w:t>
      </w:r>
      <w:r w:rsidR="009B1950" w:rsidRPr="00117825">
        <w:rPr>
          <w:rFonts w:eastAsia="Calibri"/>
          <w:color w:val="000000"/>
          <w:lang w:eastAsia="el-GR"/>
        </w:rPr>
        <w:t xml:space="preserve">, consumer skepticism toward </w:t>
      </w:r>
      <w:r w:rsidR="00534FA6" w:rsidRPr="00117825">
        <w:rPr>
          <w:rFonts w:eastAsia="Calibri"/>
          <w:color w:val="000000"/>
          <w:lang w:eastAsia="el-GR"/>
        </w:rPr>
        <w:t>business</w:t>
      </w:r>
      <w:r w:rsidR="009B1950" w:rsidRPr="00117825">
        <w:rPr>
          <w:rFonts w:eastAsia="Calibri"/>
          <w:color w:val="000000"/>
          <w:lang w:eastAsia="el-GR"/>
        </w:rPr>
        <w:t xml:space="preserve"> is on the rise </w:t>
      </w:r>
      <w:r w:rsidR="003A33A9" w:rsidRPr="00117825">
        <w:rPr>
          <w:rFonts w:eastAsia="Calibri"/>
          <w:color w:val="000000"/>
          <w:lang w:eastAsia="el-GR"/>
        </w:rPr>
        <w:t>(</w:t>
      </w:r>
      <w:r w:rsidR="003A33A9" w:rsidRPr="00117825">
        <w:rPr>
          <w:rFonts w:eastAsia="Calibri"/>
          <w:i/>
          <w:color w:val="000000"/>
          <w:lang w:eastAsia="el-GR"/>
        </w:rPr>
        <w:t>The Economist</w:t>
      </w:r>
      <w:r w:rsidR="003A33A9" w:rsidRPr="00117825">
        <w:rPr>
          <w:rFonts w:eastAsia="Calibri"/>
          <w:color w:val="000000"/>
          <w:lang w:eastAsia="el-GR"/>
        </w:rPr>
        <w:t xml:space="preserve">, 2012) </w:t>
      </w:r>
      <w:r w:rsidR="009B1950" w:rsidRPr="00117825">
        <w:rPr>
          <w:rFonts w:eastAsia="Calibri"/>
          <w:color w:val="000000"/>
          <w:lang w:eastAsia="el-GR"/>
        </w:rPr>
        <w:t>as</w:t>
      </w:r>
      <w:r w:rsidR="003F44DB" w:rsidRPr="00117825">
        <w:rPr>
          <w:rFonts w:eastAsia="Calibri"/>
          <w:color w:val="000000"/>
          <w:lang w:eastAsia="el-GR"/>
        </w:rPr>
        <w:t>,</w:t>
      </w:r>
      <w:r w:rsidR="009B1950" w:rsidRPr="00117825">
        <w:rPr>
          <w:rFonts w:eastAsia="Calibri"/>
          <w:color w:val="000000"/>
          <w:lang w:eastAsia="el-GR"/>
        </w:rPr>
        <w:t xml:space="preserve"> despite </w:t>
      </w:r>
      <w:r w:rsidR="0050153E" w:rsidRPr="00117825">
        <w:rPr>
          <w:rFonts w:eastAsia="Calibri"/>
          <w:color w:val="000000"/>
          <w:lang w:eastAsia="el-GR"/>
        </w:rPr>
        <w:t xml:space="preserve">companies’ heavy investment in </w:t>
      </w:r>
      <w:r w:rsidR="00BA3AAD" w:rsidRPr="00117825">
        <w:rPr>
          <w:rFonts w:eastAsia="Calibri"/>
          <w:color w:val="000000"/>
          <w:lang w:eastAsia="el-GR"/>
        </w:rPr>
        <w:t xml:space="preserve">publicizing </w:t>
      </w:r>
      <w:r w:rsidR="0050153E" w:rsidRPr="00117825">
        <w:rPr>
          <w:rFonts w:eastAsia="Calibri"/>
          <w:color w:val="000000"/>
          <w:lang w:eastAsia="el-GR"/>
        </w:rPr>
        <w:t xml:space="preserve">their </w:t>
      </w:r>
      <w:r w:rsidR="00534FA6" w:rsidRPr="00117825">
        <w:rPr>
          <w:rFonts w:eastAsia="Calibri"/>
          <w:color w:val="000000"/>
          <w:lang w:eastAsia="el-GR"/>
        </w:rPr>
        <w:t>good works</w:t>
      </w:r>
      <w:r w:rsidR="00426DB9" w:rsidRPr="00117825">
        <w:rPr>
          <w:rFonts w:eastAsia="Calibri"/>
          <w:color w:val="000000"/>
          <w:lang w:eastAsia="el-GR"/>
        </w:rPr>
        <w:t xml:space="preserve"> (Porter &amp;</w:t>
      </w:r>
      <w:r w:rsidR="00EF02E9" w:rsidRPr="00117825">
        <w:rPr>
          <w:rFonts w:eastAsia="Calibri"/>
          <w:color w:val="000000"/>
          <w:lang w:eastAsia="el-GR"/>
        </w:rPr>
        <w:t xml:space="preserve"> K</w:t>
      </w:r>
      <w:r w:rsidR="0050153E" w:rsidRPr="00117825">
        <w:rPr>
          <w:rFonts w:eastAsia="Calibri"/>
          <w:color w:val="000000"/>
          <w:lang w:eastAsia="el-GR"/>
        </w:rPr>
        <w:t>ramer, 2004), reported incidents of irresponsible corporate behavior abound (</w:t>
      </w:r>
      <w:r w:rsidR="0099757E" w:rsidRPr="00117825">
        <w:rPr>
          <w:rFonts w:eastAsia="Calibri"/>
          <w:color w:val="000000"/>
          <w:lang w:eastAsia="el-GR"/>
        </w:rPr>
        <w:t>Carson, 2003</w:t>
      </w:r>
      <w:r w:rsidR="00A73DA3" w:rsidRPr="00117825">
        <w:rPr>
          <w:rFonts w:eastAsia="Calibri"/>
          <w:color w:val="000000"/>
          <w:lang w:eastAsia="el-GR"/>
        </w:rPr>
        <w:t>; Lange &amp; Washburn, 2012</w:t>
      </w:r>
      <w:r w:rsidR="0050153E" w:rsidRPr="00117825">
        <w:rPr>
          <w:rFonts w:eastAsia="Calibri"/>
          <w:color w:val="000000"/>
          <w:lang w:eastAsia="el-GR"/>
        </w:rPr>
        <w:t>)</w:t>
      </w:r>
      <w:r w:rsidR="00311493" w:rsidRPr="00117825">
        <w:rPr>
          <w:rFonts w:eastAsia="Calibri"/>
          <w:color w:val="000000"/>
          <w:lang w:eastAsia="el-GR"/>
        </w:rPr>
        <w:t>,</w:t>
      </w:r>
      <w:r w:rsidR="0050153E" w:rsidRPr="00117825">
        <w:rPr>
          <w:rFonts w:eastAsia="Calibri"/>
          <w:color w:val="000000"/>
          <w:lang w:eastAsia="el-GR"/>
        </w:rPr>
        <w:t xml:space="preserve"> and </w:t>
      </w:r>
      <w:r w:rsidR="00A77AE0" w:rsidRPr="00117825">
        <w:rPr>
          <w:rFonts w:eastAsia="Calibri"/>
          <w:color w:val="000000"/>
          <w:lang w:eastAsia="el-GR"/>
        </w:rPr>
        <w:t>negative information is generally more diagnostic and weights more heavily than positive information (</w:t>
      </w:r>
      <w:proofErr w:type="spellStart"/>
      <w:r w:rsidR="00A77AE0" w:rsidRPr="00117825">
        <w:rPr>
          <w:rFonts w:eastAsia="Calibri"/>
          <w:color w:val="000000"/>
          <w:lang w:eastAsia="el-GR"/>
        </w:rPr>
        <w:t>Baumeist</w:t>
      </w:r>
      <w:r w:rsidR="00426DB9" w:rsidRPr="00117825">
        <w:rPr>
          <w:rFonts w:eastAsia="Calibri"/>
          <w:color w:val="000000"/>
          <w:lang w:eastAsia="el-GR"/>
        </w:rPr>
        <w:t>er</w:t>
      </w:r>
      <w:proofErr w:type="spellEnd"/>
      <w:r w:rsidR="00426DB9" w:rsidRPr="00117825">
        <w:rPr>
          <w:rFonts w:eastAsia="Calibri"/>
          <w:color w:val="000000"/>
          <w:lang w:eastAsia="el-GR"/>
        </w:rPr>
        <w:t xml:space="preserve">, </w:t>
      </w:r>
      <w:proofErr w:type="spellStart"/>
      <w:r w:rsidR="00426DB9" w:rsidRPr="00117825">
        <w:rPr>
          <w:rFonts w:eastAsia="Calibri"/>
          <w:color w:val="000000"/>
          <w:lang w:eastAsia="el-GR"/>
        </w:rPr>
        <w:t>Bratslavsky</w:t>
      </w:r>
      <w:proofErr w:type="spellEnd"/>
      <w:r w:rsidR="00426DB9" w:rsidRPr="00117825">
        <w:rPr>
          <w:rFonts w:eastAsia="Calibri"/>
          <w:color w:val="000000"/>
          <w:lang w:eastAsia="el-GR"/>
        </w:rPr>
        <w:t xml:space="preserve">, </w:t>
      </w:r>
      <w:proofErr w:type="spellStart"/>
      <w:r w:rsidR="00426DB9" w:rsidRPr="00117825">
        <w:rPr>
          <w:rFonts w:eastAsia="Calibri"/>
          <w:color w:val="000000"/>
          <w:lang w:eastAsia="el-GR"/>
        </w:rPr>
        <w:t>Finkenauer</w:t>
      </w:r>
      <w:proofErr w:type="spellEnd"/>
      <w:r w:rsidR="00426DB9" w:rsidRPr="00117825">
        <w:rPr>
          <w:rFonts w:eastAsia="Calibri"/>
          <w:color w:val="000000"/>
          <w:lang w:eastAsia="el-GR"/>
        </w:rPr>
        <w:t>, &amp;</w:t>
      </w:r>
      <w:r w:rsidR="00A77AE0" w:rsidRPr="00117825">
        <w:rPr>
          <w:rFonts w:eastAsia="Calibri"/>
          <w:color w:val="000000"/>
          <w:lang w:eastAsia="el-GR"/>
        </w:rPr>
        <w:t xml:space="preserve"> </w:t>
      </w:r>
      <w:proofErr w:type="spellStart"/>
      <w:r w:rsidR="00A77AE0" w:rsidRPr="00117825">
        <w:rPr>
          <w:rFonts w:eastAsia="Calibri"/>
          <w:color w:val="000000"/>
          <w:lang w:eastAsia="el-GR"/>
        </w:rPr>
        <w:t>Vohs</w:t>
      </w:r>
      <w:proofErr w:type="spellEnd"/>
      <w:r w:rsidR="00A77AE0" w:rsidRPr="00117825">
        <w:rPr>
          <w:rFonts w:eastAsia="Calibri"/>
          <w:color w:val="000000"/>
          <w:lang w:eastAsia="el-GR"/>
        </w:rPr>
        <w:t>, 2001).</w:t>
      </w:r>
    </w:p>
    <w:p w:rsidR="009A634C" w:rsidRPr="00671025" w:rsidRDefault="00B857E0" w:rsidP="002553B2">
      <w:pPr>
        <w:tabs>
          <w:tab w:val="left" w:pos="567"/>
        </w:tabs>
        <w:spacing w:line="480" w:lineRule="auto"/>
        <w:rPr>
          <w:rFonts w:eastAsia="Calibri"/>
          <w:color w:val="000000"/>
          <w:lang w:eastAsia="el-GR"/>
        </w:rPr>
      </w:pPr>
      <w:r>
        <w:rPr>
          <w:rFonts w:eastAsia="Calibri"/>
          <w:color w:val="000000"/>
          <w:lang w:eastAsia="el-GR"/>
        </w:rPr>
        <w:tab/>
      </w:r>
      <w:r w:rsidR="00217369">
        <w:rPr>
          <w:rFonts w:eastAsia="Calibri"/>
          <w:color w:val="000000"/>
          <w:lang w:eastAsia="el-GR"/>
        </w:rPr>
        <w:t>T</w:t>
      </w:r>
      <w:r w:rsidR="00CF35C4" w:rsidRPr="00117825">
        <w:rPr>
          <w:rFonts w:eastAsia="Calibri"/>
          <w:color w:val="000000"/>
          <w:lang w:eastAsia="el-GR"/>
        </w:rPr>
        <w:t xml:space="preserve">his study </w:t>
      </w:r>
      <w:r w:rsidR="00D31393" w:rsidRPr="00117825">
        <w:rPr>
          <w:rFonts w:eastAsia="Calibri"/>
          <w:color w:val="000000"/>
          <w:lang w:eastAsia="el-GR"/>
        </w:rPr>
        <w:t>contribute</w:t>
      </w:r>
      <w:r w:rsidR="00A24788" w:rsidRPr="00117825">
        <w:rPr>
          <w:rFonts w:eastAsia="Calibri"/>
          <w:color w:val="000000"/>
          <w:lang w:eastAsia="el-GR"/>
        </w:rPr>
        <w:t>s</w:t>
      </w:r>
      <w:r w:rsidR="00D31393" w:rsidRPr="00117825">
        <w:rPr>
          <w:rFonts w:eastAsia="Calibri"/>
          <w:color w:val="000000"/>
          <w:lang w:eastAsia="el-GR"/>
        </w:rPr>
        <w:t xml:space="preserve"> to the CSR literature </w:t>
      </w:r>
      <w:r w:rsidR="00EC4D40" w:rsidRPr="00117825">
        <w:rPr>
          <w:rFonts w:eastAsia="Calibri"/>
          <w:color w:val="000000"/>
          <w:lang w:eastAsia="el-GR"/>
        </w:rPr>
        <w:t>by developing and testing a model that explains</w:t>
      </w:r>
      <w:r w:rsidR="00E31394" w:rsidRPr="00117825">
        <w:rPr>
          <w:rFonts w:eastAsia="Calibri"/>
          <w:color w:val="000000"/>
          <w:lang w:eastAsia="el-GR"/>
        </w:rPr>
        <w:t xml:space="preserve"> both</w:t>
      </w:r>
      <w:r w:rsidR="00EC4D40" w:rsidRPr="00117825">
        <w:rPr>
          <w:rFonts w:eastAsia="Calibri"/>
          <w:color w:val="000000"/>
          <w:lang w:eastAsia="el-GR"/>
        </w:rPr>
        <w:t xml:space="preserve"> how consumer skepticism toward CSR </w:t>
      </w:r>
      <w:r w:rsidR="00CD3CB5" w:rsidRPr="00117825">
        <w:rPr>
          <w:rFonts w:eastAsia="Calibri"/>
          <w:color w:val="000000"/>
          <w:lang w:eastAsia="el-GR"/>
        </w:rPr>
        <w:t xml:space="preserve">develops and its influence on consumer-related outcomes in the context of </w:t>
      </w:r>
      <w:r w:rsidR="00EC4D40" w:rsidRPr="00117825">
        <w:rPr>
          <w:rFonts w:eastAsia="Calibri"/>
          <w:color w:val="000000"/>
          <w:lang w:eastAsia="el-GR"/>
        </w:rPr>
        <w:t>grocery retailers.</w:t>
      </w:r>
      <w:r w:rsidR="00EC4D40" w:rsidRPr="00117825">
        <w:t xml:space="preserve"> </w:t>
      </w:r>
      <w:r w:rsidR="00EC4D40" w:rsidRPr="00117825">
        <w:rPr>
          <w:rFonts w:eastAsia="Calibri"/>
          <w:color w:val="000000"/>
          <w:lang w:eastAsia="el-GR"/>
        </w:rPr>
        <w:t>Ethical issues are increasingly important in consumer food and grocery shopping decisio</w:t>
      </w:r>
      <w:r w:rsidR="00426DB9" w:rsidRPr="00117825">
        <w:rPr>
          <w:rFonts w:eastAsia="Calibri"/>
          <w:color w:val="000000"/>
          <w:lang w:eastAsia="el-GR"/>
        </w:rPr>
        <w:t>ns (</w:t>
      </w:r>
      <w:proofErr w:type="spellStart"/>
      <w:r w:rsidR="00426DB9" w:rsidRPr="00117825">
        <w:rPr>
          <w:rFonts w:eastAsia="Calibri"/>
          <w:color w:val="000000"/>
          <w:lang w:eastAsia="el-GR"/>
        </w:rPr>
        <w:t>Memery</w:t>
      </w:r>
      <w:proofErr w:type="spellEnd"/>
      <w:r w:rsidR="00426DB9" w:rsidRPr="00117825">
        <w:rPr>
          <w:rFonts w:eastAsia="Calibri"/>
          <w:color w:val="000000"/>
          <w:lang w:eastAsia="el-GR"/>
        </w:rPr>
        <w:t xml:space="preserve">, </w:t>
      </w:r>
      <w:proofErr w:type="spellStart"/>
      <w:r w:rsidR="00426DB9" w:rsidRPr="00117825">
        <w:rPr>
          <w:rFonts w:eastAsia="Calibri"/>
          <w:color w:val="000000"/>
          <w:lang w:eastAsia="el-GR"/>
        </w:rPr>
        <w:t>Megicks</w:t>
      </w:r>
      <w:proofErr w:type="spellEnd"/>
      <w:r w:rsidR="00426DB9" w:rsidRPr="00117825">
        <w:rPr>
          <w:rFonts w:eastAsia="Calibri"/>
          <w:color w:val="000000"/>
          <w:lang w:eastAsia="el-GR"/>
        </w:rPr>
        <w:t>, Angell, &amp;</w:t>
      </w:r>
      <w:r w:rsidR="00EC4D40" w:rsidRPr="00117825">
        <w:rPr>
          <w:rFonts w:eastAsia="Calibri"/>
          <w:color w:val="000000"/>
          <w:lang w:eastAsia="el-GR"/>
        </w:rPr>
        <w:t xml:space="preserve"> Williams, 2012). </w:t>
      </w:r>
      <w:r w:rsidR="00CE367C" w:rsidRPr="00117825">
        <w:rPr>
          <w:rFonts w:eastAsia="Calibri"/>
          <w:color w:val="000000"/>
          <w:lang w:eastAsia="el-GR"/>
        </w:rPr>
        <w:t xml:space="preserve">The focus of this study is on cause-related marketing—a </w:t>
      </w:r>
      <w:r w:rsidR="00CE367C" w:rsidRPr="00117825">
        <w:rPr>
          <w:color w:val="000000"/>
        </w:rPr>
        <w:t>partnership between a retailer and a nonprofit organization</w:t>
      </w:r>
      <w:r w:rsidR="00311493" w:rsidRPr="00117825">
        <w:rPr>
          <w:color w:val="000000"/>
        </w:rPr>
        <w:t>,</w:t>
      </w:r>
      <w:r w:rsidR="00006E47" w:rsidRPr="00117825">
        <w:rPr>
          <w:rFonts w:eastAsia="Calibri"/>
          <w:color w:val="000000"/>
          <w:lang w:eastAsia="el-GR"/>
        </w:rPr>
        <w:t xml:space="preserve"> </w:t>
      </w:r>
      <w:r w:rsidR="00311493" w:rsidRPr="00117825">
        <w:rPr>
          <w:rFonts w:eastAsia="Calibri"/>
          <w:color w:val="000000"/>
          <w:lang w:eastAsia="el-GR"/>
        </w:rPr>
        <w:t xml:space="preserve">in which </w:t>
      </w:r>
      <w:r w:rsidR="00006E47" w:rsidRPr="00117825">
        <w:rPr>
          <w:rFonts w:eastAsia="Calibri"/>
          <w:color w:val="000000"/>
          <w:lang w:eastAsia="el-GR"/>
        </w:rPr>
        <w:t xml:space="preserve">the latter gains money and profile and the former benefits by associating itself with a good cause </w:t>
      </w:r>
      <w:r w:rsidR="00311493" w:rsidRPr="00117825">
        <w:rPr>
          <w:rFonts w:eastAsia="Calibri"/>
          <w:color w:val="000000"/>
          <w:lang w:eastAsia="el-GR"/>
        </w:rPr>
        <w:t>and from</w:t>
      </w:r>
      <w:r w:rsidR="00006E47" w:rsidRPr="00117825">
        <w:rPr>
          <w:rFonts w:eastAsia="Calibri"/>
          <w:color w:val="000000"/>
          <w:lang w:eastAsia="el-GR"/>
        </w:rPr>
        <w:t xml:space="preserve"> increasing sales</w:t>
      </w:r>
      <w:r w:rsidR="00426DB9" w:rsidRPr="00117825">
        <w:rPr>
          <w:rFonts w:eastAsia="Calibri"/>
          <w:color w:val="000000"/>
          <w:lang w:eastAsia="el-GR"/>
        </w:rPr>
        <w:t xml:space="preserve"> (</w:t>
      </w:r>
      <w:proofErr w:type="spellStart"/>
      <w:r w:rsidR="00426DB9" w:rsidRPr="00117825">
        <w:rPr>
          <w:rFonts w:eastAsia="Calibri"/>
          <w:color w:val="000000"/>
          <w:lang w:eastAsia="el-GR"/>
        </w:rPr>
        <w:t>Barone</w:t>
      </w:r>
      <w:proofErr w:type="spellEnd"/>
      <w:r w:rsidR="00426DB9" w:rsidRPr="00117825">
        <w:rPr>
          <w:rFonts w:eastAsia="Calibri"/>
          <w:color w:val="000000"/>
          <w:lang w:eastAsia="el-GR"/>
        </w:rPr>
        <w:t>, Norman, &amp;</w:t>
      </w:r>
      <w:r w:rsidR="00006E47" w:rsidRPr="00117825">
        <w:rPr>
          <w:rFonts w:eastAsia="Calibri"/>
          <w:color w:val="000000"/>
          <w:lang w:eastAsia="el-GR"/>
        </w:rPr>
        <w:t xml:space="preserve"> Miyazaki, 2007).</w:t>
      </w:r>
      <w:r w:rsidR="00CE367C" w:rsidRPr="00117825">
        <w:rPr>
          <w:color w:val="000000"/>
        </w:rPr>
        <w:t xml:space="preserve"> </w:t>
      </w:r>
      <w:r w:rsidR="00502D6F" w:rsidRPr="00117825">
        <w:rPr>
          <w:rFonts w:eastAsia="Calibri"/>
          <w:color w:val="000000"/>
          <w:lang w:eastAsia="el-GR"/>
        </w:rPr>
        <w:t>C</w:t>
      </w:r>
      <w:r w:rsidR="00502D6F" w:rsidRPr="00117825">
        <w:rPr>
          <w:color w:val="000000"/>
        </w:rPr>
        <w:t xml:space="preserve">ause-related marketing is particularly appropriate for the examination of </w:t>
      </w:r>
      <w:r w:rsidR="00502D6F" w:rsidRPr="00117825">
        <w:rPr>
          <w:color w:val="000000"/>
        </w:rPr>
        <w:lastRenderedPageBreak/>
        <w:t xml:space="preserve">consumer skepticism </w:t>
      </w:r>
      <w:r w:rsidR="00311493" w:rsidRPr="00117825">
        <w:rPr>
          <w:color w:val="000000"/>
        </w:rPr>
        <w:t>because of</w:t>
      </w:r>
      <w:r w:rsidR="00006E47" w:rsidRPr="00117825">
        <w:rPr>
          <w:color w:val="000000"/>
        </w:rPr>
        <w:t xml:space="preserve"> its dual </w:t>
      </w:r>
      <w:r w:rsidR="00502D6F" w:rsidRPr="00117825">
        <w:rPr>
          <w:color w:val="000000"/>
        </w:rPr>
        <w:t xml:space="preserve">(cause-beneficial and cause-exploitative) </w:t>
      </w:r>
      <w:r w:rsidR="00006E47" w:rsidRPr="00117825">
        <w:rPr>
          <w:color w:val="000000"/>
        </w:rPr>
        <w:t xml:space="preserve">nature. </w:t>
      </w:r>
      <w:r w:rsidR="00EC4D40" w:rsidRPr="00117825">
        <w:rPr>
          <w:rFonts w:eastAsia="Calibri"/>
          <w:color w:val="000000"/>
          <w:lang w:eastAsia="el-GR"/>
        </w:rPr>
        <w:t xml:space="preserve">Drawing on attribution theory, </w:t>
      </w:r>
      <w:r w:rsidR="00571E12" w:rsidRPr="00117825">
        <w:rPr>
          <w:rFonts w:eastAsia="Calibri"/>
          <w:color w:val="000000"/>
          <w:lang w:eastAsia="el-GR"/>
        </w:rPr>
        <w:t xml:space="preserve">this study posits that </w:t>
      </w:r>
      <w:r w:rsidR="005B16CC" w:rsidRPr="00117825">
        <w:rPr>
          <w:rFonts w:eastAsia="Calibri"/>
          <w:color w:val="000000"/>
          <w:lang w:eastAsia="el-GR"/>
        </w:rPr>
        <w:t xml:space="preserve">CSR-induced </w:t>
      </w:r>
      <w:r w:rsidR="00571E12" w:rsidRPr="00117825">
        <w:rPr>
          <w:rFonts w:eastAsia="Calibri"/>
          <w:color w:val="000000"/>
          <w:lang w:eastAsia="el-GR"/>
        </w:rPr>
        <w:t>consumer attributions</w:t>
      </w:r>
      <w:r w:rsidR="00311493" w:rsidRPr="00117825">
        <w:rPr>
          <w:rFonts w:eastAsia="Calibri"/>
          <w:color w:val="000000"/>
          <w:lang w:eastAsia="el-GR"/>
        </w:rPr>
        <w:t>—</w:t>
      </w:r>
      <w:r w:rsidR="005B6881" w:rsidRPr="00117825">
        <w:rPr>
          <w:rFonts w:eastAsia="Calibri"/>
          <w:color w:val="000000"/>
          <w:lang w:eastAsia="el-GR"/>
        </w:rPr>
        <w:t>namely egoistic-, values-, strategic-, and stakeholder-driven motives</w:t>
      </w:r>
      <w:r w:rsidR="00311493" w:rsidRPr="00117825">
        <w:rPr>
          <w:rFonts w:eastAsia="Calibri"/>
          <w:color w:val="000000"/>
          <w:lang w:eastAsia="el-GR"/>
        </w:rPr>
        <w:t>—</w:t>
      </w:r>
      <w:r w:rsidR="0041437F" w:rsidRPr="00117825">
        <w:rPr>
          <w:rFonts w:eastAsia="Calibri"/>
          <w:color w:val="000000"/>
          <w:lang w:eastAsia="el-GR"/>
        </w:rPr>
        <w:t xml:space="preserve">influence the formation of </w:t>
      </w:r>
      <w:r w:rsidR="005B16CC" w:rsidRPr="00117825">
        <w:rPr>
          <w:rFonts w:eastAsia="Calibri"/>
          <w:color w:val="000000"/>
          <w:lang w:eastAsia="el-GR"/>
        </w:rPr>
        <w:t>consumer skepticism toward CSR</w:t>
      </w:r>
      <w:r w:rsidR="00815705" w:rsidRPr="00117825">
        <w:rPr>
          <w:rFonts w:eastAsia="Calibri"/>
          <w:color w:val="000000"/>
          <w:lang w:eastAsia="el-GR"/>
        </w:rPr>
        <w:t xml:space="preserve">, which in turn </w:t>
      </w:r>
      <w:r w:rsidR="005B6881" w:rsidRPr="00117825">
        <w:rPr>
          <w:rFonts w:eastAsia="Calibri"/>
          <w:color w:val="000000"/>
          <w:lang w:eastAsia="el-GR"/>
        </w:rPr>
        <w:t>decreas</w:t>
      </w:r>
      <w:r w:rsidR="00815705" w:rsidRPr="00117825">
        <w:rPr>
          <w:rFonts w:eastAsia="Calibri"/>
          <w:color w:val="000000"/>
          <w:lang w:eastAsia="el-GR"/>
        </w:rPr>
        <w:t>es</w:t>
      </w:r>
      <w:r w:rsidR="005B6881" w:rsidRPr="00117825">
        <w:rPr>
          <w:rFonts w:eastAsia="Calibri"/>
          <w:color w:val="000000"/>
          <w:lang w:eastAsia="el-GR"/>
        </w:rPr>
        <w:t xml:space="preserve"> </w:t>
      </w:r>
      <w:r w:rsidR="005B16CC" w:rsidRPr="00117825">
        <w:rPr>
          <w:rFonts w:eastAsia="Calibri"/>
          <w:color w:val="000000"/>
          <w:lang w:eastAsia="el-GR"/>
        </w:rPr>
        <w:t>consumer-</w:t>
      </w:r>
      <w:r w:rsidR="005B6881" w:rsidRPr="00117825">
        <w:rPr>
          <w:rFonts w:eastAsia="Calibri"/>
          <w:color w:val="000000"/>
          <w:lang w:eastAsia="el-GR"/>
        </w:rPr>
        <w:t>based</w:t>
      </w:r>
      <w:r w:rsidR="005B16CC" w:rsidRPr="00117825">
        <w:rPr>
          <w:rFonts w:eastAsia="Calibri"/>
          <w:color w:val="000000"/>
          <w:lang w:eastAsia="el-GR"/>
        </w:rPr>
        <w:t xml:space="preserve"> </w:t>
      </w:r>
      <w:r w:rsidR="00703678" w:rsidRPr="00117825">
        <w:rPr>
          <w:rFonts w:eastAsia="Calibri"/>
          <w:color w:val="000000"/>
          <w:lang w:eastAsia="el-GR"/>
        </w:rPr>
        <w:t xml:space="preserve">retailer equity, </w:t>
      </w:r>
      <w:r w:rsidR="005B6881" w:rsidRPr="00117825">
        <w:rPr>
          <w:rFonts w:eastAsia="Calibri"/>
          <w:color w:val="000000"/>
          <w:lang w:eastAsia="el-GR"/>
        </w:rPr>
        <w:t xml:space="preserve">consumer </w:t>
      </w:r>
      <w:r w:rsidR="00703678" w:rsidRPr="00117825">
        <w:rPr>
          <w:rFonts w:eastAsia="Calibri"/>
          <w:color w:val="000000"/>
          <w:lang w:eastAsia="el-GR"/>
        </w:rPr>
        <w:t>resilience to negative information, and</w:t>
      </w:r>
      <w:r w:rsidR="005B6881" w:rsidRPr="00117825">
        <w:rPr>
          <w:rFonts w:eastAsia="Calibri"/>
          <w:color w:val="000000"/>
          <w:lang w:eastAsia="el-GR"/>
        </w:rPr>
        <w:t xml:space="preserve"> word</w:t>
      </w:r>
      <w:r w:rsidR="00311493" w:rsidRPr="00117825">
        <w:rPr>
          <w:rFonts w:eastAsia="Calibri"/>
          <w:color w:val="000000"/>
          <w:lang w:eastAsia="el-GR"/>
        </w:rPr>
        <w:t xml:space="preserve"> </w:t>
      </w:r>
      <w:r w:rsidR="005B6881" w:rsidRPr="00117825">
        <w:rPr>
          <w:rFonts w:eastAsia="Calibri"/>
          <w:color w:val="000000"/>
          <w:lang w:eastAsia="el-GR"/>
        </w:rPr>
        <w:t>of</w:t>
      </w:r>
      <w:r w:rsidR="00311493" w:rsidRPr="00117825">
        <w:rPr>
          <w:rFonts w:eastAsia="Calibri"/>
          <w:color w:val="000000"/>
          <w:lang w:eastAsia="el-GR"/>
        </w:rPr>
        <w:t xml:space="preserve"> </w:t>
      </w:r>
      <w:r w:rsidR="00703678" w:rsidRPr="00117825">
        <w:rPr>
          <w:rFonts w:eastAsia="Calibri"/>
          <w:color w:val="000000"/>
          <w:lang w:eastAsia="el-GR"/>
        </w:rPr>
        <w:t>mouth</w:t>
      </w:r>
      <w:r w:rsidR="005B6881" w:rsidRPr="00117825">
        <w:rPr>
          <w:rFonts w:eastAsia="Calibri"/>
          <w:color w:val="000000"/>
          <w:lang w:eastAsia="el-GR"/>
        </w:rPr>
        <w:t xml:space="preserve"> </w:t>
      </w:r>
      <w:r w:rsidR="00A21F6A" w:rsidRPr="00117825">
        <w:rPr>
          <w:rFonts w:eastAsia="Calibri"/>
          <w:color w:val="000000"/>
          <w:lang w:eastAsia="el-GR"/>
        </w:rPr>
        <w:t>(WOM)</w:t>
      </w:r>
      <w:r w:rsidR="00703678" w:rsidRPr="00117825">
        <w:rPr>
          <w:rFonts w:eastAsia="Calibri"/>
          <w:color w:val="000000"/>
          <w:lang w:eastAsia="el-GR"/>
        </w:rPr>
        <w:t xml:space="preserve">. </w:t>
      </w:r>
      <w:r w:rsidR="0041437F" w:rsidRPr="00117825">
        <w:rPr>
          <w:rFonts w:eastAsia="Calibri"/>
          <w:color w:val="000000"/>
          <w:lang w:eastAsia="el-GR"/>
        </w:rPr>
        <w:t>Fig</w:t>
      </w:r>
      <w:r w:rsidR="00217369">
        <w:rPr>
          <w:rFonts w:eastAsia="Calibri"/>
          <w:color w:val="000000"/>
          <w:lang w:eastAsia="el-GR"/>
        </w:rPr>
        <w:t>ure</w:t>
      </w:r>
      <w:r w:rsidR="008559B3" w:rsidRPr="00117825">
        <w:rPr>
          <w:rFonts w:eastAsia="Calibri"/>
          <w:color w:val="000000"/>
          <w:lang w:eastAsia="el-GR"/>
        </w:rPr>
        <w:t xml:space="preserve"> </w:t>
      </w:r>
      <w:r w:rsidR="0041437F" w:rsidRPr="00117825">
        <w:rPr>
          <w:rFonts w:eastAsia="Calibri"/>
          <w:color w:val="000000"/>
          <w:lang w:eastAsia="el-GR"/>
        </w:rPr>
        <w:t>1 presents the study</w:t>
      </w:r>
      <w:r w:rsidR="00311493" w:rsidRPr="00117825">
        <w:rPr>
          <w:rFonts w:eastAsia="Calibri"/>
          <w:color w:val="000000"/>
          <w:lang w:eastAsia="el-GR"/>
        </w:rPr>
        <w:t>’s</w:t>
      </w:r>
      <w:r w:rsidR="00671025">
        <w:rPr>
          <w:rFonts w:eastAsia="Calibri"/>
          <w:color w:val="000000"/>
          <w:lang w:eastAsia="el-GR"/>
        </w:rPr>
        <w:t xml:space="preserve"> model. </w:t>
      </w:r>
    </w:p>
    <w:p w:rsidR="009A634C" w:rsidRDefault="009A634C" w:rsidP="00671025">
      <w:pPr>
        <w:tabs>
          <w:tab w:val="left" w:pos="284"/>
        </w:tabs>
        <w:spacing w:line="480" w:lineRule="auto"/>
        <w:jc w:val="center"/>
        <w:rPr>
          <w:color w:val="000000"/>
        </w:rPr>
      </w:pPr>
      <w:r w:rsidRPr="00117825">
        <w:rPr>
          <w:color w:val="000000"/>
        </w:rPr>
        <w:t>Figure 1 here</w:t>
      </w:r>
      <w:r w:rsidR="00E64ACA">
        <w:rPr>
          <w:color w:val="000000"/>
        </w:rPr>
        <w:t>.</w:t>
      </w:r>
    </w:p>
    <w:p w:rsidR="00671025" w:rsidRPr="00117825" w:rsidRDefault="00671025" w:rsidP="00671025">
      <w:pPr>
        <w:tabs>
          <w:tab w:val="left" w:pos="284"/>
        </w:tabs>
        <w:spacing w:line="480" w:lineRule="auto"/>
        <w:jc w:val="center"/>
        <w:rPr>
          <w:color w:val="000000"/>
        </w:rPr>
      </w:pPr>
    </w:p>
    <w:p w:rsidR="006A4C3E" w:rsidRPr="00117825" w:rsidRDefault="00CB38BF" w:rsidP="00117825">
      <w:pPr>
        <w:tabs>
          <w:tab w:val="left" w:pos="284"/>
        </w:tabs>
        <w:spacing w:line="480" w:lineRule="auto"/>
        <w:outlineLvl w:val="0"/>
        <w:rPr>
          <w:b/>
          <w:color w:val="000000"/>
        </w:rPr>
      </w:pPr>
      <w:r w:rsidRPr="00117825">
        <w:rPr>
          <w:b/>
          <w:color w:val="000000"/>
        </w:rPr>
        <w:t xml:space="preserve">2. </w:t>
      </w:r>
      <w:r w:rsidR="0042673C" w:rsidRPr="00117825">
        <w:rPr>
          <w:b/>
          <w:color w:val="000000"/>
        </w:rPr>
        <w:t>C</w:t>
      </w:r>
      <w:r w:rsidRPr="00117825">
        <w:rPr>
          <w:b/>
          <w:color w:val="000000"/>
        </w:rPr>
        <w:t xml:space="preserve">onceptual framework </w:t>
      </w:r>
      <w:r w:rsidR="009A634C" w:rsidRPr="00117825">
        <w:rPr>
          <w:b/>
          <w:color w:val="000000"/>
        </w:rPr>
        <w:t>and research hypotheses</w:t>
      </w:r>
    </w:p>
    <w:p w:rsidR="00217369" w:rsidRDefault="00B857E0" w:rsidP="00117825">
      <w:pPr>
        <w:tabs>
          <w:tab w:val="left" w:pos="567"/>
        </w:tabs>
        <w:spacing w:line="480" w:lineRule="auto"/>
      </w:pPr>
      <w:r>
        <w:rPr>
          <w:color w:val="000000"/>
        </w:rPr>
        <w:tab/>
      </w:r>
      <w:r w:rsidR="00B1595B" w:rsidRPr="00117825">
        <w:rPr>
          <w:color w:val="000000"/>
        </w:rPr>
        <w:t>In general, s</w:t>
      </w:r>
      <w:r w:rsidR="0037137C" w:rsidRPr="00117825">
        <w:rPr>
          <w:color w:val="000000"/>
        </w:rPr>
        <w:t xml:space="preserve">kepticism refers to </w:t>
      </w:r>
      <w:r w:rsidR="001C7097" w:rsidRPr="00117825">
        <w:rPr>
          <w:color w:val="000000"/>
        </w:rPr>
        <w:t xml:space="preserve">a </w:t>
      </w:r>
      <w:r w:rsidR="00B1595B" w:rsidRPr="00117825">
        <w:rPr>
          <w:color w:val="000000"/>
        </w:rPr>
        <w:t xml:space="preserve">person’s </w:t>
      </w:r>
      <w:r w:rsidR="001C7097" w:rsidRPr="00117825">
        <w:rPr>
          <w:color w:val="000000"/>
        </w:rPr>
        <w:t xml:space="preserve">tendency to doubt, disbelieve, and question (e.g., </w:t>
      </w:r>
      <w:proofErr w:type="spellStart"/>
      <w:r w:rsidR="001C7097" w:rsidRPr="00117825">
        <w:rPr>
          <w:color w:val="000000"/>
        </w:rPr>
        <w:t>Boush</w:t>
      </w:r>
      <w:proofErr w:type="spellEnd"/>
      <w:r w:rsidR="001C7097" w:rsidRPr="00117825">
        <w:rPr>
          <w:color w:val="000000"/>
        </w:rPr>
        <w:t xml:space="preserve">, </w:t>
      </w:r>
      <w:proofErr w:type="spellStart"/>
      <w:r w:rsidR="001C7097" w:rsidRPr="00117825">
        <w:rPr>
          <w:color w:val="000000"/>
        </w:rPr>
        <w:t>Friestad</w:t>
      </w:r>
      <w:proofErr w:type="spellEnd"/>
      <w:r w:rsidR="001C7097" w:rsidRPr="00117825">
        <w:rPr>
          <w:color w:val="000000"/>
        </w:rPr>
        <w:t>, &amp; Rose, 1994</w:t>
      </w:r>
      <w:r w:rsidR="00B1595B" w:rsidRPr="00117825">
        <w:rPr>
          <w:color w:val="000000"/>
        </w:rPr>
        <w:t>; Forehand &amp; Grier, 2003</w:t>
      </w:r>
      <w:r w:rsidR="001C7097" w:rsidRPr="00117825">
        <w:rPr>
          <w:color w:val="000000"/>
        </w:rPr>
        <w:t xml:space="preserve">). </w:t>
      </w:r>
      <w:r w:rsidR="0037137C" w:rsidRPr="00117825">
        <w:rPr>
          <w:color w:val="000000"/>
        </w:rPr>
        <w:t xml:space="preserve">The word </w:t>
      </w:r>
      <w:r w:rsidR="00B1595B" w:rsidRPr="00117825">
        <w:rPr>
          <w:color w:val="000000"/>
        </w:rPr>
        <w:t xml:space="preserve">“skepticism” </w:t>
      </w:r>
      <w:r w:rsidR="0037137C" w:rsidRPr="00117825">
        <w:rPr>
          <w:color w:val="000000"/>
        </w:rPr>
        <w:t xml:space="preserve">comes from the Greek </w:t>
      </w:r>
      <w:r w:rsidR="00B1595B" w:rsidRPr="00117825">
        <w:rPr>
          <w:color w:val="000000"/>
        </w:rPr>
        <w:t>word “</w:t>
      </w:r>
      <w:proofErr w:type="spellStart"/>
      <w:r w:rsidR="0037137C" w:rsidRPr="00117825">
        <w:rPr>
          <w:color w:val="000000"/>
        </w:rPr>
        <w:t>skeptomai</w:t>
      </w:r>
      <w:proofErr w:type="spellEnd"/>
      <w:r w:rsidR="0037137C" w:rsidRPr="00117825">
        <w:rPr>
          <w:color w:val="000000"/>
        </w:rPr>
        <w:t>,</w:t>
      </w:r>
      <w:r w:rsidR="00B1595B" w:rsidRPr="00117825">
        <w:rPr>
          <w:color w:val="000000"/>
        </w:rPr>
        <w:t>”</w:t>
      </w:r>
      <w:r w:rsidR="0037137C" w:rsidRPr="00117825">
        <w:rPr>
          <w:color w:val="000000"/>
        </w:rPr>
        <w:t xml:space="preserve"> which means to think, to consider, to examine. </w:t>
      </w:r>
      <w:r w:rsidR="0037137C" w:rsidRPr="00117825">
        <w:t>Skepticism relate</w:t>
      </w:r>
      <w:r w:rsidR="00E31394" w:rsidRPr="00117825">
        <w:t>s</w:t>
      </w:r>
      <w:r w:rsidR="00B1595B" w:rsidRPr="00117825">
        <w:t xml:space="preserve"> to but</w:t>
      </w:r>
      <w:r w:rsidR="0037137C" w:rsidRPr="00117825">
        <w:t xml:space="preserve"> </w:t>
      </w:r>
      <w:r w:rsidR="00E31394" w:rsidRPr="00117825">
        <w:t xml:space="preserve">is </w:t>
      </w:r>
      <w:r w:rsidR="0037137C" w:rsidRPr="00117825">
        <w:t>qualitatively different from cynicism, suspicion, (low) trust</w:t>
      </w:r>
      <w:r w:rsidR="003C371F" w:rsidRPr="00117825">
        <w:t>,</w:t>
      </w:r>
      <w:r w:rsidR="0037137C" w:rsidRPr="00117825">
        <w:t xml:space="preserve"> and distrust. Specifically, cynicism involves the enduring belief that people act solely on </w:t>
      </w:r>
      <w:r w:rsidR="00B1595B" w:rsidRPr="00117825">
        <w:t xml:space="preserve">the basis of </w:t>
      </w:r>
      <w:r w:rsidR="0037137C" w:rsidRPr="00117825">
        <w:t xml:space="preserve">their selfish motives and </w:t>
      </w:r>
      <w:r w:rsidR="00B1595B" w:rsidRPr="00117825">
        <w:t xml:space="preserve">constitutes </w:t>
      </w:r>
      <w:r w:rsidR="0037137C" w:rsidRPr="00117825">
        <w:t xml:space="preserve">a personality trait that is stable across contexts and </w:t>
      </w:r>
      <w:r w:rsidR="00E31394" w:rsidRPr="00117825">
        <w:t xml:space="preserve">over </w:t>
      </w:r>
      <w:r w:rsidR="0037137C" w:rsidRPr="00117825">
        <w:t>time (Mohr</w:t>
      </w:r>
      <w:r w:rsidR="00B1595B" w:rsidRPr="00117825">
        <w:t xml:space="preserve">, </w:t>
      </w:r>
      <w:proofErr w:type="spellStart"/>
      <w:r w:rsidR="00B1595B" w:rsidRPr="00117825">
        <w:rPr>
          <w:color w:val="000000"/>
        </w:rPr>
        <w:t>Eroglu</w:t>
      </w:r>
      <w:proofErr w:type="spellEnd"/>
      <w:r w:rsidR="00B1595B" w:rsidRPr="00117825">
        <w:rPr>
          <w:color w:val="000000"/>
        </w:rPr>
        <w:t>, &amp; Ellen</w:t>
      </w:r>
      <w:r w:rsidR="0037137C" w:rsidRPr="00117825">
        <w:t xml:space="preserve">, 1998). </w:t>
      </w:r>
    </w:p>
    <w:p w:rsidR="0037137C" w:rsidRPr="00117825" w:rsidRDefault="00217369" w:rsidP="00117825">
      <w:pPr>
        <w:tabs>
          <w:tab w:val="left" w:pos="567"/>
        </w:tabs>
        <w:spacing w:line="480" w:lineRule="auto"/>
        <w:rPr>
          <w:color w:val="000000"/>
        </w:rPr>
      </w:pPr>
      <w:r>
        <w:tab/>
      </w:r>
      <w:r w:rsidR="0037137C" w:rsidRPr="00117825">
        <w:t>Suspicion refers to the belief that an actor’s behavior reflect</w:t>
      </w:r>
      <w:r w:rsidR="00131FA3" w:rsidRPr="00117825">
        <w:t>s</w:t>
      </w:r>
      <w:r w:rsidR="0037137C" w:rsidRPr="00117825">
        <w:t xml:space="preserve"> a motive that the actor wants hidden from the target of his </w:t>
      </w:r>
      <w:r w:rsidR="00B1595B" w:rsidRPr="00117825">
        <w:t xml:space="preserve">or her </w:t>
      </w:r>
      <w:r w:rsidR="0037137C" w:rsidRPr="00117825">
        <w:t>behavior (Fein</w:t>
      </w:r>
      <w:r w:rsidR="001A593C" w:rsidRPr="00117825">
        <w:t xml:space="preserve">, </w:t>
      </w:r>
      <w:r w:rsidR="001A593C" w:rsidRPr="00117825">
        <w:rPr>
          <w:bCs/>
          <w:lang w:val="x-none"/>
        </w:rPr>
        <w:t>Hilton, &amp; Miller</w:t>
      </w:r>
      <w:r w:rsidR="0037137C" w:rsidRPr="00117825">
        <w:t>, 1990). Trust is a positive expectation of a partner’s beneficial conduct, while distrust is not just the absence of trust, but the active expectation that the other party will behave in a way that violates one’s welfare and security (Cho, 2006).</w:t>
      </w:r>
    </w:p>
    <w:p w:rsidR="0037137C" w:rsidRPr="00117825" w:rsidRDefault="00B857E0" w:rsidP="00117825">
      <w:pPr>
        <w:tabs>
          <w:tab w:val="left" w:pos="567"/>
        </w:tabs>
        <w:spacing w:line="480" w:lineRule="auto"/>
        <w:rPr>
          <w:color w:val="000000"/>
        </w:rPr>
      </w:pPr>
      <w:r>
        <w:rPr>
          <w:color w:val="000000"/>
        </w:rPr>
        <w:tab/>
      </w:r>
      <w:r w:rsidR="0037137C" w:rsidRPr="00117825">
        <w:rPr>
          <w:color w:val="000000"/>
        </w:rPr>
        <w:t xml:space="preserve">Studies on skepticism extend across a range of disciplines, such as philosophy (e.g., McGrath, 2011), politics (e.g., Taber &amp; Lodge, 2006), sociology (e.g., Owen-Smith, 2001), and psychology (e.g., </w:t>
      </w:r>
      <w:proofErr w:type="spellStart"/>
      <w:r w:rsidR="0037137C" w:rsidRPr="00117825">
        <w:rPr>
          <w:color w:val="000000"/>
        </w:rPr>
        <w:t>Forgas</w:t>
      </w:r>
      <w:proofErr w:type="spellEnd"/>
      <w:r w:rsidR="0037137C" w:rsidRPr="00117825">
        <w:rPr>
          <w:color w:val="000000"/>
        </w:rPr>
        <w:t xml:space="preserve"> &amp; East, 2008). In the business context, skepticism </w:t>
      </w:r>
      <w:r w:rsidR="00131FA3" w:rsidRPr="00117825">
        <w:rPr>
          <w:color w:val="000000"/>
        </w:rPr>
        <w:t>is the focus of</w:t>
      </w:r>
      <w:r w:rsidR="0037137C" w:rsidRPr="00117825">
        <w:rPr>
          <w:color w:val="000000"/>
        </w:rPr>
        <w:t xml:space="preserve"> considerable research as a potential consumer response to advertising, promotion, and public </w:t>
      </w:r>
      <w:r w:rsidR="0037137C" w:rsidRPr="00117825">
        <w:rPr>
          <w:color w:val="000000"/>
        </w:rPr>
        <w:lastRenderedPageBreak/>
        <w:t xml:space="preserve">relations (e.g., </w:t>
      </w:r>
      <w:proofErr w:type="spellStart"/>
      <w:r w:rsidR="0037137C" w:rsidRPr="00117825">
        <w:rPr>
          <w:color w:val="000000"/>
        </w:rPr>
        <w:t>Boush</w:t>
      </w:r>
      <w:proofErr w:type="spellEnd"/>
      <w:r w:rsidR="0037137C" w:rsidRPr="00117825">
        <w:rPr>
          <w:color w:val="000000"/>
        </w:rPr>
        <w:t xml:space="preserve"> </w:t>
      </w:r>
      <w:r w:rsidR="001C7097" w:rsidRPr="00117825">
        <w:rPr>
          <w:color w:val="000000"/>
        </w:rPr>
        <w:t xml:space="preserve">et al., </w:t>
      </w:r>
      <w:r w:rsidR="002513B0" w:rsidRPr="00117825">
        <w:rPr>
          <w:color w:val="000000"/>
        </w:rPr>
        <w:t>1994</w:t>
      </w:r>
      <w:r w:rsidR="0037137C" w:rsidRPr="00117825">
        <w:rPr>
          <w:color w:val="000000"/>
        </w:rPr>
        <w:t xml:space="preserve">; </w:t>
      </w:r>
      <w:proofErr w:type="spellStart"/>
      <w:r w:rsidR="0037137C" w:rsidRPr="00117825">
        <w:rPr>
          <w:color w:val="000000"/>
        </w:rPr>
        <w:t>Obermiller</w:t>
      </w:r>
      <w:proofErr w:type="spellEnd"/>
      <w:r w:rsidR="002513B0" w:rsidRPr="00117825">
        <w:rPr>
          <w:color w:val="000000"/>
        </w:rPr>
        <w:t>,</w:t>
      </w:r>
      <w:r w:rsidR="0037137C" w:rsidRPr="00117825">
        <w:rPr>
          <w:color w:val="000000"/>
        </w:rPr>
        <w:t xml:space="preserve"> </w:t>
      </w:r>
      <w:proofErr w:type="spellStart"/>
      <w:r w:rsidR="002513B0" w:rsidRPr="00117825">
        <w:rPr>
          <w:color w:val="000000"/>
        </w:rPr>
        <w:t>Spangenberg</w:t>
      </w:r>
      <w:proofErr w:type="spellEnd"/>
      <w:r w:rsidR="002513B0" w:rsidRPr="00117825">
        <w:rPr>
          <w:color w:val="000000"/>
        </w:rPr>
        <w:t xml:space="preserve">, &amp; </w:t>
      </w:r>
      <w:proofErr w:type="spellStart"/>
      <w:r w:rsidR="002513B0" w:rsidRPr="00117825">
        <w:rPr>
          <w:color w:val="000000"/>
        </w:rPr>
        <w:t>MacLachlan</w:t>
      </w:r>
      <w:proofErr w:type="spellEnd"/>
      <w:r w:rsidR="0037137C" w:rsidRPr="00117825">
        <w:rPr>
          <w:color w:val="000000"/>
        </w:rPr>
        <w:t>, 2005). Some writings on skepticism also surface in the context of corporate social marketing (Forehand &amp; Grier, 2003), environmental</w:t>
      </w:r>
      <w:r w:rsidR="0037137C" w:rsidRPr="00117825">
        <w:t xml:space="preserve"> </w:t>
      </w:r>
      <w:r w:rsidR="0037137C" w:rsidRPr="00117825">
        <w:rPr>
          <w:color w:val="000000"/>
        </w:rPr>
        <w:t>claims (Mohr</w:t>
      </w:r>
      <w:r w:rsidR="00B1595B" w:rsidRPr="00117825">
        <w:rPr>
          <w:color w:val="000000"/>
        </w:rPr>
        <w:t xml:space="preserve"> et al.</w:t>
      </w:r>
      <w:r w:rsidR="002513B0" w:rsidRPr="00117825">
        <w:rPr>
          <w:color w:val="000000"/>
        </w:rPr>
        <w:t>,</w:t>
      </w:r>
      <w:r w:rsidR="0037137C" w:rsidRPr="00117825">
        <w:rPr>
          <w:color w:val="000000"/>
        </w:rPr>
        <w:t xml:space="preserve"> 1998), cause-related claims (</w:t>
      </w:r>
      <w:r w:rsidR="002513B0" w:rsidRPr="00117825">
        <w:rPr>
          <w:color w:val="000000"/>
          <w:lang w:eastAsia="el-GR"/>
        </w:rPr>
        <w:t xml:space="preserve">Singh, </w:t>
      </w:r>
      <w:proofErr w:type="spellStart"/>
      <w:r w:rsidR="002513B0" w:rsidRPr="00117825">
        <w:rPr>
          <w:color w:val="000000"/>
          <w:lang w:eastAsia="el-GR"/>
        </w:rPr>
        <w:t>Kris</w:t>
      </w:r>
      <w:r w:rsidR="000946A8" w:rsidRPr="00117825">
        <w:rPr>
          <w:color w:val="000000"/>
          <w:lang w:eastAsia="el-GR"/>
        </w:rPr>
        <w:t>t</w:t>
      </w:r>
      <w:r w:rsidR="002513B0" w:rsidRPr="00117825">
        <w:rPr>
          <w:color w:val="000000"/>
          <w:lang w:eastAsia="el-GR"/>
        </w:rPr>
        <w:t>ensen</w:t>
      </w:r>
      <w:proofErr w:type="spellEnd"/>
      <w:r w:rsidR="002513B0" w:rsidRPr="00117825">
        <w:rPr>
          <w:color w:val="000000"/>
          <w:lang w:eastAsia="el-GR"/>
        </w:rPr>
        <w:t>, &amp; Villasenor, 2009</w:t>
      </w:r>
      <w:r w:rsidR="0037137C" w:rsidRPr="00117825">
        <w:rPr>
          <w:color w:val="000000"/>
        </w:rPr>
        <w:t>), CSR communication during crises (</w:t>
      </w:r>
      <w:proofErr w:type="spellStart"/>
      <w:r w:rsidR="0037137C" w:rsidRPr="00117825">
        <w:rPr>
          <w:color w:val="000000"/>
        </w:rPr>
        <w:t>Vanhamme</w:t>
      </w:r>
      <w:proofErr w:type="spellEnd"/>
      <w:r w:rsidR="0037137C" w:rsidRPr="00117825">
        <w:rPr>
          <w:color w:val="000000"/>
        </w:rPr>
        <w:t xml:space="preserve"> &amp; </w:t>
      </w:r>
      <w:proofErr w:type="spellStart"/>
      <w:r w:rsidR="0037137C" w:rsidRPr="00117825">
        <w:rPr>
          <w:color w:val="000000"/>
        </w:rPr>
        <w:t>Grobben</w:t>
      </w:r>
      <w:proofErr w:type="spellEnd"/>
      <w:r w:rsidR="0037137C" w:rsidRPr="00117825">
        <w:rPr>
          <w:color w:val="000000"/>
        </w:rPr>
        <w:t>, 2009), and CSR programs (</w:t>
      </w:r>
      <w:proofErr w:type="spellStart"/>
      <w:r w:rsidR="0037137C" w:rsidRPr="00117825">
        <w:rPr>
          <w:color w:val="000000"/>
        </w:rPr>
        <w:t>Pirsch</w:t>
      </w:r>
      <w:proofErr w:type="spellEnd"/>
      <w:r w:rsidR="0037137C" w:rsidRPr="00117825">
        <w:rPr>
          <w:color w:val="000000"/>
        </w:rPr>
        <w:t xml:space="preserve">, Gupta, &amp; </w:t>
      </w:r>
      <w:proofErr w:type="spellStart"/>
      <w:r w:rsidR="0037137C" w:rsidRPr="00117825">
        <w:rPr>
          <w:color w:val="000000"/>
        </w:rPr>
        <w:t>Grau</w:t>
      </w:r>
      <w:proofErr w:type="spellEnd"/>
      <w:r w:rsidR="0037137C" w:rsidRPr="00117825">
        <w:rPr>
          <w:color w:val="000000"/>
        </w:rPr>
        <w:t>, 2007).</w:t>
      </w:r>
      <w:r w:rsidR="00435580" w:rsidRPr="00117825">
        <w:rPr>
          <w:color w:val="000000"/>
        </w:rPr>
        <w:t xml:space="preserve"> </w:t>
      </w:r>
      <w:r w:rsidR="00B1595B" w:rsidRPr="00117825">
        <w:rPr>
          <w:color w:val="000000"/>
        </w:rPr>
        <w:t>Alt</w:t>
      </w:r>
      <w:r w:rsidR="0037137C" w:rsidRPr="00117825">
        <w:rPr>
          <w:color w:val="000000"/>
        </w:rPr>
        <w:t xml:space="preserve">hough </w:t>
      </w:r>
      <w:r w:rsidR="00EF325F" w:rsidRPr="00117825">
        <w:rPr>
          <w:color w:val="000000"/>
        </w:rPr>
        <w:t>some</w:t>
      </w:r>
      <w:r w:rsidR="0037137C" w:rsidRPr="00117825">
        <w:rPr>
          <w:color w:val="000000"/>
        </w:rPr>
        <w:t xml:space="preserve"> studies treat skepticism as a personality trait and an ongoing state of disbelief (dispositional skepticism) (e.g., </w:t>
      </w:r>
      <w:proofErr w:type="spellStart"/>
      <w:r w:rsidR="0037137C" w:rsidRPr="00117825">
        <w:rPr>
          <w:color w:val="000000"/>
        </w:rPr>
        <w:t>Boush</w:t>
      </w:r>
      <w:proofErr w:type="spellEnd"/>
      <w:r w:rsidR="0037137C" w:rsidRPr="00117825">
        <w:rPr>
          <w:color w:val="000000"/>
        </w:rPr>
        <w:t xml:space="preserve"> et al., 1994; </w:t>
      </w:r>
      <w:proofErr w:type="spellStart"/>
      <w:r w:rsidR="0037137C" w:rsidRPr="00117825">
        <w:rPr>
          <w:color w:val="000000"/>
        </w:rPr>
        <w:t>Obermiller</w:t>
      </w:r>
      <w:proofErr w:type="spellEnd"/>
      <w:r w:rsidR="0037137C" w:rsidRPr="00117825">
        <w:rPr>
          <w:color w:val="000000"/>
        </w:rPr>
        <w:t xml:space="preserve"> &amp; </w:t>
      </w:r>
      <w:proofErr w:type="spellStart"/>
      <w:r w:rsidR="0037137C" w:rsidRPr="00117825">
        <w:rPr>
          <w:color w:val="000000"/>
        </w:rPr>
        <w:t>Spangenberg</w:t>
      </w:r>
      <w:proofErr w:type="spellEnd"/>
      <w:r w:rsidR="0037137C" w:rsidRPr="00117825">
        <w:rPr>
          <w:color w:val="000000"/>
        </w:rPr>
        <w:t xml:space="preserve">, 1998), </w:t>
      </w:r>
      <w:r w:rsidR="00EF325F" w:rsidRPr="00117825">
        <w:rPr>
          <w:color w:val="000000"/>
        </w:rPr>
        <w:t xml:space="preserve">most </w:t>
      </w:r>
      <w:r w:rsidR="0037137C" w:rsidRPr="00117825">
        <w:rPr>
          <w:color w:val="000000"/>
        </w:rPr>
        <w:t>investigations focus on situational skepticism, which is a consumer state</w:t>
      </w:r>
      <w:r w:rsidR="00B1595B" w:rsidRPr="00117825">
        <w:rPr>
          <w:color w:val="000000"/>
        </w:rPr>
        <w:t>,</w:t>
      </w:r>
      <w:r w:rsidR="0037137C" w:rsidRPr="00117825">
        <w:rPr>
          <w:color w:val="000000"/>
        </w:rPr>
        <w:t xml:space="preserve"> induced independent of evaluator traits</w:t>
      </w:r>
      <w:r w:rsidR="00B1595B" w:rsidRPr="00117825">
        <w:rPr>
          <w:color w:val="000000"/>
        </w:rPr>
        <w:t>,</w:t>
      </w:r>
      <w:r w:rsidR="0037137C" w:rsidRPr="00117825">
        <w:rPr>
          <w:color w:val="000000"/>
        </w:rPr>
        <w:t xml:space="preserve"> that varies depending on the context and situation (e.g., Forehand &amp; Grier, 2003; Mohr et al., 1998; </w:t>
      </w:r>
      <w:proofErr w:type="spellStart"/>
      <w:r w:rsidR="0037137C" w:rsidRPr="00117825">
        <w:rPr>
          <w:color w:val="000000"/>
          <w:lang w:eastAsia="el-GR"/>
        </w:rPr>
        <w:t>Vanhamme</w:t>
      </w:r>
      <w:proofErr w:type="spellEnd"/>
      <w:r w:rsidR="0037137C" w:rsidRPr="00117825">
        <w:rPr>
          <w:color w:val="000000"/>
          <w:lang w:eastAsia="el-GR"/>
        </w:rPr>
        <w:t xml:space="preserve"> &amp; </w:t>
      </w:r>
      <w:proofErr w:type="spellStart"/>
      <w:r w:rsidR="0037137C" w:rsidRPr="00117825">
        <w:rPr>
          <w:color w:val="000000"/>
          <w:lang w:eastAsia="el-GR"/>
        </w:rPr>
        <w:t>Grobben</w:t>
      </w:r>
      <w:proofErr w:type="spellEnd"/>
      <w:r w:rsidR="0037137C" w:rsidRPr="00117825">
        <w:rPr>
          <w:color w:val="000000"/>
          <w:lang w:eastAsia="el-GR"/>
        </w:rPr>
        <w:t>, 2009</w:t>
      </w:r>
      <w:r w:rsidR="0037137C" w:rsidRPr="00117825">
        <w:rPr>
          <w:color w:val="000000"/>
        </w:rPr>
        <w:t xml:space="preserve">). </w:t>
      </w:r>
      <w:r w:rsidR="00B1595B" w:rsidRPr="00117825">
        <w:rPr>
          <w:color w:val="000000"/>
        </w:rPr>
        <w:t>A</w:t>
      </w:r>
      <w:r w:rsidR="0037137C" w:rsidRPr="00117825">
        <w:rPr>
          <w:color w:val="000000"/>
        </w:rPr>
        <w:t xml:space="preserve"> distinctive feature of skeptical people is that they can change their minds when presented with sufficient proof (Mohr et al., 1998). Accordingly, while consumers’ doubting disposition may vary, skepticism is a cognitive response </w:t>
      </w:r>
      <w:r w:rsidR="00B1595B" w:rsidRPr="00117825">
        <w:rPr>
          <w:color w:val="000000"/>
        </w:rPr>
        <w:t>that</w:t>
      </w:r>
      <w:r w:rsidR="0037137C" w:rsidRPr="00117825">
        <w:rPr>
          <w:color w:val="000000"/>
        </w:rPr>
        <w:t xml:space="preserve"> can result from situational factors (Forehand &amp; Grier, 2003). </w:t>
      </w:r>
    </w:p>
    <w:p w:rsidR="0015035E" w:rsidRPr="00117825" w:rsidRDefault="00B857E0" w:rsidP="00117825">
      <w:pPr>
        <w:tabs>
          <w:tab w:val="left" w:pos="567"/>
        </w:tabs>
        <w:spacing w:line="480" w:lineRule="auto"/>
        <w:rPr>
          <w:color w:val="000000"/>
        </w:rPr>
      </w:pPr>
      <w:r>
        <w:rPr>
          <w:color w:val="000000"/>
        </w:rPr>
        <w:tab/>
      </w:r>
      <w:proofErr w:type="spellStart"/>
      <w:r w:rsidR="008E7D9F" w:rsidRPr="00117825">
        <w:rPr>
          <w:color w:val="000000"/>
        </w:rPr>
        <w:t>Friestad</w:t>
      </w:r>
      <w:proofErr w:type="spellEnd"/>
      <w:r w:rsidR="008E7D9F" w:rsidRPr="00117825">
        <w:rPr>
          <w:color w:val="000000"/>
        </w:rPr>
        <w:t xml:space="preserve"> and Wright’s (1994) work on </w:t>
      </w:r>
      <w:r w:rsidR="0040411B" w:rsidRPr="00117825">
        <w:rPr>
          <w:color w:val="000000"/>
        </w:rPr>
        <w:t xml:space="preserve">the </w:t>
      </w:r>
      <w:r w:rsidR="00377057" w:rsidRPr="00117825">
        <w:rPr>
          <w:color w:val="000000"/>
        </w:rPr>
        <w:t>persuasion knowledge</w:t>
      </w:r>
      <w:r w:rsidR="00AC67A2" w:rsidRPr="00117825">
        <w:rPr>
          <w:color w:val="000000"/>
        </w:rPr>
        <w:t xml:space="preserve"> </w:t>
      </w:r>
      <w:r w:rsidR="0040411B" w:rsidRPr="00117825">
        <w:rPr>
          <w:color w:val="000000"/>
        </w:rPr>
        <w:t xml:space="preserve">model </w:t>
      </w:r>
      <w:r w:rsidR="00812E21" w:rsidRPr="00117825">
        <w:rPr>
          <w:color w:val="000000"/>
        </w:rPr>
        <w:t>posit</w:t>
      </w:r>
      <w:r w:rsidR="008E7D9F" w:rsidRPr="00117825">
        <w:rPr>
          <w:color w:val="000000"/>
        </w:rPr>
        <w:t>s</w:t>
      </w:r>
      <w:r w:rsidR="00812E21" w:rsidRPr="00117825">
        <w:rPr>
          <w:color w:val="000000"/>
        </w:rPr>
        <w:t xml:space="preserve"> that consumers l</w:t>
      </w:r>
      <w:r w:rsidR="00AC67A2" w:rsidRPr="00117825">
        <w:rPr>
          <w:color w:val="000000"/>
        </w:rPr>
        <w:t>earn to interpret and evaluate</w:t>
      </w:r>
      <w:r w:rsidR="00812E21" w:rsidRPr="00117825">
        <w:rPr>
          <w:color w:val="000000"/>
        </w:rPr>
        <w:t xml:space="preserve"> the </w:t>
      </w:r>
      <w:r w:rsidR="0040411B" w:rsidRPr="00117825">
        <w:rPr>
          <w:color w:val="000000"/>
        </w:rPr>
        <w:t xml:space="preserve">persuasion agents’ goals and tactics </w:t>
      </w:r>
      <w:r w:rsidR="00812E21" w:rsidRPr="00117825">
        <w:rPr>
          <w:color w:val="000000"/>
        </w:rPr>
        <w:t xml:space="preserve">and </w:t>
      </w:r>
      <w:r w:rsidR="004533E2" w:rsidRPr="00117825">
        <w:rPr>
          <w:color w:val="000000"/>
        </w:rPr>
        <w:t>use</w:t>
      </w:r>
      <w:r w:rsidR="00812E21" w:rsidRPr="00117825">
        <w:rPr>
          <w:color w:val="000000"/>
        </w:rPr>
        <w:t xml:space="preserve"> this knowledge to cope with persuasion attempts.</w:t>
      </w:r>
      <w:r w:rsidR="004B44E4" w:rsidRPr="00117825">
        <w:rPr>
          <w:color w:val="000000"/>
        </w:rPr>
        <w:t xml:space="preserve"> </w:t>
      </w:r>
      <w:r w:rsidR="009F76EA" w:rsidRPr="00117825">
        <w:rPr>
          <w:color w:val="000000"/>
        </w:rPr>
        <w:t>One way consumers develop persuasion knowledge to help themselves unders</w:t>
      </w:r>
      <w:r w:rsidR="00CA3EAB" w:rsidRPr="00117825">
        <w:rPr>
          <w:color w:val="000000"/>
        </w:rPr>
        <w:t xml:space="preserve">tand and </w:t>
      </w:r>
      <w:r w:rsidR="004B44E4" w:rsidRPr="00117825">
        <w:rPr>
          <w:color w:val="000000"/>
        </w:rPr>
        <w:t xml:space="preserve">deal with certain events </w:t>
      </w:r>
      <w:r w:rsidR="009F76EA" w:rsidRPr="00117825">
        <w:rPr>
          <w:color w:val="000000"/>
        </w:rPr>
        <w:t>is th</w:t>
      </w:r>
      <w:r w:rsidR="0015035E" w:rsidRPr="00117825">
        <w:rPr>
          <w:color w:val="000000"/>
        </w:rPr>
        <w:t>r</w:t>
      </w:r>
      <w:r w:rsidR="009F76EA" w:rsidRPr="00117825">
        <w:rPr>
          <w:color w:val="000000"/>
        </w:rPr>
        <w:t xml:space="preserve">ough </w:t>
      </w:r>
      <w:r w:rsidR="004B44E4" w:rsidRPr="00117825">
        <w:rPr>
          <w:color w:val="000000"/>
        </w:rPr>
        <w:t xml:space="preserve">attributional inferences </w:t>
      </w:r>
      <w:r w:rsidR="009F76EA" w:rsidRPr="00117825">
        <w:rPr>
          <w:color w:val="000000"/>
        </w:rPr>
        <w:t>(</w:t>
      </w:r>
      <w:r w:rsidR="00426DB9" w:rsidRPr="00117825">
        <w:rPr>
          <w:color w:val="000000"/>
        </w:rPr>
        <w:t>Kelley &amp;</w:t>
      </w:r>
      <w:r w:rsidR="004B44E4" w:rsidRPr="00117825">
        <w:rPr>
          <w:color w:val="000000"/>
        </w:rPr>
        <w:t xml:space="preserve"> </w:t>
      </w:r>
      <w:proofErr w:type="spellStart"/>
      <w:r w:rsidR="004B44E4" w:rsidRPr="00117825">
        <w:rPr>
          <w:color w:val="000000"/>
        </w:rPr>
        <w:t>Michela</w:t>
      </w:r>
      <w:proofErr w:type="spellEnd"/>
      <w:r w:rsidR="004B44E4" w:rsidRPr="00117825">
        <w:rPr>
          <w:color w:val="000000"/>
        </w:rPr>
        <w:t xml:space="preserve">, </w:t>
      </w:r>
      <w:r w:rsidR="009F76EA" w:rsidRPr="00117825">
        <w:rPr>
          <w:color w:val="000000"/>
        </w:rPr>
        <w:t>19</w:t>
      </w:r>
      <w:r w:rsidR="004B44E4" w:rsidRPr="00117825">
        <w:rPr>
          <w:color w:val="000000"/>
        </w:rPr>
        <w:t>80</w:t>
      </w:r>
      <w:r w:rsidR="006F10F1" w:rsidRPr="00117825">
        <w:rPr>
          <w:color w:val="000000"/>
        </w:rPr>
        <w:t>;</w:t>
      </w:r>
      <w:r w:rsidR="006F10F1" w:rsidRPr="00117825">
        <w:t xml:space="preserve"> </w:t>
      </w:r>
      <w:r w:rsidR="006F10F1" w:rsidRPr="00117825">
        <w:rPr>
          <w:color w:val="000000"/>
        </w:rPr>
        <w:t>Lange &amp; Washburn, 2012</w:t>
      </w:r>
      <w:r w:rsidR="009F76EA" w:rsidRPr="00117825">
        <w:rPr>
          <w:color w:val="000000"/>
        </w:rPr>
        <w:t>).</w:t>
      </w:r>
      <w:r w:rsidR="00CA3EAB" w:rsidRPr="00117825">
        <w:rPr>
          <w:color w:val="000000"/>
        </w:rPr>
        <w:t xml:space="preserve"> </w:t>
      </w:r>
      <w:r w:rsidR="00B45022" w:rsidRPr="00117825">
        <w:rPr>
          <w:color w:val="000000"/>
        </w:rPr>
        <w:t>Attribution theory</w:t>
      </w:r>
      <w:r w:rsidR="00CA3EAB" w:rsidRPr="00117825">
        <w:rPr>
          <w:color w:val="000000"/>
        </w:rPr>
        <w:t xml:space="preserve"> </w:t>
      </w:r>
      <w:r w:rsidR="0015035E" w:rsidRPr="00117825">
        <w:rPr>
          <w:color w:val="000000"/>
        </w:rPr>
        <w:t xml:space="preserve">explains how </w:t>
      </w:r>
      <w:r w:rsidR="001E0C98" w:rsidRPr="00117825">
        <w:rPr>
          <w:color w:val="000000"/>
        </w:rPr>
        <w:t xml:space="preserve">people </w:t>
      </w:r>
      <w:r w:rsidR="0015035E" w:rsidRPr="00117825">
        <w:rPr>
          <w:color w:val="000000"/>
        </w:rPr>
        <w:t>attribute causes to events and how this cognitive perception affects their subsequent attitudes and behavior (</w:t>
      </w:r>
      <w:r w:rsidR="00426DB9" w:rsidRPr="00117825">
        <w:rPr>
          <w:color w:val="000000"/>
        </w:rPr>
        <w:t>Kelley &amp;</w:t>
      </w:r>
      <w:r w:rsidR="0015035E" w:rsidRPr="00117825">
        <w:rPr>
          <w:color w:val="000000"/>
        </w:rPr>
        <w:t xml:space="preserve"> </w:t>
      </w:r>
      <w:proofErr w:type="spellStart"/>
      <w:r w:rsidR="0015035E" w:rsidRPr="00117825">
        <w:rPr>
          <w:color w:val="000000"/>
        </w:rPr>
        <w:t>Michela</w:t>
      </w:r>
      <w:proofErr w:type="spellEnd"/>
      <w:r w:rsidR="0015035E" w:rsidRPr="00117825">
        <w:rPr>
          <w:color w:val="000000"/>
        </w:rPr>
        <w:t>, 1980</w:t>
      </w:r>
      <w:r w:rsidR="00773712" w:rsidRPr="00117825">
        <w:rPr>
          <w:color w:val="000000"/>
        </w:rPr>
        <w:t xml:space="preserve">). </w:t>
      </w:r>
      <w:r w:rsidR="00704FEE" w:rsidRPr="00117825">
        <w:rPr>
          <w:color w:val="000000"/>
        </w:rPr>
        <w:t xml:space="preserve">The theory </w:t>
      </w:r>
      <w:r w:rsidR="00DF07D6" w:rsidRPr="00117825">
        <w:rPr>
          <w:color w:val="000000"/>
        </w:rPr>
        <w:t xml:space="preserve">maintains that causal analysis is inherent in people’s need to understand events and </w:t>
      </w:r>
      <w:r w:rsidR="00704FEE" w:rsidRPr="00117825">
        <w:rPr>
          <w:color w:val="000000"/>
        </w:rPr>
        <w:t xml:space="preserve">divides the way people attribute causes to events into two </w:t>
      </w:r>
      <w:r w:rsidR="00FB4D6C" w:rsidRPr="00117825">
        <w:rPr>
          <w:color w:val="000000"/>
        </w:rPr>
        <w:t xml:space="preserve">main </w:t>
      </w:r>
      <w:r w:rsidR="00704FEE" w:rsidRPr="00117825">
        <w:rPr>
          <w:color w:val="000000"/>
        </w:rPr>
        <w:t xml:space="preserve">types: internal and external. </w:t>
      </w:r>
      <w:r w:rsidR="000946A8" w:rsidRPr="00117825">
        <w:rPr>
          <w:color w:val="000000"/>
        </w:rPr>
        <w:t>A</w:t>
      </w:r>
      <w:r w:rsidR="00704FEE" w:rsidRPr="00117825">
        <w:rPr>
          <w:color w:val="000000"/>
        </w:rPr>
        <w:t xml:space="preserve">n internal attribution </w:t>
      </w:r>
      <w:r w:rsidR="000946A8" w:rsidRPr="00117825">
        <w:rPr>
          <w:color w:val="000000"/>
        </w:rPr>
        <w:t xml:space="preserve">assigns </w:t>
      </w:r>
      <w:r w:rsidR="00704FEE" w:rsidRPr="00117825">
        <w:rPr>
          <w:color w:val="000000"/>
        </w:rPr>
        <w:t xml:space="preserve">the cause of the given event to the individual, while an external attribution </w:t>
      </w:r>
      <w:r w:rsidR="000946A8" w:rsidRPr="00117825">
        <w:rPr>
          <w:color w:val="000000"/>
        </w:rPr>
        <w:t xml:space="preserve">attributes </w:t>
      </w:r>
      <w:r w:rsidR="00704FEE" w:rsidRPr="00117825">
        <w:rPr>
          <w:color w:val="000000"/>
        </w:rPr>
        <w:t>the cause of the given behavior to the surrounding environment (</w:t>
      </w:r>
      <w:r w:rsidR="00657D7B" w:rsidRPr="00117825">
        <w:rPr>
          <w:color w:val="000000"/>
        </w:rPr>
        <w:t>Schmi</w:t>
      </w:r>
      <w:r w:rsidR="00426DB9" w:rsidRPr="00117825">
        <w:rPr>
          <w:color w:val="000000"/>
        </w:rPr>
        <w:t>tt &amp;</w:t>
      </w:r>
      <w:r w:rsidR="00657D7B" w:rsidRPr="00117825">
        <w:rPr>
          <w:color w:val="000000"/>
        </w:rPr>
        <w:t xml:space="preserve"> </w:t>
      </w:r>
      <w:proofErr w:type="spellStart"/>
      <w:r w:rsidR="00657D7B" w:rsidRPr="00117825">
        <w:rPr>
          <w:color w:val="000000"/>
        </w:rPr>
        <w:t>Branscombe</w:t>
      </w:r>
      <w:proofErr w:type="spellEnd"/>
      <w:r w:rsidR="00657D7B" w:rsidRPr="00117825">
        <w:rPr>
          <w:color w:val="000000"/>
        </w:rPr>
        <w:t>, 2002</w:t>
      </w:r>
      <w:r w:rsidR="00704FEE" w:rsidRPr="00117825">
        <w:rPr>
          <w:color w:val="000000"/>
        </w:rPr>
        <w:t>).</w:t>
      </w:r>
      <w:r w:rsidR="003C371F" w:rsidRPr="00117825">
        <w:rPr>
          <w:color w:val="000000"/>
        </w:rPr>
        <w:t xml:space="preserve"> </w:t>
      </w:r>
    </w:p>
    <w:p w:rsidR="00704FEE" w:rsidRPr="00117825" w:rsidRDefault="00B857E0" w:rsidP="00117825">
      <w:pPr>
        <w:tabs>
          <w:tab w:val="left" w:pos="567"/>
        </w:tabs>
        <w:spacing w:line="480" w:lineRule="auto"/>
        <w:rPr>
          <w:color w:val="000000"/>
        </w:rPr>
      </w:pPr>
      <w:r>
        <w:rPr>
          <w:color w:val="000000"/>
        </w:rPr>
        <w:lastRenderedPageBreak/>
        <w:tab/>
      </w:r>
      <w:r w:rsidR="00704FEE" w:rsidRPr="00117825">
        <w:rPr>
          <w:color w:val="000000"/>
        </w:rPr>
        <w:t xml:space="preserve">Accordingly, </w:t>
      </w:r>
      <w:r w:rsidR="00FB4D6C" w:rsidRPr="00117825">
        <w:rPr>
          <w:color w:val="000000"/>
        </w:rPr>
        <w:t>consumers attribute motives to companies’ actions</w:t>
      </w:r>
      <w:r w:rsidR="001A7CCB" w:rsidRPr="00117825">
        <w:rPr>
          <w:color w:val="000000"/>
        </w:rPr>
        <w:t>,</w:t>
      </w:r>
      <w:r w:rsidR="00FB4D6C" w:rsidRPr="00117825">
        <w:rPr>
          <w:color w:val="000000"/>
        </w:rPr>
        <w:t xml:space="preserve"> and these attributions </w:t>
      </w:r>
      <w:r w:rsidR="00DF07D6" w:rsidRPr="00117825">
        <w:rPr>
          <w:color w:val="000000"/>
        </w:rPr>
        <w:t>affect the</w:t>
      </w:r>
      <w:r w:rsidR="009F63EF" w:rsidRPr="00117825">
        <w:rPr>
          <w:color w:val="000000"/>
        </w:rPr>
        <w:t>ir</w:t>
      </w:r>
      <w:r w:rsidR="00DF07D6" w:rsidRPr="00117825">
        <w:rPr>
          <w:color w:val="000000"/>
        </w:rPr>
        <w:t xml:space="preserve"> subsequent response to the company (</w:t>
      </w:r>
      <w:proofErr w:type="spellStart"/>
      <w:r w:rsidR="00874803" w:rsidRPr="00117825">
        <w:rPr>
          <w:color w:val="000000"/>
        </w:rPr>
        <w:t>Boush</w:t>
      </w:r>
      <w:proofErr w:type="spellEnd"/>
      <w:r w:rsidR="00874803" w:rsidRPr="00117825">
        <w:rPr>
          <w:color w:val="000000"/>
        </w:rPr>
        <w:t xml:space="preserve"> et al., 1994; </w:t>
      </w:r>
      <w:r w:rsidR="00426DB9" w:rsidRPr="00117825">
        <w:rPr>
          <w:color w:val="000000"/>
        </w:rPr>
        <w:t>Campbell &amp;</w:t>
      </w:r>
      <w:r w:rsidR="00874803" w:rsidRPr="00117825">
        <w:rPr>
          <w:color w:val="000000"/>
        </w:rPr>
        <w:t xml:space="preserve"> </w:t>
      </w:r>
      <w:proofErr w:type="spellStart"/>
      <w:r w:rsidR="00874803" w:rsidRPr="00117825">
        <w:rPr>
          <w:color w:val="000000"/>
        </w:rPr>
        <w:t>Kirmani</w:t>
      </w:r>
      <w:proofErr w:type="spellEnd"/>
      <w:r w:rsidR="00874803" w:rsidRPr="00117825">
        <w:rPr>
          <w:color w:val="000000"/>
        </w:rPr>
        <w:t>, 2000</w:t>
      </w:r>
      <w:r w:rsidR="00DF07D6" w:rsidRPr="00117825">
        <w:rPr>
          <w:color w:val="000000"/>
        </w:rPr>
        <w:t>).</w:t>
      </w:r>
      <w:r w:rsidR="009F63EF" w:rsidRPr="00117825">
        <w:rPr>
          <w:color w:val="000000"/>
        </w:rPr>
        <w:t xml:space="preserve"> The literature suggest</w:t>
      </w:r>
      <w:r w:rsidR="00EF325F" w:rsidRPr="00117825">
        <w:rPr>
          <w:color w:val="000000"/>
        </w:rPr>
        <w:t>s</w:t>
      </w:r>
      <w:r w:rsidR="009F63EF" w:rsidRPr="00117825">
        <w:rPr>
          <w:color w:val="000000"/>
        </w:rPr>
        <w:t xml:space="preserve"> that consumers assign to companies two primary types of motives: firm-serving</w:t>
      </w:r>
      <w:r w:rsidR="001A7CCB" w:rsidRPr="00117825">
        <w:rPr>
          <w:color w:val="000000"/>
        </w:rPr>
        <w:t xml:space="preserve"> motives</w:t>
      </w:r>
      <w:r w:rsidR="009F63EF" w:rsidRPr="00117825">
        <w:rPr>
          <w:color w:val="000000"/>
        </w:rPr>
        <w:t xml:space="preserve">, which </w:t>
      </w:r>
      <w:r w:rsidR="001E0C98" w:rsidRPr="00117825">
        <w:rPr>
          <w:color w:val="000000"/>
        </w:rPr>
        <w:t>emphasize</w:t>
      </w:r>
      <w:r w:rsidR="009F63EF" w:rsidRPr="00117825">
        <w:rPr>
          <w:color w:val="000000"/>
        </w:rPr>
        <w:t xml:space="preserve"> the potential benefit to the firm itself</w:t>
      </w:r>
      <w:r w:rsidR="001A7CCB" w:rsidRPr="00117825">
        <w:rPr>
          <w:color w:val="000000"/>
        </w:rPr>
        <w:t>,</w:t>
      </w:r>
      <w:r w:rsidR="009F63EF" w:rsidRPr="00117825">
        <w:rPr>
          <w:color w:val="000000"/>
        </w:rPr>
        <w:t xml:space="preserve"> and public-serving</w:t>
      </w:r>
      <w:r w:rsidR="001A7CCB" w:rsidRPr="00117825">
        <w:rPr>
          <w:color w:val="000000"/>
        </w:rPr>
        <w:t xml:space="preserve"> motives</w:t>
      </w:r>
      <w:r w:rsidR="009F63EF" w:rsidRPr="00117825">
        <w:rPr>
          <w:color w:val="000000"/>
        </w:rPr>
        <w:t xml:space="preserve">, which focus on the potential benefits </w:t>
      </w:r>
      <w:r w:rsidR="002D16B9" w:rsidRPr="00117825">
        <w:rPr>
          <w:color w:val="000000"/>
        </w:rPr>
        <w:t>to people outside</w:t>
      </w:r>
      <w:r w:rsidR="009F63EF" w:rsidRPr="00117825">
        <w:rPr>
          <w:color w:val="000000"/>
        </w:rPr>
        <w:t xml:space="preserve"> the </w:t>
      </w:r>
      <w:r w:rsidR="002D16B9" w:rsidRPr="00117825">
        <w:rPr>
          <w:color w:val="000000"/>
        </w:rPr>
        <w:t>company</w:t>
      </w:r>
      <w:r w:rsidR="009F63EF" w:rsidRPr="00117825">
        <w:rPr>
          <w:color w:val="000000"/>
        </w:rPr>
        <w:t xml:space="preserve"> (</w:t>
      </w:r>
      <w:proofErr w:type="spellStart"/>
      <w:r w:rsidR="00B63E71" w:rsidRPr="00117825">
        <w:rPr>
          <w:color w:val="000000"/>
        </w:rPr>
        <w:t>Barone</w:t>
      </w:r>
      <w:proofErr w:type="spellEnd"/>
      <w:r w:rsidR="00A069FC" w:rsidRPr="00117825">
        <w:rPr>
          <w:color w:val="000000"/>
        </w:rPr>
        <w:t>,</w:t>
      </w:r>
      <w:r w:rsidR="00B63E71" w:rsidRPr="00117825">
        <w:rPr>
          <w:color w:val="000000"/>
        </w:rPr>
        <w:t xml:space="preserve"> </w:t>
      </w:r>
      <w:r w:rsidR="00A069FC" w:rsidRPr="00117825">
        <w:rPr>
          <w:bCs/>
          <w:color w:val="000000"/>
        </w:rPr>
        <w:t>Miyazaki</w:t>
      </w:r>
      <w:r w:rsidR="00426DB9" w:rsidRPr="00117825">
        <w:rPr>
          <w:bCs/>
          <w:color w:val="000000"/>
        </w:rPr>
        <w:t>, &amp;</w:t>
      </w:r>
      <w:r w:rsidR="00A069FC" w:rsidRPr="00117825">
        <w:rPr>
          <w:bCs/>
          <w:color w:val="000000"/>
        </w:rPr>
        <w:t xml:space="preserve"> Taylor,</w:t>
      </w:r>
      <w:r w:rsidR="00A069FC" w:rsidRPr="00117825">
        <w:rPr>
          <w:color w:val="000000"/>
        </w:rPr>
        <w:t xml:space="preserve"> </w:t>
      </w:r>
      <w:r w:rsidR="00B63E71" w:rsidRPr="00117825">
        <w:rPr>
          <w:color w:val="000000"/>
        </w:rPr>
        <w:t xml:space="preserve">2000; </w:t>
      </w:r>
      <w:r w:rsidR="00426DB9" w:rsidRPr="00117825">
        <w:rPr>
          <w:color w:val="000000"/>
        </w:rPr>
        <w:t>Forehand &amp;</w:t>
      </w:r>
      <w:r w:rsidR="009F63EF" w:rsidRPr="00117825">
        <w:rPr>
          <w:color w:val="000000"/>
        </w:rPr>
        <w:t xml:space="preserve"> Grier, 2003). </w:t>
      </w:r>
      <w:r w:rsidR="001A7CCB" w:rsidRPr="00117825">
        <w:rPr>
          <w:color w:val="000000"/>
        </w:rPr>
        <w:t>In general, c</w:t>
      </w:r>
      <w:r w:rsidR="00F739F1" w:rsidRPr="00117825">
        <w:rPr>
          <w:color w:val="000000"/>
        </w:rPr>
        <w:t xml:space="preserve">onsumers perceive </w:t>
      </w:r>
      <w:r w:rsidR="003C2ED0" w:rsidRPr="00117825">
        <w:rPr>
          <w:color w:val="000000"/>
        </w:rPr>
        <w:t xml:space="preserve">firm-serving </w:t>
      </w:r>
      <w:r w:rsidR="009F63EF" w:rsidRPr="00117825">
        <w:rPr>
          <w:color w:val="000000"/>
        </w:rPr>
        <w:t xml:space="preserve">motives </w:t>
      </w:r>
      <w:r w:rsidR="00F739F1" w:rsidRPr="00117825">
        <w:rPr>
          <w:color w:val="000000"/>
        </w:rPr>
        <w:t>negative</w:t>
      </w:r>
      <w:r w:rsidR="001A7CCB" w:rsidRPr="00117825">
        <w:rPr>
          <w:color w:val="000000"/>
        </w:rPr>
        <w:t>ly</w:t>
      </w:r>
      <w:r w:rsidR="00F739F1" w:rsidRPr="00117825">
        <w:rPr>
          <w:color w:val="000000"/>
        </w:rPr>
        <w:t xml:space="preserve"> </w:t>
      </w:r>
      <w:r w:rsidR="001A7CCB" w:rsidRPr="00117825">
        <w:rPr>
          <w:color w:val="000000"/>
        </w:rPr>
        <w:t xml:space="preserve">because </w:t>
      </w:r>
      <w:r w:rsidR="003C2ED0" w:rsidRPr="00117825">
        <w:rPr>
          <w:color w:val="000000"/>
        </w:rPr>
        <w:t xml:space="preserve">they </w:t>
      </w:r>
      <w:r w:rsidR="00F739F1" w:rsidRPr="00117825">
        <w:rPr>
          <w:color w:val="000000"/>
        </w:rPr>
        <w:t>signif</w:t>
      </w:r>
      <w:r w:rsidR="003C2ED0" w:rsidRPr="00117825">
        <w:rPr>
          <w:color w:val="000000"/>
        </w:rPr>
        <w:t>y</w:t>
      </w:r>
      <w:r w:rsidR="00F739F1" w:rsidRPr="00117825">
        <w:rPr>
          <w:color w:val="000000"/>
        </w:rPr>
        <w:t xml:space="preserve"> an individualistic or opportunistic perspective and </w:t>
      </w:r>
      <w:r w:rsidR="003C2ED0" w:rsidRPr="00117825">
        <w:rPr>
          <w:color w:val="000000"/>
        </w:rPr>
        <w:t xml:space="preserve">public-serving </w:t>
      </w:r>
      <w:r w:rsidR="00F739F1" w:rsidRPr="00117825">
        <w:rPr>
          <w:color w:val="000000"/>
        </w:rPr>
        <w:t xml:space="preserve">motives favorably </w:t>
      </w:r>
      <w:r w:rsidR="001A7CCB" w:rsidRPr="00117825">
        <w:rPr>
          <w:color w:val="000000"/>
        </w:rPr>
        <w:t xml:space="preserve">because </w:t>
      </w:r>
      <w:r w:rsidR="003C2ED0" w:rsidRPr="00117825">
        <w:rPr>
          <w:color w:val="000000"/>
        </w:rPr>
        <w:t>they</w:t>
      </w:r>
      <w:r w:rsidR="009F63EF" w:rsidRPr="00117825">
        <w:rPr>
          <w:color w:val="000000"/>
        </w:rPr>
        <w:t xml:space="preserve"> show an element of altruism and enhanced societal interest (Becker-Olsen</w:t>
      </w:r>
      <w:r w:rsidR="003926D0" w:rsidRPr="00117825">
        <w:rPr>
          <w:color w:val="000000"/>
        </w:rPr>
        <w:t xml:space="preserve">, </w:t>
      </w:r>
      <w:proofErr w:type="spellStart"/>
      <w:r w:rsidR="003926D0" w:rsidRPr="00117825">
        <w:rPr>
          <w:bCs/>
        </w:rPr>
        <w:t>Cudmore</w:t>
      </w:r>
      <w:proofErr w:type="spellEnd"/>
      <w:r w:rsidR="003926D0" w:rsidRPr="00117825">
        <w:rPr>
          <w:bCs/>
        </w:rPr>
        <w:t>,</w:t>
      </w:r>
      <w:r w:rsidR="00426DB9" w:rsidRPr="00117825">
        <w:rPr>
          <w:bCs/>
        </w:rPr>
        <w:t xml:space="preserve"> &amp;</w:t>
      </w:r>
      <w:r w:rsidR="003926D0" w:rsidRPr="00117825">
        <w:rPr>
          <w:bCs/>
        </w:rPr>
        <w:t xml:space="preserve"> Hill</w:t>
      </w:r>
      <w:r w:rsidR="009F63EF" w:rsidRPr="00117825">
        <w:rPr>
          <w:color w:val="000000"/>
        </w:rPr>
        <w:t>, 2006</w:t>
      </w:r>
      <w:r w:rsidR="00F94A03" w:rsidRPr="00117825">
        <w:rPr>
          <w:color w:val="000000"/>
        </w:rPr>
        <w:t xml:space="preserve">). </w:t>
      </w:r>
    </w:p>
    <w:p w:rsidR="009F4CAF" w:rsidRPr="00117825" w:rsidRDefault="00B857E0" w:rsidP="00117825">
      <w:pPr>
        <w:tabs>
          <w:tab w:val="left" w:pos="567"/>
        </w:tabs>
        <w:spacing w:line="480" w:lineRule="auto"/>
        <w:rPr>
          <w:color w:val="000000"/>
        </w:rPr>
      </w:pPr>
      <w:r>
        <w:rPr>
          <w:color w:val="000000"/>
        </w:rPr>
        <w:tab/>
      </w:r>
      <w:r w:rsidR="007958DB" w:rsidRPr="00117825">
        <w:rPr>
          <w:color w:val="000000"/>
        </w:rPr>
        <w:t xml:space="preserve">Attribution theory provides an appropriate framework for exploring </w:t>
      </w:r>
      <w:r w:rsidR="009F0E25" w:rsidRPr="00117825">
        <w:rPr>
          <w:color w:val="000000"/>
        </w:rPr>
        <w:t>the role</w:t>
      </w:r>
      <w:r w:rsidR="007958DB" w:rsidRPr="00117825">
        <w:rPr>
          <w:color w:val="000000"/>
        </w:rPr>
        <w:t xml:space="preserve"> of consumer skepticism toward CSR </w:t>
      </w:r>
      <w:r w:rsidR="003C2ED0" w:rsidRPr="00117825">
        <w:rPr>
          <w:color w:val="000000"/>
        </w:rPr>
        <w:t>by</w:t>
      </w:r>
      <w:r w:rsidR="007958DB" w:rsidRPr="00117825">
        <w:rPr>
          <w:color w:val="000000"/>
        </w:rPr>
        <w:t xml:space="preserve"> illuminat</w:t>
      </w:r>
      <w:r w:rsidR="003C2ED0" w:rsidRPr="00117825">
        <w:rPr>
          <w:color w:val="000000"/>
        </w:rPr>
        <w:t>ing</w:t>
      </w:r>
      <w:r w:rsidR="007958DB" w:rsidRPr="00117825">
        <w:rPr>
          <w:color w:val="000000"/>
        </w:rPr>
        <w:t xml:space="preserve"> the way people explain corporate social involvement and how this cognitive perception affects their subsequent attitudes and behavior (</w:t>
      </w:r>
      <w:r w:rsidR="00426DB9" w:rsidRPr="00117825">
        <w:rPr>
          <w:color w:val="000000"/>
        </w:rPr>
        <w:t xml:space="preserve">Ellen, Mohr, &amp; Webb, </w:t>
      </w:r>
      <w:r w:rsidR="005F4DAF" w:rsidRPr="00117825">
        <w:rPr>
          <w:color w:val="000000"/>
        </w:rPr>
        <w:t>2000</w:t>
      </w:r>
      <w:r w:rsidR="00426DB9" w:rsidRPr="00117825">
        <w:rPr>
          <w:color w:val="000000"/>
        </w:rPr>
        <w:t xml:space="preserve">; </w:t>
      </w:r>
      <w:r w:rsidR="007958DB" w:rsidRPr="00117825">
        <w:rPr>
          <w:color w:val="000000"/>
        </w:rPr>
        <w:t>Vlachos</w:t>
      </w:r>
      <w:r w:rsidR="003926D0" w:rsidRPr="00117825">
        <w:rPr>
          <w:color w:val="000000"/>
        </w:rPr>
        <w:t xml:space="preserve">, </w:t>
      </w:r>
      <w:proofErr w:type="spellStart"/>
      <w:r w:rsidR="003926D0" w:rsidRPr="00117825">
        <w:rPr>
          <w:color w:val="000000"/>
        </w:rPr>
        <w:t>Tsamakos</w:t>
      </w:r>
      <w:proofErr w:type="spellEnd"/>
      <w:r w:rsidR="003926D0" w:rsidRPr="00117825">
        <w:rPr>
          <w:color w:val="000000"/>
        </w:rPr>
        <w:t xml:space="preserve">, </w:t>
      </w:r>
      <w:proofErr w:type="spellStart"/>
      <w:r w:rsidR="003926D0" w:rsidRPr="00117825">
        <w:rPr>
          <w:color w:val="000000"/>
        </w:rPr>
        <w:t>Vrechopoulos</w:t>
      </w:r>
      <w:proofErr w:type="spellEnd"/>
      <w:r w:rsidR="003926D0" w:rsidRPr="00117825">
        <w:rPr>
          <w:color w:val="000000"/>
        </w:rPr>
        <w:t xml:space="preserve">, </w:t>
      </w:r>
      <w:r w:rsidR="00426DB9" w:rsidRPr="00117825">
        <w:rPr>
          <w:color w:val="000000"/>
        </w:rPr>
        <w:t>&amp;</w:t>
      </w:r>
      <w:r w:rsidR="003926D0" w:rsidRPr="00117825">
        <w:rPr>
          <w:color w:val="000000"/>
        </w:rPr>
        <w:t xml:space="preserve"> </w:t>
      </w:r>
      <w:proofErr w:type="spellStart"/>
      <w:r w:rsidR="003926D0" w:rsidRPr="00117825">
        <w:rPr>
          <w:color w:val="000000"/>
        </w:rPr>
        <w:t>Avramidis</w:t>
      </w:r>
      <w:proofErr w:type="spellEnd"/>
      <w:r w:rsidR="007958DB" w:rsidRPr="00117825">
        <w:rPr>
          <w:color w:val="000000"/>
        </w:rPr>
        <w:t xml:space="preserve">, 2009). </w:t>
      </w:r>
      <w:r w:rsidR="00FD0A89" w:rsidRPr="00117825">
        <w:rPr>
          <w:color w:val="000000"/>
        </w:rPr>
        <w:t>The theory is</w:t>
      </w:r>
      <w:r w:rsidR="009F4CAF" w:rsidRPr="00117825">
        <w:rPr>
          <w:color w:val="000000"/>
        </w:rPr>
        <w:t xml:space="preserve"> suitable to </w:t>
      </w:r>
      <w:r w:rsidR="007958DB" w:rsidRPr="00117825">
        <w:rPr>
          <w:color w:val="000000"/>
        </w:rPr>
        <w:t>the CSR context</w:t>
      </w:r>
      <w:r w:rsidR="009F4CAF" w:rsidRPr="00117825">
        <w:rPr>
          <w:color w:val="000000"/>
        </w:rPr>
        <w:t xml:space="preserve"> because consumers express great interest in </w:t>
      </w:r>
      <w:r w:rsidR="00FD0A89" w:rsidRPr="00117825">
        <w:rPr>
          <w:color w:val="000000"/>
        </w:rPr>
        <w:t xml:space="preserve">justifying </w:t>
      </w:r>
      <w:r w:rsidR="009F4CAF" w:rsidRPr="00117825">
        <w:rPr>
          <w:color w:val="000000"/>
        </w:rPr>
        <w:t xml:space="preserve">why firms </w:t>
      </w:r>
      <w:r w:rsidR="00261424" w:rsidRPr="00117825">
        <w:rPr>
          <w:color w:val="000000"/>
        </w:rPr>
        <w:t>engag</w:t>
      </w:r>
      <w:r w:rsidR="0038723A" w:rsidRPr="00117825">
        <w:rPr>
          <w:color w:val="000000"/>
        </w:rPr>
        <w:t>e</w:t>
      </w:r>
      <w:r w:rsidR="009F4CAF" w:rsidRPr="00117825">
        <w:rPr>
          <w:color w:val="000000"/>
        </w:rPr>
        <w:t xml:space="preserve"> in CSR</w:t>
      </w:r>
      <w:r w:rsidR="00426DB9" w:rsidRPr="00117825">
        <w:rPr>
          <w:color w:val="000000"/>
        </w:rPr>
        <w:t xml:space="preserve"> practices (Gilbert &amp;</w:t>
      </w:r>
      <w:r w:rsidR="009F4CAF" w:rsidRPr="00117825">
        <w:rPr>
          <w:color w:val="000000"/>
        </w:rPr>
        <w:t xml:space="preserve"> Malone, 1995) and </w:t>
      </w:r>
      <w:r w:rsidR="007958DB" w:rsidRPr="00117825">
        <w:rPr>
          <w:color w:val="000000"/>
        </w:rPr>
        <w:t xml:space="preserve">show little confidence </w:t>
      </w:r>
      <w:r w:rsidR="009F4CAF" w:rsidRPr="00117825">
        <w:rPr>
          <w:color w:val="000000"/>
        </w:rPr>
        <w:t>in</w:t>
      </w:r>
      <w:r w:rsidR="007958DB" w:rsidRPr="00117825">
        <w:rPr>
          <w:color w:val="000000"/>
        </w:rPr>
        <w:t xml:space="preserve"> corporate efforts to appear as </w:t>
      </w:r>
      <w:r w:rsidR="00FD0A89" w:rsidRPr="00117825">
        <w:rPr>
          <w:color w:val="000000"/>
        </w:rPr>
        <w:t>“</w:t>
      </w:r>
      <w:r w:rsidR="007958DB" w:rsidRPr="00117825">
        <w:rPr>
          <w:color w:val="000000"/>
        </w:rPr>
        <w:t>g</w:t>
      </w:r>
      <w:r w:rsidR="00C6099C" w:rsidRPr="00117825">
        <w:rPr>
          <w:color w:val="000000"/>
        </w:rPr>
        <w:t>ood corporate citizens</w:t>
      </w:r>
      <w:r w:rsidR="00FD0A89" w:rsidRPr="00117825">
        <w:rPr>
          <w:color w:val="000000"/>
        </w:rPr>
        <w:t>”</w:t>
      </w:r>
      <w:r w:rsidR="00C6099C" w:rsidRPr="00117825">
        <w:rPr>
          <w:color w:val="000000"/>
        </w:rPr>
        <w:t xml:space="preserve"> (</w:t>
      </w:r>
      <w:r w:rsidR="005F4DAF" w:rsidRPr="00117825">
        <w:rPr>
          <w:color w:val="000000"/>
        </w:rPr>
        <w:t>Ellen, Webb, &amp; Mohr, 2006</w:t>
      </w:r>
      <w:r w:rsidR="007958DB" w:rsidRPr="00117825">
        <w:rPr>
          <w:color w:val="000000"/>
        </w:rPr>
        <w:t>).</w:t>
      </w:r>
      <w:r w:rsidR="002F1F3E" w:rsidRPr="00117825">
        <w:rPr>
          <w:color w:val="000000"/>
        </w:rPr>
        <w:t xml:space="preserve"> </w:t>
      </w:r>
      <w:r w:rsidR="00BD6279" w:rsidRPr="00117825">
        <w:rPr>
          <w:color w:val="000000"/>
        </w:rPr>
        <w:t>Recent writings in the context of CSR suggest that</w:t>
      </w:r>
      <w:r w:rsidR="009F0E25" w:rsidRPr="00117825">
        <w:rPr>
          <w:color w:val="000000"/>
        </w:rPr>
        <w:t>,</w:t>
      </w:r>
      <w:r w:rsidR="00BD6279" w:rsidRPr="00117825">
        <w:rPr>
          <w:color w:val="000000"/>
        </w:rPr>
        <w:t xml:space="preserve"> rather than the traditional self- versus public-serving motives, four different types of causal inferences can occur: egoistic-</w:t>
      </w:r>
      <w:r w:rsidR="009F0E25" w:rsidRPr="00117825">
        <w:rPr>
          <w:color w:val="000000"/>
        </w:rPr>
        <w:t>, values-, strategic-</w:t>
      </w:r>
      <w:r w:rsidR="00BD6279" w:rsidRPr="00117825">
        <w:rPr>
          <w:color w:val="000000"/>
        </w:rPr>
        <w:t>, and stakeholder-driven motives (Ellen et al., 2006; Vlachos et al., 2009).</w:t>
      </w:r>
      <w:r w:rsidR="00F2354D" w:rsidRPr="00117825">
        <w:rPr>
          <w:color w:val="000000"/>
        </w:rPr>
        <w:t xml:space="preserve"> Arguably, </w:t>
      </w:r>
      <w:r w:rsidR="00161EA6" w:rsidRPr="00117825">
        <w:rPr>
          <w:color w:val="000000"/>
        </w:rPr>
        <w:t>CSR</w:t>
      </w:r>
      <w:r w:rsidR="00BD6279" w:rsidRPr="00117825">
        <w:rPr>
          <w:color w:val="000000"/>
        </w:rPr>
        <w:t xml:space="preserve"> activities </w:t>
      </w:r>
      <w:r w:rsidR="00F2354D" w:rsidRPr="00117825">
        <w:rPr>
          <w:color w:val="000000"/>
        </w:rPr>
        <w:t>are</w:t>
      </w:r>
      <w:r w:rsidR="00BD6279" w:rsidRPr="00117825">
        <w:rPr>
          <w:color w:val="000000"/>
        </w:rPr>
        <w:t xml:space="preserve"> complex</w:t>
      </w:r>
      <w:r w:rsidR="00FD0A89" w:rsidRPr="00117825">
        <w:rPr>
          <w:color w:val="000000"/>
        </w:rPr>
        <w:t>,</w:t>
      </w:r>
      <w:r w:rsidR="00BD6279" w:rsidRPr="00117825">
        <w:rPr>
          <w:color w:val="000000"/>
        </w:rPr>
        <w:t xml:space="preserve"> </w:t>
      </w:r>
      <w:r w:rsidR="00161EA6" w:rsidRPr="00117825">
        <w:rPr>
          <w:color w:val="000000"/>
        </w:rPr>
        <w:t>and</w:t>
      </w:r>
      <w:r w:rsidR="00BD6279" w:rsidRPr="00117825">
        <w:rPr>
          <w:color w:val="000000"/>
        </w:rPr>
        <w:t xml:space="preserve"> consumers </w:t>
      </w:r>
      <w:r w:rsidR="00161EA6" w:rsidRPr="00117825">
        <w:rPr>
          <w:color w:val="000000"/>
        </w:rPr>
        <w:t xml:space="preserve">are likely to </w:t>
      </w:r>
      <w:r w:rsidR="00300CEA" w:rsidRPr="00117825">
        <w:rPr>
          <w:color w:val="000000"/>
        </w:rPr>
        <w:t>identify</w:t>
      </w:r>
      <w:r w:rsidR="00BD6279" w:rsidRPr="00117825">
        <w:rPr>
          <w:color w:val="000000"/>
        </w:rPr>
        <w:t xml:space="preserve"> multiple plausible causal inferences for corporate social engagement</w:t>
      </w:r>
      <w:r w:rsidR="00F2354D" w:rsidRPr="00117825">
        <w:t xml:space="preserve"> (</w:t>
      </w:r>
      <w:proofErr w:type="spellStart"/>
      <w:r w:rsidR="00F2354D" w:rsidRPr="00117825">
        <w:rPr>
          <w:color w:val="000000"/>
        </w:rPr>
        <w:t>Oberseder</w:t>
      </w:r>
      <w:proofErr w:type="spellEnd"/>
      <w:r w:rsidR="00F2354D" w:rsidRPr="00117825">
        <w:rPr>
          <w:color w:val="000000"/>
        </w:rPr>
        <w:t xml:space="preserve">, </w:t>
      </w:r>
      <w:proofErr w:type="spellStart"/>
      <w:r w:rsidR="00F2354D" w:rsidRPr="00117825">
        <w:rPr>
          <w:color w:val="000000"/>
        </w:rPr>
        <w:t>Schlegelmilch</w:t>
      </w:r>
      <w:proofErr w:type="spellEnd"/>
      <w:r w:rsidR="00F2354D" w:rsidRPr="00117825">
        <w:rPr>
          <w:color w:val="000000"/>
        </w:rPr>
        <w:t>, &amp; Gruber, 2011)</w:t>
      </w:r>
      <w:r w:rsidR="00161EA6" w:rsidRPr="00117825">
        <w:rPr>
          <w:color w:val="000000"/>
        </w:rPr>
        <w:t xml:space="preserve">. </w:t>
      </w:r>
    </w:p>
    <w:p w:rsidR="00217369" w:rsidRDefault="00B857E0" w:rsidP="00117825">
      <w:pPr>
        <w:tabs>
          <w:tab w:val="left" w:pos="567"/>
        </w:tabs>
        <w:autoSpaceDE w:val="0"/>
        <w:autoSpaceDN w:val="0"/>
        <w:adjustRightInd w:val="0"/>
        <w:spacing w:line="480" w:lineRule="auto"/>
        <w:rPr>
          <w:color w:val="000000"/>
        </w:rPr>
      </w:pPr>
      <w:r>
        <w:rPr>
          <w:color w:val="000000"/>
        </w:rPr>
        <w:tab/>
      </w:r>
      <w:r w:rsidR="00AC4CE7" w:rsidRPr="00117825">
        <w:rPr>
          <w:color w:val="000000"/>
        </w:rPr>
        <w:t xml:space="preserve">Egoistic-driven attributions </w:t>
      </w:r>
      <w:r w:rsidR="00A879E3" w:rsidRPr="00117825">
        <w:rPr>
          <w:color w:val="000000"/>
        </w:rPr>
        <w:t xml:space="preserve">refer to beliefs that the </w:t>
      </w:r>
      <w:r w:rsidR="00014673" w:rsidRPr="00117825">
        <w:rPr>
          <w:color w:val="000000"/>
        </w:rPr>
        <w:t xml:space="preserve">company </w:t>
      </w:r>
      <w:r w:rsidR="00A879E3" w:rsidRPr="00117825">
        <w:rPr>
          <w:color w:val="000000"/>
        </w:rPr>
        <w:t xml:space="preserve">is exploiting rather than </w:t>
      </w:r>
      <w:r w:rsidR="005F7502" w:rsidRPr="00117825">
        <w:rPr>
          <w:color w:val="000000"/>
        </w:rPr>
        <w:t xml:space="preserve">supporting </w:t>
      </w:r>
      <w:r w:rsidR="003C2ED0" w:rsidRPr="00117825">
        <w:rPr>
          <w:color w:val="000000"/>
        </w:rPr>
        <w:t xml:space="preserve">the cause </w:t>
      </w:r>
      <w:r w:rsidR="00B366DF" w:rsidRPr="00117825">
        <w:rPr>
          <w:color w:val="000000"/>
        </w:rPr>
        <w:t>(</w:t>
      </w:r>
      <w:r w:rsidR="005D3BBA" w:rsidRPr="00117825">
        <w:rPr>
          <w:color w:val="000000"/>
        </w:rPr>
        <w:t xml:space="preserve">Ellen et al., 2006; </w:t>
      </w:r>
      <w:r w:rsidR="00B366DF" w:rsidRPr="00117825">
        <w:rPr>
          <w:color w:val="000000"/>
        </w:rPr>
        <w:t>Vlachos et al., 200</w:t>
      </w:r>
      <w:r w:rsidR="005D3BBA" w:rsidRPr="00117825">
        <w:rPr>
          <w:color w:val="000000"/>
        </w:rPr>
        <w:t>9</w:t>
      </w:r>
      <w:r w:rsidR="00B366DF" w:rsidRPr="00117825">
        <w:rPr>
          <w:color w:val="000000"/>
        </w:rPr>
        <w:t>)</w:t>
      </w:r>
      <w:r w:rsidR="00AC4CE7" w:rsidRPr="00117825">
        <w:rPr>
          <w:color w:val="000000"/>
        </w:rPr>
        <w:t xml:space="preserve">. </w:t>
      </w:r>
      <w:r w:rsidR="004337B4" w:rsidRPr="00117825">
        <w:rPr>
          <w:color w:val="000000"/>
        </w:rPr>
        <w:t>When c</w:t>
      </w:r>
      <w:r w:rsidR="00F47867" w:rsidRPr="00117825">
        <w:rPr>
          <w:color w:val="000000"/>
        </w:rPr>
        <w:t xml:space="preserve">onsumers </w:t>
      </w:r>
      <w:r w:rsidR="004337B4" w:rsidRPr="00117825">
        <w:rPr>
          <w:color w:val="000000"/>
        </w:rPr>
        <w:t xml:space="preserve">assign </w:t>
      </w:r>
      <w:r w:rsidR="00903EC7" w:rsidRPr="00117825">
        <w:rPr>
          <w:color w:val="000000"/>
        </w:rPr>
        <w:t xml:space="preserve">opportunistic and excessive </w:t>
      </w:r>
      <w:r w:rsidR="00F47867" w:rsidRPr="00117825">
        <w:rPr>
          <w:color w:val="000000"/>
        </w:rPr>
        <w:t xml:space="preserve">profiteering motives </w:t>
      </w:r>
      <w:r w:rsidR="00300CEA" w:rsidRPr="00117825">
        <w:rPr>
          <w:color w:val="000000"/>
        </w:rPr>
        <w:t xml:space="preserve">to </w:t>
      </w:r>
      <w:r w:rsidR="004337B4" w:rsidRPr="00117825">
        <w:rPr>
          <w:color w:val="000000"/>
        </w:rPr>
        <w:t xml:space="preserve">CSR engagement, they </w:t>
      </w:r>
      <w:r w:rsidR="00D734D1" w:rsidRPr="00117825">
        <w:rPr>
          <w:color w:val="000000"/>
        </w:rPr>
        <w:t xml:space="preserve">perceive </w:t>
      </w:r>
      <w:r w:rsidR="00FD0A89" w:rsidRPr="00117825">
        <w:rPr>
          <w:color w:val="000000"/>
        </w:rPr>
        <w:t xml:space="preserve">CSR </w:t>
      </w:r>
      <w:r w:rsidR="00D734D1" w:rsidRPr="00117825">
        <w:rPr>
          <w:color w:val="000000"/>
        </w:rPr>
        <w:t>as a deliberate at</w:t>
      </w:r>
      <w:r w:rsidR="00F47867" w:rsidRPr="00117825">
        <w:rPr>
          <w:color w:val="000000"/>
        </w:rPr>
        <w:t xml:space="preserve">tempt to </w:t>
      </w:r>
      <w:r w:rsidR="00D734D1" w:rsidRPr="00117825">
        <w:rPr>
          <w:color w:val="000000"/>
        </w:rPr>
        <w:t>mislead</w:t>
      </w:r>
      <w:r w:rsidR="00F47867" w:rsidRPr="00117825">
        <w:rPr>
          <w:color w:val="000000"/>
        </w:rPr>
        <w:t xml:space="preserve"> </w:t>
      </w:r>
      <w:r w:rsidR="00D734D1" w:rsidRPr="00117825">
        <w:rPr>
          <w:color w:val="000000"/>
        </w:rPr>
        <w:t>them</w:t>
      </w:r>
      <w:r w:rsidR="00F47867" w:rsidRPr="00117825">
        <w:rPr>
          <w:color w:val="000000"/>
        </w:rPr>
        <w:t xml:space="preserve"> into false conclusions about the company’s ethos. </w:t>
      </w:r>
      <w:r w:rsidR="00300CEA" w:rsidRPr="00117825">
        <w:rPr>
          <w:color w:val="000000"/>
        </w:rPr>
        <w:t>Beyond</w:t>
      </w:r>
      <w:r w:rsidR="00903EC7" w:rsidRPr="00117825">
        <w:rPr>
          <w:color w:val="000000"/>
        </w:rPr>
        <w:t xml:space="preserve"> </w:t>
      </w:r>
      <w:r w:rsidR="00300CEA" w:rsidRPr="00117825">
        <w:rPr>
          <w:color w:val="000000"/>
        </w:rPr>
        <w:lastRenderedPageBreak/>
        <w:t xml:space="preserve">the </w:t>
      </w:r>
      <w:r w:rsidR="00903EC7" w:rsidRPr="00117825">
        <w:rPr>
          <w:color w:val="000000"/>
        </w:rPr>
        <w:t>manipulative, c</w:t>
      </w:r>
      <w:r w:rsidR="0017138E" w:rsidRPr="00117825">
        <w:rPr>
          <w:color w:val="000000"/>
        </w:rPr>
        <w:t xml:space="preserve">onsumers view such motivations as unethical and </w:t>
      </w:r>
      <w:r w:rsidR="00903EC7" w:rsidRPr="00117825">
        <w:rPr>
          <w:color w:val="000000"/>
        </w:rPr>
        <w:t>not reciprocal to the social cause</w:t>
      </w:r>
      <w:r w:rsidR="00CC7CC4" w:rsidRPr="00117825">
        <w:rPr>
          <w:color w:val="000000"/>
        </w:rPr>
        <w:t xml:space="preserve"> </w:t>
      </w:r>
      <w:r w:rsidR="00261424" w:rsidRPr="00117825">
        <w:rPr>
          <w:color w:val="000000"/>
        </w:rPr>
        <w:t xml:space="preserve">because </w:t>
      </w:r>
      <w:r w:rsidR="00CC7CC4" w:rsidRPr="00117825">
        <w:rPr>
          <w:color w:val="000000"/>
        </w:rPr>
        <w:t>the company is preoccupied with its own interests</w:t>
      </w:r>
      <w:r w:rsidR="00903EC7" w:rsidRPr="00117825">
        <w:rPr>
          <w:color w:val="000000"/>
        </w:rPr>
        <w:t xml:space="preserve"> </w:t>
      </w:r>
      <w:r w:rsidR="00426DB9" w:rsidRPr="00117825">
        <w:rPr>
          <w:color w:val="000000"/>
        </w:rPr>
        <w:t>(Forehand &amp;</w:t>
      </w:r>
      <w:r w:rsidR="0017138E" w:rsidRPr="00117825">
        <w:rPr>
          <w:color w:val="000000"/>
        </w:rPr>
        <w:t xml:space="preserve"> Grier, 2003</w:t>
      </w:r>
      <w:r w:rsidR="00903EC7" w:rsidRPr="00117825">
        <w:rPr>
          <w:color w:val="000000"/>
        </w:rPr>
        <w:t>; Vlachos et al., 2009</w:t>
      </w:r>
      <w:r w:rsidR="0017138E" w:rsidRPr="00117825">
        <w:rPr>
          <w:color w:val="000000"/>
        </w:rPr>
        <w:t>)</w:t>
      </w:r>
      <w:r w:rsidR="00AC4CE7" w:rsidRPr="00117825">
        <w:rPr>
          <w:color w:val="000000"/>
        </w:rPr>
        <w:t>.</w:t>
      </w:r>
      <w:r w:rsidR="0017138E" w:rsidRPr="00117825">
        <w:rPr>
          <w:color w:val="000000"/>
        </w:rPr>
        <w:t xml:space="preserve"> </w:t>
      </w:r>
    </w:p>
    <w:p w:rsidR="00F62766" w:rsidRPr="00117825" w:rsidRDefault="00217369" w:rsidP="00B857E0">
      <w:pPr>
        <w:tabs>
          <w:tab w:val="left" w:pos="567"/>
        </w:tabs>
        <w:autoSpaceDE w:val="0"/>
        <w:autoSpaceDN w:val="0"/>
        <w:adjustRightInd w:val="0"/>
        <w:spacing w:line="480" w:lineRule="auto"/>
        <w:rPr>
          <w:color w:val="000000"/>
        </w:rPr>
      </w:pPr>
      <w:r>
        <w:rPr>
          <w:color w:val="000000"/>
        </w:rPr>
        <w:tab/>
      </w:r>
      <w:r w:rsidR="00FD0A89" w:rsidRPr="00117825">
        <w:rPr>
          <w:color w:val="000000"/>
        </w:rPr>
        <w:t>Thus</w:t>
      </w:r>
      <w:r w:rsidR="005F7502" w:rsidRPr="00117825">
        <w:rPr>
          <w:color w:val="000000"/>
        </w:rPr>
        <w:t xml:space="preserve">, </w:t>
      </w:r>
      <w:r w:rsidR="0017138E" w:rsidRPr="00117825">
        <w:rPr>
          <w:color w:val="000000"/>
        </w:rPr>
        <w:t xml:space="preserve">consumers </w:t>
      </w:r>
      <w:r w:rsidR="00903EC7" w:rsidRPr="00117825">
        <w:rPr>
          <w:color w:val="000000"/>
        </w:rPr>
        <w:t xml:space="preserve">are likely to </w:t>
      </w:r>
      <w:r w:rsidR="00EC5EC3" w:rsidRPr="00117825">
        <w:rPr>
          <w:color w:val="000000"/>
        </w:rPr>
        <w:t xml:space="preserve">question </w:t>
      </w:r>
      <w:r w:rsidR="00903EC7" w:rsidRPr="00117825">
        <w:rPr>
          <w:color w:val="000000"/>
        </w:rPr>
        <w:t xml:space="preserve">and </w:t>
      </w:r>
      <w:r w:rsidR="00EC5EC3" w:rsidRPr="00117825">
        <w:rPr>
          <w:color w:val="000000"/>
        </w:rPr>
        <w:t xml:space="preserve">doubt </w:t>
      </w:r>
      <w:r w:rsidR="00903EC7" w:rsidRPr="00117825">
        <w:rPr>
          <w:color w:val="000000"/>
        </w:rPr>
        <w:t xml:space="preserve">CSR efforts when they </w:t>
      </w:r>
      <w:r w:rsidR="0017138E" w:rsidRPr="00117825">
        <w:rPr>
          <w:color w:val="000000"/>
        </w:rPr>
        <w:t>attribute the retailer’s social involvement to blatant self-centered reasons</w:t>
      </w:r>
      <w:r w:rsidR="000775A6" w:rsidRPr="00117825">
        <w:rPr>
          <w:color w:val="000000"/>
        </w:rPr>
        <w:t>.</w:t>
      </w:r>
      <w:r>
        <w:rPr>
          <w:color w:val="000000"/>
        </w:rPr>
        <w:t xml:space="preserve"> </w:t>
      </w:r>
      <w:r w:rsidR="007F5CF1" w:rsidRPr="00B857E0">
        <w:rPr>
          <w:color w:val="000000"/>
        </w:rPr>
        <w:t>H1</w:t>
      </w:r>
      <w:r w:rsidRPr="00B857E0">
        <w:rPr>
          <w:color w:val="000000"/>
        </w:rPr>
        <w:t>:</w:t>
      </w:r>
      <w:r w:rsidR="007F5CF1" w:rsidRPr="00117825">
        <w:rPr>
          <w:color w:val="000000"/>
        </w:rPr>
        <w:t xml:space="preserve"> </w:t>
      </w:r>
      <w:r w:rsidR="002876CA" w:rsidRPr="00117825">
        <w:rPr>
          <w:color w:val="000000"/>
        </w:rPr>
        <w:t>Egoistic-driven motives relate positively to CSR skepticism</w:t>
      </w:r>
      <w:r w:rsidR="007F5CF1" w:rsidRPr="00117825">
        <w:rPr>
          <w:color w:val="000000"/>
        </w:rPr>
        <w:t>.</w:t>
      </w:r>
      <w:r w:rsidR="00C3246C" w:rsidRPr="00117825">
        <w:rPr>
          <w:color w:val="000000"/>
        </w:rPr>
        <w:t xml:space="preserve"> </w:t>
      </w:r>
    </w:p>
    <w:p w:rsidR="002876CA" w:rsidRPr="00117825" w:rsidRDefault="00B857E0" w:rsidP="00B857E0">
      <w:pPr>
        <w:tabs>
          <w:tab w:val="left" w:pos="567"/>
        </w:tabs>
        <w:spacing w:line="480" w:lineRule="auto"/>
        <w:rPr>
          <w:color w:val="000000"/>
        </w:rPr>
      </w:pPr>
      <w:r>
        <w:rPr>
          <w:color w:val="000000"/>
        </w:rPr>
        <w:tab/>
      </w:r>
      <w:r w:rsidR="006832BA" w:rsidRPr="00117825">
        <w:rPr>
          <w:color w:val="000000"/>
        </w:rPr>
        <w:t>Values-driven motives refer to</w:t>
      </w:r>
      <w:r w:rsidR="00AC4CE7" w:rsidRPr="00117825">
        <w:rPr>
          <w:color w:val="000000"/>
        </w:rPr>
        <w:t xml:space="preserve"> beliefs that the company engages in CSR actions purely because of its moral, ethical, </w:t>
      </w:r>
      <w:r w:rsidR="00014673" w:rsidRPr="00117825">
        <w:rPr>
          <w:color w:val="000000"/>
        </w:rPr>
        <w:t>and societal</w:t>
      </w:r>
      <w:r w:rsidR="00AC4CE7" w:rsidRPr="00117825">
        <w:rPr>
          <w:color w:val="000000"/>
        </w:rPr>
        <w:t xml:space="preserve"> </w:t>
      </w:r>
      <w:r w:rsidR="006832BA" w:rsidRPr="00117825">
        <w:rPr>
          <w:color w:val="000000"/>
        </w:rPr>
        <w:t xml:space="preserve">ideals and standards (Ellen et al., 2000). </w:t>
      </w:r>
      <w:r w:rsidR="00544C75" w:rsidRPr="00117825">
        <w:rPr>
          <w:color w:val="000000"/>
        </w:rPr>
        <w:t xml:space="preserve">In this case, consumers believe that the company is acting out of character, </w:t>
      </w:r>
      <w:r w:rsidR="00604014" w:rsidRPr="00117825">
        <w:rPr>
          <w:color w:val="000000"/>
        </w:rPr>
        <w:t xml:space="preserve">cares about the cause, and </w:t>
      </w:r>
      <w:r w:rsidR="00544C75" w:rsidRPr="00117825">
        <w:rPr>
          <w:color w:val="000000"/>
        </w:rPr>
        <w:t xml:space="preserve">has </w:t>
      </w:r>
      <w:r w:rsidR="006456CB" w:rsidRPr="00117825">
        <w:rPr>
          <w:color w:val="000000"/>
        </w:rPr>
        <w:t>a genuine</w:t>
      </w:r>
      <w:r w:rsidR="00017BB9" w:rsidRPr="00117825">
        <w:rPr>
          <w:color w:val="000000"/>
        </w:rPr>
        <w:t xml:space="preserve"> concern about social problems</w:t>
      </w:r>
      <w:r w:rsidR="00604014" w:rsidRPr="00117825">
        <w:rPr>
          <w:color w:val="000000"/>
        </w:rPr>
        <w:t>. V</w:t>
      </w:r>
      <w:r w:rsidR="00544C75" w:rsidRPr="00117825">
        <w:rPr>
          <w:color w:val="000000"/>
        </w:rPr>
        <w:t xml:space="preserve">alues-driven attributions </w:t>
      </w:r>
      <w:r w:rsidR="00604014" w:rsidRPr="00117825">
        <w:rPr>
          <w:color w:val="000000"/>
        </w:rPr>
        <w:t xml:space="preserve">suggest that CSR practices </w:t>
      </w:r>
      <w:r w:rsidR="00017BB9" w:rsidRPr="00117825">
        <w:rPr>
          <w:color w:val="000000"/>
        </w:rPr>
        <w:t>are</w:t>
      </w:r>
      <w:r w:rsidR="00261806" w:rsidRPr="00117825">
        <w:rPr>
          <w:color w:val="000000"/>
        </w:rPr>
        <w:t xml:space="preserve"> </w:t>
      </w:r>
      <w:r w:rsidR="005F7502" w:rsidRPr="00117825">
        <w:rPr>
          <w:color w:val="000000"/>
        </w:rPr>
        <w:t>symbolic</w:t>
      </w:r>
      <w:r w:rsidR="0047202A" w:rsidRPr="00117825">
        <w:rPr>
          <w:color w:val="000000"/>
        </w:rPr>
        <w:t xml:space="preserve"> of the company’s authentic desire to contribute to society and </w:t>
      </w:r>
      <w:r w:rsidR="00261806" w:rsidRPr="00117825">
        <w:rPr>
          <w:color w:val="000000"/>
        </w:rPr>
        <w:t xml:space="preserve">correspond to </w:t>
      </w:r>
      <w:r w:rsidR="0047202A" w:rsidRPr="00117825">
        <w:rPr>
          <w:color w:val="000000"/>
        </w:rPr>
        <w:t>its</w:t>
      </w:r>
      <w:r w:rsidR="00261806" w:rsidRPr="00117825">
        <w:rPr>
          <w:color w:val="000000"/>
        </w:rPr>
        <w:t xml:space="preserve"> true feelings and dispositions </w:t>
      </w:r>
      <w:r w:rsidR="00604014" w:rsidRPr="00117825">
        <w:rPr>
          <w:color w:val="000000"/>
        </w:rPr>
        <w:t>(Beck</w:t>
      </w:r>
      <w:r w:rsidR="00426DB9" w:rsidRPr="00117825">
        <w:rPr>
          <w:color w:val="000000"/>
        </w:rPr>
        <w:t>er-Olsen et al., 2006</w:t>
      </w:r>
      <w:r w:rsidR="00604014" w:rsidRPr="00117825">
        <w:rPr>
          <w:color w:val="000000"/>
        </w:rPr>
        <w:t>)</w:t>
      </w:r>
      <w:r w:rsidR="006456CB" w:rsidRPr="00117825">
        <w:rPr>
          <w:color w:val="000000"/>
        </w:rPr>
        <w:t>.</w:t>
      </w:r>
      <w:r w:rsidR="00544C75" w:rsidRPr="00117825">
        <w:rPr>
          <w:color w:val="000000"/>
        </w:rPr>
        <w:t xml:space="preserve"> </w:t>
      </w:r>
      <w:r w:rsidR="000F4BA7" w:rsidRPr="00117825">
        <w:rPr>
          <w:color w:val="000000"/>
        </w:rPr>
        <w:t>Consequently</w:t>
      </w:r>
      <w:r w:rsidR="0047202A" w:rsidRPr="00117825">
        <w:rPr>
          <w:color w:val="000000"/>
        </w:rPr>
        <w:t xml:space="preserve">, </w:t>
      </w:r>
      <w:r w:rsidR="00604014" w:rsidRPr="00117825">
        <w:rPr>
          <w:color w:val="000000"/>
        </w:rPr>
        <w:t xml:space="preserve">consumers are likely to </w:t>
      </w:r>
      <w:r w:rsidR="00261424" w:rsidRPr="00117825">
        <w:rPr>
          <w:color w:val="000000"/>
        </w:rPr>
        <w:t xml:space="preserve">unquestionably accept </w:t>
      </w:r>
      <w:r w:rsidR="00604014" w:rsidRPr="00117825">
        <w:rPr>
          <w:color w:val="000000"/>
        </w:rPr>
        <w:t xml:space="preserve">and </w:t>
      </w:r>
      <w:r w:rsidR="00261424" w:rsidRPr="00117825">
        <w:rPr>
          <w:color w:val="000000"/>
        </w:rPr>
        <w:t xml:space="preserve">embrace </w:t>
      </w:r>
      <w:r w:rsidR="00604014" w:rsidRPr="00117825">
        <w:rPr>
          <w:color w:val="000000"/>
        </w:rPr>
        <w:t xml:space="preserve">the retailer’s social initiatives in the presence of </w:t>
      </w:r>
      <w:r w:rsidR="00544C75" w:rsidRPr="00117825">
        <w:rPr>
          <w:color w:val="000000"/>
        </w:rPr>
        <w:t>attributions of benevolence-motivated giving</w:t>
      </w:r>
      <w:r w:rsidR="00017BB9" w:rsidRPr="00117825">
        <w:rPr>
          <w:color w:val="000000"/>
        </w:rPr>
        <w:t>.</w:t>
      </w:r>
      <w:r w:rsidR="006456CB" w:rsidRPr="00117825">
        <w:rPr>
          <w:color w:val="000000"/>
        </w:rPr>
        <w:t xml:space="preserve"> </w:t>
      </w:r>
      <w:r w:rsidR="002876CA" w:rsidRPr="00B857E0">
        <w:rPr>
          <w:color w:val="000000"/>
        </w:rPr>
        <w:t>H2</w:t>
      </w:r>
      <w:r w:rsidR="00217369" w:rsidRPr="00B857E0">
        <w:rPr>
          <w:color w:val="000000"/>
        </w:rPr>
        <w:t>:</w:t>
      </w:r>
      <w:r w:rsidR="002876CA" w:rsidRPr="00117825">
        <w:rPr>
          <w:color w:val="000000"/>
        </w:rPr>
        <w:t xml:space="preserve"> Values-driven motives relate negatively to CSR skepticism. </w:t>
      </w:r>
    </w:p>
    <w:p w:rsidR="00217369" w:rsidRDefault="00B857E0" w:rsidP="00117825">
      <w:pPr>
        <w:tabs>
          <w:tab w:val="left" w:pos="567"/>
        </w:tabs>
        <w:spacing w:line="480" w:lineRule="auto"/>
        <w:rPr>
          <w:color w:val="000000"/>
        </w:rPr>
      </w:pPr>
      <w:r>
        <w:rPr>
          <w:color w:val="000000"/>
        </w:rPr>
        <w:tab/>
      </w:r>
      <w:r w:rsidR="00857361" w:rsidRPr="00117825">
        <w:rPr>
          <w:color w:val="000000"/>
        </w:rPr>
        <w:t>S</w:t>
      </w:r>
      <w:r w:rsidR="006832BA" w:rsidRPr="00117825">
        <w:rPr>
          <w:color w:val="000000"/>
        </w:rPr>
        <w:t>trategic-driven</w:t>
      </w:r>
      <w:r w:rsidR="00857361" w:rsidRPr="00117825">
        <w:rPr>
          <w:color w:val="000000"/>
        </w:rPr>
        <w:t xml:space="preserve"> motives </w:t>
      </w:r>
      <w:r w:rsidR="00D46DAA" w:rsidRPr="00117825">
        <w:rPr>
          <w:color w:val="000000"/>
        </w:rPr>
        <w:t xml:space="preserve">reflect </w:t>
      </w:r>
      <w:r w:rsidR="000824FD" w:rsidRPr="00117825">
        <w:rPr>
          <w:color w:val="000000"/>
        </w:rPr>
        <w:t>beliefs that the company can achieve its business</w:t>
      </w:r>
      <w:r w:rsidR="0072073D" w:rsidRPr="00117825">
        <w:rPr>
          <w:color w:val="000000"/>
        </w:rPr>
        <w:t xml:space="preserve"> </w:t>
      </w:r>
      <w:r w:rsidR="000824FD" w:rsidRPr="00117825">
        <w:rPr>
          <w:color w:val="000000"/>
        </w:rPr>
        <w:t xml:space="preserve">objectives while supporting the cause (Ellen et al., 2006; Vlachos et al., 2009). </w:t>
      </w:r>
      <w:r w:rsidR="00901C0A" w:rsidRPr="00117825">
        <w:rPr>
          <w:color w:val="000000"/>
        </w:rPr>
        <w:t xml:space="preserve">By their very nature, strategic-driven </w:t>
      </w:r>
      <w:r w:rsidR="00882392" w:rsidRPr="00117825">
        <w:rPr>
          <w:color w:val="000000"/>
        </w:rPr>
        <w:t xml:space="preserve">attributions epitomize </w:t>
      </w:r>
      <w:r w:rsidR="00901C0A" w:rsidRPr="00117825">
        <w:rPr>
          <w:color w:val="000000"/>
        </w:rPr>
        <w:t xml:space="preserve">the business case </w:t>
      </w:r>
      <w:r w:rsidR="007261B2" w:rsidRPr="00117825">
        <w:rPr>
          <w:color w:val="000000"/>
        </w:rPr>
        <w:t>for</w:t>
      </w:r>
      <w:r w:rsidR="00901C0A" w:rsidRPr="00117825">
        <w:rPr>
          <w:color w:val="000000"/>
        </w:rPr>
        <w:t xml:space="preserve"> CSR</w:t>
      </w:r>
      <w:r w:rsidR="00882392" w:rsidRPr="00117825">
        <w:rPr>
          <w:color w:val="000000"/>
        </w:rPr>
        <w:t xml:space="preserve">: the company attains </w:t>
      </w:r>
      <w:r w:rsidR="000824FD" w:rsidRPr="00117825">
        <w:rPr>
          <w:color w:val="000000"/>
        </w:rPr>
        <w:t xml:space="preserve">goals inherent to </w:t>
      </w:r>
      <w:r w:rsidR="0070491A" w:rsidRPr="00117825">
        <w:rPr>
          <w:color w:val="000000"/>
        </w:rPr>
        <w:t>its</w:t>
      </w:r>
      <w:r w:rsidR="000824FD" w:rsidRPr="00117825">
        <w:rPr>
          <w:color w:val="000000"/>
        </w:rPr>
        <w:t xml:space="preserve"> survival</w:t>
      </w:r>
      <w:r w:rsidR="00901C0A" w:rsidRPr="00117825">
        <w:rPr>
          <w:color w:val="000000"/>
        </w:rPr>
        <w:t xml:space="preserve"> </w:t>
      </w:r>
      <w:r w:rsidR="00D46DAA" w:rsidRPr="00117825">
        <w:rPr>
          <w:color w:val="000000"/>
        </w:rPr>
        <w:t xml:space="preserve">by </w:t>
      </w:r>
      <w:r w:rsidR="00882392" w:rsidRPr="00117825">
        <w:rPr>
          <w:color w:val="000000"/>
        </w:rPr>
        <w:t xml:space="preserve">undertaking </w:t>
      </w:r>
      <w:r w:rsidR="00901C0A" w:rsidRPr="00117825">
        <w:rPr>
          <w:color w:val="000000"/>
        </w:rPr>
        <w:t>social acti</w:t>
      </w:r>
      <w:r w:rsidR="000824FD" w:rsidRPr="00117825">
        <w:rPr>
          <w:color w:val="000000"/>
        </w:rPr>
        <w:t>vities</w:t>
      </w:r>
      <w:r w:rsidR="00901C0A" w:rsidRPr="00117825">
        <w:rPr>
          <w:color w:val="000000"/>
        </w:rPr>
        <w:t xml:space="preserve"> and subsequent</w:t>
      </w:r>
      <w:r w:rsidR="00882392" w:rsidRPr="00117825">
        <w:rPr>
          <w:color w:val="000000"/>
        </w:rPr>
        <w:t>ly</w:t>
      </w:r>
      <w:r w:rsidR="00901C0A" w:rsidRPr="00117825">
        <w:rPr>
          <w:color w:val="000000"/>
        </w:rPr>
        <w:t xml:space="preserve"> promotin</w:t>
      </w:r>
      <w:r w:rsidR="00882392" w:rsidRPr="00117825">
        <w:rPr>
          <w:color w:val="000000"/>
        </w:rPr>
        <w:t>g them</w:t>
      </w:r>
      <w:r w:rsidR="00901C0A" w:rsidRPr="00117825">
        <w:rPr>
          <w:color w:val="000000"/>
        </w:rPr>
        <w:t xml:space="preserve"> in an effort to </w:t>
      </w:r>
      <w:r w:rsidR="00882392" w:rsidRPr="00117825">
        <w:rPr>
          <w:color w:val="000000"/>
        </w:rPr>
        <w:t>create</w:t>
      </w:r>
      <w:r w:rsidR="00901C0A" w:rsidRPr="00117825">
        <w:rPr>
          <w:color w:val="000000"/>
        </w:rPr>
        <w:t xml:space="preserve"> a win-win </w:t>
      </w:r>
      <w:r w:rsidR="000824FD" w:rsidRPr="00117825">
        <w:rPr>
          <w:color w:val="000000"/>
        </w:rPr>
        <w:t>situation</w:t>
      </w:r>
      <w:r w:rsidR="00901C0A" w:rsidRPr="00117825">
        <w:rPr>
          <w:color w:val="000000"/>
        </w:rPr>
        <w:t xml:space="preserve">. </w:t>
      </w:r>
      <w:r w:rsidR="00A81D4C" w:rsidRPr="00117825">
        <w:rPr>
          <w:color w:val="000000"/>
        </w:rPr>
        <w:t xml:space="preserve">Strategic-driven motivations pose a perplexing problem to consumers: </w:t>
      </w:r>
      <w:r w:rsidR="00D46DAA" w:rsidRPr="00117825">
        <w:rPr>
          <w:color w:val="000000"/>
        </w:rPr>
        <w:t>o</w:t>
      </w:r>
      <w:r w:rsidR="00901C0A" w:rsidRPr="00117825">
        <w:rPr>
          <w:color w:val="000000"/>
        </w:rPr>
        <w:t xml:space="preserve">n the one hand, </w:t>
      </w:r>
      <w:r w:rsidR="00A81D4C" w:rsidRPr="00117825">
        <w:rPr>
          <w:color w:val="000000"/>
        </w:rPr>
        <w:t xml:space="preserve">consumers may perceive </w:t>
      </w:r>
      <w:r w:rsidR="00D42C37" w:rsidRPr="00117825">
        <w:rPr>
          <w:color w:val="000000"/>
        </w:rPr>
        <w:t xml:space="preserve">them </w:t>
      </w:r>
      <w:r w:rsidR="00A81D4C" w:rsidRPr="00117825">
        <w:rPr>
          <w:color w:val="000000"/>
        </w:rPr>
        <w:t xml:space="preserve">as legitimate </w:t>
      </w:r>
      <w:r w:rsidR="00D46DAA" w:rsidRPr="00117825">
        <w:rPr>
          <w:color w:val="000000"/>
        </w:rPr>
        <w:t xml:space="preserve">because </w:t>
      </w:r>
      <w:r w:rsidR="001E5DF6" w:rsidRPr="00117825">
        <w:rPr>
          <w:color w:val="000000"/>
        </w:rPr>
        <w:t>a company needs to</w:t>
      </w:r>
      <w:r w:rsidR="00AF70C8" w:rsidRPr="00117825">
        <w:rPr>
          <w:color w:val="000000"/>
        </w:rPr>
        <w:t xml:space="preserve"> </w:t>
      </w:r>
      <w:r w:rsidR="00D42C37" w:rsidRPr="00117825">
        <w:rPr>
          <w:color w:val="000000"/>
        </w:rPr>
        <w:t>be</w:t>
      </w:r>
      <w:r w:rsidR="00AF70C8" w:rsidRPr="00117825">
        <w:rPr>
          <w:color w:val="000000"/>
        </w:rPr>
        <w:t xml:space="preserve"> </w:t>
      </w:r>
      <w:r w:rsidR="001E5DF6" w:rsidRPr="00117825">
        <w:rPr>
          <w:color w:val="000000"/>
        </w:rPr>
        <w:t xml:space="preserve">economically viable </w:t>
      </w:r>
      <w:r w:rsidR="00AF70C8" w:rsidRPr="00117825">
        <w:rPr>
          <w:color w:val="000000"/>
        </w:rPr>
        <w:t xml:space="preserve">(Ellen et al., 2006). On the other hand, </w:t>
      </w:r>
      <w:r w:rsidR="00D42C37" w:rsidRPr="00117825">
        <w:rPr>
          <w:color w:val="000000"/>
        </w:rPr>
        <w:t xml:space="preserve">profit-motivated giving reflects a behavior that </w:t>
      </w:r>
      <w:r w:rsidR="003145EC" w:rsidRPr="00117825">
        <w:rPr>
          <w:color w:val="000000"/>
        </w:rPr>
        <w:t>derive</w:t>
      </w:r>
      <w:r w:rsidR="007E0B46" w:rsidRPr="00117825">
        <w:rPr>
          <w:color w:val="000000"/>
        </w:rPr>
        <w:t>s</w:t>
      </w:r>
      <w:r w:rsidR="003145EC" w:rsidRPr="00117825">
        <w:rPr>
          <w:color w:val="000000"/>
        </w:rPr>
        <w:t xml:space="preserve"> from </w:t>
      </w:r>
      <w:r w:rsidR="001C6E1A" w:rsidRPr="00117825">
        <w:rPr>
          <w:color w:val="000000"/>
        </w:rPr>
        <w:t>economic, rather than</w:t>
      </w:r>
      <w:r w:rsidR="003145EC" w:rsidRPr="00117825">
        <w:rPr>
          <w:color w:val="000000"/>
        </w:rPr>
        <w:t xml:space="preserve"> moral</w:t>
      </w:r>
      <w:r w:rsidR="001C6E1A" w:rsidRPr="00117825">
        <w:rPr>
          <w:color w:val="000000"/>
        </w:rPr>
        <w:t>,</w:t>
      </w:r>
      <w:r w:rsidR="003145EC" w:rsidRPr="00117825">
        <w:rPr>
          <w:color w:val="000000"/>
        </w:rPr>
        <w:t xml:space="preserve"> reasoning</w:t>
      </w:r>
      <w:r w:rsidR="001C6E1A" w:rsidRPr="00117825">
        <w:rPr>
          <w:color w:val="000000"/>
        </w:rPr>
        <w:t xml:space="preserve"> (</w:t>
      </w:r>
      <w:r w:rsidR="00802718" w:rsidRPr="00117825">
        <w:rPr>
          <w:color w:val="000000"/>
        </w:rPr>
        <w:t>Vlachos et al., 2009</w:t>
      </w:r>
      <w:r w:rsidR="001C6E1A" w:rsidRPr="00117825">
        <w:rPr>
          <w:color w:val="000000"/>
        </w:rPr>
        <w:t xml:space="preserve">). The company decides to contribute to the social cause not because </w:t>
      </w:r>
      <w:r w:rsidR="00300CEA" w:rsidRPr="00117825">
        <w:rPr>
          <w:color w:val="000000"/>
        </w:rPr>
        <w:t>doing so</w:t>
      </w:r>
      <w:r w:rsidR="001C6E1A" w:rsidRPr="00117825">
        <w:rPr>
          <w:color w:val="000000"/>
        </w:rPr>
        <w:t xml:space="preserve"> is right, but because </w:t>
      </w:r>
      <w:r w:rsidR="00D46DAA" w:rsidRPr="00117825">
        <w:rPr>
          <w:color w:val="000000"/>
        </w:rPr>
        <w:t>“</w:t>
      </w:r>
      <w:r w:rsidR="003C2ED0" w:rsidRPr="00117825">
        <w:rPr>
          <w:color w:val="000000"/>
        </w:rPr>
        <w:t>doing so</w:t>
      </w:r>
      <w:r w:rsidR="001C6E1A" w:rsidRPr="00117825">
        <w:rPr>
          <w:color w:val="000000"/>
        </w:rPr>
        <w:t xml:space="preserve"> is just business</w:t>
      </w:r>
      <w:r w:rsidR="007E0B46" w:rsidRPr="00117825">
        <w:rPr>
          <w:color w:val="000000"/>
        </w:rPr>
        <w:t>.</w:t>
      </w:r>
      <w:r w:rsidR="00D46DAA" w:rsidRPr="00117825">
        <w:rPr>
          <w:color w:val="000000"/>
        </w:rPr>
        <w:t>”</w:t>
      </w:r>
      <w:r w:rsidR="007E0B46" w:rsidRPr="00117825">
        <w:rPr>
          <w:color w:val="000000"/>
        </w:rPr>
        <w:t xml:space="preserve"> </w:t>
      </w:r>
      <w:r w:rsidR="00B10C27" w:rsidRPr="00117825">
        <w:rPr>
          <w:color w:val="000000"/>
        </w:rPr>
        <w:t>C</w:t>
      </w:r>
      <w:r w:rsidR="00AF70C8" w:rsidRPr="00117825">
        <w:rPr>
          <w:color w:val="000000"/>
        </w:rPr>
        <w:t xml:space="preserve">onsumers </w:t>
      </w:r>
      <w:r w:rsidR="00FC2DF6" w:rsidRPr="00117825">
        <w:rPr>
          <w:color w:val="000000"/>
        </w:rPr>
        <w:t>may</w:t>
      </w:r>
      <w:r w:rsidR="00B10C27" w:rsidRPr="00117825">
        <w:rPr>
          <w:color w:val="000000"/>
        </w:rPr>
        <w:t xml:space="preserve"> resent the intrusion </w:t>
      </w:r>
      <w:r w:rsidR="00B10C27" w:rsidRPr="00117825">
        <w:rPr>
          <w:color w:val="000000"/>
        </w:rPr>
        <w:lastRenderedPageBreak/>
        <w:t xml:space="preserve">of profit-seeking behavior </w:t>
      </w:r>
      <w:r w:rsidR="00540B6E" w:rsidRPr="00117825">
        <w:rPr>
          <w:color w:val="000000"/>
        </w:rPr>
        <w:t xml:space="preserve">into the area of social causes </w:t>
      </w:r>
      <w:r w:rsidR="00D46DAA" w:rsidRPr="00117825">
        <w:rPr>
          <w:color w:val="000000"/>
        </w:rPr>
        <w:t xml:space="preserve">because </w:t>
      </w:r>
      <w:r w:rsidR="00540B6E" w:rsidRPr="00117825">
        <w:rPr>
          <w:color w:val="000000"/>
        </w:rPr>
        <w:t xml:space="preserve">values, rather than money, </w:t>
      </w:r>
      <w:r w:rsidR="00300CEA" w:rsidRPr="00117825">
        <w:rPr>
          <w:color w:val="000000"/>
        </w:rPr>
        <w:t>constitute</w:t>
      </w:r>
      <w:r w:rsidR="00D46DAA" w:rsidRPr="00117825">
        <w:rPr>
          <w:color w:val="000000"/>
        </w:rPr>
        <w:t xml:space="preserve"> </w:t>
      </w:r>
      <w:r w:rsidR="00540B6E" w:rsidRPr="00117825">
        <w:rPr>
          <w:color w:val="000000"/>
        </w:rPr>
        <w:t xml:space="preserve">the issue </w:t>
      </w:r>
      <w:r w:rsidR="00300CEA" w:rsidRPr="00117825">
        <w:rPr>
          <w:color w:val="000000"/>
        </w:rPr>
        <w:t xml:space="preserve">at hand </w:t>
      </w:r>
      <w:r w:rsidR="00882B43" w:rsidRPr="00117825">
        <w:rPr>
          <w:color w:val="000000"/>
        </w:rPr>
        <w:t>(</w:t>
      </w:r>
      <w:proofErr w:type="spellStart"/>
      <w:r w:rsidR="00FC2DF6" w:rsidRPr="00117825">
        <w:rPr>
          <w:color w:val="000000"/>
        </w:rPr>
        <w:t>Hollender</w:t>
      </w:r>
      <w:proofErr w:type="spellEnd"/>
      <w:r w:rsidR="00E95E08" w:rsidRPr="00117825">
        <w:rPr>
          <w:color w:val="000000"/>
        </w:rPr>
        <w:t>, 20</w:t>
      </w:r>
      <w:r w:rsidR="00FC2DF6" w:rsidRPr="00117825">
        <w:rPr>
          <w:color w:val="000000"/>
        </w:rPr>
        <w:t>04</w:t>
      </w:r>
      <w:r w:rsidR="00882B43" w:rsidRPr="00117825">
        <w:rPr>
          <w:color w:val="000000"/>
        </w:rPr>
        <w:t>)</w:t>
      </w:r>
      <w:r w:rsidR="00802718" w:rsidRPr="00117825">
        <w:rPr>
          <w:color w:val="000000"/>
        </w:rPr>
        <w:t xml:space="preserve">. </w:t>
      </w:r>
    </w:p>
    <w:p w:rsidR="002876CA" w:rsidRPr="00117825" w:rsidRDefault="00217369" w:rsidP="00B857E0">
      <w:pPr>
        <w:tabs>
          <w:tab w:val="left" w:pos="567"/>
        </w:tabs>
        <w:spacing w:line="480" w:lineRule="auto"/>
        <w:rPr>
          <w:color w:val="000000"/>
        </w:rPr>
      </w:pPr>
      <w:r>
        <w:rPr>
          <w:color w:val="000000"/>
        </w:rPr>
        <w:tab/>
      </w:r>
      <w:r w:rsidR="000F4BA7" w:rsidRPr="00117825">
        <w:rPr>
          <w:color w:val="000000"/>
        </w:rPr>
        <w:t>Thus</w:t>
      </w:r>
      <w:r w:rsidR="00802718" w:rsidRPr="00117825">
        <w:rPr>
          <w:color w:val="000000"/>
        </w:rPr>
        <w:t xml:space="preserve">, </w:t>
      </w:r>
      <w:r w:rsidR="000F4BA7" w:rsidRPr="00117825">
        <w:rPr>
          <w:color w:val="000000"/>
        </w:rPr>
        <w:t xml:space="preserve">they </w:t>
      </w:r>
      <w:r w:rsidR="00FC2DF6" w:rsidRPr="00117825">
        <w:rPr>
          <w:color w:val="000000"/>
        </w:rPr>
        <w:t xml:space="preserve">are likely to </w:t>
      </w:r>
      <w:r w:rsidR="0070491A" w:rsidRPr="00117825">
        <w:rPr>
          <w:color w:val="000000"/>
        </w:rPr>
        <w:t xml:space="preserve">raise </w:t>
      </w:r>
      <w:r w:rsidR="00FC2DF6" w:rsidRPr="00117825">
        <w:rPr>
          <w:color w:val="000000"/>
        </w:rPr>
        <w:t>doubt</w:t>
      </w:r>
      <w:r w:rsidR="0070491A" w:rsidRPr="00117825">
        <w:rPr>
          <w:color w:val="000000"/>
        </w:rPr>
        <w:t>s about</w:t>
      </w:r>
      <w:r w:rsidR="00B91823" w:rsidRPr="00117825">
        <w:rPr>
          <w:color w:val="000000"/>
        </w:rPr>
        <w:t xml:space="preserve"> a retailer’s</w:t>
      </w:r>
      <w:r w:rsidR="00FC2DF6" w:rsidRPr="00117825">
        <w:rPr>
          <w:color w:val="000000"/>
        </w:rPr>
        <w:t xml:space="preserve"> CSR </w:t>
      </w:r>
      <w:r w:rsidR="00B91823" w:rsidRPr="00117825">
        <w:rPr>
          <w:color w:val="000000"/>
        </w:rPr>
        <w:t>activities</w:t>
      </w:r>
      <w:r w:rsidR="00FC2DF6" w:rsidRPr="00117825">
        <w:rPr>
          <w:color w:val="000000"/>
        </w:rPr>
        <w:t xml:space="preserve"> when they </w:t>
      </w:r>
      <w:r w:rsidR="00B91823" w:rsidRPr="00117825">
        <w:rPr>
          <w:color w:val="000000"/>
        </w:rPr>
        <w:t xml:space="preserve">ascribe them to profit-seeking </w:t>
      </w:r>
      <w:r w:rsidR="00FC2DF6" w:rsidRPr="00117825">
        <w:rPr>
          <w:color w:val="000000"/>
        </w:rPr>
        <w:t>reasons.</w:t>
      </w:r>
      <w:r>
        <w:rPr>
          <w:color w:val="000000"/>
        </w:rPr>
        <w:t xml:space="preserve"> </w:t>
      </w:r>
      <w:r w:rsidR="002876CA" w:rsidRPr="00B857E0">
        <w:rPr>
          <w:color w:val="000000"/>
        </w:rPr>
        <w:t>H3</w:t>
      </w:r>
      <w:r w:rsidRPr="00B857E0">
        <w:rPr>
          <w:color w:val="000000"/>
        </w:rPr>
        <w:t>:</w:t>
      </w:r>
      <w:r w:rsidR="002876CA" w:rsidRPr="00117825">
        <w:rPr>
          <w:color w:val="000000"/>
        </w:rPr>
        <w:t xml:space="preserve"> Strategic-driven motives relate positively to CSR skepticism. </w:t>
      </w:r>
    </w:p>
    <w:p w:rsidR="00217369" w:rsidRDefault="00B857E0" w:rsidP="00117825">
      <w:pPr>
        <w:tabs>
          <w:tab w:val="left" w:pos="567"/>
        </w:tabs>
        <w:spacing w:line="480" w:lineRule="auto"/>
        <w:rPr>
          <w:color w:val="000000"/>
        </w:rPr>
      </w:pPr>
      <w:r>
        <w:rPr>
          <w:color w:val="000000"/>
        </w:rPr>
        <w:tab/>
      </w:r>
      <w:r w:rsidR="00494463" w:rsidRPr="00117825">
        <w:rPr>
          <w:color w:val="000000"/>
        </w:rPr>
        <w:t>S</w:t>
      </w:r>
      <w:r w:rsidR="00857361" w:rsidRPr="00117825">
        <w:rPr>
          <w:color w:val="000000"/>
        </w:rPr>
        <w:t>takeholder-driven</w:t>
      </w:r>
      <w:r w:rsidR="00494463" w:rsidRPr="00117825">
        <w:rPr>
          <w:color w:val="000000"/>
        </w:rPr>
        <w:t xml:space="preserve"> </w:t>
      </w:r>
      <w:r w:rsidR="00857361" w:rsidRPr="00117825">
        <w:rPr>
          <w:color w:val="000000"/>
        </w:rPr>
        <w:t>motiv</w:t>
      </w:r>
      <w:r w:rsidR="00BB695E" w:rsidRPr="00117825">
        <w:rPr>
          <w:color w:val="000000"/>
        </w:rPr>
        <w:t>es</w:t>
      </w:r>
      <w:r w:rsidR="00857361" w:rsidRPr="00117825">
        <w:rPr>
          <w:color w:val="000000"/>
        </w:rPr>
        <w:t xml:space="preserve"> </w:t>
      </w:r>
      <w:r w:rsidR="00494463" w:rsidRPr="00117825">
        <w:rPr>
          <w:color w:val="000000"/>
        </w:rPr>
        <w:t xml:space="preserve">refer to </w:t>
      </w:r>
      <w:r w:rsidR="003335E9" w:rsidRPr="00117825">
        <w:rPr>
          <w:color w:val="000000"/>
        </w:rPr>
        <w:t>beliefs</w:t>
      </w:r>
      <w:r w:rsidR="00494463" w:rsidRPr="00117825">
        <w:rPr>
          <w:color w:val="000000"/>
        </w:rPr>
        <w:t xml:space="preserve"> that the </w:t>
      </w:r>
      <w:r w:rsidR="003335E9" w:rsidRPr="00117825">
        <w:rPr>
          <w:color w:val="000000"/>
        </w:rPr>
        <w:t xml:space="preserve">company </w:t>
      </w:r>
      <w:r w:rsidR="00494463" w:rsidRPr="00117825">
        <w:rPr>
          <w:color w:val="000000"/>
        </w:rPr>
        <w:t>engag</w:t>
      </w:r>
      <w:r w:rsidR="003335E9" w:rsidRPr="00117825">
        <w:rPr>
          <w:color w:val="000000"/>
        </w:rPr>
        <w:t xml:space="preserve">es </w:t>
      </w:r>
      <w:r w:rsidR="00494463" w:rsidRPr="00117825">
        <w:rPr>
          <w:color w:val="000000"/>
        </w:rPr>
        <w:t xml:space="preserve">in CSR to satisfy the </w:t>
      </w:r>
      <w:r w:rsidR="003335E9" w:rsidRPr="00117825">
        <w:rPr>
          <w:color w:val="000000"/>
        </w:rPr>
        <w:t xml:space="preserve">expectations of different </w:t>
      </w:r>
      <w:r w:rsidR="00857361" w:rsidRPr="00117825">
        <w:rPr>
          <w:color w:val="000000"/>
        </w:rPr>
        <w:t>stakeholders</w:t>
      </w:r>
      <w:r w:rsidR="00D30763" w:rsidRPr="00117825">
        <w:rPr>
          <w:color w:val="000000"/>
        </w:rPr>
        <w:t xml:space="preserve"> (Vlachos et al., 2009)</w:t>
      </w:r>
      <w:r w:rsidR="00494463" w:rsidRPr="00117825">
        <w:rPr>
          <w:color w:val="000000"/>
        </w:rPr>
        <w:t>.</w:t>
      </w:r>
      <w:r w:rsidR="00D30763" w:rsidRPr="00117825">
        <w:rPr>
          <w:color w:val="000000"/>
        </w:rPr>
        <w:t xml:space="preserve"> </w:t>
      </w:r>
      <w:r w:rsidR="007D14EA" w:rsidRPr="00117825">
        <w:rPr>
          <w:color w:val="000000"/>
        </w:rPr>
        <w:t xml:space="preserve">In other words, </w:t>
      </w:r>
      <w:r w:rsidR="003335E9" w:rsidRPr="00117825">
        <w:rPr>
          <w:color w:val="000000"/>
        </w:rPr>
        <w:t xml:space="preserve">the company adopts this </w:t>
      </w:r>
      <w:r w:rsidR="007D14EA" w:rsidRPr="00117825">
        <w:rPr>
          <w:color w:val="000000"/>
        </w:rPr>
        <w:t xml:space="preserve">stance </w:t>
      </w:r>
      <w:r w:rsidR="00D46DAA" w:rsidRPr="00117825">
        <w:rPr>
          <w:color w:val="000000"/>
        </w:rPr>
        <w:t>from</w:t>
      </w:r>
      <w:r w:rsidR="007D14EA" w:rsidRPr="00117825">
        <w:rPr>
          <w:color w:val="000000"/>
        </w:rPr>
        <w:t xml:space="preserve"> necessity</w:t>
      </w:r>
      <w:r w:rsidR="00AB4CA1" w:rsidRPr="00117825">
        <w:rPr>
          <w:color w:val="000000"/>
        </w:rPr>
        <w:t xml:space="preserve">, as a response to </w:t>
      </w:r>
      <w:r w:rsidR="007D14EA" w:rsidRPr="00117825">
        <w:rPr>
          <w:color w:val="000000"/>
        </w:rPr>
        <w:t xml:space="preserve">pressures from various </w:t>
      </w:r>
      <w:r w:rsidR="00AB4CA1" w:rsidRPr="00117825">
        <w:rPr>
          <w:color w:val="000000"/>
        </w:rPr>
        <w:t>interest groups</w:t>
      </w:r>
      <w:r w:rsidR="00D46DAA" w:rsidRPr="00117825">
        <w:rPr>
          <w:color w:val="000000"/>
        </w:rPr>
        <w:t>,</w:t>
      </w:r>
      <w:r w:rsidR="00AB4CA1" w:rsidRPr="00117825">
        <w:rPr>
          <w:color w:val="000000"/>
        </w:rPr>
        <w:t xml:space="preserve"> </w:t>
      </w:r>
      <w:r w:rsidR="00F66173" w:rsidRPr="00117825">
        <w:rPr>
          <w:color w:val="000000"/>
        </w:rPr>
        <w:t>such as stockholders, employees, and society as a whole</w:t>
      </w:r>
      <w:r w:rsidR="00AB4CA1" w:rsidRPr="00117825">
        <w:rPr>
          <w:color w:val="000000"/>
        </w:rPr>
        <w:t xml:space="preserve">. </w:t>
      </w:r>
      <w:r w:rsidR="00DC4949" w:rsidRPr="00117825">
        <w:rPr>
          <w:color w:val="000000"/>
        </w:rPr>
        <w:t xml:space="preserve">Such </w:t>
      </w:r>
      <w:r w:rsidR="00F66173" w:rsidRPr="00117825">
        <w:rPr>
          <w:color w:val="000000"/>
        </w:rPr>
        <w:t xml:space="preserve">an explanatory attribution </w:t>
      </w:r>
      <w:r w:rsidR="00DC4949" w:rsidRPr="00117825">
        <w:rPr>
          <w:color w:val="000000"/>
        </w:rPr>
        <w:t>can lead to negative</w:t>
      </w:r>
      <w:r w:rsidR="00D30763" w:rsidRPr="00117825">
        <w:rPr>
          <w:color w:val="000000"/>
        </w:rPr>
        <w:t xml:space="preserve"> </w:t>
      </w:r>
      <w:r w:rsidR="00DC4949" w:rsidRPr="00117825">
        <w:rPr>
          <w:color w:val="000000"/>
        </w:rPr>
        <w:t>connotations about the company</w:t>
      </w:r>
      <w:r w:rsidR="00F66173" w:rsidRPr="00117825">
        <w:rPr>
          <w:color w:val="000000"/>
        </w:rPr>
        <w:t>’s</w:t>
      </w:r>
      <w:r w:rsidR="00DC4949" w:rsidRPr="00117825">
        <w:rPr>
          <w:color w:val="000000"/>
        </w:rPr>
        <w:t xml:space="preserve"> </w:t>
      </w:r>
      <w:r w:rsidR="00B93952" w:rsidRPr="00117825">
        <w:rPr>
          <w:color w:val="000000"/>
        </w:rPr>
        <w:t xml:space="preserve">social initiatives </w:t>
      </w:r>
      <w:r w:rsidR="00F66173" w:rsidRPr="00117825">
        <w:rPr>
          <w:color w:val="000000"/>
        </w:rPr>
        <w:t xml:space="preserve">because consumers </w:t>
      </w:r>
      <w:r w:rsidR="00D46DAA" w:rsidRPr="00117825">
        <w:rPr>
          <w:color w:val="000000"/>
        </w:rPr>
        <w:t>view</w:t>
      </w:r>
      <w:r w:rsidR="00DC4949" w:rsidRPr="00117825">
        <w:rPr>
          <w:color w:val="000000"/>
        </w:rPr>
        <w:t xml:space="preserve"> </w:t>
      </w:r>
      <w:r w:rsidR="00177355" w:rsidRPr="00117825">
        <w:rPr>
          <w:color w:val="000000"/>
        </w:rPr>
        <w:t xml:space="preserve">them </w:t>
      </w:r>
      <w:r w:rsidR="00DC4949" w:rsidRPr="00117825">
        <w:rPr>
          <w:color w:val="000000"/>
        </w:rPr>
        <w:t>as</w:t>
      </w:r>
      <w:r w:rsidR="00D30763" w:rsidRPr="00117825">
        <w:rPr>
          <w:color w:val="000000"/>
        </w:rPr>
        <w:t xml:space="preserve"> </w:t>
      </w:r>
      <w:r w:rsidR="00177355" w:rsidRPr="00117825">
        <w:rPr>
          <w:color w:val="000000"/>
        </w:rPr>
        <w:t>not corresponding to the company’s true values and belief</w:t>
      </w:r>
      <w:r w:rsidR="00426DB9" w:rsidRPr="00117825">
        <w:rPr>
          <w:color w:val="000000"/>
        </w:rPr>
        <w:t>s (Smith &amp;</w:t>
      </w:r>
      <w:r w:rsidR="00177355" w:rsidRPr="00117825">
        <w:rPr>
          <w:color w:val="000000"/>
        </w:rPr>
        <w:t xml:space="preserve"> Hunt, 1978). </w:t>
      </w:r>
      <w:r w:rsidR="00D46DAA" w:rsidRPr="00117825">
        <w:rPr>
          <w:color w:val="000000"/>
        </w:rPr>
        <w:t xml:space="preserve">Here, </w:t>
      </w:r>
      <w:r w:rsidR="00177355" w:rsidRPr="00117825">
        <w:rPr>
          <w:color w:val="000000"/>
        </w:rPr>
        <w:t xml:space="preserve">CSR efforts serve as </w:t>
      </w:r>
      <w:r w:rsidR="00E574D9" w:rsidRPr="00117825">
        <w:rPr>
          <w:color w:val="000000"/>
        </w:rPr>
        <w:t xml:space="preserve">a </w:t>
      </w:r>
      <w:r w:rsidR="00B93952" w:rsidRPr="00117825">
        <w:rPr>
          <w:color w:val="000000"/>
        </w:rPr>
        <w:t xml:space="preserve">means for </w:t>
      </w:r>
      <w:r w:rsidR="00E574D9" w:rsidRPr="00117825">
        <w:rPr>
          <w:color w:val="000000"/>
        </w:rPr>
        <w:t xml:space="preserve">receiving rewards or </w:t>
      </w:r>
      <w:r w:rsidR="00B93952" w:rsidRPr="00117825">
        <w:rPr>
          <w:color w:val="000000"/>
        </w:rPr>
        <w:t xml:space="preserve">avoiding </w:t>
      </w:r>
      <w:r w:rsidR="00317D18" w:rsidRPr="00117825">
        <w:rPr>
          <w:color w:val="000000"/>
        </w:rPr>
        <w:t>punishment</w:t>
      </w:r>
      <w:r w:rsidR="00B93952" w:rsidRPr="00117825">
        <w:rPr>
          <w:color w:val="000000"/>
        </w:rPr>
        <w:t xml:space="preserve"> </w:t>
      </w:r>
      <w:r w:rsidR="00317D18" w:rsidRPr="00117825">
        <w:rPr>
          <w:color w:val="000000"/>
        </w:rPr>
        <w:t>from stakeholders</w:t>
      </w:r>
      <w:r w:rsidR="00BB43F5" w:rsidRPr="00117825">
        <w:rPr>
          <w:color w:val="000000"/>
        </w:rPr>
        <w:t xml:space="preserve"> (Ellen et al., 2000; Vlachos et al., 2009)</w:t>
      </w:r>
      <w:r w:rsidR="00317D18" w:rsidRPr="00117825">
        <w:rPr>
          <w:color w:val="000000"/>
        </w:rPr>
        <w:t xml:space="preserve">. </w:t>
      </w:r>
    </w:p>
    <w:p w:rsidR="002876CA" w:rsidRPr="00117825" w:rsidRDefault="00217369" w:rsidP="00B857E0">
      <w:pPr>
        <w:tabs>
          <w:tab w:val="left" w:pos="567"/>
        </w:tabs>
        <w:spacing w:line="480" w:lineRule="auto"/>
        <w:rPr>
          <w:color w:val="000000"/>
        </w:rPr>
      </w:pPr>
      <w:r>
        <w:rPr>
          <w:color w:val="000000"/>
        </w:rPr>
        <w:tab/>
      </w:r>
      <w:r w:rsidR="004002C5" w:rsidRPr="00117825">
        <w:rPr>
          <w:color w:val="000000"/>
        </w:rPr>
        <w:t xml:space="preserve">Therefore, stakeholder-driven attributions are likely to engender </w:t>
      </w:r>
      <w:r w:rsidR="00DC4949" w:rsidRPr="00117825">
        <w:rPr>
          <w:color w:val="000000"/>
        </w:rPr>
        <w:t xml:space="preserve">consumer </w:t>
      </w:r>
      <w:r w:rsidR="00FE768A" w:rsidRPr="00117825">
        <w:rPr>
          <w:color w:val="000000"/>
        </w:rPr>
        <w:t>skeptic</w:t>
      </w:r>
      <w:r w:rsidR="004002C5" w:rsidRPr="00117825">
        <w:rPr>
          <w:color w:val="000000"/>
        </w:rPr>
        <w:t>ism toward CSR.</w:t>
      </w:r>
      <w:r>
        <w:rPr>
          <w:color w:val="000000"/>
        </w:rPr>
        <w:t xml:space="preserve"> </w:t>
      </w:r>
      <w:r w:rsidR="002876CA" w:rsidRPr="00B857E0">
        <w:rPr>
          <w:color w:val="000000"/>
        </w:rPr>
        <w:t>H4</w:t>
      </w:r>
      <w:r w:rsidRPr="00B857E0">
        <w:rPr>
          <w:color w:val="000000"/>
        </w:rPr>
        <w:t>:</w:t>
      </w:r>
      <w:r w:rsidR="002876CA" w:rsidRPr="00117825">
        <w:rPr>
          <w:color w:val="000000"/>
        </w:rPr>
        <w:t xml:space="preserve"> Stakeholder-driven motives relate positively to CSR skepticism. </w:t>
      </w:r>
    </w:p>
    <w:p w:rsidR="00217369" w:rsidRDefault="00B857E0" w:rsidP="00117825">
      <w:pPr>
        <w:tabs>
          <w:tab w:val="left" w:pos="567"/>
        </w:tabs>
        <w:spacing w:line="480" w:lineRule="auto"/>
        <w:rPr>
          <w:color w:val="000000"/>
        </w:rPr>
      </w:pPr>
      <w:r>
        <w:rPr>
          <w:color w:val="000000"/>
        </w:rPr>
        <w:tab/>
      </w:r>
      <w:r w:rsidR="00472155" w:rsidRPr="00117825">
        <w:rPr>
          <w:color w:val="000000"/>
        </w:rPr>
        <w:t>R</w:t>
      </w:r>
      <w:r w:rsidR="00B4523C" w:rsidRPr="00117825">
        <w:rPr>
          <w:color w:val="000000"/>
        </w:rPr>
        <w:t xml:space="preserve">etailer </w:t>
      </w:r>
      <w:r w:rsidR="00E31EA6" w:rsidRPr="00117825">
        <w:rPr>
          <w:color w:val="000000"/>
        </w:rPr>
        <w:t>equity refers to consumers’ different response</w:t>
      </w:r>
      <w:r w:rsidR="00C12B4F" w:rsidRPr="00117825">
        <w:rPr>
          <w:color w:val="000000"/>
        </w:rPr>
        <w:t>s</w:t>
      </w:r>
      <w:r w:rsidR="00E31EA6" w:rsidRPr="00117825">
        <w:rPr>
          <w:color w:val="000000"/>
        </w:rPr>
        <w:t xml:space="preserve"> </w:t>
      </w:r>
      <w:r w:rsidR="00C12B4F" w:rsidRPr="00117825">
        <w:rPr>
          <w:color w:val="000000"/>
        </w:rPr>
        <w:t xml:space="preserve">to </w:t>
      </w:r>
      <w:r w:rsidR="00E31EA6" w:rsidRPr="00117825">
        <w:rPr>
          <w:color w:val="000000"/>
        </w:rPr>
        <w:t>a focal and another retailer when both have the same level of offering; the difference in consumer response may be attributed to the retailer’s name (</w:t>
      </w:r>
      <w:r w:rsidR="00B963CF" w:rsidRPr="00117825">
        <w:rPr>
          <w:color w:val="000000"/>
        </w:rPr>
        <w:t>Arnett</w:t>
      </w:r>
      <w:r w:rsidR="00435580" w:rsidRPr="00117825">
        <w:rPr>
          <w:color w:val="000000"/>
        </w:rPr>
        <w:t>,</w:t>
      </w:r>
      <w:r w:rsidR="00B963CF" w:rsidRPr="00117825">
        <w:rPr>
          <w:color w:val="000000"/>
        </w:rPr>
        <w:t xml:space="preserve"> </w:t>
      </w:r>
      <w:proofErr w:type="spellStart"/>
      <w:r w:rsidR="004810E0" w:rsidRPr="00117825">
        <w:rPr>
          <w:color w:val="000000"/>
        </w:rPr>
        <w:t>Laverie</w:t>
      </w:r>
      <w:proofErr w:type="spellEnd"/>
      <w:r w:rsidR="004810E0" w:rsidRPr="00117825">
        <w:rPr>
          <w:color w:val="000000"/>
        </w:rPr>
        <w:t xml:space="preserve">, &amp; </w:t>
      </w:r>
      <w:proofErr w:type="spellStart"/>
      <w:r w:rsidR="004810E0" w:rsidRPr="00117825">
        <w:rPr>
          <w:color w:val="000000"/>
        </w:rPr>
        <w:t>Meiers</w:t>
      </w:r>
      <w:proofErr w:type="spellEnd"/>
      <w:r w:rsidR="00B963CF" w:rsidRPr="00117825">
        <w:rPr>
          <w:color w:val="000000"/>
        </w:rPr>
        <w:t>, 2003</w:t>
      </w:r>
      <w:r w:rsidR="00E31EA6" w:rsidRPr="00117825">
        <w:rPr>
          <w:color w:val="000000"/>
        </w:rPr>
        <w:t>). The focus of this study is on consumer-based retailer equity</w:t>
      </w:r>
      <w:r w:rsidR="00667916" w:rsidRPr="00117825">
        <w:rPr>
          <w:color w:val="000000"/>
        </w:rPr>
        <w:t>, which</w:t>
      </w:r>
      <w:r w:rsidR="00E31EA6" w:rsidRPr="00117825">
        <w:rPr>
          <w:color w:val="000000"/>
        </w:rPr>
        <w:t xml:space="preserve"> measures cognitive retailer equity at the individual consumer level</w:t>
      </w:r>
      <w:r w:rsidR="00472155" w:rsidRPr="00117825">
        <w:rPr>
          <w:color w:val="000000"/>
        </w:rPr>
        <w:t xml:space="preserve"> </w:t>
      </w:r>
      <w:r w:rsidR="00472155" w:rsidRPr="00117825">
        <w:t>(</w:t>
      </w:r>
      <w:proofErr w:type="spellStart"/>
      <w:r w:rsidR="00472155" w:rsidRPr="00117825">
        <w:rPr>
          <w:color w:val="000000"/>
        </w:rPr>
        <w:t>Yoo</w:t>
      </w:r>
      <w:proofErr w:type="spellEnd"/>
      <w:r w:rsidR="00472155" w:rsidRPr="00117825">
        <w:rPr>
          <w:color w:val="000000"/>
        </w:rPr>
        <w:t xml:space="preserve">, </w:t>
      </w:r>
      <w:proofErr w:type="spellStart"/>
      <w:r w:rsidR="00472155" w:rsidRPr="00117825">
        <w:rPr>
          <w:color w:val="000000"/>
        </w:rPr>
        <w:t>Donthu</w:t>
      </w:r>
      <w:proofErr w:type="spellEnd"/>
      <w:r w:rsidR="00472155" w:rsidRPr="00117825">
        <w:rPr>
          <w:color w:val="000000"/>
        </w:rPr>
        <w:t>, &amp; Lee, 2000)</w:t>
      </w:r>
      <w:r w:rsidR="00E31EA6" w:rsidRPr="00117825">
        <w:rPr>
          <w:color w:val="000000"/>
        </w:rPr>
        <w:t xml:space="preserve">. </w:t>
      </w:r>
      <w:r w:rsidR="00472155" w:rsidRPr="00117825">
        <w:rPr>
          <w:color w:val="000000"/>
        </w:rPr>
        <w:t>W</w:t>
      </w:r>
      <w:r w:rsidR="00E31EA6" w:rsidRPr="00117825">
        <w:rPr>
          <w:color w:val="000000"/>
        </w:rPr>
        <w:t xml:space="preserve">hat consumers know about a company can influence their overall evaluation </w:t>
      </w:r>
      <w:r w:rsidR="00667916" w:rsidRPr="00117825">
        <w:rPr>
          <w:color w:val="000000"/>
        </w:rPr>
        <w:t xml:space="preserve">of </w:t>
      </w:r>
      <w:r w:rsidR="00E31EA6" w:rsidRPr="00117825">
        <w:rPr>
          <w:color w:val="000000"/>
        </w:rPr>
        <w:t xml:space="preserve">and attitudes toward </w:t>
      </w:r>
      <w:r w:rsidR="00876C01" w:rsidRPr="00117825">
        <w:rPr>
          <w:color w:val="000000"/>
        </w:rPr>
        <w:t>the company’s</w:t>
      </w:r>
      <w:r w:rsidR="00E31EA6" w:rsidRPr="00117825">
        <w:rPr>
          <w:color w:val="000000"/>
        </w:rPr>
        <w:t xml:space="preserve"> products (e.g., Luo </w:t>
      </w:r>
      <w:r w:rsidR="00B963CF" w:rsidRPr="00117825">
        <w:rPr>
          <w:color w:val="000000"/>
        </w:rPr>
        <w:t>&amp;</w:t>
      </w:r>
      <w:r w:rsidR="00E31EA6" w:rsidRPr="00117825">
        <w:rPr>
          <w:color w:val="000000"/>
        </w:rPr>
        <w:t xml:space="preserve"> Bhattacharya, 2006). CSR associations play an important role in consumers’ considerations because, rather than providing information about the quality of a company’s products, they create a general context for consumers’ evaluation of the company (</w:t>
      </w:r>
      <w:r w:rsidR="00B963CF" w:rsidRPr="00117825">
        <w:rPr>
          <w:color w:val="000000"/>
        </w:rPr>
        <w:t xml:space="preserve">Klein &amp; </w:t>
      </w:r>
      <w:proofErr w:type="spellStart"/>
      <w:r w:rsidR="00B963CF" w:rsidRPr="00117825">
        <w:rPr>
          <w:color w:val="000000"/>
        </w:rPr>
        <w:t>Dawar</w:t>
      </w:r>
      <w:proofErr w:type="spellEnd"/>
      <w:r w:rsidR="00B963CF" w:rsidRPr="00117825">
        <w:rPr>
          <w:color w:val="000000"/>
        </w:rPr>
        <w:t>, 2004</w:t>
      </w:r>
      <w:r w:rsidR="009C75BC" w:rsidRPr="00117825">
        <w:rPr>
          <w:color w:val="000000"/>
        </w:rPr>
        <w:t xml:space="preserve">; </w:t>
      </w:r>
      <w:proofErr w:type="gramStart"/>
      <w:r w:rsidR="009C75BC" w:rsidRPr="00117825">
        <w:rPr>
          <w:color w:val="000000"/>
        </w:rPr>
        <w:t>Sen &amp;</w:t>
      </w:r>
      <w:proofErr w:type="gramEnd"/>
      <w:r w:rsidR="009C75BC" w:rsidRPr="00117825">
        <w:rPr>
          <w:color w:val="000000"/>
        </w:rPr>
        <w:t xml:space="preserve"> Bhattacharya, 2001</w:t>
      </w:r>
      <w:r w:rsidR="00E31EA6" w:rsidRPr="00117825">
        <w:rPr>
          <w:color w:val="000000"/>
        </w:rPr>
        <w:t xml:space="preserve">). </w:t>
      </w:r>
    </w:p>
    <w:p w:rsidR="00217369" w:rsidRDefault="00217369" w:rsidP="00117825">
      <w:pPr>
        <w:tabs>
          <w:tab w:val="left" w:pos="567"/>
        </w:tabs>
        <w:spacing w:line="480" w:lineRule="auto"/>
        <w:rPr>
          <w:color w:val="000000"/>
        </w:rPr>
      </w:pPr>
      <w:r>
        <w:rPr>
          <w:color w:val="000000"/>
        </w:rPr>
        <w:lastRenderedPageBreak/>
        <w:tab/>
      </w:r>
      <w:r w:rsidR="00E31EA6" w:rsidRPr="00117825">
        <w:rPr>
          <w:color w:val="000000"/>
        </w:rPr>
        <w:t xml:space="preserve">When consumers believe that a company is concerned </w:t>
      </w:r>
      <w:r w:rsidR="00472155" w:rsidRPr="00117825">
        <w:rPr>
          <w:color w:val="000000"/>
        </w:rPr>
        <w:t>with</w:t>
      </w:r>
      <w:r w:rsidR="00E31EA6" w:rsidRPr="00117825">
        <w:rPr>
          <w:color w:val="000000"/>
        </w:rPr>
        <w:t xml:space="preserve"> the well-being of society and </w:t>
      </w:r>
      <w:r w:rsidR="00667916" w:rsidRPr="00117825">
        <w:rPr>
          <w:color w:val="000000"/>
        </w:rPr>
        <w:t xml:space="preserve">is </w:t>
      </w:r>
      <w:r w:rsidR="00E31EA6" w:rsidRPr="00117825">
        <w:rPr>
          <w:color w:val="000000"/>
        </w:rPr>
        <w:t xml:space="preserve">committed to </w:t>
      </w:r>
      <w:r w:rsidR="00667916" w:rsidRPr="00117825">
        <w:rPr>
          <w:color w:val="000000"/>
        </w:rPr>
        <w:t>“</w:t>
      </w:r>
      <w:r w:rsidR="00E31EA6" w:rsidRPr="00117825">
        <w:rPr>
          <w:color w:val="000000"/>
        </w:rPr>
        <w:t>do</w:t>
      </w:r>
      <w:r w:rsidR="00667916" w:rsidRPr="00117825">
        <w:rPr>
          <w:color w:val="000000"/>
        </w:rPr>
        <w:t>ing</w:t>
      </w:r>
      <w:r w:rsidR="00E31EA6" w:rsidRPr="00117825">
        <w:rPr>
          <w:color w:val="000000"/>
        </w:rPr>
        <w:t xml:space="preserve"> good</w:t>
      </w:r>
      <w:r w:rsidR="00667916" w:rsidRPr="00117825">
        <w:rPr>
          <w:color w:val="000000"/>
        </w:rPr>
        <w:t>”</w:t>
      </w:r>
      <w:r w:rsidR="00E31EA6" w:rsidRPr="00117825">
        <w:rPr>
          <w:color w:val="000000"/>
        </w:rPr>
        <w:t xml:space="preserve"> CSR actions, they tend to form favorable attitude</w:t>
      </w:r>
      <w:r w:rsidR="00667916" w:rsidRPr="00117825">
        <w:rPr>
          <w:color w:val="000000"/>
        </w:rPr>
        <w:t>s</w:t>
      </w:r>
      <w:r w:rsidR="00E31EA6" w:rsidRPr="00117825">
        <w:rPr>
          <w:color w:val="000000"/>
        </w:rPr>
        <w:t xml:space="preserve"> toward the company and develop a sense of attachment or connection with </w:t>
      </w:r>
      <w:r w:rsidR="00667916" w:rsidRPr="00117825">
        <w:rPr>
          <w:color w:val="000000"/>
        </w:rPr>
        <w:t xml:space="preserve">the firm </w:t>
      </w:r>
      <w:r w:rsidR="00E31EA6" w:rsidRPr="00117825">
        <w:rPr>
          <w:color w:val="000000"/>
        </w:rPr>
        <w:t>(</w:t>
      </w:r>
      <w:proofErr w:type="spellStart"/>
      <w:r w:rsidR="008375E4" w:rsidRPr="00117825">
        <w:rPr>
          <w:rFonts w:eastAsia="Calibri"/>
          <w:color w:val="000000"/>
          <w:lang w:eastAsia="el-GR"/>
        </w:rPr>
        <w:t>Stanaland</w:t>
      </w:r>
      <w:proofErr w:type="spellEnd"/>
      <w:r w:rsidR="008375E4" w:rsidRPr="00117825">
        <w:rPr>
          <w:rFonts w:eastAsia="Calibri"/>
          <w:color w:val="000000"/>
          <w:lang w:eastAsia="el-GR"/>
        </w:rPr>
        <w:t xml:space="preserve">, </w:t>
      </w:r>
      <w:proofErr w:type="spellStart"/>
      <w:r w:rsidR="008375E4" w:rsidRPr="00117825">
        <w:rPr>
          <w:rFonts w:eastAsia="Calibri"/>
          <w:color w:val="000000"/>
          <w:lang w:eastAsia="el-GR"/>
        </w:rPr>
        <w:t>Lwin</w:t>
      </w:r>
      <w:proofErr w:type="spellEnd"/>
      <w:r w:rsidR="008375E4" w:rsidRPr="00117825">
        <w:rPr>
          <w:rFonts w:eastAsia="Calibri"/>
          <w:color w:val="000000"/>
          <w:lang w:eastAsia="el-GR"/>
        </w:rPr>
        <w:t>, &amp; Murphy, 2011</w:t>
      </w:r>
      <w:r w:rsidR="00E31EA6" w:rsidRPr="00117825">
        <w:rPr>
          <w:color w:val="000000"/>
        </w:rPr>
        <w:t>). In the presence of skepticism toward CSR</w:t>
      </w:r>
      <w:r w:rsidR="00667916" w:rsidRPr="00117825">
        <w:rPr>
          <w:color w:val="000000"/>
        </w:rPr>
        <w:t>,</w:t>
      </w:r>
      <w:r w:rsidR="00E31EA6" w:rsidRPr="00117825">
        <w:rPr>
          <w:color w:val="000000"/>
        </w:rPr>
        <w:t xml:space="preserve"> however,</w:t>
      </w:r>
      <w:r w:rsidR="00E31EA6" w:rsidRPr="00117825">
        <w:t xml:space="preserve"> consumers </w:t>
      </w:r>
      <w:r w:rsidR="00E31EA6" w:rsidRPr="00117825">
        <w:rPr>
          <w:color w:val="000000"/>
        </w:rPr>
        <w:t xml:space="preserve">are not convinced about the genuine social consciousness of the company and express doubts about its ethical standards and socially responsibility. In this case, consumers </w:t>
      </w:r>
      <w:r w:rsidR="00667916" w:rsidRPr="00117825">
        <w:rPr>
          <w:color w:val="000000"/>
        </w:rPr>
        <w:t xml:space="preserve">believe </w:t>
      </w:r>
      <w:r w:rsidR="00E31EA6" w:rsidRPr="00117825">
        <w:rPr>
          <w:color w:val="000000"/>
        </w:rPr>
        <w:t xml:space="preserve">that the company’s character is not virtuous, enduring, </w:t>
      </w:r>
      <w:r w:rsidR="00667916" w:rsidRPr="00117825">
        <w:rPr>
          <w:color w:val="000000"/>
        </w:rPr>
        <w:t xml:space="preserve">or </w:t>
      </w:r>
      <w:r w:rsidR="00E31EA6" w:rsidRPr="00117825">
        <w:rPr>
          <w:color w:val="000000"/>
        </w:rPr>
        <w:t>capable of enhancing their self-esteem (</w:t>
      </w:r>
      <w:proofErr w:type="spellStart"/>
      <w:r w:rsidR="00E31EA6" w:rsidRPr="00117825">
        <w:rPr>
          <w:color w:val="000000"/>
        </w:rPr>
        <w:t>Elsbach</w:t>
      </w:r>
      <w:proofErr w:type="spellEnd"/>
      <w:r w:rsidR="00E31EA6" w:rsidRPr="00117825">
        <w:rPr>
          <w:color w:val="000000"/>
        </w:rPr>
        <w:t xml:space="preserve"> </w:t>
      </w:r>
      <w:r w:rsidR="00B963CF" w:rsidRPr="00117825">
        <w:rPr>
          <w:color w:val="000000"/>
        </w:rPr>
        <w:t>&amp;</w:t>
      </w:r>
      <w:r w:rsidR="00E31EA6" w:rsidRPr="00117825">
        <w:rPr>
          <w:color w:val="000000"/>
        </w:rPr>
        <w:t xml:space="preserve"> Bhattacharya, 2001). Such feelings undermine the social </w:t>
      </w:r>
      <w:proofErr w:type="spellStart"/>
      <w:r w:rsidR="006E230E" w:rsidRPr="00117825">
        <w:rPr>
          <w:color w:val="000000"/>
        </w:rPr>
        <w:t>embeddedness</w:t>
      </w:r>
      <w:proofErr w:type="spellEnd"/>
      <w:r w:rsidR="006E230E" w:rsidRPr="00117825">
        <w:rPr>
          <w:color w:val="000000"/>
        </w:rPr>
        <w:t xml:space="preserve"> </w:t>
      </w:r>
      <w:r w:rsidR="00E31EA6" w:rsidRPr="00117825">
        <w:rPr>
          <w:color w:val="000000"/>
        </w:rPr>
        <w:t>of the consumer–company relationship and reduce</w:t>
      </w:r>
      <w:r w:rsidR="00766DFF" w:rsidRPr="00117825">
        <w:rPr>
          <w:color w:val="000000"/>
        </w:rPr>
        <w:t xml:space="preserve"> the value of the retailers name in consumers</w:t>
      </w:r>
      <w:r w:rsidR="00667916" w:rsidRPr="00117825">
        <w:rPr>
          <w:color w:val="000000"/>
        </w:rPr>
        <w:t>’</w:t>
      </w:r>
      <w:r w:rsidR="00E31EA6" w:rsidRPr="00117825">
        <w:rPr>
          <w:color w:val="000000"/>
        </w:rPr>
        <w:t xml:space="preserve"> </w:t>
      </w:r>
      <w:r w:rsidR="00667916" w:rsidRPr="00117825">
        <w:rPr>
          <w:color w:val="000000"/>
        </w:rPr>
        <w:t xml:space="preserve">minds </w:t>
      </w:r>
      <w:r w:rsidR="00E31EA6" w:rsidRPr="00117825">
        <w:rPr>
          <w:color w:val="000000"/>
        </w:rPr>
        <w:t>(</w:t>
      </w:r>
      <w:r w:rsidR="00B963CF" w:rsidRPr="00117825">
        <w:rPr>
          <w:color w:val="000000"/>
        </w:rPr>
        <w:t>Cho, 2006</w:t>
      </w:r>
      <w:r w:rsidR="00E31EA6" w:rsidRPr="00117825">
        <w:rPr>
          <w:color w:val="000000"/>
        </w:rPr>
        <w:t xml:space="preserve">). </w:t>
      </w:r>
    </w:p>
    <w:p w:rsidR="00E31EA6" w:rsidRPr="00117825" w:rsidRDefault="00217369" w:rsidP="00B857E0">
      <w:pPr>
        <w:tabs>
          <w:tab w:val="left" w:pos="567"/>
        </w:tabs>
        <w:spacing w:line="480" w:lineRule="auto"/>
        <w:rPr>
          <w:color w:val="000000"/>
        </w:rPr>
      </w:pPr>
      <w:r>
        <w:rPr>
          <w:color w:val="000000"/>
        </w:rPr>
        <w:tab/>
      </w:r>
      <w:r w:rsidR="00667916" w:rsidRPr="00117825">
        <w:rPr>
          <w:color w:val="000000"/>
        </w:rPr>
        <w:t>Thus</w:t>
      </w:r>
      <w:r w:rsidR="00E31EA6" w:rsidRPr="00117825">
        <w:rPr>
          <w:color w:val="000000"/>
        </w:rPr>
        <w:t xml:space="preserve">, consumers’ skeptical stance toward a retailer’s CSR efforts is likely to translate to lower consumer-based retailer equity. </w:t>
      </w:r>
      <w:r w:rsidR="00E31EA6" w:rsidRPr="00B857E0">
        <w:rPr>
          <w:color w:val="000000"/>
        </w:rPr>
        <w:t>H5</w:t>
      </w:r>
      <w:r w:rsidRPr="00B857E0">
        <w:rPr>
          <w:color w:val="000000"/>
        </w:rPr>
        <w:t>:</w:t>
      </w:r>
      <w:r w:rsidR="00E31EA6" w:rsidRPr="00117825">
        <w:rPr>
          <w:color w:val="000000"/>
        </w:rPr>
        <w:t xml:space="preserve"> CSR skepticism relate</w:t>
      </w:r>
      <w:r w:rsidR="00667916" w:rsidRPr="00117825">
        <w:rPr>
          <w:color w:val="000000"/>
        </w:rPr>
        <w:t>s</w:t>
      </w:r>
      <w:r w:rsidR="00E31EA6" w:rsidRPr="00117825">
        <w:rPr>
          <w:color w:val="000000"/>
        </w:rPr>
        <w:t xml:space="preserve"> negatively to retailer equity.</w:t>
      </w:r>
    </w:p>
    <w:p w:rsidR="00217369" w:rsidRDefault="00B857E0" w:rsidP="00117825">
      <w:pPr>
        <w:tabs>
          <w:tab w:val="left" w:pos="567"/>
        </w:tabs>
        <w:autoSpaceDE w:val="0"/>
        <w:autoSpaceDN w:val="0"/>
        <w:adjustRightInd w:val="0"/>
        <w:spacing w:line="480" w:lineRule="auto"/>
        <w:rPr>
          <w:rFonts w:eastAsia="Calibri"/>
          <w:color w:val="000000"/>
          <w:lang w:eastAsia="en-GB"/>
        </w:rPr>
      </w:pPr>
      <w:r>
        <w:rPr>
          <w:rFonts w:eastAsia="Calibri"/>
          <w:color w:val="000000"/>
          <w:lang w:eastAsia="en-GB"/>
        </w:rPr>
        <w:tab/>
      </w:r>
      <w:r w:rsidR="00E31EA6" w:rsidRPr="00117825">
        <w:rPr>
          <w:rFonts w:eastAsia="Calibri"/>
          <w:color w:val="000000"/>
          <w:lang w:eastAsia="en-GB"/>
        </w:rPr>
        <w:t xml:space="preserve">Resilience to negative information refers to the extent to which consumers do not allow negative information about a company to </w:t>
      </w:r>
      <w:r w:rsidR="00766DFF" w:rsidRPr="00117825">
        <w:rPr>
          <w:rFonts w:eastAsia="Calibri"/>
          <w:color w:val="000000"/>
          <w:lang w:eastAsia="en-GB"/>
        </w:rPr>
        <w:t xml:space="preserve">diminish </w:t>
      </w:r>
      <w:r w:rsidR="00E31EA6" w:rsidRPr="00117825">
        <w:rPr>
          <w:rFonts w:eastAsia="Calibri"/>
          <w:color w:val="000000"/>
          <w:lang w:eastAsia="en-GB"/>
        </w:rPr>
        <w:t>their general view of the company (</w:t>
      </w:r>
      <w:r w:rsidR="00B963CF" w:rsidRPr="00117825">
        <w:rPr>
          <w:rFonts w:eastAsia="Calibri"/>
          <w:color w:val="000000"/>
          <w:lang w:eastAsia="en-GB"/>
        </w:rPr>
        <w:t xml:space="preserve">Bhattacharya &amp; Sen, 2004; Eisingerich, </w:t>
      </w:r>
      <w:proofErr w:type="spellStart"/>
      <w:r w:rsidR="00B963CF" w:rsidRPr="00117825">
        <w:rPr>
          <w:rFonts w:eastAsia="Calibri"/>
          <w:color w:val="000000"/>
          <w:lang w:eastAsia="en-GB"/>
        </w:rPr>
        <w:t>Rubera</w:t>
      </w:r>
      <w:proofErr w:type="spellEnd"/>
      <w:r w:rsidR="00B963CF" w:rsidRPr="00117825">
        <w:rPr>
          <w:rFonts w:eastAsia="Calibri"/>
          <w:color w:val="000000"/>
          <w:lang w:eastAsia="en-GB"/>
        </w:rPr>
        <w:t>, Seifert, &amp; Bhardwaj, 2011</w:t>
      </w:r>
      <w:r w:rsidR="00E31EA6" w:rsidRPr="00117825">
        <w:rPr>
          <w:rFonts w:eastAsia="Calibri"/>
          <w:color w:val="000000"/>
          <w:lang w:eastAsia="en-GB"/>
        </w:rPr>
        <w:t xml:space="preserve">). Such behavior occurs when a company has built </w:t>
      </w:r>
      <w:r w:rsidR="00A21F6A" w:rsidRPr="00117825">
        <w:rPr>
          <w:rFonts w:eastAsia="Calibri"/>
          <w:color w:val="000000"/>
          <w:lang w:eastAsia="en-GB"/>
        </w:rPr>
        <w:t>“</w:t>
      </w:r>
      <w:r w:rsidR="00E31EA6" w:rsidRPr="00117825">
        <w:rPr>
          <w:rFonts w:eastAsia="Calibri"/>
          <w:color w:val="000000"/>
          <w:lang w:eastAsia="en-GB"/>
        </w:rPr>
        <w:t>a reservoir of goodwill</w:t>
      </w:r>
      <w:r w:rsidR="00A21F6A" w:rsidRPr="00117825">
        <w:rPr>
          <w:rFonts w:eastAsia="Calibri"/>
          <w:color w:val="000000"/>
          <w:lang w:eastAsia="en-GB"/>
        </w:rPr>
        <w:t>”</w:t>
      </w:r>
      <w:r w:rsidR="00E31EA6" w:rsidRPr="00117825">
        <w:rPr>
          <w:rFonts w:eastAsia="Calibri"/>
          <w:color w:val="000000"/>
          <w:lang w:eastAsia="en-GB"/>
        </w:rPr>
        <w:t xml:space="preserve"> and consumers experience an enhanced fit with the company’s identity (</w:t>
      </w:r>
      <w:r w:rsidR="00784027" w:rsidRPr="00117825">
        <w:rPr>
          <w:rFonts w:eastAsia="Calibri"/>
          <w:color w:val="000000"/>
          <w:lang w:eastAsia="en-GB"/>
        </w:rPr>
        <w:t>Bhattacharya &amp; Sen, 2003</w:t>
      </w:r>
      <w:r w:rsidR="00E31EA6" w:rsidRPr="00117825">
        <w:rPr>
          <w:rFonts w:eastAsia="Calibri"/>
          <w:color w:val="000000"/>
          <w:lang w:eastAsia="en-GB"/>
        </w:rPr>
        <w:t>).</w:t>
      </w:r>
      <w:r w:rsidR="00E31EA6" w:rsidRPr="00117825">
        <w:t xml:space="preserve"> </w:t>
      </w:r>
      <w:r w:rsidR="00A21F6A" w:rsidRPr="00117825">
        <w:t>Such behavior does</w:t>
      </w:r>
      <w:r w:rsidR="00E31EA6" w:rsidRPr="00117825">
        <w:t xml:space="preserve"> not </w:t>
      </w:r>
      <w:r w:rsidR="00A21F6A" w:rsidRPr="00117825">
        <w:t xml:space="preserve">occur, </w:t>
      </w:r>
      <w:r w:rsidR="00E31EA6" w:rsidRPr="00117825">
        <w:t>however, w</w:t>
      </w:r>
      <w:r w:rsidR="00E31EA6" w:rsidRPr="00117825">
        <w:rPr>
          <w:rFonts w:eastAsia="Calibri"/>
          <w:color w:val="000000"/>
          <w:lang w:eastAsia="en-GB"/>
        </w:rPr>
        <w:t>hen consumers doubt the company</w:t>
      </w:r>
      <w:r w:rsidR="00A21F6A" w:rsidRPr="00117825">
        <w:rPr>
          <w:rFonts w:eastAsia="Calibri"/>
          <w:color w:val="000000"/>
          <w:lang w:eastAsia="en-GB"/>
        </w:rPr>
        <w:t>’s reason</w:t>
      </w:r>
      <w:r w:rsidR="00296C38" w:rsidRPr="00117825">
        <w:rPr>
          <w:rFonts w:eastAsia="Calibri"/>
          <w:color w:val="000000"/>
          <w:lang w:eastAsia="en-GB"/>
        </w:rPr>
        <w:t>s</w:t>
      </w:r>
      <w:r w:rsidR="00A21F6A" w:rsidRPr="00117825">
        <w:rPr>
          <w:rFonts w:eastAsia="Calibri"/>
          <w:color w:val="000000"/>
          <w:lang w:eastAsia="en-GB"/>
        </w:rPr>
        <w:t xml:space="preserve"> for</w:t>
      </w:r>
      <w:r w:rsidR="00E31EA6" w:rsidRPr="00117825">
        <w:rPr>
          <w:rFonts w:eastAsia="Calibri"/>
          <w:color w:val="000000"/>
          <w:lang w:eastAsia="en-GB"/>
        </w:rPr>
        <w:t xml:space="preserve"> contribut</w:t>
      </w:r>
      <w:r w:rsidR="00A21F6A" w:rsidRPr="00117825">
        <w:rPr>
          <w:rFonts w:eastAsia="Calibri"/>
          <w:color w:val="000000"/>
          <w:lang w:eastAsia="en-GB"/>
        </w:rPr>
        <w:t>ing</w:t>
      </w:r>
      <w:r w:rsidR="00E31EA6" w:rsidRPr="00117825">
        <w:rPr>
          <w:rFonts w:eastAsia="Calibri"/>
          <w:color w:val="000000"/>
          <w:lang w:eastAsia="en-GB"/>
        </w:rPr>
        <w:t xml:space="preserve"> to the well-being of society and are wary of its ethical standards and social engagement. Here, the negative information consumers receive about the company is largely congruent with the</w:t>
      </w:r>
      <w:r w:rsidR="00766DFF" w:rsidRPr="00117825">
        <w:rPr>
          <w:rFonts w:eastAsia="Calibri"/>
          <w:color w:val="000000"/>
          <w:lang w:eastAsia="en-GB"/>
        </w:rPr>
        <w:t>ir questioning attitude</w:t>
      </w:r>
      <w:r w:rsidR="00A21F6A" w:rsidRPr="00117825">
        <w:rPr>
          <w:rFonts w:eastAsia="Calibri"/>
          <w:color w:val="000000"/>
          <w:lang w:eastAsia="en-GB"/>
        </w:rPr>
        <w:t>s</w:t>
      </w:r>
      <w:r w:rsidR="00766DFF" w:rsidRPr="00117825">
        <w:rPr>
          <w:rFonts w:eastAsia="Calibri"/>
          <w:color w:val="000000"/>
          <w:lang w:eastAsia="en-GB"/>
        </w:rPr>
        <w:t xml:space="preserve"> toward </w:t>
      </w:r>
      <w:r w:rsidR="00835290" w:rsidRPr="00117825">
        <w:rPr>
          <w:rFonts w:eastAsia="Calibri"/>
          <w:color w:val="000000"/>
          <w:lang w:eastAsia="en-GB"/>
        </w:rPr>
        <w:t>its</w:t>
      </w:r>
      <w:r w:rsidR="00E31EA6" w:rsidRPr="00117825">
        <w:rPr>
          <w:rFonts w:eastAsia="Calibri"/>
          <w:color w:val="000000"/>
          <w:lang w:eastAsia="en-GB"/>
        </w:rPr>
        <w:t xml:space="preserve"> social involvement</w:t>
      </w:r>
      <w:r w:rsidR="00A21F6A" w:rsidRPr="00117825">
        <w:rPr>
          <w:rFonts w:eastAsia="Calibri"/>
          <w:color w:val="000000"/>
          <w:lang w:eastAsia="en-GB"/>
        </w:rPr>
        <w:t>,</w:t>
      </w:r>
      <w:r w:rsidR="00E31EA6" w:rsidRPr="00117825">
        <w:rPr>
          <w:rFonts w:eastAsia="Calibri"/>
          <w:color w:val="000000"/>
          <w:lang w:eastAsia="en-GB"/>
        </w:rPr>
        <w:t xml:space="preserve"> and consumers lack the motivation to support and defend the company </w:t>
      </w:r>
      <w:r w:rsidR="00A21F6A" w:rsidRPr="00117825">
        <w:rPr>
          <w:rFonts w:eastAsia="Calibri"/>
          <w:color w:val="000000"/>
          <w:lang w:eastAsia="en-GB"/>
        </w:rPr>
        <w:t xml:space="preserve">by </w:t>
      </w:r>
      <w:r w:rsidR="00E31EA6" w:rsidRPr="00117825">
        <w:rPr>
          <w:rFonts w:eastAsia="Calibri"/>
          <w:color w:val="000000"/>
          <w:lang w:eastAsia="en-GB"/>
        </w:rPr>
        <w:t xml:space="preserve">generating counter-arguments </w:t>
      </w:r>
      <w:r w:rsidR="00766DFF" w:rsidRPr="00117825">
        <w:rPr>
          <w:rFonts w:eastAsia="Calibri"/>
          <w:color w:val="000000"/>
          <w:lang w:eastAsia="en-GB"/>
        </w:rPr>
        <w:t>in the face of negative publicity</w:t>
      </w:r>
      <w:r w:rsidR="00E31EA6" w:rsidRPr="00117825">
        <w:rPr>
          <w:rFonts w:eastAsia="Calibri"/>
          <w:color w:val="000000"/>
          <w:lang w:eastAsia="en-GB"/>
        </w:rPr>
        <w:t xml:space="preserve"> (</w:t>
      </w:r>
      <w:r w:rsidR="00784027" w:rsidRPr="00117825">
        <w:rPr>
          <w:rFonts w:eastAsia="Calibri"/>
          <w:color w:val="000000"/>
          <w:lang w:eastAsia="en-GB"/>
        </w:rPr>
        <w:t>Eisingerich et al., 2011</w:t>
      </w:r>
      <w:r w:rsidR="00E31EA6" w:rsidRPr="00117825">
        <w:rPr>
          <w:rFonts w:eastAsia="Calibri"/>
          <w:color w:val="000000"/>
          <w:lang w:eastAsia="en-GB"/>
        </w:rPr>
        <w:t xml:space="preserve">). </w:t>
      </w:r>
    </w:p>
    <w:p w:rsidR="00E31EA6" w:rsidRPr="00117825" w:rsidRDefault="00217369" w:rsidP="00117825">
      <w:pPr>
        <w:tabs>
          <w:tab w:val="left" w:pos="567"/>
        </w:tabs>
        <w:autoSpaceDE w:val="0"/>
        <w:autoSpaceDN w:val="0"/>
        <w:adjustRightInd w:val="0"/>
        <w:spacing w:line="480" w:lineRule="auto"/>
        <w:rPr>
          <w:rFonts w:eastAsia="Calibri"/>
          <w:color w:val="000000"/>
          <w:lang w:eastAsia="en-GB"/>
        </w:rPr>
      </w:pPr>
      <w:r>
        <w:rPr>
          <w:rFonts w:eastAsia="Calibri"/>
          <w:color w:val="000000"/>
          <w:lang w:eastAsia="en-GB"/>
        </w:rPr>
        <w:lastRenderedPageBreak/>
        <w:tab/>
      </w:r>
      <w:r w:rsidR="00472155" w:rsidRPr="00117825">
        <w:rPr>
          <w:rFonts w:eastAsia="Calibri"/>
          <w:color w:val="000000"/>
          <w:lang w:eastAsia="en-GB"/>
        </w:rPr>
        <w:t>Consequently</w:t>
      </w:r>
      <w:r w:rsidR="00E31EA6" w:rsidRPr="00117825">
        <w:rPr>
          <w:rFonts w:eastAsia="Calibri"/>
          <w:color w:val="000000"/>
          <w:lang w:eastAsia="en-GB"/>
        </w:rPr>
        <w:t xml:space="preserve">, consumer skepticism toward CSR can be detrimental to the development of resilience to negative information. </w:t>
      </w:r>
      <w:r w:rsidR="00E31EA6" w:rsidRPr="00B857E0">
        <w:rPr>
          <w:rFonts w:eastAsia="Calibri"/>
          <w:color w:val="000000"/>
          <w:lang w:eastAsia="en-GB"/>
        </w:rPr>
        <w:t>H6</w:t>
      </w:r>
      <w:r w:rsidRPr="00B857E0">
        <w:rPr>
          <w:rFonts w:eastAsia="Calibri"/>
          <w:color w:val="000000"/>
          <w:lang w:eastAsia="en-GB"/>
        </w:rPr>
        <w:t>:</w:t>
      </w:r>
      <w:r w:rsidR="00E31EA6" w:rsidRPr="00117825">
        <w:rPr>
          <w:rFonts w:eastAsia="Calibri"/>
          <w:color w:val="000000"/>
          <w:lang w:eastAsia="en-GB"/>
        </w:rPr>
        <w:t xml:space="preserve"> CSR skepticism relate</w:t>
      </w:r>
      <w:r w:rsidR="00A21F6A" w:rsidRPr="00117825">
        <w:rPr>
          <w:rFonts w:eastAsia="Calibri"/>
          <w:color w:val="000000"/>
          <w:lang w:eastAsia="en-GB"/>
        </w:rPr>
        <w:t>s</w:t>
      </w:r>
      <w:r w:rsidR="00E31EA6" w:rsidRPr="00117825">
        <w:rPr>
          <w:rFonts w:eastAsia="Calibri"/>
          <w:color w:val="000000"/>
          <w:lang w:eastAsia="en-GB"/>
        </w:rPr>
        <w:t xml:space="preserve"> negatively to resilience to negative information.</w:t>
      </w:r>
    </w:p>
    <w:p w:rsidR="00217369" w:rsidRDefault="00B857E0" w:rsidP="00117825">
      <w:pPr>
        <w:tabs>
          <w:tab w:val="left" w:pos="567"/>
        </w:tabs>
        <w:autoSpaceDE w:val="0"/>
        <w:autoSpaceDN w:val="0"/>
        <w:adjustRightInd w:val="0"/>
        <w:spacing w:line="480" w:lineRule="auto"/>
        <w:rPr>
          <w:rFonts w:eastAsia="Calibri"/>
          <w:color w:val="000000"/>
          <w:lang w:eastAsia="en-GB"/>
        </w:rPr>
      </w:pPr>
      <w:r>
        <w:rPr>
          <w:rFonts w:eastAsia="Calibri"/>
          <w:color w:val="000000"/>
          <w:lang w:eastAsia="en-GB"/>
        </w:rPr>
        <w:tab/>
      </w:r>
      <w:r w:rsidR="00766DFF" w:rsidRPr="00117825">
        <w:rPr>
          <w:rFonts w:eastAsia="Calibri"/>
          <w:color w:val="000000"/>
          <w:lang w:eastAsia="en-GB"/>
        </w:rPr>
        <w:t>WOM</w:t>
      </w:r>
      <w:r w:rsidR="00E31EA6" w:rsidRPr="00117825">
        <w:rPr>
          <w:rFonts w:eastAsia="Calibri"/>
          <w:color w:val="000000"/>
          <w:lang w:eastAsia="en-GB"/>
        </w:rPr>
        <w:t xml:space="preserve"> refers to informal, interpersonal communication among consumers </w:t>
      </w:r>
      <w:r w:rsidR="00A21F6A" w:rsidRPr="00117825">
        <w:rPr>
          <w:rFonts w:eastAsia="Calibri"/>
          <w:color w:val="000000"/>
          <w:lang w:eastAsia="en-GB"/>
        </w:rPr>
        <w:t xml:space="preserve">about </w:t>
      </w:r>
      <w:r w:rsidR="00E31EA6" w:rsidRPr="00117825">
        <w:rPr>
          <w:rFonts w:eastAsia="Calibri"/>
          <w:color w:val="000000"/>
          <w:lang w:eastAsia="en-GB"/>
        </w:rPr>
        <w:t xml:space="preserve">their personal thoughts, ideas, or comments about a </w:t>
      </w:r>
      <w:r w:rsidR="00EF325F" w:rsidRPr="00117825">
        <w:rPr>
          <w:rFonts w:eastAsia="Calibri"/>
          <w:color w:val="000000"/>
          <w:lang w:eastAsia="en-GB"/>
        </w:rPr>
        <w:t>company</w:t>
      </w:r>
      <w:r w:rsidR="00E31EA6" w:rsidRPr="00117825">
        <w:rPr>
          <w:rFonts w:eastAsia="Calibri"/>
          <w:color w:val="000000"/>
          <w:lang w:eastAsia="en-GB"/>
        </w:rPr>
        <w:t xml:space="preserve"> (</w:t>
      </w:r>
      <w:r w:rsidR="00A21F6A" w:rsidRPr="00117825">
        <w:rPr>
          <w:rFonts w:eastAsia="Calibri"/>
          <w:color w:val="000000"/>
          <w:lang w:eastAsia="en-GB"/>
        </w:rPr>
        <w:t>D</w:t>
      </w:r>
      <w:r w:rsidR="00761DFF" w:rsidRPr="00117825">
        <w:rPr>
          <w:rFonts w:eastAsia="Calibri"/>
          <w:color w:val="000000"/>
          <w:lang w:eastAsia="en-GB"/>
        </w:rPr>
        <w:t>e Matos &amp; Rossi, 2008</w:t>
      </w:r>
      <w:r w:rsidR="00E31EA6" w:rsidRPr="00117825">
        <w:rPr>
          <w:rFonts w:eastAsia="Calibri"/>
          <w:color w:val="000000"/>
          <w:lang w:eastAsia="en-GB"/>
        </w:rPr>
        <w:t>). Consumers likely engage in WOM as a form of communicating their positive or negative experiences, feelings, and emot</w:t>
      </w:r>
      <w:r w:rsidR="00766DFF" w:rsidRPr="00117825">
        <w:rPr>
          <w:rFonts w:eastAsia="Calibri"/>
          <w:color w:val="000000"/>
          <w:lang w:eastAsia="en-GB"/>
        </w:rPr>
        <w:t>ions with companies</w:t>
      </w:r>
      <w:r w:rsidR="001D3914" w:rsidRPr="00117825">
        <w:rPr>
          <w:rFonts w:eastAsia="Calibri"/>
          <w:color w:val="000000"/>
          <w:lang w:eastAsia="en-GB"/>
        </w:rPr>
        <w:t xml:space="preserve"> in an attempt</w:t>
      </w:r>
      <w:r w:rsidR="00E31EA6" w:rsidRPr="00117825">
        <w:rPr>
          <w:rFonts w:eastAsia="Calibri"/>
          <w:color w:val="000000"/>
          <w:lang w:eastAsia="en-GB"/>
        </w:rPr>
        <w:t xml:space="preserve"> to exchange diagnostic information and improve decision-making quality (Herr, </w:t>
      </w:r>
      <w:proofErr w:type="spellStart"/>
      <w:r w:rsidR="00E31EA6" w:rsidRPr="00117825">
        <w:rPr>
          <w:rFonts w:eastAsia="Calibri"/>
          <w:color w:val="000000"/>
          <w:lang w:eastAsia="en-GB"/>
        </w:rPr>
        <w:t>Kardes</w:t>
      </w:r>
      <w:proofErr w:type="spellEnd"/>
      <w:r w:rsidR="00E31EA6" w:rsidRPr="00117825">
        <w:rPr>
          <w:rFonts w:eastAsia="Calibri"/>
          <w:color w:val="000000"/>
          <w:lang w:eastAsia="en-GB"/>
        </w:rPr>
        <w:t xml:space="preserve">, </w:t>
      </w:r>
      <w:r w:rsidR="00706112" w:rsidRPr="00117825">
        <w:rPr>
          <w:rFonts w:eastAsia="Calibri"/>
          <w:color w:val="000000"/>
          <w:lang w:eastAsia="en-GB"/>
        </w:rPr>
        <w:t xml:space="preserve">&amp; </w:t>
      </w:r>
      <w:r w:rsidR="00E31EA6" w:rsidRPr="00117825">
        <w:rPr>
          <w:rFonts w:eastAsia="Calibri"/>
          <w:color w:val="000000"/>
          <w:lang w:eastAsia="en-GB"/>
        </w:rPr>
        <w:t xml:space="preserve">Kim, 1991). </w:t>
      </w:r>
      <w:r w:rsidR="0045555B" w:rsidRPr="00117825">
        <w:rPr>
          <w:rFonts w:eastAsia="Calibri"/>
          <w:color w:val="000000"/>
          <w:lang w:eastAsia="en-GB"/>
        </w:rPr>
        <w:t>E</w:t>
      </w:r>
      <w:r w:rsidR="001526B4" w:rsidRPr="00117825">
        <w:rPr>
          <w:rFonts w:eastAsia="Calibri"/>
          <w:color w:val="000000"/>
          <w:lang w:eastAsia="en-GB"/>
        </w:rPr>
        <w:t xml:space="preserve">xtant </w:t>
      </w:r>
      <w:r w:rsidR="00E31EA6" w:rsidRPr="00117825">
        <w:rPr>
          <w:rFonts w:eastAsia="Calibri"/>
          <w:color w:val="000000"/>
          <w:lang w:eastAsia="en-GB"/>
        </w:rPr>
        <w:t>literature suggests that negative information is more attention getting, more carefully processed, and more dominant in evaluations than positive information (</w:t>
      </w:r>
      <w:proofErr w:type="spellStart"/>
      <w:r w:rsidR="00784027" w:rsidRPr="00117825">
        <w:rPr>
          <w:rFonts w:eastAsia="Calibri"/>
          <w:color w:val="000000"/>
          <w:lang w:eastAsia="en-GB"/>
        </w:rPr>
        <w:t>Baumeister</w:t>
      </w:r>
      <w:proofErr w:type="spellEnd"/>
      <w:r w:rsidR="0080347B" w:rsidRPr="00117825">
        <w:rPr>
          <w:rFonts w:eastAsia="Calibri"/>
          <w:color w:val="000000"/>
          <w:lang w:eastAsia="en-GB"/>
        </w:rPr>
        <w:t xml:space="preserve"> et al.</w:t>
      </w:r>
      <w:r w:rsidR="00784027" w:rsidRPr="00117825">
        <w:rPr>
          <w:rFonts w:eastAsia="Calibri"/>
          <w:color w:val="000000"/>
          <w:lang w:eastAsia="en-GB"/>
        </w:rPr>
        <w:t>, 2001</w:t>
      </w:r>
      <w:r w:rsidR="00E31EA6" w:rsidRPr="00117825">
        <w:rPr>
          <w:rFonts w:eastAsia="Calibri"/>
          <w:color w:val="000000"/>
          <w:lang w:eastAsia="en-GB"/>
        </w:rPr>
        <w:t xml:space="preserve">). </w:t>
      </w:r>
      <w:r w:rsidR="0045555B" w:rsidRPr="00117825">
        <w:rPr>
          <w:rFonts w:eastAsia="Calibri"/>
          <w:color w:val="000000"/>
          <w:lang w:eastAsia="en-GB"/>
        </w:rPr>
        <w:t>In addition</w:t>
      </w:r>
      <w:r w:rsidR="00E31EA6" w:rsidRPr="00117825">
        <w:rPr>
          <w:rFonts w:eastAsia="Calibri"/>
          <w:color w:val="000000"/>
          <w:lang w:eastAsia="en-GB"/>
        </w:rPr>
        <w:t>, negative feelings are more strongly coded in consumer memories and can lead to negative impressions having greater influence o</w:t>
      </w:r>
      <w:r w:rsidR="00766DFF" w:rsidRPr="00117825">
        <w:rPr>
          <w:rFonts w:eastAsia="Calibri"/>
          <w:color w:val="000000"/>
          <w:lang w:eastAsia="en-GB"/>
        </w:rPr>
        <w:t>n outcome variables (Cho, 2006</w:t>
      </w:r>
      <w:r w:rsidR="00E31EA6" w:rsidRPr="00117825">
        <w:rPr>
          <w:rFonts w:eastAsia="Calibri"/>
          <w:color w:val="000000"/>
          <w:lang w:eastAsia="en-GB"/>
        </w:rPr>
        <w:t>). In an attempt to communicate their disposition to incredulity toward the CSR practices of the retailer, skeptical consumers are likely to share their doubts, verify their suspicions, and warn others (</w:t>
      </w:r>
      <w:r w:rsidR="00784027" w:rsidRPr="00117825">
        <w:rPr>
          <w:rFonts w:eastAsia="Calibri"/>
          <w:color w:val="000000"/>
          <w:lang w:eastAsia="en-GB"/>
        </w:rPr>
        <w:t>Ferguson</w:t>
      </w:r>
      <w:r w:rsidR="00F95A01" w:rsidRPr="00117825">
        <w:rPr>
          <w:rFonts w:eastAsia="Calibri"/>
          <w:color w:val="000000"/>
          <w:lang w:eastAsia="en-GB"/>
        </w:rPr>
        <w:t xml:space="preserve"> et al.</w:t>
      </w:r>
      <w:r w:rsidR="00784027" w:rsidRPr="00117825">
        <w:rPr>
          <w:rFonts w:eastAsia="Calibri"/>
          <w:color w:val="000000"/>
          <w:lang w:eastAsia="en-GB"/>
        </w:rPr>
        <w:t>, 2011; Herr et al., 1991</w:t>
      </w:r>
      <w:r w:rsidR="00E31EA6" w:rsidRPr="00117825">
        <w:rPr>
          <w:rFonts w:eastAsia="Calibri"/>
          <w:color w:val="000000"/>
          <w:lang w:eastAsia="en-GB"/>
        </w:rPr>
        <w:t xml:space="preserve">). </w:t>
      </w:r>
    </w:p>
    <w:p w:rsidR="00E31EA6" w:rsidRPr="00117825" w:rsidRDefault="00217369" w:rsidP="00117825">
      <w:pPr>
        <w:tabs>
          <w:tab w:val="left" w:pos="567"/>
        </w:tabs>
        <w:autoSpaceDE w:val="0"/>
        <w:autoSpaceDN w:val="0"/>
        <w:adjustRightInd w:val="0"/>
        <w:spacing w:line="480" w:lineRule="auto"/>
        <w:rPr>
          <w:rFonts w:eastAsia="Calibri"/>
          <w:color w:val="000000"/>
          <w:lang w:eastAsia="en-GB"/>
        </w:rPr>
      </w:pPr>
      <w:r>
        <w:rPr>
          <w:rFonts w:eastAsia="Calibri"/>
          <w:color w:val="000000"/>
          <w:lang w:eastAsia="en-GB"/>
        </w:rPr>
        <w:tab/>
      </w:r>
      <w:r w:rsidR="00E31EA6" w:rsidRPr="00117825">
        <w:rPr>
          <w:rFonts w:eastAsia="Calibri"/>
          <w:color w:val="000000"/>
          <w:lang w:eastAsia="en-GB"/>
        </w:rPr>
        <w:t>Th</w:t>
      </w:r>
      <w:r w:rsidR="00472155" w:rsidRPr="00117825">
        <w:rPr>
          <w:rFonts w:eastAsia="Calibri"/>
          <w:color w:val="000000"/>
          <w:lang w:eastAsia="en-GB"/>
        </w:rPr>
        <w:t>us</w:t>
      </w:r>
      <w:r w:rsidR="00E31EA6" w:rsidRPr="00117825">
        <w:rPr>
          <w:rFonts w:eastAsia="Calibri"/>
          <w:color w:val="000000"/>
          <w:lang w:eastAsia="en-GB"/>
        </w:rPr>
        <w:t>, consumer</w:t>
      </w:r>
      <w:r w:rsidR="00296C38" w:rsidRPr="00117825">
        <w:rPr>
          <w:rFonts w:eastAsia="Calibri"/>
          <w:color w:val="000000"/>
          <w:lang w:eastAsia="en-GB"/>
        </w:rPr>
        <w:t>s’</w:t>
      </w:r>
      <w:r w:rsidR="00E31EA6" w:rsidRPr="00117825">
        <w:rPr>
          <w:rFonts w:eastAsia="Calibri"/>
          <w:color w:val="000000"/>
          <w:lang w:eastAsia="en-GB"/>
        </w:rPr>
        <w:t xml:space="preserve"> skepticism toward the CSR efforts of the retailer is likely to inhibit </w:t>
      </w:r>
      <w:r w:rsidR="00296C38" w:rsidRPr="00117825">
        <w:rPr>
          <w:rFonts w:eastAsia="Calibri"/>
          <w:color w:val="000000"/>
          <w:lang w:eastAsia="en-GB"/>
        </w:rPr>
        <w:t xml:space="preserve">their </w:t>
      </w:r>
      <w:r w:rsidR="00E31EA6" w:rsidRPr="00117825">
        <w:rPr>
          <w:rFonts w:eastAsia="Calibri"/>
          <w:color w:val="000000"/>
          <w:lang w:eastAsia="en-GB"/>
        </w:rPr>
        <w:t>willingness to talk positively about the retailer to their friends and acquaintances.</w:t>
      </w:r>
      <w:r>
        <w:rPr>
          <w:rFonts w:eastAsia="Calibri"/>
          <w:color w:val="000000"/>
          <w:lang w:eastAsia="en-GB"/>
        </w:rPr>
        <w:t xml:space="preserve"> </w:t>
      </w:r>
      <w:r w:rsidR="00E31EA6" w:rsidRPr="00B857E0">
        <w:rPr>
          <w:rFonts w:eastAsia="Calibri"/>
          <w:color w:val="000000"/>
          <w:lang w:eastAsia="en-GB"/>
        </w:rPr>
        <w:t>H7</w:t>
      </w:r>
      <w:r w:rsidRPr="00B857E0">
        <w:rPr>
          <w:rFonts w:eastAsia="Calibri"/>
          <w:color w:val="000000"/>
          <w:lang w:eastAsia="en-GB"/>
        </w:rPr>
        <w:t>:</w:t>
      </w:r>
      <w:r w:rsidR="00E31EA6" w:rsidRPr="00117825">
        <w:rPr>
          <w:rFonts w:eastAsia="Calibri"/>
          <w:color w:val="000000"/>
          <w:lang w:eastAsia="en-GB"/>
        </w:rPr>
        <w:t xml:space="preserve"> CSR skepticis</w:t>
      </w:r>
      <w:r w:rsidR="00A25BD8" w:rsidRPr="00117825">
        <w:rPr>
          <w:rFonts w:eastAsia="Calibri"/>
          <w:color w:val="000000"/>
          <w:lang w:eastAsia="en-GB"/>
        </w:rPr>
        <w:t>m relate</w:t>
      </w:r>
      <w:r w:rsidR="0045555B" w:rsidRPr="00117825">
        <w:rPr>
          <w:rFonts w:eastAsia="Calibri"/>
          <w:color w:val="000000"/>
          <w:lang w:eastAsia="en-GB"/>
        </w:rPr>
        <w:t>s</w:t>
      </w:r>
      <w:r w:rsidR="00A25BD8" w:rsidRPr="00117825">
        <w:rPr>
          <w:rFonts w:eastAsia="Calibri"/>
          <w:color w:val="000000"/>
          <w:lang w:eastAsia="en-GB"/>
        </w:rPr>
        <w:t xml:space="preserve"> negatively to </w:t>
      </w:r>
      <w:r w:rsidR="00A21F6A" w:rsidRPr="00117825">
        <w:rPr>
          <w:rFonts w:eastAsia="Calibri"/>
          <w:color w:val="000000"/>
          <w:lang w:eastAsia="en-GB"/>
        </w:rPr>
        <w:t>WOM</w:t>
      </w:r>
      <w:r w:rsidR="00E31EA6" w:rsidRPr="00117825">
        <w:rPr>
          <w:rFonts w:eastAsia="Calibri"/>
          <w:color w:val="000000"/>
          <w:lang w:eastAsia="en-GB"/>
        </w:rPr>
        <w:t>.</w:t>
      </w:r>
    </w:p>
    <w:p w:rsidR="00217369" w:rsidRDefault="00B857E0" w:rsidP="00117825">
      <w:pPr>
        <w:tabs>
          <w:tab w:val="left" w:pos="567"/>
        </w:tabs>
        <w:spacing w:line="480" w:lineRule="auto"/>
        <w:rPr>
          <w:color w:val="000000"/>
        </w:rPr>
      </w:pPr>
      <w:r>
        <w:rPr>
          <w:color w:val="000000"/>
        </w:rPr>
        <w:tab/>
      </w:r>
      <w:r w:rsidR="00E31EA6" w:rsidRPr="00117825">
        <w:rPr>
          <w:color w:val="000000"/>
        </w:rPr>
        <w:t xml:space="preserve">Retailer equity implies that consumers have </w:t>
      </w:r>
      <w:r w:rsidR="007A6666" w:rsidRPr="00117825">
        <w:rPr>
          <w:color w:val="000000"/>
        </w:rPr>
        <w:t xml:space="preserve">enduring, favorable </w:t>
      </w:r>
      <w:r w:rsidR="00E31EA6" w:rsidRPr="00117825">
        <w:rPr>
          <w:color w:val="000000"/>
        </w:rPr>
        <w:t xml:space="preserve">associations </w:t>
      </w:r>
      <w:r w:rsidR="0045555B" w:rsidRPr="00117825">
        <w:rPr>
          <w:color w:val="000000"/>
        </w:rPr>
        <w:t>with</w:t>
      </w:r>
      <w:r w:rsidR="00E31EA6" w:rsidRPr="00117825">
        <w:rPr>
          <w:color w:val="000000"/>
        </w:rPr>
        <w:t xml:space="preserve"> the retailer (</w:t>
      </w:r>
      <w:proofErr w:type="spellStart"/>
      <w:r w:rsidR="00472155" w:rsidRPr="00117825">
        <w:rPr>
          <w:color w:val="000000"/>
        </w:rPr>
        <w:t>Yoo</w:t>
      </w:r>
      <w:proofErr w:type="spellEnd"/>
      <w:r w:rsidR="00F95A01" w:rsidRPr="00117825">
        <w:rPr>
          <w:color w:val="000000"/>
        </w:rPr>
        <w:t xml:space="preserve"> et al.</w:t>
      </w:r>
      <w:r w:rsidR="00472155" w:rsidRPr="00117825">
        <w:rPr>
          <w:color w:val="000000"/>
        </w:rPr>
        <w:t>, 2000</w:t>
      </w:r>
      <w:r w:rsidR="00E31EA6" w:rsidRPr="00117825">
        <w:rPr>
          <w:color w:val="000000"/>
        </w:rPr>
        <w:t xml:space="preserve">). Consumers </w:t>
      </w:r>
      <w:r w:rsidR="0045555B" w:rsidRPr="00117825">
        <w:rPr>
          <w:color w:val="000000"/>
        </w:rPr>
        <w:t xml:space="preserve">who </w:t>
      </w:r>
      <w:r w:rsidR="00E31EA6" w:rsidRPr="00117825">
        <w:rPr>
          <w:color w:val="000000"/>
        </w:rPr>
        <w:t xml:space="preserve">hold strong positive attitudes toward a retailer likely demonstrate enhanced resistance to negative information about </w:t>
      </w:r>
      <w:r w:rsidR="0045555B" w:rsidRPr="00117825">
        <w:rPr>
          <w:color w:val="000000"/>
        </w:rPr>
        <w:t xml:space="preserve">the firm </w:t>
      </w:r>
      <w:r w:rsidR="00E31EA6" w:rsidRPr="00117825">
        <w:rPr>
          <w:color w:val="000000"/>
        </w:rPr>
        <w:t xml:space="preserve">(Dick </w:t>
      </w:r>
      <w:r w:rsidR="00B963CF" w:rsidRPr="00117825">
        <w:rPr>
          <w:color w:val="000000"/>
        </w:rPr>
        <w:t>&amp;</w:t>
      </w:r>
      <w:r w:rsidR="00E31EA6" w:rsidRPr="00117825">
        <w:rPr>
          <w:color w:val="000000"/>
        </w:rPr>
        <w:t xml:space="preserve"> </w:t>
      </w:r>
      <w:proofErr w:type="spellStart"/>
      <w:r w:rsidR="00E31EA6" w:rsidRPr="00117825">
        <w:rPr>
          <w:color w:val="000000"/>
        </w:rPr>
        <w:t>Basu</w:t>
      </w:r>
      <w:proofErr w:type="spellEnd"/>
      <w:r w:rsidR="00E31EA6" w:rsidRPr="00117825">
        <w:rPr>
          <w:color w:val="000000"/>
        </w:rPr>
        <w:t xml:space="preserve">, 1994). </w:t>
      </w:r>
      <w:r w:rsidR="0045555B" w:rsidRPr="00117825">
        <w:rPr>
          <w:color w:val="000000"/>
        </w:rPr>
        <w:t>A</w:t>
      </w:r>
      <w:r w:rsidR="00E31EA6" w:rsidRPr="00117825">
        <w:rPr>
          <w:color w:val="000000"/>
        </w:rPr>
        <w:t xml:space="preserve">ttitude-driven message selectivity and cognitive consistency processes can explain this relationship. The former argues that </w:t>
      </w:r>
      <w:r w:rsidR="0045555B" w:rsidRPr="00117825">
        <w:rPr>
          <w:color w:val="000000"/>
        </w:rPr>
        <w:t>people with</w:t>
      </w:r>
      <w:r w:rsidR="00E31EA6" w:rsidRPr="00117825">
        <w:rPr>
          <w:color w:val="000000"/>
        </w:rPr>
        <w:t xml:space="preserve"> certain perceptions about </w:t>
      </w:r>
      <w:r w:rsidR="00766DFF" w:rsidRPr="00117825">
        <w:rPr>
          <w:color w:val="000000"/>
        </w:rPr>
        <w:t>an object</w:t>
      </w:r>
      <w:r w:rsidR="00E31EA6" w:rsidRPr="00117825">
        <w:rPr>
          <w:color w:val="000000"/>
        </w:rPr>
        <w:t xml:space="preserve"> likely engage in selective attention of information to block out any inconsisten</w:t>
      </w:r>
      <w:r w:rsidR="0045555B" w:rsidRPr="00117825">
        <w:rPr>
          <w:color w:val="000000"/>
        </w:rPr>
        <w:t>cy</w:t>
      </w:r>
      <w:r w:rsidR="00E31EA6" w:rsidRPr="00117825">
        <w:rPr>
          <w:color w:val="000000"/>
        </w:rPr>
        <w:t xml:space="preserve"> </w:t>
      </w:r>
      <w:r w:rsidR="0045555B" w:rsidRPr="00117825">
        <w:rPr>
          <w:color w:val="000000"/>
        </w:rPr>
        <w:t>with</w:t>
      </w:r>
      <w:r w:rsidR="00E31EA6" w:rsidRPr="00117825">
        <w:rPr>
          <w:color w:val="000000"/>
        </w:rPr>
        <w:t xml:space="preserve"> their attitudes (Fazio, 1990). The latter re</w:t>
      </w:r>
      <w:r w:rsidR="0045555B" w:rsidRPr="00117825">
        <w:rPr>
          <w:color w:val="000000"/>
        </w:rPr>
        <w:t xml:space="preserve">flects people’s </w:t>
      </w:r>
      <w:r w:rsidR="00E31EA6" w:rsidRPr="00117825">
        <w:rPr>
          <w:color w:val="000000"/>
        </w:rPr>
        <w:t xml:space="preserve">need to maintain a coherent set of beliefs and </w:t>
      </w:r>
      <w:r w:rsidR="00E31EA6" w:rsidRPr="00117825">
        <w:rPr>
          <w:color w:val="000000"/>
        </w:rPr>
        <w:lastRenderedPageBreak/>
        <w:t>attitudes about objects</w:t>
      </w:r>
      <w:r w:rsidR="0045555B" w:rsidRPr="00117825">
        <w:rPr>
          <w:color w:val="000000"/>
        </w:rPr>
        <w:t xml:space="preserve"> to</w:t>
      </w:r>
      <w:r w:rsidR="00E31EA6" w:rsidRPr="00117825">
        <w:rPr>
          <w:color w:val="000000"/>
        </w:rPr>
        <w:t xml:space="preserve"> appropriately drive information processing and acceptance (Frey, 1986). </w:t>
      </w:r>
    </w:p>
    <w:p w:rsidR="00E31EA6" w:rsidRPr="00117825" w:rsidRDefault="00217369" w:rsidP="00117825">
      <w:pPr>
        <w:tabs>
          <w:tab w:val="left" w:pos="567"/>
        </w:tabs>
        <w:spacing w:line="480" w:lineRule="auto"/>
        <w:rPr>
          <w:color w:val="000000"/>
        </w:rPr>
      </w:pPr>
      <w:r>
        <w:rPr>
          <w:color w:val="000000"/>
        </w:rPr>
        <w:tab/>
      </w:r>
      <w:r w:rsidR="00E31EA6" w:rsidRPr="00117825">
        <w:rPr>
          <w:color w:val="000000"/>
        </w:rPr>
        <w:t>Therefore, consumers with strong attachment</w:t>
      </w:r>
      <w:r w:rsidR="0045555B" w:rsidRPr="00117825">
        <w:rPr>
          <w:color w:val="000000"/>
        </w:rPr>
        <w:t>s to</w:t>
      </w:r>
      <w:r w:rsidR="00E31EA6" w:rsidRPr="00117825">
        <w:rPr>
          <w:color w:val="000000"/>
        </w:rPr>
        <w:t xml:space="preserve"> a retailer are more likely to downplay or reject information that runs counter to their positive </w:t>
      </w:r>
      <w:r w:rsidR="006843CE" w:rsidRPr="00117825">
        <w:rPr>
          <w:color w:val="000000"/>
        </w:rPr>
        <w:t>attitude</w:t>
      </w:r>
      <w:r w:rsidR="0045555B" w:rsidRPr="00117825">
        <w:rPr>
          <w:color w:val="000000"/>
        </w:rPr>
        <w:t>s</w:t>
      </w:r>
      <w:r w:rsidR="00E31EA6" w:rsidRPr="00117825">
        <w:rPr>
          <w:color w:val="000000"/>
        </w:rPr>
        <w:t xml:space="preserve"> </w:t>
      </w:r>
      <w:r w:rsidR="006843CE" w:rsidRPr="00117825">
        <w:rPr>
          <w:color w:val="000000"/>
        </w:rPr>
        <w:t xml:space="preserve">toward </w:t>
      </w:r>
      <w:r w:rsidR="00E31EA6" w:rsidRPr="00117825">
        <w:rPr>
          <w:color w:val="000000"/>
        </w:rPr>
        <w:t xml:space="preserve">the retailer and less likely to accept such information as diagnostic and relevant to their decisions (Ahluwalia, </w:t>
      </w:r>
      <w:proofErr w:type="spellStart"/>
      <w:r w:rsidR="00E31EA6" w:rsidRPr="00117825">
        <w:rPr>
          <w:color w:val="000000"/>
        </w:rPr>
        <w:t>Burnkrant</w:t>
      </w:r>
      <w:proofErr w:type="spellEnd"/>
      <w:r w:rsidR="00E31EA6" w:rsidRPr="00117825">
        <w:rPr>
          <w:color w:val="000000"/>
        </w:rPr>
        <w:t xml:space="preserve">, </w:t>
      </w:r>
      <w:r w:rsidR="00B963CF" w:rsidRPr="00117825">
        <w:rPr>
          <w:color w:val="000000"/>
        </w:rPr>
        <w:t>&amp;</w:t>
      </w:r>
      <w:r w:rsidR="00E31EA6" w:rsidRPr="00117825">
        <w:rPr>
          <w:color w:val="000000"/>
        </w:rPr>
        <w:t xml:space="preserve"> </w:t>
      </w:r>
      <w:proofErr w:type="spellStart"/>
      <w:r w:rsidR="00E31EA6" w:rsidRPr="00117825">
        <w:rPr>
          <w:color w:val="000000"/>
        </w:rPr>
        <w:t>Unnava</w:t>
      </w:r>
      <w:proofErr w:type="spellEnd"/>
      <w:r w:rsidR="00E31EA6" w:rsidRPr="00117825">
        <w:rPr>
          <w:color w:val="000000"/>
        </w:rPr>
        <w:t>, 2000).</w:t>
      </w:r>
      <w:r>
        <w:rPr>
          <w:color w:val="000000"/>
        </w:rPr>
        <w:t xml:space="preserve"> </w:t>
      </w:r>
      <w:r w:rsidR="00E31EA6" w:rsidRPr="00B857E0">
        <w:rPr>
          <w:color w:val="000000"/>
        </w:rPr>
        <w:t>H8</w:t>
      </w:r>
      <w:r w:rsidRPr="00B857E0">
        <w:rPr>
          <w:color w:val="000000"/>
        </w:rPr>
        <w:t>:</w:t>
      </w:r>
      <w:r w:rsidR="00E31EA6" w:rsidRPr="00117825">
        <w:rPr>
          <w:color w:val="000000"/>
        </w:rPr>
        <w:t xml:space="preserve"> Retailer equity relate</w:t>
      </w:r>
      <w:r w:rsidR="0045555B" w:rsidRPr="00117825">
        <w:rPr>
          <w:color w:val="000000"/>
        </w:rPr>
        <w:t>s</w:t>
      </w:r>
      <w:r w:rsidR="00E31EA6" w:rsidRPr="00117825">
        <w:rPr>
          <w:color w:val="000000"/>
        </w:rPr>
        <w:t xml:space="preserve"> positively to resilience to negative information.</w:t>
      </w:r>
    </w:p>
    <w:p w:rsidR="00E31EA6" w:rsidRPr="00117825" w:rsidRDefault="00B857E0" w:rsidP="00B857E0">
      <w:pPr>
        <w:tabs>
          <w:tab w:val="left" w:pos="567"/>
        </w:tabs>
        <w:spacing w:line="480" w:lineRule="auto"/>
        <w:rPr>
          <w:color w:val="000000"/>
        </w:rPr>
      </w:pPr>
      <w:r>
        <w:rPr>
          <w:color w:val="000000"/>
        </w:rPr>
        <w:tab/>
      </w:r>
      <w:r w:rsidR="00217369">
        <w:rPr>
          <w:color w:val="000000"/>
        </w:rPr>
        <w:t>P</w:t>
      </w:r>
      <w:r w:rsidR="00E31EA6" w:rsidRPr="00117825">
        <w:rPr>
          <w:color w:val="000000"/>
        </w:rPr>
        <w:t xml:space="preserve">ositive WOM occurs when customers </w:t>
      </w:r>
      <w:r w:rsidR="00217369">
        <w:rPr>
          <w:color w:val="000000"/>
        </w:rPr>
        <w:t>have high satisfaction</w:t>
      </w:r>
      <w:r w:rsidR="00E31EA6" w:rsidRPr="00117825">
        <w:rPr>
          <w:color w:val="000000"/>
        </w:rPr>
        <w:t xml:space="preserve"> with the company, experience notable and positive emotional experiences, and </w:t>
      </w:r>
      <w:r w:rsidR="00146E78" w:rsidRPr="00117825">
        <w:rPr>
          <w:color w:val="000000"/>
        </w:rPr>
        <w:t>have</w:t>
      </w:r>
      <w:r w:rsidR="00E31EA6" w:rsidRPr="00117825">
        <w:rPr>
          <w:color w:val="000000"/>
        </w:rPr>
        <w:t xml:space="preserve"> high levels of commitment and loyalty (</w:t>
      </w:r>
      <w:r w:rsidR="00F01E87" w:rsidRPr="00117825">
        <w:rPr>
          <w:color w:val="000000"/>
        </w:rPr>
        <w:t xml:space="preserve">Brown, Barry, </w:t>
      </w:r>
      <w:proofErr w:type="spellStart"/>
      <w:r w:rsidR="00F01E87" w:rsidRPr="00117825">
        <w:rPr>
          <w:color w:val="000000"/>
        </w:rPr>
        <w:t>Dacin</w:t>
      </w:r>
      <w:proofErr w:type="spellEnd"/>
      <w:r w:rsidR="00F01E87" w:rsidRPr="00117825">
        <w:rPr>
          <w:color w:val="000000"/>
        </w:rPr>
        <w:t xml:space="preserve">, &amp; </w:t>
      </w:r>
      <w:proofErr w:type="spellStart"/>
      <w:r w:rsidR="00F01E87" w:rsidRPr="00117825">
        <w:rPr>
          <w:color w:val="000000"/>
        </w:rPr>
        <w:t>Gunst</w:t>
      </w:r>
      <w:proofErr w:type="spellEnd"/>
      <w:r w:rsidR="00F01E87" w:rsidRPr="00117825">
        <w:rPr>
          <w:color w:val="000000"/>
        </w:rPr>
        <w:t>, 2005</w:t>
      </w:r>
      <w:r w:rsidR="00E31EA6" w:rsidRPr="00117825">
        <w:rPr>
          <w:color w:val="000000"/>
        </w:rPr>
        <w:t xml:space="preserve">). Consumer-based retailer equity </w:t>
      </w:r>
      <w:r w:rsidR="00EC27F2" w:rsidRPr="00117825">
        <w:rPr>
          <w:color w:val="000000"/>
        </w:rPr>
        <w:t>reflects</w:t>
      </w:r>
      <w:r w:rsidR="00E31EA6" w:rsidRPr="00117825">
        <w:rPr>
          <w:color w:val="000000"/>
        </w:rPr>
        <w:t xml:space="preserve"> </w:t>
      </w:r>
      <w:r w:rsidR="00EC27F2" w:rsidRPr="00117825">
        <w:rPr>
          <w:color w:val="000000"/>
        </w:rPr>
        <w:t xml:space="preserve">a </w:t>
      </w:r>
      <w:r w:rsidR="00E31EA6" w:rsidRPr="00117825">
        <w:rPr>
          <w:color w:val="000000"/>
        </w:rPr>
        <w:t>str</w:t>
      </w:r>
      <w:r w:rsidR="00EC27F2" w:rsidRPr="00117825">
        <w:rPr>
          <w:color w:val="000000"/>
        </w:rPr>
        <w:t xml:space="preserve">ong </w:t>
      </w:r>
      <w:r w:rsidR="00E31EA6" w:rsidRPr="00117825">
        <w:rPr>
          <w:color w:val="000000"/>
        </w:rPr>
        <w:t>relationship between consumer</w:t>
      </w:r>
      <w:r w:rsidR="006733B5" w:rsidRPr="00117825">
        <w:rPr>
          <w:color w:val="000000"/>
        </w:rPr>
        <w:t>s</w:t>
      </w:r>
      <w:r w:rsidR="00E31EA6" w:rsidRPr="00117825">
        <w:rPr>
          <w:color w:val="000000"/>
        </w:rPr>
        <w:t xml:space="preserve"> and a retailer (</w:t>
      </w:r>
      <w:proofErr w:type="spellStart"/>
      <w:r w:rsidR="00E31EA6" w:rsidRPr="00117825">
        <w:rPr>
          <w:color w:val="000000"/>
        </w:rPr>
        <w:t>Yoo</w:t>
      </w:r>
      <w:proofErr w:type="spellEnd"/>
      <w:r w:rsidR="00E31EA6" w:rsidRPr="00117825">
        <w:rPr>
          <w:color w:val="000000"/>
        </w:rPr>
        <w:t xml:space="preserve"> et al., 2000). </w:t>
      </w:r>
      <w:r w:rsidR="0045555B" w:rsidRPr="00117825">
        <w:rPr>
          <w:color w:val="000000"/>
        </w:rPr>
        <w:t xml:space="preserve">Such equity </w:t>
      </w:r>
      <w:r w:rsidR="00E31EA6" w:rsidRPr="00117825">
        <w:rPr>
          <w:color w:val="000000"/>
        </w:rPr>
        <w:t xml:space="preserve">prompts consumers to give favorable recommendations of the company to </w:t>
      </w:r>
      <w:r w:rsidR="00EE68CE" w:rsidRPr="00117825">
        <w:rPr>
          <w:color w:val="000000"/>
        </w:rPr>
        <w:t>others</w:t>
      </w:r>
      <w:r w:rsidR="00E31EA6" w:rsidRPr="00117825">
        <w:rPr>
          <w:color w:val="000000"/>
        </w:rPr>
        <w:t xml:space="preserve"> in their reference group. When consumers have a superior experience, they are likely to spread positive WOM to project a better image about themselves and their choices, reduce potential post</w:t>
      </w:r>
      <w:r w:rsidR="0045555B" w:rsidRPr="00117825">
        <w:rPr>
          <w:color w:val="000000"/>
        </w:rPr>
        <w:t>-</w:t>
      </w:r>
      <w:r w:rsidR="00E31EA6" w:rsidRPr="00117825">
        <w:rPr>
          <w:color w:val="000000"/>
        </w:rPr>
        <w:t>purchase anxiety or dissonance, express their concern about others, and help</w:t>
      </w:r>
      <w:r w:rsidR="006843CE" w:rsidRPr="00117825">
        <w:rPr>
          <w:color w:val="000000"/>
        </w:rPr>
        <w:t xml:space="preserve"> others </w:t>
      </w:r>
      <w:r w:rsidR="00E31EA6" w:rsidRPr="00117825">
        <w:rPr>
          <w:color w:val="000000"/>
        </w:rPr>
        <w:t>make more informed choices (</w:t>
      </w:r>
      <w:r w:rsidR="0045555B" w:rsidRPr="00117825">
        <w:rPr>
          <w:color w:val="000000"/>
        </w:rPr>
        <w:t>D</w:t>
      </w:r>
      <w:r w:rsidR="006843CE" w:rsidRPr="00117825">
        <w:rPr>
          <w:color w:val="000000"/>
        </w:rPr>
        <w:t xml:space="preserve">e Matos &amp; Rossi, 2008; </w:t>
      </w:r>
      <w:proofErr w:type="spellStart"/>
      <w:r w:rsidR="00E31EA6" w:rsidRPr="00117825">
        <w:rPr>
          <w:color w:val="000000"/>
        </w:rPr>
        <w:t>Ryu</w:t>
      </w:r>
      <w:proofErr w:type="spellEnd"/>
      <w:r w:rsidR="00E31EA6" w:rsidRPr="00117825">
        <w:rPr>
          <w:color w:val="000000"/>
        </w:rPr>
        <w:t xml:space="preserve"> </w:t>
      </w:r>
      <w:r w:rsidR="00B963CF" w:rsidRPr="00117825">
        <w:rPr>
          <w:color w:val="000000"/>
        </w:rPr>
        <w:t>&amp;</w:t>
      </w:r>
      <w:r w:rsidR="00E31EA6" w:rsidRPr="00117825">
        <w:rPr>
          <w:color w:val="000000"/>
        </w:rPr>
        <w:t xml:space="preserve"> </w:t>
      </w:r>
      <w:proofErr w:type="spellStart"/>
      <w:r w:rsidR="00E31EA6" w:rsidRPr="00117825">
        <w:rPr>
          <w:color w:val="000000"/>
        </w:rPr>
        <w:t>Feick</w:t>
      </w:r>
      <w:proofErr w:type="spellEnd"/>
      <w:r w:rsidR="00E31EA6" w:rsidRPr="00117825">
        <w:rPr>
          <w:color w:val="000000"/>
        </w:rPr>
        <w:t xml:space="preserve">, 2007). </w:t>
      </w:r>
      <w:r w:rsidR="00E31EA6" w:rsidRPr="00B857E0">
        <w:rPr>
          <w:color w:val="000000"/>
        </w:rPr>
        <w:t>H9</w:t>
      </w:r>
      <w:r w:rsidR="00217369" w:rsidRPr="00515720">
        <w:rPr>
          <w:color w:val="000000"/>
        </w:rPr>
        <w:t>:</w:t>
      </w:r>
      <w:r w:rsidR="00E31EA6" w:rsidRPr="00117825">
        <w:rPr>
          <w:color w:val="000000"/>
        </w:rPr>
        <w:t xml:space="preserve"> Retailer equit</w:t>
      </w:r>
      <w:r w:rsidR="00A25BD8" w:rsidRPr="00117825">
        <w:rPr>
          <w:color w:val="000000"/>
        </w:rPr>
        <w:t>y relate</w:t>
      </w:r>
      <w:r w:rsidR="0045555B" w:rsidRPr="00117825">
        <w:rPr>
          <w:color w:val="000000"/>
        </w:rPr>
        <w:t>s</w:t>
      </w:r>
      <w:r w:rsidR="00A25BD8" w:rsidRPr="00117825">
        <w:rPr>
          <w:color w:val="000000"/>
        </w:rPr>
        <w:t xml:space="preserve"> positively to </w:t>
      </w:r>
      <w:r w:rsidR="00A21F6A" w:rsidRPr="00117825">
        <w:rPr>
          <w:color w:val="000000"/>
        </w:rPr>
        <w:t>WOM</w:t>
      </w:r>
      <w:r w:rsidR="00E31EA6" w:rsidRPr="00117825">
        <w:rPr>
          <w:color w:val="000000"/>
        </w:rPr>
        <w:t>.</w:t>
      </w:r>
    </w:p>
    <w:p w:rsidR="00835290" w:rsidRPr="00117825" w:rsidRDefault="00835290" w:rsidP="00117825">
      <w:pPr>
        <w:tabs>
          <w:tab w:val="left" w:pos="567"/>
        </w:tabs>
        <w:spacing w:line="480" w:lineRule="auto"/>
        <w:rPr>
          <w:color w:val="000000"/>
        </w:rPr>
      </w:pPr>
    </w:p>
    <w:p w:rsidR="00DA0F4B" w:rsidRPr="00117825" w:rsidRDefault="00472155" w:rsidP="00117825">
      <w:pPr>
        <w:tabs>
          <w:tab w:val="left" w:pos="284"/>
        </w:tabs>
        <w:spacing w:line="480" w:lineRule="auto"/>
        <w:outlineLvl w:val="0"/>
        <w:rPr>
          <w:b/>
          <w:color w:val="000000"/>
        </w:rPr>
      </w:pPr>
      <w:r w:rsidRPr="00117825">
        <w:rPr>
          <w:b/>
          <w:color w:val="000000"/>
        </w:rPr>
        <w:t>3</w:t>
      </w:r>
      <w:r w:rsidR="00DA0F4B" w:rsidRPr="00117825">
        <w:rPr>
          <w:b/>
          <w:color w:val="000000"/>
        </w:rPr>
        <w:t>. Method</w:t>
      </w:r>
    </w:p>
    <w:p w:rsidR="00DA0F4B" w:rsidRPr="00117825" w:rsidRDefault="00472155" w:rsidP="00117825">
      <w:pPr>
        <w:tabs>
          <w:tab w:val="left" w:pos="284"/>
          <w:tab w:val="left" w:pos="720"/>
        </w:tabs>
        <w:spacing w:line="480" w:lineRule="auto"/>
        <w:outlineLvl w:val="0"/>
        <w:rPr>
          <w:i/>
          <w:color w:val="000000"/>
        </w:rPr>
      </w:pPr>
      <w:r w:rsidRPr="00117825">
        <w:rPr>
          <w:i/>
          <w:color w:val="000000"/>
        </w:rPr>
        <w:t>3</w:t>
      </w:r>
      <w:r w:rsidR="00DA0F4B" w:rsidRPr="00117825">
        <w:rPr>
          <w:i/>
          <w:color w:val="000000"/>
        </w:rPr>
        <w:t>.1</w:t>
      </w:r>
      <w:r w:rsidR="0045555B" w:rsidRPr="00117825">
        <w:rPr>
          <w:i/>
          <w:color w:val="000000"/>
        </w:rPr>
        <w:t>.</w:t>
      </w:r>
      <w:r w:rsidR="00DA0F4B" w:rsidRPr="00117825">
        <w:rPr>
          <w:i/>
          <w:color w:val="000000"/>
        </w:rPr>
        <w:t xml:space="preserve"> Sampling</w:t>
      </w:r>
    </w:p>
    <w:p w:rsidR="00217369" w:rsidRDefault="00B857E0" w:rsidP="00117825">
      <w:pPr>
        <w:tabs>
          <w:tab w:val="left" w:pos="567"/>
        </w:tabs>
        <w:spacing w:line="480" w:lineRule="auto"/>
        <w:outlineLvl w:val="0"/>
        <w:rPr>
          <w:color w:val="000000"/>
        </w:rPr>
      </w:pPr>
      <w:r>
        <w:rPr>
          <w:color w:val="000000"/>
        </w:rPr>
        <w:tab/>
      </w:r>
      <w:r w:rsidR="00DA0F4B" w:rsidRPr="00117825">
        <w:rPr>
          <w:color w:val="000000"/>
        </w:rPr>
        <w:t>The data collection procedure for the study was an online survey using the subject pool Amazon Mechanical Turk, which is a novel online marketplace for collecting high-quality data quickly and f</w:t>
      </w:r>
      <w:r w:rsidR="003926D0" w:rsidRPr="00117825">
        <w:rPr>
          <w:color w:val="000000"/>
        </w:rPr>
        <w:t>airly inexpensively (</w:t>
      </w:r>
      <w:proofErr w:type="spellStart"/>
      <w:r w:rsidR="003926D0" w:rsidRPr="00117825">
        <w:rPr>
          <w:color w:val="000000"/>
        </w:rPr>
        <w:t>Buhrmester</w:t>
      </w:r>
      <w:proofErr w:type="spellEnd"/>
      <w:r w:rsidR="003926D0" w:rsidRPr="00117825">
        <w:rPr>
          <w:color w:val="000000"/>
        </w:rPr>
        <w:t xml:space="preserve">, </w:t>
      </w:r>
      <w:proofErr w:type="spellStart"/>
      <w:r w:rsidR="003926D0" w:rsidRPr="00117825">
        <w:rPr>
          <w:bCs/>
          <w:color w:val="000000"/>
        </w:rPr>
        <w:t>Kwang</w:t>
      </w:r>
      <w:proofErr w:type="spellEnd"/>
      <w:r w:rsidR="003926D0" w:rsidRPr="00117825">
        <w:rPr>
          <w:bCs/>
          <w:color w:val="000000"/>
        </w:rPr>
        <w:t xml:space="preserve">, </w:t>
      </w:r>
      <w:r w:rsidR="00B963CF" w:rsidRPr="00117825">
        <w:rPr>
          <w:bCs/>
          <w:color w:val="000000"/>
        </w:rPr>
        <w:t xml:space="preserve">&amp; </w:t>
      </w:r>
      <w:r w:rsidR="003926D0" w:rsidRPr="00117825">
        <w:rPr>
          <w:bCs/>
          <w:color w:val="000000"/>
        </w:rPr>
        <w:t>Gosling,</w:t>
      </w:r>
      <w:r w:rsidR="003926D0" w:rsidRPr="00117825">
        <w:rPr>
          <w:color w:val="000000"/>
        </w:rPr>
        <w:t xml:space="preserve"> </w:t>
      </w:r>
      <w:r w:rsidR="00DA0F4B" w:rsidRPr="00117825">
        <w:rPr>
          <w:color w:val="000000"/>
        </w:rPr>
        <w:t xml:space="preserve">2011). Respondents needed to have an Internet Protocol address within the United States, to be </w:t>
      </w:r>
      <w:r w:rsidR="0045555B" w:rsidRPr="00117825">
        <w:rPr>
          <w:color w:val="000000"/>
        </w:rPr>
        <w:t xml:space="preserve">at least </w:t>
      </w:r>
      <w:r w:rsidR="00DA0F4B" w:rsidRPr="00117825">
        <w:rPr>
          <w:color w:val="000000"/>
        </w:rPr>
        <w:t xml:space="preserve">21 years </w:t>
      </w:r>
      <w:r w:rsidR="0045555B" w:rsidRPr="00117825">
        <w:rPr>
          <w:color w:val="000000"/>
        </w:rPr>
        <w:t>of age</w:t>
      </w:r>
      <w:r w:rsidR="00DA0F4B" w:rsidRPr="00117825">
        <w:rPr>
          <w:color w:val="000000"/>
        </w:rPr>
        <w:t>, and to have successfully completed a high percentage of prior tasks</w:t>
      </w:r>
      <w:r w:rsidR="00DA0F4B" w:rsidRPr="00117825">
        <w:t xml:space="preserve"> </w:t>
      </w:r>
      <w:r w:rsidR="00DA0F4B" w:rsidRPr="00117825">
        <w:rPr>
          <w:color w:val="000000"/>
        </w:rPr>
        <w:t xml:space="preserve">to participate in the </w:t>
      </w:r>
      <w:r w:rsidR="00DA0F4B" w:rsidRPr="00117825">
        <w:rPr>
          <w:color w:val="000000"/>
        </w:rPr>
        <w:lastRenderedPageBreak/>
        <w:t xml:space="preserve">survey. </w:t>
      </w:r>
      <w:r w:rsidR="0045555B" w:rsidRPr="00117825">
        <w:rPr>
          <w:color w:val="000000"/>
        </w:rPr>
        <w:t>B</w:t>
      </w:r>
      <w:r w:rsidR="00DA0F4B" w:rsidRPr="00117825">
        <w:rPr>
          <w:color w:val="000000"/>
        </w:rPr>
        <w:t xml:space="preserve">udget constraints (i.e., informants received the equivalent of </w:t>
      </w:r>
      <w:r w:rsidR="00DF02D7" w:rsidRPr="00117825">
        <w:rPr>
          <w:color w:val="000000"/>
        </w:rPr>
        <w:t xml:space="preserve">approximately </w:t>
      </w:r>
      <w:r w:rsidR="00DA0F4B" w:rsidRPr="00117825">
        <w:rPr>
          <w:color w:val="000000"/>
        </w:rPr>
        <w:t>$10 per hour for their participation)</w:t>
      </w:r>
      <w:r w:rsidR="0045555B" w:rsidRPr="00117825">
        <w:rPr>
          <w:color w:val="000000"/>
        </w:rPr>
        <w:t xml:space="preserve"> limited </w:t>
      </w:r>
      <w:r w:rsidR="00C96D14" w:rsidRPr="00117825">
        <w:rPr>
          <w:color w:val="000000"/>
        </w:rPr>
        <w:t>access</w:t>
      </w:r>
      <w:r w:rsidR="00DA0F4B" w:rsidRPr="00117825">
        <w:rPr>
          <w:color w:val="000000"/>
        </w:rPr>
        <w:t xml:space="preserve"> to </w:t>
      </w:r>
      <w:r w:rsidR="005730A9" w:rsidRPr="00117825">
        <w:rPr>
          <w:color w:val="000000"/>
        </w:rPr>
        <w:t xml:space="preserve">the online survey </w:t>
      </w:r>
      <w:r w:rsidR="00DA0F4B" w:rsidRPr="00117825">
        <w:rPr>
          <w:color w:val="000000"/>
        </w:rPr>
        <w:t xml:space="preserve">to a total of 520 </w:t>
      </w:r>
      <w:r w:rsidR="00DF02D7" w:rsidRPr="00117825">
        <w:rPr>
          <w:color w:val="000000"/>
        </w:rPr>
        <w:t>respondents</w:t>
      </w:r>
      <w:r w:rsidR="005F1BE8" w:rsidRPr="00117825">
        <w:rPr>
          <w:color w:val="000000"/>
        </w:rPr>
        <w:t xml:space="preserve">. </w:t>
      </w:r>
      <w:r w:rsidR="00DA0F4B" w:rsidRPr="00117825">
        <w:rPr>
          <w:color w:val="000000"/>
        </w:rPr>
        <w:t xml:space="preserve"> </w:t>
      </w:r>
    </w:p>
    <w:p w:rsidR="00DA0F4B" w:rsidRPr="00117825" w:rsidRDefault="00217369" w:rsidP="00117825">
      <w:pPr>
        <w:tabs>
          <w:tab w:val="left" w:pos="567"/>
        </w:tabs>
        <w:spacing w:line="480" w:lineRule="auto"/>
        <w:outlineLvl w:val="0"/>
        <w:rPr>
          <w:color w:val="000000"/>
        </w:rPr>
      </w:pPr>
      <w:r>
        <w:rPr>
          <w:color w:val="000000"/>
        </w:rPr>
        <w:tab/>
      </w:r>
      <w:r w:rsidR="00DA0F4B" w:rsidRPr="00117825">
        <w:rPr>
          <w:color w:val="000000"/>
        </w:rPr>
        <w:t xml:space="preserve">However, four of these </w:t>
      </w:r>
      <w:r w:rsidR="00DF02D7" w:rsidRPr="00117825">
        <w:rPr>
          <w:color w:val="000000"/>
        </w:rPr>
        <w:t xml:space="preserve">were eliminated </w:t>
      </w:r>
      <w:r w:rsidR="00DA0F4B" w:rsidRPr="00117825">
        <w:rPr>
          <w:color w:val="000000"/>
        </w:rPr>
        <w:t xml:space="preserve">because of incomplete data and another 12 because respondents did not rate the scenario provided as realistic (see next section). Thus, </w:t>
      </w:r>
      <w:r w:rsidR="006843CE" w:rsidRPr="00117825">
        <w:rPr>
          <w:color w:val="000000"/>
        </w:rPr>
        <w:t xml:space="preserve">the </w:t>
      </w:r>
      <w:r w:rsidR="00DA0F4B" w:rsidRPr="00117825">
        <w:rPr>
          <w:color w:val="000000"/>
        </w:rPr>
        <w:t>final sample consisted of 504 respondents</w:t>
      </w:r>
      <w:r w:rsidR="00DF02D7" w:rsidRPr="00117825">
        <w:rPr>
          <w:color w:val="000000"/>
        </w:rPr>
        <w:t>,</w:t>
      </w:r>
      <w:r w:rsidR="00DA0F4B" w:rsidRPr="00117825">
        <w:rPr>
          <w:color w:val="000000"/>
        </w:rPr>
        <w:t xml:space="preserve"> 43% </w:t>
      </w:r>
      <w:r w:rsidR="00DF02D7" w:rsidRPr="00117825">
        <w:rPr>
          <w:color w:val="000000"/>
        </w:rPr>
        <w:t xml:space="preserve">of whom </w:t>
      </w:r>
      <w:r w:rsidR="00DA0F4B" w:rsidRPr="00117825">
        <w:rPr>
          <w:color w:val="000000"/>
        </w:rPr>
        <w:t>were male. Respondents varied considerably in terms of age (21</w:t>
      </w:r>
      <w:r w:rsidR="00DF02D7" w:rsidRPr="00117825">
        <w:rPr>
          <w:color w:val="000000"/>
        </w:rPr>
        <w:t>–</w:t>
      </w:r>
      <w:r w:rsidR="00DA0F4B" w:rsidRPr="00117825">
        <w:rPr>
          <w:color w:val="000000"/>
        </w:rPr>
        <w:t>24</w:t>
      </w:r>
      <w:r w:rsidR="00DF02D7" w:rsidRPr="00117825">
        <w:rPr>
          <w:color w:val="000000"/>
        </w:rPr>
        <w:t>:</w:t>
      </w:r>
      <w:r w:rsidR="00DA0F4B" w:rsidRPr="00117825">
        <w:rPr>
          <w:color w:val="000000"/>
        </w:rPr>
        <w:t xml:space="preserve"> 19.</w:t>
      </w:r>
      <w:r w:rsidR="00B70088" w:rsidRPr="00117825">
        <w:rPr>
          <w:color w:val="000000"/>
        </w:rPr>
        <w:t>7</w:t>
      </w:r>
      <w:r w:rsidR="00DA0F4B" w:rsidRPr="00117825">
        <w:rPr>
          <w:color w:val="000000"/>
        </w:rPr>
        <w:t>%; 25</w:t>
      </w:r>
      <w:r w:rsidR="00DF02D7" w:rsidRPr="00117825">
        <w:rPr>
          <w:color w:val="000000"/>
        </w:rPr>
        <w:t>–</w:t>
      </w:r>
      <w:r w:rsidR="00DA0F4B" w:rsidRPr="00117825">
        <w:rPr>
          <w:color w:val="000000"/>
        </w:rPr>
        <w:t>34</w:t>
      </w:r>
      <w:r w:rsidR="00DF02D7" w:rsidRPr="00117825">
        <w:rPr>
          <w:color w:val="000000"/>
        </w:rPr>
        <w:t>:</w:t>
      </w:r>
      <w:r w:rsidR="00DA0F4B" w:rsidRPr="00117825">
        <w:rPr>
          <w:color w:val="000000"/>
        </w:rPr>
        <w:t xml:space="preserve"> 35.3%; 35</w:t>
      </w:r>
      <w:r w:rsidR="00DF02D7" w:rsidRPr="00117825">
        <w:rPr>
          <w:color w:val="000000"/>
        </w:rPr>
        <w:t>–</w:t>
      </w:r>
      <w:r w:rsidR="00DA0F4B" w:rsidRPr="00117825">
        <w:rPr>
          <w:color w:val="000000"/>
        </w:rPr>
        <w:t>44</w:t>
      </w:r>
      <w:r w:rsidR="00DF02D7" w:rsidRPr="00117825">
        <w:rPr>
          <w:color w:val="000000"/>
        </w:rPr>
        <w:t>:</w:t>
      </w:r>
      <w:r w:rsidR="00DA0F4B" w:rsidRPr="00117825">
        <w:rPr>
          <w:color w:val="000000"/>
        </w:rPr>
        <w:t xml:space="preserve"> 19.6%; 45</w:t>
      </w:r>
      <w:r w:rsidR="00DF02D7" w:rsidRPr="00117825">
        <w:rPr>
          <w:color w:val="000000"/>
        </w:rPr>
        <w:t>–</w:t>
      </w:r>
      <w:r w:rsidR="00DA0F4B" w:rsidRPr="00117825">
        <w:rPr>
          <w:color w:val="000000"/>
        </w:rPr>
        <w:t>54</w:t>
      </w:r>
      <w:r w:rsidR="00DF02D7" w:rsidRPr="00117825">
        <w:rPr>
          <w:color w:val="000000"/>
        </w:rPr>
        <w:t>:</w:t>
      </w:r>
      <w:r w:rsidR="00DA0F4B" w:rsidRPr="00117825">
        <w:rPr>
          <w:color w:val="000000"/>
        </w:rPr>
        <w:t xml:space="preserve"> 15.5%; ≥55</w:t>
      </w:r>
      <w:r w:rsidR="00DF02D7" w:rsidRPr="00117825">
        <w:rPr>
          <w:color w:val="000000"/>
        </w:rPr>
        <w:t>:</w:t>
      </w:r>
      <w:r w:rsidR="00DA0F4B" w:rsidRPr="00117825">
        <w:rPr>
          <w:color w:val="000000"/>
        </w:rPr>
        <w:t xml:space="preserve"> 9.9%), occupation (employed</w:t>
      </w:r>
      <w:r w:rsidR="00DF02D7" w:rsidRPr="00117825">
        <w:rPr>
          <w:color w:val="000000"/>
        </w:rPr>
        <w:t>:</w:t>
      </w:r>
      <w:r w:rsidR="00DA0F4B" w:rsidRPr="00117825">
        <w:rPr>
          <w:color w:val="000000"/>
        </w:rPr>
        <w:t xml:space="preserve"> 45.4%; student</w:t>
      </w:r>
      <w:r w:rsidR="00DF02D7" w:rsidRPr="00117825">
        <w:rPr>
          <w:color w:val="000000"/>
        </w:rPr>
        <w:t>:</w:t>
      </w:r>
      <w:r w:rsidR="00DA0F4B" w:rsidRPr="00117825">
        <w:rPr>
          <w:color w:val="000000"/>
        </w:rPr>
        <w:t xml:space="preserve"> 13.5%; self-employed</w:t>
      </w:r>
      <w:r w:rsidR="00DF02D7" w:rsidRPr="00117825">
        <w:rPr>
          <w:color w:val="000000"/>
        </w:rPr>
        <w:t>:</w:t>
      </w:r>
      <w:r w:rsidR="00DA0F4B" w:rsidRPr="00117825">
        <w:rPr>
          <w:color w:val="000000"/>
        </w:rPr>
        <w:t xml:space="preserve"> 13.3%; unemployed</w:t>
      </w:r>
      <w:r w:rsidR="00DF02D7" w:rsidRPr="00117825">
        <w:rPr>
          <w:color w:val="000000"/>
        </w:rPr>
        <w:t>:</w:t>
      </w:r>
      <w:r w:rsidR="00DA0F4B" w:rsidRPr="00117825">
        <w:rPr>
          <w:color w:val="000000"/>
        </w:rPr>
        <w:t xml:space="preserve"> 11.7%; housework</w:t>
      </w:r>
      <w:r w:rsidR="00DF02D7" w:rsidRPr="00117825">
        <w:rPr>
          <w:color w:val="000000"/>
        </w:rPr>
        <w:t>:</w:t>
      </w:r>
      <w:r w:rsidR="00DA0F4B" w:rsidRPr="00117825">
        <w:rPr>
          <w:color w:val="000000"/>
        </w:rPr>
        <w:t xml:space="preserve"> 9.9%</w:t>
      </w:r>
      <w:r w:rsidR="00F2354D" w:rsidRPr="00117825">
        <w:rPr>
          <w:color w:val="000000"/>
        </w:rPr>
        <w:t>; retired</w:t>
      </w:r>
      <w:r w:rsidR="00DF02D7" w:rsidRPr="00117825">
        <w:rPr>
          <w:color w:val="000000"/>
        </w:rPr>
        <w:t>:</w:t>
      </w:r>
      <w:r w:rsidR="00F2354D" w:rsidRPr="00117825">
        <w:rPr>
          <w:color w:val="000000"/>
        </w:rPr>
        <w:t xml:space="preserve"> 4.3%</w:t>
      </w:r>
      <w:r w:rsidR="00DA0F4B" w:rsidRPr="00117825">
        <w:rPr>
          <w:color w:val="000000"/>
        </w:rPr>
        <w:t>), and shopping frequency (every month</w:t>
      </w:r>
      <w:r w:rsidR="00DF02D7" w:rsidRPr="00117825">
        <w:rPr>
          <w:color w:val="000000"/>
        </w:rPr>
        <w:t xml:space="preserve">: </w:t>
      </w:r>
      <w:r w:rsidR="00DA0F4B" w:rsidRPr="00117825">
        <w:rPr>
          <w:color w:val="000000"/>
        </w:rPr>
        <w:t>10.7%; every two weeks</w:t>
      </w:r>
      <w:r w:rsidR="00DF02D7" w:rsidRPr="00117825">
        <w:rPr>
          <w:color w:val="000000"/>
        </w:rPr>
        <w:t>:</w:t>
      </w:r>
      <w:r w:rsidR="00DA0F4B" w:rsidRPr="00117825">
        <w:rPr>
          <w:color w:val="000000"/>
        </w:rPr>
        <w:t xml:space="preserve"> 22.2%; every week</w:t>
      </w:r>
      <w:r w:rsidR="00DF02D7" w:rsidRPr="00117825">
        <w:rPr>
          <w:color w:val="000000"/>
        </w:rPr>
        <w:t>:</w:t>
      </w:r>
      <w:r w:rsidR="00DA0F4B" w:rsidRPr="00117825">
        <w:rPr>
          <w:color w:val="000000"/>
        </w:rPr>
        <w:t xml:space="preserve"> 45.4%; two or three days per week</w:t>
      </w:r>
      <w:r w:rsidR="00DF02D7" w:rsidRPr="00117825">
        <w:rPr>
          <w:color w:val="000000"/>
        </w:rPr>
        <w:t>:</w:t>
      </w:r>
      <w:r w:rsidR="00DA0F4B" w:rsidRPr="00117825">
        <w:rPr>
          <w:color w:val="000000"/>
        </w:rPr>
        <w:t xml:space="preserve"> 19.2%).</w:t>
      </w:r>
    </w:p>
    <w:p w:rsidR="00DA0F4B" w:rsidRPr="00117825" w:rsidRDefault="00472155" w:rsidP="00117825">
      <w:pPr>
        <w:tabs>
          <w:tab w:val="left" w:pos="284"/>
          <w:tab w:val="left" w:pos="720"/>
        </w:tabs>
        <w:spacing w:line="480" w:lineRule="auto"/>
        <w:outlineLvl w:val="0"/>
        <w:rPr>
          <w:i/>
          <w:color w:val="000000"/>
        </w:rPr>
      </w:pPr>
      <w:r w:rsidRPr="00117825">
        <w:rPr>
          <w:i/>
          <w:color w:val="000000"/>
        </w:rPr>
        <w:t>3</w:t>
      </w:r>
      <w:r w:rsidR="00DA0F4B" w:rsidRPr="00117825">
        <w:rPr>
          <w:i/>
          <w:color w:val="000000"/>
        </w:rPr>
        <w:t>.2</w:t>
      </w:r>
      <w:r w:rsidR="00DF02D7" w:rsidRPr="00117825">
        <w:rPr>
          <w:i/>
          <w:color w:val="000000"/>
        </w:rPr>
        <w:t>.</w:t>
      </w:r>
      <w:r w:rsidR="00DA0F4B" w:rsidRPr="00117825">
        <w:rPr>
          <w:i/>
          <w:color w:val="000000"/>
        </w:rPr>
        <w:t xml:space="preserve"> Questionnaire development </w:t>
      </w:r>
    </w:p>
    <w:p w:rsidR="00DA0F4B" w:rsidRPr="00117825" w:rsidRDefault="00B857E0" w:rsidP="00117825">
      <w:pPr>
        <w:tabs>
          <w:tab w:val="left" w:pos="567"/>
        </w:tabs>
        <w:spacing w:line="480" w:lineRule="auto"/>
        <w:rPr>
          <w:color w:val="000000"/>
        </w:rPr>
      </w:pPr>
      <w:r>
        <w:rPr>
          <w:color w:val="000000"/>
          <w:lang w:eastAsia="el-GR"/>
        </w:rPr>
        <w:tab/>
      </w:r>
      <w:r w:rsidR="00DF02D7" w:rsidRPr="00117825">
        <w:rPr>
          <w:color w:val="000000"/>
          <w:lang w:eastAsia="el-GR"/>
        </w:rPr>
        <w:t>A</w:t>
      </w:r>
      <w:r w:rsidR="00DA0F4B" w:rsidRPr="00117825">
        <w:rPr>
          <w:color w:val="000000"/>
          <w:lang w:eastAsia="el-GR"/>
        </w:rPr>
        <w:t xml:space="preserve"> thorough review of the pertinent literature </w:t>
      </w:r>
      <w:r w:rsidR="00BD36A1" w:rsidRPr="00117825">
        <w:rPr>
          <w:color w:val="000000"/>
          <w:lang w:eastAsia="el-GR"/>
        </w:rPr>
        <w:t xml:space="preserve">together </w:t>
      </w:r>
      <w:r w:rsidR="00DA0F4B" w:rsidRPr="00117825">
        <w:rPr>
          <w:color w:val="000000"/>
          <w:lang w:eastAsia="el-GR"/>
        </w:rPr>
        <w:t xml:space="preserve">with interviews with </w:t>
      </w:r>
      <w:r w:rsidR="00DA0F4B" w:rsidRPr="00117825">
        <w:rPr>
          <w:color w:val="000000"/>
        </w:rPr>
        <w:t xml:space="preserve">consumers </w:t>
      </w:r>
      <w:r w:rsidR="00DF02D7" w:rsidRPr="00117825">
        <w:rPr>
          <w:color w:val="000000"/>
          <w:lang w:eastAsia="el-GR"/>
        </w:rPr>
        <w:t xml:space="preserve">helped </w:t>
      </w:r>
      <w:r w:rsidR="00DA0F4B" w:rsidRPr="00117825">
        <w:rPr>
          <w:color w:val="000000"/>
          <w:lang w:eastAsia="el-GR"/>
        </w:rPr>
        <w:t>specify the conceptual domain of each construct and operationalize them</w:t>
      </w:r>
      <w:r w:rsidR="00DF02D7" w:rsidRPr="00117825">
        <w:rPr>
          <w:color w:val="000000"/>
          <w:lang w:eastAsia="el-GR"/>
        </w:rPr>
        <w:t xml:space="preserve"> effectively</w:t>
      </w:r>
      <w:r w:rsidR="00DA0F4B" w:rsidRPr="00117825">
        <w:rPr>
          <w:color w:val="000000"/>
        </w:rPr>
        <w:t xml:space="preserve">. </w:t>
      </w:r>
      <w:r w:rsidR="00DF02D7" w:rsidRPr="00117825">
        <w:rPr>
          <w:color w:val="000000"/>
        </w:rPr>
        <w:t>A</w:t>
      </w:r>
      <w:r w:rsidR="00DA0F4B" w:rsidRPr="00117825">
        <w:rPr>
          <w:color w:val="000000"/>
        </w:rPr>
        <w:t xml:space="preserve"> draft </w:t>
      </w:r>
      <w:r w:rsidR="00DA0F4B" w:rsidRPr="00117825">
        <w:rPr>
          <w:color w:val="000000"/>
          <w:lang w:eastAsia="el-GR"/>
        </w:rPr>
        <w:t xml:space="preserve">questionnaire </w:t>
      </w:r>
      <w:r w:rsidR="00DF02D7" w:rsidRPr="00117825">
        <w:rPr>
          <w:color w:val="000000"/>
          <w:lang w:eastAsia="el-GR"/>
        </w:rPr>
        <w:t xml:space="preserve">was developed, </w:t>
      </w:r>
      <w:r w:rsidR="00DA0F4B" w:rsidRPr="00117825">
        <w:rPr>
          <w:color w:val="000000"/>
          <w:lang w:eastAsia="el-GR"/>
        </w:rPr>
        <w:t>and</w:t>
      </w:r>
      <w:r w:rsidR="00DA0F4B" w:rsidRPr="00117825">
        <w:rPr>
          <w:color w:val="000000"/>
        </w:rPr>
        <w:t xml:space="preserve"> three academics with a background in CSR and/or consumer behavior assessed </w:t>
      </w:r>
      <w:r w:rsidR="00360735" w:rsidRPr="00117825">
        <w:rPr>
          <w:color w:val="000000"/>
        </w:rPr>
        <w:t xml:space="preserve">the face and content validity of the measures. </w:t>
      </w:r>
      <w:r w:rsidR="00DF02D7" w:rsidRPr="00117825">
        <w:rPr>
          <w:color w:val="000000"/>
        </w:rPr>
        <w:t>In addition</w:t>
      </w:r>
      <w:r w:rsidR="00DA0F4B" w:rsidRPr="00117825">
        <w:rPr>
          <w:color w:val="000000"/>
        </w:rPr>
        <w:t xml:space="preserve">, eight doctoral students in the areas of management and marketing tested the revised questionnaire to ensure readability and </w:t>
      </w:r>
      <w:r w:rsidR="00360735" w:rsidRPr="00117825">
        <w:rPr>
          <w:color w:val="000000"/>
        </w:rPr>
        <w:t>clarity</w:t>
      </w:r>
      <w:r w:rsidR="00DA0F4B" w:rsidRPr="00117825">
        <w:rPr>
          <w:color w:val="000000"/>
        </w:rPr>
        <w:t xml:space="preserve">. Next, the </w:t>
      </w:r>
      <w:r w:rsidR="00DF02D7" w:rsidRPr="00117825">
        <w:rPr>
          <w:color w:val="000000"/>
        </w:rPr>
        <w:t xml:space="preserve">students participated in </w:t>
      </w:r>
      <w:r w:rsidR="00DA0F4B" w:rsidRPr="00117825">
        <w:rPr>
          <w:color w:val="000000"/>
        </w:rPr>
        <w:t xml:space="preserve">a pilot study. The results did not </w:t>
      </w:r>
      <w:r w:rsidR="00DA0F4B" w:rsidRPr="00117825">
        <w:rPr>
          <w:color w:val="000000"/>
          <w:lang w:eastAsia="el-GR"/>
        </w:rPr>
        <w:t xml:space="preserve">reveal any problems with respect to </w:t>
      </w:r>
      <w:r w:rsidR="00DA0F4B" w:rsidRPr="00117825">
        <w:rPr>
          <w:color w:val="000000"/>
        </w:rPr>
        <w:t xml:space="preserve">the measures and/or response formats. </w:t>
      </w:r>
    </w:p>
    <w:p w:rsidR="00DA0F4B" w:rsidRPr="00117825" w:rsidRDefault="00B857E0" w:rsidP="00117825">
      <w:pPr>
        <w:tabs>
          <w:tab w:val="left" w:pos="567"/>
        </w:tabs>
        <w:spacing w:line="480" w:lineRule="auto"/>
        <w:rPr>
          <w:color w:val="000000"/>
          <w:lang w:eastAsia="el-GR"/>
        </w:rPr>
      </w:pPr>
      <w:r>
        <w:rPr>
          <w:color w:val="000000"/>
          <w:lang w:eastAsia="el-GR"/>
        </w:rPr>
        <w:tab/>
      </w:r>
      <w:r w:rsidR="00DA0F4B" w:rsidRPr="00117825">
        <w:rPr>
          <w:lang w:eastAsia="el-GR"/>
        </w:rPr>
        <w:t>The study employed a scenario to test the research hypotheses. The first part of the questionnaire inst</w:t>
      </w:r>
      <w:r w:rsidR="005F1BE8" w:rsidRPr="00117825">
        <w:rPr>
          <w:lang w:eastAsia="el-GR"/>
        </w:rPr>
        <w:t>ructed participants to recall</w:t>
      </w:r>
      <w:r w:rsidR="00DA0F4B" w:rsidRPr="00117825">
        <w:rPr>
          <w:lang w:eastAsia="el-GR"/>
        </w:rPr>
        <w:t xml:space="preserve"> a grocery retailer that they ha</w:t>
      </w:r>
      <w:r w:rsidR="005B1093" w:rsidRPr="00117825">
        <w:rPr>
          <w:lang w:eastAsia="el-GR"/>
        </w:rPr>
        <w:t>d</w:t>
      </w:r>
      <w:r w:rsidR="00DA0F4B" w:rsidRPr="00117825">
        <w:rPr>
          <w:lang w:eastAsia="el-GR"/>
        </w:rPr>
        <w:t xml:space="preserve"> recently visited, </w:t>
      </w:r>
      <w:r w:rsidR="005B1093" w:rsidRPr="00117825">
        <w:rPr>
          <w:lang w:eastAsia="el-GR"/>
        </w:rPr>
        <w:t xml:space="preserve">to </w:t>
      </w:r>
      <w:r w:rsidR="00DA0F4B" w:rsidRPr="00117825">
        <w:rPr>
          <w:lang w:eastAsia="el-GR"/>
        </w:rPr>
        <w:t xml:space="preserve">specify this retailer, and </w:t>
      </w:r>
      <w:r w:rsidR="005B1093" w:rsidRPr="00117825">
        <w:rPr>
          <w:lang w:eastAsia="el-GR"/>
        </w:rPr>
        <w:t xml:space="preserve">to </w:t>
      </w:r>
      <w:r w:rsidR="00DA0F4B" w:rsidRPr="00117825">
        <w:rPr>
          <w:lang w:eastAsia="el-GR"/>
        </w:rPr>
        <w:t>complete the questionnaire with respect to the identified retailer. Then, the</w:t>
      </w:r>
      <w:r w:rsidR="006843CE" w:rsidRPr="00117825">
        <w:rPr>
          <w:lang w:eastAsia="el-GR"/>
        </w:rPr>
        <w:t xml:space="preserve"> scenario </w:t>
      </w:r>
      <w:r w:rsidR="005B1093" w:rsidRPr="00117825">
        <w:rPr>
          <w:lang w:eastAsia="el-GR"/>
        </w:rPr>
        <w:t xml:space="preserve">informed </w:t>
      </w:r>
      <w:r w:rsidR="006843CE" w:rsidRPr="00117825">
        <w:rPr>
          <w:lang w:eastAsia="el-GR"/>
        </w:rPr>
        <w:t xml:space="preserve">respondents </w:t>
      </w:r>
      <w:r w:rsidR="00DA0F4B" w:rsidRPr="00117825">
        <w:rPr>
          <w:lang w:eastAsia="el-GR"/>
        </w:rPr>
        <w:t>that th</w:t>
      </w:r>
      <w:r w:rsidR="0078781B" w:rsidRPr="00117825">
        <w:rPr>
          <w:lang w:eastAsia="el-GR"/>
        </w:rPr>
        <w:t xml:space="preserve">is </w:t>
      </w:r>
      <w:r w:rsidR="00DA0F4B" w:rsidRPr="00117825">
        <w:rPr>
          <w:lang w:eastAsia="el-GR"/>
        </w:rPr>
        <w:t xml:space="preserve">retailer </w:t>
      </w:r>
      <w:r w:rsidR="00DA0F4B" w:rsidRPr="00117825">
        <w:rPr>
          <w:bCs/>
          <w:lang w:eastAsia="el-GR"/>
        </w:rPr>
        <w:t xml:space="preserve">promised to donate a large percentage of its profits during the Christmas period to a non-profit organization. This organization aims </w:t>
      </w:r>
      <w:r w:rsidR="005B1093" w:rsidRPr="00117825">
        <w:rPr>
          <w:bCs/>
          <w:lang w:eastAsia="el-GR"/>
        </w:rPr>
        <w:t xml:space="preserve">to </w:t>
      </w:r>
      <w:r w:rsidR="00DA0F4B" w:rsidRPr="00117825">
        <w:rPr>
          <w:bCs/>
          <w:lang w:eastAsia="el-GR"/>
        </w:rPr>
        <w:t>promot</w:t>
      </w:r>
      <w:r w:rsidR="005B1093" w:rsidRPr="00117825">
        <w:rPr>
          <w:bCs/>
          <w:lang w:eastAsia="el-GR"/>
        </w:rPr>
        <w:t>e</w:t>
      </w:r>
      <w:r w:rsidR="00DA0F4B" w:rsidRPr="00117825">
        <w:rPr>
          <w:bCs/>
          <w:lang w:eastAsia="el-GR"/>
        </w:rPr>
        <w:t xml:space="preserve"> health</w:t>
      </w:r>
      <w:r w:rsidR="005B1093" w:rsidRPr="00117825">
        <w:rPr>
          <w:bCs/>
          <w:lang w:eastAsia="el-GR"/>
        </w:rPr>
        <w:t>ful</w:t>
      </w:r>
      <w:r w:rsidR="00DA0F4B" w:rsidRPr="00117825">
        <w:rPr>
          <w:bCs/>
          <w:lang w:eastAsia="el-GR"/>
        </w:rPr>
        <w:t>, balanced lifestyles through good nutrition and exercise with a particular emphasis on fighting childhood obesity. Most grocery retailers make such donations</w:t>
      </w:r>
      <w:r w:rsidR="005B1093" w:rsidRPr="00117825">
        <w:rPr>
          <w:bCs/>
          <w:lang w:eastAsia="el-GR"/>
        </w:rPr>
        <w:t>,</w:t>
      </w:r>
      <w:r w:rsidR="00DA0F4B" w:rsidRPr="00117825">
        <w:rPr>
          <w:bCs/>
          <w:lang w:eastAsia="el-GR"/>
        </w:rPr>
        <w:t xml:space="preserve"> and the pre</w:t>
      </w:r>
      <w:r w:rsidR="005B1093" w:rsidRPr="00117825">
        <w:rPr>
          <w:bCs/>
          <w:lang w:eastAsia="el-GR"/>
        </w:rPr>
        <w:t>-</w:t>
      </w:r>
      <w:r w:rsidR="00DA0F4B" w:rsidRPr="00117825">
        <w:rPr>
          <w:bCs/>
          <w:lang w:eastAsia="el-GR"/>
        </w:rPr>
        <w:t xml:space="preserve">study interviews showed that respondents were familiar </w:t>
      </w:r>
      <w:r w:rsidR="00DA0F4B" w:rsidRPr="00117825">
        <w:rPr>
          <w:bCs/>
          <w:lang w:eastAsia="el-GR"/>
        </w:rPr>
        <w:lastRenderedPageBreak/>
        <w:t xml:space="preserve">with such practices and had no problem believing this scenario. </w:t>
      </w:r>
      <w:r w:rsidR="00DA0F4B" w:rsidRPr="00117825">
        <w:rPr>
          <w:bCs/>
          <w:color w:val="000000"/>
          <w:lang w:eastAsia="el-GR"/>
        </w:rPr>
        <w:t xml:space="preserve">In addition, </w:t>
      </w:r>
      <w:r w:rsidR="00DA0F4B" w:rsidRPr="00117825">
        <w:rPr>
          <w:color w:val="000000"/>
          <w:lang w:eastAsia="el-GR"/>
        </w:rPr>
        <w:t>the study used two items</w:t>
      </w:r>
      <w:r w:rsidR="00DA0F4B" w:rsidRPr="00117825">
        <w:rPr>
          <w:bCs/>
          <w:color w:val="000000"/>
          <w:lang w:eastAsia="el-GR"/>
        </w:rPr>
        <w:t xml:space="preserve"> to </w:t>
      </w:r>
      <w:r w:rsidR="0078781B" w:rsidRPr="00117825">
        <w:rPr>
          <w:bCs/>
          <w:color w:val="000000"/>
          <w:lang w:eastAsia="el-GR"/>
        </w:rPr>
        <w:t xml:space="preserve">check </w:t>
      </w:r>
      <w:r w:rsidR="00DA0F4B" w:rsidRPr="00117825">
        <w:rPr>
          <w:bCs/>
          <w:color w:val="000000"/>
          <w:lang w:eastAsia="el-GR"/>
        </w:rPr>
        <w:t xml:space="preserve">the </w:t>
      </w:r>
      <w:r w:rsidR="00DA0F4B" w:rsidRPr="00117825">
        <w:rPr>
          <w:color w:val="000000"/>
          <w:lang w:eastAsia="el-GR"/>
        </w:rPr>
        <w:t xml:space="preserve">realism of the scenario </w:t>
      </w:r>
      <w:r w:rsidR="0078781B" w:rsidRPr="00117825">
        <w:rPr>
          <w:color w:val="000000"/>
          <w:lang w:eastAsia="el-GR"/>
        </w:rPr>
        <w:t>given</w:t>
      </w:r>
      <w:r w:rsidR="00DA0F4B" w:rsidRPr="00117825">
        <w:rPr>
          <w:color w:val="000000"/>
          <w:lang w:eastAsia="el-GR"/>
        </w:rPr>
        <w:t xml:space="preserve">: “The situation described was …” </w:t>
      </w:r>
      <w:r w:rsidR="006843CE" w:rsidRPr="00117825">
        <w:rPr>
          <w:color w:val="000000"/>
          <w:lang w:eastAsia="el-GR"/>
        </w:rPr>
        <w:t>(</w:t>
      </w:r>
      <w:r w:rsidR="005B1093" w:rsidRPr="00117825">
        <w:rPr>
          <w:color w:val="000000"/>
          <w:lang w:eastAsia="el-GR"/>
        </w:rPr>
        <w:t>–</w:t>
      </w:r>
      <w:r w:rsidR="006843CE" w:rsidRPr="00117825">
        <w:rPr>
          <w:color w:val="000000"/>
          <w:lang w:eastAsia="el-GR"/>
        </w:rPr>
        <w:t>5 very unrealistic to +5 very realistic)</w:t>
      </w:r>
      <w:r w:rsidR="00DA0F4B" w:rsidRPr="00117825">
        <w:rPr>
          <w:color w:val="000000"/>
          <w:lang w:eastAsia="el-GR"/>
        </w:rPr>
        <w:t xml:space="preserve"> and “I had no difficulty imagining this situation” (</w:t>
      </w:r>
      <w:r w:rsidR="005B1093" w:rsidRPr="00117825">
        <w:rPr>
          <w:color w:val="000000"/>
          <w:lang w:eastAsia="el-GR"/>
        </w:rPr>
        <w:t>–</w:t>
      </w:r>
      <w:r w:rsidR="006843CE" w:rsidRPr="00117825">
        <w:rPr>
          <w:color w:val="000000"/>
          <w:lang w:eastAsia="el-GR"/>
        </w:rPr>
        <w:t>5 strongly disagree to +5</w:t>
      </w:r>
      <w:r w:rsidR="00DA0F4B" w:rsidRPr="00117825">
        <w:rPr>
          <w:color w:val="000000"/>
          <w:lang w:eastAsia="el-GR"/>
        </w:rPr>
        <w:t xml:space="preserve"> strongly agree) (</w:t>
      </w:r>
      <w:proofErr w:type="spellStart"/>
      <w:r w:rsidR="00DA0F4B" w:rsidRPr="00117825">
        <w:rPr>
          <w:color w:val="000000"/>
          <w:lang w:eastAsia="el-GR"/>
        </w:rPr>
        <w:t>Dabholkar</w:t>
      </w:r>
      <w:proofErr w:type="spellEnd"/>
      <w:r w:rsidR="00DA0F4B" w:rsidRPr="00117825">
        <w:rPr>
          <w:color w:val="000000"/>
          <w:lang w:eastAsia="el-GR"/>
        </w:rPr>
        <w:t xml:space="preserve"> &amp; </w:t>
      </w:r>
      <w:proofErr w:type="spellStart"/>
      <w:r w:rsidR="00DA0F4B" w:rsidRPr="00117825">
        <w:rPr>
          <w:color w:val="000000"/>
          <w:lang w:eastAsia="el-GR"/>
        </w:rPr>
        <w:t>Bagozzi</w:t>
      </w:r>
      <w:proofErr w:type="spellEnd"/>
      <w:r w:rsidR="00DA0F4B" w:rsidRPr="00117825">
        <w:rPr>
          <w:color w:val="000000"/>
          <w:lang w:eastAsia="el-GR"/>
        </w:rPr>
        <w:t xml:space="preserve">, 2002; Vlachos et al., 2009). </w:t>
      </w:r>
      <w:r w:rsidR="004673A8" w:rsidRPr="00117825">
        <w:rPr>
          <w:color w:val="000000"/>
          <w:lang w:eastAsia="el-GR"/>
        </w:rPr>
        <w:t>Further analysis excluded</w:t>
      </w:r>
      <w:r w:rsidR="00DA0F4B" w:rsidRPr="00117825">
        <w:rPr>
          <w:color w:val="000000"/>
          <w:lang w:eastAsia="el-GR"/>
        </w:rPr>
        <w:t xml:space="preserve"> responses </w:t>
      </w:r>
      <w:r w:rsidR="004673A8" w:rsidRPr="00117825">
        <w:rPr>
          <w:color w:val="000000"/>
          <w:lang w:eastAsia="el-GR"/>
        </w:rPr>
        <w:t>with</w:t>
      </w:r>
      <w:r w:rsidR="00DA0F4B" w:rsidRPr="00117825">
        <w:rPr>
          <w:color w:val="000000"/>
          <w:lang w:eastAsia="el-GR"/>
        </w:rPr>
        <w:t xml:space="preserve"> a value lower than 1 for one of th</w:t>
      </w:r>
      <w:r w:rsidR="005B1093" w:rsidRPr="00117825">
        <w:rPr>
          <w:color w:val="000000"/>
          <w:lang w:eastAsia="el-GR"/>
        </w:rPr>
        <w:t>e</w:t>
      </w:r>
      <w:r w:rsidR="00DA0F4B" w:rsidRPr="00117825">
        <w:rPr>
          <w:color w:val="000000"/>
          <w:lang w:eastAsia="el-GR"/>
        </w:rPr>
        <w:t xml:space="preserve">se items. </w:t>
      </w:r>
      <w:r w:rsidR="0078781B" w:rsidRPr="00117825">
        <w:rPr>
          <w:color w:val="000000"/>
          <w:lang w:eastAsia="el-GR"/>
        </w:rPr>
        <w:t>Thus</w:t>
      </w:r>
      <w:r w:rsidR="00DA0F4B" w:rsidRPr="00117825">
        <w:rPr>
          <w:color w:val="000000"/>
          <w:lang w:eastAsia="el-GR"/>
        </w:rPr>
        <w:t xml:space="preserve">, the corresponding mean scores in the sample were 2.68 and 2.80, which </w:t>
      </w:r>
      <w:r w:rsidR="005B1093" w:rsidRPr="00117825">
        <w:rPr>
          <w:color w:val="000000"/>
          <w:lang w:eastAsia="el-GR"/>
        </w:rPr>
        <w:t xml:space="preserve">provides </w:t>
      </w:r>
      <w:r w:rsidR="00DA0F4B" w:rsidRPr="00117825">
        <w:rPr>
          <w:color w:val="000000"/>
          <w:lang w:eastAsia="el-GR"/>
        </w:rPr>
        <w:t xml:space="preserve">some confidence in the realism of the scenario used. </w:t>
      </w:r>
    </w:p>
    <w:p w:rsidR="00DA0F4B" w:rsidRPr="00117825" w:rsidRDefault="00472155" w:rsidP="00117825">
      <w:pPr>
        <w:tabs>
          <w:tab w:val="left" w:pos="284"/>
        </w:tabs>
        <w:spacing w:line="480" w:lineRule="auto"/>
        <w:rPr>
          <w:bCs/>
          <w:i/>
          <w:color w:val="000000"/>
          <w:lang w:eastAsia="el-GR"/>
        </w:rPr>
      </w:pPr>
      <w:r w:rsidRPr="00117825">
        <w:rPr>
          <w:i/>
          <w:color w:val="000000"/>
          <w:lang w:eastAsia="el-GR"/>
        </w:rPr>
        <w:t>3</w:t>
      </w:r>
      <w:r w:rsidR="00DA0F4B" w:rsidRPr="00117825">
        <w:rPr>
          <w:i/>
          <w:color w:val="000000"/>
          <w:lang w:eastAsia="el-GR"/>
        </w:rPr>
        <w:t>.3</w:t>
      </w:r>
      <w:r w:rsidR="005B1093" w:rsidRPr="00117825">
        <w:rPr>
          <w:i/>
          <w:color w:val="000000"/>
          <w:lang w:eastAsia="el-GR"/>
        </w:rPr>
        <w:t>.</w:t>
      </w:r>
      <w:r w:rsidR="00DA0F4B" w:rsidRPr="00117825">
        <w:rPr>
          <w:i/>
          <w:color w:val="000000"/>
          <w:lang w:eastAsia="el-GR"/>
        </w:rPr>
        <w:t xml:space="preserve"> Measures</w:t>
      </w:r>
    </w:p>
    <w:p w:rsidR="00A0343D" w:rsidRPr="00117825" w:rsidRDefault="00B857E0" w:rsidP="00117825">
      <w:pPr>
        <w:tabs>
          <w:tab w:val="left" w:pos="567"/>
        </w:tabs>
        <w:spacing w:line="480" w:lineRule="auto"/>
        <w:rPr>
          <w:color w:val="000000"/>
        </w:rPr>
      </w:pPr>
      <w:r>
        <w:rPr>
          <w:color w:val="000000"/>
          <w:lang w:eastAsia="el-GR"/>
        </w:rPr>
        <w:tab/>
      </w:r>
      <w:r w:rsidR="00DA0F4B" w:rsidRPr="00117825">
        <w:rPr>
          <w:color w:val="000000"/>
          <w:lang w:eastAsia="el-GR"/>
        </w:rPr>
        <w:t xml:space="preserve">When possible, well-established measures </w:t>
      </w:r>
      <w:r w:rsidR="005B1093" w:rsidRPr="00117825">
        <w:rPr>
          <w:color w:val="000000"/>
          <w:lang w:eastAsia="el-GR"/>
        </w:rPr>
        <w:t xml:space="preserve">were identified </w:t>
      </w:r>
      <w:r w:rsidR="00DA0F4B" w:rsidRPr="00117825">
        <w:rPr>
          <w:color w:val="000000"/>
          <w:lang w:eastAsia="el-GR"/>
        </w:rPr>
        <w:t>from existing research and adapted to better suit the context at hand. Unless otherwise indicated, the study employed a</w:t>
      </w:r>
      <w:r w:rsidR="00DA0F4B" w:rsidRPr="00117825">
        <w:rPr>
          <w:color w:val="000000"/>
        </w:rPr>
        <w:t xml:space="preserve"> </w:t>
      </w:r>
      <w:r w:rsidR="005B1093" w:rsidRPr="00117825">
        <w:rPr>
          <w:color w:val="000000"/>
        </w:rPr>
        <w:t>7</w:t>
      </w:r>
      <w:r w:rsidR="00DA0F4B" w:rsidRPr="00117825">
        <w:rPr>
          <w:color w:val="000000"/>
        </w:rPr>
        <w:t xml:space="preserve">-point Likert-type response format ranging from strongly disagree </w:t>
      </w:r>
      <w:r w:rsidR="005B1093" w:rsidRPr="00117825">
        <w:rPr>
          <w:color w:val="000000"/>
        </w:rPr>
        <w:t xml:space="preserve">(1) </w:t>
      </w:r>
      <w:r w:rsidR="00DA0F4B" w:rsidRPr="00117825">
        <w:rPr>
          <w:color w:val="000000"/>
        </w:rPr>
        <w:t>to strongly agree</w:t>
      </w:r>
      <w:r w:rsidR="005B1093" w:rsidRPr="00117825">
        <w:rPr>
          <w:color w:val="000000"/>
        </w:rPr>
        <w:t xml:space="preserve"> (7)</w:t>
      </w:r>
      <w:r w:rsidR="00DA0F4B" w:rsidRPr="00117825">
        <w:rPr>
          <w:color w:val="000000"/>
        </w:rPr>
        <w:t xml:space="preserve">. The items measuring egoistic-, values-, strategic-, and stakeholder-driven attributions derive from the work of Ellen et al. (2006) and Vlachos et al. (2009). Participants expressed their level of agreement or disagreement with possible explanations for the donation described in the scenario. </w:t>
      </w:r>
      <w:r w:rsidR="00EA10C7" w:rsidRPr="00117825">
        <w:rPr>
          <w:color w:val="000000"/>
        </w:rPr>
        <w:t xml:space="preserve">Three items assessed egoistic-driven motives, </w:t>
      </w:r>
      <w:r w:rsidR="005B1093" w:rsidRPr="00117825">
        <w:rPr>
          <w:color w:val="000000"/>
        </w:rPr>
        <w:t xml:space="preserve">and </w:t>
      </w:r>
      <w:r w:rsidR="00EA10C7" w:rsidRPr="00117825">
        <w:rPr>
          <w:color w:val="000000"/>
        </w:rPr>
        <w:t xml:space="preserve">four items measured values-, strategic-, and stakeholder-driven motives, respectively. </w:t>
      </w:r>
    </w:p>
    <w:p w:rsidR="00A0343D" w:rsidRPr="00117825" w:rsidRDefault="00B857E0" w:rsidP="00117825">
      <w:pPr>
        <w:tabs>
          <w:tab w:val="left" w:pos="567"/>
        </w:tabs>
        <w:spacing w:line="480" w:lineRule="auto"/>
        <w:rPr>
          <w:color w:val="000000"/>
        </w:rPr>
      </w:pPr>
      <w:r>
        <w:rPr>
          <w:color w:val="000000"/>
        </w:rPr>
        <w:tab/>
      </w:r>
      <w:r w:rsidR="00A0343D" w:rsidRPr="00117825">
        <w:rPr>
          <w:color w:val="000000"/>
        </w:rPr>
        <w:t xml:space="preserve">The four-item construct of CSR skepticism assesses the extent to which the consumer is skeptical </w:t>
      </w:r>
      <w:r w:rsidR="005B1093" w:rsidRPr="00117825">
        <w:rPr>
          <w:color w:val="000000"/>
        </w:rPr>
        <w:t xml:space="preserve">about </w:t>
      </w:r>
      <w:r w:rsidR="00A0343D" w:rsidRPr="00117825">
        <w:rPr>
          <w:color w:val="000000"/>
        </w:rPr>
        <w:t xml:space="preserve">the social involvement of the retailer. Two methods </w:t>
      </w:r>
      <w:r w:rsidR="004673A8" w:rsidRPr="00117825">
        <w:rPr>
          <w:color w:val="000000"/>
        </w:rPr>
        <w:t>helped</w:t>
      </w:r>
      <w:r w:rsidR="00A0343D" w:rsidRPr="00117825">
        <w:rPr>
          <w:color w:val="000000"/>
        </w:rPr>
        <w:t xml:space="preserve"> develop items measuring consumer skepticism toward CSR: a review of the literature (e.g., Forehand &amp; Grier, 2003; </w:t>
      </w:r>
      <w:r w:rsidR="005B1093" w:rsidRPr="00117825">
        <w:rPr>
          <w:color w:val="000000"/>
        </w:rPr>
        <w:t xml:space="preserve">Mohr et al., 1998; </w:t>
      </w:r>
      <w:proofErr w:type="spellStart"/>
      <w:r w:rsidR="00A0343D" w:rsidRPr="00117825">
        <w:rPr>
          <w:color w:val="000000"/>
        </w:rPr>
        <w:t>Obermiller</w:t>
      </w:r>
      <w:proofErr w:type="spellEnd"/>
      <w:r w:rsidR="00A0343D" w:rsidRPr="00117825">
        <w:rPr>
          <w:color w:val="000000"/>
        </w:rPr>
        <w:t xml:space="preserve"> et al., 2005) and face-to-face interviews. </w:t>
      </w:r>
      <w:r w:rsidR="005B1093" w:rsidRPr="00117825">
        <w:rPr>
          <w:color w:val="000000"/>
        </w:rPr>
        <w:t>T</w:t>
      </w:r>
      <w:r w:rsidR="00A0343D" w:rsidRPr="00117825">
        <w:rPr>
          <w:color w:val="000000"/>
        </w:rPr>
        <w:t xml:space="preserve">wo focus groups with 19 MBA students </w:t>
      </w:r>
      <w:r w:rsidR="005B1093" w:rsidRPr="00117825">
        <w:rPr>
          <w:color w:val="000000"/>
        </w:rPr>
        <w:t>wer</w:t>
      </w:r>
      <w:r w:rsidR="008559B3" w:rsidRPr="00117825">
        <w:rPr>
          <w:color w:val="000000"/>
        </w:rPr>
        <w:t>e</w:t>
      </w:r>
      <w:r w:rsidR="005B1093" w:rsidRPr="00117825">
        <w:rPr>
          <w:color w:val="000000"/>
        </w:rPr>
        <w:t xml:space="preserve"> conducted </w:t>
      </w:r>
      <w:r w:rsidR="00A0343D" w:rsidRPr="00117825">
        <w:rPr>
          <w:color w:val="000000"/>
        </w:rPr>
        <w:t xml:space="preserve">to complement item generation and ensure content and face validity. Then, </w:t>
      </w:r>
      <w:r w:rsidR="004673A8" w:rsidRPr="00117825">
        <w:rPr>
          <w:color w:val="000000"/>
        </w:rPr>
        <w:t xml:space="preserve">eight doctoral students and two retail managers tested </w:t>
      </w:r>
      <w:r w:rsidR="00A0343D" w:rsidRPr="00117825">
        <w:rPr>
          <w:color w:val="000000"/>
        </w:rPr>
        <w:t xml:space="preserve">the resulting pool of </w:t>
      </w:r>
      <w:r w:rsidR="005B1093" w:rsidRPr="00117825">
        <w:rPr>
          <w:color w:val="000000"/>
        </w:rPr>
        <w:t xml:space="preserve">10 </w:t>
      </w:r>
      <w:r w:rsidR="00A0343D" w:rsidRPr="00117825">
        <w:rPr>
          <w:color w:val="000000"/>
        </w:rPr>
        <w:t xml:space="preserve">items for the CSR skepticism scale to check for consistency, clarity of wording, and response format. Next, data from a group of 30 arbitrarily selected consumers (not included in the sample) </w:t>
      </w:r>
      <w:r w:rsidR="005B1093" w:rsidRPr="00117825">
        <w:rPr>
          <w:color w:val="000000"/>
        </w:rPr>
        <w:t xml:space="preserve">were gathered </w:t>
      </w:r>
      <w:r w:rsidR="00A0343D" w:rsidRPr="00117825">
        <w:rPr>
          <w:color w:val="000000"/>
        </w:rPr>
        <w:t xml:space="preserve">to check the dimensionality and reliability of the </w:t>
      </w:r>
      <w:r w:rsidR="00A0343D" w:rsidRPr="00117825">
        <w:rPr>
          <w:color w:val="000000"/>
        </w:rPr>
        <w:lastRenderedPageBreak/>
        <w:t>scale. Further</w:t>
      </w:r>
      <w:r w:rsidR="005B1093" w:rsidRPr="00117825">
        <w:rPr>
          <w:color w:val="000000"/>
        </w:rPr>
        <w:t>more</w:t>
      </w:r>
      <w:r w:rsidR="00A0343D" w:rsidRPr="00117825">
        <w:rPr>
          <w:color w:val="000000"/>
        </w:rPr>
        <w:t xml:space="preserve">, data from the pilot study </w:t>
      </w:r>
      <w:r w:rsidR="005B1093" w:rsidRPr="00117825">
        <w:rPr>
          <w:color w:val="000000"/>
        </w:rPr>
        <w:t xml:space="preserve">were used </w:t>
      </w:r>
      <w:r w:rsidR="00A0343D" w:rsidRPr="00117825">
        <w:rPr>
          <w:color w:val="000000"/>
        </w:rPr>
        <w:t xml:space="preserve">to examine the extent to which the final four-item scale of consumer skepticism toward CSR behaves as expected within a system of related constructs. Finally, a global item summarized the essence of the CSR skepticism construct (i.e., </w:t>
      </w:r>
      <w:r w:rsidR="008559B3" w:rsidRPr="00117825">
        <w:rPr>
          <w:color w:val="000000"/>
        </w:rPr>
        <w:t>“</w:t>
      </w:r>
      <w:r w:rsidR="00A0343D" w:rsidRPr="00117825">
        <w:rPr>
          <w:color w:val="000000"/>
        </w:rPr>
        <w:t>I am skeptical whether this is a socially responsible retailer</w:t>
      </w:r>
      <w:r w:rsidR="008559B3" w:rsidRPr="00117825">
        <w:rPr>
          <w:color w:val="000000"/>
        </w:rPr>
        <w:t>”</w:t>
      </w:r>
      <w:r w:rsidR="00A0343D" w:rsidRPr="00117825">
        <w:rPr>
          <w:color w:val="000000"/>
        </w:rPr>
        <w:t>). The correlation between the skepticism scale used and the global item was highly significant (</w:t>
      </w:r>
      <w:r w:rsidR="00A0343D" w:rsidRPr="00117825">
        <w:rPr>
          <w:i/>
          <w:color w:val="000000"/>
        </w:rPr>
        <w:t>p</w:t>
      </w:r>
      <w:r w:rsidR="00A0343D" w:rsidRPr="00117825">
        <w:rPr>
          <w:color w:val="000000"/>
        </w:rPr>
        <w:t xml:space="preserve"> &lt; .01), providing additional support for the validity of the skepticism measures.</w:t>
      </w:r>
    </w:p>
    <w:p w:rsidR="001A3C37" w:rsidRPr="00117825" w:rsidRDefault="00B857E0" w:rsidP="002553B2">
      <w:pPr>
        <w:tabs>
          <w:tab w:val="left" w:pos="567"/>
        </w:tabs>
        <w:spacing w:line="480" w:lineRule="auto"/>
        <w:rPr>
          <w:color w:val="000000"/>
        </w:rPr>
      </w:pPr>
      <w:r>
        <w:rPr>
          <w:color w:val="000000"/>
        </w:rPr>
        <w:tab/>
      </w:r>
      <w:r w:rsidR="00EA10C7" w:rsidRPr="00117825">
        <w:rPr>
          <w:color w:val="000000"/>
        </w:rPr>
        <w:t xml:space="preserve">The three-item construct of retailer equity taps the incremental utility or value added to a retailer by its brand name. The items come from </w:t>
      </w:r>
      <w:proofErr w:type="spellStart"/>
      <w:r w:rsidR="008036A9" w:rsidRPr="00117825">
        <w:rPr>
          <w:color w:val="000000"/>
        </w:rPr>
        <w:t>Yoo</w:t>
      </w:r>
      <w:proofErr w:type="spellEnd"/>
      <w:r w:rsidR="008036A9" w:rsidRPr="00117825">
        <w:rPr>
          <w:color w:val="000000"/>
        </w:rPr>
        <w:t xml:space="preserve"> et al. (2000) </w:t>
      </w:r>
      <w:r w:rsidR="00EA10C7" w:rsidRPr="00117825">
        <w:rPr>
          <w:color w:val="000000"/>
        </w:rPr>
        <w:t>and Arnett</w:t>
      </w:r>
      <w:r w:rsidR="00A21F6A" w:rsidRPr="00117825">
        <w:rPr>
          <w:color w:val="000000"/>
        </w:rPr>
        <w:t xml:space="preserve">, </w:t>
      </w:r>
      <w:proofErr w:type="spellStart"/>
      <w:r w:rsidR="00A21F6A" w:rsidRPr="00117825">
        <w:rPr>
          <w:color w:val="000000"/>
        </w:rPr>
        <w:t>Laverie</w:t>
      </w:r>
      <w:proofErr w:type="spellEnd"/>
      <w:r w:rsidR="00A21F6A" w:rsidRPr="00117825">
        <w:rPr>
          <w:color w:val="000000"/>
        </w:rPr>
        <w:t>,</w:t>
      </w:r>
      <w:r w:rsidR="00EA10C7" w:rsidRPr="00117825">
        <w:rPr>
          <w:color w:val="000000"/>
        </w:rPr>
        <w:t xml:space="preserve"> </w:t>
      </w:r>
      <w:r w:rsidR="008036A9" w:rsidRPr="00117825">
        <w:rPr>
          <w:color w:val="000000"/>
        </w:rPr>
        <w:t xml:space="preserve">et al. </w:t>
      </w:r>
      <w:r w:rsidR="00EA10C7" w:rsidRPr="00117825">
        <w:rPr>
          <w:color w:val="000000"/>
        </w:rPr>
        <w:t>(2003). The three-item construct of resilience to negative information captures the extent to which consumers do not allow negative information to diminish their view of the retailer. The work of Du</w:t>
      </w:r>
      <w:r w:rsidR="008559B3" w:rsidRPr="00117825">
        <w:rPr>
          <w:color w:val="000000"/>
        </w:rPr>
        <w:t>, Bhattacharya, and Sen</w:t>
      </w:r>
      <w:r w:rsidR="00EA10C7" w:rsidRPr="00117825">
        <w:rPr>
          <w:color w:val="000000"/>
        </w:rPr>
        <w:t xml:space="preserve"> (2007) and Eisingerich et al. (2011) provided the relevant material for measuring this construct. The three-item construct of WOM gauges the extent to which consumers communicate negative/positive information about the retailer in social situations (</w:t>
      </w:r>
      <w:r w:rsidR="008559B3" w:rsidRPr="00117825">
        <w:rPr>
          <w:color w:val="000000"/>
        </w:rPr>
        <w:t>7</w:t>
      </w:r>
      <w:r w:rsidR="00EA10C7" w:rsidRPr="00117825">
        <w:rPr>
          <w:color w:val="000000"/>
        </w:rPr>
        <w:t xml:space="preserve">-point semantic differential scale). The items derive from Arnett, German, and Hunt (2003). The study also includes customer orientation as a control variable because prior research suggests that customer orientation (i.e., the extent to which consumers view the retailer as being caring and attentive to their needs) plays a key role in influencing consumer responses to the firm (e.g., Homburg, </w:t>
      </w:r>
      <w:proofErr w:type="spellStart"/>
      <w:r w:rsidR="00EA10C7" w:rsidRPr="00117825">
        <w:rPr>
          <w:color w:val="000000"/>
        </w:rPr>
        <w:t>Wieseke</w:t>
      </w:r>
      <w:proofErr w:type="spellEnd"/>
      <w:r w:rsidR="00EA10C7" w:rsidRPr="00117825">
        <w:rPr>
          <w:color w:val="000000"/>
        </w:rPr>
        <w:t xml:space="preserve">, &amp; </w:t>
      </w:r>
      <w:proofErr w:type="spellStart"/>
      <w:r w:rsidR="00EA10C7" w:rsidRPr="00117825">
        <w:rPr>
          <w:color w:val="000000"/>
        </w:rPr>
        <w:t>Bornemann</w:t>
      </w:r>
      <w:proofErr w:type="spellEnd"/>
      <w:r w:rsidR="00EA10C7" w:rsidRPr="00117825">
        <w:rPr>
          <w:color w:val="000000"/>
        </w:rPr>
        <w:t xml:space="preserve">, 2009). The goal of this study is to examine the role of consumer skepticism toward CSR beyond consumer perceptions of the retailer’s customer orientation. The four-item construct of customer orientation comes from Donovan, Brown, and </w:t>
      </w:r>
      <w:proofErr w:type="spellStart"/>
      <w:r w:rsidR="00EA10C7" w:rsidRPr="00117825">
        <w:rPr>
          <w:color w:val="000000"/>
        </w:rPr>
        <w:t>Mowen</w:t>
      </w:r>
      <w:proofErr w:type="spellEnd"/>
      <w:r w:rsidR="00EA10C7" w:rsidRPr="00117825">
        <w:rPr>
          <w:color w:val="000000"/>
        </w:rPr>
        <w:t xml:space="preserve"> (2004).</w:t>
      </w:r>
    </w:p>
    <w:p w:rsidR="00DA0F4B" w:rsidRPr="00117825" w:rsidRDefault="00944A2D" w:rsidP="00117825">
      <w:pPr>
        <w:shd w:val="clear" w:color="auto" w:fill="FFFFFF"/>
        <w:tabs>
          <w:tab w:val="left" w:pos="284"/>
        </w:tabs>
        <w:spacing w:line="480" w:lineRule="auto"/>
        <w:outlineLvl w:val="0"/>
        <w:rPr>
          <w:bCs/>
          <w:i/>
          <w:color w:val="000000"/>
          <w:lang w:eastAsia="el-GR"/>
        </w:rPr>
      </w:pPr>
      <w:r w:rsidRPr="00117825">
        <w:rPr>
          <w:bCs/>
          <w:i/>
          <w:color w:val="000000"/>
          <w:lang w:eastAsia="el-GR"/>
        </w:rPr>
        <w:t>3</w:t>
      </w:r>
      <w:r w:rsidR="00DA0F4B" w:rsidRPr="00117825">
        <w:rPr>
          <w:bCs/>
          <w:i/>
          <w:color w:val="000000"/>
          <w:lang w:eastAsia="el-GR"/>
        </w:rPr>
        <w:t>.4</w:t>
      </w:r>
      <w:r w:rsidR="008559B3" w:rsidRPr="00117825">
        <w:rPr>
          <w:bCs/>
          <w:i/>
          <w:color w:val="000000"/>
          <w:lang w:eastAsia="el-GR"/>
        </w:rPr>
        <w:t>.</w:t>
      </w:r>
      <w:r w:rsidR="00DA0F4B" w:rsidRPr="00117825">
        <w:rPr>
          <w:bCs/>
          <w:i/>
          <w:color w:val="000000"/>
          <w:lang w:eastAsia="el-GR"/>
        </w:rPr>
        <w:t xml:space="preserve"> Validation of measures</w:t>
      </w:r>
    </w:p>
    <w:p w:rsidR="00217369" w:rsidRDefault="00B857E0" w:rsidP="00671025">
      <w:pPr>
        <w:shd w:val="clear" w:color="auto" w:fill="FFFFFF"/>
        <w:tabs>
          <w:tab w:val="left" w:pos="567"/>
        </w:tabs>
        <w:spacing w:line="480" w:lineRule="auto"/>
        <w:outlineLvl w:val="3"/>
        <w:rPr>
          <w:color w:val="000000"/>
        </w:rPr>
      </w:pPr>
      <w:r>
        <w:rPr>
          <w:color w:val="000000"/>
          <w:lang w:eastAsia="el-GR"/>
        </w:rPr>
        <w:tab/>
      </w:r>
      <w:r w:rsidR="00DA0F4B" w:rsidRPr="00117825">
        <w:rPr>
          <w:color w:val="000000"/>
          <w:lang w:eastAsia="el-GR"/>
        </w:rPr>
        <w:t>Exploratory factor analysis and item-to-total correlations initially examined the internal consistency of the scales employed in th</w:t>
      </w:r>
      <w:r w:rsidR="00AD14EE" w:rsidRPr="00117825">
        <w:rPr>
          <w:color w:val="000000"/>
          <w:lang w:eastAsia="el-GR"/>
        </w:rPr>
        <w:t>e</w:t>
      </w:r>
      <w:r w:rsidR="00DA0F4B" w:rsidRPr="00117825">
        <w:rPr>
          <w:color w:val="000000"/>
          <w:lang w:eastAsia="el-GR"/>
        </w:rPr>
        <w:t xml:space="preserve"> study. </w:t>
      </w:r>
      <w:r w:rsidR="008559B3" w:rsidRPr="00117825">
        <w:rPr>
          <w:color w:val="000000"/>
          <w:lang w:eastAsia="el-GR"/>
        </w:rPr>
        <w:t>I</w:t>
      </w:r>
      <w:r w:rsidR="00DA0F4B" w:rsidRPr="00117825">
        <w:rPr>
          <w:color w:val="000000"/>
        </w:rPr>
        <w:t>tems with low item-to-total correlations, weak individual loadings on each factor</w:t>
      </w:r>
      <w:r w:rsidR="001A3C37" w:rsidRPr="00117825">
        <w:rPr>
          <w:color w:val="000000"/>
        </w:rPr>
        <w:t>,</w:t>
      </w:r>
      <w:r w:rsidR="00DA0F4B" w:rsidRPr="00117825">
        <w:rPr>
          <w:color w:val="000000"/>
        </w:rPr>
        <w:t xml:space="preserve"> and high cross-loadings</w:t>
      </w:r>
      <w:r w:rsidR="008559B3" w:rsidRPr="00117825">
        <w:rPr>
          <w:color w:val="000000"/>
          <w:lang w:eastAsia="el-GR"/>
        </w:rPr>
        <w:t xml:space="preserve"> were dropped </w:t>
      </w:r>
      <w:r w:rsidR="008559B3" w:rsidRPr="00117825">
        <w:rPr>
          <w:color w:val="000000"/>
        </w:rPr>
        <w:t xml:space="preserve">from further </w:t>
      </w:r>
      <w:r w:rsidR="008559B3" w:rsidRPr="00117825">
        <w:rPr>
          <w:color w:val="000000"/>
        </w:rPr>
        <w:lastRenderedPageBreak/>
        <w:t>analysis</w:t>
      </w:r>
      <w:r w:rsidR="00DA0F4B" w:rsidRPr="00117825">
        <w:rPr>
          <w:color w:val="000000"/>
        </w:rPr>
        <w:t xml:space="preserve">. Next, </w:t>
      </w:r>
      <w:r w:rsidR="00DA0F4B" w:rsidRPr="00117825">
        <w:rPr>
          <w:color w:val="000000"/>
          <w:lang w:eastAsia="el-GR"/>
        </w:rPr>
        <w:t xml:space="preserve">confirmatory factor analysis using EQS </w:t>
      </w:r>
      <w:r w:rsidR="00DA0F4B" w:rsidRPr="00117825">
        <w:rPr>
          <w:color w:val="000000"/>
        </w:rPr>
        <w:t xml:space="preserve">6.1 </w:t>
      </w:r>
      <w:r w:rsidR="00DA0F4B" w:rsidRPr="00117825">
        <w:rPr>
          <w:color w:val="000000"/>
          <w:lang w:eastAsia="el-GR"/>
        </w:rPr>
        <w:t>(</w:t>
      </w:r>
      <w:proofErr w:type="spellStart"/>
      <w:r w:rsidR="00DA0F4B" w:rsidRPr="00117825">
        <w:rPr>
          <w:color w:val="000000"/>
          <w:lang w:eastAsia="el-GR"/>
        </w:rPr>
        <w:t>Bentler</w:t>
      </w:r>
      <w:proofErr w:type="spellEnd"/>
      <w:r w:rsidR="00DA0F4B" w:rsidRPr="00117825">
        <w:rPr>
          <w:color w:val="000000"/>
          <w:lang w:eastAsia="el-GR"/>
        </w:rPr>
        <w:t xml:space="preserve">, </w:t>
      </w:r>
      <w:r w:rsidR="00C96D14" w:rsidRPr="00117825">
        <w:rPr>
          <w:color w:val="000000"/>
          <w:lang w:eastAsia="el-GR"/>
        </w:rPr>
        <w:t>2006</w:t>
      </w:r>
      <w:r w:rsidR="00DA0F4B" w:rsidRPr="00117825">
        <w:rPr>
          <w:color w:val="000000"/>
          <w:lang w:eastAsia="el-GR"/>
        </w:rPr>
        <w:t xml:space="preserve">) </w:t>
      </w:r>
      <w:r w:rsidR="00DA0F4B" w:rsidRPr="00117825">
        <w:rPr>
          <w:color w:val="000000"/>
        </w:rPr>
        <w:t xml:space="preserve">assessed the validity of the remaining set of items. The analysis used the maximum likelihood estimation procedure. </w:t>
      </w:r>
    </w:p>
    <w:p w:rsidR="00DA0F4B" w:rsidRPr="00117825" w:rsidRDefault="00217369" w:rsidP="00671025">
      <w:pPr>
        <w:shd w:val="clear" w:color="auto" w:fill="FFFFFF"/>
        <w:tabs>
          <w:tab w:val="left" w:pos="567"/>
        </w:tabs>
        <w:spacing w:line="480" w:lineRule="auto"/>
        <w:outlineLvl w:val="3"/>
        <w:rPr>
          <w:color w:val="000000"/>
        </w:rPr>
      </w:pPr>
      <w:r>
        <w:rPr>
          <w:color w:val="000000"/>
        </w:rPr>
        <w:tab/>
      </w:r>
      <w:r w:rsidR="00DA0F4B" w:rsidRPr="00117825">
        <w:rPr>
          <w:color w:val="000000"/>
        </w:rPr>
        <w:t xml:space="preserve">A measurement model estimated the items representing the </w:t>
      </w:r>
      <w:r w:rsidR="00AD0A13" w:rsidRPr="00117825">
        <w:rPr>
          <w:color w:val="000000"/>
        </w:rPr>
        <w:t xml:space="preserve">study </w:t>
      </w:r>
      <w:r w:rsidR="00EF325F" w:rsidRPr="00117825">
        <w:rPr>
          <w:color w:val="000000"/>
        </w:rPr>
        <w:t>constructs</w:t>
      </w:r>
      <w:r w:rsidR="00DA0F4B" w:rsidRPr="00117825">
        <w:rPr>
          <w:color w:val="000000"/>
        </w:rPr>
        <w:t>. Table 1 presents the measurement model results, includ</w:t>
      </w:r>
      <w:r w:rsidR="005F1BE8" w:rsidRPr="00117825">
        <w:rPr>
          <w:color w:val="000000"/>
        </w:rPr>
        <w:t>ing the scale items. The findings</w:t>
      </w:r>
      <w:r w:rsidR="00DA0F4B" w:rsidRPr="00117825">
        <w:rPr>
          <w:color w:val="000000"/>
        </w:rPr>
        <w:t xml:space="preserve"> indicate that the measurement model provides a good fit to the data. </w:t>
      </w:r>
      <w:r w:rsidR="00551A70" w:rsidRPr="00117825">
        <w:rPr>
          <w:color w:val="000000"/>
        </w:rPr>
        <w:t>While t</w:t>
      </w:r>
      <w:r w:rsidR="00DA0F4B" w:rsidRPr="00117825">
        <w:rPr>
          <w:color w:val="000000"/>
          <w:lang w:eastAsia="el-GR"/>
        </w:rPr>
        <w:t xml:space="preserve">he chi-square </w:t>
      </w:r>
      <w:r w:rsidR="00DA0F4B" w:rsidRPr="00117825">
        <w:rPr>
          <w:color w:val="000000"/>
        </w:rPr>
        <w:t>(</w:t>
      </w:r>
      <w:r w:rsidR="00DA0F4B" w:rsidRPr="00117825">
        <w:rPr>
          <w:color w:val="000000"/>
        </w:rPr>
        <w:sym w:font="Symbol" w:char="F063"/>
      </w:r>
      <w:r w:rsidR="00DA0F4B" w:rsidRPr="00117825">
        <w:rPr>
          <w:color w:val="000000"/>
          <w:vertAlign w:val="superscript"/>
        </w:rPr>
        <w:t>2</w:t>
      </w:r>
      <w:r w:rsidR="00DA0F4B" w:rsidRPr="00117825">
        <w:rPr>
          <w:color w:val="000000"/>
        </w:rPr>
        <w:t xml:space="preserve"> = 859.13) </w:t>
      </w:r>
      <w:r w:rsidR="00DA0F4B" w:rsidRPr="00117825">
        <w:rPr>
          <w:color w:val="000000"/>
          <w:lang w:eastAsia="el-GR"/>
        </w:rPr>
        <w:t xml:space="preserve">for this model is </w:t>
      </w:r>
      <w:r w:rsidR="00DA0F4B" w:rsidRPr="00117825">
        <w:rPr>
          <w:color w:val="000000"/>
        </w:rPr>
        <w:t xml:space="preserve">statistically </w:t>
      </w:r>
      <w:r w:rsidR="00DA0F4B" w:rsidRPr="00117825">
        <w:rPr>
          <w:color w:val="000000"/>
          <w:lang w:eastAsia="el-GR"/>
        </w:rPr>
        <w:t xml:space="preserve">significant </w:t>
      </w:r>
      <w:r w:rsidR="00DA0F4B" w:rsidRPr="00117825">
        <w:rPr>
          <w:color w:val="000000"/>
        </w:rPr>
        <w:t>(</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.001) for 428 degrees of freedom</w:t>
      </w:r>
      <w:r w:rsidR="00DA0F4B" w:rsidRPr="00117825">
        <w:rPr>
          <w:color w:val="000000"/>
          <w:lang w:eastAsia="el-GR"/>
        </w:rPr>
        <w:t>,</w:t>
      </w:r>
      <w:r w:rsidR="00DA0F4B" w:rsidRPr="00117825">
        <w:rPr>
          <w:color w:val="000000"/>
        </w:rPr>
        <w:t xml:space="preserve"> </w:t>
      </w:r>
      <w:r w:rsidR="00551A70" w:rsidRPr="00117825">
        <w:rPr>
          <w:color w:val="000000"/>
        </w:rPr>
        <w:t>f</w:t>
      </w:r>
      <w:r w:rsidR="00DA0F4B" w:rsidRPr="00117825">
        <w:rPr>
          <w:color w:val="000000"/>
        </w:rPr>
        <w:t xml:space="preserve">avorable fit indices include </w:t>
      </w:r>
      <w:r w:rsidR="00DA0F4B" w:rsidRPr="00117825">
        <w:rPr>
          <w:color w:val="000000"/>
          <w:lang w:eastAsia="el-GR"/>
        </w:rPr>
        <w:t>a ratio of chi-square to the degrees of freedom (</w:t>
      </w:r>
      <w:r w:rsidR="00DA0F4B" w:rsidRPr="00117825">
        <w:rPr>
          <w:iCs/>
          <w:color w:val="000000"/>
          <w:lang w:eastAsia="el-GR"/>
        </w:rPr>
        <w:t>χ</w:t>
      </w:r>
      <w:r w:rsidR="00DA0F4B" w:rsidRPr="00117825">
        <w:rPr>
          <w:color w:val="000000"/>
          <w:vertAlign w:val="superscript"/>
          <w:lang w:eastAsia="el-GR"/>
        </w:rPr>
        <w:t>2</w:t>
      </w:r>
      <w:r w:rsidR="00DA0F4B" w:rsidRPr="00117825">
        <w:rPr>
          <w:color w:val="000000"/>
          <w:lang w:eastAsia="el-GR"/>
        </w:rPr>
        <w:t>/</w:t>
      </w:r>
      <w:proofErr w:type="spellStart"/>
      <w:r w:rsidR="00DA0F4B" w:rsidRPr="00117825">
        <w:rPr>
          <w:iCs/>
          <w:color w:val="000000"/>
          <w:lang w:eastAsia="el-GR"/>
        </w:rPr>
        <w:t>df</w:t>
      </w:r>
      <w:proofErr w:type="spellEnd"/>
      <w:r w:rsidR="00DA0F4B" w:rsidRPr="00117825">
        <w:rPr>
          <w:color w:val="000000"/>
          <w:lang w:eastAsia="el-GR"/>
        </w:rPr>
        <w:t xml:space="preserve">) of 2.01, </w:t>
      </w:r>
      <w:r w:rsidR="00DA0F4B" w:rsidRPr="00117825">
        <w:rPr>
          <w:color w:val="000000"/>
        </w:rPr>
        <w:t xml:space="preserve">a normed fit index (NFI) of </w:t>
      </w:r>
      <w:r w:rsidR="00106014" w:rsidRPr="00117825">
        <w:rPr>
          <w:color w:val="000000"/>
        </w:rPr>
        <w:t>0</w:t>
      </w:r>
      <w:r w:rsidR="00DA0F4B" w:rsidRPr="00117825">
        <w:rPr>
          <w:color w:val="000000"/>
        </w:rPr>
        <w:t>.92, a non</w:t>
      </w:r>
      <w:r w:rsidR="005F2AE5" w:rsidRPr="00117825">
        <w:rPr>
          <w:color w:val="000000"/>
        </w:rPr>
        <w:t>-</w:t>
      </w:r>
      <w:r w:rsidR="00DA0F4B" w:rsidRPr="00117825">
        <w:rPr>
          <w:color w:val="000000"/>
        </w:rPr>
        <w:t xml:space="preserve">normed fit index (NNFI) of </w:t>
      </w:r>
      <w:r w:rsidR="00106014" w:rsidRPr="00117825">
        <w:rPr>
          <w:color w:val="000000"/>
        </w:rPr>
        <w:t>0</w:t>
      </w:r>
      <w:r w:rsidR="00DA0F4B" w:rsidRPr="00117825">
        <w:rPr>
          <w:color w:val="000000"/>
        </w:rPr>
        <w:t xml:space="preserve">.95, a comparative fit index (CFI) of </w:t>
      </w:r>
      <w:r w:rsidR="00106014" w:rsidRPr="00117825">
        <w:rPr>
          <w:color w:val="000000"/>
        </w:rPr>
        <w:t>0</w:t>
      </w:r>
      <w:r w:rsidR="00DA0F4B" w:rsidRPr="00117825">
        <w:rPr>
          <w:color w:val="000000"/>
        </w:rPr>
        <w:t xml:space="preserve">.96, an incremental fit index (IFI) of </w:t>
      </w:r>
      <w:r w:rsidR="00106014" w:rsidRPr="00117825">
        <w:rPr>
          <w:color w:val="000000"/>
        </w:rPr>
        <w:t>0</w:t>
      </w:r>
      <w:r w:rsidR="00DA0F4B" w:rsidRPr="00117825">
        <w:rPr>
          <w:color w:val="000000"/>
        </w:rPr>
        <w:t xml:space="preserve">.96, a root mean square error of approximation (RMSEA) of </w:t>
      </w:r>
      <w:r w:rsidR="00106014" w:rsidRPr="00117825">
        <w:rPr>
          <w:color w:val="000000"/>
        </w:rPr>
        <w:t>0</w:t>
      </w:r>
      <w:r w:rsidR="00DA0F4B" w:rsidRPr="00117825">
        <w:rPr>
          <w:color w:val="000000"/>
        </w:rPr>
        <w:t xml:space="preserve">.045, and an average off-diagonal absolute standardized residual (AOSR) of </w:t>
      </w:r>
      <w:r w:rsidR="00106014" w:rsidRPr="00117825">
        <w:rPr>
          <w:color w:val="000000"/>
        </w:rPr>
        <w:t>0</w:t>
      </w:r>
      <w:r w:rsidR="00671025">
        <w:rPr>
          <w:color w:val="000000"/>
        </w:rPr>
        <w:t>.034.</w:t>
      </w:r>
    </w:p>
    <w:p w:rsidR="00DA0F4B" w:rsidRPr="00117825" w:rsidRDefault="00DA0F4B" w:rsidP="00671025">
      <w:pPr>
        <w:tabs>
          <w:tab w:val="left" w:pos="284"/>
        </w:tabs>
        <w:spacing w:line="480" w:lineRule="auto"/>
        <w:jc w:val="center"/>
        <w:outlineLvl w:val="0"/>
        <w:rPr>
          <w:color w:val="000000"/>
        </w:rPr>
      </w:pPr>
      <w:r w:rsidRPr="00117825">
        <w:rPr>
          <w:color w:val="000000"/>
        </w:rPr>
        <w:t>Table 1 here</w:t>
      </w:r>
      <w:r w:rsidR="00E64ACA">
        <w:rPr>
          <w:color w:val="000000"/>
        </w:rPr>
        <w:t xml:space="preserve">. </w:t>
      </w:r>
    </w:p>
    <w:p w:rsidR="00DA0F4B" w:rsidRPr="00671025" w:rsidRDefault="00B857E0" w:rsidP="00671025">
      <w:pPr>
        <w:shd w:val="clear" w:color="auto" w:fill="FFFFFF"/>
        <w:tabs>
          <w:tab w:val="left" w:pos="567"/>
        </w:tabs>
        <w:spacing w:line="480" w:lineRule="auto"/>
      </w:pPr>
      <w:r>
        <w:rPr>
          <w:color w:val="000000"/>
        </w:rPr>
        <w:tab/>
      </w:r>
      <w:r w:rsidR="00DA0F4B" w:rsidRPr="00117825">
        <w:rPr>
          <w:color w:val="000000"/>
        </w:rPr>
        <w:t xml:space="preserve">All indicators loaded significantly on the latent variables they were intended to represent (the average factor loading was </w:t>
      </w:r>
      <w:r w:rsidR="00106014" w:rsidRPr="00117825">
        <w:rPr>
          <w:color w:val="000000"/>
        </w:rPr>
        <w:t>0</w:t>
      </w:r>
      <w:r w:rsidR="00DA0F4B" w:rsidRPr="00117825">
        <w:rPr>
          <w:color w:val="000000"/>
        </w:rPr>
        <w:t>.83</w:t>
      </w:r>
      <w:r w:rsidR="006843CE" w:rsidRPr="00117825">
        <w:rPr>
          <w:color w:val="000000"/>
        </w:rPr>
        <w:t>,</w:t>
      </w:r>
      <w:r w:rsidR="00DA0F4B" w:rsidRPr="00117825">
        <w:rPr>
          <w:color w:val="000000"/>
        </w:rPr>
        <w:t xml:space="preserve"> </w:t>
      </w:r>
      <w:r w:rsidR="00AD14EE" w:rsidRPr="00117825">
        <w:rPr>
          <w:color w:val="000000"/>
        </w:rPr>
        <w:t xml:space="preserve">and </w:t>
      </w:r>
      <w:r w:rsidR="00DA0F4B" w:rsidRPr="00117825">
        <w:rPr>
          <w:color w:val="000000"/>
        </w:rPr>
        <w:t xml:space="preserve">the minimum t-value was 16.50), which provides evidence of convergent validity (Anderson &amp; </w:t>
      </w:r>
      <w:proofErr w:type="spellStart"/>
      <w:r w:rsidR="00DA0F4B" w:rsidRPr="00117825">
        <w:rPr>
          <w:color w:val="000000"/>
        </w:rPr>
        <w:t>Gerbing</w:t>
      </w:r>
      <w:proofErr w:type="spellEnd"/>
      <w:r w:rsidR="00DA0F4B" w:rsidRPr="00117825">
        <w:rPr>
          <w:color w:val="000000"/>
        </w:rPr>
        <w:t xml:space="preserve">, 1988). </w:t>
      </w:r>
      <w:r w:rsidR="00551A70" w:rsidRPr="00117825">
        <w:rPr>
          <w:color w:val="000000"/>
        </w:rPr>
        <w:t>To test for discriminant validity, a</w:t>
      </w:r>
      <w:r w:rsidR="00DA0F4B" w:rsidRPr="00117825">
        <w:rPr>
          <w:color w:val="000000"/>
        </w:rPr>
        <w:t xml:space="preserve"> series of two-factor confirmatory factor analysis models assessed all possible pairs of constructs. Each model r</w:t>
      </w:r>
      <w:r w:rsidR="00787C61" w:rsidRPr="00117825">
        <w:rPr>
          <w:color w:val="000000"/>
        </w:rPr>
        <w:t>a</w:t>
      </w:r>
      <w:r w:rsidR="00DA0F4B" w:rsidRPr="00117825">
        <w:rPr>
          <w:color w:val="000000"/>
        </w:rPr>
        <w:t>n twice: on</w:t>
      </w:r>
      <w:r w:rsidR="00AD14EE" w:rsidRPr="00117825">
        <w:rPr>
          <w:color w:val="000000"/>
        </w:rPr>
        <w:t>c</w:t>
      </w:r>
      <w:r w:rsidR="00DA0F4B" w:rsidRPr="00117825">
        <w:rPr>
          <w:color w:val="000000"/>
        </w:rPr>
        <w:t xml:space="preserve">e constraining the phi coefficient to unity and </w:t>
      </w:r>
      <w:r w:rsidR="00AD14EE" w:rsidRPr="00117825">
        <w:rPr>
          <w:color w:val="000000"/>
        </w:rPr>
        <w:t>once</w:t>
      </w:r>
      <w:r w:rsidR="00DA0F4B" w:rsidRPr="00117825">
        <w:rPr>
          <w:color w:val="000000"/>
        </w:rPr>
        <w:t xml:space="preserve"> freeing the parameter. In all pair-wise comparisons</w:t>
      </w:r>
      <w:r w:rsidR="00787C61" w:rsidRPr="00117825">
        <w:rPr>
          <w:color w:val="000000"/>
        </w:rPr>
        <w:t>,</w:t>
      </w:r>
      <w:r w:rsidR="00DA0F4B" w:rsidRPr="00117825">
        <w:rPr>
          <w:color w:val="000000"/>
        </w:rPr>
        <w:t xml:space="preserve"> the difference in </w:t>
      </w:r>
      <w:r w:rsidR="00AD14EE" w:rsidRPr="00117825">
        <w:rPr>
          <w:color w:val="000000"/>
        </w:rPr>
        <w:t xml:space="preserve">the </w:t>
      </w:r>
      <w:r w:rsidR="00DA0F4B" w:rsidRPr="00117825">
        <w:rPr>
          <w:color w:val="000000"/>
        </w:rPr>
        <w:t>chi-square value for one degree of freedom was greater than the critical value of 3.84</w:t>
      </w:r>
      <w:r w:rsidR="00551A70" w:rsidRPr="00117825">
        <w:rPr>
          <w:color w:val="000000"/>
        </w:rPr>
        <w:t>, which shows</w:t>
      </w:r>
      <w:r w:rsidR="00DA0F4B" w:rsidRPr="00117825">
        <w:rPr>
          <w:color w:val="000000"/>
        </w:rPr>
        <w:t xml:space="preserve"> evidence of discriminant validity (</w:t>
      </w:r>
      <w:proofErr w:type="spellStart"/>
      <w:r w:rsidR="00DA0F4B" w:rsidRPr="00117825">
        <w:rPr>
          <w:color w:val="000000"/>
        </w:rPr>
        <w:t>Gerbing</w:t>
      </w:r>
      <w:proofErr w:type="spellEnd"/>
      <w:r w:rsidR="00DA0F4B" w:rsidRPr="00117825">
        <w:rPr>
          <w:color w:val="000000"/>
        </w:rPr>
        <w:t xml:space="preserve"> &amp; Anderson, 1988). </w:t>
      </w:r>
      <w:r w:rsidR="00DA0F4B" w:rsidRPr="00117825">
        <w:rPr>
          <w:color w:val="000000"/>
          <w:lang w:eastAsia="el-GR"/>
        </w:rPr>
        <w:t xml:space="preserve">Cronbach’s alpha scores for the constructs </w:t>
      </w:r>
      <w:r w:rsidR="00DA0F4B" w:rsidRPr="00117825">
        <w:rPr>
          <w:color w:val="000000"/>
        </w:rPr>
        <w:t xml:space="preserve">range from </w:t>
      </w:r>
      <w:r w:rsidR="00106014" w:rsidRPr="00117825">
        <w:rPr>
          <w:color w:val="000000"/>
        </w:rPr>
        <w:t>0</w:t>
      </w:r>
      <w:r w:rsidR="00DA0F4B" w:rsidRPr="00117825">
        <w:rPr>
          <w:color w:val="000000"/>
        </w:rPr>
        <w:t xml:space="preserve">.82 (egoistic-driven attributions) to </w:t>
      </w:r>
      <w:r w:rsidR="00106014" w:rsidRPr="00117825">
        <w:rPr>
          <w:color w:val="000000"/>
        </w:rPr>
        <w:t>0</w:t>
      </w:r>
      <w:r w:rsidR="00DA0F4B" w:rsidRPr="00117825">
        <w:rPr>
          <w:color w:val="000000"/>
        </w:rPr>
        <w:t>.92 (CSR skepticism). Table 2 shows the</w:t>
      </w:r>
      <w:r w:rsidR="001A314E" w:rsidRPr="00117825">
        <w:rPr>
          <w:color w:val="000000"/>
        </w:rPr>
        <w:t xml:space="preserve"> </w:t>
      </w:r>
      <w:r w:rsidR="00DA0F4B" w:rsidRPr="00117825">
        <w:t xml:space="preserve">means, standard deviations, and </w:t>
      </w:r>
      <w:proofErr w:type="spellStart"/>
      <w:r w:rsidR="00DA0F4B" w:rsidRPr="00117825">
        <w:rPr>
          <w:bCs/>
        </w:rPr>
        <w:t>intercorrelations</w:t>
      </w:r>
      <w:proofErr w:type="spellEnd"/>
      <w:r w:rsidR="00DA0F4B" w:rsidRPr="00117825">
        <w:t xml:space="preserve"> </w:t>
      </w:r>
      <w:r w:rsidR="00DA0F4B" w:rsidRPr="00117825">
        <w:rPr>
          <w:bCs/>
        </w:rPr>
        <w:t>of</w:t>
      </w:r>
      <w:r w:rsidR="00DA0F4B" w:rsidRPr="00117825">
        <w:t xml:space="preserve"> </w:t>
      </w:r>
      <w:r w:rsidR="00DA0F4B" w:rsidRPr="00117825">
        <w:rPr>
          <w:bCs/>
        </w:rPr>
        <w:t>the</w:t>
      </w:r>
      <w:r w:rsidR="00DA0F4B" w:rsidRPr="00117825">
        <w:t xml:space="preserve"> </w:t>
      </w:r>
      <w:r w:rsidR="00DA0F4B" w:rsidRPr="00117825">
        <w:rPr>
          <w:bCs/>
        </w:rPr>
        <w:t>constructs</w:t>
      </w:r>
      <w:r w:rsidR="00671025">
        <w:t xml:space="preserve"> investigated in this study.</w:t>
      </w:r>
    </w:p>
    <w:p w:rsidR="00DA0F4B" w:rsidRPr="00117825" w:rsidRDefault="00DA0F4B" w:rsidP="00117825">
      <w:pPr>
        <w:shd w:val="clear" w:color="auto" w:fill="FFFFFF"/>
        <w:tabs>
          <w:tab w:val="left" w:pos="284"/>
        </w:tabs>
        <w:spacing w:line="480" w:lineRule="auto"/>
        <w:jc w:val="center"/>
        <w:rPr>
          <w:color w:val="000000"/>
        </w:rPr>
      </w:pPr>
      <w:r w:rsidRPr="00117825">
        <w:rPr>
          <w:color w:val="000000"/>
        </w:rPr>
        <w:t>Table 2 here</w:t>
      </w:r>
      <w:r w:rsidR="00E64ACA">
        <w:rPr>
          <w:color w:val="000000"/>
        </w:rPr>
        <w:t xml:space="preserve">. </w:t>
      </w:r>
    </w:p>
    <w:p w:rsidR="00A83F47" w:rsidRPr="00117825" w:rsidRDefault="00551A70" w:rsidP="00117825">
      <w:pPr>
        <w:shd w:val="clear" w:color="auto" w:fill="FFFFFF"/>
        <w:tabs>
          <w:tab w:val="left" w:pos="284"/>
        </w:tabs>
        <w:spacing w:line="480" w:lineRule="auto"/>
        <w:rPr>
          <w:i/>
          <w:color w:val="000000"/>
        </w:rPr>
      </w:pPr>
      <w:r w:rsidRPr="00117825">
        <w:rPr>
          <w:i/>
          <w:color w:val="000000"/>
        </w:rPr>
        <w:lastRenderedPageBreak/>
        <w:t>3</w:t>
      </w:r>
      <w:r w:rsidR="00A83F47" w:rsidRPr="00117825">
        <w:rPr>
          <w:i/>
          <w:color w:val="000000"/>
        </w:rPr>
        <w:t>.5</w:t>
      </w:r>
      <w:r w:rsidR="00787C61" w:rsidRPr="00117825">
        <w:rPr>
          <w:i/>
          <w:color w:val="000000"/>
        </w:rPr>
        <w:t>.</w:t>
      </w:r>
      <w:r w:rsidR="00A83F47" w:rsidRPr="00117825">
        <w:rPr>
          <w:i/>
          <w:color w:val="000000"/>
        </w:rPr>
        <w:t xml:space="preserve"> </w:t>
      </w:r>
      <w:r w:rsidR="009E62ED" w:rsidRPr="00117825">
        <w:rPr>
          <w:i/>
          <w:color w:val="000000"/>
        </w:rPr>
        <w:t>Assessment of c</w:t>
      </w:r>
      <w:r w:rsidR="00A83F47" w:rsidRPr="00117825">
        <w:rPr>
          <w:i/>
          <w:color w:val="000000"/>
        </w:rPr>
        <w:t>ommon method bias</w:t>
      </w:r>
    </w:p>
    <w:p w:rsidR="00DA0F4B" w:rsidRPr="00117825" w:rsidRDefault="00B857E0" w:rsidP="00117825">
      <w:pPr>
        <w:tabs>
          <w:tab w:val="left" w:pos="567"/>
        </w:tabs>
        <w:spacing w:line="480" w:lineRule="auto"/>
        <w:outlineLvl w:val="0"/>
        <w:rPr>
          <w:color w:val="000000"/>
        </w:rPr>
      </w:pPr>
      <w:r>
        <w:rPr>
          <w:color w:val="000000"/>
          <w:lang w:eastAsia="el-GR"/>
        </w:rPr>
        <w:tab/>
      </w:r>
      <w:r w:rsidR="00787C61" w:rsidRPr="00117825">
        <w:rPr>
          <w:color w:val="000000"/>
        </w:rPr>
        <w:t>S</w:t>
      </w:r>
      <w:r w:rsidR="00B75779" w:rsidRPr="00117825">
        <w:rPr>
          <w:color w:val="000000"/>
        </w:rPr>
        <w:t xml:space="preserve">everal steps </w:t>
      </w:r>
      <w:r w:rsidR="00787C61" w:rsidRPr="00117825">
        <w:rPr>
          <w:color w:val="000000"/>
        </w:rPr>
        <w:t xml:space="preserve">helped </w:t>
      </w:r>
      <w:r w:rsidR="00B75779" w:rsidRPr="00117825">
        <w:rPr>
          <w:color w:val="000000"/>
        </w:rPr>
        <w:t>reduce the risk of common method bias (</w:t>
      </w:r>
      <w:proofErr w:type="spellStart"/>
      <w:r w:rsidR="00B75779" w:rsidRPr="00117825">
        <w:rPr>
          <w:color w:val="000000"/>
        </w:rPr>
        <w:t>Podsakoff</w:t>
      </w:r>
      <w:proofErr w:type="spellEnd"/>
      <w:r w:rsidR="00B75779" w:rsidRPr="00117825">
        <w:rPr>
          <w:color w:val="000000"/>
        </w:rPr>
        <w:t xml:space="preserve">, </w:t>
      </w:r>
      <w:proofErr w:type="spellStart"/>
      <w:r w:rsidR="00B75779" w:rsidRPr="00117825">
        <w:rPr>
          <w:color w:val="000000"/>
        </w:rPr>
        <w:t>MacKenzie</w:t>
      </w:r>
      <w:proofErr w:type="spellEnd"/>
      <w:r w:rsidR="00B75779" w:rsidRPr="00117825">
        <w:rPr>
          <w:color w:val="000000"/>
        </w:rPr>
        <w:t xml:space="preserve">, Lee, &amp; </w:t>
      </w:r>
      <w:proofErr w:type="spellStart"/>
      <w:r w:rsidR="00B75779" w:rsidRPr="00117825">
        <w:rPr>
          <w:color w:val="000000"/>
        </w:rPr>
        <w:t>Podsakoff</w:t>
      </w:r>
      <w:proofErr w:type="spellEnd"/>
      <w:r w:rsidR="00B75779" w:rsidRPr="00117825">
        <w:rPr>
          <w:color w:val="000000"/>
        </w:rPr>
        <w:t xml:space="preserve">, 2003). </w:t>
      </w:r>
      <w:r w:rsidR="00787C61" w:rsidRPr="00117825">
        <w:rPr>
          <w:color w:val="000000"/>
        </w:rPr>
        <w:t>T</w:t>
      </w:r>
      <w:r w:rsidR="00B75779" w:rsidRPr="00117825">
        <w:rPr>
          <w:color w:val="000000"/>
        </w:rPr>
        <w:t xml:space="preserve">he </w:t>
      </w:r>
      <w:r w:rsidR="00787C61" w:rsidRPr="00117825">
        <w:rPr>
          <w:color w:val="000000"/>
        </w:rPr>
        <w:t xml:space="preserve">particular </w:t>
      </w:r>
      <w:r w:rsidR="00B75779" w:rsidRPr="00117825">
        <w:rPr>
          <w:color w:val="000000"/>
        </w:rPr>
        <w:t xml:space="preserve">design and administration phases of the survey ensured the use of clear grammar and concise scale items; guaranteed and communicated anonymity and confidentiality to all study participants; made explicit that </w:t>
      </w:r>
      <w:r w:rsidR="00D902E4" w:rsidRPr="00117825">
        <w:rPr>
          <w:color w:val="000000"/>
        </w:rPr>
        <w:t xml:space="preserve">the questions had </w:t>
      </w:r>
      <w:r w:rsidR="00B75779" w:rsidRPr="00117825">
        <w:rPr>
          <w:color w:val="000000"/>
        </w:rPr>
        <w:t>no right or wrong answers; grouped construct items in general topic categories, instead of positioning them by variable; and employed different, rather than a single, response formats. Harman’s single factor test</w:t>
      </w:r>
      <w:r w:rsidR="00787C61" w:rsidRPr="00117825">
        <w:rPr>
          <w:color w:val="000000"/>
        </w:rPr>
        <w:t xml:space="preserve"> was performed on all questionnaires</w:t>
      </w:r>
      <w:r w:rsidR="00B75779" w:rsidRPr="00117825">
        <w:rPr>
          <w:color w:val="000000"/>
        </w:rPr>
        <w:t xml:space="preserve">. Using </w:t>
      </w:r>
      <w:proofErr w:type="spellStart"/>
      <w:r w:rsidR="00B75779" w:rsidRPr="00117825">
        <w:rPr>
          <w:color w:val="000000"/>
        </w:rPr>
        <w:t>varimax</w:t>
      </w:r>
      <w:proofErr w:type="spellEnd"/>
      <w:r w:rsidR="00B75779" w:rsidRPr="00117825">
        <w:rPr>
          <w:color w:val="000000"/>
        </w:rPr>
        <w:t xml:space="preserve"> rotation, the results of an exploratory factor analysis with all the model variables showed that nine factors account</w:t>
      </w:r>
      <w:r w:rsidR="00787C61" w:rsidRPr="00117825">
        <w:rPr>
          <w:color w:val="000000"/>
        </w:rPr>
        <w:t>ed</w:t>
      </w:r>
      <w:r w:rsidR="00B75779" w:rsidRPr="00117825">
        <w:rPr>
          <w:color w:val="000000"/>
        </w:rPr>
        <w:t xml:space="preserve"> for 71% of the total variance, with the first factor explaining only 27% of the variance, </w:t>
      </w:r>
      <w:r w:rsidR="008213BB" w:rsidRPr="00117825">
        <w:rPr>
          <w:color w:val="000000"/>
        </w:rPr>
        <w:t xml:space="preserve">suggesting </w:t>
      </w:r>
      <w:r w:rsidR="00B75779" w:rsidRPr="00117825">
        <w:rPr>
          <w:color w:val="000000"/>
        </w:rPr>
        <w:t xml:space="preserve">the absence of a single </w:t>
      </w:r>
      <w:r w:rsidR="00551A70" w:rsidRPr="00117825">
        <w:rPr>
          <w:color w:val="000000"/>
        </w:rPr>
        <w:t xml:space="preserve">general </w:t>
      </w:r>
      <w:r w:rsidR="00B75779" w:rsidRPr="00117825">
        <w:rPr>
          <w:color w:val="000000"/>
        </w:rPr>
        <w:t>factor in the data</w:t>
      </w:r>
      <w:r w:rsidR="00787C61" w:rsidRPr="00117825">
        <w:rPr>
          <w:color w:val="000000"/>
        </w:rPr>
        <w:t xml:space="preserve"> </w:t>
      </w:r>
      <w:r w:rsidR="00B75779" w:rsidRPr="00117825">
        <w:rPr>
          <w:color w:val="000000"/>
        </w:rPr>
        <w:t>set.</w:t>
      </w:r>
    </w:p>
    <w:p w:rsidR="00DA0F4B" w:rsidRPr="00117825" w:rsidRDefault="00EA0B09" w:rsidP="00117825">
      <w:pPr>
        <w:tabs>
          <w:tab w:val="left" w:pos="284"/>
        </w:tabs>
        <w:spacing w:line="480" w:lineRule="auto"/>
        <w:outlineLvl w:val="0"/>
        <w:rPr>
          <w:i/>
          <w:color w:val="000000"/>
        </w:rPr>
      </w:pPr>
      <w:r w:rsidRPr="00117825">
        <w:rPr>
          <w:i/>
          <w:color w:val="000000"/>
        </w:rPr>
        <w:t>3</w:t>
      </w:r>
      <w:r w:rsidR="00DA0F4B" w:rsidRPr="00117825">
        <w:rPr>
          <w:i/>
          <w:color w:val="000000"/>
        </w:rPr>
        <w:t>.</w:t>
      </w:r>
      <w:r w:rsidR="00A83F47" w:rsidRPr="00117825">
        <w:rPr>
          <w:i/>
          <w:color w:val="000000"/>
        </w:rPr>
        <w:t>6</w:t>
      </w:r>
      <w:r w:rsidR="00787C61" w:rsidRPr="00117825">
        <w:rPr>
          <w:i/>
          <w:color w:val="000000"/>
        </w:rPr>
        <w:t>.</w:t>
      </w:r>
      <w:r w:rsidR="00A83F47" w:rsidRPr="00117825">
        <w:rPr>
          <w:i/>
          <w:color w:val="000000"/>
        </w:rPr>
        <w:t xml:space="preserve"> </w:t>
      </w:r>
      <w:r w:rsidR="00DA0F4B" w:rsidRPr="00117825">
        <w:rPr>
          <w:i/>
          <w:color w:val="000000"/>
        </w:rPr>
        <w:t>Hypotheses testing</w:t>
      </w:r>
    </w:p>
    <w:p w:rsidR="00217369" w:rsidRDefault="00B857E0" w:rsidP="00671025">
      <w:pPr>
        <w:tabs>
          <w:tab w:val="left" w:pos="567"/>
        </w:tabs>
        <w:autoSpaceDE w:val="0"/>
        <w:autoSpaceDN w:val="0"/>
        <w:adjustRightInd w:val="0"/>
        <w:spacing w:line="480" w:lineRule="auto"/>
        <w:rPr>
          <w:color w:val="000000"/>
        </w:rPr>
      </w:pPr>
      <w:r>
        <w:rPr>
          <w:color w:val="000000"/>
        </w:rPr>
        <w:tab/>
      </w:r>
      <w:r w:rsidR="00DA0F4B" w:rsidRPr="00117825">
        <w:rPr>
          <w:color w:val="000000"/>
        </w:rPr>
        <w:t>The study employed structural equation modeling to test the research hypotheses. The model results provide evidence of a good fit to the data (</w:t>
      </w:r>
      <w:proofErr w:type="gramStart"/>
      <w:r w:rsidR="00DA0F4B" w:rsidRPr="00117825">
        <w:rPr>
          <w:color w:val="000000"/>
        </w:rPr>
        <w:t>χ</w:t>
      </w:r>
      <w:r w:rsidR="00DA0F4B" w:rsidRPr="00117825">
        <w:rPr>
          <w:color w:val="000000"/>
          <w:vertAlign w:val="superscript"/>
        </w:rPr>
        <w:t>2</w:t>
      </w:r>
      <w:r w:rsidR="00DA0F4B" w:rsidRPr="00117825">
        <w:rPr>
          <w:color w:val="000000"/>
          <w:vertAlign w:val="subscript"/>
        </w:rPr>
        <w:t>(</w:t>
      </w:r>
      <w:proofErr w:type="gramEnd"/>
      <w:r w:rsidR="00DA0F4B" w:rsidRPr="00117825">
        <w:rPr>
          <w:color w:val="000000"/>
          <w:vertAlign w:val="subscript"/>
        </w:rPr>
        <w:t>444)</w:t>
      </w:r>
      <w:r w:rsidR="00DA0F4B" w:rsidRPr="00117825">
        <w:rPr>
          <w:color w:val="000000"/>
        </w:rPr>
        <w:t xml:space="preserve"> = 884.99,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.001; </w:t>
      </w:r>
      <w:r w:rsidR="00DA0F4B" w:rsidRPr="00117825">
        <w:rPr>
          <w:color w:val="000000"/>
        </w:rPr>
        <w:sym w:font="Symbol" w:char="F063"/>
      </w:r>
      <w:r w:rsidR="00DA0F4B" w:rsidRPr="00117825">
        <w:rPr>
          <w:color w:val="000000"/>
          <w:vertAlign w:val="superscript"/>
        </w:rPr>
        <w:t>2</w:t>
      </w:r>
      <w:r w:rsidR="00DA0F4B" w:rsidRPr="00117825">
        <w:rPr>
          <w:color w:val="000000"/>
          <w:lang w:eastAsia="el-GR"/>
        </w:rPr>
        <w:t>/</w:t>
      </w:r>
      <w:proofErr w:type="spellStart"/>
      <w:r w:rsidR="00DA0F4B" w:rsidRPr="00117825">
        <w:rPr>
          <w:iCs/>
          <w:color w:val="000000"/>
          <w:lang w:eastAsia="el-GR"/>
        </w:rPr>
        <w:t>df</w:t>
      </w:r>
      <w:proofErr w:type="spellEnd"/>
      <w:r w:rsidR="00DA0F4B" w:rsidRPr="00117825">
        <w:rPr>
          <w:color w:val="000000"/>
          <w:lang w:eastAsia="el-GR"/>
        </w:rPr>
        <w:t xml:space="preserve"> = 1.99;</w:t>
      </w:r>
      <w:r w:rsidR="00DA0F4B" w:rsidRPr="00117825">
        <w:rPr>
          <w:color w:val="000000"/>
        </w:rPr>
        <w:t xml:space="preserve"> NFI = </w:t>
      </w:r>
      <w:r w:rsidR="002B1087" w:rsidRPr="00117825">
        <w:rPr>
          <w:color w:val="000000"/>
        </w:rPr>
        <w:t>0</w:t>
      </w:r>
      <w:r w:rsidR="00DA0F4B" w:rsidRPr="00117825">
        <w:rPr>
          <w:color w:val="000000"/>
        </w:rPr>
        <w:t xml:space="preserve">.92; NNFI = </w:t>
      </w:r>
      <w:r w:rsidR="002B1087" w:rsidRPr="00117825">
        <w:rPr>
          <w:color w:val="000000"/>
        </w:rPr>
        <w:t>0</w:t>
      </w:r>
      <w:r w:rsidR="00DA0F4B" w:rsidRPr="00117825">
        <w:rPr>
          <w:color w:val="000000"/>
        </w:rPr>
        <w:t xml:space="preserve">.95; CFI = </w:t>
      </w:r>
      <w:r w:rsidR="002B1087" w:rsidRPr="00117825">
        <w:rPr>
          <w:color w:val="000000"/>
        </w:rPr>
        <w:t>0</w:t>
      </w:r>
      <w:r w:rsidR="00DA0F4B" w:rsidRPr="00117825">
        <w:rPr>
          <w:color w:val="000000"/>
        </w:rPr>
        <w:t xml:space="preserve">.96; IFI = </w:t>
      </w:r>
      <w:r w:rsidR="002B1087" w:rsidRPr="00117825">
        <w:rPr>
          <w:color w:val="000000"/>
        </w:rPr>
        <w:t>0</w:t>
      </w:r>
      <w:r w:rsidR="00DA0F4B" w:rsidRPr="00117825">
        <w:rPr>
          <w:color w:val="000000"/>
        </w:rPr>
        <w:t xml:space="preserve">.96; RMSEA = </w:t>
      </w:r>
      <w:r w:rsidR="002B1087" w:rsidRPr="00117825">
        <w:rPr>
          <w:color w:val="000000"/>
        </w:rPr>
        <w:t>0</w:t>
      </w:r>
      <w:r w:rsidR="00DA0F4B" w:rsidRPr="00117825">
        <w:rPr>
          <w:color w:val="000000"/>
        </w:rPr>
        <w:t xml:space="preserve">.045; AOSR = </w:t>
      </w:r>
      <w:r w:rsidR="002B1087" w:rsidRPr="00117825">
        <w:rPr>
          <w:color w:val="000000"/>
        </w:rPr>
        <w:t>0</w:t>
      </w:r>
      <w:r w:rsidR="00DA0F4B" w:rsidRPr="00117825">
        <w:rPr>
          <w:color w:val="000000"/>
        </w:rPr>
        <w:t xml:space="preserve">.039). The results </w:t>
      </w:r>
      <w:r w:rsidR="00607912" w:rsidRPr="00117825">
        <w:rPr>
          <w:color w:val="000000"/>
        </w:rPr>
        <w:t xml:space="preserve">(see Table 3) </w:t>
      </w:r>
      <w:r w:rsidR="00DA0F4B" w:rsidRPr="00117825">
        <w:rPr>
          <w:color w:val="000000"/>
        </w:rPr>
        <w:t xml:space="preserve">reveal that, with the exception of H3—in which no significant </w:t>
      </w:r>
      <w:r w:rsidR="00607912" w:rsidRPr="00117825">
        <w:rPr>
          <w:color w:val="000000"/>
        </w:rPr>
        <w:t xml:space="preserve">link </w:t>
      </w:r>
      <w:r w:rsidR="00DA0F4B" w:rsidRPr="00117825">
        <w:rPr>
          <w:color w:val="000000"/>
        </w:rPr>
        <w:t xml:space="preserve">exists between strategic-driven attributions and CSR skepticism (β = </w:t>
      </w:r>
      <w:r w:rsidR="00787C61" w:rsidRPr="00117825">
        <w:rPr>
          <w:color w:val="000000"/>
        </w:rPr>
        <w:t>–</w:t>
      </w:r>
      <w:r w:rsidR="00106014" w:rsidRPr="00117825">
        <w:rPr>
          <w:color w:val="000000"/>
        </w:rPr>
        <w:t>0</w:t>
      </w:r>
      <w:r w:rsidR="00DA0F4B" w:rsidRPr="00117825">
        <w:rPr>
          <w:color w:val="000000"/>
        </w:rPr>
        <w:t xml:space="preserve">.06, </w:t>
      </w:r>
      <w:r w:rsidR="00DA0F4B" w:rsidRPr="00117825">
        <w:rPr>
          <w:i/>
          <w:color w:val="000000"/>
        </w:rPr>
        <w:t>p</w:t>
      </w:r>
      <w:r w:rsidR="00DA0F4B" w:rsidRPr="00117825">
        <w:rPr>
          <w:color w:val="000000"/>
        </w:rPr>
        <w:t xml:space="preserve"> &gt; </w:t>
      </w:r>
      <w:r w:rsidR="00106014" w:rsidRPr="00117825">
        <w:rPr>
          <w:color w:val="000000"/>
        </w:rPr>
        <w:t>0</w:t>
      </w:r>
      <w:r w:rsidR="00DA0F4B" w:rsidRPr="00117825">
        <w:rPr>
          <w:color w:val="000000"/>
        </w:rPr>
        <w:t xml:space="preserve">.05)—the hypothesized relationships are all significant and in the theorized direction. Specifically, in support of H1, egoistic-driven attributions relate positively to CSR skepticism (β = </w:t>
      </w:r>
      <w:r w:rsidR="00106014" w:rsidRPr="00117825">
        <w:rPr>
          <w:color w:val="000000"/>
        </w:rPr>
        <w:t>0</w:t>
      </w:r>
      <w:r w:rsidR="00DA0F4B" w:rsidRPr="00117825">
        <w:rPr>
          <w:color w:val="000000"/>
        </w:rPr>
        <w:t>.2</w:t>
      </w:r>
      <w:r w:rsidR="00EF325F" w:rsidRPr="00117825">
        <w:rPr>
          <w:color w:val="000000"/>
        </w:rPr>
        <w:t>6</w:t>
      </w:r>
      <w:r w:rsidR="00DA0F4B" w:rsidRPr="00117825">
        <w:rPr>
          <w:color w:val="000000"/>
        </w:rPr>
        <w:t xml:space="preserve">,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.01). Consistent with H2, values-driven attributions associate negatively with CSR skepticism (β = </w:t>
      </w:r>
      <w:r w:rsidR="00787C61" w:rsidRPr="00117825">
        <w:rPr>
          <w:color w:val="000000"/>
        </w:rPr>
        <w:t>–</w:t>
      </w:r>
      <w:r w:rsidR="00106014" w:rsidRPr="00117825">
        <w:rPr>
          <w:color w:val="000000"/>
        </w:rPr>
        <w:t>0</w:t>
      </w:r>
      <w:r w:rsidR="00DA0F4B" w:rsidRPr="00117825">
        <w:rPr>
          <w:color w:val="000000"/>
        </w:rPr>
        <w:t xml:space="preserve">.43,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.01). </w:t>
      </w:r>
      <w:r w:rsidR="00F805C4" w:rsidRPr="00117825">
        <w:rPr>
          <w:color w:val="000000"/>
        </w:rPr>
        <w:t xml:space="preserve">In </w:t>
      </w:r>
      <w:r w:rsidR="006E55B2" w:rsidRPr="00117825">
        <w:rPr>
          <w:color w:val="000000"/>
        </w:rPr>
        <w:t>support of</w:t>
      </w:r>
      <w:r w:rsidR="00DA0F4B" w:rsidRPr="00117825">
        <w:rPr>
          <w:color w:val="000000"/>
        </w:rPr>
        <w:t xml:space="preserve"> H4, stakeholder-driven attributions relate positively to CSR skepticism (β = </w:t>
      </w:r>
      <w:r w:rsidR="00106014" w:rsidRPr="00117825">
        <w:rPr>
          <w:color w:val="000000"/>
        </w:rPr>
        <w:t>0</w:t>
      </w:r>
      <w:r w:rsidR="00DA0F4B" w:rsidRPr="00117825">
        <w:rPr>
          <w:color w:val="000000"/>
        </w:rPr>
        <w:t xml:space="preserve">.13, </w:t>
      </w:r>
      <w:r w:rsidR="00DA0F4B" w:rsidRPr="00117825">
        <w:rPr>
          <w:i/>
          <w:color w:val="000000"/>
        </w:rPr>
        <w:t>p</w:t>
      </w:r>
      <w:r w:rsidR="00DA0F4B" w:rsidRPr="00117825">
        <w:rPr>
          <w:color w:val="000000"/>
        </w:rPr>
        <w:t xml:space="preserve"> &lt;</w:t>
      </w:r>
      <w:r w:rsidR="00106014" w:rsidRPr="00117825">
        <w:rPr>
          <w:color w:val="000000"/>
        </w:rPr>
        <w:t xml:space="preserve"> 0</w:t>
      </w:r>
      <w:r w:rsidR="00DA0F4B" w:rsidRPr="00117825">
        <w:rPr>
          <w:color w:val="000000"/>
        </w:rPr>
        <w:t xml:space="preserve">.01). </w:t>
      </w:r>
    </w:p>
    <w:p w:rsidR="00DA0F4B" w:rsidRDefault="00217369" w:rsidP="00671025">
      <w:pPr>
        <w:tabs>
          <w:tab w:val="left" w:pos="567"/>
        </w:tabs>
        <w:autoSpaceDE w:val="0"/>
        <w:autoSpaceDN w:val="0"/>
        <w:adjustRightInd w:val="0"/>
        <w:spacing w:line="480" w:lineRule="auto"/>
        <w:rPr>
          <w:color w:val="000000"/>
        </w:rPr>
      </w:pPr>
      <w:r>
        <w:rPr>
          <w:color w:val="000000"/>
        </w:rPr>
        <w:tab/>
      </w:r>
      <w:r w:rsidR="00DA0F4B" w:rsidRPr="00117825">
        <w:rPr>
          <w:color w:val="000000"/>
        </w:rPr>
        <w:t>In line with H5, H6, and H7, CSR skepticism associate</w:t>
      </w:r>
      <w:r w:rsidR="006843CE" w:rsidRPr="00117825">
        <w:rPr>
          <w:color w:val="000000"/>
        </w:rPr>
        <w:t>s</w:t>
      </w:r>
      <w:r w:rsidR="00DA0F4B" w:rsidRPr="00117825">
        <w:rPr>
          <w:color w:val="000000"/>
        </w:rPr>
        <w:t xml:space="preserve"> negatively with equity (β = </w:t>
      </w:r>
      <w:r w:rsidR="00787C61" w:rsidRPr="00117825">
        <w:rPr>
          <w:color w:val="000000"/>
        </w:rPr>
        <w:t>–</w:t>
      </w:r>
      <w:r w:rsidR="00106014" w:rsidRPr="00117825">
        <w:rPr>
          <w:color w:val="000000"/>
        </w:rPr>
        <w:t>0</w:t>
      </w:r>
      <w:r w:rsidR="00DA0F4B" w:rsidRPr="00117825">
        <w:rPr>
          <w:color w:val="000000"/>
        </w:rPr>
        <w:t xml:space="preserve">.41,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.01), resilience to negative information (β = </w:t>
      </w:r>
      <w:r w:rsidR="00787C61" w:rsidRPr="00117825">
        <w:rPr>
          <w:color w:val="000000"/>
        </w:rPr>
        <w:t>–</w:t>
      </w:r>
      <w:r w:rsidR="00106014" w:rsidRPr="00117825">
        <w:rPr>
          <w:color w:val="000000"/>
        </w:rPr>
        <w:t>0</w:t>
      </w:r>
      <w:r w:rsidR="00DA0F4B" w:rsidRPr="00117825">
        <w:rPr>
          <w:color w:val="000000"/>
        </w:rPr>
        <w:t xml:space="preserve">.27,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.01), and WOM (β = </w:t>
      </w:r>
      <w:r w:rsidR="00787C61" w:rsidRPr="00117825">
        <w:rPr>
          <w:color w:val="000000"/>
        </w:rPr>
        <w:t>–</w:t>
      </w:r>
      <w:r w:rsidR="00106014" w:rsidRPr="00117825">
        <w:rPr>
          <w:color w:val="000000"/>
        </w:rPr>
        <w:t>0</w:t>
      </w:r>
      <w:r w:rsidR="00DA0F4B" w:rsidRPr="00117825">
        <w:rPr>
          <w:color w:val="000000"/>
        </w:rPr>
        <w:t xml:space="preserve">.20,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.01)</w:t>
      </w:r>
      <w:r w:rsidR="00F01E87" w:rsidRPr="00117825">
        <w:rPr>
          <w:color w:val="000000"/>
        </w:rPr>
        <w:t>, respectively</w:t>
      </w:r>
      <w:r w:rsidR="00DA0F4B" w:rsidRPr="00117825">
        <w:rPr>
          <w:color w:val="000000"/>
        </w:rPr>
        <w:t xml:space="preserve">. As H8 and H9 predict, equity relates positively to resilience to </w:t>
      </w:r>
      <w:r w:rsidR="00DA0F4B" w:rsidRPr="00117825">
        <w:rPr>
          <w:color w:val="000000"/>
        </w:rPr>
        <w:lastRenderedPageBreak/>
        <w:t xml:space="preserve">negative information (β = </w:t>
      </w:r>
      <w:r w:rsidR="00106014" w:rsidRPr="00117825">
        <w:rPr>
          <w:color w:val="000000"/>
        </w:rPr>
        <w:t>0</w:t>
      </w:r>
      <w:r w:rsidR="00DA0F4B" w:rsidRPr="00117825">
        <w:rPr>
          <w:color w:val="000000"/>
        </w:rPr>
        <w:t xml:space="preserve">.19,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.01) and WOM (β = </w:t>
      </w:r>
      <w:r w:rsidR="00106014" w:rsidRPr="00117825">
        <w:rPr>
          <w:color w:val="000000"/>
        </w:rPr>
        <w:t>0</w:t>
      </w:r>
      <w:r w:rsidR="00DA0F4B" w:rsidRPr="00117825">
        <w:rPr>
          <w:color w:val="000000"/>
        </w:rPr>
        <w:t xml:space="preserve">.30,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.01)</w:t>
      </w:r>
      <w:r w:rsidR="00F01E87" w:rsidRPr="00117825">
        <w:rPr>
          <w:color w:val="000000"/>
        </w:rPr>
        <w:t>, respectively</w:t>
      </w:r>
      <w:r w:rsidR="00DA0F4B" w:rsidRPr="00117825">
        <w:rPr>
          <w:color w:val="000000"/>
        </w:rPr>
        <w:t>. F</w:t>
      </w:r>
      <w:r w:rsidR="00F805C4" w:rsidRPr="00117825">
        <w:rPr>
          <w:color w:val="000000"/>
        </w:rPr>
        <w:t>inally</w:t>
      </w:r>
      <w:r w:rsidR="00DA0F4B" w:rsidRPr="00117825">
        <w:rPr>
          <w:color w:val="000000"/>
        </w:rPr>
        <w:t xml:space="preserve">, customer orientation associates negatively with CSR skepticism (β = </w:t>
      </w:r>
      <w:r w:rsidR="00787C61" w:rsidRPr="00117825">
        <w:rPr>
          <w:color w:val="000000"/>
        </w:rPr>
        <w:t>–</w:t>
      </w:r>
      <w:r w:rsidR="00106014" w:rsidRPr="00117825">
        <w:rPr>
          <w:color w:val="000000"/>
        </w:rPr>
        <w:t>0</w:t>
      </w:r>
      <w:r w:rsidR="00DA0F4B" w:rsidRPr="00117825">
        <w:rPr>
          <w:color w:val="000000"/>
        </w:rPr>
        <w:t xml:space="preserve">.25,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.01) and positively with equity (β = </w:t>
      </w:r>
      <w:r w:rsidR="00106014" w:rsidRPr="00117825">
        <w:rPr>
          <w:color w:val="000000"/>
        </w:rPr>
        <w:t>0</w:t>
      </w:r>
      <w:r w:rsidR="00DA0F4B" w:rsidRPr="00117825">
        <w:rPr>
          <w:color w:val="000000"/>
        </w:rPr>
        <w:t xml:space="preserve">.19,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.01), resilience to negative information (β =</w:t>
      </w:r>
      <w:r w:rsidR="00106014" w:rsidRPr="00117825">
        <w:rPr>
          <w:color w:val="000000"/>
        </w:rPr>
        <w:t xml:space="preserve"> 0</w:t>
      </w:r>
      <w:r w:rsidR="00DA0F4B" w:rsidRPr="00117825">
        <w:rPr>
          <w:color w:val="000000"/>
        </w:rPr>
        <w:t xml:space="preserve">.15,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 xml:space="preserve">.01), and WOM (β = </w:t>
      </w:r>
      <w:r w:rsidR="00106014" w:rsidRPr="00117825">
        <w:rPr>
          <w:color w:val="000000"/>
        </w:rPr>
        <w:t>0</w:t>
      </w:r>
      <w:r w:rsidR="00DA0F4B" w:rsidRPr="00117825">
        <w:rPr>
          <w:color w:val="000000"/>
        </w:rPr>
        <w:t xml:space="preserve">.13, </w:t>
      </w:r>
      <w:r w:rsidR="00DA0F4B" w:rsidRPr="00117825">
        <w:rPr>
          <w:i/>
          <w:color w:val="000000"/>
        </w:rPr>
        <w:t>p</w:t>
      </w:r>
      <w:r w:rsidR="00DA0F4B" w:rsidRPr="00117825">
        <w:rPr>
          <w:color w:val="000000"/>
        </w:rPr>
        <w:t xml:space="preserve"> &lt; </w:t>
      </w:r>
      <w:r w:rsidR="00106014" w:rsidRPr="00117825">
        <w:rPr>
          <w:color w:val="000000"/>
        </w:rPr>
        <w:t>0</w:t>
      </w:r>
      <w:r w:rsidR="00DA0F4B" w:rsidRPr="00117825">
        <w:rPr>
          <w:color w:val="000000"/>
        </w:rPr>
        <w:t>.05). Overall, the research model predicts approximately a quarter of the observed variance for resilience to negative information (25%), WOM (27%), and equity (28%) and almost half the var</w:t>
      </w:r>
      <w:r w:rsidR="00671025">
        <w:rPr>
          <w:color w:val="000000"/>
        </w:rPr>
        <w:t>iance for CSR skepticism (48%).</w:t>
      </w:r>
    </w:p>
    <w:p w:rsidR="00D102E3" w:rsidRPr="00671025" w:rsidRDefault="00671025" w:rsidP="00671025">
      <w:pPr>
        <w:tabs>
          <w:tab w:val="left" w:pos="284"/>
        </w:tabs>
        <w:spacing w:line="480" w:lineRule="auto"/>
        <w:jc w:val="center"/>
        <w:outlineLvl w:val="0"/>
        <w:rPr>
          <w:color w:val="000000"/>
        </w:rPr>
      </w:pPr>
      <w:r>
        <w:rPr>
          <w:color w:val="000000"/>
        </w:rPr>
        <w:t>Table 3 here</w:t>
      </w:r>
      <w:r w:rsidR="00217369">
        <w:rPr>
          <w:color w:val="000000"/>
        </w:rPr>
        <w:t>.</w:t>
      </w:r>
    </w:p>
    <w:p w:rsidR="004466BB" w:rsidRPr="00117825" w:rsidRDefault="00EA0B09" w:rsidP="00117825">
      <w:pPr>
        <w:tabs>
          <w:tab w:val="left" w:pos="284"/>
        </w:tabs>
        <w:spacing w:line="480" w:lineRule="auto"/>
        <w:outlineLvl w:val="0"/>
        <w:rPr>
          <w:i/>
          <w:color w:val="000000"/>
        </w:rPr>
      </w:pPr>
      <w:r w:rsidRPr="00117825">
        <w:rPr>
          <w:i/>
          <w:color w:val="000000"/>
        </w:rPr>
        <w:t>3</w:t>
      </w:r>
      <w:r w:rsidR="004466BB" w:rsidRPr="00117825">
        <w:rPr>
          <w:i/>
          <w:color w:val="000000"/>
        </w:rPr>
        <w:t>.7</w:t>
      </w:r>
      <w:r w:rsidR="002B1087" w:rsidRPr="00117825">
        <w:rPr>
          <w:i/>
          <w:color w:val="000000"/>
        </w:rPr>
        <w:t>.</w:t>
      </w:r>
      <w:r w:rsidR="004466BB" w:rsidRPr="00117825">
        <w:rPr>
          <w:i/>
          <w:color w:val="000000"/>
        </w:rPr>
        <w:t xml:space="preserve"> </w:t>
      </w:r>
      <w:r w:rsidR="00770CB7" w:rsidRPr="00117825">
        <w:rPr>
          <w:i/>
          <w:color w:val="000000"/>
        </w:rPr>
        <w:t>Rival models</w:t>
      </w:r>
    </w:p>
    <w:p w:rsidR="00217369" w:rsidRDefault="00B857E0" w:rsidP="00117825">
      <w:pPr>
        <w:tabs>
          <w:tab w:val="left" w:pos="567"/>
        </w:tabs>
        <w:spacing w:line="480" w:lineRule="auto"/>
        <w:rPr>
          <w:rFonts w:eastAsia="Calibri"/>
        </w:rPr>
      </w:pPr>
      <w:r>
        <w:rPr>
          <w:rFonts w:eastAsia="Calibri"/>
        </w:rPr>
        <w:tab/>
      </w:r>
      <w:r w:rsidR="004D1531" w:rsidRPr="00117825">
        <w:rPr>
          <w:rFonts w:eastAsia="Calibri"/>
        </w:rPr>
        <w:t>The study model posits a mediating role of CSR skepticism. A rival model might predict that attributions of egoistic-, values-, strategic-, and stakeholder-driven motives also direct</w:t>
      </w:r>
      <w:r w:rsidR="002B1087" w:rsidRPr="00117825">
        <w:rPr>
          <w:rFonts w:eastAsia="Calibri"/>
        </w:rPr>
        <w:t>ly</w:t>
      </w:r>
      <w:r w:rsidR="004D1531" w:rsidRPr="00117825">
        <w:rPr>
          <w:rFonts w:eastAsia="Calibri"/>
        </w:rPr>
        <w:t xml:space="preserve"> influence equity, resistance to negative information, and </w:t>
      </w:r>
      <w:r w:rsidR="00A21F6A" w:rsidRPr="00117825">
        <w:rPr>
          <w:rFonts w:eastAsia="Calibri"/>
        </w:rPr>
        <w:t>WOM</w:t>
      </w:r>
      <w:r w:rsidR="004D1531" w:rsidRPr="00117825">
        <w:rPr>
          <w:rFonts w:eastAsia="Calibri"/>
        </w:rPr>
        <w:t>. The results of the partial mediation model (</w:t>
      </w:r>
      <w:r w:rsidR="004D1531" w:rsidRPr="00117825">
        <w:rPr>
          <w:rFonts w:eastAsia="Calibri"/>
          <w:lang w:val="el-GR"/>
        </w:rPr>
        <w:sym w:font="Symbol" w:char="F063"/>
      </w:r>
      <w:r w:rsidR="004D1531" w:rsidRPr="00117825">
        <w:rPr>
          <w:rFonts w:eastAsia="Calibri"/>
          <w:vertAlign w:val="superscript"/>
        </w:rPr>
        <w:t>2</w:t>
      </w:r>
      <w:r w:rsidR="004D1531" w:rsidRPr="00117825">
        <w:rPr>
          <w:rFonts w:eastAsia="Calibri"/>
          <w:vertAlign w:val="subscript"/>
        </w:rPr>
        <w:t xml:space="preserve">(430) </w:t>
      </w:r>
      <w:r w:rsidR="004D1531" w:rsidRPr="00117825">
        <w:rPr>
          <w:rFonts w:eastAsia="Calibri"/>
        </w:rPr>
        <w:t xml:space="preserve">= 886.74, </w:t>
      </w:r>
      <w:r w:rsidR="004D1531" w:rsidRPr="00117825">
        <w:rPr>
          <w:rFonts w:eastAsia="Calibri"/>
          <w:i/>
        </w:rPr>
        <w:t>p</w:t>
      </w:r>
      <w:r w:rsidR="004D1531" w:rsidRPr="00117825">
        <w:rPr>
          <w:rFonts w:eastAsia="Calibri"/>
        </w:rPr>
        <w:t xml:space="preserve"> &lt; </w:t>
      </w:r>
      <w:r w:rsidR="00106014" w:rsidRPr="00117825">
        <w:rPr>
          <w:rFonts w:eastAsia="Calibri"/>
        </w:rPr>
        <w:t>0</w:t>
      </w:r>
      <w:r w:rsidR="004D1531" w:rsidRPr="00117825">
        <w:rPr>
          <w:rFonts w:eastAsia="Calibri"/>
        </w:rPr>
        <w:t xml:space="preserve">.001, </w:t>
      </w:r>
      <w:r w:rsidR="00C87DEE" w:rsidRPr="00117825">
        <w:rPr>
          <w:color w:val="000000"/>
        </w:rPr>
        <w:sym w:font="Symbol" w:char="F063"/>
      </w:r>
      <w:r w:rsidR="00C87DEE" w:rsidRPr="00117825">
        <w:rPr>
          <w:color w:val="000000"/>
          <w:vertAlign w:val="superscript"/>
        </w:rPr>
        <w:t>2</w:t>
      </w:r>
      <w:r w:rsidR="00C87DEE" w:rsidRPr="00117825">
        <w:rPr>
          <w:color w:val="000000"/>
          <w:lang w:eastAsia="el-GR"/>
        </w:rPr>
        <w:t>/</w:t>
      </w:r>
      <w:proofErr w:type="spellStart"/>
      <w:r w:rsidR="00C87DEE" w:rsidRPr="00117825">
        <w:rPr>
          <w:iCs/>
          <w:color w:val="000000"/>
          <w:lang w:eastAsia="el-GR"/>
        </w:rPr>
        <w:t>df</w:t>
      </w:r>
      <w:proofErr w:type="spellEnd"/>
      <w:r w:rsidR="00C87DEE" w:rsidRPr="00117825">
        <w:rPr>
          <w:color w:val="000000"/>
          <w:lang w:eastAsia="el-GR"/>
        </w:rPr>
        <w:t xml:space="preserve"> = 2.06;</w:t>
      </w:r>
      <w:r w:rsidR="00C87DEE" w:rsidRPr="00117825">
        <w:rPr>
          <w:color w:val="000000"/>
        </w:rPr>
        <w:t xml:space="preserve"> </w:t>
      </w:r>
      <w:r w:rsidR="004D1531" w:rsidRPr="00117825">
        <w:rPr>
          <w:rFonts w:eastAsia="Calibri"/>
        </w:rPr>
        <w:t xml:space="preserve">NFI = </w:t>
      </w:r>
      <w:r w:rsidR="002B1087" w:rsidRPr="00117825">
        <w:rPr>
          <w:rFonts w:eastAsia="Calibri"/>
        </w:rPr>
        <w:t>0</w:t>
      </w:r>
      <w:r w:rsidR="004D1531" w:rsidRPr="00117825">
        <w:rPr>
          <w:rFonts w:eastAsia="Calibri"/>
        </w:rPr>
        <w:t>.92</w:t>
      </w:r>
      <w:r w:rsidR="002B1087" w:rsidRPr="00117825">
        <w:rPr>
          <w:rFonts w:eastAsia="Calibri"/>
        </w:rPr>
        <w:t>;</w:t>
      </w:r>
      <w:r w:rsidR="004D1531" w:rsidRPr="00117825">
        <w:rPr>
          <w:rFonts w:eastAsia="Calibri"/>
        </w:rPr>
        <w:t xml:space="preserve"> NNFI = </w:t>
      </w:r>
      <w:r w:rsidR="002B1087" w:rsidRPr="00117825">
        <w:rPr>
          <w:rFonts w:eastAsia="Calibri"/>
        </w:rPr>
        <w:t>0</w:t>
      </w:r>
      <w:r w:rsidR="004D1531" w:rsidRPr="00117825">
        <w:rPr>
          <w:rFonts w:eastAsia="Calibri"/>
        </w:rPr>
        <w:t>.95</w:t>
      </w:r>
      <w:r w:rsidR="002B1087" w:rsidRPr="00117825">
        <w:rPr>
          <w:rFonts w:eastAsia="Calibri"/>
        </w:rPr>
        <w:t>;</w:t>
      </w:r>
      <w:r w:rsidR="004D1531" w:rsidRPr="00117825">
        <w:rPr>
          <w:rFonts w:eastAsia="Calibri"/>
        </w:rPr>
        <w:t xml:space="preserve"> CFI = </w:t>
      </w:r>
      <w:r w:rsidR="002B1087" w:rsidRPr="00117825">
        <w:rPr>
          <w:rFonts w:eastAsia="Calibri"/>
        </w:rPr>
        <w:t>0</w:t>
      </w:r>
      <w:r w:rsidR="004D1531" w:rsidRPr="00117825">
        <w:rPr>
          <w:rFonts w:eastAsia="Calibri"/>
        </w:rPr>
        <w:t>.96</w:t>
      </w:r>
      <w:r w:rsidR="002B1087" w:rsidRPr="00117825">
        <w:rPr>
          <w:rFonts w:eastAsia="Calibri"/>
        </w:rPr>
        <w:t>;</w:t>
      </w:r>
      <w:r w:rsidR="004D1531" w:rsidRPr="00117825">
        <w:rPr>
          <w:rFonts w:eastAsia="Calibri"/>
        </w:rPr>
        <w:t xml:space="preserve"> IFI = </w:t>
      </w:r>
      <w:r w:rsidR="002B1087" w:rsidRPr="00117825">
        <w:rPr>
          <w:rFonts w:eastAsia="Calibri"/>
        </w:rPr>
        <w:t>0</w:t>
      </w:r>
      <w:r w:rsidR="004D1531" w:rsidRPr="00117825">
        <w:rPr>
          <w:rFonts w:eastAsia="Calibri"/>
        </w:rPr>
        <w:t xml:space="preserve">.96; RMSEA = </w:t>
      </w:r>
      <w:r w:rsidR="002B1087" w:rsidRPr="00117825">
        <w:rPr>
          <w:rFonts w:eastAsia="Calibri"/>
        </w:rPr>
        <w:t>0</w:t>
      </w:r>
      <w:r w:rsidR="004D1531" w:rsidRPr="00117825">
        <w:rPr>
          <w:rFonts w:eastAsia="Calibri"/>
        </w:rPr>
        <w:t>.046</w:t>
      </w:r>
      <w:r w:rsidR="002B1087" w:rsidRPr="00117825">
        <w:rPr>
          <w:rFonts w:eastAsia="Calibri"/>
        </w:rPr>
        <w:t>;</w:t>
      </w:r>
      <w:r w:rsidR="004D1531" w:rsidRPr="00117825">
        <w:rPr>
          <w:rFonts w:eastAsia="Calibri"/>
        </w:rPr>
        <w:t xml:space="preserve"> AOSR = </w:t>
      </w:r>
      <w:r w:rsidR="002B1087" w:rsidRPr="00117825">
        <w:rPr>
          <w:rFonts w:eastAsia="Calibri"/>
        </w:rPr>
        <w:t>0</w:t>
      </w:r>
      <w:r w:rsidR="004D1531" w:rsidRPr="00117825">
        <w:rPr>
          <w:rFonts w:eastAsia="Calibri"/>
        </w:rPr>
        <w:t xml:space="preserve">.039) indicate that the added paths did not improve model fit or change the statistical significance of the other paths in the model. </w:t>
      </w:r>
    </w:p>
    <w:p w:rsidR="004466BB" w:rsidRPr="00117825" w:rsidRDefault="00217369" w:rsidP="00117825">
      <w:pPr>
        <w:tabs>
          <w:tab w:val="left" w:pos="567"/>
        </w:tabs>
        <w:spacing w:line="480" w:lineRule="auto"/>
        <w:rPr>
          <w:color w:val="000000"/>
        </w:rPr>
      </w:pPr>
      <w:r>
        <w:rPr>
          <w:rFonts w:eastAsia="Calibri"/>
        </w:rPr>
        <w:tab/>
      </w:r>
      <w:r w:rsidR="00A0343D" w:rsidRPr="00117825">
        <w:rPr>
          <w:rFonts w:eastAsia="Calibri"/>
        </w:rPr>
        <w:t>Likewise</w:t>
      </w:r>
      <w:r w:rsidR="004D1531" w:rsidRPr="00117825">
        <w:rPr>
          <w:rFonts w:eastAsia="Calibri"/>
        </w:rPr>
        <w:t xml:space="preserve">, an alternative </w:t>
      </w:r>
      <w:r w:rsidR="00A0343D" w:rsidRPr="00117825">
        <w:rPr>
          <w:rFonts w:eastAsia="Calibri"/>
        </w:rPr>
        <w:t xml:space="preserve">model </w:t>
      </w:r>
      <w:r w:rsidR="004D1531" w:rsidRPr="00117825">
        <w:rPr>
          <w:rFonts w:eastAsia="Calibri"/>
        </w:rPr>
        <w:t>specification might suggest that CSR skepticism should not play a mediating role and that consumer attributions and CSR skepticism influence consumer responses. The results of this model (</w:t>
      </w:r>
      <w:r w:rsidR="004D1531" w:rsidRPr="00117825">
        <w:rPr>
          <w:rFonts w:eastAsia="Calibri"/>
          <w:lang w:val="el-GR"/>
        </w:rPr>
        <w:sym w:font="Symbol" w:char="F063"/>
      </w:r>
      <w:r w:rsidR="004D1531" w:rsidRPr="00117825">
        <w:rPr>
          <w:rFonts w:eastAsia="Calibri"/>
          <w:vertAlign w:val="superscript"/>
        </w:rPr>
        <w:t>2</w:t>
      </w:r>
      <w:r w:rsidR="004D1531" w:rsidRPr="00117825">
        <w:rPr>
          <w:rFonts w:eastAsia="Calibri"/>
          <w:vertAlign w:val="subscript"/>
        </w:rPr>
        <w:t xml:space="preserve">(434) </w:t>
      </w:r>
      <w:r w:rsidR="004D1531" w:rsidRPr="00117825">
        <w:rPr>
          <w:rFonts w:eastAsia="Calibri"/>
        </w:rPr>
        <w:t xml:space="preserve">= 1123.27, </w:t>
      </w:r>
      <w:r w:rsidR="004D1531" w:rsidRPr="00117825">
        <w:rPr>
          <w:rFonts w:eastAsia="Calibri"/>
          <w:i/>
        </w:rPr>
        <w:t>p</w:t>
      </w:r>
      <w:r w:rsidR="004D1531" w:rsidRPr="00117825">
        <w:rPr>
          <w:rFonts w:eastAsia="Calibri"/>
        </w:rPr>
        <w:t xml:space="preserve"> &lt; </w:t>
      </w:r>
      <w:r w:rsidR="00106014" w:rsidRPr="00117825">
        <w:rPr>
          <w:rFonts w:eastAsia="Calibri"/>
        </w:rPr>
        <w:t>0</w:t>
      </w:r>
      <w:r w:rsidR="004D1531" w:rsidRPr="00117825">
        <w:rPr>
          <w:rFonts w:eastAsia="Calibri"/>
        </w:rPr>
        <w:t xml:space="preserve">.001, </w:t>
      </w:r>
      <w:r w:rsidR="00C87DEE" w:rsidRPr="00117825">
        <w:rPr>
          <w:color w:val="000000"/>
        </w:rPr>
        <w:sym w:font="Symbol" w:char="F063"/>
      </w:r>
      <w:r w:rsidR="00C87DEE" w:rsidRPr="00117825">
        <w:rPr>
          <w:color w:val="000000"/>
          <w:vertAlign w:val="superscript"/>
        </w:rPr>
        <w:t>2</w:t>
      </w:r>
      <w:r w:rsidR="00C87DEE" w:rsidRPr="00117825">
        <w:rPr>
          <w:color w:val="000000"/>
          <w:lang w:eastAsia="el-GR"/>
        </w:rPr>
        <w:t>/</w:t>
      </w:r>
      <w:proofErr w:type="spellStart"/>
      <w:r w:rsidR="00C87DEE" w:rsidRPr="00117825">
        <w:rPr>
          <w:iCs/>
          <w:color w:val="000000"/>
          <w:lang w:eastAsia="el-GR"/>
        </w:rPr>
        <w:t>df</w:t>
      </w:r>
      <w:proofErr w:type="spellEnd"/>
      <w:r w:rsidR="00C87DEE" w:rsidRPr="00117825">
        <w:rPr>
          <w:color w:val="000000"/>
          <w:lang w:eastAsia="el-GR"/>
        </w:rPr>
        <w:t xml:space="preserve"> = 2.59;</w:t>
      </w:r>
      <w:r w:rsidR="00C87DEE" w:rsidRPr="00117825">
        <w:rPr>
          <w:color w:val="000000"/>
        </w:rPr>
        <w:t xml:space="preserve"> </w:t>
      </w:r>
      <w:r w:rsidR="004D1531" w:rsidRPr="00117825">
        <w:rPr>
          <w:rFonts w:eastAsia="Calibri"/>
        </w:rPr>
        <w:t xml:space="preserve">NFI = </w:t>
      </w:r>
      <w:r w:rsidR="002B1087" w:rsidRPr="00117825">
        <w:rPr>
          <w:rFonts w:eastAsia="Calibri"/>
        </w:rPr>
        <w:t>0</w:t>
      </w:r>
      <w:r w:rsidR="004D1531" w:rsidRPr="00117825">
        <w:rPr>
          <w:rFonts w:eastAsia="Calibri"/>
        </w:rPr>
        <w:t>.90</w:t>
      </w:r>
      <w:r w:rsidR="002B1087" w:rsidRPr="00117825">
        <w:rPr>
          <w:rFonts w:eastAsia="Calibri"/>
        </w:rPr>
        <w:t>;</w:t>
      </w:r>
      <w:r w:rsidR="004D1531" w:rsidRPr="00117825">
        <w:rPr>
          <w:rFonts w:eastAsia="Calibri"/>
        </w:rPr>
        <w:t xml:space="preserve"> NNFI = </w:t>
      </w:r>
      <w:r w:rsidR="002B1087" w:rsidRPr="00117825">
        <w:rPr>
          <w:rFonts w:eastAsia="Calibri"/>
        </w:rPr>
        <w:t>0</w:t>
      </w:r>
      <w:r w:rsidR="004D1531" w:rsidRPr="00117825">
        <w:rPr>
          <w:rFonts w:eastAsia="Calibri"/>
        </w:rPr>
        <w:t>.93</w:t>
      </w:r>
      <w:r w:rsidR="002B1087" w:rsidRPr="00117825">
        <w:rPr>
          <w:rFonts w:eastAsia="Calibri"/>
        </w:rPr>
        <w:t>;</w:t>
      </w:r>
      <w:r w:rsidR="004D1531" w:rsidRPr="00117825">
        <w:rPr>
          <w:rFonts w:eastAsia="Calibri"/>
        </w:rPr>
        <w:t xml:space="preserve"> CFI = </w:t>
      </w:r>
      <w:r w:rsidR="002B1087" w:rsidRPr="00117825">
        <w:rPr>
          <w:rFonts w:eastAsia="Calibri"/>
        </w:rPr>
        <w:t>0</w:t>
      </w:r>
      <w:r w:rsidR="004D1531" w:rsidRPr="00117825">
        <w:rPr>
          <w:rFonts w:eastAsia="Calibri"/>
        </w:rPr>
        <w:t>.94</w:t>
      </w:r>
      <w:r w:rsidR="002B1087" w:rsidRPr="00117825">
        <w:rPr>
          <w:rFonts w:eastAsia="Calibri"/>
        </w:rPr>
        <w:t>;</w:t>
      </w:r>
      <w:r w:rsidR="004D1531" w:rsidRPr="00117825">
        <w:rPr>
          <w:rFonts w:eastAsia="Calibri"/>
        </w:rPr>
        <w:t xml:space="preserve"> IFI = </w:t>
      </w:r>
      <w:r w:rsidR="002B1087" w:rsidRPr="00117825">
        <w:rPr>
          <w:rFonts w:eastAsia="Calibri"/>
        </w:rPr>
        <w:t>0</w:t>
      </w:r>
      <w:r w:rsidR="004D1531" w:rsidRPr="00117825">
        <w:rPr>
          <w:rFonts w:eastAsia="Calibri"/>
        </w:rPr>
        <w:t xml:space="preserve">.94; RMSEA = </w:t>
      </w:r>
      <w:r w:rsidR="002B1087" w:rsidRPr="00117825">
        <w:rPr>
          <w:rFonts w:eastAsia="Calibri"/>
        </w:rPr>
        <w:t>0</w:t>
      </w:r>
      <w:r w:rsidR="004D1531" w:rsidRPr="00117825">
        <w:rPr>
          <w:rFonts w:eastAsia="Calibri"/>
        </w:rPr>
        <w:t>.046</w:t>
      </w:r>
      <w:r w:rsidR="002B1087" w:rsidRPr="00117825">
        <w:rPr>
          <w:rFonts w:eastAsia="Calibri"/>
        </w:rPr>
        <w:t>;</w:t>
      </w:r>
      <w:r w:rsidR="004D1531" w:rsidRPr="00117825">
        <w:rPr>
          <w:rFonts w:eastAsia="Calibri"/>
        </w:rPr>
        <w:t xml:space="preserve"> AOSR = </w:t>
      </w:r>
      <w:r w:rsidR="0074579A" w:rsidRPr="00117825">
        <w:rPr>
          <w:rFonts w:eastAsia="Calibri"/>
        </w:rPr>
        <w:t>0</w:t>
      </w:r>
      <w:r w:rsidR="004D1531" w:rsidRPr="00117825">
        <w:rPr>
          <w:rFonts w:eastAsia="Calibri"/>
        </w:rPr>
        <w:t>.092) are considerably worse than the corresponding in</w:t>
      </w:r>
      <w:r w:rsidR="005F1BE8" w:rsidRPr="00117825">
        <w:rPr>
          <w:rFonts w:eastAsia="Calibri"/>
        </w:rPr>
        <w:t xml:space="preserve">dices in the study model. This </w:t>
      </w:r>
      <w:r w:rsidR="004D1531" w:rsidRPr="00117825">
        <w:rPr>
          <w:rFonts w:eastAsia="Calibri"/>
        </w:rPr>
        <w:t xml:space="preserve">suggests that the </w:t>
      </w:r>
      <w:r w:rsidR="005F1BE8" w:rsidRPr="00117825">
        <w:rPr>
          <w:rFonts w:eastAsia="Calibri"/>
        </w:rPr>
        <w:t>“no-</w:t>
      </w:r>
      <w:r w:rsidR="004D1531" w:rsidRPr="00117825">
        <w:rPr>
          <w:rFonts w:eastAsia="Calibri"/>
        </w:rPr>
        <w:t>mediation model</w:t>
      </w:r>
      <w:r w:rsidR="005F1BE8" w:rsidRPr="00117825">
        <w:rPr>
          <w:rFonts w:eastAsia="Calibri"/>
        </w:rPr>
        <w:t>” fails to</w:t>
      </w:r>
      <w:r w:rsidR="004D1531" w:rsidRPr="00117825">
        <w:rPr>
          <w:rFonts w:eastAsia="Calibri"/>
        </w:rPr>
        <w:t xml:space="preserve"> explain the data as well as the propose</w:t>
      </w:r>
      <w:r w:rsidR="005F1BE8" w:rsidRPr="00117825">
        <w:rPr>
          <w:rFonts w:eastAsia="Calibri"/>
        </w:rPr>
        <w:t>d structural model</w:t>
      </w:r>
      <w:r w:rsidR="004D1531" w:rsidRPr="00117825">
        <w:rPr>
          <w:rFonts w:eastAsia="Calibri"/>
        </w:rPr>
        <w:t>.</w:t>
      </w:r>
    </w:p>
    <w:p w:rsidR="004466BB" w:rsidRPr="00117825" w:rsidRDefault="004466BB" w:rsidP="00117825">
      <w:pPr>
        <w:tabs>
          <w:tab w:val="left" w:pos="284"/>
        </w:tabs>
        <w:spacing w:line="480" w:lineRule="auto"/>
        <w:jc w:val="center"/>
        <w:outlineLvl w:val="0"/>
        <w:rPr>
          <w:color w:val="000000"/>
        </w:rPr>
      </w:pPr>
    </w:p>
    <w:p w:rsidR="004A2403" w:rsidRPr="00117825" w:rsidRDefault="00EA0B09" w:rsidP="00117825">
      <w:pPr>
        <w:tabs>
          <w:tab w:val="left" w:pos="284"/>
        </w:tabs>
        <w:spacing w:line="480" w:lineRule="auto"/>
        <w:outlineLvl w:val="0"/>
        <w:rPr>
          <w:b/>
          <w:color w:val="000000"/>
        </w:rPr>
      </w:pPr>
      <w:r w:rsidRPr="00117825">
        <w:rPr>
          <w:b/>
          <w:color w:val="000000"/>
        </w:rPr>
        <w:t>4</w:t>
      </w:r>
      <w:r w:rsidR="004A2403" w:rsidRPr="00117825">
        <w:rPr>
          <w:b/>
          <w:color w:val="000000"/>
        </w:rPr>
        <w:t>. Discussion</w:t>
      </w:r>
      <w:r w:rsidR="0063254C" w:rsidRPr="00117825">
        <w:rPr>
          <w:b/>
          <w:color w:val="000000"/>
        </w:rPr>
        <w:t>, limitations, and conclusion</w:t>
      </w:r>
    </w:p>
    <w:p w:rsidR="00217369" w:rsidRDefault="00B857E0" w:rsidP="00117825">
      <w:pPr>
        <w:tabs>
          <w:tab w:val="left" w:pos="567"/>
        </w:tabs>
        <w:spacing w:line="480" w:lineRule="auto"/>
      </w:pPr>
      <w:r>
        <w:tab/>
      </w:r>
      <w:r w:rsidR="00CD6987" w:rsidRPr="00117825">
        <w:t>T</w:t>
      </w:r>
      <w:r w:rsidR="00857286" w:rsidRPr="00117825">
        <w:t xml:space="preserve">his study </w:t>
      </w:r>
      <w:r w:rsidR="00CD6987" w:rsidRPr="00117825">
        <w:t>extends prior research on CSR-induced consumer attributions</w:t>
      </w:r>
      <w:r w:rsidR="00857286" w:rsidRPr="00117825">
        <w:t xml:space="preserve"> (Forehand </w:t>
      </w:r>
      <w:r w:rsidR="009028EB" w:rsidRPr="00117825">
        <w:t>&amp;</w:t>
      </w:r>
      <w:r w:rsidR="00857286" w:rsidRPr="00117825">
        <w:t xml:space="preserve"> Grier, 2003</w:t>
      </w:r>
      <w:r w:rsidR="007C0393" w:rsidRPr="00117825">
        <w:t>; Vlachos et al., 2009</w:t>
      </w:r>
      <w:r w:rsidR="00857286" w:rsidRPr="00117825">
        <w:t xml:space="preserve">) </w:t>
      </w:r>
      <w:r w:rsidR="00CD6987" w:rsidRPr="00117825">
        <w:t xml:space="preserve">by providing some of the first empirical evidence </w:t>
      </w:r>
      <w:r w:rsidR="00DE719A" w:rsidRPr="00117825">
        <w:t xml:space="preserve">on the role </w:t>
      </w:r>
      <w:r w:rsidR="002B1087" w:rsidRPr="00117825">
        <w:t xml:space="preserve">of </w:t>
      </w:r>
      <w:r w:rsidR="00857286" w:rsidRPr="00117825">
        <w:t>consumers</w:t>
      </w:r>
      <w:r w:rsidR="00CD6987" w:rsidRPr="00117825">
        <w:t>’</w:t>
      </w:r>
      <w:r w:rsidR="00857286" w:rsidRPr="00117825">
        <w:t xml:space="preserve"> </w:t>
      </w:r>
      <w:r w:rsidR="00CD6987" w:rsidRPr="00117825">
        <w:t>complex set of causal inferences for CSR</w:t>
      </w:r>
      <w:r w:rsidR="00857286" w:rsidRPr="00117825">
        <w:t xml:space="preserve"> practices</w:t>
      </w:r>
      <w:r w:rsidR="0076019C" w:rsidRPr="00117825">
        <w:t xml:space="preserve"> </w:t>
      </w:r>
      <w:r w:rsidR="00F46477" w:rsidRPr="00117825">
        <w:t xml:space="preserve">in the development of </w:t>
      </w:r>
      <w:r w:rsidR="00DE719A" w:rsidRPr="00117825">
        <w:lastRenderedPageBreak/>
        <w:t xml:space="preserve">CSR </w:t>
      </w:r>
      <w:r w:rsidR="00F46477" w:rsidRPr="00117825">
        <w:t>skepticism</w:t>
      </w:r>
      <w:r w:rsidR="00857286" w:rsidRPr="00117825">
        <w:t xml:space="preserve">. More specifically, the findings reveal that egoistic- and stakeholder-driven attributions </w:t>
      </w:r>
      <w:r w:rsidR="005B66A0" w:rsidRPr="00117825">
        <w:t xml:space="preserve">contribute to the development of consumer skepticism toward </w:t>
      </w:r>
      <w:r w:rsidR="00857286" w:rsidRPr="00117825">
        <w:t xml:space="preserve">CSR, while values-driven motives inhibit </w:t>
      </w:r>
      <w:r w:rsidR="005B66A0" w:rsidRPr="00117825">
        <w:t>its</w:t>
      </w:r>
      <w:r w:rsidR="00857286" w:rsidRPr="00117825">
        <w:t xml:space="preserve"> formation. </w:t>
      </w:r>
    </w:p>
    <w:p w:rsidR="00857286" w:rsidRPr="00117825" w:rsidRDefault="00217369" w:rsidP="00117825">
      <w:pPr>
        <w:tabs>
          <w:tab w:val="left" w:pos="567"/>
        </w:tabs>
        <w:spacing w:line="480" w:lineRule="auto"/>
      </w:pPr>
      <w:r>
        <w:tab/>
      </w:r>
      <w:r w:rsidR="002B1087" w:rsidRPr="00117825">
        <w:t>The</w:t>
      </w:r>
      <w:r w:rsidR="005B66A0" w:rsidRPr="00117825">
        <w:t xml:space="preserve"> results </w:t>
      </w:r>
      <w:r w:rsidR="002B1087" w:rsidRPr="00117825">
        <w:t xml:space="preserve">also </w:t>
      </w:r>
      <w:r w:rsidR="00443054" w:rsidRPr="00117825">
        <w:t>suggest</w:t>
      </w:r>
      <w:r w:rsidR="005B66A0" w:rsidRPr="00117825">
        <w:t xml:space="preserve"> that </w:t>
      </w:r>
      <w:r w:rsidR="00857286" w:rsidRPr="00117825">
        <w:t xml:space="preserve">strategic-driven </w:t>
      </w:r>
      <w:r w:rsidR="005B66A0" w:rsidRPr="00117825">
        <w:t xml:space="preserve">attributions neither facilitate nor </w:t>
      </w:r>
      <w:r w:rsidR="00B3187E" w:rsidRPr="00117825">
        <w:t xml:space="preserve">alleviate </w:t>
      </w:r>
      <w:r w:rsidR="00857286" w:rsidRPr="00117825">
        <w:t xml:space="preserve">CSR skepticism, which is an indication that consumers are tolerant of strategic motives </w:t>
      </w:r>
      <w:r w:rsidR="005508EE" w:rsidRPr="00117825">
        <w:t xml:space="preserve">for </w:t>
      </w:r>
      <w:r w:rsidR="001C3C32" w:rsidRPr="00117825">
        <w:t>corporate social</w:t>
      </w:r>
      <w:r w:rsidR="005508EE" w:rsidRPr="00117825">
        <w:t xml:space="preserve"> engagement</w:t>
      </w:r>
      <w:r w:rsidR="00857286" w:rsidRPr="00117825">
        <w:t xml:space="preserve">. Collectively, </w:t>
      </w:r>
      <w:r w:rsidR="00443054" w:rsidRPr="00117825">
        <w:t>the findings demonstrate that c</w:t>
      </w:r>
      <w:r w:rsidR="00857286" w:rsidRPr="00117825">
        <w:t>orporate policy</w:t>
      </w:r>
      <w:r w:rsidR="002B1087" w:rsidRPr="00117825">
        <w:t xml:space="preserve"> </w:t>
      </w:r>
      <w:r w:rsidR="00857286" w:rsidRPr="00117825">
        <w:t xml:space="preserve">makers should </w:t>
      </w:r>
      <w:r w:rsidR="00454FFE" w:rsidRPr="00117825">
        <w:t>be cognizant th</w:t>
      </w:r>
      <w:r w:rsidR="00857286" w:rsidRPr="00117825">
        <w:t xml:space="preserve">at </w:t>
      </w:r>
      <w:r w:rsidR="00454FFE" w:rsidRPr="00117825">
        <w:t xml:space="preserve">adopting CSR programs can backfire unless they pay particular attention to consumers’ </w:t>
      </w:r>
      <w:r w:rsidR="002C2CE5" w:rsidRPr="00117825">
        <w:t>attributions</w:t>
      </w:r>
      <w:r w:rsidR="00454FFE" w:rsidRPr="00117825">
        <w:t xml:space="preserve"> for CSR engagement</w:t>
      </w:r>
      <w:r w:rsidR="00857286" w:rsidRPr="00117825">
        <w:t xml:space="preserve">. </w:t>
      </w:r>
      <w:r w:rsidR="0096510B" w:rsidRPr="00117825">
        <w:t xml:space="preserve">Insufficient understanding of consumers’ explanations for corporate involvement may result in the </w:t>
      </w:r>
      <w:r w:rsidR="00B63004" w:rsidRPr="00117825">
        <w:t xml:space="preserve">cultivation </w:t>
      </w:r>
      <w:r w:rsidR="0096510B" w:rsidRPr="00117825">
        <w:t xml:space="preserve">of </w:t>
      </w:r>
      <w:r w:rsidR="00857286" w:rsidRPr="00117825">
        <w:t xml:space="preserve">consumer </w:t>
      </w:r>
      <w:r w:rsidR="0096510B" w:rsidRPr="00117825">
        <w:t>skepticism,</w:t>
      </w:r>
      <w:r w:rsidR="00857286" w:rsidRPr="00117825">
        <w:t xml:space="preserve"> </w:t>
      </w:r>
      <w:r w:rsidR="0096510B" w:rsidRPr="00117825">
        <w:t xml:space="preserve">rather than the development of </w:t>
      </w:r>
      <w:r w:rsidR="00E35BD7" w:rsidRPr="00117825">
        <w:t>“</w:t>
      </w:r>
      <w:r w:rsidR="0096510B" w:rsidRPr="00117825">
        <w:t>a reservoir of goodwill.</w:t>
      </w:r>
      <w:r w:rsidR="00E35BD7" w:rsidRPr="00117825">
        <w:t>”</w:t>
      </w:r>
      <w:r w:rsidR="0096510B" w:rsidRPr="00117825">
        <w:t xml:space="preserve"> </w:t>
      </w:r>
      <w:r w:rsidR="00857286" w:rsidRPr="00117825">
        <w:t xml:space="preserve">As a remedy, practitioners should first try to </w:t>
      </w:r>
      <w:r w:rsidR="00B63004" w:rsidRPr="00117825">
        <w:t>design</w:t>
      </w:r>
      <w:r w:rsidR="00857286" w:rsidRPr="00117825">
        <w:t xml:space="preserve"> control mechanisms to monitor</w:t>
      </w:r>
      <w:r w:rsidR="00B63004" w:rsidRPr="00117825">
        <w:t xml:space="preserve"> levels of </w:t>
      </w:r>
      <w:r w:rsidR="00857286" w:rsidRPr="00117825">
        <w:t xml:space="preserve">CSR skepticism among their customer base. </w:t>
      </w:r>
      <w:r w:rsidR="00E35BD7" w:rsidRPr="00117825">
        <w:t>T</w:t>
      </w:r>
      <w:r w:rsidR="0079297D" w:rsidRPr="00117825">
        <w:t xml:space="preserve">hey </w:t>
      </w:r>
      <w:r w:rsidR="00B63004" w:rsidRPr="00117825">
        <w:t xml:space="preserve">should </w:t>
      </w:r>
      <w:r w:rsidR="00F805C4" w:rsidRPr="00117825">
        <w:t xml:space="preserve">also </w:t>
      </w:r>
      <w:r w:rsidR="00B63004" w:rsidRPr="00117825">
        <w:t xml:space="preserve">place emphasis on </w:t>
      </w:r>
      <w:r w:rsidR="0079297D" w:rsidRPr="00117825">
        <w:t>formulating and communicating</w:t>
      </w:r>
      <w:r w:rsidR="00B63004" w:rsidRPr="00117825">
        <w:t xml:space="preserve"> CSR p</w:t>
      </w:r>
      <w:r w:rsidR="0079297D" w:rsidRPr="00117825">
        <w:t xml:space="preserve">olicies that revolve </w:t>
      </w:r>
      <w:r w:rsidR="00E35BD7" w:rsidRPr="00117825">
        <w:t xml:space="preserve">around </w:t>
      </w:r>
      <w:r w:rsidR="00857286" w:rsidRPr="00117825">
        <w:t>values-</w:t>
      </w:r>
      <w:r w:rsidR="0079297D" w:rsidRPr="00117825">
        <w:t>driven</w:t>
      </w:r>
      <w:r w:rsidR="00857286" w:rsidRPr="00117825">
        <w:t xml:space="preserve"> </w:t>
      </w:r>
      <w:r w:rsidR="0079297D" w:rsidRPr="00117825">
        <w:t>motivations</w:t>
      </w:r>
      <w:r w:rsidR="00857286" w:rsidRPr="00117825">
        <w:t xml:space="preserve"> and </w:t>
      </w:r>
      <w:r w:rsidR="00B63004" w:rsidRPr="00117825">
        <w:t>minimize</w:t>
      </w:r>
      <w:r w:rsidR="00857286" w:rsidRPr="00117825">
        <w:t xml:space="preserve"> any reference to egoistic- or stakeholder-</w:t>
      </w:r>
      <w:r w:rsidR="0079297D" w:rsidRPr="00117825">
        <w:t>related reasons with a view to regulating skepticism</w:t>
      </w:r>
      <w:r w:rsidR="00857286" w:rsidRPr="00117825">
        <w:t>.</w:t>
      </w:r>
    </w:p>
    <w:p w:rsidR="00217369" w:rsidRDefault="00B857E0" w:rsidP="00166F1E">
      <w:pPr>
        <w:tabs>
          <w:tab w:val="left" w:pos="567"/>
        </w:tabs>
        <w:spacing w:line="480" w:lineRule="auto"/>
        <w:rPr>
          <w:bCs/>
          <w:iCs/>
        </w:rPr>
      </w:pPr>
      <w:r>
        <w:rPr>
          <w:bCs/>
          <w:iCs/>
        </w:rPr>
        <w:tab/>
      </w:r>
      <w:r w:rsidR="00857286" w:rsidRPr="00117825">
        <w:rPr>
          <w:bCs/>
          <w:iCs/>
        </w:rPr>
        <w:t xml:space="preserve">The study also </w:t>
      </w:r>
      <w:r w:rsidR="00F70C45" w:rsidRPr="00117825">
        <w:rPr>
          <w:bCs/>
          <w:iCs/>
        </w:rPr>
        <w:t xml:space="preserve">extends </w:t>
      </w:r>
      <w:r w:rsidR="00B3187E" w:rsidRPr="00117825">
        <w:rPr>
          <w:bCs/>
          <w:iCs/>
        </w:rPr>
        <w:t xml:space="preserve">previous </w:t>
      </w:r>
      <w:r w:rsidR="00F70C45" w:rsidRPr="00117825">
        <w:rPr>
          <w:bCs/>
          <w:iCs/>
        </w:rPr>
        <w:t xml:space="preserve">work on </w:t>
      </w:r>
      <w:r w:rsidR="00857286" w:rsidRPr="00117825">
        <w:rPr>
          <w:bCs/>
          <w:iCs/>
        </w:rPr>
        <w:t xml:space="preserve">skepticism </w:t>
      </w:r>
      <w:r w:rsidR="00F70C45" w:rsidRPr="00117825">
        <w:rPr>
          <w:bCs/>
          <w:iCs/>
        </w:rPr>
        <w:t xml:space="preserve">in the advertising literature (Mohr et al., 1998; </w:t>
      </w:r>
      <w:proofErr w:type="spellStart"/>
      <w:r w:rsidR="00F70C45" w:rsidRPr="00117825">
        <w:rPr>
          <w:bCs/>
          <w:iCs/>
        </w:rPr>
        <w:t>Obermiller</w:t>
      </w:r>
      <w:proofErr w:type="spellEnd"/>
      <w:r w:rsidR="00F70C45" w:rsidRPr="00117825">
        <w:rPr>
          <w:bCs/>
          <w:iCs/>
        </w:rPr>
        <w:t xml:space="preserve"> </w:t>
      </w:r>
      <w:r w:rsidR="002513B0" w:rsidRPr="00117825">
        <w:rPr>
          <w:bCs/>
          <w:iCs/>
        </w:rPr>
        <w:t>et al.,</w:t>
      </w:r>
      <w:r w:rsidR="00F70C45" w:rsidRPr="00117825">
        <w:rPr>
          <w:bCs/>
          <w:iCs/>
        </w:rPr>
        <w:t xml:space="preserve"> 2005)</w:t>
      </w:r>
      <w:r w:rsidR="00857286" w:rsidRPr="00117825">
        <w:rPr>
          <w:bCs/>
          <w:iCs/>
        </w:rPr>
        <w:t xml:space="preserve"> </w:t>
      </w:r>
      <w:r w:rsidR="00F70C45" w:rsidRPr="00117825">
        <w:rPr>
          <w:bCs/>
          <w:iCs/>
        </w:rPr>
        <w:t>by documenting the relevance and importance of consumer skepticism in the area of CSR. T</w:t>
      </w:r>
      <w:r w:rsidR="00857286" w:rsidRPr="00117825">
        <w:rPr>
          <w:bCs/>
          <w:iCs/>
        </w:rPr>
        <w:t xml:space="preserve">he </w:t>
      </w:r>
      <w:r w:rsidR="00F70C45" w:rsidRPr="00117825">
        <w:rPr>
          <w:bCs/>
          <w:iCs/>
        </w:rPr>
        <w:t xml:space="preserve">results </w:t>
      </w:r>
      <w:r w:rsidR="00A01F9B" w:rsidRPr="00117825">
        <w:rPr>
          <w:bCs/>
          <w:iCs/>
        </w:rPr>
        <w:t>indicate</w:t>
      </w:r>
      <w:r w:rsidR="00F70C45" w:rsidRPr="00117825">
        <w:rPr>
          <w:bCs/>
          <w:iCs/>
        </w:rPr>
        <w:t xml:space="preserve"> that </w:t>
      </w:r>
      <w:r w:rsidR="00094C7C" w:rsidRPr="00117825">
        <w:rPr>
          <w:bCs/>
          <w:iCs/>
        </w:rPr>
        <w:t xml:space="preserve">CSR skepticism </w:t>
      </w:r>
      <w:r w:rsidR="00A01F9B" w:rsidRPr="00117825">
        <w:rPr>
          <w:bCs/>
          <w:iCs/>
        </w:rPr>
        <w:t>leads to</w:t>
      </w:r>
      <w:r w:rsidR="00094C7C" w:rsidRPr="00117825">
        <w:rPr>
          <w:bCs/>
          <w:iCs/>
        </w:rPr>
        <w:t xml:space="preserve"> lower levels of consumer-based retailer equity. </w:t>
      </w:r>
      <w:r w:rsidR="008A3F44" w:rsidRPr="00117825">
        <w:rPr>
          <w:bCs/>
          <w:iCs/>
        </w:rPr>
        <w:t>Skepticism reduces the incremental value of the retailers’ name in consumers</w:t>
      </w:r>
      <w:r w:rsidR="00A01F9B" w:rsidRPr="00117825">
        <w:rPr>
          <w:bCs/>
          <w:iCs/>
        </w:rPr>
        <w:t>’ minds, which</w:t>
      </w:r>
      <w:r w:rsidR="008A3F44" w:rsidRPr="00117825">
        <w:rPr>
          <w:bCs/>
          <w:iCs/>
        </w:rPr>
        <w:t xml:space="preserve"> </w:t>
      </w:r>
      <w:r w:rsidR="001C3C32" w:rsidRPr="00117825">
        <w:rPr>
          <w:bCs/>
          <w:iCs/>
        </w:rPr>
        <w:t>is</w:t>
      </w:r>
      <w:r w:rsidR="008A3F44" w:rsidRPr="00117825">
        <w:rPr>
          <w:bCs/>
          <w:iCs/>
        </w:rPr>
        <w:t xml:space="preserve"> critical </w:t>
      </w:r>
      <w:r w:rsidR="00A01F9B" w:rsidRPr="00117825">
        <w:rPr>
          <w:bCs/>
          <w:iCs/>
        </w:rPr>
        <w:t>because</w:t>
      </w:r>
      <w:r w:rsidR="008A3F44" w:rsidRPr="00117825">
        <w:rPr>
          <w:bCs/>
          <w:iCs/>
        </w:rPr>
        <w:t xml:space="preserve"> retailer equity </w:t>
      </w:r>
      <w:r w:rsidR="001F73BA" w:rsidRPr="00117825">
        <w:rPr>
          <w:bCs/>
          <w:iCs/>
        </w:rPr>
        <w:t>builds</w:t>
      </w:r>
      <w:r w:rsidR="008A3F44" w:rsidRPr="00117825">
        <w:rPr>
          <w:bCs/>
          <w:iCs/>
        </w:rPr>
        <w:t xml:space="preserve"> resilience to negative information and </w:t>
      </w:r>
      <w:r w:rsidR="001F73BA" w:rsidRPr="00117825">
        <w:rPr>
          <w:bCs/>
          <w:iCs/>
        </w:rPr>
        <w:t xml:space="preserve">prompts positive WOM. </w:t>
      </w:r>
    </w:p>
    <w:p w:rsidR="00857286" w:rsidRPr="00117825" w:rsidRDefault="00B857E0" w:rsidP="00166F1E">
      <w:pPr>
        <w:tabs>
          <w:tab w:val="left" w:pos="567"/>
        </w:tabs>
        <w:spacing w:line="480" w:lineRule="auto"/>
      </w:pPr>
      <w:r>
        <w:rPr>
          <w:bCs/>
          <w:iCs/>
        </w:rPr>
        <w:tab/>
      </w:r>
      <w:r w:rsidR="00217369">
        <w:rPr>
          <w:bCs/>
          <w:iCs/>
        </w:rPr>
        <w:t>S</w:t>
      </w:r>
      <w:r w:rsidR="001F73BA" w:rsidRPr="00117825">
        <w:rPr>
          <w:bCs/>
          <w:iCs/>
        </w:rPr>
        <w:t xml:space="preserve">kepticism exerts a direct deleterious influence on consumers’ resistance to negative information and WOM. Skeptical consumers </w:t>
      </w:r>
      <w:r w:rsidR="009C5A04" w:rsidRPr="00117825">
        <w:rPr>
          <w:bCs/>
          <w:iCs/>
        </w:rPr>
        <w:t>are</w:t>
      </w:r>
      <w:r w:rsidR="00857286" w:rsidRPr="00117825">
        <w:rPr>
          <w:bCs/>
          <w:iCs/>
        </w:rPr>
        <w:t xml:space="preserve"> vulnerable to negative information about the retailer</w:t>
      </w:r>
      <w:r w:rsidR="00B24FA6" w:rsidRPr="00117825">
        <w:rPr>
          <w:bCs/>
          <w:iCs/>
        </w:rPr>
        <w:t xml:space="preserve"> and denigrate </w:t>
      </w:r>
      <w:r w:rsidR="00A01F9B" w:rsidRPr="00117825">
        <w:rPr>
          <w:bCs/>
          <w:iCs/>
        </w:rPr>
        <w:t xml:space="preserve">the retailer </w:t>
      </w:r>
      <w:r w:rsidR="00B24FA6" w:rsidRPr="00117825">
        <w:rPr>
          <w:bCs/>
          <w:iCs/>
        </w:rPr>
        <w:t>in conversations with friends and acquaintances. Both outcomes are of prime importance</w:t>
      </w:r>
      <w:r w:rsidR="00A01F9B" w:rsidRPr="00117825">
        <w:rPr>
          <w:bCs/>
          <w:iCs/>
        </w:rPr>
        <w:t xml:space="preserve"> because,</w:t>
      </w:r>
      <w:r w:rsidR="00B24FA6" w:rsidRPr="00117825">
        <w:rPr>
          <w:bCs/>
          <w:iCs/>
        </w:rPr>
        <w:t xml:space="preserve"> </w:t>
      </w:r>
      <w:r w:rsidR="00A01F9B" w:rsidRPr="00117825">
        <w:rPr>
          <w:bCs/>
          <w:iCs/>
        </w:rPr>
        <w:t xml:space="preserve">when </w:t>
      </w:r>
      <w:r w:rsidR="00B24FA6" w:rsidRPr="00117825">
        <w:rPr>
          <w:bCs/>
          <w:iCs/>
        </w:rPr>
        <w:t xml:space="preserve">skeptical </w:t>
      </w:r>
      <w:r w:rsidR="00A01F9B" w:rsidRPr="00117825">
        <w:rPr>
          <w:bCs/>
          <w:iCs/>
        </w:rPr>
        <w:t>about</w:t>
      </w:r>
      <w:r w:rsidR="00B24FA6" w:rsidRPr="00117825">
        <w:rPr>
          <w:bCs/>
          <w:iCs/>
        </w:rPr>
        <w:t xml:space="preserve"> the </w:t>
      </w:r>
      <w:r w:rsidR="001C3C32" w:rsidRPr="00117825">
        <w:rPr>
          <w:bCs/>
          <w:iCs/>
        </w:rPr>
        <w:t xml:space="preserve">retailer’s </w:t>
      </w:r>
      <w:r w:rsidR="00B24FA6" w:rsidRPr="00117825">
        <w:rPr>
          <w:bCs/>
          <w:iCs/>
        </w:rPr>
        <w:t>CSR efforts</w:t>
      </w:r>
      <w:r w:rsidR="00A01F9B" w:rsidRPr="00117825">
        <w:rPr>
          <w:bCs/>
          <w:iCs/>
        </w:rPr>
        <w:t>,</w:t>
      </w:r>
      <w:r w:rsidR="00B24FA6" w:rsidRPr="00117825">
        <w:rPr>
          <w:bCs/>
          <w:iCs/>
        </w:rPr>
        <w:t xml:space="preserve"> </w:t>
      </w:r>
      <w:r w:rsidR="00B24FA6" w:rsidRPr="00117825">
        <w:rPr>
          <w:bCs/>
          <w:iCs/>
        </w:rPr>
        <w:lastRenderedPageBreak/>
        <w:t xml:space="preserve">consumers </w:t>
      </w:r>
      <w:r w:rsidR="00A01F9B" w:rsidRPr="00117825">
        <w:rPr>
          <w:bCs/>
          <w:iCs/>
        </w:rPr>
        <w:t>are</w:t>
      </w:r>
      <w:r w:rsidR="00B24FA6" w:rsidRPr="00117825">
        <w:rPr>
          <w:bCs/>
          <w:iCs/>
        </w:rPr>
        <w:t xml:space="preserve"> </w:t>
      </w:r>
      <w:r w:rsidR="009C5A04" w:rsidRPr="00117825">
        <w:rPr>
          <w:bCs/>
          <w:iCs/>
        </w:rPr>
        <w:t xml:space="preserve">unwilling to overlook or forgive </w:t>
      </w:r>
      <w:r w:rsidR="00A01F9B" w:rsidRPr="00117825">
        <w:rPr>
          <w:bCs/>
          <w:iCs/>
        </w:rPr>
        <w:t xml:space="preserve">when </w:t>
      </w:r>
      <w:r w:rsidR="009C5A04" w:rsidRPr="00117825">
        <w:rPr>
          <w:bCs/>
          <w:iCs/>
        </w:rPr>
        <w:t>the retailer comes under attack or adverse scrutiny in the public domain</w:t>
      </w:r>
      <w:r w:rsidR="00B24FA6" w:rsidRPr="00117825">
        <w:rPr>
          <w:bCs/>
          <w:iCs/>
        </w:rPr>
        <w:t xml:space="preserve"> (e.g., in the event of a crisis) (</w:t>
      </w:r>
      <w:r w:rsidR="0037137C" w:rsidRPr="00117825">
        <w:t>Ahluwalia et al., 2000</w:t>
      </w:r>
      <w:r w:rsidR="00B24FA6" w:rsidRPr="00117825">
        <w:rPr>
          <w:bCs/>
          <w:iCs/>
        </w:rPr>
        <w:t>)</w:t>
      </w:r>
      <w:r w:rsidR="00A01F9B" w:rsidRPr="00117825">
        <w:rPr>
          <w:bCs/>
          <w:iCs/>
        </w:rPr>
        <w:t>,</w:t>
      </w:r>
      <w:r w:rsidR="00B24FA6" w:rsidRPr="00117825">
        <w:rPr>
          <w:bCs/>
          <w:iCs/>
        </w:rPr>
        <w:t xml:space="preserve"> and interpersonal communication is generally viewed as a more credible source of information (</w:t>
      </w:r>
      <w:r w:rsidR="00AA5AF1" w:rsidRPr="00117825">
        <w:rPr>
          <w:bCs/>
          <w:iCs/>
        </w:rPr>
        <w:t>Grewal, Cline, &amp; Davies, 2003</w:t>
      </w:r>
      <w:r w:rsidR="00B24FA6" w:rsidRPr="00117825">
        <w:rPr>
          <w:bCs/>
          <w:iCs/>
        </w:rPr>
        <w:t>)</w:t>
      </w:r>
      <w:r w:rsidR="009C5A04" w:rsidRPr="00117825">
        <w:rPr>
          <w:bCs/>
          <w:iCs/>
        </w:rPr>
        <w:t xml:space="preserve">. </w:t>
      </w:r>
      <w:r w:rsidR="00A01F9B" w:rsidRPr="00117825">
        <w:rPr>
          <w:bCs/>
          <w:iCs/>
        </w:rPr>
        <w:t>The</w:t>
      </w:r>
      <w:r w:rsidR="00857286" w:rsidRPr="00117825">
        <w:t xml:space="preserve"> study </w:t>
      </w:r>
      <w:r w:rsidR="00A01F9B" w:rsidRPr="00117825">
        <w:t xml:space="preserve">also </w:t>
      </w:r>
      <w:r w:rsidR="00655299" w:rsidRPr="00117825">
        <w:t xml:space="preserve">shows that the extent to which a retailer understands and satisfies consumer needs and wants </w:t>
      </w:r>
      <w:r w:rsidR="00D5710D" w:rsidRPr="00117825">
        <w:t xml:space="preserve">positively </w:t>
      </w:r>
      <w:r w:rsidR="00655299" w:rsidRPr="00117825">
        <w:t>influences consumers’ attitude</w:t>
      </w:r>
      <w:r w:rsidR="00A01F9B" w:rsidRPr="00117825">
        <w:t>s</w:t>
      </w:r>
      <w:r w:rsidR="00655299" w:rsidRPr="00117825">
        <w:t xml:space="preserve"> toward the </w:t>
      </w:r>
      <w:r w:rsidR="00D5710D" w:rsidRPr="00117825">
        <w:t xml:space="preserve">retailer and its </w:t>
      </w:r>
      <w:r w:rsidR="00655299" w:rsidRPr="00117825">
        <w:t xml:space="preserve">CSR efforts, which is in line with findings in the customer </w:t>
      </w:r>
      <w:r w:rsidR="00857286" w:rsidRPr="00117825">
        <w:t xml:space="preserve">orientation </w:t>
      </w:r>
      <w:r w:rsidR="00655299" w:rsidRPr="00117825">
        <w:t>literature</w:t>
      </w:r>
      <w:r w:rsidR="001B39C2" w:rsidRPr="00117825">
        <w:t xml:space="preserve"> (</w:t>
      </w:r>
      <w:proofErr w:type="spellStart"/>
      <w:r w:rsidR="001B39C2" w:rsidRPr="00117825">
        <w:t>Eisingeirich</w:t>
      </w:r>
      <w:proofErr w:type="spellEnd"/>
      <w:r w:rsidR="001B39C2" w:rsidRPr="00117825">
        <w:t xml:space="preserve"> et al.,</w:t>
      </w:r>
      <w:r w:rsidR="00857286" w:rsidRPr="00117825">
        <w:t xml:space="preserve"> 2011</w:t>
      </w:r>
      <w:r w:rsidR="00B30B50" w:rsidRPr="00117825">
        <w:t xml:space="preserve">). </w:t>
      </w:r>
    </w:p>
    <w:p w:rsidR="00857286" w:rsidRPr="00117825" w:rsidRDefault="00B857E0" w:rsidP="00117825">
      <w:pPr>
        <w:tabs>
          <w:tab w:val="left" w:pos="567"/>
        </w:tabs>
        <w:spacing w:line="480" w:lineRule="auto"/>
      </w:pPr>
      <w:r>
        <w:tab/>
      </w:r>
      <w:r w:rsidR="00857286" w:rsidRPr="00117825">
        <w:t xml:space="preserve">Managerially, these findings have </w:t>
      </w:r>
      <w:r w:rsidR="00B30B50" w:rsidRPr="00117825">
        <w:t xml:space="preserve">important </w:t>
      </w:r>
      <w:r w:rsidR="00857286" w:rsidRPr="00117825">
        <w:t xml:space="preserve">implications </w:t>
      </w:r>
      <w:r w:rsidR="00B30B50" w:rsidRPr="00117825">
        <w:t xml:space="preserve">because </w:t>
      </w:r>
      <w:r w:rsidR="00857286" w:rsidRPr="00117825">
        <w:t xml:space="preserve">knowledge </w:t>
      </w:r>
      <w:r w:rsidR="00B30B50" w:rsidRPr="00117825">
        <w:t>on</w:t>
      </w:r>
      <w:r w:rsidR="00857286" w:rsidRPr="00117825">
        <w:t xml:space="preserve"> the </w:t>
      </w:r>
      <w:r w:rsidR="00B30B50" w:rsidRPr="00117825">
        <w:t xml:space="preserve">damaging </w:t>
      </w:r>
      <w:r w:rsidR="00857286" w:rsidRPr="00117825">
        <w:t xml:space="preserve">consequences of CSR skepticism can boost efforts </w:t>
      </w:r>
      <w:r w:rsidR="00F805C4" w:rsidRPr="00117825">
        <w:t xml:space="preserve">to </w:t>
      </w:r>
      <w:r w:rsidR="00857286" w:rsidRPr="00117825">
        <w:t>minimiz</w:t>
      </w:r>
      <w:r w:rsidR="00F805C4" w:rsidRPr="00117825">
        <w:t>e</w:t>
      </w:r>
      <w:r w:rsidR="00857286" w:rsidRPr="00117825">
        <w:t xml:space="preserve"> this phenomenon. Given the general rise of </w:t>
      </w:r>
      <w:r w:rsidR="008C5737" w:rsidRPr="00117825">
        <w:t>skepticism</w:t>
      </w:r>
      <w:r w:rsidR="00857286" w:rsidRPr="00117825">
        <w:t xml:space="preserve"> toward </w:t>
      </w:r>
      <w:r w:rsidR="008C5737" w:rsidRPr="00117825">
        <w:t xml:space="preserve">the role of </w:t>
      </w:r>
      <w:r w:rsidR="00857286" w:rsidRPr="00117825">
        <w:t>corporat</w:t>
      </w:r>
      <w:r w:rsidR="008C5737" w:rsidRPr="00117825">
        <w:t>ions in society (</w:t>
      </w:r>
      <w:r w:rsidR="00F01E87" w:rsidRPr="00117825">
        <w:rPr>
          <w:i/>
        </w:rPr>
        <w:t>The Economist</w:t>
      </w:r>
      <w:r w:rsidR="00F01E87" w:rsidRPr="00117825">
        <w:t>, 2012</w:t>
      </w:r>
      <w:r w:rsidR="008C5737" w:rsidRPr="00117825">
        <w:t>) and its potentially contagious nature (</w:t>
      </w:r>
      <w:proofErr w:type="spellStart"/>
      <w:r w:rsidR="008C5737" w:rsidRPr="00117825">
        <w:t>Chyllins</w:t>
      </w:r>
      <w:r w:rsidR="00F01E87" w:rsidRPr="00117825">
        <w:t>k</w:t>
      </w:r>
      <w:r w:rsidR="008C5737" w:rsidRPr="00117825">
        <w:t>i</w:t>
      </w:r>
      <w:proofErr w:type="spellEnd"/>
      <w:r w:rsidR="008C5737" w:rsidRPr="00117825">
        <w:t xml:space="preserve"> &amp; Chu, 2010), companies</w:t>
      </w:r>
      <w:r w:rsidR="00857286" w:rsidRPr="00117825">
        <w:t xml:space="preserve"> should </w:t>
      </w:r>
      <w:r w:rsidR="008C5737" w:rsidRPr="00117825">
        <w:t xml:space="preserve">devote greater </w:t>
      </w:r>
      <w:r w:rsidR="00857286" w:rsidRPr="00117825">
        <w:t>effort</w:t>
      </w:r>
      <w:r w:rsidR="008C5737" w:rsidRPr="00117825">
        <w:t>s</w:t>
      </w:r>
      <w:r w:rsidR="00857286" w:rsidRPr="00117825">
        <w:t xml:space="preserve"> to convince consumers that their </w:t>
      </w:r>
      <w:r w:rsidR="008C5737" w:rsidRPr="00117825">
        <w:t>social involvement is</w:t>
      </w:r>
      <w:r w:rsidR="00857286" w:rsidRPr="00117825">
        <w:t xml:space="preserve"> genuine</w:t>
      </w:r>
      <w:r w:rsidR="008C5737" w:rsidRPr="00117825">
        <w:t xml:space="preserve">. Managers should bear in mind that a few negative cues may overwhelm the cumulative effects of many positive activities, such that the success of CSR programs often depends more on mitigating the </w:t>
      </w:r>
      <w:r w:rsidR="00A01F9B" w:rsidRPr="00117825">
        <w:t>“</w:t>
      </w:r>
      <w:r w:rsidR="008C5737" w:rsidRPr="00117825">
        <w:t>bad</w:t>
      </w:r>
      <w:r w:rsidR="00A01F9B" w:rsidRPr="00117825">
        <w:t>”</w:t>
      </w:r>
      <w:r w:rsidR="008C5737" w:rsidRPr="00117825">
        <w:t xml:space="preserve"> than on accumulating the </w:t>
      </w:r>
      <w:r w:rsidR="00A01F9B" w:rsidRPr="00117825">
        <w:t>“</w:t>
      </w:r>
      <w:r w:rsidR="008C5737" w:rsidRPr="00117825">
        <w:t>good</w:t>
      </w:r>
      <w:r w:rsidR="00A01F9B" w:rsidRPr="00117825">
        <w:t>”</w:t>
      </w:r>
      <w:r w:rsidR="00CD0E68" w:rsidRPr="00117825">
        <w:t xml:space="preserve"> (</w:t>
      </w:r>
      <w:proofErr w:type="spellStart"/>
      <w:r w:rsidR="0080347B" w:rsidRPr="00117825">
        <w:rPr>
          <w:bCs/>
        </w:rPr>
        <w:t>Baumeister</w:t>
      </w:r>
      <w:proofErr w:type="spellEnd"/>
      <w:r w:rsidR="0080347B" w:rsidRPr="00117825">
        <w:rPr>
          <w:bCs/>
        </w:rPr>
        <w:t xml:space="preserve"> et al., 2001</w:t>
      </w:r>
      <w:r w:rsidR="00CD0E68" w:rsidRPr="00117825">
        <w:t>)</w:t>
      </w:r>
      <w:r w:rsidR="008C5737" w:rsidRPr="00117825">
        <w:t xml:space="preserve">. </w:t>
      </w:r>
      <w:r w:rsidR="006F10F1" w:rsidRPr="00117825">
        <w:t>People rarely blame firms for doing good</w:t>
      </w:r>
      <w:r w:rsidR="002B6908" w:rsidRPr="00117825">
        <w:t>,</w:t>
      </w:r>
      <w:r w:rsidR="006F10F1" w:rsidRPr="00117825">
        <w:t xml:space="preserve"> and </w:t>
      </w:r>
      <w:r w:rsidR="005E5A39" w:rsidRPr="00117825">
        <w:t xml:space="preserve">the firm </w:t>
      </w:r>
      <w:r w:rsidR="005F1BE8" w:rsidRPr="00117825">
        <w:t xml:space="preserve">that </w:t>
      </w:r>
      <w:r w:rsidR="005E5A39" w:rsidRPr="00117825">
        <w:t xml:space="preserve">acts in a socially beneficial way may generate strong consumer reactions </w:t>
      </w:r>
      <w:r w:rsidR="006F10F1" w:rsidRPr="00117825">
        <w:t>(Lange &amp; Washburn, 2012)</w:t>
      </w:r>
      <w:r w:rsidR="00B762AD" w:rsidRPr="00117825">
        <w:t xml:space="preserve">. This finding </w:t>
      </w:r>
      <w:r w:rsidR="00857286" w:rsidRPr="00117825">
        <w:t xml:space="preserve">increases the importance of </w:t>
      </w:r>
      <w:r w:rsidR="008C5737" w:rsidRPr="00117825">
        <w:t xml:space="preserve">getting things right </w:t>
      </w:r>
      <w:r w:rsidR="00CD0E68" w:rsidRPr="00117825">
        <w:t>from the start</w:t>
      </w:r>
      <w:r w:rsidR="008C5737" w:rsidRPr="00117825">
        <w:t xml:space="preserve"> </w:t>
      </w:r>
      <w:r w:rsidR="00857286" w:rsidRPr="00117825">
        <w:t xml:space="preserve">in terms of CSR </w:t>
      </w:r>
      <w:r w:rsidR="002B6908" w:rsidRPr="00117825">
        <w:t xml:space="preserve">because </w:t>
      </w:r>
      <w:r w:rsidR="00857286" w:rsidRPr="00117825">
        <w:t>consumer</w:t>
      </w:r>
      <w:r w:rsidR="002C2CE5" w:rsidRPr="00117825">
        <w:t>s’</w:t>
      </w:r>
      <w:r w:rsidR="00857286" w:rsidRPr="00117825">
        <w:t xml:space="preserve"> doubts </w:t>
      </w:r>
      <w:r w:rsidR="00CD0E68" w:rsidRPr="00117825">
        <w:t xml:space="preserve">and disbelief </w:t>
      </w:r>
      <w:r w:rsidR="00857286" w:rsidRPr="00117825">
        <w:t xml:space="preserve">can open the door </w:t>
      </w:r>
      <w:r w:rsidR="00CD0E68" w:rsidRPr="00117825">
        <w:t>for a host of negative outcomes</w:t>
      </w:r>
      <w:r w:rsidR="00857286" w:rsidRPr="00117825">
        <w:t xml:space="preserve">. </w:t>
      </w:r>
    </w:p>
    <w:p w:rsidR="00217369" w:rsidRDefault="00B857E0" w:rsidP="00117825">
      <w:pPr>
        <w:tabs>
          <w:tab w:val="left" w:pos="567"/>
        </w:tabs>
        <w:spacing w:line="480" w:lineRule="auto"/>
      </w:pPr>
      <w:r>
        <w:tab/>
      </w:r>
      <w:r w:rsidR="007C0393" w:rsidRPr="00117825">
        <w:t>Th</w:t>
      </w:r>
      <w:r w:rsidR="002B6908" w:rsidRPr="00117825">
        <w:t>is</w:t>
      </w:r>
      <w:r w:rsidR="007C0393" w:rsidRPr="00117825">
        <w:t xml:space="preserve"> study has s</w:t>
      </w:r>
      <w:r w:rsidR="00F805C4" w:rsidRPr="00117825">
        <w:t>everal</w:t>
      </w:r>
      <w:r w:rsidR="007C0393" w:rsidRPr="00117825">
        <w:t xml:space="preserve"> limitations</w:t>
      </w:r>
      <w:r w:rsidR="008B4ACD" w:rsidRPr="00117825">
        <w:t xml:space="preserve">, which provide </w:t>
      </w:r>
      <w:r w:rsidR="00F5018E" w:rsidRPr="00117825">
        <w:t xml:space="preserve">directions </w:t>
      </w:r>
      <w:r w:rsidR="008B4ACD" w:rsidRPr="00117825">
        <w:t>for future work</w:t>
      </w:r>
      <w:r w:rsidR="00857286" w:rsidRPr="00117825">
        <w:t>.</w:t>
      </w:r>
      <w:r w:rsidR="003E7362" w:rsidRPr="00117825">
        <w:t xml:space="preserve"> </w:t>
      </w:r>
      <w:r w:rsidR="007C0393" w:rsidRPr="00117825">
        <w:t>T</w:t>
      </w:r>
      <w:r w:rsidR="00B75779" w:rsidRPr="00117825">
        <w:t>h</w:t>
      </w:r>
      <w:r w:rsidR="007C0393" w:rsidRPr="00117825">
        <w:t>e</w:t>
      </w:r>
      <w:r w:rsidR="00B75779" w:rsidRPr="00117825">
        <w:t xml:space="preserve"> study obtained </w:t>
      </w:r>
      <w:r w:rsidR="007C0393" w:rsidRPr="00117825">
        <w:t>single</w:t>
      </w:r>
      <w:r w:rsidR="002B6908" w:rsidRPr="00117825">
        <w:t>-</w:t>
      </w:r>
      <w:r w:rsidR="007C0393" w:rsidRPr="00117825">
        <w:t xml:space="preserve">source </w:t>
      </w:r>
      <w:r w:rsidR="00B75779" w:rsidRPr="00117825">
        <w:t xml:space="preserve">data at </w:t>
      </w:r>
      <w:r w:rsidR="007C0393" w:rsidRPr="00117825">
        <w:t>one</w:t>
      </w:r>
      <w:r w:rsidR="00B75779" w:rsidRPr="00117825">
        <w:t xml:space="preserve"> point in time</w:t>
      </w:r>
      <w:r w:rsidR="007C0393" w:rsidRPr="00117825">
        <w:t>, which</w:t>
      </w:r>
      <w:r w:rsidR="00B75779" w:rsidRPr="00117825">
        <w:t xml:space="preserve"> brings into play the possibility of common method bias. To further control for the effects of a single unmeasured latent method factor, the </w:t>
      </w:r>
      <w:r w:rsidR="002B6908" w:rsidRPr="00117825">
        <w:t xml:space="preserve">study </w:t>
      </w:r>
      <w:r w:rsidR="00B75779" w:rsidRPr="00117825">
        <w:t>re-estimated the structural model with an added latent common factor specified as having a relationship with all items (</w:t>
      </w:r>
      <w:proofErr w:type="spellStart"/>
      <w:r w:rsidR="00B75779" w:rsidRPr="00117825">
        <w:t>Pod</w:t>
      </w:r>
      <w:r w:rsidR="000F0633" w:rsidRPr="00117825">
        <w:t>s</w:t>
      </w:r>
      <w:r w:rsidR="00B75779" w:rsidRPr="00117825">
        <w:t>akoff</w:t>
      </w:r>
      <w:proofErr w:type="spellEnd"/>
      <w:r w:rsidR="00B75779" w:rsidRPr="00117825">
        <w:t xml:space="preserve"> et al., 2003). All factor loadings from the items to their designated theoretical factors remained significant</w:t>
      </w:r>
      <w:r w:rsidR="002B6908" w:rsidRPr="00117825">
        <w:t>,</w:t>
      </w:r>
      <w:r w:rsidR="00B75779" w:rsidRPr="00117825">
        <w:t xml:space="preserve"> and </w:t>
      </w:r>
      <w:r w:rsidR="00642A77" w:rsidRPr="00117825">
        <w:t xml:space="preserve">the same </w:t>
      </w:r>
      <w:r w:rsidR="00642A77" w:rsidRPr="00117825">
        <w:lastRenderedPageBreak/>
        <w:t>source factor</w:t>
      </w:r>
      <w:r w:rsidR="00B75779" w:rsidRPr="00117825">
        <w:t xml:space="preserve"> did not affect the overall pattern of results presented in the original structural model. Therefore, a methodological artifact </w:t>
      </w:r>
      <w:r w:rsidR="002B6908" w:rsidRPr="00117825">
        <w:t xml:space="preserve">likely did not </w:t>
      </w:r>
      <w:r w:rsidR="00B75779" w:rsidRPr="00117825">
        <w:t xml:space="preserve">generate the relationships observed in this study. </w:t>
      </w:r>
      <w:r w:rsidR="00642A77" w:rsidRPr="00117825">
        <w:t>However, l</w:t>
      </w:r>
      <w:r w:rsidR="00857286" w:rsidRPr="00117825">
        <w:t>ongitudinal investigations of</w:t>
      </w:r>
      <w:r w:rsidR="0031524D" w:rsidRPr="00117825">
        <w:t xml:space="preserve"> sources and consequences of</w:t>
      </w:r>
      <w:r w:rsidR="00857286" w:rsidRPr="00117825">
        <w:t xml:space="preserve"> CSR </w:t>
      </w:r>
      <w:r w:rsidR="0031524D" w:rsidRPr="00117825">
        <w:t>skepticism</w:t>
      </w:r>
      <w:r w:rsidR="00857286" w:rsidRPr="00117825">
        <w:t xml:space="preserve"> </w:t>
      </w:r>
      <w:r w:rsidR="00FB009F" w:rsidRPr="00117825">
        <w:t xml:space="preserve">are necessary to </w:t>
      </w:r>
      <w:r w:rsidR="002C1336" w:rsidRPr="00117825">
        <w:t xml:space="preserve">avoid any potential common method variance bias. </w:t>
      </w:r>
      <w:r w:rsidR="002B6908" w:rsidRPr="00117825">
        <w:t xml:space="preserve">They </w:t>
      </w:r>
      <w:r w:rsidR="002C1336" w:rsidRPr="00117825">
        <w:t xml:space="preserve">can </w:t>
      </w:r>
      <w:r w:rsidR="000F0633" w:rsidRPr="00117825">
        <w:t xml:space="preserve">also </w:t>
      </w:r>
      <w:r w:rsidR="00C2085A" w:rsidRPr="00117825">
        <w:t xml:space="preserve">help </w:t>
      </w:r>
      <w:r w:rsidR="00F279A0" w:rsidRPr="00117825">
        <w:t>draw</w:t>
      </w:r>
      <w:r w:rsidR="00857286" w:rsidRPr="00117825">
        <w:t xml:space="preserve"> a better picture </w:t>
      </w:r>
      <w:r w:rsidR="000F0633" w:rsidRPr="00117825">
        <w:t>of</w:t>
      </w:r>
      <w:r w:rsidR="00857286" w:rsidRPr="00117825">
        <w:t xml:space="preserve"> the time duration of skepticism perceptions</w:t>
      </w:r>
      <w:r w:rsidR="002B6908" w:rsidRPr="00117825">
        <w:t xml:space="preserve">. Do </w:t>
      </w:r>
      <w:r w:rsidR="0031524D" w:rsidRPr="00117825">
        <w:t>skeptical</w:t>
      </w:r>
      <w:r w:rsidR="00857286" w:rsidRPr="00117825">
        <w:t xml:space="preserve"> perceptions fad</w:t>
      </w:r>
      <w:r w:rsidR="002B6908" w:rsidRPr="00117825">
        <w:t>e</w:t>
      </w:r>
      <w:r w:rsidR="00857286" w:rsidRPr="00117825">
        <w:t xml:space="preserve"> away after a specific period? </w:t>
      </w:r>
      <w:r w:rsidR="0031524D" w:rsidRPr="00117825">
        <w:t>A</w:t>
      </w:r>
      <w:r w:rsidR="00857286" w:rsidRPr="00117825">
        <w:t xml:space="preserve">re the consequences of skepticism enduring or short-term in nature? </w:t>
      </w:r>
    </w:p>
    <w:p w:rsidR="008054C2" w:rsidRPr="00117825" w:rsidRDefault="00217369" w:rsidP="00117825">
      <w:pPr>
        <w:tabs>
          <w:tab w:val="left" w:pos="567"/>
        </w:tabs>
        <w:spacing w:line="480" w:lineRule="auto"/>
      </w:pPr>
      <w:r>
        <w:tab/>
        <w:t>The</w:t>
      </w:r>
      <w:r w:rsidR="008054C2" w:rsidRPr="00117825">
        <w:t xml:space="preserve"> cross-sectional design of the study restricts its ability to examine causal relations. </w:t>
      </w:r>
      <w:r w:rsidR="00F25F48" w:rsidRPr="00117825">
        <w:t xml:space="preserve">For example, </w:t>
      </w:r>
      <w:r w:rsidR="008054C2" w:rsidRPr="00117825">
        <w:t xml:space="preserve">treating consumers’ interpretation of firm motives underlying CSR as </w:t>
      </w:r>
      <w:r w:rsidR="001C26D5" w:rsidRPr="00117825">
        <w:t>key to</w:t>
      </w:r>
      <w:r w:rsidR="008054C2" w:rsidRPr="00117825">
        <w:t xml:space="preserve"> explaining their reaction to CSR is in concert with attribution theory (Kelley &amp; </w:t>
      </w:r>
      <w:proofErr w:type="spellStart"/>
      <w:r w:rsidR="008054C2" w:rsidRPr="00117825">
        <w:t>Michela</w:t>
      </w:r>
      <w:proofErr w:type="spellEnd"/>
      <w:r w:rsidR="008054C2" w:rsidRPr="00117825">
        <w:t>, 1980; Vlachos et al., 2009) and the study findings are generally supportive of this contention</w:t>
      </w:r>
      <w:r w:rsidR="00F25F48" w:rsidRPr="00117825">
        <w:t xml:space="preserve">. However, </w:t>
      </w:r>
      <w:r w:rsidR="008054C2" w:rsidRPr="00117825">
        <w:t xml:space="preserve">a reverse sequence of events </w:t>
      </w:r>
      <w:r w:rsidR="002B6908" w:rsidRPr="00117825">
        <w:t xml:space="preserve">might </w:t>
      </w:r>
      <w:r w:rsidR="008054C2" w:rsidRPr="00117825">
        <w:t xml:space="preserve">occur </w:t>
      </w:r>
      <w:r w:rsidR="002B6908" w:rsidRPr="00117825">
        <w:t>such</w:t>
      </w:r>
      <w:r w:rsidR="008054C2" w:rsidRPr="00117825">
        <w:t xml:space="preserve"> that skepticism may trigger active, sophisticated attributional thinking. Th</w:t>
      </w:r>
      <w:r w:rsidR="002B6908" w:rsidRPr="00117825">
        <w:t>is</w:t>
      </w:r>
      <w:r w:rsidR="008054C2" w:rsidRPr="00117825">
        <w:t xml:space="preserve"> study draws conclusions </w:t>
      </w:r>
      <w:r w:rsidR="002B6908" w:rsidRPr="00117825">
        <w:t xml:space="preserve">based </w:t>
      </w:r>
      <w:r w:rsidR="008054C2" w:rsidRPr="00117825">
        <w:t xml:space="preserve">on </w:t>
      </w:r>
      <w:r w:rsidR="002B6908" w:rsidRPr="00117825">
        <w:t xml:space="preserve">the </w:t>
      </w:r>
      <w:r w:rsidR="008054C2" w:rsidRPr="00117825">
        <w:t>association between the model constructs</w:t>
      </w:r>
      <w:r w:rsidR="002B6908" w:rsidRPr="00117825">
        <w:t>,</w:t>
      </w:r>
      <w:r w:rsidR="008054C2" w:rsidRPr="00117825">
        <w:t xml:space="preserve"> and clarification of the temporal order between them is possible only with longitudinal methods.</w:t>
      </w:r>
    </w:p>
    <w:p w:rsidR="00857286" w:rsidRPr="00117825" w:rsidRDefault="00B857E0" w:rsidP="00117825">
      <w:pPr>
        <w:tabs>
          <w:tab w:val="left" w:pos="567"/>
        </w:tabs>
        <w:spacing w:line="480" w:lineRule="auto"/>
      </w:pPr>
      <w:r>
        <w:tab/>
      </w:r>
      <w:r w:rsidR="002B6908" w:rsidRPr="00117825">
        <w:t>T</w:t>
      </w:r>
      <w:r w:rsidR="00B75779" w:rsidRPr="00117825">
        <w:t>est</w:t>
      </w:r>
      <w:r w:rsidR="002B6908" w:rsidRPr="00117825">
        <w:t>ing</w:t>
      </w:r>
      <w:r w:rsidR="00B75779" w:rsidRPr="00117825">
        <w:t xml:space="preserve"> the generalizability of the findings by replicating the study in alternative industries and in countries with dissimilar macro-</w:t>
      </w:r>
      <w:r w:rsidR="002B6908" w:rsidRPr="00117825">
        <w:t>level</w:t>
      </w:r>
      <w:r w:rsidR="00B75779" w:rsidRPr="00117825">
        <w:t xml:space="preserve"> (e.g., economic, socio-cultural) and micro-level (e.g., competitive intensity) conditions</w:t>
      </w:r>
      <w:r w:rsidR="002B6908" w:rsidRPr="00117825">
        <w:t xml:space="preserve"> would be worthwhile</w:t>
      </w:r>
      <w:r w:rsidR="00B75779" w:rsidRPr="00117825">
        <w:t xml:space="preserve">. </w:t>
      </w:r>
      <w:r w:rsidR="002B6908" w:rsidRPr="00117825">
        <w:t>T</w:t>
      </w:r>
      <w:r w:rsidR="0031524D" w:rsidRPr="00117825">
        <w:t xml:space="preserve">his study focuses on consumer skepticism toward CSR. </w:t>
      </w:r>
      <w:r w:rsidR="002B6908" w:rsidRPr="00117825">
        <w:t xml:space="preserve">Thus, research could </w:t>
      </w:r>
      <w:r w:rsidR="00857286" w:rsidRPr="00117825">
        <w:t xml:space="preserve">explore skepticism-related issues among other stakeholders, such </w:t>
      </w:r>
      <w:r w:rsidR="002B6908" w:rsidRPr="00117825">
        <w:t xml:space="preserve">as </w:t>
      </w:r>
      <w:r w:rsidR="00857286" w:rsidRPr="00117825">
        <w:t xml:space="preserve">potential investors </w:t>
      </w:r>
      <w:r w:rsidR="004E4607" w:rsidRPr="00117825">
        <w:t>and</w:t>
      </w:r>
      <w:r w:rsidR="00857286" w:rsidRPr="00117825">
        <w:t xml:space="preserve"> company employees. </w:t>
      </w:r>
      <w:r w:rsidR="002B6908" w:rsidRPr="00117825">
        <w:t>In a</w:t>
      </w:r>
      <w:r w:rsidR="008054C2" w:rsidRPr="00117825">
        <w:t>ddition</w:t>
      </w:r>
      <w:r w:rsidR="00857286" w:rsidRPr="00117825">
        <w:t xml:space="preserve">, </w:t>
      </w:r>
      <w:r w:rsidR="004E4607" w:rsidRPr="00117825">
        <w:t>the study uses</w:t>
      </w:r>
      <w:r w:rsidR="00857286" w:rsidRPr="00117825">
        <w:t xml:space="preserve"> a scenario based on a particular cause to capture the </w:t>
      </w:r>
      <w:r w:rsidR="004E4607" w:rsidRPr="00117825">
        <w:t>drivers</w:t>
      </w:r>
      <w:r w:rsidR="00857286" w:rsidRPr="00117825">
        <w:t xml:space="preserve"> and outcomes of skepticism. </w:t>
      </w:r>
      <w:r w:rsidR="002B6908" w:rsidRPr="00117825">
        <w:t xml:space="preserve">Further research could </w:t>
      </w:r>
      <w:r w:rsidR="00857286" w:rsidRPr="00117825">
        <w:t xml:space="preserve">examine whether </w:t>
      </w:r>
      <w:r w:rsidR="00F279A0" w:rsidRPr="00117825">
        <w:t xml:space="preserve">the fit of </w:t>
      </w:r>
      <w:r w:rsidR="00857286" w:rsidRPr="00117825">
        <w:t>cause type</w:t>
      </w:r>
      <w:r w:rsidR="00F279A0" w:rsidRPr="00117825">
        <w:t xml:space="preserve"> and </w:t>
      </w:r>
      <w:r w:rsidR="00857286" w:rsidRPr="00117825">
        <w:t>nature of core business</w:t>
      </w:r>
      <w:r w:rsidR="0080076B" w:rsidRPr="00117825">
        <w:t xml:space="preserve"> </w:t>
      </w:r>
      <w:r w:rsidR="00F279A0" w:rsidRPr="00117825">
        <w:t>has</w:t>
      </w:r>
      <w:r w:rsidR="00857286" w:rsidRPr="00117825">
        <w:t xml:space="preserve"> a</w:t>
      </w:r>
      <w:r w:rsidR="004E4607" w:rsidRPr="00117825">
        <w:t>n effect</w:t>
      </w:r>
      <w:r w:rsidR="00857286" w:rsidRPr="00117825">
        <w:t xml:space="preserve"> on </w:t>
      </w:r>
      <w:r w:rsidR="00A9276D" w:rsidRPr="00117825">
        <w:t xml:space="preserve">the development of </w:t>
      </w:r>
      <w:r w:rsidR="00857286" w:rsidRPr="00117825">
        <w:t xml:space="preserve">skepticism toward CSR practices. </w:t>
      </w:r>
      <w:r w:rsidR="004F12E4" w:rsidRPr="00117825">
        <w:t xml:space="preserve">Relatedly, </w:t>
      </w:r>
      <w:r w:rsidR="00857286" w:rsidRPr="00117825">
        <w:t xml:space="preserve">this investigation considers a limited range of drivers and outcomes of CSR skepticism. </w:t>
      </w:r>
      <w:r w:rsidR="005F1BE8" w:rsidRPr="00117825">
        <w:lastRenderedPageBreak/>
        <w:t xml:space="preserve">Subsequent </w:t>
      </w:r>
      <w:r w:rsidR="00857286" w:rsidRPr="00117825">
        <w:t xml:space="preserve">research </w:t>
      </w:r>
      <w:r w:rsidR="002B6908" w:rsidRPr="00117825">
        <w:t>could</w:t>
      </w:r>
      <w:r w:rsidR="00857286" w:rsidRPr="00117825">
        <w:t xml:space="preserve"> include </w:t>
      </w:r>
      <w:r w:rsidR="00A9276D" w:rsidRPr="00117825">
        <w:t>additional</w:t>
      </w:r>
      <w:r w:rsidR="00857286" w:rsidRPr="00117825">
        <w:t xml:space="preserve"> drivers of CSR skepticism, such as </w:t>
      </w:r>
      <w:r w:rsidR="00CA4164" w:rsidRPr="00117825">
        <w:t>corporate reputation</w:t>
      </w:r>
      <w:r w:rsidR="002B6908" w:rsidRPr="00117825">
        <w:t>,</w:t>
      </w:r>
      <w:r w:rsidR="00CA4164" w:rsidRPr="00117825">
        <w:t xml:space="preserve"> </w:t>
      </w:r>
      <w:r w:rsidR="00857286" w:rsidRPr="00117825">
        <w:t xml:space="preserve">and assess </w:t>
      </w:r>
      <w:r w:rsidR="00A9276D" w:rsidRPr="00117825">
        <w:t xml:space="preserve">the impact of skepticism on </w:t>
      </w:r>
      <w:r w:rsidR="00857286" w:rsidRPr="00117825">
        <w:t>actual purchasing behavior.</w:t>
      </w:r>
    </w:p>
    <w:p w:rsidR="00F32C19" w:rsidRPr="00117825" w:rsidRDefault="00B857E0" w:rsidP="00117825">
      <w:pPr>
        <w:tabs>
          <w:tab w:val="left" w:pos="567"/>
        </w:tabs>
        <w:spacing w:line="480" w:lineRule="auto"/>
      </w:pPr>
      <w:r>
        <w:tab/>
      </w:r>
      <w:r w:rsidR="007A00F3" w:rsidRPr="00117825">
        <w:t>Today, an increasing number of companies engage in CSR in an attempt to reap its benefits and meet the expectations of society. At the same time, media coverage and public criticism regarding various socially irresponsible business practices have increased at an alarming rate. As a result, more and more consumers tend to doubt and question corporate social involvement</w:t>
      </w:r>
      <w:r w:rsidR="000D1E1D" w:rsidRPr="00117825">
        <w:t>,</w:t>
      </w:r>
      <w:r w:rsidR="007A00F3" w:rsidRPr="00117825">
        <w:t xml:space="preserve"> and feelings of skepticism toward CSR practices are on the rise. </w:t>
      </w:r>
      <w:r w:rsidR="000D1E1D" w:rsidRPr="00117825">
        <w:t>Alt</w:t>
      </w:r>
      <w:r w:rsidR="007A00F3" w:rsidRPr="00117825">
        <w:t xml:space="preserve">hough this phenomenon can have serious implications for the formulation, implementation, and success of CSR policies, research on </w:t>
      </w:r>
      <w:r w:rsidR="00113AEB" w:rsidRPr="00117825">
        <w:t xml:space="preserve">this topic </w:t>
      </w:r>
      <w:r w:rsidR="007A00F3" w:rsidRPr="00117825">
        <w:t xml:space="preserve">remains scarce and limited. </w:t>
      </w:r>
      <w:r w:rsidR="00B25BA2" w:rsidRPr="00117825">
        <w:t xml:space="preserve">The central theme of this research effort is </w:t>
      </w:r>
      <w:r w:rsidR="001C26D5" w:rsidRPr="00117825">
        <w:t xml:space="preserve">the role of </w:t>
      </w:r>
      <w:r w:rsidR="000F0633" w:rsidRPr="00117825">
        <w:t xml:space="preserve">consumer </w:t>
      </w:r>
      <w:r w:rsidR="00B25BA2" w:rsidRPr="00117825">
        <w:t xml:space="preserve">skepticism </w:t>
      </w:r>
      <w:r w:rsidR="000F0633" w:rsidRPr="00117825">
        <w:t xml:space="preserve">toward </w:t>
      </w:r>
      <w:r w:rsidR="001C26D5" w:rsidRPr="00117825">
        <w:t>CSR</w:t>
      </w:r>
      <w:r w:rsidR="00B25BA2" w:rsidRPr="00117825">
        <w:t xml:space="preserve">. </w:t>
      </w:r>
      <w:r w:rsidR="007A00F3" w:rsidRPr="00117825">
        <w:t>Th</w:t>
      </w:r>
      <w:r w:rsidR="000D1E1D" w:rsidRPr="00117825">
        <w:t>is</w:t>
      </w:r>
      <w:r w:rsidR="007A00F3" w:rsidRPr="00117825">
        <w:t xml:space="preserve"> study takes the first steps toward </w:t>
      </w:r>
      <w:r w:rsidR="003F0AF2" w:rsidRPr="00117825">
        <w:t>enhanc</w:t>
      </w:r>
      <w:r w:rsidR="000F0633" w:rsidRPr="00117825">
        <w:t>ing</w:t>
      </w:r>
      <w:r w:rsidR="003F0AF2" w:rsidRPr="00117825">
        <w:t xml:space="preserve"> </w:t>
      </w:r>
      <w:r w:rsidR="002A65B7" w:rsidRPr="00117825">
        <w:t xml:space="preserve">understanding </w:t>
      </w:r>
      <w:r w:rsidR="00B25BA2" w:rsidRPr="00117825">
        <w:t xml:space="preserve">of </w:t>
      </w:r>
      <w:r w:rsidR="002A65B7" w:rsidRPr="00117825">
        <w:t xml:space="preserve">consumer skepticism toward CSR </w:t>
      </w:r>
      <w:r w:rsidR="000D1E1D" w:rsidRPr="00117825">
        <w:t xml:space="preserve">by </w:t>
      </w:r>
      <w:r w:rsidR="002A65B7" w:rsidRPr="00117825">
        <w:t xml:space="preserve">introducing new measures for </w:t>
      </w:r>
      <w:r w:rsidR="00B95F6A" w:rsidRPr="00117825">
        <w:t>this construct</w:t>
      </w:r>
      <w:r w:rsidR="002A65B7" w:rsidRPr="00117825">
        <w:t xml:space="preserve"> and </w:t>
      </w:r>
      <w:r w:rsidR="00113AEB" w:rsidRPr="00117825">
        <w:t>elucidating t</w:t>
      </w:r>
      <w:r w:rsidR="007A00F3" w:rsidRPr="00117825">
        <w:t xml:space="preserve">he factors that facilitate </w:t>
      </w:r>
      <w:r w:rsidR="00113AEB" w:rsidRPr="00117825">
        <w:t>and/</w:t>
      </w:r>
      <w:r w:rsidR="007A00F3" w:rsidRPr="00117825">
        <w:t xml:space="preserve">or inhibit </w:t>
      </w:r>
      <w:r w:rsidR="00B25BA2" w:rsidRPr="00117825">
        <w:t>its</w:t>
      </w:r>
      <w:r w:rsidR="002A65B7" w:rsidRPr="00117825">
        <w:t xml:space="preserve"> development,</w:t>
      </w:r>
      <w:r w:rsidR="007A00F3" w:rsidRPr="00117825">
        <w:t xml:space="preserve"> </w:t>
      </w:r>
      <w:r w:rsidR="00113AEB" w:rsidRPr="00117825">
        <w:t xml:space="preserve">as well as </w:t>
      </w:r>
      <w:r w:rsidR="007A00F3" w:rsidRPr="00117825">
        <w:t xml:space="preserve">its </w:t>
      </w:r>
      <w:r w:rsidR="00A56CEC" w:rsidRPr="00117825">
        <w:t>consequences</w:t>
      </w:r>
      <w:r w:rsidR="007A00F3" w:rsidRPr="00117825">
        <w:t xml:space="preserve">. </w:t>
      </w:r>
      <w:r w:rsidR="000F0633" w:rsidRPr="00117825">
        <w:t>In doing so</w:t>
      </w:r>
      <w:r w:rsidR="003C26A7" w:rsidRPr="00117825">
        <w:t xml:space="preserve">, </w:t>
      </w:r>
      <w:r w:rsidR="000D1E1D" w:rsidRPr="00117825">
        <w:t xml:space="preserve">this </w:t>
      </w:r>
      <w:r w:rsidR="000F0633" w:rsidRPr="00117825">
        <w:t>study</w:t>
      </w:r>
      <w:r w:rsidR="000D1E1D" w:rsidRPr="00117825">
        <w:t xml:space="preserve"> </w:t>
      </w:r>
      <w:r w:rsidR="003C26A7" w:rsidRPr="00117825">
        <w:t xml:space="preserve">joins a nascent stream of research </w:t>
      </w:r>
      <w:r w:rsidR="000D1E1D" w:rsidRPr="00117825">
        <w:t xml:space="preserve">that </w:t>
      </w:r>
      <w:r w:rsidR="003C26A7" w:rsidRPr="00117825">
        <w:t xml:space="preserve">questions the extent to which consumers unconditionally </w:t>
      </w:r>
      <w:r w:rsidR="009B7B9C" w:rsidRPr="00117825">
        <w:t>embrace</w:t>
      </w:r>
      <w:r w:rsidR="003C26A7" w:rsidRPr="00117825">
        <w:t xml:space="preserve"> CSR </w:t>
      </w:r>
      <w:r w:rsidR="009014FF" w:rsidRPr="00117825">
        <w:t>practices</w:t>
      </w:r>
      <w:r w:rsidR="003C26A7" w:rsidRPr="00117825">
        <w:t xml:space="preserve"> and </w:t>
      </w:r>
      <w:r w:rsidR="00A515E9" w:rsidRPr="00117825">
        <w:t>support</w:t>
      </w:r>
      <w:r w:rsidR="003C26A7" w:rsidRPr="00117825">
        <w:t xml:space="preserve"> companies for their social </w:t>
      </w:r>
      <w:r w:rsidR="009014FF" w:rsidRPr="00117825">
        <w:t>initiatives</w:t>
      </w:r>
      <w:r w:rsidR="003C26A7" w:rsidRPr="00117825">
        <w:t xml:space="preserve">. </w:t>
      </w:r>
      <w:r w:rsidR="000D1E1D" w:rsidRPr="00117825">
        <w:t>Th</w:t>
      </w:r>
      <w:r w:rsidR="0092676D" w:rsidRPr="00117825">
        <w:t xml:space="preserve">is </w:t>
      </w:r>
      <w:r w:rsidR="000F0633" w:rsidRPr="00117825">
        <w:t xml:space="preserve">study thus </w:t>
      </w:r>
      <w:r w:rsidR="000D1E1D" w:rsidRPr="00117825">
        <w:t xml:space="preserve">aims to </w:t>
      </w:r>
      <w:r w:rsidR="0092676D" w:rsidRPr="00117825">
        <w:t xml:space="preserve">inspire </w:t>
      </w:r>
      <w:r w:rsidR="002A65B7" w:rsidRPr="00117825">
        <w:t xml:space="preserve">continued theoretical and empirical research </w:t>
      </w:r>
      <w:r w:rsidR="0092676D" w:rsidRPr="00117825">
        <w:t xml:space="preserve">on the important </w:t>
      </w:r>
      <w:r w:rsidR="00F32C19" w:rsidRPr="00117825">
        <w:t xml:space="preserve">topic of </w:t>
      </w:r>
      <w:r w:rsidR="002A65B7" w:rsidRPr="00117825">
        <w:t>CSR skepticism.</w:t>
      </w:r>
    </w:p>
    <w:p w:rsidR="00857286" w:rsidRPr="00117825" w:rsidRDefault="0052693D" w:rsidP="00117825">
      <w:pPr>
        <w:tabs>
          <w:tab w:val="left" w:pos="284"/>
        </w:tabs>
        <w:spacing w:line="480" w:lineRule="auto"/>
        <w:outlineLvl w:val="0"/>
        <w:rPr>
          <w:b/>
          <w:color w:val="000000"/>
        </w:rPr>
      </w:pPr>
      <w:r w:rsidRPr="00117825">
        <w:rPr>
          <w:b/>
          <w:color w:val="000000"/>
        </w:rPr>
        <w:br w:type="page"/>
      </w:r>
      <w:r w:rsidR="00857286" w:rsidRPr="00117825">
        <w:rPr>
          <w:b/>
          <w:color w:val="000000"/>
        </w:rPr>
        <w:lastRenderedPageBreak/>
        <w:t>References</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Ahluwalia, R., </w:t>
      </w:r>
      <w:proofErr w:type="spellStart"/>
      <w:r w:rsidRPr="00117825">
        <w:rPr>
          <w:color w:val="000000"/>
        </w:rPr>
        <w:t>Burnkrant</w:t>
      </w:r>
      <w:proofErr w:type="spellEnd"/>
      <w:r w:rsidRPr="00117825">
        <w:rPr>
          <w:color w:val="000000"/>
        </w:rPr>
        <w:t xml:space="preserve">, R., &amp; </w:t>
      </w:r>
      <w:proofErr w:type="spellStart"/>
      <w:r w:rsidRPr="00117825">
        <w:rPr>
          <w:color w:val="000000"/>
        </w:rPr>
        <w:t>Unnava</w:t>
      </w:r>
      <w:proofErr w:type="spellEnd"/>
      <w:r w:rsidRPr="00117825">
        <w:rPr>
          <w:color w:val="000000"/>
        </w:rPr>
        <w:t xml:space="preserve">, R. (2000). Consumer response to negative publicity: </w:t>
      </w:r>
      <w:r w:rsidR="000D1E1D" w:rsidRPr="00117825">
        <w:rPr>
          <w:color w:val="000000"/>
        </w:rPr>
        <w:t>t</w:t>
      </w:r>
      <w:r w:rsidRPr="00117825">
        <w:rPr>
          <w:color w:val="000000"/>
        </w:rPr>
        <w:t xml:space="preserve">he moderating role of commitment. </w:t>
      </w:r>
      <w:r w:rsidRPr="00117825">
        <w:rPr>
          <w:i/>
          <w:color w:val="000000"/>
        </w:rPr>
        <w:t>Journal of Marketing Research</w:t>
      </w:r>
      <w:r w:rsidRPr="00117825">
        <w:rPr>
          <w:color w:val="000000"/>
        </w:rPr>
        <w:t xml:space="preserve">, </w:t>
      </w:r>
      <w:r w:rsidRPr="00117825">
        <w:rPr>
          <w:i/>
          <w:color w:val="000000"/>
        </w:rPr>
        <w:t>37</w:t>
      </w:r>
      <w:r w:rsidRPr="00117825">
        <w:rPr>
          <w:color w:val="000000"/>
        </w:rPr>
        <w:t xml:space="preserve">(2), 203-214. </w:t>
      </w:r>
    </w:p>
    <w:p w:rsidR="00113A61" w:rsidRPr="00117825" w:rsidRDefault="00113A61" w:rsidP="00E64ACA">
      <w:pPr>
        <w:tabs>
          <w:tab w:val="left" w:pos="284"/>
        </w:tabs>
        <w:autoSpaceDE w:val="0"/>
        <w:autoSpaceDN w:val="0"/>
        <w:adjustRightInd w:val="0"/>
        <w:spacing w:line="480" w:lineRule="auto"/>
        <w:ind w:left="454" w:hanging="454"/>
        <w:rPr>
          <w:rFonts w:eastAsia="Calibri"/>
          <w:color w:val="000000"/>
          <w:lang w:eastAsia="el-GR"/>
        </w:rPr>
      </w:pPr>
      <w:r w:rsidRPr="00117825">
        <w:rPr>
          <w:rFonts w:eastAsia="Calibri"/>
          <w:color w:val="000000"/>
          <w:lang w:eastAsia="el-GR"/>
        </w:rPr>
        <w:t xml:space="preserve">Anderson, J. C., &amp; </w:t>
      </w:r>
      <w:proofErr w:type="spellStart"/>
      <w:r w:rsidRPr="00117825">
        <w:rPr>
          <w:rFonts w:eastAsia="Calibri"/>
          <w:color w:val="000000"/>
          <w:lang w:eastAsia="el-GR"/>
        </w:rPr>
        <w:t>Gerbing</w:t>
      </w:r>
      <w:proofErr w:type="spellEnd"/>
      <w:r w:rsidRPr="00117825">
        <w:rPr>
          <w:rFonts w:eastAsia="Calibri"/>
          <w:color w:val="000000"/>
          <w:lang w:eastAsia="el-GR"/>
        </w:rPr>
        <w:t xml:space="preserve">, D. W. (1988). Structural equation modeling in practice: </w:t>
      </w:r>
      <w:r w:rsidR="000D1E1D" w:rsidRPr="00117825">
        <w:rPr>
          <w:rFonts w:eastAsia="Calibri"/>
          <w:color w:val="000000"/>
          <w:lang w:eastAsia="el-GR"/>
        </w:rPr>
        <w:t>a</w:t>
      </w:r>
      <w:r w:rsidRPr="00117825">
        <w:rPr>
          <w:rFonts w:eastAsia="Calibri"/>
          <w:color w:val="000000"/>
          <w:lang w:eastAsia="el-GR"/>
        </w:rPr>
        <w:t xml:space="preserve"> review and recommended two-step approach. </w:t>
      </w:r>
      <w:r w:rsidRPr="00117825">
        <w:rPr>
          <w:rFonts w:eastAsia="Calibri"/>
          <w:i/>
          <w:iCs/>
          <w:color w:val="000000"/>
          <w:lang w:eastAsia="el-GR"/>
        </w:rPr>
        <w:t>Psychological Bulletin</w:t>
      </w:r>
      <w:r w:rsidRPr="00117825">
        <w:rPr>
          <w:rFonts w:eastAsia="Calibri"/>
          <w:iCs/>
          <w:color w:val="000000"/>
          <w:lang w:eastAsia="el-GR"/>
        </w:rPr>
        <w:t xml:space="preserve">, </w:t>
      </w:r>
      <w:r w:rsidRPr="00117825">
        <w:rPr>
          <w:rFonts w:eastAsia="Calibri"/>
          <w:bCs/>
          <w:i/>
          <w:color w:val="000000"/>
          <w:lang w:eastAsia="el-GR"/>
        </w:rPr>
        <w:t>103</w:t>
      </w:r>
      <w:r w:rsidRPr="00117825">
        <w:rPr>
          <w:rFonts w:eastAsia="Calibri"/>
          <w:bCs/>
          <w:color w:val="000000"/>
          <w:lang w:eastAsia="el-GR"/>
        </w:rPr>
        <w:t>(3),</w:t>
      </w:r>
      <w:r w:rsidRPr="00117825">
        <w:rPr>
          <w:rFonts w:eastAsia="Calibri"/>
          <w:color w:val="000000"/>
          <w:lang w:eastAsia="el-GR"/>
        </w:rPr>
        <w:t xml:space="preserve"> 411-423.</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Arnett, D. B., German, S. D., &amp; Hunt, S. D. (2003). The identity salience model of relationship marketing success: </w:t>
      </w:r>
      <w:r w:rsidR="000D1E1D" w:rsidRPr="00117825">
        <w:rPr>
          <w:color w:val="000000"/>
        </w:rPr>
        <w:t>t</w:t>
      </w:r>
      <w:r w:rsidRPr="00117825">
        <w:rPr>
          <w:color w:val="000000"/>
        </w:rPr>
        <w:t xml:space="preserve">he case of nonprofit marketing. </w:t>
      </w:r>
      <w:r w:rsidRPr="00117825">
        <w:rPr>
          <w:i/>
          <w:color w:val="000000"/>
        </w:rPr>
        <w:t>Journal of Marketing</w:t>
      </w:r>
      <w:r w:rsidRPr="00117825">
        <w:rPr>
          <w:color w:val="000000"/>
        </w:rPr>
        <w:t xml:space="preserve">, </w:t>
      </w:r>
      <w:r w:rsidRPr="00117825">
        <w:rPr>
          <w:i/>
          <w:color w:val="000000"/>
        </w:rPr>
        <w:t>67</w:t>
      </w:r>
      <w:r w:rsidRPr="00117825">
        <w:rPr>
          <w:color w:val="000000"/>
        </w:rPr>
        <w:t>(2), 89-105.</w:t>
      </w:r>
    </w:p>
    <w:p w:rsidR="00113A61" w:rsidRPr="00117825" w:rsidRDefault="00113A61" w:rsidP="00E64ACA">
      <w:pPr>
        <w:tabs>
          <w:tab w:val="left" w:pos="284"/>
        </w:tabs>
        <w:autoSpaceDE w:val="0"/>
        <w:autoSpaceDN w:val="0"/>
        <w:adjustRightInd w:val="0"/>
        <w:spacing w:line="480" w:lineRule="auto"/>
        <w:ind w:left="454" w:hanging="454"/>
        <w:rPr>
          <w:bCs/>
          <w:color w:val="000000"/>
        </w:rPr>
      </w:pPr>
      <w:r w:rsidRPr="00117825">
        <w:rPr>
          <w:color w:val="000000"/>
        </w:rPr>
        <w:t xml:space="preserve">Arnett, D. B., </w:t>
      </w:r>
      <w:proofErr w:type="spellStart"/>
      <w:r w:rsidRPr="00117825">
        <w:rPr>
          <w:bCs/>
          <w:color w:val="000000"/>
        </w:rPr>
        <w:t>Laverie</w:t>
      </w:r>
      <w:proofErr w:type="spellEnd"/>
      <w:r w:rsidRPr="00117825">
        <w:rPr>
          <w:bCs/>
          <w:color w:val="000000"/>
        </w:rPr>
        <w:t xml:space="preserve">, D., &amp; </w:t>
      </w:r>
      <w:proofErr w:type="spellStart"/>
      <w:r w:rsidRPr="00117825">
        <w:rPr>
          <w:bCs/>
          <w:color w:val="000000"/>
        </w:rPr>
        <w:t>Meiers</w:t>
      </w:r>
      <w:proofErr w:type="spellEnd"/>
      <w:r w:rsidRPr="00117825">
        <w:rPr>
          <w:bCs/>
          <w:color w:val="000000"/>
        </w:rPr>
        <w:t xml:space="preserve">, A. (2003). Developing parsimonious retailer equity indexes using partial least squares analysis: </w:t>
      </w:r>
      <w:r w:rsidR="000D1E1D" w:rsidRPr="00117825">
        <w:rPr>
          <w:bCs/>
          <w:color w:val="000000"/>
        </w:rPr>
        <w:t>a</w:t>
      </w:r>
      <w:r w:rsidRPr="00117825">
        <w:rPr>
          <w:bCs/>
          <w:color w:val="000000"/>
        </w:rPr>
        <w:t xml:space="preserve"> method and applications. </w:t>
      </w:r>
      <w:r w:rsidRPr="00117825">
        <w:rPr>
          <w:bCs/>
          <w:i/>
          <w:iCs/>
          <w:color w:val="000000"/>
        </w:rPr>
        <w:t>Journal of Retailing</w:t>
      </w:r>
      <w:r w:rsidRPr="00117825">
        <w:rPr>
          <w:bCs/>
          <w:color w:val="000000"/>
        </w:rPr>
        <w:t xml:space="preserve">, </w:t>
      </w:r>
      <w:r w:rsidRPr="00117825">
        <w:rPr>
          <w:bCs/>
          <w:i/>
          <w:color w:val="000000"/>
        </w:rPr>
        <w:t>79</w:t>
      </w:r>
      <w:r w:rsidRPr="00117825">
        <w:rPr>
          <w:bCs/>
          <w:color w:val="000000"/>
        </w:rPr>
        <w:t>(3), 161-170.</w:t>
      </w:r>
    </w:p>
    <w:p w:rsidR="00113A61" w:rsidRPr="00117825" w:rsidRDefault="00113A61" w:rsidP="00E64ACA">
      <w:pPr>
        <w:tabs>
          <w:tab w:val="left" w:pos="284"/>
        </w:tabs>
        <w:autoSpaceDE w:val="0"/>
        <w:autoSpaceDN w:val="0"/>
        <w:adjustRightInd w:val="0"/>
        <w:spacing w:line="480" w:lineRule="auto"/>
        <w:ind w:left="454" w:hanging="454"/>
        <w:rPr>
          <w:bCs/>
          <w:color w:val="000000"/>
        </w:rPr>
      </w:pPr>
      <w:proofErr w:type="spellStart"/>
      <w:r w:rsidRPr="00117825">
        <w:rPr>
          <w:bCs/>
          <w:color w:val="000000"/>
        </w:rPr>
        <w:t>Barone</w:t>
      </w:r>
      <w:proofErr w:type="spellEnd"/>
      <w:r w:rsidRPr="00117825">
        <w:rPr>
          <w:bCs/>
          <w:color w:val="000000"/>
        </w:rPr>
        <w:t xml:space="preserve">, M. J., Miyazaki, A. D., &amp; Taylor, K. A. (2000). The influence of cause-related marketing on consumer choice: </w:t>
      </w:r>
      <w:r w:rsidR="000D1E1D" w:rsidRPr="00117825">
        <w:rPr>
          <w:bCs/>
          <w:color w:val="000000"/>
        </w:rPr>
        <w:t>d</w:t>
      </w:r>
      <w:r w:rsidRPr="00117825">
        <w:rPr>
          <w:bCs/>
          <w:color w:val="000000"/>
        </w:rPr>
        <w:t xml:space="preserve">oes one good turn deserve another? </w:t>
      </w:r>
      <w:r w:rsidRPr="00117825">
        <w:rPr>
          <w:bCs/>
          <w:i/>
          <w:color w:val="000000"/>
        </w:rPr>
        <w:t>Journal of the Academy of Marketing Science</w:t>
      </w:r>
      <w:r w:rsidRPr="00117825">
        <w:rPr>
          <w:bCs/>
          <w:color w:val="000000"/>
        </w:rPr>
        <w:t xml:space="preserve">, </w:t>
      </w:r>
      <w:r w:rsidRPr="00117825">
        <w:rPr>
          <w:bCs/>
          <w:i/>
          <w:color w:val="000000"/>
        </w:rPr>
        <w:t>28</w:t>
      </w:r>
      <w:r w:rsidRPr="00117825">
        <w:rPr>
          <w:bCs/>
          <w:color w:val="000000"/>
        </w:rPr>
        <w:t>(2), 248-263.</w:t>
      </w:r>
    </w:p>
    <w:p w:rsidR="00113A61" w:rsidRPr="00117825" w:rsidRDefault="00113A61" w:rsidP="00E64ACA">
      <w:pPr>
        <w:tabs>
          <w:tab w:val="left" w:pos="284"/>
        </w:tabs>
        <w:autoSpaceDE w:val="0"/>
        <w:autoSpaceDN w:val="0"/>
        <w:adjustRightInd w:val="0"/>
        <w:spacing w:line="480" w:lineRule="auto"/>
        <w:ind w:left="454" w:hanging="454"/>
        <w:rPr>
          <w:bCs/>
          <w:lang w:val="en-GB"/>
        </w:rPr>
      </w:pPr>
      <w:proofErr w:type="spellStart"/>
      <w:r w:rsidRPr="00117825">
        <w:rPr>
          <w:bCs/>
        </w:rPr>
        <w:t>Barone</w:t>
      </w:r>
      <w:proofErr w:type="spellEnd"/>
      <w:r w:rsidRPr="00117825">
        <w:rPr>
          <w:bCs/>
        </w:rPr>
        <w:t>, M. J., Norman, A. T., &amp; Miyazaki, A. D. (2007). Consumer response to retailer use of</w:t>
      </w:r>
      <w:r w:rsidRPr="00117825">
        <w:rPr>
          <w:bCs/>
          <w:lang w:val="en-GB"/>
        </w:rPr>
        <w:t xml:space="preserve"> </w:t>
      </w:r>
      <w:r w:rsidRPr="00117825">
        <w:rPr>
          <w:bCs/>
        </w:rPr>
        <w:t xml:space="preserve">cause-related marketing: </w:t>
      </w:r>
      <w:r w:rsidR="000D1E1D" w:rsidRPr="00117825">
        <w:rPr>
          <w:bCs/>
        </w:rPr>
        <w:t>i</w:t>
      </w:r>
      <w:r w:rsidRPr="00117825">
        <w:rPr>
          <w:bCs/>
        </w:rPr>
        <w:t xml:space="preserve">s </w:t>
      </w:r>
      <w:proofErr w:type="gramStart"/>
      <w:r w:rsidRPr="00117825">
        <w:rPr>
          <w:bCs/>
        </w:rPr>
        <w:t>more fit</w:t>
      </w:r>
      <w:proofErr w:type="gramEnd"/>
      <w:r w:rsidRPr="00117825">
        <w:rPr>
          <w:bCs/>
        </w:rPr>
        <w:t xml:space="preserve"> better? </w:t>
      </w:r>
      <w:r w:rsidRPr="00117825">
        <w:rPr>
          <w:bCs/>
          <w:i/>
        </w:rPr>
        <w:t>Journal of Retailing</w:t>
      </w:r>
      <w:r w:rsidRPr="00117825">
        <w:rPr>
          <w:bCs/>
        </w:rPr>
        <w:t xml:space="preserve">, </w:t>
      </w:r>
      <w:r w:rsidRPr="00117825">
        <w:rPr>
          <w:bCs/>
          <w:i/>
        </w:rPr>
        <w:t>83</w:t>
      </w:r>
      <w:r w:rsidRPr="00117825">
        <w:rPr>
          <w:bCs/>
        </w:rPr>
        <w:t>(4), 437-445.</w:t>
      </w:r>
    </w:p>
    <w:p w:rsidR="00113A61" w:rsidRPr="00117825" w:rsidRDefault="00113A61" w:rsidP="00E64ACA">
      <w:pPr>
        <w:tabs>
          <w:tab w:val="left" w:pos="284"/>
        </w:tabs>
        <w:autoSpaceDE w:val="0"/>
        <w:autoSpaceDN w:val="0"/>
        <w:adjustRightInd w:val="0"/>
        <w:spacing w:line="480" w:lineRule="auto"/>
        <w:ind w:left="454" w:hanging="454"/>
        <w:rPr>
          <w:bCs/>
        </w:rPr>
      </w:pPr>
      <w:proofErr w:type="spellStart"/>
      <w:r w:rsidRPr="00117825">
        <w:rPr>
          <w:bCs/>
        </w:rPr>
        <w:t>Baumeister</w:t>
      </w:r>
      <w:proofErr w:type="spellEnd"/>
      <w:r w:rsidRPr="00117825">
        <w:rPr>
          <w:bCs/>
        </w:rPr>
        <w:t xml:space="preserve">, R. F., </w:t>
      </w:r>
      <w:proofErr w:type="spellStart"/>
      <w:r w:rsidRPr="00117825">
        <w:rPr>
          <w:bCs/>
        </w:rPr>
        <w:t>Bratslavsky</w:t>
      </w:r>
      <w:proofErr w:type="spellEnd"/>
      <w:r w:rsidRPr="00117825">
        <w:rPr>
          <w:bCs/>
        </w:rPr>
        <w:t xml:space="preserve">, E., </w:t>
      </w:r>
      <w:proofErr w:type="spellStart"/>
      <w:r w:rsidRPr="00117825">
        <w:rPr>
          <w:bCs/>
        </w:rPr>
        <w:t>Finkenauer</w:t>
      </w:r>
      <w:proofErr w:type="spellEnd"/>
      <w:r w:rsidRPr="00117825">
        <w:rPr>
          <w:bCs/>
        </w:rPr>
        <w:t xml:space="preserve">, C., &amp; </w:t>
      </w:r>
      <w:proofErr w:type="spellStart"/>
      <w:r w:rsidRPr="00117825">
        <w:rPr>
          <w:bCs/>
        </w:rPr>
        <w:t>Vohs</w:t>
      </w:r>
      <w:proofErr w:type="spellEnd"/>
      <w:r w:rsidRPr="00117825">
        <w:rPr>
          <w:bCs/>
        </w:rPr>
        <w:t xml:space="preserve">, K. D. (2001). Bad is stronger than good. </w:t>
      </w:r>
      <w:r w:rsidRPr="00117825">
        <w:rPr>
          <w:bCs/>
          <w:i/>
          <w:iCs/>
        </w:rPr>
        <w:t>Review of General Psychology</w:t>
      </w:r>
      <w:r w:rsidRPr="00117825">
        <w:rPr>
          <w:bCs/>
          <w:iCs/>
        </w:rPr>
        <w:t xml:space="preserve">, </w:t>
      </w:r>
      <w:r w:rsidRPr="00117825">
        <w:rPr>
          <w:bCs/>
          <w:i/>
          <w:iCs/>
        </w:rPr>
        <w:t>5</w:t>
      </w:r>
      <w:r w:rsidRPr="00117825">
        <w:rPr>
          <w:bCs/>
          <w:iCs/>
        </w:rPr>
        <w:t>(4)</w:t>
      </w:r>
      <w:r w:rsidRPr="00117825">
        <w:rPr>
          <w:bCs/>
        </w:rPr>
        <w:t>, 323-370.</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Becker-Olsen, K. L., </w:t>
      </w:r>
      <w:proofErr w:type="spellStart"/>
      <w:r w:rsidRPr="00117825">
        <w:rPr>
          <w:bCs/>
        </w:rPr>
        <w:t>Cudmore</w:t>
      </w:r>
      <w:proofErr w:type="spellEnd"/>
      <w:r w:rsidRPr="00117825">
        <w:rPr>
          <w:bCs/>
        </w:rPr>
        <w:t xml:space="preserve">, B. A., &amp; Hill, R. P. (2006). The impact of perceived corporate social responsibility on consumer behavior. </w:t>
      </w:r>
      <w:r w:rsidRPr="00117825">
        <w:rPr>
          <w:bCs/>
          <w:i/>
        </w:rPr>
        <w:t>Journal of Business Research</w:t>
      </w:r>
      <w:r w:rsidRPr="00117825">
        <w:rPr>
          <w:bCs/>
        </w:rPr>
        <w:t xml:space="preserve">, </w:t>
      </w:r>
      <w:r w:rsidRPr="00117825">
        <w:rPr>
          <w:bCs/>
          <w:i/>
        </w:rPr>
        <w:t>59</w:t>
      </w:r>
      <w:r w:rsidRPr="00117825">
        <w:rPr>
          <w:bCs/>
        </w:rPr>
        <w:t>(1), 46-53.</w:t>
      </w:r>
    </w:p>
    <w:p w:rsidR="00113A61" w:rsidRPr="00117825" w:rsidRDefault="00113A61" w:rsidP="00E64ACA">
      <w:pPr>
        <w:tabs>
          <w:tab w:val="left" w:pos="284"/>
        </w:tabs>
        <w:autoSpaceDE w:val="0"/>
        <w:autoSpaceDN w:val="0"/>
        <w:adjustRightInd w:val="0"/>
        <w:spacing w:line="480" w:lineRule="auto"/>
        <w:ind w:left="454" w:hanging="454"/>
        <w:rPr>
          <w:color w:val="000000"/>
        </w:rPr>
      </w:pPr>
      <w:proofErr w:type="spellStart"/>
      <w:r w:rsidRPr="00117825">
        <w:rPr>
          <w:color w:val="000000"/>
        </w:rPr>
        <w:t>Bentler</w:t>
      </w:r>
      <w:proofErr w:type="spellEnd"/>
      <w:r w:rsidRPr="00117825">
        <w:rPr>
          <w:color w:val="000000"/>
        </w:rPr>
        <w:t xml:space="preserve">, P. M. (2006). </w:t>
      </w:r>
      <w:r w:rsidRPr="00117825">
        <w:rPr>
          <w:bCs/>
          <w:i/>
          <w:color w:val="000000"/>
        </w:rPr>
        <w:t xml:space="preserve">EQS 6 </w:t>
      </w:r>
      <w:r w:rsidR="000D1E1D" w:rsidRPr="00117825">
        <w:rPr>
          <w:bCs/>
          <w:i/>
          <w:color w:val="000000"/>
        </w:rPr>
        <w:t>s</w:t>
      </w:r>
      <w:r w:rsidRPr="00117825">
        <w:rPr>
          <w:bCs/>
          <w:i/>
          <w:color w:val="000000"/>
        </w:rPr>
        <w:t xml:space="preserve">tructural </w:t>
      </w:r>
      <w:r w:rsidR="000D1E1D" w:rsidRPr="00117825">
        <w:rPr>
          <w:bCs/>
          <w:i/>
          <w:color w:val="000000"/>
        </w:rPr>
        <w:t>e</w:t>
      </w:r>
      <w:r w:rsidRPr="00117825">
        <w:rPr>
          <w:bCs/>
          <w:i/>
          <w:color w:val="000000"/>
        </w:rPr>
        <w:t xml:space="preserve">quations </w:t>
      </w:r>
      <w:r w:rsidR="000D1E1D" w:rsidRPr="00117825">
        <w:rPr>
          <w:bCs/>
          <w:i/>
          <w:color w:val="000000"/>
        </w:rPr>
        <w:t>p</w:t>
      </w:r>
      <w:r w:rsidRPr="00117825">
        <w:rPr>
          <w:bCs/>
          <w:i/>
          <w:color w:val="000000"/>
        </w:rPr>
        <w:t xml:space="preserve">rogram </w:t>
      </w:r>
      <w:r w:rsidR="000D1E1D" w:rsidRPr="00117825">
        <w:rPr>
          <w:bCs/>
          <w:i/>
          <w:color w:val="000000"/>
        </w:rPr>
        <w:t>m</w:t>
      </w:r>
      <w:r w:rsidRPr="00117825">
        <w:rPr>
          <w:bCs/>
          <w:i/>
          <w:color w:val="000000"/>
        </w:rPr>
        <w:t>anual</w:t>
      </w:r>
      <w:r w:rsidRPr="00117825">
        <w:rPr>
          <w:bCs/>
          <w:color w:val="000000"/>
        </w:rPr>
        <w:t>.</w:t>
      </w:r>
      <w:r w:rsidRPr="00117825">
        <w:rPr>
          <w:color w:val="000000"/>
        </w:rPr>
        <w:t xml:space="preserve"> Encino, CA: Multivariate Software Inc.</w:t>
      </w:r>
    </w:p>
    <w:p w:rsidR="00113A61" w:rsidRPr="00117825" w:rsidRDefault="00113A61" w:rsidP="00E64ACA">
      <w:pPr>
        <w:tabs>
          <w:tab w:val="left" w:pos="284"/>
        </w:tabs>
        <w:autoSpaceDE w:val="0"/>
        <w:autoSpaceDN w:val="0"/>
        <w:adjustRightInd w:val="0"/>
        <w:spacing w:line="480" w:lineRule="auto"/>
        <w:ind w:left="454" w:hanging="454"/>
        <w:rPr>
          <w:lang w:val="en-GB"/>
        </w:rPr>
      </w:pPr>
      <w:r w:rsidRPr="00117825">
        <w:t>Bernstein</w:t>
      </w:r>
      <w:r w:rsidRPr="00117825">
        <w:rPr>
          <w:lang w:val="en-GB"/>
        </w:rPr>
        <w:t>,</w:t>
      </w:r>
      <w:r w:rsidRPr="00117825">
        <w:t xml:space="preserve"> D.</w:t>
      </w:r>
      <w:r w:rsidRPr="00117825">
        <w:rPr>
          <w:lang w:val="en-GB"/>
        </w:rPr>
        <w:t xml:space="preserve"> (2009). </w:t>
      </w:r>
      <w:r w:rsidRPr="00117825">
        <w:t xml:space="preserve">Rhetoric and reputation: </w:t>
      </w:r>
      <w:r w:rsidR="007D3B31" w:rsidRPr="00117825">
        <w:t>some</w:t>
      </w:r>
      <w:r w:rsidRPr="00117825">
        <w:t xml:space="preserve"> thoughts on corporate dissonance</w:t>
      </w:r>
      <w:r w:rsidRPr="00117825">
        <w:rPr>
          <w:lang w:val="en-GB"/>
        </w:rPr>
        <w:t xml:space="preserve">. </w:t>
      </w:r>
      <w:r w:rsidRPr="00117825">
        <w:rPr>
          <w:i/>
          <w:lang w:val="en-GB"/>
        </w:rPr>
        <w:t>Management Decision</w:t>
      </w:r>
      <w:r w:rsidRPr="00117825">
        <w:rPr>
          <w:lang w:val="en-GB"/>
        </w:rPr>
        <w:t xml:space="preserve">, </w:t>
      </w:r>
      <w:r w:rsidRPr="00117825">
        <w:rPr>
          <w:i/>
        </w:rPr>
        <w:t>47</w:t>
      </w:r>
      <w:r w:rsidRPr="00117825">
        <w:t>(4)</w:t>
      </w:r>
      <w:r w:rsidRPr="00117825">
        <w:rPr>
          <w:lang w:val="en-GB"/>
        </w:rPr>
        <w:t>,</w:t>
      </w:r>
      <w:r w:rsidRPr="00117825">
        <w:t xml:space="preserve"> 603-615.</w:t>
      </w:r>
    </w:p>
    <w:p w:rsidR="00113A61" w:rsidRPr="00117825" w:rsidRDefault="00113A61" w:rsidP="00E64ACA">
      <w:pPr>
        <w:tabs>
          <w:tab w:val="left" w:pos="284"/>
        </w:tabs>
        <w:autoSpaceDE w:val="0"/>
        <w:autoSpaceDN w:val="0"/>
        <w:adjustRightInd w:val="0"/>
        <w:spacing w:line="480" w:lineRule="auto"/>
        <w:ind w:left="454" w:hanging="454"/>
      </w:pPr>
      <w:r w:rsidRPr="00117825">
        <w:lastRenderedPageBreak/>
        <w:t xml:space="preserve">Bhattacharya, C. B., &amp; Sen, S. (2003). Consumer-company identification: </w:t>
      </w:r>
      <w:r w:rsidR="000D1E1D" w:rsidRPr="00117825">
        <w:t>a</w:t>
      </w:r>
      <w:r w:rsidRPr="00117825">
        <w:t xml:space="preserve"> framework for understanding consumers’ relationships with companies. </w:t>
      </w:r>
      <w:r w:rsidRPr="00117825">
        <w:rPr>
          <w:i/>
        </w:rPr>
        <w:t>Journal of Marketing</w:t>
      </w:r>
      <w:r w:rsidRPr="00117825">
        <w:t xml:space="preserve">, </w:t>
      </w:r>
      <w:r w:rsidRPr="00117825">
        <w:rPr>
          <w:i/>
        </w:rPr>
        <w:t>67</w:t>
      </w:r>
      <w:r w:rsidRPr="00117825">
        <w:t>(2), 76-88.</w:t>
      </w:r>
    </w:p>
    <w:p w:rsidR="00113A61" w:rsidRPr="00117825" w:rsidRDefault="00113A61" w:rsidP="00E64ACA">
      <w:pPr>
        <w:tabs>
          <w:tab w:val="left" w:pos="284"/>
        </w:tabs>
        <w:autoSpaceDE w:val="0"/>
        <w:autoSpaceDN w:val="0"/>
        <w:adjustRightInd w:val="0"/>
        <w:spacing w:line="480" w:lineRule="auto"/>
        <w:ind w:left="454" w:hanging="454"/>
      </w:pPr>
      <w:r w:rsidRPr="00117825">
        <w:t xml:space="preserve">Bhattacharya, C. B., &amp; Sen, S. (2004). Doing better at doing </w:t>
      </w:r>
      <w:proofErr w:type="gramStart"/>
      <w:r w:rsidRPr="00117825">
        <w:t>good</w:t>
      </w:r>
      <w:proofErr w:type="gramEnd"/>
      <w:r w:rsidRPr="00117825">
        <w:t xml:space="preserve">: </w:t>
      </w:r>
      <w:r w:rsidR="000D1E1D" w:rsidRPr="00117825">
        <w:t>w</w:t>
      </w:r>
      <w:r w:rsidRPr="00117825">
        <w:t xml:space="preserve">hen, why and how consumers respond to corporate social initiatives. </w:t>
      </w:r>
      <w:r w:rsidRPr="00117825">
        <w:rPr>
          <w:i/>
        </w:rPr>
        <w:t>California Management Review</w:t>
      </w:r>
      <w:r w:rsidRPr="00117825">
        <w:t xml:space="preserve">, </w:t>
      </w:r>
      <w:r w:rsidRPr="00117825">
        <w:rPr>
          <w:i/>
        </w:rPr>
        <w:t>47</w:t>
      </w:r>
      <w:r w:rsidRPr="00117825">
        <w:t>(1), 9-24.</w:t>
      </w:r>
    </w:p>
    <w:p w:rsidR="00113A61" w:rsidRPr="00117825" w:rsidRDefault="00113A61" w:rsidP="00E64ACA">
      <w:pPr>
        <w:tabs>
          <w:tab w:val="left" w:pos="284"/>
        </w:tabs>
        <w:autoSpaceDE w:val="0"/>
        <w:autoSpaceDN w:val="0"/>
        <w:adjustRightInd w:val="0"/>
        <w:spacing w:line="480" w:lineRule="auto"/>
        <w:ind w:left="454" w:hanging="454"/>
        <w:rPr>
          <w:bCs/>
        </w:rPr>
      </w:pPr>
      <w:proofErr w:type="spellStart"/>
      <w:r w:rsidRPr="00117825">
        <w:rPr>
          <w:bCs/>
        </w:rPr>
        <w:t>Boush</w:t>
      </w:r>
      <w:proofErr w:type="spellEnd"/>
      <w:r w:rsidRPr="00117825">
        <w:rPr>
          <w:bCs/>
        </w:rPr>
        <w:t xml:space="preserve">, D. M., </w:t>
      </w:r>
      <w:proofErr w:type="spellStart"/>
      <w:r w:rsidRPr="00117825">
        <w:rPr>
          <w:bCs/>
        </w:rPr>
        <w:t>Friestad</w:t>
      </w:r>
      <w:proofErr w:type="spellEnd"/>
      <w:r w:rsidRPr="00117825">
        <w:rPr>
          <w:bCs/>
        </w:rPr>
        <w:t xml:space="preserve">, M., &amp; Rose, G. M. (1994). Adolescent skepticism toward TV advertising and knowledge of advertiser tactics. </w:t>
      </w:r>
      <w:r w:rsidRPr="00117825">
        <w:rPr>
          <w:bCs/>
          <w:i/>
        </w:rPr>
        <w:t>Journal of Consumer Research</w:t>
      </w:r>
      <w:r w:rsidRPr="00117825">
        <w:rPr>
          <w:bCs/>
        </w:rPr>
        <w:t xml:space="preserve">, </w:t>
      </w:r>
      <w:r w:rsidRPr="00117825">
        <w:rPr>
          <w:bCs/>
          <w:i/>
        </w:rPr>
        <w:t>21</w:t>
      </w:r>
      <w:r w:rsidRPr="00117825">
        <w:rPr>
          <w:bCs/>
        </w:rPr>
        <w:t xml:space="preserve">(1), 165-175. </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Brown, T. J., Barry, T. E., </w:t>
      </w:r>
      <w:proofErr w:type="spellStart"/>
      <w:r w:rsidRPr="00117825">
        <w:rPr>
          <w:color w:val="000000"/>
        </w:rPr>
        <w:t>Dacin</w:t>
      </w:r>
      <w:proofErr w:type="spellEnd"/>
      <w:r w:rsidRPr="00117825">
        <w:rPr>
          <w:color w:val="000000"/>
        </w:rPr>
        <w:t xml:space="preserve">, P. A., &amp; </w:t>
      </w:r>
      <w:proofErr w:type="spellStart"/>
      <w:r w:rsidRPr="00117825">
        <w:rPr>
          <w:color w:val="000000"/>
        </w:rPr>
        <w:t>Gunst</w:t>
      </w:r>
      <w:proofErr w:type="spellEnd"/>
      <w:r w:rsidRPr="00117825">
        <w:rPr>
          <w:color w:val="000000"/>
        </w:rPr>
        <w:t xml:space="preserve">, R. F. (2005). Spreading the word: </w:t>
      </w:r>
      <w:r w:rsidR="000D1E1D" w:rsidRPr="00117825">
        <w:rPr>
          <w:color w:val="000000"/>
        </w:rPr>
        <w:t>i</w:t>
      </w:r>
      <w:r w:rsidRPr="00117825">
        <w:rPr>
          <w:color w:val="000000"/>
        </w:rPr>
        <w:t xml:space="preserve">nvestigating antecedents of consumers’ positive word-of-mouth intentions and behaviors in a retailing context. </w:t>
      </w:r>
      <w:r w:rsidRPr="00117825">
        <w:rPr>
          <w:i/>
          <w:color w:val="000000"/>
        </w:rPr>
        <w:t>Journal of the Academy of Marketing Science</w:t>
      </w:r>
      <w:r w:rsidRPr="00117825">
        <w:rPr>
          <w:color w:val="000000"/>
        </w:rPr>
        <w:t xml:space="preserve">, </w:t>
      </w:r>
      <w:r w:rsidRPr="00117825">
        <w:rPr>
          <w:i/>
          <w:color w:val="000000"/>
        </w:rPr>
        <w:t>33</w:t>
      </w:r>
      <w:r w:rsidRPr="00117825">
        <w:rPr>
          <w:color w:val="000000"/>
        </w:rPr>
        <w:t>(2), 123-138.</w:t>
      </w:r>
    </w:p>
    <w:p w:rsidR="00113A61" w:rsidRPr="00117825" w:rsidRDefault="00113A61" w:rsidP="00E64ACA">
      <w:pPr>
        <w:tabs>
          <w:tab w:val="left" w:pos="284"/>
        </w:tabs>
        <w:autoSpaceDE w:val="0"/>
        <w:autoSpaceDN w:val="0"/>
        <w:adjustRightInd w:val="0"/>
        <w:spacing w:line="480" w:lineRule="auto"/>
        <w:ind w:left="454" w:hanging="454"/>
        <w:rPr>
          <w:bCs/>
          <w:color w:val="000000"/>
        </w:rPr>
      </w:pPr>
      <w:proofErr w:type="spellStart"/>
      <w:r w:rsidRPr="00117825">
        <w:rPr>
          <w:bCs/>
          <w:color w:val="000000"/>
        </w:rPr>
        <w:t>Buhrmester</w:t>
      </w:r>
      <w:proofErr w:type="spellEnd"/>
      <w:r w:rsidRPr="00117825">
        <w:rPr>
          <w:bCs/>
          <w:color w:val="000000"/>
        </w:rPr>
        <w:t xml:space="preserve">, M., </w:t>
      </w:r>
      <w:proofErr w:type="spellStart"/>
      <w:r w:rsidRPr="00117825">
        <w:rPr>
          <w:bCs/>
          <w:color w:val="000000"/>
        </w:rPr>
        <w:t>Kwang</w:t>
      </w:r>
      <w:proofErr w:type="spellEnd"/>
      <w:r w:rsidRPr="00117825">
        <w:rPr>
          <w:bCs/>
          <w:color w:val="000000"/>
        </w:rPr>
        <w:t xml:space="preserve">, T., &amp; Gosling, S. D. (2011). Amazon’s Mechanical Turk: a new source of inexpensive, yet high-quality, data? </w:t>
      </w:r>
      <w:r w:rsidRPr="00117825">
        <w:rPr>
          <w:bCs/>
          <w:i/>
          <w:color w:val="000000"/>
        </w:rPr>
        <w:t>Perspectives on Psychological Science</w:t>
      </w:r>
      <w:r w:rsidRPr="00117825">
        <w:rPr>
          <w:bCs/>
          <w:color w:val="000000"/>
        </w:rPr>
        <w:t xml:space="preserve">, </w:t>
      </w:r>
      <w:r w:rsidRPr="00117825">
        <w:rPr>
          <w:bCs/>
          <w:i/>
          <w:color w:val="000000"/>
        </w:rPr>
        <w:t>6</w:t>
      </w:r>
      <w:r w:rsidRPr="00117825">
        <w:rPr>
          <w:bCs/>
          <w:color w:val="000000"/>
        </w:rPr>
        <w:t>(3), 3-5.</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Campbell, M. C., &amp; </w:t>
      </w:r>
      <w:proofErr w:type="spellStart"/>
      <w:r w:rsidRPr="00117825">
        <w:rPr>
          <w:color w:val="000000"/>
        </w:rPr>
        <w:t>Kirmani</w:t>
      </w:r>
      <w:proofErr w:type="spellEnd"/>
      <w:r w:rsidRPr="00117825">
        <w:rPr>
          <w:color w:val="000000"/>
        </w:rPr>
        <w:t xml:space="preserve">, A. (2000). Consumer’s use of persuasion knowledge: the effects of accessibility and cognitive capacity on perceptions of an influence agent. </w:t>
      </w:r>
      <w:r w:rsidRPr="00117825">
        <w:rPr>
          <w:i/>
          <w:color w:val="000000"/>
        </w:rPr>
        <w:t>Journal of Consumer Research</w:t>
      </w:r>
      <w:r w:rsidRPr="00117825">
        <w:rPr>
          <w:color w:val="000000"/>
        </w:rPr>
        <w:t xml:space="preserve">, </w:t>
      </w:r>
      <w:r w:rsidRPr="00117825">
        <w:rPr>
          <w:i/>
          <w:color w:val="000000"/>
        </w:rPr>
        <w:t>27</w:t>
      </w:r>
      <w:r w:rsidRPr="00117825">
        <w:rPr>
          <w:color w:val="000000"/>
        </w:rPr>
        <w:t>(1), 69-83.</w:t>
      </w:r>
    </w:p>
    <w:p w:rsidR="00113A61" w:rsidRPr="00117825" w:rsidRDefault="00113A61" w:rsidP="00E64ACA">
      <w:pPr>
        <w:tabs>
          <w:tab w:val="left" w:pos="284"/>
        </w:tabs>
        <w:autoSpaceDE w:val="0"/>
        <w:autoSpaceDN w:val="0"/>
        <w:adjustRightInd w:val="0"/>
        <w:spacing w:line="480" w:lineRule="auto"/>
        <w:ind w:left="454" w:hanging="454"/>
        <w:rPr>
          <w:bCs/>
          <w:lang w:val="en-GB"/>
        </w:rPr>
      </w:pPr>
      <w:r w:rsidRPr="00117825">
        <w:rPr>
          <w:bCs/>
        </w:rPr>
        <w:t>Carson, T</w:t>
      </w:r>
      <w:r w:rsidRPr="00117825">
        <w:rPr>
          <w:bCs/>
          <w:lang w:val="en-GB"/>
        </w:rPr>
        <w:t xml:space="preserve">. </w:t>
      </w:r>
      <w:r w:rsidRPr="00117825">
        <w:rPr>
          <w:bCs/>
        </w:rPr>
        <w:t>L</w:t>
      </w:r>
      <w:r w:rsidRPr="00117825">
        <w:rPr>
          <w:bCs/>
          <w:lang w:val="en-GB"/>
        </w:rPr>
        <w:t>. (2003).</w:t>
      </w:r>
      <w:r w:rsidRPr="00117825">
        <w:rPr>
          <w:bCs/>
        </w:rPr>
        <w:t xml:space="preserve"> Self-interest and business</w:t>
      </w:r>
      <w:r w:rsidRPr="00117825">
        <w:rPr>
          <w:bCs/>
          <w:lang w:val="en-GB"/>
        </w:rPr>
        <w:t xml:space="preserve"> ethics:</w:t>
      </w:r>
      <w:r w:rsidRPr="00117825">
        <w:rPr>
          <w:bCs/>
        </w:rPr>
        <w:t xml:space="preserve"> </w:t>
      </w:r>
      <w:r w:rsidRPr="00117825">
        <w:rPr>
          <w:bCs/>
          <w:lang w:val="en-GB"/>
        </w:rPr>
        <w:t>Some</w:t>
      </w:r>
      <w:r w:rsidRPr="00117825">
        <w:rPr>
          <w:bCs/>
        </w:rPr>
        <w:t xml:space="preserve"> lessons of the recent</w:t>
      </w:r>
      <w:r w:rsidRPr="00117825">
        <w:rPr>
          <w:bCs/>
          <w:lang w:val="en-GB"/>
        </w:rPr>
        <w:t xml:space="preserve"> corporate scandals. </w:t>
      </w:r>
      <w:r w:rsidRPr="00117825">
        <w:rPr>
          <w:bCs/>
          <w:i/>
          <w:lang w:val="en-GB"/>
        </w:rPr>
        <w:t>Journal of Business Ethics</w:t>
      </w:r>
      <w:r w:rsidRPr="00117825">
        <w:rPr>
          <w:bCs/>
          <w:lang w:val="en-GB"/>
        </w:rPr>
        <w:t xml:space="preserve">, </w:t>
      </w:r>
      <w:r w:rsidRPr="00117825">
        <w:rPr>
          <w:bCs/>
          <w:i/>
        </w:rPr>
        <w:t>43</w:t>
      </w:r>
      <w:r w:rsidRPr="00117825">
        <w:rPr>
          <w:bCs/>
        </w:rPr>
        <w:t>(4)</w:t>
      </w:r>
      <w:r w:rsidRPr="00117825">
        <w:rPr>
          <w:bCs/>
          <w:lang w:val="en-GB"/>
        </w:rPr>
        <w:t>,</w:t>
      </w:r>
      <w:r w:rsidRPr="00117825">
        <w:rPr>
          <w:bCs/>
        </w:rPr>
        <w:t xml:space="preserve"> 389-394.</w:t>
      </w:r>
    </w:p>
    <w:p w:rsidR="00113A61" w:rsidRPr="00117825" w:rsidRDefault="00113A61" w:rsidP="00E64ACA">
      <w:pPr>
        <w:tabs>
          <w:tab w:val="left" w:pos="284"/>
        </w:tabs>
        <w:autoSpaceDE w:val="0"/>
        <w:autoSpaceDN w:val="0"/>
        <w:adjustRightInd w:val="0"/>
        <w:spacing w:line="480" w:lineRule="auto"/>
        <w:ind w:left="454" w:hanging="454"/>
        <w:rPr>
          <w:bCs/>
          <w:lang w:val="en-GB"/>
        </w:rPr>
      </w:pPr>
      <w:r w:rsidRPr="00117825">
        <w:rPr>
          <w:bCs/>
          <w:lang w:val="en-GB"/>
        </w:rPr>
        <w:t xml:space="preserve">Cho, J. (2006). The mechanism of trust and distrust formation and their relational outcomes. </w:t>
      </w:r>
      <w:r w:rsidRPr="00117825">
        <w:rPr>
          <w:bCs/>
          <w:i/>
          <w:lang w:val="en-GB"/>
        </w:rPr>
        <w:t>Journal of Retailing</w:t>
      </w:r>
      <w:r w:rsidRPr="00117825">
        <w:rPr>
          <w:bCs/>
          <w:lang w:val="en-GB"/>
        </w:rPr>
        <w:t xml:space="preserve">, </w:t>
      </w:r>
      <w:r w:rsidRPr="00117825">
        <w:rPr>
          <w:bCs/>
          <w:i/>
          <w:lang w:val="en-GB"/>
        </w:rPr>
        <w:t>82</w:t>
      </w:r>
      <w:r w:rsidRPr="00117825">
        <w:rPr>
          <w:bCs/>
          <w:lang w:val="en-GB"/>
        </w:rPr>
        <w:t>(1), 25-35.</w:t>
      </w:r>
    </w:p>
    <w:p w:rsidR="00113A61" w:rsidRPr="00117825" w:rsidRDefault="00113A61" w:rsidP="00E64ACA">
      <w:pPr>
        <w:tabs>
          <w:tab w:val="left" w:pos="284"/>
        </w:tabs>
        <w:autoSpaceDE w:val="0"/>
        <w:autoSpaceDN w:val="0"/>
        <w:adjustRightInd w:val="0"/>
        <w:spacing w:line="480" w:lineRule="auto"/>
        <w:ind w:left="454" w:hanging="454"/>
        <w:rPr>
          <w:bCs/>
          <w:lang w:val="en-GB"/>
        </w:rPr>
      </w:pPr>
      <w:proofErr w:type="spellStart"/>
      <w:r w:rsidRPr="00117825">
        <w:rPr>
          <w:bCs/>
          <w:lang w:val="en-GB"/>
        </w:rPr>
        <w:t>Chyllinski</w:t>
      </w:r>
      <w:proofErr w:type="spellEnd"/>
      <w:r w:rsidRPr="00117825">
        <w:rPr>
          <w:bCs/>
          <w:lang w:val="en-GB"/>
        </w:rPr>
        <w:t xml:space="preserve">, M., &amp; Chu, A. (2010). Consumer cynicism: Antecedents and consequences. </w:t>
      </w:r>
      <w:r w:rsidRPr="00117825">
        <w:rPr>
          <w:bCs/>
          <w:i/>
          <w:lang w:val="en-GB"/>
        </w:rPr>
        <w:t>European Journal of Marketing</w:t>
      </w:r>
      <w:r w:rsidRPr="00117825">
        <w:rPr>
          <w:bCs/>
          <w:lang w:val="en-GB"/>
        </w:rPr>
        <w:t xml:space="preserve">, </w:t>
      </w:r>
      <w:r w:rsidRPr="00117825">
        <w:rPr>
          <w:bCs/>
          <w:i/>
          <w:lang w:val="en-GB"/>
        </w:rPr>
        <w:t>44</w:t>
      </w:r>
      <w:r w:rsidRPr="00117825">
        <w:rPr>
          <w:bCs/>
          <w:lang w:val="en-GB"/>
        </w:rPr>
        <w:t>(6), 796-837.</w:t>
      </w:r>
    </w:p>
    <w:p w:rsidR="00113A61" w:rsidRPr="00117825" w:rsidRDefault="00113A61" w:rsidP="00E64ACA">
      <w:pPr>
        <w:tabs>
          <w:tab w:val="left" w:pos="284"/>
        </w:tabs>
        <w:autoSpaceDE w:val="0"/>
        <w:autoSpaceDN w:val="0"/>
        <w:adjustRightInd w:val="0"/>
        <w:spacing w:line="480" w:lineRule="auto"/>
        <w:ind w:left="454" w:hanging="454"/>
        <w:rPr>
          <w:color w:val="000000"/>
        </w:rPr>
      </w:pPr>
      <w:proofErr w:type="spellStart"/>
      <w:r w:rsidRPr="00117825">
        <w:rPr>
          <w:color w:val="000000"/>
        </w:rPr>
        <w:lastRenderedPageBreak/>
        <w:t>Dabholkar</w:t>
      </w:r>
      <w:proofErr w:type="spellEnd"/>
      <w:r w:rsidRPr="00117825">
        <w:rPr>
          <w:color w:val="000000"/>
        </w:rPr>
        <w:t xml:space="preserve">, P. A., &amp; </w:t>
      </w:r>
      <w:proofErr w:type="spellStart"/>
      <w:r w:rsidRPr="00117825">
        <w:rPr>
          <w:color w:val="000000"/>
        </w:rPr>
        <w:t>Bagozzi</w:t>
      </w:r>
      <w:proofErr w:type="spellEnd"/>
      <w:r w:rsidRPr="00117825">
        <w:rPr>
          <w:color w:val="000000"/>
        </w:rPr>
        <w:t xml:space="preserve"> R. P. (2002). An attitudinal model of technology-based self-service: </w:t>
      </w:r>
      <w:r w:rsidR="00332DD8" w:rsidRPr="00117825">
        <w:rPr>
          <w:color w:val="000000"/>
        </w:rPr>
        <w:t>m</w:t>
      </w:r>
      <w:r w:rsidRPr="00117825">
        <w:rPr>
          <w:color w:val="000000"/>
        </w:rPr>
        <w:t xml:space="preserve">oderating effects of consumer traits and situational factors. </w:t>
      </w:r>
      <w:r w:rsidRPr="00117825">
        <w:rPr>
          <w:i/>
          <w:color w:val="000000"/>
        </w:rPr>
        <w:t>Journal of the Academy of Marketing Science</w:t>
      </w:r>
      <w:r w:rsidRPr="00117825">
        <w:rPr>
          <w:color w:val="000000"/>
        </w:rPr>
        <w:t xml:space="preserve">, </w:t>
      </w:r>
      <w:r w:rsidRPr="00117825">
        <w:rPr>
          <w:i/>
          <w:color w:val="000000"/>
        </w:rPr>
        <w:t>30</w:t>
      </w:r>
      <w:r w:rsidRPr="00117825">
        <w:rPr>
          <w:color w:val="000000"/>
        </w:rPr>
        <w:t>(3), 184-201.</w:t>
      </w:r>
    </w:p>
    <w:p w:rsidR="00113A61" w:rsidRPr="00117825" w:rsidRDefault="00113A61" w:rsidP="00E64ACA">
      <w:pPr>
        <w:tabs>
          <w:tab w:val="left" w:pos="284"/>
        </w:tabs>
        <w:autoSpaceDE w:val="0"/>
        <w:autoSpaceDN w:val="0"/>
        <w:adjustRightInd w:val="0"/>
        <w:spacing w:line="480" w:lineRule="auto"/>
        <w:ind w:left="454" w:hanging="454"/>
        <w:rPr>
          <w:bCs/>
        </w:rPr>
      </w:pPr>
      <w:proofErr w:type="spellStart"/>
      <w:r w:rsidRPr="00117825">
        <w:rPr>
          <w:bCs/>
        </w:rPr>
        <w:t>Darke</w:t>
      </w:r>
      <w:proofErr w:type="spellEnd"/>
      <w:r w:rsidRPr="00117825">
        <w:rPr>
          <w:bCs/>
        </w:rPr>
        <w:t xml:space="preserve">, P. R., &amp; Ritchie, R. B. (2007). The defensive consumer: </w:t>
      </w:r>
      <w:r w:rsidR="00332DD8" w:rsidRPr="00117825">
        <w:rPr>
          <w:bCs/>
        </w:rPr>
        <w:t>a</w:t>
      </w:r>
      <w:r w:rsidRPr="00117825">
        <w:rPr>
          <w:bCs/>
        </w:rPr>
        <w:t xml:space="preserve">dvertising deception, defensive processing, and distrust. </w:t>
      </w:r>
      <w:r w:rsidRPr="00117825">
        <w:rPr>
          <w:bCs/>
          <w:i/>
        </w:rPr>
        <w:t>Journal of Marketing Research</w:t>
      </w:r>
      <w:r w:rsidRPr="00117825">
        <w:rPr>
          <w:bCs/>
        </w:rPr>
        <w:t xml:space="preserve">, </w:t>
      </w:r>
      <w:r w:rsidRPr="00117825">
        <w:rPr>
          <w:bCs/>
          <w:i/>
        </w:rPr>
        <w:t>44</w:t>
      </w:r>
      <w:r w:rsidRPr="00117825">
        <w:rPr>
          <w:bCs/>
        </w:rPr>
        <w:t>(1), 114-127.</w:t>
      </w:r>
    </w:p>
    <w:p w:rsidR="00113A61" w:rsidRPr="00117825" w:rsidRDefault="0045555B" w:rsidP="00E64ACA">
      <w:pPr>
        <w:tabs>
          <w:tab w:val="left" w:pos="284"/>
        </w:tabs>
        <w:autoSpaceDE w:val="0"/>
        <w:autoSpaceDN w:val="0"/>
        <w:adjustRightInd w:val="0"/>
        <w:spacing w:line="480" w:lineRule="auto"/>
        <w:ind w:left="454" w:hanging="454"/>
        <w:rPr>
          <w:color w:val="000000"/>
        </w:rPr>
      </w:pPr>
      <w:r w:rsidRPr="00117825">
        <w:rPr>
          <w:color w:val="000000"/>
        </w:rPr>
        <w:t>D</w:t>
      </w:r>
      <w:r w:rsidR="00113A61" w:rsidRPr="00117825">
        <w:rPr>
          <w:color w:val="000000"/>
        </w:rPr>
        <w:t xml:space="preserve">e Matos, C., &amp; Rossi, C. (2008). Word-of-mouth communications in marketing: </w:t>
      </w:r>
      <w:r w:rsidR="00332DD8" w:rsidRPr="00117825">
        <w:rPr>
          <w:color w:val="000000"/>
        </w:rPr>
        <w:t xml:space="preserve">a </w:t>
      </w:r>
      <w:r w:rsidR="00113A61" w:rsidRPr="00117825">
        <w:rPr>
          <w:color w:val="000000"/>
        </w:rPr>
        <w:t xml:space="preserve">meta-analytic review of the antecedents and moderators. </w:t>
      </w:r>
      <w:r w:rsidR="00113A61" w:rsidRPr="00117825">
        <w:rPr>
          <w:i/>
          <w:color w:val="000000"/>
        </w:rPr>
        <w:t>Journal of the Academy of Marketing Science</w:t>
      </w:r>
      <w:r w:rsidR="00113A61" w:rsidRPr="00117825">
        <w:rPr>
          <w:color w:val="000000"/>
        </w:rPr>
        <w:t xml:space="preserve">, </w:t>
      </w:r>
      <w:r w:rsidR="00113A61" w:rsidRPr="00117825">
        <w:rPr>
          <w:i/>
          <w:color w:val="000000"/>
        </w:rPr>
        <w:t>36</w:t>
      </w:r>
      <w:r w:rsidR="00113A61" w:rsidRPr="00117825">
        <w:rPr>
          <w:color w:val="000000"/>
        </w:rPr>
        <w:t>(4), 578-596.</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Dick, A., &amp; </w:t>
      </w:r>
      <w:proofErr w:type="spellStart"/>
      <w:r w:rsidRPr="00117825">
        <w:rPr>
          <w:color w:val="000000"/>
        </w:rPr>
        <w:t>Basu</w:t>
      </w:r>
      <w:proofErr w:type="spellEnd"/>
      <w:r w:rsidRPr="00117825">
        <w:rPr>
          <w:color w:val="000000"/>
        </w:rPr>
        <w:t xml:space="preserve">, K. (1994). Customer loyalty: </w:t>
      </w:r>
      <w:r w:rsidR="00332DD8" w:rsidRPr="00117825">
        <w:rPr>
          <w:color w:val="000000"/>
        </w:rPr>
        <w:t>t</w:t>
      </w:r>
      <w:r w:rsidRPr="00117825">
        <w:rPr>
          <w:color w:val="000000"/>
        </w:rPr>
        <w:t xml:space="preserve">oward an integrated framework. </w:t>
      </w:r>
      <w:r w:rsidRPr="00117825">
        <w:rPr>
          <w:i/>
          <w:color w:val="000000"/>
        </w:rPr>
        <w:t>Journal of the Academy of Marketing Science</w:t>
      </w:r>
      <w:r w:rsidRPr="00117825">
        <w:rPr>
          <w:color w:val="000000"/>
        </w:rPr>
        <w:t xml:space="preserve">, </w:t>
      </w:r>
      <w:r w:rsidRPr="00117825">
        <w:rPr>
          <w:i/>
          <w:color w:val="000000"/>
        </w:rPr>
        <w:t>22</w:t>
      </w:r>
      <w:r w:rsidRPr="00117825">
        <w:rPr>
          <w:color w:val="000000"/>
        </w:rPr>
        <w:t>(2), 99-113.</w:t>
      </w:r>
    </w:p>
    <w:p w:rsidR="00113A61" w:rsidRPr="00117825" w:rsidRDefault="00113A61" w:rsidP="00E64ACA">
      <w:pPr>
        <w:tabs>
          <w:tab w:val="left" w:pos="284"/>
        </w:tabs>
        <w:autoSpaceDE w:val="0"/>
        <w:autoSpaceDN w:val="0"/>
        <w:adjustRightInd w:val="0"/>
        <w:spacing w:line="480" w:lineRule="auto"/>
        <w:ind w:left="454" w:hanging="454"/>
        <w:rPr>
          <w:bCs/>
          <w:color w:val="000000"/>
          <w:lang w:val="en-GB"/>
        </w:rPr>
      </w:pPr>
      <w:r w:rsidRPr="00117825">
        <w:rPr>
          <w:bCs/>
          <w:color w:val="000000"/>
        </w:rPr>
        <w:t>Donovan, D. T</w:t>
      </w:r>
      <w:r w:rsidRPr="00117825">
        <w:rPr>
          <w:bCs/>
          <w:color w:val="000000"/>
          <w:lang w:val="en-GB"/>
        </w:rPr>
        <w:t>.</w:t>
      </w:r>
      <w:r w:rsidRPr="00117825">
        <w:rPr>
          <w:bCs/>
          <w:color w:val="000000"/>
        </w:rPr>
        <w:t xml:space="preserve">, Brown, </w:t>
      </w:r>
      <w:r w:rsidRPr="00117825">
        <w:rPr>
          <w:bCs/>
          <w:color w:val="000000"/>
          <w:lang w:val="en-GB"/>
        </w:rPr>
        <w:t xml:space="preserve">T. J., &amp; </w:t>
      </w:r>
      <w:proofErr w:type="spellStart"/>
      <w:r w:rsidRPr="00117825">
        <w:rPr>
          <w:bCs/>
          <w:color w:val="000000"/>
        </w:rPr>
        <w:t>Mowen</w:t>
      </w:r>
      <w:proofErr w:type="spellEnd"/>
      <w:r w:rsidRPr="00117825">
        <w:rPr>
          <w:bCs/>
          <w:color w:val="000000"/>
          <w:lang w:val="en-GB"/>
        </w:rPr>
        <w:t>, J. C.</w:t>
      </w:r>
      <w:r w:rsidRPr="00117825">
        <w:rPr>
          <w:bCs/>
          <w:color w:val="000000"/>
        </w:rPr>
        <w:t xml:space="preserve"> (2004)</w:t>
      </w:r>
      <w:r w:rsidRPr="00117825">
        <w:rPr>
          <w:bCs/>
          <w:color w:val="000000"/>
          <w:lang w:val="en-GB"/>
        </w:rPr>
        <w:t xml:space="preserve">. </w:t>
      </w:r>
      <w:r w:rsidRPr="00117825">
        <w:rPr>
          <w:bCs/>
          <w:color w:val="000000"/>
        </w:rPr>
        <w:t>Internal benefits of service-worker customer orientation: Job satisfaction, commitment, and organizational citizenship behaviors</w:t>
      </w:r>
      <w:r w:rsidRPr="00117825">
        <w:rPr>
          <w:bCs/>
          <w:color w:val="000000"/>
          <w:lang w:val="en-GB"/>
        </w:rPr>
        <w:t>.</w:t>
      </w:r>
      <w:r w:rsidRPr="00117825">
        <w:rPr>
          <w:bCs/>
          <w:color w:val="000000"/>
        </w:rPr>
        <w:t xml:space="preserve"> </w:t>
      </w:r>
      <w:r w:rsidRPr="00117825">
        <w:rPr>
          <w:bCs/>
          <w:i/>
          <w:color w:val="000000"/>
        </w:rPr>
        <w:t>Journal of Marketing</w:t>
      </w:r>
      <w:r w:rsidRPr="00117825">
        <w:rPr>
          <w:bCs/>
          <w:color w:val="000000"/>
        </w:rPr>
        <w:t xml:space="preserve">, </w:t>
      </w:r>
      <w:r w:rsidRPr="00117825">
        <w:rPr>
          <w:bCs/>
          <w:i/>
          <w:color w:val="000000"/>
        </w:rPr>
        <w:t>68</w:t>
      </w:r>
      <w:r w:rsidRPr="00117825">
        <w:rPr>
          <w:bCs/>
          <w:color w:val="000000"/>
        </w:rPr>
        <w:t>(1), 128-</w:t>
      </w:r>
      <w:r w:rsidRPr="00117825">
        <w:rPr>
          <w:bCs/>
          <w:color w:val="000000"/>
          <w:lang w:val="en-GB"/>
        </w:rPr>
        <w:t>1</w:t>
      </w:r>
      <w:r w:rsidRPr="00117825">
        <w:rPr>
          <w:bCs/>
          <w:color w:val="000000"/>
        </w:rPr>
        <w:t>46.</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Du, S., Bhattacharya, C. B., &amp; Sen, S. (2007). Reaping relational rewards from corporate social responsibility: the role of competitive positioning. </w:t>
      </w:r>
      <w:r w:rsidRPr="00117825">
        <w:rPr>
          <w:i/>
          <w:color w:val="000000"/>
        </w:rPr>
        <w:t>International Journal of Research in Marketing</w:t>
      </w:r>
      <w:r w:rsidRPr="00117825">
        <w:rPr>
          <w:color w:val="000000"/>
        </w:rPr>
        <w:t xml:space="preserve">, </w:t>
      </w:r>
      <w:r w:rsidRPr="00117825">
        <w:rPr>
          <w:i/>
          <w:color w:val="000000"/>
        </w:rPr>
        <w:t>24</w:t>
      </w:r>
      <w:r w:rsidRPr="00117825">
        <w:rPr>
          <w:color w:val="000000"/>
        </w:rPr>
        <w:t>(3), 224-241.</w:t>
      </w:r>
    </w:p>
    <w:p w:rsidR="000D1E1D" w:rsidRPr="00E64ACA" w:rsidRDefault="000D1E1D" w:rsidP="00E64ACA">
      <w:pPr>
        <w:tabs>
          <w:tab w:val="left" w:pos="284"/>
        </w:tabs>
        <w:autoSpaceDE w:val="0"/>
        <w:autoSpaceDN w:val="0"/>
        <w:adjustRightInd w:val="0"/>
        <w:spacing w:line="480" w:lineRule="auto"/>
        <w:ind w:left="454" w:hanging="454"/>
        <w:rPr>
          <w:lang w:val="en-GB"/>
        </w:rPr>
      </w:pPr>
      <w:r w:rsidRPr="00117825">
        <w:rPr>
          <w:bCs/>
          <w:i/>
          <w:color w:val="000000"/>
        </w:rPr>
        <w:t>The Economist</w:t>
      </w:r>
      <w:r w:rsidRPr="00117825">
        <w:rPr>
          <w:bCs/>
          <w:color w:val="000000"/>
        </w:rPr>
        <w:t xml:space="preserve"> (2012). Faith in world leaders: Busted trust. </w:t>
      </w:r>
      <w:r w:rsidRPr="00E64ACA">
        <w:rPr>
          <w:lang w:val="en-GB"/>
        </w:rPr>
        <w:t>http://www.economist.com/blogs/newsbook/2012/01/faith-world-leaders.</w:t>
      </w:r>
    </w:p>
    <w:p w:rsidR="00113A61" w:rsidRPr="00117825" w:rsidRDefault="00113A61" w:rsidP="00E64ACA">
      <w:pPr>
        <w:tabs>
          <w:tab w:val="left" w:pos="284"/>
        </w:tabs>
        <w:autoSpaceDE w:val="0"/>
        <w:autoSpaceDN w:val="0"/>
        <w:adjustRightInd w:val="0"/>
        <w:spacing w:line="480" w:lineRule="auto"/>
        <w:ind w:left="454" w:hanging="454"/>
        <w:rPr>
          <w:color w:val="000000"/>
          <w:lang w:val="en-GB"/>
        </w:rPr>
      </w:pPr>
      <w:r w:rsidRPr="00117825">
        <w:rPr>
          <w:color w:val="000000"/>
          <w:lang w:val="de-AT"/>
        </w:rPr>
        <w:t xml:space="preserve">Eisingerich, A. B., Rubera, G., Seifert, M., &amp; Bhardwaj, G. (2011). </w:t>
      </w:r>
      <w:r w:rsidRPr="00117825">
        <w:rPr>
          <w:bCs/>
          <w:color w:val="000000"/>
          <w:lang w:val="en-GB"/>
        </w:rPr>
        <w:t xml:space="preserve">Doing good and doing better despite negative information? </w:t>
      </w:r>
      <w:proofErr w:type="gramStart"/>
      <w:r w:rsidR="00332DD8" w:rsidRPr="00117825">
        <w:rPr>
          <w:bCs/>
          <w:color w:val="000000"/>
          <w:lang w:val="en-GB"/>
        </w:rPr>
        <w:t>t</w:t>
      </w:r>
      <w:r w:rsidRPr="00117825">
        <w:rPr>
          <w:bCs/>
          <w:color w:val="000000"/>
          <w:lang w:val="en-GB"/>
        </w:rPr>
        <w:t>he</w:t>
      </w:r>
      <w:proofErr w:type="gramEnd"/>
      <w:r w:rsidRPr="00117825">
        <w:rPr>
          <w:bCs/>
          <w:color w:val="000000"/>
          <w:lang w:val="en-GB"/>
        </w:rPr>
        <w:t xml:space="preserve"> role of corporate social responsibility in consumer resistance to negative information</w:t>
      </w:r>
      <w:r w:rsidRPr="00117825">
        <w:rPr>
          <w:color w:val="000000"/>
          <w:lang w:val="en-GB"/>
        </w:rPr>
        <w:t xml:space="preserve">. </w:t>
      </w:r>
      <w:r w:rsidRPr="00117825">
        <w:rPr>
          <w:i/>
          <w:color w:val="000000"/>
          <w:lang w:val="en-GB"/>
        </w:rPr>
        <w:t>Journal of Service Research</w:t>
      </w:r>
      <w:r w:rsidRPr="00117825">
        <w:rPr>
          <w:color w:val="000000"/>
          <w:lang w:val="en-GB"/>
        </w:rPr>
        <w:t xml:space="preserve">, </w:t>
      </w:r>
      <w:r w:rsidRPr="00117825">
        <w:rPr>
          <w:i/>
          <w:color w:val="000000"/>
          <w:lang w:val="en-GB"/>
        </w:rPr>
        <w:t>14</w:t>
      </w:r>
      <w:r w:rsidRPr="00117825">
        <w:rPr>
          <w:color w:val="000000"/>
          <w:lang w:val="en-GB"/>
        </w:rPr>
        <w:t>(1), 60-75.</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Ellen, P. S., Mohr, L. A., &amp; Webb, D. J. (2000). Charitable programs and the retailer: </w:t>
      </w:r>
      <w:r w:rsidR="00332DD8" w:rsidRPr="00117825">
        <w:rPr>
          <w:bCs/>
        </w:rPr>
        <w:t>d</w:t>
      </w:r>
      <w:r w:rsidRPr="00117825">
        <w:rPr>
          <w:bCs/>
        </w:rPr>
        <w:t xml:space="preserve">o they mix? </w:t>
      </w:r>
      <w:r w:rsidRPr="00117825">
        <w:rPr>
          <w:bCs/>
          <w:i/>
        </w:rPr>
        <w:t>Journal of Retailing</w:t>
      </w:r>
      <w:r w:rsidRPr="00117825">
        <w:rPr>
          <w:bCs/>
        </w:rPr>
        <w:t xml:space="preserve">, </w:t>
      </w:r>
      <w:r w:rsidRPr="00117825">
        <w:rPr>
          <w:bCs/>
          <w:i/>
        </w:rPr>
        <w:t>76</w:t>
      </w:r>
      <w:r w:rsidRPr="00117825">
        <w:rPr>
          <w:bCs/>
        </w:rPr>
        <w:t>(3), 393-406.</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lastRenderedPageBreak/>
        <w:t xml:space="preserve">Ellen, P. S., Webb, D. J., &amp; Mohr, L. A. (2006). Building corporate associations: consumer attributions for corporate socially responsible programs. </w:t>
      </w:r>
      <w:r w:rsidRPr="00117825">
        <w:rPr>
          <w:i/>
          <w:color w:val="000000"/>
        </w:rPr>
        <w:t>Journal of the Academy of Marketing Science</w:t>
      </w:r>
      <w:r w:rsidRPr="00117825">
        <w:rPr>
          <w:color w:val="000000"/>
        </w:rPr>
        <w:t xml:space="preserve">, </w:t>
      </w:r>
      <w:r w:rsidRPr="00117825">
        <w:rPr>
          <w:i/>
          <w:color w:val="000000"/>
        </w:rPr>
        <w:t>34</w:t>
      </w:r>
      <w:r w:rsidRPr="00117825">
        <w:rPr>
          <w:color w:val="000000"/>
        </w:rPr>
        <w:t xml:space="preserve">(2), 147-157. </w:t>
      </w:r>
    </w:p>
    <w:p w:rsidR="00113A61" w:rsidRPr="00117825" w:rsidRDefault="00113A61" w:rsidP="00E64ACA">
      <w:pPr>
        <w:tabs>
          <w:tab w:val="left" w:pos="284"/>
        </w:tabs>
        <w:autoSpaceDE w:val="0"/>
        <w:autoSpaceDN w:val="0"/>
        <w:adjustRightInd w:val="0"/>
        <w:spacing w:line="480" w:lineRule="auto"/>
        <w:ind w:left="454" w:hanging="454"/>
        <w:rPr>
          <w:bCs/>
        </w:rPr>
      </w:pPr>
      <w:proofErr w:type="spellStart"/>
      <w:r w:rsidRPr="00117825">
        <w:rPr>
          <w:bCs/>
        </w:rPr>
        <w:t>Elsbach</w:t>
      </w:r>
      <w:proofErr w:type="spellEnd"/>
      <w:r w:rsidRPr="00117825">
        <w:rPr>
          <w:bCs/>
        </w:rPr>
        <w:t xml:space="preserve">, K. D., &amp; Bhattacharya, C. B. (2001). Defining who you are by what you’re not: </w:t>
      </w:r>
      <w:r w:rsidR="00332DD8" w:rsidRPr="00117825">
        <w:rPr>
          <w:bCs/>
        </w:rPr>
        <w:t>o</w:t>
      </w:r>
      <w:r w:rsidRPr="00117825">
        <w:rPr>
          <w:bCs/>
        </w:rPr>
        <w:t xml:space="preserve">rganizational </w:t>
      </w:r>
      <w:proofErr w:type="spellStart"/>
      <w:r w:rsidRPr="00117825">
        <w:rPr>
          <w:bCs/>
        </w:rPr>
        <w:t>disidentification</w:t>
      </w:r>
      <w:proofErr w:type="spellEnd"/>
      <w:r w:rsidRPr="00117825">
        <w:rPr>
          <w:bCs/>
        </w:rPr>
        <w:t xml:space="preserve"> and the National Rifle Association. </w:t>
      </w:r>
      <w:r w:rsidRPr="00117825">
        <w:rPr>
          <w:bCs/>
          <w:i/>
        </w:rPr>
        <w:t>Organization Science</w:t>
      </w:r>
      <w:r w:rsidRPr="00117825">
        <w:rPr>
          <w:bCs/>
        </w:rPr>
        <w:t xml:space="preserve">, </w:t>
      </w:r>
      <w:r w:rsidRPr="00117825">
        <w:rPr>
          <w:bCs/>
          <w:i/>
        </w:rPr>
        <w:t>12</w:t>
      </w:r>
      <w:r w:rsidRPr="00117825">
        <w:rPr>
          <w:bCs/>
        </w:rPr>
        <w:t>(4), 393-413.</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Fazio, R. H. (1990). Multiple processes by which attitudes guide behavior: </w:t>
      </w:r>
      <w:r w:rsidR="00332DD8" w:rsidRPr="00117825">
        <w:rPr>
          <w:bCs/>
        </w:rPr>
        <w:t>t</w:t>
      </w:r>
      <w:r w:rsidRPr="00117825">
        <w:rPr>
          <w:bCs/>
        </w:rPr>
        <w:t xml:space="preserve">he MODE model as an integrative framework. In M. </w:t>
      </w:r>
      <w:proofErr w:type="spellStart"/>
      <w:r w:rsidRPr="00117825">
        <w:rPr>
          <w:bCs/>
        </w:rPr>
        <w:t>Zanna</w:t>
      </w:r>
      <w:proofErr w:type="spellEnd"/>
      <w:r w:rsidRPr="00117825">
        <w:rPr>
          <w:bCs/>
        </w:rPr>
        <w:t xml:space="preserve"> (Ed</w:t>
      </w:r>
      <w:r w:rsidR="00332DD8" w:rsidRPr="00117825">
        <w:rPr>
          <w:bCs/>
        </w:rPr>
        <w:t>.</w:t>
      </w:r>
      <w:r w:rsidRPr="00117825">
        <w:rPr>
          <w:bCs/>
        </w:rPr>
        <w:t xml:space="preserve">), </w:t>
      </w:r>
      <w:r w:rsidRPr="00117825">
        <w:rPr>
          <w:bCs/>
          <w:i/>
        </w:rPr>
        <w:t>Advances in experimental social psychology</w:t>
      </w:r>
      <w:r w:rsidRPr="00117825">
        <w:rPr>
          <w:bCs/>
        </w:rPr>
        <w:t xml:space="preserve"> (pp. 75-109). Orlando, FL: Academic Press.</w:t>
      </w:r>
    </w:p>
    <w:p w:rsidR="00113A61" w:rsidRPr="00117825" w:rsidRDefault="00113A61" w:rsidP="00E64ACA">
      <w:pPr>
        <w:tabs>
          <w:tab w:val="left" w:pos="284"/>
        </w:tabs>
        <w:autoSpaceDE w:val="0"/>
        <w:autoSpaceDN w:val="0"/>
        <w:adjustRightInd w:val="0"/>
        <w:spacing w:line="480" w:lineRule="auto"/>
        <w:ind w:left="454" w:hanging="454"/>
        <w:rPr>
          <w:bCs/>
          <w:lang w:val="x-none"/>
        </w:rPr>
      </w:pPr>
      <w:r w:rsidRPr="00117825">
        <w:rPr>
          <w:bCs/>
          <w:lang w:val="x-none"/>
        </w:rPr>
        <w:t xml:space="preserve">Fein, S., Hilton, J. L., &amp; Miller, D. T. (1990). </w:t>
      </w:r>
      <w:r w:rsidRPr="00117825">
        <w:rPr>
          <w:bCs/>
        </w:rPr>
        <w:t xml:space="preserve">Suspicion </w:t>
      </w:r>
      <w:r w:rsidRPr="00117825">
        <w:rPr>
          <w:color w:val="000000"/>
        </w:rPr>
        <w:t>of ulterior motivation and the correspondence bias.</w:t>
      </w:r>
      <w:r w:rsidRPr="00117825">
        <w:rPr>
          <w:bCs/>
          <w:lang w:val="x-none"/>
        </w:rPr>
        <w:t xml:space="preserve"> </w:t>
      </w:r>
      <w:r w:rsidRPr="00117825">
        <w:rPr>
          <w:bCs/>
          <w:i/>
        </w:rPr>
        <w:t>Journal of Personality and Social Psychology</w:t>
      </w:r>
      <w:r w:rsidRPr="00117825">
        <w:rPr>
          <w:bCs/>
          <w:lang w:val="x-none"/>
        </w:rPr>
        <w:t xml:space="preserve">, </w:t>
      </w:r>
      <w:r w:rsidRPr="00117825">
        <w:rPr>
          <w:bCs/>
          <w:i/>
          <w:lang w:val="x-none"/>
        </w:rPr>
        <w:t>58</w:t>
      </w:r>
      <w:r w:rsidRPr="00117825">
        <w:rPr>
          <w:bCs/>
        </w:rPr>
        <w:t>(5)</w:t>
      </w:r>
      <w:r w:rsidRPr="00117825">
        <w:rPr>
          <w:bCs/>
          <w:lang w:val="x-none"/>
        </w:rPr>
        <w:t>, 753-764.</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Ferguson, J. L., Ellen, P. S., &amp; </w:t>
      </w:r>
      <w:proofErr w:type="spellStart"/>
      <w:r w:rsidRPr="00117825">
        <w:rPr>
          <w:bCs/>
        </w:rPr>
        <w:t>Piscopo</w:t>
      </w:r>
      <w:proofErr w:type="spellEnd"/>
      <w:r w:rsidRPr="00117825">
        <w:rPr>
          <w:bCs/>
        </w:rPr>
        <w:t xml:space="preserve">, M. G. (2011). Judging fairness of price increases following a disaster. </w:t>
      </w:r>
      <w:r w:rsidRPr="00117825">
        <w:rPr>
          <w:bCs/>
          <w:i/>
        </w:rPr>
        <w:t>Journal of Business Ethics</w:t>
      </w:r>
      <w:r w:rsidRPr="00117825">
        <w:rPr>
          <w:bCs/>
        </w:rPr>
        <w:t xml:space="preserve">, </w:t>
      </w:r>
      <w:r w:rsidRPr="00117825">
        <w:rPr>
          <w:bCs/>
          <w:i/>
        </w:rPr>
        <w:t>98</w:t>
      </w:r>
      <w:r w:rsidRPr="00117825">
        <w:rPr>
          <w:bCs/>
        </w:rPr>
        <w:t>(2), 331-349.</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Forehand, M. R., &amp; Grier, S. (2003). When is honesty the best policy? </w:t>
      </w:r>
      <w:proofErr w:type="gramStart"/>
      <w:r w:rsidR="00332DD8" w:rsidRPr="00117825">
        <w:rPr>
          <w:bCs/>
        </w:rPr>
        <w:t>t</w:t>
      </w:r>
      <w:r w:rsidRPr="00117825">
        <w:rPr>
          <w:bCs/>
        </w:rPr>
        <w:t>he</w:t>
      </w:r>
      <w:proofErr w:type="gramEnd"/>
      <w:r w:rsidRPr="00117825">
        <w:rPr>
          <w:bCs/>
        </w:rPr>
        <w:t xml:space="preserve"> effect of stated company intent on consumer s</w:t>
      </w:r>
      <w:r w:rsidR="00332DD8" w:rsidRPr="00117825">
        <w:rPr>
          <w:bCs/>
        </w:rPr>
        <w:t>k</w:t>
      </w:r>
      <w:r w:rsidRPr="00117825">
        <w:rPr>
          <w:bCs/>
        </w:rPr>
        <w:t xml:space="preserve">epticism. </w:t>
      </w:r>
      <w:r w:rsidRPr="00117825">
        <w:rPr>
          <w:bCs/>
          <w:i/>
        </w:rPr>
        <w:t>Journal of Consumer Psychology</w:t>
      </w:r>
      <w:r w:rsidRPr="00117825">
        <w:rPr>
          <w:bCs/>
        </w:rPr>
        <w:t xml:space="preserve">, </w:t>
      </w:r>
      <w:r w:rsidRPr="00117825">
        <w:rPr>
          <w:bCs/>
          <w:i/>
        </w:rPr>
        <w:t>13</w:t>
      </w:r>
      <w:r w:rsidRPr="00117825">
        <w:rPr>
          <w:bCs/>
        </w:rPr>
        <w:t>(3), 349-356.</w:t>
      </w:r>
    </w:p>
    <w:p w:rsidR="00113A61" w:rsidRPr="00117825" w:rsidRDefault="00113A61" w:rsidP="00E64ACA">
      <w:pPr>
        <w:tabs>
          <w:tab w:val="left" w:pos="284"/>
        </w:tabs>
        <w:autoSpaceDE w:val="0"/>
        <w:autoSpaceDN w:val="0"/>
        <w:adjustRightInd w:val="0"/>
        <w:spacing w:line="480" w:lineRule="auto"/>
        <w:ind w:left="454" w:hanging="454"/>
        <w:rPr>
          <w:bCs/>
          <w:color w:val="000000"/>
          <w:lang w:val="en-GB"/>
        </w:rPr>
      </w:pPr>
      <w:proofErr w:type="spellStart"/>
      <w:r w:rsidRPr="00117825">
        <w:rPr>
          <w:bCs/>
          <w:color w:val="000000"/>
          <w:lang w:val="en-GB"/>
        </w:rPr>
        <w:t>Forgas</w:t>
      </w:r>
      <w:proofErr w:type="spellEnd"/>
      <w:r w:rsidRPr="00117825">
        <w:rPr>
          <w:bCs/>
          <w:color w:val="000000"/>
          <w:lang w:val="en-GB"/>
        </w:rPr>
        <w:t xml:space="preserve">, J. P., &amp; East, R. (2008). On being happy and gullible: </w:t>
      </w:r>
      <w:r w:rsidR="00332DD8" w:rsidRPr="00117825">
        <w:rPr>
          <w:bCs/>
          <w:color w:val="000000"/>
          <w:lang w:val="en-GB"/>
        </w:rPr>
        <w:t>m</w:t>
      </w:r>
      <w:r w:rsidRPr="00117825">
        <w:rPr>
          <w:bCs/>
          <w:color w:val="000000"/>
          <w:lang w:val="en-GB"/>
        </w:rPr>
        <w:t xml:space="preserve">ood effects on scepticism and the detection of deception. </w:t>
      </w:r>
      <w:r w:rsidRPr="00117825">
        <w:rPr>
          <w:bCs/>
          <w:i/>
          <w:color w:val="000000"/>
          <w:lang w:val="en-GB"/>
        </w:rPr>
        <w:t>Journal of Experimental Social Psychology</w:t>
      </w:r>
      <w:r w:rsidRPr="00117825">
        <w:rPr>
          <w:bCs/>
          <w:color w:val="000000"/>
          <w:lang w:val="en-GB"/>
        </w:rPr>
        <w:t xml:space="preserve">, </w:t>
      </w:r>
      <w:r w:rsidRPr="00117825">
        <w:rPr>
          <w:bCs/>
          <w:i/>
          <w:color w:val="000000"/>
          <w:lang w:val="en-GB"/>
        </w:rPr>
        <w:t>44</w:t>
      </w:r>
      <w:r w:rsidRPr="00117825">
        <w:rPr>
          <w:bCs/>
          <w:color w:val="000000"/>
          <w:lang w:val="en-GB"/>
        </w:rPr>
        <w:t>(5), 1362-1367.</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Frey, D. (1986). Recent research on selective exposure to information. In L. Berkowitz (Ed</w:t>
      </w:r>
      <w:r w:rsidR="00332DD8" w:rsidRPr="00117825">
        <w:rPr>
          <w:bCs/>
        </w:rPr>
        <w:t>.</w:t>
      </w:r>
      <w:r w:rsidRPr="00117825">
        <w:rPr>
          <w:bCs/>
        </w:rPr>
        <w:t xml:space="preserve">), </w:t>
      </w:r>
      <w:r w:rsidRPr="00117825">
        <w:rPr>
          <w:bCs/>
          <w:i/>
        </w:rPr>
        <w:t xml:space="preserve">Advances in experimental social psychology </w:t>
      </w:r>
      <w:r w:rsidRPr="00117825">
        <w:rPr>
          <w:bCs/>
        </w:rPr>
        <w:t>(pp. 40-80), New York: Academic Press.</w:t>
      </w:r>
    </w:p>
    <w:p w:rsidR="00113A61" w:rsidRPr="00117825" w:rsidRDefault="00113A61" w:rsidP="00E64ACA">
      <w:pPr>
        <w:tabs>
          <w:tab w:val="left" w:pos="284"/>
        </w:tabs>
        <w:autoSpaceDE w:val="0"/>
        <w:autoSpaceDN w:val="0"/>
        <w:adjustRightInd w:val="0"/>
        <w:spacing w:line="480" w:lineRule="auto"/>
        <w:ind w:left="454" w:hanging="454"/>
        <w:rPr>
          <w:bCs/>
        </w:rPr>
      </w:pPr>
      <w:proofErr w:type="spellStart"/>
      <w:r w:rsidRPr="00117825">
        <w:rPr>
          <w:bCs/>
        </w:rPr>
        <w:t>Friestad</w:t>
      </w:r>
      <w:proofErr w:type="spellEnd"/>
      <w:r w:rsidRPr="00117825">
        <w:rPr>
          <w:bCs/>
        </w:rPr>
        <w:t xml:space="preserve">, M., &amp; Wright, P. (1994). The persuasion knowledge model: how people cope with persuasion attempts. </w:t>
      </w:r>
      <w:r w:rsidRPr="00117825">
        <w:rPr>
          <w:bCs/>
          <w:i/>
        </w:rPr>
        <w:t>Journal of Consumer Research</w:t>
      </w:r>
      <w:r w:rsidRPr="00117825">
        <w:rPr>
          <w:bCs/>
        </w:rPr>
        <w:t xml:space="preserve">, </w:t>
      </w:r>
      <w:r w:rsidRPr="00117825">
        <w:rPr>
          <w:bCs/>
          <w:i/>
        </w:rPr>
        <w:t>21</w:t>
      </w:r>
      <w:r w:rsidRPr="00117825">
        <w:rPr>
          <w:bCs/>
        </w:rPr>
        <w:t xml:space="preserve">(1), 1-31. </w:t>
      </w:r>
    </w:p>
    <w:p w:rsidR="00113A61" w:rsidRPr="00117825" w:rsidRDefault="00113A61" w:rsidP="00E64ACA">
      <w:pPr>
        <w:tabs>
          <w:tab w:val="left" w:pos="284"/>
        </w:tabs>
        <w:autoSpaceDE w:val="0"/>
        <w:autoSpaceDN w:val="0"/>
        <w:adjustRightInd w:val="0"/>
        <w:spacing w:line="480" w:lineRule="auto"/>
        <w:ind w:left="454" w:hanging="454"/>
        <w:rPr>
          <w:color w:val="000000"/>
        </w:rPr>
      </w:pPr>
      <w:proofErr w:type="spellStart"/>
      <w:r w:rsidRPr="00117825">
        <w:rPr>
          <w:color w:val="000000"/>
        </w:rPr>
        <w:lastRenderedPageBreak/>
        <w:t>Gerbing</w:t>
      </w:r>
      <w:proofErr w:type="spellEnd"/>
      <w:r w:rsidRPr="00117825">
        <w:rPr>
          <w:color w:val="000000"/>
        </w:rPr>
        <w:t xml:space="preserve">, D. W., &amp; Anderson, J. C. (1988). An updated paradigm for scale development incorporating </w:t>
      </w:r>
      <w:proofErr w:type="spellStart"/>
      <w:r w:rsidRPr="00117825">
        <w:rPr>
          <w:color w:val="000000"/>
        </w:rPr>
        <w:t>unidimensionality</w:t>
      </w:r>
      <w:proofErr w:type="spellEnd"/>
      <w:r w:rsidRPr="00117825">
        <w:rPr>
          <w:color w:val="000000"/>
        </w:rPr>
        <w:t xml:space="preserve"> and its assessment. </w:t>
      </w:r>
      <w:r w:rsidRPr="00117825">
        <w:rPr>
          <w:i/>
          <w:color w:val="000000"/>
        </w:rPr>
        <w:t>Journal of Marketing Research</w:t>
      </w:r>
      <w:r w:rsidRPr="00117825">
        <w:rPr>
          <w:color w:val="000000"/>
        </w:rPr>
        <w:t xml:space="preserve">, </w:t>
      </w:r>
      <w:r w:rsidRPr="00117825">
        <w:rPr>
          <w:i/>
          <w:color w:val="000000"/>
        </w:rPr>
        <w:t>25</w:t>
      </w:r>
      <w:r w:rsidRPr="00117825">
        <w:rPr>
          <w:color w:val="000000"/>
        </w:rPr>
        <w:t>(2), 186-192.</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Gilbert, D. T., &amp; Malone, P. S., (1995). The correspondence bias. </w:t>
      </w:r>
      <w:r w:rsidRPr="00117825">
        <w:rPr>
          <w:i/>
          <w:color w:val="000000"/>
        </w:rPr>
        <w:t>Psychological Bulletin</w:t>
      </w:r>
      <w:r w:rsidRPr="00117825">
        <w:rPr>
          <w:color w:val="000000"/>
        </w:rPr>
        <w:t xml:space="preserve">, </w:t>
      </w:r>
      <w:r w:rsidRPr="00117825">
        <w:rPr>
          <w:i/>
          <w:color w:val="000000"/>
        </w:rPr>
        <w:t>117</w:t>
      </w:r>
      <w:r w:rsidRPr="00117825">
        <w:rPr>
          <w:color w:val="000000"/>
        </w:rPr>
        <w:t>(1), 21-38.</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Grewal, R., Cline, T. W., &amp; Davies, A. (2003). Early-entrant advantage, word-of-mouth communication, brand similarity, and the consumer decision-making process. </w:t>
      </w:r>
      <w:r w:rsidRPr="00117825">
        <w:rPr>
          <w:i/>
          <w:color w:val="000000"/>
        </w:rPr>
        <w:t>Journal of Consumer Psychology</w:t>
      </w:r>
      <w:r w:rsidRPr="00117825">
        <w:rPr>
          <w:color w:val="000000"/>
        </w:rPr>
        <w:t xml:space="preserve">, </w:t>
      </w:r>
      <w:r w:rsidRPr="00117825">
        <w:rPr>
          <w:i/>
          <w:color w:val="000000"/>
        </w:rPr>
        <w:t>13</w:t>
      </w:r>
      <w:r w:rsidRPr="00117825">
        <w:rPr>
          <w:color w:val="000000"/>
        </w:rPr>
        <w:t>(3), 187-197,</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Herr, P. M., </w:t>
      </w:r>
      <w:proofErr w:type="spellStart"/>
      <w:r w:rsidRPr="00117825">
        <w:rPr>
          <w:color w:val="000000"/>
        </w:rPr>
        <w:t>Kardes</w:t>
      </w:r>
      <w:proofErr w:type="spellEnd"/>
      <w:r w:rsidRPr="00117825">
        <w:rPr>
          <w:color w:val="000000"/>
        </w:rPr>
        <w:t>, F. R., &amp; Kim, J. (1991). Effects of word-of-mouth and product attribute information on persuasion: An accessibility-</w:t>
      </w:r>
      <w:proofErr w:type="spellStart"/>
      <w:r w:rsidRPr="00117825">
        <w:rPr>
          <w:color w:val="000000"/>
        </w:rPr>
        <w:t>diagnosticity</w:t>
      </w:r>
      <w:proofErr w:type="spellEnd"/>
      <w:r w:rsidRPr="00117825">
        <w:rPr>
          <w:color w:val="000000"/>
        </w:rPr>
        <w:t xml:space="preserve"> perspective. </w:t>
      </w:r>
      <w:r w:rsidRPr="00117825">
        <w:rPr>
          <w:i/>
          <w:color w:val="000000"/>
        </w:rPr>
        <w:t>Journal of Consumer Research</w:t>
      </w:r>
      <w:r w:rsidRPr="00117825">
        <w:rPr>
          <w:color w:val="000000"/>
        </w:rPr>
        <w:t xml:space="preserve">, </w:t>
      </w:r>
      <w:r w:rsidRPr="00117825">
        <w:rPr>
          <w:i/>
          <w:color w:val="000000"/>
        </w:rPr>
        <w:t>17</w:t>
      </w:r>
      <w:r w:rsidRPr="00117825">
        <w:rPr>
          <w:color w:val="000000"/>
        </w:rPr>
        <w:t>(4), 454-462.</w:t>
      </w:r>
    </w:p>
    <w:p w:rsidR="00113A61" w:rsidRPr="00117825" w:rsidRDefault="00113A61" w:rsidP="00E64ACA">
      <w:pPr>
        <w:tabs>
          <w:tab w:val="left" w:pos="284"/>
        </w:tabs>
        <w:autoSpaceDE w:val="0"/>
        <w:autoSpaceDN w:val="0"/>
        <w:adjustRightInd w:val="0"/>
        <w:spacing w:line="480" w:lineRule="auto"/>
        <w:ind w:left="454" w:hanging="454"/>
        <w:rPr>
          <w:bCs/>
          <w:color w:val="000000"/>
          <w:lang w:val="en-GB"/>
        </w:rPr>
      </w:pPr>
      <w:proofErr w:type="spellStart"/>
      <w:r w:rsidRPr="00117825">
        <w:rPr>
          <w:bCs/>
          <w:color w:val="000000"/>
        </w:rPr>
        <w:t>Hollender</w:t>
      </w:r>
      <w:proofErr w:type="spellEnd"/>
      <w:r w:rsidRPr="00117825">
        <w:rPr>
          <w:bCs/>
          <w:color w:val="000000"/>
        </w:rPr>
        <w:t xml:space="preserve">, J. (2004). What matters most: </w:t>
      </w:r>
      <w:r w:rsidR="00332DD8" w:rsidRPr="00117825">
        <w:rPr>
          <w:bCs/>
          <w:color w:val="000000"/>
        </w:rPr>
        <w:t>c</w:t>
      </w:r>
      <w:r w:rsidRPr="00117825">
        <w:rPr>
          <w:bCs/>
          <w:color w:val="000000"/>
        </w:rPr>
        <w:t>orporate values and</w:t>
      </w:r>
      <w:r w:rsidRPr="00117825">
        <w:rPr>
          <w:bCs/>
          <w:color w:val="000000"/>
          <w:lang w:val="en-GB"/>
        </w:rPr>
        <w:t xml:space="preserve"> </w:t>
      </w:r>
      <w:r w:rsidRPr="00117825">
        <w:rPr>
          <w:bCs/>
          <w:color w:val="000000"/>
        </w:rPr>
        <w:t xml:space="preserve">social </w:t>
      </w:r>
      <w:proofErr w:type="gramStart"/>
      <w:r w:rsidRPr="00117825">
        <w:rPr>
          <w:bCs/>
          <w:color w:val="000000"/>
        </w:rPr>
        <w:t>responsibility.</w:t>
      </w:r>
      <w:proofErr w:type="gramEnd"/>
      <w:r w:rsidRPr="00117825">
        <w:rPr>
          <w:bCs/>
          <w:color w:val="000000"/>
        </w:rPr>
        <w:t xml:space="preserve"> </w:t>
      </w:r>
      <w:r w:rsidRPr="00117825">
        <w:rPr>
          <w:bCs/>
          <w:i/>
          <w:color w:val="000000"/>
        </w:rPr>
        <w:t>California Management Review</w:t>
      </w:r>
      <w:r w:rsidRPr="00117825">
        <w:rPr>
          <w:bCs/>
          <w:color w:val="000000"/>
        </w:rPr>
        <w:t xml:space="preserve">, </w:t>
      </w:r>
      <w:r w:rsidRPr="00117825">
        <w:rPr>
          <w:bCs/>
          <w:i/>
          <w:color w:val="000000"/>
        </w:rPr>
        <w:t>46</w:t>
      </w:r>
      <w:r w:rsidRPr="00117825">
        <w:rPr>
          <w:bCs/>
          <w:color w:val="000000"/>
        </w:rPr>
        <w:t>(4),</w:t>
      </w:r>
      <w:r w:rsidRPr="00117825">
        <w:rPr>
          <w:bCs/>
          <w:color w:val="000000"/>
          <w:lang w:val="en-GB"/>
        </w:rPr>
        <w:t xml:space="preserve"> </w:t>
      </w:r>
      <w:r w:rsidRPr="00117825">
        <w:rPr>
          <w:bCs/>
          <w:color w:val="000000"/>
        </w:rPr>
        <w:t>111-119.</w:t>
      </w:r>
    </w:p>
    <w:p w:rsidR="00113A61" w:rsidRPr="00117825" w:rsidRDefault="00113A61" w:rsidP="00E64ACA">
      <w:pPr>
        <w:tabs>
          <w:tab w:val="left" w:pos="284"/>
        </w:tabs>
        <w:autoSpaceDE w:val="0"/>
        <w:autoSpaceDN w:val="0"/>
        <w:adjustRightInd w:val="0"/>
        <w:spacing w:line="480" w:lineRule="auto"/>
        <w:ind w:left="454" w:hanging="454"/>
        <w:rPr>
          <w:bCs/>
          <w:color w:val="000000"/>
        </w:rPr>
      </w:pPr>
      <w:r w:rsidRPr="00117825">
        <w:rPr>
          <w:bCs/>
          <w:color w:val="000000"/>
        </w:rPr>
        <w:t>Homburg, C</w:t>
      </w:r>
      <w:r w:rsidRPr="00117825">
        <w:rPr>
          <w:bCs/>
          <w:color w:val="000000"/>
          <w:lang w:val="en-GB"/>
        </w:rPr>
        <w:t>.</w:t>
      </w:r>
      <w:r w:rsidRPr="00117825">
        <w:rPr>
          <w:bCs/>
          <w:color w:val="000000"/>
        </w:rPr>
        <w:t xml:space="preserve">, </w:t>
      </w:r>
      <w:proofErr w:type="spellStart"/>
      <w:r w:rsidRPr="00117825">
        <w:rPr>
          <w:bCs/>
          <w:color w:val="000000"/>
        </w:rPr>
        <w:t>Wieseke</w:t>
      </w:r>
      <w:proofErr w:type="spellEnd"/>
      <w:r w:rsidRPr="00117825">
        <w:rPr>
          <w:bCs/>
          <w:color w:val="000000"/>
        </w:rPr>
        <w:t>,</w:t>
      </w:r>
      <w:r w:rsidRPr="00117825">
        <w:rPr>
          <w:bCs/>
          <w:color w:val="000000"/>
          <w:lang w:val="en-GB"/>
        </w:rPr>
        <w:t xml:space="preserve"> J.,</w:t>
      </w:r>
      <w:r w:rsidRPr="00117825">
        <w:rPr>
          <w:bCs/>
          <w:color w:val="000000"/>
        </w:rPr>
        <w:t xml:space="preserve"> </w:t>
      </w:r>
      <w:r w:rsidRPr="00117825">
        <w:rPr>
          <w:bCs/>
          <w:color w:val="000000"/>
          <w:lang w:val="en-GB"/>
        </w:rPr>
        <w:t>&amp;</w:t>
      </w:r>
      <w:r w:rsidRPr="00117825">
        <w:rPr>
          <w:bCs/>
          <w:color w:val="000000"/>
        </w:rPr>
        <w:t xml:space="preserve"> </w:t>
      </w:r>
      <w:proofErr w:type="spellStart"/>
      <w:r w:rsidRPr="00117825">
        <w:rPr>
          <w:bCs/>
          <w:color w:val="000000"/>
        </w:rPr>
        <w:t>Bornemann</w:t>
      </w:r>
      <w:proofErr w:type="spellEnd"/>
      <w:r w:rsidRPr="00117825">
        <w:rPr>
          <w:bCs/>
          <w:color w:val="000000"/>
          <w:lang w:val="en-GB"/>
        </w:rPr>
        <w:t>, T.</w:t>
      </w:r>
      <w:r w:rsidRPr="00117825">
        <w:rPr>
          <w:bCs/>
          <w:color w:val="000000"/>
        </w:rPr>
        <w:t xml:space="preserve"> (2009)</w:t>
      </w:r>
      <w:r w:rsidRPr="00117825">
        <w:rPr>
          <w:bCs/>
          <w:color w:val="000000"/>
          <w:lang w:val="en-GB"/>
        </w:rPr>
        <w:t xml:space="preserve">. </w:t>
      </w:r>
      <w:r w:rsidRPr="00117825">
        <w:rPr>
          <w:bCs/>
          <w:color w:val="000000"/>
        </w:rPr>
        <w:t xml:space="preserve">Implementing the marketing concept at the employee–customer interface: </w:t>
      </w:r>
      <w:r w:rsidR="00332DD8" w:rsidRPr="00117825">
        <w:rPr>
          <w:bCs/>
          <w:color w:val="000000"/>
        </w:rPr>
        <w:t>t</w:t>
      </w:r>
      <w:r w:rsidRPr="00117825">
        <w:rPr>
          <w:bCs/>
          <w:color w:val="000000"/>
        </w:rPr>
        <w:t>he role of customer need knowledge</w:t>
      </w:r>
      <w:r w:rsidRPr="00117825">
        <w:rPr>
          <w:bCs/>
          <w:color w:val="000000"/>
          <w:lang w:val="en-GB"/>
        </w:rPr>
        <w:t>.</w:t>
      </w:r>
      <w:r w:rsidRPr="00117825">
        <w:rPr>
          <w:bCs/>
          <w:color w:val="000000"/>
        </w:rPr>
        <w:t xml:space="preserve"> </w:t>
      </w:r>
      <w:r w:rsidRPr="00117825">
        <w:rPr>
          <w:bCs/>
          <w:i/>
          <w:color w:val="000000"/>
        </w:rPr>
        <w:t>Journal</w:t>
      </w:r>
      <w:r w:rsidRPr="00117825">
        <w:rPr>
          <w:bCs/>
          <w:i/>
          <w:color w:val="000000"/>
          <w:lang w:val="en-GB"/>
        </w:rPr>
        <w:t xml:space="preserve"> </w:t>
      </w:r>
      <w:r w:rsidRPr="00117825">
        <w:rPr>
          <w:bCs/>
          <w:i/>
          <w:color w:val="000000"/>
        </w:rPr>
        <w:t>of Marketing</w:t>
      </w:r>
      <w:r w:rsidRPr="00117825">
        <w:rPr>
          <w:bCs/>
          <w:color w:val="000000"/>
        </w:rPr>
        <w:t xml:space="preserve">, </w:t>
      </w:r>
      <w:r w:rsidRPr="00117825">
        <w:rPr>
          <w:bCs/>
          <w:i/>
          <w:color w:val="000000"/>
        </w:rPr>
        <w:t>73</w:t>
      </w:r>
      <w:r w:rsidRPr="00117825">
        <w:rPr>
          <w:bCs/>
          <w:color w:val="000000"/>
        </w:rPr>
        <w:t>(4), 64-81.</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Kelley, H. H., &amp; </w:t>
      </w:r>
      <w:proofErr w:type="spellStart"/>
      <w:r w:rsidRPr="00117825">
        <w:rPr>
          <w:bCs/>
        </w:rPr>
        <w:t>Michela</w:t>
      </w:r>
      <w:proofErr w:type="spellEnd"/>
      <w:r w:rsidRPr="00117825">
        <w:rPr>
          <w:bCs/>
        </w:rPr>
        <w:t xml:space="preserve">, J. L. (1980). Attribution theory and research. </w:t>
      </w:r>
      <w:r w:rsidRPr="00117825">
        <w:rPr>
          <w:bCs/>
          <w:i/>
        </w:rPr>
        <w:t>Annual Review of Psychology</w:t>
      </w:r>
      <w:r w:rsidRPr="00117825">
        <w:rPr>
          <w:bCs/>
        </w:rPr>
        <w:t xml:space="preserve">, </w:t>
      </w:r>
      <w:r w:rsidRPr="00117825">
        <w:rPr>
          <w:bCs/>
          <w:i/>
        </w:rPr>
        <w:t>31</w:t>
      </w:r>
      <w:r w:rsidRPr="00117825">
        <w:rPr>
          <w:bCs/>
        </w:rPr>
        <w:t>, 457-501.</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Klein, J., &amp; </w:t>
      </w:r>
      <w:proofErr w:type="spellStart"/>
      <w:r w:rsidRPr="00117825">
        <w:rPr>
          <w:color w:val="000000"/>
        </w:rPr>
        <w:t>Dawar</w:t>
      </w:r>
      <w:proofErr w:type="spellEnd"/>
      <w:r w:rsidRPr="00117825">
        <w:rPr>
          <w:color w:val="000000"/>
        </w:rPr>
        <w:t xml:space="preserve">, N. (2004). Corporate social responsibility and consumers’ attributions and brand evaluations in a product-harm crisis. </w:t>
      </w:r>
      <w:r w:rsidRPr="00117825">
        <w:rPr>
          <w:i/>
          <w:iCs/>
          <w:color w:val="000000"/>
        </w:rPr>
        <w:t>International Journal of Research in Marketing</w:t>
      </w:r>
      <w:r w:rsidRPr="00117825">
        <w:rPr>
          <w:iCs/>
          <w:color w:val="000000"/>
        </w:rPr>
        <w:t>,</w:t>
      </w:r>
      <w:r w:rsidRPr="00117825">
        <w:rPr>
          <w:color w:val="000000"/>
        </w:rPr>
        <w:t xml:space="preserve"> </w:t>
      </w:r>
      <w:r w:rsidRPr="00117825">
        <w:rPr>
          <w:bCs/>
          <w:i/>
          <w:color w:val="000000"/>
        </w:rPr>
        <w:t>21</w:t>
      </w:r>
      <w:r w:rsidRPr="00117825">
        <w:rPr>
          <w:bCs/>
          <w:color w:val="000000"/>
        </w:rPr>
        <w:t>(</w:t>
      </w:r>
      <w:r w:rsidRPr="00117825">
        <w:rPr>
          <w:color w:val="000000"/>
        </w:rPr>
        <w:t>3), 203-217.</w:t>
      </w:r>
    </w:p>
    <w:p w:rsidR="000D1E1D" w:rsidRPr="00117825" w:rsidRDefault="000D1E1D" w:rsidP="00E64ACA">
      <w:pPr>
        <w:tabs>
          <w:tab w:val="left" w:pos="284"/>
        </w:tabs>
        <w:autoSpaceDE w:val="0"/>
        <w:autoSpaceDN w:val="0"/>
        <w:adjustRightInd w:val="0"/>
        <w:spacing w:line="480" w:lineRule="auto"/>
        <w:ind w:left="454" w:hanging="454"/>
        <w:rPr>
          <w:bCs/>
        </w:rPr>
      </w:pPr>
      <w:r w:rsidRPr="00117825">
        <w:rPr>
          <w:bCs/>
        </w:rPr>
        <w:t xml:space="preserve">Klein, J. G., Smith, N. C., &amp; John, A. (2004). Why we boycott: </w:t>
      </w:r>
      <w:r w:rsidR="00332DD8" w:rsidRPr="00117825">
        <w:rPr>
          <w:bCs/>
        </w:rPr>
        <w:t>c</w:t>
      </w:r>
      <w:r w:rsidRPr="00117825">
        <w:rPr>
          <w:bCs/>
        </w:rPr>
        <w:t xml:space="preserve">onsumer motivations for boycott participation. </w:t>
      </w:r>
      <w:r w:rsidRPr="00117825">
        <w:rPr>
          <w:bCs/>
          <w:i/>
        </w:rPr>
        <w:t>Journal of Marketing</w:t>
      </w:r>
      <w:r w:rsidRPr="00117825">
        <w:rPr>
          <w:bCs/>
        </w:rPr>
        <w:t xml:space="preserve">, </w:t>
      </w:r>
      <w:r w:rsidRPr="00117825">
        <w:rPr>
          <w:bCs/>
          <w:i/>
        </w:rPr>
        <w:t>68</w:t>
      </w:r>
      <w:r w:rsidRPr="00117825">
        <w:rPr>
          <w:bCs/>
        </w:rPr>
        <w:t xml:space="preserve">(3), 92-109. </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Lange, D., &amp; Washburn, N. T. (2012). Understanding attributions of corporate social irresponsibility. </w:t>
      </w:r>
      <w:r w:rsidRPr="00117825">
        <w:rPr>
          <w:i/>
          <w:color w:val="000000"/>
        </w:rPr>
        <w:t>Academy of Management Review</w:t>
      </w:r>
      <w:r w:rsidRPr="00117825">
        <w:rPr>
          <w:color w:val="000000"/>
        </w:rPr>
        <w:t xml:space="preserve">, </w:t>
      </w:r>
      <w:r w:rsidRPr="00117825">
        <w:rPr>
          <w:i/>
          <w:color w:val="000000"/>
        </w:rPr>
        <w:t>37</w:t>
      </w:r>
      <w:r w:rsidRPr="00117825">
        <w:rPr>
          <w:color w:val="000000"/>
        </w:rPr>
        <w:t>(2), 300-326.</w:t>
      </w:r>
    </w:p>
    <w:p w:rsidR="00113A61" w:rsidRPr="00117825" w:rsidRDefault="00113A61" w:rsidP="00E64ACA">
      <w:pPr>
        <w:tabs>
          <w:tab w:val="left" w:pos="284"/>
        </w:tabs>
        <w:autoSpaceDE w:val="0"/>
        <w:autoSpaceDN w:val="0"/>
        <w:adjustRightInd w:val="0"/>
        <w:spacing w:line="480" w:lineRule="auto"/>
        <w:ind w:left="454" w:hanging="454"/>
        <w:rPr>
          <w:bCs/>
        </w:rPr>
      </w:pPr>
      <w:proofErr w:type="spellStart"/>
      <w:r w:rsidRPr="00117825">
        <w:rPr>
          <w:bCs/>
        </w:rPr>
        <w:lastRenderedPageBreak/>
        <w:t>Lindenmeier</w:t>
      </w:r>
      <w:proofErr w:type="spellEnd"/>
      <w:r w:rsidRPr="00117825">
        <w:rPr>
          <w:bCs/>
        </w:rPr>
        <w:t xml:space="preserve">, J., </w:t>
      </w:r>
      <w:proofErr w:type="spellStart"/>
      <w:r w:rsidRPr="00117825">
        <w:rPr>
          <w:bCs/>
        </w:rPr>
        <w:t>Schleer</w:t>
      </w:r>
      <w:proofErr w:type="spellEnd"/>
      <w:r w:rsidRPr="00117825">
        <w:rPr>
          <w:bCs/>
        </w:rPr>
        <w:t xml:space="preserve">, C., &amp; </w:t>
      </w:r>
      <w:proofErr w:type="spellStart"/>
      <w:r w:rsidRPr="00117825">
        <w:rPr>
          <w:bCs/>
        </w:rPr>
        <w:t>Pricl</w:t>
      </w:r>
      <w:proofErr w:type="spellEnd"/>
      <w:r w:rsidRPr="00117825">
        <w:rPr>
          <w:bCs/>
        </w:rPr>
        <w:t xml:space="preserve">, D. (2012). Consumer outrage: </w:t>
      </w:r>
      <w:r w:rsidR="00332DD8" w:rsidRPr="00117825">
        <w:rPr>
          <w:bCs/>
        </w:rPr>
        <w:t>e</w:t>
      </w:r>
      <w:r w:rsidRPr="00117825">
        <w:rPr>
          <w:bCs/>
        </w:rPr>
        <w:t xml:space="preserve">motional reactions to unethical corporate behavior. </w:t>
      </w:r>
      <w:r w:rsidRPr="00117825">
        <w:rPr>
          <w:bCs/>
          <w:i/>
        </w:rPr>
        <w:t>Journal of Business Research</w:t>
      </w:r>
      <w:r w:rsidRPr="00117825">
        <w:rPr>
          <w:bCs/>
        </w:rPr>
        <w:t xml:space="preserve">, </w:t>
      </w:r>
      <w:r w:rsidRPr="00117825">
        <w:rPr>
          <w:bCs/>
          <w:i/>
        </w:rPr>
        <w:t>65</w:t>
      </w:r>
      <w:r w:rsidRPr="00117825">
        <w:rPr>
          <w:bCs/>
        </w:rPr>
        <w:t>(9) 1364-1373.</w:t>
      </w:r>
    </w:p>
    <w:p w:rsidR="00113A61" w:rsidRPr="00117825" w:rsidRDefault="00113A61" w:rsidP="00E64ACA">
      <w:pPr>
        <w:tabs>
          <w:tab w:val="left" w:pos="284"/>
        </w:tabs>
        <w:autoSpaceDE w:val="0"/>
        <w:autoSpaceDN w:val="0"/>
        <w:adjustRightInd w:val="0"/>
        <w:spacing w:line="480" w:lineRule="auto"/>
        <w:ind w:left="454" w:hanging="454"/>
      </w:pPr>
      <w:r w:rsidRPr="00117825">
        <w:t xml:space="preserve">Luo, X., &amp; Bhattacharya, C. B. (2006). Corporate social responsibility, customer satisfaction, and market value. </w:t>
      </w:r>
      <w:r w:rsidRPr="00117825">
        <w:rPr>
          <w:i/>
        </w:rPr>
        <w:t>Journal of Marketing</w:t>
      </w:r>
      <w:r w:rsidRPr="00117825">
        <w:t xml:space="preserve">, </w:t>
      </w:r>
      <w:r w:rsidRPr="00117825">
        <w:rPr>
          <w:i/>
        </w:rPr>
        <w:t>70</w:t>
      </w:r>
      <w:r w:rsidRPr="00117825">
        <w:t>(4), 1-18.</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McGrath, S. (2011). Skepticism about moral expertise as a puzzle for moral realism. </w:t>
      </w:r>
      <w:r w:rsidRPr="00117825">
        <w:rPr>
          <w:i/>
          <w:iCs/>
          <w:color w:val="000000"/>
        </w:rPr>
        <w:t>Journal of Philosophy</w:t>
      </w:r>
      <w:r w:rsidRPr="00117825">
        <w:rPr>
          <w:iCs/>
          <w:color w:val="000000"/>
        </w:rPr>
        <w:t>,</w:t>
      </w:r>
      <w:r w:rsidRPr="00117825">
        <w:rPr>
          <w:i/>
          <w:iCs/>
          <w:color w:val="000000"/>
        </w:rPr>
        <w:t xml:space="preserve"> </w:t>
      </w:r>
      <w:r w:rsidRPr="00117825">
        <w:rPr>
          <w:i/>
          <w:color w:val="000000"/>
        </w:rPr>
        <w:t>108</w:t>
      </w:r>
      <w:r w:rsidRPr="00117825">
        <w:rPr>
          <w:color w:val="000000"/>
        </w:rPr>
        <w:t>(3), 111-137.</w:t>
      </w:r>
    </w:p>
    <w:p w:rsidR="00113A61" w:rsidRPr="00117825" w:rsidRDefault="00113A61" w:rsidP="00E64ACA">
      <w:pPr>
        <w:tabs>
          <w:tab w:val="left" w:pos="284"/>
        </w:tabs>
        <w:autoSpaceDE w:val="0"/>
        <w:autoSpaceDN w:val="0"/>
        <w:adjustRightInd w:val="0"/>
        <w:spacing w:line="480" w:lineRule="auto"/>
        <w:ind w:left="454" w:hanging="454"/>
        <w:rPr>
          <w:bCs/>
          <w:lang w:val="en-GB"/>
        </w:rPr>
      </w:pPr>
      <w:proofErr w:type="spellStart"/>
      <w:r w:rsidRPr="00117825">
        <w:rPr>
          <w:bCs/>
          <w:lang w:val="en-GB"/>
        </w:rPr>
        <w:t>Memery</w:t>
      </w:r>
      <w:proofErr w:type="spellEnd"/>
      <w:r w:rsidRPr="00117825">
        <w:rPr>
          <w:bCs/>
          <w:lang w:val="en-GB"/>
        </w:rPr>
        <w:t xml:space="preserve">, J., </w:t>
      </w:r>
      <w:proofErr w:type="spellStart"/>
      <w:r w:rsidRPr="00117825">
        <w:rPr>
          <w:bCs/>
          <w:lang w:val="en-GB"/>
        </w:rPr>
        <w:t>Megicks</w:t>
      </w:r>
      <w:proofErr w:type="spellEnd"/>
      <w:r w:rsidRPr="00117825">
        <w:rPr>
          <w:bCs/>
          <w:lang w:val="en-GB"/>
        </w:rPr>
        <w:t xml:space="preserve">, P., Angell, R., &amp; Williams, J. (2012). Understanding ethical grocery shoppers. </w:t>
      </w:r>
      <w:r w:rsidRPr="00117825">
        <w:rPr>
          <w:bCs/>
          <w:i/>
          <w:lang w:val="en-GB"/>
        </w:rPr>
        <w:t>Journal of Business Research</w:t>
      </w:r>
      <w:r w:rsidRPr="00117825">
        <w:rPr>
          <w:bCs/>
          <w:lang w:val="en-GB"/>
        </w:rPr>
        <w:t xml:space="preserve">, </w:t>
      </w:r>
      <w:r w:rsidRPr="00117825">
        <w:rPr>
          <w:bCs/>
          <w:i/>
          <w:lang w:val="en-GB"/>
        </w:rPr>
        <w:t>65</w:t>
      </w:r>
      <w:r w:rsidRPr="00117825">
        <w:rPr>
          <w:bCs/>
          <w:lang w:val="en-GB"/>
        </w:rPr>
        <w:t>(9), 1283-1289.</w:t>
      </w:r>
    </w:p>
    <w:p w:rsidR="00113A61" w:rsidRPr="00117825" w:rsidRDefault="00113A61" w:rsidP="00E64ACA">
      <w:pPr>
        <w:tabs>
          <w:tab w:val="left" w:pos="284"/>
        </w:tabs>
        <w:spacing w:line="480" w:lineRule="auto"/>
        <w:ind w:left="454" w:hanging="454"/>
        <w:rPr>
          <w:color w:val="000000"/>
        </w:rPr>
      </w:pPr>
      <w:r w:rsidRPr="00117825">
        <w:rPr>
          <w:color w:val="000000"/>
          <w:lang w:val="de-AT"/>
        </w:rPr>
        <w:t xml:space="preserve">Mohr, L., Eroglu, D., &amp; Ellen, P. (1998). </w:t>
      </w:r>
      <w:r w:rsidRPr="00117825">
        <w:rPr>
          <w:color w:val="000000"/>
        </w:rPr>
        <w:t xml:space="preserve">The development and testing of a measure of skepticism toward environmental claims in marketers’ communications. </w:t>
      </w:r>
      <w:r w:rsidRPr="00117825">
        <w:rPr>
          <w:i/>
          <w:color w:val="000000"/>
        </w:rPr>
        <w:t>Journal of Consumer Affairs</w:t>
      </w:r>
      <w:r w:rsidRPr="00117825">
        <w:rPr>
          <w:color w:val="000000"/>
        </w:rPr>
        <w:t xml:space="preserve">, </w:t>
      </w:r>
      <w:r w:rsidRPr="00117825">
        <w:rPr>
          <w:i/>
          <w:color w:val="000000"/>
        </w:rPr>
        <w:t>32</w:t>
      </w:r>
      <w:r w:rsidRPr="00117825">
        <w:rPr>
          <w:color w:val="000000"/>
        </w:rPr>
        <w:t>(1), 30-55.</w:t>
      </w:r>
    </w:p>
    <w:p w:rsidR="00113A61" w:rsidRPr="00117825" w:rsidRDefault="00113A61" w:rsidP="00E64ACA">
      <w:pPr>
        <w:tabs>
          <w:tab w:val="left" w:pos="284"/>
        </w:tabs>
        <w:autoSpaceDE w:val="0"/>
        <w:autoSpaceDN w:val="0"/>
        <w:adjustRightInd w:val="0"/>
        <w:spacing w:line="480" w:lineRule="auto"/>
        <w:ind w:left="454" w:hanging="454"/>
        <w:rPr>
          <w:bCs/>
          <w:lang w:val="de-AT"/>
        </w:rPr>
      </w:pPr>
      <w:proofErr w:type="spellStart"/>
      <w:r w:rsidRPr="00117825">
        <w:rPr>
          <w:bCs/>
        </w:rPr>
        <w:t>Obermiller</w:t>
      </w:r>
      <w:proofErr w:type="spellEnd"/>
      <w:r w:rsidRPr="00117825">
        <w:rPr>
          <w:bCs/>
        </w:rPr>
        <w:t xml:space="preserve">, C., &amp; </w:t>
      </w:r>
      <w:proofErr w:type="spellStart"/>
      <w:r w:rsidRPr="00117825">
        <w:rPr>
          <w:bCs/>
        </w:rPr>
        <w:t>Spangenberg</w:t>
      </w:r>
      <w:proofErr w:type="spellEnd"/>
      <w:r w:rsidRPr="00117825">
        <w:rPr>
          <w:bCs/>
        </w:rPr>
        <w:t xml:space="preserve">, E. R. (1998). Development of a scale to measure consumer skepticism toward advertising. </w:t>
      </w:r>
      <w:r w:rsidRPr="00117825">
        <w:rPr>
          <w:bCs/>
          <w:i/>
          <w:lang w:val="de-AT"/>
        </w:rPr>
        <w:t>Journal of Consumer Psychology</w:t>
      </w:r>
      <w:r w:rsidRPr="00117825">
        <w:rPr>
          <w:bCs/>
          <w:lang w:val="de-AT"/>
        </w:rPr>
        <w:t xml:space="preserve">, </w:t>
      </w:r>
      <w:r w:rsidRPr="00117825">
        <w:rPr>
          <w:bCs/>
          <w:i/>
          <w:lang w:val="de-AT"/>
        </w:rPr>
        <w:t>7</w:t>
      </w:r>
      <w:r w:rsidRPr="00117825">
        <w:rPr>
          <w:bCs/>
          <w:lang w:val="de-AT"/>
        </w:rPr>
        <w:t>(2), 159-186.</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lang w:val="de-AT"/>
        </w:rPr>
        <w:t xml:space="preserve">Obermiller, C., Spangenberg, E. R., &amp; MacLachlan, D. L. (2005). </w:t>
      </w:r>
      <w:r w:rsidRPr="00117825">
        <w:rPr>
          <w:bCs/>
        </w:rPr>
        <w:t xml:space="preserve">Ad skepticism: </w:t>
      </w:r>
      <w:r w:rsidR="00332DD8" w:rsidRPr="00117825">
        <w:rPr>
          <w:bCs/>
        </w:rPr>
        <w:t>t</w:t>
      </w:r>
      <w:r w:rsidRPr="00117825">
        <w:rPr>
          <w:bCs/>
        </w:rPr>
        <w:t xml:space="preserve">he consequences of disbelief. </w:t>
      </w:r>
      <w:r w:rsidRPr="00117825">
        <w:rPr>
          <w:bCs/>
          <w:i/>
        </w:rPr>
        <w:t>Journal of Advertising</w:t>
      </w:r>
      <w:r w:rsidRPr="00117825">
        <w:rPr>
          <w:bCs/>
        </w:rPr>
        <w:t xml:space="preserve">, </w:t>
      </w:r>
      <w:r w:rsidRPr="00117825">
        <w:rPr>
          <w:bCs/>
          <w:i/>
        </w:rPr>
        <w:t>34</w:t>
      </w:r>
      <w:r w:rsidRPr="00117825">
        <w:rPr>
          <w:bCs/>
        </w:rPr>
        <w:t>(3), 7-17.</w:t>
      </w:r>
    </w:p>
    <w:p w:rsidR="00113A61" w:rsidRPr="00117825" w:rsidRDefault="00F2354D" w:rsidP="00E64ACA">
      <w:pPr>
        <w:tabs>
          <w:tab w:val="left" w:pos="284"/>
        </w:tabs>
        <w:autoSpaceDE w:val="0"/>
        <w:autoSpaceDN w:val="0"/>
        <w:adjustRightInd w:val="0"/>
        <w:spacing w:line="480" w:lineRule="auto"/>
        <w:ind w:left="454" w:hanging="454"/>
        <w:rPr>
          <w:lang w:val="en-GB"/>
        </w:rPr>
      </w:pPr>
      <w:proofErr w:type="spellStart"/>
      <w:r w:rsidRPr="00117825">
        <w:rPr>
          <w:lang w:val="en-GB"/>
        </w:rPr>
        <w:t>O</w:t>
      </w:r>
      <w:r w:rsidR="00113A61" w:rsidRPr="00117825">
        <w:rPr>
          <w:lang w:val="en-GB"/>
        </w:rPr>
        <w:t>berseder</w:t>
      </w:r>
      <w:proofErr w:type="spellEnd"/>
      <w:r w:rsidR="00113A61" w:rsidRPr="00117825">
        <w:rPr>
          <w:lang w:val="en-GB"/>
        </w:rPr>
        <w:t xml:space="preserve">, M., </w:t>
      </w:r>
      <w:proofErr w:type="spellStart"/>
      <w:r w:rsidR="00113A61" w:rsidRPr="00117825">
        <w:rPr>
          <w:lang w:val="en-GB"/>
        </w:rPr>
        <w:t>Schlegelmilch</w:t>
      </w:r>
      <w:proofErr w:type="spellEnd"/>
      <w:r w:rsidR="00113A61" w:rsidRPr="00117825">
        <w:rPr>
          <w:lang w:val="en-GB"/>
        </w:rPr>
        <w:t>,</w:t>
      </w:r>
      <w:r w:rsidR="00113A61" w:rsidRPr="00117825">
        <w:t xml:space="preserve"> B. B.</w:t>
      </w:r>
      <w:r w:rsidR="00113A61" w:rsidRPr="00117825">
        <w:rPr>
          <w:lang w:val="en-GB"/>
        </w:rPr>
        <w:t>, &amp; Gruber, V. (2011). “Why don’t consumers care about CSR?</w:t>
      </w:r>
      <w:proofErr w:type="gramStart"/>
      <w:r w:rsidR="00113A61" w:rsidRPr="00117825">
        <w:rPr>
          <w:lang w:val="en-GB"/>
        </w:rPr>
        <w:t>”:</w:t>
      </w:r>
      <w:proofErr w:type="gramEnd"/>
      <w:r w:rsidR="00113A61" w:rsidRPr="00117825">
        <w:rPr>
          <w:lang w:val="en-GB"/>
        </w:rPr>
        <w:t xml:space="preserve"> </w:t>
      </w:r>
      <w:r w:rsidR="00332DD8" w:rsidRPr="00117825">
        <w:rPr>
          <w:lang w:val="en-GB"/>
        </w:rPr>
        <w:t>a</w:t>
      </w:r>
      <w:r w:rsidR="00113A61" w:rsidRPr="00117825">
        <w:rPr>
          <w:lang w:val="en-GB"/>
        </w:rPr>
        <w:t xml:space="preserve"> qualitative study exploring the role of CSR in consumption decisions. </w:t>
      </w:r>
      <w:r w:rsidR="00113A61" w:rsidRPr="00117825">
        <w:rPr>
          <w:i/>
          <w:lang w:val="en-GB"/>
        </w:rPr>
        <w:t>Journal of Business Ethics</w:t>
      </w:r>
      <w:r w:rsidR="00113A61" w:rsidRPr="00117825">
        <w:rPr>
          <w:lang w:val="en-GB"/>
        </w:rPr>
        <w:t xml:space="preserve">, </w:t>
      </w:r>
      <w:r w:rsidR="00113A61" w:rsidRPr="00117825">
        <w:rPr>
          <w:i/>
          <w:lang w:val="en-GB"/>
        </w:rPr>
        <w:t>104</w:t>
      </w:r>
      <w:r w:rsidR="00113A61" w:rsidRPr="00117825">
        <w:rPr>
          <w:lang w:val="en-GB"/>
        </w:rPr>
        <w:t>(3), 449-460.</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Owen-Smith, J. (2001). Managing laboratory work through skepticism: </w:t>
      </w:r>
      <w:r w:rsidR="00332DD8" w:rsidRPr="00117825">
        <w:rPr>
          <w:bCs/>
        </w:rPr>
        <w:t>p</w:t>
      </w:r>
      <w:r w:rsidRPr="00117825">
        <w:rPr>
          <w:bCs/>
        </w:rPr>
        <w:t xml:space="preserve">rocesses of evaluation and control. </w:t>
      </w:r>
      <w:r w:rsidRPr="00117825">
        <w:rPr>
          <w:bCs/>
          <w:i/>
          <w:iCs/>
        </w:rPr>
        <w:t>American Sociological Review</w:t>
      </w:r>
      <w:r w:rsidRPr="00117825">
        <w:rPr>
          <w:bCs/>
          <w:iCs/>
        </w:rPr>
        <w:t>,</w:t>
      </w:r>
      <w:r w:rsidRPr="00117825">
        <w:rPr>
          <w:bCs/>
          <w:i/>
          <w:iCs/>
        </w:rPr>
        <w:t xml:space="preserve"> </w:t>
      </w:r>
      <w:r w:rsidRPr="00117825">
        <w:rPr>
          <w:bCs/>
          <w:i/>
        </w:rPr>
        <w:t>66</w:t>
      </w:r>
      <w:r w:rsidRPr="00117825">
        <w:rPr>
          <w:bCs/>
        </w:rPr>
        <w:t>(3), 427-452.</w:t>
      </w:r>
    </w:p>
    <w:p w:rsidR="00113A61" w:rsidRPr="00117825" w:rsidRDefault="00113A61" w:rsidP="00E64ACA">
      <w:pPr>
        <w:tabs>
          <w:tab w:val="left" w:pos="284"/>
        </w:tabs>
        <w:autoSpaceDE w:val="0"/>
        <w:autoSpaceDN w:val="0"/>
        <w:adjustRightInd w:val="0"/>
        <w:spacing w:line="480" w:lineRule="auto"/>
        <w:ind w:left="454" w:hanging="454"/>
        <w:rPr>
          <w:lang w:val="en-GB"/>
        </w:rPr>
      </w:pPr>
      <w:proofErr w:type="spellStart"/>
      <w:r w:rsidRPr="00117825">
        <w:rPr>
          <w:lang w:val="en-GB"/>
        </w:rPr>
        <w:t>Parguel</w:t>
      </w:r>
      <w:proofErr w:type="spellEnd"/>
      <w:r w:rsidRPr="00117825">
        <w:rPr>
          <w:lang w:val="en-GB"/>
        </w:rPr>
        <w:t xml:space="preserve">, B., Benoit-Moreau, F., &amp; </w:t>
      </w:r>
      <w:proofErr w:type="spellStart"/>
      <w:r w:rsidRPr="00117825">
        <w:rPr>
          <w:lang w:val="en-GB"/>
        </w:rPr>
        <w:t>Larceneux</w:t>
      </w:r>
      <w:proofErr w:type="spellEnd"/>
      <w:r w:rsidRPr="00117825">
        <w:rPr>
          <w:lang w:val="en-GB"/>
        </w:rPr>
        <w:t xml:space="preserve">, F. (2011). How sustainability ratings might deter ‘greenwashing’: </w:t>
      </w:r>
      <w:r w:rsidR="00332DD8" w:rsidRPr="00117825">
        <w:rPr>
          <w:lang w:val="en-GB"/>
        </w:rPr>
        <w:t>a</w:t>
      </w:r>
      <w:r w:rsidRPr="00117825">
        <w:rPr>
          <w:lang w:val="en-GB"/>
        </w:rPr>
        <w:t xml:space="preserve"> closer look at ethical corporate communication. </w:t>
      </w:r>
      <w:r w:rsidRPr="00117825">
        <w:rPr>
          <w:i/>
          <w:lang w:val="en-GB"/>
        </w:rPr>
        <w:t>Journal of Business Ethics</w:t>
      </w:r>
      <w:r w:rsidRPr="00117825">
        <w:rPr>
          <w:lang w:val="en-GB"/>
        </w:rPr>
        <w:t xml:space="preserve">, </w:t>
      </w:r>
      <w:r w:rsidRPr="00117825">
        <w:rPr>
          <w:i/>
          <w:lang w:val="en-GB"/>
        </w:rPr>
        <w:t>102</w:t>
      </w:r>
      <w:r w:rsidRPr="00117825">
        <w:rPr>
          <w:lang w:val="en-GB"/>
        </w:rPr>
        <w:t>(1), 15-28.</w:t>
      </w:r>
    </w:p>
    <w:p w:rsidR="00113A61" w:rsidRPr="00117825" w:rsidRDefault="00113A61" w:rsidP="00E64ACA">
      <w:pPr>
        <w:tabs>
          <w:tab w:val="left" w:pos="284"/>
        </w:tabs>
        <w:autoSpaceDE w:val="0"/>
        <w:autoSpaceDN w:val="0"/>
        <w:adjustRightInd w:val="0"/>
        <w:spacing w:line="480" w:lineRule="auto"/>
        <w:ind w:left="454" w:hanging="454"/>
        <w:rPr>
          <w:bCs/>
          <w:lang w:val="en-GB"/>
        </w:rPr>
      </w:pPr>
      <w:proofErr w:type="spellStart"/>
      <w:r w:rsidRPr="00117825">
        <w:rPr>
          <w:bCs/>
          <w:lang w:val="en-GB"/>
        </w:rPr>
        <w:lastRenderedPageBreak/>
        <w:t>Pirsch</w:t>
      </w:r>
      <w:proofErr w:type="spellEnd"/>
      <w:r w:rsidRPr="00117825">
        <w:rPr>
          <w:bCs/>
          <w:lang w:val="en-GB"/>
        </w:rPr>
        <w:t xml:space="preserve">, J., Gupta, S., &amp; </w:t>
      </w:r>
      <w:proofErr w:type="spellStart"/>
      <w:r w:rsidRPr="00117825">
        <w:rPr>
          <w:bCs/>
          <w:lang w:val="en-GB"/>
        </w:rPr>
        <w:t>Grau</w:t>
      </w:r>
      <w:proofErr w:type="spellEnd"/>
      <w:r w:rsidRPr="00117825">
        <w:rPr>
          <w:bCs/>
          <w:lang w:val="en-GB"/>
        </w:rPr>
        <w:t xml:space="preserve">, S. L. (2007). A framework for understanding corporate social responsibility programs as a continuum: </w:t>
      </w:r>
      <w:r w:rsidR="00332DD8" w:rsidRPr="00117825">
        <w:rPr>
          <w:bCs/>
          <w:lang w:val="en-GB"/>
        </w:rPr>
        <w:t>a</w:t>
      </w:r>
      <w:r w:rsidRPr="00117825">
        <w:rPr>
          <w:bCs/>
          <w:lang w:val="en-GB"/>
        </w:rPr>
        <w:t xml:space="preserve">n exploratory study. </w:t>
      </w:r>
      <w:r w:rsidRPr="00117825">
        <w:rPr>
          <w:bCs/>
          <w:i/>
          <w:lang w:val="en-GB"/>
        </w:rPr>
        <w:t>Journal of Business Ethics</w:t>
      </w:r>
      <w:r w:rsidRPr="00117825">
        <w:rPr>
          <w:bCs/>
          <w:lang w:val="en-GB"/>
        </w:rPr>
        <w:t xml:space="preserve">, </w:t>
      </w:r>
      <w:r w:rsidRPr="00117825">
        <w:rPr>
          <w:bCs/>
          <w:i/>
          <w:lang w:val="en-GB"/>
        </w:rPr>
        <w:t>70</w:t>
      </w:r>
      <w:r w:rsidRPr="00117825">
        <w:rPr>
          <w:bCs/>
          <w:lang w:val="en-GB"/>
        </w:rPr>
        <w:t>(2), 125-140.</w:t>
      </w:r>
    </w:p>
    <w:p w:rsidR="00113A61" w:rsidRPr="00117825" w:rsidRDefault="00113A61" w:rsidP="00E64ACA">
      <w:pPr>
        <w:tabs>
          <w:tab w:val="left" w:pos="284"/>
        </w:tabs>
        <w:autoSpaceDE w:val="0"/>
        <w:autoSpaceDN w:val="0"/>
        <w:adjustRightInd w:val="0"/>
        <w:spacing w:line="480" w:lineRule="auto"/>
        <w:ind w:left="454" w:hanging="454"/>
        <w:rPr>
          <w:color w:val="000000"/>
        </w:rPr>
      </w:pPr>
      <w:proofErr w:type="spellStart"/>
      <w:r w:rsidRPr="00117825">
        <w:rPr>
          <w:color w:val="000000"/>
        </w:rPr>
        <w:t>Podsakoff</w:t>
      </w:r>
      <w:proofErr w:type="spellEnd"/>
      <w:r w:rsidRPr="00117825">
        <w:rPr>
          <w:color w:val="000000"/>
        </w:rPr>
        <w:t xml:space="preserve">, P. M., </w:t>
      </w:r>
      <w:proofErr w:type="spellStart"/>
      <w:r w:rsidRPr="00117825">
        <w:rPr>
          <w:color w:val="000000"/>
        </w:rPr>
        <w:t>MacKenzie</w:t>
      </w:r>
      <w:proofErr w:type="spellEnd"/>
      <w:r w:rsidRPr="00117825">
        <w:rPr>
          <w:color w:val="000000"/>
        </w:rPr>
        <w:t xml:space="preserve">, S. B., Lee, J. Y., &amp; </w:t>
      </w:r>
      <w:proofErr w:type="spellStart"/>
      <w:r w:rsidRPr="00117825">
        <w:rPr>
          <w:color w:val="000000"/>
        </w:rPr>
        <w:t>Podsakoff</w:t>
      </w:r>
      <w:proofErr w:type="spellEnd"/>
      <w:r w:rsidRPr="00117825">
        <w:rPr>
          <w:color w:val="000000"/>
        </w:rPr>
        <w:t xml:space="preserve">, N. P. (2003). Common method biases in behavioral research: </w:t>
      </w:r>
      <w:r w:rsidR="00332DD8" w:rsidRPr="00117825">
        <w:rPr>
          <w:color w:val="000000"/>
        </w:rPr>
        <w:t>a</w:t>
      </w:r>
      <w:r w:rsidRPr="00117825">
        <w:rPr>
          <w:color w:val="000000"/>
        </w:rPr>
        <w:t xml:space="preserve"> critical review of the literature and recommended remedies. </w:t>
      </w:r>
      <w:r w:rsidRPr="00117825">
        <w:rPr>
          <w:i/>
          <w:color w:val="000000"/>
        </w:rPr>
        <w:t>Journal of Applied Psychology</w:t>
      </w:r>
      <w:r w:rsidRPr="00117825">
        <w:rPr>
          <w:color w:val="000000"/>
        </w:rPr>
        <w:t xml:space="preserve">, </w:t>
      </w:r>
      <w:r w:rsidRPr="00117825">
        <w:rPr>
          <w:i/>
          <w:color w:val="000000"/>
        </w:rPr>
        <w:t>88</w:t>
      </w:r>
      <w:r w:rsidRPr="00117825">
        <w:rPr>
          <w:color w:val="000000"/>
        </w:rPr>
        <w:t>(5), 879-903.</w:t>
      </w:r>
    </w:p>
    <w:p w:rsidR="00113A61" w:rsidRPr="00117825" w:rsidRDefault="00113A61" w:rsidP="00E64ACA">
      <w:pPr>
        <w:tabs>
          <w:tab w:val="left" w:pos="284"/>
        </w:tabs>
        <w:autoSpaceDE w:val="0"/>
        <w:autoSpaceDN w:val="0"/>
        <w:adjustRightInd w:val="0"/>
        <w:spacing w:line="480" w:lineRule="auto"/>
        <w:ind w:left="454" w:hanging="454"/>
        <w:rPr>
          <w:bCs/>
          <w:lang w:val="en-GB"/>
        </w:rPr>
      </w:pPr>
      <w:r w:rsidRPr="00117825">
        <w:rPr>
          <w:bCs/>
        </w:rPr>
        <w:t xml:space="preserve">Porter, M. E., &amp; Kramer, M. R. (2004). Strategy and society: </w:t>
      </w:r>
      <w:r w:rsidR="00332DD8" w:rsidRPr="00117825">
        <w:rPr>
          <w:bCs/>
        </w:rPr>
        <w:t>t</w:t>
      </w:r>
      <w:r w:rsidRPr="00117825">
        <w:rPr>
          <w:bCs/>
        </w:rPr>
        <w:t>he link</w:t>
      </w:r>
      <w:r w:rsidRPr="00117825">
        <w:rPr>
          <w:bCs/>
          <w:lang w:val="en-GB"/>
        </w:rPr>
        <w:t xml:space="preserve"> </w:t>
      </w:r>
      <w:r w:rsidRPr="00117825">
        <w:rPr>
          <w:bCs/>
        </w:rPr>
        <w:t>between competitive advantage and corporate social responsibility.</w:t>
      </w:r>
      <w:r w:rsidRPr="00117825">
        <w:rPr>
          <w:bCs/>
          <w:lang w:val="en-GB"/>
        </w:rPr>
        <w:t xml:space="preserve"> </w:t>
      </w:r>
      <w:r w:rsidRPr="00117825">
        <w:rPr>
          <w:bCs/>
          <w:i/>
        </w:rPr>
        <w:t>Harvard Business Review</w:t>
      </w:r>
      <w:r w:rsidRPr="00117825">
        <w:rPr>
          <w:bCs/>
        </w:rPr>
        <w:t xml:space="preserve">, </w:t>
      </w:r>
      <w:r w:rsidRPr="00117825">
        <w:rPr>
          <w:bCs/>
          <w:i/>
        </w:rPr>
        <w:t>84</w:t>
      </w:r>
      <w:r w:rsidRPr="00117825">
        <w:rPr>
          <w:bCs/>
        </w:rPr>
        <w:t>(12), 5</w:t>
      </w:r>
      <w:r w:rsidRPr="00117825">
        <w:rPr>
          <w:bCs/>
          <w:lang w:val="en-GB"/>
        </w:rPr>
        <w:t>-</w:t>
      </w:r>
      <w:r w:rsidRPr="00117825">
        <w:rPr>
          <w:bCs/>
        </w:rPr>
        <w:t>12.</w:t>
      </w:r>
    </w:p>
    <w:p w:rsidR="00113A61" w:rsidRPr="00117825" w:rsidRDefault="00113A61" w:rsidP="00E64ACA">
      <w:pPr>
        <w:tabs>
          <w:tab w:val="left" w:pos="284"/>
        </w:tabs>
        <w:autoSpaceDE w:val="0"/>
        <w:autoSpaceDN w:val="0"/>
        <w:adjustRightInd w:val="0"/>
        <w:spacing w:line="480" w:lineRule="auto"/>
        <w:ind w:left="454" w:hanging="454"/>
        <w:rPr>
          <w:lang w:val="en-GB"/>
        </w:rPr>
      </w:pPr>
      <w:proofErr w:type="spellStart"/>
      <w:r w:rsidRPr="00117825">
        <w:rPr>
          <w:lang w:val="en-GB"/>
        </w:rPr>
        <w:t>Ryu</w:t>
      </w:r>
      <w:proofErr w:type="spellEnd"/>
      <w:r w:rsidRPr="00117825">
        <w:rPr>
          <w:lang w:val="en-GB"/>
        </w:rPr>
        <w:t xml:space="preserve">, G., &amp; </w:t>
      </w:r>
      <w:proofErr w:type="spellStart"/>
      <w:r w:rsidRPr="00117825">
        <w:rPr>
          <w:lang w:val="en-GB"/>
        </w:rPr>
        <w:t>Feick</w:t>
      </w:r>
      <w:proofErr w:type="spellEnd"/>
      <w:r w:rsidRPr="00117825">
        <w:rPr>
          <w:lang w:val="en-GB"/>
        </w:rPr>
        <w:t xml:space="preserve">, L.F. (2007). A penny for your thoughts: </w:t>
      </w:r>
      <w:r w:rsidR="00332DD8" w:rsidRPr="00117825">
        <w:rPr>
          <w:lang w:val="en-GB"/>
        </w:rPr>
        <w:t>r</w:t>
      </w:r>
      <w:r w:rsidRPr="00117825">
        <w:rPr>
          <w:lang w:val="en-GB"/>
        </w:rPr>
        <w:t xml:space="preserve">eferral reward programs and referral likelihood. </w:t>
      </w:r>
      <w:r w:rsidRPr="00117825">
        <w:rPr>
          <w:i/>
          <w:lang w:val="en-GB"/>
        </w:rPr>
        <w:t>Journal of Marketing</w:t>
      </w:r>
      <w:r w:rsidRPr="00117825">
        <w:rPr>
          <w:lang w:val="en-GB"/>
        </w:rPr>
        <w:t xml:space="preserve">, </w:t>
      </w:r>
      <w:r w:rsidRPr="00117825">
        <w:rPr>
          <w:i/>
          <w:lang w:val="en-GB"/>
        </w:rPr>
        <w:t>71</w:t>
      </w:r>
      <w:r w:rsidRPr="00117825">
        <w:rPr>
          <w:lang w:val="en-GB"/>
        </w:rPr>
        <w:t>(1), 84-94.</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Schmitt, M. T., &amp; </w:t>
      </w:r>
      <w:proofErr w:type="spellStart"/>
      <w:r w:rsidRPr="00117825">
        <w:rPr>
          <w:color w:val="000000"/>
        </w:rPr>
        <w:t>Branscombe</w:t>
      </w:r>
      <w:proofErr w:type="spellEnd"/>
      <w:r w:rsidRPr="00117825">
        <w:rPr>
          <w:color w:val="000000"/>
        </w:rPr>
        <w:t xml:space="preserve">, N. R. (2002). The internal and external causal loci of attributions to prejudice. </w:t>
      </w:r>
      <w:r w:rsidRPr="00117825">
        <w:rPr>
          <w:i/>
          <w:color w:val="000000"/>
        </w:rPr>
        <w:t>Personality and Social Psychology Bulletin</w:t>
      </w:r>
      <w:r w:rsidRPr="00117825">
        <w:rPr>
          <w:color w:val="000000"/>
        </w:rPr>
        <w:t xml:space="preserve">, </w:t>
      </w:r>
      <w:r w:rsidRPr="00117825">
        <w:rPr>
          <w:i/>
          <w:color w:val="000000"/>
        </w:rPr>
        <w:t>28</w:t>
      </w:r>
      <w:r w:rsidRPr="00117825">
        <w:rPr>
          <w:color w:val="000000"/>
        </w:rPr>
        <w:t>(5), 620-628.</w:t>
      </w:r>
    </w:p>
    <w:p w:rsidR="00113A61" w:rsidRPr="00117825" w:rsidRDefault="00113A61" w:rsidP="00E64ACA">
      <w:pPr>
        <w:tabs>
          <w:tab w:val="left" w:pos="284"/>
        </w:tabs>
        <w:autoSpaceDE w:val="0"/>
        <w:autoSpaceDN w:val="0"/>
        <w:adjustRightInd w:val="0"/>
        <w:spacing w:line="480" w:lineRule="auto"/>
        <w:ind w:left="454" w:hanging="454"/>
        <w:rPr>
          <w:lang w:val="en-GB"/>
        </w:rPr>
      </w:pPr>
      <w:r w:rsidRPr="00117825">
        <w:rPr>
          <w:lang w:val="en-GB"/>
        </w:rPr>
        <w:t>S</w:t>
      </w:r>
      <w:proofErr w:type="spellStart"/>
      <w:r w:rsidRPr="00117825">
        <w:rPr>
          <w:lang w:val="x-none"/>
        </w:rPr>
        <w:t>en</w:t>
      </w:r>
      <w:proofErr w:type="spellEnd"/>
      <w:r w:rsidRPr="00117825">
        <w:rPr>
          <w:lang w:val="en-GB"/>
        </w:rPr>
        <w:t xml:space="preserve">, </w:t>
      </w:r>
      <w:r w:rsidRPr="00117825">
        <w:rPr>
          <w:lang w:val="x-none"/>
        </w:rPr>
        <w:t xml:space="preserve">S., </w:t>
      </w:r>
      <w:r w:rsidRPr="00117825">
        <w:rPr>
          <w:lang w:val="en-GB"/>
        </w:rPr>
        <w:t xml:space="preserve">&amp; </w:t>
      </w:r>
      <w:r w:rsidRPr="00117825">
        <w:rPr>
          <w:lang w:val="x-none"/>
        </w:rPr>
        <w:t>Bhattacharya</w:t>
      </w:r>
      <w:r w:rsidRPr="00117825">
        <w:rPr>
          <w:lang w:val="en-GB"/>
        </w:rPr>
        <w:t>, C. B.</w:t>
      </w:r>
      <w:r w:rsidRPr="00117825">
        <w:rPr>
          <w:lang w:val="x-none"/>
        </w:rPr>
        <w:t xml:space="preserve"> (2001). </w:t>
      </w:r>
      <w:r w:rsidRPr="00117825">
        <w:t xml:space="preserve">Does doing </w:t>
      </w:r>
      <w:proofErr w:type="gramStart"/>
      <w:r w:rsidRPr="00117825">
        <w:t>good</w:t>
      </w:r>
      <w:proofErr w:type="gramEnd"/>
      <w:r w:rsidRPr="00117825">
        <w:t xml:space="preserve"> always lead to doing better? </w:t>
      </w:r>
      <w:proofErr w:type="gramStart"/>
      <w:r w:rsidR="00332DD8" w:rsidRPr="00117825">
        <w:t>c</w:t>
      </w:r>
      <w:r w:rsidRPr="00117825">
        <w:t>onsumer</w:t>
      </w:r>
      <w:proofErr w:type="gramEnd"/>
      <w:r w:rsidRPr="00117825">
        <w:t xml:space="preserve"> reactions to corporate social responsibility.</w:t>
      </w:r>
      <w:r w:rsidRPr="00117825">
        <w:rPr>
          <w:lang w:val="x-none"/>
        </w:rPr>
        <w:t xml:space="preserve"> </w:t>
      </w:r>
      <w:r w:rsidRPr="00117825">
        <w:rPr>
          <w:i/>
          <w:iCs/>
        </w:rPr>
        <w:t>Journal of Marketing Research</w:t>
      </w:r>
      <w:r w:rsidRPr="00117825">
        <w:rPr>
          <w:iCs/>
          <w:lang w:val="en-GB"/>
        </w:rPr>
        <w:t>,</w:t>
      </w:r>
      <w:r w:rsidRPr="00117825">
        <w:rPr>
          <w:i/>
          <w:iCs/>
          <w:lang w:val="en-GB"/>
        </w:rPr>
        <w:t xml:space="preserve"> </w:t>
      </w:r>
      <w:r w:rsidRPr="00117825">
        <w:rPr>
          <w:i/>
          <w:lang w:val="x-none"/>
        </w:rPr>
        <w:t>38</w:t>
      </w:r>
      <w:r w:rsidRPr="00117825">
        <w:rPr>
          <w:lang w:val="x-none"/>
        </w:rPr>
        <w:t>(2)</w:t>
      </w:r>
      <w:r w:rsidRPr="00117825">
        <w:rPr>
          <w:lang w:val="en-GB"/>
        </w:rPr>
        <w:t>,</w:t>
      </w:r>
      <w:r w:rsidRPr="00117825">
        <w:rPr>
          <w:lang w:val="x-none"/>
        </w:rPr>
        <w:t xml:space="preserve"> 225</w:t>
      </w:r>
      <w:r w:rsidRPr="00117825">
        <w:rPr>
          <w:lang w:val="en-GB"/>
        </w:rPr>
        <w:t>-</w:t>
      </w:r>
      <w:r w:rsidRPr="00117825">
        <w:rPr>
          <w:lang w:val="x-none"/>
        </w:rPr>
        <w:t>243</w:t>
      </w:r>
      <w:r w:rsidRPr="00117825">
        <w:rPr>
          <w:lang w:val="en-GB"/>
        </w:rPr>
        <w:t>.</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Singh, S., </w:t>
      </w:r>
      <w:proofErr w:type="spellStart"/>
      <w:r w:rsidRPr="00117825">
        <w:rPr>
          <w:bCs/>
        </w:rPr>
        <w:t>Kristensen</w:t>
      </w:r>
      <w:proofErr w:type="spellEnd"/>
      <w:r w:rsidRPr="00117825">
        <w:rPr>
          <w:bCs/>
        </w:rPr>
        <w:t xml:space="preserve">, L., &amp; Villasenor, E. (2009). Overcoming skepticism towards cause related claims: the case of Norway. </w:t>
      </w:r>
      <w:r w:rsidRPr="00117825">
        <w:rPr>
          <w:bCs/>
          <w:i/>
        </w:rPr>
        <w:t>International Marketing Review</w:t>
      </w:r>
      <w:r w:rsidRPr="00117825">
        <w:rPr>
          <w:bCs/>
        </w:rPr>
        <w:t xml:space="preserve">, </w:t>
      </w:r>
      <w:r w:rsidRPr="00117825">
        <w:rPr>
          <w:bCs/>
          <w:i/>
        </w:rPr>
        <w:t>26</w:t>
      </w:r>
      <w:r w:rsidRPr="00117825">
        <w:rPr>
          <w:bCs/>
        </w:rPr>
        <w:t>(3), 312-326.</w:t>
      </w:r>
    </w:p>
    <w:p w:rsidR="00113A61" w:rsidRPr="00117825" w:rsidRDefault="00113A61" w:rsidP="00E64ACA">
      <w:pPr>
        <w:tabs>
          <w:tab w:val="left" w:pos="284"/>
        </w:tabs>
        <w:autoSpaceDE w:val="0"/>
        <w:autoSpaceDN w:val="0"/>
        <w:adjustRightInd w:val="0"/>
        <w:spacing w:line="480" w:lineRule="auto"/>
        <w:ind w:left="454" w:hanging="454"/>
        <w:rPr>
          <w:bCs/>
          <w:color w:val="000000"/>
          <w:lang w:val="en-GB"/>
        </w:rPr>
      </w:pPr>
      <w:r w:rsidRPr="00117825">
        <w:rPr>
          <w:bCs/>
          <w:color w:val="000000"/>
          <w:lang w:val="en-GB"/>
        </w:rPr>
        <w:t xml:space="preserve">Smith, R. E., &amp; Hunt, S. D. (1978). Attributional processes and effects in promotional situations. </w:t>
      </w:r>
      <w:r w:rsidRPr="00117825">
        <w:rPr>
          <w:bCs/>
          <w:i/>
          <w:color w:val="000000"/>
          <w:lang w:val="en-GB"/>
        </w:rPr>
        <w:t>Journal of Consumer Research</w:t>
      </w:r>
      <w:r w:rsidRPr="00117825">
        <w:rPr>
          <w:bCs/>
          <w:color w:val="000000"/>
          <w:lang w:val="en-GB"/>
        </w:rPr>
        <w:t xml:space="preserve">, </w:t>
      </w:r>
      <w:r w:rsidRPr="00117825">
        <w:rPr>
          <w:bCs/>
          <w:i/>
          <w:color w:val="000000"/>
          <w:lang w:val="en-GB"/>
        </w:rPr>
        <w:t>5</w:t>
      </w:r>
      <w:r w:rsidRPr="00117825">
        <w:rPr>
          <w:bCs/>
          <w:color w:val="000000"/>
          <w:lang w:val="en-GB"/>
        </w:rPr>
        <w:t>(3), 149-158.</w:t>
      </w:r>
    </w:p>
    <w:p w:rsidR="00113A61" w:rsidRPr="00117825" w:rsidRDefault="00113A61" w:rsidP="00E64ACA">
      <w:pPr>
        <w:tabs>
          <w:tab w:val="left" w:pos="284"/>
        </w:tabs>
        <w:autoSpaceDE w:val="0"/>
        <w:autoSpaceDN w:val="0"/>
        <w:adjustRightInd w:val="0"/>
        <w:spacing w:line="480" w:lineRule="auto"/>
        <w:ind w:left="454" w:hanging="454"/>
        <w:rPr>
          <w:rFonts w:eastAsia="Calibri"/>
          <w:color w:val="000000"/>
          <w:lang w:eastAsia="el-GR"/>
        </w:rPr>
      </w:pPr>
      <w:proofErr w:type="spellStart"/>
      <w:r w:rsidRPr="00117825">
        <w:rPr>
          <w:rFonts w:eastAsia="Calibri"/>
          <w:color w:val="000000"/>
          <w:lang w:eastAsia="el-GR"/>
        </w:rPr>
        <w:t>Stanaland</w:t>
      </w:r>
      <w:proofErr w:type="spellEnd"/>
      <w:r w:rsidRPr="00117825">
        <w:rPr>
          <w:rFonts w:eastAsia="Calibri"/>
          <w:color w:val="000000"/>
          <w:lang w:eastAsia="el-GR"/>
        </w:rPr>
        <w:t xml:space="preserve">, A. J. S., </w:t>
      </w:r>
      <w:proofErr w:type="spellStart"/>
      <w:r w:rsidRPr="00117825">
        <w:rPr>
          <w:rFonts w:eastAsia="Calibri"/>
          <w:color w:val="000000"/>
          <w:lang w:eastAsia="el-GR"/>
        </w:rPr>
        <w:t>Lwin</w:t>
      </w:r>
      <w:proofErr w:type="spellEnd"/>
      <w:r w:rsidRPr="00117825">
        <w:rPr>
          <w:rFonts w:eastAsia="Calibri"/>
          <w:color w:val="000000"/>
          <w:lang w:eastAsia="el-GR"/>
        </w:rPr>
        <w:t xml:space="preserve">, M. O., &amp; Murphy, P. E. (2011).Consumer perceptions of the antecedents and consequences of corporate social responsibility. </w:t>
      </w:r>
      <w:r w:rsidRPr="00117825">
        <w:rPr>
          <w:rFonts w:eastAsia="Calibri"/>
          <w:i/>
          <w:color w:val="000000"/>
          <w:lang w:eastAsia="el-GR"/>
        </w:rPr>
        <w:t>Journal of Business Ethics</w:t>
      </w:r>
      <w:r w:rsidRPr="00117825">
        <w:rPr>
          <w:rFonts w:eastAsia="Calibri"/>
          <w:color w:val="000000"/>
          <w:lang w:eastAsia="el-GR"/>
        </w:rPr>
        <w:t xml:space="preserve">, </w:t>
      </w:r>
      <w:r w:rsidRPr="00117825">
        <w:rPr>
          <w:rFonts w:eastAsia="Calibri"/>
          <w:i/>
          <w:color w:val="000000"/>
          <w:lang w:eastAsia="el-GR"/>
        </w:rPr>
        <w:t>102</w:t>
      </w:r>
      <w:r w:rsidRPr="00117825">
        <w:rPr>
          <w:rFonts w:eastAsia="Calibri"/>
          <w:color w:val="000000"/>
          <w:lang w:eastAsia="el-GR"/>
        </w:rPr>
        <w:t>(1), 47-55.</w:t>
      </w:r>
    </w:p>
    <w:p w:rsidR="00113A61" w:rsidRPr="00117825" w:rsidRDefault="00113A61" w:rsidP="00E64ACA">
      <w:pPr>
        <w:tabs>
          <w:tab w:val="left" w:pos="284"/>
        </w:tabs>
        <w:autoSpaceDE w:val="0"/>
        <w:autoSpaceDN w:val="0"/>
        <w:adjustRightInd w:val="0"/>
        <w:spacing w:line="480" w:lineRule="auto"/>
        <w:ind w:left="454" w:hanging="454"/>
        <w:rPr>
          <w:bCs/>
          <w:color w:val="000000"/>
          <w:lang w:val="en-GB"/>
        </w:rPr>
      </w:pPr>
      <w:r w:rsidRPr="00117825">
        <w:rPr>
          <w:bCs/>
          <w:color w:val="000000"/>
          <w:lang w:val="en-GB"/>
        </w:rPr>
        <w:t xml:space="preserve">Taber, C. S., &amp; Lodge, M. (2006). Motivated scepticism in the evaluation of political beliefs. </w:t>
      </w:r>
      <w:r w:rsidRPr="00117825">
        <w:rPr>
          <w:bCs/>
          <w:i/>
          <w:color w:val="000000"/>
          <w:lang w:val="en-GB"/>
        </w:rPr>
        <w:t>American Journal of Political Science</w:t>
      </w:r>
      <w:r w:rsidRPr="00117825">
        <w:rPr>
          <w:bCs/>
          <w:color w:val="000000"/>
          <w:lang w:val="en-GB"/>
        </w:rPr>
        <w:t xml:space="preserve">, </w:t>
      </w:r>
      <w:r w:rsidRPr="00117825">
        <w:rPr>
          <w:bCs/>
          <w:i/>
          <w:color w:val="000000"/>
          <w:lang w:val="en-GB"/>
        </w:rPr>
        <w:t>50</w:t>
      </w:r>
      <w:r w:rsidRPr="00117825">
        <w:rPr>
          <w:bCs/>
          <w:color w:val="000000"/>
          <w:lang w:val="en-GB"/>
        </w:rPr>
        <w:t>(3), 755-769.</w:t>
      </w:r>
    </w:p>
    <w:p w:rsidR="00113A61" w:rsidRPr="00117825" w:rsidRDefault="00113A61" w:rsidP="00E64ACA">
      <w:pPr>
        <w:tabs>
          <w:tab w:val="left" w:pos="284"/>
        </w:tabs>
        <w:autoSpaceDE w:val="0"/>
        <w:autoSpaceDN w:val="0"/>
        <w:adjustRightInd w:val="0"/>
        <w:spacing w:line="480" w:lineRule="auto"/>
        <w:ind w:left="454" w:hanging="454"/>
        <w:rPr>
          <w:bCs/>
        </w:rPr>
      </w:pPr>
      <w:proofErr w:type="spellStart"/>
      <w:r w:rsidRPr="00117825">
        <w:rPr>
          <w:bCs/>
        </w:rPr>
        <w:lastRenderedPageBreak/>
        <w:t>Vanhamme</w:t>
      </w:r>
      <w:proofErr w:type="spellEnd"/>
      <w:r w:rsidRPr="00117825">
        <w:rPr>
          <w:bCs/>
        </w:rPr>
        <w:t xml:space="preserve">, J., &amp; </w:t>
      </w:r>
      <w:proofErr w:type="spellStart"/>
      <w:r w:rsidRPr="00117825">
        <w:rPr>
          <w:bCs/>
        </w:rPr>
        <w:t>Grobben</w:t>
      </w:r>
      <w:proofErr w:type="spellEnd"/>
      <w:r w:rsidRPr="00117825">
        <w:rPr>
          <w:bCs/>
        </w:rPr>
        <w:t xml:space="preserve">, B. (2009). Too good to be true! </w:t>
      </w:r>
      <w:proofErr w:type="gramStart"/>
      <w:r w:rsidR="00332DD8" w:rsidRPr="00117825">
        <w:rPr>
          <w:bCs/>
        </w:rPr>
        <w:t>t</w:t>
      </w:r>
      <w:r w:rsidRPr="00117825">
        <w:rPr>
          <w:bCs/>
        </w:rPr>
        <w:t>he</w:t>
      </w:r>
      <w:proofErr w:type="gramEnd"/>
      <w:r w:rsidRPr="00117825">
        <w:rPr>
          <w:bCs/>
        </w:rPr>
        <w:t xml:space="preserve"> effectiveness of CSR history in countering negative publicity. </w:t>
      </w:r>
      <w:r w:rsidRPr="00117825">
        <w:rPr>
          <w:bCs/>
          <w:i/>
        </w:rPr>
        <w:t>Journal of Business Ethics</w:t>
      </w:r>
      <w:r w:rsidRPr="00117825">
        <w:rPr>
          <w:bCs/>
        </w:rPr>
        <w:t xml:space="preserve">, </w:t>
      </w:r>
      <w:r w:rsidRPr="00117825">
        <w:rPr>
          <w:bCs/>
          <w:i/>
        </w:rPr>
        <w:t>85</w:t>
      </w:r>
      <w:r w:rsidRPr="00117825">
        <w:rPr>
          <w:bCs/>
        </w:rPr>
        <w:t>(S2), 273-283.</w:t>
      </w:r>
    </w:p>
    <w:p w:rsidR="00113A61" w:rsidRPr="00117825" w:rsidRDefault="00113A61" w:rsidP="00E64ACA">
      <w:pPr>
        <w:tabs>
          <w:tab w:val="left" w:pos="284"/>
        </w:tabs>
        <w:autoSpaceDE w:val="0"/>
        <w:autoSpaceDN w:val="0"/>
        <w:adjustRightInd w:val="0"/>
        <w:spacing w:line="480" w:lineRule="auto"/>
        <w:ind w:left="454" w:hanging="454"/>
        <w:rPr>
          <w:color w:val="000000"/>
        </w:rPr>
      </w:pPr>
      <w:r w:rsidRPr="00117825">
        <w:rPr>
          <w:color w:val="000000"/>
        </w:rPr>
        <w:t xml:space="preserve">Vlachos, P. A., </w:t>
      </w:r>
      <w:proofErr w:type="spellStart"/>
      <w:r w:rsidRPr="00117825">
        <w:rPr>
          <w:color w:val="000000"/>
        </w:rPr>
        <w:t>Tsamakos</w:t>
      </w:r>
      <w:proofErr w:type="spellEnd"/>
      <w:r w:rsidRPr="00117825">
        <w:rPr>
          <w:color w:val="000000"/>
        </w:rPr>
        <w:t xml:space="preserve">, A., </w:t>
      </w:r>
      <w:proofErr w:type="spellStart"/>
      <w:r w:rsidRPr="00117825">
        <w:rPr>
          <w:color w:val="000000"/>
        </w:rPr>
        <w:t>Vrechopoulos</w:t>
      </w:r>
      <w:proofErr w:type="spellEnd"/>
      <w:r w:rsidRPr="00117825">
        <w:rPr>
          <w:color w:val="000000"/>
        </w:rPr>
        <w:t xml:space="preserve">, A. P., &amp; </w:t>
      </w:r>
      <w:proofErr w:type="spellStart"/>
      <w:r w:rsidRPr="00117825">
        <w:rPr>
          <w:color w:val="000000"/>
        </w:rPr>
        <w:t>Avramidis</w:t>
      </w:r>
      <w:proofErr w:type="spellEnd"/>
      <w:r w:rsidRPr="00117825">
        <w:rPr>
          <w:color w:val="000000"/>
        </w:rPr>
        <w:t xml:space="preserve">, P. K. (2009). Corporate social responsibility: </w:t>
      </w:r>
      <w:r w:rsidR="00332DD8" w:rsidRPr="00117825">
        <w:rPr>
          <w:color w:val="000000"/>
        </w:rPr>
        <w:t>a</w:t>
      </w:r>
      <w:r w:rsidRPr="00117825">
        <w:rPr>
          <w:color w:val="000000"/>
        </w:rPr>
        <w:t xml:space="preserve">ttributions, loyalty and the mediating role of trust. </w:t>
      </w:r>
      <w:r w:rsidRPr="00117825">
        <w:rPr>
          <w:i/>
          <w:color w:val="000000"/>
        </w:rPr>
        <w:t>Journal of the Academy of Marketing Science</w:t>
      </w:r>
      <w:r w:rsidRPr="00117825">
        <w:rPr>
          <w:color w:val="000000"/>
        </w:rPr>
        <w:t xml:space="preserve">, </w:t>
      </w:r>
      <w:r w:rsidRPr="00117825">
        <w:rPr>
          <w:i/>
          <w:color w:val="000000"/>
        </w:rPr>
        <w:t>37</w:t>
      </w:r>
      <w:r w:rsidRPr="00117825">
        <w:rPr>
          <w:color w:val="000000"/>
        </w:rPr>
        <w:t>(2), 170-180.</w:t>
      </w:r>
    </w:p>
    <w:p w:rsidR="00113A61" w:rsidRPr="00117825" w:rsidRDefault="00113A61" w:rsidP="00E64ACA">
      <w:pPr>
        <w:tabs>
          <w:tab w:val="left" w:pos="284"/>
        </w:tabs>
        <w:autoSpaceDE w:val="0"/>
        <w:autoSpaceDN w:val="0"/>
        <w:adjustRightInd w:val="0"/>
        <w:spacing w:line="480" w:lineRule="auto"/>
        <w:ind w:left="454" w:hanging="454"/>
        <w:rPr>
          <w:bCs/>
        </w:rPr>
      </w:pPr>
      <w:r w:rsidRPr="00117825">
        <w:rPr>
          <w:bCs/>
        </w:rPr>
        <w:t xml:space="preserve">Wagner, T., Lutz, R., &amp; </w:t>
      </w:r>
      <w:proofErr w:type="spellStart"/>
      <w:r w:rsidRPr="00117825">
        <w:rPr>
          <w:bCs/>
        </w:rPr>
        <w:t>Weitz</w:t>
      </w:r>
      <w:proofErr w:type="spellEnd"/>
      <w:r w:rsidRPr="00117825">
        <w:rPr>
          <w:bCs/>
        </w:rPr>
        <w:t xml:space="preserve">, B. (2009). Corporate hypocrisy: </w:t>
      </w:r>
      <w:r w:rsidR="00332DD8" w:rsidRPr="00117825">
        <w:rPr>
          <w:bCs/>
        </w:rPr>
        <w:t>o</w:t>
      </w:r>
      <w:r w:rsidRPr="00117825">
        <w:rPr>
          <w:bCs/>
        </w:rPr>
        <w:t xml:space="preserve">vercoming the threat of inconsistent corporate social responsibility perceptions. </w:t>
      </w:r>
      <w:r w:rsidRPr="00117825">
        <w:rPr>
          <w:bCs/>
          <w:i/>
        </w:rPr>
        <w:t>Journal of Marketing</w:t>
      </w:r>
      <w:r w:rsidRPr="00117825">
        <w:rPr>
          <w:bCs/>
        </w:rPr>
        <w:t xml:space="preserve">, </w:t>
      </w:r>
      <w:r w:rsidRPr="00117825">
        <w:rPr>
          <w:bCs/>
          <w:i/>
        </w:rPr>
        <w:t>73</w:t>
      </w:r>
      <w:r w:rsidRPr="00117825">
        <w:rPr>
          <w:bCs/>
        </w:rPr>
        <w:t>(6), 77-91.</w:t>
      </w:r>
    </w:p>
    <w:p w:rsidR="00113A61" w:rsidRPr="00117825" w:rsidRDefault="00113A61" w:rsidP="00E64ACA">
      <w:pPr>
        <w:tabs>
          <w:tab w:val="left" w:pos="284"/>
        </w:tabs>
        <w:autoSpaceDE w:val="0"/>
        <w:autoSpaceDN w:val="0"/>
        <w:adjustRightInd w:val="0"/>
        <w:spacing w:line="480" w:lineRule="auto"/>
        <w:ind w:left="454" w:hanging="454"/>
      </w:pPr>
      <w:proofErr w:type="spellStart"/>
      <w:r w:rsidRPr="00117825">
        <w:t>Yoo</w:t>
      </w:r>
      <w:proofErr w:type="spellEnd"/>
      <w:r w:rsidRPr="00117825">
        <w:t xml:space="preserve">, B., </w:t>
      </w:r>
      <w:proofErr w:type="spellStart"/>
      <w:r w:rsidRPr="00117825">
        <w:t>Donthu</w:t>
      </w:r>
      <w:proofErr w:type="spellEnd"/>
      <w:r w:rsidRPr="00117825">
        <w:t xml:space="preserve">, N., &amp; Lee, S. (2000). An examination of selected marketing mix elements and brand equity. </w:t>
      </w:r>
      <w:r w:rsidRPr="00117825">
        <w:rPr>
          <w:i/>
        </w:rPr>
        <w:t>Journal of the Academy of Marketing Science</w:t>
      </w:r>
      <w:r w:rsidRPr="00117825">
        <w:t xml:space="preserve">, </w:t>
      </w:r>
      <w:r w:rsidRPr="00117825">
        <w:rPr>
          <w:i/>
        </w:rPr>
        <w:t>28</w:t>
      </w:r>
      <w:r w:rsidRPr="00117825">
        <w:t>(2), 195-211.</w:t>
      </w:r>
    </w:p>
    <w:p w:rsidR="00DA0F4B" w:rsidRDefault="00C431E9" w:rsidP="00B84FB4">
      <w:pPr>
        <w:autoSpaceDE w:val="0"/>
        <w:autoSpaceDN w:val="0"/>
        <w:adjustRightInd w:val="0"/>
        <w:spacing w:line="480" w:lineRule="auto"/>
        <w:ind w:hanging="454"/>
        <w:jc w:val="center"/>
        <w:rPr>
          <w:b/>
        </w:rPr>
      </w:pPr>
      <w:r w:rsidRPr="00117825">
        <w:rPr>
          <w:b/>
        </w:rPr>
        <w:br w:type="page"/>
      </w:r>
      <w:r w:rsidR="00DA0F4B">
        <w:rPr>
          <w:b/>
        </w:rPr>
        <w:lastRenderedPageBreak/>
        <w:t>Table 1</w:t>
      </w:r>
    </w:p>
    <w:p w:rsidR="00DA0F4B" w:rsidRPr="00515720" w:rsidRDefault="00DA0F4B" w:rsidP="00B84FB4">
      <w:pPr>
        <w:autoSpaceDE w:val="0"/>
        <w:autoSpaceDN w:val="0"/>
        <w:adjustRightInd w:val="0"/>
        <w:spacing w:line="480" w:lineRule="auto"/>
        <w:jc w:val="center"/>
        <w:outlineLvl w:val="0"/>
        <w:rPr>
          <w:b/>
        </w:rPr>
      </w:pPr>
      <w:r w:rsidRPr="00515720">
        <w:rPr>
          <w:b/>
        </w:rPr>
        <w:t>Measurement model results</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6946"/>
        <w:gridCol w:w="1418"/>
        <w:gridCol w:w="850"/>
      </w:tblGrid>
      <w:tr w:rsidR="00DA0F4B" w:rsidRPr="00350E5C" w:rsidTr="00C431E9">
        <w:trPr>
          <w:cantSplit/>
          <w:trHeight w:val="40"/>
        </w:trPr>
        <w:tc>
          <w:tcPr>
            <w:tcW w:w="6946" w:type="dxa"/>
            <w:tcBorders>
              <w:top w:val="single" w:sz="12" w:space="0" w:color="auto"/>
              <w:left w:val="nil"/>
              <w:bottom w:val="single" w:sz="8" w:space="0" w:color="auto"/>
              <w:right w:val="nil"/>
            </w:tcBorders>
          </w:tcPr>
          <w:p w:rsidR="00DA0F4B" w:rsidRPr="00D96336" w:rsidRDefault="00DA0F4B" w:rsidP="00406D6F"/>
          <w:p w:rsidR="00DA0F4B" w:rsidRPr="00D96336" w:rsidRDefault="00DA0F4B" w:rsidP="00406D6F">
            <w:r w:rsidRPr="00D96336">
              <w:t>Factor and items</w:t>
            </w:r>
          </w:p>
        </w:tc>
        <w:tc>
          <w:tcPr>
            <w:tcW w:w="1418" w:type="dxa"/>
            <w:tcBorders>
              <w:top w:val="single" w:sz="12" w:space="0" w:color="auto"/>
              <w:left w:val="nil"/>
              <w:bottom w:val="single" w:sz="8" w:space="0" w:color="auto"/>
              <w:right w:val="nil"/>
            </w:tcBorders>
          </w:tcPr>
          <w:p w:rsidR="00DA0F4B" w:rsidRPr="00D96336" w:rsidRDefault="00DA0F4B" w:rsidP="00332DD8">
            <w:pPr>
              <w:jc w:val="center"/>
            </w:pPr>
            <w:r w:rsidRPr="00D96336">
              <w:t xml:space="preserve">Standardized </w:t>
            </w:r>
            <w:r w:rsidR="00332DD8">
              <w:t>L</w:t>
            </w:r>
            <w:r w:rsidRPr="00D96336">
              <w:t>oading</w:t>
            </w:r>
          </w:p>
        </w:tc>
        <w:tc>
          <w:tcPr>
            <w:tcW w:w="850" w:type="dxa"/>
            <w:tcBorders>
              <w:top w:val="single" w:sz="12" w:space="0" w:color="auto"/>
              <w:left w:val="nil"/>
              <w:bottom w:val="single" w:sz="8" w:space="0" w:color="auto"/>
              <w:right w:val="nil"/>
            </w:tcBorders>
          </w:tcPr>
          <w:p w:rsidR="00DA0F4B" w:rsidRPr="00D96336" w:rsidRDefault="00DA0F4B" w:rsidP="00406D6F">
            <w:pPr>
              <w:jc w:val="center"/>
              <w:rPr>
                <w:i/>
              </w:rPr>
            </w:pPr>
          </w:p>
          <w:p w:rsidR="00DA0F4B" w:rsidRPr="00D96336" w:rsidRDefault="00DA0F4B" w:rsidP="00332DD8">
            <w:pPr>
              <w:jc w:val="center"/>
            </w:pPr>
            <w:r w:rsidRPr="00D96336">
              <w:rPr>
                <w:i/>
              </w:rPr>
              <w:t>t</w:t>
            </w:r>
            <w:r w:rsidRPr="00D96336">
              <w:t>-</w:t>
            </w:r>
            <w:r w:rsidR="00332DD8">
              <w:t>V</w:t>
            </w:r>
            <w:r w:rsidRPr="00D96336">
              <w:t>alue</w:t>
            </w:r>
          </w:p>
        </w:tc>
      </w:tr>
      <w:tr w:rsidR="00DA0F4B" w:rsidRPr="00350E5C"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350E5C" w:rsidTr="00C431E9">
        <w:trPr>
          <w:cantSplit/>
        </w:trPr>
        <w:tc>
          <w:tcPr>
            <w:tcW w:w="6946" w:type="dxa"/>
            <w:tcBorders>
              <w:top w:val="nil"/>
              <w:left w:val="nil"/>
              <w:bottom w:val="nil"/>
              <w:right w:val="nil"/>
            </w:tcBorders>
          </w:tcPr>
          <w:p w:rsidR="00DA0F4B" w:rsidRPr="00D96336" w:rsidRDefault="00DA0F4B" w:rsidP="00406D6F">
            <w:pPr>
              <w:rPr>
                <w:sz w:val="20"/>
                <w:szCs w:val="20"/>
              </w:rPr>
            </w:pPr>
            <w:r w:rsidRPr="00776F10">
              <w:rPr>
                <w:bCs/>
                <w:i/>
                <w:sz w:val="20"/>
                <w:szCs w:val="20"/>
                <w:lang w:val="en-GB"/>
              </w:rPr>
              <w:t>Egoistic-driven motives</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6" w:hanging="256"/>
              <w:contextualSpacing/>
              <w:jc w:val="both"/>
              <w:rPr>
                <w:rFonts w:eastAsia="Calibri"/>
                <w:sz w:val="20"/>
                <w:szCs w:val="20"/>
              </w:rPr>
            </w:pPr>
            <w:r w:rsidRPr="00D96336">
              <w:rPr>
                <w:rFonts w:eastAsia="Calibri"/>
                <w:sz w:val="20"/>
                <w:szCs w:val="20"/>
              </w:rPr>
              <w:t xml:space="preserve">  </w:t>
            </w:r>
            <w:r>
              <w:rPr>
                <w:rFonts w:eastAsia="Calibri"/>
                <w:sz w:val="20"/>
                <w:szCs w:val="20"/>
              </w:rPr>
              <w:t>is</w:t>
            </w:r>
            <w:r w:rsidRPr="00306262">
              <w:rPr>
                <w:rFonts w:eastAsia="Calibri"/>
                <w:sz w:val="20"/>
                <w:szCs w:val="20"/>
                <w:lang w:val="en-GB"/>
              </w:rPr>
              <w:t xml:space="preserve"> trying </w:t>
            </w:r>
            <w:r w:rsidRPr="00507F27">
              <w:rPr>
                <w:rFonts w:eastAsia="Calibri"/>
                <w:sz w:val="20"/>
                <w:szCs w:val="20"/>
                <w:lang w:val="en-GB"/>
              </w:rPr>
              <w:t>to capitalize on the growing social movement</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80</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9</w:t>
            </w:r>
            <w:r w:rsidRPr="00D96336">
              <w:rPr>
                <w:sz w:val="20"/>
                <w:szCs w:val="20"/>
              </w:rPr>
              <w:t>.</w:t>
            </w:r>
            <w:r>
              <w:rPr>
                <w:sz w:val="20"/>
                <w:szCs w:val="20"/>
              </w:rPr>
              <w:t>57</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6" w:hanging="256"/>
              <w:contextualSpacing/>
              <w:jc w:val="both"/>
              <w:rPr>
                <w:rFonts w:eastAsia="Calibri"/>
                <w:sz w:val="20"/>
                <w:szCs w:val="20"/>
              </w:rPr>
            </w:pPr>
            <w:r w:rsidRPr="00D96336">
              <w:rPr>
                <w:rFonts w:eastAsia="Calibri"/>
                <w:sz w:val="20"/>
                <w:szCs w:val="20"/>
              </w:rPr>
              <w:t xml:space="preserve">  </w:t>
            </w:r>
            <w:r>
              <w:rPr>
                <w:rFonts w:eastAsia="Calibri"/>
                <w:sz w:val="20"/>
                <w:szCs w:val="20"/>
              </w:rPr>
              <w:t>is</w:t>
            </w:r>
            <w:r w:rsidRPr="00507F27">
              <w:rPr>
                <w:rFonts w:eastAsia="Calibri"/>
                <w:sz w:val="20"/>
                <w:szCs w:val="20"/>
                <w:lang w:val="en-GB"/>
              </w:rPr>
              <w:t xml:space="preserve"> taking advantage of social causes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.7</w:t>
            </w:r>
            <w:r>
              <w:rPr>
                <w:sz w:val="20"/>
                <w:szCs w:val="20"/>
              </w:rPr>
              <w:t>3</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7</w:t>
            </w:r>
            <w:r w:rsidRPr="00D96336">
              <w:rPr>
                <w:sz w:val="20"/>
                <w:szCs w:val="20"/>
              </w:rPr>
              <w:t>.</w:t>
            </w:r>
            <w:r>
              <w:rPr>
                <w:sz w:val="20"/>
                <w:szCs w:val="20"/>
              </w:rPr>
              <w:t>60</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6" w:hanging="256"/>
              <w:contextualSpacing/>
              <w:jc w:val="both"/>
              <w:rPr>
                <w:rFonts w:eastAsia="Calibri"/>
                <w:sz w:val="20"/>
                <w:szCs w:val="20"/>
              </w:rPr>
            </w:pPr>
            <w:r>
              <w:rPr>
                <w:rFonts w:eastAsia="Calibri"/>
                <w:sz w:val="20"/>
                <w:szCs w:val="20"/>
              </w:rPr>
              <w:t xml:space="preserve">  is</w:t>
            </w:r>
            <w:r w:rsidRPr="00306262">
              <w:rPr>
                <w:rFonts w:eastAsia="Calibri"/>
                <w:sz w:val="20"/>
                <w:szCs w:val="20"/>
              </w:rPr>
              <w:t xml:space="preserve"> trying to </w:t>
            </w:r>
            <w:r w:rsidRPr="00507F27">
              <w:rPr>
                <w:rFonts w:eastAsia="Calibri"/>
                <w:sz w:val="20"/>
                <w:szCs w:val="20"/>
              </w:rPr>
              <w:t>benefit from the increased awareness of social problems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80</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9</w:t>
            </w:r>
            <w:r w:rsidRPr="00D96336">
              <w:rPr>
                <w:sz w:val="20"/>
                <w:szCs w:val="20"/>
              </w:rPr>
              <w:t>.</w:t>
            </w:r>
            <w:r>
              <w:rPr>
                <w:sz w:val="20"/>
                <w:szCs w:val="20"/>
              </w:rPr>
              <w:t>79</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D96336" w:rsidTr="00C431E9">
        <w:trPr>
          <w:cantSplit/>
        </w:trPr>
        <w:tc>
          <w:tcPr>
            <w:tcW w:w="6946" w:type="dxa"/>
            <w:tcBorders>
              <w:top w:val="nil"/>
              <w:left w:val="nil"/>
              <w:bottom w:val="nil"/>
              <w:right w:val="nil"/>
            </w:tcBorders>
          </w:tcPr>
          <w:p w:rsidR="00DA0F4B" w:rsidRPr="00D96336" w:rsidRDefault="00DA0F4B" w:rsidP="00406D6F">
            <w:pPr>
              <w:rPr>
                <w:sz w:val="20"/>
                <w:szCs w:val="20"/>
              </w:rPr>
            </w:pPr>
            <w:r w:rsidRPr="00776F10">
              <w:rPr>
                <w:bCs/>
                <w:i/>
                <w:sz w:val="20"/>
                <w:szCs w:val="20"/>
                <w:lang w:val="en-GB"/>
              </w:rPr>
              <w:t>Values-driven motives</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6" w:hanging="256"/>
              <w:contextualSpacing/>
              <w:rPr>
                <w:rFonts w:eastAsia="Calibri"/>
                <w:sz w:val="20"/>
                <w:szCs w:val="20"/>
              </w:rPr>
            </w:pPr>
            <w:r w:rsidRPr="00D96336">
              <w:rPr>
                <w:rFonts w:eastAsia="Calibri"/>
                <w:sz w:val="20"/>
                <w:szCs w:val="20"/>
              </w:rPr>
              <w:t xml:space="preserve">  </w:t>
            </w:r>
            <w:r w:rsidRPr="00507F27">
              <w:rPr>
                <w:rFonts w:eastAsia="Calibri"/>
                <w:sz w:val="20"/>
                <w:szCs w:val="20"/>
              </w:rPr>
              <w:t>ha</w:t>
            </w:r>
            <w:r>
              <w:rPr>
                <w:rFonts w:eastAsia="Calibri"/>
                <w:sz w:val="20"/>
                <w:szCs w:val="20"/>
              </w:rPr>
              <w:t>s</w:t>
            </w:r>
            <w:r w:rsidRPr="00507F27">
              <w:rPr>
                <w:rFonts w:eastAsia="Calibri"/>
                <w:sz w:val="20"/>
                <w:szCs w:val="20"/>
              </w:rPr>
              <w:t xml:space="preserve"> a long-term interest in the society</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80</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21</w:t>
            </w:r>
            <w:r w:rsidRPr="00D96336">
              <w:rPr>
                <w:sz w:val="20"/>
                <w:szCs w:val="20"/>
              </w:rPr>
              <w:t>.</w:t>
            </w:r>
            <w:r>
              <w:rPr>
                <w:sz w:val="20"/>
                <w:szCs w:val="20"/>
              </w:rPr>
              <w:t>15</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6" w:hanging="256"/>
              <w:contextualSpacing/>
              <w:rPr>
                <w:rFonts w:eastAsia="Calibri"/>
                <w:sz w:val="20"/>
                <w:szCs w:val="20"/>
              </w:rPr>
            </w:pPr>
            <w:r w:rsidRPr="00D96336">
              <w:rPr>
                <w:rFonts w:eastAsia="Calibri"/>
                <w:sz w:val="20"/>
                <w:szCs w:val="20"/>
              </w:rPr>
              <w:t xml:space="preserve">  </w:t>
            </w:r>
            <w:r>
              <w:rPr>
                <w:rFonts w:eastAsia="Calibri"/>
                <w:sz w:val="20"/>
                <w:szCs w:val="20"/>
              </w:rPr>
              <w:t>is</w:t>
            </w:r>
            <w:r w:rsidRPr="00507F27">
              <w:rPr>
                <w:rFonts w:eastAsia="Calibri"/>
                <w:sz w:val="20"/>
                <w:szCs w:val="20"/>
              </w:rPr>
              <w:t xml:space="preserve"> trying to give back something to the society</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86</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23</w:t>
            </w:r>
            <w:r w:rsidRPr="00D96336">
              <w:rPr>
                <w:sz w:val="20"/>
                <w:szCs w:val="20"/>
              </w:rPr>
              <w:t>.</w:t>
            </w:r>
            <w:r>
              <w:rPr>
                <w:sz w:val="20"/>
                <w:szCs w:val="20"/>
              </w:rPr>
              <w:t>63</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6" w:hanging="256"/>
              <w:contextualSpacing/>
              <w:rPr>
                <w:rFonts w:eastAsia="Calibri"/>
                <w:sz w:val="20"/>
                <w:szCs w:val="20"/>
              </w:rPr>
            </w:pPr>
            <w:r w:rsidRPr="00D96336">
              <w:rPr>
                <w:rFonts w:eastAsia="Calibri"/>
                <w:sz w:val="20"/>
                <w:szCs w:val="20"/>
              </w:rPr>
              <w:t xml:space="preserve">  </w:t>
            </w:r>
            <w:r w:rsidRPr="00507F27">
              <w:rPr>
                <w:rFonts w:eastAsia="Calibri"/>
                <w:sz w:val="20"/>
                <w:szCs w:val="20"/>
              </w:rPr>
              <w:t>ha</w:t>
            </w:r>
            <w:r>
              <w:rPr>
                <w:rFonts w:eastAsia="Calibri"/>
                <w:sz w:val="20"/>
                <w:szCs w:val="20"/>
              </w:rPr>
              <w:t>s</w:t>
            </w:r>
            <w:r w:rsidRPr="00507F27">
              <w:rPr>
                <w:rFonts w:eastAsia="Calibri"/>
                <w:sz w:val="20"/>
                <w:szCs w:val="20"/>
              </w:rPr>
              <w:t xml:space="preserve"> an ethical responsibility to help society</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85</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23</w:t>
            </w:r>
            <w:r w:rsidRPr="00D96336">
              <w:rPr>
                <w:sz w:val="20"/>
                <w:szCs w:val="20"/>
              </w:rPr>
              <w:t>.</w:t>
            </w:r>
            <w:r>
              <w:rPr>
                <w:sz w:val="20"/>
                <w:szCs w:val="20"/>
              </w:rPr>
              <w:t>04</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6" w:hanging="256"/>
              <w:contextualSpacing/>
              <w:rPr>
                <w:rFonts w:eastAsia="Calibri"/>
                <w:sz w:val="20"/>
                <w:szCs w:val="20"/>
              </w:rPr>
            </w:pPr>
            <w:r w:rsidRPr="00D96336">
              <w:rPr>
                <w:rFonts w:eastAsia="Calibri"/>
                <w:sz w:val="20"/>
                <w:szCs w:val="20"/>
              </w:rPr>
              <w:t xml:space="preserve">  </w:t>
            </w:r>
            <w:r w:rsidRPr="00507F27">
              <w:rPr>
                <w:rFonts w:eastAsia="Calibri"/>
                <w:sz w:val="20"/>
                <w:szCs w:val="20"/>
              </w:rPr>
              <w:t>feel</w:t>
            </w:r>
            <w:r>
              <w:rPr>
                <w:rFonts w:eastAsia="Calibri"/>
                <w:sz w:val="20"/>
                <w:szCs w:val="20"/>
              </w:rPr>
              <w:t>s</w:t>
            </w:r>
            <w:r w:rsidRPr="00507F27">
              <w:rPr>
                <w:rFonts w:eastAsia="Calibri"/>
                <w:sz w:val="20"/>
                <w:szCs w:val="20"/>
              </w:rPr>
              <w:t xml:space="preserve"> morally obligated to help society</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88</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24</w:t>
            </w:r>
            <w:r w:rsidRPr="00D96336">
              <w:rPr>
                <w:sz w:val="20"/>
                <w:szCs w:val="20"/>
              </w:rPr>
              <w:t>.</w:t>
            </w:r>
            <w:r>
              <w:rPr>
                <w:sz w:val="20"/>
                <w:szCs w:val="20"/>
              </w:rPr>
              <w:t>71</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D96336" w:rsidTr="00C431E9">
        <w:trPr>
          <w:cantSplit/>
        </w:trPr>
        <w:tc>
          <w:tcPr>
            <w:tcW w:w="6946" w:type="dxa"/>
            <w:tcBorders>
              <w:top w:val="nil"/>
              <w:left w:val="nil"/>
              <w:bottom w:val="nil"/>
              <w:right w:val="nil"/>
            </w:tcBorders>
          </w:tcPr>
          <w:p w:rsidR="00DA0F4B" w:rsidRPr="00D96336" w:rsidRDefault="00DA0F4B" w:rsidP="00406D6F">
            <w:pPr>
              <w:rPr>
                <w:sz w:val="20"/>
                <w:szCs w:val="20"/>
              </w:rPr>
            </w:pPr>
            <w:r w:rsidRPr="00776F10">
              <w:rPr>
                <w:bCs/>
                <w:i/>
                <w:sz w:val="20"/>
                <w:szCs w:val="20"/>
                <w:lang w:val="en-GB"/>
              </w:rPr>
              <w:t>Strategic-driven motives</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contextualSpacing/>
              <w:rPr>
                <w:rFonts w:eastAsia="Calibri"/>
                <w:sz w:val="20"/>
                <w:szCs w:val="20"/>
              </w:rPr>
            </w:pPr>
            <w:r w:rsidRPr="00D96336">
              <w:rPr>
                <w:rFonts w:eastAsia="Calibri"/>
                <w:sz w:val="20"/>
                <w:szCs w:val="20"/>
              </w:rPr>
              <w:t xml:space="preserve">  </w:t>
            </w:r>
            <w:r w:rsidRPr="00306262">
              <w:rPr>
                <w:rFonts w:eastAsia="Calibri"/>
                <w:sz w:val="20"/>
                <w:szCs w:val="20"/>
              </w:rPr>
              <w:t>want</w:t>
            </w:r>
            <w:r>
              <w:rPr>
                <w:rFonts w:eastAsia="Calibri"/>
                <w:sz w:val="20"/>
                <w:szCs w:val="20"/>
              </w:rPr>
              <w:t>s</w:t>
            </w:r>
            <w:r w:rsidRPr="00306262">
              <w:rPr>
                <w:rFonts w:eastAsia="Calibri"/>
                <w:sz w:val="20"/>
                <w:szCs w:val="20"/>
              </w:rPr>
              <w:t xml:space="preserve"> to keep </w:t>
            </w:r>
            <w:r>
              <w:rPr>
                <w:rFonts w:eastAsia="Calibri"/>
                <w:sz w:val="20"/>
                <w:szCs w:val="20"/>
              </w:rPr>
              <w:t>its</w:t>
            </w:r>
            <w:r w:rsidRPr="00306262">
              <w:rPr>
                <w:rFonts w:eastAsia="Calibri"/>
                <w:sz w:val="20"/>
                <w:szCs w:val="20"/>
              </w:rPr>
              <w:t xml:space="preserve"> existing customers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68</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6</w:t>
            </w:r>
            <w:r w:rsidRPr="00D96336">
              <w:rPr>
                <w:sz w:val="20"/>
                <w:szCs w:val="20"/>
              </w:rPr>
              <w:t>.</w:t>
            </w:r>
            <w:r>
              <w:rPr>
                <w:sz w:val="20"/>
                <w:szCs w:val="20"/>
              </w:rPr>
              <w:t>50</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contextualSpacing/>
              <w:rPr>
                <w:rFonts w:eastAsia="Calibri"/>
                <w:sz w:val="20"/>
                <w:szCs w:val="20"/>
              </w:rPr>
            </w:pPr>
            <w:r w:rsidRPr="00D96336">
              <w:rPr>
                <w:rFonts w:eastAsia="Calibri"/>
                <w:sz w:val="20"/>
                <w:szCs w:val="20"/>
              </w:rPr>
              <w:t xml:space="preserve">  </w:t>
            </w:r>
            <w:r w:rsidRPr="00655C9B">
              <w:rPr>
                <w:rFonts w:eastAsia="Calibri"/>
                <w:sz w:val="20"/>
                <w:szCs w:val="20"/>
                <w:lang w:val="en-GB"/>
              </w:rPr>
              <w:t>hope</w:t>
            </w:r>
            <w:r>
              <w:rPr>
                <w:rFonts w:eastAsia="Calibri"/>
                <w:sz w:val="20"/>
                <w:szCs w:val="20"/>
                <w:lang w:val="en-GB"/>
              </w:rPr>
              <w:t>s</w:t>
            </w:r>
            <w:r w:rsidRPr="00655C9B">
              <w:rPr>
                <w:rFonts w:eastAsia="Calibri"/>
                <w:sz w:val="20"/>
                <w:szCs w:val="20"/>
                <w:lang w:val="en-GB"/>
              </w:rPr>
              <w:t xml:space="preserve"> to increase </w:t>
            </w:r>
            <w:r>
              <w:rPr>
                <w:rFonts w:eastAsia="Calibri"/>
                <w:sz w:val="20"/>
                <w:szCs w:val="20"/>
                <w:lang w:val="en-GB"/>
              </w:rPr>
              <w:t>its</w:t>
            </w:r>
            <w:r w:rsidRPr="00655C9B">
              <w:rPr>
                <w:rFonts w:eastAsia="Calibri"/>
                <w:sz w:val="20"/>
                <w:szCs w:val="20"/>
                <w:lang w:val="en-GB"/>
              </w:rPr>
              <w:t xml:space="preserve"> profits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.8</w:t>
            </w:r>
            <w:r>
              <w:rPr>
                <w:sz w:val="20"/>
                <w:szCs w:val="20"/>
              </w:rPr>
              <w:t>3</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21</w:t>
            </w:r>
            <w:r w:rsidRPr="00D96336">
              <w:rPr>
                <w:sz w:val="20"/>
                <w:szCs w:val="20"/>
              </w:rPr>
              <w:t>.</w:t>
            </w:r>
            <w:r>
              <w:rPr>
                <w:sz w:val="20"/>
                <w:szCs w:val="20"/>
              </w:rPr>
              <w:t>74</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contextualSpacing/>
              <w:rPr>
                <w:rFonts w:eastAsia="Calibri"/>
                <w:sz w:val="20"/>
                <w:szCs w:val="20"/>
              </w:rPr>
            </w:pPr>
            <w:r w:rsidRPr="00D96336">
              <w:rPr>
                <w:rFonts w:eastAsia="Calibri"/>
                <w:sz w:val="20"/>
                <w:szCs w:val="20"/>
              </w:rPr>
              <w:t xml:space="preserve">  </w:t>
            </w:r>
            <w:r w:rsidRPr="00655C9B">
              <w:rPr>
                <w:rFonts w:eastAsia="Calibri"/>
                <w:sz w:val="20"/>
                <w:szCs w:val="20"/>
                <w:lang w:val="en-GB"/>
              </w:rPr>
              <w:t>want</w:t>
            </w:r>
            <w:r>
              <w:rPr>
                <w:rFonts w:eastAsia="Calibri"/>
                <w:sz w:val="20"/>
                <w:szCs w:val="20"/>
                <w:lang w:val="en-GB"/>
              </w:rPr>
              <w:t>s</w:t>
            </w:r>
            <w:r w:rsidRPr="00655C9B">
              <w:rPr>
                <w:rFonts w:eastAsia="Calibri"/>
                <w:sz w:val="20"/>
                <w:szCs w:val="20"/>
                <w:lang w:val="en-GB"/>
              </w:rPr>
              <w:t xml:space="preserve"> to get new customers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.8</w:t>
            </w:r>
            <w:r>
              <w:rPr>
                <w:sz w:val="20"/>
                <w:szCs w:val="20"/>
              </w:rPr>
              <w:t>5</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22</w:t>
            </w:r>
            <w:r w:rsidRPr="00D96336">
              <w:rPr>
                <w:sz w:val="20"/>
                <w:szCs w:val="20"/>
              </w:rPr>
              <w:t>.</w:t>
            </w:r>
            <w:r>
              <w:rPr>
                <w:sz w:val="20"/>
                <w:szCs w:val="20"/>
              </w:rPr>
              <w:t>30</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contextualSpacing/>
              <w:rPr>
                <w:rFonts w:eastAsia="Calibri"/>
                <w:sz w:val="20"/>
                <w:szCs w:val="20"/>
              </w:rPr>
            </w:pPr>
            <w:r w:rsidRPr="00D96336">
              <w:rPr>
                <w:rFonts w:eastAsia="Calibri"/>
                <w:sz w:val="20"/>
                <w:szCs w:val="20"/>
              </w:rPr>
              <w:t xml:space="preserve">  </w:t>
            </w:r>
            <w:r w:rsidRPr="00655C9B">
              <w:rPr>
                <w:rFonts w:eastAsia="Calibri"/>
                <w:sz w:val="20"/>
                <w:szCs w:val="20"/>
              </w:rPr>
              <w:t>hope</w:t>
            </w:r>
            <w:r>
              <w:rPr>
                <w:rFonts w:eastAsia="Calibri"/>
                <w:sz w:val="20"/>
                <w:szCs w:val="20"/>
              </w:rPr>
              <w:t>s to increase its competitiveness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72</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7</w:t>
            </w:r>
            <w:r w:rsidRPr="00D96336">
              <w:rPr>
                <w:sz w:val="20"/>
                <w:szCs w:val="20"/>
              </w:rPr>
              <w:t>.</w:t>
            </w:r>
            <w:r>
              <w:rPr>
                <w:sz w:val="20"/>
                <w:szCs w:val="20"/>
              </w:rPr>
              <w:t>72</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D96336" w:rsidTr="00C431E9">
        <w:trPr>
          <w:cantSplit/>
        </w:trPr>
        <w:tc>
          <w:tcPr>
            <w:tcW w:w="6946" w:type="dxa"/>
            <w:tcBorders>
              <w:top w:val="nil"/>
              <w:left w:val="nil"/>
              <w:bottom w:val="nil"/>
              <w:right w:val="nil"/>
            </w:tcBorders>
          </w:tcPr>
          <w:p w:rsidR="00DA0F4B" w:rsidRPr="00D96336" w:rsidRDefault="00DA0F4B" w:rsidP="00406D6F">
            <w:pPr>
              <w:rPr>
                <w:sz w:val="20"/>
                <w:szCs w:val="20"/>
              </w:rPr>
            </w:pPr>
            <w:r w:rsidRPr="00776F10">
              <w:rPr>
                <w:bCs/>
                <w:i/>
                <w:sz w:val="20"/>
                <w:szCs w:val="20"/>
                <w:lang w:val="en-GB"/>
              </w:rPr>
              <w:t>Stakeholder-driven motives</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D96336" w:rsidTr="00C431E9">
        <w:trPr>
          <w:cantSplit/>
        </w:trPr>
        <w:tc>
          <w:tcPr>
            <w:tcW w:w="6946" w:type="dxa"/>
            <w:tcBorders>
              <w:top w:val="nil"/>
              <w:left w:val="nil"/>
              <w:bottom w:val="nil"/>
              <w:right w:val="nil"/>
            </w:tcBorders>
            <w:vAlign w:val="center"/>
          </w:tcPr>
          <w:p w:rsidR="00DA0F4B" w:rsidRPr="00655C9B" w:rsidRDefault="00DA0F4B" w:rsidP="00406D6F">
            <w:pPr>
              <w:contextualSpacing/>
              <w:rPr>
                <w:rFonts w:eastAsia="Calibri"/>
                <w:sz w:val="20"/>
                <w:szCs w:val="20"/>
              </w:rPr>
            </w:pPr>
            <w:r>
              <w:rPr>
                <w:rFonts w:eastAsia="Calibri"/>
                <w:sz w:val="20"/>
                <w:szCs w:val="20"/>
              </w:rPr>
              <w:t xml:space="preserve">  </w:t>
            </w:r>
            <w:r w:rsidRPr="00655C9B">
              <w:rPr>
                <w:rFonts w:eastAsia="Calibri"/>
                <w:sz w:val="20"/>
                <w:szCs w:val="20"/>
              </w:rPr>
              <w:t xml:space="preserve">they feel </w:t>
            </w:r>
            <w:r>
              <w:rPr>
                <w:rFonts w:eastAsia="Calibri"/>
                <w:sz w:val="20"/>
                <w:szCs w:val="20"/>
              </w:rPr>
              <w:t>its</w:t>
            </w:r>
            <w:r w:rsidRPr="00655C9B">
              <w:rPr>
                <w:rFonts w:eastAsia="Calibri"/>
                <w:sz w:val="20"/>
                <w:szCs w:val="20"/>
              </w:rPr>
              <w:t xml:space="preserve"> employees expect it</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78</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9</w:t>
            </w:r>
            <w:r w:rsidRPr="00D96336">
              <w:rPr>
                <w:sz w:val="20"/>
                <w:szCs w:val="20"/>
              </w:rPr>
              <w:t>.</w:t>
            </w:r>
            <w:r>
              <w:rPr>
                <w:sz w:val="20"/>
                <w:szCs w:val="20"/>
              </w:rPr>
              <w:t>90</w:t>
            </w:r>
          </w:p>
        </w:tc>
      </w:tr>
      <w:tr w:rsidR="00DA0F4B" w:rsidRPr="00D96336" w:rsidTr="00C431E9">
        <w:trPr>
          <w:cantSplit/>
        </w:trPr>
        <w:tc>
          <w:tcPr>
            <w:tcW w:w="6946" w:type="dxa"/>
            <w:tcBorders>
              <w:top w:val="nil"/>
              <w:left w:val="nil"/>
              <w:bottom w:val="nil"/>
              <w:right w:val="nil"/>
            </w:tcBorders>
            <w:vAlign w:val="center"/>
          </w:tcPr>
          <w:p w:rsidR="00DA0F4B" w:rsidRPr="00655C9B" w:rsidRDefault="00DA0F4B" w:rsidP="00406D6F">
            <w:pPr>
              <w:contextualSpacing/>
              <w:rPr>
                <w:rFonts w:eastAsia="Calibri"/>
                <w:sz w:val="20"/>
                <w:szCs w:val="20"/>
              </w:rPr>
            </w:pPr>
            <w:r>
              <w:rPr>
                <w:rFonts w:eastAsia="Calibri"/>
                <w:sz w:val="20"/>
                <w:szCs w:val="20"/>
              </w:rPr>
              <w:t xml:space="preserve">  </w:t>
            </w:r>
            <w:r w:rsidRPr="00655C9B">
              <w:rPr>
                <w:rFonts w:eastAsia="Calibri"/>
                <w:sz w:val="20"/>
                <w:szCs w:val="20"/>
              </w:rPr>
              <w:t xml:space="preserve">they feel </w:t>
            </w:r>
            <w:r>
              <w:rPr>
                <w:rFonts w:eastAsia="Calibri"/>
                <w:sz w:val="20"/>
                <w:szCs w:val="20"/>
              </w:rPr>
              <w:t>its</w:t>
            </w:r>
            <w:r w:rsidRPr="00655C9B">
              <w:rPr>
                <w:rFonts w:eastAsia="Calibri"/>
                <w:sz w:val="20"/>
                <w:szCs w:val="20"/>
              </w:rPr>
              <w:t xml:space="preserve"> customers expect it</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82</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21</w:t>
            </w:r>
            <w:r w:rsidRPr="00D96336">
              <w:rPr>
                <w:sz w:val="20"/>
                <w:szCs w:val="20"/>
              </w:rPr>
              <w:t>.</w:t>
            </w:r>
            <w:r>
              <w:rPr>
                <w:sz w:val="20"/>
                <w:szCs w:val="20"/>
              </w:rPr>
              <w:t>19</w:t>
            </w:r>
          </w:p>
        </w:tc>
      </w:tr>
      <w:tr w:rsidR="00DA0F4B" w:rsidRPr="00D96336" w:rsidTr="00C431E9">
        <w:trPr>
          <w:cantSplit/>
        </w:trPr>
        <w:tc>
          <w:tcPr>
            <w:tcW w:w="6946" w:type="dxa"/>
            <w:tcBorders>
              <w:top w:val="nil"/>
              <w:left w:val="nil"/>
              <w:bottom w:val="nil"/>
              <w:right w:val="nil"/>
            </w:tcBorders>
            <w:vAlign w:val="center"/>
          </w:tcPr>
          <w:p w:rsidR="00DA0F4B" w:rsidRPr="00655C9B" w:rsidRDefault="00DA0F4B" w:rsidP="00406D6F">
            <w:pPr>
              <w:contextualSpacing/>
              <w:rPr>
                <w:rFonts w:eastAsia="Calibri"/>
                <w:sz w:val="20"/>
                <w:szCs w:val="20"/>
              </w:rPr>
            </w:pPr>
            <w:r>
              <w:rPr>
                <w:rFonts w:eastAsia="Calibri"/>
                <w:sz w:val="20"/>
                <w:szCs w:val="20"/>
              </w:rPr>
              <w:t xml:space="preserve">  </w:t>
            </w:r>
            <w:r w:rsidRPr="00655C9B">
              <w:rPr>
                <w:rFonts w:eastAsia="Calibri"/>
                <w:sz w:val="20"/>
                <w:szCs w:val="20"/>
              </w:rPr>
              <w:t xml:space="preserve">they feel </w:t>
            </w:r>
            <w:r>
              <w:rPr>
                <w:rFonts w:eastAsia="Calibri"/>
                <w:sz w:val="20"/>
                <w:szCs w:val="20"/>
              </w:rPr>
              <w:t>its</w:t>
            </w:r>
            <w:r w:rsidRPr="00655C9B">
              <w:rPr>
                <w:rFonts w:eastAsia="Calibri"/>
                <w:sz w:val="20"/>
                <w:szCs w:val="20"/>
              </w:rPr>
              <w:t xml:space="preserve"> stockholders expect it</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79</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20</w:t>
            </w:r>
            <w:r w:rsidRPr="00D96336">
              <w:rPr>
                <w:sz w:val="20"/>
                <w:szCs w:val="20"/>
              </w:rPr>
              <w:t>.</w:t>
            </w:r>
            <w:r>
              <w:rPr>
                <w:sz w:val="20"/>
                <w:szCs w:val="20"/>
              </w:rPr>
              <w:t>12</w:t>
            </w:r>
          </w:p>
        </w:tc>
      </w:tr>
      <w:tr w:rsidR="00DA0F4B" w:rsidRPr="00D96336" w:rsidTr="00C431E9">
        <w:trPr>
          <w:cantSplit/>
        </w:trPr>
        <w:tc>
          <w:tcPr>
            <w:tcW w:w="6946" w:type="dxa"/>
            <w:tcBorders>
              <w:top w:val="nil"/>
              <w:left w:val="nil"/>
              <w:bottom w:val="nil"/>
              <w:right w:val="nil"/>
            </w:tcBorders>
            <w:vAlign w:val="center"/>
          </w:tcPr>
          <w:p w:rsidR="00DA0F4B" w:rsidRPr="00655C9B" w:rsidRDefault="00DA0F4B" w:rsidP="00406D6F">
            <w:pPr>
              <w:contextualSpacing/>
              <w:rPr>
                <w:rFonts w:eastAsia="Calibri"/>
                <w:sz w:val="20"/>
                <w:szCs w:val="20"/>
              </w:rPr>
            </w:pPr>
            <w:r>
              <w:rPr>
                <w:rFonts w:eastAsia="Calibri"/>
                <w:sz w:val="20"/>
                <w:szCs w:val="20"/>
              </w:rPr>
              <w:t xml:space="preserve">  </w:t>
            </w:r>
            <w:r w:rsidRPr="00655C9B">
              <w:rPr>
                <w:rFonts w:eastAsia="Calibri"/>
                <w:sz w:val="20"/>
                <w:szCs w:val="20"/>
              </w:rPr>
              <w:t>they feel society in general expects it</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.7</w:t>
            </w:r>
            <w:r>
              <w:rPr>
                <w:sz w:val="20"/>
                <w:szCs w:val="20"/>
              </w:rPr>
              <w:t>7</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9</w:t>
            </w:r>
            <w:r w:rsidRPr="00D96336">
              <w:rPr>
                <w:sz w:val="20"/>
                <w:szCs w:val="20"/>
              </w:rPr>
              <w:t>.</w:t>
            </w:r>
            <w:r>
              <w:rPr>
                <w:sz w:val="20"/>
                <w:szCs w:val="20"/>
              </w:rPr>
              <w:t>29</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D96336" w:rsidTr="00C431E9">
        <w:trPr>
          <w:cantSplit/>
        </w:trPr>
        <w:tc>
          <w:tcPr>
            <w:tcW w:w="6946" w:type="dxa"/>
            <w:tcBorders>
              <w:top w:val="nil"/>
              <w:left w:val="nil"/>
              <w:bottom w:val="nil"/>
              <w:right w:val="nil"/>
            </w:tcBorders>
          </w:tcPr>
          <w:p w:rsidR="00DA0F4B" w:rsidRPr="00655C9B" w:rsidRDefault="00DA0F4B" w:rsidP="00406D6F">
            <w:pPr>
              <w:rPr>
                <w:rFonts w:eastAsia="Calibri"/>
                <w:sz w:val="20"/>
                <w:szCs w:val="20"/>
              </w:rPr>
            </w:pPr>
            <w:r>
              <w:rPr>
                <w:bCs/>
                <w:i/>
                <w:sz w:val="20"/>
                <w:szCs w:val="20"/>
              </w:rPr>
              <w:t>CSR skepticism</w:t>
            </w:r>
            <w:r w:rsidRPr="00655C9B">
              <w:rPr>
                <w:rFonts w:eastAsia="Calibri"/>
                <w:sz w:val="20"/>
                <w:szCs w:val="20"/>
              </w:rPr>
              <w:t xml:space="preserve"> </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2E7F00" w:rsidTr="00C431E9">
        <w:trPr>
          <w:cantSplit/>
        </w:trPr>
        <w:tc>
          <w:tcPr>
            <w:tcW w:w="6946" w:type="dxa"/>
            <w:tcBorders>
              <w:top w:val="nil"/>
              <w:left w:val="nil"/>
              <w:bottom w:val="nil"/>
              <w:right w:val="nil"/>
            </w:tcBorders>
            <w:vAlign w:val="center"/>
          </w:tcPr>
          <w:p w:rsidR="00DA0F4B" w:rsidRPr="002E7F00" w:rsidRDefault="00DA0F4B" w:rsidP="00406D6F">
            <w:pPr>
              <w:ind w:left="255" w:hanging="255"/>
              <w:contextualSpacing/>
              <w:rPr>
                <w:rFonts w:eastAsia="Calibri"/>
                <w:sz w:val="20"/>
                <w:szCs w:val="20"/>
              </w:rPr>
            </w:pPr>
            <w:r w:rsidRPr="00D96336">
              <w:rPr>
                <w:rFonts w:eastAsia="Calibri"/>
                <w:sz w:val="20"/>
                <w:szCs w:val="20"/>
              </w:rPr>
              <w:t xml:space="preserve">  </w:t>
            </w:r>
            <w:r>
              <w:rPr>
                <w:rFonts w:eastAsia="Calibri"/>
                <w:sz w:val="20"/>
                <w:szCs w:val="20"/>
              </w:rPr>
              <w:t>i</w:t>
            </w:r>
            <w:r w:rsidRPr="002E7F00">
              <w:rPr>
                <w:rFonts w:eastAsia="Calibri"/>
                <w:sz w:val="20"/>
                <w:szCs w:val="20"/>
              </w:rPr>
              <w:t>t is doubtless/doubtful that this is a socially responsible retailer</w:t>
            </w:r>
          </w:p>
        </w:tc>
        <w:tc>
          <w:tcPr>
            <w:tcW w:w="1418" w:type="dxa"/>
            <w:tcBorders>
              <w:top w:val="nil"/>
              <w:left w:val="nil"/>
              <w:bottom w:val="nil"/>
              <w:right w:val="nil"/>
            </w:tcBorders>
          </w:tcPr>
          <w:p w:rsidR="00DA0F4B" w:rsidRPr="002E7F00" w:rsidRDefault="00DA0F4B" w:rsidP="00406D6F">
            <w:pPr>
              <w:jc w:val="center"/>
              <w:rPr>
                <w:sz w:val="20"/>
                <w:szCs w:val="20"/>
              </w:rPr>
            </w:pPr>
            <w:r w:rsidRPr="002E7F00">
              <w:rPr>
                <w:sz w:val="20"/>
                <w:szCs w:val="20"/>
              </w:rPr>
              <w:t>.8</w:t>
            </w:r>
            <w:r>
              <w:rPr>
                <w:sz w:val="20"/>
                <w:szCs w:val="20"/>
              </w:rPr>
              <w:t>9</w:t>
            </w:r>
          </w:p>
        </w:tc>
        <w:tc>
          <w:tcPr>
            <w:tcW w:w="850" w:type="dxa"/>
            <w:tcBorders>
              <w:top w:val="nil"/>
              <w:left w:val="nil"/>
              <w:bottom w:val="nil"/>
              <w:right w:val="nil"/>
            </w:tcBorders>
          </w:tcPr>
          <w:p w:rsidR="00DA0F4B" w:rsidRPr="002E7F00" w:rsidRDefault="00DA0F4B" w:rsidP="00406D6F">
            <w:pPr>
              <w:jc w:val="center"/>
              <w:rPr>
                <w:sz w:val="20"/>
                <w:szCs w:val="20"/>
              </w:rPr>
            </w:pPr>
            <w:r>
              <w:rPr>
                <w:sz w:val="20"/>
                <w:szCs w:val="20"/>
              </w:rPr>
              <w:t>25</w:t>
            </w:r>
            <w:r w:rsidRPr="002E7F00">
              <w:rPr>
                <w:sz w:val="20"/>
                <w:szCs w:val="20"/>
              </w:rPr>
              <w:t>.</w:t>
            </w:r>
            <w:r>
              <w:rPr>
                <w:sz w:val="20"/>
                <w:szCs w:val="20"/>
              </w:rPr>
              <w:t>22</w:t>
            </w:r>
          </w:p>
        </w:tc>
      </w:tr>
      <w:tr w:rsidR="00DA0F4B" w:rsidRPr="002E7F00" w:rsidTr="00C431E9">
        <w:trPr>
          <w:cantSplit/>
        </w:trPr>
        <w:tc>
          <w:tcPr>
            <w:tcW w:w="6946" w:type="dxa"/>
            <w:tcBorders>
              <w:top w:val="nil"/>
              <w:left w:val="nil"/>
              <w:bottom w:val="nil"/>
              <w:right w:val="nil"/>
            </w:tcBorders>
            <w:vAlign w:val="center"/>
          </w:tcPr>
          <w:p w:rsidR="00DA0F4B" w:rsidRPr="002E7F00" w:rsidRDefault="00DA0F4B" w:rsidP="00406D6F">
            <w:pPr>
              <w:ind w:left="255" w:hanging="255"/>
              <w:contextualSpacing/>
              <w:rPr>
                <w:rFonts w:eastAsia="Calibri"/>
                <w:sz w:val="20"/>
                <w:szCs w:val="20"/>
              </w:rPr>
            </w:pPr>
            <w:r w:rsidRPr="002E7F00">
              <w:rPr>
                <w:rFonts w:eastAsia="Calibri"/>
                <w:sz w:val="20"/>
                <w:szCs w:val="20"/>
              </w:rPr>
              <w:t xml:space="preserve">  </w:t>
            </w:r>
            <w:r>
              <w:rPr>
                <w:rFonts w:eastAsia="Calibri"/>
                <w:sz w:val="20"/>
                <w:szCs w:val="20"/>
              </w:rPr>
              <w:t>i</w:t>
            </w:r>
            <w:r w:rsidRPr="002E7F00">
              <w:rPr>
                <w:rFonts w:eastAsia="Calibri"/>
                <w:sz w:val="20"/>
                <w:szCs w:val="20"/>
              </w:rPr>
              <w:t>t is certain/uncertain that this retailer is concerned to improve the well-being of society</w:t>
            </w:r>
          </w:p>
        </w:tc>
        <w:tc>
          <w:tcPr>
            <w:tcW w:w="1418" w:type="dxa"/>
            <w:tcBorders>
              <w:top w:val="nil"/>
              <w:left w:val="nil"/>
              <w:bottom w:val="nil"/>
              <w:right w:val="nil"/>
            </w:tcBorders>
          </w:tcPr>
          <w:p w:rsidR="00DA0F4B" w:rsidRPr="00884FC6" w:rsidRDefault="00DA0F4B" w:rsidP="00406D6F">
            <w:pPr>
              <w:jc w:val="center"/>
              <w:rPr>
                <w:sz w:val="10"/>
                <w:szCs w:val="10"/>
              </w:rPr>
            </w:pPr>
          </w:p>
          <w:p w:rsidR="00DA0F4B" w:rsidRPr="002E7F00" w:rsidRDefault="00DA0F4B" w:rsidP="00406D6F">
            <w:pPr>
              <w:jc w:val="center"/>
              <w:rPr>
                <w:sz w:val="20"/>
                <w:szCs w:val="20"/>
              </w:rPr>
            </w:pPr>
            <w:r w:rsidRPr="002E7F00">
              <w:rPr>
                <w:sz w:val="20"/>
                <w:szCs w:val="20"/>
              </w:rPr>
              <w:t>.8</w:t>
            </w:r>
            <w:r>
              <w:rPr>
                <w:sz w:val="20"/>
                <w:szCs w:val="20"/>
              </w:rPr>
              <w:t>7</w:t>
            </w:r>
          </w:p>
        </w:tc>
        <w:tc>
          <w:tcPr>
            <w:tcW w:w="850" w:type="dxa"/>
            <w:tcBorders>
              <w:top w:val="nil"/>
              <w:left w:val="nil"/>
              <w:bottom w:val="nil"/>
              <w:right w:val="nil"/>
            </w:tcBorders>
          </w:tcPr>
          <w:p w:rsidR="00DA0F4B" w:rsidRPr="00884FC6" w:rsidRDefault="00DA0F4B" w:rsidP="00406D6F">
            <w:pPr>
              <w:jc w:val="center"/>
              <w:rPr>
                <w:sz w:val="10"/>
                <w:szCs w:val="10"/>
              </w:rPr>
            </w:pPr>
          </w:p>
          <w:p w:rsidR="00DA0F4B" w:rsidRPr="002E7F00" w:rsidRDefault="00DA0F4B" w:rsidP="00406D6F">
            <w:pPr>
              <w:jc w:val="center"/>
              <w:rPr>
                <w:sz w:val="20"/>
                <w:szCs w:val="20"/>
              </w:rPr>
            </w:pPr>
            <w:r>
              <w:rPr>
                <w:sz w:val="20"/>
                <w:szCs w:val="20"/>
              </w:rPr>
              <w:t>24</w:t>
            </w:r>
            <w:r w:rsidRPr="002E7F00">
              <w:rPr>
                <w:sz w:val="20"/>
                <w:szCs w:val="20"/>
              </w:rPr>
              <w:t>.</w:t>
            </w:r>
            <w:r>
              <w:rPr>
                <w:sz w:val="20"/>
                <w:szCs w:val="20"/>
              </w:rPr>
              <w:t>23</w:t>
            </w:r>
          </w:p>
        </w:tc>
      </w:tr>
      <w:tr w:rsidR="00DA0F4B" w:rsidRPr="002E7F00" w:rsidTr="00C431E9">
        <w:trPr>
          <w:cantSplit/>
        </w:trPr>
        <w:tc>
          <w:tcPr>
            <w:tcW w:w="6946" w:type="dxa"/>
            <w:tcBorders>
              <w:top w:val="nil"/>
              <w:left w:val="nil"/>
              <w:bottom w:val="nil"/>
              <w:right w:val="nil"/>
            </w:tcBorders>
            <w:vAlign w:val="center"/>
          </w:tcPr>
          <w:p w:rsidR="00DA0F4B" w:rsidRPr="002E7F00" w:rsidRDefault="00DA0F4B" w:rsidP="00406D6F">
            <w:pPr>
              <w:ind w:left="255" w:hanging="255"/>
              <w:contextualSpacing/>
              <w:rPr>
                <w:rFonts w:eastAsia="Calibri"/>
                <w:sz w:val="20"/>
                <w:szCs w:val="20"/>
              </w:rPr>
            </w:pPr>
            <w:r w:rsidRPr="002E7F00">
              <w:rPr>
                <w:rFonts w:eastAsia="Calibri"/>
                <w:sz w:val="20"/>
                <w:szCs w:val="20"/>
              </w:rPr>
              <w:t xml:space="preserve">  </w:t>
            </w:r>
            <w:r>
              <w:rPr>
                <w:rFonts w:eastAsia="Calibri"/>
                <w:sz w:val="20"/>
                <w:szCs w:val="20"/>
              </w:rPr>
              <w:t>i</w:t>
            </w:r>
            <w:r w:rsidRPr="002E7F00">
              <w:rPr>
                <w:rFonts w:eastAsia="Calibri"/>
                <w:sz w:val="20"/>
                <w:szCs w:val="20"/>
              </w:rPr>
              <w:t>t is sure/unsure that this retailer follows high ethical standards</w:t>
            </w:r>
          </w:p>
        </w:tc>
        <w:tc>
          <w:tcPr>
            <w:tcW w:w="1418" w:type="dxa"/>
            <w:tcBorders>
              <w:top w:val="nil"/>
              <w:left w:val="nil"/>
              <w:bottom w:val="nil"/>
              <w:right w:val="nil"/>
            </w:tcBorders>
          </w:tcPr>
          <w:p w:rsidR="00DA0F4B" w:rsidRPr="002E7F00" w:rsidRDefault="00DA0F4B" w:rsidP="00406D6F">
            <w:pPr>
              <w:jc w:val="center"/>
              <w:rPr>
                <w:sz w:val="20"/>
                <w:szCs w:val="20"/>
              </w:rPr>
            </w:pPr>
            <w:r w:rsidRPr="002E7F00">
              <w:rPr>
                <w:sz w:val="20"/>
                <w:szCs w:val="20"/>
              </w:rPr>
              <w:t>.</w:t>
            </w:r>
            <w:r>
              <w:rPr>
                <w:sz w:val="20"/>
                <w:szCs w:val="20"/>
              </w:rPr>
              <w:t>86</w:t>
            </w:r>
          </w:p>
        </w:tc>
        <w:tc>
          <w:tcPr>
            <w:tcW w:w="850" w:type="dxa"/>
            <w:tcBorders>
              <w:top w:val="nil"/>
              <w:left w:val="nil"/>
              <w:bottom w:val="nil"/>
              <w:right w:val="nil"/>
            </w:tcBorders>
          </w:tcPr>
          <w:p w:rsidR="00DA0F4B" w:rsidRPr="002E7F00" w:rsidRDefault="00DA0F4B" w:rsidP="00406D6F">
            <w:pPr>
              <w:jc w:val="center"/>
              <w:rPr>
                <w:sz w:val="20"/>
                <w:szCs w:val="20"/>
              </w:rPr>
            </w:pPr>
            <w:r>
              <w:rPr>
                <w:sz w:val="20"/>
                <w:szCs w:val="20"/>
              </w:rPr>
              <w:t>23</w:t>
            </w:r>
            <w:r w:rsidRPr="002E7F00">
              <w:rPr>
                <w:sz w:val="20"/>
                <w:szCs w:val="20"/>
              </w:rPr>
              <w:t>.</w:t>
            </w:r>
            <w:r>
              <w:rPr>
                <w:sz w:val="20"/>
                <w:szCs w:val="20"/>
              </w:rPr>
              <w:t>84</w:t>
            </w:r>
          </w:p>
        </w:tc>
      </w:tr>
      <w:tr w:rsidR="00DA0F4B" w:rsidRPr="00A139E8" w:rsidTr="00C431E9">
        <w:trPr>
          <w:cantSplit/>
        </w:trPr>
        <w:tc>
          <w:tcPr>
            <w:tcW w:w="6946" w:type="dxa"/>
            <w:tcBorders>
              <w:top w:val="nil"/>
              <w:left w:val="nil"/>
              <w:bottom w:val="nil"/>
              <w:right w:val="nil"/>
            </w:tcBorders>
            <w:vAlign w:val="center"/>
          </w:tcPr>
          <w:p w:rsidR="00DA0F4B" w:rsidRPr="002E7F00" w:rsidRDefault="00DA0F4B" w:rsidP="00406D6F">
            <w:pPr>
              <w:ind w:left="255" w:hanging="255"/>
              <w:rPr>
                <w:sz w:val="20"/>
                <w:szCs w:val="20"/>
              </w:rPr>
            </w:pPr>
            <w:r w:rsidRPr="002E7F00">
              <w:rPr>
                <w:sz w:val="20"/>
                <w:szCs w:val="20"/>
              </w:rPr>
              <w:t xml:space="preserve">  </w:t>
            </w:r>
            <w:r>
              <w:rPr>
                <w:sz w:val="20"/>
                <w:szCs w:val="20"/>
              </w:rPr>
              <w:t>i</w:t>
            </w:r>
            <w:r w:rsidRPr="002E7F00">
              <w:rPr>
                <w:sz w:val="20"/>
                <w:szCs w:val="20"/>
              </w:rPr>
              <w:t>t is unquestionable/questionable</w:t>
            </w:r>
            <w:r w:rsidRPr="002E7F00">
              <w:t xml:space="preserve"> </w:t>
            </w:r>
            <w:r w:rsidRPr="002E7F00">
              <w:rPr>
                <w:sz w:val="20"/>
                <w:szCs w:val="20"/>
              </w:rPr>
              <w:t>that this retailer acts in a socially responsible way</w:t>
            </w:r>
          </w:p>
        </w:tc>
        <w:tc>
          <w:tcPr>
            <w:tcW w:w="1418" w:type="dxa"/>
            <w:tcBorders>
              <w:top w:val="nil"/>
              <w:left w:val="nil"/>
              <w:bottom w:val="nil"/>
              <w:right w:val="nil"/>
            </w:tcBorders>
          </w:tcPr>
          <w:p w:rsidR="00DA0F4B" w:rsidRPr="002E7F00" w:rsidRDefault="00DA0F4B" w:rsidP="00406D6F">
            <w:pPr>
              <w:jc w:val="center"/>
              <w:rPr>
                <w:sz w:val="20"/>
                <w:szCs w:val="20"/>
              </w:rPr>
            </w:pPr>
            <w:r w:rsidRPr="002E7F00">
              <w:rPr>
                <w:sz w:val="20"/>
                <w:szCs w:val="20"/>
              </w:rPr>
              <w:t>.</w:t>
            </w:r>
            <w:r>
              <w:rPr>
                <w:sz w:val="20"/>
                <w:szCs w:val="20"/>
              </w:rPr>
              <w:t>84</w:t>
            </w:r>
          </w:p>
        </w:tc>
        <w:tc>
          <w:tcPr>
            <w:tcW w:w="850" w:type="dxa"/>
            <w:tcBorders>
              <w:top w:val="nil"/>
              <w:left w:val="nil"/>
              <w:bottom w:val="nil"/>
              <w:right w:val="nil"/>
            </w:tcBorders>
          </w:tcPr>
          <w:p w:rsidR="00DA0F4B" w:rsidRPr="00A139E8" w:rsidRDefault="00DA0F4B" w:rsidP="00406D6F">
            <w:pPr>
              <w:jc w:val="center"/>
              <w:rPr>
                <w:sz w:val="20"/>
                <w:szCs w:val="20"/>
              </w:rPr>
            </w:pPr>
            <w:r>
              <w:rPr>
                <w:sz w:val="20"/>
                <w:szCs w:val="20"/>
              </w:rPr>
              <w:t>2</w:t>
            </w:r>
            <w:r w:rsidRPr="002E7F00">
              <w:rPr>
                <w:sz w:val="20"/>
                <w:szCs w:val="20"/>
              </w:rPr>
              <w:t>2.</w:t>
            </w:r>
            <w:r>
              <w:rPr>
                <w:sz w:val="20"/>
                <w:szCs w:val="20"/>
              </w:rPr>
              <w:t>79</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D96336" w:rsidTr="00C431E9">
        <w:trPr>
          <w:cantSplit/>
        </w:trPr>
        <w:tc>
          <w:tcPr>
            <w:tcW w:w="6946" w:type="dxa"/>
            <w:tcBorders>
              <w:top w:val="nil"/>
              <w:left w:val="nil"/>
              <w:bottom w:val="nil"/>
              <w:right w:val="nil"/>
            </w:tcBorders>
          </w:tcPr>
          <w:p w:rsidR="00DA0F4B" w:rsidRPr="00655C9B" w:rsidRDefault="00DA0F4B" w:rsidP="00406D6F">
            <w:pPr>
              <w:rPr>
                <w:rFonts w:eastAsia="Calibri"/>
                <w:sz w:val="20"/>
                <w:szCs w:val="20"/>
              </w:rPr>
            </w:pPr>
            <w:r>
              <w:rPr>
                <w:bCs/>
                <w:i/>
                <w:sz w:val="20"/>
                <w:szCs w:val="20"/>
              </w:rPr>
              <w:t>Equity</w:t>
            </w:r>
            <w:r w:rsidRPr="00655C9B">
              <w:rPr>
                <w:rFonts w:eastAsia="Calibri"/>
                <w:sz w:val="20"/>
                <w:szCs w:val="20"/>
              </w:rPr>
              <w:t xml:space="preserve"> </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317C24" w:rsidTr="00C431E9">
        <w:trPr>
          <w:cantSplit/>
        </w:trPr>
        <w:tc>
          <w:tcPr>
            <w:tcW w:w="6946" w:type="dxa"/>
            <w:tcBorders>
              <w:top w:val="nil"/>
              <w:left w:val="nil"/>
              <w:bottom w:val="nil"/>
              <w:right w:val="nil"/>
            </w:tcBorders>
            <w:vAlign w:val="center"/>
          </w:tcPr>
          <w:p w:rsidR="00DA0F4B" w:rsidRPr="00317C24" w:rsidRDefault="00DA0F4B" w:rsidP="00406D6F">
            <w:pPr>
              <w:ind w:left="255" w:hanging="255"/>
              <w:contextualSpacing/>
              <w:rPr>
                <w:rFonts w:eastAsia="Calibri"/>
                <w:sz w:val="20"/>
                <w:szCs w:val="20"/>
              </w:rPr>
            </w:pPr>
            <w:r w:rsidRPr="00317C24">
              <w:rPr>
                <w:rFonts w:eastAsia="Calibri"/>
                <w:sz w:val="20"/>
                <w:szCs w:val="20"/>
              </w:rPr>
              <w:t xml:space="preserve">  </w:t>
            </w:r>
            <w:r>
              <w:rPr>
                <w:rFonts w:eastAsia="Calibri"/>
                <w:sz w:val="20"/>
                <w:szCs w:val="20"/>
              </w:rPr>
              <w:t>it</w:t>
            </w:r>
            <w:r w:rsidRPr="00317C24">
              <w:rPr>
                <w:sz w:val="20"/>
                <w:szCs w:val="20"/>
              </w:rPr>
              <w:t xml:space="preserve"> makes sense to buy groceries from this retailer instead of another store even if the groceries are the same</w:t>
            </w:r>
          </w:p>
        </w:tc>
        <w:tc>
          <w:tcPr>
            <w:tcW w:w="1418" w:type="dxa"/>
            <w:tcBorders>
              <w:top w:val="nil"/>
              <w:left w:val="nil"/>
              <w:bottom w:val="nil"/>
              <w:right w:val="nil"/>
            </w:tcBorders>
          </w:tcPr>
          <w:p w:rsidR="00DA0F4B" w:rsidRPr="00884FC6" w:rsidRDefault="00DA0F4B" w:rsidP="00406D6F">
            <w:pPr>
              <w:jc w:val="center"/>
              <w:rPr>
                <w:sz w:val="10"/>
                <w:szCs w:val="10"/>
              </w:rPr>
            </w:pPr>
          </w:p>
          <w:p w:rsidR="00DA0F4B" w:rsidRPr="00317C24" w:rsidRDefault="00DA0F4B" w:rsidP="00406D6F">
            <w:pPr>
              <w:jc w:val="center"/>
              <w:rPr>
                <w:sz w:val="20"/>
                <w:szCs w:val="20"/>
              </w:rPr>
            </w:pPr>
            <w:r w:rsidRPr="00317C24">
              <w:rPr>
                <w:sz w:val="20"/>
                <w:szCs w:val="20"/>
              </w:rPr>
              <w:t>.8</w:t>
            </w:r>
            <w:r>
              <w:rPr>
                <w:sz w:val="20"/>
                <w:szCs w:val="20"/>
              </w:rPr>
              <w:t>9</w:t>
            </w:r>
          </w:p>
        </w:tc>
        <w:tc>
          <w:tcPr>
            <w:tcW w:w="850" w:type="dxa"/>
            <w:tcBorders>
              <w:top w:val="nil"/>
              <w:left w:val="nil"/>
              <w:bottom w:val="nil"/>
              <w:right w:val="nil"/>
            </w:tcBorders>
          </w:tcPr>
          <w:p w:rsidR="00DA0F4B" w:rsidRPr="00884FC6" w:rsidRDefault="00DA0F4B" w:rsidP="00406D6F">
            <w:pPr>
              <w:jc w:val="center"/>
              <w:rPr>
                <w:sz w:val="10"/>
                <w:szCs w:val="10"/>
              </w:rPr>
            </w:pPr>
          </w:p>
          <w:p w:rsidR="00DA0F4B" w:rsidRPr="00317C24" w:rsidRDefault="00DA0F4B" w:rsidP="00406D6F">
            <w:pPr>
              <w:jc w:val="center"/>
              <w:rPr>
                <w:sz w:val="20"/>
                <w:szCs w:val="20"/>
              </w:rPr>
            </w:pPr>
            <w:r>
              <w:rPr>
                <w:sz w:val="20"/>
                <w:szCs w:val="20"/>
              </w:rPr>
              <w:t>25</w:t>
            </w:r>
            <w:r w:rsidRPr="00317C24">
              <w:rPr>
                <w:sz w:val="20"/>
                <w:szCs w:val="20"/>
              </w:rPr>
              <w:t>.</w:t>
            </w:r>
            <w:r>
              <w:rPr>
                <w:sz w:val="20"/>
                <w:szCs w:val="20"/>
              </w:rPr>
              <w:t>01</w:t>
            </w:r>
          </w:p>
        </w:tc>
      </w:tr>
      <w:tr w:rsidR="00DA0F4B" w:rsidRPr="00317C24" w:rsidTr="00C431E9">
        <w:trPr>
          <w:cantSplit/>
        </w:trPr>
        <w:tc>
          <w:tcPr>
            <w:tcW w:w="6946" w:type="dxa"/>
            <w:tcBorders>
              <w:top w:val="nil"/>
              <w:left w:val="nil"/>
              <w:bottom w:val="nil"/>
              <w:right w:val="nil"/>
            </w:tcBorders>
            <w:vAlign w:val="center"/>
          </w:tcPr>
          <w:p w:rsidR="00DA0F4B" w:rsidRPr="00317C24" w:rsidRDefault="00DA0F4B" w:rsidP="00406D6F">
            <w:pPr>
              <w:ind w:left="255" w:hanging="255"/>
              <w:contextualSpacing/>
              <w:rPr>
                <w:rFonts w:eastAsia="Calibri"/>
                <w:sz w:val="20"/>
                <w:szCs w:val="20"/>
              </w:rPr>
            </w:pPr>
            <w:r w:rsidRPr="00317C24">
              <w:rPr>
                <w:rFonts w:eastAsia="Calibri"/>
                <w:sz w:val="20"/>
                <w:szCs w:val="20"/>
              </w:rPr>
              <w:t xml:space="preserve">  </w:t>
            </w:r>
            <w:r>
              <w:rPr>
                <w:sz w:val="20"/>
                <w:szCs w:val="20"/>
              </w:rPr>
              <w:t>i</w:t>
            </w:r>
            <w:r w:rsidRPr="00317C24">
              <w:rPr>
                <w:sz w:val="20"/>
                <w:szCs w:val="20"/>
              </w:rPr>
              <w:t>f there was another grocery store as good as this retailer, I would still prefer to buy groceries at this retailer</w:t>
            </w:r>
          </w:p>
        </w:tc>
        <w:tc>
          <w:tcPr>
            <w:tcW w:w="1418" w:type="dxa"/>
            <w:tcBorders>
              <w:top w:val="nil"/>
              <w:left w:val="nil"/>
              <w:bottom w:val="nil"/>
              <w:right w:val="nil"/>
            </w:tcBorders>
          </w:tcPr>
          <w:p w:rsidR="00DA0F4B" w:rsidRPr="00884FC6" w:rsidRDefault="00DA0F4B" w:rsidP="00406D6F">
            <w:pPr>
              <w:jc w:val="center"/>
              <w:rPr>
                <w:sz w:val="10"/>
                <w:szCs w:val="10"/>
              </w:rPr>
            </w:pPr>
          </w:p>
          <w:p w:rsidR="00DA0F4B" w:rsidRPr="00317C24" w:rsidRDefault="00DA0F4B" w:rsidP="00406D6F">
            <w:pPr>
              <w:jc w:val="center"/>
              <w:rPr>
                <w:sz w:val="20"/>
                <w:szCs w:val="20"/>
              </w:rPr>
            </w:pPr>
            <w:r w:rsidRPr="00317C24">
              <w:rPr>
                <w:sz w:val="20"/>
                <w:szCs w:val="20"/>
              </w:rPr>
              <w:t>.8</w:t>
            </w:r>
            <w:r>
              <w:rPr>
                <w:sz w:val="20"/>
                <w:szCs w:val="20"/>
              </w:rPr>
              <w:t>9</w:t>
            </w:r>
          </w:p>
        </w:tc>
        <w:tc>
          <w:tcPr>
            <w:tcW w:w="850" w:type="dxa"/>
            <w:tcBorders>
              <w:top w:val="nil"/>
              <w:left w:val="nil"/>
              <w:bottom w:val="nil"/>
              <w:right w:val="nil"/>
            </w:tcBorders>
          </w:tcPr>
          <w:p w:rsidR="00DA0F4B" w:rsidRPr="00884FC6" w:rsidRDefault="00DA0F4B" w:rsidP="00406D6F">
            <w:pPr>
              <w:jc w:val="center"/>
              <w:rPr>
                <w:sz w:val="10"/>
                <w:szCs w:val="10"/>
              </w:rPr>
            </w:pPr>
          </w:p>
          <w:p w:rsidR="00DA0F4B" w:rsidRPr="00317C24" w:rsidRDefault="00DA0F4B" w:rsidP="00406D6F">
            <w:pPr>
              <w:jc w:val="center"/>
              <w:rPr>
                <w:sz w:val="20"/>
                <w:szCs w:val="20"/>
              </w:rPr>
            </w:pPr>
            <w:r>
              <w:rPr>
                <w:sz w:val="20"/>
                <w:szCs w:val="20"/>
              </w:rPr>
              <w:t>24</w:t>
            </w:r>
            <w:r w:rsidRPr="00317C24">
              <w:rPr>
                <w:sz w:val="20"/>
                <w:szCs w:val="20"/>
              </w:rPr>
              <w:t>.</w:t>
            </w:r>
            <w:r>
              <w:rPr>
                <w:sz w:val="20"/>
                <w:szCs w:val="20"/>
              </w:rPr>
              <w:t>61</w:t>
            </w:r>
          </w:p>
        </w:tc>
      </w:tr>
      <w:tr w:rsidR="00DA0F4B" w:rsidRPr="00317C24" w:rsidTr="00C431E9">
        <w:trPr>
          <w:cantSplit/>
        </w:trPr>
        <w:tc>
          <w:tcPr>
            <w:tcW w:w="6946" w:type="dxa"/>
            <w:tcBorders>
              <w:top w:val="nil"/>
              <w:left w:val="nil"/>
              <w:bottom w:val="nil"/>
              <w:right w:val="nil"/>
            </w:tcBorders>
            <w:vAlign w:val="center"/>
          </w:tcPr>
          <w:p w:rsidR="00DA0F4B" w:rsidRPr="00317C24" w:rsidRDefault="00DA0F4B" w:rsidP="00406D6F">
            <w:pPr>
              <w:ind w:left="255" w:hanging="255"/>
              <w:contextualSpacing/>
              <w:rPr>
                <w:rFonts w:eastAsia="Calibri"/>
                <w:sz w:val="20"/>
                <w:szCs w:val="20"/>
              </w:rPr>
            </w:pPr>
            <w:r w:rsidRPr="00317C24">
              <w:rPr>
                <w:rFonts w:eastAsia="Calibri"/>
                <w:sz w:val="20"/>
                <w:szCs w:val="20"/>
              </w:rPr>
              <w:t xml:space="preserve">  </w:t>
            </w:r>
            <w:r>
              <w:rPr>
                <w:sz w:val="20"/>
                <w:szCs w:val="20"/>
              </w:rPr>
              <w:t>i</w:t>
            </w:r>
            <w:r w:rsidRPr="00317C24">
              <w:rPr>
                <w:sz w:val="20"/>
                <w:szCs w:val="20"/>
              </w:rPr>
              <w:t>f another grocery store is not different from this retailer in any way, it seems smarter to purchase groceries from this retailer</w:t>
            </w:r>
          </w:p>
        </w:tc>
        <w:tc>
          <w:tcPr>
            <w:tcW w:w="1418" w:type="dxa"/>
            <w:tcBorders>
              <w:top w:val="nil"/>
              <w:left w:val="nil"/>
              <w:bottom w:val="nil"/>
              <w:right w:val="nil"/>
            </w:tcBorders>
          </w:tcPr>
          <w:p w:rsidR="00DA0F4B" w:rsidRPr="00884FC6" w:rsidRDefault="00DA0F4B" w:rsidP="00406D6F">
            <w:pPr>
              <w:jc w:val="center"/>
              <w:rPr>
                <w:sz w:val="10"/>
                <w:szCs w:val="10"/>
              </w:rPr>
            </w:pPr>
          </w:p>
          <w:p w:rsidR="00DA0F4B" w:rsidRPr="00317C24" w:rsidRDefault="00DA0F4B" w:rsidP="00406D6F">
            <w:pPr>
              <w:jc w:val="center"/>
              <w:rPr>
                <w:sz w:val="20"/>
                <w:szCs w:val="20"/>
              </w:rPr>
            </w:pPr>
            <w:r w:rsidRPr="00317C24">
              <w:rPr>
                <w:sz w:val="20"/>
                <w:szCs w:val="20"/>
              </w:rPr>
              <w:t>.</w:t>
            </w:r>
            <w:r>
              <w:rPr>
                <w:sz w:val="20"/>
                <w:szCs w:val="20"/>
              </w:rPr>
              <w:t>87</w:t>
            </w:r>
          </w:p>
        </w:tc>
        <w:tc>
          <w:tcPr>
            <w:tcW w:w="850" w:type="dxa"/>
            <w:tcBorders>
              <w:top w:val="nil"/>
              <w:left w:val="nil"/>
              <w:bottom w:val="nil"/>
              <w:right w:val="nil"/>
            </w:tcBorders>
          </w:tcPr>
          <w:p w:rsidR="00DA0F4B" w:rsidRPr="00884FC6" w:rsidRDefault="00DA0F4B" w:rsidP="00406D6F">
            <w:pPr>
              <w:jc w:val="center"/>
              <w:rPr>
                <w:sz w:val="10"/>
                <w:szCs w:val="10"/>
              </w:rPr>
            </w:pPr>
          </w:p>
          <w:p w:rsidR="00DA0F4B" w:rsidRPr="00317C24" w:rsidRDefault="00DA0F4B" w:rsidP="00406D6F">
            <w:pPr>
              <w:jc w:val="center"/>
              <w:rPr>
                <w:sz w:val="20"/>
                <w:szCs w:val="20"/>
              </w:rPr>
            </w:pPr>
            <w:r>
              <w:rPr>
                <w:sz w:val="20"/>
                <w:szCs w:val="20"/>
              </w:rPr>
              <w:t>23</w:t>
            </w:r>
            <w:r w:rsidRPr="00317C24">
              <w:rPr>
                <w:sz w:val="20"/>
                <w:szCs w:val="20"/>
              </w:rPr>
              <w:t>.</w:t>
            </w:r>
            <w:r>
              <w:rPr>
                <w:sz w:val="20"/>
                <w:szCs w:val="20"/>
              </w:rPr>
              <w:t>86</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D96336" w:rsidTr="00C431E9">
        <w:trPr>
          <w:cantSplit/>
        </w:trPr>
        <w:tc>
          <w:tcPr>
            <w:tcW w:w="6946" w:type="dxa"/>
            <w:tcBorders>
              <w:top w:val="nil"/>
              <w:left w:val="nil"/>
              <w:bottom w:val="nil"/>
              <w:right w:val="nil"/>
            </w:tcBorders>
          </w:tcPr>
          <w:p w:rsidR="00DA0F4B" w:rsidRPr="00D96336" w:rsidRDefault="00DA0F4B" w:rsidP="00406D6F">
            <w:pPr>
              <w:rPr>
                <w:sz w:val="20"/>
                <w:szCs w:val="20"/>
              </w:rPr>
            </w:pPr>
            <w:r>
              <w:rPr>
                <w:bCs/>
                <w:i/>
                <w:sz w:val="20"/>
                <w:szCs w:val="20"/>
                <w:lang w:val="en-GB"/>
              </w:rPr>
              <w:t>Resilience to n</w:t>
            </w:r>
            <w:r w:rsidRPr="00776F10">
              <w:rPr>
                <w:bCs/>
                <w:i/>
                <w:sz w:val="20"/>
                <w:szCs w:val="20"/>
                <w:lang w:val="en-GB"/>
              </w:rPr>
              <w:t xml:space="preserve">egative </w:t>
            </w:r>
            <w:r>
              <w:rPr>
                <w:bCs/>
                <w:i/>
                <w:sz w:val="20"/>
                <w:szCs w:val="20"/>
                <w:lang w:val="en-GB"/>
              </w:rPr>
              <w:t>information</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2E7F00" w:rsidTr="00C431E9">
        <w:trPr>
          <w:cantSplit/>
        </w:trPr>
        <w:tc>
          <w:tcPr>
            <w:tcW w:w="6946" w:type="dxa"/>
            <w:tcBorders>
              <w:top w:val="nil"/>
              <w:left w:val="nil"/>
              <w:bottom w:val="nil"/>
              <w:right w:val="nil"/>
            </w:tcBorders>
            <w:vAlign w:val="center"/>
          </w:tcPr>
          <w:p w:rsidR="00DA0F4B" w:rsidRPr="002E7F00" w:rsidRDefault="00DA0F4B" w:rsidP="00406D6F">
            <w:pPr>
              <w:ind w:left="255" w:hanging="255"/>
              <w:contextualSpacing/>
              <w:rPr>
                <w:rFonts w:eastAsia="Calibri"/>
                <w:sz w:val="20"/>
                <w:szCs w:val="20"/>
              </w:rPr>
            </w:pPr>
            <w:r w:rsidRPr="00D96336">
              <w:rPr>
                <w:rFonts w:eastAsia="Calibri"/>
                <w:sz w:val="20"/>
                <w:szCs w:val="20"/>
              </w:rPr>
              <w:t xml:space="preserve">  </w:t>
            </w:r>
            <w:r>
              <w:rPr>
                <w:rFonts w:eastAsia="Calibri"/>
                <w:sz w:val="20"/>
                <w:szCs w:val="20"/>
              </w:rPr>
              <w:t>i</w:t>
            </w:r>
            <w:r w:rsidRPr="002E7F00">
              <w:rPr>
                <w:rFonts w:eastAsia="Calibri"/>
                <w:sz w:val="20"/>
                <w:szCs w:val="20"/>
              </w:rPr>
              <w:t>f this retailer did something I did not like, I would be willing to give it another chance</w:t>
            </w:r>
          </w:p>
        </w:tc>
        <w:tc>
          <w:tcPr>
            <w:tcW w:w="1418" w:type="dxa"/>
            <w:tcBorders>
              <w:top w:val="nil"/>
              <w:left w:val="nil"/>
              <w:bottom w:val="nil"/>
              <w:right w:val="nil"/>
            </w:tcBorders>
          </w:tcPr>
          <w:p w:rsidR="00DA0F4B" w:rsidRPr="002E7F00" w:rsidRDefault="00DA0F4B" w:rsidP="00406D6F">
            <w:pPr>
              <w:jc w:val="center"/>
              <w:rPr>
                <w:sz w:val="20"/>
                <w:szCs w:val="20"/>
              </w:rPr>
            </w:pPr>
            <w:r w:rsidRPr="002E7F00">
              <w:rPr>
                <w:sz w:val="20"/>
                <w:szCs w:val="20"/>
              </w:rPr>
              <w:t>.83</w:t>
            </w:r>
          </w:p>
        </w:tc>
        <w:tc>
          <w:tcPr>
            <w:tcW w:w="850" w:type="dxa"/>
            <w:tcBorders>
              <w:top w:val="nil"/>
              <w:left w:val="nil"/>
              <w:bottom w:val="nil"/>
              <w:right w:val="nil"/>
            </w:tcBorders>
          </w:tcPr>
          <w:p w:rsidR="00DA0F4B" w:rsidRPr="002E7F00" w:rsidRDefault="00DA0F4B" w:rsidP="00406D6F">
            <w:pPr>
              <w:jc w:val="center"/>
              <w:rPr>
                <w:sz w:val="20"/>
                <w:szCs w:val="20"/>
              </w:rPr>
            </w:pPr>
            <w:r>
              <w:rPr>
                <w:sz w:val="20"/>
                <w:szCs w:val="20"/>
              </w:rPr>
              <w:t>21</w:t>
            </w:r>
            <w:r w:rsidRPr="002E7F00">
              <w:rPr>
                <w:sz w:val="20"/>
                <w:szCs w:val="20"/>
              </w:rPr>
              <w:t>.</w:t>
            </w:r>
            <w:r>
              <w:rPr>
                <w:sz w:val="20"/>
                <w:szCs w:val="20"/>
              </w:rPr>
              <w:t>40</w:t>
            </w:r>
          </w:p>
        </w:tc>
      </w:tr>
      <w:tr w:rsidR="00DA0F4B" w:rsidRPr="002E7F00" w:rsidTr="00C431E9">
        <w:trPr>
          <w:cantSplit/>
        </w:trPr>
        <w:tc>
          <w:tcPr>
            <w:tcW w:w="6946" w:type="dxa"/>
            <w:tcBorders>
              <w:top w:val="nil"/>
              <w:left w:val="nil"/>
              <w:bottom w:val="nil"/>
              <w:right w:val="nil"/>
            </w:tcBorders>
            <w:vAlign w:val="center"/>
          </w:tcPr>
          <w:p w:rsidR="00DA0F4B" w:rsidRPr="002E7F00" w:rsidRDefault="00DA0F4B" w:rsidP="00406D6F">
            <w:pPr>
              <w:ind w:left="255" w:hanging="255"/>
              <w:contextualSpacing/>
              <w:rPr>
                <w:rFonts w:eastAsia="Calibri"/>
                <w:sz w:val="20"/>
                <w:szCs w:val="20"/>
              </w:rPr>
            </w:pPr>
            <w:r w:rsidRPr="002E7F00">
              <w:rPr>
                <w:rFonts w:eastAsia="Calibri"/>
                <w:sz w:val="20"/>
                <w:szCs w:val="20"/>
              </w:rPr>
              <w:t xml:space="preserve">  I would be willing to excuse this retailer if negative information about its activities was reported in the media</w:t>
            </w:r>
          </w:p>
        </w:tc>
        <w:tc>
          <w:tcPr>
            <w:tcW w:w="1418" w:type="dxa"/>
            <w:tcBorders>
              <w:top w:val="nil"/>
              <w:left w:val="nil"/>
              <w:bottom w:val="nil"/>
              <w:right w:val="nil"/>
            </w:tcBorders>
          </w:tcPr>
          <w:p w:rsidR="00DA0F4B" w:rsidRPr="002E7F00" w:rsidRDefault="00DA0F4B" w:rsidP="00406D6F">
            <w:pPr>
              <w:jc w:val="center"/>
              <w:rPr>
                <w:sz w:val="20"/>
                <w:szCs w:val="20"/>
              </w:rPr>
            </w:pPr>
            <w:r w:rsidRPr="002E7F00">
              <w:rPr>
                <w:sz w:val="20"/>
                <w:szCs w:val="20"/>
              </w:rPr>
              <w:t>.7</w:t>
            </w:r>
            <w:r>
              <w:rPr>
                <w:sz w:val="20"/>
                <w:szCs w:val="20"/>
              </w:rPr>
              <w:t>8</w:t>
            </w:r>
          </w:p>
        </w:tc>
        <w:tc>
          <w:tcPr>
            <w:tcW w:w="850" w:type="dxa"/>
            <w:tcBorders>
              <w:top w:val="nil"/>
              <w:left w:val="nil"/>
              <w:bottom w:val="nil"/>
              <w:right w:val="nil"/>
            </w:tcBorders>
          </w:tcPr>
          <w:p w:rsidR="00DA0F4B" w:rsidRPr="002E7F00" w:rsidRDefault="00DA0F4B" w:rsidP="00406D6F">
            <w:pPr>
              <w:jc w:val="center"/>
              <w:rPr>
                <w:sz w:val="20"/>
                <w:szCs w:val="20"/>
              </w:rPr>
            </w:pPr>
            <w:r w:rsidRPr="002E7F00">
              <w:rPr>
                <w:sz w:val="20"/>
                <w:szCs w:val="20"/>
              </w:rPr>
              <w:t>1</w:t>
            </w:r>
            <w:r>
              <w:rPr>
                <w:sz w:val="20"/>
                <w:szCs w:val="20"/>
              </w:rPr>
              <w:t>9</w:t>
            </w:r>
            <w:r w:rsidRPr="002E7F00">
              <w:rPr>
                <w:sz w:val="20"/>
                <w:szCs w:val="20"/>
              </w:rPr>
              <w:t>.</w:t>
            </w:r>
            <w:r>
              <w:rPr>
                <w:sz w:val="20"/>
                <w:szCs w:val="20"/>
              </w:rPr>
              <w:t>66</w:t>
            </w:r>
          </w:p>
        </w:tc>
      </w:tr>
      <w:tr w:rsidR="00DA0F4B" w:rsidRPr="002E7F00" w:rsidTr="00C431E9">
        <w:trPr>
          <w:cantSplit/>
        </w:trPr>
        <w:tc>
          <w:tcPr>
            <w:tcW w:w="6946" w:type="dxa"/>
            <w:tcBorders>
              <w:top w:val="nil"/>
              <w:left w:val="nil"/>
              <w:bottom w:val="nil"/>
              <w:right w:val="nil"/>
            </w:tcBorders>
            <w:vAlign w:val="center"/>
          </w:tcPr>
          <w:p w:rsidR="00DA0F4B" w:rsidRPr="002E7F00" w:rsidRDefault="00DA0F4B" w:rsidP="00406D6F">
            <w:pPr>
              <w:ind w:left="255" w:hanging="255"/>
              <w:contextualSpacing/>
              <w:rPr>
                <w:rFonts w:eastAsia="Calibri"/>
                <w:sz w:val="20"/>
                <w:szCs w:val="20"/>
              </w:rPr>
            </w:pPr>
            <w:r w:rsidRPr="002E7F00">
              <w:rPr>
                <w:rFonts w:eastAsia="Calibri"/>
                <w:sz w:val="20"/>
                <w:szCs w:val="20"/>
              </w:rPr>
              <w:t xml:space="preserve">  </w:t>
            </w:r>
            <w:r>
              <w:rPr>
                <w:rFonts w:eastAsia="Calibri"/>
                <w:sz w:val="20"/>
                <w:szCs w:val="20"/>
              </w:rPr>
              <w:t>i</w:t>
            </w:r>
            <w:r w:rsidRPr="002E7F00">
              <w:rPr>
                <w:rFonts w:eastAsia="Calibri"/>
                <w:sz w:val="20"/>
                <w:szCs w:val="20"/>
              </w:rPr>
              <w:t>f I heard or read a negative story about this retailer, I would be willing to forgive it</w:t>
            </w:r>
          </w:p>
        </w:tc>
        <w:tc>
          <w:tcPr>
            <w:tcW w:w="1418" w:type="dxa"/>
            <w:tcBorders>
              <w:top w:val="nil"/>
              <w:left w:val="nil"/>
              <w:bottom w:val="nil"/>
              <w:right w:val="nil"/>
            </w:tcBorders>
          </w:tcPr>
          <w:p w:rsidR="00DA0F4B" w:rsidRPr="002E7F00" w:rsidRDefault="00DA0F4B" w:rsidP="00406D6F">
            <w:pPr>
              <w:jc w:val="center"/>
              <w:rPr>
                <w:sz w:val="20"/>
                <w:szCs w:val="20"/>
              </w:rPr>
            </w:pPr>
            <w:r w:rsidRPr="002E7F00">
              <w:rPr>
                <w:sz w:val="20"/>
                <w:szCs w:val="20"/>
              </w:rPr>
              <w:t>.</w:t>
            </w:r>
            <w:r>
              <w:rPr>
                <w:sz w:val="20"/>
                <w:szCs w:val="20"/>
              </w:rPr>
              <w:t>85</w:t>
            </w:r>
          </w:p>
        </w:tc>
        <w:tc>
          <w:tcPr>
            <w:tcW w:w="850" w:type="dxa"/>
            <w:tcBorders>
              <w:top w:val="nil"/>
              <w:left w:val="nil"/>
              <w:bottom w:val="nil"/>
              <w:right w:val="nil"/>
            </w:tcBorders>
          </w:tcPr>
          <w:p w:rsidR="00DA0F4B" w:rsidRPr="002E7F00" w:rsidRDefault="00DA0F4B" w:rsidP="00406D6F">
            <w:pPr>
              <w:jc w:val="center"/>
              <w:rPr>
                <w:sz w:val="20"/>
                <w:szCs w:val="20"/>
              </w:rPr>
            </w:pPr>
            <w:r>
              <w:rPr>
                <w:sz w:val="20"/>
                <w:szCs w:val="20"/>
              </w:rPr>
              <w:t>22</w:t>
            </w:r>
            <w:r w:rsidRPr="002E7F00">
              <w:rPr>
                <w:sz w:val="20"/>
                <w:szCs w:val="20"/>
              </w:rPr>
              <w:t>.</w:t>
            </w:r>
            <w:r>
              <w:rPr>
                <w:sz w:val="20"/>
                <w:szCs w:val="20"/>
              </w:rPr>
              <w:t>03</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D96336" w:rsidTr="00C431E9">
        <w:trPr>
          <w:cantSplit/>
        </w:trPr>
        <w:tc>
          <w:tcPr>
            <w:tcW w:w="6946" w:type="dxa"/>
            <w:tcBorders>
              <w:top w:val="nil"/>
              <w:left w:val="nil"/>
              <w:bottom w:val="nil"/>
              <w:right w:val="nil"/>
            </w:tcBorders>
          </w:tcPr>
          <w:p w:rsidR="00DA0F4B" w:rsidRPr="00D96336" w:rsidRDefault="00DA0F4B" w:rsidP="00A21F6A">
            <w:pPr>
              <w:rPr>
                <w:sz w:val="20"/>
                <w:szCs w:val="20"/>
              </w:rPr>
            </w:pPr>
            <w:r w:rsidRPr="00776F10">
              <w:rPr>
                <w:bCs/>
                <w:i/>
                <w:sz w:val="20"/>
                <w:szCs w:val="20"/>
                <w:lang w:val="en-GB"/>
              </w:rPr>
              <w:t>W</w:t>
            </w:r>
            <w:r w:rsidR="00A21F6A">
              <w:rPr>
                <w:bCs/>
                <w:i/>
                <w:sz w:val="20"/>
                <w:szCs w:val="20"/>
                <w:lang w:val="en-GB"/>
              </w:rPr>
              <w:t>OM</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D37BE0">
            <w:pPr>
              <w:ind w:left="256" w:hanging="256"/>
              <w:contextualSpacing/>
              <w:rPr>
                <w:rFonts w:eastAsia="Calibri"/>
                <w:sz w:val="20"/>
                <w:szCs w:val="20"/>
              </w:rPr>
            </w:pPr>
            <w:r w:rsidRPr="00D96336">
              <w:rPr>
                <w:rFonts w:eastAsia="Calibri"/>
                <w:sz w:val="20"/>
                <w:szCs w:val="20"/>
              </w:rPr>
              <w:t xml:space="preserve">  </w:t>
            </w:r>
            <w:r w:rsidR="00DE760A">
              <w:rPr>
                <w:rFonts w:eastAsia="Calibri"/>
                <w:sz w:val="20"/>
                <w:szCs w:val="20"/>
              </w:rPr>
              <w:t>talk down/talk up</w:t>
            </w:r>
            <w:r w:rsidR="00DE760A" w:rsidRPr="00DE760A">
              <w:rPr>
                <w:rFonts w:eastAsia="Calibri"/>
                <w:sz w:val="20"/>
                <w:szCs w:val="20"/>
              </w:rPr>
              <w:t xml:space="preserve"> </w:t>
            </w:r>
            <w:r w:rsidR="00DE760A">
              <w:rPr>
                <w:rFonts w:eastAsia="Calibri"/>
                <w:sz w:val="20"/>
                <w:szCs w:val="20"/>
              </w:rPr>
              <w:t>this retailer</w:t>
            </w:r>
            <w:r w:rsidR="00DE760A" w:rsidRPr="00DE760A">
              <w:rPr>
                <w:rFonts w:eastAsia="Calibri"/>
                <w:sz w:val="20"/>
                <w:szCs w:val="20"/>
              </w:rPr>
              <w:t xml:space="preserve"> to people I know</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.8</w:t>
            </w:r>
            <w:r>
              <w:rPr>
                <w:sz w:val="20"/>
                <w:szCs w:val="20"/>
              </w:rPr>
              <w:t>4</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22</w:t>
            </w:r>
            <w:r w:rsidRPr="00D96336">
              <w:rPr>
                <w:sz w:val="20"/>
                <w:szCs w:val="20"/>
              </w:rPr>
              <w:t>.</w:t>
            </w:r>
            <w:r>
              <w:rPr>
                <w:sz w:val="20"/>
                <w:szCs w:val="20"/>
              </w:rPr>
              <w:t>36</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5" w:hanging="255"/>
              <w:contextualSpacing/>
              <w:rPr>
                <w:rFonts w:eastAsia="Calibri"/>
                <w:sz w:val="20"/>
                <w:szCs w:val="20"/>
              </w:rPr>
            </w:pPr>
            <w:r w:rsidRPr="00D96336">
              <w:rPr>
                <w:rFonts w:eastAsia="Calibri"/>
                <w:sz w:val="20"/>
                <w:szCs w:val="20"/>
              </w:rPr>
              <w:t xml:space="preserve">  </w:t>
            </w:r>
            <w:r w:rsidRPr="00507F27">
              <w:rPr>
                <w:rFonts w:eastAsia="Calibri"/>
                <w:sz w:val="20"/>
                <w:szCs w:val="20"/>
              </w:rPr>
              <w:t>bring up this retailer in a negative</w:t>
            </w:r>
            <w:r>
              <w:rPr>
                <w:rFonts w:eastAsia="Calibri"/>
                <w:sz w:val="20"/>
                <w:szCs w:val="20"/>
              </w:rPr>
              <w:t>/positive</w:t>
            </w:r>
            <w:r w:rsidRPr="00507F27">
              <w:rPr>
                <w:rFonts w:eastAsia="Calibri"/>
                <w:sz w:val="20"/>
                <w:szCs w:val="20"/>
              </w:rPr>
              <w:t xml:space="preserve"> way in conversations I have with friends and acquaintances</w:t>
            </w:r>
          </w:p>
        </w:tc>
        <w:tc>
          <w:tcPr>
            <w:tcW w:w="1418" w:type="dxa"/>
            <w:tcBorders>
              <w:top w:val="nil"/>
              <w:left w:val="nil"/>
              <w:bottom w:val="nil"/>
              <w:right w:val="nil"/>
            </w:tcBorders>
          </w:tcPr>
          <w:p w:rsidR="00DA0F4B" w:rsidRPr="00884FC6" w:rsidRDefault="00DA0F4B" w:rsidP="00406D6F">
            <w:pPr>
              <w:jc w:val="center"/>
              <w:rPr>
                <w:sz w:val="10"/>
                <w:szCs w:val="10"/>
              </w:rPr>
            </w:pPr>
          </w:p>
          <w:p w:rsidR="00DA0F4B" w:rsidRPr="00D96336" w:rsidRDefault="00DA0F4B" w:rsidP="00406D6F">
            <w:pPr>
              <w:jc w:val="center"/>
              <w:rPr>
                <w:sz w:val="20"/>
                <w:szCs w:val="20"/>
              </w:rPr>
            </w:pPr>
            <w:r w:rsidRPr="00D96336">
              <w:rPr>
                <w:sz w:val="20"/>
                <w:szCs w:val="20"/>
              </w:rPr>
              <w:t>.</w:t>
            </w:r>
            <w:r>
              <w:rPr>
                <w:sz w:val="20"/>
                <w:szCs w:val="20"/>
              </w:rPr>
              <w:t>86</w:t>
            </w:r>
          </w:p>
        </w:tc>
        <w:tc>
          <w:tcPr>
            <w:tcW w:w="850" w:type="dxa"/>
            <w:tcBorders>
              <w:top w:val="nil"/>
              <w:left w:val="nil"/>
              <w:bottom w:val="nil"/>
              <w:right w:val="nil"/>
            </w:tcBorders>
          </w:tcPr>
          <w:p w:rsidR="00DA0F4B" w:rsidRPr="00884FC6" w:rsidRDefault="00DA0F4B" w:rsidP="00406D6F">
            <w:pPr>
              <w:jc w:val="center"/>
              <w:rPr>
                <w:sz w:val="10"/>
                <w:szCs w:val="10"/>
              </w:rPr>
            </w:pPr>
          </w:p>
          <w:p w:rsidR="00DA0F4B" w:rsidRPr="00D96336" w:rsidRDefault="00DA0F4B" w:rsidP="00406D6F">
            <w:pPr>
              <w:jc w:val="center"/>
              <w:rPr>
                <w:sz w:val="20"/>
                <w:szCs w:val="20"/>
              </w:rPr>
            </w:pPr>
            <w:r>
              <w:rPr>
                <w:sz w:val="20"/>
                <w:szCs w:val="20"/>
              </w:rPr>
              <w:t>23</w:t>
            </w:r>
            <w:r w:rsidRPr="00D96336">
              <w:rPr>
                <w:sz w:val="20"/>
                <w:szCs w:val="20"/>
              </w:rPr>
              <w:t>.</w:t>
            </w:r>
            <w:r>
              <w:rPr>
                <w:sz w:val="20"/>
                <w:szCs w:val="20"/>
              </w:rPr>
              <w:t>24</w:t>
            </w:r>
          </w:p>
        </w:tc>
      </w:tr>
      <w:tr w:rsidR="00DA0F4B" w:rsidRPr="00D96336" w:rsidTr="00C431E9">
        <w:trPr>
          <w:cantSplit/>
        </w:trPr>
        <w:tc>
          <w:tcPr>
            <w:tcW w:w="6946" w:type="dxa"/>
            <w:tcBorders>
              <w:top w:val="nil"/>
              <w:left w:val="nil"/>
              <w:bottom w:val="nil"/>
              <w:right w:val="nil"/>
            </w:tcBorders>
            <w:vAlign w:val="center"/>
          </w:tcPr>
          <w:p w:rsidR="00DA0F4B" w:rsidRPr="00D96336" w:rsidRDefault="00DA0F4B" w:rsidP="00406D6F">
            <w:pPr>
              <w:ind w:left="255" w:hanging="255"/>
              <w:contextualSpacing/>
              <w:rPr>
                <w:rFonts w:eastAsia="Calibri"/>
                <w:sz w:val="20"/>
                <w:szCs w:val="20"/>
              </w:rPr>
            </w:pPr>
            <w:r w:rsidRPr="00D96336">
              <w:rPr>
                <w:rFonts w:eastAsia="Calibri"/>
                <w:sz w:val="20"/>
                <w:szCs w:val="20"/>
              </w:rPr>
              <w:t xml:space="preserve">  </w:t>
            </w:r>
            <w:r w:rsidRPr="00507F27">
              <w:rPr>
                <w:rFonts w:eastAsia="Calibri"/>
                <w:sz w:val="20"/>
                <w:szCs w:val="20"/>
              </w:rPr>
              <w:t>often speak unfavorably</w:t>
            </w:r>
            <w:r>
              <w:rPr>
                <w:rFonts w:eastAsia="Calibri"/>
                <w:sz w:val="20"/>
                <w:szCs w:val="20"/>
              </w:rPr>
              <w:t>/favorably</w:t>
            </w:r>
            <w:r w:rsidRPr="00507F27">
              <w:rPr>
                <w:rFonts w:eastAsia="Calibri"/>
                <w:sz w:val="20"/>
                <w:szCs w:val="20"/>
              </w:rPr>
              <w:t xml:space="preserve"> about this retailer </w:t>
            </w:r>
            <w:r>
              <w:rPr>
                <w:rFonts w:eastAsia="Calibri"/>
                <w:sz w:val="20"/>
                <w:szCs w:val="20"/>
              </w:rPr>
              <w:t>i</w:t>
            </w:r>
            <w:r w:rsidRPr="00776F10">
              <w:rPr>
                <w:rFonts w:eastAsia="Calibri"/>
                <w:sz w:val="20"/>
                <w:szCs w:val="20"/>
              </w:rPr>
              <w:t>n social situations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91</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25</w:t>
            </w:r>
            <w:r w:rsidRPr="00D96336">
              <w:rPr>
                <w:sz w:val="20"/>
                <w:szCs w:val="20"/>
              </w:rPr>
              <w:t>.</w:t>
            </w:r>
            <w:r>
              <w:rPr>
                <w:sz w:val="20"/>
                <w:szCs w:val="20"/>
              </w:rPr>
              <w:t>64</w:t>
            </w:r>
          </w:p>
        </w:tc>
      </w:tr>
      <w:tr w:rsidR="00DA0F4B" w:rsidRPr="00A6770B" w:rsidTr="00C431E9">
        <w:trPr>
          <w:cantSplit/>
        </w:trPr>
        <w:tc>
          <w:tcPr>
            <w:tcW w:w="6946" w:type="dxa"/>
            <w:tcBorders>
              <w:top w:val="nil"/>
              <w:left w:val="nil"/>
              <w:bottom w:val="nil"/>
              <w:right w:val="nil"/>
            </w:tcBorders>
          </w:tcPr>
          <w:p w:rsidR="00DA0F4B" w:rsidRPr="00A6770B" w:rsidRDefault="00DA0F4B" w:rsidP="00406D6F">
            <w:pPr>
              <w:rPr>
                <w:sz w:val="8"/>
                <w:szCs w:val="8"/>
              </w:rPr>
            </w:pPr>
          </w:p>
        </w:tc>
        <w:tc>
          <w:tcPr>
            <w:tcW w:w="1418" w:type="dxa"/>
            <w:tcBorders>
              <w:top w:val="nil"/>
              <w:left w:val="nil"/>
              <w:bottom w:val="nil"/>
              <w:right w:val="nil"/>
            </w:tcBorders>
          </w:tcPr>
          <w:p w:rsidR="00DA0F4B" w:rsidRPr="00A6770B" w:rsidRDefault="00DA0F4B" w:rsidP="00406D6F">
            <w:pPr>
              <w:jc w:val="center"/>
              <w:rPr>
                <w:sz w:val="8"/>
                <w:szCs w:val="8"/>
              </w:rPr>
            </w:pPr>
          </w:p>
        </w:tc>
        <w:tc>
          <w:tcPr>
            <w:tcW w:w="850" w:type="dxa"/>
            <w:tcBorders>
              <w:top w:val="nil"/>
              <w:left w:val="nil"/>
              <w:bottom w:val="nil"/>
              <w:right w:val="nil"/>
            </w:tcBorders>
          </w:tcPr>
          <w:p w:rsidR="00DA0F4B" w:rsidRPr="00A6770B" w:rsidRDefault="00DA0F4B" w:rsidP="00406D6F">
            <w:pPr>
              <w:jc w:val="center"/>
              <w:rPr>
                <w:sz w:val="8"/>
                <w:szCs w:val="8"/>
              </w:rPr>
            </w:pPr>
          </w:p>
        </w:tc>
      </w:tr>
      <w:tr w:rsidR="00DA0F4B" w:rsidRPr="00776F10" w:rsidTr="00C431E9">
        <w:trPr>
          <w:cantSplit/>
        </w:trPr>
        <w:tc>
          <w:tcPr>
            <w:tcW w:w="6946" w:type="dxa"/>
            <w:tcBorders>
              <w:top w:val="nil"/>
              <w:left w:val="nil"/>
              <w:bottom w:val="nil"/>
              <w:right w:val="nil"/>
            </w:tcBorders>
          </w:tcPr>
          <w:p w:rsidR="00DA0F4B" w:rsidRPr="00D96336" w:rsidRDefault="00DA0F4B" w:rsidP="00406D6F">
            <w:pPr>
              <w:rPr>
                <w:i/>
                <w:sz w:val="20"/>
                <w:szCs w:val="20"/>
              </w:rPr>
            </w:pPr>
            <w:r>
              <w:rPr>
                <w:bCs/>
                <w:i/>
                <w:sz w:val="20"/>
                <w:szCs w:val="20"/>
              </w:rPr>
              <w:t>Customer orientation</w:t>
            </w:r>
            <w:r w:rsidRPr="00D96336">
              <w:rPr>
                <w:bCs/>
                <w:i/>
                <w:sz w:val="20"/>
                <w:szCs w:val="20"/>
              </w:rPr>
              <w:t xml:space="preserve"> </w:t>
            </w:r>
          </w:p>
        </w:tc>
        <w:tc>
          <w:tcPr>
            <w:tcW w:w="1418" w:type="dxa"/>
            <w:tcBorders>
              <w:top w:val="nil"/>
              <w:left w:val="nil"/>
              <w:bottom w:val="nil"/>
              <w:right w:val="nil"/>
            </w:tcBorders>
          </w:tcPr>
          <w:p w:rsidR="00DA0F4B" w:rsidRPr="00D96336" w:rsidRDefault="00DA0F4B" w:rsidP="00406D6F">
            <w:pPr>
              <w:jc w:val="center"/>
              <w:rPr>
                <w:sz w:val="20"/>
                <w:szCs w:val="20"/>
              </w:rPr>
            </w:pPr>
          </w:p>
        </w:tc>
        <w:tc>
          <w:tcPr>
            <w:tcW w:w="850" w:type="dxa"/>
            <w:tcBorders>
              <w:top w:val="nil"/>
              <w:left w:val="nil"/>
              <w:bottom w:val="nil"/>
              <w:right w:val="nil"/>
            </w:tcBorders>
          </w:tcPr>
          <w:p w:rsidR="00DA0F4B" w:rsidRPr="00D96336" w:rsidRDefault="00DA0F4B" w:rsidP="00406D6F">
            <w:pPr>
              <w:jc w:val="center"/>
              <w:rPr>
                <w:sz w:val="20"/>
                <w:szCs w:val="20"/>
              </w:rPr>
            </w:pPr>
          </w:p>
        </w:tc>
      </w:tr>
      <w:tr w:rsidR="00DA0F4B" w:rsidRPr="00D96336" w:rsidTr="00C431E9">
        <w:trPr>
          <w:cantSplit/>
        </w:trPr>
        <w:tc>
          <w:tcPr>
            <w:tcW w:w="6946" w:type="dxa"/>
            <w:tcBorders>
              <w:top w:val="nil"/>
              <w:left w:val="nil"/>
              <w:bottom w:val="nil"/>
              <w:right w:val="nil"/>
            </w:tcBorders>
          </w:tcPr>
          <w:p w:rsidR="00DA0F4B" w:rsidRPr="00D96336" w:rsidRDefault="00DA0F4B" w:rsidP="00406D6F">
            <w:pPr>
              <w:ind w:left="255" w:hanging="255"/>
              <w:jc w:val="both"/>
              <w:rPr>
                <w:sz w:val="20"/>
                <w:szCs w:val="20"/>
              </w:rPr>
            </w:pPr>
            <w:r w:rsidRPr="00D96336">
              <w:rPr>
                <w:sz w:val="20"/>
                <w:szCs w:val="20"/>
              </w:rPr>
              <w:t xml:space="preserve">  </w:t>
            </w:r>
            <w:r w:rsidRPr="0028102D">
              <w:rPr>
                <w:rFonts w:eastAsia="Calibri"/>
                <w:sz w:val="20"/>
                <w:szCs w:val="20"/>
              </w:rPr>
              <w:t>tries to make every customer feel like he/she is the only customer</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76</w:t>
            </w:r>
          </w:p>
        </w:tc>
        <w:tc>
          <w:tcPr>
            <w:tcW w:w="850"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1</w:t>
            </w:r>
            <w:r>
              <w:rPr>
                <w:sz w:val="20"/>
                <w:szCs w:val="20"/>
              </w:rPr>
              <w:t>9</w:t>
            </w:r>
            <w:r w:rsidRPr="00D96336">
              <w:rPr>
                <w:sz w:val="20"/>
                <w:szCs w:val="20"/>
              </w:rPr>
              <w:t>.</w:t>
            </w:r>
            <w:r>
              <w:rPr>
                <w:sz w:val="20"/>
                <w:szCs w:val="20"/>
              </w:rPr>
              <w:t>60</w:t>
            </w:r>
          </w:p>
        </w:tc>
      </w:tr>
      <w:tr w:rsidR="00DA0F4B" w:rsidRPr="00641412" w:rsidTr="00C431E9">
        <w:trPr>
          <w:cantSplit/>
        </w:trPr>
        <w:tc>
          <w:tcPr>
            <w:tcW w:w="6946" w:type="dxa"/>
            <w:tcBorders>
              <w:top w:val="nil"/>
              <w:left w:val="nil"/>
              <w:bottom w:val="nil"/>
              <w:right w:val="nil"/>
            </w:tcBorders>
          </w:tcPr>
          <w:p w:rsidR="00DA0F4B" w:rsidRPr="00641412" w:rsidRDefault="00DA0F4B" w:rsidP="00406D6F">
            <w:pPr>
              <w:autoSpaceDE w:val="0"/>
              <w:autoSpaceDN w:val="0"/>
              <w:adjustRightInd w:val="0"/>
              <w:ind w:left="255" w:hanging="255"/>
              <w:rPr>
                <w:sz w:val="20"/>
                <w:szCs w:val="20"/>
              </w:rPr>
            </w:pPr>
            <w:r w:rsidRPr="00641412">
              <w:rPr>
                <w:rFonts w:eastAsia="Calibri"/>
                <w:sz w:val="20"/>
                <w:szCs w:val="20"/>
              </w:rPr>
              <w:t xml:space="preserve">  </w:t>
            </w:r>
            <w:r>
              <w:rPr>
                <w:rFonts w:eastAsia="Calibri"/>
                <w:sz w:val="20"/>
                <w:szCs w:val="20"/>
              </w:rPr>
              <w:t>e</w:t>
            </w:r>
            <w:r w:rsidRPr="00641412">
              <w:rPr>
                <w:rFonts w:eastAsia="Calibri"/>
                <w:sz w:val="20"/>
                <w:szCs w:val="20"/>
              </w:rPr>
              <w:t>very customer’s problem is important to this retailer</w:t>
            </w:r>
          </w:p>
        </w:tc>
        <w:tc>
          <w:tcPr>
            <w:tcW w:w="1418" w:type="dxa"/>
            <w:tcBorders>
              <w:top w:val="nil"/>
              <w:left w:val="nil"/>
              <w:bottom w:val="nil"/>
              <w:right w:val="nil"/>
            </w:tcBorders>
          </w:tcPr>
          <w:p w:rsidR="00DA0F4B" w:rsidRPr="00641412" w:rsidRDefault="00DA0F4B" w:rsidP="00406D6F">
            <w:pPr>
              <w:jc w:val="center"/>
              <w:rPr>
                <w:sz w:val="20"/>
                <w:szCs w:val="20"/>
              </w:rPr>
            </w:pPr>
            <w:r w:rsidRPr="00641412">
              <w:rPr>
                <w:sz w:val="20"/>
                <w:szCs w:val="20"/>
              </w:rPr>
              <w:t>.8</w:t>
            </w:r>
            <w:r>
              <w:rPr>
                <w:sz w:val="20"/>
                <w:szCs w:val="20"/>
              </w:rPr>
              <w:t>3</w:t>
            </w:r>
          </w:p>
        </w:tc>
        <w:tc>
          <w:tcPr>
            <w:tcW w:w="850" w:type="dxa"/>
            <w:tcBorders>
              <w:top w:val="nil"/>
              <w:left w:val="nil"/>
              <w:bottom w:val="nil"/>
              <w:right w:val="nil"/>
            </w:tcBorders>
          </w:tcPr>
          <w:p w:rsidR="00DA0F4B" w:rsidRPr="00641412" w:rsidRDefault="00DA0F4B" w:rsidP="00406D6F">
            <w:pPr>
              <w:jc w:val="center"/>
              <w:rPr>
                <w:sz w:val="20"/>
                <w:szCs w:val="20"/>
              </w:rPr>
            </w:pPr>
            <w:r>
              <w:rPr>
                <w:sz w:val="20"/>
                <w:szCs w:val="20"/>
              </w:rPr>
              <w:t>22</w:t>
            </w:r>
            <w:r w:rsidRPr="00641412">
              <w:rPr>
                <w:sz w:val="20"/>
                <w:szCs w:val="20"/>
              </w:rPr>
              <w:t>.3</w:t>
            </w:r>
            <w:r>
              <w:rPr>
                <w:sz w:val="20"/>
                <w:szCs w:val="20"/>
              </w:rPr>
              <w:t>2</w:t>
            </w:r>
          </w:p>
        </w:tc>
      </w:tr>
      <w:tr w:rsidR="00DA0F4B" w:rsidRPr="00641412" w:rsidTr="00BE5EF1">
        <w:trPr>
          <w:cantSplit/>
        </w:trPr>
        <w:tc>
          <w:tcPr>
            <w:tcW w:w="6946" w:type="dxa"/>
            <w:tcBorders>
              <w:top w:val="nil"/>
              <w:left w:val="nil"/>
              <w:bottom w:val="nil"/>
              <w:right w:val="nil"/>
            </w:tcBorders>
          </w:tcPr>
          <w:p w:rsidR="00DA0F4B" w:rsidRPr="00641412" w:rsidRDefault="00DA0F4B" w:rsidP="00406D6F">
            <w:pPr>
              <w:autoSpaceDE w:val="0"/>
              <w:autoSpaceDN w:val="0"/>
              <w:adjustRightInd w:val="0"/>
              <w:ind w:left="255" w:hanging="255"/>
              <w:rPr>
                <w:sz w:val="20"/>
                <w:szCs w:val="20"/>
              </w:rPr>
            </w:pPr>
            <w:r w:rsidRPr="00641412">
              <w:rPr>
                <w:rFonts w:eastAsia="Calibri"/>
                <w:sz w:val="20"/>
                <w:szCs w:val="20"/>
              </w:rPr>
              <w:t xml:space="preserve">  does not provide individual attention to each customer</w:t>
            </w:r>
          </w:p>
        </w:tc>
        <w:tc>
          <w:tcPr>
            <w:tcW w:w="1418" w:type="dxa"/>
            <w:tcBorders>
              <w:top w:val="nil"/>
              <w:left w:val="nil"/>
              <w:bottom w:val="nil"/>
              <w:right w:val="nil"/>
            </w:tcBorders>
          </w:tcPr>
          <w:p w:rsidR="00DA0F4B" w:rsidRPr="00641412" w:rsidRDefault="00DA0F4B" w:rsidP="00406D6F">
            <w:pPr>
              <w:jc w:val="center"/>
              <w:rPr>
                <w:sz w:val="20"/>
                <w:szCs w:val="20"/>
              </w:rPr>
            </w:pPr>
            <w:r w:rsidRPr="00641412">
              <w:rPr>
                <w:sz w:val="20"/>
                <w:szCs w:val="20"/>
              </w:rPr>
              <w:t>.8</w:t>
            </w:r>
            <w:r>
              <w:rPr>
                <w:sz w:val="20"/>
                <w:szCs w:val="20"/>
              </w:rPr>
              <w:t>9</w:t>
            </w:r>
          </w:p>
        </w:tc>
        <w:tc>
          <w:tcPr>
            <w:tcW w:w="850" w:type="dxa"/>
            <w:tcBorders>
              <w:top w:val="nil"/>
              <w:left w:val="nil"/>
              <w:bottom w:val="nil"/>
              <w:right w:val="nil"/>
            </w:tcBorders>
          </w:tcPr>
          <w:p w:rsidR="00DA0F4B" w:rsidRPr="00641412" w:rsidRDefault="00DA0F4B" w:rsidP="00406D6F">
            <w:pPr>
              <w:jc w:val="center"/>
              <w:rPr>
                <w:sz w:val="20"/>
                <w:szCs w:val="20"/>
              </w:rPr>
            </w:pPr>
            <w:r>
              <w:rPr>
                <w:sz w:val="20"/>
                <w:szCs w:val="20"/>
              </w:rPr>
              <w:t>2</w:t>
            </w:r>
            <w:r w:rsidRPr="00641412">
              <w:rPr>
                <w:sz w:val="20"/>
                <w:szCs w:val="20"/>
              </w:rPr>
              <w:t>4.</w:t>
            </w:r>
            <w:r>
              <w:rPr>
                <w:sz w:val="20"/>
                <w:szCs w:val="20"/>
              </w:rPr>
              <w:t>74</w:t>
            </w:r>
          </w:p>
        </w:tc>
      </w:tr>
      <w:tr w:rsidR="00DA0F4B" w:rsidRPr="00D96336" w:rsidTr="00BE5EF1">
        <w:trPr>
          <w:cantSplit/>
        </w:trPr>
        <w:tc>
          <w:tcPr>
            <w:tcW w:w="6946" w:type="dxa"/>
            <w:tcBorders>
              <w:top w:val="nil"/>
              <w:left w:val="nil"/>
              <w:bottom w:val="nil"/>
              <w:right w:val="nil"/>
            </w:tcBorders>
          </w:tcPr>
          <w:p w:rsidR="00DA0F4B" w:rsidRPr="00D96336" w:rsidRDefault="00DA0F4B" w:rsidP="00406D6F">
            <w:pPr>
              <w:ind w:left="255" w:hanging="255"/>
              <w:jc w:val="both"/>
              <w:rPr>
                <w:sz w:val="20"/>
                <w:szCs w:val="20"/>
              </w:rPr>
            </w:pPr>
            <w:r w:rsidRPr="00D96336">
              <w:rPr>
                <w:sz w:val="20"/>
                <w:szCs w:val="20"/>
              </w:rPr>
              <w:t xml:space="preserve">  </w:t>
            </w:r>
            <w:r w:rsidRPr="00641412">
              <w:rPr>
                <w:rFonts w:eastAsia="Calibri"/>
                <w:sz w:val="20"/>
                <w:szCs w:val="20"/>
              </w:rPr>
              <w:t>has a strong focus on customer needs</w:t>
            </w:r>
          </w:p>
        </w:tc>
        <w:tc>
          <w:tcPr>
            <w:tcW w:w="1418" w:type="dxa"/>
            <w:tcBorders>
              <w:top w:val="nil"/>
              <w:left w:val="nil"/>
              <w:bottom w:val="nil"/>
              <w:right w:val="nil"/>
            </w:tcBorders>
          </w:tcPr>
          <w:p w:rsidR="00DA0F4B" w:rsidRPr="00D96336" w:rsidRDefault="00DA0F4B" w:rsidP="00406D6F">
            <w:pPr>
              <w:jc w:val="center"/>
              <w:rPr>
                <w:sz w:val="20"/>
                <w:szCs w:val="20"/>
              </w:rPr>
            </w:pPr>
            <w:r w:rsidRPr="00D96336">
              <w:rPr>
                <w:sz w:val="20"/>
                <w:szCs w:val="20"/>
              </w:rPr>
              <w:t>.</w:t>
            </w:r>
            <w:r>
              <w:rPr>
                <w:sz w:val="20"/>
                <w:szCs w:val="20"/>
              </w:rPr>
              <w:t>79</w:t>
            </w:r>
          </w:p>
        </w:tc>
        <w:tc>
          <w:tcPr>
            <w:tcW w:w="850" w:type="dxa"/>
            <w:tcBorders>
              <w:top w:val="nil"/>
              <w:left w:val="nil"/>
              <w:bottom w:val="nil"/>
              <w:right w:val="nil"/>
            </w:tcBorders>
          </w:tcPr>
          <w:p w:rsidR="00DA0F4B" w:rsidRPr="00D96336" w:rsidRDefault="00DA0F4B" w:rsidP="00406D6F">
            <w:pPr>
              <w:jc w:val="center"/>
              <w:rPr>
                <w:sz w:val="20"/>
                <w:szCs w:val="20"/>
              </w:rPr>
            </w:pPr>
            <w:r>
              <w:rPr>
                <w:sz w:val="20"/>
                <w:szCs w:val="20"/>
              </w:rPr>
              <w:t>20</w:t>
            </w:r>
            <w:r w:rsidRPr="00D96336">
              <w:rPr>
                <w:sz w:val="20"/>
                <w:szCs w:val="20"/>
              </w:rPr>
              <w:t>.</w:t>
            </w:r>
            <w:r>
              <w:rPr>
                <w:sz w:val="20"/>
                <w:szCs w:val="20"/>
              </w:rPr>
              <w:t>65</w:t>
            </w:r>
          </w:p>
        </w:tc>
      </w:tr>
      <w:tr w:rsidR="00DA0F4B" w:rsidRPr="00BE5EF1" w:rsidTr="00BE5EF1">
        <w:trPr>
          <w:cantSplit/>
        </w:trPr>
        <w:tc>
          <w:tcPr>
            <w:tcW w:w="9214" w:type="dxa"/>
            <w:gridSpan w:val="3"/>
            <w:tcBorders>
              <w:top w:val="nil"/>
              <w:left w:val="nil"/>
              <w:bottom w:val="single" w:sz="12" w:space="0" w:color="auto"/>
              <w:right w:val="nil"/>
            </w:tcBorders>
          </w:tcPr>
          <w:p w:rsidR="00DA0F4B" w:rsidRPr="00BE5EF1" w:rsidRDefault="00DA0F4B" w:rsidP="00406D6F">
            <w:pPr>
              <w:rPr>
                <w:sz w:val="8"/>
                <w:szCs w:val="8"/>
              </w:rPr>
            </w:pPr>
          </w:p>
        </w:tc>
      </w:tr>
    </w:tbl>
    <w:p w:rsidR="00DA0F4B" w:rsidRDefault="00DA0F4B" w:rsidP="00DA0F4B">
      <w:pPr>
        <w:outlineLvl w:val="0"/>
        <w:rPr>
          <w:bCs/>
          <w:sz w:val="20"/>
          <w:szCs w:val="20"/>
          <w:vertAlign w:val="superscript"/>
          <w:lang w:eastAsia="zh-CN"/>
        </w:rPr>
      </w:pPr>
    </w:p>
    <w:p w:rsidR="00DA0F4B" w:rsidRPr="00217369" w:rsidRDefault="00DA0F4B" w:rsidP="00B857E0">
      <w:pPr>
        <w:spacing w:line="480" w:lineRule="auto"/>
        <w:jc w:val="center"/>
        <w:outlineLvl w:val="0"/>
        <w:rPr>
          <w:b/>
        </w:rPr>
      </w:pPr>
      <w:r w:rsidRPr="00217369">
        <w:rPr>
          <w:b/>
        </w:rPr>
        <w:lastRenderedPageBreak/>
        <w:t>Table 2</w:t>
      </w:r>
    </w:p>
    <w:p w:rsidR="00DA0F4B" w:rsidRPr="00B857E0" w:rsidRDefault="00DA0F4B" w:rsidP="00B857E0">
      <w:pPr>
        <w:spacing w:line="480" w:lineRule="auto"/>
        <w:jc w:val="center"/>
        <w:outlineLvl w:val="0"/>
        <w:rPr>
          <w:b/>
        </w:rPr>
      </w:pPr>
      <w:r w:rsidRPr="00B857E0">
        <w:rPr>
          <w:b/>
        </w:rPr>
        <w:t>Correlation matrix, reliability estimates</w:t>
      </w:r>
      <w:r w:rsidR="00332DD8" w:rsidRPr="00B857E0">
        <w:rPr>
          <w:b/>
        </w:rPr>
        <w:t>,</w:t>
      </w:r>
      <w:r w:rsidRPr="00B857E0">
        <w:rPr>
          <w:b/>
        </w:rPr>
        <w:t xml:space="preserve"> and descriptive </w:t>
      </w:r>
      <w:proofErr w:type="spellStart"/>
      <w:r w:rsidRPr="00B857E0">
        <w:rPr>
          <w:b/>
        </w:rPr>
        <w:t>statistics</w:t>
      </w:r>
      <w:r w:rsidRPr="00B857E0">
        <w:rPr>
          <w:b/>
          <w:vertAlign w:val="superscript"/>
        </w:rPr>
        <w:t>a</w:t>
      </w:r>
      <w:proofErr w:type="spellEnd"/>
    </w:p>
    <w:tbl>
      <w:tblPr>
        <w:tblW w:w="9214" w:type="dxa"/>
        <w:tblInd w:w="-34" w:type="dxa"/>
        <w:tblLayout w:type="fixed"/>
        <w:tblLook w:val="0000" w:firstRow="0" w:lastRow="0" w:firstColumn="0" w:lastColumn="0" w:noHBand="0" w:noVBand="0"/>
      </w:tblPr>
      <w:tblGrid>
        <w:gridCol w:w="3240"/>
        <w:gridCol w:w="668"/>
        <w:gridCol w:w="663"/>
        <w:gridCol w:w="663"/>
        <w:gridCol w:w="663"/>
        <w:gridCol w:w="663"/>
        <w:gridCol w:w="663"/>
        <w:gridCol w:w="663"/>
        <w:gridCol w:w="663"/>
        <w:gridCol w:w="665"/>
      </w:tblGrid>
      <w:tr w:rsidR="00DA0F4B" w:rsidRPr="00D96336" w:rsidTr="00406D6F">
        <w:trPr>
          <w:trHeight w:val="300"/>
        </w:trPr>
        <w:tc>
          <w:tcPr>
            <w:tcW w:w="3240" w:type="dxa"/>
            <w:tcBorders>
              <w:top w:val="single" w:sz="12" w:space="0" w:color="auto"/>
              <w:bottom w:val="single" w:sz="8" w:space="0" w:color="auto"/>
            </w:tcBorders>
          </w:tcPr>
          <w:p w:rsidR="00DA0F4B" w:rsidRPr="00D96336" w:rsidRDefault="00DA0F4B" w:rsidP="00406D6F">
            <w:pPr>
              <w:spacing w:before="100" w:beforeAutospacing="1" w:after="100" w:afterAutospacing="1"/>
            </w:pPr>
            <w:r w:rsidRPr="00D96336">
              <w:t>Measures</w:t>
            </w:r>
          </w:p>
        </w:tc>
        <w:tc>
          <w:tcPr>
            <w:tcW w:w="668" w:type="dxa"/>
            <w:tcBorders>
              <w:top w:val="single" w:sz="12" w:space="0" w:color="auto"/>
              <w:bottom w:val="single" w:sz="8" w:space="0" w:color="auto"/>
            </w:tcBorders>
          </w:tcPr>
          <w:p w:rsidR="00DA0F4B" w:rsidRPr="00D96336" w:rsidRDefault="00DA0F4B" w:rsidP="00406D6F">
            <w:pPr>
              <w:tabs>
                <w:tab w:val="left" w:pos="4820"/>
                <w:tab w:val="left" w:pos="7371"/>
              </w:tabs>
              <w:spacing w:before="100" w:beforeAutospacing="1" w:after="100" w:afterAutospacing="1"/>
              <w:jc w:val="center"/>
            </w:pPr>
            <w:r w:rsidRPr="00D96336">
              <w:t>1</w:t>
            </w:r>
          </w:p>
        </w:tc>
        <w:tc>
          <w:tcPr>
            <w:tcW w:w="663" w:type="dxa"/>
            <w:tcBorders>
              <w:top w:val="single" w:sz="12" w:space="0" w:color="auto"/>
              <w:bottom w:val="single" w:sz="8" w:space="0" w:color="auto"/>
            </w:tcBorders>
          </w:tcPr>
          <w:p w:rsidR="00DA0F4B" w:rsidRPr="00D96336" w:rsidRDefault="00DA0F4B" w:rsidP="00406D6F">
            <w:pPr>
              <w:tabs>
                <w:tab w:val="left" w:pos="4820"/>
                <w:tab w:val="left" w:pos="7371"/>
              </w:tabs>
              <w:spacing w:before="100" w:beforeAutospacing="1" w:after="100" w:afterAutospacing="1"/>
              <w:jc w:val="center"/>
            </w:pPr>
            <w:r w:rsidRPr="00D96336">
              <w:t>2</w:t>
            </w:r>
          </w:p>
        </w:tc>
        <w:tc>
          <w:tcPr>
            <w:tcW w:w="663" w:type="dxa"/>
            <w:tcBorders>
              <w:top w:val="single" w:sz="12" w:space="0" w:color="auto"/>
              <w:bottom w:val="single" w:sz="8" w:space="0" w:color="auto"/>
            </w:tcBorders>
          </w:tcPr>
          <w:p w:rsidR="00DA0F4B" w:rsidRPr="00D96336" w:rsidRDefault="00DA0F4B" w:rsidP="00406D6F">
            <w:pPr>
              <w:tabs>
                <w:tab w:val="left" w:pos="4820"/>
                <w:tab w:val="left" w:pos="7371"/>
              </w:tabs>
              <w:spacing w:before="100" w:beforeAutospacing="1" w:after="100" w:afterAutospacing="1"/>
              <w:jc w:val="center"/>
            </w:pPr>
            <w:r w:rsidRPr="00D96336">
              <w:t>3</w:t>
            </w:r>
          </w:p>
        </w:tc>
        <w:tc>
          <w:tcPr>
            <w:tcW w:w="663" w:type="dxa"/>
            <w:tcBorders>
              <w:top w:val="single" w:sz="12" w:space="0" w:color="auto"/>
              <w:bottom w:val="single" w:sz="8" w:space="0" w:color="auto"/>
            </w:tcBorders>
          </w:tcPr>
          <w:p w:rsidR="00DA0F4B" w:rsidRPr="00D96336" w:rsidRDefault="00DA0F4B" w:rsidP="00406D6F">
            <w:pPr>
              <w:tabs>
                <w:tab w:val="left" w:pos="4820"/>
                <w:tab w:val="left" w:pos="7371"/>
              </w:tabs>
              <w:spacing w:before="100" w:beforeAutospacing="1" w:after="100" w:afterAutospacing="1"/>
              <w:jc w:val="center"/>
            </w:pPr>
            <w:r w:rsidRPr="00D96336">
              <w:t>4</w:t>
            </w:r>
          </w:p>
        </w:tc>
        <w:tc>
          <w:tcPr>
            <w:tcW w:w="663" w:type="dxa"/>
            <w:tcBorders>
              <w:top w:val="single" w:sz="12" w:space="0" w:color="auto"/>
              <w:bottom w:val="single" w:sz="8" w:space="0" w:color="auto"/>
            </w:tcBorders>
          </w:tcPr>
          <w:p w:rsidR="00DA0F4B" w:rsidRPr="00D96336" w:rsidRDefault="00DA0F4B" w:rsidP="00406D6F">
            <w:pPr>
              <w:tabs>
                <w:tab w:val="left" w:pos="4820"/>
                <w:tab w:val="left" w:pos="7371"/>
              </w:tabs>
              <w:spacing w:before="100" w:beforeAutospacing="1" w:after="100" w:afterAutospacing="1"/>
              <w:jc w:val="center"/>
            </w:pPr>
            <w:r w:rsidRPr="00D96336">
              <w:t>5</w:t>
            </w:r>
          </w:p>
        </w:tc>
        <w:tc>
          <w:tcPr>
            <w:tcW w:w="663" w:type="dxa"/>
            <w:tcBorders>
              <w:top w:val="single" w:sz="12" w:space="0" w:color="auto"/>
              <w:bottom w:val="single" w:sz="8" w:space="0" w:color="auto"/>
            </w:tcBorders>
          </w:tcPr>
          <w:p w:rsidR="00DA0F4B" w:rsidRPr="00D96336" w:rsidRDefault="00DA0F4B" w:rsidP="00406D6F">
            <w:pPr>
              <w:tabs>
                <w:tab w:val="left" w:pos="4820"/>
                <w:tab w:val="left" w:pos="7371"/>
              </w:tabs>
              <w:spacing w:before="100" w:beforeAutospacing="1" w:after="100" w:afterAutospacing="1"/>
              <w:jc w:val="center"/>
            </w:pPr>
            <w:r w:rsidRPr="00D96336">
              <w:t>6</w:t>
            </w:r>
          </w:p>
        </w:tc>
        <w:tc>
          <w:tcPr>
            <w:tcW w:w="663" w:type="dxa"/>
            <w:tcBorders>
              <w:top w:val="single" w:sz="12" w:space="0" w:color="auto"/>
              <w:bottom w:val="single" w:sz="8" w:space="0" w:color="auto"/>
            </w:tcBorders>
          </w:tcPr>
          <w:p w:rsidR="00DA0F4B" w:rsidRPr="00D96336" w:rsidRDefault="00876C01" w:rsidP="00406D6F">
            <w:pPr>
              <w:tabs>
                <w:tab w:val="left" w:pos="4820"/>
                <w:tab w:val="left" w:pos="7371"/>
              </w:tabs>
              <w:spacing w:before="100" w:beforeAutospacing="1" w:after="100" w:afterAutospacing="1"/>
              <w:jc w:val="center"/>
            </w:pPr>
            <w:r>
              <w:t>7</w:t>
            </w:r>
          </w:p>
        </w:tc>
        <w:tc>
          <w:tcPr>
            <w:tcW w:w="663" w:type="dxa"/>
            <w:tcBorders>
              <w:top w:val="single" w:sz="12" w:space="0" w:color="auto"/>
              <w:bottom w:val="single" w:sz="8" w:space="0" w:color="auto"/>
            </w:tcBorders>
          </w:tcPr>
          <w:p w:rsidR="00DA0F4B" w:rsidRPr="00D96336" w:rsidRDefault="00876C01" w:rsidP="00406D6F">
            <w:pPr>
              <w:tabs>
                <w:tab w:val="left" w:pos="4820"/>
                <w:tab w:val="left" w:pos="7371"/>
              </w:tabs>
              <w:spacing w:before="100" w:beforeAutospacing="1" w:after="100" w:afterAutospacing="1"/>
              <w:jc w:val="center"/>
            </w:pPr>
            <w:r>
              <w:t>8</w:t>
            </w:r>
          </w:p>
        </w:tc>
        <w:tc>
          <w:tcPr>
            <w:tcW w:w="665" w:type="dxa"/>
            <w:tcBorders>
              <w:top w:val="single" w:sz="12" w:space="0" w:color="auto"/>
              <w:bottom w:val="single" w:sz="8" w:space="0" w:color="auto"/>
            </w:tcBorders>
          </w:tcPr>
          <w:p w:rsidR="00DA0F4B" w:rsidRPr="00D96336" w:rsidRDefault="00876C01" w:rsidP="00406D6F">
            <w:pPr>
              <w:tabs>
                <w:tab w:val="left" w:pos="4820"/>
                <w:tab w:val="left" w:pos="7371"/>
              </w:tabs>
              <w:spacing w:before="100" w:beforeAutospacing="1" w:after="100" w:afterAutospacing="1"/>
              <w:jc w:val="center"/>
            </w:pPr>
            <w:r>
              <w:t>9</w:t>
            </w:r>
          </w:p>
        </w:tc>
      </w:tr>
      <w:tr w:rsidR="00DA0F4B" w:rsidRPr="00D96336" w:rsidTr="00406D6F">
        <w:trPr>
          <w:trHeight w:val="40"/>
        </w:trPr>
        <w:tc>
          <w:tcPr>
            <w:tcW w:w="3240" w:type="dxa"/>
          </w:tcPr>
          <w:p w:rsidR="00DA0F4B" w:rsidRPr="00D96336" w:rsidRDefault="00DA0F4B" w:rsidP="00406D6F">
            <w:pPr>
              <w:rPr>
                <w:sz w:val="8"/>
                <w:szCs w:val="20"/>
              </w:rPr>
            </w:pPr>
          </w:p>
        </w:tc>
        <w:tc>
          <w:tcPr>
            <w:tcW w:w="668" w:type="dxa"/>
          </w:tcPr>
          <w:p w:rsidR="00DA0F4B" w:rsidRPr="00D96336" w:rsidRDefault="00DA0F4B" w:rsidP="00406D6F">
            <w:pPr>
              <w:tabs>
                <w:tab w:val="left" w:pos="4820"/>
                <w:tab w:val="left" w:pos="7371"/>
              </w:tabs>
              <w:jc w:val="center"/>
              <w:rPr>
                <w:sz w:val="8"/>
                <w:szCs w:val="20"/>
              </w:rPr>
            </w:pPr>
          </w:p>
        </w:tc>
        <w:tc>
          <w:tcPr>
            <w:tcW w:w="663" w:type="dxa"/>
          </w:tcPr>
          <w:p w:rsidR="00DA0F4B" w:rsidRPr="00D96336" w:rsidRDefault="00DA0F4B" w:rsidP="00406D6F">
            <w:pPr>
              <w:tabs>
                <w:tab w:val="left" w:pos="4820"/>
                <w:tab w:val="left" w:pos="7371"/>
              </w:tabs>
              <w:jc w:val="center"/>
              <w:rPr>
                <w:b/>
                <w:sz w:val="8"/>
                <w:szCs w:val="20"/>
              </w:rPr>
            </w:pPr>
          </w:p>
        </w:tc>
        <w:tc>
          <w:tcPr>
            <w:tcW w:w="663" w:type="dxa"/>
          </w:tcPr>
          <w:p w:rsidR="00DA0F4B" w:rsidRPr="00D96336" w:rsidRDefault="00DA0F4B" w:rsidP="00406D6F">
            <w:pPr>
              <w:tabs>
                <w:tab w:val="left" w:pos="4820"/>
                <w:tab w:val="left" w:pos="7371"/>
              </w:tabs>
              <w:jc w:val="center"/>
              <w:rPr>
                <w:b/>
                <w:sz w:val="8"/>
                <w:szCs w:val="20"/>
              </w:rPr>
            </w:pPr>
          </w:p>
        </w:tc>
        <w:tc>
          <w:tcPr>
            <w:tcW w:w="663" w:type="dxa"/>
          </w:tcPr>
          <w:p w:rsidR="00DA0F4B" w:rsidRPr="00D96336" w:rsidRDefault="00DA0F4B" w:rsidP="00406D6F">
            <w:pPr>
              <w:tabs>
                <w:tab w:val="left" w:pos="4820"/>
                <w:tab w:val="left" w:pos="7371"/>
              </w:tabs>
              <w:jc w:val="center"/>
              <w:rPr>
                <w:b/>
                <w:sz w:val="8"/>
                <w:szCs w:val="20"/>
              </w:rPr>
            </w:pPr>
          </w:p>
        </w:tc>
        <w:tc>
          <w:tcPr>
            <w:tcW w:w="663" w:type="dxa"/>
          </w:tcPr>
          <w:p w:rsidR="00DA0F4B" w:rsidRPr="00D96336" w:rsidRDefault="00DA0F4B" w:rsidP="00406D6F">
            <w:pPr>
              <w:tabs>
                <w:tab w:val="left" w:pos="4820"/>
                <w:tab w:val="left" w:pos="7371"/>
              </w:tabs>
              <w:jc w:val="center"/>
              <w:rPr>
                <w:b/>
                <w:sz w:val="8"/>
                <w:szCs w:val="20"/>
              </w:rPr>
            </w:pPr>
          </w:p>
        </w:tc>
        <w:tc>
          <w:tcPr>
            <w:tcW w:w="663" w:type="dxa"/>
          </w:tcPr>
          <w:p w:rsidR="00DA0F4B" w:rsidRPr="00D96336" w:rsidRDefault="00DA0F4B" w:rsidP="00406D6F">
            <w:pPr>
              <w:tabs>
                <w:tab w:val="left" w:pos="4820"/>
                <w:tab w:val="left" w:pos="7371"/>
              </w:tabs>
              <w:jc w:val="center"/>
              <w:rPr>
                <w:b/>
                <w:sz w:val="8"/>
                <w:szCs w:val="20"/>
              </w:rPr>
            </w:pPr>
          </w:p>
        </w:tc>
        <w:tc>
          <w:tcPr>
            <w:tcW w:w="663" w:type="dxa"/>
          </w:tcPr>
          <w:p w:rsidR="00DA0F4B" w:rsidRPr="00D96336" w:rsidRDefault="00DA0F4B" w:rsidP="00406D6F">
            <w:pPr>
              <w:tabs>
                <w:tab w:val="left" w:pos="4820"/>
                <w:tab w:val="left" w:pos="7371"/>
              </w:tabs>
              <w:jc w:val="center"/>
              <w:rPr>
                <w:b/>
                <w:sz w:val="8"/>
                <w:szCs w:val="20"/>
              </w:rPr>
            </w:pPr>
          </w:p>
        </w:tc>
        <w:tc>
          <w:tcPr>
            <w:tcW w:w="663" w:type="dxa"/>
          </w:tcPr>
          <w:p w:rsidR="00DA0F4B" w:rsidRPr="00D96336" w:rsidRDefault="00DA0F4B" w:rsidP="00406D6F">
            <w:pPr>
              <w:tabs>
                <w:tab w:val="left" w:pos="4820"/>
                <w:tab w:val="left" w:pos="7371"/>
              </w:tabs>
              <w:jc w:val="center"/>
              <w:rPr>
                <w:b/>
                <w:sz w:val="8"/>
                <w:szCs w:val="20"/>
              </w:rPr>
            </w:pPr>
          </w:p>
        </w:tc>
        <w:tc>
          <w:tcPr>
            <w:tcW w:w="665" w:type="dxa"/>
          </w:tcPr>
          <w:p w:rsidR="00DA0F4B" w:rsidRPr="00D96336" w:rsidRDefault="00DA0F4B" w:rsidP="00406D6F">
            <w:pPr>
              <w:tabs>
                <w:tab w:val="left" w:pos="4820"/>
                <w:tab w:val="left" w:pos="7371"/>
              </w:tabs>
              <w:jc w:val="center"/>
              <w:rPr>
                <w:b/>
                <w:sz w:val="8"/>
                <w:szCs w:val="20"/>
              </w:rPr>
            </w:pPr>
          </w:p>
        </w:tc>
      </w:tr>
      <w:tr w:rsidR="00DA0F4B" w:rsidRPr="00D96336" w:rsidTr="00406D6F">
        <w:trPr>
          <w:trHeight w:val="300"/>
        </w:trPr>
        <w:tc>
          <w:tcPr>
            <w:tcW w:w="3240" w:type="dxa"/>
          </w:tcPr>
          <w:p w:rsidR="00DA0F4B" w:rsidRPr="00D96336" w:rsidRDefault="00DA0F4B" w:rsidP="00406D6F">
            <w:pPr>
              <w:rPr>
                <w:sz w:val="20"/>
                <w:szCs w:val="20"/>
              </w:rPr>
            </w:pPr>
            <w:r w:rsidRPr="00D96336">
              <w:rPr>
                <w:bCs/>
                <w:sz w:val="20"/>
                <w:szCs w:val="20"/>
              </w:rPr>
              <w:t xml:space="preserve">1. </w:t>
            </w:r>
            <w:r w:rsidRPr="00C66CD4">
              <w:rPr>
                <w:bCs/>
                <w:sz w:val="20"/>
                <w:szCs w:val="20"/>
              </w:rPr>
              <w:t>Egoistic-driven motives</w:t>
            </w:r>
          </w:p>
        </w:tc>
        <w:tc>
          <w:tcPr>
            <w:tcW w:w="668"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3" w:type="dxa"/>
          </w:tcPr>
          <w:p w:rsidR="00DA0F4B" w:rsidRPr="00D96336" w:rsidRDefault="00DA0F4B" w:rsidP="00406D6F">
            <w:pPr>
              <w:tabs>
                <w:tab w:val="left" w:pos="4820"/>
                <w:tab w:val="left" w:pos="7371"/>
              </w:tabs>
              <w:jc w:val="right"/>
              <w:rPr>
                <w:b/>
                <w:sz w:val="20"/>
                <w:szCs w:val="20"/>
              </w:rPr>
            </w:pPr>
          </w:p>
        </w:tc>
        <w:tc>
          <w:tcPr>
            <w:tcW w:w="663" w:type="dxa"/>
          </w:tcPr>
          <w:p w:rsidR="00DA0F4B" w:rsidRPr="00D96336" w:rsidRDefault="00DA0F4B" w:rsidP="00406D6F">
            <w:pPr>
              <w:tabs>
                <w:tab w:val="left" w:pos="4820"/>
                <w:tab w:val="left" w:pos="7371"/>
              </w:tabs>
              <w:jc w:val="right"/>
              <w:rPr>
                <w:b/>
                <w:sz w:val="20"/>
                <w:szCs w:val="20"/>
              </w:rPr>
            </w:pPr>
          </w:p>
        </w:tc>
        <w:tc>
          <w:tcPr>
            <w:tcW w:w="663" w:type="dxa"/>
          </w:tcPr>
          <w:p w:rsidR="00DA0F4B" w:rsidRPr="00D96336" w:rsidRDefault="00DA0F4B" w:rsidP="00406D6F">
            <w:pPr>
              <w:tabs>
                <w:tab w:val="left" w:pos="4820"/>
                <w:tab w:val="left" w:pos="7371"/>
              </w:tabs>
              <w:jc w:val="right"/>
              <w:rPr>
                <w:b/>
                <w:sz w:val="20"/>
                <w:szCs w:val="20"/>
              </w:rPr>
            </w:pPr>
          </w:p>
        </w:tc>
        <w:tc>
          <w:tcPr>
            <w:tcW w:w="663" w:type="dxa"/>
          </w:tcPr>
          <w:p w:rsidR="00DA0F4B" w:rsidRPr="00D96336" w:rsidRDefault="00DA0F4B" w:rsidP="00406D6F">
            <w:pPr>
              <w:tabs>
                <w:tab w:val="left" w:pos="4820"/>
                <w:tab w:val="left" w:pos="7371"/>
              </w:tabs>
              <w:jc w:val="right"/>
              <w:rPr>
                <w:b/>
                <w:sz w:val="20"/>
                <w:szCs w:val="20"/>
              </w:rPr>
            </w:pPr>
          </w:p>
        </w:tc>
        <w:tc>
          <w:tcPr>
            <w:tcW w:w="663" w:type="dxa"/>
          </w:tcPr>
          <w:p w:rsidR="00DA0F4B" w:rsidRPr="00D96336" w:rsidRDefault="00DA0F4B" w:rsidP="00406D6F">
            <w:pPr>
              <w:tabs>
                <w:tab w:val="left" w:pos="4820"/>
                <w:tab w:val="left" w:pos="7371"/>
              </w:tabs>
              <w:jc w:val="right"/>
              <w:rPr>
                <w:b/>
                <w:sz w:val="20"/>
                <w:szCs w:val="20"/>
              </w:rPr>
            </w:pPr>
          </w:p>
        </w:tc>
        <w:tc>
          <w:tcPr>
            <w:tcW w:w="663" w:type="dxa"/>
          </w:tcPr>
          <w:p w:rsidR="00DA0F4B" w:rsidRPr="00D96336" w:rsidRDefault="00DA0F4B" w:rsidP="00406D6F">
            <w:pPr>
              <w:tabs>
                <w:tab w:val="left" w:pos="4820"/>
                <w:tab w:val="left" w:pos="7371"/>
              </w:tabs>
              <w:jc w:val="right"/>
              <w:rPr>
                <w:b/>
                <w:sz w:val="20"/>
                <w:szCs w:val="20"/>
              </w:rPr>
            </w:pPr>
          </w:p>
        </w:tc>
        <w:tc>
          <w:tcPr>
            <w:tcW w:w="663" w:type="dxa"/>
          </w:tcPr>
          <w:p w:rsidR="00DA0F4B" w:rsidRPr="00D96336" w:rsidRDefault="00DA0F4B" w:rsidP="00406D6F">
            <w:pPr>
              <w:tabs>
                <w:tab w:val="left" w:pos="4820"/>
                <w:tab w:val="left" w:pos="7371"/>
              </w:tabs>
              <w:jc w:val="right"/>
              <w:rPr>
                <w:b/>
                <w:sz w:val="20"/>
                <w:szCs w:val="20"/>
              </w:rPr>
            </w:pPr>
          </w:p>
        </w:tc>
        <w:tc>
          <w:tcPr>
            <w:tcW w:w="665" w:type="dxa"/>
          </w:tcPr>
          <w:p w:rsidR="00DA0F4B" w:rsidRPr="00D96336" w:rsidRDefault="00DA0F4B" w:rsidP="00406D6F">
            <w:pPr>
              <w:tabs>
                <w:tab w:val="left" w:pos="4820"/>
                <w:tab w:val="left" w:pos="7371"/>
              </w:tabs>
              <w:jc w:val="right"/>
              <w:rPr>
                <w:b/>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sidRPr="00D96336">
              <w:rPr>
                <w:bCs/>
                <w:sz w:val="20"/>
                <w:szCs w:val="20"/>
              </w:rPr>
              <w:t xml:space="preserve">2. </w:t>
            </w:r>
            <w:r w:rsidRPr="00C66CD4">
              <w:rPr>
                <w:bCs/>
                <w:sz w:val="20"/>
                <w:szCs w:val="20"/>
              </w:rPr>
              <w:t>Values-driven motives</w:t>
            </w:r>
          </w:p>
        </w:tc>
        <w:tc>
          <w:tcPr>
            <w:tcW w:w="668"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27</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5" w:type="dxa"/>
          </w:tcPr>
          <w:p w:rsidR="00DA0F4B" w:rsidRPr="00D96336" w:rsidRDefault="00DA0F4B" w:rsidP="00406D6F">
            <w:pPr>
              <w:tabs>
                <w:tab w:val="left" w:pos="4820"/>
                <w:tab w:val="left" w:pos="7371"/>
              </w:tabs>
              <w:jc w:val="right"/>
              <w:rPr>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sidRPr="00D96336">
              <w:rPr>
                <w:bCs/>
                <w:sz w:val="20"/>
                <w:szCs w:val="20"/>
              </w:rPr>
              <w:t xml:space="preserve">3. </w:t>
            </w:r>
            <w:r w:rsidRPr="00C66CD4">
              <w:rPr>
                <w:bCs/>
                <w:sz w:val="20"/>
                <w:szCs w:val="20"/>
              </w:rPr>
              <w:t>Strategic-driven motives</w:t>
            </w:r>
          </w:p>
        </w:tc>
        <w:tc>
          <w:tcPr>
            <w:tcW w:w="668"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41</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19</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5" w:type="dxa"/>
          </w:tcPr>
          <w:p w:rsidR="00DA0F4B" w:rsidRPr="00D96336" w:rsidRDefault="00DA0F4B" w:rsidP="00406D6F">
            <w:pPr>
              <w:tabs>
                <w:tab w:val="left" w:pos="4820"/>
                <w:tab w:val="left" w:pos="7371"/>
              </w:tabs>
              <w:jc w:val="right"/>
              <w:rPr>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sidRPr="00D96336">
              <w:rPr>
                <w:bCs/>
                <w:sz w:val="20"/>
                <w:szCs w:val="20"/>
              </w:rPr>
              <w:t xml:space="preserve">4. </w:t>
            </w:r>
            <w:r w:rsidRPr="00C66CD4">
              <w:rPr>
                <w:bCs/>
                <w:sz w:val="20"/>
                <w:szCs w:val="20"/>
              </w:rPr>
              <w:t>Stakeholder-driven motives</w:t>
            </w:r>
          </w:p>
        </w:tc>
        <w:tc>
          <w:tcPr>
            <w:tcW w:w="668"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09</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28</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23</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5" w:type="dxa"/>
          </w:tcPr>
          <w:p w:rsidR="00DA0F4B" w:rsidRPr="00D96336" w:rsidRDefault="00DA0F4B" w:rsidP="00406D6F">
            <w:pPr>
              <w:tabs>
                <w:tab w:val="left" w:pos="4820"/>
                <w:tab w:val="left" w:pos="7371"/>
              </w:tabs>
              <w:jc w:val="right"/>
              <w:rPr>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sidRPr="00D96336">
              <w:rPr>
                <w:bCs/>
                <w:sz w:val="20"/>
                <w:szCs w:val="20"/>
              </w:rPr>
              <w:t xml:space="preserve">5. </w:t>
            </w:r>
            <w:r>
              <w:rPr>
                <w:bCs/>
                <w:sz w:val="20"/>
                <w:szCs w:val="20"/>
              </w:rPr>
              <w:t>CSR s</w:t>
            </w:r>
            <w:r>
              <w:rPr>
                <w:sz w:val="20"/>
                <w:szCs w:val="20"/>
              </w:rPr>
              <w:t>k</w:t>
            </w:r>
            <w:r w:rsidRPr="00C66CD4">
              <w:rPr>
                <w:sz w:val="20"/>
                <w:szCs w:val="20"/>
              </w:rPr>
              <w:t>epticism</w:t>
            </w:r>
          </w:p>
        </w:tc>
        <w:tc>
          <w:tcPr>
            <w:tcW w:w="668"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40</w:t>
            </w:r>
          </w:p>
        </w:tc>
        <w:tc>
          <w:tcPr>
            <w:tcW w:w="663" w:type="dxa"/>
          </w:tcPr>
          <w:p w:rsidR="00DA0F4B" w:rsidRPr="00D96336" w:rsidRDefault="00DA0F4B" w:rsidP="00406D6F">
            <w:pPr>
              <w:tabs>
                <w:tab w:val="left" w:pos="4820"/>
                <w:tab w:val="left" w:pos="7371"/>
              </w:tabs>
              <w:jc w:val="right"/>
              <w:rPr>
                <w:sz w:val="20"/>
                <w:szCs w:val="20"/>
              </w:rPr>
            </w:pPr>
            <w:r>
              <w:rPr>
                <w:sz w:val="20"/>
                <w:szCs w:val="20"/>
              </w:rPr>
              <w:t>-.53</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21</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01</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5" w:type="dxa"/>
          </w:tcPr>
          <w:p w:rsidR="00DA0F4B" w:rsidRPr="00D96336" w:rsidRDefault="00DA0F4B" w:rsidP="00406D6F">
            <w:pPr>
              <w:tabs>
                <w:tab w:val="left" w:pos="4820"/>
                <w:tab w:val="left" w:pos="7371"/>
              </w:tabs>
              <w:jc w:val="right"/>
              <w:rPr>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sidRPr="00D96336">
              <w:rPr>
                <w:bCs/>
                <w:sz w:val="20"/>
                <w:szCs w:val="20"/>
              </w:rPr>
              <w:t xml:space="preserve">6. </w:t>
            </w:r>
            <w:r>
              <w:rPr>
                <w:bCs/>
                <w:sz w:val="20"/>
                <w:szCs w:val="20"/>
              </w:rPr>
              <w:t>Equity</w:t>
            </w:r>
          </w:p>
        </w:tc>
        <w:tc>
          <w:tcPr>
            <w:tcW w:w="668"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11</w:t>
            </w:r>
          </w:p>
        </w:tc>
        <w:tc>
          <w:tcPr>
            <w:tcW w:w="663" w:type="dxa"/>
          </w:tcPr>
          <w:p w:rsidR="00DA0F4B" w:rsidRPr="00D96336" w:rsidRDefault="00DA0F4B" w:rsidP="00406D6F">
            <w:pPr>
              <w:tabs>
                <w:tab w:val="left" w:pos="4820"/>
                <w:tab w:val="left" w:pos="7371"/>
              </w:tabs>
              <w:jc w:val="right"/>
              <w:rPr>
                <w:sz w:val="20"/>
                <w:szCs w:val="20"/>
              </w:rPr>
            </w:pPr>
            <w:r>
              <w:rPr>
                <w:sz w:val="20"/>
                <w:szCs w:val="20"/>
              </w:rPr>
              <w:t>-.26</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03</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02</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47</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3" w:type="dxa"/>
          </w:tcPr>
          <w:p w:rsidR="00DA0F4B" w:rsidRPr="00D96336" w:rsidRDefault="00DA0F4B" w:rsidP="00406D6F">
            <w:pPr>
              <w:tabs>
                <w:tab w:val="left" w:pos="4820"/>
                <w:tab w:val="left" w:pos="7371"/>
              </w:tabs>
              <w:jc w:val="right"/>
              <w:rPr>
                <w:sz w:val="20"/>
                <w:szCs w:val="20"/>
              </w:rPr>
            </w:pPr>
          </w:p>
        </w:tc>
        <w:tc>
          <w:tcPr>
            <w:tcW w:w="663" w:type="dxa"/>
          </w:tcPr>
          <w:p w:rsidR="00DA0F4B" w:rsidRPr="00D96336" w:rsidRDefault="00DA0F4B" w:rsidP="00406D6F">
            <w:pPr>
              <w:tabs>
                <w:tab w:val="left" w:pos="4820"/>
                <w:tab w:val="left" w:pos="7371"/>
              </w:tabs>
              <w:jc w:val="right"/>
              <w:rPr>
                <w:sz w:val="20"/>
                <w:szCs w:val="20"/>
              </w:rPr>
            </w:pPr>
          </w:p>
        </w:tc>
        <w:tc>
          <w:tcPr>
            <w:tcW w:w="665" w:type="dxa"/>
          </w:tcPr>
          <w:p w:rsidR="00DA0F4B" w:rsidRPr="00D96336" w:rsidRDefault="00DA0F4B" w:rsidP="00406D6F">
            <w:pPr>
              <w:tabs>
                <w:tab w:val="left" w:pos="4820"/>
                <w:tab w:val="left" w:pos="7371"/>
              </w:tabs>
              <w:jc w:val="right"/>
              <w:rPr>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Pr>
                <w:bCs/>
                <w:sz w:val="20"/>
                <w:szCs w:val="20"/>
              </w:rPr>
              <w:t>7</w:t>
            </w:r>
            <w:r w:rsidRPr="00D96336">
              <w:rPr>
                <w:bCs/>
                <w:sz w:val="20"/>
                <w:szCs w:val="20"/>
              </w:rPr>
              <w:t xml:space="preserve">. </w:t>
            </w:r>
            <w:r w:rsidRPr="007614EC">
              <w:rPr>
                <w:bCs/>
                <w:sz w:val="20"/>
                <w:szCs w:val="20"/>
              </w:rPr>
              <w:t>Resilience to negative information</w:t>
            </w:r>
          </w:p>
        </w:tc>
        <w:tc>
          <w:tcPr>
            <w:tcW w:w="668"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18</w:t>
            </w:r>
          </w:p>
        </w:tc>
        <w:tc>
          <w:tcPr>
            <w:tcW w:w="663" w:type="dxa"/>
          </w:tcPr>
          <w:p w:rsidR="00DA0F4B" w:rsidRPr="00D96336" w:rsidRDefault="00DA0F4B" w:rsidP="00406D6F">
            <w:pPr>
              <w:tabs>
                <w:tab w:val="left" w:pos="4820"/>
                <w:tab w:val="left" w:pos="7371"/>
              </w:tabs>
              <w:jc w:val="right"/>
              <w:rPr>
                <w:sz w:val="20"/>
                <w:szCs w:val="20"/>
              </w:rPr>
            </w:pPr>
            <w:r>
              <w:rPr>
                <w:sz w:val="20"/>
                <w:szCs w:val="20"/>
              </w:rPr>
              <w:t>-.23</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01</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08</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39</w:t>
            </w:r>
          </w:p>
        </w:tc>
        <w:tc>
          <w:tcPr>
            <w:tcW w:w="663" w:type="dxa"/>
          </w:tcPr>
          <w:p w:rsidR="00DA0F4B" w:rsidRPr="00D96336" w:rsidRDefault="00DA0F4B" w:rsidP="00406D6F">
            <w:pPr>
              <w:tabs>
                <w:tab w:val="left" w:pos="4820"/>
                <w:tab w:val="left" w:pos="7371"/>
              </w:tabs>
              <w:jc w:val="right"/>
              <w:rPr>
                <w:sz w:val="20"/>
                <w:szCs w:val="20"/>
              </w:rPr>
            </w:pPr>
            <w:r>
              <w:rPr>
                <w:sz w:val="20"/>
                <w:szCs w:val="20"/>
              </w:rPr>
              <w:t>.34</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3" w:type="dxa"/>
          </w:tcPr>
          <w:p w:rsidR="00DA0F4B" w:rsidRPr="00D96336" w:rsidRDefault="00DA0F4B" w:rsidP="00406D6F">
            <w:pPr>
              <w:tabs>
                <w:tab w:val="left" w:pos="4820"/>
                <w:tab w:val="left" w:pos="7371"/>
              </w:tabs>
              <w:jc w:val="right"/>
              <w:rPr>
                <w:sz w:val="20"/>
                <w:szCs w:val="20"/>
              </w:rPr>
            </w:pPr>
          </w:p>
        </w:tc>
        <w:tc>
          <w:tcPr>
            <w:tcW w:w="665" w:type="dxa"/>
          </w:tcPr>
          <w:p w:rsidR="00DA0F4B" w:rsidRPr="00D96336" w:rsidRDefault="00DA0F4B" w:rsidP="00406D6F">
            <w:pPr>
              <w:tabs>
                <w:tab w:val="left" w:pos="4820"/>
                <w:tab w:val="left" w:pos="7371"/>
              </w:tabs>
              <w:jc w:val="right"/>
              <w:rPr>
                <w:sz w:val="20"/>
                <w:szCs w:val="20"/>
              </w:rPr>
            </w:pPr>
          </w:p>
        </w:tc>
      </w:tr>
      <w:tr w:rsidR="00DA0F4B" w:rsidRPr="00D96336" w:rsidTr="00406D6F">
        <w:trPr>
          <w:trHeight w:val="300"/>
        </w:trPr>
        <w:tc>
          <w:tcPr>
            <w:tcW w:w="3240" w:type="dxa"/>
          </w:tcPr>
          <w:p w:rsidR="00DA0F4B" w:rsidRPr="00D96336" w:rsidRDefault="00DA0F4B" w:rsidP="00A21F6A">
            <w:pPr>
              <w:tabs>
                <w:tab w:val="left" w:pos="4820"/>
                <w:tab w:val="left" w:pos="7371"/>
              </w:tabs>
              <w:rPr>
                <w:sz w:val="20"/>
                <w:szCs w:val="20"/>
              </w:rPr>
            </w:pPr>
            <w:r>
              <w:rPr>
                <w:bCs/>
                <w:sz w:val="20"/>
                <w:szCs w:val="20"/>
              </w:rPr>
              <w:t>8</w:t>
            </w:r>
            <w:r w:rsidRPr="00D96336">
              <w:rPr>
                <w:bCs/>
                <w:sz w:val="20"/>
                <w:szCs w:val="20"/>
              </w:rPr>
              <w:t xml:space="preserve">. </w:t>
            </w:r>
            <w:r w:rsidRPr="007614EC">
              <w:rPr>
                <w:bCs/>
                <w:sz w:val="20"/>
                <w:szCs w:val="20"/>
              </w:rPr>
              <w:t>W</w:t>
            </w:r>
            <w:r w:rsidR="00A21F6A">
              <w:rPr>
                <w:bCs/>
                <w:sz w:val="20"/>
                <w:szCs w:val="20"/>
              </w:rPr>
              <w:t>OM</w:t>
            </w:r>
          </w:p>
        </w:tc>
        <w:tc>
          <w:tcPr>
            <w:tcW w:w="668"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.1</w:t>
            </w:r>
            <w:r>
              <w:rPr>
                <w:sz w:val="20"/>
                <w:szCs w:val="20"/>
              </w:rPr>
              <w:t>2</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24</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01</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02</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39</w:t>
            </w:r>
          </w:p>
        </w:tc>
        <w:tc>
          <w:tcPr>
            <w:tcW w:w="663" w:type="dxa"/>
          </w:tcPr>
          <w:p w:rsidR="00DA0F4B" w:rsidRPr="00D96336" w:rsidRDefault="00DA0F4B" w:rsidP="00406D6F">
            <w:pPr>
              <w:tabs>
                <w:tab w:val="left" w:pos="4820"/>
                <w:tab w:val="left" w:pos="7371"/>
              </w:tabs>
              <w:jc w:val="right"/>
              <w:rPr>
                <w:sz w:val="20"/>
                <w:szCs w:val="20"/>
              </w:rPr>
            </w:pPr>
            <w:r>
              <w:rPr>
                <w:sz w:val="20"/>
                <w:szCs w:val="20"/>
              </w:rPr>
              <w:t>.40</w:t>
            </w:r>
          </w:p>
        </w:tc>
        <w:tc>
          <w:tcPr>
            <w:tcW w:w="663" w:type="dxa"/>
          </w:tcPr>
          <w:p w:rsidR="00DA0F4B" w:rsidRPr="00D96336" w:rsidRDefault="00DA0F4B" w:rsidP="00406D6F">
            <w:pPr>
              <w:tabs>
                <w:tab w:val="left" w:pos="4820"/>
                <w:tab w:val="left" w:pos="7371"/>
              </w:tabs>
              <w:jc w:val="right"/>
              <w:rPr>
                <w:sz w:val="20"/>
                <w:szCs w:val="20"/>
              </w:rPr>
            </w:pPr>
            <w:r>
              <w:rPr>
                <w:sz w:val="20"/>
                <w:szCs w:val="20"/>
              </w:rPr>
              <w:t>.24</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1.00</w:t>
            </w:r>
          </w:p>
        </w:tc>
        <w:tc>
          <w:tcPr>
            <w:tcW w:w="665" w:type="dxa"/>
          </w:tcPr>
          <w:p w:rsidR="00DA0F4B" w:rsidRPr="00D96336" w:rsidRDefault="00DA0F4B" w:rsidP="00406D6F">
            <w:pPr>
              <w:tabs>
                <w:tab w:val="left" w:pos="4820"/>
                <w:tab w:val="left" w:pos="7371"/>
              </w:tabs>
              <w:jc w:val="right"/>
              <w:rPr>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Pr>
                <w:bCs/>
                <w:sz w:val="20"/>
                <w:szCs w:val="20"/>
              </w:rPr>
              <w:t>9</w:t>
            </w:r>
            <w:r w:rsidRPr="00D96336">
              <w:rPr>
                <w:bCs/>
                <w:sz w:val="20"/>
                <w:szCs w:val="20"/>
              </w:rPr>
              <w:t xml:space="preserve">. </w:t>
            </w:r>
            <w:r>
              <w:rPr>
                <w:bCs/>
                <w:sz w:val="20"/>
                <w:szCs w:val="20"/>
              </w:rPr>
              <w:t>Customer orientation</w:t>
            </w:r>
          </w:p>
        </w:tc>
        <w:tc>
          <w:tcPr>
            <w:tcW w:w="668"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25</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46</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12</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03</w:t>
            </w:r>
          </w:p>
        </w:tc>
        <w:tc>
          <w:tcPr>
            <w:tcW w:w="663" w:type="dxa"/>
          </w:tcPr>
          <w:p w:rsidR="00DA0F4B" w:rsidRPr="00D96336" w:rsidRDefault="00DA0F4B" w:rsidP="00406D6F">
            <w:pPr>
              <w:tabs>
                <w:tab w:val="left" w:pos="4820"/>
                <w:tab w:val="left" w:pos="7371"/>
              </w:tabs>
              <w:jc w:val="right"/>
              <w:rPr>
                <w:sz w:val="20"/>
                <w:szCs w:val="20"/>
              </w:rPr>
            </w:pPr>
            <w:r>
              <w:rPr>
                <w:sz w:val="20"/>
                <w:szCs w:val="20"/>
              </w:rPr>
              <w:t>-</w:t>
            </w:r>
            <w:r w:rsidRPr="00D96336">
              <w:rPr>
                <w:sz w:val="20"/>
                <w:szCs w:val="20"/>
              </w:rPr>
              <w:t>.</w:t>
            </w:r>
            <w:r>
              <w:rPr>
                <w:sz w:val="20"/>
                <w:szCs w:val="20"/>
              </w:rPr>
              <w:t>47</w:t>
            </w:r>
          </w:p>
        </w:tc>
        <w:tc>
          <w:tcPr>
            <w:tcW w:w="663" w:type="dxa"/>
          </w:tcPr>
          <w:p w:rsidR="00DA0F4B" w:rsidRPr="00D96336" w:rsidRDefault="00DA0F4B" w:rsidP="00406D6F">
            <w:pPr>
              <w:tabs>
                <w:tab w:val="left" w:pos="4820"/>
                <w:tab w:val="left" w:pos="7371"/>
              </w:tabs>
              <w:jc w:val="right"/>
              <w:rPr>
                <w:sz w:val="20"/>
                <w:szCs w:val="20"/>
              </w:rPr>
            </w:pPr>
            <w:r>
              <w:rPr>
                <w:sz w:val="20"/>
                <w:szCs w:val="20"/>
              </w:rPr>
              <w:t>.37</w:t>
            </w:r>
          </w:p>
        </w:tc>
        <w:tc>
          <w:tcPr>
            <w:tcW w:w="663" w:type="dxa"/>
          </w:tcPr>
          <w:p w:rsidR="00DA0F4B" w:rsidRPr="00D96336" w:rsidRDefault="00DA0F4B" w:rsidP="00406D6F">
            <w:pPr>
              <w:tabs>
                <w:tab w:val="left" w:pos="4820"/>
                <w:tab w:val="left" w:pos="7371"/>
              </w:tabs>
              <w:jc w:val="right"/>
              <w:rPr>
                <w:sz w:val="20"/>
                <w:szCs w:val="20"/>
              </w:rPr>
            </w:pPr>
            <w:r>
              <w:rPr>
                <w:sz w:val="20"/>
                <w:szCs w:val="20"/>
              </w:rPr>
              <w:t>.32</w:t>
            </w:r>
          </w:p>
        </w:tc>
        <w:tc>
          <w:tcPr>
            <w:tcW w:w="663" w:type="dxa"/>
          </w:tcPr>
          <w:p w:rsidR="00DA0F4B" w:rsidRPr="00D96336" w:rsidRDefault="00DA0F4B" w:rsidP="00406D6F">
            <w:pPr>
              <w:tabs>
                <w:tab w:val="left" w:pos="4820"/>
                <w:tab w:val="left" w:pos="7371"/>
              </w:tabs>
              <w:jc w:val="right"/>
              <w:rPr>
                <w:sz w:val="20"/>
                <w:szCs w:val="20"/>
              </w:rPr>
            </w:pPr>
            <w:r>
              <w:rPr>
                <w:sz w:val="20"/>
                <w:szCs w:val="20"/>
              </w:rPr>
              <w:t>.34</w:t>
            </w:r>
          </w:p>
        </w:tc>
        <w:tc>
          <w:tcPr>
            <w:tcW w:w="665" w:type="dxa"/>
          </w:tcPr>
          <w:p w:rsidR="00DA0F4B" w:rsidRPr="00D96336" w:rsidRDefault="00DA0F4B" w:rsidP="00406D6F">
            <w:pPr>
              <w:tabs>
                <w:tab w:val="left" w:pos="4820"/>
                <w:tab w:val="left" w:pos="7371"/>
              </w:tabs>
              <w:jc w:val="right"/>
              <w:rPr>
                <w:sz w:val="20"/>
                <w:szCs w:val="20"/>
              </w:rPr>
            </w:pPr>
            <w:r w:rsidRPr="00D96336">
              <w:rPr>
                <w:sz w:val="20"/>
                <w:szCs w:val="20"/>
              </w:rPr>
              <w:t>1.00</w:t>
            </w:r>
          </w:p>
        </w:tc>
      </w:tr>
      <w:tr w:rsidR="00DA0F4B" w:rsidRPr="008C14AB" w:rsidTr="00406D6F">
        <w:trPr>
          <w:trHeight w:val="40"/>
        </w:trPr>
        <w:tc>
          <w:tcPr>
            <w:tcW w:w="3240" w:type="dxa"/>
          </w:tcPr>
          <w:p w:rsidR="00DA0F4B" w:rsidRPr="008C14AB" w:rsidRDefault="00DA0F4B" w:rsidP="00406D6F">
            <w:pPr>
              <w:rPr>
                <w:sz w:val="20"/>
                <w:szCs w:val="20"/>
              </w:rPr>
            </w:pPr>
          </w:p>
        </w:tc>
        <w:tc>
          <w:tcPr>
            <w:tcW w:w="668" w:type="dxa"/>
          </w:tcPr>
          <w:p w:rsidR="00DA0F4B" w:rsidRPr="008C14AB" w:rsidRDefault="00DA0F4B" w:rsidP="00406D6F">
            <w:pPr>
              <w:tabs>
                <w:tab w:val="left" w:pos="4820"/>
                <w:tab w:val="left" w:pos="7371"/>
              </w:tabs>
              <w:jc w:val="right"/>
              <w:rPr>
                <w:sz w:val="20"/>
                <w:szCs w:val="20"/>
              </w:rPr>
            </w:pPr>
          </w:p>
        </w:tc>
        <w:tc>
          <w:tcPr>
            <w:tcW w:w="663" w:type="dxa"/>
          </w:tcPr>
          <w:p w:rsidR="00DA0F4B" w:rsidRPr="008C14AB" w:rsidRDefault="00DA0F4B" w:rsidP="00406D6F">
            <w:pPr>
              <w:tabs>
                <w:tab w:val="left" w:pos="4820"/>
                <w:tab w:val="left" w:pos="7371"/>
              </w:tabs>
              <w:jc w:val="right"/>
              <w:rPr>
                <w:b/>
                <w:sz w:val="20"/>
                <w:szCs w:val="20"/>
              </w:rPr>
            </w:pPr>
          </w:p>
        </w:tc>
        <w:tc>
          <w:tcPr>
            <w:tcW w:w="663" w:type="dxa"/>
          </w:tcPr>
          <w:p w:rsidR="00DA0F4B" w:rsidRPr="008C14AB" w:rsidRDefault="00DA0F4B" w:rsidP="00406D6F">
            <w:pPr>
              <w:tabs>
                <w:tab w:val="left" w:pos="4820"/>
                <w:tab w:val="left" w:pos="7371"/>
              </w:tabs>
              <w:jc w:val="right"/>
              <w:rPr>
                <w:b/>
                <w:sz w:val="20"/>
                <w:szCs w:val="20"/>
              </w:rPr>
            </w:pPr>
          </w:p>
        </w:tc>
        <w:tc>
          <w:tcPr>
            <w:tcW w:w="663" w:type="dxa"/>
          </w:tcPr>
          <w:p w:rsidR="00DA0F4B" w:rsidRPr="008C14AB" w:rsidRDefault="00DA0F4B" w:rsidP="00406D6F">
            <w:pPr>
              <w:tabs>
                <w:tab w:val="left" w:pos="4820"/>
                <w:tab w:val="left" w:pos="7371"/>
              </w:tabs>
              <w:jc w:val="right"/>
              <w:rPr>
                <w:b/>
                <w:sz w:val="20"/>
                <w:szCs w:val="20"/>
              </w:rPr>
            </w:pPr>
          </w:p>
        </w:tc>
        <w:tc>
          <w:tcPr>
            <w:tcW w:w="663" w:type="dxa"/>
          </w:tcPr>
          <w:p w:rsidR="00DA0F4B" w:rsidRPr="008C14AB" w:rsidRDefault="00DA0F4B" w:rsidP="00406D6F">
            <w:pPr>
              <w:tabs>
                <w:tab w:val="left" w:pos="4820"/>
                <w:tab w:val="left" w:pos="7371"/>
              </w:tabs>
              <w:jc w:val="right"/>
              <w:rPr>
                <w:b/>
                <w:sz w:val="20"/>
                <w:szCs w:val="20"/>
              </w:rPr>
            </w:pPr>
          </w:p>
        </w:tc>
        <w:tc>
          <w:tcPr>
            <w:tcW w:w="663" w:type="dxa"/>
          </w:tcPr>
          <w:p w:rsidR="00DA0F4B" w:rsidRPr="008C14AB" w:rsidRDefault="00DA0F4B" w:rsidP="00406D6F">
            <w:pPr>
              <w:tabs>
                <w:tab w:val="left" w:pos="4820"/>
                <w:tab w:val="left" w:pos="7371"/>
              </w:tabs>
              <w:jc w:val="right"/>
              <w:rPr>
                <w:b/>
                <w:sz w:val="20"/>
                <w:szCs w:val="20"/>
              </w:rPr>
            </w:pPr>
          </w:p>
        </w:tc>
        <w:tc>
          <w:tcPr>
            <w:tcW w:w="663" w:type="dxa"/>
          </w:tcPr>
          <w:p w:rsidR="00DA0F4B" w:rsidRPr="008C14AB" w:rsidRDefault="00DA0F4B" w:rsidP="00406D6F">
            <w:pPr>
              <w:tabs>
                <w:tab w:val="left" w:pos="4820"/>
                <w:tab w:val="left" w:pos="7371"/>
              </w:tabs>
              <w:jc w:val="right"/>
              <w:rPr>
                <w:b/>
                <w:sz w:val="20"/>
                <w:szCs w:val="20"/>
              </w:rPr>
            </w:pPr>
          </w:p>
        </w:tc>
        <w:tc>
          <w:tcPr>
            <w:tcW w:w="663" w:type="dxa"/>
          </w:tcPr>
          <w:p w:rsidR="00DA0F4B" w:rsidRPr="008C14AB" w:rsidRDefault="00DA0F4B" w:rsidP="00406D6F">
            <w:pPr>
              <w:tabs>
                <w:tab w:val="left" w:pos="4820"/>
                <w:tab w:val="left" w:pos="7371"/>
              </w:tabs>
              <w:jc w:val="right"/>
              <w:rPr>
                <w:b/>
                <w:sz w:val="20"/>
                <w:szCs w:val="20"/>
              </w:rPr>
            </w:pPr>
          </w:p>
        </w:tc>
        <w:tc>
          <w:tcPr>
            <w:tcW w:w="665" w:type="dxa"/>
          </w:tcPr>
          <w:p w:rsidR="00DA0F4B" w:rsidRPr="008C14AB" w:rsidRDefault="00DA0F4B" w:rsidP="00406D6F">
            <w:pPr>
              <w:tabs>
                <w:tab w:val="left" w:pos="4820"/>
                <w:tab w:val="left" w:pos="7371"/>
              </w:tabs>
              <w:jc w:val="right"/>
              <w:rPr>
                <w:b/>
                <w:sz w:val="20"/>
                <w:szCs w:val="20"/>
              </w:rPr>
            </w:pP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sidRPr="00D96336">
              <w:rPr>
                <w:sz w:val="20"/>
                <w:szCs w:val="20"/>
              </w:rPr>
              <w:t>α</w:t>
            </w:r>
          </w:p>
        </w:tc>
        <w:tc>
          <w:tcPr>
            <w:tcW w:w="668" w:type="dxa"/>
          </w:tcPr>
          <w:p w:rsidR="00DA0F4B" w:rsidRPr="00D96336" w:rsidRDefault="00DA0F4B" w:rsidP="00406D6F">
            <w:pPr>
              <w:tabs>
                <w:tab w:val="left" w:pos="4820"/>
                <w:tab w:val="left" w:pos="7371"/>
              </w:tabs>
              <w:jc w:val="right"/>
              <w:rPr>
                <w:sz w:val="20"/>
                <w:szCs w:val="20"/>
              </w:rPr>
            </w:pPr>
            <w:r w:rsidRPr="00D96336">
              <w:rPr>
                <w:sz w:val="20"/>
                <w:szCs w:val="20"/>
              </w:rPr>
              <w:t>.8</w:t>
            </w:r>
            <w:r>
              <w:rPr>
                <w:sz w:val="20"/>
                <w:szCs w:val="20"/>
              </w:rPr>
              <w:t>2</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91</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85</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87</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92</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91</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86</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.9</w:t>
            </w:r>
            <w:r>
              <w:rPr>
                <w:sz w:val="20"/>
                <w:szCs w:val="20"/>
              </w:rPr>
              <w:t>0</w:t>
            </w:r>
          </w:p>
        </w:tc>
        <w:tc>
          <w:tcPr>
            <w:tcW w:w="665" w:type="dxa"/>
          </w:tcPr>
          <w:p w:rsidR="00DA0F4B" w:rsidRPr="00D96336" w:rsidRDefault="00DA0F4B" w:rsidP="00406D6F">
            <w:pPr>
              <w:tabs>
                <w:tab w:val="left" w:pos="4820"/>
                <w:tab w:val="left" w:pos="7371"/>
              </w:tabs>
              <w:jc w:val="right"/>
              <w:rPr>
                <w:sz w:val="20"/>
                <w:szCs w:val="20"/>
              </w:rPr>
            </w:pPr>
            <w:r w:rsidRPr="00D96336">
              <w:rPr>
                <w:sz w:val="20"/>
                <w:szCs w:val="20"/>
              </w:rPr>
              <w:t>.</w:t>
            </w:r>
            <w:r>
              <w:rPr>
                <w:sz w:val="20"/>
                <w:szCs w:val="20"/>
              </w:rPr>
              <w:t>89</w:t>
            </w:r>
          </w:p>
        </w:tc>
      </w:tr>
      <w:tr w:rsidR="00DA0F4B" w:rsidRPr="00D96336" w:rsidTr="00406D6F">
        <w:trPr>
          <w:trHeight w:val="300"/>
        </w:trPr>
        <w:tc>
          <w:tcPr>
            <w:tcW w:w="3240" w:type="dxa"/>
          </w:tcPr>
          <w:p w:rsidR="00DA0F4B" w:rsidRPr="00D96336" w:rsidRDefault="00DA0F4B" w:rsidP="00406D6F">
            <w:pPr>
              <w:tabs>
                <w:tab w:val="left" w:pos="4820"/>
                <w:tab w:val="left" w:pos="7371"/>
              </w:tabs>
              <w:rPr>
                <w:sz w:val="20"/>
                <w:szCs w:val="20"/>
              </w:rPr>
            </w:pPr>
            <w:r w:rsidRPr="00D96336">
              <w:rPr>
                <w:bCs/>
                <w:sz w:val="20"/>
                <w:szCs w:val="20"/>
              </w:rPr>
              <w:t>Mean</w:t>
            </w:r>
          </w:p>
        </w:tc>
        <w:tc>
          <w:tcPr>
            <w:tcW w:w="668" w:type="dxa"/>
          </w:tcPr>
          <w:p w:rsidR="00DA0F4B" w:rsidRPr="00D96336" w:rsidRDefault="00DA0F4B" w:rsidP="00406D6F">
            <w:pPr>
              <w:tabs>
                <w:tab w:val="left" w:pos="4820"/>
                <w:tab w:val="left" w:pos="7371"/>
              </w:tabs>
              <w:jc w:val="right"/>
              <w:rPr>
                <w:sz w:val="20"/>
                <w:szCs w:val="20"/>
              </w:rPr>
            </w:pPr>
            <w:r>
              <w:rPr>
                <w:sz w:val="20"/>
                <w:szCs w:val="20"/>
              </w:rPr>
              <w:t>4</w:t>
            </w:r>
            <w:r w:rsidRPr="00D96336">
              <w:rPr>
                <w:sz w:val="20"/>
                <w:szCs w:val="20"/>
              </w:rPr>
              <w:t>.</w:t>
            </w:r>
            <w:r>
              <w:rPr>
                <w:sz w:val="20"/>
                <w:szCs w:val="20"/>
              </w:rPr>
              <w:t>77</w:t>
            </w:r>
          </w:p>
        </w:tc>
        <w:tc>
          <w:tcPr>
            <w:tcW w:w="663" w:type="dxa"/>
          </w:tcPr>
          <w:p w:rsidR="00DA0F4B" w:rsidRPr="00D96336" w:rsidRDefault="00DA0F4B" w:rsidP="00406D6F">
            <w:pPr>
              <w:tabs>
                <w:tab w:val="left" w:pos="4820"/>
                <w:tab w:val="left" w:pos="7371"/>
              </w:tabs>
              <w:jc w:val="right"/>
              <w:rPr>
                <w:sz w:val="20"/>
                <w:szCs w:val="20"/>
              </w:rPr>
            </w:pPr>
            <w:r w:rsidRPr="00D96336">
              <w:rPr>
                <w:sz w:val="20"/>
                <w:szCs w:val="20"/>
              </w:rPr>
              <w:t>4.</w:t>
            </w:r>
            <w:r>
              <w:rPr>
                <w:sz w:val="20"/>
                <w:szCs w:val="20"/>
              </w:rPr>
              <w:t>13</w:t>
            </w:r>
          </w:p>
        </w:tc>
        <w:tc>
          <w:tcPr>
            <w:tcW w:w="663" w:type="dxa"/>
          </w:tcPr>
          <w:p w:rsidR="00DA0F4B" w:rsidRPr="00D96336" w:rsidRDefault="00DA0F4B" w:rsidP="00406D6F">
            <w:pPr>
              <w:tabs>
                <w:tab w:val="left" w:pos="4820"/>
                <w:tab w:val="left" w:pos="7371"/>
              </w:tabs>
              <w:jc w:val="right"/>
              <w:rPr>
                <w:sz w:val="20"/>
                <w:szCs w:val="20"/>
              </w:rPr>
            </w:pPr>
            <w:r>
              <w:rPr>
                <w:sz w:val="20"/>
                <w:szCs w:val="20"/>
              </w:rPr>
              <w:t>5</w:t>
            </w:r>
            <w:r w:rsidRPr="00D96336">
              <w:rPr>
                <w:sz w:val="20"/>
                <w:szCs w:val="20"/>
              </w:rPr>
              <w:t>.</w:t>
            </w:r>
            <w:r>
              <w:rPr>
                <w:sz w:val="20"/>
                <w:szCs w:val="20"/>
              </w:rPr>
              <w:t>47</w:t>
            </w:r>
          </w:p>
        </w:tc>
        <w:tc>
          <w:tcPr>
            <w:tcW w:w="663" w:type="dxa"/>
          </w:tcPr>
          <w:p w:rsidR="00DA0F4B" w:rsidRPr="00D96336" w:rsidRDefault="00DA0F4B" w:rsidP="00406D6F">
            <w:pPr>
              <w:tabs>
                <w:tab w:val="left" w:pos="4820"/>
                <w:tab w:val="left" w:pos="7371"/>
              </w:tabs>
              <w:jc w:val="right"/>
              <w:rPr>
                <w:sz w:val="20"/>
                <w:szCs w:val="20"/>
              </w:rPr>
            </w:pPr>
            <w:r>
              <w:rPr>
                <w:sz w:val="20"/>
                <w:szCs w:val="20"/>
              </w:rPr>
              <w:t>3</w:t>
            </w:r>
            <w:r w:rsidRPr="00D96336">
              <w:rPr>
                <w:sz w:val="20"/>
                <w:szCs w:val="20"/>
              </w:rPr>
              <w:t>.</w:t>
            </w:r>
            <w:r>
              <w:rPr>
                <w:sz w:val="20"/>
                <w:szCs w:val="20"/>
              </w:rPr>
              <w:t>91</w:t>
            </w:r>
          </w:p>
        </w:tc>
        <w:tc>
          <w:tcPr>
            <w:tcW w:w="663" w:type="dxa"/>
          </w:tcPr>
          <w:p w:rsidR="00DA0F4B" w:rsidRPr="00D96336" w:rsidRDefault="00DA0F4B" w:rsidP="00406D6F">
            <w:pPr>
              <w:tabs>
                <w:tab w:val="left" w:pos="4820"/>
                <w:tab w:val="left" w:pos="7371"/>
              </w:tabs>
              <w:jc w:val="right"/>
              <w:rPr>
                <w:sz w:val="20"/>
                <w:szCs w:val="20"/>
              </w:rPr>
            </w:pPr>
            <w:r>
              <w:rPr>
                <w:sz w:val="20"/>
                <w:szCs w:val="20"/>
              </w:rPr>
              <w:t>3</w:t>
            </w:r>
            <w:r w:rsidRPr="00D96336">
              <w:rPr>
                <w:sz w:val="20"/>
                <w:szCs w:val="20"/>
              </w:rPr>
              <w:t>.</w:t>
            </w:r>
            <w:r>
              <w:rPr>
                <w:sz w:val="20"/>
                <w:szCs w:val="20"/>
              </w:rPr>
              <w:t>26</w:t>
            </w:r>
          </w:p>
        </w:tc>
        <w:tc>
          <w:tcPr>
            <w:tcW w:w="663" w:type="dxa"/>
          </w:tcPr>
          <w:p w:rsidR="00DA0F4B" w:rsidRPr="00D96336" w:rsidRDefault="00DA0F4B" w:rsidP="00406D6F">
            <w:pPr>
              <w:tabs>
                <w:tab w:val="left" w:pos="4820"/>
                <w:tab w:val="left" w:pos="7371"/>
              </w:tabs>
              <w:jc w:val="right"/>
              <w:rPr>
                <w:sz w:val="20"/>
                <w:szCs w:val="20"/>
              </w:rPr>
            </w:pPr>
            <w:r>
              <w:rPr>
                <w:sz w:val="20"/>
                <w:szCs w:val="20"/>
              </w:rPr>
              <w:t>3</w:t>
            </w:r>
            <w:r w:rsidRPr="00D96336">
              <w:rPr>
                <w:sz w:val="20"/>
                <w:szCs w:val="20"/>
              </w:rPr>
              <w:t>.</w:t>
            </w:r>
            <w:r>
              <w:rPr>
                <w:sz w:val="20"/>
                <w:szCs w:val="20"/>
              </w:rPr>
              <w:t>93</w:t>
            </w:r>
          </w:p>
        </w:tc>
        <w:tc>
          <w:tcPr>
            <w:tcW w:w="663" w:type="dxa"/>
          </w:tcPr>
          <w:p w:rsidR="00DA0F4B" w:rsidRPr="00D96336" w:rsidRDefault="00DA0F4B" w:rsidP="00406D6F">
            <w:pPr>
              <w:tabs>
                <w:tab w:val="left" w:pos="4820"/>
                <w:tab w:val="left" w:pos="7371"/>
              </w:tabs>
              <w:jc w:val="right"/>
              <w:rPr>
                <w:sz w:val="20"/>
                <w:szCs w:val="20"/>
              </w:rPr>
            </w:pPr>
            <w:r>
              <w:rPr>
                <w:sz w:val="20"/>
                <w:szCs w:val="20"/>
              </w:rPr>
              <w:t>4</w:t>
            </w:r>
            <w:r w:rsidRPr="00D96336">
              <w:rPr>
                <w:sz w:val="20"/>
                <w:szCs w:val="20"/>
              </w:rPr>
              <w:t>.</w:t>
            </w:r>
            <w:r>
              <w:rPr>
                <w:sz w:val="20"/>
                <w:szCs w:val="20"/>
              </w:rPr>
              <w:t>11</w:t>
            </w:r>
          </w:p>
        </w:tc>
        <w:tc>
          <w:tcPr>
            <w:tcW w:w="663" w:type="dxa"/>
          </w:tcPr>
          <w:p w:rsidR="00DA0F4B" w:rsidRPr="00D96336" w:rsidRDefault="00DA0F4B" w:rsidP="00406D6F">
            <w:pPr>
              <w:tabs>
                <w:tab w:val="left" w:pos="4820"/>
                <w:tab w:val="left" w:pos="7371"/>
              </w:tabs>
              <w:jc w:val="right"/>
              <w:rPr>
                <w:sz w:val="20"/>
                <w:szCs w:val="20"/>
              </w:rPr>
            </w:pPr>
            <w:r>
              <w:rPr>
                <w:sz w:val="20"/>
                <w:szCs w:val="20"/>
              </w:rPr>
              <w:t>4</w:t>
            </w:r>
            <w:r w:rsidRPr="00D96336">
              <w:rPr>
                <w:sz w:val="20"/>
                <w:szCs w:val="20"/>
              </w:rPr>
              <w:t>.</w:t>
            </w:r>
            <w:r>
              <w:rPr>
                <w:sz w:val="20"/>
                <w:szCs w:val="20"/>
              </w:rPr>
              <w:t>58</w:t>
            </w:r>
          </w:p>
        </w:tc>
        <w:tc>
          <w:tcPr>
            <w:tcW w:w="665" w:type="dxa"/>
          </w:tcPr>
          <w:p w:rsidR="00DA0F4B" w:rsidRPr="00D96336" w:rsidRDefault="00DA0F4B" w:rsidP="00406D6F">
            <w:pPr>
              <w:tabs>
                <w:tab w:val="left" w:pos="4820"/>
                <w:tab w:val="left" w:pos="7371"/>
              </w:tabs>
              <w:jc w:val="right"/>
              <w:rPr>
                <w:sz w:val="20"/>
                <w:szCs w:val="20"/>
              </w:rPr>
            </w:pPr>
            <w:r>
              <w:rPr>
                <w:sz w:val="20"/>
                <w:szCs w:val="20"/>
              </w:rPr>
              <w:t>4</w:t>
            </w:r>
            <w:r w:rsidRPr="00D96336">
              <w:rPr>
                <w:sz w:val="20"/>
                <w:szCs w:val="20"/>
              </w:rPr>
              <w:t>.</w:t>
            </w:r>
            <w:r>
              <w:rPr>
                <w:sz w:val="20"/>
                <w:szCs w:val="20"/>
              </w:rPr>
              <w:t>05</w:t>
            </w:r>
          </w:p>
        </w:tc>
      </w:tr>
      <w:tr w:rsidR="00DA0F4B" w:rsidRPr="00D96336" w:rsidTr="00406D6F">
        <w:trPr>
          <w:trHeight w:val="300"/>
        </w:trPr>
        <w:tc>
          <w:tcPr>
            <w:tcW w:w="3240" w:type="dxa"/>
            <w:tcBorders>
              <w:bottom w:val="single" w:sz="12" w:space="0" w:color="auto"/>
            </w:tcBorders>
          </w:tcPr>
          <w:p w:rsidR="00DA0F4B" w:rsidRPr="00D96336" w:rsidRDefault="00DA0F4B" w:rsidP="00406D6F">
            <w:pPr>
              <w:tabs>
                <w:tab w:val="left" w:pos="4820"/>
                <w:tab w:val="left" w:pos="7371"/>
              </w:tabs>
              <w:rPr>
                <w:sz w:val="20"/>
                <w:szCs w:val="20"/>
              </w:rPr>
            </w:pPr>
            <w:r w:rsidRPr="00D96336">
              <w:rPr>
                <w:bCs/>
                <w:sz w:val="20"/>
                <w:szCs w:val="20"/>
              </w:rPr>
              <w:t>S</w:t>
            </w:r>
            <w:r>
              <w:rPr>
                <w:bCs/>
                <w:sz w:val="20"/>
                <w:szCs w:val="20"/>
              </w:rPr>
              <w:t>tandard deviation</w:t>
            </w:r>
          </w:p>
        </w:tc>
        <w:tc>
          <w:tcPr>
            <w:tcW w:w="668"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22</w:t>
            </w:r>
          </w:p>
        </w:tc>
        <w:tc>
          <w:tcPr>
            <w:tcW w:w="663"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46</w:t>
            </w:r>
          </w:p>
        </w:tc>
        <w:tc>
          <w:tcPr>
            <w:tcW w:w="663"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12</w:t>
            </w:r>
          </w:p>
        </w:tc>
        <w:tc>
          <w:tcPr>
            <w:tcW w:w="663"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37</w:t>
            </w:r>
          </w:p>
        </w:tc>
        <w:tc>
          <w:tcPr>
            <w:tcW w:w="663"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54</w:t>
            </w:r>
          </w:p>
        </w:tc>
        <w:tc>
          <w:tcPr>
            <w:tcW w:w="663"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03</w:t>
            </w:r>
          </w:p>
        </w:tc>
        <w:tc>
          <w:tcPr>
            <w:tcW w:w="663"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24</w:t>
            </w:r>
          </w:p>
        </w:tc>
        <w:tc>
          <w:tcPr>
            <w:tcW w:w="663"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28</w:t>
            </w:r>
          </w:p>
        </w:tc>
        <w:tc>
          <w:tcPr>
            <w:tcW w:w="665" w:type="dxa"/>
            <w:tcBorders>
              <w:bottom w:val="single" w:sz="12" w:space="0" w:color="auto"/>
            </w:tcBorders>
          </w:tcPr>
          <w:p w:rsidR="00DA0F4B" w:rsidRPr="00D96336" w:rsidRDefault="00DA0F4B" w:rsidP="00406D6F">
            <w:pPr>
              <w:tabs>
                <w:tab w:val="left" w:pos="4820"/>
                <w:tab w:val="left" w:pos="7371"/>
              </w:tabs>
              <w:jc w:val="right"/>
              <w:rPr>
                <w:sz w:val="20"/>
                <w:szCs w:val="20"/>
              </w:rPr>
            </w:pPr>
            <w:r w:rsidRPr="00D96336">
              <w:rPr>
                <w:sz w:val="20"/>
                <w:szCs w:val="20"/>
              </w:rPr>
              <w:t>1.</w:t>
            </w:r>
            <w:r>
              <w:rPr>
                <w:sz w:val="20"/>
                <w:szCs w:val="20"/>
              </w:rPr>
              <w:t>24</w:t>
            </w:r>
          </w:p>
        </w:tc>
      </w:tr>
    </w:tbl>
    <w:p w:rsidR="00DA0F4B" w:rsidRPr="00D96336" w:rsidRDefault="00DA0F4B" w:rsidP="00DA0F4B">
      <w:pPr>
        <w:rPr>
          <w:sz w:val="20"/>
          <w:szCs w:val="20"/>
        </w:rPr>
      </w:pPr>
      <w:proofErr w:type="gramStart"/>
      <w:r w:rsidRPr="00D96336">
        <w:rPr>
          <w:sz w:val="20"/>
          <w:szCs w:val="20"/>
          <w:vertAlign w:val="superscript"/>
        </w:rPr>
        <w:t>a</w:t>
      </w:r>
      <w:proofErr w:type="gramEnd"/>
      <w:r w:rsidRPr="00D96336">
        <w:rPr>
          <w:sz w:val="20"/>
          <w:szCs w:val="20"/>
        </w:rPr>
        <w:t xml:space="preserve"> Correlations ≥.</w:t>
      </w:r>
      <w:r>
        <w:rPr>
          <w:sz w:val="20"/>
          <w:szCs w:val="20"/>
        </w:rPr>
        <w:t>09</w:t>
      </w:r>
      <w:r w:rsidRPr="00D96336">
        <w:rPr>
          <w:sz w:val="20"/>
          <w:szCs w:val="20"/>
        </w:rPr>
        <w:t xml:space="preserve"> are significant at the .05 level; correlations ≥.1</w:t>
      </w:r>
      <w:r>
        <w:rPr>
          <w:sz w:val="20"/>
          <w:szCs w:val="20"/>
        </w:rPr>
        <w:t>1</w:t>
      </w:r>
      <w:r w:rsidRPr="00D96336">
        <w:rPr>
          <w:sz w:val="20"/>
          <w:szCs w:val="20"/>
        </w:rPr>
        <w:t xml:space="preserve"> are significant at the .01 level.</w:t>
      </w: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Default="00DA0F4B" w:rsidP="00DA0F4B">
      <w:pPr>
        <w:ind w:left="43"/>
      </w:pPr>
    </w:p>
    <w:p w:rsidR="00DA0F4B" w:rsidRPr="00217369" w:rsidRDefault="00DA0F4B" w:rsidP="00B857E0">
      <w:pPr>
        <w:spacing w:line="480" w:lineRule="auto"/>
        <w:jc w:val="center"/>
        <w:outlineLvl w:val="0"/>
        <w:rPr>
          <w:b/>
          <w:szCs w:val="20"/>
        </w:rPr>
      </w:pPr>
      <w:r w:rsidRPr="00217369">
        <w:rPr>
          <w:b/>
          <w:szCs w:val="20"/>
        </w:rPr>
        <w:lastRenderedPageBreak/>
        <w:t>Table 3</w:t>
      </w:r>
    </w:p>
    <w:p w:rsidR="00DA0F4B" w:rsidRPr="00B857E0" w:rsidRDefault="00DA0F4B" w:rsidP="00B857E0">
      <w:pPr>
        <w:spacing w:line="480" w:lineRule="auto"/>
        <w:jc w:val="center"/>
        <w:outlineLvl w:val="0"/>
        <w:rPr>
          <w:b/>
          <w:szCs w:val="20"/>
        </w:rPr>
      </w:pPr>
      <w:r w:rsidRPr="00B857E0">
        <w:rPr>
          <w:b/>
          <w:szCs w:val="20"/>
        </w:rPr>
        <w:t>Structural equation model results</w:t>
      </w:r>
    </w:p>
    <w:tbl>
      <w:tblPr>
        <w:tblW w:w="9498" w:type="dxa"/>
        <w:tblInd w:w="-34" w:type="dxa"/>
        <w:tblLayout w:type="fixed"/>
        <w:tblLook w:val="0000" w:firstRow="0" w:lastRow="0" w:firstColumn="0" w:lastColumn="0" w:noHBand="0" w:noVBand="0"/>
      </w:tblPr>
      <w:tblGrid>
        <w:gridCol w:w="5104"/>
        <w:gridCol w:w="2598"/>
        <w:gridCol w:w="1796"/>
      </w:tblGrid>
      <w:tr w:rsidR="00DA0F4B" w:rsidRPr="00D96336" w:rsidTr="00BE5EF1">
        <w:tc>
          <w:tcPr>
            <w:tcW w:w="5104" w:type="dxa"/>
            <w:tcBorders>
              <w:top w:val="single" w:sz="12" w:space="0" w:color="auto"/>
              <w:bottom w:val="single" w:sz="8" w:space="0" w:color="auto"/>
            </w:tcBorders>
          </w:tcPr>
          <w:p w:rsidR="00DA0F4B" w:rsidRPr="00D96336" w:rsidRDefault="00DA0F4B" w:rsidP="00406D6F">
            <w:pPr>
              <w:keepNext/>
              <w:outlineLvl w:val="2"/>
              <w:rPr>
                <w:sz w:val="8"/>
                <w:szCs w:val="20"/>
              </w:rPr>
            </w:pPr>
          </w:p>
          <w:p w:rsidR="00DA0F4B" w:rsidRPr="00D96336" w:rsidRDefault="00DA0F4B" w:rsidP="00406D6F">
            <w:pPr>
              <w:keepNext/>
              <w:outlineLvl w:val="2"/>
              <w:rPr>
                <w:szCs w:val="20"/>
              </w:rPr>
            </w:pPr>
            <w:r w:rsidRPr="00D96336">
              <w:rPr>
                <w:szCs w:val="20"/>
              </w:rPr>
              <w:t>Hypotheses</w:t>
            </w:r>
          </w:p>
        </w:tc>
        <w:tc>
          <w:tcPr>
            <w:tcW w:w="2598" w:type="dxa"/>
            <w:tcBorders>
              <w:top w:val="single" w:sz="12" w:space="0" w:color="auto"/>
              <w:bottom w:val="single" w:sz="8" w:space="0" w:color="auto"/>
            </w:tcBorders>
          </w:tcPr>
          <w:p w:rsidR="00DA0F4B" w:rsidRPr="00D96336" w:rsidRDefault="00DA0F4B" w:rsidP="00406D6F">
            <w:pPr>
              <w:keepNext/>
              <w:jc w:val="center"/>
              <w:outlineLvl w:val="2"/>
              <w:rPr>
                <w:sz w:val="8"/>
                <w:szCs w:val="20"/>
              </w:rPr>
            </w:pPr>
          </w:p>
          <w:p w:rsidR="00DA0F4B" w:rsidRPr="00D96336" w:rsidRDefault="00DA0F4B" w:rsidP="00332DD8">
            <w:pPr>
              <w:keepNext/>
              <w:jc w:val="center"/>
              <w:outlineLvl w:val="2"/>
              <w:rPr>
                <w:szCs w:val="20"/>
              </w:rPr>
            </w:pPr>
            <w:r w:rsidRPr="00D96336">
              <w:rPr>
                <w:szCs w:val="20"/>
              </w:rPr>
              <w:t xml:space="preserve">Standardized </w:t>
            </w:r>
            <w:r w:rsidR="00332DD8">
              <w:rPr>
                <w:szCs w:val="20"/>
              </w:rPr>
              <w:t>L</w:t>
            </w:r>
            <w:r w:rsidRPr="00D96336">
              <w:rPr>
                <w:szCs w:val="20"/>
              </w:rPr>
              <w:t>oading</w:t>
            </w:r>
          </w:p>
        </w:tc>
        <w:tc>
          <w:tcPr>
            <w:tcW w:w="1796" w:type="dxa"/>
            <w:tcBorders>
              <w:top w:val="single" w:sz="12" w:space="0" w:color="auto"/>
              <w:bottom w:val="single" w:sz="8" w:space="0" w:color="auto"/>
            </w:tcBorders>
          </w:tcPr>
          <w:p w:rsidR="00DA0F4B" w:rsidRPr="00D96336" w:rsidRDefault="00DA0F4B" w:rsidP="00406D6F">
            <w:pPr>
              <w:jc w:val="center"/>
              <w:rPr>
                <w:i/>
                <w:sz w:val="8"/>
                <w:szCs w:val="20"/>
              </w:rPr>
            </w:pPr>
          </w:p>
          <w:p w:rsidR="00DA0F4B" w:rsidRPr="00D96336" w:rsidRDefault="00DA0F4B" w:rsidP="00332DD8">
            <w:pPr>
              <w:jc w:val="center"/>
              <w:rPr>
                <w:szCs w:val="20"/>
              </w:rPr>
            </w:pPr>
            <w:r w:rsidRPr="00D96336">
              <w:rPr>
                <w:i/>
                <w:szCs w:val="20"/>
              </w:rPr>
              <w:t>t</w:t>
            </w:r>
            <w:r w:rsidRPr="00D96336">
              <w:rPr>
                <w:szCs w:val="20"/>
              </w:rPr>
              <w:t>-</w:t>
            </w:r>
            <w:r w:rsidR="00332DD8">
              <w:rPr>
                <w:szCs w:val="20"/>
              </w:rPr>
              <w:t>V</w:t>
            </w:r>
            <w:r w:rsidRPr="00D96336">
              <w:rPr>
                <w:szCs w:val="20"/>
              </w:rPr>
              <w:t>alue</w:t>
            </w:r>
          </w:p>
        </w:tc>
      </w:tr>
      <w:tr w:rsidR="00DA0F4B" w:rsidRPr="00D96336" w:rsidTr="00BE5EF1">
        <w:tc>
          <w:tcPr>
            <w:tcW w:w="5104" w:type="dxa"/>
            <w:tcBorders>
              <w:top w:val="single" w:sz="8" w:space="0" w:color="auto"/>
            </w:tcBorders>
          </w:tcPr>
          <w:p w:rsidR="00DA0F4B" w:rsidRPr="00D96336" w:rsidRDefault="00DA0F4B" w:rsidP="00406D6F">
            <w:pPr>
              <w:jc w:val="center"/>
              <w:rPr>
                <w:sz w:val="8"/>
                <w:szCs w:val="8"/>
              </w:rPr>
            </w:pPr>
          </w:p>
        </w:tc>
        <w:tc>
          <w:tcPr>
            <w:tcW w:w="2598" w:type="dxa"/>
            <w:tcBorders>
              <w:top w:val="single" w:sz="8" w:space="0" w:color="auto"/>
            </w:tcBorders>
          </w:tcPr>
          <w:p w:rsidR="00DA0F4B" w:rsidRPr="00D96336" w:rsidRDefault="00DA0F4B" w:rsidP="00406D6F">
            <w:pPr>
              <w:jc w:val="center"/>
              <w:rPr>
                <w:sz w:val="8"/>
                <w:szCs w:val="8"/>
              </w:rPr>
            </w:pPr>
          </w:p>
        </w:tc>
        <w:tc>
          <w:tcPr>
            <w:tcW w:w="1796" w:type="dxa"/>
            <w:tcBorders>
              <w:top w:val="single" w:sz="8" w:space="0" w:color="auto"/>
            </w:tcBorders>
          </w:tcPr>
          <w:p w:rsidR="00DA0F4B" w:rsidRPr="00D96336" w:rsidRDefault="00DA0F4B" w:rsidP="00406D6F">
            <w:pPr>
              <w:jc w:val="center"/>
              <w:rPr>
                <w:sz w:val="8"/>
                <w:szCs w:val="8"/>
              </w:rPr>
            </w:pPr>
          </w:p>
        </w:tc>
      </w:tr>
      <w:tr w:rsidR="00DA0F4B" w:rsidRPr="00D96336" w:rsidTr="00BE5EF1">
        <w:tc>
          <w:tcPr>
            <w:tcW w:w="5104" w:type="dxa"/>
          </w:tcPr>
          <w:p w:rsidR="00DA0F4B" w:rsidRPr="000A53A3" w:rsidRDefault="00DA0F4B" w:rsidP="00406D6F">
            <w:pPr>
              <w:rPr>
                <w:bCs/>
                <w:sz w:val="20"/>
                <w:szCs w:val="20"/>
              </w:rPr>
            </w:pPr>
            <w:r w:rsidRPr="000E2C02">
              <w:rPr>
                <w:bCs/>
                <w:sz w:val="20"/>
                <w:szCs w:val="20"/>
              </w:rPr>
              <w:t xml:space="preserve">Egoistic-driven motives </w:t>
            </w:r>
            <w:r w:rsidRPr="000A53A3">
              <w:rPr>
                <w:bCs/>
                <w:sz w:val="20"/>
                <w:szCs w:val="20"/>
              </w:rPr>
              <w:sym w:font="Symbol" w:char="F0AE"/>
            </w:r>
            <w:r w:rsidRPr="000A53A3">
              <w:rPr>
                <w:bCs/>
                <w:sz w:val="20"/>
                <w:szCs w:val="20"/>
              </w:rPr>
              <w:t xml:space="preserve"> </w:t>
            </w:r>
            <w:r w:rsidRPr="000615A3">
              <w:rPr>
                <w:bCs/>
                <w:sz w:val="20"/>
                <w:szCs w:val="20"/>
              </w:rPr>
              <w:t>CSR skepticism</w:t>
            </w:r>
          </w:p>
        </w:tc>
        <w:tc>
          <w:tcPr>
            <w:tcW w:w="2598" w:type="dxa"/>
          </w:tcPr>
          <w:p w:rsidR="00DA0F4B" w:rsidRPr="00D96336" w:rsidRDefault="00DA0F4B" w:rsidP="00406D6F">
            <w:pPr>
              <w:tabs>
                <w:tab w:val="decimal" w:pos="432"/>
              </w:tabs>
              <w:jc w:val="center"/>
              <w:rPr>
                <w:sz w:val="20"/>
                <w:szCs w:val="20"/>
              </w:rPr>
            </w:pPr>
            <w:r w:rsidRPr="00D96336">
              <w:rPr>
                <w:sz w:val="20"/>
                <w:szCs w:val="20"/>
              </w:rPr>
              <w:t>.</w:t>
            </w:r>
            <w:r>
              <w:rPr>
                <w:sz w:val="20"/>
                <w:szCs w:val="20"/>
              </w:rPr>
              <w:t>26</w:t>
            </w:r>
          </w:p>
        </w:tc>
        <w:tc>
          <w:tcPr>
            <w:tcW w:w="1796" w:type="dxa"/>
          </w:tcPr>
          <w:p w:rsidR="00DA0F4B" w:rsidRPr="00D96336" w:rsidRDefault="00DA0F4B" w:rsidP="00406D6F">
            <w:pPr>
              <w:tabs>
                <w:tab w:val="decimal" w:pos="252"/>
              </w:tabs>
              <w:jc w:val="center"/>
              <w:rPr>
                <w:sz w:val="20"/>
                <w:szCs w:val="20"/>
              </w:rPr>
            </w:pPr>
            <w:r>
              <w:rPr>
                <w:sz w:val="20"/>
                <w:szCs w:val="20"/>
              </w:rPr>
              <w:t xml:space="preserve"> 5</w:t>
            </w:r>
            <w:r w:rsidRPr="00D96336">
              <w:rPr>
                <w:sz w:val="20"/>
                <w:szCs w:val="20"/>
              </w:rPr>
              <w:t>.</w:t>
            </w:r>
            <w:r>
              <w:rPr>
                <w:sz w:val="20"/>
                <w:szCs w:val="20"/>
              </w:rPr>
              <w:t>03**</w:t>
            </w:r>
          </w:p>
        </w:tc>
      </w:tr>
      <w:tr w:rsidR="00DA0F4B" w:rsidRPr="00D96336" w:rsidTr="00BE5EF1">
        <w:tc>
          <w:tcPr>
            <w:tcW w:w="5104" w:type="dxa"/>
          </w:tcPr>
          <w:p w:rsidR="00DA0F4B" w:rsidRPr="000A53A3" w:rsidRDefault="00DA0F4B" w:rsidP="00406D6F">
            <w:pPr>
              <w:rPr>
                <w:bCs/>
                <w:sz w:val="20"/>
                <w:szCs w:val="20"/>
              </w:rPr>
            </w:pPr>
            <w:r w:rsidRPr="000E2C02">
              <w:rPr>
                <w:bCs/>
                <w:sz w:val="20"/>
                <w:szCs w:val="20"/>
              </w:rPr>
              <w:t xml:space="preserve">Values-driven motives </w:t>
            </w:r>
            <w:r w:rsidRPr="000A53A3">
              <w:rPr>
                <w:bCs/>
                <w:sz w:val="20"/>
                <w:szCs w:val="20"/>
              </w:rPr>
              <w:sym w:font="Symbol" w:char="F0AE"/>
            </w:r>
            <w:r w:rsidRPr="000A53A3">
              <w:rPr>
                <w:bCs/>
                <w:sz w:val="20"/>
                <w:szCs w:val="20"/>
              </w:rPr>
              <w:t xml:space="preserve"> </w:t>
            </w:r>
            <w:r w:rsidRPr="000615A3">
              <w:rPr>
                <w:bCs/>
                <w:sz w:val="20"/>
                <w:szCs w:val="20"/>
              </w:rPr>
              <w:t>CSR skepticism</w:t>
            </w:r>
          </w:p>
        </w:tc>
        <w:tc>
          <w:tcPr>
            <w:tcW w:w="2598" w:type="dxa"/>
          </w:tcPr>
          <w:p w:rsidR="00DA0F4B" w:rsidRPr="00D96336" w:rsidRDefault="00DA0F4B" w:rsidP="00406D6F">
            <w:pPr>
              <w:tabs>
                <w:tab w:val="decimal" w:pos="432"/>
              </w:tabs>
              <w:jc w:val="center"/>
              <w:rPr>
                <w:sz w:val="20"/>
                <w:szCs w:val="20"/>
              </w:rPr>
            </w:pPr>
            <w:r>
              <w:rPr>
                <w:sz w:val="20"/>
                <w:szCs w:val="20"/>
              </w:rPr>
              <w:t>-</w:t>
            </w:r>
            <w:r w:rsidRPr="00D96336">
              <w:rPr>
                <w:sz w:val="20"/>
                <w:szCs w:val="20"/>
              </w:rPr>
              <w:t>.</w:t>
            </w:r>
            <w:r>
              <w:rPr>
                <w:sz w:val="20"/>
                <w:szCs w:val="20"/>
              </w:rPr>
              <w:t>43</w:t>
            </w:r>
          </w:p>
        </w:tc>
        <w:tc>
          <w:tcPr>
            <w:tcW w:w="1796" w:type="dxa"/>
          </w:tcPr>
          <w:p w:rsidR="00DA0F4B" w:rsidRPr="00D96336" w:rsidRDefault="00DA0F4B" w:rsidP="00406D6F">
            <w:pPr>
              <w:tabs>
                <w:tab w:val="decimal" w:pos="252"/>
              </w:tabs>
              <w:jc w:val="center"/>
              <w:rPr>
                <w:sz w:val="20"/>
                <w:szCs w:val="20"/>
              </w:rPr>
            </w:pPr>
            <w:r w:rsidRPr="009C5C33">
              <w:rPr>
                <w:sz w:val="20"/>
                <w:szCs w:val="20"/>
              </w:rPr>
              <w:t>-</w:t>
            </w:r>
            <w:r>
              <w:rPr>
                <w:sz w:val="20"/>
                <w:szCs w:val="20"/>
              </w:rPr>
              <w:t>7</w:t>
            </w:r>
            <w:r w:rsidRPr="00D96336">
              <w:rPr>
                <w:sz w:val="20"/>
                <w:szCs w:val="20"/>
              </w:rPr>
              <w:t>.</w:t>
            </w:r>
            <w:r>
              <w:rPr>
                <w:sz w:val="20"/>
                <w:szCs w:val="20"/>
              </w:rPr>
              <w:t>81**</w:t>
            </w:r>
          </w:p>
        </w:tc>
      </w:tr>
      <w:tr w:rsidR="00DA0F4B" w:rsidRPr="00D96336" w:rsidTr="00BE5EF1">
        <w:tc>
          <w:tcPr>
            <w:tcW w:w="5104" w:type="dxa"/>
          </w:tcPr>
          <w:p w:rsidR="00DA0F4B" w:rsidRPr="000A53A3" w:rsidRDefault="00DA0F4B" w:rsidP="00406D6F">
            <w:pPr>
              <w:rPr>
                <w:bCs/>
                <w:sz w:val="20"/>
                <w:szCs w:val="20"/>
              </w:rPr>
            </w:pPr>
            <w:r w:rsidRPr="000E2C02">
              <w:rPr>
                <w:bCs/>
                <w:sz w:val="20"/>
                <w:szCs w:val="20"/>
              </w:rPr>
              <w:t xml:space="preserve">Strategic-driven motives </w:t>
            </w:r>
            <w:r w:rsidRPr="000A53A3">
              <w:rPr>
                <w:bCs/>
                <w:sz w:val="20"/>
                <w:szCs w:val="20"/>
              </w:rPr>
              <w:sym w:font="Symbol" w:char="F0AE"/>
            </w:r>
            <w:r w:rsidRPr="000A53A3">
              <w:rPr>
                <w:bCs/>
                <w:sz w:val="20"/>
                <w:szCs w:val="20"/>
              </w:rPr>
              <w:t xml:space="preserve"> CSR skepticism</w:t>
            </w:r>
          </w:p>
        </w:tc>
        <w:tc>
          <w:tcPr>
            <w:tcW w:w="2598" w:type="dxa"/>
          </w:tcPr>
          <w:p w:rsidR="00DA0F4B" w:rsidRPr="00D96336" w:rsidRDefault="00DA0F4B" w:rsidP="00406D6F">
            <w:pPr>
              <w:tabs>
                <w:tab w:val="decimal" w:pos="432"/>
              </w:tabs>
              <w:jc w:val="center"/>
              <w:rPr>
                <w:sz w:val="20"/>
                <w:szCs w:val="20"/>
              </w:rPr>
            </w:pPr>
            <w:r>
              <w:rPr>
                <w:sz w:val="20"/>
                <w:szCs w:val="20"/>
              </w:rPr>
              <w:t>-</w:t>
            </w:r>
            <w:r w:rsidRPr="00D96336">
              <w:rPr>
                <w:sz w:val="20"/>
                <w:szCs w:val="20"/>
              </w:rPr>
              <w:t>.</w:t>
            </w:r>
            <w:r>
              <w:rPr>
                <w:sz w:val="20"/>
                <w:szCs w:val="20"/>
              </w:rPr>
              <w:t>06</w:t>
            </w:r>
          </w:p>
        </w:tc>
        <w:tc>
          <w:tcPr>
            <w:tcW w:w="1796" w:type="dxa"/>
          </w:tcPr>
          <w:p w:rsidR="00DA0F4B" w:rsidRPr="00D96336" w:rsidRDefault="00DA0F4B" w:rsidP="00962B54">
            <w:pPr>
              <w:tabs>
                <w:tab w:val="decimal" w:pos="252"/>
              </w:tabs>
              <w:rPr>
                <w:sz w:val="20"/>
                <w:szCs w:val="20"/>
              </w:rPr>
            </w:pPr>
            <w:r>
              <w:rPr>
                <w:sz w:val="20"/>
                <w:szCs w:val="20"/>
              </w:rPr>
              <w:t xml:space="preserve">    </w:t>
            </w:r>
            <w:r w:rsidR="007F7EC7">
              <w:rPr>
                <w:sz w:val="20"/>
                <w:szCs w:val="20"/>
              </w:rPr>
              <w:t xml:space="preserve"> </w:t>
            </w:r>
            <w:r w:rsidR="009F588A">
              <w:rPr>
                <w:sz w:val="20"/>
                <w:szCs w:val="20"/>
              </w:rPr>
              <w:t xml:space="preserve"> </w:t>
            </w:r>
            <w:r>
              <w:rPr>
                <w:sz w:val="20"/>
                <w:szCs w:val="20"/>
              </w:rPr>
              <w:t xml:space="preserve">  </w:t>
            </w:r>
            <w:r w:rsidR="009F588A">
              <w:rPr>
                <w:sz w:val="20"/>
                <w:szCs w:val="20"/>
              </w:rPr>
              <w:t xml:space="preserve"> </w:t>
            </w:r>
            <w:r w:rsidR="00962B54" w:rsidRPr="00962B54">
              <w:rPr>
                <w:sz w:val="6"/>
                <w:szCs w:val="6"/>
              </w:rPr>
              <w:t xml:space="preserve"> </w:t>
            </w:r>
            <w:r w:rsidR="00F27A92" w:rsidRPr="009C5C33">
              <w:rPr>
                <w:sz w:val="20"/>
                <w:szCs w:val="20"/>
              </w:rPr>
              <w:t>-</w:t>
            </w:r>
            <w:r>
              <w:rPr>
                <w:sz w:val="20"/>
                <w:szCs w:val="20"/>
              </w:rPr>
              <w:t>1</w:t>
            </w:r>
            <w:r w:rsidRPr="00D96336">
              <w:rPr>
                <w:sz w:val="20"/>
                <w:szCs w:val="20"/>
              </w:rPr>
              <w:t>.</w:t>
            </w:r>
            <w:r>
              <w:rPr>
                <w:sz w:val="20"/>
                <w:szCs w:val="20"/>
              </w:rPr>
              <w:t>21</w:t>
            </w:r>
          </w:p>
        </w:tc>
      </w:tr>
      <w:tr w:rsidR="00DA0F4B" w:rsidRPr="00D96336" w:rsidTr="00BE5EF1">
        <w:tc>
          <w:tcPr>
            <w:tcW w:w="5104" w:type="dxa"/>
          </w:tcPr>
          <w:p w:rsidR="00DA0F4B" w:rsidRPr="00D96336" w:rsidRDefault="00DA0F4B" w:rsidP="00406D6F">
            <w:pPr>
              <w:rPr>
                <w:sz w:val="20"/>
                <w:szCs w:val="20"/>
              </w:rPr>
            </w:pPr>
            <w:r w:rsidRPr="000E2C02">
              <w:rPr>
                <w:sz w:val="20"/>
                <w:szCs w:val="20"/>
              </w:rPr>
              <w:t xml:space="preserve">Stakeholder-driven motives </w:t>
            </w:r>
            <w:r w:rsidRPr="00D96336">
              <w:rPr>
                <w:sz w:val="20"/>
                <w:szCs w:val="20"/>
              </w:rPr>
              <w:sym w:font="Symbol" w:char="F0AE"/>
            </w:r>
            <w:r w:rsidRPr="00D96336">
              <w:rPr>
                <w:sz w:val="20"/>
                <w:szCs w:val="20"/>
              </w:rPr>
              <w:t xml:space="preserve"> </w:t>
            </w:r>
            <w:r w:rsidRPr="000615A3">
              <w:rPr>
                <w:bCs/>
                <w:sz w:val="20"/>
                <w:szCs w:val="20"/>
              </w:rPr>
              <w:t>CSR skepticism</w:t>
            </w:r>
          </w:p>
        </w:tc>
        <w:tc>
          <w:tcPr>
            <w:tcW w:w="2598" w:type="dxa"/>
          </w:tcPr>
          <w:p w:rsidR="00DA0F4B" w:rsidRPr="00D96336" w:rsidRDefault="00DA0F4B" w:rsidP="00406D6F">
            <w:pPr>
              <w:tabs>
                <w:tab w:val="decimal" w:pos="432"/>
              </w:tabs>
              <w:jc w:val="center"/>
              <w:rPr>
                <w:sz w:val="20"/>
                <w:szCs w:val="20"/>
              </w:rPr>
            </w:pPr>
            <w:r w:rsidRPr="00D96336">
              <w:rPr>
                <w:sz w:val="20"/>
                <w:szCs w:val="20"/>
              </w:rPr>
              <w:t>.</w:t>
            </w:r>
            <w:r>
              <w:rPr>
                <w:sz w:val="20"/>
                <w:szCs w:val="20"/>
              </w:rPr>
              <w:t>13</w:t>
            </w:r>
          </w:p>
        </w:tc>
        <w:tc>
          <w:tcPr>
            <w:tcW w:w="1796" w:type="dxa"/>
          </w:tcPr>
          <w:p w:rsidR="00DA0F4B" w:rsidRPr="00D96336" w:rsidRDefault="00DA0F4B" w:rsidP="00406D6F">
            <w:pPr>
              <w:tabs>
                <w:tab w:val="decimal" w:pos="252"/>
              </w:tabs>
              <w:jc w:val="center"/>
              <w:rPr>
                <w:sz w:val="20"/>
                <w:szCs w:val="20"/>
              </w:rPr>
            </w:pPr>
            <w:r>
              <w:rPr>
                <w:sz w:val="20"/>
                <w:szCs w:val="20"/>
              </w:rPr>
              <w:t xml:space="preserve"> 2</w:t>
            </w:r>
            <w:r w:rsidRPr="00D96336">
              <w:rPr>
                <w:sz w:val="20"/>
                <w:szCs w:val="20"/>
              </w:rPr>
              <w:t>.</w:t>
            </w:r>
            <w:r>
              <w:rPr>
                <w:sz w:val="20"/>
                <w:szCs w:val="20"/>
              </w:rPr>
              <w:t>80**</w:t>
            </w:r>
          </w:p>
        </w:tc>
      </w:tr>
      <w:tr w:rsidR="00DA0F4B" w:rsidRPr="00D96336" w:rsidTr="00BE5EF1">
        <w:tc>
          <w:tcPr>
            <w:tcW w:w="5104" w:type="dxa"/>
          </w:tcPr>
          <w:p w:rsidR="00DA0F4B" w:rsidRPr="00D96336" w:rsidRDefault="00DA0F4B" w:rsidP="00406D6F">
            <w:pPr>
              <w:rPr>
                <w:sz w:val="20"/>
                <w:szCs w:val="20"/>
              </w:rPr>
            </w:pPr>
            <w:r w:rsidRPr="000615A3">
              <w:rPr>
                <w:bCs/>
                <w:sz w:val="20"/>
                <w:szCs w:val="20"/>
              </w:rPr>
              <w:t xml:space="preserve">CSR skepticism </w:t>
            </w:r>
            <w:r w:rsidRPr="00D96336">
              <w:rPr>
                <w:sz w:val="20"/>
                <w:szCs w:val="20"/>
              </w:rPr>
              <w:sym w:font="Symbol" w:char="F0AE"/>
            </w:r>
            <w:r w:rsidRPr="00D96336">
              <w:rPr>
                <w:sz w:val="20"/>
                <w:szCs w:val="20"/>
              </w:rPr>
              <w:t xml:space="preserve"> </w:t>
            </w:r>
            <w:r>
              <w:rPr>
                <w:sz w:val="20"/>
                <w:szCs w:val="20"/>
              </w:rPr>
              <w:t>Equity</w:t>
            </w:r>
          </w:p>
        </w:tc>
        <w:tc>
          <w:tcPr>
            <w:tcW w:w="2598" w:type="dxa"/>
          </w:tcPr>
          <w:p w:rsidR="00DA0F4B" w:rsidRPr="00D96336" w:rsidRDefault="00DA0F4B" w:rsidP="00406D6F">
            <w:pPr>
              <w:tabs>
                <w:tab w:val="decimal" w:pos="432"/>
              </w:tabs>
              <w:jc w:val="center"/>
              <w:rPr>
                <w:sz w:val="20"/>
                <w:szCs w:val="20"/>
              </w:rPr>
            </w:pPr>
            <w:r>
              <w:rPr>
                <w:sz w:val="20"/>
                <w:szCs w:val="20"/>
              </w:rPr>
              <w:t>-.41</w:t>
            </w:r>
          </w:p>
        </w:tc>
        <w:tc>
          <w:tcPr>
            <w:tcW w:w="1796" w:type="dxa"/>
          </w:tcPr>
          <w:p w:rsidR="00DA0F4B" w:rsidRPr="00D96336" w:rsidRDefault="00DA0F4B" w:rsidP="00406D6F">
            <w:pPr>
              <w:tabs>
                <w:tab w:val="decimal" w:pos="252"/>
              </w:tabs>
              <w:jc w:val="center"/>
              <w:rPr>
                <w:sz w:val="20"/>
                <w:szCs w:val="20"/>
              </w:rPr>
            </w:pPr>
            <w:r w:rsidRPr="009C5C33">
              <w:rPr>
                <w:sz w:val="20"/>
                <w:szCs w:val="20"/>
              </w:rPr>
              <w:t>-</w:t>
            </w:r>
            <w:r>
              <w:rPr>
                <w:sz w:val="20"/>
                <w:szCs w:val="20"/>
              </w:rPr>
              <w:t>7</w:t>
            </w:r>
            <w:r w:rsidRPr="00D96336">
              <w:rPr>
                <w:sz w:val="20"/>
                <w:szCs w:val="20"/>
              </w:rPr>
              <w:t>.</w:t>
            </w:r>
            <w:r>
              <w:rPr>
                <w:sz w:val="20"/>
                <w:szCs w:val="20"/>
              </w:rPr>
              <w:t>72**</w:t>
            </w:r>
          </w:p>
        </w:tc>
      </w:tr>
      <w:tr w:rsidR="00DA0F4B" w:rsidRPr="00D96336" w:rsidTr="00BE5EF1">
        <w:tc>
          <w:tcPr>
            <w:tcW w:w="5104" w:type="dxa"/>
          </w:tcPr>
          <w:p w:rsidR="00DA0F4B" w:rsidRPr="00D96336" w:rsidRDefault="00DA0F4B" w:rsidP="00406D6F">
            <w:pPr>
              <w:rPr>
                <w:sz w:val="20"/>
                <w:szCs w:val="20"/>
              </w:rPr>
            </w:pPr>
            <w:r w:rsidRPr="000615A3">
              <w:rPr>
                <w:bCs/>
                <w:sz w:val="20"/>
                <w:szCs w:val="20"/>
              </w:rPr>
              <w:t xml:space="preserve">CSR skepticism </w:t>
            </w:r>
            <w:r w:rsidRPr="00D96336">
              <w:rPr>
                <w:sz w:val="20"/>
                <w:szCs w:val="20"/>
              </w:rPr>
              <w:sym w:font="Symbol" w:char="F0AE"/>
            </w:r>
            <w:r w:rsidRPr="00D96336">
              <w:rPr>
                <w:sz w:val="20"/>
                <w:szCs w:val="20"/>
              </w:rPr>
              <w:t xml:space="preserve"> </w:t>
            </w:r>
            <w:r>
              <w:rPr>
                <w:sz w:val="20"/>
                <w:szCs w:val="20"/>
              </w:rPr>
              <w:t>Resilience to negative information</w:t>
            </w:r>
          </w:p>
        </w:tc>
        <w:tc>
          <w:tcPr>
            <w:tcW w:w="2598" w:type="dxa"/>
          </w:tcPr>
          <w:p w:rsidR="00DA0F4B" w:rsidRPr="00D96336" w:rsidRDefault="00DA0F4B" w:rsidP="00406D6F">
            <w:pPr>
              <w:tabs>
                <w:tab w:val="decimal" w:pos="432"/>
              </w:tabs>
              <w:jc w:val="center"/>
              <w:rPr>
                <w:sz w:val="20"/>
                <w:szCs w:val="20"/>
              </w:rPr>
            </w:pPr>
            <w:r>
              <w:rPr>
                <w:sz w:val="20"/>
                <w:szCs w:val="20"/>
              </w:rPr>
              <w:t>-.27</w:t>
            </w:r>
          </w:p>
        </w:tc>
        <w:tc>
          <w:tcPr>
            <w:tcW w:w="1796" w:type="dxa"/>
          </w:tcPr>
          <w:p w:rsidR="00DA0F4B" w:rsidRPr="00D96336" w:rsidRDefault="00DA0F4B" w:rsidP="00406D6F">
            <w:pPr>
              <w:tabs>
                <w:tab w:val="decimal" w:pos="252"/>
              </w:tabs>
              <w:jc w:val="center"/>
              <w:rPr>
                <w:sz w:val="20"/>
                <w:szCs w:val="20"/>
              </w:rPr>
            </w:pPr>
            <w:r>
              <w:rPr>
                <w:sz w:val="20"/>
                <w:szCs w:val="20"/>
              </w:rPr>
              <w:t>-4</w:t>
            </w:r>
            <w:r w:rsidRPr="00D96336">
              <w:rPr>
                <w:sz w:val="20"/>
                <w:szCs w:val="20"/>
              </w:rPr>
              <w:t>.</w:t>
            </w:r>
            <w:r>
              <w:rPr>
                <w:sz w:val="20"/>
                <w:szCs w:val="20"/>
              </w:rPr>
              <w:t>49**</w:t>
            </w:r>
          </w:p>
        </w:tc>
      </w:tr>
      <w:tr w:rsidR="00DA0F4B" w:rsidRPr="00D96336" w:rsidTr="00BE5EF1">
        <w:tc>
          <w:tcPr>
            <w:tcW w:w="5104" w:type="dxa"/>
          </w:tcPr>
          <w:p w:rsidR="00DA0F4B" w:rsidRPr="00D96336" w:rsidRDefault="00DA0F4B" w:rsidP="00A21F6A">
            <w:pPr>
              <w:rPr>
                <w:sz w:val="20"/>
                <w:szCs w:val="20"/>
              </w:rPr>
            </w:pPr>
            <w:r w:rsidRPr="000615A3">
              <w:rPr>
                <w:bCs/>
                <w:sz w:val="20"/>
                <w:szCs w:val="20"/>
              </w:rPr>
              <w:t xml:space="preserve">CSR skepticism </w:t>
            </w:r>
            <w:r w:rsidRPr="00D96336">
              <w:rPr>
                <w:sz w:val="20"/>
                <w:szCs w:val="20"/>
              </w:rPr>
              <w:sym w:font="Symbol" w:char="F0AE"/>
            </w:r>
            <w:r w:rsidRPr="00D96336">
              <w:rPr>
                <w:sz w:val="20"/>
                <w:szCs w:val="20"/>
              </w:rPr>
              <w:t xml:space="preserve"> </w:t>
            </w:r>
            <w:r w:rsidRPr="007614EC">
              <w:rPr>
                <w:bCs/>
                <w:sz w:val="20"/>
                <w:szCs w:val="20"/>
              </w:rPr>
              <w:t>W</w:t>
            </w:r>
            <w:r w:rsidR="00A21F6A">
              <w:rPr>
                <w:bCs/>
                <w:sz w:val="20"/>
                <w:szCs w:val="20"/>
              </w:rPr>
              <w:t>OM</w:t>
            </w:r>
          </w:p>
        </w:tc>
        <w:tc>
          <w:tcPr>
            <w:tcW w:w="2598" w:type="dxa"/>
          </w:tcPr>
          <w:p w:rsidR="00DA0F4B" w:rsidRPr="00D96336" w:rsidRDefault="00DA0F4B" w:rsidP="00406D6F">
            <w:pPr>
              <w:tabs>
                <w:tab w:val="decimal" w:pos="432"/>
              </w:tabs>
              <w:jc w:val="center"/>
              <w:rPr>
                <w:sz w:val="20"/>
                <w:szCs w:val="20"/>
              </w:rPr>
            </w:pPr>
            <w:r>
              <w:rPr>
                <w:sz w:val="20"/>
                <w:szCs w:val="20"/>
              </w:rPr>
              <w:t>-</w:t>
            </w:r>
            <w:r w:rsidRPr="00D96336">
              <w:rPr>
                <w:sz w:val="20"/>
                <w:szCs w:val="20"/>
              </w:rPr>
              <w:t>.</w:t>
            </w:r>
            <w:r>
              <w:rPr>
                <w:sz w:val="20"/>
                <w:szCs w:val="20"/>
              </w:rPr>
              <w:t>20</w:t>
            </w:r>
          </w:p>
        </w:tc>
        <w:tc>
          <w:tcPr>
            <w:tcW w:w="1796" w:type="dxa"/>
          </w:tcPr>
          <w:p w:rsidR="00DA0F4B" w:rsidRPr="00D96336" w:rsidRDefault="00DA0F4B" w:rsidP="00406D6F">
            <w:pPr>
              <w:tabs>
                <w:tab w:val="decimal" w:pos="252"/>
              </w:tabs>
              <w:jc w:val="center"/>
              <w:rPr>
                <w:sz w:val="20"/>
                <w:szCs w:val="20"/>
              </w:rPr>
            </w:pPr>
            <w:r w:rsidRPr="009C5C33">
              <w:rPr>
                <w:sz w:val="20"/>
                <w:szCs w:val="20"/>
              </w:rPr>
              <w:t>-3</w:t>
            </w:r>
            <w:r w:rsidRPr="00D96336">
              <w:rPr>
                <w:sz w:val="20"/>
                <w:szCs w:val="20"/>
              </w:rPr>
              <w:t>.</w:t>
            </w:r>
            <w:r>
              <w:rPr>
                <w:sz w:val="20"/>
                <w:szCs w:val="20"/>
              </w:rPr>
              <w:t>56**</w:t>
            </w:r>
          </w:p>
        </w:tc>
      </w:tr>
      <w:tr w:rsidR="00DA0F4B" w:rsidRPr="00D96336" w:rsidTr="00BE5EF1">
        <w:tc>
          <w:tcPr>
            <w:tcW w:w="5104" w:type="dxa"/>
          </w:tcPr>
          <w:p w:rsidR="00DA0F4B" w:rsidRPr="00D96336" w:rsidRDefault="00DA0F4B" w:rsidP="00406D6F">
            <w:pPr>
              <w:rPr>
                <w:sz w:val="20"/>
                <w:szCs w:val="20"/>
              </w:rPr>
            </w:pPr>
            <w:r w:rsidRPr="007614EC">
              <w:rPr>
                <w:bCs/>
                <w:sz w:val="20"/>
                <w:szCs w:val="20"/>
              </w:rPr>
              <w:t xml:space="preserve">Equity </w:t>
            </w:r>
            <w:r w:rsidRPr="00D96336">
              <w:rPr>
                <w:sz w:val="20"/>
                <w:szCs w:val="20"/>
              </w:rPr>
              <w:sym w:font="Symbol" w:char="F0AE"/>
            </w:r>
            <w:r w:rsidRPr="00D96336">
              <w:rPr>
                <w:sz w:val="20"/>
                <w:szCs w:val="20"/>
              </w:rPr>
              <w:t xml:space="preserve"> </w:t>
            </w:r>
            <w:r>
              <w:rPr>
                <w:sz w:val="20"/>
                <w:szCs w:val="20"/>
              </w:rPr>
              <w:t>Resilience to negative information</w:t>
            </w:r>
          </w:p>
        </w:tc>
        <w:tc>
          <w:tcPr>
            <w:tcW w:w="2598" w:type="dxa"/>
          </w:tcPr>
          <w:p w:rsidR="00DA0F4B" w:rsidRPr="00D96336" w:rsidRDefault="00DA0F4B" w:rsidP="00406D6F">
            <w:pPr>
              <w:tabs>
                <w:tab w:val="decimal" w:pos="432"/>
              </w:tabs>
              <w:jc w:val="center"/>
              <w:rPr>
                <w:sz w:val="20"/>
                <w:szCs w:val="20"/>
              </w:rPr>
            </w:pPr>
            <w:r w:rsidRPr="00D96336">
              <w:rPr>
                <w:sz w:val="20"/>
                <w:szCs w:val="20"/>
              </w:rPr>
              <w:t>.</w:t>
            </w:r>
            <w:r>
              <w:rPr>
                <w:sz w:val="20"/>
                <w:szCs w:val="20"/>
              </w:rPr>
              <w:t>19</w:t>
            </w:r>
          </w:p>
        </w:tc>
        <w:tc>
          <w:tcPr>
            <w:tcW w:w="1796" w:type="dxa"/>
          </w:tcPr>
          <w:p w:rsidR="00DA0F4B" w:rsidRPr="00D96336" w:rsidRDefault="00DA0F4B" w:rsidP="00406D6F">
            <w:pPr>
              <w:tabs>
                <w:tab w:val="decimal" w:pos="252"/>
              </w:tabs>
              <w:jc w:val="center"/>
              <w:rPr>
                <w:sz w:val="20"/>
                <w:szCs w:val="20"/>
              </w:rPr>
            </w:pPr>
            <w:r>
              <w:rPr>
                <w:sz w:val="20"/>
                <w:szCs w:val="20"/>
              </w:rPr>
              <w:t xml:space="preserve"> </w:t>
            </w:r>
            <w:r w:rsidRPr="00D96336">
              <w:rPr>
                <w:sz w:val="20"/>
                <w:szCs w:val="20"/>
              </w:rPr>
              <w:t>3.</w:t>
            </w:r>
            <w:r>
              <w:rPr>
                <w:sz w:val="20"/>
                <w:szCs w:val="20"/>
              </w:rPr>
              <w:t>49**</w:t>
            </w:r>
          </w:p>
        </w:tc>
      </w:tr>
      <w:tr w:rsidR="00DA0F4B" w:rsidRPr="00D96336" w:rsidTr="00BE5EF1">
        <w:tc>
          <w:tcPr>
            <w:tcW w:w="5104" w:type="dxa"/>
          </w:tcPr>
          <w:p w:rsidR="00DA0F4B" w:rsidRPr="00D96336" w:rsidRDefault="00DA0F4B" w:rsidP="00A21F6A">
            <w:pPr>
              <w:rPr>
                <w:sz w:val="20"/>
                <w:szCs w:val="20"/>
              </w:rPr>
            </w:pPr>
            <w:r>
              <w:rPr>
                <w:sz w:val="20"/>
                <w:szCs w:val="20"/>
              </w:rPr>
              <w:t>Equity</w:t>
            </w:r>
            <w:r w:rsidRPr="00D96336">
              <w:rPr>
                <w:sz w:val="20"/>
                <w:szCs w:val="20"/>
              </w:rPr>
              <w:t xml:space="preserve"> </w:t>
            </w:r>
            <w:r w:rsidRPr="00D96336">
              <w:rPr>
                <w:sz w:val="20"/>
                <w:szCs w:val="20"/>
              </w:rPr>
              <w:sym w:font="Symbol" w:char="F0AE"/>
            </w:r>
            <w:r w:rsidRPr="00D96336">
              <w:rPr>
                <w:sz w:val="20"/>
                <w:szCs w:val="20"/>
              </w:rPr>
              <w:t xml:space="preserve"> </w:t>
            </w:r>
            <w:r w:rsidRPr="007614EC">
              <w:rPr>
                <w:sz w:val="20"/>
                <w:szCs w:val="20"/>
              </w:rPr>
              <w:t>W</w:t>
            </w:r>
            <w:r w:rsidR="00A21F6A">
              <w:rPr>
                <w:sz w:val="20"/>
                <w:szCs w:val="20"/>
              </w:rPr>
              <w:t>OM</w:t>
            </w:r>
          </w:p>
        </w:tc>
        <w:tc>
          <w:tcPr>
            <w:tcW w:w="2598" w:type="dxa"/>
          </w:tcPr>
          <w:p w:rsidR="00DA0F4B" w:rsidRPr="00D96336" w:rsidRDefault="00DA0F4B" w:rsidP="00406D6F">
            <w:pPr>
              <w:tabs>
                <w:tab w:val="decimal" w:pos="432"/>
              </w:tabs>
              <w:jc w:val="center"/>
              <w:rPr>
                <w:sz w:val="20"/>
                <w:szCs w:val="20"/>
              </w:rPr>
            </w:pPr>
            <w:r w:rsidRPr="00D96336">
              <w:rPr>
                <w:sz w:val="20"/>
                <w:szCs w:val="20"/>
              </w:rPr>
              <w:t>.</w:t>
            </w:r>
            <w:r>
              <w:rPr>
                <w:sz w:val="20"/>
                <w:szCs w:val="20"/>
              </w:rPr>
              <w:t>30</w:t>
            </w:r>
          </w:p>
        </w:tc>
        <w:tc>
          <w:tcPr>
            <w:tcW w:w="1796" w:type="dxa"/>
          </w:tcPr>
          <w:p w:rsidR="00DA0F4B" w:rsidRPr="00D96336" w:rsidRDefault="00DA0F4B" w:rsidP="00406D6F">
            <w:pPr>
              <w:tabs>
                <w:tab w:val="decimal" w:pos="252"/>
              </w:tabs>
              <w:jc w:val="center"/>
              <w:rPr>
                <w:sz w:val="20"/>
                <w:szCs w:val="20"/>
              </w:rPr>
            </w:pPr>
            <w:r>
              <w:rPr>
                <w:sz w:val="20"/>
                <w:szCs w:val="20"/>
              </w:rPr>
              <w:t xml:space="preserve"> 5</w:t>
            </w:r>
            <w:r w:rsidRPr="00D96336">
              <w:rPr>
                <w:sz w:val="20"/>
                <w:szCs w:val="20"/>
              </w:rPr>
              <w:t>.</w:t>
            </w:r>
            <w:r>
              <w:rPr>
                <w:sz w:val="20"/>
                <w:szCs w:val="20"/>
              </w:rPr>
              <w:t>58**</w:t>
            </w:r>
          </w:p>
        </w:tc>
      </w:tr>
      <w:tr w:rsidR="00DA0F4B" w:rsidRPr="00D96336" w:rsidTr="00BE5EF1">
        <w:tc>
          <w:tcPr>
            <w:tcW w:w="5104" w:type="dxa"/>
          </w:tcPr>
          <w:p w:rsidR="00DA0F4B" w:rsidRPr="00D96336" w:rsidRDefault="00DA0F4B" w:rsidP="00406D6F">
            <w:pPr>
              <w:rPr>
                <w:sz w:val="20"/>
                <w:szCs w:val="20"/>
              </w:rPr>
            </w:pPr>
          </w:p>
        </w:tc>
        <w:tc>
          <w:tcPr>
            <w:tcW w:w="2598" w:type="dxa"/>
          </w:tcPr>
          <w:p w:rsidR="00DA0F4B" w:rsidRPr="00D96336" w:rsidRDefault="00DA0F4B" w:rsidP="00406D6F">
            <w:pPr>
              <w:tabs>
                <w:tab w:val="decimal" w:pos="432"/>
              </w:tabs>
              <w:jc w:val="center"/>
              <w:rPr>
                <w:sz w:val="20"/>
                <w:szCs w:val="20"/>
              </w:rPr>
            </w:pPr>
          </w:p>
        </w:tc>
        <w:tc>
          <w:tcPr>
            <w:tcW w:w="1796" w:type="dxa"/>
          </w:tcPr>
          <w:p w:rsidR="00DA0F4B" w:rsidRPr="00D96336" w:rsidRDefault="00DA0F4B" w:rsidP="00406D6F">
            <w:pPr>
              <w:tabs>
                <w:tab w:val="decimal" w:pos="252"/>
              </w:tabs>
              <w:rPr>
                <w:sz w:val="20"/>
                <w:szCs w:val="20"/>
              </w:rPr>
            </w:pPr>
          </w:p>
        </w:tc>
      </w:tr>
      <w:tr w:rsidR="00DA0F4B" w:rsidRPr="00D96336" w:rsidTr="00BE5EF1">
        <w:tc>
          <w:tcPr>
            <w:tcW w:w="5104" w:type="dxa"/>
          </w:tcPr>
          <w:p w:rsidR="00DA0F4B" w:rsidRPr="00D96336" w:rsidRDefault="00DA0F4B" w:rsidP="00406D6F">
            <w:pPr>
              <w:rPr>
                <w:sz w:val="20"/>
                <w:szCs w:val="20"/>
              </w:rPr>
            </w:pPr>
            <w:r w:rsidRPr="000615A3">
              <w:rPr>
                <w:bCs/>
                <w:sz w:val="20"/>
                <w:szCs w:val="20"/>
              </w:rPr>
              <w:t>C</w:t>
            </w:r>
            <w:r>
              <w:rPr>
                <w:bCs/>
                <w:sz w:val="20"/>
                <w:szCs w:val="20"/>
              </w:rPr>
              <w:t>ustomer orientation</w:t>
            </w:r>
            <w:r w:rsidRPr="000615A3">
              <w:rPr>
                <w:bCs/>
                <w:sz w:val="20"/>
                <w:szCs w:val="20"/>
              </w:rPr>
              <w:t xml:space="preserve"> </w:t>
            </w:r>
            <w:r w:rsidRPr="00D96336">
              <w:rPr>
                <w:sz w:val="20"/>
                <w:szCs w:val="20"/>
              </w:rPr>
              <w:sym w:font="Symbol" w:char="F0AE"/>
            </w:r>
            <w:r w:rsidRPr="00D96336">
              <w:rPr>
                <w:sz w:val="20"/>
                <w:szCs w:val="20"/>
              </w:rPr>
              <w:t xml:space="preserve"> </w:t>
            </w:r>
            <w:r w:rsidRPr="000615A3">
              <w:rPr>
                <w:bCs/>
                <w:sz w:val="20"/>
                <w:szCs w:val="20"/>
              </w:rPr>
              <w:t>CSR skepticism</w:t>
            </w:r>
          </w:p>
        </w:tc>
        <w:tc>
          <w:tcPr>
            <w:tcW w:w="2598" w:type="dxa"/>
          </w:tcPr>
          <w:p w:rsidR="00DA0F4B" w:rsidRPr="00D96336" w:rsidRDefault="00DA0F4B" w:rsidP="00406D6F">
            <w:pPr>
              <w:tabs>
                <w:tab w:val="decimal" w:pos="432"/>
              </w:tabs>
              <w:jc w:val="center"/>
              <w:rPr>
                <w:sz w:val="20"/>
                <w:szCs w:val="20"/>
              </w:rPr>
            </w:pPr>
            <w:r>
              <w:rPr>
                <w:sz w:val="20"/>
                <w:szCs w:val="20"/>
              </w:rPr>
              <w:t>-</w:t>
            </w:r>
            <w:r w:rsidRPr="00D96336">
              <w:rPr>
                <w:sz w:val="20"/>
                <w:szCs w:val="20"/>
              </w:rPr>
              <w:t>.</w:t>
            </w:r>
            <w:r>
              <w:rPr>
                <w:sz w:val="20"/>
                <w:szCs w:val="20"/>
              </w:rPr>
              <w:t>25</w:t>
            </w:r>
          </w:p>
        </w:tc>
        <w:tc>
          <w:tcPr>
            <w:tcW w:w="1796" w:type="dxa"/>
          </w:tcPr>
          <w:p w:rsidR="00DA0F4B" w:rsidRPr="00D96336" w:rsidRDefault="00DA0F4B" w:rsidP="00406D6F">
            <w:pPr>
              <w:tabs>
                <w:tab w:val="decimal" w:pos="252"/>
              </w:tabs>
              <w:jc w:val="center"/>
              <w:rPr>
                <w:sz w:val="20"/>
                <w:szCs w:val="20"/>
              </w:rPr>
            </w:pPr>
            <w:r w:rsidRPr="009C5C33">
              <w:rPr>
                <w:sz w:val="20"/>
                <w:szCs w:val="20"/>
              </w:rPr>
              <w:t>-</w:t>
            </w:r>
            <w:r>
              <w:rPr>
                <w:sz w:val="20"/>
                <w:szCs w:val="20"/>
              </w:rPr>
              <w:t>5</w:t>
            </w:r>
            <w:r w:rsidRPr="00D96336">
              <w:rPr>
                <w:sz w:val="20"/>
                <w:szCs w:val="20"/>
              </w:rPr>
              <w:t>.</w:t>
            </w:r>
            <w:r>
              <w:rPr>
                <w:sz w:val="20"/>
                <w:szCs w:val="20"/>
              </w:rPr>
              <w:t>32**</w:t>
            </w:r>
          </w:p>
        </w:tc>
      </w:tr>
      <w:tr w:rsidR="00DA0F4B" w:rsidRPr="00D96336" w:rsidTr="00BE5EF1">
        <w:tc>
          <w:tcPr>
            <w:tcW w:w="5104" w:type="dxa"/>
          </w:tcPr>
          <w:p w:rsidR="00DA0F4B" w:rsidRPr="00D96336" w:rsidRDefault="00DA0F4B" w:rsidP="00406D6F">
            <w:pPr>
              <w:rPr>
                <w:sz w:val="20"/>
                <w:szCs w:val="20"/>
              </w:rPr>
            </w:pPr>
            <w:r w:rsidRPr="000615A3">
              <w:rPr>
                <w:bCs/>
                <w:sz w:val="20"/>
                <w:szCs w:val="20"/>
              </w:rPr>
              <w:t xml:space="preserve">Customer orientation </w:t>
            </w:r>
            <w:r w:rsidRPr="00D96336">
              <w:rPr>
                <w:sz w:val="20"/>
                <w:szCs w:val="20"/>
              </w:rPr>
              <w:sym w:font="Symbol" w:char="F0AE"/>
            </w:r>
            <w:r w:rsidRPr="00D96336">
              <w:rPr>
                <w:sz w:val="20"/>
                <w:szCs w:val="20"/>
              </w:rPr>
              <w:t xml:space="preserve"> </w:t>
            </w:r>
            <w:r w:rsidRPr="007614EC">
              <w:rPr>
                <w:sz w:val="20"/>
                <w:szCs w:val="20"/>
              </w:rPr>
              <w:t>Equity</w:t>
            </w:r>
          </w:p>
        </w:tc>
        <w:tc>
          <w:tcPr>
            <w:tcW w:w="2598" w:type="dxa"/>
          </w:tcPr>
          <w:p w:rsidR="00DA0F4B" w:rsidRPr="00D96336" w:rsidRDefault="00DA0F4B" w:rsidP="00406D6F">
            <w:pPr>
              <w:tabs>
                <w:tab w:val="decimal" w:pos="432"/>
              </w:tabs>
              <w:jc w:val="center"/>
              <w:rPr>
                <w:sz w:val="20"/>
                <w:szCs w:val="20"/>
              </w:rPr>
            </w:pPr>
            <w:r w:rsidRPr="00D96336">
              <w:rPr>
                <w:sz w:val="20"/>
                <w:szCs w:val="20"/>
              </w:rPr>
              <w:t>.</w:t>
            </w:r>
            <w:r>
              <w:rPr>
                <w:sz w:val="20"/>
                <w:szCs w:val="20"/>
              </w:rPr>
              <w:t>19</w:t>
            </w:r>
          </w:p>
        </w:tc>
        <w:tc>
          <w:tcPr>
            <w:tcW w:w="1796" w:type="dxa"/>
          </w:tcPr>
          <w:p w:rsidR="00DA0F4B" w:rsidRPr="00D96336" w:rsidRDefault="00DA0F4B" w:rsidP="00406D6F">
            <w:pPr>
              <w:tabs>
                <w:tab w:val="decimal" w:pos="252"/>
              </w:tabs>
              <w:jc w:val="center"/>
              <w:rPr>
                <w:sz w:val="20"/>
                <w:szCs w:val="20"/>
              </w:rPr>
            </w:pPr>
            <w:r>
              <w:rPr>
                <w:sz w:val="20"/>
                <w:szCs w:val="20"/>
              </w:rPr>
              <w:t xml:space="preserve"> 3</w:t>
            </w:r>
            <w:r w:rsidRPr="00D96336">
              <w:rPr>
                <w:sz w:val="20"/>
                <w:szCs w:val="20"/>
              </w:rPr>
              <w:t>.</w:t>
            </w:r>
            <w:r>
              <w:rPr>
                <w:sz w:val="20"/>
                <w:szCs w:val="20"/>
              </w:rPr>
              <w:t>60**</w:t>
            </w:r>
          </w:p>
        </w:tc>
      </w:tr>
      <w:tr w:rsidR="00DA0F4B" w:rsidRPr="00D96336" w:rsidTr="00BE5EF1">
        <w:tc>
          <w:tcPr>
            <w:tcW w:w="5104" w:type="dxa"/>
          </w:tcPr>
          <w:p w:rsidR="00DA0F4B" w:rsidRPr="00D96336" w:rsidRDefault="00DA0F4B" w:rsidP="00406D6F">
            <w:pPr>
              <w:rPr>
                <w:sz w:val="20"/>
                <w:szCs w:val="20"/>
              </w:rPr>
            </w:pPr>
            <w:r w:rsidRPr="000615A3">
              <w:rPr>
                <w:bCs/>
                <w:sz w:val="20"/>
                <w:szCs w:val="20"/>
              </w:rPr>
              <w:t xml:space="preserve">Customer orientation </w:t>
            </w:r>
            <w:r w:rsidRPr="00D96336">
              <w:rPr>
                <w:sz w:val="20"/>
                <w:szCs w:val="20"/>
              </w:rPr>
              <w:sym w:font="Symbol" w:char="F0AE"/>
            </w:r>
            <w:r w:rsidRPr="00D96336">
              <w:rPr>
                <w:sz w:val="20"/>
                <w:szCs w:val="20"/>
              </w:rPr>
              <w:t xml:space="preserve"> </w:t>
            </w:r>
            <w:r w:rsidRPr="007614EC">
              <w:rPr>
                <w:bCs/>
                <w:sz w:val="20"/>
                <w:szCs w:val="20"/>
              </w:rPr>
              <w:t>Resilience to negative information</w:t>
            </w:r>
          </w:p>
        </w:tc>
        <w:tc>
          <w:tcPr>
            <w:tcW w:w="2598" w:type="dxa"/>
          </w:tcPr>
          <w:p w:rsidR="00DA0F4B" w:rsidRPr="00D96336" w:rsidRDefault="00DA0F4B" w:rsidP="00406D6F">
            <w:pPr>
              <w:tabs>
                <w:tab w:val="decimal" w:pos="432"/>
              </w:tabs>
              <w:jc w:val="center"/>
              <w:rPr>
                <w:sz w:val="20"/>
                <w:szCs w:val="20"/>
              </w:rPr>
            </w:pPr>
            <w:r w:rsidRPr="00D96336">
              <w:rPr>
                <w:sz w:val="20"/>
                <w:szCs w:val="20"/>
              </w:rPr>
              <w:t>.</w:t>
            </w:r>
            <w:r>
              <w:rPr>
                <w:sz w:val="20"/>
                <w:szCs w:val="20"/>
              </w:rPr>
              <w:t>15</w:t>
            </w:r>
          </w:p>
        </w:tc>
        <w:tc>
          <w:tcPr>
            <w:tcW w:w="1796" w:type="dxa"/>
          </w:tcPr>
          <w:p w:rsidR="00DA0F4B" w:rsidRPr="00D96336" w:rsidRDefault="00DA0F4B" w:rsidP="00406D6F">
            <w:pPr>
              <w:tabs>
                <w:tab w:val="decimal" w:pos="252"/>
              </w:tabs>
              <w:jc w:val="center"/>
              <w:rPr>
                <w:sz w:val="20"/>
                <w:szCs w:val="20"/>
              </w:rPr>
            </w:pPr>
            <w:r>
              <w:rPr>
                <w:sz w:val="20"/>
                <w:szCs w:val="20"/>
              </w:rPr>
              <w:t xml:space="preserve"> 2</w:t>
            </w:r>
            <w:r w:rsidRPr="00D96336">
              <w:rPr>
                <w:sz w:val="20"/>
                <w:szCs w:val="20"/>
              </w:rPr>
              <w:t>.</w:t>
            </w:r>
            <w:r>
              <w:rPr>
                <w:sz w:val="20"/>
                <w:szCs w:val="20"/>
              </w:rPr>
              <w:t>65**</w:t>
            </w:r>
          </w:p>
        </w:tc>
      </w:tr>
      <w:tr w:rsidR="00DA0F4B" w:rsidRPr="00D96336" w:rsidTr="00BE5EF1">
        <w:tc>
          <w:tcPr>
            <w:tcW w:w="5104" w:type="dxa"/>
          </w:tcPr>
          <w:p w:rsidR="00DA0F4B" w:rsidRPr="00D96336" w:rsidRDefault="00DA0F4B" w:rsidP="00A21F6A">
            <w:pPr>
              <w:rPr>
                <w:sz w:val="20"/>
                <w:szCs w:val="20"/>
              </w:rPr>
            </w:pPr>
            <w:r w:rsidRPr="000615A3">
              <w:rPr>
                <w:bCs/>
                <w:sz w:val="20"/>
                <w:szCs w:val="20"/>
              </w:rPr>
              <w:t xml:space="preserve">Customer orientation </w:t>
            </w:r>
            <w:r w:rsidRPr="00D96336">
              <w:rPr>
                <w:sz w:val="20"/>
                <w:szCs w:val="20"/>
              </w:rPr>
              <w:sym w:font="Symbol" w:char="F0AE"/>
            </w:r>
            <w:r w:rsidRPr="00D96336">
              <w:rPr>
                <w:sz w:val="20"/>
                <w:szCs w:val="20"/>
              </w:rPr>
              <w:t xml:space="preserve"> </w:t>
            </w:r>
            <w:r w:rsidRPr="007614EC">
              <w:rPr>
                <w:bCs/>
                <w:sz w:val="20"/>
                <w:szCs w:val="20"/>
              </w:rPr>
              <w:t>W</w:t>
            </w:r>
            <w:r w:rsidR="00A21F6A">
              <w:rPr>
                <w:bCs/>
                <w:sz w:val="20"/>
                <w:szCs w:val="20"/>
              </w:rPr>
              <w:t>OM</w:t>
            </w:r>
          </w:p>
        </w:tc>
        <w:tc>
          <w:tcPr>
            <w:tcW w:w="2598" w:type="dxa"/>
          </w:tcPr>
          <w:p w:rsidR="00DA0F4B" w:rsidRPr="00D96336" w:rsidRDefault="00DA0F4B" w:rsidP="00406D6F">
            <w:pPr>
              <w:tabs>
                <w:tab w:val="decimal" w:pos="432"/>
              </w:tabs>
              <w:jc w:val="center"/>
              <w:rPr>
                <w:sz w:val="20"/>
                <w:szCs w:val="20"/>
              </w:rPr>
            </w:pPr>
            <w:r w:rsidRPr="00D96336">
              <w:rPr>
                <w:sz w:val="20"/>
                <w:szCs w:val="20"/>
              </w:rPr>
              <w:t>.</w:t>
            </w:r>
            <w:r>
              <w:rPr>
                <w:sz w:val="20"/>
                <w:szCs w:val="20"/>
              </w:rPr>
              <w:t>13</w:t>
            </w:r>
          </w:p>
        </w:tc>
        <w:tc>
          <w:tcPr>
            <w:tcW w:w="1796" w:type="dxa"/>
          </w:tcPr>
          <w:p w:rsidR="00DA0F4B" w:rsidRPr="00D96336" w:rsidRDefault="00DA0F4B" w:rsidP="00465CF6">
            <w:pPr>
              <w:tabs>
                <w:tab w:val="decimal" w:pos="252"/>
              </w:tabs>
              <w:rPr>
                <w:sz w:val="20"/>
                <w:szCs w:val="20"/>
              </w:rPr>
            </w:pPr>
            <w:r>
              <w:rPr>
                <w:sz w:val="20"/>
                <w:szCs w:val="20"/>
              </w:rPr>
              <w:t xml:space="preserve">    </w:t>
            </w:r>
            <w:r w:rsidR="009F588A">
              <w:rPr>
                <w:sz w:val="20"/>
                <w:szCs w:val="20"/>
              </w:rPr>
              <w:t xml:space="preserve"> </w:t>
            </w:r>
            <w:r w:rsidR="007F7EC7">
              <w:rPr>
                <w:sz w:val="20"/>
                <w:szCs w:val="20"/>
              </w:rPr>
              <w:t xml:space="preserve"> </w:t>
            </w:r>
            <w:r w:rsidR="009F588A">
              <w:rPr>
                <w:sz w:val="20"/>
                <w:szCs w:val="20"/>
              </w:rPr>
              <w:t xml:space="preserve"> </w:t>
            </w:r>
            <w:r>
              <w:rPr>
                <w:sz w:val="20"/>
                <w:szCs w:val="20"/>
              </w:rPr>
              <w:t xml:space="preserve">   </w:t>
            </w:r>
            <w:r w:rsidRPr="009F588A">
              <w:rPr>
                <w:sz w:val="12"/>
                <w:szCs w:val="12"/>
              </w:rPr>
              <w:t xml:space="preserve"> </w:t>
            </w:r>
            <w:r>
              <w:rPr>
                <w:sz w:val="20"/>
                <w:szCs w:val="20"/>
              </w:rPr>
              <w:t>2</w:t>
            </w:r>
            <w:r w:rsidRPr="00D96336">
              <w:rPr>
                <w:sz w:val="20"/>
                <w:szCs w:val="20"/>
              </w:rPr>
              <w:t>.</w:t>
            </w:r>
            <w:r>
              <w:rPr>
                <w:sz w:val="20"/>
                <w:szCs w:val="20"/>
              </w:rPr>
              <w:t>44*</w:t>
            </w:r>
          </w:p>
        </w:tc>
      </w:tr>
      <w:tr w:rsidR="00DA0F4B" w:rsidRPr="00E56671" w:rsidTr="00BE5EF1">
        <w:tc>
          <w:tcPr>
            <w:tcW w:w="5104" w:type="dxa"/>
            <w:tcBorders>
              <w:bottom w:val="single" w:sz="12" w:space="0" w:color="auto"/>
            </w:tcBorders>
          </w:tcPr>
          <w:p w:rsidR="00DA0F4B" w:rsidRPr="00D96336" w:rsidRDefault="00DA0F4B" w:rsidP="00406D6F">
            <w:pPr>
              <w:rPr>
                <w:sz w:val="8"/>
                <w:szCs w:val="8"/>
              </w:rPr>
            </w:pPr>
          </w:p>
        </w:tc>
        <w:tc>
          <w:tcPr>
            <w:tcW w:w="2598" w:type="dxa"/>
            <w:tcBorders>
              <w:bottom w:val="single" w:sz="12" w:space="0" w:color="auto"/>
            </w:tcBorders>
          </w:tcPr>
          <w:p w:rsidR="00DA0F4B" w:rsidRPr="00D96336" w:rsidRDefault="00DA0F4B" w:rsidP="00406D6F">
            <w:pPr>
              <w:tabs>
                <w:tab w:val="decimal" w:pos="432"/>
              </w:tabs>
              <w:jc w:val="center"/>
              <w:rPr>
                <w:sz w:val="8"/>
                <w:szCs w:val="8"/>
              </w:rPr>
            </w:pPr>
          </w:p>
        </w:tc>
        <w:tc>
          <w:tcPr>
            <w:tcW w:w="1796" w:type="dxa"/>
            <w:tcBorders>
              <w:bottom w:val="single" w:sz="12" w:space="0" w:color="auto"/>
            </w:tcBorders>
          </w:tcPr>
          <w:p w:rsidR="00DA0F4B" w:rsidRPr="00D96336" w:rsidRDefault="00DA0F4B" w:rsidP="00406D6F">
            <w:pPr>
              <w:tabs>
                <w:tab w:val="decimal" w:pos="252"/>
              </w:tabs>
              <w:jc w:val="center"/>
              <w:rPr>
                <w:sz w:val="8"/>
                <w:szCs w:val="8"/>
              </w:rPr>
            </w:pPr>
          </w:p>
        </w:tc>
      </w:tr>
    </w:tbl>
    <w:p w:rsidR="00DA0F4B" w:rsidRDefault="00DA0F4B" w:rsidP="00DA0F4B">
      <w:pPr>
        <w:rPr>
          <w:sz w:val="20"/>
          <w:szCs w:val="20"/>
        </w:rPr>
      </w:pPr>
      <w:r>
        <w:rPr>
          <w:sz w:val="20"/>
          <w:szCs w:val="20"/>
        </w:rPr>
        <w:t>*</w:t>
      </w:r>
      <w:r w:rsidRPr="00D96336">
        <w:rPr>
          <w:sz w:val="20"/>
          <w:szCs w:val="20"/>
        </w:rPr>
        <w:t>*</w:t>
      </w:r>
      <w:r w:rsidRPr="00D96336">
        <w:rPr>
          <w:i/>
          <w:sz w:val="20"/>
          <w:szCs w:val="20"/>
        </w:rPr>
        <w:t xml:space="preserve">p </w:t>
      </w:r>
      <w:r w:rsidRPr="00D96336">
        <w:rPr>
          <w:sz w:val="20"/>
          <w:szCs w:val="20"/>
        </w:rPr>
        <w:t xml:space="preserve">&lt; .01. </w:t>
      </w:r>
    </w:p>
    <w:p w:rsidR="00DA0F4B" w:rsidRDefault="00DA0F4B" w:rsidP="00DA0F4B">
      <w:pPr>
        <w:rPr>
          <w:sz w:val="20"/>
          <w:szCs w:val="20"/>
        </w:rPr>
      </w:pPr>
      <w:r>
        <w:rPr>
          <w:sz w:val="20"/>
          <w:szCs w:val="20"/>
        </w:rPr>
        <w:t xml:space="preserve">  </w:t>
      </w:r>
      <w:r w:rsidRPr="00D96336">
        <w:rPr>
          <w:sz w:val="20"/>
          <w:szCs w:val="20"/>
        </w:rPr>
        <w:t>*</w:t>
      </w:r>
      <w:r w:rsidRPr="00D96336">
        <w:rPr>
          <w:i/>
          <w:sz w:val="20"/>
          <w:szCs w:val="20"/>
        </w:rPr>
        <w:t xml:space="preserve">p </w:t>
      </w:r>
      <w:r w:rsidRPr="00D96336">
        <w:rPr>
          <w:sz w:val="20"/>
          <w:szCs w:val="20"/>
        </w:rPr>
        <w:t>&lt; .0</w:t>
      </w:r>
      <w:r>
        <w:rPr>
          <w:sz w:val="20"/>
          <w:szCs w:val="20"/>
        </w:rPr>
        <w:t>5</w:t>
      </w:r>
      <w:r w:rsidRPr="00D96336">
        <w:rPr>
          <w:sz w:val="20"/>
          <w:szCs w:val="20"/>
        </w:rPr>
        <w:t xml:space="preserve">. </w:t>
      </w:r>
    </w:p>
    <w:p w:rsidR="00DA0F4B" w:rsidRPr="00D96336" w:rsidRDefault="00DA0F4B" w:rsidP="00DA0F4B"/>
    <w:p w:rsidR="00970FDF" w:rsidRDefault="00970FDF" w:rsidP="00DA0F4B">
      <w:pPr>
        <w:tabs>
          <w:tab w:val="left" w:pos="720"/>
        </w:tabs>
        <w:jc w:val="both"/>
      </w:pPr>
    </w:p>
    <w:p w:rsidR="00970FDF" w:rsidRDefault="00970FDF" w:rsidP="00DA0F4B">
      <w:pPr>
        <w:tabs>
          <w:tab w:val="left" w:pos="720"/>
        </w:tabs>
        <w:jc w:val="both"/>
      </w:pPr>
    </w:p>
    <w:p w:rsidR="00D72A62" w:rsidRDefault="00217369" w:rsidP="00DA0F4B">
      <w:pPr>
        <w:tabs>
          <w:tab w:val="left" w:pos="720"/>
        </w:tabs>
        <w:jc w:val="both"/>
      </w:pPr>
      <w:r>
        <w:br w:type="page"/>
      </w:r>
    </w:p>
    <w:p w:rsidR="00D72A62" w:rsidRDefault="00D72A62" w:rsidP="00DA0F4B">
      <w:pPr>
        <w:tabs>
          <w:tab w:val="left" w:pos="720"/>
        </w:tabs>
        <w:jc w:val="both"/>
      </w:pPr>
    </w:p>
    <w:p w:rsidR="00DA0F4B" w:rsidRDefault="00DA0F4B" w:rsidP="00DA0F4B">
      <w:pPr>
        <w:tabs>
          <w:tab w:val="left" w:pos="720"/>
        </w:tabs>
        <w:jc w:val="both"/>
      </w:pPr>
    </w:p>
    <w:p w:rsidR="00DA0F4B" w:rsidRDefault="00E020F9" w:rsidP="00DA0F4B">
      <w:pPr>
        <w:tabs>
          <w:tab w:val="left" w:pos="720"/>
        </w:tabs>
        <w:jc w:val="both"/>
      </w:pPr>
      <w:r>
        <w:rPr>
          <w:noProof/>
        </w:rPr>
        <w:drawing>
          <wp:inline distT="0" distB="0" distL="0" distR="0">
            <wp:extent cx="5753100" cy="36576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rsidR="00DA0F4B" w:rsidRDefault="00DA0F4B" w:rsidP="00DA0F4B">
      <w:pPr>
        <w:jc w:val="center"/>
        <w:rPr>
          <w:noProof/>
          <w:lang w:eastAsia="el-GR"/>
        </w:rPr>
      </w:pPr>
    </w:p>
    <w:p w:rsidR="00DA0F4B" w:rsidRDefault="00DA0F4B" w:rsidP="00DA0F4B">
      <w:pPr>
        <w:jc w:val="center"/>
        <w:rPr>
          <w:noProof/>
          <w:lang w:eastAsia="el-GR"/>
        </w:rPr>
      </w:pPr>
    </w:p>
    <w:p w:rsidR="001D2DB2" w:rsidRPr="00B857E0" w:rsidRDefault="00DA0F4B" w:rsidP="00D72A62">
      <w:pPr>
        <w:spacing w:line="480" w:lineRule="auto"/>
        <w:jc w:val="center"/>
        <w:rPr>
          <w:b/>
        </w:rPr>
      </w:pPr>
      <w:r w:rsidRPr="00217369">
        <w:rPr>
          <w:b/>
        </w:rPr>
        <w:t>Fig</w:t>
      </w:r>
      <w:r w:rsidR="00217369" w:rsidRPr="00217369">
        <w:rPr>
          <w:b/>
        </w:rPr>
        <w:t>ure</w:t>
      </w:r>
      <w:r w:rsidRPr="00217369">
        <w:rPr>
          <w:b/>
        </w:rPr>
        <w:t xml:space="preserve"> 1. </w:t>
      </w:r>
      <w:r w:rsidRPr="00B857E0">
        <w:rPr>
          <w:b/>
        </w:rPr>
        <w:t>Research model</w:t>
      </w:r>
    </w:p>
    <w:sectPr w:rsidR="001D2DB2" w:rsidRPr="00B857E0" w:rsidSect="003B473F">
      <w:headerReference w:type="default" r:id="rId10"/>
      <w:footerReference w:type="default" r:id="rId11"/>
      <w:headerReference w:type="first" r:id="rId12"/>
      <w:pgSz w:w="11906" w:h="16838" w:code="9"/>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E1" w:rsidRDefault="00292BE1" w:rsidP="00376F1F">
      <w:r>
        <w:separator/>
      </w:r>
    </w:p>
  </w:endnote>
  <w:endnote w:type="continuationSeparator" w:id="0">
    <w:p w:rsidR="00292BE1" w:rsidRDefault="00292BE1" w:rsidP="0037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93" w:rsidRPr="009211B2" w:rsidRDefault="005B1093" w:rsidP="00921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E1" w:rsidRDefault="00292BE1" w:rsidP="00376F1F">
      <w:r>
        <w:separator/>
      </w:r>
    </w:p>
  </w:footnote>
  <w:footnote w:type="continuationSeparator" w:id="0">
    <w:p w:rsidR="00292BE1" w:rsidRDefault="00292BE1" w:rsidP="0037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93" w:rsidRDefault="005B1093">
    <w:pPr>
      <w:pStyle w:val="Header"/>
      <w:jc w:val="right"/>
    </w:pPr>
    <w:r>
      <w:fldChar w:fldCharType="begin"/>
    </w:r>
    <w:r>
      <w:instrText xml:space="preserve"> PAGE   \* MERGEFORMAT </w:instrText>
    </w:r>
    <w:r>
      <w:fldChar w:fldCharType="separate"/>
    </w:r>
    <w:r w:rsidR="001D4DEE">
      <w:rPr>
        <w:noProof/>
      </w:rPr>
      <w:t>2</w:t>
    </w:r>
    <w:r>
      <w:fldChar w:fldCharType="end"/>
    </w:r>
  </w:p>
  <w:p w:rsidR="005B1093" w:rsidRDefault="005B1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93" w:rsidRDefault="005B1093">
    <w:pPr>
      <w:pStyle w:val="Header"/>
      <w:jc w:val="right"/>
    </w:pPr>
    <w:r>
      <w:fldChar w:fldCharType="begin"/>
    </w:r>
    <w:r>
      <w:instrText xml:space="preserve"> PAGE   \* MERGEFORMAT </w:instrText>
    </w:r>
    <w:r>
      <w:fldChar w:fldCharType="separate"/>
    </w:r>
    <w:r w:rsidR="00A03209">
      <w:rPr>
        <w:noProof/>
      </w:rPr>
      <w:t>6</w:t>
    </w:r>
    <w:r>
      <w:fldChar w:fldCharType="end"/>
    </w:r>
  </w:p>
  <w:p w:rsidR="005B1093" w:rsidRDefault="005B1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093" w:rsidRDefault="005B1093" w:rsidP="003B473F">
    <w:pPr>
      <w:pStyle w:val="Header"/>
      <w:ind w:firstLine="357"/>
      <w:jc w:val="right"/>
    </w:pPr>
    <w:r>
      <w:fldChar w:fldCharType="begin"/>
    </w:r>
    <w:r>
      <w:instrText xml:space="preserve"> PAGE   \* MERGEFORMAT </w:instrText>
    </w:r>
    <w:r>
      <w:fldChar w:fldCharType="separate"/>
    </w:r>
    <w:r w:rsidR="00A03209">
      <w:rPr>
        <w:noProof/>
      </w:rPr>
      <w:t>2</w:t>
    </w:r>
    <w:r>
      <w:fldChar w:fldCharType="end"/>
    </w:r>
  </w:p>
  <w:p w:rsidR="005B1093" w:rsidRDefault="005B1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128F"/>
    <w:multiLevelType w:val="hybridMultilevel"/>
    <w:tmpl w:val="5A7A566A"/>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F662D"/>
    <w:multiLevelType w:val="hybridMultilevel"/>
    <w:tmpl w:val="4C582DE0"/>
    <w:lvl w:ilvl="0" w:tplc="624EDC84">
      <w:start w:val="1"/>
      <w:numFmt w:val="lowerLetter"/>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504C2DC2"/>
    <w:multiLevelType w:val="hybridMultilevel"/>
    <w:tmpl w:val="505069FE"/>
    <w:lvl w:ilvl="0" w:tplc="0408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E7331"/>
    <w:multiLevelType w:val="hybridMultilevel"/>
    <w:tmpl w:val="FF2E362C"/>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F40321"/>
    <w:multiLevelType w:val="hybridMultilevel"/>
    <w:tmpl w:val="88D02904"/>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F6"/>
    <w:rsid w:val="000002CF"/>
    <w:rsid w:val="000005BC"/>
    <w:rsid w:val="000010D5"/>
    <w:rsid w:val="000017ED"/>
    <w:rsid w:val="00001A28"/>
    <w:rsid w:val="00001DA9"/>
    <w:rsid w:val="00001F31"/>
    <w:rsid w:val="00002519"/>
    <w:rsid w:val="00002558"/>
    <w:rsid w:val="00002658"/>
    <w:rsid w:val="000034DA"/>
    <w:rsid w:val="0000478A"/>
    <w:rsid w:val="00005292"/>
    <w:rsid w:val="000065C8"/>
    <w:rsid w:val="00006E47"/>
    <w:rsid w:val="000075B4"/>
    <w:rsid w:val="000076D4"/>
    <w:rsid w:val="00007DDF"/>
    <w:rsid w:val="00010383"/>
    <w:rsid w:val="000111E3"/>
    <w:rsid w:val="000114F0"/>
    <w:rsid w:val="0001164A"/>
    <w:rsid w:val="00011AE3"/>
    <w:rsid w:val="00011C00"/>
    <w:rsid w:val="00012C0A"/>
    <w:rsid w:val="00013F16"/>
    <w:rsid w:val="00014673"/>
    <w:rsid w:val="00014AA3"/>
    <w:rsid w:val="000176AF"/>
    <w:rsid w:val="00017BB9"/>
    <w:rsid w:val="00020B8D"/>
    <w:rsid w:val="00020CD6"/>
    <w:rsid w:val="00021946"/>
    <w:rsid w:val="00021A2B"/>
    <w:rsid w:val="00022C1D"/>
    <w:rsid w:val="00022D3D"/>
    <w:rsid w:val="00022D60"/>
    <w:rsid w:val="00023DA8"/>
    <w:rsid w:val="00024138"/>
    <w:rsid w:val="0002588D"/>
    <w:rsid w:val="00026509"/>
    <w:rsid w:val="00027667"/>
    <w:rsid w:val="0003131F"/>
    <w:rsid w:val="00031575"/>
    <w:rsid w:val="00031842"/>
    <w:rsid w:val="00032FCE"/>
    <w:rsid w:val="00033603"/>
    <w:rsid w:val="00033ED2"/>
    <w:rsid w:val="00035579"/>
    <w:rsid w:val="000355C5"/>
    <w:rsid w:val="00036856"/>
    <w:rsid w:val="00036972"/>
    <w:rsid w:val="00036F7F"/>
    <w:rsid w:val="000372E1"/>
    <w:rsid w:val="0004031C"/>
    <w:rsid w:val="0004059A"/>
    <w:rsid w:val="00040FA8"/>
    <w:rsid w:val="00041758"/>
    <w:rsid w:val="000428B7"/>
    <w:rsid w:val="00042A3B"/>
    <w:rsid w:val="00042A94"/>
    <w:rsid w:val="000437D9"/>
    <w:rsid w:val="00045E72"/>
    <w:rsid w:val="000526FD"/>
    <w:rsid w:val="0005358E"/>
    <w:rsid w:val="0005373D"/>
    <w:rsid w:val="00055F60"/>
    <w:rsid w:val="000561C6"/>
    <w:rsid w:val="00056CED"/>
    <w:rsid w:val="000577E2"/>
    <w:rsid w:val="00057F5F"/>
    <w:rsid w:val="000611F5"/>
    <w:rsid w:val="00061930"/>
    <w:rsid w:val="0006248C"/>
    <w:rsid w:val="00063CBD"/>
    <w:rsid w:val="00064C70"/>
    <w:rsid w:val="00065B92"/>
    <w:rsid w:val="00071C19"/>
    <w:rsid w:val="00073F9F"/>
    <w:rsid w:val="0007450D"/>
    <w:rsid w:val="00074A99"/>
    <w:rsid w:val="0007515F"/>
    <w:rsid w:val="0007580E"/>
    <w:rsid w:val="000759AA"/>
    <w:rsid w:val="000769C8"/>
    <w:rsid w:val="00077038"/>
    <w:rsid w:val="000775A6"/>
    <w:rsid w:val="00080494"/>
    <w:rsid w:val="00080BAB"/>
    <w:rsid w:val="000819FE"/>
    <w:rsid w:val="000820CE"/>
    <w:rsid w:val="000824FD"/>
    <w:rsid w:val="000838B0"/>
    <w:rsid w:val="00083DD9"/>
    <w:rsid w:val="000841C6"/>
    <w:rsid w:val="000846EE"/>
    <w:rsid w:val="00085E6E"/>
    <w:rsid w:val="00087132"/>
    <w:rsid w:val="00087784"/>
    <w:rsid w:val="00090C09"/>
    <w:rsid w:val="00090FBD"/>
    <w:rsid w:val="00091DA3"/>
    <w:rsid w:val="000925D1"/>
    <w:rsid w:val="000928E4"/>
    <w:rsid w:val="00093389"/>
    <w:rsid w:val="000934D8"/>
    <w:rsid w:val="00094067"/>
    <w:rsid w:val="000946A8"/>
    <w:rsid w:val="0009493C"/>
    <w:rsid w:val="00094C7C"/>
    <w:rsid w:val="00095EDF"/>
    <w:rsid w:val="00095F71"/>
    <w:rsid w:val="00096734"/>
    <w:rsid w:val="00097801"/>
    <w:rsid w:val="000978A0"/>
    <w:rsid w:val="00097C7E"/>
    <w:rsid w:val="00097E94"/>
    <w:rsid w:val="000A030D"/>
    <w:rsid w:val="000A06D3"/>
    <w:rsid w:val="000A0B50"/>
    <w:rsid w:val="000A0B91"/>
    <w:rsid w:val="000A307D"/>
    <w:rsid w:val="000A335A"/>
    <w:rsid w:val="000A3FCE"/>
    <w:rsid w:val="000A433A"/>
    <w:rsid w:val="000A4430"/>
    <w:rsid w:val="000A4575"/>
    <w:rsid w:val="000A48E2"/>
    <w:rsid w:val="000A4923"/>
    <w:rsid w:val="000A5761"/>
    <w:rsid w:val="000A5D6A"/>
    <w:rsid w:val="000A72B2"/>
    <w:rsid w:val="000B20FD"/>
    <w:rsid w:val="000B230C"/>
    <w:rsid w:val="000B24B2"/>
    <w:rsid w:val="000B2C3D"/>
    <w:rsid w:val="000B3BEB"/>
    <w:rsid w:val="000B3F6C"/>
    <w:rsid w:val="000B445A"/>
    <w:rsid w:val="000B554F"/>
    <w:rsid w:val="000B60BB"/>
    <w:rsid w:val="000B72E1"/>
    <w:rsid w:val="000B7327"/>
    <w:rsid w:val="000B7619"/>
    <w:rsid w:val="000C0600"/>
    <w:rsid w:val="000C0D8D"/>
    <w:rsid w:val="000C2B6D"/>
    <w:rsid w:val="000C3A8D"/>
    <w:rsid w:val="000C4C21"/>
    <w:rsid w:val="000C5736"/>
    <w:rsid w:val="000D15CF"/>
    <w:rsid w:val="000D1BDF"/>
    <w:rsid w:val="000D1E1D"/>
    <w:rsid w:val="000D2DA9"/>
    <w:rsid w:val="000D2F4A"/>
    <w:rsid w:val="000D3328"/>
    <w:rsid w:val="000D394C"/>
    <w:rsid w:val="000D3E51"/>
    <w:rsid w:val="000D479D"/>
    <w:rsid w:val="000D498E"/>
    <w:rsid w:val="000D5E80"/>
    <w:rsid w:val="000D617F"/>
    <w:rsid w:val="000D6ACE"/>
    <w:rsid w:val="000D7E88"/>
    <w:rsid w:val="000D7F69"/>
    <w:rsid w:val="000E0B90"/>
    <w:rsid w:val="000E0D83"/>
    <w:rsid w:val="000E1343"/>
    <w:rsid w:val="000E23CB"/>
    <w:rsid w:val="000E2561"/>
    <w:rsid w:val="000E323D"/>
    <w:rsid w:val="000E3494"/>
    <w:rsid w:val="000E4322"/>
    <w:rsid w:val="000E4693"/>
    <w:rsid w:val="000E4E49"/>
    <w:rsid w:val="000E5011"/>
    <w:rsid w:val="000E5F33"/>
    <w:rsid w:val="000E6AF5"/>
    <w:rsid w:val="000E6EA6"/>
    <w:rsid w:val="000E725E"/>
    <w:rsid w:val="000E7425"/>
    <w:rsid w:val="000E7DF1"/>
    <w:rsid w:val="000E7F17"/>
    <w:rsid w:val="000F0090"/>
    <w:rsid w:val="000F0633"/>
    <w:rsid w:val="000F1185"/>
    <w:rsid w:val="000F1F85"/>
    <w:rsid w:val="000F265A"/>
    <w:rsid w:val="000F2944"/>
    <w:rsid w:val="000F3908"/>
    <w:rsid w:val="000F42A2"/>
    <w:rsid w:val="000F4BA7"/>
    <w:rsid w:val="000F50FC"/>
    <w:rsid w:val="000F78D0"/>
    <w:rsid w:val="001000F1"/>
    <w:rsid w:val="00100661"/>
    <w:rsid w:val="00100BC3"/>
    <w:rsid w:val="0010141E"/>
    <w:rsid w:val="00101AB6"/>
    <w:rsid w:val="00102C09"/>
    <w:rsid w:val="00102EB6"/>
    <w:rsid w:val="0010336C"/>
    <w:rsid w:val="00103A2A"/>
    <w:rsid w:val="001053A0"/>
    <w:rsid w:val="00105496"/>
    <w:rsid w:val="00106014"/>
    <w:rsid w:val="001067A9"/>
    <w:rsid w:val="00107AC1"/>
    <w:rsid w:val="00107EC9"/>
    <w:rsid w:val="00110807"/>
    <w:rsid w:val="00110ABE"/>
    <w:rsid w:val="00113A61"/>
    <w:rsid w:val="00113AEB"/>
    <w:rsid w:val="00114C49"/>
    <w:rsid w:val="001153BF"/>
    <w:rsid w:val="00117825"/>
    <w:rsid w:val="0012019F"/>
    <w:rsid w:val="00120E8E"/>
    <w:rsid w:val="00121A81"/>
    <w:rsid w:val="00122CC4"/>
    <w:rsid w:val="00123086"/>
    <w:rsid w:val="00125D57"/>
    <w:rsid w:val="00126053"/>
    <w:rsid w:val="00126983"/>
    <w:rsid w:val="00127363"/>
    <w:rsid w:val="00130D21"/>
    <w:rsid w:val="00131FA3"/>
    <w:rsid w:val="001329EE"/>
    <w:rsid w:val="0013587D"/>
    <w:rsid w:val="00136D32"/>
    <w:rsid w:val="00136DB2"/>
    <w:rsid w:val="00137132"/>
    <w:rsid w:val="00137686"/>
    <w:rsid w:val="0014101A"/>
    <w:rsid w:val="0014301C"/>
    <w:rsid w:val="001433CC"/>
    <w:rsid w:val="00143865"/>
    <w:rsid w:val="00146E78"/>
    <w:rsid w:val="00147E9C"/>
    <w:rsid w:val="0015035E"/>
    <w:rsid w:val="00150B1D"/>
    <w:rsid w:val="00151D94"/>
    <w:rsid w:val="001520A6"/>
    <w:rsid w:val="00152182"/>
    <w:rsid w:val="001526B4"/>
    <w:rsid w:val="00152957"/>
    <w:rsid w:val="00153151"/>
    <w:rsid w:val="0015421D"/>
    <w:rsid w:val="00154A00"/>
    <w:rsid w:val="00154C57"/>
    <w:rsid w:val="00155A37"/>
    <w:rsid w:val="00155F3D"/>
    <w:rsid w:val="00156483"/>
    <w:rsid w:val="00156848"/>
    <w:rsid w:val="001570E9"/>
    <w:rsid w:val="00160B3B"/>
    <w:rsid w:val="001610A4"/>
    <w:rsid w:val="001615FD"/>
    <w:rsid w:val="00161EA6"/>
    <w:rsid w:val="0016368D"/>
    <w:rsid w:val="00163CB1"/>
    <w:rsid w:val="0016547D"/>
    <w:rsid w:val="00165C38"/>
    <w:rsid w:val="00165FD1"/>
    <w:rsid w:val="00166754"/>
    <w:rsid w:val="0016678E"/>
    <w:rsid w:val="00166F1E"/>
    <w:rsid w:val="00170FFD"/>
    <w:rsid w:val="00171084"/>
    <w:rsid w:val="001712F0"/>
    <w:rsid w:val="0017138D"/>
    <w:rsid w:val="0017138E"/>
    <w:rsid w:val="00172EC6"/>
    <w:rsid w:val="001730DD"/>
    <w:rsid w:val="0017469C"/>
    <w:rsid w:val="00174F58"/>
    <w:rsid w:val="001750B6"/>
    <w:rsid w:val="0017590A"/>
    <w:rsid w:val="001766A6"/>
    <w:rsid w:val="00176C25"/>
    <w:rsid w:val="00176EAD"/>
    <w:rsid w:val="001771A8"/>
    <w:rsid w:val="00177355"/>
    <w:rsid w:val="001801C3"/>
    <w:rsid w:val="00180950"/>
    <w:rsid w:val="00180995"/>
    <w:rsid w:val="00180BA2"/>
    <w:rsid w:val="00181152"/>
    <w:rsid w:val="00181BDB"/>
    <w:rsid w:val="00182082"/>
    <w:rsid w:val="001822BB"/>
    <w:rsid w:val="00182326"/>
    <w:rsid w:val="001824AD"/>
    <w:rsid w:val="001828EA"/>
    <w:rsid w:val="0018313A"/>
    <w:rsid w:val="00183AE9"/>
    <w:rsid w:val="00184C8A"/>
    <w:rsid w:val="00185FAA"/>
    <w:rsid w:val="00186687"/>
    <w:rsid w:val="00186FE8"/>
    <w:rsid w:val="0018793A"/>
    <w:rsid w:val="00187B51"/>
    <w:rsid w:val="001904F8"/>
    <w:rsid w:val="001906F3"/>
    <w:rsid w:val="00190CE8"/>
    <w:rsid w:val="00191211"/>
    <w:rsid w:val="00192046"/>
    <w:rsid w:val="0019305F"/>
    <w:rsid w:val="00193108"/>
    <w:rsid w:val="001940E9"/>
    <w:rsid w:val="001944FE"/>
    <w:rsid w:val="001969FE"/>
    <w:rsid w:val="00196EC9"/>
    <w:rsid w:val="00197105"/>
    <w:rsid w:val="00197898"/>
    <w:rsid w:val="00197B17"/>
    <w:rsid w:val="00197E62"/>
    <w:rsid w:val="001A09D6"/>
    <w:rsid w:val="001A0AD0"/>
    <w:rsid w:val="001A2807"/>
    <w:rsid w:val="001A2B07"/>
    <w:rsid w:val="001A314E"/>
    <w:rsid w:val="001A34E7"/>
    <w:rsid w:val="001A35EB"/>
    <w:rsid w:val="001A3C37"/>
    <w:rsid w:val="001A4237"/>
    <w:rsid w:val="001A44CB"/>
    <w:rsid w:val="001A4E16"/>
    <w:rsid w:val="001A51FF"/>
    <w:rsid w:val="001A593C"/>
    <w:rsid w:val="001A5E23"/>
    <w:rsid w:val="001A61FA"/>
    <w:rsid w:val="001A6E25"/>
    <w:rsid w:val="001A7AAF"/>
    <w:rsid w:val="001A7CCB"/>
    <w:rsid w:val="001B02D2"/>
    <w:rsid w:val="001B0BF6"/>
    <w:rsid w:val="001B1942"/>
    <w:rsid w:val="001B1F85"/>
    <w:rsid w:val="001B2231"/>
    <w:rsid w:val="001B2A1C"/>
    <w:rsid w:val="001B39C2"/>
    <w:rsid w:val="001B3AA4"/>
    <w:rsid w:val="001B3DA7"/>
    <w:rsid w:val="001B42D9"/>
    <w:rsid w:val="001B4B52"/>
    <w:rsid w:val="001B4BFF"/>
    <w:rsid w:val="001B6161"/>
    <w:rsid w:val="001B6B8D"/>
    <w:rsid w:val="001B6BDB"/>
    <w:rsid w:val="001B7BFC"/>
    <w:rsid w:val="001C107E"/>
    <w:rsid w:val="001C1C38"/>
    <w:rsid w:val="001C2260"/>
    <w:rsid w:val="001C26D5"/>
    <w:rsid w:val="001C36B6"/>
    <w:rsid w:val="001C38A7"/>
    <w:rsid w:val="001C3C32"/>
    <w:rsid w:val="001C404F"/>
    <w:rsid w:val="001C4502"/>
    <w:rsid w:val="001C47DF"/>
    <w:rsid w:val="001C6402"/>
    <w:rsid w:val="001C6E1A"/>
    <w:rsid w:val="001C7097"/>
    <w:rsid w:val="001C72D8"/>
    <w:rsid w:val="001C7B86"/>
    <w:rsid w:val="001C7E4C"/>
    <w:rsid w:val="001D1153"/>
    <w:rsid w:val="001D121F"/>
    <w:rsid w:val="001D13AA"/>
    <w:rsid w:val="001D1793"/>
    <w:rsid w:val="001D180A"/>
    <w:rsid w:val="001D2292"/>
    <w:rsid w:val="001D2323"/>
    <w:rsid w:val="001D2D06"/>
    <w:rsid w:val="001D2DB2"/>
    <w:rsid w:val="001D3386"/>
    <w:rsid w:val="001D3914"/>
    <w:rsid w:val="001D3A05"/>
    <w:rsid w:val="001D3A9F"/>
    <w:rsid w:val="001D4239"/>
    <w:rsid w:val="001D49EC"/>
    <w:rsid w:val="001D4DEE"/>
    <w:rsid w:val="001D5BF7"/>
    <w:rsid w:val="001D60DC"/>
    <w:rsid w:val="001D623D"/>
    <w:rsid w:val="001D6C21"/>
    <w:rsid w:val="001D7570"/>
    <w:rsid w:val="001D777F"/>
    <w:rsid w:val="001D7B12"/>
    <w:rsid w:val="001D7EA6"/>
    <w:rsid w:val="001E0B70"/>
    <w:rsid w:val="001E0C98"/>
    <w:rsid w:val="001E0F53"/>
    <w:rsid w:val="001E14BD"/>
    <w:rsid w:val="001E1FBD"/>
    <w:rsid w:val="001E2B07"/>
    <w:rsid w:val="001E3B11"/>
    <w:rsid w:val="001E4AB7"/>
    <w:rsid w:val="001E4D16"/>
    <w:rsid w:val="001E5137"/>
    <w:rsid w:val="001E5DF6"/>
    <w:rsid w:val="001E697E"/>
    <w:rsid w:val="001E6A11"/>
    <w:rsid w:val="001F036C"/>
    <w:rsid w:val="001F0E91"/>
    <w:rsid w:val="001F1245"/>
    <w:rsid w:val="001F14B1"/>
    <w:rsid w:val="001F1B43"/>
    <w:rsid w:val="001F23F1"/>
    <w:rsid w:val="001F366D"/>
    <w:rsid w:val="001F3B1C"/>
    <w:rsid w:val="001F3FF3"/>
    <w:rsid w:val="001F4F11"/>
    <w:rsid w:val="001F5836"/>
    <w:rsid w:val="001F5FB8"/>
    <w:rsid w:val="001F6A24"/>
    <w:rsid w:val="001F72B1"/>
    <w:rsid w:val="001F73BA"/>
    <w:rsid w:val="001F747E"/>
    <w:rsid w:val="001F7573"/>
    <w:rsid w:val="001F796F"/>
    <w:rsid w:val="002002A8"/>
    <w:rsid w:val="00201B17"/>
    <w:rsid w:val="00202536"/>
    <w:rsid w:val="00202DC3"/>
    <w:rsid w:val="0021056F"/>
    <w:rsid w:val="00210958"/>
    <w:rsid w:val="00210CB1"/>
    <w:rsid w:val="00210EB5"/>
    <w:rsid w:val="0021169E"/>
    <w:rsid w:val="00211A80"/>
    <w:rsid w:val="00211D91"/>
    <w:rsid w:val="00211F07"/>
    <w:rsid w:val="002127F4"/>
    <w:rsid w:val="00212C95"/>
    <w:rsid w:val="00213636"/>
    <w:rsid w:val="002142A3"/>
    <w:rsid w:val="002155A0"/>
    <w:rsid w:val="00215607"/>
    <w:rsid w:val="00215C69"/>
    <w:rsid w:val="00216D84"/>
    <w:rsid w:val="00217369"/>
    <w:rsid w:val="00217DE6"/>
    <w:rsid w:val="002209E4"/>
    <w:rsid w:val="0022246E"/>
    <w:rsid w:val="00223338"/>
    <w:rsid w:val="00223899"/>
    <w:rsid w:val="002244B2"/>
    <w:rsid w:val="00225435"/>
    <w:rsid w:val="0022595E"/>
    <w:rsid w:val="0022779D"/>
    <w:rsid w:val="00230162"/>
    <w:rsid w:val="00230264"/>
    <w:rsid w:val="00230A24"/>
    <w:rsid w:val="00230C11"/>
    <w:rsid w:val="00231027"/>
    <w:rsid w:val="0023260B"/>
    <w:rsid w:val="00233A05"/>
    <w:rsid w:val="00234221"/>
    <w:rsid w:val="002342ED"/>
    <w:rsid w:val="002351F3"/>
    <w:rsid w:val="00235C9A"/>
    <w:rsid w:val="00235F5B"/>
    <w:rsid w:val="00235F8C"/>
    <w:rsid w:val="002362A0"/>
    <w:rsid w:val="00236707"/>
    <w:rsid w:val="00236D12"/>
    <w:rsid w:val="00236E84"/>
    <w:rsid w:val="002377B4"/>
    <w:rsid w:val="00240293"/>
    <w:rsid w:val="00240967"/>
    <w:rsid w:val="00240D01"/>
    <w:rsid w:val="002410ED"/>
    <w:rsid w:val="00241783"/>
    <w:rsid w:val="00241F06"/>
    <w:rsid w:val="0024452D"/>
    <w:rsid w:val="00245FF3"/>
    <w:rsid w:val="0024675E"/>
    <w:rsid w:val="00247E7D"/>
    <w:rsid w:val="002504DB"/>
    <w:rsid w:val="002504E6"/>
    <w:rsid w:val="00250CBD"/>
    <w:rsid w:val="00250D9E"/>
    <w:rsid w:val="002513B0"/>
    <w:rsid w:val="00251476"/>
    <w:rsid w:val="00251767"/>
    <w:rsid w:val="00252D5E"/>
    <w:rsid w:val="00252D75"/>
    <w:rsid w:val="00252FC9"/>
    <w:rsid w:val="0025302E"/>
    <w:rsid w:val="00253D7F"/>
    <w:rsid w:val="00253F23"/>
    <w:rsid w:val="002548CE"/>
    <w:rsid w:val="002550E4"/>
    <w:rsid w:val="00255191"/>
    <w:rsid w:val="002553B2"/>
    <w:rsid w:val="0025591A"/>
    <w:rsid w:val="00255C41"/>
    <w:rsid w:val="0025632B"/>
    <w:rsid w:val="002572E1"/>
    <w:rsid w:val="00257F37"/>
    <w:rsid w:val="00260DC5"/>
    <w:rsid w:val="00260FF1"/>
    <w:rsid w:val="0026111C"/>
    <w:rsid w:val="0026118E"/>
    <w:rsid w:val="00261424"/>
    <w:rsid w:val="00261806"/>
    <w:rsid w:val="0026186F"/>
    <w:rsid w:val="00262175"/>
    <w:rsid w:val="00262245"/>
    <w:rsid w:val="002622AB"/>
    <w:rsid w:val="002626EC"/>
    <w:rsid w:val="00263193"/>
    <w:rsid w:val="0026356C"/>
    <w:rsid w:val="002636C6"/>
    <w:rsid w:val="002645F3"/>
    <w:rsid w:val="00264EBA"/>
    <w:rsid w:val="00265618"/>
    <w:rsid w:val="002657E9"/>
    <w:rsid w:val="00265858"/>
    <w:rsid w:val="00265EAF"/>
    <w:rsid w:val="00266689"/>
    <w:rsid w:val="00266BF7"/>
    <w:rsid w:val="00270822"/>
    <w:rsid w:val="00270A1F"/>
    <w:rsid w:val="002710D0"/>
    <w:rsid w:val="0027143B"/>
    <w:rsid w:val="00272025"/>
    <w:rsid w:val="00272677"/>
    <w:rsid w:val="00272E06"/>
    <w:rsid w:val="002734A7"/>
    <w:rsid w:val="00273A04"/>
    <w:rsid w:val="00273C94"/>
    <w:rsid w:val="00274EEE"/>
    <w:rsid w:val="00275AAD"/>
    <w:rsid w:val="00275D10"/>
    <w:rsid w:val="0027619D"/>
    <w:rsid w:val="00277644"/>
    <w:rsid w:val="00277D90"/>
    <w:rsid w:val="00282D48"/>
    <w:rsid w:val="00283009"/>
    <w:rsid w:val="00284515"/>
    <w:rsid w:val="0028601F"/>
    <w:rsid w:val="00286045"/>
    <w:rsid w:val="002862AE"/>
    <w:rsid w:val="002864A1"/>
    <w:rsid w:val="00286519"/>
    <w:rsid w:val="00286591"/>
    <w:rsid w:val="002867AB"/>
    <w:rsid w:val="0028751A"/>
    <w:rsid w:val="002876CA"/>
    <w:rsid w:val="00287991"/>
    <w:rsid w:val="002879C6"/>
    <w:rsid w:val="00290FDD"/>
    <w:rsid w:val="00291CE2"/>
    <w:rsid w:val="00291FBE"/>
    <w:rsid w:val="00292BE1"/>
    <w:rsid w:val="00292DE3"/>
    <w:rsid w:val="00293721"/>
    <w:rsid w:val="002940F2"/>
    <w:rsid w:val="00294AC7"/>
    <w:rsid w:val="00294C70"/>
    <w:rsid w:val="00296827"/>
    <w:rsid w:val="00296C38"/>
    <w:rsid w:val="002A06A5"/>
    <w:rsid w:val="002A0B68"/>
    <w:rsid w:val="002A1015"/>
    <w:rsid w:val="002A1A45"/>
    <w:rsid w:val="002A286E"/>
    <w:rsid w:val="002A33BB"/>
    <w:rsid w:val="002A50E6"/>
    <w:rsid w:val="002A65B7"/>
    <w:rsid w:val="002A6D66"/>
    <w:rsid w:val="002B00FD"/>
    <w:rsid w:val="002B0DDB"/>
    <w:rsid w:val="002B1087"/>
    <w:rsid w:val="002B136B"/>
    <w:rsid w:val="002B2C87"/>
    <w:rsid w:val="002B513F"/>
    <w:rsid w:val="002B5265"/>
    <w:rsid w:val="002B551D"/>
    <w:rsid w:val="002B6908"/>
    <w:rsid w:val="002B6938"/>
    <w:rsid w:val="002B726B"/>
    <w:rsid w:val="002B7443"/>
    <w:rsid w:val="002B7814"/>
    <w:rsid w:val="002C0289"/>
    <w:rsid w:val="002C06A9"/>
    <w:rsid w:val="002C0E5C"/>
    <w:rsid w:val="002C1336"/>
    <w:rsid w:val="002C2CE5"/>
    <w:rsid w:val="002C2E8A"/>
    <w:rsid w:val="002C3297"/>
    <w:rsid w:val="002C3742"/>
    <w:rsid w:val="002C4108"/>
    <w:rsid w:val="002C5511"/>
    <w:rsid w:val="002C562E"/>
    <w:rsid w:val="002C5F92"/>
    <w:rsid w:val="002C6969"/>
    <w:rsid w:val="002D0712"/>
    <w:rsid w:val="002D0FE8"/>
    <w:rsid w:val="002D16B9"/>
    <w:rsid w:val="002D46B1"/>
    <w:rsid w:val="002D5E75"/>
    <w:rsid w:val="002D68AC"/>
    <w:rsid w:val="002D7242"/>
    <w:rsid w:val="002D78EA"/>
    <w:rsid w:val="002E0265"/>
    <w:rsid w:val="002E0910"/>
    <w:rsid w:val="002E0E73"/>
    <w:rsid w:val="002E13D9"/>
    <w:rsid w:val="002E1BF9"/>
    <w:rsid w:val="002E276C"/>
    <w:rsid w:val="002E2ABE"/>
    <w:rsid w:val="002E319F"/>
    <w:rsid w:val="002E32FE"/>
    <w:rsid w:val="002E33A8"/>
    <w:rsid w:val="002E342D"/>
    <w:rsid w:val="002E4A0D"/>
    <w:rsid w:val="002E4C1D"/>
    <w:rsid w:val="002E5011"/>
    <w:rsid w:val="002E57D4"/>
    <w:rsid w:val="002E60A9"/>
    <w:rsid w:val="002E64A9"/>
    <w:rsid w:val="002E684F"/>
    <w:rsid w:val="002E793F"/>
    <w:rsid w:val="002E7BB0"/>
    <w:rsid w:val="002F1A03"/>
    <w:rsid w:val="002F1DB3"/>
    <w:rsid w:val="002F1F3E"/>
    <w:rsid w:val="002F1FB4"/>
    <w:rsid w:val="002F38D1"/>
    <w:rsid w:val="002F38E5"/>
    <w:rsid w:val="002F4984"/>
    <w:rsid w:val="002F5211"/>
    <w:rsid w:val="002F52CF"/>
    <w:rsid w:val="002F5319"/>
    <w:rsid w:val="002F6A90"/>
    <w:rsid w:val="002F7009"/>
    <w:rsid w:val="002F7060"/>
    <w:rsid w:val="002F7110"/>
    <w:rsid w:val="002F7D8A"/>
    <w:rsid w:val="002F7E37"/>
    <w:rsid w:val="00300484"/>
    <w:rsid w:val="00300CEA"/>
    <w:rsid w:val="00300EB6"/>
    <w:rsid w:val="00301663"/>
    <w:rsid w:val="003016D8"/>
    <w:rsid w:val="003016F3"/>
    <w:rsid w:val="0030229B"/>
    <w:rsid w:val="0030644C"/>
    <w:rsid w:val="00311493"/>
    <w:rsid w:val="003127BA"/>
    <w:rsid w:val="003129BC"/>
    <w:rsid w:val="00312BCD"/>
    <w:rsid w:val="003140FA"/>
    <w:rsid w:val="003145EC"/>
    <w:rsid w:val="0031524D"/>
    <w:rsid w:val="0031577D"/>
    <w:rsid w:val="00315919"/>
    <w:rsid w:val="00316379"/>
    <w:rsid w:val="00316CED"/>
    <w:rsid w:val="00317D18"/>
    <w:rsid w:val="003209E5"/>
    <w:rsid w:val="00320AC0"/>
    <w:rsid w:val="00322153"/>
    <w:rsid w:val="00322496"/>
    <w:rsid w:val="003224D7"/>
    <w:rsid w:val="003227C5"/>
    <w:rsid w:val="00323160"/>
    <w:rsid w:val="003239E8"/>
    <w:rsid w:val="00323D6E"/>
    <w:rsid w:val="003246AC"/>
    <w:rsid w:val="003248AB"/>
    <w:rsid w:val="003248F2"/>
    <w:rsid w:val="00324BB5"/>
    <w:rsid w:val="003251AE"/>
    <w:rsid w:val="00325B64"/>
    <w:rsid w:val="003261ED"/>
    <w:rsid w:val="00327576"/>
    <w:rsid w:val="00327B96"/>
    <w:rsid w:val="0033000E"/>
    <w:rsid w:val="00330A95"/>
    <w:rsid w:val="003311BF"/>
    <w:rsid w:val="003313C8"/>
    <w:rsid w:val="00331C81"/>
    <w:rsid w:val="003322A1"/>
    <w:rsid w:val="003326E3"/>
    <w:rsid w:val="00332DD8"/>
    <w:rsid w:val="00332EFB"/>
    <w:rsid w:val="003333CC"/>
    <w:rsid w:val="003335E9"/>
    <w:rsid w:val="00333FA8"/>
    <w:rsid w:val="003342FF"/>
    <w:rsid w:val="00334EB4"/>
    <w:rsid w:val="00335401"/>
    <w:rsid w:val="00335F65"/>
    <w:rsid w:val="003368E6"/>
    <w:rsid w:val="003372D2"/>
    <w:rsid w:val="00337742"/>
    <w:rsid w:val="00337978"/>
    <w:rsid w:val="00337C50"/>
    <w:rsid w:val="0034296E"/>
    <w:rsid w:val="003451BF"/>
    <w:rsid w:val="003458B5"/>
    <w:rsid w:val="003465CC"/>
    <w:rsid w:val="00346979"/>
    <w:rsid w:val="003474BB"/>
    <w:rsid w:val="00347B52"/>
    <w:rsid w:val="003500F0"/>
    <w:rsid w:val="003515FA"/>
    <w:rsid w:val="0035185B"/>
    <w:rsid w:val="00351D07"/>
    <w:rsid w:val="00353103"/>
    <w:rsid w:val="00354D5A"/>
    <w:rsid w:val="00355783"/>
    <w:rsid w:val="00355ADD"/>
    <w:rsid w:val="003568DA"/>
    <w:rsid w:val="00360735"/>
    <w:rsid w:val="00360D5D"/>
    <w:rsid w:val="003611AB"/>
    <w:rsid w:val="003612F9"/>
    <w:rsid w:val="00361FE8"/>
    <w:rsid w:val="00363182"/>
    <w:rsid w:val="00363B63"/>
    <w:rsid w:val="00364865"/>
    <w:rsid w:val="0036721D"/>
    <w:rsid w:val="003678BC"/>
    <w:rsid w:val="00367D5D"/>
    <w:rsid w:val="00367D65"/>
    <w:rsid w:val="00370A95"/>
    <w:rsid w:val="0037137C"/>
    <w:rsid w:val="00371536"/>
    <w:rsid w:val="00371906"/>
    <w:rsid w:val="00371A5F"/>
    <w:rsid w:val="00372D6A"/>
    <w:rsid w:val="00372E98"/>
    <w:rsid w:val="0037359B"/>
    <w:rsid w:val="003735D5"/>
    <w:rsid w:val="00373FCE"/>
    <w:rsid w:val="0037561F"/>
    <w:rsid w:val="003758D6"/>
    <w:rsid w:val="0037689D"/>
    <w:rsid w:val="00376E13"/>
    <w:rsid w:val="00376F1F"/>
    <w:rsid w:val="00377057"/>
    <w:rsid w:val="003800E4"/>
    <w:rsid w:val="00380E46"/>
    <w:rsid w:val="00381015"/>
    <w:rsid w:val="00381744"/>
    <w:rsid w:val="00382038"/>
    <w:rsid w:val="00382307"/>
    <w:rsid w:val="003823F0"/>
    <w:rsid w:val="003840AE"/>
    <w:rsid w:val="00384C51"/>
    <w:rsid w:val="0038520C"/>
    <w:rsid w:val="003857B6"/>
    <w:rsid w:val="00385994"/>
    <w:rsid w:val="00386348"/>
    <w:rsid w:val="0038723A"/>
    <w:rsid w:val="003876F1"/>
    <w:rsid w:val="00387839"/>
    <w:rsid w:val="00391F06"/>
    <w:rsid w:val="003926D0"/>
    <w:rsid w:val="00392956"/>
    <w:rsid w:val="00393587"/>
    <w:rsid w:val="0039422C"/>
    <w:rsid w:val="00395DBE"/>
    <w:rsid w:val="00396527"/>
    <w:rsid w:val="003977DB"/>
    <w:rsid w:val="00397B0F"/>
    <w:rsid w:val="00397ED4"/>
    <w:rsid w:val="003A013C"/>
    <w:rsid w:val="003A0E4D"/>
    <w:rsid w:val="003A1457"/>
    <w:rsid w:val="003A2274"/>
    <w:rsid w:val="003A31E2"/>
    <w:rsid w:val="003A33A9"/>
    <w:rsid w:val="003A3C4D"/>
    <w:rsid w:val="003A3EC1"/>
    <w:rsid w:val="003A3FFC"/>
    <w:rsid w:val="003A4232"/>
    <w:rsid w:val="003A4866"/>
    <w:rsid w:val="003A4D4E"/>
    <w:rsid w:val="003A6303"/>
    <w:rsid w:val="003B01AE"/>
    <w:rsid w:val="003B0458"/>
    <w:rsid w:val="003B0945"/>
    <w:rsid w:val="003B318D"/>
    <w:rsid w:val="003B416D"/>
    <w:rsid w:val="003B43FC"/>
    <w:rsid w:val="003B46B9"/>
    <w:rsid w:val="003B473F"/>
    <w:rsid w:val="003B51F4"/>
    <w:rsid w:val="003B6CC3"/>
    <w:rsid w:val="003C138F"/>
    <w:rsid w:val="003C266D"/>
    <w:rsid w:val="003C26A7"/>
    <w:rsid w:val="003C2ED0"/>
    <w:rsid w:val="003C3396"/>
    <w:rsid w:val="003C371F"/>
    <w:rsid w:val="003C3FC7"/>
    <w:rsid w:val="003C4282"/>
    <w:rsid w:val="003C4579"/>
    <w:rsid w:val="003C485A"/>
    <w:rsid w:val="003C4DE5"/>
    <w:rsid w:val="003C5A71"/>
    <w:rsid w:val="003C6487"/>
    <w:rsid w:val="003C7A77"/>
    <w:rsid w:val="003D2992"/>
    <w:rsid w:val="003D370A"/>
    <w:rsid w:val="003D3771"/>
    <w:rsid w:val="003D3DC3"/>
    <w:rsid w:val="003D42A1"/>
    <w:rsid w:val="003D4DE5"/>
    <w:rsid w:val="003D6575"/>
    <w:rsid w:val="003D6DDF"/>
    <w:rsid w:val="003D7285"/>
    <w:rsid w:val="003E0F09"/>
    <w:rsid w:val="003E258A"/>
    <w:rsid w:val="003E4093"/>
    <w:rsid w:val="003E40B0"/>
    <w:rsid w:val="003E4FE2"/>
    <w:rsid w:val="003E600F"/>
    <w:rsid w:val="003E6823"/>
    <w:rsid w:val="003E6C1A"/>
    <w:rsid w:val="003E7362"/>
    <w:rsid w:val="003F018D"/>
    <w:rsid w:val="003F054B"/>
    <w:rsid w:val="003F0A1B"/>
    <w:rsid w:val="003F0AF2"/>
    <w:rsid w:val="003F10AF"/>
    <w:rsid w:val="003F1289"/>
    <w:rsid w:val="003F1714"/>
    <w:rsid w:val="003F1AD4"/>
    <w:rsid w:val="003F2C02"/>
    <w:rsid w:val="003F3EDE"/>
    <w:rsid w:val="003F3F4D"/>
    <w:rsid w:val="003F44BD"/>
    <w:rsid w:val="003F44DB"/>
    <w:rsid w:val="003F456F"/>
    <w:rsid w:val="003F4FA6"/>
    <w:rsid w:val="003F6663"/>
    <w:rsid w:val="003F6BB5"/>
    <w:rsid w:val="003F71D3"/>
    <w:rsid w:val="003F79C3"/>
    <w:rsid w:val="00400245"/>
    <w:rsid w:val="004002C5"/>
    <w:rsid w:val="004009F3"/>
    <w:rsid w:val="00400CC3"/>
    <w:rsid w:val="0040179B"/>
    <w:rsid w:val="0040212E"/>
    <w:rsid w:val="0040411B"/>
    <w:rsid w:val="004057B0"/>
    <w:rsid w:val="00406D6F"/>
    <w:rsid w:val="004074B6"/>
    <w:rsid w:val="00407527"/>
    <w:rsid w:val="0040775D"/>
    <w:rsid w:val="00411266"/>
    <w:rsid w:val="004117D1"/>
    <w:rsid w:val="00411B34"/>
    <w:rsid w:val="0041237D"/>
    <w:rsid w:val="004135E2"/>
    <w:rsid w:val="00413A15"/>
    <w:rsid w:val="0041437F"/>
    <w:rsid w:val="00414AE0"/>
    <w:rsid w:val="0041706B"/>
    <w:rsid w:val="004170BB"/>
    <w:rsid w:val="004179AE"/>
    <w:rsid w:val="00417F7A"/>
    <w:rsid w:val="004205E0"/>
    <w:rsid w:val="00420690"/>
    <w:rsid w:val="00420E59"/>
    <w:rsid w:val="00421394"/>
    <w:rsid w:val="00421532"/>
    <w:rsid w:val="00421844"/>
    <w:rsid w:val="00421BBA"/>
    <w:rsid w:val="00421C4D"/>
    <w:rsid w:val="00422FDC"/>
    <w:rsid w:val="00423035"/>
    <w:rsid w:val="00423424"/>
    <w:rsid w:val="00423B96"/>
    <w:rsid w:val="004245B3"/>
    <w:rsid w:val="00424B87"/>
    <w:rsid w:val="0042501A"/>
    <w:rsid w:val="00425038"/>
    <w:rsid w:val="004257CF"/>
    <w:rsid w:val="00426568"/>
    <w:rsid w:val="004266B2"/>
    <w:rsid w:val="0042673C"/>
    <w:rsid w:val="00426DB9"/>
    <w:rsid w:val="004270FA"/>
    <w:rsid w:val="00427966"/>
    <w:rsid w:val="004306C5"/>
    <w:rsid w:val="00431295"/>
    <w:rsid w:val="00431979"/>
    <w:rsid w:val="00431C4F"/>
    <w:rsid w:val="00431CE1"/>
    <w:rsid w:val="00431D9E"/>
    <w:rsid w:val="00431EF2"/>
    <w:rsid w:val="00432DC7"/>
    <w:rsid w:val="00432F28"/>
    <w:rsid w:val="004337B4"/>
    <w:rsid w:val="00433B67"/>
    <w:rsid w:val="00434000"/>
    <w:rsid w:val="00434465"/>
    <w:rsid w:val="00435128"/>
    <w:rsid w:val="00435580"/>
    <w:rsid w:val="00435F04"/>
    <w:rsid w:val="004361B7"/>
    <w:rsid w:val="00437521"/>
    <w:rsid w:val="00437B3D"/>
    <w:rsid w:val="00440026"/>
    <w:rsid w:val="004405DA"/>
    <w:rsid w:val="00440C6D"/>
    <w:rsid w:val="004411A4"/>
    <w:rsid w:val="004413FA"/>
    <w:rsid w:val="0044195F"/>
    <w:rsid w:val="00441C57"/>
    <w:rsid w:val="0044216B"/>
    <w:rsid w:val="00443054"/>
    <w:rsid w:val="00444476"/>
    <w:rsid w:val="004449EE"/>
    <w:rsid w:val="00444E14"/>
    <w:rsid w:val="0044524B"/>
    <w:rsid w:val="00446278"/>
    <w:rsid w:val="004462B3"/>
    <w:rsid w:val="004463A1"/>
    <w:rsid w:val="004466BB"/>
    <w:rsid w:val="00446A51"/>
    <w:rsid w:val="00451522"/>
    <w:rsid w:val="00451C29"/>
    <w:rsid w:val="00451F7A"/>
    <w:rsid w:val="004523FA"/>
    <w:rsid w:val="004533E2"/>
    <w:rsid w:val="00453EF1"/>
    <w:rsid w:val="00454728"/>
    <w:rsid w:val="00454EFC"/>
    <w:rsid w:val="00454FFE"/>
    <w:rsid w:val="0045555B"/>
    <w:rsid w:val="00455D1D"/>
    <w:rsid w:val="00455F47"/>
    <w:rsid w:val="004564F3"/>
    <w:rsid w:val="00457FF8"/>
    <w:rsid w:val="00460392"/>
    <w:rsid w:val="00460595"/>
    <w:rsid w:val="004612EE"/>
    <w:rsid w:val="004637BD"/>
    <w:rsid w:val="004647A8"/>
    <w:rsid w:val="0046553B"/>
    <w:rsid w:val="004659AA"/>
    <w:rsid w:val="00465B7B"/>
    <w:rsid w:val="00465CC0"/>
    <w:rsid w:val="00465CF6"/>
    <w:rsid w:val="00467239"/>
    <w:rsid w:val="004673A8"/>
    <w:rsid w:val="00467C67"/>
    <w:rsid w:val="00470735"/>
    <w:rsid w:val="00471013"/>
    <w:rsid w:val="00471700"/>
    <w:rsid w:val="00471939"/>
    <w:rsid w:val="0047202A"/>
    <w:rsid w:val="00472155"/>
    <w:rsid w:val="004730D2"/>
    <w:rsid w:val="004739ED"/>
    <w:rsid w:val="004741DD"/>
    <w:rsid w:val="004745BE"/>
    <w:rsid w:val="00474DBA"/>
    <w:rsid w:val="00474EEE"/>
    <w:rsid w:val="004751EA"/>
    <w:rsid w:val="00475741"/>
    <w:rsid w:val="00475D9E"/>
    <w:rsid w:val="00476652"/>
    <w:rsid w:val="00476980"/>
    <w:rsid w:val="00480988"/>
    <w:rsid w:val="004810E0"/>
    <w:rsid w:val="004826E0"/>
    <w:rsid w:val="00482BA4"/>
    <w:rsid w:val="00483ED0"/>
    <w:rsid w:val="00485236"/>
    <w:rsid w:val="00485519"/>
    <w:rsid w:val="00485B9E"/>
    <w:rsid w:val="00485D82"/>
    <w:rsid w:val="00486BA5"/>
    <w:rsid w:val="00490AE6"/>
    <w:rsid w:val="00491517"/>
    <w:rsid w:val="0049194E"/>
    <w:rsid w:val="00494463"/>
    <w:rsid w:val="00494823"/>
    <w:rsid w:val="00494A7C"/>
    <w:rsid w:val="004958EC"/>
    <w:rsid w:val="00495C38"/>
    <w:rsid w:val="00495FF3"/>
    <w:rsid w:val="004967CF"/>
    <w:rsid w:val="0049797C"/>
    <w:rsid w:val="004A02F4"/>
    <w:rsid w:val="004A0873"/>
    <w:rsid w:val="004A0FBA"/>
    <w:rsid w:val="004A1448"/>
    <w:rsid w:val="004A155F"/>
    <w:rsid w:val="004A1C51"/>
    <w:rsid w:val="004A1D56"/>
    <w:rsid w:val="004A2403"/>
    <w:rsid w:val="004A263F"/>
    <w:rsid w:val="004A28CE"/>
    <w:rsid w:val="004A5A60"/>
    <w:rsid w:val="004A5BB9"/>
    <w:rsid w:val="004A62F0"/>
    <w:rsid w:val="004A703F"/>
    <w:rsid w:val="004A7BD2"/>
    <w:rsid w:val="004B03AD"/>
    <w:rsid w:val="004B16EC"/>
    <w:rsid w:val="004B26C0"/>
    <w:rsid w:val="004B2F79"/>
    <w:rsid w:val="004B3B03"/>
    <w:rsid w:val="004B412B"/>
    <w:rsid w:val="004B44E4"/>
    <w:rsid w:val="004B4F15"/>
    <w:rsid w:val="004B57E7"/>
    <w:rsid w:val="004B713D"/>
    <w:rsid w:val="004C03F3"/>
    <w:rsid w:val="004C0EB2"/>
    <w:rsid w:val="004C0EC4"/>
    <w:rsid w:val="004C1B7C"/>
    <w:rsid w:val="004C25C4"/>
    <w:rsid w:val="004C2754"/>
    <w:rsid w:val="004C2D35"/>
    <w:rsid w:val="004C3C3A"/>
    <w:rsid w:val="004C4FCE"/>
    <w:rsid w:val="004C64F6"/>
    <w:rsid w:val="004C69C0"/>
    <w:rsid w:val="004C71DD"/>
    <w:rsid w:val="004C7F12"/>
    <w:rsid w:val="004D0226"/>
    <w:rsid w:val="004D0293"/>
    <w:rsid w:val="004D081B"/>
    <w:rsid w:val="004D1455"/>
    <w:rsid w:val="004D1531"/>
    <w:rsid w:val="004D1706"/>
    <w:rsid w:val="004D17CD"/>
    <w:rsid w:val="004D200B"/>
    <w:rsid w:val="004D27EF"/>
    <w:rsid w:val="004D2A78"/>
    <w:rsid w:val="004D31C3"/>
    <w:rsid w:val="004D39AF"/>
    <w:rsid w:val="004D430B"/>
    <w:rsid w:val="004D4ACA"/>
    <w:rsid w:val="004D4C15"/>
    <w:rsid w:val="004D63F3"/>
    <w:rsid w:val="004D65E7"/>
    <w:rsid w:val="004D72D6"/>
    <w:rsid w:val="004D7A40"/>
    <w:rsid w:val="004E0039"/>
    <w:rsid w:val="004E04C7"/>
    <w:rsid w:val="004E085A"/>
    <w:rsid w:val="004E0EED"/>
    <w:rsid w:val="004E1B75"/>
    <w:rsid w:val="004E2660"/>
    <w:rsid w:val="004E295E"/>
    <w:rsid w:val="004E413C"/>
    <w:rsid w:val="004E42DF"/>
    <w:rsid w:val="004E433A"/>
    <w:rsid w:val="004E4607"/>
    <w:rsid w:val="004E5CA6"/>
    <w:rsid w:val="004E645E"/>
    <w:rsid w:val="004E7443"/>
    <w:rsid w:val="004E7EA0"/>
    <w:rsid w:val="004F03CF"/>
    <w:rsid w:val="004F0432"/>
    <w:rsid w:val="004F0B6F"/>
    <w:rsid w:val="004F10CA"/>
    <w:rsid w:val="004F12E4"/>
    <w:rsid w:val="004F1512"/>
    <w:rsid w:val="004F160C"/>
    <w:rsid w:val="004F17C6"/>
    <w:rsid w:val="004F1EB7"/>
    <w:rsid w:val="004F24D6"/>
    <w:rsid w:val="004F2C79"/>
    <w:rsid w:val="004F3BE4"/>
    <w:rsid w:val="004F6204"/>
    <w:rsid w:val="004F649F"/>
    <w:rsid w:val="004F6535"/>
    <w:rsid w:val="004F6D40"/>
    <w:rsid w:val="004F6E8C"/>
    <w:rsid w:val="004F7625"/>
    <w:rsid w:val="00500380"/>
    <w:rsid w:val="00500407"/>
    <w:rsid w:val="0050153E"/>
    <w:rsid w:val="00501B8C"/>
    <w:rsid w:val="00501C8C"/>
    <w:rsid w:val="00502D6F"/>
    <w:rsid w:val="00503193"/>
    <w:rsid w:val="00503833"/>
    <w:rsid w:val="0050408F"/>
    <w:rsid w:val="0050452B"/>
    <w:rsid w:val="00506964"/>
    <w:rsid w:val="00507ABF"/>
    <w:rsid w:val="00510866"/>
    <w:rsid w:val="00510FB6"/>
    <w:rsid w:val="0051315E"/>
    <w:rsid w:val="00513615"/>
    <w:rsid w:val="00513D4B"/>
    <w:rsid w:val="005146E6"/>
    <w:rsid w:val="00515108"/>
    <w:rsid w:val="005155B4"/>
    <w:rsid w:val="00515720"/>
    <w:rsid w:val="00515864"/>
    <w:rsid w:val="00516964"/>
    <w:rsid w:val="00516A59"/>
    <w:rsid w:val="00516EE5"/>
    <w:rsid w:val="005173C1"/>
    <w:rsid w:val="005200EA"/>
    <w:rsid w:val="005206AE"/>
    <w:rsid w:val="005206DB"/>
    <w:rsid w:val="005207A5"/>
    <w:rsid w:val="00521593"/>
    <w:rsid w:val="0052294B"/>
    <w:rsid w:val="00524331"/>
    <w:rsid w:val="005245F0"/>
    <w:rsid w:val="0052483C"/>
    <w:rsid w:val="00524ED6"/>
    <w:rsid w:val="005252B0"/>
    <w:rsid w:val="0052693D"/>
    <w:rsid w:val="0052713C"/>
    <w:rsid w:val="0052766C"/>
    <w:rsid w:val="00527703"/>
    <w:rsid w:val="005306E1"/>
    <w:rsid w:val="00530CC4"/>
    <w:rsid w:val="00531C67"/>
    <w:rsid w:val="005323A1"/>
    <w:rsid w:val="0053294C"/>
    <w:rsid w:val="00532BF8"/>
    <w:rsid w:val="00533D01"/>
    <w:rsid w:val="005343E6"/>
    <w:rsid w:val="00534FA6"/>
    <w:rsid w:val="005354D4"/>
    <w:rsid w:val="0053594F"/>
    <w:rsid w:val="00536A18"/>
    <w:rsid w:val="00536D70"/>
    <w:rsid w:val="005372C4"/>
    <w:rsid w:val="00540B6E"/>
    <w:rsid w:val="0054155B"/>
    <w:rsid w:val="00542AB8"/>
    <w:rsid w:val="00542E57"/>
    <w:rsid w:val="005434FC"/>
    <w:rsid w:val="0054434A"/>
    <w:rsid w:val="00544C75"/>
    <w:rsid w:val="00544E19"/>
    <w:rsid w:val="00544F50"/>
    <w:rsid w:val="005462C5"/>
    <w:rsid w:val="00547101"/>
    <w:rsid w:val="0054797B"/>
    <w:rsid w:val="00547EDB"/>
    <w:rsid w:val="00550017"/>
    <w:rsid w:val="005508EE"/>
    <w:rsid w:val="00550AC1"/>
    <w:rsid w:val="00550E94"/>
    <w:rsid w:val="00551A70"/>
    <w:rsid w:val="00552058"/>
    <w:rsid w:val="00552165"/>
    <w:rsid w:val="00552278"/>
    <w:rsid w:val="00552769"/>
    <w:rsid w:val="0055309D"/>
    <w:rsid w:val="00553765"/>
    <w:rsid w:val="005543A0"/>
    <w:rsid w:val="00554CDC"/>
    <w:rsid w:val="00556035"/>
    <w:rsid w:val="0055679D"/>
    <w:rsid w:val="00560174"/>
    <w:rsid w:val="005602BF"/>
    <w:rsid w:val="00560A60"/>
    <w:rsid w:val="00560B0A"/>
    <w:rsid w:val="00561EAC"/>
    <w:rsid w:val="00564434"/>
    <w:rsid w:val="005645D0"/>
    <w:rsid w:val="005669C5"/>
    <w:rsid w:val="00566B68"/>
    <w:rsid w:val="00567AA9"/>
    <w:rsid w:val="005715DF"/>
    <w:rsid w:val="0057188F"/>
    <w:rsid w:val="00571E12"/>
    <w:rsid w:val="00572022"/>
    <w:rsid w:val="005730A9"/>
    <w:rsid w:val="00573C75"/>
    <w:rsid w:val="00573CBD"/>
    <w:rsid w:val="00575256"/>
    <w:rsid w:val="00575D7F"/>
    <w:rsid w:val="0057664A"/>
    <w:rsid w:val="00577525"/>
    <w:rsid w:val="00577B67"/>
    <w:rsid w:val="00581760"/>
    <w:rsid w:val="00581A9A"/>
    <w:rsid w:val="00581D79"/>
    <w:rsid w:val="00582B90"/>
    <w:rsid w:val="0058343D"/>
    <w:rsid w:val="005836DF"/>
    <w:rsid w:val="00583BDD"/>
    <w:rsid w:val="00583DFF"/>
    <w:rsid w:val="00583E7F"/>
    <w:rsid w:val="00584793"/>
    <w:rsid w:val="00584EFD"/>
    <w:rsid w:val="00585DB8"/>
    <w:rsid w:val="00585F29"/>
    <w:rsid w:val="00585F97"/>
    <w:rsid w:val="005864B1"/>
    <w:rsid w:val="00587469"/>
    <w:rsid w:val="0059076C"/>
    <w:rsid w:val="00592295"/>
    <w:rsid w:val="005930D5"/>
    <w:rsid w:val="005938C2"/>
    <w:rsid w:val="00593B88"/>
    <w:rsid w:val="0059415C"/>
    <w:rsid w:val="0059444C"/>
    <w:rsid w:val="005944E6"/>
    <w:rsid w:val="00594687"/>
    <w:rsid w:val="00596051"/>
    <w:rsid w:val="00596276"/>
    <w:rsid w:val="005968B2"/>
    <w:rsid w:val="005969EC"/>
    <w:rsid w:val="00596C0B"/>
    <w:rsid w:val="00596DAB"/>
    <w:rsid w:val="00597274"/>
    <w:rsid w:val="00597874"/>
    <w:rsid w:val="005A2AA2"/>
    <w:rsid w:val="005A2FE3"/>
    <w:rsid w:val="005A349C"/>
    <w:rsid w:val="005A3B81"/>
    <w:rsid w:val="005A4177"/>
    <w:rsid w:val="005A4507"/>
    <w:rsid w:val="005A4910"/>
    <w:rsid w:val="005A4ACF"/>
    <w:rsid w:val="005A4C2F"/>
    <w:rsid w:val="005A5044"/>
    <w:rsid w:val="005A5A31"/>
    <w:rsid w:val="005A5DEE"/>
    <w:rsid w:val="005A5F33"/>
    <w:rsid w:val="005A70EE"/>
    <w:rsid w:val="005A79EB"/>
    <w:rsid w:val="005A7CA3"/>
    <w:rsid w:val="005A7D9B"/>
    <w:rsid w:val="005B00E9"/>
    <w:rsid w:val="005B0226"/>
    <w:rsid w:val="005B0BD4"/>
    <w:rsid w:val="005B0D46"/>
    <w:rsid w:val="005B1093"/>
    <w:rsid w:val="005B1269"/>
    <w:rsid w:val="005B16CC"/>
    <w:rsid w:val="005B1AE9"/>
    <w:rsid w:val="005B1BA3"/>
    <w:rsid w:val="005B2605"/>
    <w:rsid w:val="005B2764"/>
    <w:rsid w:val="005B3382"/>
    <w:rsid w:val="005B3C6D"/>
    <w:rsid w:val="005B4B3A"/>
    <w:rsid w:val="005B4C05"/>
    <w:rsid w:val="005B5788"/>
    <w:rsid w:val="005B62F7"/>
    <w:rsid w:val="005B66A0"/>
    <w:rsid w:val="005B6881"/>
    <w:rsid w:val="005B6B42"/>
    <w:rsid w:val="005B6B51"/>
    <w:rsid w:val="005C1793"/>
    <w:rsid w:val="005C23F3"/>
    <w:rsid w:val="005C2486"/>
    <w:rsid w:val="005C2635"/>
    <w:rsid w:val="005C2E24"/>
    <w:rsid w:val="005C42FC"/>
    <w:rsid w:val="005C4437"/>
    <w:rsid w:val="005C4CC1"/>
    <w:rsid w:val="005C6C7E"/>
    <w:rsid w:val="005C743E"/>
    <w:rsid w:val="005C7654"/>
    <w:rsid w:val="005D1D2B"/>
    <w:rsid w:val="005D21B7"/>
    <w:rsid w:val="005D2681"/>
    <w:rsid w:val="005D301A"/>
    <w:rsid w:val="005D3BBA"/>
    <w:rsid w:val="005D6456"/>
    <w:rsid w:val="005D6788"/>
    <w:rsid w:val="005D6AFA"/>
    <w:rsid w:val="005D7402"/>
    <w:rsid w:val="005E0517"/>
    <w:rsid w:val="005E1207"/>
    <w:rsid w:val="005E14C8"/>
    <w:rsid w:val="005E208F"/>
    <w:rsid w:val="005E3C3F"/>
    <w:rsid w:val="005E3F69"/>
    <w:rsid w:val="005E573A"/>
    <w:rsid w:val="005E5A39"/>
    <w:rsid w:val="005E5C82"/>
    <w:rsid w:val="005F06DB"/>
    <w:rsid w:val="005F0BD5"/>
    <w:rsid w:val="005F1268"/>
    <w:rsid w:val="005F1892"/>
    <w:rsid w:val="005F1BE8"/>
    <w:rsid w:val="005F2842"/>
    <w:rsid w:val="005F2AE5"/>
    <w:rsid w:val="005F3921"/>
    <w:rsid w:val="005F44F7"/>
    <w:rsid w:val="005F4DAF"/>
    <w:rsid w:val="005F59E5"/>
    <w:rsid w:val="005F6673"/>
    <w:rsid w:val="005F68E0"/>
    <w:rsid w:val="005F6F73"/>
    <w:rsid w:val="005F704D"/>
    <w:rsid w:val="005F7502"/>
    <w:rsid w:val="005F7816"/>
    <w:rsid w:val="00600640"/>
    <w:rsid w:val="006009E4"/>
    <w:rsid w:val="00601D24"/>
    <w:rsid w:val="00603626"/>
    <w:rsid w:val="006037CC"/>
    <w:rsid w:val="00604014"/>
    <w:rsid w:val="00604459"/>
    <w:rsid w:val="006047B2"/>
    <w:rsid w:val="0060512E"/>
    <w:rsid w:val="00606857"/>
    <w:rsid w:val="00607912"/>
    <w:rsid w:val="0061112C"/>
    <w:rsid w:val="0061117D"/>
    <w:rsid w:val="00611375"/>
    <w:rsid w:val="00611842"/>
    <w:rsid w:val="00612CB3"/>
    <w:rsid w:val="00615201"/>
    <w:rsid w:val="006161D2"/>
    <w:rsid w:val="00616AEC"/>
    <w:rsid w:val="00616C9A"/>
    <w:rsid w:val="006172DE"/>
    <w:rsid w:val="006209E8"/>
    <w:rsid w:val="006219C3"/>
    <w:rsid w:val="006239B1"/>
    <w:rsid w:val="00625B33"/>
    <w:rsid w:val="00625D82"/>
    <w:rsid w:val="0062738A"/>
    <w:rsid w:val="0062773E"/>
    <w:rsid w:val="00630535"/>
    <w:rsid w:val="00632016"/>
    <w:rsid w:val="0063254C"/>
    <w:rsid w:val="00632643"/>
    <w:rsid w:val="00632647"/>
    <w:rsid w:val="00632ABA"/>
    <w:rsid w:val="00633282"/>
    <w:rsid w:val="00633A66"/>
    <w:rsid w:val="006341AD"/>
    <w:rsid w:val="006345E8"/>
    <w:rsid w:val="00634F54"/>
    <w:rsid w:val="006351C7"/>
    <w:rsid w:val="006355DF"/>
    <w:rsid w:val="00636031"/>
    <w:rsid w:val="006377DD"/>
    <w:rsid w:val="00640EAF"/>
    <w:rsid w:val="00641E39"/>
    <w:rsid w:val="006426C2"/>
    <w:rsid w:val="00642728"/>
    <w:rsid w:val="00642A77"/>
    <w:rsid w:val="00642F22"/>
    <w:rsid w:val="00643D16"/>
    <w:rsid w:val="00643D66"/>
    <w:rsid w:val="0064496B"/>
    <w:rsid w:val="00644A15"/>
    <w:rsid w:val="0064504C"/>
    <w:rsid w:val="006452AF"/>
    <w:rsid w:val="006456CB"/>
    <w:rsid w:val="00646A5F"/>
    <w:rsid w:val="00647159"/>
    <w:rsid w:val="00650EEE"/>
    <w:rsid w:val="00652797"/>
    <w:rsid w:val="00652AA3"/>
    <w:rsid w:val="0065307B"/>
    <w:rsid w:val="00653499"/>
    <w:rsid w:val="00654386"/>
    <w:rsid w:val="00654729"/>
    <w:rsid w:val="00655299"/>
    <w:rsid w:val="006563A2"/>
    <w:rsid w:val="00657D7B"/>
    <w:rsid w:val="00657F60"/>
    <w:rsid w:val="00660231"/>
    <w:rsid w:val="00660C71"/>
    <w:rsid w:val="0066267F"/>
    <w:rsid w:val="006632BB"/>
    <w:rsid w:val="00663748"/>
    <w:rsid w:val="00663943"/>
    <w:rsid w:val="00664EEA"/>
    <w:rsid w:val="00665185"/>
    <w:rsid w:val="00665E30"/>
    <w:rsid w:val="006660BB"/>
    <w:rsid w:val="00666FFF"/>
    <w:rsid w:val="00667916"/>
    <w:rsid w:val="00667966"/>
    <w:rsid w:val="006679DB"/>
    <w:rsid w:val="00667ACC"/>
    <w:rsid w:val="006702B6"/>
    <w:rsid w:val="006708B9"/>
    <w:rsid w:val="00671025"/>
    <w:rsid w:val="00671ADE"/>
    <w:rsid w:val="00671E60"/>
    <w:rsid w:val="00672024"/>
    <w:rsid w:val="006733B5"/>
    <w:rsid w:val="0067524C"/>
    <w:rsid w:val="00676118"/>
    <w:rsid w:val="006773DB"/>
    <w:rsid w:val="0068039D"/>
    <w:rsid w:val="006811D5"/>
    <w:rsid w:val="006812FE"/>
    <w:rsid w:val="00682F0E"/>
    <w:rsid w:val="0068310F"/>
    <w:rsid w:val="006832BA"/>
    <w:rsid w:val="006840C6"/>
    <w:rsid w:val="00684149"/>
    <w:rsid w:val="006843CE"/>
    <w:rsid w:val="006857F7"/>
    <w:rsid w:val="006859C5"/>
    <w:rsid w:val="00690AD4"/>
    <w:rsid w:val="00690D15"/>
    <w:rsid w:val="00691681"/>
    <w:rsid w:val="00691BB8"/>
    <w:rsid w:val="0069226B"/>
    <w:rsid w:val="00692FBF"/>
    <w:rsid w:val="00695710"/>
    <w:rsid w:val="00696F6F"/>
    <w:rsid w:val="006A0427"/>
    <w:rsid w:val="006A04A8"/>
    <w:rsid w:val="006A1315"/>
    <w:rsid w:val="006A2649"/>
    <w:rsid w:val="006A336A"/>
    <w:rsid w:val="006A3E7A"/>
    <w:rsid w:val="006A47EB"/>
    <w:rsid w:val="006A4C3E"/>
    <w:rsid w:val="006A5132"/>
    <w:rsid w:val="006A5263"/>
    <w:rsid w:val="006A5780"/>
    <w:rsid w:val="006A5B32"/>
    <w:rsid w:val="006A5CDE"/>
    <w:rsid w:val="006A634E"/>
    <w:rsid w:val="006A78CE"/>
    <w:rsid w:val="006A7D44"/>
    <w:rsid w:val="006A7D78"/>
    <w:rsid w:val="006B0AF8"/>
    <w:rsid w:val="006B13B9"/>
    <w:rsid w:val="006B1756"/>
    <w:rsid w:val="006B1EC9"/>
    <w:rsid w:val="006B1F64"/>
    <w:rsid w:val="006B2949"/>
    <w:rsid w:val="006B2F54"/>
    <w:rsid w:val="006B337F"/>
    <w:rsid w:val="006B33A7"/>
    <w:rsid w:val="006B35AE"/>
    <w:rsid w:val="006B478A"/>
    <w:rsid w:val="006B4DCF"/>
    <w:rsid w:val="006B5473"/>
    <w:rsid w:val="006B6961"/>
    <w:rsid w:val="006B7432"/>
    <w:rsid w:val="006B76B4"/>
    <w:rsid w:val="006B7FD8"/>
    <w:rsid w:val="006C16AF"/>
    <w:rsid w:val="006C21CD"/>
    <w:rsid w:val="006C2B22"/>
    <w:rsid w:val="006C342E"/>
    <w:rsid w:val="006C3888"/>
    <w:rsid w:val="006C3B80"/>
    <w:rsid w:val="006C3DA2"/>
    <w:rsid w:val="006C403F"/>
    <w:rsid w:val="006C5316"/>
    <w:rsid w:val="006C6489"/>
    <w:rsid w:val="006D0F08"/>
    <w:rsid w:val="006D127B"/>
    <w:rsid w:val="006D25D5"/>
    <w:rsid w:val="006D32D4"/>
    <w:rsid w:val="006D451E"/>
    <w:rsid w:val="006D4A17"/>
    <w:rsid w:val="006D52D5"/>
    <w:rsid w:val="006D5607"/>
    <w:rsid w:val="006D5C55"/>
    <w:rsid w:val="006D6FEA"/>
    <w:rsid w:val="006D7215"/>
    <w:rsid w:val="006D76FF"/>
    <w:rsid w:val="006D7D1F"/>
    <w:rsid w:val="006D7F81"/>
    <w:rsid w:val="006E00E5"/>
    <w:rsid w:val="006E0111"/>
    <w:rsid w:val="006E0E7A"/>
    <w:rsid w:val="006E230E"/>
    <w:rsid w:val="006E4460"/>
    <w:rsid w:val="006E4898"/>
    <w:rsid w:val="006E4C84"/>
    <w:rsid w:val="006E55B2"/>
    <w:rsid w:val="006E56ED"/>
    <w:rsid w:val="006E749C"/>
    <w:rsid w:val="006F0B20"/>
    <w:rsid w:val="006F0F14"/>
    <w:rsid w:val="006F10F1"/>
    <w:rsid w:val="006F22B3"/>
    <w:rsid w:val="006F2648"/>
    <w:rsid w:val="006F2DE8"/>
    <w:rsid w:val="006F3B2E"/>
    <w:rsid w:val="006F3CAB"/>
    <w:rsid w:val="006F480C"/>
    <w:rsid w:val="006F5578"/>
    <w:rsid w:val="006F677F"/>
    <w:rsid w:val="006F7746"/>
    <w:rsid w:val="006F7AFA"/>
    <w:rsid w:val="00700593"/>
    <w:rsid w:val="0070070A"/>
    <w:rsid w:val="00701D74"/>
    <w:rsid w:val="0070311F"/>
    <w:rsid w:val="00703678"/>
    <w:rsid w:val="0070449A"/>
    <w:rsid w:val="0070491A"/>
    <w:rsid w:val="00704FEE"/>
    <w:rsid w:val="0070605F"/>
    <w:rsid w:val="00706112"/>
    <w:rsid w:val="00707CA0"/>
    <w:rsid w:val="00711ABA"/>
    <w:rsid w:val="00713356"/>
    <w:rsid w:val="00713C03"/>
    <w:rsid w:val="007147C9"/>
    <w:rsid w:val="0071487F"/>
    <w:rsid w:val="007151E2"/>
    <w:rsid w:val="007159FC"/>
    <w:rsid w:val="00715D76"/>
    <w:rsid w:val="00715F7E"/>
    <w:rsid w:val="00716583"/>
    <w:rsid w:val="007166A9"/>
    <w:rsid w:val="0072073D"/>
    <w:rsid w:val="00721414"/>
    <w:rsid w:val="007216A4"/>
    <w:rsid w:val="00721C04"/>
    <w:rsid w:val="00722350"/>
    <w:rsid w:val="00722AFC"/>
    <w:rsid w:val="00723AC2"/>
    <w:rsid w:val="00723CFB"/>
    <w:rsid w:val="00724657"/>
    <w:rsid w:val="007249EE"/>
    <w:rsid w:val="00724CD2"/>
    <w:rsid w:val="007260F5"/>
    <w:rsid w:val="007261B2"/>
    <w:rsid w:val="007264E5"/>
    <w:rsid w:val="007276E2"/>
    <w:rsid w:val="00727850"/>
    <w:rsid w:val="007279A6"/>
    <w:rsid w:val="00727C9C"/>
    <w:rsid w:val="00727E56"/>
    <w:rsid w:val="00730FB3"/>
    <w:rsid w:val="00731254"/>
    <w:rsid w:val="00731EC8"/>
    <w:rsid w:val="007335C1"/>
    <w:rsid w:val="00733FE0"/>
    <w:rsid w:val="00734076"/>
    <w:rsid w:val="00735767"/>
    <w:rsid w:val="007358C7"/>
    <w:rsid w:val="00736E44"/>
    <w:rsid w:val="00737286"/>
    <w:rsid w:val="0073778D"/>
    <w:rsid w:val="00740635"/>
    <w:rsid w:val="007408DE"/>
    <w:rsid w:val="007411EE"/>
    <w:rsid w:val="007415AF"/>
    <w:rsid w:val="00741DB9"/>
    <w:rsid w:val="00744591"/>
    <w:rsid w:val="007448D2"/>
    <w:rsid w:val="0074579A"/>
    <w:rsid w:val="007465EE"/>
    <w:rsid w:val="00746C50"/>
    <w:rsid w:val="00747AB2"/>
    <w:rsid w:val="00747B3D"/>
    <w:rsid w:val="00751DB8"/>
    <w:rsid w:val="0075257D"/>
    <w:rsid w:val="007533F7"/>
    <w:rsid w:val="00753542"/>
    <w:rsid w:val="00753A0B"/>
    <w:rsid w:val="00755343"/>
    <w:rsid w:val="007575F3"/>
    <w:rsid w:val="00757FE8"/>
    <w:rsid w:val="0076019C"/>
    <w:rsid w:val="0076046F"/>
    <w:rsid w:val="0076163F"/>
    <w:rsid w:val="00761DFF"/>
    <w:rsid w:val="00761ED0"/>
    <w:rsid w:val="0076422E"/>
    <w:rsid w:val="0076502D"/>
    <w:rsid w:val="00766644"/>
    <w:rsid w:val="0076666C"/>
    <w:rsid w:val="00766A7E"/>
    <w:rsid w:val="00766AF2"/>
    <w:rsid w:val="00766DFF"/>
    <w:rsid w:val="0077040C"/>
    <w:rsid w:val="00770825"/>
    <w:rsid w:val="00770CB7"/>
    <w:rsid w:val="0077158D"/>
    <w:rsid w:val="00773712"/>
    <w:rsid w:val="00773E6B"/>
    <w:rsid w:val="00775655"/>
    <w:rsid w:val="00775DA8"/>
    <w:rsid w:val="00776B2A"/>
    <w:rsid w:val="00776C1C"/>
    <w:rsid w:val="00776F16"/>
    <w:rsid w:val="00776FEF"/>
    <w:rsid w:val="007770A1"/>
    <w:rsid w:val="00777693"/>
    <w:rsid w:val="007810F5"/>
    <w:rsid w:val="007811EC"/>
    <w:rsid w:val="007818A7"/>
    <w:rsid w:val="0078401E"/>
    <w:rsid w:val="00784027"/>
    <w:rsid w:val="007852BD"/>
    <w:rsid w:val="00785442"/>
    <w:rsid w:val="00785A7B"/>
    <w:rsid w:val="00785B65"/>
    <w:rsid w:val="00785DC3"/>
    <w:rsid w:val="00785F3F"/>
    <w:rsid w:val="007862ED"/>
    <w:rsid w:val="0078781B"/>
    <w:rsid w:val="00787C61"/>
    <w:rsid w:val="0079000A"/>
    <w:rsid w:val="00790044"/>
    <w:rsid w:val="00790E15"/>
    <w:rsid w:val="0079178E"/>
    <w:rsid w:val="00791ACE"/>
    <w:rsid w:val="00792578"/>
    <w:rsid w:val="0079297D"/>
    <w:rsid w:val="00793048"/>
    <w:rsid w:val="0079350F"/>
    <w:rsid w:val="00794260"/>
    <w:rsid w:val="0079451F"/>
    <w:rsid w:val="00794F30"/>
    <w:rsid w:val="0079518C"/>
    <w:rsid w:val="007958DB"/>
    <w:rsid w:val="00795C7D"/>
    <w:rsid w:val="007A00F3"/>
    <w:rsid w:val="007A01C6"/>
    <w:rsid w:val="007A0A69"/>
    <w:rsid w:val="007A1805"/>
    <w:rsid w:val="007A3654"/>
    <w:rsid w:val="007A42B1"/>
    <w:rsid w:val="007A513B"/>
    <w:rsid w:val="007A6666"/>
    <w:rsid w:val="007A77F2"/>
    <w:rsid w:val="007A7D31"/>
    <w:rsid w:val="007A7D83"/>
    <w:rsid w:val="007A7E45"/>
    <w:rsid w:val="007B0319"/>
    <w:rsid w:val="007B180E"/>
    <w:rsid w:val="007B2A6D"/>
    <w:rsid w:val="007B344A"/>
    <w:rsid w:val="007B363E"/>
    <w:rsid w:val="007B3D4D"/>
    <w:rsid w:val="007B5C46"/>
    <w:rsid w:val="007C0393"/>
    <w:rsid w:val="007C119F"/>
    <w:rsid w:val="007C120D"/>
    <w:rsid w:val="007C2698"/>
    <w:rsid w:val="007C2839"/>
    <w:rsid w:val="007C2A2F"/>
    <w:rsid w:val="007C2D16"/>
    <w:rsid w:val="007C31AB"/>
    <w:rsid w:val="007C350F"/>
    <w:rsid w:val="007C37A9"/>
    <w:rsid w:val="007C3F5B"/>
    <w:rsid w:val="007C4409"/>
    <w:rsid w:val="007C444C"/>
    <w:rsid w:val="007C4587"/>
    <w:rsid w:val="007C5E2F"/>
    <w:rsid w:val="007C62B1"/>
    <w:rsid w:val="007C6308"/>
    <w:rsid w:val="007C7C35"/>
    <w:rsid w:val="007D0251"/>
    <w:rsid w:val="007D0DFA"/>
    <w:rsid w:val="007D14EA"/>
    <w:rsid w:val="007D17BF"/>
    <w:rsid w:val="007D182D"/>
    <w:rsid w:val="007D1EDB"/>
    <w:rsid w:val="007D3B31"/>
    <w:rsid w:val="007D4434"/>
    <w:rsid w:val="007D578A"/>
    <w:rsid w:val="007D5867"/>
    <w:rsid w:val="007D5E23"/>
    <w:rsid w:val="007D5E8A"/>
    <w:rsid w:val="007D62A9"/>
    <w:rsid w:val="007D63A5"/>
    <w:rsid w:val="007D6EBA"/>
    <w:rsid w:val="007D7730"/>
    <w:rsid w:val="007D7869"/>
    <w:rsid w:val="007E0B46"/>
    <w:rsid w:val="007E10F1"/>
    <w:rsid w:val="007E1179"/>
    <w:rsid w:val="007E1E52"/>
    <w:rsid w:val="007E3925"/>
    <w:rsid w:val="007E3C55"/>
    <w:rsid w:val="007E4D1F"/>
    <w:rsid w:val="007E4E92"/>
    <w:rsid w:val="007E567E"/>
    <w:rsid w:val="007E712F"/>
    <w:rsid w:val="007E7153"/>
    <w:rsid w:val="007E779C"/>
    <w:rsid w:val="007E7EA5"/>
    <w:rsid w:val="007E7EC9"/>
    <w:rsid w:val="007F0EFD"/>
    <w:rsid w:val="007F1FFB"/>
    <w:rsid w:val="007F2771"/>
    <w:rsid w:val="007F2862"/>
    <w:rsid w:val="007F28DC"/>
    <w:rsid w:val="007F3668"/>
    <w:rsid w:val="007F3E3A"/>
    <w:rsid w:val="007F4036"/>
    <w:rsid w:val="007F4137"/>
    <w:rsid w:val="007F4A65"/>
    <w:rsid w:val="007F5CF1"/>
    <w:rsid w:val="007F62A6"/>
    <w:rsid w:val="007F6A99"/>
    <w:rsid w:val="007F7EC7"/>
    <w:rsid w:val="00800326"/>
    <w:rsid w:val="0080032C"/>
    <w:rsid w:val="0080076B"/>
    <w:rsid w:val="00801554"/>
    <w:rsid w:val="00801749"/>
    <w:rsid w:val="00802718"/>
    <w:rsid w:val="00802AA3"/>
    <w:rsid w:val="00803286"/>
    <w:rsid w:val="0080347B"/>
    <w:rsid w:val="008035C0"/>
    <w:rsid w:val="008036A9"/>
    <w:rsid w:val="00803B0D"/>
    <w:rsid w:val="008042E4"/>
    <w:rsid w:val="0080471B"/>
    <w:rsid w:val="00804E18"/>
    <w:rsid w:val="008054C2"/>
    <w:rsid w:val="00806977"/>
    <w:rsid w:val="008070CA"/>
    <w:rsid w:val="00807D37"/>
    <w:rsid w:val="008112A4"/>
    <w:rsid w:val="008116D9"/>
    <w:rsid w:val="00812653"/>
    <w:rsid w:val="00812A83"/>
    <w:rsid w:val="00812E21"/>
    <w:rsid w:val="0081328B"/>
    <w:rsid w:val="00813467"/>
    <w:rsid w:val="00813D06"/>
    <w:rsid w:val="0081456C"/>
    <w:rsid w:val="00814908"/>
    <w:rsid w:val="00815705"/>
    <w:rsid w:val="008158AE"/>
    <w:rsid w:val="00815B88"/>
    <w:rsid w:val="00816515"/>
    <w:rsid w:val="00816D1D"/>
    <w:rsid w:val="008174CE"/>
    <w:rsid w:val="00820E9D"/>
    <w:rsid w:val="008213BB"/>
    <w:rsid w:val="008227F4"/>
    <w:rsid w:val="0082338F"/>
    <w:rsid w:val="0082433C"/>
    <w:rsid w:val="00825D1E"/>
    <w:rsid w:val="00825E63"/>
    <w:rsid w:val="00826927"/>
    <w:rsid w:val="00826F5B"/>
    <w:rsid w:val="00827ACF"/>
    <w:rsid w:val="00827BA4"/>
    <w:rsid w:val="008317D6"/>
    <w:rsid w:val="008320A1"/>
    <w:rsid w:val="008345D3"/>
    <w:rsid w:val="00834E36"/>
    <w:rsid w:val="00835290"/>
    <w:rsid w:val="008354AC"/>
    <w:rsid w:val="0083660E"/>
    <w:rsid w:val="008375B0"/>
    <w:rsid w:val="008375E4"/>
    <w:rsid w:val="00840999"/>
    <w:rsid w:val="008410A3"/>
    <w:rsid w:val="00841264"/>
    <w:rsid w:val="008412D9"/>
    <w:rsid w:val="00841661"/>
    <w:rsid w:val="00842767"/>
    <w:rsid w:val="00842A45"/>
    <w:rsid w:val="00842C43"/>
    <w:rsid w:val="00842D1B"/>
    <w:rsid w:val="00842E58"/>
    <w:rsid w:val="00843EB9"/>
    <w:rsid w:val="008461B9"/>
    <w:rsid w:val="00846538"/>
    <w:rsid w:val="00846DB9"/>
    <w:rsid w:val="008477AD"/>
    <w:rsid w:val="008506F9"/>
    <w:rsid w:val="00850E09"/>
    <w:rsid w:val="008515C4"/>
    <w:rsid w:val="008516DB"/>
    <w:rsid w:val="00852C84"/>
    <w:rsid w:val="00854102"/>
    <w:rsid w:val="00855068"/>
    <w:rsid w:val="008559B3"/>
    <w:rsid w:val="00855C0A"/>
    <w:rsid w:val="008569F2"/>
    <w:rsid w:val="00857286"/>
    <w:rsid w:val="00857361"/>
    <w:rsid w:val="008579EE"/>
    <w:rsid w:val="0086009D"/>
    <w:rsid w:val="008607D6"/>
    <w:rsid w:val="00861816"/>
    <w:rsid w:val="00862EDE"/>
    <w:rsid w:val="00862EE8"/>
    <w:rsid w:val="00862F80"/>
    <w:rsid w:val="00863DF6"/>
    <w:rsid w:val="00863E98"/>
    <w:rsid w:val="008664CF"/>
    <w:rsid w:val="00867962"/>
    <w:rsid w:val="00870840"/>
    <w:rsid w:val="00870AE2"/>
    <w:rsid w:val="00870FAC"/>
    <w:rsid w:val="008710D3"/>
    <w:rsid w:val="0087293D"/>
    <w:rsid w:val="00873736"/>
    <w:rsid w:val="008741AC"/>
    <w:rsid w:val="00874803"/>
    <w:rsid w:val="008754D7"/>
    <w:rsid w:val="00875BBE"/>
    <w:rsid w:val="00875C71"/>
    <w:rsid w:val="00876832"/>
    <w:rsid w:val="00876B30"/>
    <w:rsid w:val="00876C01"/>
    <w:rsid w:val="00877193"/>
    <w:rsid w:val="008773DE"/>
    <w:rsid w:val="00877BCD"/>
    <w:rsid w:val="00880DF6"/>
    <w:rsid w:val="00881A5F"/>
    <w:rsid w:val="00881CC2"/>
    <w:rsid w:val="00882392"/>
    <w:rsid w:val="00882B43"/>
    <w:rsid w:val="0088356C"/>
    <w:rsid w:val="00884C75"/>
    <w:rsid w:val="00884D5D"/>
    <w:rsid w:val="008859C0"/>
    <w:rsid w:val="00885C27"/>
    <w:rsid w:val="00886859"/>
    <w:rsid w:val="0088775E"/>
    <w:rsid w:val="0088792D"/>
    <w:rsid w:val="00890859"/>
    <w:rsid w:val="00891696"/>
    <w:rsid w:val="00892742"/>
    <w:rsid w:val="00895450"/>
    <w:rsid w:val="00895578"/>
    <w:rsid w:val="008962BB"/>
    <w:rsid w:val="0089655C"/>
    <w:rsid w:val="00896E27"/>
    <w:rsid w:val="00897850"/>
    <w:rsid w:val="0089789D"/>
    <w:rsid w:val="00897FB0"/>
    <w:rsid w:val="008A023E"/>
    <w:rsid w:val="008A036D"/>
    <w:rsid w:val="008A054A"/>
    <w:rsid w:val="008A0ADC"/>
    <w:rsid w:val="008A189D"/>
    <w:rsid w:val="008A1E0A"/>
    <w:rsid w:val="008A20F1"/>
    <w:rsid w:val="008A29E3"/>
    <w:rsid w:val="008A32A6"/>
    <w:rsid w:val="008A34DD"/>
    <w:rsid w:val="008A3517"/>
    <w:rsid w:val="008A3F44"/>
    <w:rsid w:val="008A4F56"/>
    <w:rsid w:val="008A5201"/>
    <w:rsid w:val="008A590F"/>
    <w:rsid w:val="008A5A26"/>
    <w:rsid w:val="008A5A79"/>
    <w:rsid w:val="008A757F"/>
    <w:rsid w:val="008A7652"/>
    <w:rsid w:val="008B001D"/>
    <w:rsid w:val="008B0B3B"/>
    <w:rsid w:val="008B2C7F"/>
    <w:rsid w:val="008B2DDB"/>
    <w:rsid w:val="008B2E50"/>
    <w:rsid w:val="008B3B12"/>
    <w:rsid w:val="008B4759"/>
    <w:rsid w:val="008B4ACD"/>
    <w:rsid w:val="008B52E5"/>
    <w:rsid w:val="008B5698"/>
    <w:rsid w:val="008B5C62"/>
    <w:rsid w:val="008B5CB2"/>
    <w:rsid w:val="008B6290"/>
    <w:rsid w:val="008B6456"/>
    <w:rsid w:val="008B66C9"/>
    <w:rsid w:val="008B73E9"/>
    <w:rsid w:val="008B7C50"/>
    <w:rsid w:val="008C0DF2"/>
    <w:rsid w:val="008C1B22"/>
    <w:rsid w:val="008C2B45"/>
    <w:rsid w:val="008C553B"/>
    <w:rsid w:val="008C5737"/>
    <w:rsid w:val="008C6799"/>
    <w:rsid w:val="008C6D30"/>
    <w:rsid w:val="008D07BC"/>
    <w:rsid w:val="008D23AD"/>
    <w:rsid w:val="008D3D5B"/>
    <w:rsid w:val="008D41DB"/>
    <w:rsid w:val="008D4236"/>
    <w:rsid w:val="008D4612"/>
    <w:rsid w:val="008D478E"/>
    <w:rsid w:val="008D5090"/>
    <w:rsid w:val="008D53CC"/>
    <w:rsid w:val="008D681E"/>
    <w:rsid w:val="008D6EDF"/>
    <w:rsid w:val="008D74AF"/>
    <w:rsid w:val="008E037C"/>
    <w:rsid w:val="008E1FB3"/>
    <w:rsid w:val="008E2323"/>
    <w:rsid w:val="008E3389"/>
    <w:rsid w:val="008E5692"/>
    <w:rsid w:val="008E68A0"/>
    <w:rsid w:val="008E69FB"/>
    <w:rsid w:val="008E7A6E"/>
    <w:rsid w:val="008E7B10"/>
    <w:rsid w:val="008E7D9F"/>
    <w:rsid w:val="008F076A"/>
    <w:rsid w:val="008F085C"/>
    <w:rsid w:val="008F0C02"/>
    <w:rsid w:val="008F1AF7"/>
    <w:rsid w:val="008F3000"/>
    <w:rsid w:val="008F4912"/>
    <w:rsid w:val="008F5B1D"/>
    <w:rsid w:val="008F68AC"/>
    <w:rsid w:val="008F73D1"/>
    <w:rsid w:val="008F7454"/>
    <w:rsid w:val="008F74E9"/>
    <w:rsid w:val="008F76ED"/>
    <w:rsid w:val="009001DA"/>
    <w:rsid w:val="00900E67"/>
    <w:rsid w:val="009014FF"/>
    <w:rsid w:val="00901709"/>
    <w:rsid w:val="00901C0A"/>
    <w:rsid w:val="009024B2"/>
    <w:rsid w:val="009028EB"/>
    <w:rsid w:val="00902ACA"/>
    <w:rsid w:val="00902D36"/>
    <w:rsid w:val="0090319F"/>
    <w:rsid w:val="00903855"/>
    <w:rsid w:val="00903EC7"/>
    <w:rsid w:val="00904961"/>
    <w:rsid w:val="009054AD"/>
    <w:rsid w:val="00906D9B"/>
    <w:rsid w:val="009073EB"/>
    <w:rsid w:val="0091025B"/>
    <w:rsid w:val="00910635"/>
    <w:rsid w:val="00911CBA"/>
    <w:rsid w:val="0091223C"/>
    <w:rsid w:val="0091266A"/>
    <w:rsid w:val="0091281C"/>
    <w:rsid w:val="00912AEF"/>
    <w:rsid w:val="00914397"/>
    <w:rsid w:val="0091510E"/>
    <w:rsid w:val="00915F19"/>
    <w:rsid w:val="0091632B"/>
    <w:rsid w:val="009170C2"/>
    <w:rsid w:val="009206AB"/>
    <w:rsid w:val="00920A44"/>
    <w:rsid w:val="009211B2"/>
    <w:rsid w:val="0092186E"/>
    <w:rsid w:val="009228C5"/>
    <w:rsid w:val="00923612"/>
    <w:rsid w:val="009237AE"/>
    <w:rsid w:val="00924B8F"/>
    <w:rsid w:val="0092569C"/>
    <w:rsid w:val="00925ECF"/>
    <w:rsid w:val="00926457"/>
    <w:rsid w:val="0092676D"/>
    <w:rsid w:val="0093031B"/>
    <w:rsid w:val="0093108D"/>
    <w:rsid w:val="009317D2"/>
    <w:rsid w:val="00931915"/>
    <w:rsid w:val="009326D9"/>
    <w:rsid w:val="00932880"/>
    <w:rsid w:val="00932BC8"/>
    <w:rsid w:val="00933223"/>
    <w:rsid w:val="00933453"/>
    <w:rsid w:val="0093471F"/>
    <w:rsid w:val="00934913"/>
    <w:rsid w:val="00935E91"/>
    <w:rsid w:val="00936C05"/>
    <w:rsid w:val="00937A65"/>
    <w:rsid w:val="0094061A"/>
    <w:rsid w:val="00943B10"/>
    <w:rsid w:val="00943B16"/>
    <w:rsid w:val="00943D3B"/>
    <w:rsid w:val="009449C1"/>
    <w:rsid w:val="00944A2D"/>
    <w:rsid w:val="00945481"/>
    <w:rsid w:val="00946202"/>
    <w:rsid w:val="00946583"/>
    <w:rsid w:val="0094662F"/>
    <w:rsid w:val="00947279"/>
    <w:rsid w:val="00950595"/>
    <w:rsid w:val="00950BAB"/>
    <w:rsid w:val="00951CCE"/>
    <w:rsid w:val="00951E7F"/>
    <w:rsid w:val="00953FCE"/>
    <w:rsid w:val="00954038"/>
    <w:rsid w:val="009542F1"/>
    <w:rsid w:val="009544F2"/>
    <w:rsid w:val="00954BE2"/>
    <w:rsid w:val="0095612B"/>
    <w:rsid w:val="00957A4F"/>
    <w:rsid w:val="00960F58"/>
    <w:rsid w:val="00962B54"/>
    <w:rsid w:val="0096311C"/>
    <w:rsid w:val="009631EB"/>
    <w:rsid w:val="0096396A"/>
    <w:rsid w:val="009640FF"/>
    <w:rsid w:val="0096510B"/>
    <w:rsid w:val="00966041"/>
    <w:rsid w:val="009662DB"/>
    <w:rsid w:val="00966A8B"/>
    <w:rsid w:val="00970295"/>
    <w:rsid w:val="0097087B"/>
    <w:rsid w:val="00970FDF"/>
    <w:rsid w:val="0097119C"/>
    <w:rsid w:val="00972A1C"/>
    <w:rsid w:val="00974BA3"/>
    <w:rsid w:val="00975BDF"/>
    <w:rsid w:val="0098017F"/>
    <w:rsid w:val="00980F20"/>
    <w:rsid w:val="00982224"/>
    <w:rsid w:val="00982A31"/>
    <w:rsid w:val="009848C4"/>
    <w:rsid w:val="00984CAE"/>
    <w:rsid w:val="00984FDE"/>
    <w:rsid w:val="00984FEC"/>
    <w:rsid w:val="009865B6"/>
    <w:rsid w:val="00986FE4"/>
    <w:rsid w:val="00990919"/>
    <w:rsid w:val="0099248E"/>
    <w:rsid w:val="00992C7F"/>
    <w:rsid w:val="00992E46"/>
    <w:rsid w:val="00993444"/>
    <w:rsid w:val="00993C04"/>
    <w:rsid w:val="0099476C"/>
    <w:rsid w:val="0099614B"/>
    <w:rsid w:val="00996973"/>
    <w:rsid w:val="00996D9E"/>
    <w:rsid w:val="00997030"/>
    <w:rsid w:val="00997356"/>
    <w:rsid w:val="009973B1"/>
    <w:rsid w:val="00997440"/>
    <w:rsid w:val="0099757E"/>
    <w:rsid w:val="009A0F3C"/>
    <w:rsid w:val="009A1255"/>
    <w:rsid w:val="009A1968"/>
    <w:rsid w:val="009A2294"/>
    <w:rsid w:val="009A310E"/>
    <w:rsid w:val="009A37D8"/>
    <w:rsid w:val="009A448E"/>
    <w:rsid w:val="009A4675"/>
    <w:rsid w:val="009A514A"/>
    <w:rsid w:val="009A5589"/>
    <w:rsid w:val="009A5754"/>
    <w:rsid w:val="009A634C"/>
    <w:rsid w:val="009A6E90"/>
    <w:rsid w:val="009A7C9B"/>
    <w:rsid w:val="009B1393"/>
    <w:rsid w:val="009B1950"/>
    <w:rsid w:val="009B1D61"/>
    <w:rsid w:val="009B2105"/>
    <w:rsid w:val="009B3EDF"/>
    <w:rsid w:val="009B4F50"/>
    <w:rsid w:val="009B51C5"/>
    <w:rsid w:val="009B7548"/>
    <w:rsid w:val="009B7B9C"/>
    <w:rsid w:val="009B7ED8"/>
    <w:rsid w:val="009C0134"/>
    <w:rsid w:val="009C0D80"/>
    <w:rsid w:val="009C1907"/>
    <w:rsid w:val="009C1AEC"/>
    <w:rsid w:val="009C1CBD"/>
    <w:rsid w:val="009C2211"/>
    <w:rsid w:val="009C2853"/>
    <w:rsid w:val="009C3E63"/>
    <w:rsid w:val="009C49DD"/>
    <w:rsid w:val="009C5409"/>
    <w:rsid w:val="009C5A04"/>
    <w:rsid w:val="009C5B2E"/>
    <w:rsid w:val="009C5BFC"/>
    <w:rsid w:val="009C5EAB"/>
    <w:rsid w:val="009C6097"/>
    <w:rsid w:val="009C62B1"/>
    <w:rsid w:val="009C6B37"/>
    <w:rsid w:val="009C6C4B"/>
    <w:rsid w:val="009C6D5E"/>
    <w:rsid w:val="009C7020"/>
    <w:rsid w:val="009C73CB"/>
    <w:rsid w:val="009C75BC"/>
    <w:rsid w:val="009D0120"/>
    <w:rsid w:val="009D0E94"/>
    <w:rsid w:val="009D1501"/>
    <w:rsid w:val="009D2EA3"/>
    <w:rsid w:val="009D4D39"/>
    <w:rsid w:val="009D5EE9"/>
    <w:rsid w:val="009E0FD1"/>
    <w:rsid w:val="009E1509"/>
    <w:rsid w:val="009E174E"/>
    <w:rsid w:val="009E1847"/>
    <w:rsid w:val="009E1A16"/>
    <w:rsid w:val="009E2850"/>
    <w:rsid w:val="009E572E"/>
    <w:rsid w:val="009E5C14"/>
    <w:rsid w:val="009E624D"/>
    <w:rsid w:val="009E62ED"/>
    <w:rsid w:val="009E6AF8"/>
    <w:rsid w:val="009E6B58"/>
    <w:rsid w:val="009E707E"/>
    <w:rsid w:val="009E75A8"/>
    <w:rsid w:val="009F0E25"/>
    <w:rsid w:val="009F2F93"/>
    <w:rsid w:val="009F3944"/>
    <w:rsid w:val="009F3D9C"/>
    <w:rsid w:val="009F4CAF"/>
    <w:rsid w:val="009F5095"/>
    <w:rsid w:val="009F5363"/>
    <w:rsid w:val="009F5392"/>
    <w:rsid w:val="009F588A"/>
    <w:rsid w:val="009F63EF"/>
    <w:rsid w:val="009F6D39"/>
    <w:rsid w:val="009F76EA"/>
    <w:rsid w:val="009F78CC"/>
    <w:rsid w:val="00A005DC"/>
    <w:rsid w:val="00A01F9B"/>
    <w:rsid w:val="00A03209"/>
    <w:rsid w:val="00A0343D"/>
    <w:rsid w:val="00A0365C"/>
    <w:rsid w:val="00A03935"/>
    <w:rsid w:val="00A04B78"/>
    <w:rsid w:val="00A05B23"/>
    <w:rsid w:val="00A069FC"/>
    <w:rsid w:val="00A0723F"/>
    <w:rsid w:val="00A07BEE"/>
    <w:rsid w:val="00A10245"/>
    <w:rsid w:val="00A133EA"/>
    <w:rsid w:val="00A1417B"/>
    <w:rsid w:val="00A16DC0"/>
    <w:rsid w:val="00A17F31"/>
    <w:rsid w:val="00A2049E"/>
    <w:rsid w:val="00A20774"/>
    <w:rsid w:val="00A20F21"/>
    <w:rsid w:val="00A21BCD"/>
    <w:rsid w:val="00A21F6A"/>
    <w:rsid w:val="00A21F82"/>
    <w:rsid w:val="00A238B2"/>
    <w:rsid w:val="00A245F9"/>
    <w:rsid w:val="00A24761"/>
    <w:rsid w:val="00A24788"/>
    <w:rsid w:val="00A25BD8"/>
    <w:rsid w:val="00A2675B"/>
    <w:rsid w:val="00A27046"/>
    <w:rsid w:val="00A276EA"/>
    <w:rsid w:val="00A27A07"/>
    <w:rsid w:val="00A30D17"/>
    <w:rsid w:val="00A314D5"/>
    <w:rsid w:val="00A31FB2"/>
    <w:rsid w:val="00A323F2"/>
    <w:rsid w:val="00A32B33"/>
    <w:rsid w:val="00A34A5F"/>
    <w:rsid w:val="00A35823"/>
    <w:rsid w:val="00A36283"/>
    <w:rsid w:val="00A36DF9"/>
    <w:rsid w:val="00A37CEB"/>
    <w:rsid w:val="00A400CE"/>
    <w:rsid w:val="00A425F0"/>
    <w:rsid w:val="00A4344E"/>
    <w:rsid w:val="00A44168"/>
    <w:rsid w:val="00A443C9"/>
    <w:rsid w:val="00A453D0"/>
    <w:rsid w:val="00A4639A"/>
    <w:rsid w:val="00A4649A"/>
    <w:rsid w:val="00A46A94"/>
    <w:rsid w:val="00A46EF6"/>
    <w:rsid w:val="00A46F37"/>
    <w:rsid w:val="00A47CAD"/>
    <w:rsid w:val="00A508C2"/>
    <w:rsid w:val="00A515E9"/>
    <w:rsid w:val="00A51C01"/>
    <w:rsid w:val="00A51D54"/>
    <w:rsid w:val="00A51EF2"/>
    <w:rsid w:val="00A52590"/>
    <w:rsid w:val="00A536B0"/>
    <w:rsid w:val="00A53C4B"/>
    <w:rsid w:val="00A53C4D"/>
    <w:rsid w:val="00A54B15"/>
    <w:rsid w:val="00A550ED"/>
    <w:rsid w:val="00A556A9"/>
    <w:rsid w:val="00A55CB7"/>
    <w:rsid w:val="00A56A78"/>
    <w:rsid w:val="00A56BF8"/>
    <w:rsid w:val="00A56CEC"/>
    <w:rsid w:val="00A60639"/>
    <w:rsid w:val="00A60892"/>
    <w:rsid w:val="00A61099"/>
    <w:rsid w:val="00A62A54"/>
    <w:rsid w:val="00A63378"/>
    <w:rsid w:val="00A63923"/>
    <w:rsid w:val="00A63B0B"/>
    <w:rsid w:val="00A6402C"/>
    <w:rsid w:val="00A65B9C"/>
    <w:rsid w:val="00A66585"/>
    <w:rsid w:val="00A666B2"/>
    <w:rsid w:val="00A673D9"/>
    <w:rsid w:val="00A6740F"/>
    <w:rsid w:val="00A6767B"/>
    <w:rsid w:val="00A67BBD"/>
    <w:rsid w:val="00A700CD"/>
    <w:rsid w:val="00A7187F"/>
    <w:rsid w:val="00A71EB9"/>
    <w:rsid w:val="00A72183"/>
    <w:rsid w:val="00A72773"/>
    <w:rsid w:val="00A7296C"/>
    <w:rsid w:val="00A73CE7"/>
    <w:rsid w:val="00A73DA3"/>
    <w:rsid w:val="00A7426B"/>
    <w:rsid w:val="00A74733"/>
    <w:rsid w:val="00A75CB7"/>
    <w:rsid w:val="00A76A47"/>
    <w:rsid w:val="00A777A7"/>
    <w:rsid w:val="00A77A3A"/>
    <w:rsid w:val="00A77AE0"/>
    <w:rsid w:val="00A80B4D"/>
    <w:rsid w:val="00A80DB1"/>
    <w:rsid w:val="00A81386"/>
    <w:rsid w:val="00A81D4C"/>
    <w:rsid w:val="00A8234A"/>
    <w:rsid w:val="00A83CE6"/>
    <w:rsid w:val="00A83F47"/>
    <w:rsid w:val="00A84615"/>
    <w:rsid w:val="00A848FA"/>
    <w:rsid w:val="00A84CDF"/>
    <w:rsid w:val="00A84D27"/>
    <w:rsid w:val="00A84F27"/>
    <w:rsid w:val="00A852A4"/>
    <w:rsid w:val="00A85D4D"/>
    <w:rsid w:val="00A879E3"/>
    <w:rsid w:val="00A87FEC"/>
    <w:rsid w:val="00A90685"/>
    <w:rsid w:val="00A90B6E"/>
    <w:rsid w:val="00A91665"/>
    <w:rsid w:val="00A91FD6"/>
    <w:rsid w:val="00A922C4"/>
    <w:rsid w:val="00A9276D"/>
    <w:rsid w:val="00A92886"/>
    <w:rsid w:val="00A9445D"/>
    <w:rsid w:val="00A94BBA"/>
    <w:rsid w:val="00A94D98"/>
    <w:rsid w:val="00A97A29"/>
    <w:rsid w:val="00A97A9E"/>
    <w:rsid w:val="00AA0CF5"/>
    <w:rsid w:val="00AA137C"/>
    <w:rsid w:val="00AA2826"/>
    <w:rsid w:val="00AA2B0E"/>
    <w:rsid w:val="00AA3451"/>
    <w:rsid w:val="00AA371E"/>
    <w:rsid w:val="00AA3DB7"/>
    <w:rsid w:val="00AA3FB1"/>
    <w:rsid w:val="00AA4EDE"/>
    <w:rsid w:val="00AA4F58"/>
    <w:rsid w:val="00AA504C"/>
    <w:rsid w:val="00AA5AF1"/>
    <w:rsid w:val="00AA5C91"/>
    <w:rsid w:val="00AA5F6A"/>
    <w:rsid w:val="00AA606C"/>
    <w:rsid w:val="00AA663E"/>
    <w:rsid w:val="00AA6E27"/>
    <w:rsid w:val="00AA7415"/>
    <w:rsid w:val="00AA795E"/>
    <w:rsid w:val="00AB0352"/>
    <w:rsid w:val="00AB10ED"/>
    <w:rsid w:val="00AB3520"/>
    <w:rsid w:val="00AB3ADF"/>
    <w:rsid w:val="00AB3AE8"/>
    <w:rsid w:val="00AB4632"/>
    <w:rsid w:val="00AB4931"/>
    <w:rsid w:val="00AB4CA1"/>
    <w:rsid w:val="00AB58B6"/>
    <w:rsid w:val="00AB5D6C"/>
    <w:rsid w:val="00AB618E"/>
    <w:rsid w:val="00AB6A4A"/>
    <w:rsid w:val="00AB6DD3"/>
    <w:rsid w:val="00AB6E48"/>
    <w:rsid w:val="00AB7049"/>
    <w:rsid w:val="00AB72E9"/>
    <w:rsid w:val="00AB75AF"/>
    <w:rsid w:val="00AB7873"/>
    <w:rsid w:val="00AC079E"/>
    <w:rsid w:val="00AC0A06"/>
    <w:rsid w:val="00AC0A87"/>
    <w:rsid w:val="00AC144A"/>
    <w:rsid w:val="00AC1BD6"/>
    <w:rsid w:val="00AC272A"/>
    <w:rsid w:val="00AC325B"/>
    <w:rsid w:val="00AC3B41"/>
    <w:rsid w:val="00AC40EC"/>
    <w:rsid w:val="00AC413E"/>
    <w:rsid w:val="00AC4CE7"/>
    <w:rsid w:val="00AC57E1"/>
    <w:rsid w:val="00AC67A2"/>
    <w:rsid w:val="00AC7730"/>
    <w:rsid w:val="00AD032D"/>
    <w:rsid w:val="00AD094D"/>
    <w:rsid w:val="00AD0A13"/>
    <w:rsid w:val="00AD14EE"/>
    <w:rsid w:val="00AD22D4"/>
    <w:rsid w:val="00AD303E"/>
    <w:rsid w:val="00AD4101"/>
    <w:rsid w:val="00AD4646"/>
    <w:rsid w:val="00AD4A17"/>
    <w:rsid w:val="00AD4EB4"/>
    <w:rsid w:val="00AD5C7B"/>
    <w:rsid w:val="00AD63C0"/>
    <w:rsid w:val="00AD6CBB"/>
    <w:rsid w:val="00AD6CF6"/>
    <w:rsid w:val="00AD74A6"/>
    <w:rsid w:val="00AE0D19"/>
    <w:rsid w:val="00AE1761"/>
    <w:rsid w:val="00AE1C56"/>
    <w:rsid w:val="00AE1F85"/>
    <w:rsid w:val="00AE237A"/>
    <w:rsid w:val="00AE311B"/>
    <w:rsid w:val="00AE39E1"/>
    <w:rsid w:val="00AE41F5"/>
    <w:rsid w:val="00AE482A"/>
    <w:rsid w:val="00AE484F"/>
    <w:rsid w:val="00AE538A"/>
    <w:rsid w:val="00AE6F3F"/>
    <w:rsid w:val="00AE6F92"/>
    <w:rsid w:val="00AE70CF"/>
    <w:rsid w:val="00AE7F94"/>
    <w:rsid w:val="00AF05D4"/>
    <w:rsid w:val="00AF0663"/>
    <w:rsid w:val="00AF31F8"/>
    <w:rsid w:val="00AF4004"/>
    <w:rsid w:val="00AF47BE"/>
    <w:rsid w:val="00AF6769"/>
    <w:rsid w:val="00AF6DA7"/>
    <w:rsid w:val="00AF6FAC"/>
    <w:rsid w:val="00AF70C8"/>
    <w:rsid w:val="00AF7E04"/>
    <w:rsid w:val="00B00105"/>
    <w:rsid w:val="00B00502"/>
    <w:rsid w:val="00B00B48"/>
    <w:rsid w:val="00B01AC9"/>
    <w:rsid w:val="00B028FA"/>
    <w:rsid w:val="00B0296D"/>
    <w:rsid w:val="00B03D03"/>
    <w:rsid w:val="00B042C5"/>
    <w:rsid w:val="00B04838"/>
    <w:rsid w:val="00B04EF5"/>
    <w:rsid w:val="00B050EC"/>
    <w:rsid w:val="00B05413"/>
    <w:rsid w:val="00B05AC4"/>
    <w:rsid w:val="00B05B5B"/>
    <w:rsid w:val="00B079BE"/>
    <w:rsid w:val="00B07D8E"/>
    <w:rsid w:val="00B10596"/>
    <w:rsid w:val="00B105CD"/>
    <w:rsid w:val="00B10C27"/>
    <w:rsid w:val="00B128B4"/>
    <w:rsid w:val="00B1370B"/>
    <w:rsid w:val="00B13B9B"/>
    <w:rsid w:val="00B13C0F"/>
    <w:rsid w:val="00B1402E"/>
    <w:rsid w:val="00B1468E"/>
    <w:rsid w:val="00B15200"/>
    <w:rsid w:val="00B1595B"/>
    <w:rsid w:val="00B20FE4"/>
    <w:rsid w:val="00B21DF9"/>
    <w:rsid w:val="00B21F70"/>
    <w:rsid w:val="00B22485"/>
    <w:rsid w:val="00B22906"/>
    <w:rsid w:val="00B24024"/>
    <w:rsid w:val="00B244D0"/>
    <w:rsid w:val="00B24FA6"/>
    <w:rsid w:val="00B25BA2"/>
    <w:rsid w:val="00B25F18"/>
    <w:rsid w:val="00B261C1"/>
    <w:rsid w:val="00B262F3"/>
    <w:rsid w:val="00B274C9"/>
    <w:rsid w:val="00B27AE4"/>
    <w:rsid w:val="00B305E6"/>
    <w:rsid w:val="00B30B50"/>
    <w:rsid w:val="00B3187E"/>
    <w:rsid w:val="00B32343"/>
    <w:rsid w:val="00B32771"/>
    <w:rsid w:val="00B3322B"/>
    <w:rsid w:val="00B33783"/>
    <w:rsid w:val="00B353D1"/>
    <w:rsid w:val="00B366DF"/>
    <w:rsid w:val="00B368C7"/>
    <w:rsid w:val="00B36F7E"/>
    <w:rsid w:val="00B40026"/>
    <w:rsid w:val="00B400F2"/>
    <w:rsid w:val="00B40181"/>
    <w:rsid w:val="00B41F98"/>
    <w:rsid w:val="00B42967"/>
    <w:rsid w:val="00B43982"/>
    <w:rsid w:val="00B45022"/>
    <w:rsid w:val="00B4504B"/>
    <w:rsid w:val="00B4523C"/>
    <w:rsid w:val="00B46462"/>
    <w:rsid w:val="00B47126"/>
    <w:rsid w:val="00B47369"/>
    <w:rsid w:val="00B47811"/>
    <w:rsid w:val="00B50495"/>
    <w:rsid w:val="00B50C5E"/>
    <w:rsid w:val="00B5186B"/>
    <w:rsid w:val="00B54A2A"/>
    <w:rsid w:val="00B565F4"/>
    <w:rsid w:val="00B56648"/>
    <w:rsid w:val="00B56A3D"/>
    <w:rsid w:val="00B56D72"/>
    <w:rsid w:val="00B57625"/>
    <w:rsid w:val="00B579F7"/>
    <w:rsid w:val="00B60520"/>
    <w:rsid w:val="00B608F3"/>
    <w:rsid w:val="00B610B0"/>
    <w:rsid w:val="00B61198"/>
    <w:rsid w:val="00B61AE0"/>
    <w:rsid w:val="00B63004"/>
    <w:rsid w:val="00B63E71"/>
    <w:rsid w:val="00B640AB"/>
    <w:rsid w:val="00B6560F"/>
    <w:rsid w:val="00B65D58"/>
    <w:rsid w:val="00B660D9"/>
    <w:rsid w:val="00B6639D"/>
    <w:rsid w:val="00B665DB"/>
    <w:rsid w:val="00B676FA"/>
    <w:rsid w:val="00B67A39"/>
    <w:rsid w:val="00B70088"/>
    <w:rsid w:val="00B7038C"/>
    <w:rsid w:val="00B70875"/>
    <w:rsid w:val="00B71ABC"/>
    <w:rsid w:val="00B71B99"/>
    <w:rsid w:val="00B7262A"/>
    <w:rsid w:val="00B726E1"/>
    <w:rsid w:val="00B7500A"/>
    <w:rsid w:val="00B7524E"/>
    <w:rsid w:val="00B75498"/>
    <w:rsid w:val="00B75779"/>
    <w:rsid w:val="00B757E1"/>
    <w:rsid w:val="00B758D1"/>
    <w:rsid w:val="00B762AD"/>
    <w:rsid w:val="00B76FD4"/>
    <w:rsid w:val="00B773D2"/>
    <w:rsid w:val="00B77745"/>
    <w:rsid w:val="00B777D8"/>
    <w:rsid w:val="00B778EC"/>
    <w:rsid w:val="00B77E03"/>
    <w:rsid w:val="00B80ADD"/>
    <w:rsid w:val="00B80AE2"/>
    <w:rsid w:val="00B80B67"/>
    <w:rsid w:val="00B8229D"/>
    <w:rsid w:val="00B8260F"/>
    <w:rsid w:val="00B8319C"/>
    <w:rsid w:val="00B83E6F"/>
    <w:rsid w:val="00B84FB4"/>
    <w:rsid w:val="00B852A1"/>
    <w:rsid w:val="00B853DB"/>
    <w:rsid w:val="00B857E0"/>
    <w:rsid w:val="00B85A31"/>
    <w:rsid w:val="00B85C15"/>
    <w:rsid w:val="00B85FDD"/>
    <w:rsid w:val="00B8612C"/>
    <w:rsid w:val="00B86493"/>
    <w:rsid w:val="00B86BAB"/>
    <w:rsid w:val="00B87752"/>
    <w:rsid w:val="00B8780D"/>
    <w:rsid w:val="00B87838"/>
    <w:rsid w:val="00B9009D"/>
    <w:rsid w:val="00B90306"/>
    <w:rsid w:val="00B907AD"/>
    <w:rsid w:val="00B915B9"/>
    <w:rsid w:val="00B91823"/>
    <w:rsid w:val="00B92160"/>
    <w:rsid w:val="00B925DE"/>
    <w:rsid w:val="00B93952"/>
    <w:rsid w:val="00B9396F"/>
    <w:rsid w:val="00B93CE6"/>
    <w:rsid w:val="00B952AD"/>
    <w:rsid w:val="00B953BE"/>
    <w:rsid w:val="00B95F6A"/>
    <w:rsid w:val="00B96297"/>
    <w:rsid w:val="00B963CF"/>
    <w:rsid w:val="00B96488"/>
    <w:rsid w:val="00B96829"/>
    <w:rsid w:val="00B96C51"/>
    <w:rsid w:val="00B97AC7"/>
    <w:rsid w:val="00BA030E"/>
    <w:rsid w:val="00BA037D"/>
    <w:rsid w:val="00BA0D76"/>
    <w:rsid w:val="00BA0E6F"/>
    <w:rsid w:val="00BA1B58"/>
    <w:rsid w:val="00BA24F3"/>
    <w:rsid w:val="00BA25F2"/>
    <w:rsid w:val="00BA26BD"/>
    <w:rsid w:val="00BA2C7F"/>
    <w:rsid w:val="00BA3AAD"/>
    <w:rsid w:val="00BA4017"/>
    <w:rsid w:val="00BA45B6"/>
    <w:rsid w:val="00BA52CE"/>
    <w:rsid w:val="00BA5F5B"/>
    <w:rsid w:val="00BA6195"/>
    <w:rsid w:val="00BA66D9"/>
    <w:rsid w:val="00BB004C"/>
    <w:rsid w:val="00BB078D"/>
    <w:rsid w:val="00BB10A5"/>
    <w:rsid w:val="00BB1B1C"/>
    <w:rsid w:val="00BB2ADE"/>
    <w:rsid w:val="00BB2B07"/>
    <w:rsid w:val="00BB31C4"/>
    <w:rsid w:val="00BB43F5"/>
    <w:rsid w:val="00BB4865"/>
    <w:rsid w:val="00BB49CC"/>
    <w:rsid w:val="00BB4E4B"/>
    <w:rsid w:val="00BB66DF"/>
    <w:rsid w:val="00BB695E"/>
    <w:rsid w:val="00BB7497"/>
    <w:rsid w:val="00BB7B87"/>
    <w:rsid w:val="00BB7BA4"/>
    <w:rsid w:val="00BB7D93"/>
    <w:rsid w:val="00BC28A4"/>
    <w:rsid w:val="00BC2DE9"/>
    <w:rsid w:val="00BC329F"/>
    <w:rsid w:val="00BC33EB"/>
    <w:rsid w:val="00BC4B0B"/>
    <w:rsid w:val="00BC608F"/>
    <w:rsid w:val="00BC6D9B"/>
    <w:rsid w:val="00BC7C91"/>
    <w:rsid w:val="00BC7E08"/>
    <w:rsid w:val="00BD12B9"/>
    <w:rsid w:val="00BD1A9A"/>
    <w:rsid w:val="00BD1CCA"/>
    <w:rsid w:val="00BD28C2"/>
    <w:rsid w:val="00BD362D"/>
    <w:rsid w:val="00BD36A1"/>
    <w:rsid w:val="00BD3D11"/>
    <w:rsid w:val="00BD4E2C"/>
    <w:rsid w:val="00BD5831"/>
    <w:rsid w:val="00BD6279"/>
    <w:rsid w:val="00BD63D7"/>
    <w:rsid w:val="00BD657F"/>
    <w:rsid w:val="00BD6623"/>
    <w:rsid w:val="00BD67D4"/>
    <w:rsid w:val="00BD6A6D"/>
    <w:rsid w:val="00BD6DF1"/>
    <w:rsid w:val="00BD7505"/>
    <w:rsid w:val="00BD7AC6"/>
    <w:rsid w:val="00BE0FA4"/>
    <w:rsid w:val="00BE1F46"/>
    <w:rsid w:val="00BE2B59"/>
    <w:rsid w:val="00BE3081"/>
    <w:rsid w:val="00BE31C5"/>
    <w:rsid w:val="00BE4E4B"/>
    <w:rsid w:val="00BE4FA2"/>
    <w:rsid w:val="00BE58C7"/>
    <w:rsid w:val="00BE5EF1"/>
    <w:rsid w:val="00BE606B"/>
    <w:rsid w:val="00BE6326"/>
    <w:rsid w:val="00BE702A"/>
    <w:rsid w:val="00BE7DB9"/>
    <w:rsid w:val="00BF06AB"/>
    <w:rsid w:val="00BF079D"/>
    <w:rsid w:val="00BF0DC9"/>
    <w:rsid w:val="00BF13BB"/>
    <w:rsid w:val="00BF38E2"/>
    <w:rsid w:val="00BF4AEF"/>
    <w:rsid w:val="00BF4D8E"/>
    <w:rsid w:val="00BF5C23"/>
    <w:rsid w:val="00BF7D96"/>
    <w:rsid w:val="00C029D0"/>
    <w:rsid w:val="00C0305E"/>
    <w:rsid w:val="00C03CA6"/>
    <w:rsid w:val="00C04200"/>
    <w:rsid w:val="00C04DC8"/>
    <w:rsid w:val="00C05041"/>
    <w:rsid w:val="00C06272"/>
    <w:rsid w:val="00C064C3"/>
    <w:rsid w:val="00C06620"/>
    <w:rsid w:val="00C071B3"/>
    <w:rsid w:val="00C073A7"/>
    <w:rsid w:val="00C10074"/>
    <w:rsid w:val="00C10CEC"/>
    <w:rsid w:val="00C10F58"/>
    <w:rsid w:val="00C11C74"/>
    <w:rsid w:val="00C1201A"/>
    <w:rsid w:val="00C1266B"/>
    <w:rsid w:val="00C12B4F"/>
    <w:rsid w:val="00C12B62"/>
    <w:rsid w:val="00C13B0C"/>
    <w:rsid w:val="00C14C46"/>
    <w:rsid w:val="00C14EC7"/>
    <w:rsid w:val="00C1559F"/>
    <w:rsid w:val="00C167F2"/>
    <w:rsid w:val="00C1740A"/>
    <w:rsid w:val="00C17795"/>
    <w:rsid w:val="00C2085A"/>
    <w:rsid w:val="00C21471"/>
    <w:rsid w:val="00C218C3"/>
    <w:rsid w:val="00C21E5C"/>
    <w:rsid w:val="00C21F06"/>
    <w:rsid w:val="00C22E3B"/>
    <w:rsid w:val="00C232C4"/>
    <w:rsid w:val="00C24581"/>
    <w:rsid w:val="00C248BC"/>
    <w:rsid w:val="00C25F68"/>
    <w:rsid w:val="00C26ABD"/>
    <w:rsid w:val="00C26FB0"/>
    <w:rsid w:val="00C3039D"/>
    <w:rsid w:val="00C30C16"/>
    <w:rsid w:val="00C31324"/>
    <w:rsid w:val="00C31EC1"/>
    <w:rsid w:val="00C320A9"/>
    <w:rsid w:val="00C3246C"/>
    <w:rsid w:val="00C3269D"/>
    <w:rsid w:val="00C328EC"/>
    <w:rsid w:val="00C33A17"/>
    <w:rsid w:val="00C33EC8"/>
    <w:rsid w:val="00C34A0C"/>
    <w:rsid w:val="00C36976"/>
    <w:rsid w:val="00C36CBB"/>
    <w:rsid w:val="00C370C1"/>
    <w:rsid w:val="00C37931"/>
    <w:rsid w:val="00C407F2"/>
    <w:rsid w:val="00C40D9B"/>
    <w:rsid w:val="00C422BE"/>
    <w:rsid w:val="00C42659"/>
    <w:rsid w:val="00C427E6"/>
    <w:rsid w:val="00C427FA"/>
    <w:rsid w:val="00C431E9"/>
    <w:rsid w:val="00C445A7"/>
    <w:rsid w:val="00C44F5A"/>
    <w:rsid w:val="00C45772"/>
    <w:rsid w:val="00C46156"/>
    <w:rsid w:val="00C46F0D"/>
    <w:rsid w:val="00C50720"/>
    <w:rsid w:val="00C50800"/>
    <w:rsid w:val="00C50C14"/>
    <w:rsid w:val="00C515FF"/>
    <w:rsid w:val="00C5198C"/>
    <w:rsid w:val="00C51A64"/>
    <w:rsid w:val="00C52D9D"/>
    <w:rsid w:val="00C52E2C"/>
    <w:rsid w:val="00C52FE0"/>
    <w:rsid w:val="00C53107"/>
    <w:rsid w:val="00C53446"/>
    <w:rsid w:val="00C53521"/>
    <w:rsid w:val="00C543B6"/>
    <w:rsid w:val="00C54ABB"/>
    <w:rsid w:val="00C55171"/>
    <w:rsid w:val="00C5606B"/>
    <w:rsid w:val="00C571F9"/>
    <w:rsid w:val="00C57F76"/>
    <w:rsid w:val="00C602AF"/>
    <w:rsid w:val="00C6099C"/>
    <w:rsid w:val="00C60A6B"/>
    <w:rsid w:val="00C6127F"/>
    <w:rsid w:val="00C6191D"/>
    <w:rsid w:val="00C62724"/>
    <w:rsid w:val="00C6292E"/>
    <w:rsid w:val="00C62C1F"/>
    <w:rsid w:val="00C6380C"/>
    <w:rsid w:val="00C63B02"/>
    <w:rsid w:val="00C63F1B"/>
    <w:rsid w:val="00C6537D"/>
    <w:rsid w:val="00C660EA"/>
    <w:rsid w:val="00C66207"/>
    <w:rsid w:val="00C66EC9"/>
    <w:rsid w:val="00C70AAF"/>
    <w:rsid w:val="00C73228"/>
    <w:rsid w:val="00C7377F"/>
    <w:rsid w:val="00C737B2"/>
    <w:rsid w:val="00C737FB"/>
    <w:rsid w:val="00C73ABA"/>
    <w:rsid w:val="00C73B43"/>
    <w:rsid w:val="00C746B0"/>
    <w:rsid w:val="00C749A7"/>
    <w:rsid w:val="00C7504C"/>
    <w:rsid w:val="00C75A31"/>
    <w:rsid w:val="00C767A0"/>
    <w:rsid w:val="00C76D49"/>
    <w:rsid w:val="00C776B1"/>
    <w:rsid w:val="00C80272"/>
    <w:rsid w:val="00C8089A"/>
    <w:rsid w:val="00C82BFA"/>
    <w:rsid w:val="00C85A51"/>
    <w:rsid w:val="00C85AF1"/>
    <w:rsid w:val="00C85C48"/>
    <w:rsid w:val="00C86871"/>
    <w:rsid w:val="00C8687D"/>
    <w:rsid w:val="00C87793"/>
    <w:rsid w:val="00C87DEE"/>
    <w:rsid w:val="00C922C0"/>
    <w:rsid w:val="00C92C08"/>
    <w:rsid w:val="00C933C1"/>
    <w:rsid w:val="00C934FA"/>
    <w:rsid w:val="00C93FE9"/>
    <w:rsid w:val="00C94881"/>
    <w:rsid w:val="00C96D14"/>
    <w:rsid w:val="00CA02E2"/>
    <w:rsid w:val="00CA0B26"/>
    <w:rsid w:val="00CA12FA"/>
    <w:rsid w:val="00CA2149"/>
    <w:rsid w:val="00CA2310"/>
    <w:rsid w:val="00CA23B3"/>
    <w:rsid w:val="00CA2F0E"/>
    <w:rsid w:val="00CA3EAB"/>
    <w:rsid w:val="00CA4164"/>
    <w:rsid w:val="00CA47BA"/>
    <w:rsid w:val="00CA4D29"/>
    <w:rsid w:val="00CA6303"/>
    <w:rsid w:val="00CB01A3"/>
    <w:rsid w:val="00CB22B5"/>
    <w:rsid w:val="00CB293B"/>
    <w:rsid w:val="00CB38BF"/>
    <w:rsid w:val="00CB39E7"/>
    <w:rsid w:val="00CB41C6"/>
    <w:rsid w:val="00CB42D0"/>
    <w:rsid w:val="00CB5152"/>
    <w:rsid w:val="00CB62BE"/>
    <w:rsid w:val="00CC0741"/>
    <w:rsid w:val="00CC0E90"/>
    <w:rsid w:val="00CC28A1"/>
    <w:rsid w:val="00CC30DC"/>
    <w:rsid w:val="00CC3711"/>
    <w:rsid w:val="00CC42B9"/>
    <w:rsid w:val="00CC612A"/>
    <w:rsid w:val="00CC61BE"/>
    <w:rsid w:val="00CC7561"/>
    <w:rsid w:val="00CC7B3B"/>
    <w:rsid w:val="00CC7CC4"/>
    <w:rsid w:val="00CD05FD"/>
    <w:rsid w:val="00CD0E68"/>
    <w:rsid w:val="00CD14FD"/>
    <w:rsid w:val="00CD23FB"/>
    <w:rsid w:val="00CD3089"/>
    <w:rsid w:val="00CD31AD"/>
    <w:rsid w:val="00CD3CB5"/>
    <w:rsid w:val="00CD5223"/>
    <w:rsid w:val="00CD5BC2"/>
    <w:rsid w:val="00CD6850"/>
    <w:rsid w:val="00CD6987"/>
    <w:rsid w:val="00CD795D"/>
    <w:rsid w:val="00CE1D5D"/>
    <w:rsid w:val="00CE1FE4"/>
    <w:rsid w:val="00CE292A"/>
    <w:rsid w:val="00CE367C"/>
    <w:rsid w:val="00CE4540"/>
    <w:rsid w:val="00CE4E80"/>
    <w:rsid w:val="00CE55BC"/>
    <w:rsid w:val="00CE6047"/>
    <w:rsid w:val="00CE75BC"/>
    <w:rsid w:val="00CF0930"/>
    <w:rsid w:val="00CF1080"/>
    <w:rsid w:val="00CF10C1"/>
    <w:rsid w:val="00CF18C8"/>
    <w:rsid w:val="00CF29AF"/>
    <w:rsid w:val="00CF2A5D"/>
    <w:rsid w:val="00CF35C4"/>
    <w:rsid w:val="00CF3698"/>
    <w:rsid w:val="00CF4E84"/>
    <w:rsid w:val="00CF5203"/>
    <w:rsid w:val="00CF56E1"/>
    <w:rsid w:val="00CF6CE4"/>
    <w:rsid w:val="00CF7735"/>
    <w:rsid w:val="00CF7A67"/>
    <w:rsid w:val="00D00B0D"/>
    <w:rsid w:val="00D01571"/>
    <w:rsid w:val="00D02258"/>
    <w:rsid w:val="00D0226A"/>
    <w:rsid w:val="00D02CBD"/>
    <w:rsid w:val="00D033AB"/>
    <w:rsid w:val="00D04BDF"/>
    <w:rsid w:val="00D051B1"/>
    <w:rsid w:val="00D0591B"/>
    <w:rsid w:val="00D063E9"/>
    <w:rsid w:val="00D06A14"/>
    <w:rsid w:val="00D06F87"/>
    <w:rsid w:val="00D07241"/>
    <w:rsid w:val="00D073FA"/>
    <w:rsid w:val="00D0780A"/>
    <w:rsid w:val="00D10260"/>
    <w:rsid w:val="00D102E3"/>
    <w:rsid w:val="00D11184"/>
    <w:rsid w:val="00D11BFC"/>
    <w:rsid w:val="00D11FEC"/>
    <w:rsid w:val="00D12142"/>
    <w:rsid w:val="00D12C1C"/>
    <w:rsid w:val="00D13136"/>
    <w:rsid w:val="00D131D9"/>
    <w:rsid w:val="00D13FBF"/>
    <w:rsid w:val="00D13FC3"/>
    <w:rsid w:val="00D143CA"/>
    <w:rsid w:val="00D14A45"/>
    <w:rsid w:val="00D15F12"/>
    <w:rsid w:val="00D172F0"/>
    <w:rsid w:val="00D21599"/>
    <w:rsid w:val="00D219DF"/>
    <w:rsid w:val="00D229F9"/>
    <w:rsid w:val="00D24371"/>
    <w:rsid w:val="00D24E44"/>
    <w:rsid w:val="00D30096"/>
    <w:rsid w:val="00D30763"/>
    <w:rsid w:val="00D31393"/>
    <w:rsid w:val="00D32591"/>
    <w:rsid w:val="00D32F3C"/>
    <w:rsid w:val="00D332E0"/>
    <w:rsid w:val="00D33A34"/>
    <w:rsid w:val="00D34C34"/>
    <w:rsid w:val="00D354CB"/>
    <w:rsid w:val="00D35786"/>
    <w:rsid w:val="00D36F6D"/>
    <w:rsid w:val="00D374EE"/>
    <w:rsid w:val="00D37BE0"/>
    <w:rsid w:val="00D37DAB"/>
    <w:rsid w:val="00D40366"/>
    <w:rsid w:val="00D40BE3"/>
    <w:rsid w:val="00D411EC"/>
    <w:rsid w:val="00D412F0"/>
    <w:rsid w:val="00D42626"/>
    <w:rsid w:val="00D42C37"/>
    <w:rsid w:val="00D42F01"/>
    <w:rsid w:val="00D43568"/>
    <w:rsid w:val="00D4387E"/>
    <w:rsid w:val="00D447AE"/>
    <w:rsid w:val="00D451A5"/>
    <w:rsid w:val="00D45E55"/>
    <w:rsid w:val="00D462EA"/>
    <w:rsid w:val="00D467DE"/>
    <w:rsid w:val="00D46DAA"/>
    <w:rsid w:val="00D47CBE"/>
    <w:rsid w:val="00D50609"/>
    <w:rsid w:val="00D50D6D"/>
    <w:rsid w:val="00D51738"/>
    <w:rsid w:val="00D51E6E"/>
    <w:rsid w:val="00D523E4"/>
    <w:rsid w:val="00D53BA3"/>
    <w:rsid w:val="00D544F9"/>
    <w:rsid w:val="00D554D3"/>
    <w:rsid w:val="00D55861"/>
    <w:rsid w:val="00D55AEC"/>
    <w:rsid w:val="00D55D68"/>
    <w:rsid w:val="00D55EB2"/>
    <w:rsid w:val="00D55EE2"/>
    <w:rsid w:val="00D5710D"/>
    <w:rsid w:val="00D574E6"/>
    <w:rsid w:val="00D57E65"/>
    <w:rsid w:val="00D609C8"/>
    <w:rsid w:val="00D617AE"/>
    <w:rsid w:val="00D61986"/>
    <w:rsid w:val="00D61DC0"/>
    <w:rsid w:val="00D621F1"/>
    <w:rsid w:val="00D62AB6"/>
    <w:rsid w:val="00D64511"/>
    <w:rsid w:val="00D64EB4"/>
    <w:rsid w:val="00D7097E"/>
    <w:rsid w:val="00D71425"/>
    <w:rsid w:val="00D71553"/>
    <w:rsid w:val="00D717F6"/>
    <w:rsid w:val="00D71CDC"/>
    <w:rsid w:val="00D71FDA"/>
    <w:rsid w:val="00D72348"/>
    <w:rsid w:val="00D72A62"/>
    <w:rsid w:val="00D72DBB"/>
    <w:rsid w:val="00D72FBD"/>
    <w:rsid w:val="00D734D1"/>
    <w:rsid w:val="00D735F3"/>
    <w:rsid w:val="00D74E65"/>
    <w:rsid w:val="00D7523B"/>
    <w:rsid w:val="00D754D7"/>
    <w:rsid w:val="00D75822"/>
    <w:rsid w:val="00D75C13"/>
    <w:rsid w:val="00D75D43"/>
    <w:rsid w:val="00D7611A"/>
    <w:rsid w:val="00D771A4"/>
    <w:rsid w:val="00D77238"/>
    <w:rsid w:val="00D80653"/>
    <w:rsid w:val="00D80735"/>
    <w:rsid w:val="00D83089"/>
    <w:rsid w:val="00D83642"/>
    <w:rsid w:val="00D83CDC"/>
    <w:rsid w:val="00D85C6F"/>
    <w:rsid w:val="00D86852"/>
    <w:rsid w:val="00D87C17"/>
    <w:rsid w:val="00D902E4"/>
    <w:rsid w:val="00D90840"/>
    <w:rsid w:val="00D90F67"/>
    <w:rsid w:val="00D91062"/>
    <w:rsid w:val="00D916E9"/>
    <w:rsid w:val="00D91D02"/>
    <w:rsid w:val="00D91F81"/>
    <w:rsid w:val="00D92402"/>
    <w:rsid w:val="00D928B1"/>
    <w:rsid w:val="00D92F15"/>
    <w:rsid w:val="00D947CE"/>
    <w:rsid w:val="00D965DB"/>
    <w:rsid w:val="00D96724"/>
    <w:rsid w:val="00DA0F4B"/>
    <w:rsid w:val="00DA2544"/>
    <w:rsid w:val="00DA3A1B"/>
    <w:rsid w:val="00DA3EF3"/>
    <w:rsid w:val="00DA40AC"/>
    <w:rsid w:val="00DA440C"/>
    <w:rsid w:val="00DA4451"/>
    <w:rsid w:val="00DA5751"/>
    <w:rsid w:val="00DA5DB5"/>
    <w:rsid w:val="00DA6DF4"/>
    <w:rsid w:val="00DA7BBC"/>
    <w:rsid w:val="00DB0F0F"/>
    <w:rsid w:val="00DB14C3"/>
    <w:rsid w:val="00DB14C8"/>
    <w:rsid w:val="00DB21B9"/>
    <w:rsid w:val="00DB26B9"/>
    <w:rsid w:val="00DB2BAF"/>
    <w:rsid w:val="00DB30AC"/>
    <w:rsid w:val="00DB34DD"/>
    <w:rsid w:val="00DB3951"/>
    <w:rsid w:val="00DB3D00"/>
    <w:rsid w:val="00DB3DB1"/>
    <w:rsid w:val="00DB48E1"/>
    <w:rsid w:val="00DB4A3C"/>
    <w:rsid w:val="00DB4E9A"/>
    <w:rsid w:val="00DB56D9"/>
    <w:rsid w:val="00DB5FA6"/>
    <w:rsid w:val="00DB7315"/>
    <w:rsid w:val="00DB7F0B"/>
    <w:rsid w:val="00DC0541"/>
    <w:rsid w:val="00DC2AF3"/>
    <w:rsid w:val="00DC321B"/>
    <w:rsid w:val="00DC46FA"/>
    <w:rsid w:val="00DC4847"/>
    <w:rsid w:val="00DC4949"/>
    <w:rsid w:val="00DC4D2D"/>
    <w:rsid w:val="00DC4DB6"/>
    <w:rsid w:val="00DC5CF4"/>
    <w:rsid w:val="00DC607D"/>
    <w:rsid w:val="00DC6695"/>
    <w:rsid w:val="00DC7878"/>
    <w:rsid w:val="00DC7D84"/>
    <w:rsid w:val="00DC7E22"/>
    <w:rsid w:val="00DD01B5"/>
    <w:rsid w:val="00DD01F5"/>
    <w:rsid w:val="00DD0B80"/>
    <w:rsid w:val="00DD2881"/>
    <w:rsid w:val="00DD2B1D"/>
    <w:rsid w:val="00DD2F12"/>
    <w:rsid w:val="00DD358E"/>
    <w:rsid w:val="00DD4061"/>
    <w:rsid w:val="00DD4A99"/>
    <w:rsid w:val="00DD5725"/>
    <w:rsid w:val="00DE08F4"/>
    <w:rsid w:val="00DE12B7"/>
    <w:rsid w:val="00DE1ACC"/>
    <w:rsid w:val="00DE1F7E"/>
    <w:rsid w:val="00DE2921"/>
    <w:rsid w:val="00DE2D58"/>
    <w:rsid w:val="00DE2FD0"/>
    <w:rsid w:val="00DE3394"/>
    <w:rsid w:val="00DE3DE8"/>
    <w:rsid w:val="00DE482B"/>
    <w:rsid w:val="00DE4C4C"/>
    <w:rsid w:val="00DE5755"/>
    <w:rsid w:val="00DE719A"/>
    <w:rsid w:val="00DE7296"/>
    <w:rsid w:val="00DE760A"/>
    <w:rsid w:val="00DE774F"/>
    <w:rsid w:val="00DF02D7"/>
    <w:rsid w:val="00DF07D6"/>
    <w:rsid w:val="00DF080F"/>
    <w:rsid w:val="00DF0BD9"/>
    <w:rsid w:val="00DF1BB0"/>
    <w:rsid w:val="00DF229A"/>
    <w:rsid w:val="00DF2D9A"/>
    <w:rsid w:val="00DF3ABC"/>
    <w:rsid w:val="00DF3FBE"/>
    <w:rsid w:val="00DF5A4C"/>
    <w:rsid w:val="00DF784F"/>
    <w:rsid w:val="00E00A3D"/>
    <w:rsid w:val="00E01281"/>
    <w:rsid w:val="00E018FE"/>
    <w:rsid w:val="00E020F9"/>
    <w:rsid w:val="00E0222F"/>
    <w:rsid w:val="00E027BD"/>
    <w:rsid w:val="00E027EB"/>
    <w:rsid w:val="00E03BD4"/>
    <w:rsid w:val="00E03FB7"/>
    <w:rsid w:val="00E048FA"/>
    <w:rsid w:val="00E04E00"/>
    <w:rsid w:val="00E052B6"/>
    <w:rsid w:val="00E05B4D"/>
    <w:rsid w:val="00E067E8"/>
    <w:rsid w:val="00E07003"/>
    <w:rsid w:val="00E0711F"/>
    <w:rsid w:val="00E073C2"/>
    <w:rsid w:val="00E100BD"/>
    <w:rsid w:val="00E10299"/>
    <w:rsid w:val="00E117E9"/>
    <w:rsid w:val="00E12BB5"/>
    <w:rsid w:val="00E12BB7"/>
    <w:rsid w:val="00E12C7C"/>
    <w:rsid w:val="00E12E12"/>
    <w:rsid w:val="00E13D51"/>
    <w:rsid w:val="00E142B5"/>
    <w:rsid w:val="00E1484D"/>
    <w:rsid w:val="00E15B67"/>
    <w:rsid w:val="00E1691C"/>
    <w:rsid w:val="00E171D2"/>
    <w:rsid w:val="00E21AAE"/>
    <w:rsid w:val="00E2325E"/>
    <w:rsid w:val="00E23311"/>
    <w:rsid w:val="00E2392E"/>
    <w:rsid w:val="00E23F00"/>
    <w:rsid w:val="00E24403"/>
    <w:rsid w:val="00E244E7"/>
    <w:rsid w:val="00E24682"/>
    <w:rsid w:val="00E25189"/>
    <w:rsid w:val="00E2704F"/>
    <w:rsid w:val="00E27971"/>
    <w:rsid w:val="00E27A12"/>
    <w:rsid w:val="00E31394"/>
    <w:rsid w:val="00E318AE"/>
    <w:rsid w:val="00E31E9B"/>
    <w:rsid w:val="00E31EA6"/>
    <w:rsid w:val="00E327AE"/>
    <w:rsid w:val="00E3289C"/>
    <w:rsid w:val="00E331B4"/>
    <w:rsid w:val="00E3378C"/>
    <w:rsid w:val="00E339F7"/>
    <w:rsid w:val="00E35BD7"/>
    <w:rsid w:val="00E35F03"/>
    <w:rsid w:val="00E366D2"/>
    <w:rsid w:val="00E3752A"/>
    <w:rsid w:val="00E37774"/>
    <w:rsid w:val="00E37E72"/>
    <w:rsid w:val="00E409DE"/>
    <w:rsid w:val="00E417DB"/>
    <w:rsid w:val="00E42A8D"/>
    <w:rsid w:val="00E43E0C"/>
    <w:rsid w:val="00E450AF"/>
    <w:rsid w:val="00E4707A"/>
    <w:rsid w:val="00E474CC"/>
    <w:rsid w:val="00E47A50"/>
    <w:rsid w:val="00E47BC5"/>
    <w:rsid w:val="00E47F31"/>
    <w:rsid w:val="00E50436"/>
    <w:rsid w:val="00E50F78"/>
    <w:rsid w:val="00E512F9"/>
    <w:rsid w:val="00E51988"/>
    <w:rsid w:val="00E51DF0"/>
    <w:rsid w:val="00E51ED3"/>
    <w:rsid w:val="00E530DC"/>
    <w:rsid w:val="00E5358F"/>
    <w:rsid w:val="00E53646"/>
    <w:rsid w:val="00E537E6"/>
    <w:rsid w:val="00E53ADB"/>
    <w:rsid w:val="00E543E1"/>
    <w:rsid w:val="00E545A3"/>
    <w:rsid w:val="00E5562E"/>
    <w:rsid w:val="00E556AF"/>
    <w:rsid w:val="00E55E1E"/>
    <w:rsid w:val="00E55EB6"/>
    <w:rsid w:val="00E5628B"/>
    <w:rsid w:val="00E565F2"/>
    <w:rsid w:val="00E56AF7"/>
    <w:rsid w:val="00E56C15"/>
    <w:rsid w:val="00E574D9"/>
    <w:rsid w:val="00E5799A"/>
    <w:rsid w:val="00E57E57"/>
    <w:rsid w:val="00E57F69"/>
    <w:rsid w:val="00E60151"/>
    <w:rsid w:val="00E60E54"/>
    <w:rsid w:val="00E61B7E"/>
    <w:rsid w:val="00E6357C"/>
    <w:rsid w:val="00E6402E"/>
    <w:rsid w:val="00E64ACA"/>
    <w:rsid w:val="00E64E93"/>
    <w:rsid w:val="00E64E96"/>
    <w:rsid w:val="00E65D0F"/>
    <w:rsid w:val="00E66BE3"/>
    <w:rsid w:val="00E71270"/>
    <w:rsid w:val="00E748B2"/>
    <w:rsid w:val="00E74C46"/>
    <w:rsid w:val="00E74CB2"/>
    <w:rsid w:val="00E75553"/>
    <w:rsid w:val="00E7564E"/>
    <w:rsid w:val="00E76D57"/>
    <w:rsid w:val="00E76D62"/>
    <w:rsid w:val="00E80DFC"/>
    <w:rsid w:val="00E827EE"/>
    <w:rsid w:val="00E84024"/>
    <w:rsid w:val="00E84C93"/>
    <w:rsid w:val="00E853F6"/>
    <w:rsid w:val="00E858B4"/>
    <w:rsid w:val="00E8597E"/>
    <w:rsid w:val="00E87544"/>
    <w:rsid w:val="00E87965"/>
    <w:rsid w:val="00E87D99"/>
    <w:rsid w:val="00E9046E"/>
    <w:rsid w:val="00E91AE4"/>
    <w:rsid w:val="00E928D5"/>
    <w:rsid w:val="00E92CC2"/>
    <w:rsid w:val="00E92EAF"/>
    <w:rsid w:val="00E937D2"/>
    <w:rsid w:val="00E9382A"/>
    <w:rsid w:val="00E93B55"/>
    <w:rsid w:val="00E93D11"/>
    <w:rsid w:val="00E93EA1"/>
    <w:rsid w:val="00E94394"/>
    <w:rsid w:val="00E94D83"/>
    <w:rsid w:val="00E94FA3"/>
    <w:rsid w:val="00E95E08"/>
    <w:rsid w:val="00E96B96"/>
    <w:rsid w:val="00E9764E"/>
    <w:rsid w:val="00E977B8"/>
    <w:rsid w:val="00EA042D"/>
    <w:rsid w:val="00EA0B09"/>
    <w:rsid w:val="00EA10C7"/>
    <w:rsid w:val="00EA18DE"/>
    <w:rsid w:val="00EA1DA1"/>
    <w:rsid w:val="00EA3735"/>
    <w:rsid w:val="00EA40C2"/>
    <w:rsid w:val="00EA436C"/>
    <w:rsid w:val="00EA46F5"/>
    <w:rsid w:val="00EA4D06"/>
    <w:rsid w:val="00EA4D15"/>
    <w:rsid w:val="00EA54FB"/>
    <w:rsid w:val="00EA5755"/>
    <w:rsid w:val="00EA58B5"/>
    <w:rsid w:val="00EA617A"/>
    <w:rsid w:val="00EA62BD"/>
    <w:rsid w:val="00EA64A7"/>
    <w:rsid w:val="00EA660D"/>
    <w:rsid w:val="00EA6AEA"/>
    <w:rsid w:val="00EA7FB1"/>
    <w:rsid w:val="00EB0513"/>
    <w:rsid w:val="00EB1549"/>
    <w:rsid w:val="00EB199C"/>
    <w:rsid w:val="00EB2296"/>
    <w:rsid w:val="00EB23DE"/>
    <w:rsid w:val="00EB245C"/>
    <w:rsid w:val="00EB27D6"/>
    <w:rsid w:val="00EB32CA"/>
    <w:rsid w:val="00EB32DE"/>
    <w:rsid w:val="00EB3439"/>
    <w:rsid w:val="00EB3526"/>
    <w:rsid w:val="00EB3952"/>
    <w:rsid w:val="00EB428D"/>
    <w:rsid w:val="00EB4944"/>
    <w:rsid w:val="00EB5C16"/>
    <w:rsid w:val="00EB5D3E"/>
    <w:rsid w:val="00EB6A34"/>
    <w:rsid w:val="00EC11C8"/>
    <w:rsid w:val="00EC225F"/>
    <w:rsid w:val="00EC27F2"/>
    <w:rsid w:val="00EC3474"/>
    <w:rsid w:val="00EC3478"/>
    <w:rsid w:val="00EC3871"/>
    <w:rsid w:val="00EC487F"/>
    <w:rsid w:val="00EC4888"/>
    <w:rsid w:val="00EC4C30"/>
    <w:rsid w:val="00EC4D40"/>
    <w:rsid w:val="00EC5EC3"/>
    <w:rsid w:val="00EC7394"/>
    <w:rsid w:val="00EC7CA7"/>
    <w:rsid w:val="00ED025B"/>
    <w:rsid w:val="00ED0476"/>
    <w:rsid w:val="00ED28EC"/>
    <w:rsid w:val="00ED3234"/>
    <w:rsid w:val="00ED4B60"/>
    <w:rsid w:val="00ED5105"/>
    <w:rsid w:val="00ED5C66"/>
    <w:rsid w:val="00ED6467"/>
    <w:rsid w:val="00ED6D8D"/>
    <w:rsid w:val="00ED6F12"/>
    <w:rsid w:val="00EE0F1F"/>
    <w:rsid w:val="00EE1B80"/>
    <w:rsid w:val="00EE306C"/>
    <w:rsid w:val="00EE308E"/>
    <w:rsid w:val="00EE3597"/>
    <w:rsid w:val="00EE432E"/>
    <w:rsid w:val="00EE636F"/>
    <w:rsid w:val="00EE63A2"/>
    <w:rsid w:val="00EE647B"/>
    <w:rsid w:val="00EE67FF"/>
    <w:rsid w:val="00EE68CE"/>
    <w:rsid w:val="00EF02E9"/>
    <w:rsid w:val="00EF03C0"/>
    <w:rsid w:val="00EF047E"/>
    <w:rsid w:val="00EF0613"/>
    <w:rsid w:val="00EF1B58"/>
    <w:rsid w:val="00EF26E6"/>
    <w:rsid w:val="00EF3123"/>
    <w:rsid w:val="00EF325F"/>
    <w:rsid w:val="00EF3427"/>
    <w:rsid w:val="00EF3ED9"/>
    <w:rsid w:val="00EF5F9A"/>
    <w:rsid w:val="00EF6A1C"/>
    <w:rsid w:val="00EF6B9E"/>
    <w:rsid w:val="00F01E87"/>
    <w:rsid w:val="00F02672"/>
    <w:rsid w:val="00F03B29"/>
    <w:rsid w:val="00F03E7E"/>
    <w:rsid w:val="00F06D18"/>
    <w:rsid w:val="00F07CDC"/>
    <w:rsid w:val="00F10AD1"/>
    <w:rsid w:val="00F10B71"/>
    <w:rsid w:val="00F12352"/>
    <w:rsid w:val="00F12C2F"/>
    <w:rsid w:val="00F14C73"/>
    <w:rsid w:val="00F14EA4"/>
    <w:rsid w:val="00F15141"/>
    <w:rsid w:val="00F15472"/>
    <w:rsid w:val="00F15BEE"/>
    <w:rsid w:val="00F170A5"/>
    <w:rsid w:val="00F17728"/>
    <w:rsid w:val="00F209B9"/>
    <w:rsid w:val="00F21AA7"/>
    <w:rsid w:val="00F21C77"/>
    <w:rsid w:val="00F222DB"/>
    <w:rsid w:val="00F227AD"/>
    <w:rsid w:val="00F227F1"/>
    <w:rsid w:val="00F22905"/>
    <w:rsid w:val="00F2354D"/>
    <w:rsid w:val="00F243E4"/>
    <w:rsid w:val="00F24FAD"/>
    <w:rsid w:val="00F25A3B"/>
    <w:rsid w:val="00F25F48"/>
    <w:rsid w:val="00F2756C"/>
    <w:rsid w:val="00F27990"/>
    <w:rsid w:val="00F279A0"/>
    <w:rsid w:val="00F27A92"/>
    <w:rsid w:val="00F27B22"/>
    <w:rsid w:val="00F30540"/>
    <w:rsid w:val="00F30605"/>
    <w:rsid w:val="00F30D0D"/>
    <w:rsid w:val="00F312F3"/>
    <w:rsid w:val="00F314B2"/>
    <w:rsid w:val="00F31597"/>
    <w:rsid w:val="00F32A9E"/>
    <w:rsid w:val="00F32C19"/>
    <w:rsid w:val="00F33A80"/>
    <w:rsid w:val="00F33A82"/>
    <w:rsid w:val="00F34135"/>
    <w:rsid w:val="00F35DDE"/>
    <w:rsid w:val="00F36444"/>
    <w:rsid w:val="00F36752"/>
    <w:rsid w:val="00F3738C"/>
    <w:rsid w:val="00F37510"/>
    <w:rsid w:val="00F406AF"/>
    <w:rsid w:val="00F40963"/>
    <w:rsid w:val="00F40C42"/>
    <w:rsid w:val="00F41CC6"/>
    <w:rsid w:val="00F41CDF"/>
    <w:rsid w:val="00F428BE"/>
    <w:rsid w:val="00F44639"/>
    <w:rsid w:val="00F46443"/>
    <w:rsid w:val="00F46477"/>
    <w:rsid w:val="00F4672C"/>
    <w:rsid w:val="00F46F58"/>
    <w:rsid w:val="00F47867"/>
    <w:rsid w:val="00F5018E"/>
    <w:rsid w:val="00F5019F"/>
    <w:rsid w:val="00F51E6C"/>
    <w:rsid w:val="00F52C89"/>
    <w:rsid w:val="00F53099"/>
    <w:rsid w:val="00F5331D"/>
    <w:rsid w:val="00F534B4"/>
    <w:rsid w:val="00F5596C"/>
    <w:rsid w:val="00F55D88"/>
    <w:rsid w:val="00F56C12"/>
    <w:rsid w:val="00F60B12"/>
    <w:rsid w:val="00F60C11"/>
    <w:rsid w:val="00F61305"/>
    <w:rsid w:val="00F617FB"/>
    <w:rsid w:val="00F61B93"/>
    <w:rsid w:val="00F62766"/>
    <w:rsid w:val="00F6351A"/>
    <w:rsid w:val="00F65C90"/>
    <w:rsid w:val="00F66040"/>
    <w:rsid w:val="00F66173"/>
    <w:rsid w:val="00F663DE"/>
    <w:rsid w:val="00F67183"/>
    <w:rsid w:val="00F67984"/>
    <w:rsid w:val="00F67D7C"/>
    <w:rsid w:val="00F70296"/>
    <w:rsid w:val="00F708D7"/>
    <w:rsid w:val="00F70954"/>
    <w:rsid w:val="00F70C45"/>
    <w:rsid w:val="00F70CE1"/>
    <w:rsid w:val="00F71293"/>
    <w:rsid w:val="00F7153B"/>
    <w:rsid w:val="00F72BD3"/>
    <w:rsid w:val="00F739F1"/>
    <w:rsid w:val="00F74147"/>
    <w:rsid w:val="00F75D55"/>
    <w:rsid w:val="00F76475"/>
    <w:rsid w:val="00F76CA9"/>
    <w:rsid w:val="00F77A8D"/>
    <w:rsid w:val="00F77C98"/>
    <w:rsid w:val="00F805C4"/>
    <w:rsid w:val="00F83352"/>
    <w:rsid w:val="00F83B31"/>
    <w:rsid w:val="00F83D93"/>
    <w:rsid w:val="00F846D2"/>
    <w:rsid w:val="00F85019"/>
    <w:rsid w:val="00F86186"/>
    <w:rsid w:val="00F87C7B"/>
    <w:rsid w:val="00F87F5B"/>
    <w:rsid w:val="00F90498"/>
    <w:rsid w:val="00F90717"/>
    <w:rsid w:val="00F907D8"/>
    <w:rsid w:val="00F90E62"/>
    <w:rsid w:val="00F9193C"/>
    <w:rsid w:val="00F9370C"/>
    <w:rsid w:val="00F94371"/>
    <w:rsid w:val="00F94823"/>
    <w:rsid w:val="00F94A03"/>
    <w:rsid w:val="00F95125"/>
    <w:rsid w:val="00F952C9"/>
    <w:rsid w:val="00F95A01"/>
    <w:rsid w:val="00F96834"/>
    <w:rsid w:val="00FA11B9"/>
    <w:rsid w:val="00FA1704"/>
    <w:rsid w:val="00FA284D"/>
    <w:rsid w:val="00FA52BF"/>
    <w:rsid w:val="00FA5C90"/>
    <w:rsid w:val="00FA6D89"/>
    <w:rsid w:val="00FA7002"/>
    <w:rsid w:val="00FA7A1D"/>
    <w:rsid w:val="00FA7D58"/>
    <w:rsid w:val="00FB009F"/>
    <w:rsid w:val="00FB0304"/>
    <w:rsid w:val="00FB05C4"/>
    <w:rsid w:val="00FB06BC"/>
    <w:rsid w:val="00FB0E21"/>
    <w:rsid w:val="00FB0E83"/>
    <w:rsid w:val="00FB13A6"/>
    <w:rsid w:val="00FB275B"/>
    <w:rsid w:val="00FB2E88"/>
    <w:rsid w:val="00FB3AF8"/>
    <w:rsid w:val="00FB3CAA"/>
    <w:rsid w:val="00FB4D6C"/>
    <w:rsid w:val="00FB54CF"/>
    <w:rsid w:val="00FB5CA5"/>
    <w:rsid w:val="00FB5FA0"/>
    <w:rsid w:val="00FB6B79"/>
    <w:rsid w:val="00FB7641"/>
    <w:rsid w:val="00FB7B4A"/>
    <w:rsid w:val="00FB7B8A"/>
    <w:rsid w:val="00FC0D00"/>
    <w:rsid w:val="00FC178B"/>
    <w:rsid w:val="00FC195A"/>
    <w:rsid w:val="00FC2299"/>
    <w:rsid w:val="00FC2DF6"/>
    <w:rsid w:val="00FC3347"/>
    <w:rsid w:val="00FC35FF"/>
    <w:rsid w:val="00FC4D9D"/>
    <w:rsid w:val="00FC4F6E"/>
    <w:rsid w:val="00FC5493"/>
    <w:rsid w:val="00FC57B3"/>
    <w:rsid w:val="00FC6196"/>
    <w:rsid w:val="00FC7D4C"/>
    <w:rsid w:val="00FD0A89"/>
    <w:rsid w:val="00FD1574"/>
    <w:rsid w:val="00FD16AA"/>
    <w:rsid w:val="00FD36E7"/>
    <w:rsid w:val="00FD4014"/>
    <w:rsid w:val="00FD4390"/>
    <w:rsid w:val="00FD4FC9"/>
    <w:rsid w:val="00FD507B"/>
    <w:rsid w:val="00FD5600"/>
    <w:rsid w:val="00FD5A79"/>
    <w:rsid w:val="00FD5DBE"/>
    <w:rsid w:val="00FE0003"/>
    <w:rsid w:val="00FE021A"/>
    <w:rsid w:val="00FE0A75"/>
    <w:rsid w:val="00FE1941"/>
    <w:rsid w:val="00FE2017"/>
    <w:rsid w:val="00FE36D1"/>
    <w:rsid w:val="00FE49F3"/>
    <w:rsid w:val="00FE4CE2"/>
    <w:rsid w:val="00FE527A"/>
    <w:rsid w:val="00FE530D"/>
    <w:rsid w:val="00FE5BB7"/>
    <w:rsid w:val="00FE60C1"/>
    <w:rsid w:val="00FE620C"/>
    <w:rsid w:val="00FE768A"/>
    <w:rsid w:val="00FF05C5"/>
    <w:rsid w:val="00FF0713"/>
    <w:rsid w:val="00FF076B"/>
    <w:rsid w:val="00FF11DC"/>
    <w:rsid w:val="00FF1378"/>
    <w:rsid w:val="00FF294D"/>
    <w:rsid w:val="00FF4AEB"/>
    <w:rsid w:val="00FF5F2D"/>
    <w:rsid w:val="00FF6D31"/>
    <w:rsid w:val="00FF7388"/>
    <w:rsid w:val="00FF7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AB3B-DCE6-46C7-ADDA-6885214E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F6"/>
    <w:rPr>
      <w:rFonts w:eastAsia="Times New Roman"/>
      <w:sz w:val="24"/>
      <w:szCs w:val="24"/>
      <w:lang w:val="en-US" w:eastAsia="en-US"/>
    </w:rPr>
  </w:style>
  <w:style w:type="paragraph" w:styleId="Heading1">
    <w:name w:val="heading 1"/>
    <w:basedOn w:val="Normal"/>
    <w:next w:val="Normal"/>
    <w:link w:val="Heading1Char"/>
    <w:qFormat/>
    <w:rsid w:val="00F70954"/>
    <w:pPr>
      <w:keepNext/>
      <w:spacing w:before="240" w:after="60"/>
      <w:outlineLvl w:val="0"/>
    </w:pPr>
    <w:rPr>
      <w:rFonts w:ascii="Arial" w:hAnsi="Arial"/>
      <w:b/>
      <w:bCs/>
      <w:kern w:val="32"/>
      <w:sz w:val="32"/>
      <w:szCs w:val="32"/>
    </w:rPr>
  </w:style>
  <w:style w:type="paragraph" w:styleId="Heading2">
    <w:name w:val="heading 2"/>
    <w:basedOn w:val="Normal"/>
    <w:link w:val="Heading2Char"/>
    <w:qFormat/>
    <w:rsid w:val="001F796F"/>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unhideWhenUsed/>
    <w:qFormat/>
    <w:rsid w:val="00F70954"/>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qFormat/>
    <w:rsid w:val="00F70954"/>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F70954"/>
    <w:pPr>
      <w:spacing w:before="240" w:after="60"/>
      <w:outlineLvl w:val="5"/>
    </w:pPr>
    <w:rPr>
      <w:rFonts w:ascii="Calibri"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80DF6"/>
    <w:pPr>
      <w:spacing w:after="120"/>
    </w:pPr>
    <w:rPr>
      <w:sz w:val="16"/>
      <w:szCs w:val="16"/>
      <w:lang w:val="x-none" w:eastAsia="x-none"/>
    </w:rPr>
  </w:style>
  <w:style w:type="character" w:customStyle="1" w:styleId="BodyText3Char">
    <w:name w:val="Body Text 3 Char"/>
    <w:link w:val="BodyText3"/>
    <w:rsid w:val="00880DF6"/>
    <w:rPr>
      <w:rFonts w:eastAsia="Times New Roman"/>
      <w:sz w:val="16"/>
      <w:szCs w:val="16"/>
    </w:rPr>
  </w:style>
  <w:style w:type="character" w:styleId="Hyperlink">
    <w:name w:val="Hyperlink"/>
    <w:unhideWhenUsed/>
    <w:rsid w:val="004009F3"/>
    <w:rPr>
      <w:color w:val="0000FF"/>
      <w:u w:val="single"/>
    </w:rPr>
  </w:style>
  <w:style w:type="paragraph" w:styleId="Header">
    <w:name w:val="header"/>
    <w:basedOn w:val="Normal"/>
    <w:link w:val="HeaderChar"/>
    <w:uiPriority w:val="99"/>
    <w:unhideWhenUsed/>
    <w:rsid w:val="00376F1F"/>
    <w:pPr>
      <w:tabs>
        <w:tab w:val="center" w:pos="4513"/>
        <w:tab w:val="right" w:pos="9026"/>
      </w:tabs>
    </w:pPr>
    <w:rPr>
      <w:lang w:val="x-none"/>
    </w:rPr>
  </w:style>
  <w:style w:type="character" w:customStyle="1" w:styleId="HeaderChar">
    <w:name w:val="Header Char"/>
    <w:link w:val="Header"/>
    <w:uiPriority w:val="99"/>
    <w:rsid w:val="00376F1F"/>
    <w:rPr>
      <w:rFonts w:eastAsia="Times New Roman"/>
      <w:sz w:val="24"/>
      <w:szCs w:val="24"/>
      <w:lang w:eastAsia="en-US"/>
    </w:rPr>
  </w:style>
  <w:style w:type="paragraph" w:styleId="Footer">
    <w:name w:val="footer"/>
    <w:basedOn w:val="Normal"/>
    <w:link w:val="FooterChar"/>
    <w:uiPriority w:val="99"/>
    <w:unhideWhenUsed/>
    <w:rsid w:val="00376F1F"/>
    <w:pPr>
      <w:tabs>
        <w:tab w:val="center" w:pos="4513"/>
        <w:tab w:val="right" w:pos="9026"/>
      </w:tabs>
    </w:pPr>
    <w:rPr>
      <w:lang w:val="x-none"/>
    </w:rPr>
  </w:style>
  <w:style w:type="character" w:customStyle="1" w:styleId="FooterChar">
    <w:name w:val="Footer Char"/>
    <w:link w:val="Footer"/>
    <w:uiPriority w:val="99"/>
    <w:rsid w:val="00376F1F"/>
    <w:rPr>
      <w:rFonts w:eastAsia="Times New Roman"/>
      <w:sz w:val="24"/>
      <w:szCs w:val="24"/>
      <w:lang w:eastAsia="en-US"/>
    </w:rPr>
  </w:style>
  <w:style w:type="character" w:customStyle="1" w:styleId="Heading2Char">
    <w:name w:val="Heading 2 Char"/>
    <w:link w:val="Heading2"/>
    <w:rsid w:val="001F796F"/>
    <w:rPr>
      <w:rFonts w:eastAsia="Times New Roman"/>
      <w:b/>
      <w:bCs/>
      <w:sz w:val="36"/>
      <w:szCs w:val="36"/>
    </w:rPr>
  </w:style>
  <w:style w:type="paragraph" w:styleId="NormalWeb">
    <w:name w:val="Normal (Web)"/>
    <w:basedOn w:val="Normal"/>
    <w:unhideWhenUsed/>
    <w:rsid w:val="001F796F"/>
    <w:pPr>
      <w:spacing w:before="100" w:beforeAutospacing="1" w:after="100" w:afterAutospacing="1"/>
    </w:pPr>
    <w:rPr>
      <w:lang w:eastAsia="en-GB"/>
    </w:rPr>
  </w:style>
  <w:style w:type="character" w:styleId="Emphasis">
    <w:name w:val="Emphasis"/>
    <w:uiPriority w:val="20"/>
    <w:qFormat/>
    <w:rsid w:val="001F796F"/>
    <w:rPr>
      <w:i/>
      <w:iCs/>
    </w:rPr>
  </w:style>
  <w:style w:type="character" w:styleId="Strong">
    <w:name w:val="Strong"/>
    <w:qFormat/>
    <w:rsid w:val="001F796F"/>
    <w:rPr>
      <w:b/>
      <w:bCs/>
    </w:rPr>
  </w:style>
  <w:style w:type="paragraph" w:styleId="FootnoteText">
    <w:name w:val="footnote text"/>
    <w:basedOn w:val="Normal"/>
    <w:link w:val="FootnoteTextChar"/>
    <w:uiPriority w:val="99"/>
    <w:semiHidden/>
    <w:unhideWhenUsed/>
    <w:rsid w:val="005543A0"/>
    <w:rPr>
      <w:sz w:val="20"/>
      <w:szCs w:val="20"/>
      <w:lang w:val="x-none"/>
    </w:rPr>
  </w:style>
  <w:style w:type="character" w:customStyle="1" w:styleId="FootnoteTextChar">
    <w:name w:val="Footnote Text Char"/>
    <w:link w:val="FootnoteText"/>
    <w:uiPriority w:val="99"/>
    <w:semiHidden/>
    <w:rsid w:val="005543A0"/>
    <w:rPr>
      <w:rFonts w:eastAsia="Times New Roman"/>
      <w:lang w:eastAsia="en-US"/>
    </w:rPr>
  </w:style>
  <w:style w:type="character" w:styleId="FootnoteReference">
    <w:name w:val="footnote reference"/>
    <w:semiHidden/>
    <w:unhideWhenUsed/>
    <w:rsid w:val="005543A0"/>
    <w:rPr>
      <w:vertAlign w:val="superscript"/>
    </w:rPr>
  </w:style>
  <w:style w:type="character" w:customStyle="1" w:styleId="text12">
    <w:name w:val="text12"/>
    <w:basedOn w:val="DefaultParagraphFont"/>
    <w:rsid w:val="003C138F"/>
  </w:style>
  <w:style w:type="paragraph" w:styleId="BodyText2">
    <w:name w:val="Body Text 2"/>
    <w:basedOn w:val="Normal"/>
    <w:link w:val="BodyText2Char"/>
    <w:uiPriority w:val="99"/>
    <w:unhideWhenUsed/>
    <w:rsid w:val="00F70954"/>
    <w:pPr>
      <w:spacing w:after="120" w:line="480" w:lineRule="auto"/>
    </w:pPr>
    <w:rPr>
      <w:lang w:val="x-none"/>
    </w:rPr>
  </w:style>
  <w:style w:type="character" w:customStyle="1" w:styleId="BodyText2Char">
    <w:name w:val="Body Text 2 Char"/>
    <w:link w:val="BodyText2"/>
    <w:uiPriority w:val="99"/>
    <w:semiHidden/>
    <w:rsid w:val="00F70954"/>
    <w:rPr>
      <w:rFonts w:eastAsia="Times New Roman"/>
      <w:sz w:val="24"/>
      <w:szCs w:val="24"/>
      <w:lang w:eastAsia="en-US"/>
    </w:rPr>
  </w:style>
  <w:style w:type="paragraph" w:styleId="BodyText">
    <w:name w:val="Body Text"/>
    <w:basedOn w:val="Normal"/>
    <w:link w:val="BodyTextChar"/>
    <w:uiPriority w:val="99"/>
    <w:unhideWhenUsed/>
    <w:rsid w:val="00F70954"/>
    <w:pPr>
      <w:spacing w:after="120"/>
    </w:pPr>
    <w:rPr>
      <w:lang w:val="x-none"/>
    </w:rPr>
  </w:style>
  <w:style w:type="character" w:customStyle="1" w:styleId="BodyTextChar">
    <w:name w:val="Body Text Char"/>
    <w:link w:val="BodyText"/>
    <w:uiPriority w:val="99"/>
    <w:semiHidden/>
    <w:rsid w:val="00F70954"/>
    <w:rPr>
      <w:rFonts w:eastAsia="Times New Roman"/>
      <w:sz w:val="24"/>
      <w:szCs w:val="24"/>
      <w:lang w:eastAsia="en-US"/>
    </w:rPr>
  </w:style>
  <w:style w:type="character" w:customStyle="1" w:styleId="Heading3Char">
    <w:name w:val="Heading 3 Char"/>
    <w:link w:val="Heading3"/>
    <w:uiPriority w:val="9"/>
    <w:semiHidden/>
    <w:rsid w:val="00F70954"/>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F70954"/>
    <w:rPr>
      <w:rFonts w:ascii="Calibri" w:eastAsia="Times New Roman" w:hAnsi="Calibri" w:cs="Times New Roman"/>
      <w:b/>
      <w:bCs/>
      <w:sz w:val="22"/>
      <w:szCs w:val="22"/>
      <w:lang w:eastAsia="en-US"/>
    </w:rPr>
  </w:style>
  <w:style w:type="character" w:customStyle="1" w:styleId="Heading1Char">
    <w:name w:val="Heading 1 Char"/>
    <w:link w:val="Heading1"/>
    <w:rsid w:val="00F70954"/>
    <w:rPr>
      <w:rFonts w:ascii="Arial" w:eastAsia="Times New Roman" w:hAnsi="Arial" w:cs="Arial"/>
      <w:b/>
      <w:bCs/>
      <w:kern w:val="32"/>
      <w:sz w:val="32"/>
      <w:szCs w:val="32"/>
      <w:lang w:val="en-US" w:eastAsia="en-US"/>
    </w:rPr>
  </w:style>
  <w:style w:type="character" w:customStyle="1" w:styleId="Heading4Char">
    <w:name w:val="Heading 4 Char"/>
    <w:link w:val="Heading4"/>
    <w:rsid w:val="00F70954"/>
    <w:rPr>
      <w:rFonts w:eastAsia="Times New Roman"/>
      <w:b/>
      <w:bCs/>
      <w:sz w:val="28"/>
      <w:szCs w:val="28"/>
      <w:lang w:val="en-US" w:eastAsia="en-US"/>
    </w:rPr>
  </w:style>
  <w:style w:type="paragraph" w:styleId="BalloonText">
    <w:name w:val="Balloon Text"/>
    <w:basedOn w:val="Normal"/>
    <w:link w:val="BalloonTextChar"/>
    <w:uiPriority w:val="99"/>
    <w:semiHidden/>
    <w:rsid w:val="00F70954"/>
    <w:rPr>
      <w:rFonts w:ascii="Tahoma" w:hAnsi="Tahoma"/>
      <w:sz w:val="16"/>
      <w:szCs w:val="16"/>
    </w:rPr>
  </w:style>
  <w:style w:type="character" w:customStyle="1" w:styleId="BalloonTextChar">
    <w:name w:val="Balloon Text Char"/>
    <w:link w:val="BalloonText"/>
    <w:uiPriority w:val="99"/>
    <w:semiHidden/>
    <w:rsid w:val="00F70954"/>
    <w:rPr>
      <w:rFonts w:ascii="Tahoma" w:eastAsia="Times New Roman" w:hAnsi="Tahoma" w:cs="Tahoma"/>
      <w:sz w:val="16"/>
      <w:szCs w:val="16"/>
      <w:lang w:val="en-US" w:eastAsia="en-US"/>
    </w:rPr>
  </w:style>
  <w:style w:type="paragraph" w:styleId="ListParagraph">
    <w:name w:val="List Paragraph"/>
    <w:basedOn w:val="Normal"/>
    <w:qFormat/>
    <w:rsid w:val="00F70954"/>
    <w:pPr>
      <w:spacing w:after="200" w:line="276" w:lineRule="auto"/>
      <w:ind w:left="720"/>
      <w:contextualSpacing/>
    </w:pPr>
    <w:rPr>
      <w:rFonts w:eastAsia="Calibri"/>
      <w:szCs w:val="22"/>
    </w:rPr>
  </w:style>
  <w:style w:type="character" w:customStyle="1" w:styleId="mediumb-text1">
    <w:name w:val="mediumb-text1"/>
    <w:rsid w:val="00F70954"/>
    <w:rPr>
      <w:rFonts w:ascii="Arial" w:hAnsi="Arial" w:cs="Arial" w:hint="default"/>
      <w:b/>
      <w:bCs/>
      <w:color w:val="000000"/>
      <w:sz w:val="24"/>
      <w:szCs w:val="24"/>
    </w:rPr>
  </w:style>
  <w:style w:type="character" w:customStyle="1" w:styleId="small-text1">
    <w:name w:val="small-text1"/>
    <w:rsid w:val="00F70954"/>
    <w:rPr>
      <w:rFonts w:ascii="Arial" w:hAnsi="Arial" w:cs="Arial" w:hint="default"/>
      <w:color w:val="000000"/>
      <w:sz w:val="20"/>
      <w:szCs w:val="20"/>
    </w:rPr>
  </w:style>
  <w:style w:type="paragraph" w:styleId="BodyTextIndent2">
    <w:name w:val="Body Text Indent 2"/>
    <w:basedOn w:val="Normal"/>
    <w:link w:val="BodyTextIndent2Char"/>
    <w:rsid w:val="00F70954"/>
    <w:pPr>
      <w:spacing w:after="120" w:line="480" w:lineRule="auto"/>
      <w:ind w:left="283"/>
    </w:pPr>
    <w:rPr>
      <w:sz w:val="20"/>
      <w:szCs w:val="20"/>
    </w:rPr>
  </w:style>
  <w:style w:type="character" w:customStyle="1" w:styleId="BodyTextIndent2Char">
    <w:name w:val="Body Text Indent 2 Char"/>
    <w:link w:val="BodyTextIndent2"/>
    <w:rsid w:val="00F70954"/>
    <w:rPr>
      <w:rFonts w:eastAsia="Times New Roman"/>
      <w:lang w:val="en-US" w:eastAsia="en-US"/>
    </w:rPr>
  </w:style>
  <w:style w:type="paragraph" w:customStyle="1" w:styleId="Default">
    <w:name w:val="Default"/>
    <w:rsid w:val="00F70954"/>
    <w:pPr>
      <w:autoSpaceDE w:val="0"/>
      <w:autoSpaceDN w:val="0"/>
      <w:adjustRightInd w:val="0"/>
    </w:pPr>
    <w:rPr>
      <w:rFonts w:eastAsia="Times New Roman"/>
      <w:color w:val="000000"/>
      <w:sz w:val="24"/>
      <w:szCs w:val="24"/>
      <w:lang w:val="en-US" w:eastAsia="en-US"/>
    </w:rPr>
  </w:style>
  <w:style w:type="character" w:customStyle="1" w:styleId="a">
    <w:name w:val="a"/>
    <w:basedOn w:val="DefaultParagraphFont"/>
    <w:rsid w:val="00F70954"/>
  </w:style>
  <w:style w:type="character" w:customStyle="1" w:styleId="refpreview1">
    <w:name w:val="refpreview1"/>
    <w:rsid w:val="00F70954"/>
    <w:rPr>
      <w:vanish/>
      <w:webHidden w:val="0"/>
      <w:shd w:val="clear" w:color="auto" w:fill="EEEEEE"/>
      <w:specVanish w:val="0"/>
    </w:rPr>
  </w:style>
  <w:style w:type="paragraph" w:styleId="DocumentMap">
    <w:name w:val="Document Map"/>
    <w:basedOn w:val="Normal"/>
    <w:link w:val="DocumentMapChar"/>
    <w:rsid w:val="00F70954"/>
    <w:rPr>
      <w:rFonts w:ascii="Tahoma" w:hAnsi="Tahoma"/>
      <w:sz w:val="16"/>
      <w:szCs w:val="16"/>
    </w:rPr>
  </w:style>
  <w:style w:type="character" w:customStyle="1" w:styleId="DocumentMapChar">
    <w:name w:val="Document Map Char"/>
    <w:link w:val="DocumentMap"/>
    <w:rsid w:val="00F70954"/>
    <w:rPr>
      <w:rFonts w:ascii="Tahoma" w:eastAsia="Times New Roman" w:hAnsi="Tahoma" w:cs="Tahoma"/>
      <w:sz w:val="16"/>
      <w:szCs w:val="16"/>
      <w:lang w:val="en-US" w:eastAsia="en-US"/>
    </w:rPr>
  </w:style>
  <w:style w:type="character" w:customStyle="1" w:styleId="author1">
    <w:name w:val="author1"/>
    <w:rsid w:val="007C5E2F"/>
    <w:rPr>
      <w:b/>
      <w:bCs/>
    </w:rPr>
  </w:style>
  <w:style w:type="character" w:customStyle="1" w:styleId="gsa1">
    <w:name w:val="gs_a1"/>
    <w:rsid w:val="0016547D"/>
    <w:rPr>
      <w:color w:val="008000"/>
    </w:rPr>
  </w:style>
  <w:style w:type="character" w:styleId="CommentReference">
    <w:name w:val="annotation reference"/>
    <w:uiPriority w:val="99"/>
    <w:semiHidden/>
    <w:unhideWhenUsed/>
    <w:rsid w:val="009073EB"/>
    <w:rPr>
      <w:sz w:val="16"/>
      <w:szCs w:val="16"/>
    </w:rPr>
  </w:style>
  <w:style w:type="paragraph" w:styleId="CommentText">
    <w:name w:val="annotation text"/>
    <w:basedOn w:val="Normal"/>
    <w:link w:val="CommentTextChar"/>
    <w:uiPriority w:val="99"/>
    <w:semiHidden/>
    <w:unhideWhenUsed/>
    <w:rsid w:val="009073EB"/>
    <w:rPr>
      <w:sz w:val="20"/>
      <w:szCs w:val="20"/>
    </w:rPr>
  </w:style>
  <w:style w:type="character" w:customStyle="1" w:styleId="CommentTextChar">
    <w:name w:val="Comment Text Char"/>
    <w:link w:val="CommentText"/>
    <w:uiPriority w:val="99"/>
    <w:semiHidden/>
    <w:rsid w:val="009073EB"/>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9073EB"/>
    <w:rPr>
      <w:b/>
      <w:bCs/>
    </w:rPr>
  </w:style>
  <w:style w:type="character" w:customStyle="1" w:styleId="CommentSubjectChar">
    <w:name w:val="Comment Subject Char"/>
    <w:link w:val="CommentSubject"/>
    <w:uiPriority w:val="99"/>
    <w:semiHidden/>
    <w:rsid w:val="009073EB"/>
    <w:rPr>
      <w:rFonts w:eastAsia="Times New Roman"/>
      <w:b/>
      <w:bCs/>
      <w:lang w:val="en-US" w:eastAsia="en-US"/>
    </w:rPr>
  </w:style>
  <w:style w:type="character" w:customStyle="1" w:styleId="body">
    <w:name w:val="body"/>
    <w:basedOn w:val="DefaultParagraphFont"/>
    <w:rsid w:val="008B52E5"/>
  </w:style>
  <w:style w:type="character" w:customStyle="1" w:styleId="apple-converted-space">
    <w:name w:val="apple-converted-space"/>
    <w:basedOn w:val="DefaultParagraphFont"/>
    <w:rsid w:val="00F6351A"/>
  </w:style>
  <w:style w:type="character" w:customStyle="1" w:styleId="hit">
    <w:name w:val="hit"/>
    <w:basedOn w:val="DefaultParagraphFont"/>
    <w:rsid w:val="00F6351A"/>
  </w:style>
  <w:style w:type="paragraph" w:styleId="Revision">
    <w:name w:val="Revision"/>
    <w:hidden/>
    <w:uiPriority w:val="99"/>
    <w:semiHidden/>
    <w:rsid w:val="004D1455"/>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88">
      <w:bodyDiv w:val="1"/>
      <w:marLeft w:val="0"/>
      <w:marRight w:val="0"/>
      <w:marTop w:val="0"/>
      <w:marBottom w:val="0"/>
      <w:divBdr>
        <w:top w:val="none" w:sz="0" w:space="0" w:color="auto"/>
        <w:left w:val="none" w:sz="0" w:space="0" w:color="auto"/>
        <w:bottom w:val="none" w:sz="0" w:space="0" w:color="auto"/>
        <w:right w:val="none" w:sz="0" w:space="0" w:color="auto"/>
      </w:divBdr>
    </w:div>
    <w:div w:id="305083997">
      <w:bodyDiv w:val="1"/>
      <w:marLeft w:val="0"/>
      <w:marRight w:val="0"/>
      <w:marTop w:val="0"/>
      <w:marBottom w:val="0"/>
      <w:divBdr>
        <w:top w:val="none" w:sz="0" w:space="0" w:color="auto"/>
        <w:left w:val="none" w:sz="0" w:space="0" w:color="auto"/>
        <w:bottom w:val="none" w:sz="0" w:space="0" w:color="auto"/>
        <w:right w:val="none" w:sz="0" w:space="0" w:color="auto"/>
      </w:divBdr>
      <w:divsChild>
        <w:div w:id="634454114">
          <w:marLeft w:val="0"/>
          <w:marRight w:val="0"/>
          <w:marTop w:val="0"/>
          <w:marBottom w:val="0"/>
          <w:divBdr>
            <w:top w:val="none" w:sz="0" w:space="0" w:color="auto"/>
            <w:left w:val="none" w:sz="0" w:space="0" w:color="auto"/>
            <w:bottom w:val="none" w:sz="0" w:space="0" w:color="auto"/>
            <w:right w:val="none" w:sz="0" w:space="0" w:color="auto"/>
          </w:divBdr>
        </w:div>
        <w:div w:id="807434199">
          <w:marLeft w:val="0"/>
          <w:marRight w:val="0"/>
          <w:marTop w:val="0"/>
          <w:marBottom w:val="0"/>
          <w:divBdr>
            <w:top w:val="none" w:sz="0" w:space="0" w:color="auto"/>
            <w:left w:val="none" w:sz="0" w:space="0" w:color="auto"/>
            <w:bottom w:val="none" w:sz="0" w:space="0" w:color="auto"/>
            <w:right w:val="none" w:sz="0" w:space="0" w:color="auto"/>
          </w:divBdr>
        </w:div>
      </w:divsChild>
    </w:div>
    <w:div w:id="330912318">
      <w:bodyDiv w:val="1"/>
      <w:marLeft w:val="0"/>
      <w:marRight w:val="0"/>
      <w:marTop w:val="0"/>
      <w:marBottom w:val="0"/>
      <w:divBdr>
        <w:top w:val="none" w:sz="0" w:space="0" w:color="auto"/>
        <w:left w:val="none" w:sz="0" w:space="0" w:color="auto"/>
        <w:bottom w:val="none" w:sz="0" w:space="0" w:color="auto"/>
        <w:right w:val="none" w:sz="0" w:space="0" w:color="auto"/>
      </w:divBdr>
      <w:divsChild>
        <w:div w:id="67118461">
          <w:marLeft w:val="0"/>
          <w:marRight w:val="0"/>
          <w:marTop w:val="0"/>
          <w:marBottom w:val="0"/>
          <w:divBdr>
            <w:top w:val="none" w:sz="0" w:space="0" w:color="auto"/>
            <w:left w:val="none" w:sz="0" w:space="0" w:color="auto"/>
            <w:bottom w:val="none" w:sz="0" w:space="0" w:color="auto"/>
            <w:right w:val="none" w:sz="0" w:space="0" w:color="auto"/>
          </w:divBdr>
        </w:div>
        <w:div w:id="1031613767">
          <w:marLeft w:val="0"/>
          <w:marRight w:val="0"/>
          <w:marTop w:val="0"/>
          <w:marBottom w:val="0"/>
          <w:divBdr>
            <w:top w:val="none" w:sz="0" w:space="0" w:color="auto"/>
            <w:left w:val="none" w:sz="0" w:space="0" w:color="auto"/>
            <w:bottom w:val="none" w:sz="0" w:space="0" w:color="auto"/>
            <w:right w:val="none" w:sz="0" w:space="0" w:color="auto"/>
          </w:divBdr>
        </w:div>
      </w:divsChild>
    </w:div>
    <w:div w:id="387458759">
      <w:bodyDiv w:val="1"/>
      <w:marLeft w:val="0"/>
      <w:marRight w:val="0"/>
      <w:marTop w:val="0"/>
      <w:marBottom w:val="0"/>
      <w:divBdr>
        <w:top w:val="none" w:sz="0" w:space="0" w:color="auto"/>
        <w:left w:val="none" w:sz="0" w:space="0" w:color="auto"/>
        <w:bottom w:val="none" w:sz="0" w:space="0" w:color="auto"/>
        <w:right w:val="none" w:sz="0" w:space="0" w:color="auto"/>
      </w:divBdr>
      <w:divsChild>
        <w:div w:id="1391224752">
          <w:marLeft w:val="0"/>
          <w:marRight w:val="0"/>
          <w:marTop w:val="0"/>
          <w:marBottom w:val="0"/>
          <w:divBdr>
            <w:top w:val="none" w:sz="0" w:space="0" w:color="auto"/>
            <w:left w:val="none" w:sz="0" w:space="0" w:color="auto"/>
            <w:bottom w:val="none" w:sz="0" w:space="0" w:color="auto"/>
            <w:right w:val="none" w:sz="0" w:space="0" w:color="auto"/>
          </w:divBdr>
        </w:div>
        <w:div w:id="2079546248">
          <w:marLeft w:val="0"/>
          <w:marRight w:val="0"/>
          <w:marTop w:val="0"/>
          <w:marBottom w:val="0"/>
          <w:divBdr>
            <w:top w:val="none" w:sz="0" w:space="0" w:color="auto"/>
            <w:left w:val="none" w:sz="0" w:space="0" w:color="auto"/>
            <w:bottom w:val="none" w:sz="0" w:space="0" w:color="auto"/>
            <w:right w:val="none" w:sz="0" w:space="0" w:color="auto"/>
          </w:divBdr>
        </w:div>
      </w:divsChild>
    </w:div>
    <w:div w:id="446659772">
      <w:bodyDiv w:val="1"/>
      <w:marLeft w:val="0"/>
      <w:marRight w:val="0"/>
      <w:marTop w:val="0"/>
      <w:marBottom w:val="0"/>
      <w:divBdr>
        <w:top w:val="none" w:sz="0" w:space="0" w:color="auto"/>
        <w:left w:val="none" w:sz="0" w:space="0" w:color="auto"/>
        <w:bottom w:val="none" w:sz="0" w:space="0" w:color="auto"/>
        <w:right w:val="none" w:sz="0" w:space="0" w:color="auto"/>
      </w:divBdr>
      <w:divsChild>
        <w:div w:id="296030397">
          <w:marLeft w:val="0"/>
          <w:marRight w:val="0"/>
          <w:marTop w:val="0"/>
          <w:marBottom w:val="0"/>
          <w:divBdr>
            <w:top w:val="none" w:sz="0" w:space="0" w:color="auto"/>
            <w:left w:val="none" w:sz="0" w:space="0" w:color="auto"/>
            <w:bottom w:val="none" w:sz="0" w:space="0" w:color="auto"/>
            <w:right w:val="none" w:sz="0" w:space="0" w:color="auto"/>
          </w:divBdr>
        </w:div>
        <w:div w:id="1021080288">
          <w:marLeft w:val="0"/>
          <w:marRight w:val="0"/>
          <w:marTop w:val="0"/>
          <w:marBottom w:val="0"/>
          <w:divBdr>
            <w:top w:val="none" w:sz="0" w:space="0" w:color="auto"/>
            <w:left w:val="none" w:sz="0" w:space="0" w:color="auto"/>
            <w:bottom w:val="none" w:sz="0" w:space="0" w:color="auto"/>
            <w:right w:val="none" w:sz="0" w:space="0" w:color="auto"/>
          </w:divBdr>
        </w:div>
      </w:divsChild>
    </w:div>
    <w:div w:id="528177598">
      <w:bodyDiv w:val="1"/>
      <w:marLeft w:val="0"/>
      <w:marRight w:val="0"/>
      <w:marTop w:val="0"/>
      <w:marBottom w:val="0"/>
      <w:divBdr>
        <w:top w:val="none" w:sz="0" w:space="0" w:color="auto"/>
        <w:left w:val="none" w:sz="0" w:space="0" w:color="auto"/>
        <w:bottom w:val="none" w:sz="0" w:space="0" w:color="auto"/>
        <w:right w:val="none" w:sz="0" w:space="0" w:color="auto"/>
      </w:divBdr>
      <w:divsChild>
        <w:div w:id="154610588">
          <w:marLeft w:val="0"/>
          <w:marRight w:val="0"/>
          <w:marTop w:val="0"/>
          <w:marBottom w:val="0"/>
          <w:divBdr>
            <w:top w:val="none" w:sz="0" w:space="0" w:color="auto"/>
            <w:left w:val="none" w:sz="0" w:space="0" w:color="auto"/>
            <w:bottom w:val="none" w:sz="0" w:space="0" w:color="auto"/>
            <w:right w:val="none" w:sz="0" w:space="0" w:color="auto"/>
          </w:divBdr>
        </w:div>
        <w:div w:id="1045788093">
          <w:marLeft w:val="0"/>
          <w:marRight w:val="0"/>
          <w:marTop w:val="0"/>
          <w:marBottom w:val="0"/>
          <w:divBdr>
            <w:top w:val="none" w:sz="0" w:space="0" w:color="auto"/>
            <w:left w:val="none" w:sz="0" w:space="0" w:color="auto"/>
            <w:bottom w:val="none" w:sz="0" w:space="0" w:color="auto"/>
            <w:right w:val="none" w:sz="0" w:space="0" w:color="auto"/>
          </w:divBdr>
        </w:div>
        <w:div w:id="1521167244">
          <w:marLeft w:val="0"/>
          <w:marRight w:val="0"/>
          <w:marTop w:val="0"/>
          <w:marBottom w:val="0"/>
          <w:divBdr>
            <w:top w:val="none" w:sz="0" w:space="0" w:color="auto"/>
            <w:left w:val="none" w:sz="0" w:space="0" w:color="auto"/>
            <w:bottom w:val="none" w:sz="0" w:space="0" w:color="auto"/>
            <w:right w:val="none" w:sz="0" w:space="0" w:color="auto"/>
          </w:divBdr>
        </w:div>
      </w:divsChild>
    </w:div>
    <w:div w:id="549535318">
      <w:bodyDiv w:val="1"/>
      <w:marLeft w:val="0"/>
      <w:marRight w:val="0"/>
      <w:marTop w:val="0"/>
      <w:marBottom w:val="0"/>
      <w:divBdr>
        <w:top w:val="none" w:sz="0" w:space="0" w:color="auto"/>
        <w:left w:val="none" w:sz="0" w:space="0" w:color="auto"/>
        <w:bottom w:val="none" w:sz="0" w:space="0" w:color="auto"/>
        <w:right w:val="none" w:sz="0" w:space="0" w:color="auto"/>
      </w:divBdr>
      <w:divsChild>
        <w:div w:id="463238059">
          <w:marLeft w:val="0"/>
          <w:marRight w:val="0"/>
          <w:marTop w:val="0"/>
          <w:marBottom w:val="0"/>
          <w:divBdr>
            <w:top w:val="none" w:sz="0" w:space="0" w:color="auto"/>
            <w:left w:val="none" w:sz="0" w:space="0" w:color="auto"/>
            <w:bottom w:val="none" w:sz="0" w:space="0" w:color="auto"/>
            <w:right w:val="none" w:sz="0" w:space="0" w:color="auto"/>
          </w:divBdr>
        </w:div>
        <w:div w:id="1863087213">
          <w:marLeft w:val="0"/>
          <w:marRight w:val="0"/>
          <w:marTop w:val="0"/>
          <w:marBottom w:val="0"/>
          <w:divBdr>
            <w:top w:val="none" w:sz="0" w:space="0" w:color="auto"/>
            <w:left w:val="none" w:sz="0" w:space="0" w:color="auto"/>
            <w:bottom w:val="none" w:sz="0" w:space="0" w:color="auto"/>
            <w:right w:val="none" w:sz="0" w:space="0" w:color="auto"/>
          </w:divBdr>
        </w:div>
        <w:div w:id="1916431310">
          <w:marLeft w:val="0"/>
          <w:marRight w:val="0"/>
          <w:marTop w:val="0"/>
          <w:marBottom w:val="0"/>
          <w:divBdr>
            <w:top w:val="none" w:sz="0" w:space="0" w:color="auto"/>
            <w:left w:val="none" w:sz="0" w:space="0" w:color="auto"/>
            <w:bottom w:val="none" w:sz="0" w:space="0" w:color="auto"/>
            <w:right w:val="none" w:sz="0" w:space="0" w:color="auto"/>
          </w:divBdr>
        </w:div>
      </w:divsChild>
    </w:div>
    <w:div w:id="550191013">
      <w:bodyDiv w:val="1"/>
      <w:marLeft w:val="0"/>
      <w:marRight w:val="0"/>
      <w:marTop w:val="0"/>
      <w:marBottom w:val="0"/>
      <w:divBdr>
        <w:top w:val="none" w:sz="0" w:space="0" w:color="auto"/>
        <w:left w:val="none" w:sz="0" w:space="0" w:color="auto"/>
        <w:bottom w:val="none" w:sz="0" w:space="0" w:color="auto"/>
        <w:right w:val="none" w:sz="0" w:space="0" w:color="auto"/>
      </w:divBdr>
      <w:divsChild>
        <w:div w:id="213932880">
          <w:marLeft w:val="0"/>
          <w:marRight w:val="0"/>
          <w:marTop w:val="0"/>
          <w:marBottom w:val="0"/>
          <w:divBdr>
            <w:top w:val="none" w:sz="0" w:space="0" w:color="auto"/>
            <w:left w:val="none" w:sz="0" w:space="0" w:color="auto"/>
            <w:bottom w:val="none" w:sz="0" w:space="0" w:color="auto"/>
            <w:right w:val="none" w:sz="0" w:space="0" w:color="auto"/>
          </w:divBdr>
        </w:div>
        <w:div w:id="1916041672">
          <w:marLeft w:val="0"/>
          <w:marRight w:val="0"/>
          <w:marTop w:val="0"/>
          <w:marBottom w:val="0"/>
          <w:divBdr>
            <w:top w:val="none" w:sz="0" w:space="0" w:color="auto"/>
            <w:left w:val="none" w:sz="0" w:space="0" w:color="auto"/>
            <w:bottom w:val="none" w:sz="0" w:space="0" w:color="auto"/>
            <w:right w:val="none" w:sz="0" w:space="0" w:color="auto"/>
          </w:divBdr>
        </w:div>
      </w:divsChild>
    </w:div>
    <w:div w:id="563639302">
      <w:bodyDiv w:val="1"/>
      <w:marLeft w:val="0"/>
      <w:marRight w:val="0"/>
      <w:marTop w:val="0"/>
      <w:marBottom w:val="0"/>
      <w:divBdr>
        <w:top w:val="none" w:sz="0" w:space="0" w:color="auto"/>
        <w:left w:val="none" w:sz="0" w:space="0" w:color="auto"/>
        <w:bottom w:val="none" w:sz="0" w:space="0" w:color="auto"/>
        <w:right w:val="none" w:sz="0" w:space="0" w:color="auto"/>
      </w:divBdr>
      <w:divsChild>
        <w:div w:id="899441210">
          <w:marLeft w:val="0"/>
          <w:marRight w:val="0"/>
          <w:marTop w:val="0"/>
          <w:marBottom w:val="0"/>
          <w:divBdr>
            <w:top w:val="none" w:sz="0" w:space="0" w:color="auto"/>
            <w:left w:val="none" w:sz="0" w:space="0" w:color="auto"/>
            <w:bottom w:val="none" w:sz="0" w:space="0" w:color="auto"/>
            <w:right w:val="none" w:sz="0" w:space="0" w:color="auto"/>
          </w:divBdr>
        </w:div>
        <w:div w:id="1958639689">
          <w:marLeft w:val="0"/>
          <w:marRight w:val="0"/>
          <w:marTop w:val="0"/>
          <w:marBottom w:val="0"/>
          <w:divBdr>
            <w:top w:val="none" w:sz="0" w:space="0" w:color="auto"/>
            <w:left w:val="none" w:sz="0" w:space="0" w:color="auto"/>
            <w:bottom w:val="none" w:sz="0" w:space="0" w:color="auto"/>
            <w:right w:val="none" w:sz="0" w:space="0" w:color="auto"/>
          </w:divBdr>
        </w:div>
      </w:divsChild>
    </w:div>
    <w:div w:id="650208940">
      <w:bodyDiv w:val="1"/>
      <w:marLeft w:val="0"/>
      <w:marRight w:val="0"/>
      <w:marTop w:val="0"/>
      <w:marBottom w:val="0"/>
      <w:divBdr>
        <w:top w:val="none" w:sz="0" w:space="0" w:color="auto"/>
        <w:left w:val="none" w:sz="0" w:space="0" w:color="auto"/>
        <w:bottom w:val="none" w:sz="0" w:space="0" w:color="auto"/>
        <w:right w:val="none" w:sz="0" w:space="0" w:color="auto"/>
      </w:divBdr>
      <w:divsChild>
        <w:div w:id="1510221663">
          <w:marLeft w:val="0"/>
          <w:marRight w:val="0"/>
          <w:marTop w:val="0"/>
          <w:marBottom w:val="0"/>
          <w:divBdr>
            <w:top w:val="none" w:sz="0" w:space="0" w:color="auto"/>
            <w:left w:val="none" w:sz="0" w:space="0" w:color="auto"/>
            <w:bottom w:val="none" w:sz="0" w:space="0" w:color="auto"/>
            <w:right w:val="none" w:sz="0" w:space="0" w:color="auto"/>
          </w:divBdr>
        </w:div>
        <w:div w:id="1636762410">
          <w:marLeft w:val="0"/>
          <w:marRight w:val="0"/>
          <w:marTop w:val="0"/>
          <w:marBottom w:val="0"/>
          <w:divBdr>
            <w:top w:val="none" w:sz="0" w:space="0" w:color="auto"/>
            <w:left w:val="none" w:sz="0" w:space="0" w:color="auto"/>
            <w:bottom w:val="none" w:sz="0" w:space="0" w:color="auto"/>
            <w:right w:val="none" w:sz="0" w:space="0" w:color="auto"/>
          </w:divBdr>
        </w:div>
        <w:div w:id="1747796841">
          <w:marLeft w:val="0"/>
          <w:marRight w:val="0"/>
          <w:marTop w:val="0"/>
          <w:marBottom w:val="0"/>
          <w:divBdr>
            <w:top w:val="none" w:sz="0" w:space="0" w:color="auto"/>
            <w:left w:val="none" w:sz="0" w:space="0" w:color="auto"/>
            <w:bottom w:val="none" w:sz="0" w:space="0" w:color="auto"/>
            <w:right w:val="none" w:sz="0" w:space="0" w:color="auto"/>
          </w:divBdr>
        </w:div>
      </w:divsChild>
    </w:div>
    <w:div w:id="710301022">
      <w:bodyDiv w:val="1"/>
      <w:marLeft w:val="0"/>
      <w:marRight w:val="0"/>
      <w:marTop w:val="0"/>
      <w:marBottom w:val="0"/>
      <w:divBdr>
        <w:top w:val="none" w:sz="0" w:space="0" w:color="auto"/>
        <w:left w:val="none" w:sz="0" w:space="0" w:color="auto"/>
        <w:bottom w:val="none" w:sz="0" w:space="0" w:color="auto"/>
        <w:right w:val="none" w:sz="0" w:space="0" w:color="auto"/>
      </w:divBdr>
    </w:div>
    <w:div w:id="713847743">
      <w:bodyDiv w:val="1"/>
      <w:marLeft w:val="0"/>
      <w:marRight w:val="0"/>
      <w:marTop w:val="0"/>
      <w:marBottom w:val="0"/>
      <w:divBdr>
        <w:top w:val="none" w:sz="0" w:space="0" w:color="auto"/>
        <w:left w:val="none" w:sz="0" w:space="0" w:color="auto"/>
        <w:bottom w:val="none" w:sz="0" w:space="0" w:color="auto"/>
        <w:right w:val="none" w:sz="0" w:space="0" w:color="auto"/>
      </w:divBdr>
      <w:divsChild>
        <w:div w:id="1588811401">
          <w:marLeft w:val="0"/>
          <w:marRight w:val="0"/>
          <w:marTop w:val="0"/>
          <w:marBottom w:val="0"/>
          <w:divBdr>
            <w:top w:val="none" w:sz="0" w:space="0" w:color="auto"/>
            <w:left w:val="none" w:sz="0" w:space="0" w:color="auto"/>
            <w:bottom w:val="none" w:sz="0" w:space="0" w:color="auto"/>
            <w:right w:val="none" w:sz="0" w:space="0" w:color="auto"/>
          </w:divBdr>
        </w:div>
        <w:div w:id="1638031565">
          <w:marLeft w:val="0"/>
          <w:marRight w:val="0"/>
          <w:marTop w:val="0"/>
          <w:marBottom w:val="0"/>
          <w:divBdr>
            <w:top w:val="none" w:sz="0" w:space="0" w:color="auto"/>
            <w:left w:val="none" w:sz="0" w:space="0" w:color="auto"/>
            <w:bottom w:val="none" w:sz="0" w:space="0" w:color="auto"/>
            <w:right w:val="none" w:sz="0" w:space="0" w:color="auto"/>
          </w:divBdr>
        </w:div>
      </w:divsChild>
    </w:div>
    <w:div w:id="724258085">
      <w:bodyDiv w:val="1"/>
      <w:marLeft w:val="0"/>
      <w:marRight w:val="0"/>
      <w:marTop w:val="0"/>
      <w:marBottom w:val="0"/>
      <w:divBdr>
        <w:top w:val="none" w:sz="0" w:space="0" w:color="auto"/>
        <w:left w:val="none" w:sz="0" w:space="0" w:color="auto"/>
        <w:bottom w:val="none" w:sz="0" w:space="0" w:color="auto"/>
        <w:right w:val="none" w:sz="0" w:space="0" w:color="auto"/>
      </w:divBdr>
    </w:div>
    <w:div w:id="740753417">
      <w:bodyDiv w:val="1"/>
      <w:marLeft w:val="0"/>
      <w:marRight w:val="0"/>
      <w:marTop w:val="0"/>
      <w:marBottom w:val="0"/>
      <w:divBdr>
        <w:top w:val="none" w:sz="0" w:space="0" w:color="auto"/>
        <w:left w:val="none" w:sz="0" w:space="0" w:color="auto"/>
        <w:bottom w:val="none" w:sz="0" w:space="0" w:color="auto"/>
        <w:right w:val="none" w:sz="0" w:space="0" w:color="auto"/>
      </w:divBdr>
    </w:div>
    <w:div w:id="743644082">
      <w:bodyDiv w:val="1"/>
      <w:marLeft w:val="0"/>
      <w:marRight w:val="0"/>
      <w:marTop w:val="0"/>
      <w:marBottom w:val="0"/>
      <w:divBdr>
        <w:top w:val="none" w:sz="0" w:space="0" w:color="auto"/>
        <w:left w:val="none" w:sz="0" w:space="0" w:color="auto"/>
        <w:bottom w:val="none" w:sz="0" w:space="0" w:color="auto"/>
        <w:right w:val="none" w:sz="0" w:space="0" w:color="auto"/>
      </w:divBdr>
      <w:divsChild>
        <w:div w:id="688795740">
          <w:marLeft w:val="0"/>
          <w:marRight w:val="0"/>
          <w:marTop w:val="0"/>
          <w:marBottom w:val="0"/>
          <w:divBdr>
            <w:top w:val="none" w:sz="0" w:space="0" w:color="auto"/>
            <w:left w:val="none" w:sz="0" w:space="0" w:color="auto"/>
            <w:bottom w:val="none" w:sz="0" w:space="0" w:color="auto"/>
            <w:right w:val="none" w:sz="0" w:space="0" w:color="auto"/>
          </w:divBdr>
        </w:div>
        <w:div w:id="1547446813">
          <w:marLeft w:val="0"/>
          <w:marRight w:val="0"/>
          <w:marTop w:val="0"/>
          <w:marBottom w:val="0"/>
          <w:divBdr>
            <w:top w:val="none" w:sz="0" w:space="0" w:color="auto"/>
            <w:left w:val="none" w:sz="0" w:space="0" w:color="auto"/>
            <w:bottom w:val="none" w:sz="0" w:space="0" w:color="auto"/>
            <w:right w:val="none" w:sz="0" w:space="0" w:color="auto"/>
          </w:divBdr>
        </w:div>
      </w:divsChild>
    </w:div>
    <w:div w:id="750932716">
      <w:bodyDiv w:val="1"/>
      <w:marLeft w:val="0"/>
      <w:marRight w:val="0"/>
      <w:marTop w:val="0"/>
      <w:marBottom w:val="0"/>
      <w:divBdr>
        <w:top w:val="none" w:sz="0" w:space="0" w:color="auto"/>
        <w:left w:val="none" w:sz="0" w:space="0" w:color="auto"/>
        <w:bottom w:val="none" w:sz="0" w:space="0" w:color="auto"/>
        <w:right w:val="none" w:sz="0" w:space="0" w:color="auto"/>
      </w:divBdr>
      <w:divsChild>
        <w:div w:id="812327951">
          <w:marLeft w:val="0"/>
          <w:marRight w:val="0"/>
          <w:marTop w:val="0"/>
          <w:marBottom w:val="0"/>
          <w:divBdr>
            <w:top w:val="none" w:sz="0" w:space="0" w:color="auto"/>
            <w:left w:val="none" w:sz="0" w:space="0" w:color="auto"/>
            <w:bottom w:val="none" w:sz="0" w:space="0" w:color="auto"/>
            <w:right w:val="none" w:sz="0" w:space="0" w:color="auto"/>
          </w:divBdr>
        </w:div>
        <w:div w:id="1760325741">
          <w:marLeft w:val="0"/>
          <w:marRight w:val="0"/>
          <w:marTop w:val="0"/>
          <w:marBottom w:val="0"/>
          <w:divBdr>
            <w:top w:val="none" w:sz="0" w:space="0" w:color="auto"/>
            <w:left w:val="none" w:sz="0" w:space="0" w:color="auto"/>
            <w:bottom w:val="none" w:sz="0" w:space="0" w:color="auto"/>
            <w:right w:val="none" w:sz="0" w:space="0" w:color="auto"/>
          </w:divBdr>
        </w:div>
      </w:divsChild>
    </w:div>
    <w:div w:id="753937565">
      <w:bodyDiv w:val="1"/>
      <w:marLeft w:val="0"/>
      <w:marRight w:val="0"/>
      <w:marTop w:val="0"/>
      <w:marBottom w:val="0"/>
      <w:divBdr>
        <w:top w:val="none" w:sz="0" w:space="0" w:color="auto"/>
        <w:left w:val="none" w:sz="0" w:space="0" w:color="auto"/>
        <w:bottom w:val="none" w:sz="0" w:space="0" w:color="auto"/>
        <w:right w:val="none" w:sz="0" w:space="0" w:color="auto"/>
      </w:divBdr>
      <w:divsChild>
        <w:div w:id="1282959470">
          <w:marLeft w:val="0"/>
          <w:marRight w:val="0"/>
          <w:marTop w:val="0"/>
          <w:marBottom w:val="0"/>
          <w:divBdr>
            <w:top w:val="none" w:sz="0" w:space="0" w:color="auto"/>
            <w:left w:val="none" w:sz="0" w:space="0" w:color="auto"/>
            <w:bottom w:val="none" w:sz="0" w:space="0" w:color="auto"/>
            <w:right w:val="none" w:sz="0" w:space="0" w:color="auto"/>
          </w:divBdr>
        </w:div>
        <w:div w:id="1511720962">
          <w:marLeft w:val="0"/>
          <w:marRight w:val="0"/>
          <w:marTop w:val="0"/>
          <w:marBottom w:val="0"/>
          <w:divBdr>
            <w:top w:val="none" w:sz="0" w:space="0" w:color="auto"/>
            <w:left w:val="none" w:sz="0" w:space="0" w:color="auto"/>
            <w:bottom w:val="none" w:sz="0" w:space="0" w:color="auto"/>
            <w:right w:val="none" w:sz="0" w:space="0" w:color="auto"/>
          </w:divBdr>
        </w:div>
        <w:div w:id="2034649949">
          <w:marLeft w:val="0"/>
          <w:marRight w:val="0"/>
          <w:marTop w:val="0"/>
          <w:marBottom w:val="0"/>
          <w:divBdr>
            <w:top w:val="none" w:sz="0" w:space="0" w:color="auto"/>
            <w:left w:val="none" w:sz="0" w:space="0" w:color="auto"/>
            <w:bottom w:val="none" w:sz="0" w:space="0" w:color="auto"/>
            <w:right w:val="none" w:sz="0" w:space="0" w:color="auto"/>
          </w:divBdr>
        </w:div>
      </w:divsChild>
    </w:div>
    <w:div w:id="799032870">
      <w:bodyDiv w:val="1"/>
      <w:marLeft w:val="0"/>
      <w:marRight w:val="0"/>
      <w:marTop w:val="0"/>
      <w:marBottom w:val="0"/>
      <w:divBdr>
        <w:top w:val="none" w:sz="0" w:space="0" w:color="auto"/>
        <w:left w:val="none" w:sz="0" w:space="0" w:color="auto"/>
        <w:bottom w:val="none" w:sz="0" w:space="0" w:color="auto"/>
        <w:right w:val="none" w:sz="0" w:space="0" w:color="auto"/>
      </w:divBdr>
    </w:div>
    <w:div w:id="845750099">
      <w:bodyDiv w:val="1"/>
      <w:marLeft w:val="0"/>
      <w:marRight w:val="0"/>
      <w:marTop w:val="0"/>
      <w:marBottom w:val="0"/>
      <w:divBdr>
        <w:top w:val="none" w:sz="0" w:space="0" w:color="auto"/>
        <w:left w:val="none" w:sz="0" w:space="0" w:color="auto"/>
        <w:bottom w:val="none" w:sz="0" w:space="0" w:color="auto"/>
        <w:right w:val="none" w:sz="0" w:space="0" w:color="auto"/>
      </w:divBdr>
      <w:divsChild>
        <w:div w:id="1209759184">
          <w:marLeft w:val="0"/>
          <w:marRight w:val="0"/>
          <w:marTop w:val="0"/>
          <w:marBottom w:val="0"/>
          <w:divBdr>
            <w:top w:val="none" w:sz="0" w:space="0" w:color="auto"/>
            <w:left w:val="none" w:sz="0" w:space="0" w:color="auto"/>
            <w:bottom w:val="none" w:sz="0" w:space="0" w:color="auto"/>
            <w:right w:val="none" w:sz="0" w:space="0" w:color="auto"/>
          </w:divBdr>
        </w:div>
        <w:div w:id="1792742913">
          <w:marLeft w:val="0"/>
          <w:marRight w:val="0"/>
          <w:marTop w:val="0"/>
          <w:marBottom w:val="0"/>
          <w:divBdr>
            <w:top w:val="none" w:sz="0" w:space="0" w:color="auto"/>
            <w:left w:val="none" w:sz="0" w:space="0" w:color="auto"/>
            <w:bottom w:val="none" w:sz="0" w:space="0" w:color="auto"/>
            <w:right w:val="none" w:sz="0" w:space="0" w:color="auto"/>
          </w:divBdr>
        </w:div>
      </w:divsChild>
    </w:div>
    <w:div w:id="876352737">
      <w:bodyDiv w:val="1"/>
      <w:marLeft w:val="0"/>
      <w:marRight w:val="0"/>
      <w:marTop w:val="0"/>
      <w:marBottom w:val="0"/>
      <w:divBdr>
        <w:top w:val="none" w:sz="0" w:space="0" w:color="auto"/>
        <w:left w:val="none" w:sz="0" w:space="0" w:color="auto"/>
        <w:bottom w:val="none" w:sz="0" w:space="0" w:color="auto"/>
        <w:right w:val="none" w:sz="0" w:space="0" w:color="auto"/>
      </w:divBdr>
    </w:div>
    <w:div w:id="965428905">
      <w:bodyDiv w:val="1"/>
      <w:marLeft w:val="0"/>
      <w:marRight w:val="0"/>
      <w:marTop w:val="0"/>
      <w:marBottom w:val="0"/>
      <w:divBdr>
        <w:top w:val="none" w:sz="0" w:space="0" w:color="auto"/>
        <w:left w:val="none" w:sz="0" w:space="0" w:color="auto"/>
        <w:bottom w:val="none" w:sz="0" w:space="0" w:color="auto"/>
        <w:right w:val="none" w:sz="0" w:space="0" w:color="auto"/>
      </w:divBdr>
    </w:div>
    <w:div w:id="987247640">
      <w:bodyDiv w:val="1"/>
      <w:marLeft w:val="0"/>
      <w:marRight w:val="0"/>
      <w:marTop w:val="0"/>
      <w:marBottom w:val="0"/>
      <w:divBdr>
        <w:top w:val="none" w:sz="0" w:space="0" w:color="auto"/>
        <w:left w:val="none" w:sz="0" w:space="0" w:color="auto"/>
        <w:bottom w:val="none" w:sz="0" w:space="0" w:color="auto"/>
        <w:right w:val="none" w:sz="0" w:space="0" w:color="auto"/>
      </w:divBdr>
      <w:divsChild>
        <w:div w:id="867567139">
          <w:marLeft w:val="0"/>
          <w:marRight w:val="0"/>
          <w:marTop w:val="0"/>
          <w:marBottom w:val="0"/>
          <w:divBdr>
            <w:top w:val="none" w:sz="0" w:space="0" w:color="auto"/>
            <w:left w:val="none" w:sz="0" w:space="0" w:color="auto"/>
            <w:bottom w:val="none" w:sz="0" w:space="0" w:color="auto"/>
            <w:right w:val="none" w:sz="0" w:space="0" w:color="auto"/>
          </w:divBdr>
        </w:div>
        <w:div w:id="1996377512">
          <w:marLeft w:val="0"/>
          <w:marRight w:val="0"/>
          <w:marTop w:val="0"/>
          <w:marBottom w:val="0"/>
          <w:divBdr>
            <w:top w:val="none" w:sz="0" w:space="0" w:color="auto"/>
            <w:left w:val="none" w:sz="0" w:space="0" w:color="auto"/>
            <w:bottom w:val="none" w:sz="0" w:space="0" w:color="auto"/>
            <w:right w:val="none" w:sz="0" w:space="0" w:color="auto"/>
          </w:divBdr>
        </w:div>
      </w:divsChild>
    </w:div>
    <w:div w:id="991834561">
      <w:bodyDiv w:val="1"/>
      <w:marLeft w:val="0"/>
      <w:marRight w:val="0"/>
      <w:marTop w:val="0"/>
      <w:marBottom w:val="0"/>
      <w:divBdr>
        <w:top w:val="none" w:sz="0" w:space="0" w:color="auto"/>
        <w:left w:val="none" w:sz="0" w:space="0" w:color="auto"/>
        <w:bottom w:val="none" w:sz="0" w:space="0" w:color="auto"/>
        <w:right w:val="none" w:sz="0" w:space="0" w:color="auto"/>
      </w:divBdr>
      <w:divsChild>
        <w:div w:id="1096973657">
          <w:marLeft w:val="0"/>
          <w:marRight w:val="0"/>
          <w:marTop w:val="0"/>
          <w:marBottom w:val="0"/>
          <w:divBdr>
            <w:top w:val="none" w:sz="0" w:space="0" w:color="auto"/>
            <w:left w:val="none" w:sz="0" w:space="0" w:color="auto"/>
            <w:bottom w:val="none" w:sz="0" w:space="0" w:color="auto"/>
            <w:right w:val="none" w:sz="0" w:space="0" w:color="auto"/>
          </w:divBdr>
        </w:div>
        <w:div w:id="1875580682">
          <w:marLeft w:val="0"/>
          <w:marRight w:val="0"/>
          <w:marTop w:val="0"/>
          <w:marBottom w:val="0"/>
          <w:divBdr>
            <w:top w:val="none" w:sz="0" w:space="0" w:color="auto"/>
            <w:left w:val="none" w:sz="0" w:space="0" w:color="auto"/>
            <w:bottom w:val="none" w:sz="0" w:space="0" w:color="auto"/>
            <w:right w:val="none" w:sz="0" w:space="0" w:color="auto"/>
          </w:divBdr>
        </w:div>
        <w:div w:id="1927688133">
          <w:marLeft w:val="0"/>
          <w:marRight w:val="0"/>
          <w:marTop w:val="0"/>
          <w:marBottom w:val="0"/>
          <w:divBdr>
            <w:top w:val="none" w:sz="0" w:space="0" w:color="auto"/>
            <w:left w:val="none" w:sz="0" w:space="0" w:color="auto"/>
            <w:bottom w:val="none" w:sz="0" w:space="0" w:color="auto"/>
            <w:right w:val="none" w:sz="0" w:space="0" w:color="auto"/>
          </w:divBdr>
        </w:div>
      </w:divsChild>
    </w:div>
    <w:div w:id="1011882079">
      <w:bodyDiv w:val="1"/>
      <w:marLeft w:val="0"/>
      <w:marRight w:val="0"/>
      <w:marTop w:val="0"/>
      <w:marBottom w:val="0"/>
      <w:divBdr>
        <w:top w:val="none" w:sz="0" w:space="0" w:color="auto"/>
        <w:left w:val="none" w:sz="0" w:space="0" w:color="auto"/>
        <w:bottom w:val="none" w:sz="0" w:space="0" w:color="auto"/>
        <w:right w:val="none" w:sz="0" w:space="0" w:color="auto"/>
      </w:divBdr>
    </w:div>
    <w:div w:id="1026324179">
      <w:bodyDiv w:val="1"/>
      <w:marLeft w:val="0"/>
      <w:marRight w:val="0"/>
      <w:marTop w:val="0"/>
      <w:marBottom w:val="0"/>
      <w:divBdr>
        <w:top w:val="none" w:sz="0" w:space="0" w:color="auto"/>
        <w:left w:val="none" w:sz="0" w:space="0" w:color="auto"/>
        <w:bottom w:val="none" w:sz="0" w:space="0" w:color="auto"/>
        <w:right w:val="none" w:sz="0" w:space="0" w:color="auto"/>
      </w:divBdr>
      <w:divsChild>
        <w:div w:id="912351477">
          <w:marLeft w:val="0"/>
          <w:marRight w:val="0"/>
          <w:marTop w:val="0"/>
          <w:marBottom w:val="0"/>
          <w:divBdr>
            <w:top w:val="none" w:sz="0" w:space="0" w:color="auto"/>
            <w:left w:val="none" w:sz="0" w:space="0" w:color="auto"/>
            <w:bottom w:val="none" w:sz="0" w:space="0" w:color="auto"/>
            <w:right w:val="none" w:sz="0" w:space="0" w:color="auto"/>
          </w:divBdr>
        </w:div>
        <w:div w:id="1898201210">
          <w:marLeft w:val="0"/>
          <w:marRight w:val="0"/>
          <w:marTop w:val="0"/>
          <w:marBottom w:val="0"/>
          <w:divBdr>
            <w:top w:val="none" w:sz="0" w:space="0" w:color="auto"/>
            <w:left w:val="none" w:sz="0" w:space="0" w:color="auto"/>
            <w:bottom w:val="none" w:sz="0" w:space="0" w:color="auto"/>
            <w:right w:val="none" w:sz="0" w:space="0" w:color="auto"/>
          </w:divBdr>
        </w:div>
      </w:divsChild>
    </w:div>
    <w:div w:id="1051997167">
      <w:bodyDiv w:val="1"/>
      <w:marLeft w:val="0"/>
      <w:marRight w:val="0"/>
      <w:marTop w:val="0"/>
      <w:marBottom w:val="0"/>
      <w:divBdr>
        <w:top w:val="none" w:sz="0" w:space="0" w:color="auto"/>
        <w:left w:val="none" w:sz="0" w:space="0" w:color="auto"/>
        <w:bottom w:val="none" w:sz="0" w:space="0" w:color="auto"/>
        <w:right w:val="none" w:sz="0" w:space="0" w:color="auto"/>
      </w:divBdr>
    </w:div>
    <w:div w:id="1065185753">
      <w:bodyDiv w:val="1"/>
      <w:marLeft w:val="0"/>
      <w:marRight w:val="0"/>
      <w:marTop w:val="0"/>
      <w:marBottom w:val="0"/>
      <w:divBdr>
        <w:top w:val="none" w:sz="0" w:space="0" w:color="auto"/>
        <w:left w:val="none" w:sz="0" w:space="0" w:color="auto"/>
        <w:bottom w:val="none" w:sz="0" w:space="0" w:color="auto"/>
        <w:right w:val="none" w:sz="0" w:space="0" w:color="auto"/>
      </w:divBdr>
      <w:divsChild>
        <w:div w:id="93400162">
          <w:marLeft w:val="0"/>
          <w:marRight w:val="0"/>
          <w:marTop w:val="0"/>
          <w:marBottom w:val="0"/>
          <w:divBdr>
            <w:top w:val="none" w:sz="0" w:space="0" w:color="auto"/>
            <w:left w:val="none" w:sz="0" w:space="0" w:color="auto"/>
            <w:bottom w:val="none" w:sz="0" w:space="0" w:color="auto"/>
            <w:right w:val="none" w:sz="0" w:space="0" w:color="auto"/>
          </w:divBdr>
        </w:div>
        <w:div w:id="842161357">
          <w:marLeft w:val="0"/>
          <w:marRight w:val="0"/>
          <w:marTop w:val="0"/>
          <w:marBottom w:val="0"/>
          <w:divBdr>
            <w:top w:val="none" w:sz="0" w:space="0" w:color="auto"/>
            <w:left w:val="none" w:sz="0" w:space="0" w:color="auto"/>
            <w:bottom w:val="none" w:sz="0" w:space="0" w:color="auto"/>
            <w:right w:val="none" w:sz="0" w:space="0" w:color="auto"/>
          </w:divBdr>
        </w:div>
      </w:divsChild>
    </w:div>
    <w:div w:id="1110469967">
      <w:bodyDiv w:val="1"/>
      <w:marLeft w:val="0"/>
      <w:marRight w:val="0"/>
      <w:marTop w:val="0"/>
      <w:marBottom w:val="0"/>
      <w:divBdr>
        <w:top w:val="none" w:sz="0" w:space="0" w:color="auto"/>
        <w:left w:val="none" w:sz="0" w:space="0" w:color="auto"/>
        <w:bottom w:val="none" w:sz="0" w:space="0" w:color="auto"/>
        <w:right w:val="none" w:sz="0" w:space="0" w:color="auto"/>
      </w:divBdr>
      <w:divsChild>
        <w:div w:id="541595951">
          <w:marLeft w:val="0"/>
          <w:marRight w:val="0"/>
          <w:marTop w:val="0"/>
          <w:marBottom w:val="0"/>
          <w:divBdr>
            <w:top w:val="none" w:sz="0" w:space="0" w:color="auto"/>
            <w:left w:val="none" w:sz="0" w:space="0" w:color="auto"/>
            <w:bottom w:val="none" w:sz="0" w:space="0" w:color="auto"/>
            <w:right w:val="none" w:sz="0" w:space="0" w:color="auto"/>
          </w:divBdr>
        </w:div>
        <w:div w:id="980693461">
          <w:marLeft w:val="0"/>
          <w:marRight w:val="0"/>
          <w:marTop w:val="0"/>
          <w:marBottom w:val="0"/>
          <w:divBdr>
            <w:top w:val="none" w:sz="0" w:space="0" w:color="auto"/>
            <w:left w:val="none" w:sz="0" w:space="0" w:color="auto"/>
            <w:bottom w:val="none" w:sz="0" w:space="0" w:color="auto"/>
            <w:right w:val="none" w:sz="0" w:space="0" w:color="auto"/>
          </w:divBdr>
        </w:div>
      </w:divsChild>
    </w:div>
    <w:div w:id="1146818949">
      <w:bodyDiv w:val="1"/>
      <w:marLeft w:val="0"/>
      <w:marRight w:val="0"/>
      <w:marTop w:val="0"/>
      <w:marBottom w:val="0"/>
      <w:divBdr>
        <w:top w:val="none" w:sz="0" w:space="0" w:color="auto"/>
        <w:left w:val="none" w:sz="0" w:space="0" w:color="auto"/>
        <w:bottom w:val="none" w:sz="0" w:space="0" w:color="auto"/>
        <w:right w:val="none" w:sz="0" w:space="0" w:color="auto"/>
      </w:divBdr>
      <w:divsChild>
        <w:div w:id="974868991">
          <w:marLeft w:val="0"/>
          <w:marRight w:val="0"/>
          <w:marTop w:val="0"/>
          <w:marBottom w:val="0"/>
          <w:divBdr>
            <w:top w:val="none" w:sz="0" w:space="0" w:color="auto"/>
            <w:left w:val="none" w:sz="0" w:space="0" w:color="auto"/>
            <w:bottom w:val="none" w:sz="0" w:space="0" w:color="auto"/>
            <w:right w:val="none" w:sz="0" w:space="0" w:color="auto"/>
          </w:divBdr>
        </w:div>
        <w:div w:id="1024599992">
          <w:marLeft w:val="0"/>
          <w:marRight w:val="0"/>
          <w:marTop w:val="0"/>
          <w:marBottom w:val="0"/>
          <w:divBdr>
            <w:top w:val="none" w:sz="0" w:space="0" w:color="auto"/>
            <w:left w:val="none" w:sz="0" w:space="0" w:color="auto"/>
            <w:bottom w:val="none" w:sz="0" w:space="0" w:color="auto"/>
            <w:right w:val="none" w:sz="0" w:space="0" w:color="auto"/>
          </w:divBdr>
        </w:div>
      </w:divsChild>
    </w:div>
    <w:div w:id="1161308679">
      <w:bodyDiv w:val="1"/>
      <w:marLeft w:val="0"/>
      <w:marRight w:val="0"/>
      <w:marTop w:val="0"/>
      <w:marBottom w:val="0"/>
      <w:divBdr>
        <w:top w:val="none" w:sz="0" w:space="0" w:color="auto"/>
        <w:left w:val="none" w:sz="0" w:space="0" w:color="auto"/>
        <w:bottom w:val="none" w:sz="0" w:space="0" w:color="auto"/>
        <w:right w:val="none" w:sz="0" w:space="0" w:color="auto"/>
      </w:divBdr>
      <w:divsChild>
        <w:div w:id="317348696">
          <w:marLeft w:val="0"/>
          <w:marRight w:val="0"/>
          <w:marTop w:val="0"/>
          <w:marBottom w:val="0"/>
          <w:divBdr>
            <w:top w:val="none" w:sz="0" w:space="0" w:color="auto"/>
            <w:left w:val="none" w:sz="0" w:space="0" w:color="auto"/>
            <w:bottom w:val="none" w:sz="0" w:space="0" w:color="auto"/>
            <w:right w:val="none" w:sz="0" w:space="0" w:color="auto"/>
          </w:divBdr>
        </w:div>
        <w:div w:id="1558542633">
          <w:marLeft w:val="0"/>
          <w:marRight w:val="0"/>
          <w:marTop w:val="0"/>
          <w:marBottom w:val="0"/>
          <w:divBdr>
            <w:top w:val="none" w:sz="0" w:space="0" w:color="auto"/>
            <w:left w:val="none" w:sz="0" w:space="0" w:color="auto"/>
            <w:bottom w:val="none" w:sz="0" w:space="0" w:color="auto"/>
            <w:right w:val="none" w:sz="0" w:space="0" w:color="auto"/>
          </w:divBdr>
        </w:div>
      </w:divsChild>
    </w:div>
    <w:div w:id="1173178948">
      <w:bodyDiv w:val="1"/>
      <w:marLeft w:val="0"/>
      <w:marRight w:val="0"/>
      <w:marTop w:val="0"/>
      <w:marBottom w:val="0"/>
      <w:divBdr>
        <w:top w:val="none" w:sz="0" w:space="0" w:color="auto"/>
        <w:left w:val="none" w:sz="0" w:space="0" w:color="auto"/>
        <w:bottom w:val="none" w:sz="0" w:space="0" w:color="auto"/>
        <w:right w:val="none" w:sz="0" w:space="0" w:color="auto"/>
      </w:divBdr>
      <w:divsChild>
        <w:div w:id="151681501">
          <w:marLeft w:val="0"/>
          <w:marRight w:val="0"/>
          <w:marTop w:val="0"/>
          <w:marBottom w:val="0"/>
          <w:divBdr>
            <w:top w:val="none" w:sz="0" w:space="0" w:color="auto"/>
            <w:left w:val="none" w:sz="0" w:space="0" w:color="auto"/>
            <w:bottom w:val="none" w:sz="0" w:space="0" w:color="auto"/>
            <w:right w:val="none" w:sz="0" w:space="0" w:color="auto"/>
          </w:divBdr>
        </w:div>
        <w:div w:id="214322392">
          <w:marLeft w:val="0"/>
          <w:marRight w:val="0"/>
          <w:marTop w:val="0"/>
          <w:marBottom w:val="0"/>
          <w:divBdr>
            <w:top w:val="none" w:sz="0" w:space="0" w:color="auto"/>
            <w:left w:val="none" w:sz="0" w:space="0" w:color="auto"/>
            <w:bottom w:val="none" w:sz="0" w:space="0" w:color="auto"/>
            <w:right w:val="none" w:sz="0" w:space="0" w:color="auto"/>
          </w:divBdr>
        </w:div>
        <w:div w:id="571626969">
          <w:marLeft w:val="0"/>
          <w:marRight w:val="0"/>
          <w:marTop w:val="0"/>
          <w:marBottom w:val="0"/>
          <w:divBdr>
            <w:top w:val="none" w:sz="0" w:space="0" w:color="auto"/>
            <w:left w:val="none" w:sz="0" w:space="0" w:color="auto"/>
            <w:bottom w:val="none" w:sz="0" w:space="0" w:color="auto"/>
            <w:right w:val="none" w:sz="0" w:space="0" w:color="auto"/>
          </w:divBdr>
        </w:div>
      </w:divsChild>
    </w:div>
    <w:div w:id="1212303818">
      <w:bodyDiv w:val="1"/>
      <w:marLeft w:val="0"/>
      <w:marRight w:val="0"/>
      <w:marTop w:val="0"/>
      <w:marBottom w:val="0"/>
      <w:divBdr>
        <w:top w:val="none" w:sz="0" w:space="0" w:color="auto"/>
        <w:left w:val="none" w:sz="0" w:space="0" w:color="auto"/>
        <w:bottom w:val="none" w:sz="0" w:space="0" w:color="auto"/>
        <w:right w:val="none" w:sz="0" w:space="0" w:color="auto"/>
      </w:divBdr>
    </w:div>
    <w:div w:id="1238201933">
      <w:bodyDiv w:val="1"/>
      <w:marLeft w:val="0"/>
      <w:marRight w:val="0"/>
      <w:marTop w:val="0"/>
      <w:marBottom w:val="0"/>
      <w:divBdr>
        <w:top w:val="none" w:sz="0" w:space="0" w:color="auto"/>
        <w:left w:val="none" w:sz="0" w:space="0" w:color="auto"/>
        <w:bottom w:val="none" w:sz="0" w:space="0" w:color="auto"/>
        <w:right w:val="none" w:sz="0" w:space="0" w:color="auto"/>
      </w:divBdr>
      <w:divsChild>
        <w:div w:id="659696775">
          <w:marLeft w:val="0"/>
          <w:marRight w:val="0"/>
          <w:marTop w:val="0"/>
          <w:marBottom w:val="0"/>
          <w:divBdr>
            <w:top w:val="none" w:sz="0" w:space="0" w:color="auto"/>
            <w:left w:val="none" w:sz="0" w:space="0" w:color="auto"/>
            <w:bottom w:val="none" w:sz="0" w:space="0" w:color="auto"/>
            <w:right w:val="none" w:sz="0" w:space="0" w:color="auto"/>
          </w:divBdr>
        </w:div>
        <w:div w:id="1449356390">
          <w:marLeft w:val="0"/>
          <w:marRight w:val="0"/>
          <w:marTop w:val="0"/>
          <w:marBottom w:val="0"/>
          <w:divBdr>
            <w:top w:val="none" w:sz="0" w:space="0" w:color="auto"/>
            <w:left w:val="none" w:sz="0" w:space="0" w:color="auto"/>
            <w:bottom w:val="none" w:sz="0" w:space="0" w:color="auto"/>
            <w:right w:val="none" w:sz="0" w:space="0" w:color="auto"/>
          </w:divBdr>
        </w:div>
      </w:divsChild>
    </w:div>
    <w:div w:id="1282959792">
      <w:bodyDiv w:val="1"/>
      <w:marLeft w:val="0"/>
      <w:marRight w:val="0"/>
      <w:marTop w:val="0"/>
      <w:marBottom w:val="0"/>
      <w:divBdr>
        <w:top w:val="none" w:sz="0" w:space="0" w:color="auto"/>
        <w:left w:val="none" w:sz="0" w:space="0" w:color="auto"/>
        <w:bottom w:val="none" w:sz="0" w:space="0" w:color="auto"/>
        <w:right w:val="none" w:sz="0" w:space="0" w:color="auto"/>
      </w:divBdr>
      <w:divsChild>
        <w:div w:id="401222624">
          <w:marLeft w:val="0"/>
          <w:marRight w:val="0"/>
          <w:marTop w:val="0"/>
          <w:marBottom w:val="0"/>
          <w:divBdr>
            <w:top w:val="none" w:sz="0" w:space="0" w:color="auto"/>
            <w:left w:val="none" w:sz="0" w:space="0" w:color="auto"/>
            <w:bottom w:val="none" w:sz="0" w:space="0" w:color="auto"/>
            <w:right w:val="none" w:sz="0" w:space="0" w:color="auto"/>
          </w:divBdr>
        </w:div>
        <w:div w:id="702947834">
          <w:marLeft w:val="0"/>
          <w:marRight w:val="0"/>
          <w:marTop w:val="0"/>
          <w:marBottom w:val="0"/>
          <w:divBdr>
            <w:top w:val="none" w:sz="0" w:space="0" w:color="auto"/>
            <w:left w:val="none" w:sz="0" w:space="0" w:color="auto"/>
            <w:bottom w:val="none" w:sz="0" w:space="0" w:color="auto"/>
            <w:right w:val="none" w:sz="0" w:space="0" w:color="auto"/>
          </w:divBdr>
        </w:div>
      </w:divsChild>
    </w:div>
    <w:div w:id="1299067188">
      <w:bodyDiv w:val="1"/>
      <w:marLeft w:val="0"/>
      <w:marRight w:val="0"/>
      <w:marTop w:val="0"/>
      <w:marBottom w:val="0"/>
      <w:divBdr>
        <w:top w:val="none" w:sz="0" w:space="0" w:color="auto"/>
        <w:left w:val="none" w:sz="0" w:space="0" w:color="auto"/>
        <w:bottom w:val="none" w:sz="0" w:space="0" w:color="auto"/>
        <w:right w:val="none" w:sz="0" w:space="0" w:color="auto"/>
      </w:divBdr>
    </w:div>
    <w:div w:id="1405646358">
      <w:bodyDiv w:val="1"/>
      <w:marLeft w:val="0"/>
      <w:marRight w:val="0"/>
      <w:marTop w:val="0"/>
      <w:marBottom w:val="0"/>
      <w:divBdr>
        <w:top w:val="none" w:sz="0" w:space="0" w:color="auto"/>
        <w:left w:val="none" w:sz="0" w:space="0" w:color="auto"/>
        <w:bottom w:val="none" w:sz="0" w:space="0" w:color="auto"/>
        <w:right w:val="none" w:sz="0" w:space="0" w:color="auto"/>
      </w:divBdr>
      <w:divsChild>
        <w:div w:id="833374332">
          <w:marLeft w:val="0"/>
          <w:marRight w:val="0"/>
          <w:marTop w:val="0"/>
          <w:marBottom w:val="0"/>
          <w:divBdr>
            <w:top w:val="none" w:sz="0" w:space="0" w:color="auto"/>
            <w:left w:val="none" w:sz="0" w:space="0" w:color="auto"/>
            <w:bottom w:val="none" w:sz="0" w:space="0" w:color="auto"/>
            <w:right w:val="none" w:sz="0" w:space="0" w:color="auto"/>
          </w:divBdr>
        </w:div>
        <w:div w:id="882249488">
          <w:marLeft w:val="0"/>
          <w:marRight w:val="0"/>
          <w:marTop w:val="0"/>
          <w:marBottom w:val="0"/>
          <w:divBdr>
            <w:top w:val="none" w:sz="0" w:space="0" w:color="auto"/>
            <w:left w:val="none" w:sz="0" w:space="0" w:color="auto"/>
            <w:bottom w:val="none" w:sz="0" w:space="0" w:color="auto"/>
            <w:right w:val="none" w:sz="0" w:space="0" w:color="auto"/>
          </w:divBdr>
        </w:div>
        <w:div w:id="941718024">
          <w:marLeft w:val="0"/>
          <w:marRight w:val="0"/>
          <w:marTop w:val="0"/>
          <w:marBottom w:val="0"/>
          <w:divBdr>
            <w:top w:val="none" w:sz="0" w:space="0" w:color="auto"/>
            <w:left w:val="none" w:sz="0" w:space="0" w:color="auto"/>
            <w:bottom w:val="none" w:sz="0" w:space="0" w:color="auto"/>
            <w:right w:val="none" w:sz="0" w:space="0" w:color="auto"/>
          </w:divBdr>
        </w:div>
        <w:div w:id="1416972785">
          <w:marLeft w:val="0"/>
          <w:marRight w:val="0"/>
          <w:marTop w:val="0"/>
          <w:marBottom w:val="0"/>
          <w:divBdr>
            <w:top w:val="none" w:sz="0" w:space="0" w:color="auto"/>
            <w:left w:val="none" w:sz="0" w:space="0" w:color="auto"/>
            <w:bottom w:val="none" w:sz="0" w:space="0" w:color="auto"/>
            <w:right w:val="none" w:sz="0" w:space="0" w:color="auto"/>
          </w:divBdr>
        </w:div>
        <w:div w:id="1825656846">
          <w:marLeft w:val="0"/>
          <w:marRight w:val="0"/>
          <w:marTop w:val="0"/>
          <w:marBottom w:val="0"/>
          <w:divBdr>
            <w:top w:val="none" w:sz="0" w:space="0" w:color="auto"/>
            <w:left w:val="none" w:sz="0" w:space="0" w:color="auto"/>
            <w:bottom w:val="none" w:sz="0" w:space="0" w:color="auto"/>
            <w:right w:val="none" w:sz="0" w:space="0" w:color="auto"/>
          </w:divBdr>
        </w:div>
        <w:div w:id="2018262458">
          <w:marLeft w:val="0"/>
          <w:marRight w:val="0"/>
          <w:marTop w:val="0"/>
          <w:marBottom w:val="0"/>
          <w:divBdr>
            <w:top w:val="none" w:sz="0" w:space="0" w:color="auto"/>
            <w:left w:val="none" w:sz="0" w:space="0" w:color="auto"/>
            <w:bottom w:val="none" w:sz="0" w:space="0" w:color="auto"/>
            <w:right w:val="none" w:sz="0" w:space="0" w:color="auto"/>
          </w:divBdr>
        </w:div>
      </w:divsChild>
    </w:div>
    <w:div w:id="1451319461">
      <w:bodyDiv w:val="1"/>
      <w:marLeft w:val="0"/>
      <w:marRight w:val="0"/>
      <w:marTop w:val="0"/>
      <w:marBottom w:val="0"/>
      <w:divBdr>
        <w:top w:val="none" w:sz="0" w:space="0" w:color="auto"/>
        <w:left w:val="none" w:sz="0" w:space="0" w:color="auto"/>
        <w:bottom w:val="none" w:sz="0" w:space="0" w:color="auto"/>
        <w:right w:val="none" w:sz="0" w:space="0" w:color="auto"/>
      </w:divBdr>
      <w:divsChild>
        <w:div w:id="706637224">
          <w:marLeft w:val="0"/>
          <w:marRight w:val="0"/>
          <w:marTop w:val="0"/>
          <w:marBottom w:val="0"/>
          <w:divBdr>
            <w:top w:val="none" w:sz="0" w:space="0" w:color="auto"/>
            <w:left w:val="none" w:sz="0" w:space="0" w:color="auto"/>
            <w:bottom w:val="none" w:sz="0" w:space="0" w:color="auto"/>
            <w:right w:val="none" w:sz="0" w:space="0" w:color="auto"/>
          </w:divBdr>
        </w:div>
        <w:div w:id="1992902166">
          <w:marLeft w:val="0"/>
          <w:marRight w:val="0"/>
          <w:marTop w:val="0"/>
          <w:marBottom w:val="0"/>
          <w:divBdr>
            <w:top w:val="none" w:sz="0" w:space="0" w:color="auto"/>
            <w:left w:val="none" w:sz="0" w:space="0" w:color="auto"/>
            <w:bottom w:val="none" w:sz="0" w:space="0" w:color="auto"/>
            <w:right w:val="none" w:sz="0" w:space="0" w:color="auto"/>
          </w:divBdr>
        </w:div>
      </w:divsChild>
    </w:div>
    <w:div w:id="1682969428">
      <w:bodyDiv w:val="1"/>
      <w:marLeft w:val="0"/>
      <w:marRight w:val="0"/>
      <w:marTop w:val="0"/>
      <w:marBottom w:val="0"/>
      <w:divBdr>
        <w:top w:val="none" w:sz="0" w:space="0" w:color="auto"/>
        <w:left w:val="none" w:sz="0" w:space="0" w:color="auto"/>
        <w:bottom w:val="none" w:sz="0" w:space="0" w:color="auto"/>
        <w:right w:val="none" w:sz="0" w:space="0" w:color="auto"/>
      </w:divBdr>
      <w:divsChild>
        <w:div w:id="1380477725">
          <w:marLeft w:val="0"/>
          <w:marRight w:val="0"/>
          <w:marTop w:val="0"/>
          <w:marBottom w:val="0"/>
          <w:divBdr>
            <w:top w:val="none" w:sz="0" w:space="0" w:color="auto"/>
            <w:left w:val="none" w:sz="0" w:space="0" w:color="auto"/>
            <w:bottom w:val="none" w:sz="0" w:space="0" w:color="auto"/>
            <w:right w:val="none" w:sz="0" w:space="0" w:color="auto"/>
          </w:divBdr>
        </w:div>
        <w:div w:id="1486815925">
          <w:marLeft w:val="0"/>
          <w:marRight w:val="0"/>
          <w:marTop w:val="0"/>
          <w:marBottom w:val="0"/>
          <w:divBdr>
            <w:top w:val="none" w:sz="0" w:space="0" w:color="auto"/>
            <w:left w:val="none" w:sz="0" w:space="0" w:color="auto"/>
            <w:bottom w:val="none" w:sz="0" w:space="0" w:color="auto"/>
            <w:right w:val="none" w:sz="0" w:space="0" w:color="auto"/>
          </w:divBdr>
        </w:div>
        <w:div w:id="2120710645">
          <w:marLeft w:val="0"/>
          <w:marRight w:val="0"/>
          <w:marTop w:val="0"/>
          <w:marBottom w:val="0"/>
          <w:divBdr>
            <w:top w:val="none" w:sz="0" w:space="0" w:color="auto"/>
            <w:left w:val="none" w:sz="0" w:space="0" w:color="auto"/>
            <w:bottom w:val="none" w:sz="0" w:space="0" w:color="auto"/>
            <w:right w:val="none" w:sz="0" w:space="0" w:color="auto"/>
          </w:divBdr>
        </w:div>
      </w:divsChild>
    </w:div>
    <w:div w:id="1732846088">
      <w:bodyDiv w:val="1"/>
      <w:marLeft w:val="0"/>
      <w:marRight w:val="0"/>
      <w:marTop w:val="0"/>
      <w:marBottom w:val="0"/>
      <w:divBdr>
        <w:top w:val="none" w:sz="0" w:space="0" w:color="auto"/>
        <w:left w:val="none" w:sz="0" w:space="0" w:color="auto"/>
        <w:bottom w:val="none" w:sz="0" w:space="0" w:color="auto"/>
        <w:right w:val="none" w:sz="0" w:space="0" w:color="auto"/>
      </w:divBdr>
      <w:divsChild>
        <w:div w:id="41760171">
          <w:marLeft w:val="0"/>
          <w:marRight w:val="0"/>
          <w:marTop w:val="0"/>
          <w:marBottom w:val="0"/>
          <w:divBdr>
            <w:top w:val="none" w:sz="0" w:space="0" w:color="auto"/>
            <w:left w:val="none" w:sz="0" w:space="0" w:color="auto"/>
            <w:bottom w:val="none" w:sz="0" w:space="0" w:color="auto"/>
            <w:right w:val="none" w:sz="0" w:space="0" w:color="auto"/>
          </w:divBdr>
        </w:div>
        <w:div w:id="1452044996">
          <w:marLeft w:val="0"/>
          <w:marRight w:val="0"/>
          <w:marTop w:val="0"/>
          <w:marBottom w:val="0"/>
          <w:divBdr>
            <w:top w:val="none" w:sz="0" w:space="0" w:color="auto"/>
            <w:left w:val="none" w:sz="0" w:space="0" w:color="auto"/>
            <w:bottom w:val="none" w:sz="0" w:space="0" w:color="auto"/>
            <w:right w:val="none" w:sz="0" w:space="0" w:color="auto"/>
          </w:divBdr>
        </w:div>
        <w:div w:id="1675959417">
          <w:marLeft w:val="0"/>
          <w:marRight w:val="0"/>
          <w:marTop w:val="0"/>
          <w:marBottom w:val="0"/>
          <w:divBdr>
            <w:top w:val="none" w:sz="0" w:space="0" w:color="auto"/>
            <w:left w:val="none" w:sz="0" w:space="0" w:color="auto"/>
            <w:bottom w:val="none" w:sz="0" w:space="0" w:color="auto"/>
            <w:right w:val="none" w:sz="0" w:space="0" w:color="auto"/>
          </w:divBdr>
        </w:div>
        <w:div w:id="1709716032">
          <w:marLeft w:val="0"/>
          <w:marRight w:val="0"/>
          <w:marTop w:val="0"/>
          <w:marBottom w:val="0"/>
          <w:divBdr>
            <w:top w:val="none" w:sz="0" w:space="0" w:color="auto"/>
            <w:left w:val="none" w:sz="0" w:space="0" w:color="auto"/>
            <w:bottom w:val="none" w:sz="0" w:space="0" w:color="auto"/>
            <w:right w:val="none" w:sz="0" w:space="0" w:color="auto"/>
          </w:divBdr>
        </w:div>
      </w:divsChild>
    </w:div>
    <w:div w:id="1733693522">
      <w:bodyDiv w:val="1"/>
      <w:marLeft w:val="0"/>
      <w:marRight w:val="0"/>
      <w:marTop w:val="0"/>
      <w:marBottom w:val="0"/>
      <w:divBdr>
        <w:top w:val="none" w:sz="0" w:space="0" w:color="auto"/>
        <w:left w:val="none" w:sz="0" w:space="0" w:color="auto"/>
        <w:bottom w:val="none" w:sz="0" w:space="0" w:color="auto"/>
        <w:right w:val="none" w:sz="0" w:space="0" w:color="auto"/>
      </w:divBdr>
      <w:divsChild>
        <w:div w:id="93022152">
          <w:marLeft w:val="0"/>
          <w:marRight w:val="0"/>
          <w:marTop w:val="0"/>
          <w:marBottom w:val="0"/>
          <w:divBdr>
            <w:top w:val="none" w:sz="0" w:space="0" w:color="auto"/>
            <w:left w:val="none" w:sz="0" w:space="0" w:color="auto"/>
            <w:bottom w:val="none" w:sz="0" w:space="0" w:color="auto"/>
            <w:right w:val="none" w:sz="0" w:space="0" w:color="auto"/>
          </w:divBdr>
        </w:div>
        <w:div w:id="320543052">
          <w:marLeft w:val="0"/>
          <w:marRight w:val="0"/>
          <w:marTop w:val="0"/>
          <w:marBottom w:val="0"/>
          <w:divBdr>
            <w:top w:val="none" w:sz="0" w:space="0" w:color="auto"/>
            <w:left w:val="none" w:sz="0" w:space="0" w:color="auto"/>
            <w:bottom w:val="none" w:sz="0" w:space="0" w:color="auto"/>
            <w:right w:val="none" w:sz="0" w:space="0" w:color="auto"/>
          </w:divBdr>
        </w:div>
        <w:div w:id="378557545">
          <w:marLeft w:val="0"/>
          <w:marRight w:val="0"/>
          <w:marTop w:val="0"/>
          <w:marBottom w:val="0"/>
          <w:divBdr>
            <w:top w:val="none" w:sz="0" w:space="0" w:color="auto"/>
            <w:left w:val="none" w:sz="0" w:space="0" w:color="auto"/>
            <w:bottom w:val="none" w:sz="0" w:space="0" w:color="auto"/>
            <w:right w:val="none" w:sz="0" w:space="0" w:color="auto"/>
          </w:divBdr>
        </w:div>
      </w:divsChild>
    </w:div>
    <w:div w:id="1741170183">
      <w:bodyDiv w:val="1"/>
      <w:marLeft w:val="0"/>
      <w:marRight w:val="0"/>
      <w:marTop w:val="0"/>
      <w:marBottom w:val="0"/>
      <w:divBdr>
        <w:top w:val="none" w:sz="0" w:space="0" w:color="auto"/>
        <w:left w:val="none" w:sz="0" w:space="0" w:color="auto"/>
        <w:bottom w:val="none" w:sz="0" w:space="0" w:color="auto"/>
        <w:right w:val="none" w:sz="0" w:space="0" w:color="auto"/>
      </w:divBdr>
      <w:divsChild>
        <w:div w:id="15466749">
          <w:marLeft w:val="0"/>
          <w:marRight w:val="0"/>
          <w:marTop w:val="0"/>
          <w:marBottom w:val="0"/>
          <w:divBdr>
            <w:top w:val="none" w:sz="0" w:space="0" w:color="auto"/>
            <w:left w:val="none" w:sz="0" w:space="0" w:color="auto"/>
            <w:bottom w:val="none" w:sz="0" w:space="0" w:color="auto"/>
            <w:right w:val="none" w:sz="0" w:space="0" w:color="auto"/>
          </w:divBdr>
        </w:div>
        <w:div w:id="21371260">
          <w:marLeft w:val="0"/>
          <w:marRight w:val="0"/>
          <w:marTop w:val="0"/>
          <w:marBottom w:val="0"/>
          <w:divBdr>
            <w:top w:val="none" w:sz="0" w:space="0" w:color="auto"/>
            <w:left w:val="none" w:sz="0" w:space="0" w:color="auto"/>
            <w:bottom w:val="none" w:sz="0" w:space="0" w:color="auto"/>
            <w:right w:val="none" w:sz="0" w:space="0" w:color="auto"/>
          </w:divBdr>
        </w:div>
        <w:div w:id="999968378">
          <w:marLeft w:val="0"/>
          <w:marRight w:val="0"/>
          <w:marTop w:val="0"/>
          <w:marBottom w:val="0"/>
          <w:divBdr>
            <w:top w:val="none" w:sz="0" w:space="0" w:color="auto"/>
            <w:left w:val="none" w:sz="0" w:space="0" w:color="auto"/>
            <w:bottom w:val="none" w:sz="0" w:space="0" w:color="auto"/>
            <w:right w:val="none" w:sz="0" w:space="0" w:color="auto"/>
          </w:divBdr>
        </w:div>
        <w:div w:id="1093285564">
          <w:marLeft w:val="0"/>
          <w:marRight w:val="0"/>
          <w:marTop w:val="0"/>
          <w:marBottom w:val="0"/>
          <w:divBdr>
            <w:top w:val="none" w:sz="0" w:space="0" w:color="auto"/>
            <w:left w:val="none" w:sz="0" w:space="0" w:color="auto"/>
            <w:bottom w:val="none" w:sz="0" w:space="0" w:color="auto"/>
            <w:right w:val="none" w:sz="0" w:space="0" w:color="auto"/>
          </w:divBdr>
        </w:div>
        <w:div w:id="1150945334">
          <w:marLeft w:val="0"/>
          <w:marRight w:val="0"/>
          <w:marTop w:val="0"/>
          <w:marBottom w:val="0"/>
          <w:divBdr>
            <w:top w:val="none" w:sz="0" w:space="0" w:color="auto"/>
            <w:left w:val="none" w:sz="0" w:space="0" w:color="auto"/>
            <w:bottom w:val="none" w:sz="0" w:space="0" w:color="auto"/>
            <w:right w:val="none" w:sz="0" w:space="0" w:color="auto"/>
          </w:divBdr>
        </w:div>
      </w:divsChild>
    </w:div>
    <w:div w:id="1770739942">
      <w:bodyDiv w:val="1"/>
      <w:marLeft w:val="0"/>
      <w:marRight w:val="0"/>
      <w:marTop w:val="0"/>
      <w:marBottom w:val="0"/>
      <w:divBdr>
        <w:top w:val="none" w:sz="0" w:space="0" w:color="auto"/>
        <w:left w:val="none" w:sz="0" w:space="0" w:color="auto"/>
        <w:bottom w:val="none" w:sz="0" w:space="0" w:color="auto"/>
        <w:right w:val="none" w:sz="0" w:space="0" w:color="auto"/>
      </w:divBdr>
    </w:div>
    <w:div w:id="1812795443">
      <w:bodyDiv w:val="1"/>
      <w:marLeft w:val="0"/>
      <w:marRight w:val="0"/>
      <w:marTop w:val="0"/>
      <w:marBottom w:val="0"/>
      <w:divBdr>
        <w:top w:val="none" w:sz="0" w:space="0" w:color="auto"/>
        <w:left w:val="none" w:sz="0" w:space="0" w:color="auto"/>
        <w:bottom w:val="none" w:sz="0" w:space="0" w:color="auto"/>
        <w:right w:val="none" w:sz="0" w:space="0" w:color="auto"/>
      </w:divBdr>
      <w:divsChild>
        <w:div w:id="407730117">
          <w:marLeft w:val="0"/>
          <w:marRight w:val="0"/>
          <w:marTop w:val="0"/>
          <w:marBottom w:val="0"/>
          <w:divBdr>
            <w:top w:val="none" w:sz="0" w:space="0" w:color="auto"/>
            <w:left w:val="none" w:sz="0" w:space="0" w:color="auto"/>
            <w:bottom w:val="none" w:sz="0" w:space="0" w:color="auto"/>
            <w:right w:val="none" w:sz="0" w:space="0" w:color="auto"/>
          </w:divBdr>
        </w:div>
        <w:div w:id="852646544">
          <w:marLeft w:val="0"/>
          <w:marRight w:val="0"/>
          <w:marTop w:val="0"/>
          <w:marBottom w:val="0"/>
          <w:divBdr>
            <w:top w:val="none" w:sz="0" w:space="0" w:color="auto"/>
            <w:left w:val="none" w:sz="0" w:space="0" w:color="auto"/>
            <w:bottom w:val="none" w:sz="0" w:space="0" w:color="auto"/>
            <w:right w:val="none" w:sz="0" w:space="0" w:color="auto"/>
          </w:divBdr>
        </w:div>
        <w:div w:id="1456750521">
          <w:marLeft w:val="0"/>
          <w:marRight w:val="0"/>
          <w:marTop w:val="0"/>
          <w:marBottom w:val="0"/>
          <w:divBdr>
            <w:top w:val="none" w:sz="0" w:space="0" w:color="auto"/>
            <w:left w:val="none" w:sz="0" w:space="0" w:color="auto"/>
            <w:bottom w:val="none" w:sz="0" w:space="0" w:color="auto"/>
            <w:right w:val="none" w:sz="0" w:space="0" w:color="auto"/>
          </w:divBdr>
        </w:div>
        <w:div w:id="2031301054">
          <w:marLeft w:val="0"/>
          <w:marRight w:val="0"/>
          <w:marTop w:val="0"/>
          <w:marBottom w:val="0"/>
          <w:divBdr>
            <w:top w:val="none" w:sz="0" w:space="0" w:color="auto"/>
            <w:left w:val="none" w:sz="0" w:space="0" w:color="auto"/>
            <w:bottom w:val="none" w:sz="0" w:space="0" w:color="auto"/>
            <w:right w:val="none" w:sz="0" w:space="0" w:color="auto"/>
          </w:divBdr>
        </w:div>
      </w:divsChild>
    </w:div>
    <w:div w:id="1883204952">
      <w:bodyDiv w:val="1"/>
      <w:marLeft w:val="0"/>
      <w:marRight w:val="0"/>
      <w:marTop w:val="0"/>
      <w:marBottom w:val="0"/>
      <w:divBdr>
        <w:top w:val="none" w:sz="0" w:space="0" w:color="auto"/>
        <w:left w:val="none" w:sz="0" w:space="0" w:color="auto"/>
        <w:bottom w:val="none" w:sz="0" w:space="0" w:color="auto"/>
        <w:right w:val="none" w:sz="0" w:space="0" w:color="auto"/>
      </w:divBdr>
      <w:divsChild>
        <w:div w:id="987172940">
          <w:marLeft w:val="0"/>
          <w:marRight w:val="0"/>
          <w:marTop w:val="0"/>
          <w:marBottom w:val="0"/>
          <w:divBdr>
            <w:top w:val="none" w:sz="0" w:space="0" w:color="auto"/>
            <w:left w:val="none" w:sz="0" w:space="0" w:color="auto"/>
            <w:bottom w:val="none" w:sz="0" w:space="0" w:color="auto"/>
            <w:right w:val="none" w:sz="0" w:space="0" w:color="auto"/>
          </w:divBdr>
        </w:div>
        <w:div w:id="1157725879">
          <w:marLeft w:val="0"/>
          <w:marRight w:val="0"/>
          <w:marTop w:val="0"/>
          <w:marBottom w:val="0"/>
          <w:divBdr>
            <w:top w:val="none" w:sz="0" w:space="0" w:color="auto"/>
            <w:left w:val="none" w:sz="0" w:space="0" w:color="auto"/>
            <w:bottom w:val="none" w:sz="0" w:space="0" w:color="auto"/>
            <w:right w:val="none" w:sz="0" w:space="0" w:color="auto"/>
          </w:divBdr>
        </w:div>
      </w:divsChild>
    </w:div>
    <w:div w:id="2056657082">
      <w:bodyDiv w:val="1"/>
      <w:marLeft w:val="0"/>
      <w:marRight w:val="0"/>
      <w:marTop w:val="0"/>
      <w:marBottom w:val="0"/>
      <w:divBdr>
        <w:top w:val="none" w:sz="0" w:space="0" w:color="auto"/>
        <w:left w:val="none" w:sz="0" w:space="0" w:color="auto"/>
        <w:bottom w:val="none" w:sz="0" w:space="0" w:color="auto"/>
        <w:right w:val="none" w:sz="0" w:space="0" w:color="auto"/>
      </w:divBdr>
    </w:div>
    <w:div w:id="2100905303">
      <w:bodyDiv w:val="1"/>
      <w:marLeft w:val="0"/>
      <w:marRight w:val="0"/>
      <w:marTop w:val="0"/>
      <w:marBottom w:val="0"/>
      <w:divBdr>
        <w:top w:val="none" w:sz="0" w:space="0" w:color="auto"/>
        <w:left w:val="none" w:sz="0" w:space="0" w:color="auto"/>
        <w:bottom w:val="none" w:sz="0" w:space="0" w:color="auto"/>
        <w:right w:val="none" w:sz="0" w:space="0" w:color="auto"/>
      </w:divBdr>
      <w:divsChild>
        <w:div w:id="1179127178">
          <w:marLeft w:val="0"/>
          <w:marRight w:val="0"/>
          <w:marTop w:val="0"/>
          <w:marBottom w:val="0"/>
          <w:divBdr>
            <w:top w:val="none" w:sz="0" w:space="0" w:color="auto"/>
            <w:left w:val="none" w:sz="0" w:space="0" w:color="auto"/>
            <w:bottom w:val="none" w:sz="0" w:space="0" w:color="auto"/>
            <w:right w:val="none" w:sz="0" w:space="0" w:color="auto"/>
          </w:divBdr>
        </w:div>
        <w:div w:id="1207914050">
          <w:marLeft w:val="0"/>
          <w:marRight w:val="0"/>
          <w:marTop w:val="0"/>
          <w:marBottom w:val="0"/>
          <w:divBdr>
            <w:top w:val="none" w:sz="0" w:space="0" w:color="auto"/>
            <w:left w:val="none" w:sz="0" w:space="0" w:color="auto"/>
            <w:bottom w:val="none" w:sz="0" w:space="0" w:color="auto"/>
            <w:right w:val="none" w:sz="0" w:space="0" w:color="auto"/>
          </w:divBdr>
        </w:div>
      </w:divsChild>
    </w:div>
    <w:div w:id="2119716121">
      <w:bodyDiv w:val="1"/>
      <w:marLeft w:val="0"/>
      <w:marRight w:val="0"/>
      <w:marTop w:val="0"/>
      <w:marBottom w:val="0"/>
      <w:divBdr>
        <w:top w:val="none" w:sz="0" w:space="0" w:color="auto"/>
        <w:left w:val="none" w:sz="0" w:space="0" w:color="auto"/>
        <w:bottom w:val="none" w:sz="0" w:space="0" w:color="auto"/>
        <w:right w:val="none" w:sz="0" w:space="0" w:color="auto"/>
      </w:divBdr>
    </w:div>
    <w:div w:id="2119791748">
      <w:bodyDiv w:val="1"/>
      <w:marLeft w:val="0"/>
      <w:marRight w:val="0"/>
      <w:marTop w:val="0"/>
      <w:marBottom w:val="0"/>
      <w:divBdr>
        <w:top w:val="none" w:sz="0" w:space="0" w:color="auto"/>
        <w:left w:val="none" w:sz="0" w:space="0" w:color="auto"/>
        <w:bottom w:val="none" w:sz="0" w:space="0" w:color="auto"/>
        <w:right w:val="none" w:sz="0" w:space="0" w:color="auto"/>
      </w:divBdr>
      <w:divsChild>
        <w:div w:id="151218082">
          <w:marLeft w:val="0"/>
          <w:marRight w:val="0"/>
          <w:marTop w:val="0"/>
          <w:marBottom w:val="0"/>
          <w:divBdr>
            <w:top w:val="none" w:sz="0" w:space="0" w:color="auto"/>
            <w:left w:val="none" w:sz="0" w:space="0" w:color="auto"/>
            <w:bottom w:val="none" w:sz="0" w:space="0" w:color="auto"/>
            <w:right w:val="none" w:sz="0" w:space="0" w:color="auto"/>
          </w:divBdr>
        </w:div>
        <w:div w:id="622227084">
          <w:marLeft w:val="0"/>
          <w:marRight w:val="0"/>
          <w:marTop w:val="0"/>
          <w:marBottom w:val="0"/>
          <w:divBdr>
            <w:top w:val="none" w:sz="0" w:space="0" w:color="auto"/>
            <w:left w:val="none" w:sz="0" w:space="0" w:color="auto"/>
            <w:bottom w:val="none" w:sz="0" w:space="0" w:color="auto"/>
            <w:right w:val="none" w:sz="0" w:space="0" w:color="auto"/>
          </w:divBdr>
        </w:div>
        <w:div w:id="749352336">
          <w:marLeft w:val="0"/>
          <w:marRight w:val="0"/>
          <w:marTop w:val="0"/>
          <w:marBottom w:val="0"/>
          <w:divBdr>
            <w:top w:val="none" w:sz="0" w:space="0" w:color="auto"/>
            <w:left w:val="none" w:sz="0" w:space="0" w:color="auto"/>
            <w:bottom w:val="none" w:sz="0" w:space="0" w:color="auto"/>
            <w:right w:val="none" w:sz="0" w:space="0" w:color="auto"/>
          </w:divBdr>
        </w:div>
        <w:div w:id="14538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539CB-1BDF-4142-AFF2-84D88D5D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8908</Words>
  <Characters>50779</Characters>
  <Application>Microsoft Office Word</Application>
  <DocSecurity>0</DocSecurity>
  <Lines>423</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Columbia University</Company>
  <LinksUpToDate>false</LinksUpToDate>
  <CharactersWithSpaces>59568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Constantinos N. Leonidou</cp:lastModifiedBy>
  <cp:revision>4</cp:revision>
  <cp:lastPrinted>2012-07-14T09:22:00Z</cp:lastPrinted>
  <dcterms:created xsi:type="dcterms:W3CDTF">2015-02-21T12:46:00Z</dcterms:created>
  <dcterms:modified xsi:type="dcterms:W3CDTF">2015-02-21T12:47:00Z</dcterms:modified>
</cp:coreProperties>
</file>