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76C03E" w14:textId="77777777" w:rsidR="00E975D4" w:rsidRPr="0099143B" w:rsidRDefault="00E975D4" w:rsidP="00876A6B">
      <w:pPr>
        <w:spacing w:before="100" w:beforeAutospacing="1" w:after="100" w:afterAutospacing="1" w:line="480" w:lineRule="auto"/>
        <w:jc w:val="both"/>
        <w:rPr>
          <w:rFonts w:cs="Times New Roman"/>
          <w:b/>
          <w:sz w:val="24"/>
        </w:rPr>
      </w:pPr>
      <w:r w:rsidRPr="0099143B">
        <w:rPr>
          <w:rFonts w:cs="Times New Roman"/>
          <w:b/>
          <w:sz w:val="24"/>
        </w:rPr>
        <w:t>Introduction</w:t>
      </w:r>
    </w:p>
    <w:p w14:paraId="77B9F0B9" w14:textId="77777777" w:rsidR="002A60F3" w:rsidRPr="00CC0B1F" w:rsidRDefault="00E975D4" w:rsidP="00CC0B1F">
      <w:pPr>
        <w:spacing w:line="480" w:lineRule="auto"/>
        <w:jc w:val="both"/>
        <w:rPr>
          <w:rFonts w:cs="Times New Roman"/>
          <w:sz w:val="24"/>
        </w:rPr>
      </w:pPr>
      <w:r w:rsidRPr="00CC0B1F">
        <w:rPr>
          <w:rFonts w:cs="Times New Roman"/>
          <w:sz w:val="24"/>
        </w:rPr>
        <w:t>A number of benevolent institutions aimed at improving the financial resilience of the working classes were established in Britain in the late 18th century. Most were formed with the express aim of enabling the working poor to protect themselves against the financial challenges presented by periods out of the labour market as a result of illness</w:t>
      </w:r>
      <w:r w:rsidR="00FF313B" w:rsidRPr="00CC0B1F">
        <w:rPr>
          <w:rFonts w:cs="Times New Roman"/>
          <w:sz w:val="24"/>
        </w:rPr>
        <w:t xml:space="preserve">, </w:t>
      </w:r>
      <w:r w:rsidRPr="00CC0B1F">
        <w:rPr>
          <w:rFonts w:cs="Times New Roman"/>
          <w:sz w:val="24"/>
        </w:rPr>
        <w:t xml:space="preserve">injury, </w:t>
      </w:r>
      <w:r w:rsidR="00FF313B" w:rsidRPr="00CC0B1F">
        <w:rPr>
          <w:rFonts w:cs="Times New Roman"/>
          <w:sz w:val="24"/>
        </w:rPr>
        <w:t xml:space="preserve">or </w:t>
      </w:r>
      <w:r w:rsidRPr="00CC0B1F">
        <w:rPr>
          <w:rFonts w:cs="Times New Roman"/>
          <w:sz w:val="24"/>
        </w:rPr>
        <w:t xml:space="preserve">old age.  The most popular early form of organised income protection was the friendly society, but </w:t>
      </w:r>
      <w:r w:rsidR="00EB6E91" w:rsidRPr="00CC0B1F">
        <w:rPr>
          <w:rFonts w:cs="Times New Roman"/>
          <w:sz w:val="24"/>
        </w:rPr>
        <w:t xml:space="preserve">a range of politicians and elite </w:t>
      </w:r>
      <w:r w:rsidR="00FF313B" w:rsidRPr="00CC0B1F">
        <w:rPr>
          <w:rFonts w:cs="Times New Roman"/>
          <w:sz w:val="24"/>
        </w:rPr>
        <w:t xml:space="preserve">interests </w:t>
      </w:r>
      <w:r w:rsidR="00EB6E91" w:rsidRPr="00CC0B1F">
        <w:rPr>
          <w:rFonts w:cs="Times New Roman"/>
          <w:sz w:val="24"/>
        </w:rPr>
        <w:t>actively promoted savings banks as safer and more socially desirable.</w:t>
      </w:r>
      <w:r w:rsidRPr="00CC0B1F">
        <w:rPr>
          <w:rFonts w:cs="Times New Roman"/>
          <w:sz w:val="24"/>
        </w:rPr>
        <w:t xml:space="preserve"> </w:t>
      </w:r>
      <w:r w:rsidR="00855B3D" w:rsidRPr="00CC0B1F">
        <w:rPr>
          <w:rFonts w:cs="Times New Roman"/>
          <w:sz w:val="24"/>
        </w:rPr>
        <w:t xml:space="preserve">Savings banks provided deposit facilities only, with maximum amounts for deposit set at levels that were judged to be sufficient for the needs of the working class. </w:t>
      </w:r>
      <w:r w:rsidRPr="00CC0B1F">
        <w:rPr>
          <w:rFonts w:cs="Times New Roman"/>
          <w:sz w:val="24"/>
        </w:rPr>
        <w:t xml:space="preserve">The </w:t>
      </w:r>
      <w:r w:rsidR="007110D3" w:rsidRPr="00CC0B1F">
        <w:rPr>
          <w:rFonts w:cs="Times New Roman"/>
          <w:sz w:val="24"/>
        </w:rPr>
        <w:t xml:space="preserve">first </w:t>
      </w:r>
      <w:r w:rsidRPr="00CC0B1F">
        <w:rPr>
          <w:rFonts w:cs="Times New Roman"/>
          <w:sz w:val="24"/>
        </w:rPr>
        <w:t xml:space="preserve">savings bank opened in Ruthwell, Scotland in 1810 proved an effective template for the rapid expansion of local banking institutions throughout Great Britain in the first half of the 19th century. </w:t>
      </w:r>
      <w:r w:rsidR="008900E2" w:rsidRPr="00CC0B1F">
        <w:rPr>
          <w:rFonts w:cs="Times New Roman"/>
          <w:sz w:val="24"/>
        </w:rPr>
        <w:t>By 1818</w:t>
      </w:r>
      <w:r w:rsidR="007110D3" w:rsidRPr="00CC0B1F">
        <w:rPr>
          <w:rFonts w:cs="Times New Roman"/>
          <w:sz w:val="24"/>
        </w:rPr>
        <w:t>, following the passing of legislation enabling the establ</w:t>
      </w:r>
      <w:r w:rsidR="00593B72" w:rsidRPr="00CC0B1F">
        <w:rPr>
          <w:rFonts w:cs="Times New Roman"/>
          <w:sz w:val="24"/>
        </w:rPr>
        <w:t>ishment of savings banks in 1817</w:t>
      </w:r>
      <w:r w:rsidR="007110D3" w:rsidRPr="00CC0B1F">
        <w:rPr>
          <w:rFonts w:cs="Times New Roman"/>
          <w:sz w:val="24"/>
        </w:rPr>
        <w:t>,</w:t>
      </w:r>
      <w:r w:rsidR="008900E2" w:rsidRPr="00CC0B1F">
        <w:rPr>
          <w:rFonts w:cs="Times New Roman"/>
          <w:sz w:val="24"/>
        </w:rPr>
        <w:t xml:space="preserve"> there were 283 t</w:t>
      </w:r>
      <w:r w:rsidR="007110D3" w:rsidRPr="00CC0B1F">
        <w:rPr>
          <w:rFonts w:cs="Times New Roman"/>
          <w:sz w:val="24"/>
        </w:rPr>
        <w:t>rustee</w:t>
      </w:r>
      <w:r w:rsidR="002A60F3" w:rsidRPr="00CC0B1F">
        <w:rPr>
          <w:rStyle w:val="EndnoteReference"/>
          <w:rFonts w:cs="Times New Roman"/>
          <w:sz w:val="24"/>
        </w:rPr>
        <w:endnoteReference w:id="1"/>
      </w:r>
      <w:r w:rsidR="007110D3" w:rsidRPr="00CC0B1F">
        <w:rPr>
          <w:rFonts w:cs="Times New Roman"/>
          <w:sz w:val="24"/>
        </w:rPr>
        <w:t xml:space="preserve"> savings banks</w:t>
      </w:r>
      <w:r w:rsidR="008900E2" w:rsidRPr="00CC0B1F">
        <w:rPr>
          <w:rFonts w:cs="Times New Roman"/>
          <w:sz w:val="24"/>
        </w:rPr>
        <w:t xml:space="preserve"> in England and Wales, with a further 182 in Scotland.  </w:t>
      </w:r>
    </w:p>
    <w:p w14:paraId="3354E01F" w14:textId="77777777" w:rsidR="006539EA" w:rsidRPr="00CC0B1F" w:rsidRDefault="006539EA" w:rsidP="00CC0B1F">
      <w:pPr>
        <w:spacing w:line="480" w:lineRule="auto"/>
        <w:jc w:val="both"/>
        <w:rPr>
          <w:rFonts w:cs="Times New Roman"/>
          <w:b/>
          <w:sz w:val="24"/>
        </w:rPr>
      </w:pPr>
      <w:r w:rsidRPr="00CC0B1F">
        <w:rPr>
          <w:rFonts w:cs="Times New Roman"/>
          <w:b/>
          <w:sz w:val="24"/>
        </w:rPr>
        <w:tab/>
      </w:r>
    </w:p>
    <w:p w14:paraId="5A26C2ED" w14:textId="77777777" w:rsidR="0032726A" w:rsidRPr="00CC0B1F" w:rsidRDefault="006539EA" w:rsidP="00CC0B1F">
      <w:pPr>
        <w:spacing w:line="480" w:lineRule="auto"/>
        <w:jc w:val="both"/>
        <w:rPr>
          <w:rFonts w:eastAsiaTheme="minorEastAsia" w:cs="Times New Roman"/>
          <w:sz w:val="24"/>
        </w:rPr>
      </w:pPr>
      <w:r w:rsidRPr="00CC0B1F">
        <w:rPr>
          <w:rFonts w:cs="Times New Roman"/>
          <w:sz w:val="24"/>
        </w:rPr>
        <w:t>The</w:t>
      </w:r>
      <w:r w:rsidRPr="00CC0B1F">
        <w:rPr>
          <w:rFonts w:cs="Times New Roman"/>
          <w:b/>
          <w:sz w:val="24"/>
        </w:rPr>
        <w:t xml:space="preserve"> </w:t>
      </w:r>
      <w:r w:rsidRPr="00CC0B1F">
        <w:rPr>
          <w:rFonts w:cs="Times New Roman"/>
          <w:sz w:val="24"/>
        </w:rPr>
        <w:t>existing literature on the growth and development of savings banks in Britain in the 19</w:t>
      </w:r>
      <w:r w:rsidRPr="00CC0B1F">
        <w:rPr>
          <w:rFonts w:cs="Times New Roman"/>
          <w:sz w:val="24"/>
          <w:vertAlign w:val="superscript"/>
        </w:rPr>
        <w:t>th</w:t>
      </w:r>
      <w:r w:rsidRPr="00CC0B1F">
        <w:rPr>
          <w:rFonts w:cs="Times New Roman"/>
          <w:sz w:val="24"/>
        </w:rPr>
        <w:t xml:space="preserve"> century is limited. Prior to Garon's study of savings institutions in the developed world</w:t>
      </w:r>
      <w:r w:rsidRPr="00CC0B1F">
        <w:rPr>
          <w:rStyle w:val="EndnoteReference"/>
          <w:rFonts w:cs="Times New Roman"/>
          <w:sz w:val="24"/>
        </w:rPr>
        <w:endnoteReference w:id="2"/>
      </w:r>
      <w:r w:rsidRPr="00CC0B1F">
        <w:rPr>
          <w:rFonts w:cs="Times New Roman"/>
          <w:sz w:val="24"/>
        </w:rPr>
        <w:t xml:space="preserve"> there have been only two general histories of British savings banks.</w:t>
      </w:r>
      <w:r w:rsidRPr="00CC0B1F">
        <w:rPr>
          <w:rStyle w:val="EndnoteReference"/>
          <w:rFonts w:cs="Times New Roman"/>
          <w:sz w:val="24"/>
        </w:rPr>
        <w:endnoteReference w:id="3"/>
      </w:r>
      <w:r w:rsidRPr="00CC0B1F">
        <w:rPr>
          <w:rFonts w:cs="Times New Roman"/>
          <w:sz w:val="24"/>
        </w:rPr>
        <w:t xml:space="preserve"> Research articles have been relatively few in number, and have concentrated on two areas: the class of investors</w:t>
      </w:r>
      <w:r w:rsidRPr="00CC0B1F">
        <w:rPr>
          <w:rStyle w:val="EndnoteReference"/>
          <w:rFonts w:cs="Times New Roman"/>
          <w:sz w:val="24"/>
        </w:rPr>
        <w:endnoteReference w:id="4"/>
      </w:r>
      <w:r w:rsidRPr="00CC0B1F">
        <w:rPr>
          <w:rFonts w:cs="Times New Roman"/>
          <w:sz w:val="24"/>
        </w:rPr>
        <w:t xml:space="preserve"> or local/regional studies of particular banks.</w:t>
      </w:r>
      <w:r w:rsidRPr="00CC0B1F">
        <w:rPr>
          <w:rStyle w:val="EndnoteReference"/>
          <w:rFonts w:cs="Times New Roman"/>
          <w:sz w:val="24"/>
        </w:rPr>
        <w:endnoteReference w:id="5"/>
      </w:r>
      <w:r w:rsidRPr="00CC0B1F">
        <w:rPr>
          <w:rFonts w:cs="Times New Roman"/>
          <w:sz w:val="24"/>
        </w:rPr>
        <w:t xml:space="preserve"> Within these studies the use of savings ledger data</w:t>
      </w:r>
      <w:r w:rsidR="00534CF1" w:rsidRPr="00CC0B1F">
        <w:rPr>
          <w:rFonts w:cs="Times New Roman"/>
          <w:sz w:val="24"/>
        </w:rPr>
        <w:t>,</w:t>
      </w:r>
      <w:r w:rsidRPr="00CC0B1F">
        <w:rPr>
          <w:rFonts w:cs="Times New Roman"/>
          <w:sz w:val="24"/>
        </w:rPr>
        <w:t xml:space="preserve"> and of gendered or family unit savings behavio</w:t>
      </w:r>
      <w:r w:rsidR="008021F9">
        <w:rPr>
          <w:rFonts w:cs="Times New Roman"/>
          <w:sz w:val="24"/>
        </w:rPr>
        <w:t>ur has attracted little interest although the recent work of Ross is an exception</w:t>
      </w:r>
      <w:r w:rsidRPr="00CC0B1F">
        <w:rPr>
          <w:rFonts w:cs="Times New Roman"/>
          <w:sz w:val="24"/>
        </w:rPr>
        <w:t>.</w:t>
      </w:r>
      <w:r w:rsidR="008021F9">
        <w:rPr>
          <w:rStyle w:val="EndnoteReference"/>
          <w:rFonts w:cs="Times New Roman"/>
          <w:sz w:val="24"/>
        </w:rPr>
        <w:endnoteReference w:id="6"/>
      </w:r>
      <w:r w:rsidRPr="00CC0B1F">
        <w:rPr>
          <w:rFonts w:cs="Times New Roman"/>
          <w:sz w:val="24"/>
        </w:rPr>
        <w:t xml:space="preserve"> </w:t>
      </w:r>
      <w:r w:rsidR="00534CF1" w:rsidRPr="00CC0B1F">
        <w:rPr>
          <w:rFonts w:cs="Times New Roman"/>
          <w:sz w:val="24"/>
        </w:rPr>
        <w:t xml:space="preserve">This neglect is difficult to explain because </w:t>
      </w:r>
      <w:r w:rsidRPr="00CC0B1F">
        <w:rPr>
          <w:rFonts w:eastAsiaTheme="minorEastAsia" w:cs="Times New Roman"/>
          <w:sz w:val="24"/>
        </w:rPr>
        <w:t xml:space="preserve">depositor data </w:t>
      </w:r>
      <w:r w:rsidR="00534CF1" w:rsidRPr="00CC0B1F">
        <w:rPr>
          <w:rFonts w:eastAsiaTheme="minorEastAsia" w:cs="Times New Roman"/>
          <w:sz w:val="24"/>
        </w:rPr>
        <w:t xml:space="preserve">is rich in detail and shows clear savings strategies in use amongst the small savers of this period. </w:t>
      </w:r>
    </w:p>
    <w:p w14:paraId="1C10EABF" w14:textId="77777777" w:rsidR="0032726A" w:rsidRPr="00CC0B1F" w:rsidRDefault="0032726A" w:rsidP="00CC0B1F">
      <w:pPr>
        <w:spacing w:line="480" w:lineRule="auto"/>
        <w:jc w:val="both"/>
        <w:rPr>
          <w:rFonts w:eastAsiaTheme="minorEastAsia" w:cs="Times New Roman"/>
          <w:sz w:val="24"/>
        </w:rPr>
      </w:pPr>
    </w:p>
    <w:p w14:paraId="500A6366" w14:textId="69000333" w:rsidR="0032726A" w:rsidRPr="00CC0B1F" w:rsidRDefault="008A1168" w:rsidP="00CC0B1F">
      <w:pPr>
        <w:spacing w:line="480" w:lineRule="auto"/>
        <w:jc w:val="both"/>
        <w:rPr>
          <w:rFonts w:eastAsia="Times New Roman" w:cs="Times New Roman"/>
          <w:color w:val="222222"/>
          <w:szCs w:val="20"/>
          <w:shd w:val="clear" w:color="auto" w:fill="FFFFFF"/>
        </w:rPr>
      </w:pPr>
      <w:r w:rsidRPr="00CC0B1F">
        <w:rPr>
          <w:rFonts w:eastAsiaTheme="minorEastAsia" w:cs="Times New Roman"/>
          <w:sz w:val="24"/>
        </w:rPr>
        <w:lastRenderedPageBreak/>
        <w:t xml:space="preserve">We </w:t>
      </w:r>
      <w:r w:rsidR="00534CF1" w:rsidRPr="00CC0B1F">
        <w:rPr>
          <w:rFonts w:eastAsiaTheme="minorEastAsia" w:cs="Times New Roman"/>
          <w:sz w:val="24"/>
        </w:rPr>
        <w:t xml:space="preserve">use data from </w:t>
      </w:r>
      <w:r w:rsidR="00534CF1" w:rsidRPr="00CC0B1F">
        <w:rPr>
          <w:rFonts w:cs="Times New Roman"/>
          <w:sz w:val="24"/>
        </w:rPr>
        <w:t xml:space="preserve">sample years from the depositor ledgers of four savings banks in the period 1851 to 1865 </w:t>
      </w:r>
      <w:r w:rsidRPr="00CC0B1F">
        <w:rPr>
          <w:rFonts w:cs="Times New Roman"/>
          <w:sz w:val="24"/>
        </w:rPr>
        <w:t>to examine savings behaviour and</w:t>
      </w:r>
      <w:r w:rsidR="00534CF1" w:rsidRPr="00CC0B1F">
        <w:rPr>
          <w:rFonts w:cs="Times New Roman"/>
          <w:sz w:val="24"/>
        </w:rPr>
        <w:t xml:space="preserve"> saver </w:t>
      </w:r>
      <w:r w:rsidRPr="00CC0B1F">
        <w:rPr>
          <w:rFonts w:cs="Times New Roman"/>
          <w:sz w:val="24"/>
        </w:rPr>
        <w:t xml:space="preserve">categories. </w:t>
      </w:r>
      <w:r w:rsidR="0027606E" w:rsidRPr="00CC0B1F">
        <w:rPr>
          <w:rFonts w:cs="Times New Roman"/>
          <w:sz w:val="24"/>
        </w:rPr>
        <w:t>Whilst 19</w:t>
      </w:r>
      <w:r w:rsidR="0027606E" w:rsidRPr="00CC0B1F">
        <w:rPr>
          <w:rFonts w:cs="Times New Roman"/>
          <w:sz w:val="24"/>
          <w:vertAlign w:val="superscript"/>
        </w:rPr>
        <w:t>th</w:t>
      </w:r>
      <w:r w:rsidR="0027606E" w:rsidRPr="00CC0B1F">
        <w:rPr>
          <w:rFonts w:cs="Times New Roman"/>
          <w:sz w:val="24"/>
        </w:rPr>
        <w:t xml:space="preserve"> century bank data is interesting in its own right, an analysis of the accounts also provides an insight into the distribution of resources and power structures of working class households. In a society comprising primarily patriarchal households, adult males would be expected to dominate account holding. In a society of egalitarian households, we would expect to see a much more dispersed patter</w:t>
      </w:r>
      <w:r w:rsidR="00985B06">
        <w:rPr>
          <w:rFonts w:cs="Times New Roman"/>
          <w:sz w:val="24"/>
        </w:rPr>
        <w:t>n</w:t>
      </w:r>
      <w:r w:rsidR="0027606E" w:rsidRPr="00CC0B1F">
        <w:rPr>
          <w:rFonts w:cs="Times New Roman"/>
          <w:sz w:val="24"/>
        </w:rPr>
        <w:t xml:space="preserve"> of account holding amongst women</w:t>
      </w:r>
      <w:r w:rsidR="00DB5830">
        <w:rPr>
          <w:rFonts w:cs="Times New Roman"/>
          <w:sz w:val="24"/>
        </w:rPr>
        <w:t xml:space="preserve"> and</w:t>
      </w:r>
      <w:r w:rsidR="0027606E" w:rsidRPr="00CC0B1F">
        <w:rPr>
          <w:rFonts w:cs="Times New Roman"/>
          <w:sz w:val="24"/>
        </w:rPr>
        <w:t xml:space="preserve"> children</w:t>
      </w:r>
      <w:r w:rsidR="00DB5830">
        <w:rPr>
          <w:rFonts w:cs="Times New Roman"/>
          <w:sz w:val="24"/>
        </w:rPr>
        <w:t>,</w:t>
      </w:r>
      <w:r w:rsidR="0027606E" w:rsidRPr="00CC0B1F">
        <w:rPr>
          <w:rFonts w:cs="Times New Roman"/>
          <w:sz w:val="24"/>
        </w:rPr>
        <w:t xml:space="preserve"> and other arrangements such as joint marital and familial accounts. </w:t>
      </w:r>
      <w:r w:rsidR="00DA7E20" w:rsidRPr="00CC0B1F">
        <w:rPr>
          <w:rFonts w:cs="Times New Roman"/>
          <w:sz w:val="24"/>
        </w:rPr>
        <w:t xml:space="preserve">Our study reports a substantial number of accounts were opened and operated by married women, </w:t>
      </w:r>
      <w:r w:rsidR="00080AA8" w:rsidRPr="00CC0B1F">
        <w:rPr>
          <w:rFonts w:cs="Times New Roman"/>
          <w:sz w:val="24"/>
        </w:rPr>
        <w:t xml:space="preserve">as well as accounts held jointly by married couples and other family groupings in addition to accounts opened and operated by minors. The data suggests that married women and minors were </w:t>
      </w:r>
      <w:r w:rsidR="00DB5830">
        <w:rPr>
          <w:rFonts w:cs="Times New Roman"/>
          <w:sz w:val="24"/>
        </w:rPr>
        <w:t xml:space="preserve">active contributors to </w:t>
      </w:r>
      <w:r w:rsidR="00080AA8" w:rsidRPr="00CC0B1F">
        <w:rPr>
          <w:rFonts w:cs="Times New Roman"/>
          <w:sz w:val="24"/>
        </w:rPr>
        <w:t xml:space="preserve">household income and </w:t>
      </w:r>
      <w:r w:rsidR="00DB5830">
        <w:rPr>
          <w:rFonts w:cs="Times New Roman"/>
          <w:sz w:val="24"/>
        </w:rPr>
        <w:t xml:space="preserve">were able to independently manage </w:t>
      </w:r>
      <w:r w:rsidR="00080AA8" w:rsidRPr="00CC0B1F">
        <w:rPr>
          <w:rFonts w:cs="Times New Roman"/>
          <w:sz w:val="24"/>
        </w:rPr>
        <w:t xml:space="preserve">their own financial resources. </w:t>
      </w:r>
      <w:r w:rsidR="00080AA8" w:rsidRPr="00CC0B1F">
        <w:rPr>
          <w:rFonts w:eastAsia="Times New Roman" w:cs="Times New Roman"/>
          <w:color w:val="222222"/>
          <w:sz w:val="24"/>
          <w:shd w:val="clear" w:color="auto" w:fill="FFFFFF"/>
        </w:rPr>
        <w:t xml:space="preserve"> </w:t>
      </w:r>
      <w:r w:rsidR="00DB5830">
        <w:rPr>
          <w:rFonts w:eastAsia="Times New Roman" w:cs="Times New Roman"/>
          <w:color w:val="222222"/>
          <w:sz w:val="24"/>
          <w:shd w:val="clear" w:color="auto" w:fill="FFFFFF"/>
        </w:rPr>
        <w:t>We argue in this paper that s</w:t>
      </w:r>
      <w:r w:rsidR="00080AA8" w:rsidRPr="00CC0B1F">
        <w:rPr>
          <w:rFonts w:eastAsia="Times New Roman" w:cs="Times New Roman"/>
          <w:color w:val="222222"/>
          <w:sz w:val="24"/>
          <w:shd w:val="clear" w:color="auto" w:fill="FFFFFF"/>
        </w:rPr>
        <w:t xml:space="preserve">avings bank depositor data has the potential to </w:t>
      </w:r>
      <w:r w:rsidR="00DB5830">
        <w:rPr>
          <w:rFonts w:eastAsia="Times New Roman" w:cs="Times New Roman"/>
          <w:color w:val="222222"/>
          <w:sz w:val="24"/>
          <w:shd w:val="clear" w:color="auto" w:fill="FFFFFF"/>
        </w:rPr>
        <w:t xml:space="preserve">improve </w:t>
      </w:r>
      <w:r w:rsidR="00080AA8" w:rsidRPr="00CC0B1F">
        <w:rPr>
          <w:rFonts w:eastAsia="Times New Roman" w:cs="Times New Roman"/>
          <w:color w:val="222222"/>
          <w:sz w:val="24"/>
          <w:shd w:val="clear" w:color="auto" w:fill="FFFFFF"/>
        </w:rPr>
        <w:t>our understanding of how British working class families functioned in the 19</w:t>
      </w:r>
      <w:r w:rsidR="00080AA8" w:rsidRPr="00CC0B1F">
        <w:rPr>
          <w:rFonts w:eastAsia="Times New Roman" w:cs="Times New Roman"/>
          <w:color w:val="222222"/>
          <w:sz w:val="24"/>
          <w:shd w:val="clear" w:color="auto" w:fill="FFFFFF"/>
          <w:vertAlign w:val="superscript"/>
        </w:rPr>
        <w:t>th</w:t>
      </w:r>
      <w:r w:rsidR="00080AA8" w:rsidRPr="00CC0B1F">
        <w:rPr>
          <w:rFonts w:eastAsia="Times New Roman" w:cs="Times New Roman"/>
          <w:color w:val="222222"/>
          <w:sz w:val="24"/>
          <w:shd w:val="clear" w:color="auto" w:fill="FFFFFF"/>
        </w:rPr>
        <w:t xml:space="preserve"> century and how financial </w:t>
      </w:r>
      <w:r w:rsidR="00CC0B1F" w:rsidRPr="00CC0B1F">
        <w:rPr>
          <w:rFonts w:eastAsia="Times New Roman" w:cs="Times New Roman"/>
          <w:color w:val="222222"/>
          <w:sz w:val="24"/>
          <w:shd w:val="clear" w:color="auto" w:fill="FFFFFF"/>
        </w:rPr>
        <w:t>decision-making</w:t>
      </w:r>
      <w:r w:rsidR="00080AA8" w:rsidRPr="00CC0B1F">
        <w:rPr>
          <w:rFonts w:eastAsia="Times New Roman" w:cs="Times New Roman"/>
          <w:color w:val="222222"/>
          <w:sz w:val="24"/>
          <w:shd w:val="clear" w:color="auto" w:fill="FFFFFF"/>
        </w:rPr>
        <w:t xml:space="preserve"> and power was exercised within them</w:t>
      </w:r>
      <w:r w:rsidR="00944817" w:rsidRPr="00CC0B1F">
        <w:rPr>
          <w:rFonts w:eastAsia="Times New Roman" w:cs="Times New Roman"/>
          <w:color w:val="222222"/>
          <w:sz w:val="24"/>
          <w:shd w:val="clear" w:color="auto" w:fill="FFFFFF"/>
        </w:rPr>
        <w:t xml:space="preserve">. </w:t>
      </w:r>
      <w:proofErr w:type="gramStart"/>
      <w:r w:rsidR="00944817" w:rsidRPr="00CC0B1F">
        <w:rPr>
          <w:rFonts w:eastAsia="Times New Roman" w:cs="Times New Roman"/>
          <w:color w:val="222222"/>
          <w:sz w:val="24"/>
          <w:shd w:val="clear" w:color="auto" w:fill="FFFFFF"/>
        </w:rPr>
        <w:t>Th</w:t>
      </w:r>
      <w:r w:rsidR="00DB5830">
        <w:rPr>
          <w:rFonts w:eastAsia="Times New Roman" w:cs="Times New Roman"/>
          <w:color w:val="222222"/>
          <w:sz w:val="24"/>
          <w:shd w:val="clear" w:color="auto" w:fill="FFFFFF"/>
        </w:rPr>
        <w:t xml:space="preserve">e </w:t>
      </w:r>
      <w:r w:rsidR="00944817" w:rsidRPr="00CC0B1F">
        <w:rPr>
          <w:rFonts w:eastAsia="Times New Roman" w:cs="Times New Roman"/>
          <w:color w:val="222222"/>
          <w:sz w:val="24"/>
          <w:shd w:val="clear" w:color="auto" w:fill="FFFFFF"/>
        </w:rPr>
        <w:t xml:space="preserve"> paper</w:t>
      </w:r>
      <w:proofErr w:type="gramEnd"/>
      <w:r w:rsidR="00944817" w:rsidRPr="00CC0B1F">
        <w:rPr>
          <w:rFonts w:eastAsia="Times New Roman" w:cs="Times New Roman"/>
          <w:color w:val="222222"/>
          <w:sz w:val="24"/>
          <w:shd w:val="clear" w:color="auto" w:fill="FFFFFF"/>
        </w:rPr>
        <w:t xml:space="preserve"> adds to our knowledge of savings behaviour by the working class in this period and to the history of household and individual financial management.</w:t>
      </w:r>
      <w:r w:rsidR="00944817" w:rsidRPr="00CC0B1F">
        <w:rPr>
          <w:rFonts w:eastAsia="Times New Roman" w:cs="Times New Roman"/>
          <w:color w:val="222222"/>
          <w:szCs w:val="20"/>
          <w:shd w:val="clear" w:color="auto" w:fill="FFFFFF"/>
        </w:rPr>
        <w:t xml:space="preserve"> </w:t>
      </w:r>
    </w:p>
    <w:p w14:paraId="39941ADE" w14:textId="77777777" w:rsidR="006539EA" w:rsidRDefault="006539EA" w:rsidP="00876A6B">
      <w:pPr>
        <w:spacing w:line="480" w:lineRule="auto"/>
        <w:jc w:val="both"/>
        <w:rPr>
          <w:rFonts w:eastAsiaTheme="minorEastAsia" w:cs="Times New Roman"/>
          <w:sz w:val="24"/>
        </w:rPr>
      </w:pPr>
    </w:p>
    <w:p w14:paraId="01D79630" w14:textId="77777777" w:rsidR="006539EA" w:rsidRPr="0032744C" w:rsidRDefault="006539EA" w:rsidP="00876A6B">
      <w:pPr>
        <w:spacing w:line="480" w:lineRule="auto"/>
        <w:jc w:val="both"/>
        <w:rPr>
          <w:rFonts w:cs="Times New Roman"/>
          <w:b/>
          <w:sz w:val="24"/>
        </w:rPr>
      </w:pPr>
      <w:r w:rsidRPr="0032744C">
        <w:rPr>
          <w:rFonts w:cs="Times New Roman"/>
          <w:b/>
          <w:sz w:val="24"/>
        </w:rPr>
        <w:t>Household financial management in economic and social history</w:t>
      </w:r>
    </w:p>
    <w:p w14:paraId="46A95341" w14:textId="77777777" w:rsidR="006539EA" w:rsidRPr="0032744C" w:rsidRDefault="006539EA" w:rsidP="00876A6B">
      <w:pPr>
        <w:spacing w:line="480" w:lineRule="auto"/>
        <w:jc w:val="both"/>
        <w:rPr>
          <w:rFonts w:cs="Times New Roman"/>
          <w:sz w:val="24"/>
        </w:rPr>
      </w:pPr>
    </w:p>
    <w:p w14:paraId="68EBB7B5" w14:textId="77777777" w:rsidR="00233B68" w:rsidRDefault="006539EA" w:rsidP="00876A6B">
      <w:pPr>
        <w:widowControl w:val="0"/>
        <w:autoSpaceDE w:val="0"/>
        <w:autoSpaceDN w:val="0"/>
        <w:adjustRightInd w:val="0"/>
        <w:spacing w:line="480" w:lineRule="auto"/>
        <w:jc w:val="both"/>
        <w:rPr>
          <w:rFonts w:cs="Times New Roman"/>
          <w:sz w:val="24"/>
        </w:rPr>
      </w:pPr>
      <w:r w:rsidRPr="0032744C">
        <w:rPr>
          <w:rFonts w:eastAsiaTheme="minorEastAsia" w:cs="Times New Roman"/>
          <w:sz w:val="24"/>
          <w:lang w:val="en-US"/>
        </w:rPr>
        <w:t>The working class family and its relationship to production and waged labour</w:t>
      </w:r>
      <w:r>
        <w:rPr>
          <w:rFonts w:eastAsiaTheme="minorEastAsia" w:cs="Times New Roman"/>
          <w:sz w:val="24"/>
          <w:lang w:val="en-US"/>
        </w:rPr>
        <w:t xml:space="preserve"> and consum</w:t>
      </w:r>
      <w:r w:rsidRPr="0032744C">
        <w:rPr>
          <w:rFonts w:eastAsiaTheme="minorEastAsia" w:cs="Times New Roman"/>
          <w:sz w:val="24"/>
          <w:lang w:val="en-US"/>
        </w:rPr>
        <w:t>ption is an established research area</w:t>
      </w:r>
      <w:r>
        <w:rPr>
          <w:rFonts w:eastAsiaTheme="minorEastAsia" w:cs="Times New Roman"/>
          <w:sz w:val="24"/>
          <w:lang w:val="en-US"/>
        </w:rPr>
        <w:t>.</w:t>
      </w:r>
      <w:r w:rsidRPr="0032744C">
        <w:rPr>
          <w:rStyle w:val="EndnoteReference"/>
          <w:rFonts w:eastAsiaTheme="minorEastAsia" w:cs="Times New Roman"/>
          <w:sz w:val="24"/>
          <w:lang w:val="en-US"/>
        </w:rPr>
        <w:endnoteReference w:id="7"/>
      </w:r>
      <w:r>
        <w:rPr>
          <w:rFonts w:eastAsiaTheme="minorEastAsia" w:cs="Times New Roman"/>
          <w:sz w:val="24"/>
          <w:lang w:val="en-US"/>
        </w:rPr>
        <w:t xml:space="preserve"> </w:t>
      </w:r>
      <w:r w:rsidRPr="0032744C">
        <w:rPr>
          <w:rFonts w:eastAsiaTheme="minorEastAsia" w:cs="Times New Roman"/>
          <w:sz w:val="24"/>
          <w:lang w:val="en-US"/>
        </w:rPr>
        <w:t xml:space="preserve">Yet, for those interested in the choices made in the </w:t>
      </w:r>
      <w:r>
        <w:rPr>
          <w:rFonts w:eastAsiaTheme="minorEastAsia" w:cs="Times New Roman"/>
          <w:sz w:val="24"/>
          <w:lang w:val="en-US"/>
        </w:rPr>
        <w:t>internal allocation</w:t>
      </w:r>
      <w:r w:rsidRPr="0032744C">
        <w:rPr>
          <w:rFonts w:eastAsiaTheme="minorEastAsia" w:cs="Times New Roman"/>
          <w:sz w:val="24"/>
          <w:lang w:val="en-US"/>
        </w:rPr>
        <w:t xml:space="preserve"> and nominal control of family finances</w:t>
      </w:r>
      <w:r>
        <w:rPr>
          <w:rFonts w:eastAsiaTheme="minorEastAsia" w:cs="Times New Roman"/>
          <w:sz w:val="24"/>
          <w:lang w:val="en-US"/>
        </w:rPr>
        <w:t>,</w:t>
      </w:r>
      <w:r w:rsidRPr="0032744C">
        <w:rPr>
          <w:rFonts w:eastAsiaTheme="minorEastAsia" w:cs="Times New Roman"/>
          <w:sz w:val="24"/>
          <w:lang w:val="en-US"/>
        </w:rPr>
        <w:t xml:space="preserve"> the family can be difficult to po</w:t>
      </w:r>
      <w:r>
        <w:rPr>
          <w:rFonts w:eastAsiaTheme="minorEastAsia" w:cs="Times New Roman"/>
          <w:sz w:val="24"/>
          <w:lang w:val="en-US"/>
        </w:rPr>
        <w:t>sition in the economy. For Marx</w:t>
      </w:r>
      <w:r w:rsidRPr="0032744C">
        <w:rPr>
          <w:rFonts w:eastAsiaTheme="minorEastAsia" w:cs="Times New Roman"/>
          <w:sz w:val="24"/>
          <w:lang w:val="en-US"/>
        </w:rPr>
        <w:t xml:space="preserve"> </w:t>
      </w:r>
      <w:r>
        <w:rPr>
          <w:rFonts w:eastAsiaTheme="minorEastAsia" w:cs="Times New Roman"/>
          <w:sz w:val="24"/>
          <w:lang w:val="en-US"/>
        </w:rPr>
        <w:t>the working class family wa</w:t>
      </w:r>
      <w:r w:rsidRPr="0032744C">
        <w:rPr>
          <w:rFonts w:eastAsiaTheme="minorEastAsia" w:cs="Times New Roman"/>
          <w:sz w:val="24"/>
          <w:lang w:val="en-US"/>
        </w:rPr>
        <w:t xml:space="preserve">s akin to the concept of the firm in neo-classical economics i.e. “a black box whose inner workings are simultaneously </w:t>
      </w:r>
      <w:r w:rsidRPr="0032744C">
        <w:rPr>
          <w:rFonts w:eastAsiaTheme="minorEastAsia" w:cs="Times New Roman"/>
          <w:sz w:val="24"/>
          <w:lang w:val="en-US"/>
        </w:rPr>
        <w:lastRenderedPageBreak/>
        <w:t>neglected and mystified</w:t>
      </w:r>
      <w:r>
        <w:rPr>
          <w:rFonts w:eastAsiaTheme="minorEastAsia" w:cs="Times New Roman"/>
          <w:sz w:val="24"/>
          <w:lang w:val="en-US"/>
        </w:rPr>
        <w:t>.</w:t>
      </w:r>
      <w:r w:rsidRPr="0032744C">
        <w:rPr>
          <w:rFonts w:eastAsiaTheme="minorEastAsia" w:cs="Times New Roman"/>
          <w:sz w:val="24"/>
          <w:lang w:val="en-US"/>
        </w:rPr>
        <w:t>”</w:t>
      </w:r>
      <w:r>
        <w:rPr>
          <w:rStyle w:val="EndnoteReference"/>
          <w:rFonts w:eastAsiaTheme="minorEastAsia" w:cs="Times New Roman"/>
          <w:sz w:val="24"/>
          <w:lang w:val="en-US"/>
        </w:rPr>
        <w:endnoteReference w:id="8"/>
      </w:r>
      <w:r>
        <w:rPr>
          <w:rFonts w:eastAsiaTheme="minorEastAsia" w:cs="Times New Roman"/>
          <w:sz w:val="24"/>
          <w:lang w:val="en-US"/>
        </w:rPr>
        <w:t xml:space="preserve"> </w:t>
      </w:r>
      <w:r w:rsidRPr="0032744C">
        <w:rPr>
          <w:rFonts w:cs="Times New Roman"/>
          <w:sz w:val="24"/>
        </w:rPr>
        <w:t xml:space="preserve">Later economists </w:t>
      </w:r>
      <w:r>
        <w:rPr>
          <w:rFonts w:cs="Times New Roman"/>
          <w:sz w:val="24"/>
        </w:rPr>
        <w:t xml:space="preserve">made </w:t>
      </w:r>
      <w:r w:rsidRPr="0032744C">
        <w:rPr>
          <w:rFonts w:cs="Times New Roman"/>
          <w:sz w:val="24"/>
        </w:rPr>
        <w:t xml:space="preserve">their own attempts to explain the family economy. </w:t>
      </w:r>
      <w:r w:rsidR="00593B72" w:rsidRPr="0032744C">
        <w:rPr>
          <w:rFonts w:cs="Times New Roman"/>
          <w:sz w:val="24"/>
        </w:rPr>
        <w:t>Becker</w:t>
      </w:r>
      <w:r w:rsidR="00593B72" w:rsidRPr="0032744C">
        <w:rPr>
          <w:rStyle w:val="EndnoteReference"/>
          <w:rFonts w:cs="Times New Roman"/>
          <w:sz w:val="24"/>
        </w:rPr>
        <w:endnoteReference w:id="9"/>
      </w:r>
      <w:r w:rsidR="00593B72" w:rsidRPr="0032744C">
        <w:rPr>
          <w:rFonts w:cs="Times New Roman"/>
          <w:sz w:val="24"/>
        </w:rPr>
        <w:t xml:space="preserve"> </w:t>
      </w:r>
      <w:r w:rsidR="00593B72">
        <w:rPr>
          <w:rFonts w:cs="Times New Roman"/>
          <w:sz w:val="24"/>
        </w:rPr>
        <w:t xml:space="preserve">claimed </w:t>
      </w:r>
      <w:r w:rsidR="00593B72" w:rsidRPr="0032744C">
        <w:rPr>
          <w:rFonts w:cs="Times New Roman"/>
          <w:sz w:val="24"/>
        </w:rPr>
        <w:t xml:space="preserve">that </w:t>
      </w:r>
      <w:r w:rsidR="00593B72">
        <w:rPr>
          <w:rFonts w:cs="Times New Roman"/>
          <w:sz w:val="24"/>
        </w:rPr>
        <w:t xml:space="preserve">families </w:t>
      </w:r>
      <w:r w:rsidR="00593B72" w:rsidRPr="0032744C">
        <w:rPr>
          <w:rFonts w:cs="Times New Roman"/>
          <w:sz w:val="24"/>
        </w:rPr>
        <w:t xml:space="preserve">acted as an </w:t>
      </w:r>
      <w:r w:rsidR="00593B72" w:rsidRPr="00355C75">
        <w:rPr>
          <w:rFonts w:cs="Times New Roman"/>
          <w:sz w:val="24"/>
        </w:rPr>
        <w:t>altruistic unit</w:t>
      </w:r>
      <w:r w:rsidR="00593B72" w:rsidRPr="0032744C">
        <w:rPr>
          <w:rFonts w:cs="Times New Roman"/>
          <w:sz w:val="24"/>
        </w:rPr>
        <w:t xml:space="preserve">, </w:t>
      </w:r>
      <w:r w:rsidR="00593B72">
        <w:rPr>
          <w:rFonts w:cs="Times New Roman"/>
          <w:sz w:val="24"/>
        </w:rPr>
        <w:t xml:space="preserve">and where </w:t>
      </w:r>
      <w:r w:rsidR="00593B72" w:rsidRPr="0032744C">
        <w:rPr>
          <w:rFonts w:cs="Times New Roman"/>
          <w:sz w:val="24"/>
        </w:rPr>
        <w:t xml:space="preserve">the sexual division of labour was efficient and differed from other groups </w:t>
      </w:r>
      <w:r w:rsidR="00593B72">
        <w:rPr>
          <w:rFonts w:cs="Times New Roman"/>
          <w:sz w:val="24"/>
        </w:rPr>
        <w:t xml:space="preserve">by families taking collective action </w:t>
      </w:r>
      <w:r w:rsidR="00593B72" w:rsidRPr="0032744C">
        <w:rPr>
          <w:rFonts w:cs="Times New Roman"/>
          <w:sz w:val="24"/>
        </w:rPr>
        <w:t xml:space="preserve">designed to increase their collective </w:t>
      </w:r>
      <w:proofErr w:type="gramStart"/>
      <w:r w:rsidR="00593B72">
        <w:rPr>
          <w:rFonts w:cs="Times New Roman"/>
          <w:sz w:val="24"/>
        </w:rPr>
        <w:t>well being</w:t>
      </w:r>
      <w:proofErr w:type="gramEnd"/>
      <w:r w:rsidR="00593B72" w:rsidRPr="0032744C">
        <w:rPr>
          <w:rFonts w:cs="Times New Roman"/>
          <w:sz w:val="24"/>
        </w:rPr>
        <w:t xml:space="preserve">. </w:t>
      </w:r>
      <w:r>
        <w:rPr>
          <w:rFonts w:cs="Times New Roman"/>
          <w:sz w:val="24"/>
        </w:rPr>
        <w:t>In Becker’s model t</w:t>
      </w:r>
      <w:r w:rsidRPr="0032744C">
        <w:rPr>
          <w:rFonts w:cs="Times New Roman"/>
          <w:sz w:val="24"/>
        </w:rPr>
        <w:t xml:space="preserve">he head of the family controls and allocates the central resources in a stringent fashion that promotes collective </w:t>
      </w:r>
      <w:proofErr w:type="gramStart"/>
      <w:r w:rsidR="008900E2" w:rsidRPr="0032744C">
        <w:rPr>
          <w:rFonts w:cs="Times New Roman"/>
          <w:sz w:val="24"/>
        </w:rPr>
        <w:t>well being</w:t>
      </w:r>
      <w:proofErr w:type="gramEnd"/>
      <w:r>
        <w:rPr>
          <w:rFonts w:cs="Times New Roman"/>
          <w:sz w:val="24"/>
        </w:rPr>
        <w:t xml:space="preserve">. As </w:t>
      </w:r>
      <w:r w:rsidRPr="0032744C">
        <w:rPr>
          <w:rFonts w:cs="Times New Roman"/>
          <w:sz w:val="24"/>
        </w:rPr>
        <w:t xml:space="preserve">the family acts </w:t>
      </w:r>
      <w:r>
        <w:rPr>
          <w:rFonts w:cs="Times New Roman"/>
          <w:sz w:val="24"/>
        </w:rPr>
        <w:t>"</w:t>
      </w:r>
      <w:r w:rsidRPr="0032744C">
        <w:rPr>
          <w:rFonts w:cs="Times New Roman"/>
          <w:sz w:val="24"/>
        </w:rPr>
        <w:t>as one</w:t>
      </w:r>
      <w:r>
        <w:rPr>
          <w:rFonts w:cs="Times New Roman"/>
          <w:sz w:val="24"/>
        </w:rPr>
        <w:t>"</w:t>
      </w:r>
      <w:r w:rsidRPr="0032744C">
        <w:rPr>
          <w:rFonts w:cs="Times New Roman"/>
          <w:sz w:val="24"/>
        </w:rPr>
        <w:t xml:space="preserve"> the gender of the head of the household is immaterial. </w:t>
      </w:r>
      <w:r w:rsidRPr="00355C75">
        <w:rPr>
          <w:rFonts w:cs="Times New Roman"/>
          <w:sz w:val="24"/>
        </w:rPr>
        <w:t>Bargaining</w:t>
      </w:r>
      <w:r w:rsidRPr="0032744C">
        <w:rPr>
          <w:rFonts w:cs="Times New Roman"/>
          <w:i/>
          <w:sz w:val="24"/>
        </w:rPr>
        <w:t xml:space="preserve"> </w:t>
      </w:r>
      <w:r w:rsidRPr="0032744C">
        <w:rPr>
          <w:rFonts w:cs="Times New Roman"/>
          <w:sz w:val="24"/>
        </w:rPr>
        <w:t>models</w:t>
      </w:r>
      <w:r>
        <w:rPr>
          <w:rFonts w:cs="Times New Roman"/>
          <w:sz w:val="24"/>
        </w:rPr>
        <w:t>, in contrast,</w:t>
      </w:r>
      <w:r w:rsidRPr="0032744C">
        <w:rPr>
          <w:rFonts w:cs="Times New Roman"/>
          <w:sz w:val="24"/>
        </w:rPr>
        <w:t xml:space="preserve"> </w:t>
      </w:r>
      <w:r>
        <w:rPr>
          <w:rFonts w:cs="Times New Roman"/>
          <w:sz w:val="24"/>
        </w:rPr>
        <w:t xml:space="preserve">hold </w:t>
      </w:r>
      <w:r w:rsidRPr="0032744C">
        <w:rPr>
          <w:rFonts w:cs="Times New Roman"/>
          <w:sz w:val="24"/>
        </w:rPr>
        <w:t>that individuals calculate the utility gain of contributing to the family unit relative to the utility they are likely to enjoy outside of the marriage</w:t>
      </w:r>
      <w:r>
        <w:rPr>
          <w:rFonts w:cs="Times New Roman"/>
          <w:sz w:val="24"/>
        </w:rPr>
        <w:t>/</w:t>
      </w:r>
      <w:r w:rsidRPr="0032744C">
        <w:rPr>
          <w:rFonts w:cs="Times New Roman"/>
          <w:sz w:val="24"/>
        </w:rPr>
        <w:t>family</w:t>
      </w:r>
      <w:r>
        <w:rPr>
          <w:rFonts w:cs="Times New Roman"/>
          <w:sz w:val="24"/>
        </w:rPr>
        <w:t xml:space="preserve">. In </w:t>
      </w:r>
      <w:r w:rsidRPr="0032744C">
        <w:rPr>
          <w:rFonts w:cs="Times New Roman"/>
          <w:sz w:val="24"/>
        </w:rPr>
        <w:t>bargaining model</w:t>
      </w:r>
      <w:r>
        <w:rPr>
          <w:rFonts w:cs="Times New Roman"/>
          <w:sz w:val="24"/>
        </w:rPr>
        <w:t>s</w:t>
      </w:r>
      <w:r w:rsidRPr="0032744C">
        <w:rPr>
          <w:rFonts w:cs="Times New Roman"/>
          <w:sz w:val="24"/>
        </w:rPr>
        <w:t xml:space="preserve"> subjective differenc</w:t>
      </w:r>
      <w:r>
        <w:rPr>
          <w:rFonts w:cs="Times New Roman"/>
          <w:sz w:val="24"/>
        </w:rPr>
        <w:t xml:space="preserve">es in </w:t>
      </w:r>
      <w:r w:rsidRPr="0032744C">
        <w:rPr>
          <w:rFonts w:cs="Times New Roman"/>
          <w:sz w:val="24"/>
        </w:rPr>
        <w:t>power are taken into account and affect the outco</w:t>
      </w:r>
      <w:r>
        <w:rPr>
          <w:rFonts w:cs="Times New Roman"/>
          <w:sz w:val="24"/>
        </w:rPr>
        <w:t xml:space="preserve">mes. Further modifications to bargaining models also take </w:t>
      </w:r>
      <w:r w:rsidRPr="0032744C">
        <w:rPr>
          <w:rFonts w:cs="Times New Roman"/>
          <w:sz w:val="24"/>
        </w:rPr>
        <w:t>into account social norms that create different fallback positions for men and women.</w:t>
      </w:r>
      <w:r w:rsidRPr="0032744C">
        <w:rPr>
          <w:rStyle w:val="EndnoteReference"/>
          <w:rFonts w:cs="Times New Roman"/>
          <w:sz w:val="24"/>
        </w:rPr>
        <w:endnoteReference w:id="10"/>
      </w:r>
      <w:r w:rsidRPr="0032744C">
        <w:rPr>
          <w:rFonts w:cs="Times New Roman"/>
          <w:sz w:val="24"/>
        </w:rPr>
        <w:t xml:space="preserve"> </w:t>
      </w:r>
    </w:p>
    <w:p w14:paraId="35F39C75" w14:textId="77777777" w:rsidR="00233B68" w:rsidRDefault="00233B68" w:rsidP="00876A6B">
      <w:pPr>
        <w:widowControl w:val="0"/>
        <w:autoSpaceDE w:val="0"/>
        <w:autoSpaceDN w:val="0"/>
        <w:adjustRightInd w:val="0"/>
        <w:spacing w:line="480" w:lineRule="auto"/>
        <w:jc w:val="both"/>
        <w:rPr>
          <w:rFonts w:cs="Times New Roman"/>
          <w:sz w:val="24"/>
        </w:rPr>
      </w:pPr>
    </w:p>
    <w:p w14:paraId="5DC5F816" w14:textId="77777777" w:rsidR="006539EA" w:rsidRPr="0032744C" w:rsidRDefault="00233B68" w:rsidP="00876A6B">
      <w:pPr>
        <w:widowControl w:val="0"/>
        <w:autoSpaceDE w:val="0"/>
        <w:autoSpaceDN w:val="0"/>
        <w:adjustRightInd w:val="0"/>
        <w:spacing w:line="480" w:lineRule="auto"/>
        <w:jc w:val="both"/>
        <w:rPr>
          <w:rFonts w:cs="Times New Roman"/>
          <w:sz w:val="24"/>
        </w:rPr>
      </w:pPr>
      <w:r>
        <w:rPr>
          <w:rFonts w:cs="Times New Roman"/>
          <w:sz w:val="24"/>
        </w:rPr>
        <w:t>Sociological research into modern family financial management patterns provides a more nuanced picture than the economics literature. Jan Pahl’s research directly addresses issues of financial authority and decision making within households.</w:t>
      </w:r>
      <w:r w:rsidR="00F16C2F">
        <w:rPr>
          <w:rStyle w:val="EndnoteReference"/>
          <w:rFonts w:cs="Times New Roman"/>
          <w:sz w:val="24"/>
        </w:rPr>
        <w:endnoteReference w:id="11"/>
      </w:r>
      <w:r>
        <w:rPr>
          <w:rFonts w:cs="Times New Roman"/>
          <w:sz w:val="24"/>
        </w:rPr>
        <w:t xml:space="preserve"> Multiple models of earning and spending have been mapped onto working class and middle-class income households</w:t>
      </w:r>
      <w:r w:rsidR="00483736">
        <w:rPr>
          <w:rFonts w:cs="Times New Roman"/>
          <w:sz w:val="24"/>
        </w:rPr>
        <w:t xml:space="preserve">. For example, </w:t>
      </w:r>
      <w:r w:rsidR="00861BF8">
        <w:rPr>
          <w:rFonts w:cs="Times New Roman"/>
          <w:sz w:val="24"/>
        </w:rPr>
        <w:t xml:space="preserve">research </w:t>
      </w:r>
      <w:r w:rsidR="000F53EC">
        <w:rPr>
          <w:rFonts w:cs="Times New Roman"/>
          <w:sz w:val="24"/>
        </w:rPr>
        <w:t xml:space="preserve">based on household panel data </w:t>
      </w:r>
      <w:r w:rsidR="00861BF8">
        <w:rPr>
          <w:rFonts w:cs="Times New Roman"/>
          <w:sz w:val="24"/>
        </w:rPr>
        <w:t xml:space="preserve">has </w:t>
      </w:r>
      <w:r w:rsidR="000F53EC">
        <w:rPr>
          <w:rFonts w:cs="Times New Roman"/>
          <w:sz w:val="24"/>
        </w:rPr>
        <w:t xml:space="preserve">indicated about half of </w:t>
      </w:r>
      <w:r w:rsidR="00861BF8">
        <w:rPr>
          <w:rFonts w:cs="Times New Roman"/>
          <w:sz w:val="24"/>
        </w:rPr>
        <w:t xml:space="preserve">couples pool their income and share its management, </w:t>
      </w:r>
      <w:proofErr w:type="gramStart"/>
      <w:r w:rsidR="00F16C2F">
        <w:rPr>
          <w:rFonts w:cs="Times New Roman"/>
          <w:sz w:val="24"/>
        </w:rPr>
        <w:t>one third</w:t>
      </w:r>
      <w:proofErr w:type="gramEnd"/>
      <w:r w:rsidR="000F53EC">
        <w:rPr>
          <w:rFonts w:cs="Times New Roman"/>
          <w:sz w:val="24"/>
        </w:rPr>
        <w:t xml:space="preserve"> give control to the wife and one sixth to the husband. But there are other models in use.</w:t>
      </w:r>
      <w:r w:rsidR="00EB0562">
        <w:rPr>
          <w:rStyle w:val="EndnoteReference"/>
          <w:rFonts w:cs="Times New Roman"/>
          <w:sz w:val="24"/>
        </w:rPr>
        <w:endnoteReference w:id="12"/>
      </w:r>
      <w:r w:rsidR="000F53EC">
        <w:rPr>
          <w:rFonts w:cs="Times New Roman"/>
          <w:sz w:val="24"/>
        </w:rPr>
        <w:t xml:space="preserve"> Some couples </w:t>
      </w:r>
      <w:r w:rsidR="00861BF8">
        <w:rPr>
          <w:rFonts w:cs="Times New Roman"/>
          <w:sz w:val="24"/>
        </w:rPr>
        <w:t xml:space="preserve">divide responsibility for joint bills but otherwise manage their own </w:t>
      </w:r>
      <w:r w:rsidR="00F16C2F">
        <w:rPr>
          <w:rFonts w:cs="Times New Roman"/>
          <w:sz w:val="24"/>
        </w:rPr>
        <w:t>expenditure;</w:t>
      </w:r>
      <w:r w:rsidR="00861BF8">
        <w:rPr>
          <w:rFonts w:cs="Times New Roman"/>
          <w:sz w:val="24"/>
        </w:rPr>
        <w:t xml:space="preserve"> another group assign specific areas of expenditure to each party</w:t>
      </w:r>
      <w:r w:rsidR="000F53EC">
        <w:rPr>
          <w:rFonts w:cs="Times New Roman"/>
          <w:sz w:val="24"/>
        </w:rPr>
        <w:t xml:space="preserve"> or keep entirely separate financial arrang</w:t>
      </w:r>
      <w:r w:rsidR="00F34108">
        <w:rPr>
          <w:rFonts w:cs="Times New Roman"/>
          <w:sz w:val="24"/>
        </w:rPr>
        <w:t>e</w:t>
      </w:r>
      <w:r w:rsidR="000F53EC">
        <w:rPr>
          <w:rFonts w:cs="Times New Roman"/>
          <w:sz w:val="24"/>
        </w:rPr>
        <w:t>ments. Pahl suggests the variables that shape the decisions made are about income levels – women are, it seems, more likely to control household finances when mon</w:t>
      </w:r>
      <w:r w:rsidR="00F34108">
        <w:rPr>
          <w:rFonts w:cs="Times New Roman"/>
          <w:sz w:val="24"/>
        </w:rPr>
        <w:t xml:space="preserve">ey is in short supply, and financial control also </w:t>
      </w:r>
      <w:r w:rsidR="000F53EC">
        <w:rPr>
          <w:rFonts w:cs="Times New Roman"/>
          <w:sz w:val="24"/>
        </w:rPr>
        <w:t>follows income</w:t>
      </w:r>
      <w:r w:rsidR="00F34108">
        <w:rPr>
          <w:rFonts w:cs="Times New Roman"/>
          <w:sz w:val="24"/>
        </w:rPr>
        <w:t>. The higher the proportion of household income provided by an individual, the more control they appear to be able to claim.</w:t>
      </w:r>
      <w:r w:rsidR="00EB0562">
        <w:rPr>
          <w:rStyle w:val="EndnoteReference"/>
          <w:rFonts w:cs="Times New Roman"/>
          <w:sz w:val="24"/>
        </w:rPr>
        <w:endnoteReference w:id="13"/>
      </w:r>
    </w:p>
    <w:p w14:paraId="0ECB5E0E" w14:textId="77777777" w:rsidR="006539EA" w:rsidRPr="0032744C" w:rsidRDefault="006539EA" w:rsidP="00876A6B">
      <w:pPr>
        <w:spacing w:line="480" w:lineRule="auto"/>
        <w:jc w:val="both"/>
        <w:rPr>
          <w:rFonts w:cs="Times New Roman"/>
          <w:sz w:val="24"/>
        </w:rPr>
      </w:pPr>
    </w:p>
    <w:p w14:paraId="2AE3EE71" w14:textId="77777777" w:rsidR="006539EA" w:rsidRPr="0032744C" w:rsidRDefault="006539EA" w:rsidP="00876A6B">
      <w:pPr>
        <w:spacing w:line="480" w:lineRule="auto"/>
        <w:jc w:val="both"/>
        <w:rPr>
          <w:rFonts w:cs="Times New Roman"/>
          <w:sz w:val="24"/>
        </w:rPr>
      </w:pPr>
      <w:r w:rsidRPr="0032744C">
        <w:rPr>
          <w:sz w:val="24"/>
        </w:rPr>
        <w:t>The historiography of working class households is heavily skewed towards exploring debt and credit in working class communities i.e. pawn shops, doorstep lending, gambling and hire purchase.</w:t>
      </w:r>
      <w:r w:rsidRPr="0032744C">
        <w:rPr>
          <w:rStyle w:val="EndnoteReference"/>
          <w:sz w:val="24"/>
        </w:rPr>
        <w:endnoteReference w:id="14"/>
      </w:r>
      <w:r w:rsidRPr="0032744C">
        <w:rPr>
          <w:sz w:val="24"/>
        </w:rPr>
        <w:t xml:space="preserve"> </w:t>
      </w:r>
      <w:r w:rsidR="00F34108">
        <w:rPr>
          <w:sz w:val="24"/>
        </w:rPr>
        <w:t xml:space="preserve">There have been attempts to construct the same sort of sociological insight into household finances such as that </w:t>
      </w:r>
      <w:r w:rsidR="00F16C2F">
        <w:rPr>
          <w:sz w:val="24"/>
        </w:rPr>
        <w:t xml:space="preserve">provided above, but a limited evidence base has hampered the construction of a picture of </w:t>
      </w:r>
      <w:r w:rsidRPr="0032744C">
        <w:rPr>
          <w:rFonts w:cs="Times New Roman"/>
          <w:sz w:val="24"/>
        </w:rPr>
        <w:t>how individuals and families used financial institutions and mechanisms in the 19th century</w:t>
      </w:r>
      <w:r w:rsidR="00F16C2F">
        <w:rPr>
          <w:rFonts w:cs="Times New Roman"/>
          <w:sz w:val="24"/>
        </w:rPr>
        <w:t>.</w:t>
      </w:r>
      <w:r w:rsidRPr="0032744C">
        <w:rPr>
          <w:rFonts w:cs="Times New Roman"/>
          <w:sz w:val="24"/>
        </w:rPr>
        <w:t xml:space="preserve"> Apart from </w:t>
      </w:r>
      <w:r w:rsidRPr="0032744C">
        <w:rPr>
          <w:rFonts w:eastAsia="MS Mincho" w:cs="Times New Roman"/>
          <w:sz w:val="24"/>
        </w:rPr>
        <w:t>Playfai</w:t>
      </w:r>
      <w:r>
        <w:rPr>
          <w:rFonts w:eastAsia="MS Mincho" w:cs="Times New Roman"/>
          <w:sz w:val="24"/>
        </w:rPr>
        <w:t>r,</w:t>
      </w:r>
      <w:r w:rsidRPr="0032744C">
        <w:rPr>
          <w:rStyle w:val="EndnoteReference"/>
          <w:rFonts w:eastAsia="MS Mincho" w:cs="Times New Roman"/>
          <w:sz w:val="24"/>
        </w:rPr>
        <w:endnoteReference w:id="15"/>
      </w:r>
      <w:r w:rsidRPr="0032744C">
        <w:rPr>
          <w:rFonts w:eastAsia="MS Mincho" w:cs="Times New Roman"/>
          <w:sz w:val="24"/>
        </w:rPr>
        <w:t xml:space="preserve"> </w:t>
      </w:r>
      <w:r w:rsidR="00F16C2F" w:rsidRPr="0032744C">
        <w:rPr>
          <w:rFonts w:cs="Times New Roman"/>
          <w:sz w:val="24"/>
        </w:rPr>
        <w:t>survey evidence of household structure and budgets</w:t>
      </w:r>
      <w:r w:rsidR="00F16C2F" w:rsidRPr="0032744C">
        <w:rPr>
          <w:rFonts w:eastAsia="MS Mincho" w:cs="Times New Roman"/>
          <w:sz w:val="24"/>
        </w:rPr>
        <w:t xml:space="preserve"> </w:t>
      </w:r>
      <w:r w:rsidRPr="0032744C">
        <w:rPr>
          <w:rFonts w:eastAsia="MS Mincho" w:cs="Times New Roman"/>
          <w:sz w:val="24"/>
        </w:rPr>
        <w:t xml:space="preserve">is concentrated </w:t>
      </w:r>
      <w:r w:rsidRPr="0032744C">
        <w:rPr>
          <w:rFonts w:cs="Times New Roman"/>
          <w:sz w:val="24"/>
        </w:rPr>
        <w:t>at the very end of the period i.e. the late 1890s and early 1900s</w:t>
      </w:r>
      <w:r>
        <w:rPr>
          <w:rFonts w:cs="Times New Roman"/>
          <w:sz w:val="24"/>
        </w:rPr>
        <w:t>.</w:t>
      </w:r>
      <w:r w:rsidRPr="0032744C">
        <w:rPr>
          <w:rStyle w:val="EndnoteReference"/>
          <w:rFonts w:cs="Times New Roman"/>
          <w:sz w:val="24"/>
        </w:rPr>
        <w:endnoteReference w:id="16"/>
      </w:r>
      <w:r w:rsidRPr="0032744C">
        <w:rPr>
          <w:rFonts w:cs="Times New Roman"/>
          <w:sz w:val="24"/>
        </w:rPr>
        <w:t xml:space="preserve"> </w:t>
      </w:r>
      <w:r w:rsidR="00F16C2F">
        <w:rPr>
          <w:rFonts w:cs="Times New Roman"/>
          <w:sz w:val="24"/>
        </w:rPr>
        <w:t>As a result, and to a very large degree, t</w:t>
      </w:r>
      <w:r w:rsidRPr="0032744C">
        <w:rPr>
          <w:rFonts w:cs="Times New Roman"/>
          <w:sz w:val="24"/>
        </w:rPr>
        <w:t xml:space="preserve">he contributions of family members remain out of sight of historians and commentators and are effectively </w:t>
      </w:r>
      <w:r>
        <w:rPr>
          <w:rFonts w:cs="Times New Roman"/>
          <w:sz w:val="24"/>
        </w:rPr>
        <w:t>"</w:t>
      </w:r>
      <w:r w:rsidRPr="0032744C">
        <w:rPr>
          <w:rFonts w:cs="Times New Roman"/>
          <w:sz w:val="24"/>
        </w:rPr>
        <w:t>buried in the family economy</w:t>
      </w:r>
      <w:r>
        <w:rPr>
          <w:rFonts w:cs="Times New Roman"/>
          <w:sz w:val="24"/>
        </w:rPr>
        <w:t>."</w:t>
      </w:r>
      <w:r w:rsidRPr="0032744C">
        <w:rPr>
          <w:rStyle w:val="EndnoteReference"/>
          <w:rFonts w:cs="Times New Roman"/>
          <w:sz w:val="24"/>
        </w:rPr>
        <w:endnoteReference w:id="17"/>
      </w:r>
      <w:r w:rsidRPr="0032744C">
        <w:rPr>
          <w:rFonts w:cs="Times New Roman"/>
          <w:sz w:val="24"/>
        </w:rPr>
        <w:t xml:space="preserve"> </w:t>
      </w:r>
      <w:r>
        <w:rPr>
          <w:rFonts w:cs="Times New Roman"/>
          <w:sz w:val="24"/>
        </w:rPr>
        <w:t xml:space="preserve">The difficulty of </w:t>
      </w:r>
      <w:r w:rsidRPr="0032744C">
        <w:rPr>
          <w:rFonts w:cs="Times New Roman"/>
          <w:sz w:val="24"/>
        </w:rPr>
        <w:t>reliably account</w:t>
      </w:r>
      <w:r>
        <w:rPr>
          <w:rFonts w:cs="Times New Roman"/>
          <w:sz w:val="24"/>
        </w:rPr>
        <w:t>ing</w:t>
      </w:r>
      <w:r w:rsidRPr="0032744C">
        <w:rPr>
          <w:rFonts w:cs="Times New Roman"/>
          <w:sz w:val="24"/>
        </w:rPr>
        <w:t xml:space="preserve"> for financial decision directly from the historical record in the period prior to the 1890s</w:t>
      </w:r>
      <w:r>
        <w:rPr>
          <w:rFonts w:cs="Times New Roman"/>
          <w:sz w:val="24"/>
        </w:rPr>
        <w:t xml:space="preserve"> has resulted in</w:t>
      </w:r>
      <w:r w:rsidRPr="0032744C">
        <w:rPr>
          <w:rFonts w:cs="Times New Roman"/>
          <w:sz w:val="24"/>
        </w:rPr>
        <w:t xml:space="preserve"> historians extrapolat</w:t>
      </w:r>
      <w:r>
        <w:rPr>
          <w:rFonts w:cs="Times New Roman"/>
          <w:sz w:val="24"/>
        </w:rPr>
        <w:t>ing</w:t>
      </w:r>
      <w:r w:rsidRPr="0032744C">
        <w:rPr>
          <w:rFonts w:cs="Times New Roman"/>
          <w:sz w:val="24"/>
        </w:rPr>
        <w:t xml:space="preserve"> from income data, inflation data, housing and food costs and traces of regular expenditure evident in friendly society and insurance records from the period. Some types of data are more readily available than others. </w:t>
      </w:r>
      <w:r>
        <w:rPr>
          <w:rFonts w:cs="Times New Roman"/>
          <w:sz w:val="24"/>
        </w:rPr>
        <w:t>For example, t</w:t>
      </w:r>
      <w:r w:rsidRPr="0032744C">
        <w:rPr>
          <w:rFonts w:cs="Times New Roman"/>
          <w:sz w:val="24"/>
        </w:rPr>
        <w:t>he combined histories of the labour movement, industrialisation and welfare expendit</w:t>
      </w:r>
      <w:r>
        <w:rPr>
          <w:rFonts w:cs="Times New Roman"/>
          <w:sz w:val="24"/>
        </w:rPr>
        <w:t xml:space="preserve">ure reform have ensured that income data for </w:t>
      </w:r>
      <w:r w:rsidRPr="0032744C">
        <w:rPr>
          <w:rFonts w:cs="Times New Roman"/>
          <w:sz w:val="24"/>
        </w:rPr>
        <w:t xml:space="preserve">male workers are relatively accessible. </w:t>
      </w:r>
    </w:p>
    <w:p w14:paraId="053F371A" w14:textId="77777777" w:rsidR="006539EA" w:rsidRPr="0032744C" w:rsidRDefault="006539EA" w:rsidP="00876A6B">
      <w:pPr>
        <w:spacing w:line="480" w:lineRule="auto"/>
        <w:jc w:val="both"/>
        <w:rPr>
          <w:rFonts w:cs="Times New Roman"/>
          <w:sz w:val="24"/>
        </w:rPr>
      </w:pPr>
    </w:p>
    <w:p w14:paraId="65318FF3" w14:textId="77777777" w:rsidR="006539EA" w:rsidRDefault="006539EA" w:rsidP="00876A6B">
      <w:pPr>
        <w:widowControl w:val="0"/>
        <w:autoSpaceDE w:val="0"/>
        <w:autoSpaceDN w:val="0"/>
        <w:adjustRightInd w:val="0"/>
        <w:spacing w:line="480" w:lineRule="auto"/>
        <w:jc w:val="both"/>
        <w:rPr>
          <w:rFonts w:cs="Times New Roman"/>
          <w:sz w:val="24"/>
        </w:rPr>
      </w:pPr>
      <w:r w:rsidRPr="0032744C">
        <w:rPr>
          <w:rFonts w:cs="Times New Roman"/>
          <w:sz w:val="24"/>
        </w:rPr>
        <w:t xml:space="preserve">The establishment of the financial contribution made by </w:t>
      </w:r>
      <w:r w:rsidRPr="00271EF1">
        <w:rPr>
          <w:rFonts w:cs="Times New Roman"/>
          <w:i/>
          <w:sz w:val="24"/>
        </w:rPr>
        <w:t>women and children</w:t>
      </w:r>
      <w:r w:rsidRPr="0032744C">
        <w:rPr>
          <w:rFonts w:cs="Times New Roman"/>
          <w:sz w:val="24"/>
        </w:rPr>
        <w:t xml:space="preserve"> to the household income during the 19</w:t>
      </w:r>
      <w:r w:rsidRPr="0032744C">
        <w:rPr>
          <w:rFonts w:cs="Times New Roman"/>
          <w:sz w:val="24"/>
          <w:vertAlign w:val="superscript"/>
        </w:rPr>
        <w:t>th</w:t>
      </w:r>
      <w:r w:rsidRPr="0032744C">
        <w:rPr>
          <w:rFonts w:cs="Times New Roman"/>
          <w:sz w:val="24"/>
        </w:rPr>
        <w:t xml:space="preserve"> century is more difficult to establish</w:t>
      </w:r>
      <w:r>
        <w:rPr>
          <w:rFonts w:cs="Times New Roman"/>
          <w:sz w:val="24"/>
        </w:rPr>
        <w:t xml:space="preserve"> than that of male workers</w:t>
      </w:r>
      <w:r w:rsidRPr="0032744C">
        <w:rPr>
          <w:rFonts w:cs="Times New Roman"/>
          <w:sz w:val="24"/>
        </w:rPr>
        <w:t xml:space="preserve">. As </w:t>
      </w:r>
      <w:r>
        <w:rPr>
          <w:rFonts w:cs="Times New Roman"/>
          <w:sz w:val="24"/>
        </w:rPr>
        <w:t xml:space="preserve">Horrell and </w:t>
      </w:r>
      <w:r w:rsidRPr="0032744C">
        <w:rPr>
          <w:rFonts w:cs="Times New Roman"/>
          <w:sz w:val="24"/>
        </w:rPr>
        <w:t>Humphries</w:t>
      </w:r>
      <w:r w:rsidRPr="0032744C">
        <w:rPr>
          <w:rStyle w:val="EndnoteReference"/>
          <w:rFonts w:cs="Times New Roman"/>
          <w:sz w:val="24"/>
        </w:rPr>
        <w:endnoteReference w:id="18"/>
      </w:r>
      <w:r>
        <w:rPr>
          <w:rFonts w:cs="Times New Roman"/>
          <w:sz w:val="24"/>
        </w:rPr>
        <w:t xml:space="preserve"> note</w:t>
      </w:r>
      <w:r w:rsidRPr="0032744C">
        <w:rPr>
          <w:rFonts w:cs="Times New Roman"/>
          <w:sz w:val="24"/>
        </w:rPr>
        <w:t xml:space="preserve"> women made money in ways other than working for wages.</w:t>
      </w:r>
      <w:r>
        <w:rPr>
          <w:rFonts w:cs="Times New Roman"/>
          <w:sz w:val="24"/>
        </w:rPr>
        <w:t xml:space="preserve"> </w:t>
      </w:r>
      <w:r>
        <w:rPr>
          <w:rFonts w:eastAsiaTheme="minorEastAsia" w:cs="Times New Roman"/>
          <w:sz w:val="24"/>
          <w:lang w:val="en-US"/>
        </w:rPr>
        <w:t>Women’s</w:t>
      </w:r>
      <w:r w:rsidRPr="0032744C">
        <w:rPr>
          <w:rFonts w:eastAsiaTheme="minorEastAsia" w:cs="Times New Roman"/>
          <w:sz w:val="24"/>
          <w:lang w:val="en-US"/>
        </w:rPr>
        <w:t xml:space="preserve"> ability to contribute to the household </w:t>
      </w:r>
      <w:r>
        <w:rPr>
          <w:rFonts w:eastAsiaTheme="minorEastAsia" w:cs="Times New Roman"/>
          <w:sz w:val="24"/>
          <w:lang w:val="en-US"/>
        </w:rPr>
        <w:t>finances was not solely the result of the</w:t>
      </w:r>
      <w:r w:rsidRPr="0032744C">
        <w:rPr>
          <w:rFonts w:eastAsiaTheme="minorEastAsia" w:cs="Times New Roman"/>
          <w:sz w:val="24"/>
          <w:lang w:val="en-US"/>
        </w:rPr>
        <w:t xml:space="preserve">ir access to paid work outside the household. </w:t>
      </w:r>
      <w:r>
        <w:rPr>
          <w:rFonts w:cs="Times New Roman"/>
          <w:sz w:val="24"/>
        </w:rPr>
        <w:t>M</w:t>
      </w:r>
      <w:r w:rsidRPr="0032744C">
        <w:rPr>
          <w:rFonts w:cs="Times New Roman"/>
          <w:sz w:val="24"/>
        </w:rPr>
        <w:t xml:space="preserve">any of the income-generating activities by married women were extensions of their work inside the household, and to child rearing. </w:t>
      </w:r>
      <w:r>
        <w:rPr>
          <w:rFonts w:cs="Times New Roman"/>
          <w:sz w:val="24"/>
        </w:rPr>
        <w:t xml:space="preserve">A typical example </w:t>
      </w:r>
      <w:r w:rsidRPr="0032744C">
        <w:rPr>
          <w:rFonts w:cs="Times New Roman"/>
          <w:sz w:val="24"/>
        </w:rPr>
        <w:t>is that of a miner</w:t>
      </w:r>
      <w:r>
        <w:rPr>
          <w:rFonts w:cs="Times New Roman"/>
          <w:sz w:val="24"/>
        </w:rPr>
        <w:t>'</w:t>
      </w:r>
      <w:r w:rsidRPr="0032744C">
        <w:rPr>
          <w:rFonts w:cs="Times New Roman"/>
          <w:sz w:val="24"/>
        </w:rPr>
        <w:t xml:space="preserve">s wife in 1842 who reported that she made up the rent </w:t>
      </w:r>
      <w:r w:rsidRPr="0032744C">
        <w:rPr>
          <w:rFonts w:cs="Times New Roman"/>
          <w:sz w:val="24"/>
        </w:rPr>
        <w:lastRenderedPageBreak/>
        <w:t xml:space="preserve">payment for the family by making flannel shirts for colliers, but also supplemented the household income by trading bones left over from meals for salt, and earned enough for black lead and mustard by </w:t>
      </w:r>
      <w:r>
        <w:rPr>
          <w:rFonts w:cs="Times New Roman"/>
          <w:sz w:val="24"/>
        </w:rPr>
        <w:t>"</w:t>
      </w:r>
      <w:r w:rsidRPr="0032744C">
        <w:rPr>
          <w:rFonts w:cs="Times New Roman"/>
          <w:sz w:val="24"/>
        </w:rPr>
        <w:t>any little job</w:t>
      </w:r>
      <w:r>
        <w:rPr>
          <w:rFonts w:cs="Times New Roman"/>
          <w:sz w:val="24"/>
        </w:rPr>
        <w:t>."</w:t>
      </w:r>
      <w:r w:rsidRPr="0032744C">
        <w:rPr>
          <w:rStyle w:val="EndnoteReference"/>
          <w:rFonts w:cs="Times New Roman"/>
          <w:sz w:val="24"/>
        </w:rPr>
        <w:endnoteReference w:id="19"/>
      </w:r>
      <w:r w:rsidRPr="0032744C">
        <w:rPr>
          <w:rFonts w:cs="Times New Roman"/>
          <w:sz w:val="24"/>
        </w:rPr>
        <w:t xml:space="preserve"> Other researchers have established that women contributed to the household income via </w:t>
      </w:r>
      <w:r>
        <w:rPr>
          <w:rFonts w:cs="Times New Roman"/>
          <w:sz w:val="24"/>
        </w:rPr>
        <w:t>"</w:t>
      </w:r>
      <w:r w:rsidRPr="0032744C">
        <w:rPr>
          <w:rFonts w:cs="Times New Roman"/>
          <w:sz w:val="24"/>
        </w:rPr>
        <w:t>penny capitalism</w:t>
      </w:r>
      <w:r>
        <w:rPr>
          <w:rFonts w:cs="Times New Roman"/>
          <w:sz w:val="24"/>
        </w:rPr>
        <w:t>"</w:t>
      </w:r>
      <w:r w:rsidRPr="0032744C">
        <w:rPr>
          <w:rFonts w:cs="Times New Roman"/>
          <w:sz w:val="24"/>
        </w:rPr>
        <w:t>, by selling surplus produce or animal products, selling food and beverages outside their houses or from door to door, taking in laundry and sewing, baking bread, decoratin</w:t>
      </w:r>
      <w:r>
        <w:rPr>
          <w:rFonts w:cs="Times New Roman"/>
          <w:sz w:val="24"/>
        </w:rPr>
        <w:t>g or seasonal agricultural work and being a landlady.</w:t>
      </w:r>
      <w:r w:rsidRPr="0032744C">
        <w:rPr>
          <w:rStyle w:val="EndnoteReference"/>
          <w:rFonts w:cs="Times New Roman"/>
          <w:sz w:val="24"/>
        </w:rPr>
        <w:endnoteReference w:id="20"/>
      </w:r>
    </w:p>
    <w:p w14:paraId="396C3D43" w14:textId="77777777" w:rsidR="00BC5A2A" w:rsidRDefault="00BC5A2A" w:rsidP="00876A6B">
      <w:pPr>
        <w:widowControl w:val="0"/>
        <w:autoSpaceDE w:val="0"/>
        <w:autoSpaceDN w:val="0"/>
        <w:adjustRightInd w:val="0"/>
        <w:spacing w:line="480" w:lineRule="auto"/>
        <w:jc w:val="both"/>
        <w:rPr>
          <w:rFonts w:cs="Times New Roman"/>
          <w:sz w:val="24"/>
        </w:rPr>
      </w:pPr>
    </w:p>
    <w:p w14:paraId="0C2B969E" w14:textId="031C9960" w:rsidR="00DB5830" w:rsidRDefault="00DB5830" w:rsidP="00DB5830">
      <w:pPr>
        <w:widowControl w:val="0"/>
        <w:autoSpaceDE w:val="0"/>
        <w:autoSpaceDN w:val="0"/>
        <w:adjustRightInd w:val="0"/>
        <w:spacing w:line="480" w:lineRule="auto"/>
        <w:jc w:val="both"/>
        <w:rPr>
          <w:rFonts w:cs="Times New Roman"/>
          <w:sz w:val="24"/>
        </w:rPr>
      </w:pPr>
      <w:r>
        <w:rPr>
          <w:rFonts w:cs="Times New Roman"/>
          <w:sz w:val="24"/>
        </w:rPr>
        <w:t xml:space="preserve">However, even against a background that sees married women’s economic </w:t>
      </w:r>
      <w:proofErr w:type="gramStart"/>
      <w:r>
        <w:rPr>
          <w:rFonts w:cs="Times New Roman"/>
          <w:sz w:val="24"/>
        </w:rPr>
        <w:t>contribution</w:t>
      </w:r>
      <w:proofErr w:type="gramEnd"/>
      <w:r>
        <w:rPr>
          <w:rFonts w:cs="Times New Roman"/>
          <w:sz w:val="24"/>
        </w:rPr>
        <w:t xml:space="preserve"> as being domestically generated there is a reluctance to characterise the home as a female sanctuary. Women were considered vulnerable to what are </w:t>
      </w:r>
      <w:r w:rsidRPr="0032744C">
        <w:rPr>
          <w:rFonts w:cs="Times New Roman"/>
          <w:sz w:val="24"/>
        </w:rPr>
        <w:t>often presented as the inevitable conflict</w:t>
      </w:r>
      <w:r>
        <w:rPr>
          <w:rFonts w:cs="Times New Roman"/>
          <w:sz w:val="24"/>
        </w:rPr>
        <w:t>s</w:t>
      </w:r>
      <w:r w:rsidRPr="0032744C">
        <w:rPr>
          <w:rFonts w:cs="Times New Roman"/>
          <w:sz w:val="24"/>
        </w:rPr>
        <w:t xml:space="preserve"> of working class marriage</w:t>
      </w:r>
      <w:r>
        <w:rPr>
          <w:rFonts w:cs="Times New Roman"/>
          <w:sz w:val="24"/>
        </w:rPr>
        <w:t xml:space="preserve"> in this period</w:t>
      </w:r>
      <w:r w:rsidRPr="0032744C">
        <w:rPr>
          <w:rFonts w:cs="Times New Roman"/>
          <w:sz w:val="24"/>
        </w:rPr>
        <w:t xml:space="preserve">. </w:t>
      </w:r>
      <w:r>
        <w:rPr>
          <w:sz w:val="24"/>
        </w:rPr>
        <w:t xml:space="preserve">Ellen </w:t>
      </w:r>
      <w:r w:rsidRPr="0032744C">
        <w:rPr>
          <w:rFonts w:cs="Times New Roman"/>
          <w:sz w:val="24"/>
        </w:rPr>
        <w:t>Ross</w:t>
      </w:r>
      <w:r>
        <w:rPr>
          <w:rFonts w:cs="Times New Roman"/>
          <w:sz w:val="24"/>
        </w:rPr>
        <w:t>'</w:t>
      </w:r>
      <w:r w:rsidRPr="0032744C">
        <w:rPr>
          <w:rFonts w:cs="Times New Roman"/>
          <w:sz w:val="24"/>
        </w:rPr>
        <w:t xml:space="preserve">s view is </w:t>
      </w:r>
      <w:r>
        <w:rPr>
          <w:rFonts w:cs="Times New Roman"/>
          <w:sz w:val="24"/>
        </w:rPr>
        <w:t xml:space="preserve">also </w:t>
      </w:r>
      <w:r w:rsidRPr="0032744C">
        <w:rPr>
          <w:rFonts w:cs="Times New Roman"/>
          <w:sz w:val="24"/>
        </w:rPr>
        <w:t>that most working class London marriages were routinely violent</w:t>
      </w:r>
      <w:r>
        <w:rPr>
          <w:rFonts w:cs="Times New Roman"/>
          <w:sz w:val="24"/>
        </w:rPr>
        <w:t>.</w:t>
      </w:r>
      <w:r w:rsidRPr="0032744C">
        <w:rPr>
          <w:rStyle w:val="EndnoteReference"/>
          <w:rFonts w:cs="Times New Roman"/>
          <w:sz w:val="24"/>
        </w:rPr>
        <w:endnoteReference w:id="21"/>
      </w:r>
      <w:r>
        <w:rPr>
          <w:rFonts w:cs="Times New Roman"/>
          <w:sz w:val="24"/>
        </w:rPr>
        <w:t xml:space="preserve"> </w:t>
      </w:r>
      <w:r w:rsidRPr="0032744C">
        <w:rPr>
          <w:rFonts w:cs="Times New Roman"/>
          <w:sz w:val="24"/>
        </w:rPr>
        <w:t>In Hammerton</w:t>
      </w:r>
      <w:r>
        <w:rPr>
          <w:rFonts w:cs="Times New Roman"/>
          <w:sz w:val="24"/>
        </w:rPr>
        <w:t>'</w:t>
      </w:r>
      <w:r w:rsidRPr="0032744C">
        <w:rPr>
          <w:rFonts w:cs="Times New Roman"/>
          <w:sz w:val="24"/>
        </w:rPr>
        <w:t xml:space="preserve">s studies of conflict in working class families he identifies economic </w:t>
      </w:r>
      <w:r>
        <w:rPr>
          <w:rFonts w:cs="Times New Roman"/>
          <w:sz w:val="24"/>
        </w:rPr>
        <w:t>"</w:t>
      </w:r>
      <w:r w:rsidRPr="0032744C">
        <w:rPr>
          <w:rFonts w:cs="Times New Roman"/>
          <w:sz w:val="24"/>
        </w:rPr>
        <w:t>mismanagement</w:t>
      </w:r>
      <w:r>
        <w:rPr>
          <w:rFonts w:cs="Times New Roman"/>
          <w:sz w:val="24"/>
        </w:rPr>
        <w:t>"</w:t>
      </w:r>
      <w:r w:rsidRPr="0032744C">
        <w:rPr>
          <w:rFonts w:cs="Times New Roman"/>
          <w:sz w:val="24"/>
        </w:rPr>
        <w:t xml:space="preserve"> as the trigger for the violence that resulted in both divorce and marital cruelty cases being brought to court and asserts that money was the traditional flashpoint for violence within the marriages of unskilled labourers</w:t>
      </w:r>
      <w:r>
        <w:rPr>
          <w:rFonts w:cs="Times New Roman"/>
          <w:sz w:val="24"/>
        </w:rPr>
        <w:t>.</w:t>
      </w:r>
      <w:r w:rsidRPr="0032744C">
        <w:rPr>
          <w:rStyle w:val="EndnoteReference"/>
          <w:rFonts w:cs="Times New Roman"/>
          <w:sz w:val="24"/>
        </w:rPr>
        <w:endnoteReference w:id="22"/>
      </w:r>
    </w:p>
    <w:p w14:paraId="7C48B3ED" w14:textId="77777777" w:rsidR="00DB5830" w:rsidRDefault="00DB5830" w:rsidP="00876A6B">
      <w:pPr>
        <w:widowControl w:val="0"/>
        <w:autoSpaceDE w:val="0"/>
        <w:autoSpaceDN w:val="0"/>
        <w:adjustRightInd w:val="0"/>
        <w:spacing w:line="480" w:lineRule="auto"/>
        <w:jc w:val="both"/>
        <w:rPr>
          <w:rFonts w:cs="Times New Roman"/>
          <w:sz w:val="24"/>
        </w:rPr>
      </w:pPr>
    </w:p>
    <w:p w14:paraId="087700F8" w14:textId="7B34B23E" w:rsidR="00BC5A2A" w:rsidRDefault="00BC5A2A" w:rsidP="00876A6B">
      <w:pPr>
        <w:widowControl w:val="0"/>
        <w:autoSpaceDE w:val="0"/>
        <w:autoSpaceDN w:val="0"/>
        <w:adjustRightInd w:val="0"/>
        <w:spacing w:line="480" w:lineRule="auto"/>
        <w:jc w:val="both"/>
        <w:rPr>
          <w:rFonts w:cs="Times New Roman"/>
          <w:sz w:val="24"/>
        </w:rPr>
      </w:pPr>
      <w:r>
        <w:rPr>
          <w:rFonts w:cs="Times New Roman"/>
          <w:sz w:val="24"/>
        </w:rPr>
        <w:t>Women also worked for wages</w:t>
      </w:r>
      <w:r w:rsidR="00DB5830">
        <w:rPr>
          <w:rFonts w:cs="Times New Roman"/>
          <w:sz w:val="24"/>
        </w:rPr>
        <w:t xml:space="preserve"> outside of the home</w:t>
      </w:r>
      <w:r w:rsidR="00550255">
        <w:rPr>
          <w:rFonts w:cs="Times New Roman"/>
          <w:sz w:val="24"/>
        </w:rPr>
        <w:t xml:space="preserve">. </w:t>
      </w:r>
      <w:r w:rsidRPr="0032744C">
        <w:rPr>
          <w:rFonts w:eastAsiaTheme="minorEastAsia" w:cs="Times New Roman"/>
          <w:sz w:val="24"/>
          <w:lang w:val="en-US"/>
        </w:rPr>
        <w:t>Edward Higgs and Joyce Burnette</w:t>
      </w:r>
      <w:r w:rsidR="00550255">
        <w:rPr>
          <w:rFonts w:eastAsiaTheme="minorEastAsia" w:cs="Times New Roman"/>
          <w:sz w:val="24"/>
          <w:lang w:val="en-US"/>
        </w:rPr>
        <w:t xml:space="preserve"> are amongst those who h</w:t>
      </w:r>
      <w:r w:rsidRPr="0032744C">
        <w:rPr>
          <w:rFonts w:eastAsiaTheme="minorEastAsia" w:cs="Times New Roman"/>
          <w:sz w:val="24"/>
          <w:lang w:val="en-US"/>
        </w:rPr>
        <w:t>ave challenged the assumption of falling levels of female/child activity as paid work moved outside the family</w:t>
      </w:r>
      <w:r w:rsidR="00550255">
        <w:rPr>
          <w:rFonts w:eastAsiaTheme="minorEastAsia" w:cs="Times New Roman"/>
          <w:sz w:val="24"/>
          <w:lang w:val="en-US"/>
        </w:rPr>
        <w:t xml:space="preserve"> home with industrialization</w:t>
      </w:r>
      <w:r>
        <w:rPr>
          <w:rFonts w:eastAsiaTheme="minorEastAsia" w:cs="Times New Roman"/>
          <w:sz w:val="24"/>
          <w:lang w:val="en-US"/>
        </w:rPr>
        <w:t>.</w:t>
      </w:r>
      <w:r w:rsidRPr="0032744C">
        <w:rPr>
          <w:rStyle w:val="EndnoteReference"/>
          <w:rFonts w:eastAsiaTheme="minorEastAsia" w:cs="Times New Roman"/>
          <w:sz w:val="24"/>
          <w:lang w:val="en-US"/>
        </w:rPr>
        <w:endnoteReference w:id="23"/>
      </w:r>
      <w:r w:rsidR="00550255">
        <w:rPr>
          <w:rFonts w:eastAsiaTheme="minorEastAsia" w:cs="Times New Roman"/>
          <w:sz w:val="24"/>
          <w:lang w:val="en-US"/>
        </w:rPr>
        <w:t xml:space="preserve"> The latter suggest</w:t>
      </w:r>
      <w:r w:rsidRPr="0032744C">
        <w:rPr>
          <w:rFonts w:eastAsiaTheme="minorEastAsia" w:cs="Times New Roman"/>
          <w:sz w:val="24"/>
          <w:lang w:val="en-US"/>
        </w:rPr>
        <w:t xml:space="preserve">s a number of factors </w:t>
      </w:r>
      <w:r w:rsidR="00550255">
        <w:rPr>
          <w:rFonts w:eastAsiaTheme="minorEastAsia" w:cs="Times New Roman"/>
          <w:sz w:val="24"/>
          <w:lang w:val="en-US"/>
        </w:rPr>
        <w:t xml:space="preserve">that contributed to the </w:t>
      </w:r>
      <w:r w:rsidRPr="0032744C">
        <w:rPr>
          <w:rFonts w:eastAsiaTheme="minorEastAsia" w:cs="Times New Roman"/>
          <w:sz w:val="24"/>
          <w:lang w:val="en-US"/>
        </w:rPr>
        <w:t xml:space="preserve">systematic and pervasive under-recording and distortion of </w:t>
      </w:r>
      <w:r>
        <w:rPr>
          <w:rFonts w:eastAsiaTheme="minorEastAsia" w:cs="Times New Roman"/>
          <w:sz w:val="24"/>
          <w:lang w:val="en-US"/>
        </w:rPr>
        <w:t>women's</w:t>
      </w:r>
      <w:r w:rsidRPr="0032744C">
        <w:rPr>
          <w:rFonts w:eastAsiaTheme="minorEastAsia" w:cs="Times New Roman"/>
          <w:sz w:val="24"/>
          <w:lang w:val="en-US"/>
        </w:rPr>
        <w:t xml:space="preserve"> activity. These include a cultural framework for the census takers of 1841 and 1851 leading to reluctance to identify women in a household as paid workers, the tendency to exaggerate the incidence of </w:t>
      </w:r>
      <w:r>
        <w:rPr>
          <w:rFonts w:eastAsiaTheme="minorEastAsia" w:cs="Times New Roman"/>
          <w:sz w:val="24"/>
          <w:lang w:val="en-US"/>
        </w:rPr>
        <w:t>women's</w:t>
      </w:r>
      <w:r w:rsidRPr="0032744C">
        <w:rPr>
          <w:rFonts w:eastAsiaTheme="minorEastAsia" w:cs="Times New Roman"/>
          <w:sz w:val="24"/>
          <w:lang w:val="en-US"/>
        </w:rPr>
        <w:t xml:space="preserve"> employment as domestic servants and to </w:t>
      </w:r>
      <w:r w:rsidRPr="0032744C">
        <w:rPr>
          <w:rFonts w:eastAsiaTheme="minorEastAsia" w:cs="Times New Roman"/>
          <w:sz w:val="24"/>
          <w:lang w:val="en-US"/>
        </w:rPr>
        <w:lastRenderedPageBreak/>
        <w:t>ignore seasonal occupations outside the home</w:t>
      </w:r>
      <w:r w:rsidR="00550255">
        <w:rPr>
          <w:rFonts w:eastAsiaTheme="minorEastAsia" w:cs="Times New Roman"/>
          <w:sz w:val="24"/>
          <w:lang w:val="en-US"/>
        </w:rPr>
        <w:t>,</w:t>
      </w:r>
      <w:r w:rsidRPr="0032744C">
        <w:rPr>
          <w:rFonts w:eastAsiaTheme="minorEastAsia" w:cs="Times New Roman"/>
          <w:sz w:val="24"/>
          <w:lang w:val="en-US"/>
        </w:rPr>
        <w:t xml:space="preserve"> and the elision of the wife in working husband and wife partnerships. Recent writing on </w:t>
      </w:r>
      <w:r>
        <w:rPr>
          <w:rFonts w:eastAsiaTheme="minorEastAsia" w:cs="Times New Roman"/>
          <w:sz w:val="24"/>
          <w:lang w:val="en-US"/>
        </w:rPr>
        <w:t>women's</w:t>
      </w:r>
      <w:r w:rsidRPr="0032744C">
        <w:rPr>
          <w:rFonts w:eastAsiaTheme="minorEastAsia" w:cs="Times New Roman"/>
          <w:sz w:val="24"/>
          <w:lang w:val="en-US"/>
        </w:rPr>
        <w:t xml:space="preserve"> self-employment in businesses also suggests that it has been understated in incidence and significance – see, for instance, Katrina Honeyman</w:t>
      </w:r>
      <w:r w:rsidRPr="0032744C">
        <w:rPr>
          <w:rStyle w:val="EndnoteReference"/>
          <w:rFonts w:eastAsiaTheme="minorEastAsia" w:cs="Times New Roman"/>
          <w:sz w:val="24"/>
          <w:lang w:val="en-US"/>
        </w:rPr>
        <w:endnoteReference w:id="24"/>
      </w:r>
      <w:r w:rsidRPr="0032744C">
        <w:rPr>
          <w:rFonts w:eastAsiaTheme="minorEastAsia" w:cs="Times New Roman"/>
          <w:sz w:val="24"/>
          <w:lang w:val="en-US"/>
        </w:rPr>
        <w:t xml:space="preserve"> for a study that draws on a wide range of writing to challenge claims that women were </w:t>
      </w:r>
      <w:r>
        <w:rPr>
          <w:rFonts w:eastAsiaTheme="minorEastAsia" w:cs="Times New Roman"/>
          <w:sz w:val="24"/>
          <w:lang w:val="en-US"/>
        </w:rPr>
        <w:t>"</w:t>
      </w:r>
      <w:r w:rsidRPr="0032744C">
        <w:rPr>
          <w:rFonts w:eastAsiaTheme="minorEastAsia" w:cs="Times New Roman"/>
          <w:sz w:val="24"/>
          <w:lang w:val="en-US"/>
        </w:rPr>
        <w:t>marginalized or excluded</w:t>
      </w:r>
      <w:r>
        <w:rPr>
          <w:rFonts w:eastAsiaTheme="minorEastAsia" w:cs="Times New Roman"/>
          <w:sz w:val="24"/>
          <w:lang w:val="en-US"/>
        </w:rPr>
        <w:t>"</w:t>
      </w:r>
      <w:r w:rsidRPr="0032744C">
        <w:rPr>
          <w:rFonts w:eastAsiaTheme="minorEastAsia" w:cs="Times New Roman"/>
          <w:sz w:val="24"/>
          <w:lang w:val="en-US"/>
        </w:rPr>
        <w:t xml:space="preserve"> from the employment market</w:t>
      </w:r>
      <w:r w:rsidR="00550255">
        <w:rPr>
          <w:rFonts w:eastAsiaTheme="minorEastAsia" w:cs="Times New Roman"/>
          <w:sz w:val="24"/>
          <w:lang w:val="en-US"/>
        </w:rPr>
        <w:t>.</w:t>
      </w:r>
    </w:p>
    <w:p w14:paraId="6E1F5C72" w14:textId="77777777" w:rsidR="00861093" w:rsidRDefault="00861093" w:rsidP="00876A6B">
      <w:pPr>
        <w:widowControl w:val="0"/>
        <w:autoSpaceDE w:val="0"/>
        <w:autoSpaceDN w:val="0"/>
        <w:adjustRightInd w:val="0"/>
        <w:spacing w:line="480" w:lineRule="auto"/>
        <w:jc w:val="both"/>
        <w:rPr>
          <w:rFonts w:cs="Times New Roman"/>
          <w:sz w:val="24"/>
        </w:rPr>
      </w:pPr>
    </w:p>
    <w:p w14:paraId="442A721B" w14:textId="77777777" w:rsidR="00861093" w:rsidRPr="0032744C" w:rsidRDefault="00861093" w:rsidP="00876A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rFonts w:cs="Times New Roman"/>
          <w:sz w:val="24"/>
        </w:rPr>
      </w:pPr>
      <w:r w:rsidRPr="00940D22">
        <w:rPr>
          <w:rFonts w:cs="Times New Roman"/>
          <w:sz w:val="24"/>
        </w:rPr>
        <w:t xml:space="preserve">The contribution of children to the household income is, in comparison, more widely acknowledged. Studies that focus on the early factory stage of industrialisation </w:t>
      </w:r>
      <w:r w:rsidR="00601915" w:rsidRPr="00940D22">
        <w:rPr>
          <w:rFonts w:cs="Times New Roman"/>
          <w:sz w:val="24"/>
        </w:rPr>
        <w:t xml:space="preserve">(i.e. the early 1800s) </w:t>
      </w:r>
      <w:r w:rsidRPr="00940D22">
        <w:rPr>
          <w:rFonts w:cs="Times New Roman"/>
          <w:sz w:val="24"/>
        </w:rPr>
        <w:t>note the numbers of children employed in waged positions</w:t>
      </w:r>
      <w:r w:rsidR="00ED6F6E" w:rsidRPr="00940D22">
        <w:rPr>
          <w:rFonts w:cs="Times New Roman"/>
          <w:sz w:val="24"/>
        </w:rPr>
        <w:t>, and their contribution to household income</w:t>
      </w:r>
      <w:r w:rsidRPr="00940D22">
        <w:rPr>
          <w:rFonts w:cs="Times New Roman"/>
          <w:sz w:val="24"/>
        </w:rPr>
        <w:t>.</w:t>
      </w:r>
      <w:r w:rsidRPr="00940D22">
        <w:rPr>
          <w:rStyle w:val="EndnoteReference"/>
          <w:rFonts w:cs="Times New Roman"/>
          <w:sz w:val="24"/>
        </w:rPr>
        <w:endnoteReference w:id="25"/>
      </w:r>
      <w:r w:rsidRPr="00940D22">
        <w:rPr>
          <w:rFonts w:cs="Times New Roman"/>
          <w:sz w:val="24"/>
        </w:rPr>
        <w:t xml:space="preserve"> </w:t>
      </w:r>
      <w:r w:rsidR="00B72E50" w:rsidRPr="00940D22">
        <w:rPr>
          <w:rFonts w:cs="Times New Roman"/>
          <w:sz w:val="24"/>
        </w:rPr>
        <w:t xml:space="preserve">But the </w:t>
      </w:r>
      <w:r w:rsidR="00ED6F6E" w:rsidRPr="00940D22">
        <w:rPr>
          <w:rFonts w:cs="Times New Roman"/>
          <w:sz w:val="24"/>
        </w:rPr>
        <w:t xml:space="preserve">continuing significance of child labour to </w:t>
      </w:r>
      <w:r w:rsidR="00B72E50" w:rsidRPr="00940D22">
        <w:rPr>
          <w:rFonts w:cs="Times New Roman"/>
          <w:sz w:val="24"/>
        </w:rPr>
        <w:t>production is</w:t>
      </w:r>
      <w:r w:rsidR="00ED6F6E" w:rsidRPr="00940D22">
        <w:rPr>
          <w:rFonts w:cs="Times New Roman"/>
          <w:sz w:val="24"/>
        </w:rPr>
        <w:t xml:space="preserve"> fiercely</w:t>
      </w:r>
      <w:r w:rsidR="00B72E50" w:rsidRPr="00940D22">
        <w:rPr>
          <w:rFonts w:cs="Times New Roman"/>
          <w:sz w:val="24"/>
        </w:rPr>
        <w:t xml:space="preserve"> debated</w:t>
      </w:r>
      <w:r w:rsidR="00ED6F6E" w:rsidRPr="00940D22">
        <w:rPr>
          <w:rFonts w:cs="Times New Roman"/>
          <w:sz w:val="24"/>
        </w:rPr>
        <w:t xml:space="preserve"> especially as the century progresses</w:t>
      </w:r>
      <w:r w:rsidR="00B72E50" w:rsidRPr="00940D22">
        <w:rPr>
          <w:rFonts w:cs="Times New Roman"/>
          <w:sz w:val="24"/>
        </w:rPr>
        <w:t>,</w:t>
      </w:r>
      <w:r w:rsidR="00ED6F6E" w:rsidRPr="00940D22">
        <w:rPr>
          <w:rFonts w:cs="Times New Roman"/>
          <w:sz w:val="24"/>
        </w:rPr>
        <w:t xml:space="preserve"> where the employment of children under ten years of age became less common and employment of any sort before the mid-teens </w:t>
      </w:r>
      <w:r w:rsidR="00B72E50" w:rsidRPr="00940D22">
        <w:rPr>
          <w:rFonts w:cs="Times New Roman"/>
          <w:sz w:val="24"/>
        </w:rPr>
        <w:t>varied enormously by season, location and gender.</w:t>
      </w:r>
      <w:r w:rsidR="00B72E50" w:rsidRPr="00940D22">
        <w:rPr>
          <w:rStyle w:val="EndnoteReference"/>
          <w:rFonts w:cs="Times New Roman"/>
          <w:sz w:val="24"/>
        </w:rPr>
        <w:endnoteReference w:id="26"/>
      </w:r>
      <w:r w:rsidR="00ED6F6E" w:rsidRPr="00940D22">
        <w:rPr>
          <w:rFonts w:cs="Times New Roman"/>
          <w:sz w:val="24"/>
        </w:rPr>
        <w:t xml:space="preserve"> </w:t>
      </w:r>
      <w:r w:rsidR="00F51853" w:rsidRPr="00940D22">
        <w:rPr>
          <w:rFonts w:cs="Times New Roman"/>
          <w:sz w:val="24"/>
        </w:rPr>
        <w:t xml:space="preserve">It is more difficult to make confident assumptions about the re-distribution of income from </w:t>
      </w:r>
      <w:r w:rsidRPr="00940D22">
        <w:rPr>
          <w:rFonts w:cs="Times New Roman"/>
          <w:sz w:val="24"/>
        </w:rPr>
        <w:t>older</w:t>
      </w:r>
      <w:r w:rsidR="00ED6F6E" w:rsidRPr="00940D22">
        <w:rPr>
          <w:rFonts w:cs="Times New Roman"/>
          <w:sz w:val="24"/>
        </w:rPr>
        <w:t>, resident children who had made the transition into regular employment</w:t>
      </w:r>
      <w:r w:rsidR="00F51853" w:rsidRPr="00940D22">
        <w:rPr>
          <w:rFonts w:cs="Times New Roman"/>
          <w:sz w:val="24"/>
        </w:rPr>
        <w:t xml:space="preserve">. </w:t>
      </w:r>
      <w:r w:rsidRPr="00940D22">
        <w:rPr>
          <w:rFonts w:cs="Times New Roman"/>
          <w:sz w:val="24"/>
        </w:rPr>
        <w:t>Scott and Tilly</w:t>
      </w:r>
      <w:r w:rsidRPr="00940D22">
        <w:rPr>
          <w:rStyle w:val="EndnoteReference"/>
          <w:rFonts w:cs="Times New Roman"/>
          <w:sz w:val="24"/>
        </w:rPr>
        <w:endnoteReference w:id="27"/>
      </w:r>
      <w:r w:rsidRPr="00940D22">
        <w:rPr>
          <w:rFonts w:cs="Times New Roman"/>
          <w:sz w:val="24"/>
        </w:rPr>
        <w:t xml:space="preserve"> suggest that</w:t>
      </w:r>
      <w:r w:rsidR="00F51853" w:rsidRPr="00940D22">
        <w:rPr>
          <w:rFonts w:cs="Times New Roman"/>
          <w:sz w:val="24"/>
        </w:rPr>
        <w:t xml:space="preserve"> it was common practice for </w:t>
      </w:r>
      <w:r w:rsidRPr="00940D22">
        <w:rPr>
          <w:rFonts w:cs="Times New Roman"/>
          <w:sz w:val="24"/>
        </w:rPr>
        <w:t xml:space="preserve">factories </w:t>
      </w:r>
      <w:r w:rsidR="00F51853" w:rsidRPr="00940D22">
        <w:rPr>
          <w:rFonts w:cs="Times New Roman"/>
          <w:sz w:val="24"/>
        </w:rPr>
        <w:t xml:space="preserve">to send the </w:t>
      </w:r>
      <w:r w:rsidRPr="00940D22">
        <w:rPr>
          <w:rFonts w:cs="Times New Roman"/>
          <w:sz w:val="24"/>
        </w:rPr>
        <w:t>wages of girls straight to their parents</w:t>
      </w:r>
      <w:r w:rsidR="00F51853" w:rsidRPr="00940D22">
        <w:rPr>
          <w:rFonts w:cs="Times New Roman"/>
          <w:sz w:val="24"/>
        </w:rPr>
        <w:t>,</w:t>
      </w:r>
      <w:r w:rsidRPr="00940D22">
        <w:rPr>
          <w:rFonts w:cs="Times New Roman"/>
          <w:sz w:val="24"/>
        </w:rPr>
        <w:t xml:space="preserve"> and that it was not until the 1890s that English single </w:t>
      </w:r>
      <w:proofErr w:type="gramStart"/>
      <w:r w:rsidRPr="00940D22">
        <w:rPr>
          <w:rFonts w:cs="Times New Roman"/>
          <w:sz w:val="24"/>
        </w:rPr>
        <w:t>working women</w:t>
      </w:r>
      <w:proofErr w:type="gramEnd"/>
      <w:r w:rsidRPr="00940D22">
        <w:rPr>
          <w:rFonts w:cs="Times New Roman"/>
          <w:sz w:val="24"/>
        </w:rPr>
        <w:t xml:space="preserve"> living at home were permitted to keep some of their wages for their own use. They</w:t>
      </w:r>
      <w:r w:rsidR="00F51853" w:rsidRPr="00940D22">
        <w:rPr>
          <w:rFonts w:cs="Times New Roman"/>
          <w:sz w:val="24"/>
        </w:rPr>
        <w:t xml:space="preserve"> also suggest that </w:t>
      </w:r>
      <w:r w:rsidRPr="00940D22">
        <w:rPr>
          <w:rFonts w:cs="Times New Roman"/>
          <w:sz w:val="24"/>
        </w:rPr>
        <w:t xml:space="preserve">single women working away from home, for example in domestic service, </w:t>
      </w:r>
      <w:r w:rsidR="00F51853" w:rsidRPr="00940D22">
        <w:rPr>
          <w:rFonts w:cs="Times New Roman"/>
          <w:sz w:val="24"/>
        </w:rPr>
        <w:t>also sent their wages home to support their household</w:t>
      </w:r>
      <w:r w:rsidRPr="00940D22">
        <w:rPr>
          <w:rFonts w:cs="Times New Roman"/>
          <w:sz w:val="24"/>
        </w:rPr>
        <w:t>.</w:t>
      </w:r>
      <w:r w:rsidRPr="00940D22">
        <w:rPr>
          <w:rStyle w:val="EndnoteReference"/>
          <w:rFonts w:cs="Times New Roman"/>
          <w:sz w:val="24"/>
        </w:rPr>
        <w:endnoteReference w:id="28"/>
      </w:r>
      <w:r w:rsidR="00F51853" w:rsidRPr="00940D22">
        <w:rPr>
          <w:rFonts w:cs="Times New Roman"/>
          <w:sz w:val="24"/>
        </w:rPr>
        <w:t xml:space="preserve"> </w:t>
      </w:r>
    </w:p>
    <w:p w14:paraId="2B6856D8" w14:textId="77777777" w:rsidR="006539EA" w:rsidRPr="0032744C" w:rsidRDefault="006539EA" w:rsidP="00876A6B">
      <w:pPr>
        <w:spacing w:line="480" w:lineRule="auto"/>
        <w:jc w:val="both"/>
        <w:rPr>
          <w:rFonts w:cs="Times New Roman"/>
          <w:sz w:val="24"/>
        </w:rPr>
      </w:pPr>
    </w:p>
    <w:p w14:paraId="5CD8588F" w14:textId="4203C09E" w:rsidR="006539EA" w:rsidRDefault="00703085" w:rsidP="00876A6B">
      <w:pPr>
        <w:widowControl w:val="0"/>
        <w:autoSpaceDE w:val="0"/>
        <w:autoSpaceDN w:val="0"/>
        <w:adjustRightInd w:val="0"/>
        <w:spacing w:line="480" w:lineRule="auto"/>
        <w:jc w:val="both"/>
        <w:rPr>
          <w:rFonts w:eastAsiaTheme="minorEastAsia" w:cs="Times New Roman"/>
          <w:sz w:val="24"/>
          <w:lang w:val="en-US"/>
        </w:rPr>
      </w:pPr>
      <w:r>
        <w:rPr>
          <w:rFonts w:eastAsiaTheme="minorEastAsia" w:cs="Times New Roman"/>
          <w:sz w:val="24"/>
          <w:lang w:val="en-US"/>
        </w:rPr>
        <w:t>T</w:t>
      </w:r>
      <w:r w:rsidR="006539EA" w:rsidRPr="0032744C">
        <w:rPr>
          <w:rFonts w:eastAsiaTheme="minorEastAsia" w:cs="Times New Roman"/>
          <w:sz w:val="24"/>
          <w:lang w:val="en-US"/>
        </w:rPr>
        <w:t xml:space="preserve">he historical narrative around </w:t>
      </w:r>
      <w:r w:rsidR="006539EA">
        <w:rPr>
          <w:rFonts w:eastAsiaTheme="minorEastAsia" w:cs="Times New Roman"/>
          <w:sz w:val="24"/>
          <w:lang w:val="en-US"/>
        </w:rPr>
        <w:t>women's</w:t>
      </w:r>
      <w:r w:rsidR="006539EA" w:rsidRPr="0032744C">
        <w:rPr>
          <w:rFonts w:eastAsiaTheme="minorEastAsia" w:cs="Times New Roman"/>
          <w:sz w:val="24"/>
          <w:lang w:val="en-US"/>
        </w:rPr>
        <w:t xml:space="preserve"> </w:t>
      </w:r>
      <w:r w:rsidR="00861093">
        <w:rPr>
          <w:rFonts w:eastAsiaTheme="minorEastAsia" w:cs="Times New Roman"/>
          <w:sz w:val="24"/>
          <w:lang w:val="en-US"/>
        </w:rPr>
        <w:t xml:space="preserve">and children’s </w:t>
      </w:r>
      <w:r w:rsidR="006539EA" w:rsidRPr="0032744C">
        <w:rPr>
          <w:rFonts w:eastAsiaTheme="minorEastAsia" w:cs="Times New Roman"/>
          <w:sz w:val="24"/>
          <w:lang w:val="en-US"/>
        </w:rPr>
        <w:t>financial agency within work</w:t>
      </w:r>
      <w:r w:rsidR="006539EA">
        <w:rPr>
          <w:rFonts w:eastAsiaTheme="minorEastAsia" w:cs="Times New Roman"/>
          <w:sz w:val="24"/>
          <w:lang w:val="en-US"/>
        </w:rPr>
        <w:t xml:space="preserve">ing class households </w:t>
      </w:r>
      <w:r>
        <w:rPr>
          <w:rFonts w:eastAsiaTheme="minorEastAsia" w:cs="Times New Roman"/>
          <w:sz w:val="24"/>
          <w:lang w:val="en-US"/>
        </w:rPr>
        <w:t xml:space="preserve">follows the social history narrative presented above and </w:t>
      </w:r>
      <w:r w:rsidR="006539EA">
        <w:rPr>
          <w:rFonts w:eastAsiaTheme="minorEastAsia" w:cs="Times New Roman"/>
          <w:sz w:val="24"/>
          <w:lang w:val="en-US"/>
        </w:rPr>
        <w:t>assumes a</w:t>
      </w:r>
      <w:r w:rsidR="006539EA" w:rsidRPr="0032744C">
        <w:rPr>
          <w:rFonts w:eastAsiaTheme="minorEastAsia" w:cs="Times New Roman"/>
          <w:sz w:val="24"/>
          <w:lang w:val="en-US"/>
        </w:rPr>
        <w:t xml:space="preserve"> </w:t>
      </w:r>
      <w:r w:rsidR="006539EA" w:rsidRPr="00703085">
        <w:rPr>
          <w:rFonts w:eastAsiaTheme="minorEastAsia" w:cs="Times New Roman"/>
          <w:i/>
          <w:sz w:val="24"/>
          <w:lang w:val="en-US"/>
        </w:rPr>
        <w:t>patriarchal model</w:t>
      </w:r>
      <w:r w:rsidRPr="00703085">
        <w:rPr>
          <w:rFonts w:eastAsiaTheme="minorEastAsia" w:cs="Times New Roman"/>
          <w:sz w:val="24"/>
          <w:lang w:val="en-US"/>
        </w:rPr>
        <w:t xml:space="preserve"> of authority and control</w:t>
      </w:r>
      <w:r w:rsidR="006539EA" w:rsidRPr="00703085">
        <w:rPr>
          <w:rFonts w:eastAsiaTheme="minorEastAsia" w:cs="Times New Roman"/>
          <w:sz w:val="24"/>
          <w:lang w:val="en-US"/>
        </w:rPr>
        <w:t xml:space="preserve">, </w:t>
      </w:r>
      <w:r w:rsidR="006539EA" w:rsidRPr="0032744C">
        <w:rPr>
          <w:rFonts w:eastAsiaTheme="minorEastAsia" w:cs="Times New Roman"/>
          <w:sz w:val="24"/>
          <w:lang w:val="en-US"/>
        </w:rPr>
        <w:t>although in some variants</w:t>
      </w:r>
      <w:r w:rsidR="006539EA" w:rsidRPr="0032744C">
        <w:rPr>
          <w:rStyle w:val="EndnoteReference"/>
          <w:rFonts w:eastAsiaTheme="minorEastAsia" w:cs="Times New Roman"/>
          <w:sz w:val="24"/>
          <w:lang w:val="en-US"/>
        </w:rPr>
        <w:endnoteReference w:id="29"/>
      </w:r>
      <w:r w:rsidR="006539EA">
        <w:rPr>
          <w:rFonts w:eastAsiaTheme="minorEastAsia" w:cs="Times New Roman"/>
          <w:sz w:val="24"/>
          <w:lang w:val="en-US"/>
        </w:rPr>
        <w:t xml:space="preserve"> </w:t>
      </w:r>
      <w:r w:rsidR="006539EA" w:rsidRPr="0032744C">
        <w:rPr>
          <w:rFonts w:eastAsiaTheme="minorEastAsia" w:cs="Times New Roman"/>
          <w:sz w:val="24"/>
          <w:lang w:val="en-US"/>
        </w:rPr>
        <w:t>and increasingly in oral histories of the early 20</w:t>
      </w:r>
      <w:r w:rsidR="006539EA" w:rsidRPr="0032744C">
        <w:rPr>
          <w:rFonts w:eastAsiaTheme="minorEastAsia" w:cs="Times New Roman"/>
          <w:sz w:val="24"/>
          <w:vertAlign w:val="superscript"/>
          <w:lang w:val="en-US"/>
        </w:rPr>
        <w:t>th</w:t>
      </w:r>
      <w:r w:rsidR="006539EA" w:rsidRPr="0032744C">
        <w:rPr>
          <w:rFonts w:eastAsiaTheme="minorEastAsia" w:cs="Times New Roman"/>
          <w:sz w:val="24"/>
          <w:lang w:val="en-US"/>
        </w:rPr>
        <w:t xml:space="preserve"> century</w:t>
      </w:r>
      <w:r w:rsidR="006539EA" w:rsidRPr="0032744C">
        <w:rPr>
          <w:rStyle w:val="EndnoteReference"/>
          <w:rFonts w:eastAsiaTheme="minorEastAsia" w:cs="Times New Roman"/>
          <w:sz w:val="24"/>
          <w:lang w:val="en-US"/>
        </w:rPr>
        <w:endnoteReference w:id="30"/>
      </w:r>
      <w:r w:rsidR="006539EA" w:rsidRPr="0032744C">
        <w:rPr>
          <w:rFonts w:eastAsiaTheme="minorEastAsia" w:cs="Times New Roman"/>
          <w:sz w:val="24"/>
          <w:lang w:val="en-US"/>
        </w:rPr>
        <w:t xml:space="preserve"> the control exercised in this model is </w:t>
      </w:r>
      <w:r w:rsidR="006539EA" w:rsidRPr="0032744C">
        <w:rPr>
          <w:rFonts w:eastAsiaTheme="minorEastAsia" w:cs="Times New Roman"/>
          <w:i/>
          <w:sz w:val="24"/>
          <w:lang w:val="en-US"/>
        </w:rPr>
        <w:t>matriarchal.</w:t>
      </w:r>
      <w:r w:rsidR="006539EA" w:rsidRPr="0032744C">
        <w:rPr>
          <w:rFonts w:eastAsiaTheme="minorEastAsia" w:cs="Times New Roman"/>
          <w:sz w:val="24"/>
          <w:lang w:val="en-US"/>
        </w:rPr>
        <w:t xml:space="preserve"> </w:t>
      </w:r>
      <w:r w:rsidR="006539EA">
        <w:rPr>
          <w:rFonts w:eastAsiaTheme="minorEastAsia" w:cs="Times New Roman"/>
          <w:sz w:val="24"/>
          <w:lang w:val="en-US"/>
        </w:rPr>
        <w:lastRenderedPageBreak/>
        <w:t>Married</w:t>
      </w:r>
      <w:r w:rsidR="006539EA" w:rsidRPr="0032744C">
        <w:rPr>
          <w:rFonts w:eastAsiaTheme="minorEastAsia" w:cs="Times New Roman"/>
          <w:sz w:val="24"/>
          <w:lang w:val="en-US"/>
        </w:rPr>
        <w:t xml:space="preserve"> </w:t>
      </w:r>
      <w:r w:rsidR="006539EA">
        <w:rPr>
          <w:rFonts w:eastAsiaTheme="minorEastAsia" w:cs="Times New Roman"/>
          <w:sz w:val="24"/>
          <w:lang w:val="en-US"/>
        </w:rPr>
        <w:t>women's</w:t>
      </w:r>
      <w:r w:rsidR="006539EA" w:rsidRPr="0032744C">
        <w:rPr>
          <w:rFonts w:eastAsiaTheme="minorEastAsia" w:cs="Times New Roman"/>
          <w:sz w:val="24"/>
          <w:lang w:val="en-US"/>
        </w:rPr>
        <w:t xml:space="preserve"> management of</w:t>
      </w:r>
      <w:r w:rsidR="006539EA">
        <w:rPr>
          <w:rFonts w:eastAsiaTheme="minorEastAsia" w:cs="Times New Roman"/>
          <w:sz w:val="24"/>
          <w:lang w:val="en-US"/>
        </w:rPr>
        <w:t xml:space="preserve"> money was confined to "stinting themselves"</w:t>
      </w:r>
      <w:r w:rsidR="005E5A5C">
        <w:rPr>
          <w:rFonts w:eastAsiaTheme="minorEastAsia" w:cs="Times New Roman"/>
          <w:sz w:val="24"/>
          <w:lang w:val="en-US"/>
        </w:rPr>
        <w:t xml:space="preserve">. </w:t>
      </w:r>
      <w:r w:rsidR="005E5A5C">
        <w:rPr>
          <w:rFonts w:cs="Times New Roman"/>
          <w:sz w:val="24"/>
        </w:rPr>
        <w:t xml:space="preserve">Ellen Ross </w:t>
      </w:r>
      <w:r w:rsidR="005E5A5C" w:rsidRPr="0032744C">
        <w:rPr>
          <w:rFonts w:cs="Times New Roman"/>
          <w:sz w:val="24"/>
        </w:rPr>
        <w:t xml:space="preserve">is firm in her assessment that most married women </w:t>
      </w:r>
      <w:r w:rsidR="005E5A5C">
        <w:rPr>
          <w:rFonts w:cs="Times New Roman"/>
          <w:sz w:val="24"/>
        </w:rPr>
        <w:t xml:space="preserve">were </w:t>
      </w:r>
      <w:r w:rsidR="005E5A5C" w:rsidRPr="0032744C">
        <w:rPr>
          <w:rFonts w:cs="Times New Roman"/>
          <w:sz w:val="24"/>
        </w:rPr>
        <w:t xml:space="preserve">dependent on allowances for </w:t>
      </w:r>
      <w:r w:rsidR="005E5A5C">
        <w:rPr>
          <w:rFonts w:cs="Times New Roman"/>
          <w:sz w:val="24"/>
        </w:rPr>
        <w:t xml:space="preserve">their </w:t>
      </w:r>
      <w:r w:rsidR="005E5A5C" w:rsidRPr="0032744C">
        <w:rPr>
          <w:rFonts w:cs="Times New Roman"/>
          <w:sz w:val="24"/>
        </w:rPr>
        <w:t xml:space="preserve">necessities, and that </w:t>
      </w:r>
      <w:r w:rsidR="005E5A5C" w:rsidRPr="0032744C">
        <w:rPr>
          <w:sz w:val="24"/>
        </w:rPr>
        <w:t xml:space="preserve">women and children </w:t>
      </w:r>
      <w:r w:rsidR="005E5A5C">
        <w:rPr>
          <w:sz w:val="24"/>
        </w:rPr>
        <w:t>would go</w:t>
      </w:r>
      <w:r w:rsidR="005E5A5C" w:rsidRPr="0032744C">
        <w:rPr>
          <w:sz w:val="24"/>
        </w:rPr>
        <w:t xml:space="preserve"> without in order to </w:t>
      </w:r>
      <w:r w:rsidR="005E5A5C">
        <w:rPr>
          <w:sz w:val="24"/>
        </w:rPr>
        <w:t xml:space="preserve">prioritise the </w:t>
      </w:r>
      <w:r w:rsidR="005E5A5C" w:rsidRPr="0032744C">
        <w:rPr>
          <w:sz w:val="24"/>
        </w:rPr>
        <w:t>feed</w:t>
      </w:r>
      <w:r w:rsidR="005E5A5C">
        <w:rPr>
          <w:sz w:val="24"/>
        </w:rPr>
        <w:t>ing</w:t>
      </w:r>
      <w:r w:rsidR="005E5A5C" w:rsidRPr="0032744C">
        <w:rPr>
          <w:sz w:val="24"/>
        </w:rPr>
        <w:t xml:space="preserve"> and cloth</w:t>
      </w:r>
      <w:r w:rsidR="005E5A5C">
        <w:rPr>
          <w:sz w:val="24"/>
        </w:rPr>
        <w:t>ing of the father</w:t>
      </w:r>
      <w:r w:rsidR="005E5A5C">
        <w:rPr>
          <w:rFonts w:eastAsiaTheme="minorEastAsia" w:cs="Times New Roman"/>
          <w:sz w:val="24"/>
          <w:lang w:val="en-US"/>
        </w:rPr>
        <w:t>.</w:t>
      </w:r>
      <w:r w:rsidR="005E5A5C">
        <w:rPr>
          <w:rStyle w:val="EndnoteReference"/>
          <w:rFonts w:eastAsiaTheme="minorEastAsia" w:cs="Times New Roman"/>
          <w:sz w:val="24"/>
          <w:lang w:val="en-US"/>
        </w:rPr>
        <w:endnoteReference w:id="31"/>
      </w:r>
      <w:r w:rsidR="006539EA" w:rsidRPr="0032744C">
        <w:rPr>
          <w:rFonts w:eastAsiaTheme="minorEastAsia" w:cs="Times New Roman"/>
          <w:sz w:val="24"/>
          <w:lang w:val="en-US"/>
        </w:rPr>
        <w:t xml:space="preserve"> Laura Ore</w:t>
      </w:r>
      <w:r w:rsidR="006539EA">
        <w:rPr>
          <w:rFonts w:eastAsiaTheme="minorEastAsia" w:cs="Times New Roman"/>
          <w:sz w:val="24"/>
          <w:lang w:val="en-US"/>
        </w:rPr>
        <w:t>n</w:t>
      </w:r>
      <w:r w:rsidR="001E3B44">
        <w:rPr>
          <w:rFonts w:eastAsiaTheme="minorEastAsia" w:cs="Times New Roman"/>
          <w:sz w:val="24"/>
          <w:lang w:val="en-US"/>
        </w:rPr>
        <w:t xml:space="preserve"> also </w:t>
      </w:r>
      <w:r w:rsidR="006539EA" w:rsidRPr="0032744C">
        <w:rPr>
          <w:rFonts w:eastAsiaTheme="minorEastAsia" w:cs="Times New Roman"/>
          <w:sz w:val="24"/>
          <w:lang w:val="en-US"/>
        </w:rPr>
        <w:t xml:space="preserve">stresses the asymmetry of the distribution of earnings within the working-class family with the wife acting as an adjustable </w:t>
      </w:r>
      <w:r w:rsidR="006539EA">
        <w:rPr>
          <w:rFonts w:eastAsiaTheme="minorEastAsia" w:cs="Times New Roman"/>
          <w:sz w:val="24"/>
          <w:lang w:val="en-US"/>
        </w:rPr>
        <w:t>"</w:t>
      </w:r>
      <w:r w:rsidR="006539EA" w:rsidRPr="0032744C">
        <w:rPr>
          <w:rFonts w:eastAsiaTheme="minorEastAsia" w:cs="Times New Roman"/>
          <w:sz w:val="24"/>
          <w:lang w:val="en-US"/>
        </w:rPr>
        <w:t>buffer</w:t>
      </w:r>
      <w:r w:rsidR="006539EA">
        <w:rPr>
          <w:rFonts w:eastAsiaTheme="minorEastAsia" w:cs="Times New Roman"/>
          <w:sz w:val="24"/>
          <w:lang w:val="en-US"/>
        </w:rPr>
        <w:t>"</w:t>
      </w:r>
      <w:r w:rsidR="006539EA" w:rsidRPr="0032744C">
        <w:rPr>
          <w:rFonts w:eastAsiaTheme="minorEastAsia" w:cs="Times New Roman"/>
          <w:sz w:val="24"/>
          <w:lang w:val="en-US"/>
        </w:rPr>
        <w:t xml:space="preserve"> for her husband</w:t>
      </w:r>
      <w:r w:rsidR="006539EA">
        <w:rPr>
          <w:rFonts w:eastAsiaTheme="minorEastAsia" w:cs="Times New Roman"/>
          <w:sz w:val="24"/>
          <w:lang w:val="en-US"/>
        </w:rPr>
        <w:t>.</w:t>
      </w:r>
      <w:r w:rsidR="006539EA" w:rsidRPr="0032744C">
        <w:rPr>
          <w:rStyle w:val="EndnoteReference"/>
          <w:rFonts w:eastAsiaTheme="minorEastAsia" w:cs="Times New Roman"/>
          <w:sz w:val="24"/>
          <w:lang w:val="en-US"/>
        </w:rPr>
        <w:endnoteReference w:id="32"/>
      </w:r>
      <w:r w:rsidR="006539EA" w:rsidRPr="0032744C">
        <w:rPr>
          <w:rFonts w:eastAsiaTheme="minorEastAsia" w:cs="Times New Roman"/>
          <w:sz w:val="24"/>
          <w:lang w:val="en-US"/>
        </w:rPr>
        <w:t xml:space="preserve"> The wife calculated the smallest share of the </w:t>
      </w:r>
      <w:r w:rsidR="006539EA">
        <w:rPr>
          <w:rFonts w:eastAsiaTheme="minorEastAsia" w:cs="Times New Roman"/>
          <w:sz w:val="24"/>
          <w:lang w:val="en-US"/>
        </w:rPr>
        <w:t>family's</w:t>
      </w:r>
      <w:r w:rsidR="006539EA" w:rsidRPr="0032744C">
        <w:rPr>
          <w:rFonts w:eastAsiaTheme="minorEastAsia" w:cs="Times New Roman"/>
          <w:sz w:val="24"/>
          <w:lang w:val="en-US"/>
        </w:rPr>
        <w:t xml:space="preserve"> resources she could survive on in order that husband and then the children could be provided for first. The </w:t>
      </w:r>
      <w:r w:rsidR="006539EA">
        <w:rPr>
          <w:rFonts w:eastAsiaTheme="minorEastAsia" w:cs="Times New Roman"/>
          <w:sz w:val="24"/>
          <w:lang w:val="en-US"/>
        </w:rPr>
        <w:t>wife's</w:t>
      </w:r>
      <w:r w:rsidR="006539EA" w:rsidRPr="0032744C">
        <w:rPr>
          <w:rFonts w:eastAsiaTheme="minorEastAsia" w:cs="Times New Roman"/>
          <w:sz w:val="24"/>
          <w:lang w:val="en-US"/>
        </w:rPr>
        <w:t xml:space="preserve"> role was to manage on the smallest resource allocatio</w:t>
      </w:r>
      <w:r w:rsidR="006539EA">
        <w:rPr>
          <w:rFonts w:eastAsiaTheme="minorEastAsia" w:cs="Times New Roman"/>
          <w:sz w:val="24"/>
          <w:lang w:val="en-US"/>
        </w:rPr>
        <w:t>n as possible. Ross</w:t>
      </w:r>
      <w:r w:rsidR="006539EA" w:rsidRPr="0032744C">
        <w:rPr>
          <w:rFonts w:eastAsiaTheme="minorEastAsia" w:cs="Times New Roman"/>
          <w:sz w:val="24"/>
          <w:lang w:val="en-US"/>
        </w:rPr>
        <w:t xml:space="preserve"> and Williamson identify similar </w:t>
      </w:r>
      <w:r w:rsidR="006539EA">
        <w:rPr>
          <w:rFonts w:eastAsiaTheme="minorEastAsia" w:cs="Times New Roman"/>
          <w:sz w:val="24"/>
          <w:lang w:val="en-US"/>
        </w:rPr>
        <w:t>restrictive regimes</w:t>
      </w:r>
      <w:r w:rsidR="005E5A5C">
        <w:rPr>
          <w:rFonts w:eastAsiaTheme="minorEastAsia" w:cs="Times New Roman"/>
          <w:sz w:val="24"/>
          <w:lang w:val="en-US"/>
        </w:rPr>
        <w:t xml:space="preserve"> in their studies of different parts of England in this period</w:t>
      </w:r>
      <w:r w:rsidR="006539EA">
        <w:rPr>
          <w:rFonts w:eastAsiaTheme="minorEastAsia" w:cs="Times New Roman"/>
          <w:sz w:val="24"/>
          <w:lang w:val="en-US"/>
        </w:rPr>
        <w:t>. H</w:t>
      </w:r>
      <w:r w:rsidR="006539EA" w:rsidRPr="0032744C">
        <w:rPr>
          <w:rFonts w:eastAsiaTheme="minorEastAsia" w:cs="Times New Roman"/>
          <w:sz w:val="24"/>
          <w:lang w:val="en-US"/>
        </w:rPr>
        <w:t>usbands</w:t>
      </w:r>
      <w:r w:rsidR="006539EA">
        <w:rPr>
          <w:rFonts w:eastAsiaTheme="minorEastAsia" w:cs="Times New Roman"/>
          <w:sz w:val="24"/>
          <w:lang w:val="en-US"/>
        </w:rPr>
        <w:t>'</w:t>
      </w:r>
      <w:r w:rsidR="006539EA" w:rsidRPr="0032744C">
        <w:rPr>
          <w:rFonts w:eastAsiaTheme="minorEastAsia" w:cs="Times New Roman"/>
          <w:sz w:val="24"/>
          <w:lang w:val="en-US"/>
        </w:rPr>
        <w:t xml:space="preserve"> secrecy about earnings </w:t>
      </w:r>
      <w:r w:rsidR="005E5A5C">
        <w:rPr>
          <w:rFonts w:eastAsiaTheme="minorEastAsia" w:cs="Times New Roman"/>
          <w:sz w:val="24"/>
          <w:lang w:val="en-US"/>
        </w:rPr>
        <w:t xml:space="preserve">- </w:t>
      </w:r>
      <w:r w:rsidR="006539EA" w:rsidRPr="0032744C">
        <w:rPr>
          <w:rFonts w:eastAsiaTheme="minorEastAsia" w:cs="Times New Roman"/>
          <w:sz w:val="24"/>
          <w:lang w:val="en-US"/>
        </w:rPr>
        <w:t>and the restriction of wives to pocket money</w:t>
      </w:r>
      <w:r w:rsidR="006539EA">
        <w:rPr>
          <w:rFonts w:eastAsiaTheme="minorEastAsia" w:cs="Times New Roman"/>
          <w:sz w:val="24"/>
          <w:lang w:val="en-US"/>
        </w:rPr>
        <w:t xml:space="preserve"> only</w:t>
      </w:r>
      <w:r w:rsidR="005E5A5C">
        <w:rPr>
          <w:rFonts w:eastAsiaTheme="minorEastAsia" w:cs="Times New Roman"/>
          <w:sz w:val="24"/>
          <w:lang w:val="en-US"/>
        </w:rPr>
        <w:t xml:space="preserve"> -</w:t>
      </w:r>
      <w:r w:rsidR="006539EA" w:rsidRPr="0032744C">
        <w:rPr>
          <w:rFonts w:eastAsiaTheme="minorEastAsia" w:cs="Times New Roman"/>
          <w:sz w:val="24"/>
          <w:lang w:val="en-US"/>
        </w:rPr>
        <w:t xml:space="preserve"> </w:t>
      </w:r>
      <w:r w:rsidR="006539EA">
        <w:rPr>
          <w:rFonts w:eastAsiaTheme="minorEastAsia" w:cs="Times New Roman"/>
          <w:sz w:val="24"/>
          <w:lang w:val="en-US"/>
        </w:rPr>
        <w:t xml:space="preserve">meant that </w:t>
      </w:r>
      <w:r w:rsidR="006539EA" w:rsidRPr="0032744C">
        <w:rPr>
          <w:rFonts w:eastAsiaTheme="minorEastAsia" w:cs="Times New Roman"/>
          <w:sz w:val="24"/>
          <w:lang w:val="en-US"/>
        </w:rPr>
        <w:t>wives could carry out budgeting around consumption but not exercise control over allocation</w:t>
      </w:r>
      <w:r w:rsidR="005E5A5C">
        <w:rPr>
          <w:rFonts w:eastAsiaTheme="minorEastAsia" w:cs="Times New Roman"/>
          <w:sz w:val="24"/>
          <w:lang w:val="en-US"/>
        </w:rPr>
        <w:t>.</w:t>
      </w:r>
      <w:r w:rsidR="006539EA" w:rsidRPr="0032744C">
        <w:rPr>
          <w:rStyle w:val="EndnoteReference"/>
          <w:rFonts w:eastAsiaTheme="minorEastAsia" w:cs="Times New Roman"/>
          <w:sz w:val="24"/>
          <w:lang w:val="en-US"/>
        </w:rPr>
        <w:endnoteReference w:id="33"/>
      </w:r>
      <w:r w:rsidR="006539EA">
        <w:rPr>
          <w:rFonts w:eastAsiaTheme="minorEastAsia" w:cs="Times New Roman"/>
          <w:sz w:val="24"/>
          <w:lang w:val="en-US"/>
        </w:rPr>
        <w:t xml:space="preserve"> </w:t>
      </w:r>
      <w:r w:rsidR="005E5A5C">
        <w:rPr>
          <w:sz w:val="24"/>
        </w:rPr>
        <w:t xml:space="preserve">Financial </w:t>
      </w:r>
      <w:r w:rsidR="005E5A5C">
        <w:rPr>
          <w:rFonts w:eastAsiaTheme="minorEastAsia" w:cs="Times New Roman"/>
          <w:sz w:val="24"/>
          <w:lang w:val="en-US"/>
        </w:rPr>
        <w:t xml:space="preserve">control lay with the husband, even where the wife’s contribution was added to the household income it was assumed the </w:t>
      </w:r>
      <w:r w:rsidR="001E3B44">
        <w:rPr>
          <w:rFonts w:eastAsiaTheme="minorEastAsia" w:cs="Times New Roman"/>
          <w:sz w:val="24"/>
          <w:lang w:val="en-US"/>
        </w:rPr>
        <w:t>husband controlled the distribution of monies</w:t>
      </w:r>
      <w:r w:rsidR="005E5A5C">
        <w:rPr>
          <w:rFonts w:eastAsiaTheme="minorEastAsia" w:cs="Times New Roman"/>
          <w:sz w:val="24"/>
          <w:lang w:val="en-US"/>
        </w:rPr>
        <w:t>.</w:t>
      </w:r>
      <w:r w:rsidR="005E5A5C" w:rsidRPr="0032744C">
        <w:rPr>
          <w:rFonts w:eastAsiaTheme="minorEastAsia" w:cs="Times New Roman"/>
          <w:sz w:val="24"/>
          <w:lang w:val="en-US"/>
        </w:rPr>
        <w:t xml:space="preserve"> </w:t>
      </w:r>
      <w:r w:rsidR="006539EA" w:rsidRPr="0032744C">
        <w:rPr>
          <w:rFonts w:eastAsiaTheme="minorEastAsia" w:cs="Times New Roman"/>
          <w:sz w:val="24"/>
          <w:lang w:val="en-US"/>
        </w:rPr>
        <w:t>The strategies for money management identified as very important by Ross</w:t>
      </w:r>
      <w:r w:rsidR="00A63024">
        <w:rPr>
          <w:rFonts w:eastAsiaTheme="minorEastAsia" w:cs="Times New Roman"/>
          <w:sz w:val="24"/>
          <w:lang w:val="en-US"/>
        </w:rPr>
        <w:t>—</w:t>
      </w:r>
      <w:r w:rsidR="006539EA" w:rsidRPr="0032744C">
        <w:rPr>
          <w:rFonts w:eastAsiaTheme="minorEastAsia" w:cs="Times New Roman"/>
          <w:sz w:val="24"/>
          <w:lang w:val="en-US"/>
        </w:rPr>
        <w:t xml:space="preserve"> pawning, sharing, borrowing etc</w:t>
      </w:r>
      <w:r w:rsidR="001E3B44">
        <w:rPr>
          <w:rFonts w:eastAsiaTheme="minorEastAsia" w:cs="Times New Roman"/>
          <w:sz w:val="24"/>
          <w:lang w:val="en-US"/>
        </w:rPr>
        <w:t>.</w:t>
      </w:r>
      <w:r w:rsidR="00A63024">
        <w:rPr>
          <w:rFonts w:eastAsiaTheme="minorEastAsia" w:cs="Times New Roman"/>
          <w:sz w:val="24"/>
          <w:lang w:val="en-US"/>
        </w:rPr>
        <w:t>—</w:t>
      </w:r>
      <w:r w:rsidR="006539EA" w:rsidRPr="0032744C">
        <w:rPr>
          <w:rFonts w:eastAsiaTheme="minorEastAsia" w:cs="Times New Roman"/>
          <w:sz w:val="24"/>
          <w:lang w:val="en-US"/>
        </w:rPr>
        <w:t xml:space="preserve">are </w:t>
      </w:r>
      <w:r w:rsidR="006539EA" w:rsidRPr="00740208">
        <w:rPr>
          <w:rFonts w:eastAsiaTheme="minorEastAsia" w:cs="Times New Roman"/>
          <w:i/>
          <w:sz w:val="24"/>
          <w:lang w:val="en-US"/>
        </w:rPr>
        <w:t>makeshift</w:t>
      </w:r>
      <w:r w:rsidR="006539EA" w:rsidRPr="0032744C">
        <w:rPr>
          <w:rFonts w:eastAsiaTheme="minorEastAsia" w:cs="Times New Roman"/>
          <w:sz w:val="24"/>
          <w:lang w:val="en-US"/>
        </w:rPr>
        <w:t xml:space="preserve"> strategies of women with no access to income of their own, dependent on their husbands</w:t>
      </w:r>
      <w:r w:rsidR="006539EA">
        <w:rPr>
          <w:rFonts w:eastAsiaTheme="minorEastAsia" w:cs="Times New Roman"/>
          <w:sz w:val="24"/>
          <w:lang w:val="en-US"/>
        </w:rPr>
        <w:t>'</w:t>
      </w:r>
      <w:r w:rsidR="006539EA" w:rsidRPr="0032744C">
        <w:rPr>
          <w:rFonts w:eastAsiaTheme="minorEastAsia" w:cs="Times New Roman"/>
          <w:sz w:val="24"/>
          <w:lang w:val="en-US"/>
        </w:rPr>
        <w:t xml:space="preserve"> generosity</w:t>
      </w:r>
      <w:r w:rsidR="006539EA">
        <w:rPr>
          <w:rFonts w:eastAsiaTheme="minorEastAsia" w:cs="Times New Roman"/>
          <w:sz w:val="24"/>
          <w:lang w:val="en-US"/>
        </w:rPr>
        <w:t>.</w:t>
      </w:r>
      <w:r w:rsidR="006539EA" w:rsidRPr="0032744C">
        <w:rPr>
          <w:rStyle w:val="EndnoteReference"/>
          <w:rFonts w:eastAsiaTheme="minorEastAsia" w:cs="Times New Roman"/>
          <w:sz w:val="24"/>
          <w:lang w:val="en-US"/>
        </w:rPr>
        <w:endnoteReference w:id="34"/>
      </w:r>
    </w:p>
    <w:p w14:paraId="72CA59B6" w14:textId="77777777" w:rsidR="00861093" w:rsidRDefault="00861093" w:rsidP="00876A6B">
      <w:pPr>
        <w:widowControl w:val="0"/>
        <w:autoSpaceDE w:val="0"/>
        <w:autoSpaceDN w:val="0"/>
        <w:adjustRightInd w:val="0"/>
        <w:spacing w:line="480" w:lineRule="auto"/>
        <w:jc w:val="both"/>
        <w:rPr>
          <w:rFonts w:eastAsiaTheme="minorEastAsia" w:cs="Times New Roman"/>
          <w:sz w:val="24"/>
          <w:lang w:val="en-US"/>
        </w:rPr>
      </w:pPr>
    </w:p>
    <w:p w14:paraId="57E08D4F" w14:textId="77777777" w:rsidR="00861093" w:rsidRDefault="00861093" w:rsidP="00876A6B">
      <w:pPr>
        <w:spacing w:line="480" w:lineRule="auto"/>
        <w:jc w:val="both"/>
        <w:rPr>
          <w:rFonts w:cs="Times New Roman"/>
          <w:sz w:val="24"/>
        </w:rPr>
      </w:pPr>
      <w:r w:rsidRPr="0032744C">
        <w:rPr>
          <w:rFonts w:cs="Times New Roman"/>
          <w:sz w:val="24"/>
        </w:rPr>
        <w:t xml:space="preserve">The issue of intra-household allocation of </w:t>
      </w:r>
      <w:r>
        <w:rPr>
          <w:rFonts w:cs="Times New Roman"/>
          <w:sz w:val="24"/>
        </w:rPr>
        <w:t xml:space="preserve">surplus resources </w:t>
      </w:r>
      <w:r w:rsidRPr="0032744C">
        <w:rPr>
          <w:rFonts w:cs="Times New Roman"/>
          <w:sz w:val="24"/>
        </w:rPr>
        <w:t xml:space="preserve">raises difficult questions for economic historians </w:t>
      </w:r>
      <w:r>
        <w:rPr>
          <w:rFonts w:cs="Times New Roman"/>
          <w:sz w:val="24"/>
        </w:rPr>
        <w:t xml:space="preserve">within the </w:t>
      </w:r>
      <w:r w:rsidRPr="0032744C">
        <w:rPr>
          <w:rFonts w:cs="Times New Roman"/>
          <w:sz w:val="24"/>
        </w:rPr>
        <w:t>family wage</w:t>
      </w:r>
      <w:r>
        <w:rPr>
          <w:rFonts w:cs="Times New Roman"/>
          <w:sz w:val="24"/>
        </w:rPr>
        <w:t xml:space="preserve"> </w:t>
      </w:r>
      <w:r w:rsidRPr="00771465">
        <w:rPr>
          <w:rFonts w:cs="Times New Roman"/>
          <w:i/>
          <w:sz w:val="24"/>
        </w:rPr>
        <w:t>and</w:t>
      </w:r>
      <w:r>
        <w:rPr>
          <w:rFonts w:cs="Times New Roman"/>
          <w:sz w:val="24"/>
        </w:rPr>
        <w:t xml:space="preserve"> male breadwinner</w:t>
      </w:r>
      <w:r w:rsidRPr="0032744C">
        <w:rPr>
          <w:rFonts w:cs="Times New Roman"/>
          <w:sz w:val="24"/>
        </w:rPr>
        <w:t xml:space="preserve"> </w:t>
      </w:r>
      <w:r>
        <w:rPr>
          <w:rFonts w:cs="Times New Roman"/>
          <w:sz w:val="24"/>
        </w:rPr>
        <w:t>narrative</w:t>
      </w:r>
      <w:r w:rsidRPr="0032744C">
        <w:rPr>
          <w:rFonts w:cs="Times New Roman"/>
          <w:sz w:val="24"/>
        </w:rPr>
        <w:t xml:space="preserve">. The </w:t>
      </w:r>
      <w:r>
        <w:rPr>
          <w:rFonts w:cs="Times New Roman"/>
          <w:sz w:val="24"/>
        </w:rPr>
        <w:t>"</w:t>
      </w:r>
      <w:r w:rsidRPr="0032744C">
        <w:rPr>
          <w:rFonts w:cs="Times New Roman"/>
          <w:sz w:val="24"/>
        </w:rPr>
        <w:t>male breadwinner</w:t>
      </w:r>
      <w:r>
        <w:rPr>
          <w:rFonts w:cs="Times New Roman"/>
          <w:sz w:val="24"/>
        </w:rPr>
        <w:t>"</w:t>
      </w:r>
      <w:r w:rsidRPr="0032744C">
        <w:rPr>
          <w:rFonts w:cs="Times New Roman"/>
          <w:sz w:val="24"/>
        </w:rPr>
        <w:t xml:space="preserve"> wage has rarely been sufficient to ensure the well being of the working class family</w:t>
      </w:r>
      <w:r>
        <w:rPr>
          <w:rFonts w:cs="Times New Roman"/>
          <w:sz w:val="24"/>
        </w:rPr>
        <w:t>.</w:t>
      </w:r>
      <w:r w:rsidRPr="0032744C">
        <w:rPr>
          <w:rStyle w:val="EndnoteReference"/>
          <w:rFonts w:cs="Times New Roman"/>
          <w:sz w:val="24"/>
        </w:rPr>
        <w:endnoteReference w:id="35"/>
      </w:r>
      <w:r w:rsidRPr="0032744C">
        <w:rPr>
          <w:rFonts w:cs="Times New Roman"/>
          <w:sz w:val="24"/>
        </w:rPr>
        <w:t xml:space="preserve"> </w:t>
      </w:r>
      <w:r>
        <w:rPr>
          <w:rFonts w:cs="Times New Roman"/>
          <w:sz w:val="24"/>
        </w:rPr>
        <w:t xml:space="preserve">The </w:t>
      </w:r>
      <w:r w:rsidRPr="0032744C">
        <w:rPr>
          <w:rFonts w:cs="Times New Roman"/>
          <w:sz w:val="24"/>
        </w:rPr>
        <w:t xml:space="preserve">degree to which it represented the main income stream of the family has depended on the stage in the </w:t>
      </w:r>
      <w:proofErr w:type="gramStart"/>
      <w:r w:rsidRPr="0032744C">
        <w:rPr>
          <w:rFonts w:cs="Times New Roman"/>
          <w:sz w:val="24"/>
        </w:rPr>
        <w:t>life-cycle</w:t>
      </w:r>
      <w:proofErr w:type="gramEnd"/>
      <w:r w:rsidRPr="0032744C">
        <w:rPr>
          <w:rFonts w:cs="Times New Roman"/>
          <w:sz w:val="24"/>
        </w:rPr>
        <w:t xml:space="preserve"> of the family, the prevailing economic conditions and the industrial sector the head of the family worked in.</w:t>
      </w:r>
      <w:r>
        <w:rPr>
          <w:rFonts w:cs="Times New Roman"/>
          <w:sz w:val="24"/>
        </w:rPr>
        <w:t xml:space="preserve"> </w:t>
      </w:r>
      <w:r w:rsidRPr="0032744C">
        <w:rPr>
          <w:rFonts w:cs="Times New Roman"/>
          <w:sz w:val="24"/>
        </w:rPr>
        <w:t>Th</w:t>
      </w:r>
      <w:r>
        <w:rPr>
          <w:rFonts w:cs="Times New Roman"/>
          <w:sz w:val="24"/>
        </w:rPr>
        <w:t>e</w:t>
      </w:r>
      <w:r w:rsidRPr="0032744C">
        <w:rPr>
          <w:rFonts w:cs="Times New Roman"/>
          <w:sz w:val="24"/>
        </w:rPr>
        <w:t xml:space="preserve"> </w:t>
      </w:r>
      <w:r>
        <w:rPr>
          <w:rFonts w:cs="Times New Roman"/>
          <w:sz w:val="24"/>
        </w:rPr>
        <w:t>"</w:t>
      </w:r>
      <w:r w:rsidRPr="0032744C">
        <w:rPr>
          <w:rFonts w:cs="Times New Roman"/>
          <w:sz w:val="24"/>
        </w:rPr>
        <w:t>transition</w:t>
      </w:r>
      <w:r>
        <w:rPr>
          <w:rFonts w:cs="Times New Roman"/>
          <w:sz w:val="24"/>
        </w:rPr>
        <w:t>"</w:t>
      </w:r>
      <w:r w:rsidRPr="0032744C">
        <w:rPr>
          <w:rFonts w:cs="Times New Roman"/>
          <w:sz w:val="24"/>
        </w:rPr>
        <w:t xml:space="preserve"> narrative from family unit of production to male breadwinner has </w:t>
      </w:r>
      <w:r>
        <w:rPr>
          <w:rFonts w:cs="Times New Roman"/>
          <w:sz w:val="24"/>
        </w:rPr>
        <w:t xml:space="preserve">also </w:t>
      </w:r>
      <w:r w:rsidRPr="0032744C">
        <w:rPr>
          <w:rFonts w:cs="Times New Roman"/>
          <w:sz w:val="24"/>
        </w:rPr>
        <w:t xml:space="preserve">been seen as problematic. De Grazia, for instance, contests that a model of exclusive male earning and female money-management </w:t>
      </w:r>
      <w:r w:rsidRPr="0032744C">
        <w:rPr>
          <w:rFonts w:cs="Times New Roman"/>
          <w:sz w:val="24"/>
        </w:rPr>
        <w:lastRenderedPageBreak/>
        <w:t>was the norm for all working class families from the mid 19</w:t>
      </w:r>
      <w:r w:rsidRPr="0032744C">
        <w:rPr>
          <w:rFonts w:cs="Times New Roman"/>
          <w:sz w:val="24"/>
          <w:vertAlign w:val="superscript"/>
        </w:rPr>
        <w:t>th</w:t>
      </w:r>
      <w:r w:rsidRPr="0032744C">
        <w:rPr>
          <w:rFonts w:cs="Times New Roman"/>
          <w:sz w:val="24"/>
        </w:rPr>
        <w:t xml:space="preserve"> century onwards. She </w:t>
      </w:r>
      <w:r>
        <w:rPr>
          <w:rFonts w:cs="Times New Roman"/>
          <w:sz w:val="24"/>
        </w:rPr>
        <w:t xml:space="preserve">implies </w:t>
      </w:r>
      <w:r w:rsidRPr="0032744C">
        <w:rPr>
          <w:rFonts w:cs="Times New Roman"/>
          <w:sz w:val="24"/>
        </w:rPr>
        <w:t>the male breadwinner/female consumer model is an exclusively 20</w:t>
      </w:r>
      <w:r w:rsidRPr="0032744C">
        <w:rPr>
          <w:rFonts w:cs="Times New Roman"/>
          <w:sz w:val="24"/>
          <w:vertAlign w:val="superscript"/>
        </w:rPr>
        <w:t>th</w:t>
      </w:r>
      <w:r w:rsidRPr="0032744C">
        <w:rPr>
          <w:rFonts w:cs="Times New Roman"/>
          <w:sz w:val="24"/>
        </w:rPr>
        <w:t xml:space="preserve"> century fiction, generated by a Fordist perspective on the efficiency of the family </w:t>
      </w:r>
      <w:r>
        <w:rPr>
          <w:rFonts w:cs="Times New Roman"/>
          <w:sz w:val="24"/>
        </w:rPr>
        <w:t>"</w:t>
      </w:r>
      <w:r w:rsidRPr="0032744C">
        <w:rPr>
          <w:rFonts w:cs="Times New Roman"/>
          <w:sz w:val="24"/>
        </w:rPr>
        <w:t>firm</w:t>
      </w:r>
      <w:r>
        <w:rPr>
          <w:rFonts w:cs="Times New Roman"/>
          <w:sz w:val="24"/>
        </w:rPr>
        <w:t>"</w:t>
      </w:r>
      <w:r w:rsidRPr="0032744C">
        <w:rPr>
          <w:rFonts w:cs="Times New Roman"/>
          <w:sz w:val="24"/>
        </w:rPr>
        <w:t xml:space="preserve"> as opposed to reality</w:t>
      </w:r>
      <w:r>
        <w:rPr>
          <w:rFonts w:cs="Times New Roman"/>
          <w:sz w:val="24"/>
        </w:rPr>
        <w:t>.</w:t>
      </w:r>
      <w:r w:rsidRPr="0032744C">
        <w:rPr>
          <w:rStyle w:val="EndnoteReference"/>
          <w:rFonts w:cs="Times New Roman"/>
          <w:sz w:val="24"/>
        </w:rPr>
        <w:endnoteReference w:id="36"/>
      </w:r>
    </w:p>
    <w:p w14:paraId="5C99E2A5" w14:textId="77777777" w:rsidR="00861093" w:rsidRPr="0032744C" w:rsidRDefault="00861093" w:rsidP="00876A6B">
      <w:pPr>
        <w:widowControl w:val="0"/>
        <w:autoSpaceDE w:val="0"/>
        <w:autoSpaceDN w:val="0"/>
        <w:adjustRightInd w:val="0"/>
        <w:spacing w:line="480" w:lineRule="auto"/>
        <w:jc w:val="both"/>
        <w:rPr>
          <w:rFonts w:eastAsiaTheme="minorEastAsia" w:cs="Times New Roman"/>
          <w:sz w:val="24"/>
          <w:lang w:val="en-US"/>
        </w:rPr>
      </w:pPr>
    </w:p>
    <w:p w14:paraId="1698B0B5" w14:textId="77777777" w:rsidR="00944817" w:rsidRDefault="006539EA" w:rsidP="00944817">
      <w:pPr>
        <w:spacing w:line="480" w:lineRule="auto"/>
        <w:jc w:val="both"/>
        <w:rPr>
          <w:rFonts w:eastAsiaTheme="minorEastAsia" w:cs="Times New Roman"/>
          <w:sz w:val="24"/>
        </w:rPr>
      </w:pPr>
      <w:r>
        <w:rPr>
          <w:rFonts w:cs="Times New Roman"/>
          <w:sz w:val="24"/>
        </w:rPr>
        <w:t xml:space="preserve">In summary, the story </w:t>
      </w:r>
      <w:r w:rsidRPr="0032744C">
        <w:rPr>
          <w:rFonts w:cs="Times New Roman"/>
          <w:sz w:val="24"/>
        </w:rPr>
        <w:t>of working class household</w:t>
      </w:r>
      <w:r w:rsidRPr="0032744C">
        <w:rPr>
          <w:rFonts w:cs="Times New Roman"/>
          <w:i/>
          <w:sz w:val="24"/>
        </w:rPr>
        <w:t xml:space="preserve"> income</w:t>
      </w:r>
      <w:r w:rsidRPr="0032744C">
        <w:rPr>
          <w:rFonts w:cs="Times New Roman"/>
          <w:sz w:val="24"/>
        </w:rPr>
        <w:t xml:space="preserve"> across the 19</w:t>
      </w:r>
      <w:r w:rsidRPr="0032744C">
        <w:rPr>
          <w:rFonts w:cs="Times New Roman"/>
          <w:sz w:val="24"/>
          <w:vertAlign w:val="superscript"/>
        </w:rPr>
        <w:t>th</w:t>
      </w:r>
      <w:r w:rsidRPr="0032744C">
        <w:rPr>
          <w:rFonts w:cs="Times New Roman"/>
          <w:sz w:val="24"/>
        </w:rPr>
        <w:t xml:space="preserve"> century is fragmented – differing across regions and industries - and based on our best estimates and calculations as to waged labour, outwork and </w:t>
      </w:r>
      <w:r>
        <w:rPr>
          <w:rFonts w:cs="Times New Roman"/>
          <w:sz w:val="24"/>
        </w:rPr>
        <w:t xml:space="preserve">the </w:t>
      </w:r>
      <w:r w:rsidRPr="0032744C">
        <w:rPr>
          <w:rFonts w:cs="Times New Roman"/>
          <w:sz w:val="24"/>
        </w:rPr>
        <w:t xml:space="preserve">ability </w:t>
      </w:r>
      <w:r>
        <w:rPr>
          <w:rFonts w:cs="Times New Roman"/>
          <w:sz w:val="24"/>
        </w:rPr>
        <w:t xml:space="preserve">of "penny capitalism" to cover essential expenditure. </w:t>
      </w:r>
      <w:r w:rsidR="00FE2C01">
        <w:rPr>
          <w:rFonts w:cs="Times New Roman"/>
          <w:sz w:val="24"/>
        </w:rPr>
        <w:t xml:space="preserve">This is in accord with the research of </w:t>
      </w:r>
      <w:r w:rsidR="00FE2C01" w:rsidRPr="00940D22">
        <w:rPr>
          <w:rFonts w:cs="Times New Roman"/>
          <w:sz w:val="24"/>
        </w:rPr>
        <w:t>Horrell and Humphries, who note that any account of women and children's contribution to household income in this period is conditional on both occupational and regional positioning.</w:t>
      </w:r>
      <w:r w:rsidR="00FE2C01" w:rsidRPr="00940D22">
        <w:rPr>
          <w:rStyle w:val="EndnoteReference"/>
          <w:rFonts w:cs="Times New Roman"/>
          <w:sz w:val="24"/>
        </w:rPr>
        <w:endnoteReference w:id="37"/>
      </w:r>
      <w:r w:rsidR="00FE2C01" w:rsidRPr="00940D22">
        <w:rPr>
          <w:rFonts w:cs="Times New Roman"/>
          <w:sz w:val="24"/>
        </w:rPr>
        <w:t xml:space="preserve"> However, in the face of</w:t>
      </w:r>
      <w:r w:rsidRPr="00940D22">
        <w:rPr>
          <w:rFonts w:cs="Times New Roman"/>
          <w:sz w:val="24"/>
        </w:rPr>
        <w:t xml:space="preserve"> fragmented evidence accounts of working class financial management</w:t>
      </w:r>
      <w:r w:rsidR="00FE2C01" w:rsidRPr="00940D22">
        <w:rPr>
          <w:rFonts w:cs="Times New Roman"/>
          <w:sz w:val="24"/>
        </w:rPr>
        <w:t xml:space="preserve"> explanations have tended to rely heavily on ideal types, rather than empirical evidence.</w:t>
      </w:r>
      <w:r w:rsidR="00FE2C01">
        <w:rPr>
          <w:rFonts w:cs="Times New Roman"/>
          <w:sz w:val="24"/>
        </w:rPr>
        <w:t xml:space="preserve"> </w:t>
      </w:r>
      <w:r>
        <w:rPr>
          <w:rFonts w:cs="Times New Roman"/>
          <w:sz w:val="24"/>
        </w:rPr>
        <w:t>For example, the feminist economist</w:t>
      </w:r>
      <w:r w:rsidRPr="0032744C">
        <w:rPr>
          <w:rFonts w:cs="Times New Roman"/>
          <w:sz w:val="24"/>
        </w:rPr>
        <w:t xml:space="preserve"> Braunstein and Folbre</w:t>
      </w:r>
      <w:r>
        <w:rPr>
          <w:rStyle w:val="EndnoteReference"/>
          <w:rFonts w:cs="Times New Roman"/>
          <w:sz w:val="24"/>
        </w:rPr>
        <w:endnoteReference w:id="38"/>
      </w:r>
      <w:r w:rsidRPr="0032744C">
        <w:rPr>
          <w:rFonts w:cs="Times New Roman"/>
          <w:sz w:val="24"/>
        </w:rPr>
        <w:t xml:space="preserve"> posit two possible household types. The </w:t>
      </w:r>
      <w:r>
        <w:rPr>
          <w:rFonts w:cs="Times New Roman"/>
          <w:sz w:val="24"/>
        </w:rPr>
        <w:t xml:space="preserve">first </w:t>
      </w:r>
      <w:r w:rsidRPr="0032744C">
        <w:rPr>
          <w:rFonts w:cs="Times New Roman"/>
          <w:sz w:val="24"/>
        </w:rPr>
        <w:t xml:space="preserve">model is </w:t>
      </w:r>
      <w:r w:rsidR="001E3B44">
        <w:rPr>
          <w:rFonts w:cs="Times New Roman"/>
          <w:sz w:val="24"/>
        </w:rPr>
        <w:t xml:space="preserve">the familiar </w:t>
      </w:r>
      <w:r w:rsidR="001E3B44" w:rsidRPr="0032744C">
        <w:rPr>
          <w:rFonts w:cs="Times New Roman"/>
          <w:sz w:val="24"/>
        </w:rPr>
        <w:t>patriarchal</w:t>
      </w:r>
      <w:r w:rsidRPr="0032744C">
        <w:rPr>
          <w:rFonts w:cs="Times New Roman"/>
          <w:i/>
          <w:sz w:val="24"/>
        </w:rPr>
        <w:t xml:space="preserve"> </w:t>
      </w:r>
      <w:r w:rsidRPr="0032744C">
        <w:rPr>
          <w:rFonts w:cs="Times New Roman"/>
          <w:sz w:val="24"/>
        </w:rPr>
        <w:t>one. In this model the household has a male head that is both aware of and exercises his legally enforceable property rights over all household income. He provides the wife with such necessities as guaranteed by the marital contract and her reproductive labour, which is neither negotiated nor controlled, increases her dependency on the head of the household</w:t>
      </w:r>
      <w:r>
        <w:rPr>
          <w:rFonts w:cs="Times New Roman"/>
          <w:sz w:val="24"/>
        </w:rPr>
        <w:t>.</w:t>
      </w:r>
      <w:r w:rsidRPr="0032744C">
        <w:rPr>
          <w:rStyle w:val="EndnoteReference"/>
          <w:rFonts w:cs="Times New Roman"/>
          <w:sz w:val="24"/>
        </w:rPr>
        <w:endnoteReference w:id="39"/>
      </w:r>
      <w:r w:rsidR="001E3B44">
        <w:rPr>
          <w:rFonts w:cs="Times New Roman"/>
          <w:sz w:val="24"/>
        </w:rPr>
        <w:t xml:space="preserve"> I</w:t>
      </w:r>
      <w:r w:rsidRPr="0032744C">
        <w:rPr>
          <w:rFonts w:cs="Times New Roman"/>
          <w:sz w:val="24"/>
        </w:rPr>
        <w:t xml:space="preserve">n the context of our research, </w:t>
      </w:r>
      <w:r>
        <w:rPr>
          <w:rFonts w:cs="Times New Roman"/>
          <w:sz w:val="24"/>
        </w:rPr>
        <w:t xml:space="preserve">the </w:t>
      </w:r>
      <w:r w:rsidRPr="0032744C">
        <w:rPr>
          <w:rFonts w:cs="Times New Roman"/>
          <w:sz w:val="24"/>
        </w:rPr>
        <w:t xml:space="preserve">logic of this model </w:t>
      </w:r>
      <w:r>
        <w:rPr>
          <w:rFonts w:cs="Times New Roman"/>
          <w:sz w:val="24"/>
        </w:rPr>
        <w:t xml:space="preserve">would </w:t>
      </w:r>
      <w:r w:rsidRPr="0032744C">
        <w:rPr>
          <w:rFonts w:cs="Times New Roman"/>
          <w:sz w:val="24"/>
        </w:rPr>
        <w:t>assume that the husband controls the decision-making an</w:t>
      </w:r>
      <w:r>
        <w:rPr>
          <w:rFonts w:cs="Times New Roman"/>
          <w:sz w:val="24"/>
        </w:rPr>
        <w:t xml:space="preserve">d savings account </w:t>
      </w:r>
      <w:r w:rsidRPr="0032744C">
        <w:rPr>
          <w:rFonts w:cs="Times New Roman"/>
          <w:sz w:val="24"/>
        </w:rPr>
        <w:t>with the wife responsible for delivering efficient household management and consumption</w:t>
      </w:r>
      <w:r>
        <w:rPr>
          <w:rFonts w:cs="Times New Roman"/>
          <w:sz w:val="24"/>
        </w:rPr>
        <w:t xml:space="preserve"> that helps to create surplus</w:t>
      </w:r>
      <w:r w:rsidRPr="0032744C">
        <w:rPr>
          <w:rFonts w:cs="Times New Roman"/>
          <w:sz w:val="24"/>
        </w:rPr>
        <w:t xml:space="preserve">. The </w:t>
      </w:r>
      <w:r>
        <w:rPr>
          <w:rFonts w:cs="Times New Roman"/>
          <w:sz w:val="24"/>
        </w:rPr>
        <w:t>second, the</w:t>
      </w:r>
      <w:r w:rsidRPr="0032744C">
        <w:rPr>
          <w:rFonts w:cs="Times New Roman"/>
          <w:sz w:val="24"/>
        </w:rPr>
        <w:t xml:space="preserve"> </w:t>
      </w:r>
      <w:r w:rsidRPr="0032744C">
        <w:rPr>
          <w:rFonts w:cs="Times New Roman"/>
          <w:i/>
          <w:sz w:val="24"/>
        </w:rPr>
        <w:t>egalitarian</w:t>
      </w:r>
      <w:r w:rsidRPr="0032744C">
        <w:rPr>
          <w:rFonts w:cs="Times New Roman"/>
          <w:sz w:val="24"/>
        </w:rPr>
        <w:t xml:space="preserve"> model is characterised by gender neutral property rights with the husband and wife jointly deciding on how the wife should split her time between productive and reproductive labour in order to maximise surplus. </w:t>
      </w:r>
      <w:r>
        <w:rPr>
          <w:rFonts w:cs="Times New Roman"/>
          <w:sz w:val="24"/>
        </w:rPr>
        <w:t xml:space="preserve">From our </w:t>
      </w:r>
      <w:r w:rsidRPr="0032744C">
        <w:rPr>
          <w:rFonts w:cs="Times New Roman"/>
          <w:sz w:val="24"/>
        </w:rPr>
        <w:t xml:space="preserve">own </w:t>
      </w:r>
      <w:r w:rsidRPr="0032744C">
        <w:rPr>
          <w:rFonts w:cs="Times New Roman"/>
          <w:sz w:val="24"/>
        </w:rPr>
        <w:lastRenderedPageBreak/>
        <w:t>study we would add</w:t>
      </w:r>
      <w:r>
        <w:rPr>
          <w:rFonts w:cs="Times New Roman"/>
          <w:sz w:val="24"/>
        </w:rPr>
        <w:t xml:space="preserve"> evidence</w:t>
      </w:r>
      <w:r w:rsidRPr="0032744C">
        <w:rPr>
          <w:rFonts w:cs="Times New Roman"/>
          <w:sz w:val="24"/>
        </w:rPr>
        <w:t xml:space="preserve"> </w:t>
      </w:r>
      <w:r>
        <w:rPr>
          <w:rFonts w:cs="Times New Roman"/>
          <w:sz w:val="24"/>
        </w:rPr>
        <w:t>to the egalitarian model of</w:t>
      </w:r>
      <w:r w:rsidRPr="0032744C">
        <w:rPr>
          <w:rFonts w:cs="Times New Roman"/>
          <w:sz w:val="24"/>
        </w:rPr>
        <w:t xml:space="preserve"> </w:t>
      </w:r>
      <w:r w:rsidRPr="00B346AC">
        <w:rPr>
          <w:rFonts w:cs="Times New Roman"/>
          <w:i/>
          <w:sz w:val="24"/>
        </w:rPr>
        <w:t>joint</w:t>
      </w:r>
      <w:r w:rsidRPr="0032744C">
        <w:rPr>
          <w:rFonts w:cs="Times New Roman"/>
          <w:sz w:val="24"/>
        </w:rPr>
        <w:t xml:space="preserve"> decision making on ho</w:t>
      </w:r>
      <w:r>
        <w:rPr>
          <w:rFonts w:cs="Times New Roman"/>
          <w:sz w:val="24"/>
        </w:rPr>
        <w:t>w to save</w:t>
      </w:r>
      <w:r w:rsidRPr="0032744C">
        <w:rPr>
          <w:rFonts w:cs="Times New Roman"/>
          <w:sz w:val="24"/>
        </w:rPr>
        <w:t xml:space="preserve"> pecuniary surplus.</w:t>
      </w:r>
      <w:r w:rsidR="00944817">
        <w:rPr>
          <w:rFonts w:cs="Times New Roman"/>
          <w:sz w:val="24"/>
        </w:rPr>
        <w:t xml:space="preserve"> </w:t>
      </w:r>
    </w:p>
    <w:p w14:paraId="7ABFBE48" w14:textId="77777777" w:rsidR="006539EA" w:rsidRPr="00120F6A" w:rsidRDefault="006539EA" w:rsidP="00876A6B">
      <w:pPr>
        <w:spacing w:line="480" w:lineRule="auto"/>
        <w:jc w:val="both"/>
        <w:rPr>
          <w:rFonts w:cs="Times New Roman"/>
          <w:sz w:val="24"/>
        </w:rPr>
      </w:pPr>
    </w:p>
    <w:p w14:paraId="28F3C8A5" w14:textId="77777777" w:rsidR="006539EA" w:rsidRPr="00120F6A" w:rsidRDefault="006539EA" w:rsidP="00876A6B">
      <w:pPr>
        <w:spacing w:line="480" w:lineRule="auto"/>
        <w:jc w:val="both"/>
        <w:rPr>
          <w:rFonts w:eastAsiaTheme="minorEastAsia" w:cs="Times New Roman"/>
          <w:sz w:val="24"/>
        </w:rPr>
      </w:pPr>
      <w:r w:rsidRPr="00120F6A">
        <w:rPr>
          <w:rFonts w:cs="Times New Roman"/>
          <w:sz w:val="24"/>
        </w:rPr>
        <w:tab/>
      </w:r>
    </w:p>
    <w:p w14:paraId="2B65186A" w14:textId="77777777" w:rsidR="006539EA" w:rsidRPr="00120F6A" w:rsidRDefault="006539EA" w:rsidP="00876A6B">
      <w:pPr>
        <w:spacing w:line="480" w:lineRule="auto"/>
        <w:jc w:val="both"/>
        <w:rPr>
          <w:rFonts w:cs="Times New Roman"/>
          <w:b/>
          <w:sz w:val="24"/>
        </w:rPr>
      </w:pPr>
      <w:r w:rsidRPr="00120F6A">
        <w:rPr>
          <w:rFonts w:cs="Times New Roman"/>
          <w:b/>
          <w:sz w:val="24"/>
        </w:rPr>
        <w:t xml:space="preserve">Research </w:t>
      </w:r>
      <w:r w:rsidR="000E41AC" w:rsidRPr="00120F6A">
        <w:rPr>
          <w:rFonts w:cs="Times New Roman"/>
          <w:b/>
          <w:sz w:val="24"/>
        </w:rPr>
        <w:t xml:space="preserve">data and sampling </w:t>
      </w:r>
    </w:p>
    <w:p w14:paraId="6066765E" w14:textId="77777777" w:rsidR="00721F5B" w:rsidRPr="00120F6A" w:rsidRDefault="00721F5B" w:rsidP="00876A6B">
      <w:pPr>
        <w:widowControl w:val="0"/>
        <w:autoSpaceDE w:val="0"/>
        <w:autoSpaceDN w:val="0"/>
        <w:adjustRightInd w:val="0"/>
        <w:spacing w:line="480" w:lineRule="auto"/>
        <w:jc w:val="both"/>
        <w:rPr>
          <w:rFonts w:cs="Times New Roman"/>
          <w:i/>
          <w:sz w:val="24"/>
        </w:rPr>
      </w:pPr>
    </w:p>
    <w:p w14:paraId="55D7E883" w14:textId="77777777" w:rsidR="00721F5B" w:rsidRPr="00120F6A" w:rsidRDefault="006539EA" w:rsidP="00876A6B">
      <w:pPr>
        <w:widowControl w:val="0"/>
        <w:autoSpaceDE w:val="0"/>
        <w:autoSpaceDN w:val="0"/>
        <w:adjustRightInd w:val="0"/>
        <w:spacing w:line="480" w:lineRule="auto"/>
        <w:jc w:val="both"/>
        <w:rPr>
          <w:rFonts w:cs="Times New Roman"/>
          <w:sz w:val="24"/>
        </w:rPr>
      </w:pPr>
      <w:r w:rsidRPr="00120F6A">
        <w:rPr>
          <w:rFonts w:cs="Times New Roman"/>
          <w:sz w:val="24"/>
        </w:rPr>
        <w:t>The data used in this paper is from a pilot research project on the financial management strategies of working class families in the 19</w:t>
      </w:r>
      <w:r w:rsidRPr="00120F6A">
        <w:rPr>
          <w:rFonts w:cs="Times New Roman"/>
          <w:sz w:val="24"/>
          <w:vertAlign w:val="superscript"/>
        </w:rPr>
        <w:t>th</w:t>
      </w:r>
      <w:r w:rsidRPr="00120F6A">
        <w:rPr>
          <w:rFonts w:cs="Times New Roman"/>
          <w:sz w:val="24"/>
        </w:rPr>
        <w:t xml:space="preserve"> century. The pilot project was designed to evaluate the extent to which savings bank depositor records existed, whether there were long runs of data and the overall utility of bank depositor records in establishing baseline historical data on working class savings. </w:t>
      </w:r>
    </w:p>
    <w:p w14:paraId="56FFC6CD" w14:textId="77777777" w:rsidR="00721F5B" w:rsidRPr="00120F6A" w:rsidRDefault="00721F5B" w:rsidP="00876A6B">
      <w:pPr>
        <w:widowControl w:val="0"/>
        <w:autoSpaceDE w:val="0"/>
        <w:autoSpaceDN w:val="0"/>
        <w:adjustRightInd w:val="0"/>
        <w:spacing w:line="480" w:lineRule="auto"/>
        <w:jc w:val="both"/>
        <w:rPr>
          <w:rFonts w:cs="Times New Roman"/>
          <w:sz w:val="24"/>
        </w:rPr>
      </w:pPr>
    </w:p>
    <w:p w14:paraId="2D7A7ED1" w14:textId="77777777" w:rsidR="00721F5B" w:rsidRPr="00120F6A" w:rsidRDefault="00721F5B" w:rsidP="00876A6B">
      <w:pPr>
        <w:widowControl w:val="0"/>
        <w:autoSpaceDE w:val="0"/>
        <w:autoSpaceDN w:val="0"/>
        <w:adjustRightInd w:val="0"/>
        <w:spacing w:line="480" w:lineRule="auto"/>
        <w:jc w:val="both"/>
        <w:rPr>
          <w:rFonts w:cs="Times New Roman"/>
          <w:i/>
          <w:sz w:val="24"/>
        </w:rPr>
      </w:pPr>
      <w:r w:rsidRPr="00120F6A">
        <w:rPr>
          <w:rFonts w:cs="Times New Roman"/>
          <w:i/>
          <w:sz w:val="24"/>
        </w:rPr>
        <w:t xml:space="preserve">The savings banks </w:t>
      </w:r>
    </w:p>
    <w:p w14:paraId="4F5FD152" w14:textId="77777777" w:rsidR="00721F5B" w:rsidRPr="00120F6A" w:rsidRDefault="00721F5B" w:rsidP="00876A6B">
      <w:pPr>
        <w:widowControl w:val="0"/>
        <w:autoSpaceDE w:val="0"/>
        <w:autoSpaceDN w:val="0"/>
        <w:adjustRightInd w:val="0"/>
        <w:spacing w:line="480" w:lineRule="auto"/>
        <w:jc w:val="both"/>
        <w:rPr>
          <w:rFonts w:cs="Times New Roman"/>
          <w:sz w:val="24"/>
        </w:rPr>
      </w:pPr>
    </w:p>
    <w:p w14:paraId="29EE15E0" w14:textId="77777777" w:rsidR="006539EA" w:rsidRPr="00120F6A" w:rsidRDefault="006539EA" w:rsidP="00876A6B">
      <w:pPr>
        <w:widowControl w:val="0"/>
        <w:autoSpaceDE w:val="0"/>
        <w:autoSpaceDN w:val="0"/>
        <w:adjustRightInd w:val="0"/>
        <w:spacing w:line="480" w:lineRule="auto"/>
        <w:jc w:val="both"/>
        <w:rPr>
          <w:rFonts w:cs="Times New Roman"/>
          <w:sz w:val="24"/>
        </w:rPr>
      </w:pPr>
      <w:r w:rsidRPr="00120F6A">
        <w:rPr>
          <w:rFonts w:cs="Times New Roman"/>
          <w:sz w:val="24"/>
        </w:rPr>
        <w:t xml:space="preserve">We identified four savings banks in England for the pilot phase based on the availability of the records and the socio-economic environment they represented. </w:t>
      </w:r>
      <w:r w:rsidRPr="00120F6A">
        <w:rPr>
          <w:rStyle w:val="Strong"/>
          <w:rFonts w:cs="Times New Roman"/>
          <w:b w:val="0"/>
          <w:sz w:val="24"/>
        </w:rPr>
        <w:t xml:space="preserve">We also consulted the register of 7,440 depositors for the Sheffield and Hallam Savings Bank between December 1857 and May 1860. </w:t>
      </w:r>
      <w:r w:rsidRPr="00120F6A">
        <w:rPr>
          <w:rFonts w:cs="Times New Roman"/>
          <w:sz w:val="24"/>
        </w:rPr>
        <w:t>The sample of accounts is drawn from banks that served the East End of London (Limehouse), a textile town (Bury), a large urban mixed economy (Newcastle) and a northern port town (South Shields).</w:t>
      </w:r>
    </w:p>
    <w:p w14:paraId="2DC9F91C" w14:textId="77777777" w:rsidR="00940822" w:rsidRPr="00120F6A" w:rsidRDefault="00940822" w:rsidP="00876A6B">
      <w:pPr>
        <w:widowControl w:val="0"/>
        <w:autoSpaceDE w:val="0"/>
        <w:autoSpaceDN w:val="0"/>
        <w:adjustRightInd w:val="0"/>
        <w:spacing w:line="480" w:lineRule="auto"/>
        <w:jc w:val="both"/>
        <w:rPr>
          <w:rFonts w:cs="Times New Roman"/>
          <w:sz w:val="24"/>
        </w:rPr>
      </w:pPr>
    </w:p>
    <w:p w14:paraId="38666CA2" w14:textId="1F04B6CA" w:rsidR="00940822" w:rsidRPr="00120F6A" w:rsidRDefault="00940822" w:rsidP="008021F9">
      <w:pPr>
        <w:spacing w:line="480" w:lineRule="auto"/>
        <w:jc w:val="both"/>
        <w:rPr>
          <w:rFonts w:cs="Times New Roman"/>
          <w:sz w:val="24"/>
        </w:rPr>
      </w:pPr>
      <w:r w:rsidRPr="00120F6A">
        <w:rPr>
          <w:rFonts w:cs="Times New Roman"/>
          <w:sz w:val="24"/>
        </w:rPr>
        <w:t>All the banks investigated were established early in the 19th century in the first flush</w:t>
      </w:r>
      <w:r w:rsidR="008D397B" w:rsidRPr="00120F6A">
        <w:rPr>
          <w:rFonts w:cs="Times New Roman"/>
          <w:sz w:val="24"/>
        </w:rPr>
        <w:t xml:space="preserve"> of British enthusiasm for the savings bank </w:t>
      </w:r>
      <w:r w:rsidRPr="00120F6A">
        <w:rPr>
          <w:rFonts w:cs="Times New Roman"/>
          <w:sz w:val="24"/>
        </w:rPr>
        <w:t xml:space="preserve">movement. </w:t>
      </w:r>
      <w:r w:rsidR="003A3376" w:rsidRPr="00120F6A">
        <w:rPr>
          <w:rFonts w:cs="Times New Roman"/>
          <w:sz w:val="24"/>
        </w:rPr>
        <w:t xml:space="preserve">After a rapid early expansionary phase the growth of savings banks slowed, stopped and then reversed in the later 19th century when the trajectory of growth in other countries was still upwards e.g. Germany, United </w:t>
      </w:r>
      <w:r w:rsidR="003A3376" w:rsidRPr="00120F6A">
        <w:rPr>
          <w:rFonts w:cs="Times New Roman"/>
          <w:sz w:val="24"/>
        </w:rPr>
        <w:lastRenderedPageBreak/>
        <w:t>States, France, Italy and Spain.</w:t>
      </w:r>
      <w:r w:rsidR="003A3376" w:rsidRPr="00120F6A">
        <w:rPr>
          <w:rStyle w:val="EndnoteReference"/>
          <w:rFonts w:cs="Times New Roman"/>
          <w:sz w:val="24"/>
        </w:rPr>
        <w:endnoteReference w:id="40"/>
      </w:r>
      <w:r w:rsidR="003A3376" w:rsidRPr="00120F6A">
        <w:rPr>
          <w:rFonts w:cs="Times New Roman"/>
          <w:sz w:val="24"/>
        </w:rPr>
        <w:t xml:space="preserve"> </w:t>
      </w:r>
      <w:r w:rsidRPr="00120F6A">
        <w:rPr>
          <w:rFonts w:cs="Times New Roman"/>
          <w:sz w:val="24"/>
        </w:rPr>
        <w:t xml:space="preserve">Limehouse was founded in 1816, one of 27 </w:t>
      </w:r>
      <w:r w:rsidR="008D397B" w:rsidRPr="00120F6A">
        <w:rPr>
          <w:rFonts w:cs="Times New Roman"/>
          <w:sz w:val="24"/>
        </w:rPr>
        <w:t xml:space="preserve">savings banks </w:t>
      </w:r>
      <w:r w:rsidRPr="00120F6A">
        <w:rPr>
          <w:rFonts w:cs="Times New Roman"/>
          <w:sz w:val="24"/>
        </w:rPr>
        <w:t>in the London area by the end of 1819</w:t>
      </w:r>
      <w:r w:rsidR="00AC5E12" w:rsidRPr="00120F6A">
        <w:rPr>
          <w:rFonts w:cs="Times New Roman"/>
          <w:sz w:val="24"/>
        </w:rPr>
        <w:t>.</w:t>
      </w:r>
      <w:r w:rsidR="00AC5E12" w:rsidRPr="00120F6A">
        <w:rPr>
          <w:rStyle w:val="EndnoteReference"/>
          <w:rFonts w:cs="Times New Roman"/>
          <w:sz w:val="24"/>
        </w:rPr>
        <w:endnoteReference w:id="41"/>
      </w:r>
      <w:r w:rsidRPr="00120F6A">
        <w:rPr>
          <w:rFonts w:cs="Times New Roman"/>
          <w:sz w:val="24"/>
        </w:rPr>
        <w:t xml:space="preserve">  It operated at a time when the East End of London moved away from heavy industry and, in part because of the cost of land in the</w:t>
      </w:r>
      <w:r w:rsidR="00AC5E12" w:rsidRPr="00120F6A">
        <w:rPr>
          <w:rFonts w:cs="Times New Roman"/>
          <w:sz w:val="24"/>
        </w:rPr>
        <w:t xml:space="preserve"> capital, developed a model of </w:t>
      </w:r>
      <w:r w:rsidRPr="00120F6A">
        <w:rPr>
          <w:rFonts w:cs="Times New Roman"/>
          <w:sz w:val="24"/>
        </w:rPr>
        <w:t>distri</w:t>
      </w:r>
      <w:r w:rsidR="000030B6" w:rsidRPr="00120F6A">
        <w:rPr>
          <w:rFonts w:cs="Times New Roman"/>
          <w:sz w:val="24"/>
        </w:rPr>
        <w:t>ct as worksh</w:t>
      </w:r>
      <w:r w:rsidR="00AC5E12" w:rsidRPr="00120F6A">
        <w:rPr>
          <w:rFonts w:cs="Times New Roman"/>
          <w:sz w:val="24"/>
        </w:rPr>
        <w:t>op.</w:t>
      </w:r>
      <w:r w:rsidR="000030B6" w:rsidRPr="00120F6A">
        <w:rPr>
          <w:rFonts w:cs="Times New Roman"/>
          <w:sz w:val="24"/>
        </w:rPr>
        <w:t xml:space="preserve"> Limehouse was </w:t>
      </w:r>
      <w:r w:rsidRPr="00120F6A">
        <w:rPr>
          <w:rFonts w:cs="Times New Roman"/>
          <w:sz w:val="24"/>
        </w:rPr>
        <w:t>a district w</w:t>
      </w:r>
      <w:r w:rsidR="000030B6" w:rsidRPr="00120F6A">
        <w:rPr>
          <w:rFonts w:cs="Times New Roman"/>
          <w:sz w:val="24"/>
        </w:rPr>
        <w:t xml:space="preserve">ith a wide range of businesses, </w:t>
      </w:r>
      <w:r w:rsidRPr="00120F6A">
        <w:rPr>
          <w:rFonts w:cs="Times New Roman"/>
          <w:sz w:val="24"/>
        </w:rPr>
        <w:t xml:space="preserve">from heavy engineering to dressmaking, as well as many inhabitants who worked on the </w:t>
      </w:r>
      <w:proofErr w:type="gramStart"/>
      <w:r w:rsidRPr="00120F6A">
        <w:rPr>
          <w:rFonts w:cs="Times New Roman"/>
          <w:sz w:val="24"/>
        </w:rPr>
        <w:t>newly-established</w:t>
      </w:r>
      <w:proofErr w:type="gramEnd"/>
      <w:r w:rsidRPr="00120F6A">
        <w:rPr>
          <w:rFonts w:cs="Times New Roman"/>
          <w:sz w:val="24"/>
        </w:rPr>
        <w:t xml:space="preserve"> London docks.</w:t>
      </w:r>
      <w:r w:rsidRPr="00120F6A">
        <w:rPr>
          <w:rStyle w:val="EndnoteReference"/>
          <w:rFonts w:cs="Times New Roman"/>
          <w:sz w:val="24"/>
        </w:rPr>
        <w:endnoteReference w:id="42"/>
      </w:r>
      <w:r w:rsidRPr="00120F6A">
        <w:rPr>
          <w:rFonts w:cs="Times New Roman"/>
          <w:sz w:val="24"/>
        </w:rPr>
        <w:t xml:space="preserve">  The bank survived until 1896, when it was, like many </w:t>
      </w:r>
      <w:r w:rsidRPr="00120F6A">
        <w:rPr>
          <w:rFonts w:cs="Times New Roman"/>
          <w:i/>
          <w:sz w:val="24"/>
        </w:rPr>
        <w:t>smaller</w:t>
      </w:r>
      <w:r w:rsidRPr="00120F6A">
        <w:rPr>
          <w:rFonts w:cs="Times New Roman"/>
          <w:sz w:val="24"/>
        </w:rPr>
        <w:t xml:space="preserve"> </w:t>
      </w:r>
      <w:r w:rsidR="00AC5E12" w:rsidRPr="00120F6A">
        <w:rPr>
          <w:rFonts w:cs="Times New Roman"/>
          <w:sz w:val="24"/>
        </w:rPr>
        <w:t>savings banks</w:t>
      </w:r>
      <w:r w:rsidRPr="00120F6A">
        <w:rPr>
          <w:rFonts w:cs="Times New Roman"/>
          <w:sz w:val="24"/>
        </w:rPr>
        <w:t xml:space="preserve">, overtaken by competition from the </w:t>
      </w:r>
      <w:r w:rsidR="00A63024">
        <w:rPr>
          <w:rFonts w:cs="Times New Roman"/>
          <w:sz w:val="24"/>
        </w:rPr>
        <w:t>Post Office</w:t>
      </w:r>
      <w:r w:rsidRPr="00120F6A">
        <w:rPr>
          <w:rFonts w:cs="Times New Roman"/>
          <w:sz w:val="24"/>
        </w:rPr>
        <w:t xml:space="preserve"> Savings Bank</w:t>
      </w:r>
      <w:r w:rsidR="00A63024">
        <w:rPr>
          <w:rFonts w:cs="Times New Roman"/>
          <w:sz w:val="24"/>
        </w:rPr>
        <w:t xml:space="preserve"> (POSB)</w:t>
      </w:r>
      <w:r w:rsidRPr="00120F6A">
        <w:rPr>
          <w:rFonts w:cs="Times New Roman"/>
          <w:sz w:val="24"/>
        </w:rPr>
        <w:t>, which could offer branches open daily for longer hours.</w:t>
      </w:r>
      <w:r w:rsidR="003A3376" w:rsidRPr="00120F6A">
        <w:rPr>
          <w:rStyle w:val="EndnoteReference"/>
          <w:rFonts w:cs="Times New Roman"/>
          <w:sz w:val="24"/>
        </w:rPr>
        <w:endnoteReference w:id="43"/>
      </w:r>
      <w:r w:rsidRPr="00120F6A">
        <w:rPr>
          <w:rFonts w:cs="Times New Roman"/>
          <w:sz w:val="24"/>
        </w:rPr>
        <w:t xml:space="preserve"> </w:t>
      </w:r>
      <w:r w:rsidR="003A3376" w:rsidRPr="00120F6A">
        <w:rPr>
          <w:rFonts w:cs="Times New Roman"/>
          <w:sz w:val="24"/>
        </w:rPr>
        <w:t xml:space="preserve"> </w:t>
      </w:r>
      <w:r w:rsidRPr="00120F6A">
        <w:rPr>
          <w:rFonts w:cs="Times New Roman"/>
          <w:sz w:val="24"/>
        </w:rPr>
        <w:t xml:space="preserve">At the time of its closure it had some </w:t>
      </w:r>
      <w:r w:rsidR="000E41AC" w:rsidRPr="00120F6A">
        <w:rPr>
          <w:rFonts w:cs="Times New Roman"/>
          <w:sz w:val="24"/>
        </w:rPr>
        <w:t>2333 depositors</w:t>
      </w:r>
      <w:r w:rsidR="00A131BE" w:rsidRPr="00120F6A">
        <w:rPr>
          <w:rFonts w:cs="Times New Roman"/>
          <w:sz w:val="24"/>
        </w:rPr>
        <w:t>, and was seventh</w:t>
      </w:r>
      <w:r w:rsidRPr="00120F6A">
        <w:rPr>
          <w:rFonts w:cs="Times New Roman"/>
          <w:sz w:val="24"/>
        </w:rPr>
        <w:t xml:space="preserve"> out of the </w:t>
      </w:r>
      <w:r w:rsidR="008D397B" w:rsidRPr="00120F6A">
        <w:rPr>
          <w:rFonts w:cs="Times New Roman"/>
          <w:sz w:val="24"/>
        </w:rPr>
        <w:t>ten</w:t>
      </w:r>
      <w:r w:rsidRPr="00120F6A">
        <w:rPr>
          <w:rFonts w:cs="Times New Roman"/>
          <w:sz w:val="24"/>
        </w:rPr>
        <w:t xml:space="preserve"> </w:t>
      </w:r>
      <w:r w:rsidR="008D397B" w:rsidRPr="00120F6A">
        <w:rPr>
          <w:rFonts w:cs="Times New Roman"/>
          <w:sz w:val="24"/>
        </w:rPr>
        <w:t>savings banks</w:t>
      </w:r>
      <w:r w:rsidRPr="00120F6A">
        <w:rPr>
          <w:rFonts w:cs="Times New Roman"/>
          <w:sz w:val="24"/>
        </w:rPr>
        <w:t xml:space="preserve"> in London</w:t>
      </w:r>
      <w:r w:rsidR="00A131BE" w:rsidRPr="00120F6A">
        <w:rPr>
          <w:rFonts w:cs="Times New Roman"/>
          <w:sz w:val="24"/>
        </w:rPr>
        <w:t xml:space="preserve"> in terms of size.</w:t>
      </w:r>
      <w:r w:rsidRPr="00120F6A">
        <w:rPr>
          <w:rStyle w:val="EndnoteReference"/>
          <w:rFonts w:cs="Times New Roman"/>
          <w:sz w:val="24"/>
        </w:rPr>
        <w:endnoteReference w:id="44"/>
      </w:r>
      <w:r w:rsidR="000030B6" w:rsidRPr="00120F6A">
        <w:rPr>
          <w:rFonts w:cs="Times New Roman"/>
          <w:sz w:val="24"/>
        </w:rPr>
        <w:t xml:space="preserve"> </w:t>
      </w:r>
      <w:r w:rsidR="00F414EA" w:rsidRPr="00120F6A">
        <w:rPr>
          <w:rFonts w:cs="Times New Roman"/>
          <w:sz w:val="24"/>
        </w:rPr>
        <w:t>G</w:t>
      </w:r>
      <w:r w:rsidR="000030B6" w:rsidRPr="00120F6A">
        <w:rPr>
          <w:rFonts w:cs="Times New Roman"/>
          <w:sz w:val="24"/>
        </w:rPr>
        <w:t xml:space="preserve">iven that Limehouse had the </w:t>
      </w:r>
      <w:r w:rsidR="000030B6" w:rsidRPr="00120F6A">
        <w:rPr>
          <w:rStyle w:val="Strong"/>
          <w:rFonts w:cs="Times New Roman"/>
          <w:b w:val="0"/>
          <w:sz w:val="24"/>
        </w:rPr>
        <w:t>longest continuous run of depositor ledgers in our sample we</w:t>
      </w:r>
      <w:r w:rsidR="008D397B" w:rsidRPr="00120F6A">
        <w:rPr>
          <w:rStyle w:val="Strong"/>
          <w:rFonts w:cs="Times New Roman"/>
          <w:b w:val="0"/>
          <w:sz w:val="24"/>
        </w:rPr>
        <w:t xml:space="preserve"> used their accounts to</w:t>
      </w:r>
      <w:r w:rsidR="000030B6" w:rsidRPr="00120F6A">
        <w:rPr>
          <w:rStyle w:val="Strong"/>
          <w:rFonts w:cs="Times New Roman"/>
          <w:b w:val="0"/>
          <w:sz w:val="24"/>
        </w:rPr>
        <w:t xml:space="preserve"> collect dat</w:t>
      </w:r>
      <w:r w:rsidR="008D397B" w:rsidRPr="00120F6A">
        <w:rPr>
          <w:rStyle w:val="Strong"/>
          <w:rFonts w:cs="Times New Roman"/>
          <w:b w:val="0"/>
          <w:sz w:val="24"/>
        </w:rPr>
        <w:t>a</w:t>
      </w:r>
      <w:r w:rsidR="000030B6" w:rsidRPr="00120F6A">
        <w:rPr>
          <w:rStyle w:val="Strong"/>
          <w:rFonts w:cs="Times New Roman"/>
          <w:b w:val="0"/>
          <w:sz w:val="24"/>
        </w:rPr>
        <w:t xml:space="preserve"> on the type of account holder (gender, age, marital status) of all depositors</w:t>
      </w:r>
      <w:r w:rsidR="006F3FED" w:rsidRPr="00120F6A">
        <w:rPr>
          <w:rStyle w:val="Strong"/>
          <w:rFonts w:cs="Times New Roman"/>
          <w:b w:val="0"/>
          <w:sz w:val="24"/>
        </w:rPr>
        <w:t xml:space="preserve"> – some 14,661 accounts - </w:t>
      </w:r>
      <w:r w:rsidR="000030B6" w:rsidRPr="00120F6A">
        <w:rPr>
          <w:rStyle w:val="Strong"/>
          <w:rFonts w:cs="Times New Roman"/>
          <w:b w:val="0"/>
          <w:sz w:val="24"/>
        </w:rPr>
        <w:t xml:space="preserve">in the period 1822-1876. </w:t>
      </w:r>
    </w:p>
    <w:p w14:paraId="4C6244F0" w14:textId="77777777" w:rsidR="00940822" w:rsidRPr="00120F6A" w:rsidRDefault="00940822" w:rsidP="00940822">
      <w:pPr>
        <w:pStyle w:val="HTMLPreformatted"/>
        <w:spacing w:line="480" w:lineRule="auto"/>
        <w:jc w:val="both"/>
        <w:rPr>
          <w:rFonts w:ascii="Times New Roman" w:hAnsi="Times New Roman" w:cs="Times New Roman"/>
          <w:sz w:val="24"/>
          <w:szCs w:val="24"/>
        </w:rPr>
      </w:pPr>
    </w:p>
    <w:p w14:paraId="70FB8CF7" w14:textId="77777777" w:rsidR="00940822" w:rsidRPr="00120F6A" w:rsidRDefault="00940822" w:rsidP="00940822">
      <w:pPr>
        <w:pStyle w:val="HTMLPreformatted"/>
        <w:spacing w:line="480" w:lineRule="auto"/>
        <w:jc w:val="both"/>
        <w:rPr>
          <w:rFonts w:ascii="Times New Roman" w:hAnsi="Times New Roman" w:cs="Times New Roman"/>
          <w:sz w:val="24"/>
        </w:rPr>
      </w:pPr>
      <w:r w:rsidRPr="00120F6A">
        <w:rPr>
          <w:rFonts w:ascii="Times New Roman" w:hAnsi="Times New Roman" w:cs="Times New Roman"/>
          <w:sz w:val="24"/>
          <w:szCs w:val="24"/>
        </w:rPr>
        <w:t xml:space="preserve">The other banks </w:t>
      </w:r>
      <w:r w:rsidR="00F414EA" w:rsidRPr="00120F6A">
        <w:rPr>
          <w:rFonts w:ascii="Times New Roman" w:hAnsi="Times New Roman" w:cs="Times New Roman"/>
          <w:sz w:val="24"/>
          <w:szCs w:val="24"/>
        </w:rPr>
        <w:t xml:space="preserve">in our sample </w:t>
      </w:r>
      <w:r w:rsidRPr="00120F6A">
        <w:rPr>
          <w:rFonts w:ascii="Times New Roman" w:hAnsi="Times New Roman" w:cs="Times New Roman"/>
          <w:sz w:val="24"/>
          <w:szCs w:val="24"/>
        </w:rPr>
        <w:t>were larger and had longer lives</w:t>
      </w:r>
      <w:r w:rsidR="006F3FED" w:rsidRPr="00120F6A">
        <w:rPr>
          <w:rFonts w:ascii="Times New Roman" w:hAnsi="Times New Roman" w:cs="Times New Roman"/>
          <w:sz w:val="24"/>
          <w:szCs w:val="24"/>
        </w:rPr>
        <w:t xml:space="preserve"> but have fewer surviving depositor ledgers</w:t>
      </w:r>
      <w:r w:rsidRPr="00120F6A">
        <w:rPr>
          <w:rFonts w:ascii="Times New Roman" w:hAnsi="Times New Roman" w:cs="Times New Roman"/>
          <w:sz w:val="24"/>
          <w:szCs w:val="24"/>
        </w:rPr>
        <w:t>. Bury, described in 1853 as "a respectable and thriving market town and parliamentary borough"</w:t>
      </w:r>
      <w:r w:rsidRPr="00120F6A">
        <w:rPr>
          <w:rStyle w:val="EndnoteReference"/>
          <w:rFonts w:ascii="Times New Roman" w:hAnsi="Times New Roman" w:cs="Times New Roman"/>
          <w:sz w:val="24"/>
          <w:szCs w:val="24"/>
        </w:rPr>
        <w:endnoteReference w:id="45"/>
      </w:r>
      <w:r w:rsidRPr="00120F6A">
        <w:rPr>
          <w:rFonts w:ascii="Times New Roman" w:hAnsi="Times New Roman" w:cs="Times New Roman"/>
          <w:sz w:val="24"/>
          <w:szCs w:val="24"/>
        </w:rPr>
        <w:t xml:space="preserve"> was dominated by the textile industry, an important employer of women. The Bury S</w:t>
      </w:r>
      <w:r w:rsidR="000E41AC" w:rsidRPr="00120F6A">
        <w:rPr>
          <w:rFonts w:ascii="Times New Roman" w:hAnsi="Times New Roman" w:cs="Times New Roman"/>
          <w:sz w:val="24"/>
          <w:szCs w:val="24"/>
        </w:rPr>
        <w:t xml:space="preserve">avings </w:t>
      </w:r>
      <w:r w:rsidRPr="00120F6A">
        <w:rPr>
          <w:rFonts w:ascii="Times New Roman" w:hAnsi="Times New Roman" w:cs="Times New Roman"/>
          <w:sz w:val="24"/>
          <w:szCs w:val="24"/>
        </w:rPr>
        <w:t>B</w:t>
      </w:r>
      <w:r w:rsidR="000E41AC" w:rsidRPr="00120F6A">
        <w:rPr>
          <w:rFonts w:ascii="Times New Roman" w:hAnsi="Times New Roman" w:cs="Times New Roman"/>
          <w:sz w:val="24"/>
          <w:szCs w:val="24"/>
        </w:rPr>
        <w:t>ank</w:t>
      </w:r>
      <w:r w:rsidRPr="00120F6A">
        <w:rPr>
          <w:rFonts w:ascii="Times New Roman" w:hAnsi="Times New Roman" w:cs="Times New Roman"/>
          <w:sz w:val="24"/>
          <w:szCs w:val="24"/>
        </w:rPr>
        <w:t xml:space="preserve"> was founded in 1822 by the then rector</w:t>
      </w:r>
      <w:r w:rsidRPr="00120F6A">
        <w:rPr>
          <w:rStyle w:val="EndnoteReference"/>
          <w:rFonts w:ascii="Times New Roman" w:hAnsi="Times New Roman" w:cs="Times New Roman"/>
          <w:sz w:val="24"/>
          <w:szCs w:val="24"/>
        </w:rPr>
        <w:endnoteReference w:id="46"/>
      </w:r>
      <w:r w:rsidRPr="00120F6A">
        <w:rPr>
          <w:rFonts w:ascii="Times New Roman" w:hAnsi="Times New Roman" w:cs="Times New Roman"/>
          <w:sz w:val="24"/>
          <w:szCs w:val="24"/>
        </w:rPr>
        <w:t xml:space="preserve"> of the town, Geoffrey Hornby, and survived until the amalgamation of local</w:t>
      </w:r>
      <w:r w:rsidR="00AC5E12" w:rsidRPr="00120F6A">
        <w:rPr>
          <w:rFonts w:ascii="Times New Roman" w:hAnsi="Times New Roman" w:cs="Times New Roman"/>
          <w:sz w:val="24"/>
          <w:szCs w:val="24"/>
        </w:rPr>
        <w:t xml:space="preserve"> savings banks</w:t>
      </w:r>
      <w:r w:rsidRPr="00120F6A">
        <w:rPr>
          <w:rFonts w:ascii="Times New Roman" w:hAnsi="Times New Roman" w:cs="Times New Roman"/>
          <w:sz w:val="24"/>
          <w:szCs w:val="24"/>
        </w:rPr>
        <w:t xml:space="preserve"> into the nation</w:t>
      </w:r>
      <w:r w:rsidR="000E41AC" w:rsidRPr="00120F6A">
        <w:rPr>
          <w:rFonts w:ascii="Times New Roman" w:hAnsi="Times New Roman" w:cs="Times New Roman"/>
          <w:sz w:val="24"/>
          <w:szCs w:val="24"/>
        </w:rPr>
        <w:t>al Trustee Savings Bank in 1975</w:t>
      </w:r>
      <w:r w:rsidRPr="00120F6A">
        <w:rPr>
          <w:rFonts w:ascii="Times New Roman" w:hAnsi="Times New Roman" w:cs="Times New Roman"/>
          <w:sz w:val="24"/>
          <w:szCs w:val="24"/>
        </w:rPr>
        <w:t xml:space="preserve">. </w:t>
      </w:r>
      <w:r w:rsidRPr="00120F6A">
        <w:rPr>
          <w:rFonts w:ascii="Times New Roman" w:hAnsi="Times New Roman" w:cs="Times New Roman"/>
          <w:sz w:val="24"/>
        </w:rPr>
        <w:t xml:space="preserve">Both Newcastle and South Shields had links to shipbuilding, docks and coastal trade: shipbuilding, engineering and the coal industry were crucial in Newcastle's rapid growth. Its population increased from just under 30, 000 to 200, 000 over the 19th century, whilst South Shields grew from 12,000 to some 60,000. </w:t>
      </w:r>
      <w:r w:rsidRPr="00120F6A">
        <w:rPr>
          <w:rFonts w:ascii="Times New Roman" w:hAnsi="Times New Roman" w:cs="Times New Roman"/>
          <w:sz w:val="24"/>
          <w:szCs w:val="24"/>
        </w:rPr>
        <w:t>The South Shields and Newcastle S</w:t>
      </w:r>
      <w:r w:rsidR="000E41AC" w:rsidRPr="00120F6A">
        <w:rPr>
          <w:rFonts w:ascii="Times New Roman" w:hAnsi="Times New Roman" w:cs="Times New Roman"/>
          <w:sz w:val="24"/>
          <w:szCs w:val="24"/>
        </w:rPr>
        <w:t xml:space="preserve">avings </w:t>
      </w:r>
      <w:r w:rsidRPr="00120F6A">
        <w:rPr>
          <w:rFonts w:ascii="Times New Roman" w:hAnsi="Times New Roman" w:cs="Times New Roman"/>
          <w:sz w:val="24"/>
          <w:szCs w:val="24"/>
        </w:rPr>
        <w:t>B</w:t>
      </w:r>
      <w:r w:rsidR="000E41AC" w:rsidRPr="00120F6A">
        <w:rPr>
          <w:rFonts w:ascii="Times New Roman" w:hAnsi="Times New Roman" w:cs="Times New Roman"/>
          <w:sz w:val="24"/>
          <w:szCs w:val="24"/>
        </w:rPr>
        <w:t>ank</w:t>
      </w:r>
      <w:r w:rsidRPr="00120F6A">
        <w:rPr>
          <w:rFonts w:ascii="Times New Roman" w:hAnsi="Times New Roman" w:cs="Times New Roman"/>
          <w:sz w:val="24"/>
          <w:szCs w:val="24"/>
        </w:rPr>
        <w:t>s were founded in 1817 and 1818 respectively and survived as independent banks until they merged in 1971. The South Shields S</w:t>
      </w:r>
      <w:r w:rsidR="000E41AC" w:rsidRPr="00120F6A">
        <w:rPr>
          <w:rFonts w:ascii="Times New Roman" w:hAnsi="Times New Roman" w:cs="Times New Roman"/>
          <w:sz w:val="24"/>
          <w:szCs w:val="24"/>
        </w:rPr>
        <w:t xml:space="preserve">avings </w:t>
      </w:r>
      <w:r w:rsidRPr="00120F6A">
        <w:rPr>
          <w:rFonts w:ascii="Times New Roman" w:hAnsi="Times New Roman" w:cs="Times New Roman"/>
          <w:sz w:val="24"/>
          <w:szCs w:val="24"/>
        </w:rPr>
        <w:t>B</w:t>
      </w:r>
      <w:r w:rsidR="000E41AC" w:rsidRPr="00120F6A">
        <w:rPr>
          <w:rFonts w:ascii="Times New Roman" w:hAnsi="Times New Roman" w:cs="Times New Roman"/>
          <w:sz w:val="24"/>
          <w:szCs w:val="24"/>
        </w:rPr>
        <w:t>ank</w:t>
      </w:r>
      <w:r w:rsidRPr="00120F6A">
        <w:rPr>
          <w:rFonts w:ascii="Times New Roman" w:hAnsi="Times New Roman" w:cs="Times New Roman"/>
          <w:sz w:val="24"/>
          <w:szCs w:val="24"/>
        </w:rPr>
        <w:t>, described as "very attentively conducted" had attracted 737 depositors by 1830.</w:t>
      </w:r>
      <w:r w:rsidRPr="00120F6A">
        <w:rPr>
          <w:rStyle w:val="EndnoteReference"/>
          <w:rFonts w:ascii="Times New Roman" w:hAnsi="Times New Roman" w:cs="Times New Roman"/>
          <w:sz w:val="24"/>
          <w:szCs w:val="24"/>
        </w:rPr>
        <w:endnoteReference w:id="47"/>
      </w:r>
      <w:r w:rsidRPr="00120F6A">
        <w:rPr>
          <w:rFonts w:ascii="Times New Roman" w:hAnsi="Times New Roman" w:cs="Times New Roman"/>
          <w:color w:val="333333"/>
          <w:sz w:val="24"/>
          <w:szCs w:val="24"/>
        </w:rPr>
        <w:t xml:space="preserve"> </w:t>
      </w:r>
      <w:r w:rsidRPr="00120F6A">
        <w:rPr>
          <w:rFonts w:ascii="Times New Roman" w:hAnsi="Times New Roman" w:cs="Times New Roman"/>
          <w:sz w:val="24"/>
        </w:rPr>
        <w:t xml:space="preserve">This </w:t>
      </w:r>
      <w:r w:rsidRPr="00120F6A">
        <w:rPr>
          <w:rFonts w:ascii="Times New Roman" w:hAnsi="Times New Roman" w:cs="Times New Roman"/>
          <w:sz w:val="24"/>
        </w:rPr>
        <w:lastRenderedPageBreak/>
        <w:t>compares with the 3625 depositors in the Newcastle S</w:t>
      </w:r>
      <w:r w:rsidR="00AC5E12" w:rsidRPr="00120F6A">
        <w:rPr>
          <w:rFonts w:ascii="Times New Roman" w:hAnsi="Times New Roman" w:cs="Times New Roman"/>
          <w:sz w:val="24"/>
        </w:rPr>
        <w:t xml:space="preserve">avings </w:t>
      </w:r>
      <w:r w:rsidRPr="00120F6A">
        <w:rPr>
          <w:rFonts w:ascii="Times New Roman" w:hAnsi="Times New Roman" w:cs="Times New Roman"/>
          <w:sz w:val="24"/>
        </w:rPr>
        <w:t>B</w:t>
      </w:r>
      <w:r w:rsidR="00AC5E12" w:rsidRPr="00120F6A">
        <w:rPr>
          <w:rFonts w:ascii="Times New Roman" w:hAnsi="Times New Roman" w:cs="Times New Roman"/>
          <w:sz w:val="24"/>
        </w:rPr>
        <w:t>ank</w:t>
      </w:r>
      <w:r w:rsidRPr="00120F6A">
        <w:rPr>
          <w:rFonts w:ascii="Times New Roman" w:hAnsi="Times New Roman" w:cs="Times New Roman"/>
          <w:sz w:val="24"/>
        </w:rPr>
        <w:t xml:space="preserve"> in 1826</w:t>
      </w:r>
      <w:r w:rsidRPr="00120F6A">
        <w:rPr>
          <w:rStyle w:val="EndnoteReference"/>
          <w:rFonts w:ascii="Times New Roman" w:hAnsi="Times New Roman" w:cs="Times New Roman"/>
          <w:sz w:val="24"/>
        </w:rPr>
        <w:endnoteReference w:id="48"/>
      </w:r>
      <w:r w:rsidRPr="00120F6A">
        <w:rPr>
          <w:rFonts w:ascii="Times New Roman" w:hAnsi="Times New Roman" w:cs="Times New Roman"/>
          <w:sz w:val="24"/>
        </w:rPr>
        <w:t>. By the end of the 19th century, the 3 surviving banks had respectively 4612 depositors (Bury), 7459 (South Shields) and 26,434 (Newcastle).</w:t>
      </w:r>
      <w:r w:rsidRPr="00120F6A">
        <w:rPr>
          <w:rStyle w:val="EndnoteReference"/>
          <w:rFonts w:ascii="Times New Roman" w:hAnsi="Times New Roman" w:cs="Times New Roman"/>
          <w:sz w:val="24"/>
          <w:szCs w:val="24"/>
        </w:rPr>
        <w:endnoteReference w:id="49"/>
      </w:r>
    </w:p>
    <w:p w14:paraId="7D5BE181" w14:textId="77777777" w:rsidR="006539EA" w:rsidRPr="00120F6A" w:rsidRDefault="006539EA" w:rsidP="00876A6B">
      <w:pPr>
        <w:widowControl w:val="0"/>
        <w:autoSpaceDE w:val="0"/>
        <w:autoSpaceDN w:val="0"/>
        <w:adjustRightInd w:val="0"/>
        <w:spacing w:line="480" w:lineRule="auto"/>
        <w:ind w:firstLine="720"/>
        <w:jc w:val="both"/>
        <w:rPr>
          <w:rFonts w:cs="Times New Roman"/>
          <w:sz w:val="24"/>
        </w:rPr>
      </w:pPr>
    </w:p>
    <w:p w14:paraId="48E702C8" w14:textId="77777777" w:rsidR="006539EA" w:rsidRPr="00120F6A" w:rsidRDefault="000E41AC" w:rsidP="00917795">
      <w:pPr>
        <w:widowControl w:val="0"/>
        <w:autoSpaceDE w:val="0"/>
        <w:autoSpaceDN w:val="0"/>
        <w:adjustRightInd w:val="0"/>
        <w:spacing w:line="480" w:lineRule="auto"/>
        <w:jc w:val="both"/>
        <w:rPr>
          <w:rStyle w:val="Strong"/>
          <w:rFonts w:cs="Times New Roman"/>
          <w:b w:val="0"/>
          <w:sz w:val="24"/>
        </w:rPr>
      </w:pPr>
      <w:r w:rsidRPr="00120F6A">
        <w:rPr>
          <w:rFonts w:cs="Times New Roman"/>
          <w:sz w:val="24"/>
        </w:rPr>
        <w:t>The specific ar</w:t>
      </w:r>
      <w:r w:rsidR="00917795" w:rsidRPr="00120F6A">
        <w:rPr>
          <w:rFonts w:cs="Times New Roman"/>
          <w:sz w:val="24"/>
        </w:rPr>
        <w:t xml:space="preserve">chive material consulted for each of the banks was determined by its availability. The </w:t>
      </w:r>
      <w:r w:rsidR="006539EA" w:rsidRPr="00120F6A">
        <w:rPr>
          <w:rStyle w:val="Strong"/>
          <w:rFonts w:cs="Times New Roman"/>
          <w:b w:val="0"/>
          <w:sz w:val="24"/>
        </w:rPr>
        <w:t xml:space="preserve">Lloyds/TSB </w:t>
      </w:r>
      <w:r w:rsidR="00917795" w:rsidRPr="00120F6A">
        <w:rPr>
          <w:rStyle w:val="Strong"/>
          <w:rFonts w:cs="Times New Roman"/>
          <w:b w:val="0"/>
          <w:sz w:val="24"/>
        </w:rPr>
        <w:t>A</w:t>
      </w:r>
      <w:r w:rsidR="006539EA" w:rsidRPr="00120F6A">
        <w:rPr>
          <w:rStyle w:val="Strong"/>
          <w:rFonts w:cs="Times New Roman"/>
          <w:b w:val="0"/>
          <w:sz w:val="24"/>
        </w:rPr>
        <w:t>rchive</w:t>
      </w:r>
      <w:r w:rsidR="00917795" w:rsidRPr="00120F6A">
        <w:rPr>
          <w:rStyle w:val="Strong"/>
          <w:rFonts w:cs="Times New Roman"/>
          <w:b w:val="0"/>
          <w:sz w:val="24"/>
        </w:rPr>
        <w:t xml:space="preserve"> holds the Bury depositor ledgers but in addition there are</w:t>
      </w:r>
      <w:r w:rsidR="006539EA" w:rsidRPr="00120F6A">
        <w:rPr>
          <w:rStyle w:val="Strong"/>
          <w:rFonts w:cs="Times New Roman"/>
          <w:b w:val="0"/>
          <w:sz w:val="24"/>
        </w:rPr>
        <w:t xml:space="preserve"> microfilm copies of some records in Bury Archives</w:t>
      </w:r>
      <w:r w:rsidR="00917795" w:rsidRPr="00120F6A">
        <w:rPr>
          <w:rStyle w:val="Strong"/>
          <w:rFonts w:cs="Times New Roman"/>
          <w:b w:val="0"/>
          <w:sz w:val="24"/>
        </w:rPr>
        <w:t>,</w:t>
      </w:r>
      <w:r w:rsidR="006539EA" w:rsidRPr="00120F6A">
        <w:rPr>
          <w:rStyle w:val="Strong"/>
          <w:rFonts w:cs="Times New Roman"/>
          <w:b w:val="0"/>
          <w:sz w:val="24"/>
        </w:rPr>
        <w:t xml:space="preserve"> which include</w:t>
      </w:r>
      <w:r w:rsidR="006539EA" w:rsidRPr="00120F6A">
        <w:rPr>
          <w:rFonts w:cs="Times New Roman"/>
          <w:sz w:val="24"/>
        </w:rPr>
        <w:t xml:space="preserve"> minute books 1829-1896, printed annual reports for 1865-1975 (gap 1915-1918), internal accounting records 1822-1904, and deposito</w:t>
      </w:r>
      <w:r w:rsidR="00D362C7" w:rsidRPr="00120F6A">
        <w:rPr>
          <w:rFonts w:cs="Times New Roman"/>
          <w:sz w:val="24"/>
        </w:rPr>
        <w:t xml:space="preserve">r account ledgers for 1822-1903. </w:t>
      </w:r>
      <w:r w:rsidR="00917795" w:rsidRPr="00120F6A">
        <w:rPr>
          <w:rFonts w:cs="Times New Roman"/>
          <w:sz w:val="24"/>
        </w:rPr>
        <w:t>The Tower Hamlets Local History Centre and Archives holds the d</w:t>
      </w:r>
      <w:r w:rsidR="006539EA" w:rsidRPr="00120F6A">
        <w:rPr>
          <w:rStyle w:val="Strong"/>
          <w:rFonts w:cs="Times New Roman"/>
          <w:b w:val="0"/>
          <w:sz w:val="24"/>
        </w:rPr>
        <w:t xml:space="preserve">epositors' ledgers </w:t>
      </w:r>
      <w:r w:rsidR="00917795" w:rsidRPr="00120F6A">
        <w:rPr>
          <w:rStyle w:val="Strong"/>
          <w:rFonts w:cs="Times New Roman"/>
          <w:b w:val="0"/>
          <w:sz w:val="24"/>
        </w:rPr>
        <w:t xml:space="preserve">for Limehouse Savings Banks </w:t>
      </w:r>
      <w:r w:rsidR="006539EA" w:rsidRPr="00120F6A">
        <w:rPr>
          <w:rStyle w:val="Strong"/>
          <w:rFonts w:cs="Times New Roman"/>
          <w:b w:val="0"/>
          <w:sz w:val="24"/>
        </w:rPr>
        <w:t>covering all accounts opened between 1817 and 1876</w:t>
      </w:r>
      <w:r w:rsidR="00917795" w:rsidRPr="00120F6A">
        <w:rPr>
          <w:rStyle w:val="Strong"/>
          <w:rFonts w:cs="Times New Roman"/>
          <w:b w:val="0"/>
          <w:sz w:val="24"/>
        </w:rPr>
        <w:t xml:space="preserve">. The depositor ledgers for </w:t>
      </w:r>
      <w:r w:rsidR="006539EA" w:rsidRPr="00120F6A">
        <w:rPr>
          <w:rStyle w:val="Strong"/>
          <w:rFonts w:cs="Times New Roman"/>
          <w:b w:val="0"/>
          <w:sz w:val="24"/>
        </w:rPr>
        <w:t>Newcastle City Branch Savings Bank</w:t>
      </w:r>
      <w:r w:rsidR="00917795" w:rsidRPr="00120F6A">
        <w:rPr>
          <w:rStyle w:val="Strong"/>
          <w:rFonts w:cs="Times New Roman"/>
          <w:b w:val="0"/>
          <w:sz w:val="24"/>
        </w:rPr>
        <w:t xml:space="preserve"> and the South Shields Savings Bank are also held by the </w:t>
      </w:r>
      <w:r w:rsidR="006539EA" w:rsidRPr="00120F6A">
        <w:rPr>
          <w:rStyle w:val="Strong"/>
          <w:rFonts w:cs="Times New Roman"/>
          <w:b w:val="0"/>
          <w:sz w:val="24"/>
        </w:rPr>
        <w:t>Lloyds/TSB archive.</w:t>
      </w:r>
    </w:p>
    <w:p w14:paraId="6162824E" w14:textId="77777777" w:rsidR="006539EA" w:rsidRPr="00120F6A" w:rsidRDefault="006539EA" w:rsidP="00876A6B">
      <w:pPr>
        <w:pStyle w:val="ListParagraph"/>
        <w:spacing w:line="480" w:lineRule="auto"/>
        <w:ind w:left="0"/>
        <w:jc w:val="both"/>
        <w:rPr>
          <w:rStyle w:val="Strong"/>
          <w:rFonts w:ascii="Times New Roman" w:hAnsi="Times New Roman" w:cs="Times New Roman"/>
          <w:b w:val="0"/>
        </w:rPr>
      </w:pPr>
    </w:p>
    <w:p w14:paraId="1B2DC766" w14:textId="77777777" w:rsidR="000E41AC" w:rsidRPr="00120F6A" w:rsidRDefault="008D397B" w:rsidP="00876A6B">
      <w:pPr>
        <w:pStyle w:val="ListParagraph"/>
        <w:spacing w:line="480" w:lineRule="auto"/>
        <w:ind w:left="0"/>
        <w:jc w:val="both"/>
        <w:rPr>
          <w:rStyle w:val="Strong"/>
          <w:rFonts w:ascii="Times New Roman" w:hAnsi="Times New Roman" w:cs="Times New Roman"/>
          <w:b w:val="0"/>
          <w:i/>
        </w:rPr>
      </w:pPr>
      <w:r w:rsidRPr="00120F6A">
        <w:rPr>
          <w:rStyle w:val="Strong"/>
          <w:rFonts w:ascii="Times New Roman" w:hAnsi="Times New Roman" w:cs="Times New Roman"/>
          <w:b w:val="0"/>
          <w:i/>
        </w:rPr>
        <w:t>Establishing depositor savings behaviour</w:t>
      </w:r>
    </w:p>
    <w:p w14:paraId="46475E75" w14:textId="77777777" w:rsidR="008D397B" w:rsidRPr="00120F6A" w:rsidRDefault="008D397B" w:rsidP="00876A6B">
      <w:pPr>
        <w:widowControl w:val="0"/>
        <w:autoSpaceDE w:val="0"/>
        <w:autoSpaceDN w:val="0"/>
        <w:adjustRightInd w:val="0"/>
        <w:spacing w:line="480" w:lineRule="auto"/>
        <w:jc w:val="both"/>
        <w:rPr>
          <w:rStyle w:val="Strong"/>
          <w:rFonts w:cs="Times New Roman"/>
          <w:b w:val="0"/>
          <w:sz w:val="24"/>
        </w:rPr>
      </w:pPr>
    </w:p>
    <w:p w14:paraId="3AFF9681" w14:textId="77777777" w:rsidR="00AF7A85" w:rsidRPr="00120F6A" w:rsidRDefault="006539EA" w:rsidP="008D397B">
      <w:pPr>
        <w:pStyle w:val="ListParagraph"/>
        <w:spacing w:line="480" w:lineRule="auto"/>
        <w:ind w:left="0"/>
        <w:jc w:val="both"/>
        <w:rPr>
          <w:rStyle w:val="Strong"/>
          <w:rFonts w:ascii="Times New Roman" w:hAnsi="Times New Roman" w:cs="Times New Roman"/>
          <w:b w:val="0"/>
        </w:rPr>
      </w:pPr>
      <w:r w:rsidRPr="00120F6A">
        <w:rPr>
          <w:rStyle w:val="Strong"/>
          <w:rFonts w:ascii="Times New Roman" w:hAnsi="Times New Roman" w:cs="Times New Roman"/>
          <w:b w:val="0"/>
        </w:rPr>
        <w:t xml:space="preserve">In addition to </w:t>
      </w:r>
      <w:r w:rsidR="006F3FED" w:rsidRPr="00120F6A">
        <w:rPr>
          <w:rStyle w:val="Strong"/>
          <w:rFonts w:ascii="Times New Roman" w:hAnsi="Times New Roman" w:cs="Times New Roman"/>
          <w:b w:val="0"/>
        </w:rPr>
        <w:t xml:space="preserve">recording the gender, marital status and adult status of depositors of all of the Limehouse accounts we selected sample years in the period 1851-1865 </w:t>
      </w:r>
      <w:r w:rsidR="00721F5B" w:rsidRPr="00120F6A">
        <w:rPr>
          <w:rStyle w:val="Strong"/>
          <w:rFonts w:ascii="Times New Roman" w:hAnsi="Times New Roman" w:cs="Times New Roman"/>
          <w:b w:val="0"/>
        </w:rPr>
        <w:t xml:space="preserve">in order to examine savings behaviour in more detail at each of the four banks. The </w:t>
      </w:r>
      <w:r w:rsidRPr="00120F6A">
        <w:rPr>
          <w:rStyle w:val="Strong"/>
          <w:rFonts w:ascii="Times New Roman" w:hAnsi="Times New Roman" w:cs="Times New Roman"/>
          <w:b w:val="0"/>
        </w:rPr>
        <w:t xml:space="preserve">years </w:t>
      </w:r>
      <w:r w:rsidR="00721F5B" w:rsidRPr="00120F6A">
        <w:rPr>
          <w:rStyle w:val="Strong"/>
          <w:rFonts w:ascii="Times New Roman" w:hAnsi="Times New Roman" w:cs="Times New Roman"/>
          <w:b w:val="0"/>
        </w:rPr>
        <w:t>1</w:t>
      </w:r>
      <w:r w:rsidRPr="00120F6A">
        <w:rPr>
          <w:rStyle w:val="Strong"/>
          <w:rFonts w:ascii="Times New Roman" w:hAnsi="Times New Roman" w:cs="Times New Roman"/>
          <w:b w:val="0"/>
        </w:rPr>
        <w:t xml:space="preserve">851 and 1861 were selected prior to the start of the data collection in order to allow crosschecking of depositors against the census records. </w:t>
      </w:r>
      <w:r w:rsidR="008D397B" w:rsidRPr="00120F6A">
        <w:rPr>
          <w:rStyle w:val="Strong"/>
          <w:rFonts w:ascii="Times New Roman" w:hAnsi="Times New Roman" w:cs="Times New Roman"/>
          <w:b w:val="0"/>
        </w:rPr>
        <w:t xml:space="preserve">Matching depositors with census records </w:t>
      </w:r>
      <w:r w:rsidR="006759E4" w:rsidRPr="00120F6A">
        <w:rPr>
          <w:rStyle w:val="Strong"/>
          <w:rFonts w:ascii="Times New Roman" w:hAnsi="Times New Roman" w:cs="Times New Roman"/>
          <w:b w:val="0"/>
        </w:rPr>
        <w:t xml:space="preserve">proved difficult for two main reasons. The first is the lack of consistency re the presentation of depositor addresses in the ledgers of each bank. </w:t>
      </w:r>
      <w:r w:rsidR="006759E4" w:rsidRPr="00120F6A">
        <w:rPr>
          <w:rFonts w:ascii="Times New Roman" w:hAnsi="Times New Roman" w:cs="Times New Roman"/>
        </w:rPr>
        <w:t xml:space="preserve">Limehouse Savings Bank included the full address of depositors at the top of all new account columns. South Shields ledgers merely noted whether account holders lived north or south of the River Tyne. Newcastle made no reference to the registered address of their savers at the head of their account columns. Bury included address </w:t>
      </w:r>
      <w:r w:rsidR="006759E4" w:rsidRPr="00120F6A">
        <w:rPr>
          <w:rFonts w:ascii="Times New Roman" w:hAnsi="Times New Roman" w:cs="Times New Roman"/>
        </w:rPr>
        <w:lastRenderedPageBreak/>
        <w:t xml:space="preserve">details in a separate index at the front of the ledger. </w:t>
      </w:r>
      <w:r w:rsidR="00C574D0" w:rsidRPr="00120F6A">
        <w:rPr>
          <w:rFonts w:ascii="Times New Roman" w:hAnsi="Times New Roman" w:cs="Times New Roman"/>
        </w:rPr>
        <w:t>The presumption is that depositors were local residents. The legislation made clear that only one savings account per person could be opened</w:t>
      </w:r>
      <w:r w:rsidR="00F414EA" w:rsidRPr="00120F6A">
        <w:rPr>
          <w:rFonts w:ascii="Times New Roman" w:hAnsi="Times New Roman" w:cs="Times New Roman"/>
        </w:rPr>
        <w:t xml:space="preserve"> (although it is difficult to see how this was policed)</w:t>
      </w:r>
      <w:r w:rsidR="00C574D0" w:rsidRPr="00120F6A">
        <w:rPr>
          <w:rFonts w:ascii="Times New Roman" w:hAnsi="Times New Roman" w:cs="Times New Roman"/>
        </w:rPr>
        <w:t>. The restric</w:t>
      </w:r>
      <w:r w:rsidR="00F414EA" w:rsidRPr="00120F6A">
        <w:rPr>
          <w:rFonts w:ascii="Times New Roman" w:hAnsi="Times New Roman" w:cs="Times New Roman"/>
        </w:rPr>
        <w:t>ted opening hours of the</w:t>
      </w:r>
      <w:r w:rsidR="00C574D0" w:rsidRPr="00120F6A">
        <w:rPr>
          <w:rFonts w:ascii="Times New Roman" w:hAnsi="Times New Roman" w:cs="Times New Roman"/>
        </w:rPr>
        <w:t xml:space="preserve"> bank</w:t>
      </w:r>
      <w:r w:rsidR="00F414EA" w:rsidRPr="00120F6A">
        <w:rPr>
          <w:rFonts w:ascii="Times New Roman" w:hAnsi="Times New Roman" w:cs="Times New Roman"/>
        </w:rPr>
        <w:t xml:space="preserve">s </w:t>
      </w:r>
      <w:r w:rsidR="00C574D0" w:rsidRPr="00120F6A">
        <w:rPr>
          <w:rFonts w:ascii="Times New Roman" w:hAnsi="Times New Roman" w:cs="Times New Roman"/>
        </w:rPr>
        <w:t>made local account holding likely</w:t>
      </w:r>
      <w:r w:rsidR="00F414EA" w:rsidRPr="00120F6A">
        <w:rPr>
          <w:rFonts w:ascii="Times New Roman" w:hAnsi="Times New Roman" w:cs="Times New Roman"/>
        </w:rPr>
        <w:t xml:space="preserve"> - </w:t>
      </w:r>
      <w:r w:rsidR="00C574D0" w:rsidRPr="00120F6A">
        <w:rPr>
          <w:rFonts w:ascii="Times New Roman" w:hAnsi="Times New Roman" w:cs="Times New Roman"/>
        </w:rPr>
        <w:t>although Limehouse did list a</w:t>
      </w:r>
      <w:r w:rsidR="00415954" w:rsidRPr="00120F6A">
        <w:rPr>
          <w:rFonts w:ascii="Times New Roman" w:hAnsi="Times New Roman" w:cs="Times New Roman"/>
        </w:rPr>
        <w:t xml:space="preserve"> very </w:t>
      </w:r>
      <w:r w:rsidR="00C574D0" w:rsidRPr="00120F6A">
        <w:rPr>
          <w:rFonts w:ascii="Times New Roman" w:hAnsi="Times New Roman" w:cs="Times New Roman"/>
        </w:rPr>
        <w:t xml:space="preserve">occasional account address </w:t>
      </w:r>
      <w:r w:rsidR="00415954" w:rsidRPr="00120F6A">
        <w:rPr>
          <w:rFonts w:ascii="Times New Roman" w:hAnsi="Times New Roman" w:cs="Times New Roman"/>
        </w:rPr>
        <w:t xml:space="preserve">outside of their area. </w:t>
      </w:r>
      <w:r w:rsidR="00AF7A85" w:rsidRPr="00120F6A">
        <w:rPr>
          <w:rFonts w:ascii="Times New Roman" w:hAnsi="Times New Roman" w:cs="Times New Roman"/>
        </w:rPr>
        <w:t xml:space="preserve">The second unexpected difficulty </w:t>
      </w:r>
      <w:r w:rsidR="00F414EA" w:rsidRPr="00120F6A">
        <w:rPr>
          <w:rFonts w:ascii="Times New Roman" w:hAnsi="Times New Roman" w:cs="Times New Roman"/>
        </w:rPr>
        <w:t xml:space="preserve">in matching depositors to census records was </w:t>
      </w:r>
      <w:r w:rsidR="00AF7A85" w:rsidRPr="00120F6A">
        <w:rPr>
          <w:rFonts w:ascii="Times New Roman" w:hAnsi="Times New Roman" w:cs="Times New Roman"/>
        </w:rPr>
        <w:t xml:space="preserve">related to ledger irregularities. Bury renumbered its accounts around 1850. </w:t>
      </w:r>
      <w:r w:rsidR="00AF7A85" w:rsidRPr="00120F6A">
        <w:rPr>
          <w:rStyle w:val="Strong"/>
          <w:rFonts w:ascii="Times New Roman" w:hAnsi="Times New Roman" w:cs="Times New Roman"/>
          <w:b w:val="0"/>
        </w:rPr>
        <w:t>We</w:t>
      </w:r>
      <w:r w:rsidR="00721F5B" w:rsidRPr="00120F6A">
        <w:rPr>
          <w:rStyle w:val="Strong"/>
          <w:rFonts w:ascii="Times New Roman" w:hAnsi="Times New Roman" w:cs="Times New Roman"/>
          <w:b w:val="0"/>
        </w:rPr>
        <w:t xml:space="preserve"> used </w:t>
      </w:r>
      <w:r w:rsidRPr="00120F6A">
        <w:rPr>
          <w:rStyle w:val="Strong"/>
          <w:rFonts w:ascii="Times New Roman" w:hAnsi="Times New Roman" w:cs="Times New Roman"/>
          <w:b w:val="0"/>
        </w:rPr>
        <w:t>the closest year (1855)</w:t>
      </w:r>
      <w:r w:rsidR="004460A2" w:rsidRPr="00120F6A">
        <w:rPr>
          <w:rStyle w:val="Strong"/>
          <w:rFonts w:ascii="Times New Roman" w:hAnsi="Times New Roman" w:cs="Times New Roman"/>
          <w:b w:val="0"/>
        </w:rPr>
        <w:t xml:space="preserve"> that</w:t>
      </w:r>
      <w:r w:rsidRPr="00120F6A">
        <w:rPr>
          <w:rStyle w:val="Strong"/>
          <w:rFonts w:ascii="Times New Roman" w:hAnsi="Times New Roman" w:cs="Times New Roman"/>
          <w:b w:val="0"/>
        </w:rPr>
        <w:t xml:space="preserve"> we could be confident </w:t>
      </w:r>
      <w:r w:rsidR="004460A2" w:rsidRPr="00120F6A">
        <w:rPr>
          <w:rStyle w:val="Strong"/>
          <w:rFonts w:ascii="Times New Roman" w:hAnsi="Times New Roman" w:cs="Times New Roman"/>
          <w:b w:val="0"/>
        </w:rPr>
        <w:t xml:space="preserve">recorded </w:t>
      </w:r>
      <w:r w:rsidRPr="00120F6A">
        <w:rPr>
          <w:rStyle w:val="Strong"/>
          <w:rFonts w:ascii="Times New Roman" w:hAnsi="Times New Roman" w:cs="Times New Roman"/>
          <w:b w:val="0"/>
        </w:rPr>
        <w:t>new depositors rather than renumbered accounts, and then 1865. We chose 1853 for the South Shields data</w:t>
      </w:r>
      <w:r w:rsidR="00AF7A85" w:rsidRPr="00120F6A">
        <w:rPr>
          <w:rStyle w:val="Strong"/>
          <w:rFonts w:ascii="Times New Roman" w:hAnsi="Times New Roman" w:cs="Times New Roman"/>
          <w:b w:val="0"/>
        </w:rPr>
        <w:t>, which was at the end of its available ledgers</w:t>
      </w:r>
      <w:r w:rsidRPr="00120F6A">
        <w:rPr>
          <w:rStyle w:val="Strong"/>
          <w:rFonts w:ascii="Times New Roman" w:hAnsi="Times New Roman" w:cs="Times New Roman"/>
          <w:b w:val="0"/>
        </w:rPr>
        <w:t xml:space="preserve"> and 1863 from the Newcastle accounts to give us a 10-year interval snapshot of savings behaviour in the industrial North East. </w:t>
      </w:r>
    </w:p>
    <w:p w14:paraId="7A3DB132" w14:textId="77777777" w:rsidR="00AF7A85" w:rsidRPr="00120F6A" w:rsidRDefault="00AF7A85" w:rsidP="008D397B">
      <w:pPr>
        <w:pStyle w:val="ListParagraph"/>
        <w:spacing w:line="480" w:lineRule="auto"/>
        <w:ind w:left="0"/>
        <w:jc w:val="both"/>
        <w:rPr>
          <w:rStyle w:val="Strong"/>
          <w:rFonts w:ascii="Times New Roman" w:hAnsi="Times New Roman" w:cs="Times New Roman"/>
          <w:b w:val="0"/>
        </w:rPr>
      </w:pPr>
    </w:p>
    <w:p w14:paraId="2BC3BF4E" w14:textId="77777777" w:rsidR="006539EA" w:rsidRPr="00120F6A" w:rsidRDefault="00AF7A85" w:rsidP="008D397B">
      <w:pPr>
        <w:pStyle w:val="ListParagraph"/>
        <w:spacing w:line="480" w:lineRule="auto"/>
        <w:ind w:left="0"/>
        <w:jc w:val="both"/>
        <w:rPr>
          <w:rStyle w:val="Strong"/>
          <w:rFonts w:ascii="Times New Roman" w:hAnsi="Times New Roman" w:cs="Times New Roman"/>
          <w:b w:val="0"/>
        </w:rPr>
      </w:pPr>
      <w:r w:rsidRPr="00120F6A">
        <w:rPr>
          <w:rStyle w:val="Strong"/>
          <w:rFonts w:ascii="Times New Roman" w:hAnsi="Times New Roman" w:cs="Times New Roman"/>
          <w:b w:val="0"/>
        </w:rPr>
        <w:t>We summarised in</w:t>
      </w:r>
      <w:r w:rsidR="006539EA" w:rsidRPr="00120F6A">
        <w:rPr>
          <w:rStyle w:val="Strong"/>
          <w:rFonts w:ascii="Times New Roman" w:hAnsi="Times New Roman" w:cs="Times New Roman"/>
          <w:b w:val="0"/>
        </w:rPr>
        <w:t>dividual account</w:t>
      </w:r>
      <w:r w:rsidRPr="00120F6A">
        <w:rPr>
          <w:rStyle w:val="Strong"/>
          <w:rFonts w:ascii="Times New Roman" w:hAnsi="Times New Roman" w:cs="Times New Roman"/>
          <w:b w:val="0"/>
        </w:rPr>
        <w:t xml:space="preserve"> behaviour using the </w:t>
      </w:r>
      <w:r w:rsidR="006539EA" w:rsidRPr="00120F6A">
        <w:rPr>
          <w:rStyle w:val="Strong"/>
          <w:rFonts w:ascii="Times New Roman" w:hAnsi="Times New Roman" w:cs="Times New Roman"/>
          <w:b w:val="0"/>
        </w:rPr>
        <w:t>following measures: length of account holding, maximum balance held, number of transactions and notes taken of any additional activity in respect of the account e.g. the addition of a spouse as co-holder or unusual features. We have more detailed data on a total of 4,448 accounts, split in the following way: Newcastle (n=2739), Limehouse (n=732), Bury (n=665) and South Shields (n=312).</w:t>
      </w:r>
    </w:p>
    <w:p w14:paraId="0F8EDBCB" w14:textId="77777777" w:rsidR="006539EA" w:rsidRPr="00120F6A" w:rsidRDefault="006539EA" w:rsidP="00876A6B">
      <w:pPr>
        <w:widowControl w:val="0"/>
        <w:autoSpaceDE w:val="0"/>
        <w:autoSpaceDN w:val="0"/>
        <w:adjustRightInd w:val="0"/>
        <w:spacing w:line="480" w:lineRule="auto"/>
        <w:jc w:val="both"/>
        <w:rPr>
          <w:rFonts w:cs="Times New Roman"/>
          <w:sz w:val="24"/>
        </w:rPr>
      </w:pPr>
      <w:r w:rsidRPr="00120F6A">
        <w:rPr>
          <w:rFonts w:cs="Times New Roman"/>
          <w:sz w:val="24"/>
        </w:rPr>
        <w:tab/>
      </w:r>
    </w:p>
    <w:p w14:paraId="7692C705" w14:textId="2F9E0BBD" w:rsidR="006539EA" w:rsidRPr="00120F6A" w:rsidRDefault="006539EA" w:rsidP="00876A6B">
      <w:pPr>
        <w:spacing w:line="480" w:lineRule="auto"/>
        <w:jc w:val="both"/>
        <w:rPr>
          <w:rFonts w:eastAsia="MS Gothic" w:cs="Times New Roman"/>
          <w:color w:val="000000"/>
          <w:sz w:val="24"/>
        </w:rPr>
      </w:pPr>
      <w:r w:rsidRPr="00120F6A">
        <w:rPr>
          <w:rFonts w:cs="Times New Roman"/>
          <w:sz w:val="24"/>
        </w:rPr>
        <w:t>The coding system for account use is based on the number of total transactions on the account throughout its life. This was the basis of the method used in two surveys undertaken on account usage by the P</w:t>
      </w:r>
      <w:r w:rsidR="00A63024">
        <w:rPr>
          <w:rFonts w:cs="Times New Roman"/>
          <w:sz w:val="24"/>
        </w:rPr>
        <w:t xml:space="preserve">OSB </w:t>
      </w:r>
      <w:r w:rsidRPr="00120F6A">
        <w:rPr>
          <w:rFonts w:cs="Times New Roman"/>
          <w:sz w:val="24"/>
        </w:rPr>
        <w:t xml:space="preserve">in 1930, where accounts were grouped on the basis of having </w:t>
      </w:r>
      <w:r w:rsidRPr="00120F6A">
        <w:rPr>
          <w:rFonts w:eastAsia="MS Gothic" w:cs="Times New Roman"/>
          <w:color w:val="000000"/>
          <w:sz w:val="24"/>
        </w:rPr>
        <w:t>≤ five transactions, ≤ eleven transactions ≥ thirty transactions.</w:t>
      </w:r>
      <w:r w:rsidRPr="00120F6A">
        <w:rPr>
          <w:rStyle w:val="EndnoteReference"/>
          <w:rFonts w:eastAsia="MS Gothic" w:cs="Times New Roman"/>
          <w:color w:val="000000"/>
          <w:sz w:val="24"/>
        </w:rPr>
        <w:endnoteReference w:id="50"/>
      </w:r>
      <w:r w:rsidRPr="00120F6A">
        <w:rPr>
          <w:rFonts w:eastAsia="MS Gothic" w:cs="Times New Roman"/>
          <w:color w:val="000000"/>
          <w:sz w:val="24"/>
        </w:rPr>
        <w:t xml:space="preserve"> However, using total transactions as the criterion for classification results in a one-dimensional picture. Another option is to include the number of years the account is held (which the POSB surveys did </w:t>
      </w:r>
      <w:r w:rsidRPr="00120F6A">
        <w:rPr>
          <w:rFonts w:eastAsia="MS Gothic" w:cs="Times New Roman"/>
          <w:color w:val="000000"/>
          <w:sz w:val="24"/>
        </w:rPr>
        <w:lastRenderedPageBreak/>
        <w:t xml:space="preserve">not), which then is used to provide an indication of average account usage per annum. But again, the calculation of a "transaction per year" score does not indicate how the accounts were used. </w:t>
      </w:r>
    </w:p>
    <w:p w14:paraId="77EA0792" w14:textId="77777777" w:rsidR="004460A2" w:rsidRPr="00120F6A" w:rsidRDefault="004460A2" w:rsidP="00876A6B">
      <w:pPr>
        <w:spacing w:line="480" w:lineRule="auto"/>
        <w:jc w:val="both"/>
        <w:rPr>
          <w:rFonts w:eastAsia="MS Gothic" w:cs="Times New Roman"/>
          <w:color w:val="000000"/>
          <w:sz w:val="24"/>
        </w:rPr>
      </w:pPr>
    </w:p>
    <w:p w14:paraId="68315683" w14:textId="52307D04" w:rsidR="004460A2" w:rsidRPr="00120F6A" w:rsidRDefault="004460A2" w:rsidP="00D362C7">
      <w:pPr>
        <w:autoSpaceDE w:val="0"/>
        <w:autoSpaceDN w:val="0"/>
        <w:adjustRightInd w:val="0"/>
        <w:spacing w:line="480" w:lineRule="auto"/>
        <w:jc w:val="both"/>
        <w:rPr>
          <w:rFonts w:cs="Times New Roman"/>
          <w:sz w:val="24"/>
        </w:rPr>
      </w:pPr>
      <w:r w:rsidRPr="00120F6A">
        <w:rPr>
          <w:rFonts w:eastAsia="MS Gothic" w:cs="Times New Roman"/>
          <w:color w:val="000000"/>
          <w:sz w:val="24"/>
        </w:rPr>
        <w:t xml:space="preserve">Our </w:t>
      </w:r>
      <w:r w:rsidR="0017447C" w:rsidRPr="00120F6A">
        <w:rPr>
          <w:rFonts w:eastAsia="MS Gothic" w:cs="Times New Roman"/>
          <w:color w:val="000000"/>
          <w:sz w:val="24"/>
        </w:rPr>
        <w:t xml:space="preserve">method of categorising </w:t>
      </w:r>
      <w:r w:rsidRPr="00120F6A">
        <w:rPr>
          <w:rFonts w:eastAsia="MS Gothic" w:cs="Times New Roman"/>
          <w:color w:val="000000"/>
          <w:sz w:val="24"/>
        </w:rPr>
        <w:t>saver behaviour does not replicate or extend 19</w:t>
      </w:r>
      <w:r w:rsidRPr="00120F6A">
        <w:rPr>
          <w:rFonts w:eastAsia="MS Gothic" w:cs="Times New Roman"/>
          <w:color w:val="000000"/>
          <w:sz w:val="24"/>
          <w:vertAlign w:val="superscript"/>
        </w:rPr>
        <w:t>th</w:t>
      </w:r>
      <w:r w:rsidRPr="00120F6A">
        <w:rPr>
          <w:rFonts w:eastAsia="MS Gothic" w:cs="Times New Roman"/>
          <w:color w:val="000000"/>
          <w:sz w:val="24"/>
        </w:rPr>
        <w:t xml:space="preserve"> century bank reporting. </w:t>
      </w:r>
      <w:r w:rsidRPr="00120F6A">
        <w:rPr>
          <w:rFonts w:cs="Times New Roman"/>
          <w:sz w:val="24"/>
        </w:rPr>
        <w:t>Neither the savings banks no</w:t>
      </w:r>
      <w:r w:rsidR="00A63024">
        <w:rPr>
          <w:rFonts w:cs="Times New Roman"/>
          <w:sz w:val="24"/>
        </w:rPr>
        <w:t xml:space="preserve">r – later in the century – the POSB </w:t>
      </w:r>
      <w:r w:rsidRPr="00120F6A">
        <w:rPr>
          <w:rFonts w:cs="Times New Roman"/>
          <w:sz w:val="24"/>
        </w:rPr>
        <w:t>reported specifically on the gender and/or marital status of account holders. The focus of 19</w:t>
      </w:r>
      <w:r w:rsidRPr="00120F6A">
        <w:rPr>
          <w:rFonts w:cs="Times New Roman"/>
          <w:sz w:val="24"/>
          <w:vertAlign w:val="superscript"/>
        </w:rPr>
        <w:t>th</w:t>
      </w:r>
      <w:r w:rsidRPr="00120F6A">
        <w:rPr>
          <w:rFonts w:cs="Times New Roman"/>
          <w:sz w:val="24"/>
        </w:rPr>
        <w:t xml:space="preserve"> century institutions immediately after formation – beset, as they were by critics who believed that the generous interest rates attracted the middle classes rather than the thrifty poor – was on providing occupational data of depositors in their defence.</w:t>
      </w:r>
      <w:r w:rsidRPr="00120F6A">
        <w:rPr>
          <w:rStyle w:val="EndnoteReference"/>
          <w:rFonts w:cs="Times New Roman"/>
          <w:sz w:val="24"/>
        </w:rPr>
        <w:endnoteReference w:id="51"/>
      </w:r>
      <w:r w:rsidRPr="00120F6A">
        <w:rPr>
          <w:rFonts w:cs="Times New Roman"/>
          <w:sz w:val="24"/>
        </w:rPr>
        <w:t xml:space="preserve"> </w:t>
      </w:r>
      <w:r w:rsidR="00D362C7" w:rsidRPr="00120F6A">
        <w:rPr>
          <w:rFonts w:cs="Times New Roman"/>
          <w:sz w:val="24"/>
        </w:rPr>
        <w:t xml:space="preserve"> </w:t>
      </w:r>
      <w:r w:rsidRPr="00120F6A">
        <w:rPr>
          <w:rFonts w:cs="Times New Roman"/>
          <w:sz w:val="24"/>
        </w:rPr>
        <w:t xml:space="preserve">The 1857-8 and 1902 House of Commons Select Committees that enquired into the savings bank sector produced overall data on the number of branches and accounts and on average balances. But nothing was said about the conduct of balances e.g. how long were accounts maintained; what was the pattern of deposits and withdrawals; did particular types of saver behave in different ways? It appears that the savings banks were not interested in depositor behaviour once the account had been opened. </w:t>
      </w:r>
    </w:p>
    <w:p w14:paraId="47D0BDC6" w14:textId="77777777" w:rsidR="006539EA" w:rsidRPr="00120F6A" w:rsidRDefault="006539EA" w:rsidP="00876A6B">
      <w:pPr>
        <w:spacing w:line="480" w:lineRule="auto"/>
        <w:jc w:val="both"/>
        <w:rPr>
          <w:rFonts w:eastAsia="MS Gothic" w:cs="Times New Roman"/>
          <w:color w:val="000000"/>
          <w:sz w:val="24"/>
        </w:rPr>
      </w:pPr>
    </w:p>
    <w:p w14:paraId="2E0D3B22" w14:textId="77777777" w:rsidR="004460A2" w:rsidRPr="00120F6A" w:rsidRDefault="006539EA" w:rsidP="00D362C7">
      <w:pPr>
        <w:spacing w:line="480" w:lineRule="auto"/>
        <w:jc w:val="both"/>
        <w:rPr>
          <w:rFonts w:cs="Times New Roman"/>
        </w:rPr>
      </w:pPr>
      <w:r w:rsidRPr="00120F6A">
        <w:rPr>
          <w:rFonts w:eastAsia="MS Gothic" w:cs="Times New Roman"/>
          <w:color w:val="000000"/>
          <w:sz w:val="24"/>
        </w:rPr>
        <w:t xml:space="preserve">In order to identify different types of account usage we removed interest additions by the bank from the total activity count and created a simple set of categories by comparing the number of deposit and withdrawal transactions. By doing so we were able to identify four initial categories of account </w:t>
      </w:r>
      <w:r w:rsidR="00B32EE6" w:rsidRPr="00120F6A">
        <w:rPr>
          <w:rFonts w:eastAsia="MS Gothic" w:cs="Times New Roman"/>
          <w:color w:val="000000"/>
          <w:sz w:val="24"/>
        </w:rPr>
        <w:t xml:space="preserve">use. </w:t>
      </w:r>
      <w:r w:rsidRPr="00120F6A">
        <w:rPr>
          <w:rFonts w:cs="Times New Roman"/>
          <w:sz w:val="24"/>
        </w:rPr>
        <w:t xml:space="preserve">The first account type is characterized by having two transactions in total i.e. an opening deposit and a subsequent withdrawal of the total balance resulting in the closure of the account. We labelled this account type as the "in and out" account. We decided not to make a further distinction in the data between "in and out" accounts that were closed prior to reaching the qualifying date for interest, and those that </w:t>
      </w:r>
      <w:r w:rsidRPr="00120F6A">
        <w:rPr>
          <w:rFonts w:cs="Times New Roman"/>
          <w:sz w:val="24"/>
        </w:rPr>
        <w:lastRenderedPageBreak/>
        <w:t>were closed after accumulating (sometimes several years worth) of interest because we could not be sure that the two account types revealed different intentions of savers past that of putting the money beyond use for a period of time.</w:t>
      </w:r>
      <w:r w:rsidR="00B32EE6" w:rsidRPr="00120F6A">
        <w:rPr>
          <w:rFonts w:cs="Times New Roman"/>
          <w:sz w:val="24"/>
        </w:rPr>
        <w:t xml:space="preserve"> </w:t>
      </w:r>
      <w:r w:rsidRPr="00120F6A">
        <w:rPr>
          <w:rFonts w:cs="Times New Roman"/>
          <w:sz w:val="24"/>
        </w:rPr>
        <w:t xml:space="preserve">The second type of account is one where there is deposit </w:t>
      </w:r>
      <w:r w:rsidRPr="00120F6A">
        <w:rPr>
          <w:rFonts w:cs="Times New Roman"/>
          <w:b/>
          <w:sz w:val="24"/>
        </w:rPr>
        <w:t>and</w:t>
      </w:r>
      <w:r w:rsidRPr="00120F6A">
        <w:rPr>
          <w:rFonts w:cs="Times New Roman"/>
          <w:sz w:val="24"/>
        </w:rPr>
        <w:t xml:space="preserve"> withdrawal activity. We made no distinction in this pilot phase between accounts where the overall trend despite occasional withdrawals was towards accumulation or where the overall trend despite occasional deposits was towards dispersion of funds. As many of the accounts we studies were suggestive of activity related to normal household contingencies we labelled an account with this broad pattern of use as the "contingency account". The third category of account is where there is a series of deposits and then one lump sum withdrawal, presumably when the individual's saving objective has been met. This account usage has been designated as the "accumulating account". </w:t>
      </w:r>
      <w:r w:rsidR="00B32EE6" w:rsidRPr="00120F6A">
        <w:rPr>
          <w:rFonts w:cs="Times New Roman"/>
          <w:sz w:val="24"/>
        </w:rPr>
        <w:t xml:space="preserve"> Finally, t</w:t>
      </w:r>
      <w:r w:rsidRPr="00120F6A">
        <w:rPr>
          <w:rFonts w:cs="Times New Roman"/>
          <w:sz w:val="24"/>
        </w:rPr>
        <w:t>he last category of account</w:t>
      </w:r>
      <w:r w:rsidRPr="00120F6A">
        <w:rPr>
          <w:rStyle w:val="EndnoteReference"/>
          <w:rFonts w:cs="Times New Roman"/>
          <w:sz w:val="24"/>
        </w:rPr>
        <w:endnoteReference w:id="52"/>
      </w:r>
      <w:r w:rsidRPr="00120F6A">
        <w:rPr>
          <w:rFonts w:cs="Times New Roman"/>
          <w:sz w:val="24"/>
        </w:rPr>
        <w:t xml:space="preserve"> is where there is a single lump sum deposit and the customer withdraws money in more than one transaction, depleting the opening balance until the monies are depleted and the account closed.  This is referred to the "draw down account".</w:t>
      </w:r>
    </w:p>
    <w:p w14:paraId="4CA257E6" w14:textId="77777777" w:rsidR="006539EA" w:rsidRPr="00120F6A" w:rsidRDefault="006539EA" w:rsidP="00876A6B">
      <w:pPr>
        <w:spacing w:line="480" w:lineRule="auto"/>
        <w:rPr>
          <w:rFonts w:cs="Times New Roman"/>
          <w:sz w:val="24"/>
          <w:highlight w:val="magenta"/>
        </w:rPr>
      </w:pPr>
    </w:p>
    <w:p w14:paraId="0B12F683" w14:textId="77777777" w:rsidR="006539EA" w:rsidRPr="00601067" w:rsidRDefault="004460A2" w:rsidP="00876A6B">
      <w:pPr>
        <w:spacing w:line="480" w:lineRule="auto"/>
        <w:rPr>
          <w:b/>
          <w:sz w:val="24"/>
        </w:rPr>
      </w:pPr>
      <w:r>
        <w:rPr>
          <w:b/>
          <w:sz w:val="24"/>
        </w:rPr>
        <w:t>Depositor account trends</w:t>
      </w:r>
      <w:r w:rsidR="00CF0848">
        <w:rPr>
          <w:b/>
          <w:sz w:val="24"/>
        </w:rPr>
        <w:t xml:space="preserve"> </w:t>
      </w:r>
    </w:p>
    <w:p w14:paraId="7187BEE7" w14:textId="77777777" w:rsidR="004460A2" w:rsidRDefault="004460A2" w:rsidP="00876A6B">
      <w:pPr>
        <w:shd w:val="clear" w:color="auto" w:fill="FFFFFF"/>
        <w:spacing w:line="480" w:lineRule="auto"/>
        <w:jc w:val="both"/>
        <w:rPr>
          <w:rFonts w:eastAsia="Times New Roman" w:cs="Times New Roman"/>
          <w:color w:val="222222"/>
          <w:sz w:val="24"/>
        </w:rPr>
      </w:pPr>
    </w:p>
    <w:p w14:paraId="7FB39069" w14:textId="77777777" w:rsidR="006539EA" w:rsidRDefault="006539EA" w:rsidP="00876A6B">
      <w:pPr>
        <w:shd w:val="clear" w:color="auto" w:fill="FFFFFF"/>
        <w:spacing w:line="480" w:lineRule="auto"/>
        <w:jc w:val="both"/>
        <w:rPr>
          <w:rFonts w:cs="Times New Roman"/>
          <w:sz w:val="24"/>
        </w:rPr>
      </w:pPr>
      <w:r w:rsidRPr="0070469C">
        <w:rPr>
          <w:rFonts w:eastAsia="Times New Roman" w:cs="Times New Roman"/>
          <w:color w:val="222222"/>
          <w:sz w:val="24"/>
        </w:rPr>
        <w:t xml:space="preserve">Savings banks were not designed to attract </w:t>
      </w:r>
      <w:r w:rsidRPr="00FD65E4">
        <w:rPr>
          <w:rFonts w:eastAsia="Times New Roman" w:cs="Times New Roman"/>
          <w:i/>
          <w:color w:val="222222"/>
          <w:sz w:val="24"/>
        </w:rPr>
        <w:t>very</w:t>
      </w:r>
      <w:r w:rsidRPr="0070469C">
        <w:rPr>
          <w:rFonts w:eastAsia="Times New Roman" w:cs="Times New Roman"/>
          <w:color w:val="222222"/>
          <w:sz w:val="24"/>
        </w:rPr>
        <w:t xml:space="preserve"> small deposits. The minimum deposit was </w:t>
      </w:r>
      <w:r>
        <w:rPr>
          <w:rFonts w:eastAsia="Times New Roman" w:cs="Times New Roman"/>
          <w:color w:val="222222"/>
          <w:sz w:val="24"/>
        </w:rPr>
        <w:t>1s</w:t>
      </w:r>
      <w:r w:rsidRPr="0070469C">
        <w:rPr>
          <w:rFonts w:eastAsia="Times New Roman" w:cs="Times New Roman"/>
          <w:color w:val="222222"/>
          <w:sz w:val="24"/>
        </w:rPr>
        <w:t>;</w:t>
      </w:r>
      <w:r>
        <w:rPr>
          <w:rFonts w:eastAsia="Times New Roman" w:cs="Times New Roman"/>
          <w:color w:val="222222"/>
          <w:sz w:val="24"/>
        </w:rPr>
        <w:t xml:space="preserve"> customers with smaller</w:t>
      </w:r>
      <w:r w:rsidRPr="0070469C">
        <w:rPr>
          <w:rFonts w:eastAsia="Times New Roman" w:cs="Times New Roman"/>
          <w:color w:val="222222"/>
          <w:sz w:val="24"/>
        </w:rPr>
        <w:t xml:space="preserve"> amounts were directed from the mid-century to </w:t>
      </w:r>
      <w:r>
        <w:rPr>
          <w:rFonts w:eastAsia="Times New Roman" w:cs="Times New Roman"/>
          <w:color w:val="222222"/>
          <w:sz w:val="24"/>
        </w:rPr>
        <w:t>"</w:t>
      </w:r>
      <w:r w:rsidRPr="0070469C">
        <w:rPr>
          <w:rFonts w:eastAsia="Times New Roman" w:cs="Times New Roman"/>
          <w:color w:val="222222"/>
          <w:sz w:val="24"/>
        </w:rPr>
        <w:t>penny banks</w:t>
      </w:r>
      <w:r>
        <w:rPr>
          <w:rFonts w:eastAsia="Times New Roman" w:cs="Times New Roman"/>
          <w:color w:val="222222"/>
          <w:sz w:val="24"/>
        </w:rPr>
        <w:t>"</w:t>
      </w:r>
      <w:r w:rsidRPr="0070469C">
        <w:rPr>
          <w:rFonts w:eastAsia="Times New Roman" w:cs="Times New Roman"/>
          <w:color w:val="222222"/>
          <w:sz w:val="24"/>
        </w:rPr>
        <w:t>. The POSB, from its creation in 1861 also attracted the smaller investor. Looking at the data point of 1875</w:t>
      </w:r>
      <w:r w:rsidR="00CF0848">
        <w:rPr>
          <w:rFonts w:eastAsia="Times New Roman" w:cs="Times New Roman"/>
          <w:color w:val="222222"/>
          <w:sz w:val="24"/>
        </w:rPr>
        <w:t>, and using the long run data of Limehouse,</w:t>
      </w:r>
      <w:r w:rsidRPr="0070469C">
        <w:rPr>
          <w:rFonts w:eastAsia="Times New Roman" w:cs="Times New Roman"/>
          <w:color w:val="222222"/>
          <w:sz w:val="24"/>
        </w:rPr>
        <w:t xml:space="preserve"> the difference in the average size of accounts held in savings banks and the P</w:t>
      </w:r>
      <w:r>
        <w:rPr>
          <w:rFonts w:eastAsia="Times New Roman" w:cs="Times New Roman"/>
          <w:color w:val="222222"/>
          <w:sz w:val="24"/>
        </w:rPr>
        <w:t xml:space="preserve">OSB </w:t>
      </w:r>
      <w:r w:rsidRPr="0070469C">
        <w:rPr>
          <w:rFonts w:eastAsia="Times New Roman" w:cs="Times New Roman"/>
          <w:color w:val="222222"/>
          <w:sz w:val="24"/>
        </w:rPr>
        <w:t>is clear. The savings banks had approximately 1.5m savers in total, or an average of 3150 accounts per bank, holding an average balance per account of £29; the P</w:t>
      </w:r>
      <w:r>
        <w:rPr>
          <w:rFonts w:eastAsia="Times New Roman" w:cs="Times New Roman"/>
          <w:color w:val="222222"/>
          <w:sz w:val="24"/>
        </w:rPr>
        <w:t xml:space="preserve">OSB </w:t>
      </w:r>
      <w:r w:rsidRPr="0070469C">
        <w:rPr>
          <w:rFonts w:eastAsia="Times New Roman" w:cs="Times New Roman"/>
          <w:color w:val="222222"/>
          <w:sz w:val="24"/>
        </w:rPr>
        <w:t xml:space="preserve">had 1.8m savers, an average of 338 accounts per branch that held an average balance of £5.45. Although these averages hide considerable variations </w:t>
      </w:r>
      <w:r w:rsidRPr="0070469C">
        <w:rPr>
          <w:rFonts w:eastAsia="Times New Roman" w:cs="Times New Roman"/>
          <w:color w:val="222222"/>
          <w:sz w:val="24"/>
        </w:rPr>
        <w:lastRenderedPageBreak/>
        <w:t>between rural and urban banks and branches they nonetheless suggest that the P</w:t>
      </w:r>
      <w:r>
        <w:rPr>
          <w:rFonts w:eastAsia="Times New Roman" w:cs="Times New Roman"/>
          <w:color w:val="222222"/>
          <w:sz w:val="24"/>
        </w:rPr>
        <w:t xml:space="preserve">OSB </w:t>
      </w:r>
      <w:r w:rsidRPr="0070469C">
        <w:rPr>
          <w:rFonts w:eastAsia="Times New Roman" w:cs="Times New Roman"/>
          <w:color w:val="222222"/>
          <w:sz w:val="24"/>
        </w:rPr>
        <w:t xml:space="preserve">greater geographical spread attracted a greater number of small depositors.  </w:t>
      </w:r>
    </w:p>
    <w:p w14:paraId="26B80CF3" w14:textId="77777777" w:rsidR="006539EA" w:rsidRDefault="006539EA" w:rsidP="00876A6B">
      <w:pPr>
        <w:shd w:val="clear" w:color="auto" w:fill="FFFFFF"/>
        <w:spacing w:line="480" w:lineRule="auto"/>
        <w:jc w:val="both"/>
        <w:rPr>
          <w:rFonts w:asciiTheme="majorHAnsi" w:eastAsia="Times New Roman" w:hAnsiTheme="majorHAnsi" w:cs="Arial"/>
          <w:color w:val="222222"/>
          <w:sz w:val="24"/>
        </w:rPr>
      </w:pPr>
    </w:p>
    <w:p w14:paraId="7DD5830A" w14:textId="77777777" w:rsidR="006539EA" w:rsidRDefault="006539EA" w:rsidP="00876A6B">
      <w:pPr>
        <w:shd w:val="clear" w:color="auto" w:fill="FFFFFF"/>
        <w:spacing w:line="480" w:lineRule="auto"/>
        <w:jc w:val="both"/>
        <w:rPr>
          <w:rFonts w:cs="Times New Roman"/>
          <w:sz w:val="24"/>
        </w:rPr>
      </w:pPr>
      <w:r>
        <w:rPr>
          <w:rFonts w:eastAsia="Times New Roman" w:cs="Times New Roman"/>
          <w:color w:val="222222"/>
          <w:sz w:val="24"/>
        </w:rPr>
        <w:t xml:space="preserve">Limehouse </w:t>
      </w:r>
      <w:r w:rsidRPr="001C1FE9">
        <w:rPr>
          <w:rFonts w:eastAsia="Times New Roman" w:cs="Times New Roman"/>
          <w:color w:val="222222"/>
          <w:sz w:val="24"/>
        </w:rPr>
        <w:t>long run data</w:t>
      </w:r>
      <w:r>
        <w:rPr>
          <w:rFonts w:eastAsia="Times New Roman" w:cs="Times New Roman"/>
          <w:color w:val="222222"/>
          <w:sz w:val="24"/>
        </w:rPr>
        <w:t xml:space="preserve"> (1830-1876) on account growth was compared to national figures on n</w:t>
      </w:r>
      <w:r w:rsidRPr="001C1FE9">
        <w:rPr>
          <w:rFonts w:cs="Times New Roman"/>
          <w:sz w:val="24"/>
        </w:rPr>
        <w:t xml:space="preserve">ational </w:t>
      </w:r>
      <w:r>
        <w:rPr>
          <w:rFonts w:cs="Times New Roman"/>
          <w:sz w:val="24"/>
        </w:rPr>
        <w:t xml:space="preserve">savings bank </w:t>
      </w:r>
      <w:r w:rsidRPr="001C1FE9">
        <w:rPr>
          <w:rFonts w:cs="Times New Roman"/>
          <w:sz w:val="24"/>
        </w:rPr>
        <w:t>depositor</w:t>
      </w:r>
      <w:r>
        <w:rPr>
          <w:rFonts w:cs="Times New Roman"/>
          <w:sz w:val="24"/>
        </w:rPr>
        <w:t xml:space="preserve">s. </w:t>
      </w:r>
      <w:r w:rsidRPr="001C1FE9">
        <w:rPr>
          <w:rFonts w:cs="Times New Roman"/>
          <w:sz w:val="24"/>
        </w:rPr>
        <w:t>The general growth trends are similar – Limehouse experiences a steady growth of depositors from the 1830s to 1850s, with numbers peaking at the end of the 1850s. At the point that competition is introduced in the shape of the POSB the numbers of new accounts reduce but the bank is clearly still attracting substantial numbers of new account holders given the small section of London it serves.</w:t>
      </w:r>
      <w:r>
        <w:rPr>
          <w:rFonts w:cs="Times New Roman"/>
          <w:sz w:val="24"/>
        </w:rPr>
        <w:t xml:space="preserve"> </w:t>
      </w:r>
    </w:p>
    <w:p w14:paraId="031122C1" w14:textId="77777777" w:rsidR="006539EA" w:rsidRDefault="006539EA" w:rsidP="00876A6B">
      <w:pPr>
        <w:shd w:val="clear" w:color="auto" w:fill="FFFFFF"/>
        <w:spacing w:line="480" w:lineRule="auto"/>
        <w:jc w:val="both"/>
        <w:rPr>
          <w:rFonts w:asciiTheme="majorHAnsi" w:eastAsia="Times New Roman" w:hAnsiTheme="majorHAnsi" w:cs="Arial"/>
          <w:color w:val="222222"/>
          <w:sz w:val="24"/>
        </w:rPr>
      </w:pPr>
    </w:p>
    <w:p w14:paraId="436EED00" w14:textId="77777777" w:rsidR="00894C4E" w:rsidRDefault="00894C4E" w:rsidP="00876A6B">
      <w:pPr>
        <w:shd w:val="clear" w:color="auto" w:fill="FFFFFF"/>
        <w:spacing w:line="480" w:lineRule="auto"/>
        <w:jc w:val="both"/>
        <w:rPr>
          <w:rFonts w:asciiTheme="majorHAnsi" w:eastAsia="Times New Roman" w:hAnsiTheme="majorHAnsi" w:cs="Arial"/>
          <w:color w:val="222222"/>
          <w:sz w:val="24"/>
        </w:rPr>
      </w:pPr>
    </w:p>
    <w:p w14:paraId="1186FD42" w14:textId="77777777" w:rsidR="006539EA" w:rsidRPr="00055B9F" w:rsidRDefault="006539EA" w:rsidP="00876A6B">
      <w:pPr>
        <w:shd w:val="clear" w:color="auto" w:fill="FFFFFF"/>
        <w:spacing w:line="480" w:lineRule="auto"/>
        <w:jc w:val="both"/>
        <w:rPr>
          <w:rFonts w:asciiTheme="majorHAnsi" w:eastAsia="Times New Roman" w:hAnsiTheme="majorHAnsi" w:cs="Arial"/>
          <w:color w:val="222222"/>
          <w:sz w:val="24"/>
        </w:rPr>
      </w:pPr>
      <w:r>
        <w:rPr>
          <w:rFonts w:asciiTheme="majorHAnsi" w:eastAsia="Times New Roman" w:hAnsiTheme="majorHAnsi" w:cs="Arial"/>
          <w:color w:val="222222"/>
          <w:sz w:val="24"/>
        </w:rPr>
        <w:t>_____________________</w:t>
      </w:r>
    </w:p>
    <w:p w14:paraId="02AE98CF" w14:textId="77777777" w:rsidR="006539EA" w:rsidRDefault="006539EA" w:rsidP="00876A6B">
      <w:pPr>
        <w:spacing w:line="480" w:lineRule="auto"/>
        <w:jc w:val="both"/>
        <w:rPr>
          <w:rFonts w:cs="Times New Roman"/>
          <w:sz w:val="24"/>
        </w:rPr>
      </w:pPr>
      <w:r>
        <w:rPr>
          <w:rFonts w:cs="Times New Roman"/>
          <w:sz w:val="24"/>
        </w:rPr>
        <w:t>FIGURE 1 GOES HERE</w:t>
      </w:r>
    </w:p>
    <w:p w14:paraId="7F28E9C7" w14:textId="77777777" w:rsidR="006539EA" w:rsidRPr="009C5E7A" w:rsidRDefault="006539EA" w:rsidP="00876A6B">
      <w:pPr>
        <w:spacing w:line="480" w:lineRule="auto"/>
        <w:jc w:val="both"/>
        <w:rPr>
          <w:rFonts w:cs="Times New Roman"/>
          <w:sz w:val="24"/>
        </w:rPr>
      </w:pPr>
      <w:r>
        <w:rPr>
          <w:rFonts w:cs="Times New Roman"/>
          <w:sz w:val="24"/>
        </w:rPr>
        <w:t>_____________________</w:t>
      </w:r>
    </w:p>
    <w:p w14:paraId="5F9D7A6B" w14:textId="77777777" w:rsidR="006539EA" w:rsidRDefault="006539EA" w:rsidP="00876A6B">
      <w:pPr>
        <w:spacing w:line="480" w:lineRule="auto"/>
        <w:jc w:val="both"/>
        <w:rPr>
          <w:rFonts w:eastAsia="Times New Roman" w:cs="Times New Roman"/>
          <w:color w:val="222222"/>
          <w:sz w:val="24"/>
        </w:rPr>
      </w:pPr>
    </w:p>
    <w:p w14:paraId="376E46D8" w14:textId="77777777" w:rsidR="006539EA" w:rsidRDefault="006539EA" w:rsidP="00876A6B">
      <w:pPr>
        <w:spacing w:line="480" w:lineRule="auto"/>
        <w:jc w:val="both"/>
        <w:rPr>
          <w:rFonts w:eastAsia="Times New Roman" w:cs="Times New Roman"/>
          <w:color w:val="222222"/>
          <w:sz w:val="24"/>
        </w:rPr>
      </w:pPr>
      <w:r>
        <w:rPr>
          <w:rFonts w:eastAsia="Times New Roman" w:cs="Times New Roman"/>
          <w:color w:val="222222"/>
          <w:sz w:val="24"/>
        </w:rPr>
        <w:t>Using our more detailed breakdown of the types of depositors that made up the population of savers in Limehouse in this period we can see that adult men were the main category of savers. However, the adult male category is not disaggregated according to marital status in the same way as it is for women. We are able to show a further disaggregation of adult women savers by marital status into widows, married women and single women. The general category of "adult male" prevents us from isolating the savings behaviour of married adults and being able to compare it to unmarried savers.</w:t>
      </w:r>
    </w:p>
    <w:p w14:paraId="1CA09C7F" w14:textId="77777777" w:rsidR="006539EA" w:rsidRDefault="006539EA" w:rsidP="00876A6B">
      <w:pPr>
        <w:spacing w:line="480" w:lineRule="auto"/>
        <w:jc w:val="both"/>
        <w:rPr>
          <w:rFonts w:eastAsia="Times New Roman" w:cs="Times New Roman"/>
          <w:color w:val="222222"/>
          <w:sz w:val="24"/>
        </w:rPr>
      </w:pPr>
    </w:p>
    <w:p w14:paraId="58A06750" w14:textId="77777777" w:rsidR="006539EA" w:rsidRPr="000E0998" w:rsidRDefault="006539EA" w:rsidP="00876A6B">
      <w:pPr>
        <w:spacing w:line="480" w:lineRule="auto"/>
        <w:jc w:val="both"/>
        <w:rPr>
          <w:rFonts w:eastAsia="Times New Roman" w:cs="Times New Roman"/>
          <w:i/>
          <w:color w:val="222222"/>
          <w:sz w:val="24"/>
        </w:rPr>
      </w:pPr>
      <w:r w:rsidRPr="000E0998">
        <w:rPr>
          <w:rFonts w:eastAsia="Times New Roman" w:cs="Times New Roman"/>
          <w:i/>
          <w:color w:val="222222"/>
          <w:sz w:val="24"/>
        </w:rPr>
        <w:t>Effect of the Married Women Property Act 1770</w:t>
      </w:r>
    </w:p>
    <w:p w14:paraId="1CA8443A" w14:textId="77777777" w:rsidR="006539EA" w:rsidRDefault="006539EA" w:rsidP="00876A6B">
      <w:pPr>
        <w:spacing w:line="480" w:lineRule="auto"/>
        <w:jc w:val="both"/>
        <w:rPr>
          <w:rFonts w:eastAsia="Times New Roman" w:cs="Times New Roman"/>
          <w:color w:val="222222"/>
          <w:sz w:val="24"/>
        </w:rPr>
      </w:pPr>
    </w:p>
    <w:p w14:paraId="7E4E2894" w14:textId="3C393FD1" w:rsidR="006539EA" w:rsidRDefault="006539EA" w:rsidP="00876A6B">
      <w:pPr>
        <w:spacing w:line="480" w:lineRule="auto"/>
        <w:jc w:val="both"/>
        <w:rPr>
          <w:rFonts w:eastAsia="Times New Roman" w:cs="Times New Roman"/>
          <w:color w:val="222222"/>
          <w:sz w:val="24"/>
        </w:rPr>
      </w:pPr>
      <w:r w:rsidRPr="008D31A5">
        <w:rPr>
          <w:rFonts w:eastAsia="Times New Roman" w:cs="Times New Roman"/>
          <w:color w:val="222222"/>
          <w:sz w:val="24"/>
        </w:rPr>
        <w:lastRenderedPageBreak/>
        <w:t>The period for which we have long run data from Limehouse about demographic trends encompasses the first of the Married Women Property Ac</w:t>
      </w:r>
      <w:r>
        <w:rPr>
          <w:rFonts w:eastAsia="Times New Roman" w:cs="Times New Roman"/>
          <w:color w:val="222222"/>
          <w:sz w:val="24"/>
        </w:rPr>
        <w:t>ts (MWPA)</w:t>
      </w:r>
      <w:r w:rsidRPr="008D31A5">
        <w:rPr>
          <w:rFonts w:eastAsia="Times New Roman" w:cs="Times New Roman"/>
          <w:color w:val="222222"/>
          <w:sz w:val="24"/>
        </w:rPr>
        <w:t xml:space="preserve">. </w:t>
      </w:r>
      <w:r>
        <w:rPr>
          <w:rFonts w:eastAsia="Times New Roman" w:cs="Times New Roman"/>
          <w:color w:val="222222"/>
          <w:sz w:val="24"/>
        </w:rPr>
        <w:t xml:space="preserve">All deposits made after the MWPA 1870 </w:t>
      </w:r>
      <w:r w:rsidRPr="008D31A5">
        <w:rPr>
          <w:rFonts w:eastAsia="Times New Roman" w:cs="Times New Roman"/>
          <w:color w:val="222222"/>
          <w:sz w:val="24"/>
        </w:rPr>
        <w:t>were declared the separate property of such women</w:t>
      </w:r>
      <w:r>
        <w:rPr>
          <w:rFonts w:eastAsia="Times New Roman" w:cs="Times New Roman"/>
          <w:color w:val="222222"/>
          <w:sz w:val="24"/>
        </w:rPr>
        <w:t xml:space="preserve">. </w:t>
      </w:r>
      <w:r w:rsidRPr="008D31A5">
        <w:rPr>
          <w:rFonts w:eastAsia="Times New Roman" w:cs="Times New Roman"/>
          <w:color w:val="222222"/>
          <w:sz w:val="24"/>
        </w:rPr>
        <w:t>The Spectator noted approvingly that this had “</w:t>
      </w:r>
      <w:r w:rsidRPr="008D31A5">
        <w:rPr>
          <w:rFonts w:eastAsia="Times New Roman" w:cs="Times New Roman"/>
          <w:color w:val="000000"/>
          <w:sz w:val="24"/>
          <w:shd w:val="clear" w:color="auto" w:fill="FFFFFF"/>
        </w:rPr>
        <w:t>tempered the injustice of the ancient law, which gave to a lazy or drunken husband the right to appropriate the fruits of the labour of his wife”</w:t>
      </w:r>
      <w:r w:rsidR="00345793">
        <w:rPr>
          <w:rStyle w:val="EndnoteReference"/>
          <w:rFonts w:eastAsia="Times New Roman" w:cs="Times New Roman"/>
          <w:color w:val="000000"/>
          <w:sz w:val="24"/>
          <w:shd w:val="clear" w:color="auto" w:fill="FFFFFF"/>
        </w:rPr>
        <w:endnoteReference w:id="53"/>
      </w:r>
      <w:r>
        <w:rPr>
          <w:rFonts w:eastAsia="Times New Roman" w:cs="Times New Roman"/>
          <w:color w:val="000000"/>
          <w:sz w:val="24"/>
          <w:shd w:val="clear" w:color="auto" w:fill="FFFFFF"/>
        </w:rPr>
        <w:t>,</w:t>
      </w:r>
      <w:r w:rsidRPr="008D31A5">
        <w:rPr>
          <w:rFonts w:eastAsia="Times New Roman" w:cs="Times New Roman"/>
          <w:color w:val="000000"/>
          <w:sz w:val="24"/>
          <w:shd w:val="clear" w:color="auto" w:fill="FFFFFF"/>
        </w:rPr>
        <w:t xml:space="preserve"> and that the passing of the MWPA meant that women no longer had reason to hide the fact that they saved.</w:t>
      </w:r>
      <w:r w:rsidR="008423D8" w:rsidRPr="008423D8">
        <w:rPr>
          <w:rStyle w:val="EndnoteReference"/>
          <w:rFonts w:eastAsia="Times New Roman" w:cs="Times New Roman"/>
          <w:color w:val="000000"/>
          <w:sz w:val="24"/>
          <w:shd w:val="clear" w:color="auto" w:fill="FFFFFF"/>
        </w:rPr>
        <w:t xml:space="preserve"> </w:t>
      </w:r>
      <w:r w:rsidR="008423D8">
        <w:rPr>
          <w:rStyle w:val="EndnoteReference"/>
          <w:rFonts w:eastAsia="Times New Roman" w:cs="Times New Roman"/>
          <w:color w:val="000000"/>
          <w:sz w:val="24"/>
          <w:shd w:val="clear" w:color="auto" w:fill="FFFFFF"/>
        </w:rPr>
        <w:endnoteReference w:id="54"/>
      </w:r>
      <w:r w:rsidR="008423D8" w:rsidRPr="008D31A5">
        <w:rPr>
          <w:rFonts w:eastAsia="Times New Roman" w:cs="Times New Roman"/>
          <w:color w:val="000000"/>
          <w:sz w:val="24"/>
          <w:shd w:val="clear" w:color="auto" w:fill="FFFFFF"/>
        </w:rPr>
        <w:t xml:space="preserve"> </w:t>
      </w:r>
      <w:r>
        <w:rPr>
          <w:rFonts w:eastAsia="Times New Roman" w:cs="Times New Roman"/>
          <w:color w:val="222222"/>
          <w:sz w:val="24"/>
        </w:rPr>
        <w:t>However,</w:t>
      </w:r>
      <w:r w:rsidRPr="008D31A5">
        <w:rPr>
          <w:rFonts w:eastAsia="Times New Roman" w:cs="Times New Roman"/>
          <w:color w:val="222222"/>
          <w:sz w:val="24"/>
        </w:rPr>
        <w:t xml:space="preserve"> the Savings Bank Act </w:t>
      </w:r>
      <w:r>
        <w:rPr>
          <w:rFonts w:eastAsia="Times New Roman" w:cs="Times New Roman"/>
          <w:color w:val="222222"/>
          <w:sz w:val="24"/>
        </w:rPr>
        <w:t xml:space="preserve">allowed for the operation of </w:t>
      </w:r>
      <w:r w:rsidRPr="008D31A5">
        <w:rPr>
          <w:rFonts w:eastAsia="Times New Roman" w:cs="Times New Roman"/>
          <w:color w:val="222222"/>
          <w:sz w:val="24"/>
        </w:rPr>
        <w:t xml:space="preserve">married women accounts </w:t>
      </w:r>
      <w:r>
        <w:rPr>
          <w:rFonts w:eastAsia="Times New Roman" w:cs="Times New Roman"/>
          <w:color w:val="222222"/>
          <w:sz w:val="24"/>
        </w:rPr>
        <w:t>prior to this date and worked o</w:t>
      </w:r>
      <w:r w:rsidRPr="008D31A5">
        <w:rPr>
          <w:rFonts w:eastAsia="Times New Roman" w:cs="Times New Roman"/>
          <w:color w:val="222222"/>
          <w:sz w:val="24"/>
        </w:rPr>
        <w:t xml:space="preserve">n the default assumption that the women could draw from their account without requiring the consent of their husbands. </w:t>
      </w:r>
      <w:r>
        <w:rPr>
          <w:rFonts w:eastAsia="Times New Roman" w:cs="Times New Roman"/>
          <w:color w:val="222222"/>
          <w:sz w:val="24"/>
        </w:rPr>
        <w:t xml:space="preserve">The same regulations and legislative safeguards were replicated in the formation of the POSB. </w:t>
      </w:r>
      <w:r w:rsidRPr="008D31A5">
        <w:rPr>
          <w:rFonts w:eastAsia="Times New Roman" w:cs="Times New Roman"/>
          <w:color w:val="222222"/>
          <w:sz w:val="24"/>
        </w:rPr>
        <w:t xml:space="preserve">Only if the husband had previously given notice to the bank that the deposit should be paid to him were husbands permitted to draw. </w:t>
      </w:r>
      <w:r>
        <w:rPr>
          <w:rFonts w:eastAsia="Times New Roman" w:cs="Times New Roman"/>
          <w:color w:val="222222"/>
          <w:sz w:val="24"/>
        </w:rPr>
        <w:t>But clerks and trustees did not uniformly understand this regulation and the Limehouse ledgers record instances when the bank refused to release funds to the husband or colluded with the wife to deny the husband access.</w:t>
      </w:r>
      <w:r>
        <w:rPr>
          <w:rStyle w:val="EndnoteReference"/>
          <w:rFonts w:eastAsia="Times New Roman" w:cs="Times New Roman"/>
          <w:color w:val="222222"/>
          <w:sz w:val="24"/>
        </w:rPr>
        <w:endnoteReference w:id="55"/>
      </w:r>
      <w:r>
        <w:rPr>
          <w:rFonts w:eastAsia="Times New Roman" w:cs="Times New Roman"/>
          <w:color w:val="222222"/>
          <w:sz w:val="24"/>
        </w:rPr>
        <w:t xml:space="preserve"> </w:t>
      </w:r>
    </w:p>
    <w:p w14:paraId="1777A8DC" w14:textId="77777777" w:rsidR="006539EA" w:rsidRDefault="006539EA" w:rsidP="00876A6B">
      <w:pPr>
        <w:spacing w:line="480" w:lineRule="auto"/>
        <w:jc w:val="both"/>
        <w:rPr>
          <w:rFonts w:eastAsia="Times New Roman" w:cs="Times New Roman"/>
          <w:color w:val="222222"/>
          <w:sz w:val="24"/>
        </w:rPr>
      </w:pPr>
    </w:p>
    <w:p w14:paraId="6495B365" w14:textId="77777777" w:rsidR="006539EA" w:rsidRDefault="006539EA" w:rsidP="00876A6B">
      <w:pPr>
        <w:spacing w:line="480" w:lineRule="auto"/>
        <w:jc w:val="both"/>
        <w:rPr>
          <w:rFonts w:eastAsia="Times New Roman" w:cs="Times New Roman"/>
          <w:color w:val="222222"/>
          <w:sz w:val="24"/>
        </w:rPr>
      </w:pPr>
      <w:r>
        <w:rPr>
          <w:rFonts w:eastAsia="Times New Roman" w:cs="Times New Roman"/>
          <w:color w:val="222222"/>
          <w:sz w:val="24"/>
        </w:rPr>
        <w:t>________________</w:t>
      </w:r>
    </w:p>
    <w:p w14:paraId="5E1021BA" w14:textId="77777777" w:rsidR="006539EA" w:rsidRDefault="006539EA" w:rsidP="00876A6B">
      <w:pPr>
        <w:spacing w:line="480" w:lineRule="auto"/>
        <w:jc w:val="both"/>
        <w:rPr>
          <w:rFonts w:eastAsia="Times New Roman" w:cs="Times New Roman"/>
          <w:color w:val="222222"/>
          <w:sz w:val="24"/>
        </w:rPr>
      </w:pPr>
      <w:r>
        <w:rPr>
          <w:rFonts w:eastAsia="Times New Roman" w:cs="Times New Roman"/>
          <w:color w:val="222222"/>
          <w:sz w:val="24"/>
        </w:rPr>
        <w:t>TABLE 1 HERE</w:t>
      </w:r>
    </w:p>
    <w:p w14:paraId="2BEAB5F6" w14:textId="77777777" w:rsidR="006539EA" w:rsidRDefault="006539EA" w:rsidP="00876A6B">
      <w:pPr>
        <w:spacing w:line="480" w:lineRule="auto"/>
        <w:jc w:val="both"/>
        <w:rPr>
          <w:rFonts w:eastAsia="Times New Roman" w:cs="Times New Roman"/>
          <w:color w:val="000000"/>
          <w:sz w:val="24"/>
          <w:shd w:val="clear" w:color="auto" w:fill="FFFFFF"/>
        </w:rPr>
      </w:pPr>
      <w:r>
        <w:rPr>
          <w:rFonts w:eastAsia="Times New Roman" w:cs="Times New Roman"/>
          <w:color w:val="222222"/>
          <w:sz w:val="24"/>
        </w:rPr>
        <w:t>________________</w:t>
      </w:r>
    </w:p>
    <w:p w14:paraId="66536C97" w14:textId="77777777" w:rsidR="006539EA" w:rsidRDefault="006539EA" w:rsidP="00876A6B">
      <w:pPr>
        <w:spacing w:line="480" w:lineRule="auto"/>
        <w:jc w:val="both"/>
        <w:rPr>
          <w:rFonts w:eastAsia="Times New Roman" w:cs="Times New Roman"/>
          <w:color w:val="222222"/>
          <w:sz w:val="24"/>
        </w:rPr>
      </w:pPr>
    </w:p>
    <w:p w14:paraId="2979CEF9" w14:textId="77777777" w:rsidR="006539EA" w:rsidRDefault="006539EA" w:rsidP="00876A6B">
      <w:pPr>
        <w:spacing w:line="480" w:lineRule="auto"/>
        <w:jc w:val="both"/>
        <w:rPr>
          <w:rFonts w:eastAsia="Times New Roman" w:cs="Times New Roman"/>
          <w:color w:val="222222"/>
          <w:sz w:val="24"/>
        </w:rPr>
      </w:pPr>
      <w:r w:rsidRPr="00F177CA">
        <w:rPr>
          <w:rFonts w:eastAsia="Times New Roman" w:cs="Times New Roman"/>
          <w:color w:val="222222"/>
          <w:sz w:val="24"/>
        </w:rPr>
        <w:t>The passing of the first M</w:t>
      </w:r>
      <w:r>
        <w:rPr>
          <w:rFonts w:eastAsia="Times New Roman" w:cs="Times New Roman"/>
          <w:color w:val="222222"/>
          <w:sz w:val="24"/>
        </w:rPr>
        <w:t xml:space="preserve">WPA </w:t>
      </w:r>
      <w:r w:rsidRPr="00F177CA">
        <w:rPr>
          <w:rFonts w:eastAsia="Times New Roman" w:cs="Times New Roman"/>
          <w:color w:val="222222"/>
          <w:sz w:val="24"/>
        </w:rPr>
        <w:t>in 1870 is therefore an important analysis point in the national and Limehouse long run data.</w:t>
      </w:r>
      <w:r>
        <w:rPr>
          <w:rFonts w:eastAsia="Times New Roman" w:cs="Times New Roman"/>
          <w:color w:val="222222"/>
          <w:sz w:val="24"/>
        </w:rPr>
        <w:t xml:space="preserve"> </w:t>
      </w:r>
      <w:r w:rsidRPr="00F177CA">
        <w:rPr>
          <w:rFonts w:eastAsia="Times New Roman" w:cs="Times New Roman"/>
          <w:color w:val="222222"/>
          <w:sz w:val="24"/>
        </w:rPr>
        <w:t xml:space="preserve">In research </w:t>
      </w:r>
      <w:r>
        <w:rPr>
          <w:rFonts w:eastAsia="Times New Roman" w:cs="Times New Roman"/>
          <w:color w:val="222222"/>
          <w:sz w:val="24"/>
        </w:rPr>
        <w:t xml:space="preserve">based on the examination of </w:t>
      </w:r>
      <w:r w:rsidRPr="00F177CA">
        <w:rPr>
          <w:rFonts w:eastAsia="Times New Roman" w:cs="Times New Roman"/>
          <w:color w:val="222222"/>
          <w:sz w:val="24"/>
        </w:rPr>
        <w:t>wills left by middle-class women before and after the MWPA Combs</w:t>
      </w:r>
      <w:r w:rsidRPr="00F177CA">
        <w:rPr>
          <w:rStyle w:val="EndnoteReference"/>
          <w:rFonts w:eastAsia="Times New Roman" w:cs="Times New Roman"/>
          <w:color w:val="222222"/>
          <w:sz w:val="24"/>
        </w:rPr>
        <w:endnoteReference w:id="56"/>
      </w:r>
      <w:r w:rsidRPr="00F177CA">
        <w:rPr>
          <w:rFonts w:eastAsia="Times New Roman" w:cs="Times New Roman"/>
          <w:color w:val="222222"/>
          <w:sz w:val="24"/>
        </w:rPr>
        <w:t xml:space="preserve"> was able to identify a changing pattern of the assets held by married women from property to cash. Combs interpreted this as women enjoying a larger share of marital wealth after 1870. </w:t>
      </w:r>
      <w:r>
        <w:rPr>
          <w:rFonts w:eastAsia="Times New Roman" w:cs="Times New Roman"/>
          <w:color w:val="222222"/>
          <w:sz w:val="24"/>
        </w:rPr>
        <w:t xml:space="preserve">We can find no evidence of </w:t>
      </w:r>
      <w:r w:rsidRPr="008D31A5">
        <w:rPr>
          <w:rFonts w:eastAsia="Times New Roman" w:cs="Times New Roman"/>
          <w:color w:val="222222"/>
          <w:sz w:val="24"/>
        </w:rPr>
        <w:t xml:space="preserve">any significant new account activity immediately after 1870 in the national trend data for the </w:t>
      </w:r>
      <w:r>
        <w:rPr>
          <w:rFonts w:eastAsia="Times New Roman" w:cs="Times New Roman"/>
          <w:color w:val="222222"/>
          <w:sz w:val="24"/>
        </w:rPr>
        <w:lastRenderedPageBreak/>
        <w:t xml:space="preserve">savings banks or the Post Office Savings Bank, or in the gender specific data from Limehouse that would suggest that the MWPA had a similar impact on the type or amount of assets married working class women controlled directly or indirectly. </w:t>
      </w:r>
    </w:p>
    <w:p w14:paraId="4105F26F" w14:textId="77777777" w:rsidR="006539EA" w:rsidRDefault="006539EA" w:rsidP="00876A6B">
      <w:pPr>
        <w:spacing w:line="480" w:lineRule="auto"/>
        <w:jc w:val="both"/>
        <w:rPr>
          <w:rFonts w:eastAsia="Times New Roman" w:cs="Times New Roman"/>
          <w:color w:val="222222"/>
          <w:sz w:val="24"/>
        </w:rPr>
      </w:pPr>
    </w:p>
    <w:p w14:paraId="1C326D36" w14:textId="66E00320" w:rsidR="006539EA" w:rsidRDefault="006539EA" w:rsidP="00876A6B">
      <w:pPr>
        <w:spacing w:line="480" w:lineRule="auto"/>
        <w:jc w:val="both"/>
        <w:rPr>
          <w:rFonts w:cs="Times New Roman"/>
          <w:sz w:val="24"/>
        </w:rPr>
      </w:pPr>
      <w:r>
        <w:rPr>
          <w:rFonts w:eastAsia="Times New Roman" w:cs="Times New Roman"/>
          <w:color w:val="000000"/>
          <w:sz w:val="24"/>
          <w:shd w:val="clear" w:color="auto" w:fill="FFFFFF"/>
        </w:rPr>
        <w:t>Forbes' treatise</w:t>
      </w:r>
      <w:r>
        <w:rPr>
          <w:rStyle w:val="EndnoteReference"/>
          <w:rFonts w:eastAsia="Times New Roman" w:cs="Times New Roman"/>
          <w:color w:val="000000"/>
          <w:sz w:val="24"/>
          <w:shd w:val="clear" w:color="auto" w:fill="FFFFFF"/>
        </w:rPr>
        <w:endnoteReference w:id="57"/>
      </w:r>
      <w:r>
        <w:rPr>
          <w:rFonts w:eastAsia="Times New Roman" w:cs="Times New Roman"/>
          <w:color w:val="000000"/>
          <w:sz w:val="24"/>
          <w:shd w:val="clear" w:color="auto" w:fill="FFFFFF"/>
        </w:rPr>
        <w:t xml:space="preserve"> on Savings Banks noted several cases whereby women had kept their savings accounts hidden. But whilst there were undoubtedly cases in each bank where married women banked under their maiden names and/or in different districts in order to maintain control over their own earnings, to keep large numbers of married accounts secret would require subterfuge on a substantial scale. The more likely interpretation is that married women had confidence in the savings banks, as evidenced by the numbers who opened accounts throughout the decades prior to the MWPA</w:t>
      </w:r>
      <w:r w:rsidR="00024B62">
        <w:rPr>
          <w:rFonts w:eastAsia="Times New Roman" w:cs="Times New Roman"/>
          <w:color w:val="000000"/>
          <w:sz w:val="24"/>
          <w:shd w:val="clear" w:color="auto" w:fill="FFFFFF"/>
        </w:rPr>
        <w:t>. Accounts opened by married women increased</w:t>
      </w:r>
      <w:r>
        <w:rPr>
          <w:rFonts w:eastAsia="Times New Roman" w:cs="Times New Roman"/>
          <w:color w:val="000000"/>
          <w:sz w:val="24"/>
          <w:shd w:val="clear" w:color="auto" w:fill="FFFFFF"/>
        </w:rPr>
        <w:t xml:space="preserve"> throughout the 1850s and 1860s</w:t>
      </w:r>
      <w:r>
        <w:rPr>
          <w:rStyle w:val="EndnoteReference"/>
          <w:rFonts w:eastAsia="Times New Roman" w:cs="Times New Roman"/>
          <w:color w:val="000000"/>
          <w:sz w:val="24"/>
          <w:shd w:val="clear" w:color="auto" w:fill="FFFFFF"/>
        </w:rPr>
        <w:endnoteReference w:id="58"/>
      </w:r>
      <w:r w:rsidR="00345793">
        <w:rPr>
          <w:rFonts w:eastAsia="Times New Roman" w:cs="Times New Roman"/>
          <w:color w:val="000000"/>
          <w:sz w:val="24"/>
          <w:shd w:val="clear" w:color="auto" w:fill="FFFFFF"/>
        </w:rPr>
        <w:t xml:space="preserve"> </w:t>
      </w:r>
      <w:r w:rsidR="00024B62">
        <w:rPr>
          <w:rFonts w:eastAsia="Times New Roman" w:cs="Times New Roman"/>
          <w:color w:val="000000"/>
          <w:sz w:val="24"/>
          <w:shd w:val="clear" w:color="auto" w:fill="FFFFFF"/>
        </w:rPr>
        <w:t xml:space="preserve">and complemented other married </w:t>
      </w:r>
      <w:r>
        <w:rPr>
          <w:rFonts w:eastAsia="Times New Roman" w:cs="Times New Roman"/>
          <w:color w:val="000000"/>
          <w:sz w:val="24"/>
          <w:shd w:val="clear" w:color="auto" w:fill="FFFFFF"/>
        </w:rPr>
        <w:t xml:space="preserve">household management strategies. For example, Limehouse permitted the practice of joint married accounts that </w:t>
      </w:r>
      <w:r w:rsidRPr="00E56485">
        <w:rPr>
          <w:rFonts w:cs="Times New Roman"/>
          <w:sz w:val="24"/>
        </w:rPr>
        <w:t>until 1860 constituted an average 4-5% of new accounts opened annually</w:t>
      </w:r>
      <w:r>
        <w:rPr>
          <w:rFonts w:cs="Times New Roman"/>
          <w:sz w:val="24"/>
        </w:rPr>
        <w:t xml:space="preserve">. </w:t>
      </w:r>
      <w:r w:rsidRPr="00E56485">
        <w:rPr>
          <w:rFonts w:cs="Times New Roman"/>
          <w:sz w:val="24"/>
        </w:rPr>
        <w:t xml:space="preserve"> </w:t>
      </w:r>
      <w:r>
        <w:rPr>
          <w:rFonts w:cs="Times New Roman"/>
          <w:sz w:val="24"/>
        </w:rPr>
        <w:t>T</w:t>
      </w:r>
      <w:r w:rsidRPr="00E56485">
        <w:rPr>
          <w:rFonts w:cs="Times New Roman"/>
          <w:sz w:val="24"/>
        </w:rPr>
        <w:t xml:space="preserve">he overall picture presented by the existence of joint married and married </w:t>
      </w:r>
      <w:r>
        <w:rPr>
          <w:rFonts w:cs="Times New Roman"/>
          <w:sz w:val="24"/>
        </w:rPr>
        <w:t>women's</w:t>
      </w:r>
      <w:r w:rsidRPr="00E56485">
        <w:rPr>
          <w:rFonts w:cs="Times New Roman"/>
          <w:sz w:val="24"/>
        </w:rPr>
        <w:t xml:space="preserve"> accounts in such numbers </w:t>
      </w:r>
      <w:r>
        <w:rPr>
          <w:rFonts w:cs="Times New Roman"/>
          <w:sz w:val="24"/>
        </w:rPr>
        <w:t xml:space="preserve">supports the </w:t>
      </w:r>
      <w:r w:rsidRPr="00E56485">
        <w:rPr>
          <w:rFonts w:cs="Times New Roman"/>
          <w:sz w:val="24"/>
        </w:rPr>
        <w:t xml:space="preserve">thesis that decisions about household and individual savings were not exclusively conflictual, and that co-operative </w:t>
      </w:r>
      <w:r>
        <w:rPr>
          <w:rFonts w:cs="Times New Roman"/>
          <w:sz w:val="24"/>
        </w:rPr>
        <w:t>savings strategies were pursued by many couples</w:t>
      </w:r>
      <w:r w:rsidRPr="00E56485">
        <w:rPr>
          <w:rFonts w:cs="Times New Roman"/>
          <w:sz w:val="24"/>
        </w:rPr>
        <w:t xml:space="preserve">.  </w:t>
      </w:r>
    </w:p>
    <w:p w14:paraId="55945EC6" w14:textId="77777777" w:rsidR="006539EA" w:rsidRDefault="006539EA" w:rsidP="00876A6B">
      <w:pPr>
        <w:spacing w:line="480" w:lineRule="auto"/>
        <w:jc w:val="both"/>
        <w:rPr>
          <w:rFonts w:cs="Times New Roman"/>
          <w:sz w:val="24"/>
        </w:rPr>
      </w:pPr>
    </w:p>
    <w:p w14:paraId="3804A793" w14:textId="77777777" w:rsidR="006539EA" w:rsidRPr="000E0998" w:rsidRDefault="006539EA" w:rsidP="00876A6B">
      <w:pPr>
        <w:spacing w:line="480" w:lineRule="auto"/>
        <w:jc w:val="both"/>
        <w:rPr>
          <w:rFonts w:eastAsiaTheme="minorEastAsia" w:cs="Times New Roman"/>
          <w:i/>
          <w:sz w:val="24"/>
        </w:rPr>
      </w:pPr>
      <w:r w:rsidRPr="000E0998">
        <w:rPr>
          <w:rFonts w:eastAsiaTheme="minorEastAsia" w:cs="Times New Roman"/>
          <w:i/>
          <w:sz w:val="24"/>
        </w:rPr>
        <w:t>Account usage trends across all four banks</w:t>
      </w:r>
    </w:p>
    <w:p w14:paraId="259D7D7C" w14:textId="77777777" w:rsidR="006539EA" w:rsidRDefault="006539EA" w:rsidP="00876A6B">
      <w:pPr>
        <w:spacing w:line="480" w:lineRule="auto"/>
        <w:jc w:val="both"/>
        <w:rPr>
          <w:rFonts w:eastAsiaTheme="minorEastAsia" w:cs="Times New Roman"/>
          <w:sz w:val="24"/>
        </w:rPr>
      </w:pPr>
    </w:p>
    <w:p w14:paraId="25E3B1AD" w14:textId="77777777" w:rsidR="006539EA" w:rsidRDefault="006539EA" w:rsidP="00876A6B">
      <w:pPr>
        <w:spacing w:line="480" w:lineRule="auto"/>
        <w:jc w:val="both"/>
        <w:rPr>
          <w:rFonts w:eastAsiaTheme="minorEastAsia" w:cs="Times New Roman"/>
          <w:sz w:val="24"/>
        </w:rPr>
      </w:pPr>
      <w:r>
        <w:rPr>
          <w:rFonts w:eastAsiaTheme="minorEastAsia" w:cs="Times New Roman"/>
          <w:sz w:val="24"/>
        </w:rPr>
        <w:t xml:space="preserve">In the chart below we show the comparison of savings behaviour between the main categories of adult savers. In our sample banks and years adult men held 53% of the adult accounts, and adult women 47% (married women 22%, single women 20% and widows 5% of the total adult accounts). As mentioned previously, the lack of disaggregated data for the </w:t>
      </w:r>
      <w:r>
        <w:rPr>
          <w:rFonts w:eastAsiaTheme="minorEastAsia" w:cs="Times New Roman"/>
          <w:sz w:val="24"/>
        </w:rPr>
        <w:lastRenderedPageBreak/>
        <w:t xml:space="preserve">marital status of men does not allow us to see the representation of married and single men and widowers in the adult male figures. </w:t>
      </w:r>
    </w:p>
    <w:p w14:paraId="2B23F318" w14:textId="77777777" w:rsidR="006539EA" w:rsidRDefault="006539EA" w:rsidP="00876A6B">
      <w:pPr>
        <w:spacing w:line="480" w:lineRule="auto"/>
        <w:jc w:val="both"/>
        <w:rPr>
          <w:rFonts w:eastAsiaTheme="minorEastAsia" w:cs="Times New Roman"/>
          <w:sz w:val="24"/>
        </w:rPr>
      </w:pPr>
    </w:p>
    <w:p w14:paraId="1D31B0DE" w14:textId="77777777" w:rsidR="006539EA" w:rsidRDefault="006539EA" w:rsidP="00876A6B">
      <w:pPr>
        <w:spacing w:line="480" w:lineRule="auto"/>
        <w:jc w:val="both"/>
        <w:rPr>
          <w:rFonts w:eastAsiaTheme="minorEastAsia" w:cs="Times New Roman"/>
          <w:sz w:val="24"/>
        </w:rPr>
      </w:pPr>
      <w:r>
        <w:rPr>
          <w:rFonts w:eastAsiaTheme="minorEastAsia" w:cs="Times New Roman"/>
          <w:sz w:val="24"/>
        </w:rPr>
        <w:t>The most striking feature of the aggregate adult data is the similarities in the account usage between men and women, and between women. Contingency accounts are the most common accounts for all saver categories, with very little difference in the percentage held by adult men, married women and widows. The difference in the contingency account figures for single women is a result of them operating greater numbers of accumulating accounts. The higher number of accumulating accounts held by single women may be a result of the numbers of single women in domestic service. Domestic servants represented a large occupational category in the reports of the savings banks from inception</w:t>
      </w:r>
      <w:r>
        <w:rPr>
          <w:rStyle w:val="EndnoteReference"/>
          <w:rFonts w:eastAsiaTheme="minorEastAsia" w:cs="Times New Roman"/>
          <w:sz w:val="24"/>
        </w:rPr>
        <w:endnoteReference w:id="59"/>
      </w:r>
      <w:r>
        <w:rPr>
          <w:rFonts w:eastAsiaTheme="minorEastAsia" w:cs="Times New Roman"/>
          <w:sz w:val="24"/>
        </w:rPr>
        <w:t xml:space="preserve"> and they continue to be a major category of single women savers in the mid-century period sampled in the data. Domestic servants who lived in with their employers were able to accumulate savings because they did not have to pay rent or subsistence costs out of their wages and time off was restricted. We are cautious of ascribing the savings behaviour of single women to saving for marriage, not least because the depositor ledgers frequently record women carrying savings accounts opened as single women into their marriage and banks merely noting the change of surname. </w:t>
      </w:r>
    </w:p>
    <w:p w14:paraId="165B03A0" w14:textId="77777777" w:rsidR="006539EA" w:rsidRDefault="006539EA" w:rsidP="00876A6B">
      <w:pPr>
        <w:spacing w:line="480" w:lineRule="auto"/>
        <w:rPr>
          <w:rFonts w:eastAsiaTheme="minorEastAsia" w:cs="Times New Roman"/>
          <w:sz w:val="24"/>
        </w:rPr>
      </w:pPr>
    </w:p>
    <w:p w14:paraId="3CA6D5D6" w14:textId="77777777" w:rsidR="006539EA" w:rsidRDefault="006539EA" w:rsidP="00876A6B">
      <w:pPr>
        <w:spacing w:line="480" w:lineRule="auto"/>
      </w:pPr>
      <w:r>
        <w:t>_____________________</w:t>
      </w:r>
    </w:p>
    <w:p w14:paraId="67663BDF" w14:textId="77777777" w:rsidR="006539EA" w:rsidRDefault="006539EA" w:rsidP="00876A6B">
      <w:pPr>
        <w:spacing w:line="480" w:lineRule="auto"/>
      </w:pPr>
      <w:r>
        <w:t>FIGURE 2 GOES HERE</w:t>
      </w:r>
    </w:p>
    <w:p w14:paraId="5813BEA4" w14:textId="77777777" w:rsidR="006539EA" w:rsidRDefault="006539EA" w:rsidP="00876A6B">
      <w:pPr>
        <w:spacing w:line="480" w:lineRule="auto"/>
      </w:pPr>
      <w:r>
        <w:t>______________________</w:t>
      </w:r>
    </w:p>
    <w:p w14:paraId="0885713F" w14:textId="77777777" w:rsidR="006539EA" w:rsidRPr="00E00D0F" w:rsidRDefault="006539EA" w:rsidP="00876A6B">
      <w:pPr>
        <w:spacing w:line="480" w:lineRule="auto"/>
      </w:pPr>
    </w:p>
    <w:p w14:paraId="0256454C" w14:textId="0D0908CE" w:rsidR="006539EA" w:rsidRDefault="006539EA" w:rsidP="00876A6B">
      <w:pPr>
        <w:spacing w:line="480" w:lineRule="auto"/>
        <w:jc w:val="both"/>
        <w:rPr>
          <w:rFonts w:eastAsiaTheme="minorEastAsia" w:cs="Times New Roman"/>
          <w:sz w:val="24"/>
        </w:rPr>
      </w:pPr>
      <w:r>
        <w:rPr>
          <w:rFonts w:eastAsiaTheme="minorEastAsia" w:cs="Times New Roman"/>
          <w:sz w:val="24"/>
        </w:rPr>
        <w:t xml:space="preserve">The other account use category that does show variation between categories of savers is that of the draw down account. Our assumption, on first noticing this distinct account type was that it was largely a mechanisms for supporting "spare" women in the household, e.g. </w:t>
      </w:r>
      <w:r>
        <w:rPr>
          <w:rFonts w:eastAsiaTheme="minorEastAsia" w:cs="Times New Roman"/>
          <w:sz w:val="24"/>
        </w:rPr>
        <w:lastRenderedPageBreak/>
        <w:t xml:space="preserve">widows or unmarried female siblings through allowances. Indeed, the frequency with which the draw down account was seen in relation to widows (23%) earned it the nickname of the "widow's account" in our first scan of the data. However, the draw down account is seen across all saver categories, with married women also holding these accounts at a level slightly above the 9-10% enjoyed by adult men and single women. </w:t>
      </w:r>
      <w:r w:rsidR="00E74D58">
        <w:rPr>
          <w:rFonts w:eastAsiaTheme="minorEastAsia" w:cs="Times New Roman"/>
          <w:sz w:val="24"/>
        </w:rPr>
        <w:t>Gifts and inheritances are both plausible exp</w:t>
      </w:r>
      <w:r w:rsidR="004D4AAE">
        <w:rPr>
          <w:rFonts w:eastAsiaTheme="minorEastAsia" w:cs="Times New Roman"/>
          <w:sz w:val="24"/>
        </w:rPr>
        <w:t xml:space="preserve">lanations, even if it is not possible to be certain of </w:t>
      </w:r>
      <w:r w:rsidR="00345793">
        <w:rPr>
          <w:rFonts w:eastAsiaTheme="minorEastAsia" w:cs="Times New Roman"/>
          <w:sz w:val="24"/>
        </w:rPr>
        <w:t>the origins and motivations of lump sums used to open such accounts</w:t>
      </w:r>
      <w:r w:rsidR="004D4AAE">
        <w:rPr>
          <w:rFonts w:eastAsiaTheme="minorEastAsia" w:cs="Times New Roman"/>
          <w:sz w:val="24"/>
        </w:rPr>
        <w:t>.</w:t>
      </w:r>
      <w:r w:rsidR="004D4AAE">
        <w:rPr>
          <w:rStyle w:val="EndnoteReference"/>
          <w:rFonts w:eastAsiaTheme="minorEastAsia" w:cs="Times New Roman"/>
          <w:sz w:val="24"/>
        </w:rPr>
        <w:endnoteReference w:id="60"/>
      </w:r>
      <w:r w:rsidR="004D4AAE">
        <w:rPr>
          <w:rFonts w:eastAsiaTheme="minorEastAsia" w:cs="Times New Roman"/>
          <w:sz w:val="24"/>
        </w:rPr>
        <w:t xml:space="preserve"> The </w:t>
      </w:r>
      <w:r>
        <w:rPr>
          <w:rFonts w:eastAsiaTheme="minorEastAsia" w:cs="Times New Roman"/>
          <w:sz w:val="24"/>
        </w:rPr>
        <w:t>draw down account remains the most difficult to assign motive or explanation to and is an account type we want to examine in more detail in future research projects using depositor data.</w:t>
      </w:r>
    </w:p>
    <w:p w14:paraId="42AD2C0E" w14:textId="77777777" w:rsidR="006539EA" w:rsidRDefault="006539EA" w:rsidP="00876A6B">
      <w:pPr>
        <w:spacing w:line="480" w:lineRule="auto"/>
        <w:rPr>
          <w:rFonts w:eastAsiaTheme="minorEastAsia" w:cs="Times New Roman"/>
          <w:sz w:val="24"/>
        </w:rPr>
      </w:pPr>
    </w:p>
    <w:p w14:paraId="087FFED1" w14:textId="77777777" w:rsidR="006539EA" w:rsidRDefault="006539EA" w:rsidP="00876A6B">
      <w:pPr>
        <w:spacing w:line="480" w:lineRule="auto"/>
        <w:jc w:val="both"/>
        <w:rPr>
          <w:rFonts w:eastAsiaTheme="minorEastAsia" w:cs="Times New Roman"/>
          <w:sz w:val="24"/>
        </w:rPr>
      </w:pPr>
      <w:r>
        <w:rPr>
          <w:rFonts w:eastAsiaTheme="minorEastAsia" w:cs="Times New Roman"/>
          <w:sz w:val="24"/>
        </w:rPr>
        <w:t>Overall, the account usage categories suggest that adult savers used their accounts in similar, predictable and pragmatic ways to manage their finances. We do not think that it is possible to read on to these figures that particular savings behaviours are a quality or possession of a particular marital status or gender. For example, the data does not appear to support a hypothesis of married women using accounts for specific, segmented savings accumulation using spousal wages, or those of other adult earners in the family. However, in the next section we look in more detail at the different locations and sample financial data to explore the impact of local economic conditions on savings behaviour.</w:t>
      </w:r>
    </w:p>
    <w:p w14:paraId="315F475B" w14:textId="77777777" w:rsidR="006539EA" w:rsidRDefault="006539EA" w:rsidP="00876A6B">
      <w:pPr>
        <w:spacing w:line="480" w:lineRule="auto"/>
        <w:jc w:val="both"/>
        <w:rPr>
          <w:rFonts w:eastAsia="Times New Roman" w:cs="Times New Roman"/>
          <w:i/>
          <w:color w:val="222222"/>
          <w:sz w:val="24"/>
        </w:rPr>
      </w:pPr>
    </w:p>
    <w:p w14:paraId="2F414713" w14:textId="77777777" w:rsidR="006539EA" w:rsidRPr="007F4133" w:rsidRDefault="006539EA" w:rsidP="00876A6B">
      <w:pPr>
        <w:spacing w:line="480" w:lineRule="auto"/>
        <w:jc w:val="both"/>
        <w:rPr>
          <w:rFonts w:eastAsia="Times New Roman" w:cs="Times New Roman"/>
          <w:b/>
          <w:color w:val="222222"/>
          <w:sz w:val="24"/>
        </w:rPr>
      </w:pPr>
      <w:r>
        <w:rPr>
          <w:rFonts w:eastAsia="Times New Roman" w:cs="Times New Roman"/>
          <w:b/>
          <w:color w:val="222222"/>
          <w:sz w:val="24"/>
        </w:rPr>
        <w:t>Sample year data</w:t>
      </w:r>
      <w:r w:rsidR="00831706">
        <w:rPr>
          <w:rFonts w:eastAsia="Times New Roman" w:cs="Times New Roman"/>
          <w:b/>
          <w:color w:val="222222"/>
          <w:sz w:val="24"/>
        </w:rPr>
        <w:t xml:space="preserve"> by bank</w:t>
      </w:r>
    </w:p>
    <w:p w14:paraId="765075A5" w14:textId="77777777" w:rsidR="006539EA" w:rsidRDefault="006539EA" w:rsidP="00876A6B">
      <w:pPr>
        <w:spacing w:line="480" w:lineRule="auto"/>
        <w:jc w:val="both"/>
        <w:rPr>
          <w:rFonts w:cs="Times New Roman"/>
          <w:sz w:val="24"/>
        </w:rPr>
      </w:pPr>
    </w:p>
    <w:p w14:paraId="07BE41AB" w14:textId="77777777" w:rsidR="006539EA" w:rsidRDefault="006539EA" w:rsidP="00876A6B">
      <w:pPr>
        <w:spacing w:line="480" w:lineRule="auto"/>
        <w:jc w:val="both"/>
        <w:rPr>
          <w:rFonts w:eastAsia="Times New Roman" w:cs="Times New Roman"/>
          <w:i/>
          <w:color w:val="222222"/>
          <w:sz w:val="24"/>
        </w:rPr>
      </w:pPr>
      <w:r w:rsidRPr="00600C85">
        <w:rPr>
          <w:rFonts w:eastAsia="Times New Roman" w:cs="Times New Roman"/>
          <w:i/>
          <w:color w:val="222222"/>
          <w:sz w:val="24"/>
        </w:rPr>
        <w:t>Limehouse</w:t>
      </w:r>
      <w:r>
        <w:rPr>
          <w:rFonts w:eastAsia="Times New Roman" w:cs="Times New Roman"/>
          <w:i/>
          <w:color w:val="222222"/>
          <w:sz w:val="24"/>
        </w:rPr>
        <w:t>, London (</w:t>
      </w:r>
      <w:r w:rsidRPr="00600C85">
        <w:rPr>
          <w:rFonts w:eastAsia="Times New Roman" w:cs="Times New Roman"/>
          <w:i/>
          <w:color w:val="222222"/>
          <w:sz w:val="24"/>
        </w:rPr>
        <w:t>1851 and 1861</w:t>
      </w:r>
      <w:r>
        <w:rPr>
          <w:rFonts w:eastAsia="Times New Roman" w:cs="Times New Roman"/>
          <w:i/>
          <w:color w:val="222222"/>
          <w:sz w:val="24"/>
        </w:rPr>
        <w:t>)</w:t>
      </w:r>
    </w:p>
    <w:p w14:paraId="28E9E103" w14:textId="77777777" w:rsidR="006539EA" w:rsidRDefault="006539EA" w:rsidP="00876A6B">
      <w:pPr>
        <w:spacing w:line="480" w:lineRule="auto"/>
        <w:rPr>
          <w:rStyle w:val="highlight"/>
          <w:rFonts w:eastAsia="Times New Roman" w:cs="Times New Roman"/>
          <w:color w:val="333333"/>
        </w:rPr>
      </w:pPr>
    </w:p>
    <w:p w14:paraId="2F6A0A28" w14:textId="77777777" w:rsidR="006539EA" w:rsidRDefault="006539EA" w:rsidP="00876A6B">
      <w:pPr>
        <w:spacing w:line="480" w:lineRule="auto"/>
        <w:rPr>
          <w:rStyle w:val="highlight"/>
          <w:rFonts w:eastAsia="Times New Roman" w:cs="Times New Roman"/>
          <w:color w:val="333333"/>
        </w:rPr>
      </w:pPr>
      <w:r>
        <w:rPr>
          <w:rStyle w:val="highlight"/>
          <w:rFonts w:eastAsia="Times New Roman" w:cs="Times New Roman"/>
          <w:color w:val="333333"/>
        </w:rPr>
        <w:t>_____________________</w:t>
      </w:r>
    </w:p>
    <w:p w14:paraId="121460BF" w14:textId="77777777" w:rsidR="006539EA" w:rsidRDefault="006539EA" w:rsidP="00876A6B">
      <w:pPr>
        <w:spacing w:line="480" w:lineRule="auto"/>
        <w:rPr>
          <w:rStyle w:val="highlight"/>
          <w:rFonts w:eastAsia="Times New Roman" w:cs="Times New Roman"/>
          <w:color w:val="333333"/>
        </w:rPr>
      </w:pPr>
      <w:r>
        <w:rPr>
          <w:rStyle w:val="highlight"/>
          <w:rFonts w:eastAsia="Times New Roman" w:cs="Times New Roman"/>
          <w:color w:val="333333"/>
        </w:rPr>
        <w:t>TABLE 2 GOES HERE</w:t>
      </w:r>
    </w:p>
    <w:p w14:paraId="32D04C6A" w14:textId="77777777" w:rsidR="006539EA" w:rsidRDefault="006539EA" w:rsidP="00876A6B">
      <w:pPr>
        <w:spacing w:line="480" w:lineRule="auto"/>
        <w:rPr>
          <w:rStyle w:val="highlight"/>
          <w:rFonts w:eastAsia="Times New Roman" w:cs="Times New Roman"/>
          <w:color w:val="333333"/>
        </w:rPr>
      </w:pPr>
      <w:r>
        <w:rPr>
          <w:rStyle w:val="highlight"/>
          <w:rFonts w:eastAsia="Times New Roman" w:cs="Times New Roman"/>
          <w:color w:val="333333"/>
        </w:rPr>
        <w:t>_____________________</w:t>
      </w:r>
    </w:p>
    <w:p w14:paraId="7C104DDB" w14:textId="77777777" w:rsidR="006539EA" w:rsidRDefault="006539EA" w:rsidP="00876A6B">
      <w:pPr>
        <w:spacing w:line="480" w:lineRule="auto"/>
        <w:rPr>
          <w:rStyle w:val="highlight"/>
          <w:rFonts w:eastAsia="Times New Roman" w:cs="Times New Roman"/>
          <w:color w:val="333333"/>
        </w:rPr>
      </w:pPr>
    </w:p>
    <w:p w14:paraId="1887B21D" w14:textId="77777777" w:rsidR="006539EA" w:rsidRPr="004412B4" w:rsidRDefault="006539EA" w:rsidP="00876A6B">
      <w:pPr>
        <w:spacing w:line="480" w:lineRule="auto"/>
        <w:jc w:val="both"/>
        <w:rPr>
          <w:rStyle w:val="highlight"/>
          <w:rFonts w:eastAsia="Times New Roman" w:cs="Times New Roman"/>
          <w:color w:val="333333"/>
          <w:sz w:val="24"/>
        </w:rPr>
      </w:pPr>
      <w:r w:rsidRPr="004412B4">
        <w:rPr>
          <w:rStyle w:val="highlight"/>
          <w:rFonts w:eastAsia="Times New Roman" w:cs="Times New Roman"/>
          <w:color w:val="333333"/>
          <w:sz w:val="24"/>
        </w:rPr>
        <w:t xml:space="preserve">Limehouse saver category data matches the sample data trend in adult accounts. For example, in 1851 and (1861) adult male accounts comprise 53% (50%) of new adult accounts, widows 7% (7%), married women 25% (28%) and single women 16% (15%). Married women were more likely to hold savings account in Limehouse than in any other of our sample locations and we attribute this to growing rates of economic participation of women generally in London in this period. </w:t>
      </w:r>
      <w:r w:rsidRPr="004412B4">
        <w:rPr>
          <w:rFonts w:cs="Times New Roman"/>
          <w:sz w:val="24"/>
        </w:rPr>
        <w:t>Research into mapping adult female employment in England using the 1851 census</w:t>
      </w:r>
      <w:r w:rsidRPr="004412B4">
        <w:rPr>
          <w:rStyle w:val="EndnoteReference"/>
          <w:rFonts w:cs="Times New Roman"/>
          <w:sz w:val="24"/>
        </w:rPr>
        <w:endnoteReference w:id="61"/>
      </w:r>
      <w:r w:rsidRPr="004412B4">
        <w:rPr>
          <w:rFonts w:cs="Times New Roman"/>
          <w:sz w:val="24"/>
        </w:rPr>
        <w:t xml:space="preserve"> estimated the rates of regular employment of adult women in the London registration districts that cover the East End to be 20-30%. As it is not clear to what extent irregular employment was recorded in the census the 20-30% figure will likely understate female economic participation rates. Therefore it is reasonable to conclude that the growth in married women accounts broadly reflect growing economic participation rates of all women if they are present in equal numbers in the savings records as adult men. Field and Erickson have suggest that savings bank data is the best indication of the rates of economic participation by married women in the pre-census era, but we would go further and suggest that it might be the best indication of economic participation of adult women in the 19</w:t>
      </w:r>
      <w:r w:rsidRPr="004412B4">
        <w:rPr>
          <w:rFonts w:cs="Times New Roman"/>
          <w:sz w:val="24"/>
          <w:vertAlign w:val="superscript"/>
        </w:rPr>
        <w:t>th</w:t>
      </w:r>
      <w:r w:rsidRPr="004412B4">
        <w:rPr>
          <w:rFonts w:cs="Times New Roman"/>
          <w:sz w:val="24"/>
        </w:rPr>
        <w:t xml:space="preserve"> century post-census.</w:t>
      </w:r>
      <w:r w:rsidRPr="004412B4">
        <w:rPr>
          <w:rStyle w:val="EndnoteReference"/>
          <w:rFonts w:cs="Times New Roman"/>
          <w:sz w:val="24"/>
        </w:rPr>
        <w:endnoteReference w:id="62"/>
      </w:r>
      <w:r w:rsidRPr="004412B4">
        <w:rPr>
          <w:rFonts w:cs="Times New Roman"/>
          <w:sz w:val="24"/>
        </w:rPr>
        <w:t xml:space="preserve"> </w:t>
      </w:r>
    </w:p>
    <w:p w14:paraId="28C8B736" w14:textId="77777777" w:rsidR="006539EA" w:rsidRPr="004412B4" w:rsidRDefault="006539EA" w:rsidP="00876A6B">
      <w:pPr>
        <w:spacing w:line="480" w:lineRule="auto"/>
        <w:jc w:val="both"/>
        <w:rPr>
          <w:rStyle w:val="highlight"/>
          <w:rFonts w:eastAsia="Times New Roman" w:cs="Times New Roman"/>
          <w:color w:val="333333"/>
          <w:sz w:val="24"/>
        </w:rPr>
      </w:pPr>
    </w:p>
    <w:p w14:paraId="372960B1" w14:textId="77777777" w:rsidR="006539EA" w:rsidRPr="004412B4" w:rsidRDefault="006539EA" w:rsidP="00876A6B">
      <w:pPr>
        <w:spacing w:line="480" w:lineRule="auto"/>
        <w:jc w:val="both"/>
        <w:rPr>
          <w:rFonts w:eastAsia="Times New Roman" w:cs="Times New Roman"/>
          <w:color w:val="222222"/>
          <w:sz w:val="24"/>
        </w:rPr>
      </w:pPr>
      <w:r w:rsidRPr="004412B4">
        <w:rPr>
          <w:rStyle w:val="highlight"/>
          <w:rFonts w:eastAsia="Times New Roman" w:cs="Times New Roman"/>
          <w:color w:val="333333"/>
          <w:sz w:val="24"/>
        </w:rPr>
        <w:t>The notable element of the Limehouse figures relates not to the saver categories or account usage types but the average maximum balance held. Maximum average balances were a figure that the banks reported on in the 19</w:t>
      </w:r>
      <w:r w:rsidRPr="004412B4">
        <w:rPr>
          <w:rStyle w:val="highlight"/>
          <w:rFonts w:eastAsia="Times New Roman" w:cs="Times New Roman"/>
          <w:color w:val="333333"/>
          <w:sz w:val="24"/>
          <w:vertAlign w:val="superscript"/>
        </w:rPr>
        <w:t>th</w:t>
      </w:r>
      <w:r w:rsidRPr="004412B4">
        <w:rPr>
          <w:rStyle w:val="highlight"/>
          <w:rFonts w:eastAsia="Times New Roman" w:cs="Times New Roman"/>
          <w:color w:val="333333"/>
          <w:sz w:val="24"/>
        </w:rPr>
        <w:t xml:space="preserve"> century and provide a useful comparator between locations. The average maximum balances held in Limehouse are the lowest of our four sample banks in all categories of savers (except that the max balances of widows in 1851 are higher than widows in South Shields in 1853). The comparatively low maximum balances reflect the Limehouse economy in the 1850-1870 period. </w:t>
      </w:r>
      <w:r w:rsidRPr="004412B4">
        <w:rPr>
          <w:rFonts w:cs="Times New Roman"/>
          <w:sz w:val="24"/>
        </w:rPr>
        <w:t xml:space="preserve">An inadequate level of income was </w:t>
      </w:r>
      <w:r w:rsidRPr="004412B4">
        <w:rPr>
          <w:rFonts w:cs="Times New Roman"/>
          <w:sz w:val="24"/>
        </w:rPr>
        <w:lastRenderedPageBreak/>
        <w:t>a fate that the vast majority of London workers shared throughout the 19</w:t>
      </w:r>
      <w:r w:rsidRPr="004412B4">
        <w:rPr>
          <w:rFonts w:cs="Times New Roman"/>
          <w:sz w:val="24"/>
          <w:vertAlign w:val="superscript"/>
        </w:rPr>
        <w:t>th</w:t>
      </w:r>
      <w:r w:rsidRPr="004412B4">
        <w:rPr>
          <w:rFonts w:cs="Times New Roman"/>
          <w:sz w:val="24"/>
        </w:rPr>
        <w:t xml:space="preserve"> century. The cost of doing business in London was high as there was a premium paid for fuel, transport and premises and this maintained an incessant downward pressure on wage levels</w:t>
      </w:r>
      <w:r>
        <w:rPr>
          <w:rFonts w:cs="Times New Roman"/>
          <w:sz w:val="24"/>
        </w:rPr>
        <w:t>.</w:t>
      </w:r>
      <w:r w:rsidRPr="004412B4">
        <w:rPr>
          <w:rStyle w:val="EndnoteReference"/>
          <w:rFonts w:eastAsia="Times New Roman" w:cs="Times New Roman"/>
          <w:color w:val="333333"/>
          <w:sz w:val="24"/>
        </w:rPr>
        <w:endnoteReference w:id="63"/>
      </w:r>
      <w:r w:rsidRPr="004412B4">
        <w:rPr>
          <w:rFonts w:cs="Times New Roman"/>
          <w:sz w:val="24"/>
        </w:rPr>
        <w:t xml:space="preserve"> The capital attracted a steady stream of skilled and unskilled labour that also acted to keep wages low despite increasing unionization and worker disputes and unrest. White comments that wage levels in the 19</w:t>
      </w:r>
      <w:r w:rsidRPr="004412B4">
        <w:rPr>
          <w:rFonts w:cs="Times New Roman"/>
          <w:sz w:val="24"/>
          <w:vertAlign w:val="superscript"/>
        </w:rPr>
        <w:t>th</w:t>
      </w:r>
      <w:r w:rsidRPr="004412B4">
        <w:rPr>
          <w:rFonts w:cs="Times New Roman"/>
          <w:sz w:val="24"/>
        </w:rPr>
        <w:t xml:space="preserve"> century were such that they allowed very little capacity to save</w:t>
      </w:r>
      <w:r>
        <w:rPr>
          <w:rFonts w:cs="Times New Roman"/>
          <w:sz w:val="24"/>
        </w:rPr>
        <w:t>.</w:t>
      </w:r>
      <w:r w:rsidRPr="004412B4">
        <w:rPr>
          <w:rStyle w:val="EndnoteReference"/>
          <w:rFonts w:cs="Times New Roman"/>
          <w:sz w:val="24"/>
        </w:rPr>
        <w:endnoteReference w:id="64"/>
      </w:r>
      <w:r w:rsidRPr="004412B4">
        <w:rPr>
          <w:rFonts w:cs="Times New Roman"/>
          <w:sz w:val="24"/>
        </w:rPr>
        <w:t xml:space="preserve"> The decline of savings in the</w:t>
      </w:r>
      <w:r w:rsidR="00815D79">
        <w:rPr>
          <w:rFonts w:cs="Times New Roman"/>
          <w:sz w:val="24"/>
        </w:rPr>
        <w:t xml:space="preserve"> period post 1861 </w:t>
      </w:r>
      <w:r w:rsidRPr="004412B4">
        <w:rPr>
          <w:rFonts w:cs="Times New Roman"/>
          <w:sz w:val="24"/>
        </w:rPr>
        <w:t>is most probably the result of the decline in shipbuilding</w:t>
      </w:r>
      <w:r w:rsidR="0035399A">
        <w:rPr>
          <w:rStyle w:val="EndnoteReference"/>
          <w:rFonts w:cs="Times New Roman"/>
          <w:sz w:val="24"/>
        </w:rPr>
        <w:endnoteReference w:id="65"/>
      </w:r>
      <w:r w:rsidRPr="004412B4">
        <w:rPr>
          <w:rFonts w:cs="Times New Roman"/>
          <w:sz w:val="24"/>
        </w:rPr>
        <w:t xml:space="preserve"> that affected allied trades and services</w:t>
      </w:r>
      <w:r w:rsidR="00815D79">
        <w:rPr>
          <w:rFonts w:cs="Times New Roman"/>
          <w:sz w:val="24"/>
        </w:rPr>
        <w:t xml:space="preserve"> </w:t>
      </w:r>
      <w:r w:rsidR="00815D79" w:rsidRPr="004412B4">
        <w:rPr>
          <w:rFonts w:cs="Times New Roman"/>
          <w:sz w:val="24"/>
        </w:rPr>
        <w:t>in the district</w:t>
      </w:r>
      <w:r w:rsidRPr="004412B4">
        <w:rPr>
          <w:rFonts w:cs="Times New Roman"/>
          <w:sz w:val="24"/>
        </w:rPr>
        <w:t>. Additionally, a series of severe winters in the 1860s brought some of the poorer Poor Law Unions in the East End to the point of collapse such were the demands on their funds.</w:t>
      </w:r>
    </w:p>
    <w:p w14:paraId="496F4A7B" w14:textId="77777777" w:rsidR="006539EA" w:rsidRDefault="006539EA" w:rsidP="00876A6B">
      <w:pPr>
        <w:spacing w:line="480" w:lineRule="auto"/>
        <w:jc w:val="both"/>
        <w:rPr>
          <w:rFonts w:eastAsia="Times New Roman" w:cs="Times New Roman"/>
          <w:i/>
          <w:color w:val="222222"/>
          <w:sz w:val="24"/>
        </w:rPr>
      </w:pPr>
    </w:p>
    <w:p w14:paraId="4D8924E7" w14:textId="77777777" w:rsidR="006539EA" w:rsidRDefault="006539EA" w:rsidP="00876A6B">
      <w:pPr>
        <w:spacing w:line="480" w:lineRule="auto"/>
        <w:jc w:val="both"/>
        <w:rPr>
          <w:rFonts w:eastAsia="Times New Roman" w:cs="Times New Roman"/>
          <w:i/>
          <w:color w:val="222222"/>
          <w:sz w:val="24"/>
        </w:rPr>
      </w:pPr>
      <w:r>
        <w:rPr>
          <w:rFonts w:eastAsia="Times New Roman" w:cs="Times New Roman"/>
          <w:i/>
          <w:color w:val="222222"/>
          <w:sz w:val="24"/>
        </w:rPr>
        <w:t>Tyneside (South Shields, 1853 and Newcastle, 1863)</w:t>
      </w:r>
    </w:p>
    <w:p w14:paraId="2159920E" w14:textId="77777777" w:rsidR="006539EA" w:rsidRDefault="006539EA" w:rsidP="00876A6B">
      <w:pPr>
        <w:spacing w:line="480" w:lineRule="auto"/>
        <w:jc w:val="both"/>
        <w:rPr>
          <w:rFonts w:eastAsia="Times New Roman" w:cs="Times New Roman"/>
          <w:i/>
          <w:color w:val="222222"/>
          <w:sz w:val="24"/>
        </w:rPr>
      </w:pPr>
    </w:p>
    <w:p w14:paraId="0444D84A" w14:textId="77777777" w:rsidR="006539EA" w:rsidRPr="002D2F02" w:rsidRDefault="006539EA" w:rsidP="00876A6B">
      <w:pPr>
        <w:spacing w:line="480" w:lineRule="auto"/>
        <w:jc w:val="both"/>
        <w:rPr>
          <w:rFonts w:eastAsia="Times New Roman" w:cs="Times New Roman"/>
          <w:color w:val="222222"/>
          <w:szCs w:val="20"/>
        </w:rPr>
      </w:pPr>
      <w:r w:rsidRPr="002D2F02">
        <w:rPr>
          <w:rFonts w:eastAsia="Times New Roman" w:cs="Times New Roman"/>
          <w:color w:val="222222"/>
          <w:szCs w:val="20"/>
        </w:rPr>
        <w:t>____________________</w:t>
      </w:r>
    </w:p>
    <w:p w14:paraId="602A4102" w14:textId="77777777" w:rsidR="006539EA" w:rsidRPr="002D2F02" w:rsidRDefault="006539EA" w:rsidP="00876A6B">
      <w:pPr>
        <w:spacing w:line="480" w:lineRule="auto"/>
        <w:jc w:val="both"/>
        <w:rPr>
          <w:rFonts w:eastAsia="Times New Roman" w:cs="Times New Roman"/>
          <w:color w:val="222222"/>
          <w:szCs w:val="20"/>
        </w:rPr>
      </w:pPr>
      <w:r w:rsidRPr="002D2F02">
        <w:rPr>
          <w:rFonts w:eastAsia="Times New Roman" w:cs="Times New Roman"/>
          <w:color w:val="222222"/>
          <w:szCs w:val="20"/>
        </w:rPr>
        <w:t>TABLE 3 GOES HERE</w:t>
      </w:r>
    </w:p>
    <w:p w14:paraId="500CD76C" w14:textId="77777777" w:rsidR="006539EA" w:rsidRPr="002D2F02" w:rsidRDefault="006539EA" w:rsidP="00876A6B">
      <w:pPr>
        <w:spacing w:line="480" w:lineRule="auto"/>
        <w:jc w:val="both"/>
        <w:rPr>
          <w:rFonts w:eastAsia="Times New Roman" w:cs="Times New Roman"/>
          <w:color w:val="222222"/>
          <w:szCs w:val="20"/>
        </w:rPr>
      </w:pPr>
      <w:r w:rsidRPr="002D2F02">
        <w:rPr>
          <w:rFonts w:eastAsia="Times New Roman" w:cs="Times New Roman"/>
          <w:color w:val="222222"/>
          <w:szCs w:val="20"/>
        </w:rPr>
        <w:t>____________________</w:t>
      </w:r>
    </w:p>
    <w:p w14:paraId="17B12114" w14:textId="77777777" w:rsidR="006539EA" w:rsidRDefault="006539EA" w:rsidP="00876A6B">
      <w:pPr>
        <w:spacing w:line="480" w:lineRule="auto"/>
        <w:jc w:val="both"/>
        <w:rPr>
          <w:rFonts w:eastAsia="Times New Roman" w:cs="Times New Roman"/>
          <w:i/>
          <w:color w:val="222222"/>
          <w:sz w:val="24"/>
        </w:rPr>
      </w:pPr>
    </w:p>
    <w:p w14:paraId="014EC3C0" w14:textId="77777777" w:rsidR="006539EA" w:rsidRPr="002D2F02" w:rsidRDefault="006539EA" w:rsidP="00876A6B">
      <w:pPr>
        <w:spacing w:line="480" w:lineRule="auto"/>
        <w:jc w:val="both"/>
        <w:rPr>
          <w:sz w:val="24"/>
        </w:rPr>
      </w:pPr>
      <w:r w:rsidRPr="002D2F02">
        <w:rPr>
          <w:sz w:val="24"/>
        </w:rPr>
        <w:t>Two things are immediately apparent in looking at the data for South Shields (1853) and Newcastle (1863). The first is that there is much more variation of average maximum balances across saver categories, with married women accounts holding slightly more on average than adult males in Newcastle and by a significant amount in South Shields. Our more detailed examination of the occupations represented in the married women category in South Shields suggested that mariners</w:t>
      </w:r>
      <w:r>
        <w:rPr>
          <w:sz w:val="24"/>
        </w:rPr>
        <w:t>'</w:t>
      </w:r>
      <w:r w:rsidRPr="002D2F02">
        <w:rPr>
          <w:sz w:val="24"/>
        </w:rPr>
        <w:t xml:space="preserve"> wives were represented in the married women category to the point of being the majority of the married women accounts (53%). We were able to isolate the data from mariners</w:t>
      </w:r>
      <w:r>
        <w:rPr>
          <w:sz w:val="24"/>
        </w:rPr>
        <w:t>'</w:t>
      </w:r>
      <w:r w:rsidRPr="002D2F02">
        <w:rPr>
          <w:sz w:val="24"/>
        </w:rPr>
        <w:t xml:space="preserve"> wives in South Shields and Newcastle (the only other sample bank where they appeared in significant numbers) and also the data of mariner </w:t>
      </w:r>
      <w:r w:rsidRPr="002D2F02">
        <w:rPr>
          <w:sz w:val="24"/>
        </w:rPr>
        <w:lastRenderedPageBreak/>
        <w:t>accounts.  In terms of maximum average account balances, mariners</w:t>
      </w:r>
      <w:r>
        <w:rPr>
          <w:sz w:val="24"/>
        </w:rPr>
        <w:t>'</w:t>
      </w:r>
      <w:r w:rsidRPr="002D2F02">
        <w:rPr>
          <w:sz w:val="24"/>
        </w:rPr>
        <w:t xml:space="preserve"> wives in South Shields have higher balances than all other wives in all other locations as well as all other wives in South Shields. In terms of account activity rates i.e</w:t>
      </w:r>
      <w:r>
        <w:rPr>
          <w:sz w:val="24"/>
        </w:rPr>
        <w:t>.</w:t>
      </w:r>
      <w:r w:rsidRPr="002D2F02">
        <w:rPr>
          <w:sz w:val="24"/>
        </w:rPr>
        <w:t xml:space="preserve"> the total number of deposits and withdrawals, mariners</w:t>
      </w:r>
      <w:r>
        <w:rPr>
          <w:sz w:val="24"/>
        </w:rPr>
        <w:t>'</w:t>
      </w:r>
      <w:r w:rsidRPr="002D2F02">
        <w:rPr>
          <w:sz w:val="24"/>
        </w:rPr>
        <w:t xml:space="preserve"> wives in South Shields have a lower activity rate than other wives in South Shields (an average of 13.6 transactions per account compared to 14.2), but a higher activity rate than non-</w:t>
      </w:r>
      <w:r>
        <w:rPr>
          <w:sz w:val="24"/>
        </w:rPr>
        <w:t>mariners'</w:t>
      </w:r>
      <w:r w:rsidRPr="002D2F02">
        <w:rPr>
          <w:sz w:val="24"/>
        </w:rPr>
        <w:t xml:space="preserve"> wives in all other locations (11.5).</w:t>
      </w:r>
    </w:p>
    <w:p w14:paraId="45B85B2A" w14:textId="77777777" w:rsidR="006539EA" w:rsidRPr="002D2F02" w:rsidRDefault="006539EA" w:rsidP="00876A6B">
      <w:pPr>
        <w:spacing w:line="480" w:lineRule="auto"/>
        <w:rPr>
          <w:sz w:val="24"/>
        </w:rPr>
      </w:pPr>
    </w:p>
    <w:p w14:paraId="4C8E3FDC" w14:textId="77777777" w:rsidR="006539EA" w:rsidRPr="002D2F02" w:rsidRDefault="006539EA" w:rsidP="00876A6B">
      <w:pPr>
        <w:spacing w:line="480" w:lineRule="auto"/>
        <w:jc w:val="both"/>
        <w:rPr>
          <w:sz w:val="24"/>
        </w:rPr>
      </w:pPr>
      <w:r w:rsidRPr="002D2F02">
        <w:rPr>
          <w:sz w:val="24"/>
        </w:rPr>
        <w:t>Tabili</w:t>
      </w:r>
      <w:r>
        <w:rPr>
          <w:sz w:val="24"/>
        </w:rPr>
        <w:t>’</w:t>
      </w:r>
      <w:r w:rsidRPr="002D2F02">
        <w:rPr>
          <w:sz w:val="24"/>
        </w:rPr>
        <w:t>s research on the maritime industry of South Shields suggested that mariners</w:t>
      </w:r>
      <w:r>
        <w:rPr>
          <w:sz w:val="24"/>
        </w:rPr>
        <w:t>'</w:t>
      </w:r>
      <w:r w:rsidRPr="002D2F02">
        <w:rPr>
          <w:sz w:val="24"/>
        </w:rPr>
        <w:t xml:space="preserve"> wives shouldered extraordinary responsibilities in the absence of their husbands at sea, entailing autonomy and being recognised as official intermediaries</w:t>
      </w:r>
      <w:r w:rsidR="00EA15FE">
        <w:rPr>
          <w:sz w:val="24"/>
        </w:rPr>
        <w:t>.</w:t>
      </w:r>
      <w:r w:rsidRPr="002D2F02">
        <w:rPr>
          <w:rStyle w:val="EndnoteReference"/>
          <w:sz w:val="24"/>
        </w:rPr>
        <w:endnoteReference w:id="66"/>
      </w:r>
      <w:r w:rsidRPr="002D2F02">
        <w:rPr>
          <w:sz w:val="24"/>
        </w:rPr>
        <w:t xml:space="preserve"> In similar seafaring communities on the United States Atlantic coast, women were considered </w:t>
      </w:r>
      <w:r>
        <w:rPr>
          <w:sz w:val="24"/>
        </w:rPr>
        <w:t>"</w:t>
      </w:r>
      <w:r w:rsidRPr="002D2F02">
        <w:rPr>
          <w:sz w:val="24"/>
        </w:rPr>
        <w:t>deputy husbands</w:t>
      </w:r>
      <w:r>
        <w:rPr>
          <w:sz w:val="24"/>
        </w:rPr>
        <w:t>"</w:t>
      </w:r>
      <w:r w:rsidRPr="002D2F02">
        <w:rPr>
          <w:sz w:val="24"/>
        </w:rPr>
        <w:t xml:space="preserve"> and business agents with wives settling debts, selling property and paying taxes on behalf of their husbands</w:t>
      </w:r>
      <w:r>
        <w:rPr>
          <w:sz w:val="24"/>
        </w:rPr>
        <w:t>.</w:t>
      </w:r>
      <w:r w:rsidRPr="002D2F02">
        <w:rPr>
          <w:rStyle w:val="EndnoteReference"/>
          <w:sz w:val="24"/>
        </w:rPr>
        <w:endnoteReference w:id="67"/>
      </w:r>
      <w:r w:rsidRPr="002D2F02">
        <w:rPr>
          <w:sz w:val="24"/>
        </w:rPr>
        <w:t xml:space="preserve"> As a result of high desertion and mortality rates in the industry, and the uncertain financial returns to the more junior mariners, business agents of the ship owners were reluctant to release funds except to the wives of the most senior and experienced officers</w:t>
      </w:r>
      <w:r>
        <w:rPr>
          <w:sz w:val="24"/>
        </w:rPr>
        <w:t>.</w:t>
      </w:r>
      <w:r w:rsidRPr="002D2F02">
        <w:rPr>
          <w:rStyle w:val="EndnoteReference"/>
          <w:sz w:val="24"/>
        </w:rPr>
        <w:endnoteReference w:id="68"/>
      </w:r>
      <w:r w:rsidRPr="002D2F02">
        <w:rPr>
          <w:sz w:val="24"/>
        </w:rPr>
        <w:t xml:space="preserve"> The wives of mariners, </w:t>
      </w:r>
      <w:r w:rsidR="00137D87">
        <w:rPr>
          <w:sz w:val="24"/>
        </w:rPr>
        <w:t>as a similar study of the wives of soldiers and sailors in 18</w:t>
      </w:r>
      <w:r w:rsidR="00137D87" w:rsidRPr="00137D87">
        <w:rPr>
          <w:sz w:val="24"/>
          <w:vertAlign w:val="superscript"/>
        </w:rPr>
        <w:t>th</w:t>
      </w:r>
      <w:r w:rsidR="00137D87">
        <w:rPr>
          <w:sz w:val="24"/>
        </w:rPr>
        <w:t xml:space="preserve"> Century London</w:t>
      </w:r>
      <w:r w:rsidR="005776CF">
        <w:rPr>
          <w:rStyle w:val="EndnoteReference"/>
          <w:sz w:val="24"/>
        </w:rPr>
        <w:endnoteReference w:id="69"/>
      </w:r>
      <w:r w:rsidR="00137D87">
        <w:rPr>
          <w:sz w:val="24"/>
        </w:rPr>
        <w:t xml:space="preserve"> also showed, were largely left to their own resources and </w:t>
      </w:r>
      <w:r w:rsidRPr="002D2F02">
        <w:rPr>
          <w:sz w:val="24"/>
        </w:rPr>
        <w:t>ran boarding houses</w:t>
      </w:r>
      <w:r w:rsidR="00137D87">
        <w:rPr>
          <w:sz w:val="24"/>
        </w:rPr>
        <w:t xml:space="preserve"> and alehouses</w:t>
      </w:r>
      <w:r w:rsidRPr="002D2F02">
        <w:rPr>
          <w:sz w:val="24"/>
        </w:rPr>
        <w:t>, took in lodgers</w:t>
      </w:r>
      <w:r w:rsidR="00137D87">
        <w:rPr>
          <w:sz w:val="24"/>
        </w:rPr>
        <w:t xml:space="preserve"> and laundry</w:t>
      </w:r>
      <w:r w:rsidRPr="002D2F02">
        <w:rPr>
          <w:sz w:val="24"/>
        </w:rPr>
        <w:t xml:space="preserve">, </w:t>
      </w:r>
      <w:r w:rsidR="00137D87">
        <w:rPr>
          <w:sz w:val="24"/>
        </w:rPr>
        <w:t xml:space="preserve">nursed children and </w:t>
      </w:r>
      <w:r w:rsidRPr="002D2F02">
        <w:rPr>
          <w:sz w:val="24"/>
        </w:rPr>
        <w:t>sewed clothing</w:t>
      </w:r>
      <w:r w:rsidR="00137D87">
        <w:rPr>
          <w:sz w:val="24"/>
        </w:rPr>
        <w:t xml:space="preserve">. </w:t>
      </w:r>
      <w:r w:rsidRPr="002D2F02">
        <w:rPr>
          <w:sz w:val="24"/>
        </w:rPr>
        <w:t xml:space="preserve"> </w:t>
      </w:r>
      <w:r w:rsidR="00137D87">
        <w:rPr>
          <w:sz w:val="24"/>
        </w:rPr>
        <w:t xml:space="preserve">The wives </w:t>
      </w:r>
      <w:r w:rsidRPr="002D2F02">
        <w:rPr>
          <w:sz w:val="24"/>
        </w:rPr>
        <w:t>maintained explicit separate work identities whilst managing the financial affairs of their husbands in ways that enabled them to sustain not only their households, but also the maritime industry</w:t>
      </w:r>
      <w:r>
        <w:rPr>
          <w:sz w:val="24"/>
        </w:rPr>
        <w:t>.</w:t>
      </w:r>
      <w:r w:rsidRPr="002D2F02">
        <w:rPr>
          <w:rStyle w:val="EndnoteReference"/>
          <w:sz w:val="24"/>
        </w:rPr>
        <w:endnoteReference w:id="70"/>
      </w:r>
      <w:r w:rsidR="00137D87">
        <w:rPr>
          <w:sz w:val="24"/>
        </w:rPr>
        <w:t xml:space="preserve"> </w:t>
      </w:r>
      <w:r w:rsidR="005776CF">
        <w:rPr>
          <w:sz w:val="24"/>
        </w:rPr>
        <w:t>The wives of colliers in the North East of England employed similar complex strategies for married women to contribute to household income in this time period.</w:t>
      </w:r>
    </w:p>
    <w:p w14:paraId="0834CBEB" w14:textId="77777777" w:rsidR="006539EA" w:rsidRDefault="006539EA" w:rsidP="00876A6B">
      <w:pPr>
        <w:spacing w:line="480" w:lineRule="auto"/>
        <w:jc w:val="both"/>
        <w:rPr>
          <w:sz w:val="24"/>
        </w:rPr>
      </w:pPr>
    </w:p>
    <w:p w14:paraId="6C7FA68C" w14:textId="77777777" w:rsidR="006539EA" w:rsidRPr="002D2F02" w:rsidRDefault="006539EA" w:rsidP="00876A6B">
      <w:pPr>
        <w:spacing w:line="480" w:lineRule="auto"/>
        <w:jc w:val="both"/>
        <w:rPr>
          <w:sz w:val="24"/>
        </w:rPr>
      </w:pPr>
      <w:r w:rsidRPr="002D2F02">
        <w:rPr>
          <w:sz w:val="24"/>
        </w:rPr>
        <w:t xml:space="preserve">The pattern of single </w:t>
      </w:r>
      <w:r>
        <w:rPr>
          <w:sz w:val="24"/>
        </w:rPr>
        <w:t>women's</w:t>
      </w:r>
      <w:r w:rsidRPr="002D2F02">
        <w:rPr>
          <w:sz w:val="24"/>
        </w:rPr>
        <w:t xml:space="preserve"> savings in South Shields share similarities with the married women accounts in Bury i.e. a small number of accumulating accounts holding relatively </w:t>
      </w:r>
      <w:r w:rsidRPr="002D2F02">
        <w:rPr>
          <w:sz w:val="24"/>
        </w:rPr>
        <w:lastRenderedPageBreak/>
        <w:t xml:space="preserve">high maximum balances, but not with the single women accounts in London. Although not represented in the table, the </w:t>
      </w:r>
      <w:r w:rsidRPr="002D2F02">
        <w:rPr>
          <w:i/>
          <w:sz w:val="24"/>
        </w:rPr>
        <w:t>joint account</w:t>
      </w:r>
      <w:r w:rsidRPr="002D2F02">
        <w:rPr>
          <w:sz w:val="24"/>
        </w:rPr>
        <w:t xml:space="preserve"> average maximum balance in Newcastle in 1863 also stand out, being double those seen in the same sort of accounts in London for the same period. </w:t>
      </w:r>
    </w:p>
    <w:p w14:paraId="78254131" w14:textId="77777777" w:rsidR="006539EA" w:rsidRDefault="006539EA" w:rsidP="00876A6B">
      <w:pPr>
        <w:spacing w:line="480" w:lineRule="auto"/>
        <w:jc w:val="both"/>
        <w:rPr>
          <w:rFonts w:eastAsia="Times New Roman" w:cs="Times New Roman"/>
          <w:i/>
          <w:color w:val="222222"/>
          <w:sz w:val="24"/>
        </w:rPr>
      </w:pPr>
    </w:p>
    <w:p w14:paraId="4842EA37" w14:textId="77777777" w:rsidR="006539EA" w:rsidRDefault="006539EA" w:rsidP="00876A6B">
      <w:pPr>
        <w:spacing w:line="480" w:lineRule="auto"/>
        <w:jc w:val="both"/>
        <w:rPr>
          <w:rFonts w:eastAsia="Times New Roman" w:cs="Times New Roman"/>
          <w:i/>
          <w:color w:val="222222"/>
          <w:sz w:val="24"/>
        </w:rPr>
      </w:pPr>
      <w:r>
        <w:rPr>
          <w:rFonts w:eastAsia="Times New Roman" w:cs="Times New Roman"/>
          <w:i/>
          <w:color w:val="222222"/>
          <w:sz w:val="24"/>
        </w:rPr>
        <w:t>Bury (1855 and 1865)</w:t>
      </w:r>
    </w:p>
    <w:p w14:paraId="4A200BBC" w14:textId="77777777" w:rsidR="006539EA" w:rsidRDefault="006539EA" w:rsidP="00876A6B">
      <w:pPr>
        <w:spacing w:line="480" w:lineRule="auto"/>
        <w:jc w:val="both"/>
        <w:rPr>
          <w:rFonts w:cs="Times New Roman"/>
          <w:sz w:val="24"/>
        </w:rPr>
      </w:pPr>
    </w:p>
    <w:p w14:paraId="4A6EF746" w14:textId="77777777" w:rsidR="006539EA" w:rsidRPr="002D2F02" w:rsidRDefault="006539EA" w:rsidP="00876A6B">
      <w:pPr>
        <w:spacing w:line="480" w:lineRule="auto"/>
        <w:jc w:val="both"/>
        <w:rPr>
          <w:rFonts w:eastAsia="Times New Roman" w:cs="Times New Roman"/>
          <w:color w:val="222222"/>
          <w:szCs w:val="20"/>
        </w:rPr>
      </w:pPr>
      <w:r w:rsidRPr="002D2F02">
        <w:rPr>
          <w:rFonts w:eastAsia="Times New Roman" w:cs="Times New Roman"/>
          <w:color w:val="222222"/>
          <w:szCs w:val="20"/>
        </w:rPr>
        <w:t>____________________</w:t>
      </w:r>
    </w:p>
    <w:p w14:paraId="1E111950" w14:textId="77777777" w:rsidR="006539EA" w:rsidRPr="002D2F02" w:rsidRDefault="006539EA" w:rsidP="00876A6B">
      <w:pPr>
        <w:spacing w:line="480" w:lineRule="auto"/>
        <w:jc w:val="both"/>
        <w:rPr>
          <w:rFonts w:eastAsia="Times New Roman" w:cs="Times New Roman"/>
          <w:color w:val="222222"/>
          <w:szCs w:val="20"/>
        </w:rPr>
      </w:pPr>
      <w:r>
        <w:rPr>
          <w:rFonts w:eastAsia="Times New Roman" w:cs="Times New Roman"/>
          <w:color w:val="222222"/>
          <w:szCs w:val="20"/>
        </w:rPr>
        <w:t>TABLE 4</w:t>
      </w:r>
      <w:r w:rsidRPr="002D2F02">
        <w:rPr>
          <w:rFonts w:eastAsia="Times New Roman" w:cs="Times New Roman"/>
          <w:color w:val="222222"/>
          <w:szCs w:val="20"/>
        </w:rPr>
        <w:t xml:space="preserve"> GOES HERE</w:t>
      </w:r>
    </w:p>
    <w:p w14:paraId="1104E696" w14:textId="77777777" w:rsidR="006539EA" w:rsidRPr="002D2F02" w:rsidRDefault="006539EA" w:rsidP="00876A6B">
      <w:pPr>
        <w:spacing w:line="480" w:lineRule="auto"/>
        <w:jc w:val="both"/>
        <w:rPr>
          <w:rFonts w:eastAsia="Times New Roman" w:cs="Times New Roman"/>
          <w:color w:val="222222"/>
          <w:szCs w:val="20"/>
        </w:rPr>
      </w:pPr>
      <w:r w:rsidRPr="002D2F02">
        <w:rPr>
          <w:rFonts w:eastAsia="Times New Roman" w:cs="Times New Roman"/>
          <w:color w:val="222222"/>
          <w:szCs w:val="20"/>
        </w:rPr>
        <w:t>____________________</w:t>
      </w:r>
    </w:p>
    <w:p w14:paraId="040EB7C7" w14:textId="77777777" w:rsidR="006539EA" w:rsidRDefault="006539EA" w:rsidP="00876A6B">
      <w:pPr>
        <w:spacing w:line="480" w:lineRule="auto"/>
        <w:jc w:val="both"/>
        <w:rPr>
          <w:rFonts w:cs="Times New Roman"/>
          <w:sz w:val="24"/>
        </w:rPr>
      </w:pPr>
    </w:p>
    <w:p w14:paraId="43ACF202" w14:textId="77777777" w:rsidR="006539EA" w:rsidRDefault="006539EA" w:rsidP="00876A6B">
      <w:pPr>
        <w:spacing w:line="480" w:lineRule="auto"/>
        <w:jc w:val="both"/>
        <w:rPr>
          <w:rStyle w:val="highlight"/>
          <w:rFonts w:eastAsia="Times New Roman" w:cs="Times New Roman"/>
          <w:color w:val="333333"/>
          <w:sz w:val="24"/>
        </w:rPr>
      </w:pPr>
      <w:r>
        <w:rPr>
          <w:rFonts w:cs="Times New Roman"/>
          <w:sz w:val="24"/>
        </w:rPr>
        <w:t>Bury in 1855 is the outlier in terms of the dominance of the adult male category in 1855, a</w:t>
      </w:r>
      <w:r w:rsidR="00E42F3F">
        <w:rPr>
          <w:rFonts w:cs="Times New Roman"/>
          <w:sz w:val="24"/>
        </w:rPr>
        <w:t>n</w:t>
      </w:r>
      <w:r>
        <w:rPr>
          <w:rFonts w:cs="Times New Roman"/>
          <w:sz w:val="24"/>
        </w:rPr>
        <w:t xml:space="preserve">d also notable for the low number of married women accounts against single women accounts. </w:t>
      </w:r>
      <w:r>
        <w:rPr>
          <w:rStyle w:val="highlight"/>
          <w:rFonts w:eastAsia="Times New Roman" w:cs="Times New Roman"/>
          <w:color w:val="333333"/>
          <w:sz w:val="24"/>
        </w:rPr>
        <w:t>Adult male accounts comprise 57</w:t>
      </w:r>
      <w:r w:rsidRPr="004412B4">
        <w:rPr>
          <w:rStyle w:val="highlight"/>
          <w:rFonts w:eastAsia="Times New Roman" w:cs="Times New Roman"/>
          <w:color w:val="333333"/>
          <w:sz w:val="24"/>
        </w:rPr>
        <w:t>%</w:t>
      </w:r>
      <w:r>
        <w:rPr>
          <w:rStyle w:val="highlight"/>
          <w:rFonts w:eastAsia="Times New Roman" w:cs="Times New Roman"/>
          <w:color w:val="333333"/>
          <w:sz w:val="24"/>
        </w:rPr>
        <w:t xml:space="preserve"> (49</w:t>
      </w:r>
      <w:r w:rsidRPr="004412B4">
        <w:rPr>
          <w:rStyle w:val="highlight"/>
          <w:rFonts w:eastAsia="Times New Roman" w:cs="Times New Roman"/>
          <w:color w:val="333333"/>
          <w:sz w:val="24"/>
        </w:rPr>
        <w:t xml:space="preserve">%) of new adult accounts, widows </w:t>
      </w:r>
      <w:r>
        <w:rPr>
          <w:rStyle w:val="highlight"/>
          <w:rFonts w:eastAsia="Times New Roman" w:cs="Times New Roman"/>
          <w:color w:val="333333"/>
          <w:sz w:val="24"/>
        </w:rPr>
        <w:t>4% (2</w:t>
      </w:r>
      <w:r w:rsidRPr="004412B4">
        <w:rPr>
          <w:rStyle w:val="highlight"/>
          <w:rFonts w:eastAsia="Times New Roman" w:cs="Times New Roman"/>
          <w:color w:val="333333"/>
          <w:sz w:val="24"/>
        </w:rPr>
        <w:t>%), married wo</w:t>
      </w:r>
      <w:r>
        <w:rPr>
          <w:rStyle w:val="highlight"/>
          <w:rFonts w:eastAsia="Times New Roman" w:cs="Times New Roman"/>
          <w:color w:val="333333"/>
          <w:sz w:val="24"/>
        </w:rPr>
        <w:t>men 9</w:t>
      </w:r>
      <w:r w:rsidRPr="004412B4">
        <w:rPr>
          <w:rStyle w:val="highlight"/>
          <w:rFonts w:eastAsia="Times New Roman" w:cs="Times New Roman"/>
          <w:color w:val="333333"/>
          <w:sz w:val="24"/>
        </w:rPr>
        <w:t>% (</w:t>
      </w:r>
      <w:r>
        <w:rPr>
          <w:rStyle w:val="highlight"/>
          <w:rFonts w:eastAsia="Times New Roman" w:cs="Times New Roman"/>
          <w:color w:val="333333"/>
          <w:sz w:val="24"/>
        </w:rPr>
        <w:t>17</w:t>
      </w:r>
      <w:r w:rsidRPr="004412B4">
        <w:rPr>
          <w:rStyle w:val="highlight"/>
          <w:rFonts w:eastAsia="Times New Roman" w:cs="Times New Roman"/>
          <w:color w:val="333333"/>
          <w:sz w:val="24"/>
        </w:rPr>
        <w:t xml:space="preserve">%) and single women </w:t>
      </w:r>
      <w:r>
        <w:rPr>
          <w:rStyle w:val="highlight"/>
          <w:rFonts w:eastAsia="Times New Roman" w:cs="Times New Roman"/>
          <w:color w:val="333333"/>
          <w:sz w:val="24"/>
        </w:rPr>
        <w:t>30</w:t>
      </w:r>
      <w:r w:rsidRPr="004412B4">
        <w:rPr>
          <w:rStyle w:val="highlight"/>
          <w:rFonts w:eastAsia="Times New Roman" w:cs="Times New Roman"/>
          <w:color w:val="333333"/>
          <w:sz w:val="24"/>
        </w:rPr>
        <w:t>% (</w:t>
      </w:r>
      <w:r>
        <w:rPr>
          <w:rStyle w:val="highlight"/>
          <w:rFonts w:eastAsia="Times New Roman" w:cs="Times New Roman"/>
          <w:color w:val="333333"/>
          <w:sz w:val="24"/>
        </w:rPr>
        <w:t>32</w:t>
      </w:r>
      <w:r w:rsidRPr="004412B4">
        <w:rPr>
          <w:rStyle w:val="highlight"/>
          <w:rFonts w:eastAsia="Times New Roman" w:cs="Times New Roman"/>
          <w:color w:val="333333"/>
          <w:sz w:val="24"/>
        </w:rPr>
        <w:t>%).</w:t>
      </w:r>
      <w:r>
        <w:rPr>
          <w:rStyle w:val="highlight"/>
          <w:rFonts w:eastAsia="Times New Roman" w:cs="Times New Roman"/>
          <w:color w:val="333333"/>
          <w:sz w:val="24"/>
        </w:rPr>
        <w:t xml:space="preserve"> Also notable, although not following any discernable pattern is the high maximum average balances held by the married women in 1865.</w:t>
      </w:r>
    </w:p>
    <w:p w14:paraId="5CCD10B7" w14:textId="77777777" w:rsidR="006539EA" w:rsidRDefault="006539EA" w:rsidP="00876A6B">
      <w:pPr>
        <w:spacing w:line="480" w:lineRule="auto"/>
        <w:jc w:val="both"/>
        <w:rPr>
          <w:rStyle w:val="highlight"/>
          <w:rFonts w:eastAsia="Times New Roman" w:cs="Times New Roman"/>
          <w:color w:val="333333"/>
          <w:sz w:val="24"/>
        </w:rPr>
      </w:pPr>
    </w:p>
    <w:p w14:paraId="42071C17" w14:textId="77777777" w:rsidR="006539EA" w:rsidRDefault="006539EA" w:rsidP="00876A6B">
      <w:pPr>
        <w:spacing w:line="480" w:lineRule="auto"/>
        <w:jc w:val="both"/>
        <w:rPr>
          <w:rFonts w:cs="Times New Roman"/>
          <w:sz w:val="24"/>
        </w:rPr>
      </w:pPr>
      <w:r>
        <w:rPr>
          <w:rStyle w:val="highlight"/>
          <w:rFonts w:eastAsia="Times New Roman" w:cs="Times New Roman"/>
          <w:color w:val="333333"/>
          <w:sz w:val="24"/>
        </w:rPr>
        <w:t xml:space="preserve">An analysis of any data from Bury in this period must take account of the textile industry, which created regular and irregular employment opportunities for women. </w:t>
      </w:r>
      <w:r>
        <w:rPr>
          <w:sz w:val="24"/>
        </w:rPr>
        <w:t>Many women only left the industry when their children became adult wage earners, although the consequence of this was a doubled workload of factory and housework.</w:t>
      </w:r>
      <w:r>
        <w:rPr>
          <w:rStyle w:val="EndnoteReference"/>
          <w:sz w:val="24"/>
        </w:rPr>
        <w:endnoteReference w:id="71"/>
      </w:r>
      <w:r>
        <w:rPr>
          <w:sz w:val="24"/>
        </w:rPr>
        <w:t xml:space="preserve"> The absence of married women textile workers from the savings data is therefore puzzling. Two possible explanations present themselves. The first explanation is that in a marginal wage economy, the costs of women with young children working fulltime e.g. childcare and buying readymade food left no surplus</w:t>
      </w:r>
      <w:r>
        <w:rPr>
          <w:rStyle w:val="EndnoteReference"/>
          <w:sz w:val="24"/>
        </w:rPr>
        <w:endnoteReference w:id="72"/>
      </w:r>
      <w:r>
        <w:rPr>
          <w:sz w:val="24"/>
        </w:rPr>
        <w:t xml:space="preserve"> to bank. The other is that where women were married, but </w:t>
      </w:r>
      <w:r>
        <w:rPr>
          <w:sz w:val="24"/>
        </w:rPr>
        <w:lastRenderedPageBreak/>
        <w:t>had a fulltime job then they were identified in the Bury depositor ledgers with their job roles and have been classified as single as a result. Classification of married women in this way would be unusual in the banks we have studied and the age profile of married savers. Bury married women accounts are an area that we hope to analyse further in the next phase of the research.</w:t>
      </w:r>
    </w:p>
    <w:p w14:paraId="25CD6F81" w14:textId="77777777" w:rsidR="006539EA" w:rsidRDefault="006539EA" w:rsidP="00876A6B">
      <w:pPr>
        <w:spacing w:line="480" w:lineRule="auto"/>
        <w:jc w:val="both"/>
        <w:rPr>
          <w:rFonts w:cs="Times New Roman"/>
          <w:sz w:val="24"/>
        </w:rPr>
      </w:pPr>
    </w:p>
    <w:p w14:paraId="553B76D6" w14:textId="77777777" w:rsidR="006539EA" w:rsidRDefault="006539EA" w:rsidP="00876A6B">
      <w:pPr>
        <w:spacing w:line="480" w:lineRule="auto"/>
        <w:jc w:val="both"/>
        <w:rPr>
          <w:rFonts w:eastAsia="Times New Roman" w:cs="Times New Roman"/>
          <w:i/>
          <w:color w:val="222222"/>
          <w:sz w:val="24"/>
        </w:rPr>
      </w:pPr>
      <w:r>
        <w:rPr>
          <w:rFonts w:cs="Times New Roman"/>
          <w:sz w:val="24"/>
        </w:rPr>
        <w:t>The interpretation of the two years of sample data from Bury must also take account of the  "Cotton Famine" (circa 1861-1865).</w:t>
      </w:r>
      <w:r w:rsidR="00F412FC">
        <w:rPr>
          <w:rStyle w:val="EndnoteReference"/>
          <w:rFonts w:cs="Times New Roman"/>
          <w:sz w:val="24"/>
        </w:rPr>
        <w:endnoteReference w:id="73"/>
      </w:r>
      <w:r>
        <w:rPr>
          <w:rFonts w:cs="Times New Roman"/>
          <w:sz w:val="24"/>
        </w:rPr>
        <w:t xml:space="preserve"> Lack of supply of raw cotton as a result of the American Civil War had a devastating local effect on the textile industry and caused enormous contraction in income and job opportunities in the industrial North West of England. A comparison of the occupations listed in 1855 and 1865 in Bury are indicative of the general damage done to the local economy as a result of the fall-off in production in the early 1860s, although the proportion of adult savers overall did not change between the two data points. In 1855, 30% of adult males, 19% of married women and 36% of single women savers were directly, or indirectly, connected to the textile trade. In 1865, the number of depositors allied to the textile industry had reduced to 23% of adult males, 8% of wives and 25% of single women.</w:t>
      </w:r>
    </w:p>
    <w:p w14:paraId="654ADAD0" w14:textId="77777777" w:rsidR="006539EA" w:rsidRDefault="006539EA" w:rsidP="00876A6B">
      <w:pPr>
        <w:spacing w:line="480" w:lineRule="auto"/>
        <w:jc w:val="both"/>
        <w:rPr>
          <w:rFonts w:eastAsia="Times New Roman" w:cs="Times New Roman"/>
          <w:i/>
          <w:color w:val="222222"/>
          <w:sz w:val="24"/>
        </w:rPr>
      </w:pPr>
    </w:p>
    <w:p w14:paraId="03B94D0F" w14:textId="77777777" w:rsidR="006539EA" w:rsidRPr="000E0998" w:rsidRDefault="006539EA" w:rsidP="00876A6B">
      <w:pPr>
        <w:spacing w:line="480" w:lineRule="auto"/>
        <w:jc w:val="both"/>
        <w:rPr>
          <w:i/>
          <w:sz w:val="24"/>
        </w:rPr>
      </w:pPr>
      <w:r>
        <w:rPr>
          <w:i/>
          <w:sz w:val="24"/>
        </w:rPr>
        <w:t>Disaggregated marital status for adult men in Bury 1865</w:t>
      </w:r>
    </w:p>
    <w:p w14:paraId="76CDF6B6" w14:textId="77777777" w:rsidR="006539EA" w:rsidRDefault="006539EA" w:rsidP="00876A6B">
      <w:pPr>
        <w:spacing w:line="480" w:lineRule="auto"/>
        <w:jc w:val="both"/>
        <w:rPr>
          <w:rFonts w:eastAsiaTheme="minorEastAsia" w:cs="Times New Roman"/>
          <w:sz w:val="24"/>
        </w:rPr>
      </w:pPr>
    </w:p>
    <w:p w14:paraId="567EA225" w14:textId="77777777" w:rsidR="006539EA" w:rsidRDefault="00594E2D" w:rsidP="00876A6B">
      <w:pPr>
        <w:spacing w:line="480" w:lineRule="auto"/>
        <w:jc w:val="both"/>
        <w:rPr>
          <w:rFonts w:eastAsiaTheme="minorEastAsia" w:cs="Times New Roman"/>
          <w:sz w:val="24"/>
        </w:rPr>
      </w:pPr>
      <w:r>
        <w:rPr>
          <w:rFonts w:eastAsiaTheme="minorEastAsia" w:cs="Times New Roman"/>
          <w:sz w:val="24"/>
        </w:rPr>
        <w:t xml:space="preserve">As we have </w:t>
      </w:r>
      <w:r w:rsidR="00E42F3F">
        <w:rPr>
          <w:rFonts w:eastAsiaTheme="minorEastAsia" w:cs="Times New Roman"/>
          <w:sz w:val="24"/>
        </w:rPr>
        <w:t>already</w:t>
      </w:r>
      <w:r>
        <w:rPr>
          <w:rFonts w:eastAsiaTheme="minorEastAsia" w:cs="Times New Roman"/>
          <w:sz w:val="24"/>
        </w:rPr>
        <w:t xml:space="preserve"> noted</w:t>
      </w:r>
      <w:r w:rsidR="006539EA">
        <w:rPr>
          <w:rFonts w:eastAsiaTheme="minorEastAsia" w:cs="Times New Roman"/>
          <w:sz w:val="24"/>
        </w:rPr>
        <w:t xml:space="preserve">, making a firm case for the existence of co-operative household financial behaviours and control in working class households is difficult without disaggregated adult male marital status data. In this respect we were fortunate to be able to match surviving registration records from Bury </w:t>
      </w:r>
      <w:r>
        <w:rPr>
          <w:rFonts w:eastAsiaTheme="minorEastAsia" w:cs="Times New Roman"/>
          <w:sz w:val="24"/>
        </w:rPr>
        <w:t xml:space="preserve">in </w:t>
      </w:r>
      <w:r w:rsidR="006539EA">
        <w:rPr>
          <w:rFonts w:eastAsiaTheme="minorEastAsia" w:cs="Times New Roman"/>
          <w:sz w:val="24"/>
        </w:rPr>
        <w:t>1865 to depositors and</w:t>
      </w:r>
      <w:r>
        <w:rPr>
          <w:rFonts w:eastAsiaTheme="minorEastAsia" w:cs="Times New Roman"/>
          <w:sz w:val="24"/>
        </w:rPr>
        <w:t xml:space="preserve"> to record </w:t>
      </w:r>
      <w:r w:rsidR="006539EA">
        <w:rPr>
          <w:rFonts w:eastAsiaTheme="minorEastAsia" w:cs="Times New Roman"/>
          <w:sz w:val="24"/>
        </w:rPr>
        <w:t xml:space="preserve">the marital status and age of all account holders at the time the account was opened. Although </w:t>
      </w:r>
      <w:r w:rsidR="006539EA">
        <w:rPr>
          <w:rFonts w:eastAsiaTheme="minorEastAsia" w:cs="Times New Roman"/>
          <w:sz w:val="24"/>
        </w:rPr>
        <w:lastRenderedPageBreak/>
        <w:t>the sample is small (77 married savers and 129 single adults) the split between married men and single men is close to 50:50 (52 married</w:t>
      </w:r>
      <w:r w:rsidR="008A31AC">
        <w:rPr>
          <w:rFonts w:eastAsiaTheme="minorEastAsia" w:cs="Times New Roman"/>
          <w:sz w:val="24"/>
        </w:rPr>
        <w:t xml:space="preserve"> with an average age of 44,</w:t>
      </w:r>
      <w:r w:rsidR="006539EA">
        <w:rPr>
          <w:rFonts w:eastAsiaTheme="minorEastAsia" w:cs="Times New Roman"/>
          <w:sz w:val="24"/>
        </w:rPr>
        <w:t xml:space="preserve"> and 60 single</w:t>
      </w:r>
      <w:r w:rsidR="008A31AC">
        <w:rPr>
          <w:rFonts w:eastAsiaTheme="minorEastAsia" w:cs="Times New Roman"/>
          <w:sz w:val="24"/>
        </w:rPr>
        <w:t xml:space="preserve"> with an average age of 23</w:t>
      </w:r>
      <w:r w:rsidR="006539EA">
        <w:rPr>
          <w:rFonts w:eastAsiaTheme="minorEastAsia" w:cs="Times New Roman"/>
          <w:sz w:val="24"/>
        </w:rPr>
        <w:t>). The</w:t>
      </w:r>
      <w:r>
        <w:rPr>
          <w:rFonts w:eastAsiaTheme="minorEastAsia" w:cs="Times New Roman"/>
          <w:sz w:val="24"/>
        </w:rPr>
        <w:t xml:space="preserve">re </w:t>
      </w:r>
      <w:r w:rsidR="006539EA">
        <w:rPr>
          <w:rFonts w:eastAsiaTheme="minorEastAsia" w:cs="Times New Roman"/>
          <w:sz w:val="24"/>
        </w:rPr>
        <w:t xml:space="preserve">is an obvious need </w:t>
      </w:r>
      <w:r>
        <w:rPr>
          <w:rFonts w:eastAsiaTheme="minorEastAsia" w:cs="Times New Roman"/>
          <w:sz w:val="24"/>
        </w:rPr>
        <w:t xml:space="preserve">to find more </w:t>
      </w:r>
      <w:r w:rsidR="006539EA">
        <w:rPr>
          <w:rFonts w:eastAsiaTheme="minorEastAsia" w:cs="Times New Roman"/>
          <w:sz w:val="24"/>
        </w:rPr>
        <w:t xml:space="preserve">disaggregated male marital status data but </w:t>
      </w:r>
      <w:r>
        <w:rPr>
          <w:rFonts w:eastAsiaTheme="minorEastAsia" w:cs="Times New Roman"/>
          <w:sz w:val="24"/>
        </w:rPr>
        <w:t xml:space="preserve">even this small sample allows us to make </w:t>
      </w:r>
      <w:r w:rsidR="006539EA">
        <w:rPr>
          <w:rFonts w:eastAsiaTheme="minorEastAsia" w:cs="Times New Roman"/>
          <w:sz w:val="24"/>
        </w:rPr>
        <w:t>some comparisons between married and unmarried men.</w:t>
      </w:r>
    </w:p>
    <w:p w14:paraId="531F535C" w14:textId="77777777" w:rsidR="006539EA" w:rsidRDefault="006539EA" w:rsidP="00876A6B">
      <w:pPr>
        <w:spacing w:line="480" w:lineRule="auto"/>
        <w:jc w:val="both"/>
        <w:rPr>
          <w:rFonts w:eastAsiaTheme="minorEastAsia" w:cs="Times New Roman"/>
          <w:sz w:val="24"/>
        </w:rPr>
      </w:pPr>
    </w:p>
    <w:p w14:paraId="73CDDC2A" w14:textId="1CC381EC" w:rsidR="006539EA" w:rsidRDefault="006539EA" w:rsidP="00876A6B">
      <w:pPr>
        <w:spacing w:line="480" w:lineRule="auto"/>
        <w:jc w:val="both"/>
        <w:rPr>
          <w:rFonts w:eastAsiaTheme="minorEastAsia" w:cs="Times New Roman"/>
          <w:sz w:val="24"/>
        </w:rPr>
      </w:pPr>
      <w:r>
        <w:rPr>
          <w:rFonts w:eastAsiaTheme="minorEastAsia" w:cs="Times New Roman"/>
          <w:sz w:val="24"/>
        </w:rPr>
        <w:t>The first query we made of the age and marital status of the Bury 1865 data was to compare the savings behaviour of married men and married women. Married men had a higher number of</w:t>
      </w:r>
      <w:r w:rsidR="00C43F4E">
        <w:rPr>
          <w:rFonts w:eastAsiaTheme="minorEastAsia" w:cs="Times New Roman"/>
          <w:sz w:val="24"/>
        </w:rPr>
        <w:t xml:space="preserve"> </w:t>
      </w:r>
      <w:proofErr w:type="gramStart"/>
      <w:r w:rsidR="00C43F4E">
        <w:rPr>
          <w:rFonts w:eastAsiaTheme="minorEastAsia" w:cs="Times New Roman"/>
          <w:sz w:val="24"/>
        </w:rPr>
        <w:t>draw</w:t>
      </w:r>
      <w:proofErr w:type="gramEnd"/>
      <w:r w:rsidR="00C43F4E">
        <w:rPr>
          <w:rFonts w:eastAsiaTheme="minorEastAsia" w:cs="Times New Roman"/>
          <w:sz w:val="24"/>
        </w:rPr>
        <w:t xml:space="preserve"> </w:t>
      </w:r>
      <w:r>
        <w:rPr>
          <w:rFonts w:eastAsiaTheme="minorEastAsia" w:cs="Times New Roman"/>
          <w:sz w:val="24"/>
        </w:rPr>
        <w:t>down accounts</w:t>
      </w:r>
      <w:r w:rsidR="00F11E64">
        <w:rPr>
          <w:rFonts w:eastAsiaTheme="minorEastAsia" w:cs="Times New Roman"/>
          <w:sz w:val="24"/>
        </w:rPr>
        <w:t xml:space="preserve"> (17% to 0%)</w:t>
      </w:r>
      <w:r>
        <w:rPr>
          <w:rFonts w:eastAsiaTheme="minorEastAsia" w:cs="Times New Roman"/>
          <w:sz w:val="24"/>
        </w:rPr>
        <w:t xml:space="preserve">. The Bury married men draw down accounts do not appear to have any underlying patterns relating to occupation, or age, or size of the original deposit. Draw down accounts are operated by labourers to paper makers to mechanics and were opened with amounts from £4 to £30 and took anything from a year to ten years to run down and close. </w:t>
      </w:r>
      <w:r w:rsidR="00C43F4E">
        <w:rPr>
          <w:rFonts w:eastAsiaTheme="minorEastAsia" w:cs="Times New Roman"/>
          <w:sz w:val="24"/>
        </w:rPr>
        <w:t>The most popular form of account for married men was the</w:t>
      </w:r>
      <w:r w:rsidR="00F11E64">
        <w:rPr>
          <w:rFonts w:eastAsiaTheme="minorEastAsia" w:cs="Times New Roman"/>
          <w:sz w:val="24"/>
        </w:rPr>
        <w:t xml:space="preserve"> accumulating account (37%), </w:t>
      </w:r>
      <w:r w:rsidR="00A34FA6">
        <w:rPr>
          <w:rFonts w:eastAsiaTheme="minorEastAsia" w:cs="Times New Roman"/>
          <w:sz w:val="24"/>
        </w:rPr>
        <w:t xml:space="preserve">perhaps </w:t>
      </w:r>
      <w:r w:rsidR="008A31AC">
        <w:rPr>
          <w:rFonts w:eastAsiaTheme="minorEastAsia" w:cs="Times New Roman"/>
          <w:sz w:val="24"/>
        </w:rPr>
        <w:t xml:space="preserve">reflecting the greater capacity of </w:t>
      </w:r>
      <w:r w:rsidR="00A34FA6">
        <w:rPr>
          <w:rFonts w:eastAsiaTheme="minorEastAsia" w:cs="Times New Roman"/>
          <w:sz w:val="24"/>
        </w:rPr>
        <w:t xml:space="preserve">older married men </w:t>
      </w:r>
      <w:r w:rsidR="008A31AC">
        <w:rPr>
          <w:rFonts w:eastAsiaTheme="minorEastAsia" w:cs="Times New Roman"/>
          <w:sz w:val="24"/>
        </w:rPr>
        <w:t xml:space="preserve">with </w:t>
      </w:r>
      <w:r w:rsidR="00A34FA6">
        <w:rPr>
          <w:rFonts w:eastAsiaTheme="minorEastAsia" w:cs="Times New Roman"/>
          <w:sz w:val="24"/>
        </w:rPr>
        <w:t xml:space="preserve">children who were working </w:t>
      </w:r>
      <w:r w:rsidR="008A31AC">
        <w:rPr>
          <w:rFonts w:eastAsiaTheme="minorEastAsia" w:cs="Times New Roman"/>
          <w:sz w:val="24"/>
        </w:rPr>
        <w:t>to save.</w:t>
      </w:r>
    </w:p>
    <w:p w14:paraId="3B843F1A" w14:textId="77777777" w:rsidR="006539EA" w:rsidRDefault="006539EA" w:rsidP="00876A6B">
      <w:pPr>
        <w:spacing w:line="480" w:lineRule="auto"/>
        <w:jc w:val="both"/>
        <w:rPr>
          <w:rFonts w:eastAsiaTheme="minorEastAsia" w:cs="Times New Roman"/>
          <w:sz w:val="24"/>
        </w:rPr>
      </w:pPr>
    </w:p>
    <w:p w14:paraId="5B75AE6C" w14:textId="77777777" w:rsidR="006539EA" w:rsidRPr="00AF0355" w:rsidRDefault="006539EA" w:rsidP="00876A6B">
      <w:pPr>
        <w:spacing w:line="480" w:lineRule="auto"/>
        <w:jc w:val="both"/>
        <w:rPr>
          <w:sz w:val="24"/>
        </w:rPr>
      </w:pPr>
      <w:r>
        <w:rPr>
          <w:rFonts w:eastAsiaTheme="minorEastAsia" w:cs="Times New Roman"/>
          <w:sz w:val="24"/>
        </w:rPr>
        <w:t>We were also interested in seeing what effect the ability to separate our single male savings behaviour would have. In splitting the data between married and single male savers we could see the extent to which marriage affected the overall account usage. Single male accounts are different from the pattern of single female accounts we see across the four sample banks in</w:t>
      </w:r>
      <w:r w:rsidR="00A61501">
        <w:rPr>
          <w:rFonts w:eastAsiaTheme="minorEastAsia" w:cs="Times New Roman"/>
          <w:sz w:val="24"/>
        </w:rPr>
        <w:t xml:space="preserve"> that the majority account pattern</w:t>
      </w:r>
      <w:r>
        <w:rPr>
          <w:rFonts w:eastAsiaTheme="minorEastAsia" w:cs="Times New Roman"/>
          <w:sz w:val="24"/>
        </w:rPr>
        <w:t xml:space="preserve"> is not </w:t>
      </w:r>
      <w:r w:rsidR="00A61501">
        <w:rPr>
          <w:rFonts w:eastAsiaTheme="minorEastAsia" w:cs="Times New Roman"/>
          <w:sz w:val="24"/>
        </w:rPr>
        <w:t xml:space="preserve">of </w:t>
      </w:r>
      <w:r>
        <w:rPr>
          <w:rFonts w:eastAsiaTheme="minorEastAsia" w:cs="Times New Roman"/>
          <w:sz w:val="24"/>
        </w:rPr>
        <w:t>accumulation, but contingency</w:t>
      </w:r>
      <w:r w:rsidR="008A31AC">
        <w:rPr>
          <w:rFonts w:eastAsiaTheme="minorEastAsia" w:cs="Times New Roman"/>
          <w:sz w:val="24"/>
        </w:rPr>
        <w:t xml:space="preserve"> (39%)</w:t>
      </w:r>
      <w:r>
        <w:rPr>
          <w:rFonts w:eastAsiaTheme="minorEastAsia" w:cs="Times New Roman"/>
          <w:sz w:val="24"/>
        </w:rPr>
        <w:t xml:space="preserve">. </w:t>
      </w:r>
      <w:r w:rsidR="00E870DA">
        <w:rPr>
          <w:rFonts w:eastAsiaTheme="minorEastAsia" w:cs="Times New Roman"/>
          <w:sz w:val="24"/>
        </w:rPr>
        <w:t>T</w:t>
      </w:r>
      <w:r>
        <w:rPr>
          <w:rFonts w:eastAsiaTheme="minorEastAsia" w:cs="Times New Roman"/>
          <w:sz w:val="24"/>
        </w:rPr>
        <w:t xml:space="preserve">here </w:t>
      </w:r>
      <w:r w:rsidR="00447195">
        <w:rPr>
          <w:rFonts w:eastAsiaTheme="minorEastAsia" w:cs="Times New Roman"/>
          <w:sz w:val="24"/>
        </w:rPr>
        <w:t>is a broad similarity</w:t>
      </w:r>
      <w:r w:rsidR="00E260F6">
        <w:rPr>
          <w:rFonts w:eastAsiaTheme="minorEastAsia" w:cs="Times New Roman"/>
          <w:sz w:val="24"/>
        </w:rPr>
        <w:t xml:space="preserve"> in </w:t>
      </w:r>
      <w:r w:rsidR="00447195">
        <w:rPr>
          <w:rFonts w:eastAsiaTheme="minorEastAsia" w:cs="Times New Roman"/>
          <w:sz w:val="24"/>
        </w:rPr>
        <w:t xml:space="preserve">both </w:t>
      </w:r>
      <w:r w:rsidR="00E260F6">
        <w:rPr>
          <w:rFonts w:eastAsiaTheme="minorEastAsia" w:cs="Times New Roman"/>
          <w:sz w:val="24"/>
        </w:rPr>
        <w:t xml:space="preserve">the percentage of </w:t>
      </w:r>
      <w:r w:rsidR="00447195">
        <w:rPr>
          <w:rFonts w:eastAsiaTheme="minorEastAsia" w:cs="Times New Roman"/>
          <w:sz w:val="24"/>
        </w:rPr>
        <w:t xml:space="preserve">in and out </w:t>
      </w:r>
      <w:r w:rsidR="00447195" w:rsidRPr="00447195">
        <w:rPr>
          <w:rFonts w:eastAsiaTheme="minorEastAsia" w:cs="Times New Roman"/>
          <w:sz w:val="24"/>
        </w:rPr>
        <w:t xml:space="preserve">and </w:t>
      </w:r>
      <w:r w:rsidR="00447195">
        <w:rPr>
          <w:rFonts w:eastAsiaTheme="minorEastAsia" w:cs="Times New Roman"/>
          <w:sz w:val="24"/>
        </w:rPr>
        <w:t>draw down accounts (17% single: 12% married). The difference is in the majority account type where, as discussed, it is the accumulating account for married men and the contingency account for single men</w:t>
      </w:r>
      <w:r>
        <w:rPr>
          <w:rFonts w:eastAsiaTheme="minorEastAsia" w:cs="Times New Roman"/>
          <w:sz w:val="24"/>
        </w:rPr>
        <w:t xml:space="preserve">. </w:t>
      </w:r>
      <w:r w:rsidRPr="00AF0355">
        <w:rPr>
          <w:sz w:val="24"/>
        </w:rPr>
        <w:t xml:space="preserve">In our </w:t>
      </w:r>
      <w:r>
        <w:rPr>
          <w:sz w:val="24"/>
        </w:rPr>
        <w:t xml:space="preserve">next and </w:t>
      </w:r>
      <w:r w:rsidRPr="00AF0355">
        <w:rPr>
          <w:sz w:val="24"/>
        </w:rPr>
        <w:t xml:space="preserve">final section of the paper we turn to the role of child saving in relation to the issue </w:t>
      </w:r>
      <w:r w:rsidRPr="00AF0355">
        <w:rPr>
          <w:sz w:val="24"/>
        </w:rPr>
        <w:lastRenderedPageBreak/>
        <w:t xml:space="preserve">of family financial management strategies. </w:t>
      </w:r>
      <w:r>
        <w:rPr>
          <w:sz w:val="24"/>
        </w:rPr>
        <w:t>Children's</w:t>
      </w:r>
      <w:r w:rsidRPr="00AF0355">
        <w:rPr>
          <w:sz w:val="24"/>
        </w:rPr>
        <w:t xml:space="preserve"> accounts are interesting because they show children being economic</w:t>
      </w:r>
      <w:r w:rsidR="00A61501">
        <w:rPr>
          <w:sz w:val="24"/>
        </w:rPr>
        <w:t>ally</w:t>
      </w:r>
      <w:r w:rsidRPr="00AF0355">
        <w:rPr>
          <w:sz w:val="24"/>
        </w:rPr>
        <w:t xml:space="preserve"> active, as well as more general family savings cultures and/or strategies. We have examples of both in our data. </w:t>
      </w:r>
    </w:p>
    <w:p w14:paraId="4CB1473D" w14:textId="77777777" w:rsidR="006539EA" w:rsidRPr="00F26DBF" w:rsidRDefault="006539EA" w:rsidP="00876A6B">
      <w:pPr>
        <w:spacing w:line="480" w:lineRule="auto"/>
        <w:jc w:val="both"/>
        <w:rPr>
          <w:rFonts w:eastAsiaTheme="minorEastAsia" w:cs="Times New Roman"/>
          <w:sz w:val="24"/>
        </w:rPr>
      </w:pPr>
    </w:p>
    <w:p w14:paraId="4806DF7A" w14:textId="77777777" w:rsidR="006539EA" w:rsidRDefault="006539EA" w:rsidP="00876A6B">
      <w:pPr>
        <w:spacing w:line="480" w:lineRule="auto"/>
        <w:jc w:val="both"/>
        <w:rPr>
          <w:rFonts w:eastAsia="Times New Roman" w:cs="Times New Roman"/>
          <w:i/>
          <w:color w:val="222222"/>
          <w:sz w:val="24"/>
        </w:rPr>
      </w:pPr>
    </w:p>
    <w:p w14:paraId="4AB82FE0" w14:textId="77777777" w:rsidR="006539EA" w:rsidRPr="00DF4F08" w:rsidRDefault="006539EA" w:rsidP="00876A6B">
      <w:pPr>
        <w:spacing w:line="480" w:lineRule="auto"/>
        <w:jc w:val="both"/>
        <w:rPr>
          <w:rFonts w:eastAsia="Times New Roman" w:cs="Times New Roman"/>
          <w:b/>
          <w:color w:val="222222"/>
          <w:sz w:val="24"/>
        </w:rPr>
      </w:pPr>
      <w:r w:rsidRPr="00DF4F08">
        <w:rPr>
          <w:rFonts w:eastAsia="Times New Roman" w:cs="Times New Roman"/>
          <w:b/>
          <w:color w:val="222222"/>
          <w:sz w:val="24"/>
        </w:rPr>
        <w:t>Minors</w:t>
      </w:r>
      <w:r>
        <w:rPr>
          <w:rFonts w:eastAsia="Times New Roman" w:cs="Times New Roman"/>
          <w:b/>
          <w:color w:val="222222"/>
          <w:sz w:val="24"/>
        </w:rPr>
        <w:t>'</w:t>
      </w:r>
      <w:r w:rsidRPr="00DF4F08">
        <w:rPr>
          <w:rFonts w:eastAsia="Times New Roman" w:cs="Times New Roman"/>
          <w:b/>
          <w:color w:val="222222"/>
          <w:sz w:val="24"/>
        </w:rPr>
        <w:t xml:space="preserve"> accounts</w:t>
      </w:r>
      <w:r>
        <w:rPr>
          <w:rFonts w:eastAsia="Times New Roman" w:cs="Times New Roman"/>
          <w:b/>
          <w:color w:val="222222"/>
          <w:sz w:val="24"/>
        </w:rPr>
        <w:t xml:space="preserve"> across all sample banks</w:t>
      </w:r>
    </w:p>
    <w:p w14:paraId="17117513" w14:textId="77777777" w:rsidR="006539EA" w:rsidRPr="00600C85" w:rsidRDefault="006539EA" w:rsidP="00876A6B">
      <w:pPr>
        <w:spacing w:line="480" w:lineRule="auto"/>
        <w:jc w:val="both"/>
        <w:rPr>
          <w:rFonts w:eastAsia="Times New Roman" w:cs="Times New Roman"/>
          <w:i/>
          <w:color w:val="222222"/>
          <w:sz w:val="24"/>
        </w:rPr>
      </w:pPr>
    </w:p>
    <w:p w14:paraId="13C5256F" w14:textId="77777777" w:rsidR="006539EA" w:rsidRDefault="006539EA" w:rsidP="00876A6B">
      <w:pPr>
        <w:spacing w:line="480" w:lineRule="auto"/>
      </w:pPr>
    </w:p>
    <w:p w14:paraId="0D39CA66" w14:textId="6C03665B" w:rsidR="00723A13" w:rsidRDefault="006539EA" w:rsidP="00876A6B">
      <w:pPr>
        <w:spacing w:line="480" w:lineRule="auto"/>
        <w:jc w:val="both"/>
        <w:rPr>
          <w:sz w:val="24"/>
        </w:rPr>
      </w:pPr>
      <w:r w:rsidRPr="000F4406">
        <w:rPr>
          <w:sz w:val="24"/>
        </w:rPr>
        <w:t xml:space="preserve">The designation of </w:t>
      </w:r>
      <w:r>
        <w:rPr>
          <w:sz w:val="24"/>
        </w:rPr>
        <w:t>"</w:t>
      </w:r>
      <w:r w:rsidRPr="000F4406">
        <w:rPr>
          <w:sz w:val="24"/>
        </w:rPr>
        <w:t>minor</w:t>
      </w:r>
      <w:r>
        <w:rPr>
          <w:sz w:val="24"/>
        </w:rPr>
        <w:t>"</w:t>
      </w:r>
      <w:r w:rsidRPr="000F4406">
        <w:rPr>
          <w:sz w:val="24"/>
        </w:rPr>
        <w:t xml:space="preserve"> </w:t>
      </w:r>
      <w:r w:rsidR="00A61501">
        <w:rPr>
          <w:sz w:val="24"/>
        </w:rPr>
        <w:t xml:space="preserve">in the depositor ledgers </w:t>
      </w:r>
      <w:r w:rsidRPr="000F4406">
        <w:rPr>
          <w:sz w:val="24"/>
        </w:rPr>
        <w:t>does not follow the legal a</w:t>
      </w:r>
      <w:r>
        <w:rPr>
          <w:sz w:val="24"/>
        </w:rPr>
        <w:t>ge of majority (21) in British l</w:t>
      </w:r>
      <w:r w:rsidRPr="000F4406">
        <w:rPr>
          <w:sz w:val="24"/>
        </w:rPr>
        <w:t xml:space="preserve">aw at this time. In practice most of the savings bank in our samples appear to follow a rough rule of thumb in </w:t>
      </w:r>
      <w:r w:rsidR="00A61501">
        <w:rPr>
          <w:sz w:val="24"/>
        </w:rPr>
        <w:t>allocating the label minor to accounts</w:t>
      </w:r>
      <w:r w:rsidRPr="000F4406">
        <w:rPr>
          <w:sz w:val="24"/>
        </w:rPr>
        <w:t xml:space="preserve">. Where </w:t>
      </w:r>
      <w:r w:rsidR="00A61501">
        <w:rPr>
          <w:sz w:val="24"/>
        </w:rPr>
        <w:t xml:space="preserve">an individual is judged too young to operate an account independently of an adult </w:t>
      </w:r>
      <w:r w:rsidRPr="000F4406">
        <w:rPr>
          <w:sz w:val="24"/>
        </w:rPr>
        <w:t>one or both of the parents</w:t>
      </w:r>
      <w:r w:rsidR="00382F7C">
        <w:rPr>
          <w:sz w:val="24"/>
        </w:rPr>
        <w:t>, or other relative,</w:t>
      </w:r>
      <w:r w:rsidRPr="000F4406">
        <w:rPr>
          <w:sz w:val="24"/>
        </w:rPr>
        <w:t xml:space="preserve"> is listed </w:t>
      </w:r>
      <w:r>
        <w:rPr>
          <w:sz w:val="24"/>
        </w:rPr>
        <w:t>"</w:t>
      </w:r>
      <w:r w:rsidRPr="000F4406">
        <w:rPr>
          <w:sz w:val="24"/>
        </w:rPr>
        <w:t>to sign</w:t>
      </w:r>
      <w:r>
        <w:rPr>
          <w:sz w:val="24"/>
        </w:rPr>
        <w:t>"</w:t>
      </w:r>
      <w:r w:rsidRPr="000F4406">
        <w:rPr>
          <w:sz w:val="24"/>
        </w:rPr>
        <w:t xml:space="preserve"> for the child in respect of withdrawals. </w:t>
      </w:r>
      <w:r w:rsidR="008C76D4">
        <w:rPr>
          <w:sz w:val="24"/>
        </w:rPr>
        <w:t>Of the 40 accounts of this type opened in Limehouse between 1854 and 1858 21 accounts had female relative signatories, and 19 had male relative signatories. It seems unlikely,</w:t>
      </w:r>
      <w:r w:rsidR="00723A13">
        <w:rPr>
          <w:sz w:val="24"/>
        </w:rPr>
        <w:t xml:space="preserve"> given the even split of men and women signatorie</w:t>
      </w:r>
      <w:r w:rsidR="00D17B60">
        <w:rPr>
          <w:sz w:val="24"/>
        </w:rPr>
        <w:t>s, that child accounts were</w:t>
      </w:r>
      <w:r w:rsidR="00487492">
        <w:rPr>
          <w:sz w:val="24"/>
        </w:rPr>
        <w:t xml:space="preserve"> </w:t>
      </w:r>
      <w:r w:rsidR="00D17B60">
        <w:rPr>
          <w:sz w:val="24"/>
        </w:rPr>
        <w:t xml:space="preserve">being </w:t>
      </w:r>
      <w:r w:rsidR="00723A13">
        <w:rPr>
          <w:sz w:val="24"/>
        </w:rPr>
        <w:t xml:space="preserve">used by women to </w:t>
      </w:r>
      <w:r w:rsidR="00487492">
        <w:rPr>
          <w:sz w:val="24"/>
        </w:rPr>
        <w:t>hide</w:t>
      </w:r>
      <w:r w:rsidR="009B15D3">
        <w:rPr>
          <w:sz w:val="24"/>
        </w:rPr>
        <w:t xml:space="preserve"> money from their spouse</w:t>
      </w:r>
      <w:r w:rsidR="00487492">
        <w:rPr>
          <w:sz w:val="24"/>
        </w:rPr>
        <w:t xml:space="preserve">. They appear to be </w:t>
      </w:r>
      <w:r w:rsidR="00723A13">
        <w:rPr>
          <w:sz w:val="24"/>
        </w:rPr>
        <w:t>genuine accounts opened and operated on behalf of children</w:t>
      </w:r>
      <w:r w:rsidR="009B15D3">
        <w:rPr>
          <w:sz w:val="24"/>
        </w:rPr>
        <w:t xml:space="preserve">. </w:t>
      </w:r>
      <w:r w:rsidRPr="000F4406">
        <w:rPr>
          <w:sz w:val="24"/>
        </w:rPr>
        <w:t xml:space="preserve">Between the ages of seven and nine children </w:t>
      </w:r>
      <w:r w:rsidR="00382F7C">
        <w:rPr>
          <w:sz w:val="24"/>
        </w:rPr>
        <w:t xml:space="preserve">were judged to be competent enough to </w:t>
      </w:r>
      <w:r w:rsidRPr="000F4406">
        <w:rPr>
          <w:sz w:val="24"/>
        </w:rPr>
        <w:t>own and operat</w:t>
      </w:r>
      <w:r w:rsidR="00382F7C">
        <w:rPr>
          <w:sz w:val="24"/>
        </w:rPr>
        <w:t>e savings</w:t>
      </w:r>
      <w:r w:rsidRPr="000F4406">
        <w:rPr>
          <w:sz w:val="24"/>
        </w:rPr>
        <w:t xml:space="preserve"> accounts without direct </w:t>
      </w:r>
      <w:r w:rsidR="00382F7C">
        <w:rPr>
          <w:sz w:val="24"/>
        </w:rPr>
        <w:t xml:space="preserve">adult </w:t>
      </w:r>
      <w:r w:rsidRPr="000F4406">
        <w:rPr>
          <w:sz w:val="24"/>
        </w:rPr>
        <w:t>supervision</w:t>
      </w:r>
      <w:r w:rsidR="00382F7C">
        <w:rPr>
          <w:sz w:val="24"/>
        </w:rPr>
        <w:t xml:space="preserve"> – these form the majority of the ‘minor’ accounts in our sample</w:t>
      </w:r>
      <w:r w:rsidR="00F86FE9">
        <w:rPr>
          <w:sz w:val="24"/>
        </w:rPr>
        <w:t xml:space="preserve"> and probably reflect the ability of the account holder to access some transitional economic activities and/or irregular income opportunities such as errand running</w:t>
      </w:r>
      <w:r w:rsidR="00A34FA6">
        <w:rPr>
          <w:sz w:val="24"/>
        </w:rPr>
        <w:t xml:space="preserve"> as opposed to </w:t>
      </w:r>
      <w:r w:rsidR="003F0B62">
        <w:rPr>
          <w:sz w:val="24"/>
        </w:rPr>
        <w:t xml:space="preserve">full time </w:t>
      </w:r>
      <w:r w:rsidR="00F86FE9">
        <w:rPr>
          <w:sz w:val="24"/>
        </w:rPr>
        <w:t>employment</w:t>
      </w:r>
      <w:r w:rsidRPr="000F4406">
        <w:rPr>
          <w:sz w:val="24"/>
        </w:rPr>
        <w:t>.</w:t>
      </w:r>
      <w:r w:rsidR="00206B9D">
        <w:rPr>
          <w:rStyle w:val="EndnoteReference"/>
          <w:sz w:val="24"/>
        </w:rPr>
        <w:endnoteReference w:id="74"/>
      </w:r>
      <w:r w:rsidR="00F86FE9">
        <w:rPr>
          <w:sz w:val="24"/>
        </w:rPr>
        <w:t xml:space="preserve"> </w:t>
      </w:r>
    </w:p>
    <w:p w14:paraId="7D1671EF" w14:textId="77777777" w:rsidR="00723A13" w:rsidRDefault="00723A13" w:rsidP="00876A6B">
      <w:pPr>
        <w:spacing w:line="480" w:lineRule="auto"/>
        <w:jc w:val="both"/>
        <w:rPr>
          <w:sz w:val="24"/>
        </w:rPr>
      </w:pPr>
    </w:p>
    <w:p w14:paraId="611DD795" w14:textId="4FF28B7D" w:rsidR="006539EA" w:rsidRPr="000F4406" w:rsidRDefault="00723A13" w:rsidP="00876A6B">
      <w:pPr>
        <w:spacing w:line="480" w:lineRule="auto"/>
        <w:jc w:val="both"/>
        <w:rPr>
          <w:sz w:val="24"/>
        </w:rPr>
      </w:pPr>
      <w:r>
        <w:rPr>
          <w:sz w:val="24"/>
        </w:rPr>
        <w:t xml:space="preserve">If an individual was </w:t>
      </w:r>
      <w:r w:rsidR="00F86FE9">
        <w:rPr>
          <w:sz w:val="24"/>
        </w:rPr>
        <w:t xml:space="preserve">in regular employment </w:t>
      </w:r>
      <w:r>
        <w:rPr>
          <w:sz w:val="24"/>
        </w:rPr>
        <w:t xml:space="preserve">at the time of opening the account </w:t>
      </w:r>
      <w:r w:rsidR="00A34FA6">
        <w:rPr>
          <w:sz w:val="24"/>
        </w:rPr>
        <w:t xml:space="preserve">it </w:t>
      </w:r>
      <w:r>
        <w:rPr>
          <w:sz w:val="24"/>
        </w:rPr>
        <w:t xml:space="preserve">was </w:t>
      </w:r>
      <w:r w:rsidR="00020B02">
        <w:rPr>
          <w:sz w:val="24"/>
        </w:rPr>
        <w:t xml:space="preserve">attributed to the individual and their occupation, even if the account holder had not reached </w:t>
      </w:r>
      <w:r w:rsidR="00020B02">
        <w:rPr>
          <w:sz w:val="24"/>
        </w:rPr>
        <w:lastRenderedPageBreak/>
        <w:t xml:space="preserve">their majority. </w:t>
      </w:r>
      <w:r w:rsidR="006539EA" w:rsidRPr="000F4406">
        <w:rPr>
          <w:sz w:val="24"/>
        </w:rPr>
        <w:t xml:space="preserve">From the analysis of the age ranges of the Bury 1865 depositors (the only sample year and bank for which we also have age at account opening data) </w:t>
      </w:r>
      <w:r w:rsidR="00020B02">
        <w:rPr>
          <w:sz w:val="24"/>
        </w:rPr>
        <w:t xml:space="preserve">minors held accounts ‘as adults’ from </w:t>
      </w:r>
      <w:r w:rsidR="006539EA" w:rsidRPr="000F4406">
        <w:rPr>
          <w:sz w:val="24"/>
        </w:rPr>
        <w:t xml:space="preserve">13 for boys </w:t>
      </w:r>
      <w:r w:rsidR="006539EA" w:rsidRPr="000F4406">
        <w:rPr>
          <w:i/>
          <w:sz w:val="24"/>
        </w:rPr>
        <w:t xml:space="preserve">and </w:t>
      </w:r>
      <w:r w:rsidR="006539EA" w:rsidRPr="000F4406">
        <w:rPr>
          <w:sz w:val="24"/>
        </w:rPr>
        <w:t>girls</w:t>
      </w:r>
      <w:r w:rsidR="006539EA">
        <w:rPr>
          <w:sz w:val="24"/>
        </w:rPr>
        <w:t>, although in practice the majority of the teenage single women opening accounts did so a</w:t>
      </w:r>
      <w:r w:rsidR="00020B02">
        <w:rPr>
          <w:sz w:val="24"/>
        </w:rPr>
        <w:t xml:space="preserve">round </w:t>
      </w:r>
      <w:r w:rsidR="006539EA">
        <w:rPr>
          <w:sz w:val="24"/>
        </w:rPr>
        <w:t>16</w:t>
      </w:r>
      <w:r w:rsidR="006539EA" w:rsidRPr="000F4406">
        <w:rPr>
          <w:sz w:val="24"/>
        </w:rPr>
        <w:t>.</w:t>
      </w:r>
      <w:r w:rsidR="006539EA">
        <w:rPr>
          <w:sz w:val="24"/>
        </w:rPr>
        <w:t xml:space="preserve"> </w:t>
      </w:r>
      <w:r w:rsidR="00AA6F67">
        <w:rPr>
          <w:sz w:val="24"/>
        </w:rPr>
        <w:t xml:space="preserve">This is in line with many other data sources in the period after 1850. </w:t>
      </w:r>
      <w:r w:rsidR="00601915">
        <w:rPr>
          <w:sz w:val="24"/>
        </w:rPr>
        <w:t xml:space="preserve">For example, </w:t>
      </w:r>
      <w:r w:rsidR="00AA6F67">
        <w:rPr>
          <w:sz w:val="24"/>
        </w:rPr>
        <w:t>Nigel Goose and Katrina Honeyman note that t</w:t>
      </w:r>
      <w:r w:rsidR="00601915">
        <w:rPr>
          <w:sz w:val="24"/>
        </w:rPr>
        <w:t>he number of 5-9 year olds</w:t>
      </w:r>
      <w:r w:rsidR="00AA6F67">
        <w:rPr>
          <w:sz w:val="24"/>
        </w:rPr>
        <w:t xml:space="preserve"> enumerated as employed in the 1851 census was less than 2%, whereas 28% of 10-14 year olds had entered full time employment</w:t>
      </w:r>
      <w:r w:rsidR="00601915">
        <w:rPr>
          <w:sz w:val="24"/>
        </w:rPr>
        <w:t xml:space="preserve">. Many more became </w:t>
      </w:r>
      <w:r w:rsidR="00AA6F67">
        <w:rPr>
          <w:sz w:val="24"/>
        </w:rPr>
        <w:t xml:space="preserve">fully economically active </w:t>
      </w:r>
      <w:r w:rsidR="00601915">
        <w:rPr>
          <w:sz w:val="24"/>
        </w:rPr>
        <w:t xml:space="preserve">after that point with the vast majority of boys making the transition between </w:t>
      </w:r>
      <w:r w:rsidR="00AA6F67">
        <w:rPr>
          <w:sz w:val="24"/>
        </w:rPr>
        <w:t>14</w:t>
      </w:r>
      <w:r w:rsidR="00601915">
        <w:rPr>
          <w:sz w:val="24"/>
        </w:rPr>
        <w:t xml:space="preserve"> and 16, and girls at 1</w:t>
      </w:r>
      <w:r w:rsidR="00AA6F67">
        <w:rPr>
          <w:sz w:val="24"/>
        </w:rPr>
        <w:t xml:space="preserve">6 </w:t>
      </w:r>
      <w:r w:rsidR="00601915">
        <w:rPr>
          <w:sz w:val="24"/>
        </w:rPr>
        <w:t xml:space="preserve">when entering </w:t>
      </w:r>
      <w:r w:rsidR="00AA6F67">
        <w:rPr>
          <w:sz w:val="24"/>
        </w:rPr>
        <w:t>domestic service.</w:t>
      </w:r>
      <w:r w:rsidR="00AA6F67">
        <w:rPr>
          <w:rStyle w:val="EndnoteReference"/>
          <w:sz w:val="24"/>
        </w:rPr>
        <w:endnoteReference w:id="75"/>
      </w:r>
      <w:r w:rsidR="00AA6F67">
        <w:rPr>
          <w:sz w:val="24"/>
        </w:rPr>
        <w:t xml:space="preserve"> </w:t>
      </w:r>
      <w:r w:rsidR="006539EA">
        <w:rPr>
          <w:sz w:val="24"/>
        </w:rPr>
        <w:t xml:space="preserve">The adult male category </w:t>
      </w:r>
      <w:r w:rsidR="00D17B60">
        <w:rPr>
          <w:sz w:val="24"/>
        </w:rPr>
        <w:t xml:space="preserve">in our data </w:t>
      </w:r>
      <w:r w:rsidR="006539EA">
        <w:rPr>
          <w:sz w:val="24"/>
        </w:rPr>
        <w:t xml:space="preserve">is therefore likely to encompass a slightly wider age range (13 and above) than that of the adult female category because of the slightly delayed entry of young women into the workforce. </w:t>
      </w:r>
      <w:r w:rsidR="006539EA" w:rsidRPr="000F4406">
        <w:rPr>
          <w:sz w:val="24"/>
        </w:rPr>
        <w:t xml:space="preserve"> </w:t>
      </w:r>
    </w:p>
    <w:p w14:paraId="50E44F69" w14:textId="77777777" w:rsidR="006539EA" w:rsidRDefault="006539EA" w:rsidP="00876A6B">
      <w:pPr>
        <w:spacing w:line="480" w:lineRule="auto"/>
        <w:jc w:val="both"/>
        <w:rPr>
          <w:sz w:val="24"/>
        </w:rPr>
      </w:pPr>
    </w:p>
    <w:p w14:paraId="61C758A4" w14:textId="77777777" w:rsidR="006539EA" w:rsidRDefault="006539EA" w:rsidP="00876A6B">
      <w:pPr>
        <w:spacing w:line="480" w:lineRule="auto"/>
        <w:jc w:val="both"/>
        <w:rPr>
          <w:rFonts w:cs="Times New Roman"/>
          <w:sz w:val="24"/>
        </w:rPr>
      </w:pPr>
      <w:r>
        <w:rPr>
          <w:rFonts w:cs="Times New Roman"/>
          <w:sz w:val="24"/>
        </w:rPr>
        <w:t xml:space="preserve">Local employment conditions also </w:t>
      </w:r>
      <w:r w:rsidR="00D17B60">
        <w:rPr>
          <w:rFonts w:cs="Times New Roman"/>
          <w:sz w:val="24"/>
        </w:rPr>
        <w:t>appe</w:t>
      </w:r>
      <w:r w:rsidR="00F86FE9">
        <w:rPr>
          <w:rFonts w:cs="Times New Roman"/>
          <w:sz w:val="24"/>
        </w:rPr>
        <w:t>ar to affect the number of minor</w:t>
      </w:r>
      <w:r w:rsidR="00D17B60">
        <w:rPr>
          <w:rFonts w:cs="Times New Roman"/>
          <w:sz w:val="24"/>
        </w:rPr>
        <w:t xml:space="preserve"> accounts, with locations dominated by one industry more likely to report higher proportions of adult accounts. </w:t>
      </w:r>
      <w:r>
        <w:rPr>
          <w:rFonts w:cs="Times New Roman"/>
          <w:sz w:val="24"/>
        </w:rPr>
        <w:t>In 1855 b</w:t>
      </w:r>
      <w:r w:rsidRPr="00F50C86">
        <w:rPr>
          <w:rFonts w:cs="Times New Roman"/>
          <w:sz w:val="24"/>
        </w:rPr>
        <w:t>oth Bury and South Shields have higher proportions overall of accounts held by adults (90% in South Shields in 1853, 87% in Bury in 1855) in comparison to other locations</w:t>
      </w:r>
      <w:r>
        <w:rPr>
          <w:rFonts w:cs="Times New Roman"/>
          <w:sz w:val="24"/>
        </w:rPr>
        <w:t xml:space="preserve">. </w:t>
      </w:r>
      <w:r w:rsidR="00F86FE9">
        <w:rPr>
          <w:rFonts w:cs="Times New Roman"/>
          <w:sz w:val="24"/>
        </w:rPr>
        <w:t>Locations</w:t>
      </w:r>
      <w:r>
        <w:rPr>
          <w:rFonts w:cs="Times New Roman"/>
          <w:sz w:val="24"/>
        </w:rPr>
        <w:t xml:space="preserve"> with a more mixed economy resulted in more numerous </w:t>
      </w:r>
      <w:r w:rsidRPr="00F50C86">
        <w:rPr>
          <w:rFonts w:cs="Times New Roman"/>
          <w:sz w:val="24"/>
        </w:rPr>
        <w:t>minor, joint, trust and other irregular accounts (e.g. only 72% of Limehouse accounts in 1851 were adult accounts, 78% of Newcastle accounts in 1863).</w:t>
      </w:r>
    </w:p>
    <w:p w14:paraId="37A08231" w14:textId="77777777" w:rsidR="006539EA" w:rsidRPr="00F50C86" w:rsidRDefault="006539EA" w:rsidP="00876A6B">
      <w:pPr>
        <w:spacing w:line="480" w:lineRule="auto"/>
        <w:jc w:val="both"/>
        <w:rPr>
          <w:rFonts w:cs="Times New Roman"/>
          <w:sz w:val="24"/>
        </w:rPr>
      </w:pPr>
    </w:p>
    <w:p w14:paraId="23AF59E2" w14:textId="77777777" w:rsidR="006539EA" w:rsidRDefault="00020B02" w:rsidP="00876A6B">
      <w:pPr>
        <w:spacing w:line="480" w:lineRule="auto"/>
        <w:jc w:val="both"/>
        <w:rPr>
          <w:sz w:val="24"/>
        </w:rPr>
      </w:pPr>
      <w:r>
        <w:rPr>
          <w:sz w:val="24"/>
        </w:rPr>
        <w:t xml:space="preserve">The savings patterns </w:t>
      </w:r>
      <w:r w:rsidR="00A63F4E">
        <w:rPr>
          <w:sz w:val="24"/>
        </w:rPr>
        <w:t xml:space="preserve">in </w:t>
      </w:r>
      <w:r>
        <w:rPr>
          <w:sz w:val="24"/>
        </w:rPr>
        <w:t>child/minor</w:t>
      </w:r>
      <w:r w:rsidR="006539EA">
        <w:rPr>
          <w:sz w:val="24"/>
        </w:rPr>
        <w:t xml:space="preserve"> accounts </w:t>
      </w:r>
      <w:r w:rsidR="00C251D9">
        <w:rPr>
          <w:sz w:val="24"/>
        </w:rPr>
        <w:t xml:space="preserve">emerge </w:t>
      </w:r>
      <w:r w:rsidR="0076748B">
        <w:rPr>
          <w:sz w:val="24"/>
        </w:rPr>
        <w:t>when l</w:t>
      </w:r>
      <w:r w:rsidR="00C251D9">
        <w:rPr>
          <w:sz w:val="24"/>
        </w:rPr>
        <w:t xml:space="preserve">ooking at </w:t>
      </w:r>
      <w:r w:rsidR="0076748B">
        <w:rPr>
          <w:sz w:val="24"/>
        </w:rPr>
        <w:t>account activity in combination with census information and, where available, other accounts held by siblings. The findings are s</w:t>
      </w:r>
      <w:r w:rsidR="006539EA">
        <w:rPr>
          <w:sz w:val="24"/>
        </w:rPr>
        <w:t xml:space="preserve">uggestive of three broad account-opening strategies by families. The first strategy is the one that opponents to the savings banks </w:t>
      </w:r>
      <w:r w:rsidR="003C677D">
        <w:rPr>
          <w:sz w:val="24"/>
        </w:rPr>
        <w:t xml:space="preserve">suggested would be a persistent abuse </w:t>
      </w:r>
      <w:r w:rsidR="003C677D">
        <w:rPr>
          <w:sz w:val="24"/>
        </w:rPr>
        <w:lastRenderedPageBreak/>
        <w:t xml:space="preserve">of the aims of the savings bank i.e. where accounts are </w:t>
      </w:r>
      <w:r w:rsidR="006539EA">
        <w:rPr>
          <w:sz w:val="24"/>
        </w:rPr>
        <w:t>opened with the maximum amount that could be deposited in one year (£30) and used to generate income</w:t>
      </w:r>
      <w:r w:rsidR="003C677D">
        <w:rPr>
          <w:sz w:val="24"/>
        </w:rPr>
        <w:t xml:space="preserve"> from interest payments</w:t>
      </w:r>
      <w:r w:rsidR="006539EA">
        <w:rPr>
          <w:sz w:val="24"/>
        </w:rPr>
        <w:t>. This behaviour has traditionally been ascribed to middle class investors</w:t>
      </w:r>
      <w:r w:rsidR="003C677D">
        <w:rPr>
          <w:sz w:val="24"/>
        </w:rPr>
        <w:t xml:space="preserve"> gaming the system, but there are alternative </w:t>
      </w:r>
      <w:r w:rsidR="006539EA">
        <w:rPr>
          <w:sz w:val="24"/>
        </w:rPr>
        <w:t>complex gift and/or</w:t>
      </w:r>
      <w:r w:rsidR="003C677D">
        <w:rPr>
          <w:sz w:val="24"/>
        </w:rPr>
        <w:t xml:space="preserve"> lump sum earnings explanations that suggest legitimate working class savings strategies.</w:t>
      </w:r>
      <w:r w:rsidR="006539EA">
        <w:rPr>
          <w:sz w:val="24"/>
        </w:rPr>
        <w:t xml:space="preserve"> For example, in Limehouse in 1861 accounts are opened with £30 for two children in the Berridge family of Bromley Street – Emily and Louisa. We know from the census records of 1861 that Emily is 4 years old and living with her 3 siblings, her widowed grandmother and her mother. Her mother Elizabeth has declared herself to be a mariner's wife, with her spouse presumably away at sea. The property </w:t>
      </w:r>
      <w:r w:rsidR="003C677D">
        <w:rPr>
          <w:sz w:val="24"/>
        </w:rPr>
        <w:t xml:space="preserve">she is living in </w:t>
      </w:r>
      <w:r w:rsidR="006539EA">
        <w:rPr>
          <w:sz w:val="24"/>
        </w:rPr>
        <w:t>is shared with another mariner's wife and her son. The money is deposited and withdrawn again before the account is two years old. It is unlikely that Emily is aware that the account has been opened in her name and closed again</w:t>
      </w:r>
      <w:r w:rsidR="003C677D">
        <w:rPr>
          <w:sz w:val="24"/>
        </w:rPr>
        <w:t>,</w:t>
      </w:r>
      <w:r w:rsidR="006539EA">
        <w:rPr>
          <w:sz w:val="24"/>
        </w:rPr>
        <w:t xml:space="preserve"> so </w:t>
      </w:r>
      <w:r w:rsidR="003C677D">
        <w:rPr>
          <w:sz w:val="24"/>
        </w:rPr>
        <w:t xml:space="preserve">it seems safe to assume the account is </w:t>
      </w:r>
      <w:r w:rsidR="006539EA">
        <w:rPr>
          <w:sz w:val="24"/>
        </w:rPr>
        <w:t>being used to store s</w:t>
      </w:r>
      <w:r w:rsidR="003C677D">
        <w:rPr>
          <w:sz w:val="24"/>
        </w:rPr>
        <w:t xml:space="preserve">urplus safely for the household. However, </w:t>
      </w:r>
      <w:r w:rsidR="00CC0B1F">
        <w:rPr>
          <w:sz w:val="24"/>
        </w:rPr>
        <w:t>the origin</w:t>
      </w:r>
      <w:r w:rsidR="006539EA">
        <w:rPr>
          <w:sz w:val="24"/>
        </w:rPr>
        <w:t xml:space="preserve"> of the money (such as </w:t>
      </w:r>
      <w:r w:rsidR="003C677D">
        <w:rPr>
          <w:sz w:val="24"/>
        </w:rPr>
        <w:t xml:space="preserve">a </w:t>
      </w:r>
      <w:r w:rsidR="006539EA">
        <w:rPr>
          <w:sz w:val="24"/>
        </w:rPr>
        <w:t>gift</w:t>
      </w:r>
      <w:r w:rsidR="003C677D">
        <w:rPr>
          <w:sz w:val="24"/>
        </w:rPr>
        <w:t xml:space="preserve"> to the family</w:t>
      </w:r>
      <w:r w:rsidR="006539EA">
        <w:rPr>
          <w:sz w:val="24"/>
        </w:rPr>
        <w:t>,</w:t>
      </w:r>
      <w:r w:rsidR="003C677D">
        <w:rPr>
          <w:sz w:val="24"/>
        </w:rPr>
        <w:t xml:space="preserve"> money pooled between the mariners’ wives, or a </w:t>
      </w:r>
      <w:r w:rsidR="006539EA">
        <w:rPr>
          <w:sz w:val="24"/>
        </w:rPr>
        <w:t>lump-sum payment of mariners' wages</w:t>
      </w:r>
      <w:r w:rsidR="003C677D">
        <w:rPr>
          <w:sz w:val="24"/>
        </w:rPr>
        <w:t>)</w:t>
      </w:r>
      <w:r w:rsidR="006539EA">
        <w:rPr>
          <w:sz w:val="24"/>
        </w:rPr>
        <w:t xml:space="preserve"> is obscured. Although we can make judgements as to </w:t>
      </w:r>
      <w:r w:rsidR="006539EA" w:rsidRPr="002237AD">
        <w:rPr>
          <w:i/>
          <w:sz w:val="24"/>
        </w:rPr>
        <w:t>what</w:t>
      </w:r>
      <w:r w:rsidR="006539EA">
        <w:rPr>
          <w:sz w:val="24"/>
        </w:rPr>
        <w:t xml:space="preserve"> savings strategies are being pursued within families</w:t>
      </w:r>
      <w:r w:rsidR="003C677D">
        <w:rPr>
          <w:sz w:val="24"/>
        </w:rPr>
        <w:t xml:space="preserve"> and what it </w:t>
      </w:r>
      <w:r w:rsidR="003C677D" w:rsidRPr="00CC0B1F">
        <w:rPr>
          <w:i/>
          <w:sz w:val="24"/>
        </w:rPr>
        <w:t>suggests</w:t>
      </w:r>
      <w:r w:rsidR="003C677D">
        <w:rPr>
          <w:sz w:val="24"/>
        </w:rPr>
        <w:t xml:space="preserve"> by way of control and dis</w:t>
      </w:r>
      <w:r w:rsidR="00CC0B1F">
        <w:rPr>
          <w:sz w:val="24"/>
        </w:rPr>
        <w:t>tribution decisions</w:t>
      </w:r>
      <w:r w:rsidR="006539EA">
        <w:rPr>
          <w:sz w:val="24"/>
        </w:rPr>
        <w:t xml:space="preserve">, we cannot ever be sure of the reasons </w:t>
      </w:r>
      <w:r w:rsidR="006539EA" w:rsidRPr="002237AD">
        <w:rPr>
          <w:i/>
          <w:sz w:val="24"/>
        </w:rPr>
        <w:t>why</w:t>
      </w:r>
      <w:r w:rsidR="006539EA">
        <w:rPr>
          <w:sz w:val="24"/>
        </w:rPr>
        <w:t xml:space="preserve"> individual intra-household savings decisions are made. </w:t>
      </w:r>
    </w:p>
    <w:p w14:paraId="191802E7" w14:textId="77777777" w:rsidR="006539EA" w:rsidRDefault="006539EA" w:rsidP="00876A6B">
      <w:pPr>
        <w:spacing w:line="480" w:lineRule="auto"/>
        <w:jc w:val="both"/>
        <w:rPr>
          <w:sz w:val="24"/>
        </w:rPr>
      </w:pPr>
    </w:p>
    <w:p w14:paraId="49341C8D" w14:textId="03F67C54" w:rsidR="006539EA" w:rsidRDefault="006539EA" w:rsidP="00876A6B">
      <w:pPr>
        <w:spacing w:line="480" w:lineRule="auto"/>
        <w:jc w:val="both"/>
        <w:rPr>
          <w:sz w:val="24"/>
        </w:rPr>
      </w:pPr>
      <w:r>
        <w:rPr>
          <w:sz w:val="24"/>
        </w:rPr>
        <w:t xml:space="preserve">The second </w:t>
      </w:r>
      <w:r w:rsidR="00A34FA6">
        <w:rPr>
          <w:sz w:val="24"/>
        </w:rPr>
        <w:t>type of child</w:t>
      </w:r>
      <w:r>
        <w:rPr>
          <w:sz w:val="24"/>
        </w:rPr>
        <w:t xml:space="preserve"> accounts are illustrated by </w:t>
      </w:r>
      <w:r w:rsidR="00A34FA6">
        <w:rPr>
          <w:sz w:val="24"/>
        </w:rPr>
        <w:t xml:space="preserve">another </w:t>
      </w:r>
      <w:r>
        <w:rPr>
          <w:sz w:val="24"/>
        </w:rPr>
        <w:t xml:space="preserve">two sisters </w:t>
      </w:r>
      <w:r w:rsidR="00487492">
        <w:rPr>
          <w:sz w:val="24"/>
        </w:rPr>
        <w:t xml:space="preserve">in the records </w:t>
      </w:r>
      <w:r>
        <w:rPr>
          <w:sz w:val="24"/>
        </w:rPr>
        <w:t>who open accounts and have one deposit and one withdrawal in an account length of le</w:t>
      </w:r>
      <w:r w:rsidR="00487492">
        <w:rPr>
          <w:sz w:val="24"/>
        </w:rPr>
        <w:t>ss than two years.</w:t>
      </w:r>
      <w:r>
        <w:rPr>
          <w:sz w:val="24"/>
        </w:rPr>
        <w:t xml:space="preserve"> Like the Berridge sisters, Eliza and Martha </w:t>
      </w:r>
      <w:r w:rsidR="00487492">
        <w:rPr>
          <w:sz w:val="24"/>
        </w:rPr>
        <w:t xml:space="preserve">Smith </w:t>
      </w:r>
      <w:r>
        <w:rPr>
          <w:sz w:val="24"/>
        </w:rPr>
        <w:t>also had identical amounts deposited for them in bank accounts - but in this case only 3s 6d, which suggests a gift of money from the parents or other relative</w:t>
      </w:r>
      <w:r w:rsidR="00A34FA6">
        <w:rPr>
          <w:sz w:val="24"/>
        </w:rPr>
        <w:t>, which is later withdrawn to purchase a necessity for the child or on behalf of the child</w:t>
      </w:r>
      <w:r w:rsidR="00CC0B1F">
        <w:rPr>
          <w:sz w:val="24"/>
        </w:rPr>
        <w:t xml:space="preserve">. </w:t>
      </w:r>
      <w:r>
        <w:rPr>
          <w:sz w:val="24"/>
        </w:rPr>
        <w:t xml:space="preserve"> The final account strategy is a transition account type </w:t>
      </w:r>
      <w:r>
        <w:rPr>
          <w:sz w:val="24"/>
        </w:rPr>
        <w:lastRenderedPageBreak/>
        <w:t>– where an account is opened by or for a child in order to encourage the habit of thrift or saving for a specific outcome and the child continues with the habit o</w:t>
      </w:r>
      <w:r w:rsidR="00487492">
        <w:rPr>
          <w:sz w:val="24"/>
        </w:rPr>
        <w:t xml:space="preserve">ver a longer period of time. Alice Hayward, for example, </w:t>
      </w:r>
      <w:r>
        <w:rPr>
          <w:sz w:val="24"/>
        </w:rPr>
        <w:t>takes over five years and four separate deposits to accumulate her £4 5s 11d befor</w:t>
      </w:r>
      <w:r w:rsidR="00487492">
        <w:rPr>
          <w:sz w:val="24"/>
        </w:rPr>
        <w:t xml:space="preserve">e withdrawing the whole amount when she reaches her </w:t>
      </w:r>
      <w:r>
        <w:rPr>
          <w:sz w:val="24"/>
        </w:rPr>
        <w:t xml:space="preserve">late teens. Children's accounts, coming as they do from three "opening" strategies thereafter fall into two main saver behaviour categories – the "in and out" account (as per the two sets of sisters) and the "accumulation" account as demonstrated by Alice Hayward. </w:t>
      </w:r>
      <w:r w:rsidR="00CC0B1F">
        <w:rPr>
          <w:sz w:val="24"/>
        </w:rPr>
        <w:t>Minor acco</w:t>
      </w:r>
      <w:r>
        <w:rPr>
          <w:sz w:val="24"/>
        </w:rPr>
        <w:t>unts that are held for longer periods of time (&gt;5 years and &gt;10 years) show a trend towards becoming contingency accounts as the account holder exits childhood and become economically active</w:t>
      </w:r>
      <w:r w:rsidR="00487492">
        <w:rPr>
          <w:sz w:val="24"/>
        </w:rPr>
        <w:t xml:space="preserve"> in their early teens</w:t>
      </w:r>
      <w:r>
        <w:rPr>
          <w:sz w:val="24"/>
        </w:rPr>
        <w:t>.</w:t>
      </w:r>
    </w:p>
    <w:p w14:paraId="6F3835BF" w14:textId="77777777" w:rsidR="006539EA" w:rsidRDefault="006539EA" w:rsidP="00876A6B">
      <w:pPr>
        <w:spacing w:line="480" w:lineRule="auto"/>
        <w:jc w:val="both"/>
        <w:rPr>
          <w:sz w:val="24"/>
        </w:rPr>
      </w:pPr>
    </w:p>
    <w:p w14:paraId="5A72C923" w14:textId="77777777" w:rsidR="006539EA" w:rsidRPr="0026273B" w:rsidRDefault="006539EA" w:rsidP="00876A6B">
      <w:pPr>
        <w:spacing w:line="480" w:lineRule="auto"/>
        <w:jc w:val="both"/>
        <w:rPr>
          <w:rFonts w:cs="Times New Roman"/>
        </w:rPr>
      </w:pPr>
    </w:p>
    <w:p w14:paraId="009B1B29" w14:textId="77777777" w:rsidR="006539EA" w:rsidRPr="00825DFA" w:rsidRDefault="006539EA" w:rsidP="00876A6B">
      <w:pPr>
        <w:spacing w:line="480" w:lineRule="auto"/>
        <w:jc w:val="both"/>
        <w:rPr>
          <w:rFonts w:eastAsiaTheme="minorEastAsia" w:cs="Times New Roman"/>
          <w:b/>
          <w:sz w:val="24"/>
        </w:rPr>
      </w:pPr>
      <w:r w:rsidRPr="00825DFA">
        <w:rPr>
          <w:rFonts w:eastAsiaTheme="minorEastAsia" w:cs="Times New Roman"/>
          <w:b/>
          <w:sz w:val="24"/>
        </w:rPr>
        <w:t>Conclusion</w:t>
      </w:r>
    </w:p>
    <w:p w14:paraId="596DA665" w14:textId="77777777" w:rsidR="006539EA" w:rsidRPr="00825DFA" w:rsidRDefault="006539EA" w:rsidP="00876A6B">
      <w:pPr>
        <w:spacing w:line="480" w:lineRule="auto"/>
        <w:jc w:val="both"/>
        <w:rPr>
          <w:rFonts w:eastAsiaTheme="minorEastAsia" w:cs="Times New Roman"/>
          <w:b/>
          <w:sz w:val="24"/>
        </w:rPr>
      </w:pPr>
    </w:p>
    <w:p w14:paraId="5E955ADD" w14:textId="77777777" w:rsidR="000A6E97" w:rsidRDefault="006539EA" w:rsidP="000A6E97">
      <w:pPr>
        <w:spacing w:line="480" w:lineRule="auto"/>
        <w:jc w:val="both"/>
        <w:rPr>
          <w:rFonts w:cs="Times New Roman"/>
          <w:sz w:val="24"/>
        </w:rPr>
      </w:pPr>
      <w:r w:rsidRPr="00825DFA">
        <w:rPr>
          <w:rFonts w:eastAsiaTheme="minorEastAsia" w:cs="Times New Roman"/>
          <w:sz w:val="24"/>
        </w:rPr>
        <w:t xml:space="preserve">Previous research on savings banks in the 19th century has largely dealt with the history of </w:t>
      </w:r>
      <w:r w:rsidRPr="000A6E97">
        <w:rPr>
          <w:rFonts w:eastAsiaTheme="minorEastAsia" w:cs="Times New Roman"/>
          <w:sz w:val="24"/>
        </w:rPr>
        <w:t xml:space="preserve">banks as institutions or concentrated on two aspects - the class composition of the savers and/or the performance of individual banks. At the same time, gender and family historians have debated economic decision-making in the household relying on a restricted number of sources. Savings bank depositor data has been largely neglected as a source for the investigation of intra-household financial decisions. </w:t>
      </w:r>
      <w:r w:rsidR="000A6E97" w:rsidRPr="000A6E97">
        <w:rPr>
          <w:rFonts w:eastAsiaTheme="minorEastAsia" w:cs="Times New Roman"/>
          <w:sz w:val="24"/>
        </w:rPr>
        <w:t xml:space="preserve">Our research, which will be of interest to </w:t>
      </w:r>
      <w:r w:rsidR="000A6E97" w:rsidRPr="000A6E97">
        <w:rPr>
          <w:rFonts w:eastAsia="Times New Roman" w:cs="Times New Roman"/>
          <w:color w:val="222222"/>
          <w:sz w:val="24"/>
          <w:shd w:val="clear" w:color="auto" w:fill="FFFFFF"/>
        </w:rPr>
        <w:t>financial historians, social historians, labour historians, gender historians and cultural historians who have an interest in working class households and their behaviour, uses depositor data to cast light on the financial management strategies of working class households</w:t>
      </w:r>
      <w:r w:rsidR="000A6E97" w:rsidRPr="000A6E97">
        <w:rPr>
          <w:rFonts w:cs="Times New Roman"/>
          <w:sz w:val="24"/>
        </w:rPr>
        <w:t xml:space="preserve">. Women (married, single and widowed) have a large presence as account </w:t>
      </w:r>
      <w:r w:rsidR="000A6E97" w:rsidRPr="000A6E97">
        <w:rPr>
          <w:rFonts w:cs="Times New Roman"/>
          <w:sz w:val="24"/>
        </w:rPr>
        <w:lastRenderedPageBreak/>
        <w:t>holders, minors' accounts are significant in number and value, and there is evidence of joint family savings where larger urban banks allowed for such ‘irregular’ accounts.</w:t>
      </w:r>
      <w:r w:rsidR="000A6E97">
        <w:rPr>
          <w:rFonts w:cs="Times New Roman"/>
          <w:sz w:val="24"/>
        </w:rPr>
        <w:t xml:space="preserve"> </w:t>
      </w:r>
    </w:p>
    <w:p w14:paraId="22CBC45A" w14:textId="77777777" w:rsidR="000A6E97" w:rsidRDefault="000A6E97" w:rsidP="000A6E97">
      <w:pPr>
        <w:spacing w:line="480" w:lineRule="auto"/>
        <w:jc w:val="both"/>
        <w:rPr>
          <w:rFonts w:cs="Times New Roman"/>
          <w:sz w:val="24"/>
        </w:rPr>
      </w:pPr>
    </w:p>
    <w:p w14:paraId="7E387208" w14:textId="77777777" w:rsidR="000A6E97" w:rsidRPr="00825DFA" w:rsidRDefault="006736C1" w:rsidP="000A6E97">
      <w:pPr>
        <w:spacing w:line="480" w:lineRule="auto"/>
        <w:jc w:val="both"/>
        <w:rPr>
          <w:rFonts w:cs="Times New Roman"/>
          <w:sz w:val="24"/>
        </w:rPr>
      </w:pPr>
      <w:r>
        <w:rPr>
          <w:rFonts w:cs="Times New Roman"/>
          <w:sz w:val="24"/>
        </w:rPr>
        <w:t>We want to be clear about the limitations of our empirical work in establishing why individuals were making the choices they were in relation to their banking arrangements, and what goals they may or may not have been pursuing. Co</w:t>
      </w:r>
      <w:r w:rsidR="00A64BA0">
        <w:rPr>
          <w:rFonts w:cs="Times New Roman"/>
          <w:sz w:val="24"/>
        </w:rPr>
        <w:t xml:space="preserve">nsiderable challenges exist in linking bank accounts to basic biographical information via the census, or other extant records that are likely to capture working class individuals. </w:t>
      </w:r>
      <w:r w:rsidR="00C31281">
        <w:rPr>
          <w:rFonts w:cs="Times New Roman"/>
          <w:sz w:val="24"/>
        </w:rPr>
        <w:t xml:space="preserve">This makes even the most rudimentary sketch of an individual’s circumstances difficult to establish. </w:t>
      </w:r>
      <w:r w:rsidR="00A64BA0">
        <w:rPr>
          <w:rFonts w:cs="Times New Roman"/>
          <w:sz w:val="24"/>
        </w:rPr>
        <w:t>Furthermore, our pilot research was intended only to establish whether savings records was likely to be a good source of data on working class women’s financial management</w:t>
      </w:r>
      <w:r w:rsidR="00C31281">
        <w:rPr>
          <w:rFonts w:cs="Times New Roman"/>
          <w:sz w:val="24"/>
        </w:rPr>
        <w:t xml:space="preserve"> or not</w:t>
      </w:r>
      <w:r w:rsidR="00A64BA0">
        <w:rPr>
          <w:rFonts w:cs="Times New Roman"/>
          <w:sz w:val="24"/>
        </w:rPr>
        <w:t>. The extent of women’s representation, and especially of married women’s representation, in the records took us by surprise. Further work is clearly needed to return to the depositor records and to construct</w:t>
      </w:r>
      <w:r w:rsidR="00766A8F">
        <w:rPr>
          <w:rFonts w:cs="Times New Roman"/>
          <w:sz w:val="24"/>
        </w:rPr>
        <w:t xml:space="preserve"> a more detailed savings database t</w:t>
      </w:r>
      <w:r w:rsidR="00A64BA0">
        <w:rPr>
          <w:rFonts w:cs="Times New Roman"/>
          <w:sz w:val="24"/>
        </w:rPr>
        <w:t>hat captures not only the type of transaction</w:t>
      </w:r>
      <w:r w:rsidR="00766A8F">
        <w:rPr>
          <w:rFonts w:cs="Times New Roman"/>
          <w:sz w:val="24"/>
        </w:rPr>
        <w:t>,</w:t>
      </w:r>
      <w:r w:rsidR="00A64BA0">
        <w:rPr>
          <w:rFonts w:cs="Times New Roman"/>
          <w:sz w:val="24"/>
        </w:rPr>
        <w:t xml:space="preserve"> but the exact amount and </w:t>
      </w:r>
      <w:r w:rsidR="00766A8F">
        <w:rPr>
          <w:rFonts w:cs="Times New Roman"/>
          <w:sz w:val="24"/>
        </w:rPr>
        <w:t>its specific date in order to allow for more detailed analysis within and across households in specific time periods and locations. A greater number of years also need to be sampled across the 19</w:t>
      </w:r>
      <w:r w:rsidR="00766A8F" w:rsidRPr="00766A8F">
        <w:rPr>
          <w:rFonts w:cs="Times New Roman"/>
          <w:sz w:val="24"/>
          <w:vertAlign w:val="superscript"/>
        </w:rPr>
        <w:t>th</w:t>
      </w:r>
      <w:r w:rsidR="00766A8F">
        <w:rPr>
          <w:rFonts w:cs="Times New Roman"/>
          <w:sz w:val="24"/>
        </w:rPr>
        <w:t xml:space="preserve"> century in order to be able to account for changing labour market conditions as the century progressed. These caveats notwithstanding we believe that </w:t>
      </w:r>
      <w:r w:rsidR="00A7259E">
        <w:rPr>
          <w:rFonts w:cs="Times New Roman"/>
          <w:sz w:val="24"/>
        </w:rPr>
        <w:t xml:space="preserve">the data we have presented </w:t>
      </w:r>
      <w:r w:rsidR="00A7259E">
        <w:rPr>
          <w:rFonts w:eastAsiaTheme="minorEastAsia" w:cs="Times New Roman"/>
          <w:sz w:val="24"/>
        </w:rPr>
        <w:t>suggests a</w:t>
      </w:r>
      <w:r w:rsidR="00A7259E" w:rsidRPr="00825DFA">
        <w:rPr>
          <w:rFonts w:eastAsiaTheme="minorEastAsia" w:cs="Times New Roman"/>
          <w:sz w:val="24"/>
        </w:rPr>
        <w:t xml:space="preserve"> repertoire of </w:t>
      </w:r>
      <w:r w:rsidR="003071FC">
        <w:rPr>
          <w:rFonts w:eastAsiaTheme="minorEastAsia" w:cs="Times New Roman"/>
          <w:sz w:val="24"/>
        </w:rPr>
        <w:t xml:space="preserve">historical </w:t>
      </w:r>
      <w:r w:rsidR="00A7259E">
        <w:rPr>
          <w:rFonts w:eastAsiaTheme="minorEastAsia" w:cs="Times New Roman"/>
          <w:sz w:val="24"/>
        </w:rPr>
        <w:t xml:space="preserve">household </w:t>
      </w:r>
      <w:r w:rsidR="003071FC">
        <w:rPr>
          <w:rFonts w:eastAsiaTheme="minorEastAsia" w:cs="Times New Roman"/>
          <w:sz w:val="24"/>
        </w:rPr>
        <w:t xml:space="preserve">management strategies around savings that are the equal, in terms of differing models and contexts, of contemporary trends as established in the sociological literature. </w:t>
      </w:r>
    </w:p>
    <w:p w14:paraId="567B85BB" w14:textId="77777777" w:rsidR="00A7459A" w:rsidRPr="00825DFA" w:rsidRDefault="00A7459A" w:rsidP="00876A6B">
      <w:pPr>
        <w:spacing w:line="480" w:lineRule="auto"/>
        <w:jc w:val="both"/>
        <w:rPr>
          <w:rFonts w:eastAsiaTheme="minorEastAsia" w:cs="Times New Roman"/>
          <w:sz w:val="24"/>
        </w:rPr>
      </w:pPr>
    </w:p>
    <w:p w14:paraId="5BC63544" w14:textId="77777777" w:rsidR="00A3236E" w:rsidRDefault="003071FC" w:rsidP="00876A6B">
      <w:pPr>
        <w:spacing w:line="480" w:lineRule="auto"/>
        <w:jc w:val="both"/>
        <w:rPr>
          <w:rFonts w:eastAsiaTheme="minorEastAsia" w:cs="Times New Roman"/>
          <w:sz w:val="24"/>
        </w:rPr>
      </w:pPr>
      <w:r>
        <w:rPr>
          <w:rFonts w:eastAsiaTheme="minorEastAsia" w:cs="Times New Roman"/>
          <w:sz w:val="24"/>
        </w:rPr>
        <w:t>It is</w:t>
      </w:r>
      <w:r w:rsidR="00341FBB" w:rsidRPr="00825DFA">
        <w:rPr>
          <w:rFonts w:eastAsiaTheme="minorEastAsia" w:cs="Times New Roman"/>
          <w:sz w:val="24"/>
        </w:rPr>
        <w:t xml:space="preserve"> </w:t>
      </w:r>
      <w:r w:rsidR="009C3AE9" w:rsidRPr="00825DFA">
        <w:rPr>
          <w:rFonts w:eastAsiaTheme="minorEastAsia" w:cs="Times New Roman"/>
          <w:sz w:val="24"/>
        </w:rPr>
        <w:t xml:space="preserve">difficult to sustain </w:t>
      </w:r>
      <w:r>
        <w:rPr>
          <w:rFonts w:eastAsiaTheme="minorEastAsia" w:cs="Times New Roman"/>
          <w:sz w:val="24"/>
        </w:rPr>
        <w:t xml:space="preserve">the historiography of working class </w:t>
      </w:r>
      <w:r w:rsidR="00341FBB" w:rsidRPr="00825DFA">
        <w:rPr>
          <w:rFonts w:eastAsiaTheme="minorEastAsia" w:cs="Times New Roman"/>
          <w:sz w:val="24"/>
        </w:rPr>
        <w:t xml:space="preserve">male control of </w:t>
      </w:r>
      <w:r>
        <w:rPr>
          <w:rFonts w:eastAsiaTheme="minorEastAsia" w:cs="Times New Roman"/>
          <w:sz w:val="24"/>
        </w:rPr>
        <w:t xml:space="preserve">household finances </w:t>
      </w:r>
      <w:r w:rsidR="0048647D" w:rsidRPr="00825DFA">
        <w:rPr>
          <w:rFonts w:eastAsiaTheme="minorEastAsia" w:cs="Times New Roman"/>
          <w:sz w:val="24"/>
        </w:rPr>
        <w:t xml:space="preserve">in the face of the accumulated </w:t>
      </w:r>
      <w:r w:rsidR="00341FBB" w:rsidRPr="00825DFA">
        <w:rPr>
          <w:rFonts w:eastAsiaTheme="minorEastAsia" w:cs="Times New Roman"/>
          <w:sz w:val="24"/>
        </w:rPr>
        <w:t>data that saving was not an exclusively male activity</w:t>
      </w:r>
      <w:r w:rsidR="0048647D" w:rsidRPr="00825DFA">
        <w:rPr>
          <w:rFonts w:eastAsiaTheme="minorEastAsia" w:cs="Times New Roman"/>
          <w:sz w:val="24"/>
        </w:rPr>
        <w:t xml:space="preserve">. </w:t>
      </w:r>
      <w:r w:rsidR="003F15AA" w:rsidRPr="00825DFA">
        <w:rPr>
          <w:rFonts w:eastAsiaTheme="minorEastAsia" w:cs="Times New Roman"/>
          <w:sz w:val="24"/>
        </w:rPr>
        <w:t>Although some researchers</w:t>
      </w:r>
      <w:r w:rsidR="003F15AA" w:rsidRPr="00825DFA">
        <w:rPr>
          <w:rStyle w:val="EndnoteReference"/>
          <w:rFonts w:eastAsiaTheme="minorEastAsia" w:cs="Times New Roman"/>
          <w:sz w:val="24"/>
        </w:rPr>
        <w:endnoteReference w:id="76"/>
      </w:r>
      <w:r w:rsidR="003F15AA" w:rsidRPr="00825DFA">
        <w:rPr>
          <w:rFonts w:eastAsiaTheme="minorEastAsia" w:cs="Times New Roman"/>
          <w:sz w:val="24"/>
        </w:rPr>
        <w:t xml:space="preserve"> have questioned the common assumption that the legal </w:t>
      </w:r>
      <w:r w:rsidR="003F15AA" w:rsidRPr="00825DFA">
        <w:rPr>
          <w:rFonts w:eastAsiaTheme="minorEastAsia" w:cs="Times New Roman"/>
          <w:sz w:val="24"/>
        </w:rPr>
        <w:lastRenderedPageBreak/>
        <w:t xml:space="preserve">environment prior to the MWPA was hostile to co-operative money management the </w:t>
      </w:r>
      <w:r w:rsidR="003F15AA">
        <w:rPr>
          <w:rFonts w:eastAsiaTheme="minorEastAsia" w:cs="Times New Roman"/>
          <w:sz w:val="24"/>
        </w:rPr>
        <w:t xml:space="preserve">dominant narrative </w:t>
      </w:r>
      <w:r w:rsidR="003F15AA" w:rsidRPr="00825DFA">
        <w:rPr>
          <w:rFonts w:eastAsiaTheme="minorEastAsia" w:cs="Times New Roman"/>
          <w:sz w:val="24"/>
        </w:rPr>
        <w:t xml:space="preserve">– especially </w:t>
      </w:r>
      <w:r w:rsidR="003F15AA">
        <w:rPr>
          <w:rFonts w:eastAsiaTheme="minorEastAsia" w:cs="Times New Roman"/>
          <w:sz w:val="24"/>
        </w:rPr>
        <w:t xml:space="preserve">in respect of the </w:t>
      </w:r>
      <w:r w:rsidR="003F15AA" w:rsidRPr="00825DFA">
        <w:rPr>
          <w:rFonts w:eastAsiaTheme="minorEastAsia" w:cs="Times New Roman"/>
          <w:sz w:val="24"/>
        </w:rPr>
        <w:t xml:space="preserve">social history of working class households – has assumed that </w:t>
      </w:r>
      <w:r w:rsidR="003F15AA">
        <w:rPr>
          <w:rFonts w:eastAsiaTheme="minorEastAsia" w:cs="Times New Roman"/>
          <w:sz w:val="24"/>
        </w:rPr>
        <w:t xml:space="preserve">the </w:t>
      </w:r>
      <w:r w:rsidR="003F15AA" w:rsidRPr="00825DFA">
        <w:rPr>
          <w:rFonts w:eastAsiaTheme="minorEastAsia" w:cs="Times New Roman"/>
          <w:sz w:val="24"/>
        </w:rPr>
        <w:t xml:space="preserve">restrictive legal environment and social taboos against </w:t>
      </w:r>
      <w:r w:rsidR="003F15AA">
        <w:rPr>
          <w:rFonts w:eastAsiaTheme="minorEastAsia" w:cs="Times New Roman"/>
          <w:sz w:val="24"/>
        </w:rPr>
        <w:t>women's</w:t>
      </w:r>
      <w:r w:rsidR="003F15AA" w:rsidRPr="00825DFA">
        <w:rPr>
          <w:rFonts w:eastAsiaTheme="minorEastAsia" w:cs="Times New Roman"/>
          <w:sz w:val="24"/>
        </w:rPr>
        <w:t xml:space="preserve"> econ</w:t>
      </w:r>
      <w:r w:rsidR="003F15AA">
        <w:rPr>
          <w:rFonts w:eastAsiaTheme="minorEastAsia" w:cs="Times New Roman"/>
          <w:sz w:val="24"/>
        </w:rPr>
        <w:t xml:space="preserve">omic activity encouraged patriarchal control and financial management. The </w:t>
      </w:r>
      <w:r w:rsidR="0048647D" w:rsidRPr="00825DFA">
        <w:rPr>
          <w:rFonts w:eastAsiaTheme="minorEastAsia" w:cs="Times New Roman"/>
          <w:sz w:val="24"/>
        </w:rPr>
        <w:t xml:space="preserve">large numbers of married women accounts, the evidence of accounts transitioning from single to married status, </w:t>
      </w:r>
      <w:r w:rsidR="00BA2B30" w:rsidRPr="00825DFA">
        <w:rPr>
          <w:rFonts w:eastAsiaTheme="minorEastAsia" w:cs="Times New Roman"/>
          <w:sz w:val="24"/>
        </w:rPr>
        <w:t>joint married accounts</w:t>
      </w:r>
      <w:r w:rsidR="0048647D" w:rsidRPr="00825DFA">
        <w:rPr>
          <w:rFonts w:eastAsiaTheme="minorEastAsia" w:cs="Times New Roman"/>
          <w:sz w:val="24"/>
        </w:rPr>
        <w:t xml:space="preserve">, </w:t>
      </w:r>
      <w:r w:rsidR="00BA2B30" w:rsidRPr="00825DFA">
        <w:rPr>
          <w:rFonts w:eastAsiaTheme="minorEastAsia" w:cs="Times New Roman"/>
          <w:sz w:val="24"/>
        </w:rPr>
        <w:t xml:space="preserve">and </w:t>
      </w:r>
      <w:r w:rsidR="0048647D" w:rsidRPr="00825DFA">
        <w:rPr>
          <w:rFonts w:eastAsiaTheme="minorEastAsia" w:cs="Times New Roman"/>
          <w:sz w:val="24"/>
        </w:rPr>
        <w:t>the encouragement of savings accounts</w:t>
      </w:r>
      <w:r w:rsidR="00BA2B30" w:rsidRPr="00825DFA">
        <w:rPr>
          <w:rFonts w:eastAsiaTheme="minorEastAsia" w:cs="Times New Roman"/>
          <w:sz w:val="24"/>
        </w:rPr>
        <w:t xml:space="preserve"> of minors including working minors</w:t>
      </w:r>
      <w:r w:rsidR="002E66BF">
        <w:rPr>
          <w:rFonts w:eastAsiaTheme="minorEastAsia" w:cs="Times New Roman"/>
          <w:sz w:val="24"/>
        </w:rPr>
        <w:t xml:space="preserve"> are all suggestive of a number of varied, and contextual, household financial strategies in operation</w:t>
      </w:r>
      <w:r w:rsidR="00827DEE" w:rsidRPr="00825DFA">
        <w:rPr>
          <w:rFonts w:eastAsiaTheme="minorEastAsia" w:cs="Times New Roman"/>
          <w:sz w:val="24"/>
        </w:rPr>
        <w:t xml:space="preserve">. </w:t>
      </w:r>
    </w:p>
    <w:p w14:paraId="5DF665D7" w14:textId="77777777" w:rsidR="002E66BF" w:rsidRDefault="002E66BF" w:rsidP="00876A6B">
      <w:pPr>
        <w:spacing w:line="480" w:lineRule="auto"/>
        <w:jc w:val="both"/>
        <w:rPr>
          <w:rFonts w:eastAsiaTheme="minorEastAsia" w:cs="Times New Roman"/>
          <w:sz w:val="24"/>
        </w:rPr>
      </w:pPr>
    </w:p>
    <w:p w14:paraId="50ADD7C6" w14:textId="77777777" w:rsidR="002E66BF" w:rsidRDefault="002E66BF" w:rsidP="00876A6B">
      <w:pPr>
        <w:spacing w:line="480" w:lineRule="auto"/>
        <w:jc w:val="both"/>
        <w:rPr>
          <w:rFonts w:eastAsiaTheme="minorEastAsia" w:cs="Times New Roman"/>
          <w:sz w:val="24"/>
        </w:rPr>
      </w:pPr>
      <w:r>
        <w:rPr>
          <w:rFonts w:eastAsiaTheme="minorEastAsia" w:cs="Times New Roman"/>
          <w:sz w:val="24"/>
        </w:rPr>
        <w:t xml:space="preserve">These preliminary findings are encouraging and suggest that savings bank depositor data represents an important, and informative, data source </w:t>
      </w:r>
      <w:r w:rsidR="00D47DCF">
        <w:rPr>
          <w:rFonts w:eastAsiaTheme="minorEastAsia" w:cs="Times New Roman"/>
          <w:sz w:val="24"/>
        </w:rPr>
        <w:t xml:space="preserve">for the understanding of savings behaviour and the history of individual and household financial management. </w:t>
      </w:r>
      <w:r w:rsidR="000B182B">
        <w:rPr>
          <w:rFonts w:eastAsiaTheme="minorEastAsia" w:cs="Times New Roman"/>
          <w:sz w:val="24"/>
        </w:rPr>
        <w:t>The depositor records provide a much needed additional source of informa</w:t>
      </w:r>
      <w:r w:rsidR="00BD2320">
        <w:rPr>
          <w:rFonts w:eastAsiaTheme="minorEastAsia" w:cs="Times New Roman"/>
          <w:sz w:val="24"/>
        </w:rPr>
        <w:t xml:space="preserve">tion about working class incomes and money management and will hopefully provide a rich source of data for research that is more akin to the sociological analysis of household money management than the less nuanced economic models of household financial management. </w:t>
      </w:r>
    </w:p>
    <w:p w14:paraId="383BABA2" w14:textId="77777777" w:rsidR="003071FC" w:rsidRDefault="003071FC" w:rsidP="00876A6B">
      <w:pPr>
        <w:spacing w:line="480" w:lineRule="auto"/>
        <w:jc w:val="both"/>
        <w:rPr>
          <w:rFonts w:eastAsiaTheme="minorEastAsia" w:cs="Times New Roman"/>
          <w:sz w:val="24"/>
        </w:rPr>
      </w:pPr>
    </w:p>
    <w:p w14:paraId="6434447C" w14:textId="77777777" w:rsidR="00825DFA" w:rsidRDefault="00825DFA" w:rsidP="00876A6B">
      <w:pPr>
        <w:spacing w:line="480" w:lineRule="auto"/>
        <w:rPr>
          <w:rFonts w:eastAsiaTheme="minorEastAsia" w:cs="Times New Roman"/>
          <w:b/>
          <w:sz w:val="24"/>
        </w:rPr>
      </w:pPr>
    </w:p>
    <w:p w14:paraId="443432B2" w14:textId="77777777" w:rsidR="00A3236E" w:rsidRDefault="00B5489E" w:rsidP="00876A6B">
      <w:pPr>
        <w:spacing w:line="480" w:lineRule="auto"/>
        <w:jc w:val="both"/>
        <w:rPr>
          <w:rFonts w:eastAsiaTheme="minorEastAsia" w:cs="Times New Roman"/>
          <w:b/>
          <w:sz w:val="24"/>
        </w:rPr>
      </w:pPr>
      <w:r>
        <w:rPr>
          <w:rFonts w:eastAsiaTheme="minorEastAsia" w:cs="Times New Roman"/>
          <w:b/>
          <w:sz w:val="24"/>
        </w:rPr>
        <w:t xml:space="preserve">Bibliography </w:t>
      </w:r>
    </w:p>
    <w:p w14:paraId="2189B4DA" w14:textId="77777777" w:rsidR="004C36F8" w:rsidRPr="00872B14" w:rsidRDefault="004C36F8" w:rsidP="00872B14">
      <w:pPr>
        <w:spacing w:line="480" w:lineRule="auto"/>
        <w:rPr>
          <w:rFonts w:eastAsia="Times New Roman" w:cs="Times New Roman"/>
          <w:sz w:val="24"/>
        </w:rPr>
      </w:pPr>
      <w:r w:rsidRPr="00872B14">
        <w:rPr>
          <w:rFonts w:eastAsia="Times New Roman" w:cs="Times New Roman"/>
          <w:color w:val="222222"/>
          <w:sz w:val="24"/>
          <w:shd w:val="clear" w:color="auto" w:fill="FFFFFF"/>
        </w:rPr>
        <w:t>Alter, George, Claudia Goldin, and Elyce Rotella. "The savings of ordinary Americans: The Philadelphia Saving Fund Society in the mid-nineteenth century." </w:t>
      </w:r>
      <w:r w:rsidRPr="00872B14">
        <w:rPr>
          <w:rFonts w:eastAsia="Times New Roman" w:cs="Times New Roman"/>
          <w:i/>
          <w:iCs/>
          <w:color w:val="222222"/>
          <w:sz w:val="24"/>
          <w:shd w:val="clear" w:color="auto" w:fill="FFFFFF"/>
        </w:rPr>
        <w:t xml:space="preserve">The Journal of Economic History, </w:t>
      </w:r>
      <w:r w:rsidRPr="00872B14">
        <w:rPr>
          <w:rFonts w:eastAsia="Times New Roman" w:cs="Times New Roman"/>
          <w:color w:val="222222"/>
          <w:sz w:val="24"/>
          <w:shd w:val="clear" w:color="auto" w:fill="FFFFFF"/>
        </w:rPr>
        <w:t>54 (04) (1994): 735-767.</w:t>
      </w:r>
    </w:p>
    <w:p w14:paraId="3AEBCF09" w14:textId="77777777" w:rsidR="004C36F8" w:rsidRDefault="004C36F8" w:rsidP="00876A6B">
      <w:pPr>
        <w:spacing w:line="480" w:lineRule="auto"/>
        <w:jc w:val="both"/>
        <w:rPr>
          <w:rFonts w:cs="Times New Roman"/>
          <w:sz w:val="24"/>
          <w:lang w:val="en-US"/>
        </w:rPr>
      </w:pPr>
    </w:p>
    <w:p w14:paraId="03725CD2" w14:textId="77777777" w:rsidR="00825DFA" w:rsidRPr="008B1707" w:rsidRDefault="00A350AB" w:rsidP="00876A6B">
      <w:pPr>
        <w:spacing w:line="480" w:lineRule="auto"/>
        <w:jc w:val="both"/>
        <w:rPr>
          <w:rFonts w:cs="Times New Roman"/>
          <w:sz w:val="24"/>
          <w:lang w:val="en-US"/>
        </w:rPr>
      </w:pPr>
      <w:r w:rsidRPr="008B1707">
        <w:rPr>
          <w:rFonts w:cs="Times New Roman"/>
          <w:sz w:val="24"/>
          <w:lang w:val="en-US"/>
        </w:rPr>
        <w:lastRenderedPageBreak/>
        <w:t xml:space="preserve">Beckert, Sven. Emancipation and Empire: Reconstructing the Worldwide Web of Cotton Production in the Age of the American Civil War. </w:t>
      </w:r>
      <w:r w:rsidRPr="008B1707">
        <w:rPr>
          <w:rFonts w:cs="Times New Roman"/>
          <w:i/>
          <w:iCs/>
          <w:sz w:val="24"/>
          <w:lang w:val="en-US"/>
        </w:rPr>
        <w:t xml:space="preserve">The American Historical Review, </w:t>
      </w:r>
      <w:r w:rsidRPr="008B1707">
        <w:rPr>
          <w:rFonts w:cs="Times New Roman"/>
          <w:iCs/>
          <w:sz w:val="24"/>
          <w:lang w:val="en-US"/>
        </w:rPr>
        <w:t xml:space="preserve">109 </w:t>
      </w:r>
      <w:r w:rsidR="000A6E97">
        <w:rPr>
          <w:rFonts w:cs="Times New Roman"/>
          <w:sz w:val="24"/>
          <w:lang w:val="en-US"/>
        </w:rPr>
        <w:t>(5)</w:t>
      </w:r>
      <w:r w:rsidRPr="008B1707">
        <w:rPr>
          <w:rFonts w:cs="Times New Roman"/>
          <w:sz w:val="24"/>
          <w:lang w:val="en-US"/>
        </w:rPr>
        <w:t xml:space="preserve"> </w:t>
      </w:r>
      <w:r w:rsidR="0014300D" w:rsidRPr="008B1707">
        <w:rPr>
          <w:rFonts w:cs="Times New Roman"/>
          <w:sz w:val="24"/>
          <w:lang w:val="en-US"/>
        </w:rPr>
        <w:t>(2004)</w:t>
      </w:r>
      <w:r w:rsidR="008B1707">
        <w:rPr>
          <w:rFonts w:cs="Times New Roman"/>
          <w:sz w:val="24"/>
          <w:lang w:val="en-US"/>
        </w:rPr>
        <w:t>:</w:t>
      </w:r>
      <w:r w:rsidR="0014300D" w:rsidRPr="008B1707">
        <w:rPr>
          <w:rFonts w:cs="Times New Roman"/>
          <w:sz w:val="24"/>
          <w:lang w:val="en-US"/>
        </w:rPr>
        <w:t xml:space="preserve"> </w:t>
      </w:r>
      <w:r w:rsidRPr="008B1707">
        <w:rPr>
          <w:rFonts w:cs="Times New Roman"/>
          <w:sz w:val="24"/>
          <w:lang w:val="en-US"/>
        </w:rPr>
        <w:t>1405-1438.</w:t>
      </w:r>
    </w:p>
    <w:p w14:paraId="555FA1E1" w14:textId="77777777" w:rsidR="00A350AB" w:rsidRPr="002D494B" w:rsidRDefault="00A350AB" w:rsidP="00876A6B">
      <w:pPr>
        <w:spacing w:line="480" w:lineRule="auto"/>
        <w:jc w:val="both"/>
        <w:rPr>
          <w:rFonts w:eastAsiaTheme="minorEastAsia" w:cs="Times New Roman"/>
          <w:b/>
          <w:sz w:val="24"/>
        </w:rPr>
      </w:pPr>
    </w:p>
    <w:p w14:paraId="50D21A6A" w14:textId="77777777" w:rsidR="004D0A0F" w:rsidRDefault="004D0A0F" w:rsidP="00876A6B">
      <w:pPr>
        <w:spacing w:line="480" w:lineRule="auto"/>
        <w:rPr>
          <w:rFonts w:cs="Times New Roman"/>
          <w:sz w:val="24"/>
        </w:rPr>
      </w:pPr>
      <w:r w:rsidRPr="00BD5772">
        <w:rPr>
          <w:rFonts w:cs="Times New Roman"/>
          <w:sz w:val="24"/>
        </w:rPr>
        <w:t>Bell, F</w:t>
      </w:r>
      <w:r w:rsidR="00210A53">
        <w:rPr>
          <w:rFonts w:cs="Times New Roman"/>
          <w:sz w:val="24"/>
        </w:rPr>
        <w:t>lorence</w:t>
      </w:r>
      <w:r w:rsidRPr="00BD5772">
        <w:rPr>
          <w:rFonts w:cs="Times New Roman"/>
          <w:sz w:val="24"/>
        </w:rPr>
        <w:t xml:space="preserve">. </w:t>
      </w:r>
      <w:proofErr w:type="gramStart"/>
      <w:r w:rsidRPr="00BD5772">
        <w:rPr>
          <w:rFonts w:cs="Times New Roman"/>
          <w:i/>
          <w:sz w:val="24"/>
        </w:rPr>
        <w:t>At the Works</w:t>
      </w:r>
      <w:r w:rsidR="00FE16C4" w:rsidRPr="00BD5772">
        <w:rPr>
          <w:rFonts w:cs="Times New Roman"/>
          <w:i/>
          <w:sz w:val="24"/>
        </w:rPr>
        <w:t>.</w:t>
      </w:r>
      <w:proofErr w:type="gramEnd"/>
      <w:r w:rsidRPr="00BD5772">
        <w:rPr>
          <w:rFonts w:cs="Times New Roman"/>
          <w:sz w:val="24"/>
        </w:rPr>
        <w:t xml:space="preserve"> London: Edward Arnold, 1907.</w:t>
      </w:r>
    </w:p>
    <w:p w14:paraId="274C4101" w14:textId="77777777" w:rsidR="00876A6B" w:rsidRPr="00BD5772" w:rsidRDefault="00876A6B" w:rsidP="00876A6B">
      <w:pPr>
        <w:spacing w:line="480" w:lineRule="auto"/>
        <w:rPr>
          <w:rFonts w:cs="Times New Roman"/>
          <w:sz w:val="24"/>
        </w:rPr>
      </w:pPr>
    </w:p>
    <w:p w14:paraId="33669DCE" w14:textId="77777777" w:rsidR="004D0A0F" w:rsidRDefault="004D0A0F" w:rsidP="00876A6B">
      <w:pPr>
        <w:spacing w:line="480" w:lineRule="auto"/>
        <w:rPr>
          <w:rFonts w:cs="Times New Roman"/>
          <w:sz w:val="24"/>
        </w:rPr>
      </w:pPr>
      <w:r w:rsidRPr="00BD5772">
        <w:rPr>
          <w:rFonts w:cs="Times New Roman"/>
          <w:sz w:val="24"/>
        </w:rPr>
        <w:t>Benson, J</w:t>
      </w:r>
      <w:r w:rsidR="00210A53">
        <w:rPr>
          <w:rFonts w:cs="Times New Roman"/>
          <w:sz w:val="24"/>
        </w:rPr>
        <w:t>ohn</w:t>
      </w:r>
      <w:r w:rsidRPr="00BD5772">
        <w:rPr>
          <w:rFonts w:cs="Times New Roman"/>
          <w:sz w:val="24"/>
        </w:rPr>
        <w:t xml:space="preserve">. </w:t>
      </w:r>
      <w:proofErr w:type="gramStart"/>
      <w:r w:rsidRPr="00BD5772">
        <w:rPr>
          <w:rFonts w:cs="Times New Roman"/>
          <w:i/>
          <w:sz w:val="24"/>
        </w:rPr>
        <w:t>The Working Class in Britain 1850-1939</w:t>
      </w:r>
      <w:r w:rsidR="00FE16C4" w:rsidRPr="00BD5772">
        <w:rPr>
          <w:rFonts w:cs="Times New Roman"/>
          <w:sz w:val="24"/>
        </w:rPr>
        <w:t>.</w:t>
      </w:r>
      <w:proofErr w:type="gramEnd"/>
      <w:r w:rsidRPr="00BD5772">
        <w:rPr>
          <w:rFonts w:cs="Times New Roman"/>
          <w:sz w:val="24"/>
        </w:rPr>
        <w:t xml:space="preserve"> London: Longman</w:t>
      </w:r>
      <w:r w:rsidR="008B1707">
        <w:rPr>
          <w:rFonts w:cs="Times New Roman"/>
          <w:sz w:val="24"/>
        </w:rPr>
        <w:t>,</w:t>
      </w:r>
      <w:r w:rsidRPr="00BD5772">
        <w:rPr>
          <w:rFonts w:cs="Times New Roman"/>
          <w:sz w:val="24"/>
        </w:rPr>
        <w:t xml:space="preserve"> 1989.</w:t>
      </w:r>
    </w:p>
    <w:p w14:paraId="02C0A488" w14:textId="77777777" w:rsidR="00876A6B" w:rsidRPr="00BD5772" w:rsidRDefault="00876A6B" w:rsidP="00876A6B">
      <w:pPr>
        <w:spacing w:line="480" w:lineRule="auto"/>
        <w:rPr>
          <w:rFonts w:cs="Times New Roman"/>
          <w:sz w:val="24"/>
        </w:rPr>
      </w:pPr>
    </w:p>
    <w:p w14:paraId="3374ADD4" w14:textId="77777777" w:rsidR="004D0A0F" w:rsidRDefault="004D0A0F" w:rsidP="00876A6B">
      <w:pPr>
        <w:spacing w:line="480" w:lineRule="auto"/>
        <w:rPr>
          <w:rFonts w:cs="Times New Roman"/>
          <w:sz w:val="24"/>
          <w:shd w:val="clear" w:color="auto" w:fill="FFFFFF"/>
        </w:rPr>
      </w:pPr>
      <w:r w:rsidRPr="00BD5772">
        <w:rPr>
          <w:rFonts w:cs="Times New Roman"/>
          <w:bCs/>
          <w:sz w:val="24"/>
        </w:rPr>
        <w:t>Booth, C</w:t>
      </w:r>
      <w:r w:rsidR="00512411">
        <w:rPr>
          <w:rFonts w:cs="Times New Roman"/>
          <w:bCs/>
          <w:sz w:val="24"/>
        </w:rPr>
        <w:t>harles</w:t>
      </w:r>
      <w:r w:rsidRPr="00BD5772">
        <w:rPr>
          <w:rFonts w:cs="Times New Roman"/>
          <w:bCs/>
          <w:sz w:val="24"/>
        </w:rPr>
        <w:t xml:space="preserve">. </w:t>
      </w:r>
      <w:r w:rsidRPr="00BD5772">
        <w:rPr>
          <w:rFonts w:cs="Times New Roman"/>
          <w:bCs/>
          <w:i/>
          <w:sz w:val="24"/>
        </w:rPr>
        <w:t>Survey into life and labour in London</w:t>
      </w:r>
      <w:r w:rsidR="00FE16C4" w:rsidRPr="00BD5772">
        <w:rPr>
          <w:rFonts w:cs="Times New Roman"/>
          <w:bCs/>
          <w:i/>
          <w:sz w:val="24"/>
        </w:rPr>
        <w:t xml:space="preserve">. </w:t>
      </w:r>
      <w:r w:rsidRPr="00BD5772">
        <w:rPr>
          <w:rFonts w:cs="Times New Roman"/>
          <w:bCs/>
          <w:sz w:val="24"/>
        </w:rPr>
        <w:t xml:space="preserve"> </w:t>
      </w:r>
      <w:r w:rsidR="00FE16C4" w:rsidRPr="00BD5772">
        <w:rPr>
          <w:rFonts w:cs="Times New Roman"/>
          <w:bCs/>
          <w:sz w:val="24"/>
        </w:rPr>
        <w:t>London:</w:t>
      </w:r>
      <w:r w:rsidR="009552C8" w:rsidRPr="00BD5772">
        <w:rPr>
          <w:rFonts w:cs="Times New Roman"/>
          <w:bCs/>
          <w:sz w:val="24"/>
        </w:rPr>
        <w:t xml:space="preserve"> Macmillan</w:t>
      </w:r>
      <w:r w:rsidR="008B1707">
        <w:rPr>
          <w:rFonts w:cs="Times New Roman"/>
          <w:bCs/>
          <w:sz w:val="24"/>
        </w:rPr>
        <w:t>, R</w:t>
      </w:r>
      <w:r w:rsidR="009552C8" w:rsidRPr="00BD5772">
        <w:rPr>
          <w:rFonts w:cs="Times New Roman"/>
          <w:sz w:val="24"/>
          <w:shd w:val="clear" w:color="auto" w:fill="FFFFFF"/>
        </w:rPr>
        <w:t>evised edn. 1902-3.</w:t>
      </w:r>
    </w:p>
    <w:p w14:paraId="1E3D6F3E" w14:textId="77777777" w:rsidR="00876A6B" w:rsidRPr="00BD5772" w:rsidRDefault="00876A6B" w:rsidP="00876A6B">
      <w:pPr>
        <w:spacing w:line="480" w:lineRule="auto"/>
        <w:rPr>
          <w:rFonts w:cs="Times New Roman"/>
          <w:bCs/>
          <w:sz w:val="24"/>
        </w:rPr>
      </w:pPr>
    </w:p>
    <w:p w14:paraId="35E1641B" w14:textId="77777777" w:rsidR="004D0A0F" w:rsidRDefault="009552C8" w:rsidP="00876A6B">
      <w:pPr>
        <w:spacing w:line="480" w:lineRule="auto"/>
        <w:rPr>
          <w:rFonts w:cs="Times New Roman"/>
          <w:sz w:val="24"/>
        </w:rPr>
      </w:pPr>
      <w:r w:rsidRPr="00BD5772">
        <w:rPr>
          <w:rFonts w:eastAsia="Times New Roman" w:cs="Times New Roman"/>
          <w:color w:val="222222"/>
          <w:sz w:val="24"/>
          <w:lang w:eastAsia="en-GB"/>
        </w:rPr>
        <w:t>Bourke, J</w:t>
      </w:r>
      <w:r w:rsidR="00210A53">
        <w:rPr>
          <w:rFonts w:eastAsia="Times New Roman" w:cs="Times New Roman"/>
          <w:color w:val="222222"/>
          <w:sz w:val="24"/>
          <w:lang w:eastAsia="en-GB"/>
        </w:rPr>
        <w:t>oanna</w:t>
      </w:r>
      <w:r w:rsidR="00FC75AB" w:rsidRPr="00BD5772">
        <w:rPr>
          <w:rFonts w:eastAsia="Times New Roman" w:cs="Times New Roman"/>
          <w:color w:val="222222"/>
          <w:sz w:val="24"/>
          <w:lang w:eastAsia="en-GB"/>
        </w:rPr>
        <w:t>.</w:t>
      </w:r>
      <w:r w:rsidRPr="00BD5772">
        <w:rPr>
          <w:rFonts w:eastAsia="Times New Roman" w:cs="Times New Roman"/>
          <w:color w:val="222222"/>
          <w:sz w:val="24"/>
          <w:lang w:eastAsia="en-GB"/>
        </w:rPr>
        <w:t xml:space="preserve"> </w:t>
      </w:r>
      <w:r w:rsidR="0088280D">
        <w:rPr>
          <w:rFonts w:eastAsia="Times New Roman" w:cs="Times New Roman"/>
          <w:color w:val="222222"/>
          <w:sz w:val="24"/>
          <w:lang w:eastAsia="en-GB"/>
        </w:rPr>
        <w:t>"</w:t>
      </w:r>
      <w:r w:rsidR="004D0A0F" w:rsidRPr="00BD5772">
        <w:rPr>
          <w:rFonts w:eastAsia="Times New Roman" w:cs="Times New Roman"/>
          <w:bCs/>
          <w:color w:val="222222"/>
          <w:sz w:val="24"/>
          <w:lang w:eastAsia="en-GB"/>
        </w:rPr>
        <w:t>Housewifery In Working-Class England 1860–1914</w:t>
      </w:r>
      <w:r w:rsidR="0088280D">
        <w:rPr>
          <w:rFonts w:eastAsia="Times New Roman" w:cs="Times New Roman"/>
          <w:bCs/>
          <w:color w:val="222222"/>
          <w:sz w:val="24"/>
          <w:lang w:eastAsia="en-GB"/>
        </w:rPr>
        <w:t>"</w:t>
      </w:r>
      <w:r w:rsidR="004D0A0F" w:rsidRPr="00BD5772">
        <w:rPr>
          <w:rFonts w:eastAsia="Times New Roman" w:cs="Times New Roman"/>
          <w:bCs/>
          <w:color w:val="222222"/>
          <w:sz w:val="24"/>
          <w:lang w:eastAsia="en-GB"/>
        </w:rPr>
        <w:t xml:space="preserve"> </w:t>
      </w:r>
      <w:r w:rsidR="004D0A0F" w:rsidRPr="00BD5772">
        <w:rPr>
          <w:rFonts w:eastAsia="Times New Roman" w:cs="Times New Roman"/>
          <w:i/>
          <w:iCs/>
          <w:color w:val="222222"/>
          <w:sz w:val="24"/>
          <w:lang w:eastAsia="en-GB"/>
        </w:rPr>
        <w:t>Past and Present</w:t>
      </w:r>
      <w:r w:rsidR="006A4952">
        <w:rPr>
          <w:rFonts w:eastAsia="Times New Roman" w:cs="Times New Roman"/>
          <w:i/>
          <w:iCs/>
          <w:color w:val="222222"/>
          <w:sz w:val="24"/>
          <w:lang w:eastAsia="en-GB"/>
        </w:rPr>
        <w:t>,</w:t>
      </w:r>
      <w:r w:rsidR="004D0A0F" w:rsidRPr="00BD5772">
        <w:rPr>
          <w:rFonts w:eastAsia="Times New Roman" w:cs="Times New Roman"/>
          <w:i/>
          <w:iCs/>
          <w:color w:val="222222"/>
          <w:sz w:val="24"/>
          <w:lang w:eastAsia="en-GB"/>
        </w:rPr>
        <w:t xml:space="preserve"> </w:t>
      </w:r>
      <w:r w:rsidR="004D0A0F" w:rsidRPr="00BD5772">
        <w:rPr>
          <w:rFonts w:eastAsia="Times New Roman" w:cs="Times New Roman"/>
          <w:iCs/>
          <w:color w:val="222222"/>
          <w:sz w:val="24"/>
          <w:lang w:eastAsia="en-GB"/>
        </w:rPr>
        <w:t>143</w:t>
      </w:r>
      <w:r w:rsidR="00FC75AB" w:rsidRPr="00BD5772">
        <w:rPr>
          <w:rFonts w:eastAsia="Times New Roman" w:cs="Times New Roman"/>
          <w:iCs/>
          <w:color w:val="222222"/>
          <w:sz w:val="24"/>
          <w:lang w:eastAsia="en-GB"/>
        </w:rPr>
        <w:t xml:space="preserve"> (1) </w:t>
      </w:r>
      <w:r w:rsidR="004D0A0F" w:rsidRPr="00BD5772">
        <w:rPr>
          <w:rFonts w:eastAsia="Times New Roman" w:cs="Times New Roman"/>
          <w:iCs/>
          <w:color w:val="222222"/>
          <w:sz w:val="24"/>
          <w:lang w:eastAsia="en-GB"/>
        </w:rPr>
        <w:t>(</w:t>
      </w:r>
      <w:r w:rsidR="00FC75AB" w:rsidRPr="00BD5772">
        <w:rPr>
          <w:rFonts w:eastAsia="Times New Roman" w:cs="Times New Roman"/>
          <w:iCs/>
          <w:color w:val="222222"/>
          <w:sz w:val="24"/>
          <w:lang w:eastAsia="en-GB"/>
        </w:rPr>
        <w:t>1994)</w:t>
      </w:r>
      <w:r w:rsidR="00710E9F">
        <w:rPr>
          <w:rFonts w:eastAsia="Times New Roman" w:cs="Times New Roman"/>
          <w:iCs/>
          <w:color w:val="222222"/>
          <w:sz w:val="24"/>
          <w:lang w:eastAsia="en-GB"/>
        </w:rPr>
        <w:t>:</w:t>
      </w:r>
      <w:r w:rsidR="00FC75AB" w:rsidRPr="00BD5772">
        <w:rPr>
          <w:rFonts w:eastAsia="Times New Roman" w:cs="Times New Roman"/>
          <w:iCs/>
          <w:color w:val="222222"/>
          <w:sz w:val="24"/>
          <w:lang w:eastAsia="en-GB"/>
        </w:rPr>
        <w:t xml:space="preserve"> </w:t>
      </w:r>
      <w:r w:rsidR="004D0A0F" w:rsidRPr="00BD5772">
        <w:rPr>
          <w:rFonts w:eastAsia="Times New Roman" w:cs="Times New Roman"/>
          <w:iCs/>
          <w:color w:val="222222"/>
          <w:sz w:val="24"/>
          <w:lang w:eastAsia="en-GB"/>
        </w:rPr>
        <w:t>167-197</w:t>
      </w:r>
      <w:r w:rsidR="00FE16C4" w:rsidRPr="00BD5772">
        <w:rPr>
          <w:rFonts w:eastAsia="Times New Roman" w:cs="Times New Roman"/>
          <w:iCs/>
          <w:color w:val="222222"/>
          <w:sz w:val="24"/>
          <w:lang w:eastAsia="en-GB"/>
        </w:rPr>
        <w:t>.</w:t>
      </w:r>
      <w:r w:rsidR="004D0A0F" w:rsidRPr="00BD5772">
        <w:rPr>
          <w:rFonts w:cs="Times New Roman"/>
          <w:sz w:val="24"/>
        </w:rPr>
        <w:t xml:space="preserve"> </w:t>
      </w:r>
    </w:p>
    <w:p w14:paraId="22CA3DB2" w14:textId="77777777" w:rsidR="00876A6B" w:rsidRPr="00BD5772" w:rsidRDefault="00876A6B" w:rsidP="00876A6B">
      <w:pPr>
        <w:spacing w:line="480" w:lineRule="auto"/>
        <w:rPr>
          <w:rFonts w:cs="Times New Roman"/>
          <w:sz w:val="24"/>
        </w:rPr>
      </w:pPr>
    </w:p>
    <w:p w14:paraId="43AD9FFE" w14:textId="77777777" w:rsidR="004D0A0F" w:rsidRDefault="004D0A0F" w:rsidP="00876A6B">
      <w:pPr>
        <w:spacing w:line="480" w:lineRule="auto"/>
        <w:rPr>
          <w:rFonts w:cs="Times New Roman"/>
          <w:sz w:val="24"/>
        </w:rPr>
      </w:pPr>
      <w:r w:rsidRPr="00BD5772">
        <w:rPr>
          <w:rFonts w:cs="Times New Roman"/>
          <w:sz w:val="24"/>
        </w:rPr>
        <w:t>Braunstein, E</w:t>
      </w:r>
      <w:r w:rsidR="00210A53">
        <w:rPr>
          <w:rFonts w:cs="Times New Roman"/>
          <w:sz w:val="24"/>
        </w:rPr>
        <w:t>lissa</w:t>
      </w:r>
      <w:r w:rsidRPr="00BD5772">
        <w:rPr>
          <w:rFonts w:cs="Times New Roman"/>
          <w:sz w:val="24"/>
        </w:rPr>
        <w:t xml:space="preserve"> and </w:t>
      </w:r>
      <w:r w:rsidR="0094611C">
        <w:rPr>
          <w:rFonts w:cs="Times New Roman"/>
          <w:sz w:val="24"/>
        </w:rPr>
        <w:t xml:space="preserve">Nancy </w:t>
      </w:r>
      <w:r w:rsidRPr="00BD5772">
        <w:rPr>
          <w:rFonts w:cs="Times New Roman"/>
          <w:sz w:val="24"/>
        </w:rPr>
        <w:t xml:space="preserve">Folbre. </w:t>
      </w:r>
      <w:r w:rsidR="00C01387">
        <w:rPr>
          <w:rFonts w:cs="Times New Roman"/>
          <w:sz w:val="24"/>
        </w:rPr>
        <w:t>"</w:t>
      </w:r>
      <w:r w:rsidRPr="00BD5772">
        <w:rPr>
          <w:rFonts w:cs="Times New Roman"/>
          <w:sz w:val="24"/>
        </w:rPr>
        <w:t>To Honor and Obey: Efficiency, Inequality, and Patriarchal Property Rights</w:t>
      </w:r>
      <w:r w:rsidR="00C01387">
        <w:rPr>
          <w:rFonts w:cs="Times New Roman"/>
          <w:sz w:val="24"/>
        </w:rPr>
        <w:t>"</w:t>
      </w:r>
      <w:r w:rsidRPr="00BD5772">
        <w:rPr>
          <w:rFonts w:cs="Times New Roman"/>
          <w:sz w:val="24"/>
        </w:rPr>
        <w:t xml:space="preserve">. </w:t>
      </w:r>
      <w:r w:rsidRPr="00BD5772">
        <w:rPr>
          <w:rFonts w:cs="Times New Roman"/>
          <w:i/>
          <w:sz w:val="24"/>
        </w:rPr>
        <w:t>Feminist Economics</w:t>
      </w:r>
      <w:r w:rsidRPr="00BD5772">
        <w:rPr>
          <w:rFonts w:cs="Times New Roman"/>
          <w:sz w:val="24"/>
        </w:rPr>
        <w:t>, 7</w:t>
      </w:r>
      <w:r w:rsidR="000A6E97">
        <w:rPr>
          <w:rFonts w:cs="Times New Roman"/>
          <w:sz w:val="24"/>
        </w:rPr>
        <w:t xml:space="preserve"> </w:t>
      </w:r>
      <w:r w:rsidRPr="00BD5772">
        <w:rPr>
          <w:rFonts w:cs="Times New Roman"/>
          <w:sz w:val="24"/>
        </w:rPr>
        <w:t xml:space="preserve">(1) </w:t>
      </w:r>
      <w:r w:rsidR="00FC75AB" w:rsidRPr="00BD5772">
        <w:rPr>
          <w:rFonts w:cs="Times New Roman"/>
          <w:sz w:val="24"/>
        </w:rPr>
        <w:t>(2001)</w:t>
      </w:r>
      <w:r w:rsidR="00710E9F">
        <w:rPr>
          <w:rFonts w:cs="Times New Roman"/>
          <w:sz w:val="24"/>
        </w:rPr>
        <w:t>:</w:t>
      </w:r>
      <w:r w:rsidR="00FC75AB" w:rsidRPr="00BD5772">
        <w:rPr>
          <w:rFonts w:cs="Times New Roman"/>
          <w:sz w:val="24"/>
        </w:rPr>
        <w:t xml:space="preserve"> </w:t>
      </w:r>
      <w:r w:rsidRPr="00BD5772">
        <w:rPr>
          <w:rFonts w:cs="Times New Roman"/>
          <w:sz w:val="24"/>
        </w:rPr>
        <w:t>25-44.</w:t>
      </w:r>
    </w:p>
    <w:p w14:paraId="76DFB44D" w14:textId="77777777" w:rsidR="00876A6B" w:rsidRDefault="00876A6B" w:rsidP="00876A6B">
      <w:pPr>
        <w:spacing w:line="480" w:lineRule="auto"/>
        <w:rPr>
          <w:rFonts w:cs="Times New Roman"/>
          <w:sz w:val="24"/>
        </w:rPr>
      </w:pPr>
    </w:p>
    <w:p w14:paraId="7F14F6CA" w14:textId="77777777" w:rsidR="0047454C" w:rsidRDefault="0047454C" w:rsidP="00876A6B">
      <w:pPr>
        <w:spacing w:line="480" w:lineRule="auto"/>
        <w:rPr>
          <w:rFonts w:cs="Times New Roman"/>
          <w:sz w:val="24"/>
        </w:rPr>
      </w:pPr>
      <w:r w:rsidRPr="00BD5772">
        <w:rPr>
          <w:rFonts w:cs="Times New Roman"/>
          <w:sz w:val="24"/>
        </w:rPr>
        <w:t>Burnette, J</w:t>
      </w:r>
      <w:r w:rsidR="00210A53">
        <w:rPr>
          <w:rFonts w:cs="Times New Roman"/>
          <w:sz w:val="24"/>
        </w:rPr>
        <w:t>oyce</w:t>
      </w:r>
      <w:r w:rsidRPr="00BD5772">
        <w:rPr>
          <w:rFonts w:cs="Times New Roman"/>
          <w:sz w:val="24"/>
        </w:rPr>
        <w:t xml:space="preserve">. </w:t>
      </w:r>
      <w:proofErr w:type="gramStart"/>
      <w:r w:rsidRPr="00BD5772">
        <w:rPr>
          <w:rFonts w:eastAsia="MS Mincho" w:cs="Times New Roman"/>
          <w:i/>
          <w:iCs/>
          <w:sz w:val="24"/>
        </w:rPr>
        <w:t>Gender, work and wages i</w:t>
      </w:r>
      <w:r w:rsidRPr="00BD5772">
        <w:rPr>
          <w:rFonts w:cs="Times New Roman"/>
          <w:i/>
          <w:iCs/>
          <w:sz w:val="24"/>
        </w:rPr>
        <w:t>n industrial revolution Britain.</w:t>
      </w:r>
      <w:proofErr w:type="gramEnd"/>
      <w:r w:rsidRPr="00BD5772">
        <w:rPr>
          <w:rFonts w:cs="Times New Roman"/>
          <w:i/>
          <w:iCs/>
          <w:sz w:val="24"/>
        </w:rPr>
        <w:t xml:space="preserve"> </w:t>
      </w:r>
      <w:r w:rsidRPr="00BD5772">
        <w:rPr>
          <w:rFonts w:eastAsia="MS Mincho" w:cs="Times New Roman"/>
          <w:sz w:val="24"/>
        </w:rPr>
        <w:t xml:space="preserve">Cambridge: Cambridge </w:t>
      </w:r>
      <w:r w:rsidRPr="00BD5772">
        <w:rPr>
          <w:rFonts w:cs="Times New Roman"/>
          <w:sz w:val="24"/>
        </w:rPr>
        <w:t>University Press, 2008.</w:t>
      </w:r>
    </w:p>
    <w:p w14:paraId="624C974C" w14:textId="77777777" w:rsidR="00876A6B" w:rsidRPr="00BD5772" w:rsidRDefault="00876A6B" w:rsidP="00876A6B">
      <w:pPr>
        <w:spacing w:line="480" w:lineRule="auto"/>
        <w:rPr>
          <w:rFonts w:cs="Times New Roman"/>
          <w:sz w:val="24"/>
        </w:rPr>
      </w:pPr>
    </w:p>
    <w:p w14:paraId="2F551873" w14:textId="77777777" w:rsidR="004D0A0F" w:rsidRDefault="004D0A0F" w:rsidP="00876A6B">
      <w:pPr>
        <w:spacing w:line="480" w:lineRule="auto"/>
        <w:rPr>
          <w:rFonts w:cs="Times New Roman"/>
          <w:sz w:val="24"/>
        </w:rPr>
      </w:pPr>
      <w:r w:rsidRPr="00BD5772">
        <w:rPr>
          <w:rFonts w:cs="Times New Roman"/>
          <w:sz w:val="24"/>
        </w:rPr>
        <w:t>Chinn, C</w:t>
      </w:r>
      <w:r w:rsidR="00210A53">
        <w:rPr>
          <w:rFonts w:cs="Times New Roman"/>
          <w:sz w:val="24"/>
        </w:rPr>
        <w:t>arl</w:t>
      </w:r>
      <w:r w:rsidRPr="00BD5772">
        <w:rPr>
          <w:rFonts w:cs="Times New Roman"/>
          <w:sz w:val="24"/>
        </w:rPr>
        <w:t xml:space="preserve">. </w:t>
      </w:r>
      <w:r w:rsidRPr="00BD5772">
        <w:rPr>
          <w:rFonts w:cs="Times New Roman"/>
          <w:i/>
          <w:sz w:val="24"/>
        </w:rPr>
        <w:t>They worked all their lives: women of the urban poor in England 1850–1939</w:t>
      </w:r>
      <w:r w:rsidR="00FE16C4" w:rsidRPr="00BD5772">
        <w:rPr>
          <w:rFonts w:cs="Times New Roman"/>
          <w:sz w:val="24"/>
        </w:rPr>
        <w:t>.</w:t>
      </w:r>
      <w:r w:rsidRPr="00BD5772">
        <w:rPr>
          <w:rFonts w:cs="Times New Roman"/>
          <w:sz w:val="24"/>
        </w:rPr>
        <w:t xml:space="preserve"> Manchester: MUP</w:t>
      </w:r>
      <w:r w:rsidR="008B1707">
        <w:rPr>
          <w:rFonts w:cs="Times New Roman"/>
          <w:sz w:val="24"/>
        </w:rPr>
        <w:t>,</w:t>
      </w:r>
      <w:r w:rsidRPr="00BD5772">
        <w:rPr>
          <w:rFonts w:cs="Times New Roman"/>
          <w:sz w:val="24"/>
        </w:rPr>
        <w:t xml:space="preserve"> 1988.</w:t>
      </w:r>
    </w:p>
    <w:p w14:paraId="6E97C572" w14:textId="77777777" w:rsidR="00BC15C9" w:rsidRDefault="00BC15C9" w:rsidP="00876A6B">
      <w:pPr>
        <w:autoSpaceDE w:val="0"/>
        <w:autoSpaceDN w:val="0"/>
        <w:adjustRightInd w:val="0"/>
        <w:spacing w:line="480" w:lineRule="auto"/>
        <w:rPr>
          <w:rFonts w:eastAsiaTheme="minorEastAsia" w:cs="Times New Roman"/>
          <w:sz w:val="24"/>
        </w:rPr>
      </w:pPr>
    </w:p>
    <w:p w14:paraId="4F7EA62B" w14:textId="77777777" w:rsidR="005F709B" w:rsidRDefault="005F709B" w:rsidP="00876A6B">
      <w:pPr>
        <w:autoSpaceDE w:val="0"/>
        <w:autoSpaceDN w:val="0"/>
        <w:adjustRightInd w:val="0"/>
        <w:spacing w:line="480" w:lineRule="auto"/>
        <w:rPr>
          <w:rFonts w:eastAsiaTheme="minorEastAsia" w:cs="Times New Roman"/>
          <w:sz w:val="24"/>
        </w:rPr>
      </w:pPr>
      <w:proofErr w:type="gramStart"/>
      <w:r w:rsidRPr="005F709B">
        <w:rPr>
          <w:rFonts w:eastAsiaTheme="minorEastAsia" w:cs="Times New Roman"/>
          <w:sz w:val="24"/>
        </w:rPr>
        <w:lastRenderedPageBreak/>
        <w:t>Combs, M</w:t>
      </w:r>
      <w:r w:rsidR="00512411">
        <w:rPr>
          <w:rFonts w:eastAsiaTheme="minorEastAsia" w:cs="Times New Roman"/>
          <w:sz w:val="24"/>
        </w:rPr>
        <w:t xml:space="preserve">ary </w:t>
      </w:r>
      <w:r w:rsidR="00CC6A08">
        <w:rPr>
          <w:rFonts w:eastAsiaTheme="minorEastAsia" w:cs="Times New Roman"/>
          <w:sz w:val="24"/>
        </w:rPr>
        <w:t>B</w:t>
      </w:r>
      <w:r w:rsidR="00512411">
        <w:rPr>
          <w:rFonts w:eastAsiaTheme="minorEastAsia" w:cs="Times New Roman"/>
          <w:sz w:val="24"/>
        </w:rPr>
        <w:t>eth</w:t>
      </w:r>
      <w:r w:rsidR="00725863">
        <w:rPr>
          <w:rFonts w:eastAsiaTheme="minorEastAsia" w:cs="Times New Roman"/>
          <w:sz w:val="24"/>
        </w:rPr>
        <w:t>.</w:t>
      </w:r>
      <w:proofErr w:type="gramEnd"/>
      <w:r w:rsidRPr="005F709B">
        <w:rPr>
          <w:rFonts w:eastAsiaTheme="minorEastAsia" w:cs="Times New Roman"/>
          <w:sz w:val="24"/>
        </w:rPr>
        <w:t xml:space="preserve"> “Wives and Household Wealth: The Impact of the 1870 British Married </w:t>
      </w:r>
      <w:r w:rsidR="00751B3E">
        <w:rPr>
          <w:rFonts w:eastAsiaTheme="minorEastAsia" w:cs="Times New Roman"/>
          <w:sz w:val="24"/>
        </w:rPr>
        <w:t>Women's</w:t>
      </w:r>
      <w:r w:rsidRPr="005F709B">
        <w:rPr>
          <w:rFonts w:eastAsiaTheme="minorEastAsia" w:cs="Times New Roman"/>
          <w:sz w:val="24"/>
        </w:rPr>
        <w:t xml:space="preserve"> Property Act on Wealth-holding and Share of Household Resources.” </w:t>
      </w:r>
      <w:r w:rsidRPr="005F709B">
        <w:rPr>
          <w:rFonts w:eastAsiaTheme="minorEastAsia" w:cs="Times New Roman"/>
          <w:i/>
          <w:iCs/>
          <w:sz w:val="24"/>
        </w:rPr>
        <w:t xml:space="preserve">Continuity and Change </w:t>
      </w:r>
      <w:r w:rsidR="008B1707">
        <w:rPr>
          <w:rFonts w:eastAsiaTheme="minorEastAsia" w:cs="Times New Roman"/>
          <w:sz w:val="24"/>
        </w:rPr>
        <w:t>19 (1)</w:t>
      </w:r>
      <w:r w:rsidRPr="005F709B">
        <w:rPr>
          <w:rFonts w:eastAsiaTheme="minorEastAsia" w:cs="Times New Roman"/>
          <w:sz w:val="24"/>
        </w:rPr>
        <w:t xml:space="preserve"> (2004)</w:t>
      </w:r>
      <w:r w:rsidR="008B1707">
        <w:rPr>
          <w:rFonts w:eastAsiaTheme="minorEastAsia" w:cs="Times New Roman"/>
          <w:sz w:val="24"/>
        </w:rPr>
        <w:t>:</w:t>
      </w:r>
      <w:r w:rsidRPr="005F709B">
        <w:rPr>
          <w:rFonts w:eastAsiaTheme="minorEastAsia" w:cs="Times New Roman"/>
          <w:sz w:val="24"/>
        </w:rPr>
        <w:t xml:space="preserve"> 141-163.</w:t>
      </w:r>
    </w:p>
    <w:p w14:paraId="48B98DEC" w14:textId="77777777" w:rsidR="00A45C37" w:rsidRDefault="00A45C37" w:rsidP="00876A6B">
      <w:pPr>
        <w:autoSpaceDE w:val="0"/>
        <w:autoSpaceDN w:val="0"/>
        <w:adjustRightInd w:val="0"/>
        <w:spacing w:line="480" w:lineRule="auto"/>
        <w:rPr>
          <w:rFonts w:eastAsiaTheme="minorEastAsia" w:cs="Times New Roman"/>
          <w:sz w:val="24"/>
        </w:rPr>
      </w:pPr>
    </w:p>
    <w:p w14:paraId="11866975" w14:textId="77777777" w:rsidR="00A45C37" w:rsidRDefault="00A45C37" w:rsidP="00876A6B">
      <w:pPr>
        <w:autoSpaceDE w:val="0"/>
        <w:autoSpaceDN w:val="0"/>
        <w:adjustRightInd w:val="0"/>
        <w:spacing w:line="480" w:lineRule="auto"/>
        <w:rPr>
          <w:rFonts w:eastAsiaTheme="minorEastAsia" w:cs="Times New Roman"/>
          <w:sz w:val="24"/>
        </w:rPr>
      </w:pPr>
      <w:r>
        <w:rPr>
          <w:rFonts w:eastAsiaTheme="minorEastAsia" w:cs="Times New Roman"/>
          <w:sz w:val="24"/>
        </w:rPr>
        <w:t>Cunningham, Hugh. “How many children were ‘unemployed’ in 18</w:t>
      </w:r>
      <w:r w:rsidRPr="00A45C37">
        <w:rPr>
          <w:rFonts w:eastAsiaTheme="minorEastAsia" w:cs="Times New Roman"/>
          <w:sz w:val="24"/>
          <w:vertAlign w:val="superscript"/>
        </w:rPr>
        <w:t>th</w:t>
      </w:r>
      <w:r>
        <w:rPr>
          <w:rFonts w:eastAsiaTheme="minorEastAsia" w:cs="Times New Roman"/>
          <w:sz w:val="24"/>
        </w:rPr>
        <w:t xml:space="preserve"> and 19</w:t>
      </w:r>
      <w:r w:rsidRPr="00A45C37">
        <w:rPr>
          <w:rFonts w:eastAsiaTheme="minorEastAsia" w:cs="Times New Roman"/>
          <w:sz w:val="24"/>
          <w:vertAlign w:val="superscript"/>
        </w:rPr>
        <w:t>th</w:t>
      </w:r>
      <w:r>
        <w:rPr>
          <w:rFonts w:eastAsiaTheme="minorEastAsia" w:cs="Times New Roman"/>
          <w:sz w:val="24"/>
        </w:rPr>
        <w:t xml:space="preserve"> Century England?</w:t>
      </w:r>
      <w:proofErr w:type="gramStart"/>
      <w:r>
        <w:rPr>
          <w:rFonts w:eastAsiaTheme="minorEastAsia" w:cs="Times New Roman"/>
          <w:sz w:val="24"/>
        </w:rPr>
        <w:t>”,</w:t>
      </w:r>
      <w:proofErr w:type="gramEnd"/>
      <w:r>
        <w:rPr>
          <w:rFonts w:eastAsiaTheme="minorEastAsia" w:cs="Times New Roman"/>
          <w:sz w:val="24"/>
        </w:rPr>
        <w:t xml:space="preserve"> </w:t>
      </w:r>
      <w:r w:rsidRPr="00A45C37">
        <w:rPr>
          <w:rFonts w:eastAsiaTheme="minorEastAsia" w:cs="Times New Roman"/>
          <w:i/>
          <w:sz w:val="24"/>
        </w:rPr>
        <w:t>Past and Present</w:t>
      </w:r>
      <w:r>
        <w:rPr>
          <w:rFonts w:eastAsiaTheme="minorEastAsia" w:cs="Times New Roman"/>
          <w:sz w:val="24"/>
        </w:rPr>
        <w:t>, 187 (2005): 203-215.</w:t>
      </w:r>
    </w:p>
    <w:p w14:paraId="6C88755C" w14:textId="77777777" w:rsidR="00876A6B" w:rsidRDefault="00876A6B" w:rsidP="00876A6B">
      <w:pPr>
        <w:autoSpaceDE w:val="0"/>
        <w:autoSpaceDN w:val="0"/>
        <w:adjustRightInd w:val="0"/>
        <w:spacing w:line="480" w:lineRule="auto"/>
        <w:rPr>
          <w:rFonts w:eastAsiaTheme="minorEastAsia" w:cs="Times New Roman"/>
          <w:sz w:val="24"/>
        </w:rPr>
      </w:pPr>
    </w:p>
    <w:p w14:paraId="4A0B2BAE" w14:textId="77777777" w:rsidR="004D0A0F" w:rsidRDefault="004D0A0F" w:rsidP="00876A6B">
      <w:pPr>
        <w:spacing w:line="480" w:lineRule="auto"/>
        <w:rPr>
          <w:rFonts w:eastAsiaTheme="minorEastAsia" w:cs="Times New Roman"/>
          <w:sz w:val="24"/>
          <w:lang w:val="en-US"/>
        </w:rPr>
      </w:pPr>
      <w:r w:rsidRPr="0014300D">
        <w:rPr>
          <w:rFonts w:cs="Times New Roman"/>
          <w:sz w:val="24"/>
        </w:rPr>
        <w:t>Davidoff, L</w:t>
      </w:r>
      <w:r w:rsidR="00512411" w:rsidRPr="0014300D">
        <w:rPr>
          <w:rFonts w:cs="Times New Roman"/>
          <w:sz w:val="24"/>
        </w:rPr>
        <w:t>enore</w:t>
      </w:r>
      <w:r w:rsidRPr="0014300D">
        <w:rPr>
          <w:rFonts w:cs="Times New Roman"/>
          <w:sz w:val="24"/>
        </w:rPr>
        <w:t xml:space="preserve">. </w:t>
      </w:r>
      <w:r w:rsidRPr="0014300D">
        <w:rPr>
          <w:rFonts w:cs="Times New Roman"/>
          <w:i/>
          <w:sz w:val="24"/>
        </w:rPr>
        <w:t xml:space="preserve">Worlds Between. </w:t>
      </w:r>
      <w:proofErr w:type="gramStart"/>
      <w:r w:rsidRPr="0014300D">
        <w:rPr>
          <w:rFonts w:cs="Times New Roman"/>
          <w:i/>
          <w:sz w:val="24"/>
        </w:rPr>
        <w:t>Historical Perspectives on Gender and Class</w:t>
      </w:r>
      <w:r w:rsidR="00FE16C4" w:rsidRPr="0014300D">
        <w:rPr>
          <w:rFonts w:cs="Times New Roman"/>
          <w:sz w:val="24"/>
        </w:rPr>
        <w:t>.</w:t>
      </w:r>
      <w:proofErr w:type="gramEnd"/>
      <w:r w:rsidR="00FE16C4" w:rsidRPr="0014300D">
        <w:rPr>
          <w:rFonts w:cs="Times New Roman"/>
          <w:sz w:val="24"/>
        </w:rPr>
        <w:t xml:space="preserve"> Cambridge:</w:t>
      </w:r>
      <w:r w:rsidR="008B1707">
        <w:rPr>
          <w:rFonts w:cs="Times New Roman"/>
          <w:sz w:val="24"/>
        </w:rPr>
        <w:t xml:space="preserve"> Polity Press</w:t>
      </w:r>
      <w:r w:rsidR="0014300D" w:rsidRPr="0014300D">
        <w:rPr>
          <w:rFonts w:cs="Times New Roman"/>
          <w:sz w:val="24"/>
        </w:rPr>
        <w:t xml:space="preserve">, </w:t>
      </w:r>
      <w:r w:rsidRPr="0014300D">
        <w:rPr>
          <w:rFonts w:cs="Times New Roman"/>
          <w:sz w:val="24"/>
        </w:rPr>
        <w:t>1995.</w:t>
      </w:r>
      <w:r w:rsidRPr="00BD5772">
        <w:rPr>
          <w:rFonts w:eastAsiaTheme="minorEastAsia" w:cs="Times New Roman"/>
          <w:sz w:val="24"/>
          <w:lang w:val="en-US"/>
        </w:rPr>
        <w:t xml:space="preserve"> </w:t>
      </w:r>
    </w:p>
    <w:p w14:paraId="2997835C" w14:textId="77777777" w:rsidR="0032211B" w:rsidRDefault="0032211B" w:rsidP="0032211B">
      <w:pPr>
        <w:spacing w:line="480" w:lineRule="auto"/>
        <w:rPr>
          <w:sz w:val="24"/>
        </w:rPr>
      </w:pPr>
    </w:p>
    <w:p w14:paraId="34972F66" w14:textId="77777777" w:rsidR="0032211B" w:rsidRPr="0032211B" w:rsidRDefault="0032211B" w:rsidP="00876A6B">
      <w:pPr>
        <w:spacing w:line="480" w:lineRule="auto"/>
        <w:rPr>
          <w:rFonts w:eastAsiaTheme="minorEastAsia"/>
          <w:sz w:val="24"/>
          <w:lang w:val="en-US"/>
        </w:rPr>
      </w:pPr>
      <w:r w:rsidRPr="00876A6B">
        <w:rPr>
          <w:sz w:val="24"/>
        </w:rPr>
        <w:t xml:space="preserve">De Grazia, Victoria. "Establishing the Modern Consumer Household", in </w:t>
      </w:r>
      <w:r w:rsidRPr="0094611C">
        <w:rPr>
          <w:i/>
          <w:sz w:val="24"/>
        </w:rPr>
        <w:t>The Sex of Things: Gender and Consumption in Historical Perspective</w:t>
      </w:r>
      <w:r w:rsidRPr="00876A6B">
        <w:rPr>
          <w:sz w:val="24"/>
        </w:rPr>
        <w:t>, ed</w:t>
      </w:r>
      <w:r w:rsidRPr="00876A6B">
        <w:rPr>
          <w:rFonts w:eastAsiaTheme="minorEastAsia"/>
          <w:sz w:val="24"/>
          <w:lang w:val="en-US"/>
        </w:rPr>
        <w:t>. V</w:t>
      </w:r>
      <w:r>
        <w:rPr>
          <w:rFonts w:eastAsiaTheme="minorEastAsia"/>
          <w:sz w:val="24"/>
          <w:lang w:val="en-US"/>
        </w:rPr>
        <w:t>ictora</w:t>
      </w:r>
      <w:r w:rsidRPr="00876A6B">
        <w:rPr>
          <w:rFonts w:eastAsiaTheme="minorEastAsia"/>
          <w:sz w:val="24"/>
          <w:lang w:val="en-US"/>
        </w:rPr>
        <w:t xml:space="preserve"> de Grazia and E</w:t>
      </w:r>
      <w:r>
        <w:rPr>
          <w:rFonts w:eastAsiaTheme="minorEastAsia"/>
          <w:sz w:val="24"/>
          <w:lang w:val="en-US"/>
        </w:rPr>
        <w:t>llen</w:t>
      </w:r>
      <w:r w:rsidRPr="00876A6B">
        <w:rPr>
          <w:rFonts w:eastAsiaTheme="minorEastAsia"/>
          <w:sz w:val="24"/>
          <w:lang w:val="en-US"/>
        </w:rPr>
        <w:t xml:space="preserve"> Furlough</w:t>
      </w:r>
      <w:r>
        <w:rPr>
          <w:rFonts w:eastAsiaTheme="minorEastAsia"/>
          <w:sz w:val="24"/>
          <w:lang w:val="en-US"/>
        </w:rPr>
        <w:t>,</w:t>
      </w:r>
      <w:r w:rsidRPr="00876A6B">
        <w:rPr>
          <w:rFonts w:eastAsiaTheme="minorEastAsia"/>
          <w:sz w:val="24"/>
          <w:lang w:val="en-US"/>
        </w:rPr>
        <w:t xml:space="preserve"> Berkley, CA:</w:t>
      </w:r>
      <w:r>
        <w:rPr>
          <w:rFonts w:eastAsiaTheme="minorEastAsia"/>
          <w:sz w:val="24"/>
          <w:lang w:val="en-US"/>
        </w:rPr>
        <w:t xml:space="preserve"> University of California Press, </w:t>
      </w:r>
      <w:r w:rsidRPr="00876A6B">
        <w:rPr>
          <w:rFonts w:eastAsiaTheme="minorEastAsia"/>
          <w:sz w:val="24"/>
          <w:lang w:val="en-US"/>
        </w:rPr>
        <w:t>1996</w:t>
      </w:r>
      <w:r>
        <w:rPr>
          <w:rFonts w:eastAsiaTheme="minorEastAsia"/>
          <w:sz w:val="24"/>
          <w:lang w:val="en-US"/>
        </w:rPr>
        <w:t>.</w:t>
      </w:r>
    </w:p>
    <w:p w14:paraId="270220C4" w14:textId="77777777" w:rsidR="00876A6B" w:rsidRPr="00BD5772" w:rsidRDefault="00876A6B" w:rsidP="00876A6B">
      <w:pPr>
        <w:spacing w:line="480" w:lineRule="auto"/>
        <w:rPr>
          <w:rFonts w:eastAsiaTheme="minorEastAsia" w:cs="Times New Roman"/>
          <w:sz w:val="24"/>
          <w:lang w:val="en-US"/>
        </w:rPr>
      </w:pPr>
    </w:p>
    <w:p w14:paraId="17AFC856" w14:textId="77777777" w:rsidR="00AF0355" w:rsidRDefault="00AF0355" w:rsidP="00876A6B">
      <w:pPr>
        <w:spacing w:line="480" w:lineRule="auto"/>
        <w:rPr>
          <w:rFonts w:eastAsia="Times New Roman" w:cs="Times New Roman"/>
          <w:sz w:val="24"/>
          <w:shd w:val="clear" w:color="auto" w:fill="FFFFFF"/>
        </w:rPr>
      </w:pPr>
      <w:r w:rsidRPr="00C01387">
        <w:rPr>
          <w:rFonts w:eastAsia="Times New Roman" w:cs="Times New Roman"/>
          <w:sz w:val="24"/>
          <w:shd w:val="clear" w:color="auto" w:fill="FFFFFF"/>
        </w:rPr>
        <w:t>Field, J</w:t>
      </w:r>
      <w:r w:rsidR="00440481">
        <w:rPr>
          <w:rFonts w:eastAsia="Times New Roman" w:cs="Times New Roman"/>
          <w:sz w:val="24"/>
          <w:shd w:val="clear" w:color="auto" w:fill="FFFFFF"/>
        </w:rPr>
        <w:t>acob</w:t>
      </w:r>
      <w:r w:rsidRPr="00C01387">
        <w:rPr>
          <w:rFonts w:eastAsia="Times New Roman" w:cs="Times New Roman"/>
          <w:sz w:val="24"/>
          <w:shd w:val="clear" w:color="auto" w:fill="FFFFFF"/>
        </w:rPr>
        <w:t xml:space="preserve"> and </w:t>
      </w:r>
      <w:r w:rsidR="0094611C">
        <w:rPr>
          <w:rFonts w:eastAsia="Times New Roman" w:cs="Times New Roman"/>
          <w:sz w:val="24"/>
          <w:shd w:val="clear" w:color="auto" w:fill="FFFFFF"/>
        </w:rPr>
        <w:t xml:space="preserve">Amy </w:t>
      </w:r>
      <w:r w:rsidRPr="00C01387">
        <w:rPr>
          <w:rFonts w:eastAsia="Times New Roman" w:cs="Times New Roman"/>
          <w:sz w:val="24"/>
          <w:shd w:val="clear" w:color="auto" w:fill="FFFFFF"/>
        </w:rPr>
        <w:t xml:space="preserve">Erickson. (2009), “Prospects and Preliminary Work on Female Occupational Structure in England from 1500 to the National Census”, </w:t>
      </w:r>
      <w:r w:rsidRPr="0094611C">
        <w:rPr>
          <w:rFonts w:eastAsia="Times New Roman" w:cs="Times New Roman"/>
          <w:i/>
          <w:sz w:val="24"/>
          <w:shd w:val="clear" w:color="auto" w:fill="FFFFFF"/>
        </w:rPr>
        <w:t>Cambridge Group for the History of Population and Social Structure, Occupations Project Paper No.18</w:t>
      </w:r>
      <w:r w:rsidRPr="00C01387">
        <w:rPr>
          <w:rFonts w:eastAsia="Times New Roman" w:cs="Times New Roman"/>
          <w:sz w:val="24"/>
          <w:shd w:val="clear" w:color="auto" w:fill="FFFFFF"/>
        </w:rPr>
        <w:t xml:space="preserve">, </w:t>
      </w:r>
      <w:r w:rsidR="00C26F98" w:rsidRPr="00C26F98">
        <w:rPr>
          <w:rFonts w:eastAsia="Times New Roman" w:cs="Times New Roman"/>
          <w:sz w:val="24"/>
          <w:shd w:val="clear" w:color="auto" w:fill="FFFFFF"/>
        </w:rPr>
        <w:t>http://www.geog.cam.ac.uk/research/projects/occupations/abstracts/</w:t>
      </w:r>
      <w:r w:rsidRPr="00C01387">
        <w:rPr>
          <w:rFonts w:eastAsia="Times New Roman" w:cs="Times New Roman"/>
          <w:sz w:val="24"/>
          <w:shd w:val="clear" w:color="auto" w:fill="FFFFFF"/>
        </w:rPr>
        <w:t xml:space="preserve">. </w:t>
      </w:r>
    </w:p>
    <w:p w14:paraId="4DA54982" w14:textId="77777777" w:rsidR="00C26F98" w:rsidRPr="00C01387" w:rsidRDefault="00C26F98" w:rsidP="00876A6B">
      <w:pPr>
        <w:spacing w:line="480" w:lineRule="auto"/>
        <w:rPr>
          <w:rFonts w:eastAsia="Times New Roman" w:cs="Times New Roman"/>
          <w:sz w:val="24"/>
          <w:shd w:val="clear" w:color="auto" w:fill="FFFFFF"/>
        </w:rPr>
      </w:pPr>
    </w:p>
    <w:p w14:paraId="5901D7E4" w14:textId="77777777" w:rsidR="004D0A0F" w:rsidRPr="00BD5772" w:rsidRDefault="004D0A0F" w:rsidP="00876A6B">
      <w:pPr>
        <w:spacing w:line="480" w:lineRule="auto"/>
        <w:rPr>
          <w:rFonts w:eastAsiaTheme="minorEastAsia" w:cs="Times New Roman"/>
          <w:sz w:val="24"/>
          <w:lang w:val="en-US"/>
        </w:rPr>
      </w:pPr>
      <w:r w:rsidRPr="00BD5772">
        <w:rPr>
          <w:rFonts w:eastAsiaTheme="minorEastAsia" w:cs="Times New Roman"/>
          <w:sz w:val="24"/>
          <w:lang w:val="en-US"/>
        </w:rPr>
        <w:t>Finn, M</w:t>
      </w:r>
      <w:r w:rsidR="00512411">
        <w:rPr>
          <w:rFonts w:eastAsiaTheme="minorEastAsia" w:cs="Times New Roman"/>
          <w:sz w:val="24"/>
          <w:lang w:val="en-US"/>
        </w:rPr>
        <w:t>argot</w:t>
      </w:r>
      <w:r w:rsidR="00FF32EC" w:rsidRPr="00BD5772">
        <w:rPr>
          <w:rFonts w:eastAsiaTheme="minorEastAsia" w:cs="Times New Roman"/>
          <w:sz w:val="24"/>
          <w:lang w:val="en-US"/>
        </w:rPr>
        <w:t>.</w:t>
      </w:r>
      <w:r w:rsidRPr="00BD5772">
        <w:rPr>
          <w:rFonts w:eastAsiaTheme="minorEastAsia" w:cs="Times New Roman"/>
          <w:sz w:val="24"/>
          <w:lang w:val="en-US"/>
        </w:rPr>
        <w:t xml:space="preserve"> </w:t>
      </w:r>
      <w:proofErr w:type="gramStart"/>
      <w:r w:rsidR="00C01387">
        <w:rPr>
          <w:rFonts w:eastAsiaTheme="minorEastAsia" w:cs="Times New Roman"/>
          <w:sz w:val="24"/>
          <w:lang w:val="en-US"/>
        </w:rPr>
        <w:t>"</w:t>
      </w:r>
      <w:r w:rsidRPr="00BD5772">
        <w:rPr>
          <w:rFonts w:eastAsiaTheme="minorEastAsia" w:cs="Times New Roman"/>
          <w:sz w:val="24"/>
          <w:lang w:val="en-US"/>
        </w:rPr>
        <w:t xml:space="preserve">Women, consumption and coverture in England, </w:t>
      </w:r>
      <w:r w:rsidRPr="00BD5772">
        <w:rPr>
          <w:rFonts w:eastAsiaTheme="minorEastAsia" w:cs="Times New Roman"/>
          <w:bCs/>
          <w:sz w:val="24"/>
          <w:lang w:val="en-US"/>
        </w:rPr>
        <w:t>c</w:t>
      </w:r>
      <w:r w:rsidRPr="00BD5772">
        <w:rPr>
          <w:rFonts w:eastAsiaTheme="minorEastAsia" w:cs="Times New Roman"/>
          <w:sz w:val="24"/>
          <w:lang w:val="en-US"/>
        </w:rPr>
        <w:t>. 1760–1860</w:t>
      </w:r>
      <w:r w:rsidR="00C01387">
        <w:rPr>
          <w:rFonts w:eastAsiaTheme="minorEastAsia" w:cs="Times New Roman"/>
          <w:sz w:val="24"/>
          <w:lang w:val="en-US"/>
        </w:rPr>
        <w:t>"</w:t>
      </w:r>
      <w:r w:rsidRPr="00BD5772">
        <w:rPr>
          <w:rFonts w:eastAsiaTheme="minorEastAsia" w:cs="Times New Roman"/>
          <w:sz w:val="24"/>
          <w:lang w:val="en-US"/>
        </w:rPr>
        <w:t>.</w:t>
      </w:r>
      <w:proofErr w:type="gramEnd"/>
    </w:p>
    <w:p w14:paraId="36C43399" w14:textId="77777777" w:rsidR="0032211B" w:rsidRDefault="004D0A0F" w:rsidP="00876A6B">
      <w:pPr>
        <w:spacing w:line="480" w:lineRule="auto"/>
        <w:rPr>
          <w:rFonts w:eastAsiaTheme="minorEastAsia" w:cs="Times New Roman"/>
          <w:sz w:val="24"/>
          <w:lang w:val="en-US"/>
        </w:rPr>
      </w:pPr>
      <w:r w:rsidRPr="00BD5772">
        <w:rPr>
          <w:rFonts w:eastAsiaTheme="minorEastAsia" w:cs="Times New Roman"/>
          <w:i/>
          <w:sz w:val="24"/>
          <w:lang w:val="en-US"/>
        </w:rPr>
        <w:t>The Historical Journal</w:t>
      </w:r>
      <w:r w:rsidRPr="00BD5772">
        <w:rPr>
          <w:rFonts w:eastAsiaTheme="minorEastAsia" w:cs="Times New Roman"/>
          <w:sz w:val="24"/>
          <w:lang w:val="en-US"/>
        </w:rPr>
        <w:t xml:space="preserve">, 39, </w:t>
      </w:r>
      <w:r w:rsidR="00FC75AB" w:rsidRPr="00BD5772">
        <w:rPr>
          <w:rFonts w:eastAsiaTheme="minorEastAsia" w:cs="Times New Roman"/>
          <w:sz w:val="24"/>
          <w:lang w:val="en-US"/>
        </w:rPr>
        <w:t>(1996)</w:t>
      </w:r>
      <w:r w:rsidR="008B1707">
        <w:rPr>
          <w:rFonts w:eastAsiaTheme="minorEastAsia" w:cs="Times New Roman"/>
          <w:sz w:val="24"/>
          <w:lang w:val="en-US"/>
        </w:rPr>
        <w:t>:</w:t>
      </w:r>
      <w:r w:rsidR="00FC75AB" w:rsidRPr="00BD5772">
        <w:rPr>
          <w:rFonts w:eastAsiaTheme="minorEastAsia" w:cs="Times New Roman"/>
          <w:sz w:val="24"/>
          <w:lang w:val="en-US"/>
        </w:rPr>
        <w:t xml:space="preserve"> </w:t>
      </w:r>
      <w:r w:rsidRPr="00BD5772">
        <w:rPr>
          <w:rFonts w:eastAsiaTheme="minorEastAsia" w:cs="Times New Roman"/>
          <w:sz w:val="24"/>
          <w:lang w:val="en-US"/>
        </w:rPr>
        <w:t>703-722</w:t>
      </w:r>
      <w:r w:rsidR="0032211B">
        <w:rPr>
          <w:rFonts w:eastAsiaTheme="minorEastAsia" w:cs="Times New Roman"/>
          <w:sz w:val="24"/>
          <w:lang w:val="en-US"/>
        </w:rPr>
        <w:t>.</w:t>
      </w:r>
    </w:p>
    <w:p w14:paraId="1FFC5265" w14:textId="77777777" w:rsidR="00C26F98" w:rsidRDefault="00C26F98" w:rsidP="00876A6B">
      <w:pPr>
        <w:spacing w:line="480" w:lineRule="auto"/>
        <w:rPr>
          <w:rFonts w:eastAsiaTheme="minorEastAsia" w:cs="Times New Roman"/>
          <w:sz w:val="24"/>
          <w:lang w:val="en-US"/>
        </w:rPr>
      </w:pPr>
    </w:p>
    <w:p w14:paraId="2DF1B00E" w14:textId="77777777" w:rsidR="00C14D74" w:rsidRDefault="00C14D74" w:rsidP="00876A6B">
      <w:pPr>
        <w:spacing w:line="480" w:lineRule="auto"/>
        <w:rPr>
          <w:rFonts w:cs="Times New Roman"/>
          <w:sz w:val="24"/>
        </w:rPr>
      </w:pPr>
      <w:r w:rsidRPr="00BD5772">
        <w:rPr>
          <w:rFonts w:cs="Times New Roman"/>
          <w:sz w:val="24"/>
        </w:rPr>
        <w:t>Fishlow, A</w:t>
      </w:r>
      <w:r w:rsidR="001111B1">
        <w:rPr>
          <w:rFonts w:cs="Times New Roman"/>
          <w:sz w:val="24"/>
        </w:rPr>
        <w:t>lbert</w:t>
      </w:r>
      <w:r w:rsidRPr="00BD5772">
        <w:rPr>
          <w:rFonts w:cs="Times New Roman"/>
          <w:sz w:val="24"/>
        </w:rPr>
        <w:t xml:space="preserve">. </w:t>
      </w:r>
      <w:proofErr w:type="gramStart"/>
      <w:r>
        <w:rPr>
          <w:rFonts w:cs="Times New Roman"/>
          <w:sz w:val="24"/>
        </w:rPr>
        <w:t>"</w:t>
      </w:r>
      <w:r w:rsidRPr="00BD5772">
        <w:rPr>
          <w:rFonts w:cs="Times New Roman"/>
          <w:sz w:val="24"/>
        </w:rPr>
        <w:t>The trustee savings banks, 1817–1861</w:t>
      </w:r>
      <w:r>
        <w:rPr>
          <w:rFonts w:cs="Times New Roman"/>
          <w:sz w:val="24"/>
        </w:rPr>
        <w:t>"</w:t>
      </w:r>
      <w:r w:rsidRPr="00BD5772">
        <w:rPr>
          <w:rFonts w:cs="Times New Roman"/>
          <w:sz w:val="24"/>
        </w:rPr>
        <w:t>.</w:t>
      </w:r>
      <w:proofErr w:type="gramEnd"/>
      <w:r w:rsidRPr="00BD5772">
        <w:rPr>
          <w:rFonts w:cs="Times New Roman"/>
          <w:sz w:val="24"/>
        </w:rPr>
        <w:t xml:space="preserve"> </w:t>
      </w:r>
      <w:proofErr w:type="gramStart"/>
      <w:r w:rsidRPr="00BD5772">
        <w:rPr>
          <w:rFonts w:cs="Times New Roman"/>
          <w:i/>
          <w:iCs/>
          <w:sz w:val="24"/>
        </w:rPr>
        <w:t xml:space="preserve">The Journal of Economic History </w:t>
      </w:r>
      <w:r w:rsidRPr="00BD5772">
        <w:rPr>
          <w:rFonts w:cs="Times New Roman"/>
          <w:sz w:val="24"/>
        </w:rPr>
        <w:t>21 (1) (1961)</w:t>
      </w:r>
      <w:r w:rsidR="008B1707">
        <w:rPr>
          <w:rFonts w:cs="Times New Roman"/>
          <w:sz w:val="24"/>
        </w:rPr>
        <w:t>:</w:t>
      </w:r>
      <w:r w:rsidRPr="00BD5772">
        <w:rPr>
          <w:rFonts w:cs="Times New Roman"/>
          <w:sz w:val="24"/>
        </w:rPr>
        <w:t xml:space="preserve"> 26–40.</w:t>
      </w:r>
      <w:proofErr w:type="gramEnd"/>
    </w:p>
    <w:p w14:paraId="2BFBC7E1" w14:textId="77777777" w:rsidR="00C26F98" w:rsidRPr="00BD5772" w:rsidRDefault="00C26F98" w:rsidP="00876A6B">
      <w:pPr>
        <w:spacing w:line="480" w:lineRule="auto"/>
        <w:rPr>
          <w:rFonts w:cs="Times New Roman"/>
          <w:sz w:val="24"/>
        </w:rPr>
      </w:pPr>
    </w:p>
    <w:p w14:paraId="752FBE74" w14:textId="77777777" w:rsidR="00AF0355" w:rsidRDefault="00AF0355" w:rsidP="00876A6B">
      <w:pPr>
        <w:spacing w:line="480" w:lineRule="auto"/>
        <w:rPr>
          <w:rFonts w:eastAsiaTheme="minorEastAsia" w:cs="Times New Roman"/>
          <w:sz w:val="24"/>
          <w:lang w:val="en-US"/>
        </w:rPr>
      </w:pPr>
      <w:r w:rsidRPr="00BD5772">
        <w:rPr>
          <w:rFonts w:eastAsiaTheme="minorEastAsia" w:cs="Times New Roman"/>
          <w:sz w:val="24"/>
          <w:lang w:val="en-US"/>
        </w:rPr>
        <w:lastRenderedPageBreak/>
        <w:t>Fleischman, R</w:t>
      </w:r>
      <w:r w:rsidR="00D003F6">
        <w:rPr>
          <w:rFonts w:eastAsiaTheme="minorEastAsia" w:cs="Times New Roman"/>
          <w:sz w:val="24"/>
          <w:lang w:val="en-US"/>
        </w:rPr>
        <w:t>ichard</w:t>
      </w:r>
      <w:r w:rsidRPr="00BD5772">
        <w:rPr>
          <w:rFonts w:eastAsiaTheme="minorEastAsia" w:cs="Times New Roman"/>
          <w:sz w:val="24"/>
          <w:lang w:val="en-US"/>
        </w:rPr>
        <w:t xml:space="preserve">. </w:t>
      </w:r>
      <w:r w:rsidRPr="00BD5772">
        <w:rPr>
          <w:rFonts w:eastAsiaTheme="minorEastAsia" w:cs="Times New Roman"/>
          <w:i/>
          <w:sz w:val="24"/>
          <w:lang w:val="en-US"/>
        </w:rPr>
        <w:t xml:space="preserve">Conditions of life among the cotton workers of southeastern Lancashire, 1780-1850, </w:t>
      </w:r>
      <w:r w:rsidRPr="00BD5772">
        <w:rPr>
          <w:rFonts w:eastAsiaTheme="minorEastAsia" w:cs="Times New Roman"/>
          <w:sz w:val="24"/>
          <w:lang w:val="en-US"/>
        </w:rPr>
        <w:t>New York: Garland Publishing, Inc. 1985</w:t>
      </w:r>
    </w:p>
    <w:p w14:paraId="43AA5F6D" w14:textId="77777777" w:rsidR="00C26F98" w:rsidRDefault="00C26F98" w:rsidP="00876A6B">
      <w:pPr>
        <w:spacing w:line="480" w:lineRule="auto"/>
        <w:rPr>
          <w:rFonts w:eastAsiaTheme="minorEastAsia" w:cs="Times New Roman"/>
          <w:sz w:val="24"/>
          <w:lang w:val="en-US"/>
        </w:rPr>
      </w:pPr>
    </w:p>
    <w:p w14:paraId="7A1BB907" w14:textId="77777777" w:rsidR="00177506" w:rsidRDefault="00177506" w:rsidP="00876A6B">
      <w:pPr>
        <w:spacing w:line="480" w:lineRule="auto"/>
        <w:rPr>
          <w:rFonts w:eastAsia="Times New Roman" w:cs="Times New Roman"/>
          <w:color w:val="000000"/>
          <w:sz w:val="24"/>
          <w:lang w:eastAsia="en-GB"/>
        </w:rPr>
      </w:pPr>
      <w:r w:rsidRPr="00876A6B">
        <w:rPr>
          <w:rFonts w:eastAsia="Times New Roman" w:cs="Times New Roman"/>
          <w:color w:val="000000"/>
          <w:sz w:val="24"/>
          <w:lang w:eastAsia="en-GB"/>
        </w:rPr>
        <w:t xml:space="preserve">Forbes, Urquhart A. </w:t>
      </w:r>
      <w:r w:rsidRPr="00876A6B">
        <w:rPr>
          <w:rFonts w:eastAsia="Times New Roman" w:cs="Times New Roman"/>
          <w:i/>
          <w:color w:val="000000"/>
          <w:sz w:val="24"/>
          <w:lang w:eastAsia="en-GB"/>
        </w:rPr>
        <w:t xml:space="preserve">The </w:t>
      </w:r>
      <w:proofErr w:type="gramStart"/>
      <w:r w:rsidRPr="00876A6B">
        <w:rPr>
          <w:rFonts w:eastAsia="Times New Roman" w:cs="Times New Roman"/>
          <w:i/>
          <w:color w:val="000000"/>
          <w:sz w:val="24"/>
          <w:lang w:eastAsia="en-GB"/>
        </w:rPr>
        <w:t>Law  Relating</w:t>
      </w:r>
      <w:proofErr w:type="gramEnd"/>
      <w:r w:rsidRPr="00876A6B">
        <w:rPr>
          <w:rFonts w:eastAsia="Times New Roman" w:cs="Times New Roman"/>
          <w:i/>
          <w:color w:val="000000"/>
          <w:sz w:val="24"/>
          <w:lang w:eastAsia="en-GB"/>
        </w:rPr>
        <w:t xml:space="preserve"> to Trustee and Post-Office Savings-Banks, with Notes of Decisions and Awards made by the Barrister and the Registrar of Friendly Societies</w:t>
      </w:r>
      <w:r w:rsidRPr="00876A6B">
        <w:rPr>
          <w:rFonts w:eastAsia="Times New Roman" w:cs="Times New Roman"/>
          <w:color w:val="000000"/>
          <w:sz w:val="24"/>
          <w:lang w:eastAsia="en-GB"/>
        </w:rPr>
        <w:t>,  London : Hardwicks and Bogue. 1878</w:t>
      </w:r>
    </w:p>
    <w:p w14:paraId="149638FB" w14:textId="77777777" w:rsidR="00C26F98" w:rsidRPr="00876A6B" w:rsidRDefault="00C26F98" w:rsidP="00876A6B">
      <w:pPr>
        <w:spacing w:line="480" w:lineRule="auto"/>
        <w:rPr>
          <w:rFonts w:eastAsiaTheme="minorEastAsia" w:cs="Times New Roman"/>
          <w:sz w:val="24"/>
          <w:lang w:val="en-US"/>
        </w:rPr>
      </w:pPr>
    </w:p>
    <w:p w14:paraId="6214BD56" w14:textId="77777777" w:rsidR="00876A6B" w:rsidRDefault="009E5D43" w:rsidP="00876A6B">
      <w:pPr>
        <w:spacing w:line="480" w:lineRule="auto"/>
        <w:rPr>
          <w:sz w:val="24"/>
        </w:rPr>
      </w:pPr>
      <w:proofErr w:type="gramStart"/>
      <w:r w:rsidRPr="00876A6B">
        <w:rPr>
          <w:sz w:val="24"/>
        </w:rPr>
        <w:t>Fowler, A</w:t>
      </w:r>
      <w:r w:rsidR="00D003F6" w:rsidRPr="00876A6B">
        <w:rPr>
          <w:sz w:val="24"/>
        </w:rPr>
        <w:t>lan</w:t>
      </w:r>
      <w:r w:rsidRPr="00876A6B">
        <w:rPr>
          <w:sz w:val="24"/>
        </w:rPr>
        <w:t>.</w:t>
      </w:r>
      <w:proofErr w:type="gramEnd"/>
      <w:r w:rsidRPr="00876A6B">
        <w:rPr>
          <w:sz w:val="24"/>
        </w:rPr>
        <w:t xml:space="preserve"> </w:t>
      </w:r>
      <w:r w:rsidR="00C01387" w:rsidRPr="00876A6B">
        <w:rPr>
          <w:sz w:val="24"/>
        </w:rPr>
        <w:t>"</w:t>
      </w:r>
      <w:r w:rsidRPr="00876A6B">
        <w:rPr>
          <w:sz w:val="24"/>
        </w:rPr>
        <w:t>British Textile Workers in the Lancashire Cotton and Yorkshire Wool Industries</w:t>
      </w:r>
      <w:r w:rsidR="00C01387" w:rsidRPr="00876A6B">
        <w:rPr>
          <w:sz w:val="24"/>
        </w:rPr>
        <w:t>"</w:t>
      </w:r>
      <w:r w:rsidRPr="00876A6B">
        <w:rPr>
          <w:sz w:val="24"/>
        </w:rPr>
        <w:t xml:space="preserve">, Paper presented at the National Overview Great Britain, </w:t>
      </w:r>
      <w:r w:rsidRPr="00876A6B">
        <w:rPr>
          <w:i/>
          <w:sz w:val="24"/>
        </w:rPr>
        <w:t>Textile Conference</w:t>
      </w:r>
      <w:r w:rsidR="00817420" w:rsidRPr="00876A6B">
        <w:rPr>
          <w:i/>
          <w:sz w:val="24"/>
        </w:rPr>
        <w:t>,</w:t>
      </w:r>
      <w:r w:rsidRPr="00876A6B">
        <w:rPr>
          <w:i/>
          <w:sz w:val="24"/>
        </w:rPr>
        <w:t xml:space="preserve"> </w:t>
      </w:r>
      <w:r w:rsidR="00817420" w:rsidRPr="00876A6B">
        <w:rPr>
          <w:rFonts w:eastAsia="Times New Roman"/>
          <w:bCs/>
          <w:sz w:val="24"/>
        </w:rPr>
        <w:t>International Institute of Social History</w:t>
      </w:r>
      <w:r w:rsidRPr="00876A6B">
        <w:rPr>
          <w:sz w:val="24"/>
        </w:rPr>
        <w:t>, 11-13 Nov. 2004</w:t>
      </w:r>
      <w:r w:rsidR="00817420" w:rsidRPr="00876A6B">
        <w:rPr>
          <w:sz w:val="24"/>
        </w:rPr>
        <w:t>. Available at: http://webarchive.ncl.edu.tw/archive/disk14/30/27/94/72/05/200808073019/20101008/web/iisg.nl/research/britain.doc [Accessed: 10th March 2014]</w:t>
      </w:r>
    </w:p>
    <w:p w14:paraId="50B0895F" w14:textId="77777777" w:rsidR="0032211B" w:rsidRDefault="0032211B" w:rsidP="00876A6B">
      <w:pPr>
        <w:spacing w:line="480" w:lineRule="auto"/>
        <w:rPr>
          <w:sz w:val="24"/>
        </w:rPr>
      </w:pPr>
    </w:p>
    <w:p w14:paraId="1F92E864" w14:textId="77777777" w:rsidR="0032211B" w:rsidRPr="0032211B" w:rsidRDefault="0032211B" w:rsidP="0032211B">
      <w:pPr>
        <w:pStyle w:val="EndnoteText"/>
        <w:spacing w:line="360" w:lineRule="auto"/>
        <w:rPr>
          <w:rFonts w:ascii="Times New Roman" w:hAnsi="Times New Roman" w:cs="Times New Roman"/>
          <w:sz w:val="24"/>
          <w:szCs w:val="24"/>
        </w:rPr>
      </w:pPr>
      <w:r w:rsidRPr="0014300D">
        <w:rPr>
          <w:rFonts w:ascii="Times New Roman" w:hAnsi="Times New Roman" w:cs="Times New Roman"/>
          <w:bCs/>
          <w:sz w:val="24"/>
          <w:szCs w:val="24"/>
          <w:shd w:val="clear" w:color="auto" w:fill="FFFFFF"/>
        </w:rPr>
        <w:t xml:space="preserve">Freeman, Mark, Robin Pearson and James Taylor, </w:t>
      </w:r>
      <w:r w:rsidRPr="0014300D">
        <w:rPr>
          <w:rFonts w:ascii="Times New Roman" w:hAnsi="Times New Roman" w:cs="Times New Roman"/>
          <w:bCs/>
          <w:i/>
          <w:sz w:val="24"/>
          <w:szCs w:val="24"/>
          <w:shd w:val="clear" w:color="auto" w:fill="FFFFFF"/>
        </w:rPr>
        <w:t>Shareholder democracies? Corporate governance in Britain &amp; Ireland before 1850</w:t>
      </w:r>
      <w:r w:rsidRPr="0014300D">
        <w:rPr>
          <w:rFonts w:ascii="Times New Roman" w:hAnsi="Times New Roman" w:cs="Times New Roman"/>
          <w:bCs/>
          <w:sz w:val="24"/>
          <w:szCs w:val="24"/>
          <w:shd w:val="clear" w:color="auto" w:fill="FFFFFF"/>
        </w:rPr>
        <w:t>, Chicago: University of Chicago Press, 2012.</w:t>
      </w:r>
    </w:p>
    <w:p w14:paraId="61EA06DD" w14:textId="77777777" w:rsidR="00C26F98" w:rsidRPr="00876A6B" w:rsidRDefault="00C26F98" w:rsidP="00876A6B">
      <w:pPr>
        <w:spacing w:line="480" w:lineRule="auto"/>
        <w:rPr>
          <w:sz w:val="24"/>
        </w:rPr>
      </w:pPr>
    </w:p>
    <w:p w14:paraId="6A163183" w14:textId="77777777" w:rsidR="00C01387" w:rsidRDefault="00C01387" w:rsidP="00876A6B">
      <w:pPr>
        <w:spacing w:line="480" w:lineRule="auto"/>
        <w:rPr>
          <w:sz w:val="24"/>
        </w:rPr>
      </w:pPr>
      <w:r w:rsidRPr="00876A6B">
        <w:rPr>
          <w:sz w:val="24"/>
        </w:rPr>
        <w:t>Garon, S</w:t>
      </w:r>
      <w:r w:rsidR="00D003F6" w:rsidRPr="00876A6B">
        <w:rPr>
          <w:sz w:val="24"/>
        </w:rPr>
        <w:t>heldon</w:t>
      </w:r>
      <w:r w:rsidRPr="00876A6B">
        <w:rPr>
          <w:sz w:val="24"/>
        </w:rPr>
        <w:t xml:space="preserve">. </w:t>
      </w:r>
      <w:r w:rsidRPr="0094611C">
        <w:rPr>
          <w:i/>
          <w:sz w:val="24"/>
        </w:rPr>
        <w:t>Beyond our means: why America spends while the world saves</w:t>
      </w:r>
      <w:r w:rsidRPr="00876A6B">
        <w:rPr>
          <w:sz w:val="24"/>
        </w:rPr>
        <w:t>. Princeton: Princeton University Press, 2012.</w:t>
      </w:r>
    </w:p>
    <w:p w14:paraId="707657A3" w14:textId="77777777" w:rsidR="006C4834" w:rsidRDefault="006C4834" w:rsidP="00876A6B">
      <w:pPr>
        <w:spacing w:line="480" w:lineRule="auto"/>
        <w:rPr>
          <w:rFonts w:cs="Times New Roman"/>
          <w:sz w:val="24"/>
        </w:rPr>
      </w:pPr>
    </w:p>
    <w:p w14:paraId="070CFB62" w14:textId="77777777" w:rsidR="004D0A0F" w:rsidRDefault="004D0A0F" w:rsidP="00876A6B">
      <w:pPr>
        <w:spacing w:line="480" w:lineRule="auto"/>
        <w:rPr>
          <w:rFonts w:cs="Times New Roman"/>
          <w:sz w:val="24"/>
        </w:rPr>
      </w:pPr>
      <w:r w:rsidRPr="00BD5772">
        <w:rPr>
          <w:rFonts w:cs="Times New Roman"/>
          <w:sz w:val="24"/>
        </w:rPr>
        <w:t>Gommersall, M</w:t>
      </w:r>
      <w:r w:rsidR="00440481">
        <w:rPr>
          <w:rFonts w:cs="Times New Roman"/>
          <w:sz w:val="24"/>
        </w:rPr>
        <w:t>argaret</w:t>
      </w:r>
      <w:r w:rsidRPr="00BD5772">
        <w:rPr>
          <w:rFonts w:cs="Times New Roman"/>
          <w:sz w:val="24"/>
        </w:rPr>
        <w:t xml:space="preserve">. </w:t>
      </w:r>
      <w:r w:rsidRPr="00BD5772">
        <w:rPr>
          <w:rFonts w:cs="Times New Roman"/>
          <w:i/>
          <w:sz w:val="24"/>
        </w:rPr>
        <w:t>Working-Class Girls in Nineteenth-Century England: Life, Work and Schooling.</w:t>
      </w:r>
      <w:r w:rsidRPr="00BD5772">
        <w:rPr>
          <w:rFonts w:cs="Times New Roman"/>
          <w:sz w:val="24"/>
        </w:rPr>
        <w:t xml:space="preserve"> London: Palgrave Macmillan, 1997.</w:t>
      </w:r>
    </w:p>
    <w:p w14:paraId="18149920" w14:textId="77777777" w:rsidR="006C4834" w:rsidRDefault="006C4834" w:rsidP="00876A6B">
      <w:pPr>
        <w:spacing w:line="480" w:lineRule="auto"/>
        <w:rPr>
          <w:rFonts w:cs="Times New Roman"/>
          <w:sz w:val="22"/>
          <w:szCs w:val="22"/>
          <w:highlight w:val="yellow"/>
          <w:lang w:val="en-US"/>
        </w:rPr>
      </w:pPr>
    </w:p>
    <w:p w14:paraId="69430EC7" w14:textId="77777777" w:rsidR="006C4834" w:rsidRPr="0014300D" w:rsidRDefault="0014300D" w:rsidP="00876A6B">
      <w:pPr>
        <w:spacing w:line="480" w:lineRule="auto"/>
        <w:rPr>
          <w:rFonts w:cs="Times New Roman"/>
          <w:sz w:val="24"/>
        </w:rPr>
      </w:pPr>
      <w:r w:rsidRPr="0014300D">
        <w:rPr>
          <w:rFonts w:cs="Times New Roman"/>
          <w:sz w:val="24"/>
          <w:lang w:val="en-US"/>
        </w:rPr>
        <w:t xml:space="preserve">Goose, </w:t>
      </w:r>
      <w:r w:rsidR="006C4834" w:rsidRPr="0014300D">
        <w:rPr>
          <w:rFonts w:cs="Times New Roman"/>
          <w:sz w:val="24"/>
          <w:lang w:val="en-US"/>
        </w:rPr>
        <w:t xml:space="preserve">Nigel </w:t>
      </w:r>
      <w:r w:rsidRPr="0014300D">
        <w:rPr>
          <w:rFonts w:cs="Times New Roman"/>
          <w:sz w:val="24"/>
          <w:lang w:val="en-US"/>
        </w:rPr>
        <w:t xml:space="preserve">and </w:t>
      </w:r>
      <w:r w:rsidR="006C4834" w:rsidRPr="0014300D">
        <w:rPr>
          <w:rFonts w:cs="Times New Roman"/>
          <w:sz w:val="24"/>
          <w:lang w:val="en-US"/>
        </w:rPr>
        <w:t xml:space="preserve">Katrina Honeyman, </w:t>
      </w:r>
      <w:r w:rsidR="006C4834" w:rsidRPr="0014300D">
        <w:rPr>
          <w:rFonts w:cs="Times New Roman"/>
          <w:i/>
          <w:sz w:val="24"/>
          <w:lang w:val="en-US"/>
        </w:rPr>
        <w:t>Childhood and child labour in industrial England: Diversity and agency, 1750-1914</w:t>
      </w:r>
      <w:r w:rsidR="006C4834" w:rsidRPr="0014300D">
        <w:rPr>
          <w:rFonts w:cs="Times New Roman"/>
          <w:sz w:val="24"/>
          <w:lang w:val="en-US"/>
        </w:rPr>
        <w:t>, Farnham: Ashgate, 2013.</w:t>
      </w:r>
    </w:p>
    <w:p w14:paraId="4C9AE44D" w14:textId="77777777" w:rsidR="00A350AB" w:rsidRDefault="00A350AB" w:rsidP="00876A6B">
      <w:pPr>
        <w:spacing w:line="480" w:lineRule="auto"/>
        <w:rPr>
          <w:rFonts w:cs="Times New Roman"/>
          <w:sz w:val="22"/>
          <w:szCs w:val="22"/>
          <w:lang w:val="en-US"/>
        </w:rPr>
      </w:pPr>
    </w:p>
    <w:p w14:paraId="6D35290C" w14:textId="77777777" w:rsidR="00C26F98" w:rsidRPr="0014300D" w:rsidRDefault="0014300D" w:rsidP="00876A6B">
      <w:pPr>
        <w:spacing w:line="480" w:lineRule="auto"/>
        <w:rPr>
          <w:rFonts w:cs="Times New Roman"/>
          <w:sz w:val="24"/>
        </w:rPr>
      </w:pPr>
      <w:r w:rsidRPr="0014300D">
        <w:rPr>
          <w:rFonts w:cs="Times New Roman"/>
          <w:sz w:val="24"/>
          <w:lang w:val="en-US"/>
        </w:rPr>
        <w:lastRenderedPageBreak/>
        <w:t xml:space="preserve">Hall, </w:t>
      </w:r>
      <w:r w:rsidR="00A350AB" w:rsidRPr="0014300D">
        <w:rPr>
          <w:rFonts w:cs="Times New Roman"/>
          <w:sz w:val="24"/>
          <w:lang w:val="en-US"/>
        </w:rPr>
        <w:t>Rosalind</w:t>
      </w:r>
      <w:r w:rsidRPr="0014300D">
        <w:rPr>
          <w:rFonts w:cs="Times New Roman"/>
          <w:sz w:val="24"/>
          <w:lang w:val="en-US"/>
        </w:rPr>
        <w:t xml:space="preserve">. </w:t>
      </w:r>
      <w:r w:rsidR="00A350AB" w:rsidRPr="0014300D">
        <w:rPr>
          <w:rFonts w:cs="Times New Roman"/>
          <w:sz w:val="24"/>
          <w:lang w:val="en-US"/>
        </w:rPr>
        <w:t xml:space="preserve">"A poor cotton weyver: poverty and the cotton famine in Clitheroe." </w:t>
      </w:r>
      <w:r w:rsidR="00A350AB" w:rsidRPr="0014300D">
        <w:rPr>
          <w:rFonts w:cs="Times New Roman"/>
          <w:i/>
          <w:sz w:val="24"/>
          <w:lang w:val="en-US"/>
        </w:rPr>
        <w:t>Social History,</w:t>
      </w:r>
      <w:r w:rsidR="00A350AB" w:rsidRPr="0014300D">
        <w:rPr>
          <w:rFonts w:cs="Times New Roman"/>
          <w:sz w:val="24"/>
          <w:lang w:val="en-US"/>
        </w:rPr>
        <w:t xml:space="preserve"> </w:t>
      </w:r>
      <w:r w:rsidR="00A350AB" w:rsidRPr="0014300D">
        <w:rPr>
          <w:rFonts w:cs="Times New Roman"/>
          <w:bCs/>
          <w:sz w:val="24"/>
          <w:lang w:val="en-US"/>
        </w:rPr>
        <w:t>28</w:t>
      </w:r>
      <w:r w:rsidRPr="0014300D">
        <w:rPr>
          <w:rFonts w:cs="Times New Roman"/>
          <w:bCs/>
          <w:sz w:val="24"/>
          <w:lang w:val="en-US"/>
        </w:rPr>
        <w:t xml:space="preserve"> </w:t>
      </w:r>
      <w:r w:rsidR="00A350AB" w:rsidRPr="0014300D">
        <w:rPr>
          <w:rFonts w:cs="Times New Roman"/>
          <w:sz w:val="24"/>
          <w:lang w:val="en-US"/>
        </w:rPr>
        <w:t>(2)</w:t>
      </w:r>
      <w:r w:rsidR="00473896">
        <w:rPr>
          <w:rFonts w:cs="Times New Roman"/>
          <w:sz w:val="24"/>
          <w:lang w:val="en-US"/>
        </w:rPr>
        <w:t xml:space="preserve"> (2003)</w:t>
      </w:r>
      <w:r w:rsidR="00A350AB" w:rsidRPr="0014300D">
        <w:rPr>
          <w:rFonts w:cs="Times New Roman"/>
          <w:sz w:val="24"/>
          <w:lang w:val="en-US"/>
        </w:rPr>
        <w:t>: 227-250</w:t>
      </w:r>
      <w:r w:rsidRPr="0014300D">
        <w:rPr>
          <w:rFonts w:cs="Times New Roman"/>
          <w:sz w:val="24"/>
          <w:lang w:val="en-US"/>
        </w:rPr>
        <w:t>.</w:t>
      </w:r>
    </w:p>
    <w:p w14:paraId="2B74B1B7" w14:textId="77777777" w:rsidR="00A350AB" w:rsidRPr="00BD5772" w:rsidRDefault="00A350AB" w:rsidP="00876A6B">
      <w:pPr>
        <w:spacing w:line="480" w:lineRule="auto"/>
        <w:rPr>
          <w:rFonts w:cs="Times New Roman"/>
          <w:sz w:val="24"/>
        </w:rPr>
      </w:pPr>
    </w:p>
    <w:p w14:paraId="36D272CD" w14:textId="77777777" w:rsidR="004D0A0F" w:rsidRPr="00BD5772" w:rsidRDefault="004D0A0F" w:rsidP="00876A6B">
      <w:pPr>
        <w:spacing w:line="480" w:lineRule="auto"/>
        <w:rPr>
          <w:rFonts w:cs="Times New Roman"/>
          <w:sz w:val="24"/>
        </w:rPr>
      </w:pPr>
      <w:r w:rsidRPr="00BD5772">
        <w:rPr>
          <w:rFonts w:eastAsiaTheme="minorEastAsia" w:cs="Times New Roman"/>
          <w:sz w:val="24"/>
          <w:lang w:val="en-US"/>
        </w:rPr>
        <w:t>Hall, V</w:t>
      </w:r>
      <w:r w:rsidR="007B152C">
        <w:rPr>
          <w:rFonts w:eastAsiaTheme="minorEastAsia" w:cs="Times New Roman"/>
          <w:sz w:val="24"/>
          <w:lang w:val="en-US"/>
        </w:rPr>
        <w:t>alerie</w:t>
      </w:r>
      <w:r w:rsidRPr="00BD5772">
        <w:rPr>
          <w:rFonts w:eastAsiaTheme="minorEastAsia" w:cs="Times New Roman"/>
          <w:sz w:val="24"/>
          <w:lang w:val="en-US"/>
        </w:rPr>
        <w:t>.</w:t>
      </w:r>
      <w:r w:rsidR="00FC75AB" w:rsidRPr="00BD5772">
        <w:rPr>
          <w:rFonts w:eastAsiaTheme="minorEastAsia" w:cs="Times New Roman"/>
          <w:sz w:val="24"/>
          <w:lang w:val="en-US"/>
        </w:rPr>
        <w:t xml:space="preserve"> </w:t>
      </w:r>
      <w:r w:rsidRPr="00BD5772">
        <w:rPr>
          <w:rFonts w:eastAsiaTheme="minorEastAsia" w:cs="Times New Roman"/>
          <w:i/>
          <w:iCs/>
          <w:sz w:val="24"/>
          <w:lang w:val="en-US"/>
        </w:rPr>
        <w:t>Women at work, 1860-1939</w:t>
      </w:r>
      <w:r w:rsidR="00FF32EC" w:rsidRPr="00BD5772">
        <w:rPr>
          <w:rFonts w:eastAsiaTheme="minorEastAsia" w:cs="Times New Roman"/>
          <w:sz w:val="24"/>
          <w:lang w:val="en-US"/>
        </w:rPr>
        <w:t>.</w:t>
      </w:r>
      <w:r w:rsidRPr="00BD5772">
        <w:rPr>
          <w:rFonts w:eastAsiaTheme="minorEastAsia" w:cs="Times New Roman"/>
          <w:sz w:val="24"/>
          <w:lang w:val="en-US"/>
        </w:rPr>
        <w:t xml:space="preserve"> Woodbridge: Boydell Press, 2013.</w:t>
      </w:r>
    </w:p>
    <w:p w14:paraId="428AFA97" w14:textId="77777777" w:rsidR="00A417BF" w:rsidRDefault="00A417BF" w:rsidP="00876A6B">
      <w:pPr>
        <w:spacing w:line="480" w:lineRule="auto"/>
        <w:rPr>
          <w:rStyle w:val="Emphasis"/>
          <w:rFonts w:cs="Times New Roman"/>
          <w:bCs/>
          <w:i w:val="0"/>
          <w:sz w:val="24"/>
          <w:shd w:val="clear" w:color="auto" w:fill="FFFFFF"/>
        </w:rPr>
      </w:pPr>
    </w:p>
    <w:p w14:paraId="68BC3DB5" w14:textId="77777777" w:rsidR="004D0A0F" w:rsidRDefault="004D0A0F" w:rsidP="00876A6B">
      <w:pPr>
        <w:spacing w:line="480" w:lineRule="auto"/>
        <w:rPr>
          <w:rFonts w:cs="Times New Roman"/>
          <w:sz w:val="24"/>
          <w:shd w:val="clear" w:color="auto" w:fill="FFFFFF"/>
        </w:rPr>
      </w:pPr>
      <w:r w:rsidRPr="00BD5772">
        <w:rPr>
          <w:rStyle w:val="Emphasis"/>
          <w:rFonts w:cs="Times New Roman"/>
          <w:bCs/>
          <w:i w:val="0"/>
          <w:sz w:val="24"/>
          <w:shd w:val="clear" w:color="auto" w:fill="FFFFFF"/>
        </w:rPr>
        <w:t>Hammerton</w:t>
      </w:r>
      <w:r w:rsidRPr="00BD5772">
        <w:rPr>
          <w:rFonts w:cs="Times New Roman"/>
          <w:i/>
          <w:sz w:val="24"/>
          <w:shd w:val="clear" w:color="auto" w:fill="FFFFFF"/>
        </w:rPr>
        <w:t xml:space="preserve">, </w:t>
      </w:r>
      <w:r w:rsidRPr="00BD5772">
        <w:rPr>
          <w:rFonts w:cs="Times New Roman"/>
          <w:sz w:val="24"/>
          <w:shd w:val="clear" w:color="auto" w:fill="FFFFFF"/>
        </w:rPr>
        <w:t>A. J</w:t>
      </w:r>
      <w:r w:rsidR="007B152C">
        <w:rPr>
          <w:rFonts w:cs="Times New Roman"/>
          <w:sz w:val="24"/>
          <w:shd w:val="clear" w:color="auto" w:fill="FFFFFF"/>
        </w:rPr>
        <w:t>ames</w:t>
      </w:r>
      <w:r w:rsidRPr="00BD5772">
        <w:rPr>
          <w:rFonts w:cs="Times New Roman"/>
          <w:sz w:val="24"/>
          <w:shd w:val="clear" w:color="auto" w:fill="FFFFFF"/>
        </w:rPr>
        <w:t xml:space="preserve">. </w:t>
      </w:r>
      <w:r w:rsidR="00C01387">
        <w:rPr>
          <w:rFonts w:cs="Times New Roman"/>
          <w:sz w:val="24"/>
          <w:shd w:val="clear" w:color="auto" w:fill="FFFFFF"/>
        </w:rPr>
        <w:t>"</w:t>
      </w:r>
      <w:r w:rsidRPr="00BD5772">
        <w:rPr>
          <w:rStyle w:val="Emphasis"/>
          <w:rFonts w:cs="Times New Roman"/>
          <w:bCs/>
          <w:i w:val="0"/>
          <w:sz w:val="24"/>
          <w:shd w:val="clear" w:color="auto" w:fill="FFFFFF"/>
        </w:rPr>
        <w:t>Victorian Marriage and the Law of Matrimonial Cruelt</w:t>
      </w:r>
      <w:r w:rsidR="00FF32EC" w:rsidRPr="00BD5772">
        <w:rPr>
          <w:rStyle w:val="Emphasis"/>
          <w:rFonts w:cs="Times New Roman"/>
          <w:bCs/>
          <w:i w:val="0"/>
          <w:sz w:val="24"/>
          <w:shd w:val="clear" w:color="auto" w:fill="FFFFFF"/>
        </w:rPr>
        <w:t>y</w:t>
      </w:r>
      <w:r w:rsidR="00C01387">
        <w:rPr>
          <w:rStyle w:val="Emphasis"/>
          <w:rFonts w:cs="Times New Roman"/>
          <w:bCs/>
          <w:i w:val="0"/>
          <w:sz w:val="24"/>
          <w:shd w:val="clear" w:color="auto" w:fill="FFFFFF"/>
        </w:rPr>
        <w:t>"</w:t>
      </w:r>
      <w:r w:rsidR="00FF32EC" w:rsidRPr="00BD5772">
        <w:rPr>
          <w:rStyle w:val="Emphasis"/>
          <w:rFonts w:cs="Times New Roman"/>
          <w:bCs/>
          <w:i w:val="0"/>
          <w:sz w:val="24"/>
          <w:shd w:val="clear" w:color="auto" w:fill="FFFFFF"/>
        </w:rPr>
        <w:t>.</w:t>
      </w:r>
      <w:r w:rsidRPr="00BD5772">
        <w:rPr>
          <w:rStyle w:val="Emphasis"/>
          <w:rFonts w:cs="Times New Roman"/>
          <w:bCs/>
          <w:sz w:val="24"/>
        </w:rPr>
        <w:t xml:space="preserve">   </w:t>
      </w:r>
      <w:proofErr w:type="gramStart"/>
      <w:r w:rsidRPr="00BD5772">
        <w:rPr>
          <w:rStyle w:val="Emphasis"/>
          <w:rFonts w:cs="Times New Roman"/>
          <w:bCs/>
          <w:sz w:val="24"/>
          <w:shd w:val="clear" w:color="auto" w:fill="FFFFFF"/>
        </w:rPr>
        <w:t>Victorian Studies</w:t>
      </w:r>
      <w:r w:rsidRPr="00BD5772">
        <w:rPr>
          <w:rFonts w:cs="Times New Roman"/>
          <w:sz w:val="24"/>
          <w:shd w:val="clear" w:color="auto" w:fill="FFFFFF"/>
        </w:rPr>
        <w:t xml:space="preserve">, 33 (2) </w:t>
      </w:r>
      <w:r w:rsidR="00FC75AB" w:rsidRPr="00BD5772">
        <w:rPr>
          <w:rFonts w:cs="Times New Roman"/>
          <w:i/>
          <w:sz w:val="24"/>
          <w:shd w:val="clear" w:color="auto" w:fill="FFFFFF"/>
        </w:rPr>
        <w:t>(</w:t>
      </w:r>
      <w:r w:rsidR="00FC75AB" w:rsidRPr="00BD5772">
        <w:rPr>
          <w:rStyle w:val="Emphasis"/>
          <w:rFonts w:cs="Times New Roman"/>
          <w:bCs/>
          <w:i w:val="0"/>
          <w:sz w:val="24"/>
          <w:shd w:val="clear" w:color="auto" w:fill="FFFFFF"/>
        </w:rPr>
        <w:t>1990)</w:t>
      </w:r>
      <w:r w:rsidR="00473896">
        <w:rPr>
          <w:rStyle w:val="Emphasis"/>
          <w:rFonts w:cs="Times New Roman"/>
          <w:bCs/>
          <w:i w:val="0"/>
          <w:sz w:val="24"/>
          <w:shd w:val="clear" w:color="auto" w:fill="FFFFFF"/>
        </w:rPr>
        <w:t>:</w:t>
      </w:r>
      <w:r w:rsidRPr="00BD5772">
        <w:rPr>
          <w:rFonts w:cs="Times New Roman"/>
          <w:sz w:val="24"/>
          <w:shd w:val="clear" w:color="auto" w:fill="FFFFFF"/>
        </w:rPr>
        <w:t xml:space="preserve"> 269–92.</w:t>
      </w:r>
      <w:proofErr w:type="gramEnd"/>
    </w:p>
    <w:p w14:paraId="18983434" w14:textId="77777777" w:rsidR="00C26F98" w:rsidRPr="00BD5772" w:rsidRDefault="00C26F98" w:rsidP="00876A6B">
      <w:pPr>
        <w:spacing w:line="480" w:lineRule="auto"/>
        <w:rPr>
          <w:rFonts w:cs="Times New Roman"/>
          <w:sz w:val="24"/>
          <w:shd w:val="clear" w:color="auto" w:fill="FFFFFF"/>
        </w:rPr>
      </w:pPr>
    </w:p>
    <w:p w14:paraId="22177480" w14:textId="77777777" w:rsidR="004D0A0F" w:rsidRPr="00BD5772" w:rsidRDefault="004D0A0F" w:rsidP="00876A6B">
      <w:pPr>
        <w:spacing w:line="480" w:lineRule="auto"/>
        <w:rPr>
          <w:rFonts w:cs="Times New Roman"/>
          <w:sz w:val="24"/>
          <w:shd w:val="clear" w:color="auto" w:fill="FFFFFF"/>
        </w:rPr>
      </w:pPr>
      <w:r w:rsidRPr="00BD5772">
        <w:rPr>
          <w:rFonts w:cs="Times New Roman"/>
          <w:sz w:val="24"/>
          <w:shd w:val="clear" w:color="auto" w:fill="FFFFFF"/>
        </w:rPr>
        <w:t>Hammerton, A. J</w:t>
      </w:r>
      <w:r w:rsidR="007B152C">
        <w:rPr>
          <w:rFonts w:cs="Times New Roman"/>
          <w:sz w:val="24"/>
          <w:shd w:val="clear" w:color="auto" w:fill="FFFFFF"/>
        </w:rPr>
        <w:t>ames</w:t>
      </w:r>
      <w:r w:rsidRPr="00BD5772">
        <w:rPr>
          <w:rFonts w:cs="Times New Roman"/>
          <w:sz w:val="24"/>
          <w:shd w:val="clear" w:color="auto" w:fill="FFFFFF"/>
        </w:rPr>
        <w:t>.</w:t>
      </w:r>
      <w:r w:rsidR="007E59AE" w:rsidRPr="00BD5772">
        <w:rPr>
          <w:rFonts w:cs="Times New Roman"/>
          <w:sz w:val="24"/>
          <w:shd w:val="clear" w:color="auto" w:fill="FFFFFF"/>
        </w:rPr>
        <w:t xml:space="preserve"> </w:t>
      </w:r>
      <w:r w:rsidR="00473896">
        <w:rPr>
          <w:rFonts w:cs="Times New Roman"/>
          <w:i/>
          <w:sz w:val="24"/>
          <w:shd w:val="clear" w:color="auto" w:fill="FFFFFF"/>
        </w:rPr>
        <w:t xml:space="preserve">Cruelty </w:t>
      </w:r>
      <w:r w:rsidRPr="00BD5772">
        <w:rPr>
          <w:rFonts w:cs="Times New Roman"/>
          <w:i/>
          <w:sz w:val="24"/>
          <w:shd w:val="clear" w:color="auto" w:fill="FFFFFF"/>
        </w:rPr>
        <w:t>and Companionship</w:t>
      </w:r>
      <w:r w:rsidRPr="00BD5772">
        <w:rPr>
          <w:rFonts w:cs="Times New Roman"/>
          <w:sz w:val="24"/>
          <w:shd w:val="clear" w:color="auto" w:fill="FFFFFF"/>
        </w:rPr>
        <w:t>, London: Routledge, 1995.</w:t>
      </w:r>
    </w:p>
    <w:p w14:paraId="78DD2285" w14:textId="77777777" w:rsidR="0032211B" w:rsidRDefault="0032211B" w:rsidP="00876A6B">
      <w:pPr>
        <w:spacing w:line="480" w:lineRule="auto"/>
        <w:rPr>
          <w:rStyle w:val="Strong"/>
          <w:rFonts w:cs="Times New Roman"/>
          <w:b w:val="0"/>
          <w:sz w:val="24"/>
        </w:rPr>
      </w:pPr>
    </w:p>
    <w:p w14:paraId="56824838" w14:textId="77777777" w:rsidR="00C14D74" w:rsidRDefault="00C14D74" w:rsidP="00876A6B">
      <w:pPr>
        <w:spacing w:line="480" w:lineRule="auto"/>
        <w:rPr>
          <w:rStyle w:val="Strong"/>
          <w:rFonts w:cs="Times New Roman"/>
          <w:b w:val="0"/>
          <w:sz w:val="24"/>
        </w:rPr>
      </w:pPr>
      <w:r w:rsidRPr="00BD5772">
        <w:rPr>
          <w:rStyle w:val="Strong"/>
          <w:rFonts w:cs="Times New Roman"/>
          <w:b w:val="0"/>
          <w:sz w:val="24"/>
        </w:rPr>
        <w:t>Higgs, E</w:t>
      </w:r>
      <w:r w:rsidR="007B152C">
        <w:rPr>
          <w:rStyle w:val="Strong"/>
          <w:rFonts w:cs="Times New Roman"/>
          <w:b w:val="0"/>
          <w:sz w:val="24"/>
        </w:rPr>
        <w:t>dward</w:t>
      </w:r>
      <w:r w:rsidRPr="00BD5772">
        <w:rPr>
          <w:rStyle w:val="Strong"/>
          <w:rFonts w:cs="Times New Roman"/>
          <w:b w:val="0"/>
          <w:sz w:val="24"/>
        </w:rPr>
        <w:t xml:space="preserve">. </w:t>
      </w:r>
      <w:r>
        <w:rPr>
          <w:rStyle w:val="Strong"/>
          <w:rFonts w:cs="Times New Roman"/>
          <w:b w:val="0"/>
          <w:sz w:val="24"/>
        </w:rPr>
        <w:t>"</w:t>
      </w:r>
      <w:r w:rsidRPr="00BD5772">
        <w:rPr>
          <w:rFonts w:cs="Times New Roman"/>
          <w:sz w:val="24"/>
        </w:rPr>
        <w:t>Women, Occupations and Work in the Nineteenth Century Censuses</w:t>
      </w:r>
      <w:r>
        <w:rPr>
          <w:rFonts w:cs="Times New Roman"/>
          <w:sz w:val="24"/>
        </w:rPr>
        <w:t>"</w:t>
      </w:r>
      <w:r w:rsidRPr="00BD5772">
        <w:rPr>
          <w:rFonts w:cs="Times New Roman"/>
          <w:sz w:val="24"/>
        </w:rPr>
        <w:t xml:space="preserve">. </w:t>
      </w:r>
      <w:r w:rsidRPr="00BD5772">
        <w:rPr>
          <w:rFonts w:cs="Times New Roman"/>
          <w:i/>
          <w:sz w:val="24"/>
        </w:rPr>
        <w:t>History Workshop Journal</w:t>
      </w:r>
      <w:r w:rsidRPr="00BD5772">
        <w:rPr>
          <w:rFonts w:cs="Times New Roman"/>
          <w:sz w:val="24"/>
        </w:rPr>
        <w:t xml:space="preserve"> </w:t>
      </w:r>
      <w:r w:rsidRPr="00BD5772">
        <w:rPr>
          <w:rStyle w:val="apple-converted-space"/>
          <w:rFonts w:cs="Times New Roman"/>
          <w:sz w:val="24"/>
        </w:rPr>
        <w:t>23 (1)</w:t>
      </w:r>
      <w:r w:rsidRPr="00BD5772">
        <w:rPr>
          <w:rStyle w:val="apple-converted-space"/>
          <w:rFonts w:cs="Times New Roman"/>
          <w:b/>
          <w:sz w:val="24"/>
        </w:rPr>
        <w:t xml:space="preserve"> </w:t>
      </w:r>
      <w:r w:rsidRPr="00BD5772">
        <w:rPr>
          <w:rStyle w:val="Strong"/>
          <w:rFonts w:cs="Times New Roman"/>
          <w:b w:val="0"/>
          <w:sz w:val="24"/>
        </w:rPr>
        <w:t>(1987)</w:t>
      </w:r>
      <w:r w:rsidR="00473896">
        <w:rPr>
          <w:rStyle w:val="Strong"/>
          <w:rFonts w:cs="Times New Roman"/>
          <w:b w:val="0"/>
          <w:sz w:val="24"/>
        </w:rPr>
        <w:t>:</w:t>
      </w:r>
      <w:r w:rsidRPr="00BD5772">
        <w:rPr>
          <w:rStyle w:val="Strong"/>
          <w:rFonts w:cs="Times New Roman"/>
          <w:b w:val="0"/>
          <w:sz w:val="24"/>
        </w:rPr>
        <w:t xml:space="preserve"> 59-80.</w:t>
      </w:r>
    </w:p>
    <w:p w14:paraId="5F196894" w14:textId="77777777" w:rsidR="00C26F98" w:rsidRDefault="00C26F98" w:rsidP="00876A6B">
      <w:pPr>
        <w:spacing w:line="480" w:lineRule="auto"/>
        <w:rPr>
          <w:rStyle w:val="Strong"/>
          <w:rFonts w:cs="Times New Roman"/>
          <w:b w:val="0"/>
          <w:sz w:val="24"/>
        </w:rPr>
      </w:pPr>
    </w:p>
    <w:p w14:paraId="6CCDE69B" w14:textId="77777777" w:rsidR="00C14D74" w:rsidRPr="00BD5772" w:rsidRDefault="00C14D74" w:rsidP="00876A6B">
      <w:pPr>
        <w:spacing w:line="480" w:lineRule="auto"/>
        <w:rPr>
          <w:rFonts w:cs="Times New Roman"/>
          <w:sz w:val="24"/>
        </w:rPr>
      </w:pPr>
      <w:r w:rsidRPr="00BD5772">
        <w:rPr>
          <w:rFonts w:cs="Times New Roman"/>
          <w:sz w:val="24"/>
        </w:rPr>
        <w:t>Honeyman, K</w:t>
      </w:r>
      <w:r w:rsidR="00512411">
        <w:rPr>
          <w:rFonts w:cs="Times New Roman"/>
          <w:sz w:val="24"/>
        </w:rPr>
        <w:t>atrina</w:t>
      </w:r>
      <w:r w:rsidRPr="00BD5772">
        <w:rPr>
          <w:rFonts w:cs="Times New Roman"/>
          <w:sz w:val="24"/>
        </w:rPr>
        <w:t xml:space="preserve">.  </w:t>
      </w:r>
      <w:r>
        <w:rPr>
          <w:rFonts w:cs="Times New Roman"/>
          <w:sz w:val="24"/>
        </w:rPr>
        <w:t>"</w:t>
      </w:r>
      <w:r w:rsidRPr="00BD5772">
        <w:rPr>
          <w:rFonts w:cs="Times New Roman"/>
          <w:sz w:val="24"/>
        </w:rPr>
        <w:t xml:space="preserve">Doing business with gender? Service industries and the gendering of </w:t>
      </w:r>
    </w:p>
    <w:p w14:paraId="3214B747" w14:textId="77777777" w:rsidR="00C14D74" w:rsidRDefault="00C14D74" w:rsidP="00876A6B">
      <w:pPr>
        <w:spacing w:line="480" w:lineRule="auto"/>
        <w:rPr>
          <w:rFonts w:cs="Times New Roman"/>
          <w:sz w:val="24"/>
        </w:rPr>
      </w:pPr>
      <w:proofErr w:type="gramStart"/>
      <w:r w:rsidRPr="00BD5772">
        <w:rPr>
          <w:rFonts w:cs="Times New Roman"/>
          <w:sz w:val="24"/>
        </w:rPr>
        <w:t>British business history</w:t>
      </w:r>
      <w:r>
        <w:rPr>
          <w:rFonts w:cs="Times New Roman"/>
          <w:sz w:val="24"/>
        </w:rPr>
        <w:t>"</w:t>
      </w:r>
      <w:r w:rsidRPr="00BD5772">
        <w:rPr>
          <w:rFonts w:cs="Times New Roman"/>
          <w:sz w:val="24"/>
        </w:rPr>
        <w:t>.</w:t>
      </w:r>
      <w:proofErr w:type="gramEnd"/>
      <w:r w:rsidRPr="00BD5772">
        <w:rPr>
          <w:rFonts w:cs="Times New Roman"/>
          <w:sz w:val="24"/>
        </w:rPr>
        <w:t xml:space="preserve">  </w:t>
      </w:r>
      <w:proofErr w:type="gramStart"/>
      <w:r w:rsidRPr="00BD5772">
        <w:rPr>
          <w:rFonts w:cs="Times New Roman"/>
          <w:i/>
          <w:sz w:val="24"/>
        </w:rPr>
        <w:t>Business History</w:t>
      </w:r>
      <w:r w:rsidRPr="00BD5772">
        <w:rPr>
          <w:rFonts w:cs="Times New Roman"/>
          <w:sz w:val="24"/>
        </w:rPr>
        <w:t xml:space="preserve"> </w:t>
      </w:r>
      <w:r w:rsidRPr="00BD5772">
        <w:rPr>
          <w:rFonts w:cs="Times New Roman"/>
          <w:i/>
          <w:sz w:val="24"/>
        </w:rPr>
        <w:t>Review</w:t>
      </w:r>
      <w:r w:rsidRPr="00BD5772">
        <w:rPr>
          <w:rFonts w:cs="Times New Roman"/>
          <w:sz w:val="24"/>
        </w:rPr>
        <w:t xml:space="preserve">, </w:t>
      </w:r>
      <w:r w:rsidR="00473896">
        <w:rPr>
          <w:rFonts w:cs="Times New Roman"/>
          <w:sz w:val="24"/>
        </w:rPr>
        <w:t xml:space="preserve">81 (3) </w:t>
      </w:r>
      <w:r w:rsidRPr="00BD5772">
        <w:rPr>
          <w:rFonts w:cs="Times New Roman"/>
          <w:sz w:val="24"/>
        </w:rPr>
        <w:t>(2007)</w:t>
      </w:r>
      <w:r w:rsidR="00473896">
        <w:rPr>
          <w:rFonts w:cs="Times New Roman"/>
          <w:sz w:val="24"/>
        </w:rPr>
        <w:t>:</w:t>
      </w:r>
      <w:r w:rsidRPr="00BD5772">
        <w:rPr>
          <w:rFonts w:cs="Times New Roman"/>
          <w:sz w:val="24"/>
        </w:rPr>
        <w:t xml:space="preserve"> 471–93.</w:t>
      </w:r>
      <w:proofErr w:type="gramEnd"/>
    </w:p>
    <w:p w14:paraId="5FC7F914" w14:textId="77777777" w:rsidR="00C26F98" w:rsidRPr="00BD5772" w:rsidRDefault="00C26F98" w:rsidP="00876A6B">
      <w:pPr>
        <w:spacing w:line="480" w:lineRule="auto"/>
        <w:rPr>
          <w:rFonts w:cs="Times New Roman"/>
          <w:sz w:val="24"/>
        </w:rPr>
      </w:pPr>
    </w:p>
    <w:p w14:paraId="15AB6FC0" w14:textId="77777777" w:rsidR="00C14D74" w:rsidRDefault="00C14D74" w:rsidP="00876A6B">
      <w:pPr>
        <w:spacing w:line="480" w:lineRule="auto"/>
        <w:rPr>
          <w:rFonts w:cs="Times New Roman"/>
          <w:sz w:val="24"/>
          <w:lang w:val="en-US"/>
        </w:rPr>
      </w:pPr>
      <w:r w:rsidRPr="00BD5772">
        <w:rPr>
          <w:rFonts w:cs="Times New Roman"/>
          <w:sz w:val="24"/>
          <w:lang w:val="en-US"/>
        </w:rPr>
        <w:t>Horne, H.</w:t>
      </w:r>
      <w:r w:rsidR="00725863">
        <w:rPr>
          <w:rFonts w:cs="Times New Roman"/>
          <w:sz w:val="24"/>
          <w:lang w:val="en-US"/>
        </w:rPr>
        <w:t xml:space="preserve"> </w:t>
      </w:r>
      <w:r w:rsidRPr="00BD5772">
        <w:rPr>
          <w:rFonts w:cs="Times New Roman"/>
          <w:sz w:val="24"/>
          <w:lang w:val="en-US"/>
        </w:rPr>
        <w:t>O</w:t>
      </w:r>
      <w:r w:rsidR="007B152C">
        <w:rPr>
          <w:rFonts w:cs="Times New Roman"/>
          <w:sz w:val="24"/>
          <w:lang w:val="en-US"/>
        </w:rPr>
        <w:t>liver</w:t>
      </w:r>
      <w:r w:rsidRPr="00BD5772">
        <w:rPr>
          <w:rFonts w:cs="Times New Roman"/>
          <w:sz w:val="24"/>
          <w:lang w:val="en-US"/>
        </w:rPr>
        <w:t xml:space="preserve">. </w:t>
      </w:r>
      <w:proofErr w:type="gramStart"/>
      <w:r w:rsidRPr="00BD5772">
        <w:rPr>
          <w:rFonts w:cs="Times New Roman"/>
          <w:i/>
          <w:iCs/>
          <w:sz w:val="24"/>
          <w:lang w:val="en-US"/>
        </w:rPr>
        <w:t>A history of savings banks</w:t>
      </w:r>
      <w:r w:rsidRPr="00BD5772">
        <w:rPr>
          <w:rFonts w:cs="Times New Roman"/>
          <w:sz w:val="24"/>
          <w:lang w:val="en-US"/>
        </w:rPr>
        <w:t>.</w:t>
      </w:r>
      <w:proofErr w:type="gramEnd"/>
      <w:r w:rsidRPr="00BD5772">
        <w:rPr>
          <w:rFonts w:cs="Times New Roman"/>
          <w:sz w:val="24"/>
          <w:lang w:val="en-US"/>
        </w:rPr>
        <w:t xml:space="preserve"> Oxford: Oxford University Press for the Trustee Savings Banks Association, 1947.</w:t>
      </w:r>
    </w:p>
    <w:p w14:paraId="6CEAD969" w14:textId="77777777" w:rsidR="00C26F98" w:rsidRDefault="00C26F98" w:rsidP="00876A6B">
      <w:pPr>
        <w:autoSpaceDE w:val="0"/>
        <w:autoSpaceDN w:val="0"/>
        <w:adjustRightInd w:val="0"/>
        <w:spacing w:line="480" w:lineRule="auto"/>
        <w:rPr>
          <w:rFonts w:eastAsiaTheme="minorEastAsia" w:cs="Times New Roman"/>
          <w:sz w:val="24"/>
        </w:rPr>
      </w:pPr>
    </w:p>
    <w:p w14:paraId="08A387FC" w14:textId="77777777" w:rsidR="004D0A0F" w:rsidRDefault="004D0A0F" w:rsidP="00876A6B">
      <w:pPr>
        <w:spacing w:line="480" w:lineRule="auto"/>
        <w:rPr>
          <w:rFonts w:cs="Times New Roman"/>
          <w:color w:val="000000"/>
          <w:sz w:val="24"/>
        </w:rPr>
      </w:pPr>
      <w:r w:rsidRPr="00BD5772">
        <w:rPr>
          <w:rFonts w:cs="Times New Roman"/>
          <w:color w:val="000000"/>
          <w:sz w:val="24"/>
        </w:rPr>
        <w:t>Horrell, S</w:t>
      </w:r>
      <w:r w:rsidR="007B152C">
        <w:rPr>
          <w:rFonts w:cs="Times New Roman"/>
          <w:color w:val="000000"/>
          <w:sz w:val="24"/>
        </w:rPr>
        <w:t>ara</w:t>
      </w:r>
      <w:r w:rsidRPr="00BD5772">
        <w:rPr>
          <w:rFonts w:cs="Times New Roman"/>
          <w:color w:val="000000"/>
          <w:sz w:val="24"/>
        </w:rPr>
        <w:t xml:space="preserve"> and </w:t>
      </w:r>
      <w:r w:rsidR="0094611C">
        <w:rPr>
          <w:rFonts w:cs="Times New Roman"/>
          <w:color w:val="000000"/>
          <w:sz w:val="24"/>
        </w:rPr>
        <w:t xml:space="preserve">Jane </w:t>
      </w:r>
      <w:r w:rsidRPr="00BD5772">
        <w:rPr>
          <w:rFonts w:cs="Times New Roman"/>
          <w:color w:val="000000"/>
          <w:sz w:val="24"/>
        </w:rPr>
        <w:t>Humphries,</w:t>
      </w:r>
      <w:r w:rsidR="0032211B">
        <w:rPr>
          <w:rFonts w:cs="Times New Roman"/>
          <w:color w:val="000000"/>
          <w:sz w:val="24"/>
        </w:rPr>
        <w:t xml:space="preserve"> </w:t>
      </w:r>
      <w:r w:rsidR="00C01387">
        <w:rPr>
          <w:rFonts w:cs="Times New Roman"/>
          <w:color w:val="000000"/>
          <w:sz w:val="24"/>
        </w:rPr>
        <w:t>"</w:t>
      </w:r>
      <w:r w:rsidR="00751B3E">
        <w:rPr>
          <w:rFonts w:cs="Times New Roman"/>
          <w:color w:val="000000"/>
          <w:sz w:val="24"/>
        </w:rPr>
        <w:t>Women's</w:t>
      </w:r>
      <w:r w:rsidRPr="00BD5772">
        <w:rPr>
          <w:rFonts w:cs="Times New Roman"/>
          <w:color w:val="000000"/>
          <w:sz w:val="24"/>
        </w:rPr>
        <w:t xml:space="preserve"> Labour Force Participation and the Transition to the Male-Breadwinner Family</w:t>
      </w:r>
      <w:proofErr w:type="gramStart"/>
      <w:r w:rsidRPr="00BD5772">
        <w:rPr>
          <w:rFonts w:cs="Times New Roman"/>
          <w:color w:val="000000"/>
          <w:sz w:val="24"/>
        </w:rPr>
        <w:t>,1790</w:t>
      </w:r>
      <w:proofErr w:type="gramEnd"/>
      <w:r w:rsidRPr="00BD5772">
        <w:rPr>
          <w:rFonts w:cs="Times New Roman"/>
          <w:color w:val="000000"/>
          <w:sz w:val="24"/>
        </w:rPr>
        <w:t>-1865</w:t>
      </w:r>
      <w:r w:rsidR="00C01387">
        <w:rPr>
          <w:rFonts w:cs="Times New Roman"/>
          <w:color w:val="000000"/>
          <w:sz w:val="24"/>
        </w:rPr>
        <w:t>"</w:t>
      </w:r>
      <w:r w:rsidRPr="00BD5772">
        <w:rPr>
          <w:rFonts w:cs="Times New Roman"/>
          <w:color w:val="000000"/>
          <w:sz w:val="24"/>
        </w:rPr>
        <w:t xml:space="preserve">. </w:t>
      </w:r>
      <w:r w:rsidRPr="00BD5772">
        <w:rPr>
          <w:rFonts w:cs="Times New Roman"/>
          <w:i/>
          <w:color w:val="000000"/>
          <w:sz w:val="24"/>
        </w:rPr>
        <w:t>The Economic History Review</w:t>
      </w:r>
      <w:r w:rsidRPr="00BD5772">
        <w:rPr>
          <w:rFonts w:cs="Times New Roman"/>
          <w:color w:val="000000"/>
          <w:sz w:val="24"/>
        </w:rPr>
        <w:t>, 48 (1)</w:t>
      </w:r>
      <w:r w:rsidR="00BF71E4" w:rsidRPr="00BD5772">
        <w:rPr>
          <w:rFonts w:cs="Times New Roman"/>
          <w:color w:val="000000"/>
          <w:sz w:val="24"/>
        </w:rPr>
        <w:t xml:space="preserve"> (1995)</w:t>
      </w:r>
      <w:r w:rsidR="008B1707">
        <w:rPr>
          <w:rFonts w:cs="Times New Roman"/>
          <w:color w:val="000000"/>
          <w:sz w:val="24"/>
        </w:rPr>
        <w:t xml:space="preserve">: </w:t>
      </w:r>
      <w:r w:rsidRPr="00BD5772">
        <w:rPr>
          <w:rFonts w:cs="Times New Roman"/>
          <w:color w:val="000000"/>
          <w:sz w:val="24"/>
        </w:rPr>
        <w:t xml:space="preserve"> 89-117.</w:t>
      </w:r>
    </w:p>
    <w:p w14:paraId="04A48553" w14:textId="77777777" w:rsidR="00C26F98" w:rsidRPr="00BD5772" w:rsidRDefault="00C26F98" w:rsidP="00876A6B">
      <w:pPr>
        <w:spacing w:line="480" w:lineRule="auto"/>
        <w:rPr>
          <w:rFonts w:cs="Times New Roman"/>
          <w:sz w:val="24"/>
        </w:rPr>
      </w:pPr>
    </w:p>
    <w:p w14:paraId="369B6C29" w14:textId="77777777" w:rsidR="004D0A0F" w:rsidRDefault="004D0A0F" w:rsidP="00876A6B">
      <w:pPr>
        <w:spacing w:line="480" w:lineRule="auto"/>
        <w:rPr>
          <w:rStyle w:val="apple-converted-space"/>
          <w:rFonts w:cs="Times New Roman"/>
          <w:color w:val="444444"/>
          <w:sz w:val="24"/>
          <w:shd w:val="clear" w:color="auto" w:fill="FFFFFF"/>
        </w:rPr>
      </w:pPr>
      <w:r w:rsidRPr="00BD5772">
        <w:rPr>
          <w:rFonts w:cs="Times New Roman"/>
          <w:sz w:val="24"/>
          <w:lang w:val="en-US"/>
        </w:rPr>
        <w:lastRenderedPageBreak/>
        <w:t>Horrell, S</w:t>
      </w:r>
      <w:r w:rsidR="007B152C">
        <w:rPr>
          <w:rFonts w:cs="Times New Roman"/>
          <w:sz w:val="24"/>
          <w:lang w:val="en-US"/>
        </w:rPr>
        <w:t>ara</w:t>
      </w:r>
      <w:r w:rsidRPr="00BD5772">
        <w:rPr>
          <w:rFonts w:cs="Times New Roman"/>
          <w:sz w:val="24"/>
          <w:lang w:val="en-US"/>
        </w:rPr>
        <w:t xml:space="preserve"> and </w:t>
      </w:r>
      <w:r w:rsidR="0094611C">
        <w:rPr>
          <w:rFonts w:cs="Times New Roman"/>
          <w:sz w:val="24"/>
          <w:lang w:val="en-US"/>
        </w:rPr>
        <w:t xml:space="preserve">Deborah </w:t>
      </w:r>
      <w:r w:rsidRPr="00BD5772">
        <w:rPr>
          <w:rFonts w:cs="Times New Roman"/>
          <w:sz w:val="24"/>
          <w:lang w:val="en-US"/>
        </w:rPr>
        <w:t xml:space="preserve">Oxley. </w:t>
      </w:r>
      <w:r w:rsidR="00C01387">
        <w:rPr>
          <w:rFonts w:cs="Times New Roman"/>
          <w:sz w:val="24"/>
          <w:lang w:val="en-US"/>
        </w:rPr>
        <w:t>"</w:t>
      </w:r>
      <w:r w:rsidRPr="00BD5772">
        <w:rPr>
          <w:rFonts w:cs="Times New Roman"/>
          <w:sz w:val="24"/>
          <w:lang w:val="en-US"/>
        </w:rPr>
        <w:t xml:space="preserve">Crust or crumb? </w:t>
      </w:r>
      <w:proofErr w:type="gramStart"/>
      <w:r w:rsidRPr="00BD5772">
        <w:rPr>
          <w:rFonts w:cs="Times New Roman"/>
          <w:sz w:val="24"/>
          <w:lang w:val="en-US"/>
        </w:rPr>
        <w:t>Intrahousehold resource allocation and male breadwi</w:t>
      </w:r>
      <w:r w:rsidR="00FF32EC" w:rsidRPr="00BD5772">
        <w:rPr>
          <w:rFonts w:cs="Times New Roman"/>
          <w:sz w:val="24"/>
          <w:lang w:val="en-US"/>
        </w:rPr>
        <w:t>nning in late Victorian Britain</w:t>
      </w:r>
      <w:r w:rsidR="00C01387">
        <w:rPr>
          <w:rFonts w:cs="Times New Roman"/>
          <w:sz w:val="24"/>
          <w:lang w:val="en-US"/>
        </w:rPr>
        <w:t>"</w:t>
      </w:r>
      <w:r w:rsidR="00FF32EC" w:rsidRPr="00BD5772">
        <w:rPr>
          <w:rFonts w:cs="Times New Roman"/>
          <w:sz w:val="24"/>
          <w:lang w:val="en-US"/>
        </w:rPr>
        <w:t>.</w:t>
      </w:r>
      <w:proofErr w:type="gramEnd"/>
      <w:r w:rsidR="00FF32EC" w:rsidRPr="00BD5772">
        <w:rPr>
          <w:rFonts w:cs="Times New Roman"/>
          <w:sz w:val="24"/>
          <w:lang w:val="en-US"/>
        </w:rPr>
        <w:t xml:space="preserve"> </w:t>
      </w:r>
      <w:r w:rsidRPr="00BD5772">
        <w:rPr>
          <w:rFonts w:cs="Times New Roman"/>
          <w:sz w:val="24"/>
          <w:lang w:val="en-US"/>
        </w:rPr>
        <w:t xml:space="preserve"> </w:t>
      </w:r>
      <w:proofErr w:type="gramStart"/>
      <w:r w:rsidRPr="00BD5772">
        <w:rPr>
          <w:rFonts w:cs="Times New Roman"/>
          <w:i/>
          <w:sz w:val="24"/>
          <w:lang w:val="en-US"/>
        </w:rPr>
        <w:t>Economic History Review</w:t>
      </w:r>
      <w:r w:rsidRPr="00BD5772">
        <w:rPr>
          <w:rFonts w:cs="Times New Roman"/>
          <w:color w:val="444444"/>
          <w:sz w:val="24"/>
          <w:shd w:val="clear" w:color="auto" w:fill="FFFFFF"/>
        </w:rPr>
        <w:t xml:space="preserve"> 52 (3)</w:t>
      </w:r>
      <w:r w:rsidR="00BF71E4" w:rsidRPr="00BD5772">
        <w:rPr>
          <w:rFonts w:cs="Times New Roman"/>
          <w:sz w:val="24"/>
          <w:lang w:val="en-US"/>
        </w:rPr>
        <w:t xml:space="preserve"> (1999)</w:t>
      </w:r>
      <w:r w:rsidR="00473896">
        <w:rPr>
          <w:rFonts w:cs="Times New Roman"/>
          <w:sz w:val="24"/>
          <w:lang w:val="en-US"/>
        </w:rPr>
        <w:t>:</w:t>
      </w:r>
      <w:r w:rsidR="00BF71E4" w:rsidRPr="00BD5772">
        <w:rPr>
          <w:rFonts w:cs="Times New Roman"/>
          <w:sz w:val="24"/>
          <w:lang w:val="en-US"/>
        </w:rPr>
        <w:t xml:space="preserve"> </w:t>
      </w:r>
      <w:r w:rsidRPr="00BD5772">
        <w:rPr>
          <w:rFonts w:cs="Times New Roman"/>
          <w:color w:val="444444"/>
          <w:sz w:val="24"/>
          <w:shd w:val="clear" w:color="auto" w:fill="FFFFFF"/>
        </w:rPr>
        <w:t xml:space="preserve"> 494–522.</w:t>
      </w:r>
      <w:proofErr w:type="gramEnd"/>
      <w:r w:rsidRPr="00BD5772">
        <w:rPr>
          <w:rStyle w:val="apple-converted-space"/>
          <w:rFonts w:cs="Times New Roman"/>
          <w:color w:val="444444"/>
          <w:sz w:val="24"/>
          <w:shd w:val="clear" w:color="auto" w:fill="FFFFFF"/>
        </w:rPr>
        <w:t> </w:t>
      </w:r>
    </w:p>
    <w:p w14:paraId="039144C7" w14:textId="77777777" w:rsidR="00C26F98" w:rsidRPr="00BD5772" w:rsidRDefault="00C26F98" w:rsidP="00876A6B">
      <w:pPr>
        <w:spacing w:line="480" w:lineRule="auto"/>
        <w:rPr>
          <w:rStyle w:val="apple-converted-space"/>
          <w:rFonts w:cs="Times New Roman"/>
          <w:color w:val="444444"/>
          <w:sz w:val="24"/>
          <w:shd w:val="clear" w:color="auto" w:fill="FFFFFF"/>
        </w:rPr>
      </w:pPr>
    </w:p>
    <w:p w14:paraId="77083EA3" w14:textId="77777777" w:rsidR="004D0A0F" w:rsidRDefault="004D0A0F" w:rsidP="00876A6B">
      <w:pPr>
        <w:spacing w:line="480" w:lineRule="auto"/>
        <w:rPr>
          <w:rFonts w:cs="Times New Roman"/>
          <w:sz w:val="24"/>
        </w:rPr>
      </w:pPr>
      <w:r w:rsidRPr="00BD5772">
        <w:rPr>
          <w:rFonts w:cs="Times New Roman"/>
          <w:sz w:val="24"/>
        </w:rPr>
        <w:t>Horrell, S</w:t>
      </w:r>
      <w:r w:rsidR="007B152C">
        <w:rPr>
          <w:rFonts w:cs="Times New Roman"/>
          <w:sz w:val="24"/>
        </w:rPr>
        <w:t>ara</w:t>
      </w:r>
      <w:r w:rsidRPr="00BD5772">
        <w:rPr>
          <w:rFonts w:cs="Times New Roman"/>
          <w:sz w:val="24"/>
        </w:rPr>
        <w:t xml:space="preserve"> and </w:t>
      </w:r>
      <w:r w:rsidR="0094611C">
        <w:rPr>
          <w:rFonts w:cs="Times New Roman"/>
          <w:sz w:val="24"/>
        </w:rPr>
        <w:t xml:space="preserve">Deborah </w:t>
      </w:r>
      <w:r w:rsidRPr="00BD5772">
        <w:rPr>
          <w:rFonts w:cs="Times New Roman"/>
          <w:sz w:val="24"/>
        </w:rPr>
        <w:t xml:space="preserve">Oxley. </w:t>
      </w:r>
      <w:r w:rsidR="00A239A0">
        <w:rPr>
          <w:rFonts w:cs="Times New Roman"/>
          <w:sz w:val="24"/>
        </w:rPr>
        <w:t>"</w:t>
      </w:r>
      <w:r w:rsidRPr="00BD5772">
        <w:rPr>
          <w:rFonts w:cs="Times New Roman"/>
          <w:sz w:val="24"/>
        </w:rPr>
        <w:t>Work and prudence: Household responses to income variatio</w:t>
      </w:r>
      <w:r w:rsidR="00FF32EC" w:rsidRPr="00BD5772">
        <w:rPr>
          <w:rFonts w:cs="Times New Roman"/>
          <w:sz w:val="24"/>
        </w:rPr>
        <w:t>n in nineteenth-century Britain</w:t>
      </w:r>
      <w:r w:rsidR="00A239A0">
        <w:rPr>
          <w:rFonts w:cs="Times New Roman"/>
          <w:sz w:val="24"/>
        </w:rPr>
        <w:t>"</w:t>
      </w:r>
      <w:r w:rsidR="00FF32EC" w:rsidRPr="00BD5772">
        <w:rPr>
          <w:rFonts w:cs="Times New Roman"/>
          <w:sz w:val="24"/>
        </w:rPr>
        <w:t xml:space="preserve">. </w:t>
      </w:r>
      <w:r w:rsidRPr="00BD5772">
        <w:rPr>
          <w:rFonts w:cs="Times New Roman"/>
          <w:sz w:val="24"/>
        </w:rPr>
        <w:t xml:space="preserve"> </w:t>
      </w:r>
      <w:proofErr w:type="gramStart"/>
      <w:r w:rsidRPr="00BD5772">
        <w:rPr>
          <w:rFonts w:cs="Times New Roman"/>
          <w:i/>
          <w:sz w:val="24"/>
        </w:rPr>
        <w:t xml:space="preserve">European Review of Economic History </w:t>
      </w:r>
      <w:r w:rsidRPr="00BD5772">
        <w:rPr>
          <w:rFonts w:cs="Times New Roman"/>
          <w:sz w:val="24"/>
        </w:rPr>
        <w:t xml:space="preserve">53, 4 </w:t>
      </w:r>
      <w:r w:rsidR="00BF71E4" w:rsidRPr="00BD5772">
        <w:rPr>
          <w:rFonts w:cs="Times New Roman"/>
          <w:sz w:val="24"/>
        </w:rPr>
        <w:t xml:space="preserve">(2000) </w:t>
      </w:r>
      <w:r w:rsidRPr="00BD5772">
        <w:rPr>
          <w:rFonts w:cs="Times New Roman"/>
          <w:sz w:val="24"/>
        </w:rPr>
        <w:t>27-57</w:t>
      </w:r>
      <w:r w:rsidR="00C26F98">
        <w:rPr>
          <w:rFonts w:cs="Times New Roman"/>
          <w:sz w:val="24"/>
        </w:rPr>
        <w:t>.</w:t>
      </w:r>
      <w:proofErr w:type="gramEnd"/>
    </w:p>
    <w:p w14:paraId="1257E3D6" w14:textId="77777777" w:rsidR="00C26F98" w:rsidRDefault="00C26F98" w:rsidP="00876A6B">
      <w:pPr>
        <w:spacing w:line="480" w:lineRule="auto"/>
        <w:rPr>
          <w:rFonts w:cs="Times New Roman"/>
          <w:sz w:val="24"/>
        </w:rPr>
      </w:pPr>
    </w:p>
    <w:p w14:paraId="50CC3C84" w14:textId="77777777" w:rsidR="00075CDE" w:rsidRDefault="00075CDE" w:rsidP="00075CDE">
      <w:pPr>
        <w:spacing w:line="480" w:lineRule="auto"/>
        <w:rPr>
          <w:rStyle w:val="apple-converted-space"/>
          <w:rFonts w:cs="Times New Roman"/>
          <w:sz w:val="24"/>
        </w:rPr>
      </w:pPr>
    </w:p>
    <w:p w14:paraId="463A8180" w14:textId="77777777" w:rsidR="00C14D74" w:rsidRDefault="00C14D74" w:rsidP="00075CDE">
      <w:pPr>
        <w:spacing w:line="480" w:lineRule="auto"/>
        <w:rPr>
          <w:rFonts w:eastAsia="Times New Roman" w:cs="Times New Roman"/>
          <w:sz w:val="24"/>
          <w:lang w:eastAsia="en-GB"/>
        </w:rPr>
      </w:pPr>
      <w:r w:rsidRPr="00BD5772">
        <w:rPr>
          <w:rStyle w:val="apple-converted-space"/>
          <w:rFonts w:cs="Times New Roman"/>
          <w:sz w:val="24"/>
        </w:rPr>
        <w:t>Humphries, J</w:t>
      </w:r>
      <w:r w:rsidR="00512411">
        <w:rPr>
          <w:rStyle w:val="apple-converted-space"/>
          <w:rFonts w:cs="Times New Roman"/>
          <w:sz w:val="24"/>
        </w:rPr>
        <w:t>ane</w:t>
      </w:r>
      <w:r w:rsidRPr="00BD5772">
        <w:rPr>
          <w:rStyle w:val="apple-converted-space"/>
          <w:rFonts w:cs="Times New Roman"/>
          <w:sz w:val="24"/>
        </w:rPr>
        <w:t xml:space="preserve">. </w:t>
      </w:r>
      <w:proofErr w:type="gramStart"/>
      <w:r>
        <w:rPr>
          <w:rStyle w:val="apple-converted-space"/>
          <w:rFonts w:cs="Times New Roman"/>
          <w:sz w:val="24"/>
        </w:rPr>
        <w:t>"</w:t>
      </w:r>
      <w:r w:rsidRPr="00BD5772">
        <w:rPr>
          <w:rFonts w:eastAsia="Times New Roman" w:cs="Times New Roman"/>
          <w:bCs/>
          <w:color w:val="111111"/>
          <w:sz w:val="24"/>
          <w:lang w:eastAsia="en-GB"/>
        </w:rPr>
        <w:t>Class struggle and the persistence of the working-class family</w:t>
      </w:r>
      <w:r>
        <w:rPr>
          <w:rFonts w:eastAsia="Times New Roman" w:cs="Times New Roman"/>
          <w:bCs/>
          <w:color w:val="111111"/>
          <w:sz w:val="24"/>
          <w:lang w:eastAsia="en-GB"/>
        </w:rPr>
        <w:t>"</w:t>
      </w:r>
      <w:r w:rsidRPr="00BD5772">
        <w:rPr>
          <w:rFonts w:eastAsia="Times New Roman" w:cs="Times New Roman"/>
          <w:bCs/>
          <w:color w:val="111111"/>
          <w:sz w:val="24"/>
          <w:lang w:eastAsia="en-GB"/>
        </w:rPr>
        <w:t>.</w:t>
      </w:r>
      <w:proofErr w:type="gramEnd"/>
      <w:r w:rsidRPr="00BD5772">
        <w:rPr>
          <w:rFonts w:eastAsia="Times New Roman" w:cs="Times New Roman"/>
          <w:b/>
          <w:bCs/>
          <w:color w:val="111111"/>
          <w:sz w:val="24"/>
          <w:lang w:eastAsia="en-GB"/>
        </w:rPr>
        <w:t xml:space="preserve"> </w:t>
      </w:r>
      <w:proofErr w:type="gramStart"/>
      <w:r w:rsidRPr="00BD5772">
        <w:rPr>
          <w:rFonts w:eastAsia="Times New Roman" w:cs="Times New Roman"/>
          <w:i/>
          <w:sz w:val="24"/>
          <w:lang w:eastAsia="en-GB"/>
        </w:rPr>
        <w:t>Cambridge  Journal</w:t>
      </w:r>
      <w:proofErr w:type="gramEnd"/>
      <w:r w:rsidRPr="00BD5772">
        <w:rPr>
          <w:rFonts w:eastAsia="Times New Roman" w:cs="Times New Roman"/>
          <w:i/>
          <w:sz w:val="24"/>
          <w:lang w:eastAsia="en-GB"/>
        </w:rPr>
        <w:t xml:space="preserve"> of Economics</w:t>
      </w:r>
      <w:r w:rsidR="00473896">
        <w:rPr>
          <w:rFonts w:eastAsia="Times New Roman" w:cs="Times New Roman"/>
          <w:i/>
          <w:sz w:val="24"/>
          <w:lang w:eastAsia="en-GB"/>
        </w:rPr>
        <w:t>,</w:t>
      </w:r>
      <w:r w:rsidRPr="00BD5772">
        <w:rPr>
          <w:rFonts w:eastAsia="Times New Roman" w:cs="Times New Roman"/>
          <w:sz w:val="24"/>
          <w:lang w:eastAsia="en-GB"/>
        </w:rPr>
        <w:t xml:space="preserve"> 1 (3) (1977) : 241-258.</w:t>
      </w:r>
    </w:p>
    <w:p w14:paraId="4D86D468" w14:textId="77777777" w:rsidR="00075CDE" w:rsidRDefault="00075CDE" w:rsidP="00075CDE">
      <w:pPr>
        <w:spacing w:line="480" w:lineRule="auto"/>
        <w:rPr>
          <w:rFonts w:eastAsia="Times New Roman" w:cs="Times New Roman"/>
          <w:sz w:val="24"/>
          <w:lang w:eastAsia="en-GB"/>
        </w:rPr>
      </w:pPr>
    </w:p>
    <w:p w14:paraId="488F6981" w14:textId="77777777" w:rsidR="00075CDE" w:rsidRPr="00075CDE" w:rsidRDefault="00075CDE" w:rsidP="00075CDE">
      <w:pPr>
        <w:spacing w:line="480" w:lineRule="auto"/>
        <w:rPr>
          <w:rFonts w:eastAsia="Times New Roman" w:cs="Times New Roman"/>
          <w:sz w:val="24"/>
        </w:rPr>
      </w:pPr>
      <w:r w:rsidRPr="00075CDE">
        <w:rPr>
          <w:rFonts w:eastAsia="Times New Roman" w:cs="Times New Roman"/>
          <w:color w:val="222222"/>
          <w:sz w:val="24"/>
          <w:shd w:val="clear" w:color="auto" w:fill="FFFFFF"/>
        </w:rPr>
        <w:t>Humphries, Jane. "Female-headed households in early industrial Britain: t</w:t>
      </w:r>
      <w:r>
        <w:rPr>
          <w:rFonts w:eastAsia="Times New Roman" w:cs="Times New Roman"/>
          <w:color w:val="222222"/>
          <w:sz w:val="24"/>
          <w:shd w:val="clear" w:color="auto" w:fill="FFFFFF"/>
        </w:rPr>
        <w:t xml:space="preserve">he vanguard of the proletariat?” </w:t>
      </w:r>
      <w:r w:rsidRPr="00075CDE">
        <w:rPr>
          <w:rFonts w:eastAsia="Times New Roman" w:cs="Times New Roman"/>
          <w:i/>
          <w:iCs/>
          <w:color w:val="222222"/>
          <w:sz w:val="24"/>
          <w:shd w:val="clear" w:color="auto" w:fill="FFFFFF"/>
        </w:rPr>
        <w:t>Labour History Review</w:t>
      </w:r>
      <w:r w:rsidRPr="00075CDE">
        <w:rPr>
          <w:rStyle w:val="apple-converted-space"/>
          <w:rFonts w:eastAsia="Times New Roman" w:cs="Times New Roman"/>
          <w:color w:val="222222"/>
          <w:sz w:val="24"/>
          <w:shd w:val="clear" w:color="auto" w:fill="FFFFFF"/>
        </w:rPr>
        <w:t> </w:t>
      </w:r>
      <w:r w:rsidRPr="00075CDE">
        <w:rPr>
          <w:rFonts w:eastAsia="Times New Roman" w:cs="Times New Roman"/>
          <w:color w:val="222222"/>
          <w:sz w:val="24"/>
          <w:shd w:val="clear" w:color="auto" w:fill="FFFFFF"/>
        </w:rPr>
        <w:t>63</w:t>
      </w:r>
      <w:r>
        <w:rPr>
          <w:rFonts w:eastAsia="Times New Roman" w:cs="Times New Roman"/>
          <w:color w:val="222222"/>
          <w:sz w:val="24"/>
          <w:shd w:val="clear" w:color="auto" w:fill="FFFFFF"/>
        </w:rPr>
        <w:t xml:space="preserve"> (1)</w:t>
      </w:r>
      <w:r w:rsidRPr="00075CDE">
        <w:rPr>
          <w:rFonts w:eastAsia="Times New Roman" w:cs="Times New Roman"/>
          <w:color w:val="222222"/>
          <w:sz w:val="24"/>
          <w:shd w:val="clear" w:color="auto" w:fill="FFFFFF"/>
        </w:rPr>
        <w:t xml:space="preserve"> (1998): 31-65.</w:t>
      </w:r>
    </w:p>
    <w:p w14:paraId="40CF5DE5" w14:textId="77777777" w:rsidR="00C17FA5" w:rsidRDefault="00C17FA5" w:rsidP="00876A6B">
      <w:pPr>
        <w:spacing w:line="480" w:lineRule="auto"/>
        <w:rPr>
          <w:rFonts w:eastAsia="Times New Roman" w:cs="Times New Roman"/>
          <w:sz w:val="24"/>
          <w:lang w:eastAsia="en-GB"/>
        </w:rPr>
      </w:pPr>
    </w:p>
    <w:p w14:paraId="6E51E079" w14:textId="77777777" w:rsidR="00C26F98" w:rsidRPr="0014300D" w:rsidRDefault="00C17FA5" w:rsidP="00876A6B">
      <w:pPr>
        <w:spacing w:line="480" w:lineRule="auto"/>
        <w:rPr>
          <w:rFonts w:cs="Times New Roman"/>
          <w:sz w:val="24"/>
          <w:lang w:val="en-US"/>
        </w:rPr>
      </w:pPr>
      <w:proofErr w:type="gramStart"/>
      <w:r w:rsidRPr="0014300D">
        <w:rPr>
          <w:rFonts w:cs="Times New Roman"/>
          <w:sz w:val="24"/>
          <w:lang w:val="en-US"/>
        </w:rPr>
        <w:t>Hurl-Eamon,</w:t>
      </w:r>
      <w:r w:rsidR="0014300D" w:rsidRPr="0014300D">
        <w:rPr>
          <w:rFonts w:cs="Times New Roman"/>
          <w:sz w:val="24"/>
          <w:lang w:val="en-US"/>
        </w:rPr>
        <w:t xml:space="preserve"> Jennine.</w:t>
      </w:r>
      <w:proofErr w:type="gramEnd"/>
      <w:r w:rsidRPr="0014300D">
        <w:rPr>
          <w:rFonts w:cs="Times New Roman"/>
          <w:sz w:val="24"/>
          <w:lang w:val="en-US"/>
        </w:rPr>
        <w:t xml:space="preserve"> </w:t>
      </w:r>
      <w:proofErr w:type="gramStart"/>
      <w:r w:rsidRPr="0014300D">
        <w:rPr>
          <w:rFonts w:cs="Times New Roman"/>
          <w:sz w:val="24"/>
          <w:lang w:val="en-US"/>
        </w:rPr>
        <w:t xml:space="preserve">“The fiction of female dependence and the makeshift economy of soldiers, sailors, and their wives in eighteenth century London”, </w:t>
      </w:r>
      <w:r w:rsidRPr="0014300D">
        <w:rPr>
          <w:rFonts w:cs="Times New Roman"/>
          <w:i/>
          <w:sz w:val="24"/>
          <w:lang w:val="en-US"/>
        </w:rPr>
        <w:t>Labor History</w:t>
      </w:r>
      <w:r w:rsidR="0014300D" w:rsidRPr="0014300D">
        <w:rPr>
          <w:rFonts w:cs="Times New Roman"/>
          <w:sz w:val="24"/>
          <w:lang w:val="en-US"/>
        </w:rPr>
        <w:t>, 49</w:t>
      </w:r>
      <w:r w:rsidR="00473896">
        <w:rPr>
          <w:rFonts w:cs="Times New Roman"/>
          <w:sz w:val="24"/>
          <w:lang w:val="en-US"/>
        </w:rPr>
        <w:t xml:space="preserve"> </w:t>
      </w:r>
      <w:r w:rsidR="0014300D" w:rsidRPr="0014300D">
        <w:rPr>
          <w:rFonts w:cs="Times New Roman"/>
          <w:sz w:val="24"/>
          <w:lang w:val="en-US"/>
        </w:rPr>
        <w:t>(4): 481-50</w:t>
      </w:r>
      <w:r w:rsidRPr="0014300D">
        <w:rPr>
          <w:rFonts w:cs="Times New Roman"/>
          <w:sz w:val="24"/>
          <w:lang w:val="en-US"/>
        </w:rPr>
        <w:t>1</w:t>
      </w:r>
      <w:r w:rsidR="0014300D" w:rsidRPr="0014300D">
        <w:rPr>
          <w:rFonts w:cs="Times New Roman"/>
          <w:sz w:val="24"/>
          <w:lang w:val="en-US"/>
        </w:rPr>
        <w:t>.</w:t>
      </w:r>
      <w:proofErr w:type="gramEnd"/>
    </w:p>
    <w:p w14:paraId="561D6A55" w14:textId="77777777" w:rsidR="00C17FA5" w:rsidRPr="00BD5772" w:rsidRDefault="00C17FA5" w:rsidP="00876A6B">
      <w:pPr>
        <w:spacing w:line="480" w:lineRule="auto"/>
        <w:rPr>
          <w:rFonts w:eastAsia="Times New Roman" w:cs="Times New Roman"/>
          <w:sz w:val="24"/>
          <w:lang w:eastAsia="en-GB"/>
        </w:rPr>
      </w:pPr>
    </w:p>
    <w:p w14:paraId="418519C4" w14:textId="77777777" w:rsidR="0072529B" w:rsidRDefault="0072529B" w:rsidP="00876A6B">
      <w:pPr>
        <w:spacing w:line="480" w:lineRule="auto"/>
        <w:rPr>
          <w:rFonts w:cs="Times New Roman"/>
          <w:sz w:val="24"/>
        </w:rPr>
      </w:pPr>
      <w:r w:rsidRPr="00BD5772">
        <w:rPr>
          <w:rFonts w:cs="Times New Roman"/>
          <w:sz w:val="24"/>
        </w:rPr>
        <w:t>Johnson, P</w:t>
      </w:r>
      <w:r w:rsidR="00D003F6">
        <w:rPr>
          <w:rFonts w:cs="Times New Roman"/>
          <w:sz w:val="24"/>
        </w:rPr>
        <w:t>aul</w:t>
      </w:r>
      <w:r w:rsidRPr="00BD5772">
        <w:rPr>
          <w:rFonts w:cs="Times New Roman"/>
          <w:sz w:val="24"/>
        </w:rPr>
        <w:t xml:space="preserve">. </w:t>
      </w:r>
      <w:r w:rsidRPr="00BD5772">
        <w:rPr>
          <w:rFonts w:eastAsia="MS Mincho" w:cs="Times New Roman"/>
          <w:i/>
          <w:sz w:val="24"/>
        </w:rPr>
        <w:t xml:space="preserve">Saving and Spending: the Working-Class Economy in Britain 1870-1939 </w:t>
      </w:r>
      <w:r w:rsidRPr="00BD5772">
        <w:rPr>
          <w:rFonts w:eastAsia="MS Mincho" w:cs="Times New Roman"/>
          <w:sz w:val="24"/>
        </w:rPr>
        <w:t>Oxford</w:t>
      </w:r>
      <w:r w:rsidRPr="00BD5772">
        <w:rPr>
          <w:rFonts w:cs="Times New Roman"/>
          <w:sz w:val="24"/>
        </w:rPr>
        <w:t xml:space="preserve">: </w:t>
      </w:r>
      <w:r w:rsidRPr="00BD5772">
        <w:rPr>
          <w:rFonts w:eastAsia="MS Mincho" w:cs="Times New Roman"/>
          <w:sz w:val="24"/>
        </w:rPr>
        <w:t>Clarendon Press, 1985</w:t>
      </w:r>
      <w:r w:rsidRPr="00BD5772">
        <w:rPr>
          <w:rFonts w:cs="Times New Roman"/>
          <w:sz w:val="24"/>
        </w:rPr>
        <w:t>.</w:t>
      </w:r>
    </w:p>
    <w:p w14:paraId="2A3A5AB5" w14:textId="77777777" w:rsidR="00C26F98" w:rsidRPr="00BD5772" w:rsidRDefault="00C26F98" w:rsidP="00876A6B">
      <w:pPr>
        <w:spacing w:line="480" w:lineRule="auto"/>
        <w:rPr>
          <w:rFonts w:cs="Times New Roman"/>
          <w:sz w:val="24"/>
        </w:rPr>
      </w:pPr>
    </w:p>
    <w:p w14:paraId="1BB697D0" w14:textId="77777777" w:rsidR="0072529B" w:rsidRDefault="0072529B" w:rsidP="00876A6B">
      <w:pPr>
        <w:spacing w:line="480" w:lineRule="auto"/>
        <w:rPr>
          <w:rFonts w:cs="Times New Roman"/>
          <w:sz w:val="24"/>
        </w:rPr>
      </w:pPr>
      <w:r w:rsidRPr="00BD5772">
        <w:rPr>
          <w:rFonts w:cs="Times New Roman"/>
          <w:sz w:val="24"/>
        </w:rPr>
        <w:t>King, S</w:t>
      </w:r>
      <w:r w:rsidR="007B152C">
        <w:rPr>
          <w:rFonts w:cs="Times New Roman"/>
          <w:sz w:val="24"/>
        </w:rPr>
        <w:t>teven</w:t>
      </w:r>
      <w:r w:rsidR="0094611C">
        <w:rPr>
          <w:rFonts w:cs="Times New Roman"/>
          <w:sz w:val="24"/>
        </w:rPr>
        <w:t xml:space="preserve"> </w:t>
      </w:r>
      <w:r w:rsidRPr="00BD5772">
        <w:rPr>
          <w:rFonts w:cs="Times New Roman"/>
          <w:sz w:val="24"/>
        </w:rPr>
        <w:t xml:space="preserve">and </w:t>
      </w:r>
      <w:r w:rsidR="0094611C">
        <w:rPr>
          <w:rFonts w:cs="Times New Roman"/>
          <w:sz w:val="24"/>
        </w:rPr>
        <w:t>Alannah Tomkins</w:t>
      </w:r>
      <w:r w:rsidRPr="00BD5772">
        <w:rPr>
          <w:rFonts w:cs="Times New Roman"/>
          <w:sz w:val="24"/>
        </w:rPr>
        <w:t xml:space="preserve"> </w:t>
      </w:r>
      <w:proofErr w:type="gramStart"/>
      <w:r w:rsidRPr="00BD5772">
        <w:rPr>
          <w:rFonts w:cs="Times New Roman"/>
          <w:sz w:val="24"/>
        </w:rPr>
        <w:t>eds</w:t>
      </w:r>
      <w:proofErr w:type="gramEnd"/>
      <w:r w:rsidRPr="00BD5772">
        <w:rPr>
          <w:rFonts w:cs="Times New Roman"/>
          <w:sz w:val="24"/>
        </w:rPr>
        <w:t xml:space="preserve">. </w:t>
      </w:r>
      <w:r w:rsidRPr="00BD5772">
        <w:rPr>
          <w:rFonts w:cs="Times New Roman"/>
          <w:i/>
          <w:sz w:val="24"/>
        </w:rPr>
        <w:t>The Poor in England 1770-1850; an Economy of Makeshifts</w:t>
      </w:r>
      <w:r w:rsidR="00DE18B4" w:rsidRPr="00BD5772">
        <w:rPr>
          <w:rFonts w:cs="Times New Roman"/>
          <w:i/>
          <w:sz w:val="24"/>
        </w:rPr>
        <w:t>.</w:t>
      </w:r>
      <w:r w:rsidRPr="00BD5772">
        <w:rPr>
          <w:rFonts w:cs="Times New Roman"/>
          <w:sz w:val="24"/>
        </w:rPr>
        <w:t xml:space="preserve"> Manchester: MUP, 2003.</w:t>
      </w:r>
    </w:p>
    <w:p w14:paraId="46EADA08" w14:textId="77777777" w:rsidR="00C61924" w:rsidRPr="007C33EE" w:rsidRDefault="00C61924" w:rsidP="00876A6B">
      <w:pPr>
        <w:spacing w:line="480" w:lineRule="auto"/>
        <w:rPr>
          <w:rFonts w:cs="Times New Roman"/>
          <w:sz w:val="24"/>
        </w:rPr>
      </w:pPr>
    </w:p>
    <w:p w14:paraId="3ABB4C15" w14:textId="77777777" w:rsidR="00C61924" w:rsidRPr="007C33EE" w:rsidRDefault="00C61924" w:rsidP="00876A6B">
      <w:pPr>
        <w:spacing w:line="480" w:lineRule="auto"/>
        <w:rPr>
          <w:rFonts w:cs="Times New Roman"/>
          <w:sz w:val="24"/>
        </w:rPr>
      </w:pPr>
      <w:r w:rsidRPr="007C33EE">
        <w:rPr>
          <w:rFonts w:cs="Times New Roman"/>
          <w:sz w:val="24"/>
          <w:lang w:val="en-US"/>
        </w:rPr>
        <w:lastRenderedPageBreak/>
        <w:t xml:space="preserve">Kirby, </w:t>
      </w:r>
      <w:r w:rsidR="0014300D" w:rsidRPr="007C33EE">
        <w:rPr>
          <w:rFonts w:cs="Times New Roman"/>
          <w:sz w:val="24"/>
          <w:lang w:val="en-US"/>
        </w:rPr>
        <w:t xml:space="preserve">Peter. </w:t>
      </w:r>
      <w:proofErr w:type="gramStart"/>
      <w:r w:rsidRPr="007C33EE">
        <w:rPr>
          <w:rFonts w:cs="Times New Roman"/>
          <w:sz w:val="24"/>
          <w:lang w:val="en-US"/>
        </w:rPr>
        <w:t xml:space="preserve">“A brief statistical sketch of the child labour market in mid-nineteenth century London”, </w:t>
      </w:r>
      <w:r w:rsidRPr="007C33EE">
        <w:rPr>
          <w:rFonts w:cs="Times New Roman"/>
          <w:i/>
          <w:sz w:val="24"/>
          <w:lang w:val="en-US"/>
        </w:rPr>
        <w:t>Continuity and Change</w:t>
      </w:r>
      <w:r w:rsidRPr="007C33EE">
        <w:rPr>
          <w:rFonts w:cs="Times New Roman"/>
          <w:sz w:val="24"/>
          <w:lang w:val="en-US"/>
        </w:rPr>
        <w:t>, 20 (2) (2005): 229-245.</w:t>
      </w:r>
      <w:proofErr w:type="gramEnd"/>
    </w:p>
    <w:p w14:paraId="3E62A00A" w14:textId="77777777" w:rsidR="00C26F98" w:rsidRDefault="00C26F98" w:rsidP="00876A6B">
      <w:pPr>
        <w:spacing w:line="480" w:lineRule="auto"/>
        <w:rPr>
          <w:rFonts w:cs="Times New Roman"/>
          <w:sz w:val="24"/>
        </w:rPr>
      </w:pPr>
    </w:p>
    <w:p w14:paraId="68A27460" w14:textId="77777777" w:rsidR="00C14D74" w:rsidRPr="00BD5772" w:rsidRDefault="00C14D74" w:rsidP="00876A6B">
      <w:pPr>
        <w:spacing w:line="480" w:lineRule="auto"/>
        <w:rPr>
          <w:rFonts w:cs="Times New Roman"/>
          <w:sz w:val="24"/>
        </w:rPr>
      </w:pPr>
      <w:r w:rsidRPr="00BD5772">
        <w:rPr>
          <w:rFonts w:cs="Times New Roman"/>
          <w:sz w:val="24"/>
        </w:rPr>
        <w:t>Lawson, Z</w:t>
      </w:r>
      <w:r w:rsidR="007B152C">
        <w:rPr>
          <w:rFonts w:cs="Times New Roman"/>
          <w:sz w:val="24"/>
        </w:rPr>
        <w:t>oe</w:t>
      </w:r>
      <w:r w:rsidRPr="00BD5772">
        <w:rPr>
          <w:rFonts w:cs="Times New Roman"/>
          <w:sz w:val="24"/>
        </w:rPr>
        <w:t xml:space="preserve">. </w:t>
      </w:r>
      <w:r>
        <w:rPr>
          <w:rFonts w:cs="Times New Roman"/>
          <w:sz w:val="24"/>
        </w:rPr>
        <w:t>"</w:t>
      </w:r>
      <w:r w:rsidRPr="00BD5772">
        <w:rPr>
          <w:rFonts w:cs="Times New Roman"/>
          <w:sz w:val="24"/>
        </w:rPr>
        <w:t xml:space="preserve">Save the pennies! Savings banks and the working class </w:t>
      </w:r>
    </w:p>
    <w:p w14:paraId="3B57716C" w14:textId="77777777" w:rsidR="00C14D74" w:rsidRDefault="00473896" w:rsidP="00876A6B">
      <w:pPr>
        <w:spacing w:line="480" w:lineRule="auto"/>
        <w:rPr>
          <w:rFonts w:cs="Times New Roman"/>
          <w:sz w:val="24"/>
        </w:rPr>
      </w:pPr>
      <w:proofErr w:type="gramStart"/>
      <w:r>
        <w:rPr>
          <w:rFonts w:cs="Times New Roman"/>
          <w:sz w:val="24"/>
        </w:rPr>
        <w:t>in</w:t>
      </w:r>
      <w:proofErr w:type="gramEnd"/>
      <w:r>
        <w:rPr>
          <w:rFonts w:cs="Times New Roman"/>
          <w:sz w:val="24"/>
        </w:rPr>
        <w:t xml:space="preserve"> mid-</w:t>
      </w:r>
      <w:r w:rsidR="00C14D74" w:rsidRPr="00BD5772">
        <w:rPr>
          <w:rFonts w:cs="Times New Roman"/>
          <w:sz w:val="24"/>
        </w:rPr>
        <w:t>nineteenth-century Lancashire</w:t>
      </w:r>
      <w:r w:rsidR="00C14D74">
        <w:rPr>
          <w:rFonts w:cs="Times New Roman"/>
          <w:sz w:val="24"/>
        </w:rPr>
        <w:t>"</w:t>
      </w:r>
      <w:r w:rsidR="00C14D74" w:rsidRPr="00BD5772">
        <w:rPr>
          <w:rFonts w:cs="Times New Roman"/>
          <w:sz w:val="24"/>
        </w:rPr>
        <w:t xml:space="preserve">.  </w:t>
      </w:r>
      <w:proofErr w:type="gramStart"/>
      <w:r w:rsidR="00C14D74" w:rsidRPr="00BD5772">
        <w:rPr>
          <w:rFonts w:cs="Times New Roman"/>
          <w:i/>
          <w:sz w:val="24"/>
        </w:rPr>
        <w:t>Local Historian,</w:t>
      </w:r>
      <w:r w:rsidR="00C14D74" w:rsidRPr="00BD5772">
        <w:rPr>
          <w:rFonts w:cs="Times New Roman"/>
          <w:sz w:val="24"/>
        </w:rPr>
        <w:t xml:space="preserve"> 35 (3) (2005), 168–83.</w:t>
      </w:r>
      <w:proofErr w:type="gramEnd"/>
      <w:r w:rsidR="00C14D74" w:rsidRPr="00BD5772">
        <w:rPr>
          <w:rFonts w:cs="Times New Roman"/>
          <w:sz w:val="24"/>
        </w:rPr>
        <w:t xml:space="preserve"> </w:t>
      </w:r>
    </w:p>
    <w:p w14:paraId="24A72151" w14:textId="77777777" w:rsidR="00233B68" w:rsidRDefault="00233B68" w:rsidP="00876A6B">
      <w:pPr>
        <w:spacing w:line="480" w:lineRule="auto"/>
        <w:rPr>
          <w:rFonts w:cs="Times New Roman"/>
          <w:sz w:val="24"/>
        </w:rPr>
      </w:pPr>
    </w:p>
    <w:p w14:paraId="3AB5D52D" w14:textId="77777777" w:rsidR="001E375D" w:rsidRPr="007C33EE" w:rsidRDefault="001E375D" w:rsidP="00876A6B">
      <w:pPr>
        <w:spacing w:line="480" w:lineRule="auto"/>
        <w:rPr>
          <w:rFonts w:cs="Times New Roman"/>
          <w:sz w:val="24"/>
        </w:rPr>
      </w:pPr>
      <w:r w:rsidRPr="007C33EE">
        <w:rPr>
          <w:rFonts w:cs="Times New Roman"/>
          <w:sz w:val="24"/>
          <w:shd w:val="clear" w:color="auto" w:fill="FFFFFF"/>
        </w:rPr>
        <w:t xml:space="preserve">Laurence, </w:t>
      </w:r>
      <w:r w:rsidR="00233B68">
        <w:rPr>
          <w:rFonts w:cs="Times New Roman"/>
          <w:sz w:val="24"/>
          <w:shd w:val="clear" w:color="auto" w:fill="FFFFFF"/>
        </w:rPr>
        <w:t>Anne,</w:t>
      </w:r>
      <w:r w:rsidR="007C33EE" w:rsidRPr="007C33EE">
        <w:rPr>
          <w:rFonts w:cs="Times New Roman"/>
          <w:sz w:val="24"/>
          <w:shd w:val="clear" w:color="auto" w:fill="FFFFFF"/>
        </w:rPr>
        <w:t xml:space="preserve"> Josephine Maltby</w:t>
      </w:r>
      <w:r w:rsidRPr="007C33EE">
        <w:rPr>
          <w:rFonts w:cs="Times New Roman"/>
          <w:sz w:val="24"/>
          <w:shd w:val="clear" w:color="auto" w:fill="FFFFFF"/>
        </w:rPr>
        <w:t xml:space="preserve"> and Janette Rutterford, </w:t>
      </w:r>
      <w:r w:rsidRPr="007C33EE">
        <w:rPr>
          <w:rStyle w:val="Strong"/>
          <w:rFonts w:cs="Times New Roman"/>
          <w:b w:val="0"/>
          <w:i/>
          <w:sz w:val="24"/>
          <w:shd w:val="clear" w:color="auto" w:fill="FFFFFF"/>
        </w:rPr>
        <w:t>Women and their money 1700-1950: Essays on women and finance</w:t>
      </w:r>
      <w:r w:rsidR="007C33EE" w:rsidRPr="007C33EE">
        <w:rPr>
          <w:rStyle w:val="Strong"/>
          <w:rFonts w:cs="Times New Roman"/>
          <w:b w:val="0"/>
          <w:i/>
          <w:sz w:val="24"/>
          <w:shd w:val="clear" w:color="auto" w:fill="FFFFFF"/>
        </w:rPr>
        <w:t>,</w:t>
      </w:r>
      <w:r w:rsidRPr="007C33EE">
        <w:rPr>
          <w:rStyle w:val="apple-converted-space"/>
          <w:rFonts w:cs="Times New Roman"/>
          <w:bCs/>
          <w:i/>
          <w:sz w:val="24"/>
          <w:shd w:val="clear" w:color="auto" w:fill="FFFFFF"/>
        </w:rPr>
        <w:t> </w:t>
      </w:r>
      <w:r w:rsidRPr="007C33EE">
        <w:rPr>
          <w:rFonts w:cs="Times New Roman"/>
          <w:sz w:val="24"/>
          <w:shd w:val="clear" w:color="auto" w:fill="FFFFFF"/>
        </w:rPr>
        <w:t>London:</w:t>
      </w:r>
      <w:r w:rsidRPr="007C33EE">
        <w:rPr>
          <w:rStyle w:val="Strong"/>
          <w:rFonts w:cs="Times New Roman"/>
          <w:b w:val="0"/>
          <w:sz w:val="24"/>
          <w:shd w:val="clear" w:color="auto" w:fill="FFFFFF"/>
        </w:rPr>
        <w:t xml:space="preserve"> </w:t>
      </w:r>
      <w:r w:rsidRPr="007C33EE">
        <w:rPr>
          <w:rFonts w:cs="Times New Roman"/>
          <w:sz w:val="24"/>
          <w:shd w:val="clear" w:color="auto" w:fill="FFFFFF"/>
        </w:rPr>
        <w:t>Routledge</w:t>
      </w:r>
      <w:r w:rsidR="007C33EE" w:rsidRPr="007C33EE">
        <w:rPr>
          <w:rFonts w:cs="Times New Roman"/>
          <w:sz w:val="24"/>
          <w:shd w:val="clear" w:color="auto" w:fill="FFFFFF"/>
        </w:rPr>
        <w:t>,</w:t>
      </w:r>
      <w:r w:rsidRPr="007C33EE">
        <w:rPr>
          <w:rFonts w:cs="Times New Roman"/>
          <w:sz w:val="24"/>
          <w:shd w:val="clear" w:color="auto" w:fill="FFFFFF"/>
        </w:rPr>
        <w:t xml:space="preserve"> </w:t>
      </w:r>
      <w:r w:rsidRPr="007C33EE">
        <w:rPr>
          <w:rStyle w:val="Strong"/>
          <w:rFonts w:cs="Times New Roman"/>
          <w:b w:val="0"/>
          <w:sz w:val="24"/>
          <w:shd w:val="clear" w:color="auto" w:fill="FFFFFF"/>
        </w:rPr>
        <w:t>2009</w:t>
      </w:r>
      <w:r w:rsidR="007C33EE" w:rsidRPr="007C33EE">
        <w:rPr>
          <w:rStyle w:val="Strong"/>
          <w:rFonts w:cs="Times New Roman"/>
          <w:b w:val="0"/>
          <w:sz w:val="24"/>
          <w:shd w:val="clear" w:color="auto" w:fill="FFFFFF"/>
        </w:rPr>
        <w:t>.</w:t>
      </w:r>
      <w:r w:rsidRPr="007C33EE">
        <w:rPr>
          <w:rStyle w:val="apple-converted-space"/>
          <w:rFonts w:cs="Times New Roman"/>
          <w:b/>
          <w:bCs/>
          <w:sz w:val="24"/>
          <w:shd w:val="clear" w:color="auto" w:fill="FFFFFF"/>
        </w:rPr>
        <w:t> </w:t>
      </w:r>
    </w:p>
    <w:p w14:paraId="6CBFF464" w14:textId="77777777" w:rsidR="00C26F98" w:rsidRPr="00BD5772" w:rsidRDefault="00C26F98" w:rsidP="00876A6B">
      <w:pPr>
        <w:spacing w:line="480" w:lineRule="auto"/>
        <w:rPr>
          <w:rFonts w:cs="Times New Roman"/>
          <w:sz w:val="24"/>
        </w:rPr>
      </w:pPr>
    </w:p>
    <w:p w14:paraId="1B0F8064" w14:textId="77777777" w:rsidR="009522F7" w:rsidRPr="007C33EE" w:rsidRDefault="009522F7" w:rsidP="00876A6B">
      <w:pPr>
        <w:spacing w:line="480" w:lineRule="auto"/>
        <w:rPr>
          <w:rFonts w:cs="Times New Roman"/>
          <w:sz w:val="24"/>
        </w:rPr>
      </w:pPr>
      <w:r w:rsidRPr="007C33EE">
        <w:rPr>
          <w:rFonts w:cs="Times New Roman"/>
          <w:sz w:val="24"/>
        </w:rPr>
        <w:t xml:space="preserve">Lemire, Beverly </w:t>
      </w:r>
      <w:r w:rsidRPr="007C33EE">
        <w:rPr>
          <w:rFonts w:cs="Times New Roman"/>
          <w:i/>
          <w:sz w:val="24"/>
        </w:rPr>
        <w:t xml:space="preserve">The Business of Everyday Life Gender, Practice and Social Politics in England c1600-1900 </w:t>
      </w:r>
      <w:r w:rsidRPr="007C33EE">
        <w:rPr>
          <w:rFonts w:cs="Times New Roman"/>
          <w:sz w:val="24"/>
        </w:rPr>
        <w:t>Manchester: Manchester University Press, 2005</w:t>
      </w:r>
      <w:r w:rsidR="007C33EE">
        <w:rPr>
          <w:rFonts w:cs="Times New Roman"/>
          <w:sz w:val="24"/>
        </w:rPr>
        <w:t>.</w:t>
      </w:r>
    </w:p>
    <w:p w14:paraId="3CBD2AB6" w14:textId="77777777" w:rsidR="009522F7" w:rsidRDefault="009522F7" w:rsidP="00876A6B">
      <w:pPr>
        <w:spacing w:line="480" w:lineRule="auto"/>
        <w:rPr>
          <w:rFonts w:cs="Times New Roman"/>
        </w:rPr>
      </w:pPr>
    </w:p>
    <w:p w14:paraId="401C4C4D" w14:textId="77777777" w:rsidR="0072529B" w:rsidRDefault="00D003F6" w:rsidP="00876A6B">
      <w:pPr>
        <w:spacing w:line="480" w:lineRule="auto"/>
        <w:rPr>
          <w:rFonts w:cs="Times New Roman"/>
          <w:sz w:val="24"/>
        </w:rPr>
      </w:pPr>
      <w:r>
        <w:rPr>
          <w:rFonts w:cs="Times New Roman"/>
          <w:sz w:val="24"/>
        </w:rPr>
        <w:t xml:space="preserve">Lemire, </w:t>
      </w:r>
      <w:r w:rsidR="0072529B" w:rsidRPr="00BD5772">
        <w:rPr>
          <w:rFonts w:cs="Times New Roman"/>
          <w:sz w:val="24"/>
        </w:rPr>
        <w:t>B</w:t>
      </w:r>
      <w:r w:rsidR="00CC46C9">
        <w:rPr>
          <w:rFonts w:cs="Times New Roman"/>
          <w:sz w:val="24"/>
        </w:rPr>
        <w:t>everl</w:t>
      </w:r>
      <w:r>
        <w:rPr>
          <w:rFonts w:cs="Times New Roman"/>
          <w:sz w:val="24"/>
        </w:rPr>
        <w:t>y</w:t>
      </w:r>
      <w:r w:rsidR="0072529B" w:rsidRPr="00BD5772">
        <w:rPr>
          <w:rFonts w:cs="Times New Roman"/>
          <w:sz w:val="24"/>
        </w:rPr>
        <w:t xml:space="preserve">. </w:t>
      </w:r>
      <w:r w:rsidR="00C01387">
        <w:rPr>
          <w:rFonts w:cs="Times New Roman"/>
          <w:sz w:val="24"/>
        </w:rPr>
        <w:t>"</w:t>
      </w:r>
      <w:r w:rsidR="0072529B" w:rsidRPr="00BD5772">
        <w:rPr>
          <w:rFonts w:cs="Times New Roman"/>
          <w:sz w:val="24"/>
        </w:rPr>
        <w:t xml:space="preserve">Gender, savings culture &amp; provident consumerism – patterns, practice &amp; research opportunities. Paper given at the workshop on </w:t>
      </w:r>
      <w:r w:rsidR="0094611C" w:rsidRPr="0094611C">
        <w:rPr>
          <w:rFonts w:cs="Times New Roman"/>
          <w:i/>
          <w:sz w:val="24"/>
        </w:rPr>
        <w:t>W</w:t>
      </w:r>
      <w:r w:rsidR="0072529B" w:rsidRPr="0094611C">
        <w:rPr>
          <w:rFonts w:cs="Times New Roman"/>
          <w:i/>
          <w:sz w:val="24"/>
        </w:rPr>
        <w:t xml:space="preserve">orking-class </w:t>
      </w:r>
      <w:r w:rsidR="00751B3E" w:rsidRPr="0094611C">
        <w:rPr>
          <w:rFonts w:cs="Times New Roman"/>
          <w:i/>
          <w:sz w:val="24"/>
        </w:rPr>
        <w:t>women's</w:t>
      </w:r>
      <w:r w:rsidR="0072529B" w:rsidRPr="0094611C">
        <w:rPr>
          <w:rFonts w:cs="Times New Roman"/>
          <w:i/>
          <w:sz w:val="24"/>
        </w:rPr>
        <w:t xml:space="preserve"> savings strategies 1780–2008</w:t>
      </w:r>
      <w:r w:rsidR="00710E9F">
        <w:rPr>
          <w:rFonts w:cs="Times New Roman"/>
          <w:sz w:val="24"/>
        </w:rPr>
        <w:t>, York, 2008.</w:t>
      </w:r>
    </w:p>
    <w:p w14:paraId="18A80B0E" w14:textId="77777777" w:rsidR="00C26F98" w:rsidRPr="00BD5772" w:rsidRDefault="00C26F98" w:rsidP="00876A6B">
      <w:pPr>
        <w:spacing w:line="480" w:lineRule="auto"/>
        <w:rPr>
          <w:rFonts w:cs="Times New Roman"/>
          <w:sz w:val="24"/>
        </w:rPr>
      </w:pPr>
    </w:p>
    <w:p w14:paraId="01BCCCD7" w14:textId="77777777" w:rsidR="0072529B" w:rsidRPr="00BD5772" w:rsidRDefault="0072529B" w:rsidP="00876A6B">
      <w:pPr>
        <w:spacing w:line="480" w:lineRule="auto"/>
        <w:rPr>
          <w:rFonts w:cs="Times New Roman"/>
          <w:sz w:val="24"/>
        </w:rPr>
      </w:pPr>
      <w:proofErr w:type="gramStart"/>
      <w:r w:rsidRPr="00BD5772">
        <w:rPr>
          <w:rFonts w:cs="Times New Roman"/>
          <w:sz w:val="24"/>
        </w:rPr>
        <w:t>Lloyd-Jones, R</w:t>
      </w:r>
      <w:r w:rsidR="00CC46C9">
        <w:rPr>
          <w:rFonts w:cs="Times New Roman"/>
          <w:sz w:val="24"/>
        </w:rPr>
        <w:t>oger</w:t>
      </w:r>
      <w:r w:rsidR="0094611C">
        <w:rPr>
          <w:rFonts w:cs="Times New Roman"/>
          <w:sz w:val="24"/>
        </w:rPr>
        <w:t xml:space="preserve"> </w:t>
      </w:r>
      <w:r w:rsidRPr="00BD5772">
        <w:rPr>
          <w:rFonts w:cs="Times New Roman"/>
          <w:sz w:val="24"/>
        </w:rPr>
        <w:t xml:space="preserve">and </w:t>
      </w:r>
      <w:r w:rsidR="0094611C">
        <w:rPr>
          <w:rFonts w:cs="Times New Roman"/>
          <w:sz w:val="24"/>
        </w:rPr>
        <w:t>M. J Lewis.</w:t>
      </w:r>
      <w:proofErr w:type="gramEnd"/>
      <w:r w:rsidR="0094611C">
        <w:rPr>
          <w:rFonts w:cs="Times New Roman"/>
          <w:sz w:val="24"/>
        </w:rPr>
        <w:t xml:space="preserve"> </w:t>
      </w:r>
      <w:r w:rsidRPr="00BD5772">
        <w:rPr>
          <w:rFonts w:cs="Times New Roman"/>
          <w:i/>
          <w:sz w:val="24"/>
        </w:rPr>
        <w:t xml:space="preserve">Small savers in the late Victorian period; a business </w:t>
      </w:r>
      <w:proofErr w:type="gramStart"/>
      <w:r w:rsidRPr="00BD5772">
        <w:rPr>
          <w:rFonts w:cs="Times New Roman"/>
          <w:i/>
          <w:sz w:val="24"/>
        </w:rPr>
        <w:t>data base</w:t>
      </w:r>
      <w:proofErr w:type="gramEnd"/>
      <w:r w:rsidRPr="00BD5772">
        <w:rPr>
          <w:rFonts w:cs="Times New Roman"/>
          <w:i/>
          <w:sz w:val="24"/>
        </w:rPr>
        <w:t xml:space="preserve"> of the Sheffield Savings Bank c. 1861–1901</w:t>
      </w:r>
      <w:r w:rsidR="00BF71E4" w:rsidRPr="00BD5772">
        <w:rPr>
          <w:rFonts w:cs="Times New Roman"/>
          <w:sz w:val="24"/>
        </w:rPr>
        <w:t>. Sheffield: SHU working paper</w:t>
      </w:r>
      <w:r w:rsidR="00710E9F">
        <w:rPr>
          <w:rFonts w:cs="Times New Roman"/>
          <w:sz w:val="24"/>
        </w:rPr>
        <w:t>, 1991.</w:t>
      </w:r>
    </w:p>
    <w:p w14:paraId="430B02C9" w14:textId="77777777" w:rsidR="0094611C" w:rsidRDefault="0094611C" w:rsidP="00876A6B">
      <w:pPr>
        <w:autoSpaceDE w:val="0"/>
        <w:autoSpaceDN w:val="0"/>
        <w:adjustRightInd w:val="0"/>
        <w:spacing w:line="480" w:lineRule="auto"/>
        <w:rPr>
          <w:rFonts w:eastAsiaTheme="minorEastAsia" w:cs="Times New Roman"/>
          <w:sz w:val="24"/>
        </w:rPr>
      </w:pPr>
    </w:p>
    <w:p w14:paraId="1876B915" w14:textId="77777777" w:rsidR="002D60EC" w:rsidRPr="007C33EE" w:rsidRDefault="002D60EC" w:rsidP="00876A6B">
      <w:pPr>
        <w:autoSpaceDE w:val="0"/>
        <w:autoSpaceDN w:val="0"/>
        <w:adjustRightInd w:val="0"/>
        <w:spacing w:line="480" w:lineRule="auto"/>
        <w:rPr>
          <w:rFonts w:cs="Times New Roman"/>
          <w:sz w:val="24"/>
        </w:rPr>
      </w:pPr>
      <w:r w:rsidRPr="007C33EE">
        <w:rPr>
          <w:rFonts w:cs="Times New Roman"/>
          <w:sz w:val="24"/>
        </w:rPr>
        <w:t xml:space="preserve">Mackenzie, Eneas. </w:t>
      </w:r>
      <w:r w:rsidRPr="007C33EE">
        <w:rPr>
          <w:rFonts w:cs="Times New Roman"/>
          <w:i/>
          <w:sz w:val="24"/>
        </w:rPr>
        <w:t xml:space="preserve">Historical Account of Newcastle-upon-Tyne: Including the Borough of Gateshead, </w:t>
      </w:r>
      <w:r w:rsidRPr="007C33EE">
        <w:rPr>
          <w:rFonts w:cs="Times New Roman"/>
          <w:sz w:val="24"/>
        </w:rPr>
        <w:t>Durham: Mackenzie and Dent, 1827</w:t>
      </w:r>
      <w:r w:rsidR="007C33EE">
        <w:rPr>
          <w:rFonts w:cs="Times New Roman"/>
          <w:sz w:val="24"/>
        </w:rPr>
        <w:t>.</w:t>
      </w:r>
    </w:p>
    <w:p w14:paraId="1DA71FDD" w14:textId="77777777" w:rsidR="002D60EC" w:rsidRPr="007C33EE" w:rsidRDefault="002D60EC" w:rsidP="00876A6B">
      <w:pPr>
        <w:autoSpaceDE w:val="0"/>
        <w:autoSpaceDN w:val="0"/>
        <w:adjustRightInd w:val="0"/>
        <w:spacing w:line="480" w:lineRule="auto"/>
        <w:rPr>
          <w:rFonts w:eastAsiaTheme="minorEastAsia" w:cs="Times New Roman"/>
          <w:sz w:val="24"/>
        </w:rPr>
      </w:pPr>
    </w:p>
    <w:p w14:paraId="2F7E34D5" w14:textId="77777777" w:rsidR="00494083" w:rsidRDefault="00494083" w:rsidP="00876A6B">
      <w:pPr>
        <w:autoSpaceDE w:val="0"/>
        <w:autoSpaceDN w:val="0"/>
        <w:adjustRightInd w:val="0"/>
        <w:spacing w:line="480" w:lineRule="auto"/>
        <w:rPr>
          <w:rFonts w:eastAsiaTheme="minorEastAsia" w:cs="Times New Roman"/>
          <w:sz w:val="24"/>
        </w:rPr>
      </w:pPr>
      <w:r w:rsidRPr="007C33EE">
        <w:rPr>
          <w:rFonts w:cs="Times New Roman"/>
          <w:sz w:val="24"/>
        </w:rPr>
        <w:t xml:space="preserve"> Mackenzie, E</w:t>
      </w:r>
      <w:r w:rsidR="002D60EC" w:rsidRPr="007C33EE">
        <w:rPr>
          <w:rFonts w:cs="Times New Roman"/>
          <w:sz w:val="24"/>
        </w:rPr>
        <w:t>neas</w:t>
      </w:r>
      <w:r w:rsidRPr="007C33EE">
        <w:rPr>
          <w:rFonts w:cs="Times New Roman"/>
          <w:sz w:val="24"/>
        </w:rPr>
        <w:t xml:space="preserve"> </w:t>
      </w:r>
      <w:proofErr w:type="gramStart"/>
      <w:r w:rsidRPr="007C33EE">
        <w:rPr>
          <w:rFonts w:cs="Times New Roman"/>
          <w:sz w:val="24"/>
        </w:rPr>
        <w:t xml:space="preserve">and </w:t>
      </w:r>
      <w:r w:rsidRPr="007C33EE">
        <w:rPr>
          <w:rStyle w:val="apple-converted-space"/>
          <w:rFonts w:cs="Times New Roman"/>
          <w:sz w:val="24"/>
        </w:rPr>
        <w:t> M</w:t>
      </w:r>
      <w:proofErr w:type="gramEnd"/>
      <w:r w:rsidRPr="007C33EE">
        <w:rPr>
          <w:rStyle w:val="apple-converted-space"/>
          <w:rFonts w:cs="Times New Roman"/>
          <w:sz w:val="24"/>
        </w:rPr>
        <w:t xml:space="preserve">. Ross. </w:t>
      </w:r>
      <w:r w:rsidRPr="007C33EE">
        <w:rPr>
          <w:rStyle w:val="fn"/>
          <w:rFonts w:cs="Times New Roman"/>
          <w:i/>
          <w:sz w:val="24"/>
        </w:rPr>
        <w:t>An historical, topographical, and descriptive view of the county palatine of Durham</w:t>
      </w:r>
      <w:r w:rsidRPr="007C33EE">
        <w:rPr>
          <w:rFonts w:cs="Times New Roman"/>
          <w:i/>
          <w:sz w:val="24"/>
        </w:rPr>
        <w:t>:</w:t>
      </w:r>
      <w:r w:rsidRPr="007C33EE">
        <w:rPr>
          <w:rStyle w:val="subtitle"/>
          <w:rFonts w:cs="Times New Roman"/>
          <w:color w:val="333333"/>
          <w:sz w:val="24"/>
        </w:rPr>
        <w:t xml:space="preserve"> </w:t>
      </w:r>
      <w:r w:rsidRPr="007C33EE">
        <w:rPr>
          <w:rFonts w:cs="Times New Roman"/>
          <w:sz w:val="24"/>
        </w:rPr>
        <w:t>Durham: Mackenzie and Dent, 1834</w:t>
      </w:r>
      <w:r w:rsidR="007C33EE">
        <w:rPr>
          <w:rFonts w:cs="Times New Roman"/>
          <w:sz w:val="24"/>
        </w:rPr>
        <w:t>.</w:t>
      </w:r>
    </w:p>
    <w:p w14:paraId="17BD972A" w14:textId="77777777" w:rsidR="00494083" w:rsidRDefault="00494083" w:rsidP="00876A6B">
      <w:pPr>
        <w:autoSpaceDE w:val="0"/>
        <w:autoSpaceDN w:val="0"/>
        <w:adjustRightInd w:val="0"/>
        <w:spacing w:line="480" w:lineRule="auto"/>
        <w:rPr>
          <w:rFonts w:eastAsiaTheme="minorEastAsia" w:cs="Times New Roman"/>
          <w:sz w:val="24"/>
        </w:rPr>
      </w:pPr>
    </w:p>
    <w:p w14:paraId="5F5CDA2E" w14:textId="77777777" w:rsidR="00987BEF" w:rsidRDefault="00987BEF" w:rsidP="00876A6B">
      <w:pPr>
        <w:autoSpaceDE w:val="0"/>
        <w:autoSpaceDN w:val="0"/>
        <w:adjustRightInd w:val="0"/>
        <w:spacing w:line="480" w:lineRule="auto"/>
        <w:rPr>
          <w:rFonts w:eastAsiaTheme="minorEastAsia" w:cs="Times New Roman"/>
          <w:sz w:val="24"/>
        </w:rPr>
      </w:pPr>
      <w:r w:rsidRPr="00987BEF">
        <w:rPr>
          <w:rFonts w:eastAsiaTheme="minorEastAsia" w:cs="Times New Roman"/>
          <w:sz w:val="24"/>
        </w:rPr>
        <w:lastRenderedPageBreak/>
        <w:t>Maltby, J</w:t>
      </w:r>
      <w:r w:rsidR="00D003F6">
        <w:rPr>
          <w:rFonts w:eastAsiaTheme="minorEastAsia" w:cs="Times New Roman"/>
          <w:sz w:val="24"/>
        </w:rPr>
        <w:t>osephine</w:t>
      </w:r>
      <w:r w:rsidR="00725863">
        <w:rPr>
          <w:rFonts w:eastAsiaTheme="minorEastAsia" w:cs="Times New Roman"/>
          <w:sz w:val="24"/>
        </w:rPr>
        <w:t>.</w:t>
      </w:r>
      <w:r w:rsidRPr="00987BEF">
        <w:rPr>
          <w:rFonts w:eastAsiaTheme="minorEastAsia" w:cs="Times New Roman"/>
          <w:sz w:val="24"/>
        </w:rPr>
        <w:t xml:space="preserve"> </w:t>
      </w:r>
      <w:r w:rsidR="00332D4E">
        <w:rPr>
          <w:rFonts w:eastAsiaTheme="minorEastAsia" w:cs="Times New Roman"/>
          <w:sz w:val="24"/>
        </w:rPr>
        <w:t>"</w:t>
      </w:r>
      <w:r w:rsidRPr="00987BEF">
        <w:rPr>
          <w:rFonts w:eastAsiaTheme="minorEastAsia" w:cs="Times New Roman"/>
          <w:sz w:val="24"/>
        </w:rPr>
        <w:t xml:space="preserve">The </w:t>
      </w:r>
      <w:r w:rsidR="00751B3E">
        <w:rPr>
          <w:rFonts w:eastAsiaTheme="minorEastAsia" w:cs="Times New Roman"/>
          <w:sz w:val="24"/>
        </w:rPr>
        <w:t>wife's</w:t>
      </w:r>
      <w:r w:rsidRPr="00987BEF">
        <w:rPr>
          <w:rFonts w:eastAsiaTheme="minorEastAsia" w:cs="Times New Roman"/>
          <w:sz w:val="24"/>
        </w:rPr>
        <w:t xml:space="preserve"> administration of the earnings?</w:t>
      </w:r>
      <w:r w:rsidR="00332D4E">
        <w:rPr>
          <w:rFonts w:eastAsiaTheme="minorEastAsia" w:cs="Times New Roman"/>
          <w:sz w:val="24"/>
        </w:rPr>
        <w:t>"</w:t>
      </w:r>
      <w:r w:rsidRPr="00987BEF">
        <w:rPr>
          <w:rFonts w:eastAsiaTheme="minorEastAsia" w:cs="Times New Roman"/>
          <w:sz w:val="24"/>
        </w:rPr>
        <w:t xml:space="preserve"> </w:t>
      </w:r>
      <w:proofErr w:type="gramStart"/>
      <w:r w:rsidRPr="00987BEF">
        <w:rPr>
          <w:rFonts w:eastAsiaTheme="minorEastAsia" w:cs="Times New Roman"/>
          <w:sz w:val="24"/>
        </w:rPr>
        <w:t>Working-class women and savings in the mid-19th century.</w:t>
      </w:r>
      <w:proofErr w:type="gramEnd"/>
      <w:r w:rsidRPr="00987BEF">
        <w:rPr>
          <w:rFonts w:eastAsiaTheme="minorEastAsia" w:cs="Times New Roman"/>
          <w:sz w:val="24"/>
        </w:rPr>
        <w:t xml:space="preserve"> </w:t>
      </w:r>
      <w:r w:rsidRPr="00987BEF">
        <w:rPr>
          <w:rFonts w:eastAsiaTheme="minorEastAsia" w:cs="Times New Roman"/>
          <w:i/>
          <w:iCs/>
          <w:sz w:val="24"/>
        </w:rPr>
        <w:t>Continuity and Change</w:t>
      </w:r>
      <w:r w:rsidR="00473896">
        <w:rPr>
          <w:rFonts w:eastAsiaTheme="minorEastAsia" w:cs="Times New Roman"/>
          <w:i/>
          <w:iCs/>
          <w:sz w:val="24"/>
        </w:rPr>
        <w:t>,</w:t>
      </w:r>
      <w:r w:rsidRPr="00987BEF">
        <w:rPr>
          <w:rFonts w:eastAsiaTheme="minorEastAsia" w:cs="Times New Roman"/>
          <w:i/>
          <w:iCs/>
          <w:sz w:val="24"/>
        </w:rPr>
        <w:t xml:space="preserve"> </w:t>
      </w:r>
      <w:r w:rsidRPr="00987BEF">
        <w:rPr>
          <w:rFonts w:eastAsiaTheme="minorEastAsia" w:cs="Times New Roman"/>
          <w:sz w:val="24"/>
        </w:rPr>
        <w:t>26</w:t>
      </w:r>
      <w:r w:rsidR="00710E9F">
        <w:rPr>
          <w:rFonts w:eastAsiaTheme="minorEastAsia" w:cs="Times New Roman"/>
          <w:sz w:val="24"/>
        </w:rPr>
        <w:t xml:space="preserve"> </w:t>
      </w:r>
      <w:r w:rsidR="00710E9F" w:rsidRPr="00987BEF">
        <w:rPr>
          <w:rFonts w:eastAsiaTheme="minorEastAsia" w:cs="Times New Roman"/>
          <w:sz w:val="24"/>
        </w:rPr>
        <w:t>(2011)</w:t>
      </w:r>
      <w:r w:rsidRPr="00987BEF">
        <w:rPr>
          <w:rFonts w:eastAsiaTheme="minorEastAsia" w:cs="Times New Roman"/>
          <w:sz w:val="24"/>
        </w:rPr>
        <w:t>: 1-31</w:t>
      </w:r>
    </w:p>
    <w:p w14:paraId="082B1232" w14:textId="77777777" w:rsidR="00C26F98" w:rsidRPr="00987BEF" w:rsidRDefault="00C26F98" w:rsidP="00876A6B">
      <w:pPr>
        <w:autoSpaceDE w:val="0"/>
        <w:autoSpaceDN w:val="0"/>
        <w:adjustRightInd w:val="0"/>
        <w:spacing w:line="480" w:lineRule="auto"/>
        <w:rPr>
          <w:rFonts w:cs="Times New Roman"/>
          <w:sz w:val="24"/>
        </w:rPr>
      </w:pPr>
    </w:p>
    <w:p w14:paraId="7765C8D3" w14:textId="77777777" w:rsidR="000314DF" w:rsidRDefault="000314DF" w:rsidP="00876A6B">
      <w:pPr>
        <w:autoSpaceDE w:val="0"/>
        <w:autoSpaceDN w:val="0"/>
        <w:adjustRightInd w:val="0"/>
        <w:spacing w:line="480" w:lineRule="auto"/>
        <w:rPr>
          <w:rFonts w:eastAsiaTheme="minorEastAsia" w:cs="Times New Roman"/>
          <w:sz w:val="24"/>
        </w:rPr>
      </w:pPr>
      <w:r w:rsidRPr="00BD5772">
        <w:rPr>
          <w:rFonts w:cs="Times New Roman"/>
          <w:sz w:val="24"/>
        </w:rPr>
        <w:t>Maltby, J</w:t>
      </w:r>
      <w:r w:rsidR="00725863">
        <w:rPr>
          <w:rFonts w:cs="Times New Roman"/>
          <w:sz w:val="24"/>
        </w:rPr>
        <w:t>osephine.</w:t>
      </w:r>
      <w:r w:rsidRPr="00BD5772">
        <w:rPr>
          <w:rFonts w:cs="Times New Roman"/>
          <w:sz w:val="24"/>
        </w:rPr>
        <w:t xml:space="preserve"> </w:t>
      </w:r>
      <w:r w:rsidR="00C01387">
        <w:rPr>
          <w:rFonts w:cs="Times New Roman"/>
          <w:sz w:val="24"/>
        </w:rPr>
        <w:t>"</w:t>
      </w:r>
      <w:r w:rsidR="00957EEA" w:rsidRPr="00BD5772">
        <w:rPr>
          <w:rFonts w:eastAsiaTheme="minorEastAsia" w:cs="Times New Roman"/>
          <w:sz w:val="24"/>
        </w:rPr>
        <w:t xml:space="preserve">To bind the humbler to the more influential and wealthy classes. </w:t>
      </w:r>
      <w:proofErr w:type="gramStart"/>
      <w:r w:rsidR="00957EEA" w:rsidRPr="00BD5772">
        <w:rPr>
          <w:rFonts w:eastAsiaTheme="minorEastAsia" w:cs="Times New Roman"/>
          <w:sz w:val="24"/>
        </w:rPr>
        <w:t>Reporting by savings banks in nineteenth century Britain</w:t>
      </w:r>
      <w:r w:rsidR="00C01387">
        <w:rPr>
          <w:rFonts w:eastAsiaTheme="minorEastAsia" w:cs="Times New Roman"/>
          <w:sz w:val="24"/>
        </w:rPr>
        <w:t>"</w:t>
      </w:r>
      <w:r w:rsidR="00957EEA" w:rsidRPr="00BD5772">
        <w:rPr>
          <w:rFonts w:eastAsiaTheme="minorEastAsia" w:cs="Times New Roman"/>
          <w:sz w:val="24"/>
        </w:rPr>
        <w:t xml:space="preserve">, </w:t>
      </w:r>
      <w:r w:rsidR="00957EEA" w:rsidRPr="00BD5772">
        <w:rPr>
          <w:rFonts w:eastAsiaTheme="minorEastAsia" w:cs="Times New Roman"/>
          <w:i/>
          <w:sz w:val="24"/>
        </w:rPr>
        <w:t>Accounting History</w:t>
      </w:r>
      <w:r w:rsidR="00A769AD" w:rsidRPr="00BD5772">
        <w:rPr>
          <w:rFonts w:eastAsiaTheme="minorEastAsia" w:cs="Times New Roman"/>
          <w:i/>
          <w:sz w:val="24"/>
        </w:rPr>
        <w:t xml:space="preserve"> </w:t>
      </w:r>
      <w:r w:rsidR="00957EEA" w:rsidRPr="00BD5772">
        <w:rPr>
          <w:rFonts w:eastAsiaTheme="minorEastAsia" w:cs="Times New Roman"/>
          <w:i/>
          <w:sz w:val="24"/>
        </w:rPr>
        <w:t>Review</w:t>
      </w:r>
      <w:r w:rsidR="00957EEA" w:rsidRPr="00BD5772">
        <w:rPr>
          <w:rFonts w:eastAsiaTheme="minorEastAsia" w:cs="Times New Roman"/>
          <w:sz w:val="24"/>
        </w:rPr>
        <w:t xml:space="preserve">, 22:3, </w:t>
      </w:r>
      <w:r w:rsidR="00BF71E4" w:rsidRPr="00BD5772">
        <w:rPr>
          <w:rFonts w:cs="Times New Roman"/>
          <w:sz w:val="24"/>
        </w:rPr>
        <w:t>(2012)</w:t>
      </w:r>
      <w:r w:rsidR="00473896">
        <w:rPr>
          <w:rFonts w:cs="Times New Roman"/>
          <w:sz w:val="24"/>
        </w:rPr>
        <w:t>:</w:t>
      </w:r>
      <w:r w:rsidR="00BF71E4" w:rsidRPr="00BD5772">
        <w:rPr>
          <w:rFonts w:eastAsiaTheme="minorEastAsia" w:cs="Times New Roman"/>
          <w:sz w:val="24"/>
        </w:rPr>
        <w:t xml:space="preserve"> </w:t>
      </w:r>
      <w:r w:rsidR="00957EEA" w:rsidRPr="00BD5772">
        <w:rPr>
          <w:rFonts w:eastAsiaTheme="minorEastAsia" w:cs="Times New Roman"/>
          <w:sz w:val="24"/>
        </w:rPr>
        <w:t>199-225</w:t>
      </w:r>
      <w:r w:rsidR="00DE18B4" w:rsidRPr="00BD5772">
        <w:rPr>
          <w:rFonts w:eastAsiaTheme="minorEastAsia" w:cs="Times New Roman"/>
          <w:sz w:val="24"/>
        </w:rPr>
        <w:t>.</w:t>
      </w:r>
      <w:proofErr w:type="gramEnd"/>
    </w:p>
    <w:p w14:paraId="16D63D7E" w14:textId="77777777" w:rsidR="00C26F98" w:rsidRPr="00BD5772" w:rsidRDefault="00C26F98" w:rsidP="00876A6B">
      <w:pPr>
        <w:autoSpaceDE w:val="0"/>
        <w:autoSpaceDN w:val="0"/>
        <w:adjustRightInd w:val="0"/>
        <w:spacing w:line="480" w:lineRule="auto"/>
        <w:rPr>
          <w:rFonts w:cs="Times New Roman"/>
          <w:sz w:val="24"/>
        </w:rPr>
      </w:pPr>
    </w:p>
    <w:p w14:paraId="3401C18C" w14:textId="77777777" w:rsidR="007430C2" w:rsidRPr="007430C2" w:rsidRDefault="007430C2" w:rsidP="00876A6B">
      <w:pPr>
        <w:spacing w:line="480" w:lineRule="auto"/>
        <w:rPr>
          <w:rFonts w:eastAsia="MS Mincho" w:cs="Times New Roman"/>
          <w:sz w:val="24"/>
        </w:rPr>
      </w:pPr>
      <w:r w:rsidRPr="007430C2">
        <w:rPr>
          <w:rFonts w:eastAsia="MS Mincho" w:cs="Times New Roman"/>
          <w:sz w:val="24"/>
        </w:rPr>
        <w:t>McLaughlin</w:t>
      </w:r>
      <w:r w:rsidR="00725863">
        <w:rPr>
          <w:rFonts w:eastAsia="MS Mincho" w:cs="Times New Roman"/>
          <w:sz w:val="24"/>
        </w:rPr>
        <w:t>, Eoin.</w:t>
      </w:r>
      <w:r w:rsidRPr="007430C2">
        <w:rPr>
          <w:rFonts w:eastAsia="MS Mincho" w:cs="Times New Roman"/>
          <w:sz w:val="24"/>
        </w:rPr>
        <w:t xml:space="preserve"> </w:t>
      </w:r>
      <w:r w:rsidR="00332D4E">
        <w:rPr>
          <w:rFonts w:eastAsia="MS Mincho" w:cs="Times New Roman"/>
          <w:sz w:val="24"/>
        </w:rPr>
        <w:t>"</w:t>
      </w:r>
      <w:r w:rsidRPr="007430C2">
        <w:rPr>
          <w:rFonts w:eastAsia="MS Mincho" w:cs="Times New Roman"/>
          <w:sz w:val="24"/>
        </w:rPr>
        <w:t>Profligacy in the encouragement of thrift</w:t>
      </w:r>
      <w:r w:rsidR="00332D4E">
        <w:rPr>
          <w:rFonts w:eastAsia="MS Mincho" w:cs="Times New Roman"/>
          <w:sz w:val="24"/>
        </w:rPr>
        <w:t>"</w:t>
      </w:r>
      <w:r w:rsidRPr="007430C2">
        <w:rPr>
          <w:rFonts w:eastAsia="MS Mincho" w:cs="Times New Roman"/>
          <w:sz w:val="24"/>
        </w:rPr>
        <w:t>: Savings</w:t>
      </w:r>
    </w:p>
    <w:p w14:paraId="426AE93B" w14:textId="77777777" w:rsidR="0072529B" w:rsidRDefault="007430C2" w:rsidP="00876A6B">
      <w:pPr>
        <w:spacing w:line="480" w:lineRule="auto"/>
        <w:rPr>
          <w:rFonts w:eastAsia="MS Mincho" w:cs="Times New Roman"/>
          <w:sz w:val="24"/>
        </w:rPr>
      </w:pPr>
      <w:proofErr w:type="gramStart"/>
      <w:r w:rsidRPr="007430C2">
        <w:rPr>
          <w:rFonts w:eastAsia="MS Mincho" w:cs="Times New Roman"/>
          <w:sz w:val="24"/>
        </w:rPr>
        <w:t>banks</w:t>
      </w:r>
      <w:proofErr w:type="gramEnd"/>
      <w:r w:rsidRPr="007430C2">
        <w:rPr>
          <w:rFonts w:eastAsia="MS Mincho" w:cs="Times New Roman"/>
          <w:sz w:val="24"/>
        </w:rPr>
        <w:t xml:space="preserve"> in Ireland, 1817–1914, </w:t>
      </w:r>
      <w:r w:rsidRPr="0094611C">
        <w:rPr>
          <w:rFonts w:eastAsia="MS Mincho" w:cs="Times New Roman"/>
          <w:i/>
          <w:sz w:val="24"/>
        </w:rPr>
        <w:t>Business History</w:t>
      </w:r>
      <w:r w:rsidR="00473896">
        <w:rPr>
          <w:rFonts w:eastAsia="MS Mincho" w:cs="Times New Roman"/>
          <w:sz w:val="24"/>
        </w:rPr>
        <w:t>, 56 (</w:t>
      </w:r>
      <w:r w:rsidRPr="007430C2">
        <w:rPr>
          <w:rFonts w:eastAsia="MS Mincho" w:cs="Times New Roman"/>
          <w:sz w:val="24"/>
        </w:rPr>
        <w:t>4</w:t>
      </w:r>
      <w:r w:rsidR="00473896">
        <w:rPr>
          <w:rFonts w:eastAsia="MS Mincho" w:cs="Times New Roman"/>
          <w:sz w:val="24"/>
        </w:rPr>
        <w:t>)</w:t>
      </w:r>
      <w:r w:rsidRPr="007430C2">
        <w:rPr>
          <w:rFonts w:eastAsia="MS Mincho" w:cs="Times New Roman"/>
          <w:sz w:val="24"/>
        </w:rPr>
        <w:t xml:space="preserve">, </w:t>
      </w:r>
      <w:r w:rsidR="00710E9F" w:rsidRPr="007430C2">
        <w:rPr>
          <w:rFonts w:eastAsia="MS Mincho" w:cs="Times New Roman"/>
          <w:sz w:val="24"/>
        </w:rPr>
        <w:t>(2014)</w:t>
      </w:r>
      <w:r w:rsidR="008B1707">
        <w:rPr>
          <w:rFonts w:eastAsia="MS Mincho" w:cs="Times New Roman"/>
          <w:sz w:val="24"/>
        </w:rPr>
        <w:t>:</w:t>
      </w:r>
      <w:r w:rsidR="00710E9F" w:rsidRPr="007430C2">
        <w:rPr>
          <w:rFonts w:eastAsia="MS Mincho" w:cs="Times New Roman"/>
          <w:sz w:val="24"/>
        </w:rPr>
        <w:t xml:space="preserve"> </w:t>
      </w:r>
      <w:r w:rsidRPr="007430C2">
        <w:rPr>
          <w:rFonts w:eastAsia="MS Mincho" w:cs="Times New Roman"/>
          <w:sz w:val="24"/>
        </w:rPr>
        <w:t>569-591</w:t>
      </w:r>
      <w:r w:rsidR="00710E9F">
        <w:rPr>
          <w:rFonts w:eastAsia="MS Mincho" w:cs="Times New Roman"/>
          <w:sz w:val="24"/>
        </w:rPr>
        <w:t>.</w:t>
      </w:r>
    </w:p>
    <w:p w14:paraId="1A826051" w14:textId="77777777" w:rsidR="00C26F98" w:rsidRDefault="00C26F98" w:rsidP="00876A6B">
      <w:pPr>
        <w:spacing w:line="480" w:lineRule="auto"/>
        <w:rPr>
          <w:rFonts w:eastAsia="MS Mincho" w:cs="Times New Roman"/>
          <w:sz w:val="24"/>
        </w:rPr>
      </w:pPr>
    </w:p>
    <w:p w14:paraId="16B5BBC6" w14:textId="77777777" w:rsidR="0072529B" w:rsidRDefault="0072529B" w:rsidP="00876A6B">
      <w:pPr>
        <w:spacing w:line="480" w:lineRule="auto"/>
        <w:rPr>
          <w:rFonts w:cs="Times New Roman"/>
          <w:sz w:val="24"/>
        </w:rPr>
      </w:pPr>
      <w:r w:rsidRPr="00BD5772">
        <w:rPr>
          <w:rFonts w:eastAsiaTheme="minorEastAsia" w:cs="Times New Roman"/>
          <w:color w:val="000000"/>
          <w:sz w:val="24"/>
          <w:lang w:val="en-US"/>
        </w:rPr>
        <w:t>Morgan, C</w:t>
      </w:r>
      <w:r w:rsidR="008B1171">
        <w:rPr>
          <w:rFonts w:eastAsiaTheme="minorEastAsia" w:cs="Times New Roman"/>
          <w:color w:val="000000"/>
          <w:sz w:val="24"/>
          <w:lang w:val="en-US"/>
        </w:rPr>
        <w:t>arol</w:t>
      </w:r>
      <w:r w:rsidR="00BF71E4" w:rsidRPr="00BD5772">
        <w:rPr>
          <w:rFonts w:eastAsiaTheme="minorEastAsia" w:cs="Times New Roman"/>
          <w:color w:val="000000"/>
          <w:sz w:val="24"/>
          <w:lang w:val="en-US"/>
        </w:rPr>
        <w:t>.</w:t>
      </w:r>
      <w:r w:rsidRPr="00BD5772">
        <w:rPr>
          <w:rFonts w:eastAsiaTheme="minorEastAsia" w:cs="Times New Roman"/>
          <w:color w:val="000000"/>
          <w:sz w:val="24"/>
          <w:lang w:val="en-US"/>
        </w:rPr>
        <w:t xml:space="preserve"> </w:t>
      </w:r>
      <w:r w:rsidR="00C01387">
        <w:rPr>
          <w:rFonts w:eastAsiaTheme="minorEastAsia" w:cs="Times New Roman"/>
          <w:color w:val="000000"/>
          <w:sz w:val="24"/>
          <w:lang w:val="en-US"/>
        </w:rPr>
        <w:t>"</w:t>
      </w:r>
      <w:r w:rsidRPr="00BD5772">
        <w:rPr>
          <w:rFonts w:eastAsiaTheme="minorEastAsia" w:cs="Times New Roman"/>
          <w:color w:val="000000"/>
          <w:sz w:val="24"/>
          <w:lang w:val="en-US"/>
        </w:rPr>
        <w:t>Women, Work and Consciousness in the Mid-Nineteenth-Centu</w:t>
      </w:r>
      <w:r w:rsidR="00DE18B4" w:rsidRPr="00BD5772">
        <w:rPr>
          <w:rFonts w:eastAsiaTheme="minorEastAsia" w:cs="Times New Roman"/>
          <w:color w:val="000000"/>
          <w:sz w:val="24"/>
          <w:lang w:val="en-US"/>
        </w:rPr>
        <w:t>ry English Cotton Industry</w:t>
      </w:r>
      <w:r w:rsidR="00C01387">
        <w:rPr>
          <w:rFonts w:eastAsiaTheme="minorEastAsia" w:cs="Times New Roman"/>
          <w:color w:val="000000"/>
          <w:sz w:val="24"/>
          <w:lang w:val="en-US"/>
        </w:rPr>
        <w:t>"</w:t>
      </w:r>
      <w:r w:rsidR="00DE18B4" w:rsidRPr="00BD5772">
        <w:rPr>
          <w:rFonts w:eastAsiaTheme="minorEastAsia" w:cs="Times New Roman"/>
          <w:color w:val="000000"/>
          <w:sz w:val="24"/>
          <w:lang w:val="en-US"/>
        </w:rPr>
        <w:t>.</w:t>
      </w:r>
      <w:r w:rsidRPr="00BD5772">
        <w:rPr>
          <w:rFonts w:eastAsiaTheme="minorEastAsia" w:cs="Times New Roman"/>
          <w:color w:val="000000"/>
          <w:sz w:val="24"/>
          <w:lang w:val="en-US"/>
        </w:rPr>
        <w:t xml:space="preserve"> </w:t>
      </w:r>
      <w:r w:rsidRPr="00BD5772">
        <w:rPr>
          <w:rFonts w:eastAsiaTheme="minorEastAsia" w:cs="Times New Roman"/>
          <w:i/>
          <w:color w:val="000000"/>
          <w:sz w:val="24"/>
          <w:lang w:val="en-US"/>
        </w:rPr>
        <w:t>Social History</w:t>
      </w:r>
      <w:r w:rsidRPr="00BD5772">
        <w:rPr>
          <w:rFonts w:eastAsiaTheme="minorEastAsia" w:cs="Times New Roman"/>
          <w:color w:val="000000"/>
          <w:sz w:val="24"/>
          <w:lang w:val="en-US"/>
        </w:rPr>
        <w:t>, 17 (1)</w:t>
      </w:r>
      <w:r w:rsidR="00BF71E4" w:rsidRPr="00BD5772">
        <w:rPr>
          <w:rFonts w:eastAsiaTheme="minorEastAsia" w:cs="Times New Roman"/>
          <w:color w:val="000000"/>
          <w:sz w:val="24"/>
          <w:lang w:val="en-US"/>
        </w:rPr>
        <w:t xml:space="preserve"> (1992)</w:t>
      </w:r>
      <w:r w:rsidR="008B1707">
        <w:rPr>
          <w:rFonts w:eastAsiaTheme="minorEastAsia" w:cs="Times New Roman"/>
          <w:color w:val="000000"/>
          <w:sz w:val="24"/>
          <w:lang w:val="en-US"/>
        </w:rPr>
        <w:t>:</w:t>
      </w:r>
      <w:r w:rsidRPr="00BD5772">
        <w:rPr>
          <w:rFonts w:eastAsiaTheme="minorEastAsia" w:cs="Times New Roman"/>
          <w:color w:val="000000"/>
          <w:sz w:val="24"/>
          <w:lang w:val="en-US"/>
        </w:rPr>
        <w:t xml:space="preserve"> 23-41</w:t>
      </w:r>
      <w:r w:rsidRPr="00BD5772">
        <w:rPr>
          <w:rFonts w:cs="Times New Roman"/>
          <w:sz w:val="24"/>
        </w:rPr>
        <w:t xml:space="preserve"> </w:t>
      </w:r>
    </w:p>
    <w:p w14:paraId="54F1652F" w14:textId="77777777" w:rsidR="00C26F98" w:rsidRPr="00BD5772" w:rsidRDefault="00C26F98" w:rsidP="00876A6B">
      <w:pPr>
        <w:spacing w:line="480" w:lineRule="auto"/>
        <w:rPr>
          <w:rFonts w:cs="Times New Roman"/>
          <w:sz w:val="24"/>
        </w:rPr>
      </w:pPr>
    </w:p>
    <w:p w14:paraId="4BC39623" w14:textId="77777777" w:rsidR="0072529B" w:rsidRDefault="0072529B" w:rsidP="00876A6B">
      <w:pPr>
        <w:spacing w:line="480" w:lineRule="auto"/>
        <w:rPr>
          <w:rFonts w:cs="Times New Roman"/>
          <w:sz w:val="24"/>
        </w:rPr>
      </w:pPr>
      <w:proofErr w:type="gramStart"/>
      <w:r w:rsidRPr="00BD5772">
        <w:rPr>
          <w:rFonts w:cs="Times New Roman"/>
          <w:sz w:val="24"/>
        </w:rPr>
        <w:t>Moss, M</w:t>
      </w:r>
      <w:r w:rsidR="00725863">
        <w:rPr>
          <w:rFonts w:cs="Times New Roman"/>
          <w:sz w:val="24"/>
        </w:rPr>
        <w:t>ichae</w:t>
      </w:r>
      <w:r w:rsidR="008B1171">
        <w:rPr>
          <w:rFonts w:cs="Times New Roman"/>
          <w:sz w:val="24"/>
        </w:rPr>
        <w:t>l</w:t>
      </w:r>
      <w:r w:rsidRPr="00BD5772">
        <w:rPr>
          <w:rFonts w:cs="Times New Roman"/>
          <w:sz w:val="24"/>
        </w:rPr>
        <w:t xml:space="preserve"> and </w:t>
      </w:r>
      <w:r w:rsidR="0094611C">
        <w:rPr>
          <w:rFonts w:cs="Times New Roman"/>
          <w:sz w:val="24"/>
        </w:rPr>
        <w:t xml:space="preserve">Iain </w:t>
      </w:r>
      <w:r w:rsidRPr="00BD5772">
        <w:rPr>
          <w:rFonts w:cs="Times New Roman"/>
          <w:sz w:val="24"/>
        </w:rPr>
        <w:t>Russell.</w:t>
      </w:r>
      <w:proofErr w:type="gramEnd"/>
      <w:r w:rsidRPr="00BD5772">
        <w:rPr>
          <w:rFonts w:cs="Times New Roman"/>
          <w:sz w:val="24"/>
        </w:rPr>
        <w:t xml:space="preserve"> </w:t>
      </w:r>
      <w:r w:rsidRPr="00BD5772">
        <w:rPr>
          <w:rFonts w:cs="Times New Roman"/>
          <w:i/>
          <w:iCs/>
          <w:sz w:val="24"/>
        </w:rPr>
        <w:t>An invaluable treasure: History of the TSB</w:t>
      </w:r>
      <w:r w:rsidRPr="00BD5772">
        <w:rPr>
          <w:rFonts w:cs="Times New Roman"/>
          <w:sz w:val="24"/>
        </w:rPr>
        <w:t>. London: Weidenfeld and Nicolson, 1994.</w:t>
      </w:r>
    </w:p>
    <w:p w14:paraId="2963A34B" w14:textId="77777777" w:rsidR="001E375D" w:rsidRDefault="001E375D" w:rsidP="00876A6B">
      <w:pPr>
        <w:spacing w:line="480" w:lineRule="auto"/>
        <w:rPr>
          <w:rFonts w:cs="Times New Roman"/>
          <w:highlight w:val="yellow"/>
          <w:shd w:val="clear" w:color="auto" w:fill="EFF3F8"/>
        </w:rPr>
      </w:pPr>
    </w:p>
    <w:p w14:paraId="6E7C4145" w14:textId="77777777" w:rsidR="001E375D" w:rsidRPr="007C33EE" w:rsidRDefault="001E375D" w:rsidP="007C33EE">
      <w:pPr>
        <w:spacing w:line="480" w:lineRule="auto"/>
        <w:rPr>
          <w:sz w:val="24"/>
        </w:rPr>
      </w:pPr>
      <w:r w:rsidRPr="007C33EE">
        <w:rPr>
          <w:sz w:val="24"/>
        </w:rPr>
        <w:t>Newton</w:t>
      </w:r>
      <w:r w:rsidR="007C33EE" w:rsidRPr="007C33EE">
        <w:rPr>
          <w:sz w:val="24"/>
        </w:rPr>
        <w:t>, Lucy and Philip Cottrell</w:t>
      </w:r>
      <w:r w:rsidRPr="007C33EE">
        <w:rPr>
          <w:sz w:val="24"/>
        </w:rPr>
        <w:t>. "</w:t>
      </w:r>
      <w:r w:rsidR="007C33EE" w:rsidRPr="007C33EE">
        <w:rPr>
          <w:sz w:val="24"/>
        </w:rPr>
        <w:t>Female investors in the first E</w:t>
      </w:r>
      <w:r w:rsidRPr="007C33EE">
        <w:rPr>
          <w:sz w:val="24"/>
        </w:rPr>
        <w:t>nglish and Welsh commercial joint-stock banks," Accounting History Review</w:t>
      </w:r>
      <w:r w:rsidR="007C33EE" w:rsidRPr="007C33EE">
        <w:rPr>
          <w:sz w:val="24"/>
        </w:rPr>
        <w:t>,</w:t>
      </w:r>
      <w:r w:rsidRPr="007C33EE">
        <w:rPr>
          <w:sz w:val="24"/>
        </w:rPr>
        <w:t xml:space="preserve"> 16 (2) (2006): 315-340.</w:t>
      </w:r>
    </w:p>
    <w:p w14:paraId="2FE0E9C8" w14:textId="77777777" w:rsidR="00C26F98" w:rsidRPr="00BD5772" w:rsidRDefault="00C26F98" w:rsidP="00876A6B">
      <w:pPr>
        <w:spacing w:line="480" w:lineRule="auto"/>
        <w:rPr>
          <w:rFonts w:cs="Times New Roman"/>
          <w:sz w:val="24"/>
        </w:rPr>
      </w:pPr>
    </w:p>
    <w:p w14:paraId="62755EEB" w14:textId="77777777" w:rsidR="0072529B" w:rsidRDefault="00FF559C" w:rsidP="00876A6B">
      <w:pPr>
        <w:pStyle w:val="Heading1"/>
        <w:shd w:val="clear" w:color="auto" w:fill="FFFFFF"/>
        <w:spacing w:before="0" w:beforeAutospacing="0" w:after="0" w:afterAutospacing="0" w:line="480" w:lineRule="auto"/>
        <w:rPr>
          <w:rFonts w:ascii="Times New Roman" w:eastAsia="Times New Roman" w:hAnsi="Times New Roman" w:cs="Times New Roman"/>
          <w:b w:val="0"/>
          <w:color w:val="333333"/>
          <w:sz w:val="24"/>
          <w:szCs w:val="24"/>
        </w:rPr>
      </w:pPr>
      <w:r w:rsidRPr="00EC2C0E">
        <w:rPr>
          <w:rFonts w:ascii="Times New Roman" w:hAnsi="Times New Roman" w:cs="Times New Roman"/>
          <w:b w:val="0"/>
          <w:sz w:val="24"/>
          <w:szCs w:val="24"/>
        </w:rPr>
        <w:t xml:space="preserve">Norling, </w:t>
      </w:r>
      <w:r w:rsidR="00EC2C0E" w:rsidRPr="00EC2C0E">
        <w:rPr>
          <w:rFonts w:ascii="Times New Roman" w:hAnsi="Times New Roman" w:cs="Times New Roman"/>
          <w:b w:val="0"/>
          <w:sz w:val="24"/>
          <w:szCs w:val="24"/>
        </w:rPr>
        <w:t>L</w:t>
      </w:r>
      <w:r w:rsidR="00783FFA">
        <w:rPr>
          <w:rFonts w:ascii="Times New Roman" w:hAnsi="Times New Roman" w:cs="Times New Roman"/>
          <w:b w:val="0"/>
          <w:sz w:val="24"/>
          <w:szCs w:val="24"/>
        </w:rPr>
        <w:t>isa</w:t>
      </w:r>
      <w:r w:rsidR="00EC2C0E" w:rsidRPr="00EC2C0E">
        <w:rPr>
          <w:rFonts w:ascii="Times New Roman" w:hAnsi="Times New Roman" w:cs="Times New Roman"/>
          <w:b w:val="0"/>
          <w:sz w:val="24"/>
          <w:szCs w:val="24"/>
        </w:rPr>
        <w:t xml:space="preserve">. “Ahab’s wife: Women and the American whaling industry, 1820-1870”, in M. Creighton and L. Norling, </w:t>
      </w:r>
      <w:r w:rsidR="00EC2C0E" w:rsidRPr="00EC2C0E">
        <w:rPr>
          <w:rFonts w:ascii="Times New Roman" w:eastAsia="Times New Roman" w:hAnsi="Times New Roman" w:cs="Times New Roman"/>
          <w:b w:val="0"/>
          <w:i/>
          <w:color w:val="333333"/>
          <w:sz w:val="24"/>
          <w:szCs w:val="24"/>
        </w:rPr>
        <w:t>Iron Men, Wooden Women: Gender and Seafaring in the Atlantic World, 1700-1920</w:t>
      </w:r>
      <w:r w:rsidR="00EC2C0E" w:rsidRPr="00EC2C0E">
        <w:rPr>
          <w:rFonts w:ascii="Times New Roman" w:eastAsia="Times New Roman" w:hAnsi="Times New Roman" w:cs="Times New Roman"/>
          <w:b w:val="0"/>
          <w:color w:val="333333"/>
          <w:sz w:val="24"/>
          <w:szCs w:val="24"/>
        </w:rPr>
        <w:t>, Baltimore: John Hopkins University Press, 1996</w:t>
      </w:r>
    </w:p>
    <w:p w14:paraId="4BC73F3A" w14:textId="77777777" w:rsidR="00C26F98" w:rsidRPr="00EC2C0E" w:rsidRDefault="00C26F98" w:rsidP="00876A6B">
      <w:pPr>
        <w:pStyle w:val="Heading1"/>
        <w:shd w:val="clear" w:color="auto" w:fill="FFFFFF"/>
        <w:spacing w:before="0" w:beforeAutospacing="0" w:after="0" w:afterAutospacing="0" w:line="480" w:lineRule="auto"/>
        <w:rPr>
          <w:rFonts w:ascii="Times New Roman" w:eastAsia="Times New Roman" w:hAnsi="Times New Roman" w:cs="Times New Roman"/>
          <w:b w:val="0"/>
          <w:color w:val="333333"/>
          <w:sz w:val="24"/>
          <w:szCs w:val="24"/>
        </w:rPr>
      </w:pPr>
    </w:p>
    <w:p w14:paraId="35D17674" w14:textId="77777777" w:rsidR="0072529B" w:rsidRPr="00BD5772" w:rsidRDefault="0072529B" w:rsidP="00876A6B">
      <w:pPr>
        <w:spacing w:line="480" w:lineRule="auto"/>
        <w:rPr>
          <w:rFonts w:cs="Times New Roman"/>
          <w:sz w:val="24"/>
        </w:rPr>
      </w:pPr>
      <w:proofErr w:type="gramStart"/>
      <w:r w:rsidRPr="00BD5772">
        <w:rPr>
          <w:rFonts w:cs="Times New Roman"/>
          <w:sz w:val="24"/>
        </w:rPr>
        <w:t>Ó Gráda, C</w:t>
      </w:r>
      <w:r w:rsidR="00783FFA">
        <w:rPr>
          <w:rFonts w:cs="Times New Roman"/>
          <w:sz w:val="24"/>
        </w:rPr>
        <w:t>ormac</w:t>
      </w:r>
      <w:r w:rsidRPr="00BD5772">
        <w:rPr>
          <w:rFonts w:cs="Times New Roman"/>
          <w:sz w:val="24"/>
        </w:rPr>
        <w:t>.</w:t>
      </w:r>
      <w:proofErr w:type="gramEnd"/>
      <w:r w:rsidRPr="00BD5772">
        <w:rPr>
          <w:rFonts w:cs="Times New Roman"/>
          <w:sz w:val="24"/>
        </w:rPr>
        <w:t xml:space="preserve"> </w:t>
      </w:r>
      <w:proofErr w:type="gramStart"/>
      <w:r w:rsidRPr="00BD5772">
        <w:rPr>
          <w:rFonts w:cs="Times New Roman"/>
          <w:i/>
          <w:iCs/>
          <w:sz w:val="24"/>
        </w:rPr>
        <w:t>The early history of Irish savings banks</w:t>
      </w:r>
      <w:r w:rsidRPr="00BD5772">
        <w:rPr>
          <w:rFonts w:cs="Times New Roman"/>
          <w:sz w:val="24"/>
        </w:rPr>
        <w:t>.</w:t>
      </w:r>
      <w:proofErr w:type="gramEnd"/>
      <w:r w:rsidRPr="00BD5772">
        <w:rPr>
          <w:rFonts w:cs="Times New Roman"/>
          <w:sz w:val="24"/>
        </w:rPr>
        <w:t xml:space="preserve"> </w:t>
      </w:r>
      <w:proofErr w:type="gramStart"/>
      <w:r w:rsidRPr="00BD5772">
        <w:rPr>
          <w:rFonts w:cs="Times New Roman"/>
          <w:sz w:val="24"/>
        </w:rPr>
        <w:t>University College Dublin, Centre for Economic Research working paper series WP08</w:t>
      </w:r>
      <w:r w:rsidRPr="00BD5772">
        <w:rPr>
          <w:rFonts w:cs="Times New Roman"/>
          <w:i/>
          <w:iCs/>
          <w:sz w:val="24"/>
        </w:rPr>
        <w:t>/</w:t>
      </w:r>
      <w:r w:rsidRPr="00BD5772">
        <w:rPr>
          <w:rFonts w:cs="Times New Roman"/>
          <w:sz w:val="24"/>
        </w:rPr>
        <w:t>04</w:t>
      </w:r>
      <w:r w:rsidR="00710E9F">
        <w:rPr>
          <w:rFonts w:cs="Times New Roman"/>
          <w:sz w:val="24"/>
        </w:rPr>
        <w:t>, 2008</w:t>
      </w:r>
      <w:r w:rsidRPr="00BD5772">
        <w:rPr>
          <w:rFonts w:cs="Times New Roman"/>
          <w:sz w:val="24"/>
        </w:rPr>
        <w:t>.</w:t>
      </w:r>
      <w:proofErr w:type="gramEnd"/>
    </w:p>
    <w:p w14:paraId="3FBA0693" w14:textId="77777777" w:rsidR="0094611C" w:rsidRDefault="0094611C" w:rsidP="00876A6B">
      <w:pPr>
        <w:spacing w:line="480" w:lineRule="auto"/>
        <w:rPr>
          <w:rFonts w:cs="Times New Roman"/>
          <w:sz w:val="24"/>
        </w:rPr>
      </w:pPr>
    </w:p>
    <w:p w14:paraId="5E9B0559" w14:textId="77777777" w:rsidR="0072529B" w:rsidRDefault="0072529B" w:rsidP="00876A6B">
      <w:pPr>
        <w:spacing w:line="480" w:lineRule="auto"/>
        <w:rPr>
          <w:rFonts w:cs="Times New Roman"/>
          <w:sz w:val="24"/>
        </w:rPr>
      </w:pPr>
      <w:r w:rsidRPr="00BD5772">
        <w:rPr>
          <w:rFonts w:cs="Times New Roman"/>
          <w:sz w:val="24"/>
        </w:rPr>
        <w:t>Oren, L</w:t>
      </w:r>
      <w:r w:rsidR="00876A6B">
        <w:rPr>
          <w:rFonts w:cs="Times New Roman"/>
          <w:sz w:val="24"/>
        </w:rPr>
        <w:t>aura</w:t>
      </w:r>
      <w:r w:rsidRPr="00BD5772">
        <w:rPr>
          <w:rFonts w:cs="Times New Roman"/>
          <w:sz w:val="24"/>
        </w:rPr>
        <w:t xml:space="preserve">. </w:t>
      </w:r>
      <w:proofErr w:type="gramStart"/>
      <w:r w:rsidR="00C01387">
        <w:rPr>
          <w:rFonts w:cs="Times New Roman"/>
          <w:sz w:val="24"/>
        </w:rPr>
        <w:t>"</w:t>
      </w:r>
      <w:r w:rsidRPr="00BD5772">
        <w:rPr>
          <w:rFonts w:cs="Times New Roman"/>
          <w:sz w:val="24"/>
        </w:rPr>
        <w:t>The welfare of women in labouring families; England 1860–1959</w:t>
      </w:r>
      <w:r w:rsidR="00C01387">
        <w:rPr>
          <w:rFonts w:cs="Times New Roman"/>
          <w:sz w:val="24"/>
        </w:rPr>
        <w:t>"</w:t>
      </w:r>
      <w:r w:rsidRPr="00BD5772">
        <w:rPr>
          <w:rFonts w:cs="Times New Roman"/>
          <w:sz w:val="24"/>
        </w:rPr>
        <w:t>.</w:t>
      </w:r>
      <w:proofErr w:type="gramEnd"/>
      <w:r w:rsidRPr="00BD5772">
        <w:rPr>
          <w:rFonts w:cs="Times New Roman"/>
          <w:sz w:val="24"/>
        </w:rPr>
        <w:t xml:space="preserve"> </w:t>
      </w:r>
      <w:proofErr w:type="gramStart"/>
      <w:r w:rsidRPr="00BD5772">
        <w:rPr>
          <w:rFonts w:cs="Times New Roman"/>
          <w:i/>
          <w:sz w:val="24"/>
        </w:rPr>
        <w:t>Feminist Studies</w:t>
      </w:r>
      <w:r w:rsidR="00473896">
        <w:rPr>
          <w:rFonts w:cs="Times New Roman"/>
          <w:i/>
          <w:sz w:val="24"/>
        </w:rPr>
        <w:t>,</w:t>
      </w:r>
      <w:r w:rsidRPr="00BD5772">
        <w:rPr>
          <w:rFonts w:cs="Times New Roman"/>
          <w:i/>
          <w:sz w:val="24"/>
        </w:rPr>
        <w:t xml:space="preserve"> </w:t>
      </w:r>
      <w:r w:rsidRPr="00BD5772">
        <w:rPr>
          <w:rFonts w:cs="Times New Roman"/>
          <w:sz w:val="24"/>
        </w:rPr>
        <w:t xml:space="preserve">1 (3/4) </w:t>
      </w:r>
      <w:r w:rsidR="008B1707">
        <w:rPr>
          <w:rFonts w:cs="Times New Roman"/>
          <w:sz w:val="24"/>
        </w:rPr>
        <w:t xml:space="preserve">(1973): </w:t>
      </w:r>
      <w:r w:rsidRPr="00BD5772">
        <w:rPr>
          <w:rFonts w:cs="Times New Roman"/>
          <w:sz w:val="24"/>
        </w:rPr>
        <w:t>107–25.</w:t>
      </w:r>
      <w:proofErr w:type="gramEnd"/>
    </w:p>
    <w:p w14:paraId="7C292043" w14:textId="77777777" w:rsidR="00233B68" w:rsidRDefault="00233B68" w:rsidP="00233B68">
      <w:pPr>
        <w:rPr>
          <w:rFonts w:ascii="Arial" w:eastAsia="Times New Roman" w:hAnsi="Arial" w:cs="Arial"/>
          <w:color w:val="222222"/>
          <w:sz w:val="19"/>
          <w:szCs w:val="19"/>
          <w:shd w:val="clear" w:color="auto" w:fill="FFFFFF"/>
        </w:rPr>
      </w:pPr>
    </w:p>
    <w:p w14:paraId="50C7B0FC" w14:textId="77777777" w:rsidR="008A6F6E" w:rsidRPr="00872B14" w:rsidRDefault="008A6F6E" w:rsidP="00EB0562">
      <w:pPr>
        <w:spacing w:line="480" w:lineRule="auto"/>
        <w:rPr>
          <w:rFonts w:eastAsia="Times New Roman" w:cs="Times New Roman"/>
          <w:color w:val="000000"/>
          <w:sz w:val="24"/>
          <w:shd w:val="clear" w:color="auto" w:fill="FFFFFF"/>
        </w:rPr>
      </w:pPr>
      <w:proofErr w:type="gramStart"/>
      <w:r w:rsidRPr="00872B14">
        <w:rPr>
          <w:rFonts w:eastAsia="Times New Roman" w:cs="Times New Roman"/>
          <w:color w:val="000000"/>
          <w:sz w:val="24"/>
          <w:shd w:val="clear" w:color="auto" w:fill="FFFFFF"/>
        </w:rPr>
        <w:t>Pahl, Jan.</w:t>
      </w:r>
      <w:proofErr w:type="gramEnd"/>
      <w:r w:rsidRPr="00872B14">
        <w:rPr>
          <w:rFonts w:eastAsia="Times New Roman" w:cs="Times New Roman"/>
          <w:color w:val="000000"/>
          <w:sz w:val="24"/>
          <w:shd w:val="clear" w:color="auto" w:fill="FFFFFF"/>
        </w:rPr>
        <w:t xml:space="preserve">  </w:t>
      </w:r>
      <w:proofErr w:type="gramStart"/>
      <w:r w:rsidRPr="00872B14">
        <w:rPr>
          <w:rFonts w:eastAsia="Times New Roman" w:cs="Times New Roman"/>
          <w:color w:val="000000"/>
          <w:sz w:val="24"/>
          <w:shd w:val="clear" w:color="auto" w:fill="FFFFFF"/>
        </w:rPr>
        <w:t>The allocation of money and the structuring of inequality within marriage.</w:t>
      </w:r>
      <w:proofErr w:type="gramEnd"/>
      <w:r w:rsidRPr="00872B14">
        <w:rPr>
          <w:rFonts w:eastAsia="Times New Roman" w:cs="Times New Roman"/>
          <w:color w:val="000000"/>
          <w:sz w:val="24"/>
          <w:shd w:val="clear" w:color="auto" w:fill="FFFFFF"/>
        </w:rPr>
        <w:t xml:space="preserve"> The Sociological Review, 31 (1983): 237–262</w:t>
      </w:r>
    </w:p>
    <w:p w14:paraId="17DD9D20" w14:textId="77777777" w:rsidR="008A6F6E" w:rsidRPr="00872B14" w:rsidRDefault="008A6F6E" w:rsidP="00EB0562">
      <w:pPr>
        <w:spacing w:line="480" w:lineRule="auto"/>
        <w:rPr>
          <w:rFonts w:eastAsia="Times New Roman" w:cs="Times New Roman"/>
          <w:color w:val="000000"/>
          <w:sz w:val="24"/>
          <w:shd w:val="clear" w:color="auto" w:fill="FFFFFF"/>
        </w:rPr>
      </w:pPr>
    </w:p>
    <w:p w14:paraId="2BE1857B" w14:textId="77777777" w:rsidR="008A6F6E" w:rsidRPr="00872B14" w:rsidRDefault="008A6F6E" w:rsidP="00EB0562">
      <w:pPr>
        <w:spacing w:line="480" w:lineRule="auto"/>
        <w:rPr>
          <w:rFonts w:cs="Times New Roman"/>
          <w:sz w:val="24"/>
        </w:rPr>
      </w:pPr>
      <w:r w:rsidRPr="00872B14">
        <w:rPr>
          <w:rFonts w:cs="Times New Roman"/>
          <w:sz w:val="24"/>
        </w:rPr>
        <w:t xml:space="preserve">Pahl, Jan. “His money, her money: Recent research on financial organisation in marriage”. </w:t>
      </w:r>
      <w:hyperlink r:id="rId9" w:tooltip="Go to Journal of Economic Psychology on ScienceDirect" w:history="1">
        <w:r w:rsidRPr="00872B14">
          <w:rPr>
            <w:rFonts w:cs="Times New Roman"/>
            <w:sz w:val="24"/>
          </w:rPr>
          <w:t>Journal of Economic Psychology</w:t>
        </w:r>
      </w:hyperlink>
      <w:r w:rsidRPr="00872B14">
        <w:rPr>
          <w:rFonts w:cs="Times New Roman"/>
          <w:sz w:val="24"/>
        </w:rPr>
        <w:t>, 16 (3) (1995): 361–376</w:t>
      </w:r>
    </w:p>
    <w:p w14:paraId="05CA83A6" w14:textId="77777777" w:rsidR="008A6F6E" w:rsidRPr="00872B14" w:rsidRDefault="008A6F6E" w:rsidP="00EB0562">
      <w:pPr>
        <w:spacing w:line="480" w:lineRule="auto"/>
        <w:rPr>
          <w:rFonts w:cs="Times New Roman"/>
          <w:sz w:val="24"/>
        </w:rPr>
      </w:pPr>
    </w:p>
    <w:p w14:paraId="4529211D" w14:textId="77777777" w:rsidR="00233B68" w:rsidRPr="0032211B" w:rsidRDefault="00233B68" w:rsidP="0032211B">
      <w:pPr>
        <w:widowControl w:val="0"/>
        <w:autoSpaceDE w:val="0"/>
        <w:autoSpaceDN w:val="0"/>
        <w:adjustRightInd w:val="0"/>
        <w:spacing w:line="480" w:lineRule="auto"/>
        <w:rPr>
          <w:rFonts w:eastAsia="Times New Roman" w:cs="Times New Roman"/>
          <w:color w:val="222222"/>
          <w:sz w:val="24"/>
          <w:shd w:val="clear" w:color="auto" w:fill="FFFFFF"/>
        </w:rPr>
      </w:pPr>
      <w:r w:rsidRPr="00872B14">
        <w:rPr>
          <w:rFonts w:eastAsia="Times New Roman" w:cs="Times New Roman"/>
          <w:color w:val="222222"/>
          <w:sz w:val="24"/>
          <w:shd w:val="clear" w:color="auto" w:fill="FFFFFF"/>
        </w:rPr>
        <w:t>Pahl, Jan</w:t>
      </w:r>
      <w:r w:rsidRPr="00872B14">
        <w:rPr>
          <w:rFonts w:eastAsiaTheme="minorEastAsia" w:cs="Times New Roman"/>
          <w:sz w:val="24"/>
          <w:lang w:val="en-US"/>
        </w:rPr>
        <w:t xml:space="preserve">. “Couples and their money: patterns of accounting and accountability in the domestic economy", </w:t>
      </w:r>
      <w:r w:rsidRPr="00872B14">
        <w:rPr>
          <w:rFonts w:eastAsiaTheme="minorEastAsia" w:cs="Times New Roman"/>
          <w:i/>
          <w:sz w:val="24"/>
          <w:lang w:val="en-US"/>
        </w:rPr>
        <w:t>Accounting, Auditing &amp; Accountability Journal</w:t>
      </w:r>
      <w:r w:rsidRPr="00872B14">
        <w:rPr>
          <w:rFonts w:eastAsiaTheme="minorEastAsia" w:cs="Times New Roman"/>
          <w:sz w:val="24"/>
          <w:lang w:val="en-US"/>
        </w:rPr>
        <w:t>, 13 (4) (2000): 502 - 517</w:t>
      </w:r>
    </w:p>
    <w:p w14:paraId="55E83D03" w14:textId="77777777" w:rsidR="00C26F98" w:rsidRPr="00BD5772" w:rsidRDefault="00C26F98" w:rsidP="00876A6B">
      <w:pPr>
        <w:spacing w:line="480" w:lineRule="auto"/>
        <w:rPr>
          <w:rFonts w:cs="Times New Roman"/>
          <w:sz w:val="24"/>
        </w:rPr>
      </w:pPr>
    </w:p>
    <w:p w14:paraId="49797002" w14:textId="77777777" w:rsidR="0072529B" w:rsidRDefault="0072529B" w:rsidP="00876A6B">
      <w:pPr>
        <w:spacing w:line="480" w:lineRule="auto"/>
        <w:rPr>
          <w:rFonts w:cs="Times New Roman"/>
          <w:sz w:val="24"/>
        </w:rPr>
      </w:pPr>
      <w:r w:rsidRPr="00BD5772">
        <w:rPr>
          <w:rFonts w:cs="Times New Roman"/>
          <w:sz w:val="24"/>
        </w:rPr>
        <w:t>Payne, P</w:t>
      </w:r>
      <w:r w:rsidR="008B1171">
        <w:rPr>
          <w:rFonts w:cs="Times New Roman"/>
          <w:sz w:val="24"/>
        </w:rPr>
        <w:t>eter</w:t>
      </w:r>
      <w:r w:rsidRPr="00BD5772">
        <w:rPr>
          <w:rFonts w:cs="Times New Roman"/>
          <w:sz w:val="24"/>
        </w:rPr>
        <w:t xml:space="preserve">. L. </w:t>
      </w:r>
      <w:r w:rsidR="00C01387">
        <w:rPr>
          <w:rFonts w:cs="Times New Roman"/>
          <w:sz w:val="24"/>
        </w:rPr>
        <w:t>"</w:t>
      </w:r>
      <w:r w:rsidRPr="00BD5772">
        <w:rPr>
          <w:rFonts w:cs="Times New Roman"/>
          <w:sz w:val="24"/>
        </w:rPr>
        <w:t>The Savings Bank of Glasgow 1863–1914</w:t>
      </w:r>
      <w:r w:rsidR="00C01387">
        <w:rPr>
          <w:rFonts w:cs="Times New Roman"/>
          <w:sz w:val="24"/>
        </w:rPr>
        <w:t>"</w:t>
      </w:r>
      <w:r w:rsidRPr="00BD5772">
        <w:rPr>
          <w:rFonts w:cs="Times New Roman"/>
          <w:sz w:val="24"/>
        </w:rPr>
        <w:t xml:space="preserve">, in </w:t>
      </w:r>
      <w:r w:rsidR="00DE18B4" w:rsidRPr="00BD5772">
        <w:rPr>
          <w:rFonts w:cs="Times New Roman"/>
          <w:i/>
          <w:sz w:val="24"/>
        </w:rPr>
        <w:t xml:space="preserve">Studies in Scottish business history, </w:t>
      </w:r>
      <w:proofErr w:type="gramStart"/>
      <w:r w:rsidR="00DE18B4" w:rsidRPr="00BD5772">
        <w:rPr>
          <w:rFonts w:cs="Times New Roman"/>
          <w:sz w:val="24"/>
        </w:rPr>
        <w:t>ed</w:t>
      </w:r>
      <w:proofErr w:type="gramEnd"/>
      <w:r w:rsidR="00DE18B4" w:rsidRPr="00BD5772">
        <w:rPr>
          <w:rFonts w:cs="Times New Roman"/>
          <w:i/>
          <w:sz w:val="24"/>
        </w:rPr>
        <w:t xml:space="preserve">.  </w:t>
      </w:r>
      <w:r w:rsidRPr="00BD5772">
        <w:rPr>
          <w:rFonts w:cs="Times New Roman"/>
          <w:sz w:val="24"/>
        </w:rPr>
        <w:t>P. L. Payne</w:t>
      </w:r>
      <w:r w:rsidRPr="00BD5772">
        <w:rPr>
          <w:rFonts w:cs="Times New Roman"/>
          <w:i/>
          <w:sz w:val="24"/>
        </w:rPr>
        <w:t xml:space="preserve"> </w:t>
      </w:r>
      <w:r w:rsidR="00D65CFA" w:rsidRPr="00BD5772">
        <w:rPr>
          <w:rFonts w:cs="Times New Roman"/>
          <w:sz w:val="24"/>
        </w:rPr>
        <w:t xml:space="preserve">London: </w:t>
      </w:r>
      <w:r w:rsidR="00A769AD" w:rsidRPr="00BD5772">
        <w:rPr>
          <w:rFonts w:cs="Times New Roman"/>
          <w:sz w:val="24"/>
        </w:rPr>
        <w:t>Frank Cass &amp; Co,</w:t>
      </w:r>
      <w:r w:rsidRPr="00BD5772">
        <w:rPr>
          <w:rFonts w:cs="Times New Roman"/>
          <w:sz w:val="24"/>
        </w:rPr>
        <w:t xml:space="preserve"> 152–86</w:t>
      </w:r>
      <w:r w:rsidR="00A769AD" w:rsidRPr="00BD5772">
        <w:rPr>
          <w:rFonts w:cs="Times New Roman"/>
          <w:sz w:val="24"/>
        </w:rPr>
        <w:t>.</w:t>
      </w:r>
    </w:p>
    <w:p w14:paraId="52CAE759" w14:textId="77777777" w:rsidR="00C26F98" w:rsidRPr="00BD5772" w:rsidRDefault="00C26F98" w:rsidP="00876A6B">
      <w:pPr>
        <w:spacing w:line="480" w:lineRule="auto"/>
        <w:rPr>
          <w:rFonts w:cs="Times New Roman"/>
          <w:sz w:val="24"/>
        </w:rPr>
      </w:pPr>
    </w:p>
    <w:p w14:paraId="4D1A2D61" w14:textId="77777777" w:rsidR="0072529B" w:rsidRPr="00BD5772" w:rsidRDefault="0072529B" w:rsidP="00876A6B">
      <w:pPr>
        <w:spacing w:line="480" w:lineRule="auto"/>
        <w:rPr>
          <w:rFonts w:eastAsia="Times New Roman" w:cs="Times New Roman"/>
          <w:sz w:val="24"/>
        </w:rPr>
      </w:pPr>
      <w:r w:rsidRPr="00BD5772">
        <w:rPr>
          <w:rFonts w:cs="Times New Roman"/>
          <w:sz w:val="24"/>
        </w:rPr>
        <w:t>Perriton, L</w:t>
      </w:r>
      <w:r w:rsidR="00725863">
        <w:rPr>
          <w:rFonts w:cs="Times New Roman"/>
          <w:sz w:val="24"/>
        </w:rPr>
        <w:t>inda.</w:t>
      </w:r>
      <w:r w:rsidRPr="00BD5772">
        <w:rPr>
          <w:rFonts w:cs="Times New Roman"/>
          <w:sz w:val="24"/>
        </w:rPr>
        <w:t xml:space="preserve"> </w:t>
      </w:r>
      <w:r w:rsidRPr="00BD5772">
        <w:rPr>
          <w:rFonts w:eastAsia="Times New Roman" w:cs="Times New Roman"/>
          <w:i/>
          <w:sz w:val="24"/>
          <w:shd w:val="clear" w:color="auto" w:fill="FFFFFF"/>
        </w:rPr>
        <w:t>Depositor trends in the Limehouse Savings Bank, London: 1830-1876</w:t>
      </w:r>
      <w:r w:rsidRPr="00BD5772">
        <w:rPr>
          <w:rFonts w:eastAsia="Times New Roman" w:cs="Times New Roman"/>
          <w:i/>
          <w:color w:val="1D1D1D"/>
          <w:sz w:val="24"/>
          <w:shd w:val="clear" w:color="auto" w:fill="FFFFFF"/>
        </w:rPr>
        <w:t>,</w:t>
      </w:r>
      <w:r w:rsidRPr="00BD5772">
        <w:rPr>
          <w:rStyle w:val="apple-converted-space"/>
          <w:rFonts w:eastAsia="Times New Roman" w:cs="Times New Roman"/>
          <w:i/>
          <w:color w:val="1D1D1D"/>
          <w:sz w:val="24"/>
          <w:shd w:val="clear" w:color="auto" w:fill="FFFFFF"/>
        </w:rPr>
        <w:t> </w:t>
      </w:r>
      <w:r w:rsidRPr="00BD5772">
        <w:rPr>
          <w:rStyle w:val="Emphasis"/>
          <w:rFonts w:eastAsia="Times New Roman" w:cs="Times New Roman"/>
          <w:i w:val="0"/>
          <w:color w:val="1D1D1D"/>
          <w:sz w:val="24"/>
          <w:shd w:val="clear" w:color="auto" w:fill="FFFFFF"/>
        </w:rPr>
        <w:t>European Savings Bank Group</w:t>
      </w:r>
      <w:r w:rsidRPr="00BD5772">
        <w:rPr>
          <w:rFonts w:eastAsia="Times New Roman" w:cs="Times New Roman"/>
          <w:i/>
          <w:color w:val="1D1D1D"/>
          <w:sz w:val="24"/>
          <w:shd w:val="clear" w:color="auto" w:fill="FFFFFF"/>
        </w:rPr>
        <w:t>.</w:t>
      </w:r>
      <w:r w:rsidRPr="00BD5772">
        <w:rPr>
          <w:rFonts w:eastAsia="Times New Roman" w:cs="Times New Roman"/>
          <w:color w:val="1D1D1D"/>
          <w:sz w:val="24"/>
          <w:shd w:val="clear" w:color="auto" w:fill="FFFFFF"/>
        </w:rPr>
        <w:t xml:space="preserve"> [http://www.esbg.eu/uploadedFiles/perriton.pdf]</w:t>
      </w:r>
      <w:proofErr w:type="gramStart"/>
      <w:r w:rsidR="00710E9F">
        <w:rPr>
          <w:rFonts w:cs="Times New Roman"/>
          <w:sz w:val="24"/>
        </w:rPr>
        <w:t xml:space="preserve">, </w:t>
      </w:r>
      <w:r w:rsidR="008B1707">
        <w:rPr>
          <w:rFonts w:cs="Times New Roman"/>
          <w:sz w:val="24"/>
        </w:rPr>
        <w:t>2</w:t>
      </w:r>
      <w:r w:rsidR="00710E9F">
        <w:rPr>
          <w:rFonts w:cs="Times New Roman"/>
          <w:sz w:val="24"/>
        </w:rPr>
        <w:t>012.</w:t>
      </w:r>
      <w:proofErr w:type="gramEnd"/>
    </w:p>
    <w:p w14:paraId="004BB93C" w14:textId="77777777" w:rsidR="0094611C" w:rsidRDefault="0094611C" w:rsidP="00876A6B">
      <w:pPr>
        <w:spacing w:line="480" w:lineRule="auto"/>
        <w:rPr>
          <w:rFonts w:eastAsia="MS Mincho" w:cs="Times New Roman"/>
          <w:sz w:val="24"/>
        </w:rPr>
      </w:pPr>
    </w:p>
    <w:p w14:paraId="740DE1D9" w14:textId="77777777" w:rsidR="0072529B" w:rsidRDefault="0072529B" w:rsidP="00876A6B">
      <w:pPr>
        <w:spacing w:line="480" w:lineRule="auto"/>
        <w:rPr>
          <w:rFonts w:cs="Times New Roman"/>
          <w:sz w:val="24"/>
        </w:rPr>
      </w:pPr>
      <w:r w:rsidRPr="00BD5772">
        <w:rPr>
          <w:rFonts w:eastAsia="MS Mincho" w:cs="Times New Roman"/>
          <w:sz w:val="24"/>
        </w:rPr>
        <w:t>Playfair, L</w:t>
      </w:r>
      <w:r w:rsidR="008B1171">
        <w:rPr>
          <w:rFonts w:eastAsia="MS Mincho" w:cs="Times New Roman"/>
          <w:sz w:val="24"/>
        </w:rPr>
        <w:t>yon</w:t>
      </w:r>
      <w:r w:rsidRPr="00BD5772">
        <w:rPr>
          <w:rFonts w:eastAsia="MS Mincho" w:cs="Times New Roman"/>
          <w:sz w:val="24"/>
        </w:rPr>
        <w:t xml:space="preserve">. </w:t>
      </w:r>
      <w:proofErr w:type="gramStart"/>
      <w:r w:rsidRPr="00BD5772">
        <w:rPr>
          <w:rFonts w:eastAsia="MS Mincho" w:cs="Times New Roman"/>
          <w:i/>
          <w:sz w:val="24"/>
        </w:rPr>
        <w:t>Health of Towns Commission Report on the state of large towns in Lancashire</w:t>
      </w:r>
      <w:r w:rsidR="00A769AD" w:rsidRPr="00BD5772">
        <w:rPr>
          <w:rFonts w:eastAsia="MS Mincho" w:cs="Times New Roman"/>
          <w:sz w:val="24"/>
        </w:rPr>
        <w:t>.</w:t>
      </w:r>
      <w:proofErr w:type="gramEnd"/>
      <w:r w:rsidRPr="00BD5772">
        <w:rPr>
          <w:rFonts w:eastAsia="MS Mincho" w:cs="Times New Roman"/>
          <w:sz w:val="24"/>
        </w:rPr>
        <w:t xml:space="preserve"> London: Clowes, 1845.</w:t>
      </w:r>
      <w:r w:rsidRPr="00BD5772">
        <w:rPr>
          <w:rFonts w:cs="Times New Roman"/>
          <w:sz w:val="24"/>
        </w:rPr>
        <w:t xml:space="preserve"> </w:t>
      </w:r>
    </w:p>
    <w:p w14:paraId="539E44BB" w14:textId="77777777" w:rsidR="00C26F98" w:rsidRPr="00BD5772" w:rsidRDefault="00C26F98" w:rsidP="00876A6B">
      <w:pPr>
        <w:spacing w:line="480" w:lineRule="auto"/>
        <w:rPr>
          <w:rFonts w:cs="Times New Roman"/>
          <w:sz w:val="24"/>
        </w:rPr>
      </w:pPr>
    </w:p>
    <w:p w14:paraId="79BFAEBE" w14:textId="77777777" w:rsidR="0072529B" w:rsidRPr="00BD5772" w:rsidRDefault="0072529B" w:rsidP="00876A6B">
      <w:pPr>
        <w:spacing w:line="480" w:lineRule="auto"/>
        <w:rPr>
          <w:rFonts w:cs="Times New Roman"/>
          <w:sz w:val="24"/>
        </w:rPr>
      </w:pPr>
      <w:proofErr w:type="gramStart"/>
      <w:r w:rsidRPr="00BD5772">
        <w:rPr>
          <w:rFonts w:cs="Times New Roman"/>
          <w:sz w:val="24"/>
        </w:rPr>
        <w:t>Pollard, S</w:t>
      </w:r>
      <w:r w:rsidR="00725863">
        <w:rPr>
          <w:rFonts w:cs="Times New Roman"/>
          <w:sz w:val="24"/>
        </w:rPr>
        <w:t>idney</w:t>
      </w:r>
      <w:r w:rsidRPr="00BD5772">
        <w:rPr>
          <w:rFonts w:cs="Times New Roman"/>
          <w:sz w:val="24"/>
        </w:rPr>
        <w:t>.</w:t>
      </w:r>
      <w:proofErr w:type="gramEnd"/>
      <w:r w:rsidRPr="00BD5772">
        <w:rPr>
          <w:rFonts w:cs="Times New Roman"/>
          <w:sz w:val="24"/>
        </w:rPr>
        <w:t xml:space="preserve"> </w:t>
      </w:r>
      <w:proofErr w:type="gramStart"/>
      <w:r w:rsidRPr="00BD5772">
        <w:rPr>
          <w:rFonts w:cs="Times New Roman"/>
          <w:i/>
          <w:sz w:val="24"/>
        </w:rPr>
        <w:t>A history of labour in Sheffield</w:t>
      </w:r>
      <w:r w:rsidR="00A769AD" w:rsidRPr="00BD5772">
        <w:rPr>
          <w:rFonts w:cs="Times New Roman"/>
          <w:i/>
          <w:sz w:val="24"/>
        </w:rPr>
        <w:t>.</w:t>
      </w:r>
      <w:proofErr w:type="gramEnd"/>
      <w:r w:rsidR="00A769AD" w:rsidRPr="00BD5772">
        <w:rPr>
          <w:rFonts w:cs="Times New Roman"/>
          <w:i/>
          <w:sz w:val="24"/>
        </w:rPr>
        <w:t xml:space="preserve"> </w:t>
      </w:r>
      <w:r w:rsidRPr="00BD5772">
        <w:rPr>
          <w:rFonts w:cs="Times New Roman"/>
          <w:sz w:val="24"/>
        </w:rPr>
        <w:t xml:space="preserve"> Liverpool: L</w:t>
      </w:r>
      <w:r w:rsidR="00473896">
        <w:rPr>
          <w:rFonts w:cs="Times New Roman"/>
          <w:sz w:val="24"/>
        </w:rPr>
        <w:t xml:space="preserve">iverpool </w:t>
      </w:r>
      <w:r w:rsidRPr="00BD5772">
        <w:rPr>
          <w:rFonts w:cs="Times New Roman"/>
          <w:sz w:val="24"/>
        </w:rPr>
        <w:t>U</w:t>
      </w:r>
      <w:r w:rsidR="00473896">
        <w:rPr>
          <w:rFonts w:cs="Times New Roman"/>
          <w:sz w:val="24"/>
        </w:rPr>
        <w:t xml:space="preserve">niversity </w:t>
      </w:r>
      <w:r w:rsidRPr="00BD5772">
        <w:rPr>
          <w:rFonts w:cs="Times New Roman"/>
          <w:sz w:val="24"/>
        </w:rPr>
        <w:t>P</w:t>
      </w:r>
      <w:r w:rsidR="00473896">
        <w:rPr>
          <w:rFonts w:cs="Times New Roman"/>
          <w:sz w:val="24"/>
        </w:rPr>
        <w:t>ress</w:t>
      </w:r>
      <w:r w:rsidRPr="00BD5772">
        <w:rPr>
          <w:rFonts w:cs="Times New Roman"/>
          <w:sz w:val="24"/>
        </w:rPr>
        <w:t xml:space="preserve">, 1959. </w:t>
      </w:r>
    </w:p>
    <w:p w14:paraId="499FB60B" w14:textId="77777777" w:rsidR="0094611C" w:rsidRDefault="0094611C" w:rsidP="00876A6B">
      <w:pPr>
        <w:spacing w:line="480" w:lineRule="auto"/>
        <w:rPr>
          <w:rFonts w:cs="Times New Roman"/>
          <w:sz w:val="24"/>
        </w:rPr>
      </w:pPr>
    </w:p>
    <w:p w14:paraId="0F17AA20" w14:textId="77777777" w:rsidR="0072529B" w:rsidRDefault="0072529B" w:rsidP="00876A6B">
      <w:pPr>
        <w:spacing w:line="480" w:lineRule="auto"/>
        <w:rPr>
          <w:rFonts w:cs="Times New Roman"/>
          <w:sz w:val="24"/>
        </w:rPr>
      </w:pPr>
      <w:r w:rsidRPr="00BD5772">
        <w:rPr>
          <w:rFonts w:cs="Times New Roman"/>
          <w:sz w:val="24"/>
        </w:rPr>
        <w:t>Pollock</w:t>
      </w:r>
      <w:r w:rsidR="00A769AD" w:rsidRPr="00BD5772">
        <w:rPr>
          <w:rFonts w:cs="Times New Roman"/>
          <w:sz w:val="24"/>
        </w:rPr>
        <w:t>, G</w:t>
      </w:r>
      <w:r w:rsidR="00725863">
        <w:rPr>
          <w:rFonts w:cs="Times New Roman"/>
          <w:sz w:val="24"/>
        </w:rPr>
        <w:t>ordon.</w:t>
      </w:r>
      <w:r w:rsidR="00A769AD" w:rsidRPr="00BD5772">
        <w:rPr>
          <w:rFonts w:cs="Times New Roman"/>
          <w:sz w:val="24"/>
        </w:rPr>
        <w:t xml:space="preserve"> </w:t>
      </w:r>
      <w:r w:rsidR="00C01387">
        <w:rPr>
          <w:rFonts w:cs="Times New Roman"/>
          <w:sz w:val="24"/>
        </w:rPr>
        <w:t>"</w:t>
      </w:r>
      <w:r w:rsidR="00A769AD" w:rsidRPr="00BD5772">
        <w:rPr>
          <w:rFonts w:cs="Times New Roman"/>
          <w:sz w:val="24"/>
        </w:rPr>
        <w:t>Aspects of thrift in East E</w:t>
      </w:r>
      <w:r w:rsidRPr="00BD5772">
        <w:rPr>
          <w:rFonts w:cs="Times New Roman"/>
          <w:sz w:val="24"/>
        </w:rPr>
        <w:t>nd Glasgow: new accounts at the Bridgeton Cross branch of the Savings Bank of Glasgow</w:t>
      </w:r>
      <w:r w:rsidR="00C01387">
        <w:rPr>
          <w:rFonts w:cs="Times New Roman"/>
          <w:sz w:val="24"/>
        </w:rPr>
        <w:t>"</w:t>
      </w:r>
      <w:r w:rsidRPr="00BD5772">
        <w:rPr>
          <w:rFonts w:cs="Times New Roman"/>
          <w:sz w:val="24"/>
        </w:rPr>
        <w:t xml:space="preserve">.  </w:t>
      </w:r>
      <w:proofErr w:type="gramStart"/>
      <w:r w:rsidRPr="00BD5772">
        <w:rPr>
          <w:rFonts w:cs="Times New Roman"/>
          <w:i/>
          <w:sz w:val="24"/>
        </w:rPr>
        <w:t xml:space="preserve">International Review of Scottish Studies, </w:t>
      </w:r>
      <w:r w:rsidRPr="00BD5772">
        <w:rPr>
          <w:rFonts w:cs="Times New Roman"/>
          <w:sz w:val="24"/>
        </w:rPr>
        <w:t>32,</w:t>
      </w:r>
      <w:r w:rsidR="000D3BB3">
        <w:rPr>
          <w:rFonts w:cs="Times New Roman"/>
          <w:sz w:val="24"/>
        </w:rPr>
        <w:t xml:space="preserve"> (2007): </w:t>
      </w:r>
      <w:r w:rsidRPr="00BD5772">
        <w:rPr>
          <w:rFonts w:cs="Times New Roman"/>
          <w:sz w:val="24"/>
        </w:rPr>
        <w:t>117–48.</w:t>
      </w:r>
      <w:proofErr w:type="gramEnd"/>
      <w:r w:rsidRPr="00BD5772">
        <w:rPr>
          <w:rFonts w:cs="Times New Roman"/>
          <w:sz w:val="24"/>
        </w:rPr>
        <w:t xml:space="preserve"> </w:t>
      </w:r>
    </w:p>
    <w:p w14:paraId="19E65735" w14:textId="77777777" w:rsidR="00C26F98" w:rsidRPr="00BD5772" w:rsidRDefault="00C26F98" w:rsidP="00876A6B">
      <w:pPr>
        <w:spacing w:line="480" w:lineRule="auto"/>
        <w:rPr>
          <w:rFonts w:cs="Times New Roman"/>
          <w:sz w:val="24"/>
        </w:rPr>
      </w:pPr>
    </w:p>
    <w:p w14:paraId="34AC4DF8" w14:textId="77777777" w:rsidR="0072529B" w:rsidRPr="00BD5772" w:rsidRDefault="0072529B" w:rsidP="00876A6B">
      <w:pPr>
        <w:spacing w:line="480" w:lineRule="auto"/>
        <w:rPr>
          <w:rFonts w:cs="Times New Roman"/>
          <w:i/>
          <w:sz w:val="24"/>
        </w:rPr>
      </w:pPr>
      <w:r w:rsidRPr="00BD5772">
        <w:rPr>
          <w:rFonts w:cs="Times New Roman"/>
          <w:sz w:val="24"/>
        </w:rPr>
        <w:t>Roberts</w:t>
      </w:r>
      <w:r w:rsidRPr="00BD5772">
        <w:rPr>
          <w:rFonts w:cs="Times New Roman"/>
          <w:i/>
          <w:sz w:val="24"/>
        </w:rPr>
        <w:t xml:space="preserve">, </w:t>
      </w:r>
      <w:r w:rsidRPr="00BD5772">
        <w:rPr>
          <w:rFonts w:cs="Times New Roman"/>
          <w:sz w:val="24"/>
        </w:rPr>
        <w:t>E</w:t>
      </w:r>
      <w:r w:rsidR="00725863">
        <w:rPr>
          <w:rFonts w:cs="Times New Roman"/>
          <w:sz w:val="24"/>
        </w:rPr>
        <w:t>lizabeth</w:t>
      </w:r>
      <w:r w:rsidRPr="00BD5772">
        <w:rPr>
          <w:rFonts w:cs="Times New Roman"/>
          <w:sz w:val="24"/>
        </w:rPr>
        <w:t>.</w:t>
      </w:r>
      <w:r w:rsidRPr="00BD5772">
        <w:rPr>
          <w:rFonts w:cs="Times New Roman"/>
          <w:i/>
          <w:sz w:val="24"/>
        </w:rPr>
        <w:t xml:space="preserve"> A woman</w:t>
      </w:r>
      <w:r w:rsidR="00BA2021">
        <w:rPr>
          <w:rFonts w:cs="Times New Roman"/>
          <w:i/>
          <w:sz w:val="24"/>
        </w:rPr>
        <w:t>'</w:t>
      </w:r>
      <w:r w:rsidRPr="00BD5772">
        <w:rPr>
          <w:rFonts w:cs="Times New Roman"/>
          <w:i/>
          <w:sz w:val="24"/>
        </w:rPr>
        <w:t>s place: an oral history of working-class women 1890–1940</w:t>
      </w:r>
      <w:r w:rsidR="00A769AD" w:rsidRPr="00BD5772">
        <w:rPr>
          <w:rFonts w:cs="Times New Roman"/>
          <w:i/>
          <w:sz w:val="24"/>
        </w:rPr>
        <w:t xml:space="preserve">. </w:t>
      </w:r>
    </w:p>
    <w:p w14:paraId="5137E208" w14:textId="77777777" w:rsidR="0072529B" w:rsidRDefault="0072529B" w:rsidP="00876A6B">
      <w:pPr>
        <w:spacing w:line="480" w:lineRule="auto"/>
        <w:rPr>
          <w:rFonts w:cs="Times New Roman"/>
          <w:sz w:val="24"/>
        </w:rPr>
      </w:pPr>
      <w:r w:rsidRPr="00BD5772">
        <w:rPr>
          <w:rFonts w:cs="Times New Roman"/>
          <w:sz w:val="24"/>
        </w:rPr>
        <w:t>Oxford: OUP, 1984.</w:t>
      </w:r>
    </w:p>
    <w:p w14:paraId="67E73CEC" w14:textId="77777777" w:rsidR="00C26F98" w:rsidRPr="00BD5772" w:rsidRDefault="00C26F98" w:rsidP="00876A6B">
      <w:pPr>
        <w:spacing w:line="480" w:lineRule="auto"/>
        <w:rPr>
          <w:rFonts w:cs="Times New Roman"/>
          <w:sz w:val="24"/>
        </w:rPr>
      </w:pPr>
    </w:p>
    <w:p w14:paraId="2D1918C8" w14:textId="77777777" w:rsidR="0072529B" w:rsidRDefault="0072529B" w:rsidP="00876A6B">
      <w:pPr>
        <w:spacing w:line="480" w:lineRule="auto"/>
        <w:rPr>
          <w:rFonts w:eastAsia="Times New Roman" w:cs="Times New Roman"/>
          <w:color w:val="000000"/>
          <w:sz w:val="24"/>
        </w:rPr>
      </w:pPr>
      <w:proofErr w:type="gramStart"/>
      <w:r w:rsidRPr="00BD5772">
        <w:rPr>
          <w:rFonts w:cs="Times New Roman"/>
          <w:sz w:val="24"/>
        </w:rPr>
        <w:t>Rose</w:t>
      </w:r>
      <w:proofErr w:type="gramEnd"/>
      <w:r w:rsidRPr="00BD5772">
        <w:rPr>
          <w:rFonts w:cs="Times New Roman"/>
          <w:sz w:val="24"/>
        </w:rPr>
        <w:t>, S</w:t>
      </w:r>
      <w:r w:rsidR="00783FFA">
        <w:rPr>
          <w:rFonts w:cs="Times New Roman"/>
          <w:sz w:val="24"/>
        </w:rPr>
        <w:t>onya</w:t>
      </w:r>
      <w:r w:rsidRPr="00BD5772">
        <w:rPr>
          <w:rFonts w:cs="Times New Roman"/>
          <w:sz w:val="24"/>
        </w:rPr>
        <w:t>.</w:t>
      </w:r>
      <w:r w:rsidR="00BF71E4" w:rsidRPr="00BD5772">
        <w:rPr>
          <w:rFonts w:cs="Times New Roman"/>
          <w:sz w:val="24"/>
        </w:rPr>
        <w:t xml:space="preserve"> </w:t>
      </w:r>
      <w:r w:rsidRPr="00BD5772">
        <w:rPr>
          <w:rFonts w:eastAsia="Times New Roman" w:cs="Times New Roman"/>
          <w:i/>
          <w:color w:val="000000"/>
          <w:sz w:val="24"/>
        </w:rPr>
        <w:t>Limited Livelihoods: Gender and Class in Nineteenth Century England</w:t>
      </w:r>
      <w:r w:rsidR="00A769AD" w:rsidRPr="00BD5772">
        <w:rPr>
          <w:rFonts w:eastAsia="Times New Roman" w:cs="Times New Roman"/>
          <w:i/>
          <w:color w:val="000000"/>
          <w:sz w:val="24"/>
        </w:rPr>
        <w:t xml:space="preserve">. </w:t>
      </w:r>
      <w:r w:rsidRPr="00BD5772">
        <w:rPr>
          <w:rFonts w:eastAsia="Times New Roman" w:cs="Times New Roman"/>
          <w:color w:val="000000"/>
          <w:sz w:val="24"/>
        </w:rPr>
        <w:t xml:space="preserve"> London: Routledge, 2012.</w:t>
      </w:r>
    </w:p>
    <w:p w14:paraId="36D86B7A" w14:textId="77777777" w:rsidR="00C26F98" w:rsidRPr="00BD5772" w:rsidRDefault="00C26F98" w:rsidP="00876A6B">
      <w:pPr>
        <w:spacing w:line="480" w:lineRule="auto"/>
        <w:rPr>
          <w:rFonts w:eastAsia="Times New Roman" w:cs="Times New Roman"/>
          <w:b/>
          <w:bCs/>
          <w:color w:val="000000"/>
          <w:sz w:val="24"/>
        </w:rPr>
      </w:pPr>
    </w:p>
    <w:p w14:paraId="279FF15A" w14:textId="77777777" w:rsidR="0072529B" w:rsidRDefault="0072529B" w:rsidP="00876A6B">
      <w:pPr>
        <w:spacing w:line="480" w:lineRule="auto"/>
        <w:rPr>
          <w:rFonts w:cs="Times New Roman"/>
          <w:sz w:val="24"/>
        </w:rPr>
      </w:pPr>
      <w:r w:rsidRPr="00BD5772">
        <w:rPr>
          <w:rFonts w:cs="Times New Roman"/>
          <w:sz w:val="24"/>
        </w:rPr>
        <w:t>Ross</w:t>
      </w:r>
      <w:r w:rsidR="00C01387">
        <w:rPr>
          <w:rFonts w:cs="Times New Roman"/>
          <w:sz w:val="24"/>
        </w:rPr>
        <w:t>,</w:t>
      </w:r>
      <w:r w:rsidRPr="00BD5772">
        <w:rPr>
          <w:rFonts w:cs="Times New Roman"/>
          <w:sz w:val="24"/>
        </w:rPr>
        <w:t xml:space="preserve"> D</w:t>
      </w:r>
      <w:r w:rsidR="00725863">
        <w:rPr>
          <w:rFonts w:cs="Times New Roman"/>
          <w:sz w:val="24"/>
        </w:rPr>
        <w:t>uncan.</w:t>
      </w:r>
      <w:r w:rsidRPr="00BD5772">
        <w:rPr>
          <w:rFonts w:cs="Times New Roman"/>
          <w:sz w:val="24"/>
        </w:rPr>
        <w:t xml:space="preserve"> </w:t>
      </w:r>
      <w:proofErr w:type="gramStart"/>
      <w:r w:rsidR="00710E9F">
        <w:rPr>
          <w:rFonts w:cs="Times New Roman"/>
          <w:sz w:val="24"/>
        </w:rPr>
        <w:t>"</w:t>
      </w:r>
      <w:r w:rsidRPr="00BD5772">
        <w:rPr>
          <w:rFonts w:cs="Times New Roman"/>
          <w:sz w:val="24"/>
        </w:rPr>
        <w:t>Penny Banks in Glasgow, 1850-1914</w:t>
      </w:r>
      <w:r w:rsidR="00710E9F">
        <w:rPr>
          <w:rFonts w:cs="Times New Roman"/>
          <w:sz w:val="24"/>
        </w:rPr>
        <w:t>"</w:t>
      </w:r>
      <w:r w:rsidRPr="00BD5772">
        <w:rPr>
          <w:rFonts w:cs="Times New Roman"/>
          <w:i/>
          <w:sz w:val="24"/>
        </w:rPr>
        <w:t>.</w:t>
      </w:r>
      <w:proofErr w:type="gramEnd"/>
      <w:r w:rsidRPr="00BD5772">
        <w:rPr>
          <w:rFonts w:cs="Times New Roman"/>
          <w:i/>
          <w:sz w:val="24"/>
        </w:rPr>
        <w:t xml:space="preserve"> </w:t>
      </w:r>
      <w:proofErr w:type="gramStart"/>
      <w:r w:rsidRPr="00BD5772">
        <w:rPr>
          <w:rFonts w:cs="Times New Roman"/>
          <w:i/>
          <w:sz w:val="24"/>
        </w:rPr>
        <w:t>Financial History Review</w:t>
      </w:r>
      <w:r w:rsidR="00BF71E4" w:rsidRPr="00BD5772">
        <w:rPr>
          <w:rFonts w:cs="Times New Roman"/>
          <w:sz w:val="24"/>
        </w:rPr>
        <w:t>.</w:t>
      </w:r>
      <w:proofErr w:type="gramEnd"/>
      <w:r w:rsidR="00BF71E4" w:rsidRPr="00BD5772">
        <w:rPr>
          <w:rFonts w:cs="Times New Roman"/>
          <w:sz w:val="24"/>
        </w:rPr>
        <w:t xml:space="preserve"> </w:t>
      </w:r>
      <w:proofErr w:type="gramStart"/>
      <w:r w:rsidR="00BF71E4" w:rsidRPr="00BD5772">
        <w:rPr>
          <w:rFonts w:cs="Times New Roman"/>
          <w:sz w:val="24"/>
        </w:rPr>
        <w:t>9</w:t>
      </w:r>
      <w:r w:rsidR="000D3BB3">
        <w:rPr>
          <w:rFonts w:cs="Times New Roman"/>
          <w:sz w:val="24"/>
        </w:rPr>
        <w:t xml:space="preserve"> </w:t>
      </w:r>
      <w:r w:rsidR="00BF71E4" w:rsidRPr="00BD5772">
        <w:rPr>
          <w:rFonts w:cs="Times New Roman"/>
          <w:sz w:val="24"/>
        </w:rPr>
        <w:t>(1)</w:t>
      </w:r>
      <w:r w:rsidRPr="00BD5772">
        <w:rPr>
          <w:rFonts w:cs="Times New Roman"/>
          <w:sz w:val="24"/>
        </w:rPr>
        <w:t xml:space="preserve"> </w:t>
      </w:r>
      <w:r w:rsidR="00BF71E4" w:rsidRPr="00BD5772">
        <w:rPr>
          <w:rFonts w:cs="Times New Roman"/>
          <w:sz w:val="24"/>
        </w:rPr>
        <w:t>(2002)</w:t>
      </w:r>
      <w:r w:rsidR="000D3BB3">
        <w:rPr>
          <w:rFonts w:cs="Times New Roman"/>
          <w:sz w:val="24"/>
        </w:rPr>
        <w:t>:</w:t>
      </w:r>
      <w:r w:rsidR="00BF71E4" w:rsidRPr="00BD5772">
        <w:rPr>
          <w:rFonts w:cs="Times New Roman"/>
          <w:sz w:val="24"/>
        </w:rPr>
        <w:t xml:space="preserve"> </w:t>
      </w:r>
      <w:r w:rsidRPr="00BD5772">
        <w:rPr>
          <w:rFonts w:cs="Times New Roman"/>
          <w:sz w:val="24"/>
        </w:rPr>
        <w:t>21–39.</w:t>
      </w:r>
      <w:proofErr w:type="gramEnd"/>
    </w:p>
    <w:p w14:paraId="3DFACEDB" w14:textId="77777777" w:rsidR="00AE596B" w:rsidRDefault="00AE596B" w:rsidP="00876A6B">
      <w:pPr>
        <w:spacing w:line="480" w:lineRule="auto"/>
        <w:rPr>
          <w:rFonts w:cs="Times New Roman"/>
          <w:sz w:val="24"/>
        </w:rPr>
      </w:pPr>
    </w:p>
    <w:p w14:paraId="59DE7422" w14:textId="77777777" w:rsidR="00AE596B" w:rsidRPr="00AE596B" w:rsidRDefault="00AE596B" w:rsidP="00AE596B">
      <w:pPr>
        <w:spacing w:line="480" w:lineRule="auto"/>
        <w:rPr>
          <w:rFonts w:eastAsia="Times New Roman" w:cs="Times New Roman"/>
          <w:sz w:val="24"/>
        </w:rPr>
      </w:pPr>
      <w:r w:rsidRPr="00AE596B">
        <w:rPr>
          <w:rFonts w:eastAsia="Times New Roman" w:cs="Times New Roman"/>
          <w:color w:val="222222"/>
          <w:sz w:val="24"/>
          <w:shd w:val="clear" w:color="auto" w:fill="FFFFFF"/>
        </w:rPr>
        <w:t>Ross, Duncan. "Savings bank depositors in a crisis: Glasgow 1847 and 1857."</w:t>
      </w:r>
      <w:r>
        <w:rPr>
          <w:rFonts w:eastAsia="Times New Roman" w:cs="Times New Roman"/>
          <w:color w:val="222222"/>
          <w:sz w:val="24"/>
          <w:shd w:val="clear" w:color="auto" w:fill="FFFFFF"/>
        </w:rPr>
        <w:t xml:space="preserve"> </w:t>
      </w:r>
      <w:r w:rsidRPr="00AE596B">
        <w:rPr>
          <w:rFonts w:eastAsia="Times New Roman" w:cs="Times New Roman"/>
          <w:i/>
          <w:iCs/>
          <w:color w:val="222222"/>
          <w:sz w:val="24"/>
          <w:shd w:val="clear" w:color="auto" w:fill="FFFFFF"/>
        </w:rPr>
        <w:t>Financial History Review</w:t>
      </w:r>
      <w:r>
        <w:rPr>
          <w:rFonts w:eastAsia="Times New Roman" w:cs="Times New Roman"/>
          <w:i/>
          <w:iCs/>
          <w:color w:val="222222"/>
          <w:sz w:val="24"/>
          <w:shd w:val="clear" w:color="auto" w:fill="FFFFFF"/>
        </w:rPr>
        <w:t>,</w:t>
      </w:r>
      <w:r w:rsidRPr="00AE596B">
        <w:rPr>
          <w:rFonts w:eastAsia="Times New Roman" w:cs="Times New Roman"/>
          <w:color w:val="222222"/>
          <w:sz w:val="24"/>
          <w:shd w:val="clear" w:color="auto" w:fill="FFFFFF"/>
        </w:rPr>
        <w:t> 20</w:t>
      </w:r>
      <w:r>
        <w:rPr>
          <w:rFonts w:eastAsia="Times New Roman" w:cs="Times New Roman"/>
          <w:color w:val="222222"/>
          <w:sz w:val="24"/>
          <w:shd w:val="clear" w:color="auto" w:fill="FFFFFF"/>
        </w:rPr>
        <w:t xml:space="preserve"> (</w:t>
      </w:r>
      <w:r w:rsidRPr="00AE596B">
        <w:rPr>
          <w:rFonts w:eastAsia="Times New Roman" w:cs="Times New Roman"/>
          <w:color w:val="222222"/>
          <w:sz w:val="24"/>
          <w:shd w:val="clear" w:color="auto" w:fill="FFFFFF"/>
        </w:rPr>
        <w:t>2</w:t>
      </w:r>
      <w:r>
        <w:rPr>
          <w:rFonts w:eastAsia="Times New Roman" w:cs="Times New Roman"/>
          <w:color w:val="222222"/>
          <w:sz w:val="24"/>
          <w:shd w:val="clear" w:color="auto" w:fill="FFFFFF"/>
        </w:rPr>
        <w:t>)</w:t>
      </w:r>
      <w:r w:rsidRPr="00AE596B">
        <w:rPr>
          <w:rFonts w:eastAsia="Times New Roman" w:cs="Times New Roman"/>
          <w:color w:val="222222"/>
          <w:sz w:val="24"/>
          <w:shd w:val="clear" w:color="auto" w:fill="FFFFFF"/>
        </w:rPr>
        <w:t xml:space="preserve"> (2013): 183-208.</w:t>
      </w:r>
    </w:p>
    <w:p w14:paraId="461A2E9E" w14:textId="77777777" w:rsidR="00C26F98" w:rsidRPr="00BD5772" w:rsidRDefault="00C26F98" w:rsidP="00876A6B">
      <w:pPr>
        <w:spacing w:line="480" w:lineRule="auto"/>
        <w:rPr>
          <w:rFonts w:cs="Times New Roman"/>
          <w:sz w:val="24"/>
        </w:rPr>
      </w:pPr>
    </w:p>
    <w:p w14:paraId="757B3D4F" w14:textId="77777777" w:rsidR="0072529B" w:rsidRDefault="0072529B" w:rsidP="00876A6B">
      <w:pPr>
        <w:spacing w:line="480" w:lineRule="auto"/>
        <w:rPr>
          <w:rFonts w:cs="Times New Roman"/>
          <w:sz w:val="24"/>
        </w:rPr>
      </w:pPr>
      <w:r w:rsidRPr="00BD5772">
        <w:rPr>
          <w:rFonts w:cs="Times New Roman"/>
          <w:sz w:val="24"/>
        </w:rPr>
        <w:t>Ross, E</w:t>
      </w:r>
      <w:r w:rsidR="00725863">
        <w:rPr>
          <w:rFonts w:cs="Times New Roman"/>
          <w:sz w:val="24"/>
        </w:rPr>
        <w:t>llen.</w:t>
      </w:r>
      <w:r w:rsidRPr="00BD5772">
        <w:rPr>
          <w:rFonts w:cs="Times New Roman"/>
          <w:sz w:val="24"/>
        </w:rPr>
        <w:t xml:space="preserve"> </w:t>
      </w:r>
      <w:r w:rsidR="00C01387">
        <w:rPr>
          <w:rFonts w:cs="Times New Roman"/>
          <w:sz w:val="24"/>
        </w:rPr>
        <w:t>"</w:t>
      </w:r>
      <w:r w:rsidRPr="00BD5772">
        <w:rPr>
          <w:rFonts w:cs="Times New Roman"/>
          <w:sz w:val="24"/>
        </w:rPr>
        <w:t xml:space="preserve">Survival networks: </w:t>
      </w:r>
      <w:r w:rsidR="00751B3E">
        <w:rPr>
          <w:rFonts w:cs="Times New Roman"/>
          <w:sz w:val="24"/>
        </w:rPr>
        <w:t>women's</w:t>
      </w:r>
      <w:r w:rsidRPr="00BD5772">
        <w:rPr>
          <w:rFonts w:cs="Times New Roman"/>
          <w:sz w:val="24"/>
        </w:rPr>
        <w:t xml:space="preserve"> neighbourhood sharing in London before World War 1</w:t>
      </w:r>
      <w:r w:rsidR="00C01387">
        <w:rPr>
          <w:rFonts w:cs="Times New Roman"/>
          <w:sz w:val="24"/>
        </w:rPr>
        <w:t>"</w:t>
      </w:r>
      <w:r w:rsidRPr="00BD5772">
        <w:rPr>
          <w:rFonts w:cs="Times New Roman"/>
          <w:sz w:val="24"/>
        </w:rPr>
        <w:t xml:space="preserve">. </w:t>
      </w:r>
      <w:r w:rsidRPr="00BD5772">
        <w:rPr>
          <w:rFonts w:cs="Times New Roman"/>
          <w:i/>
          <w:sz w:val="24"/>
        </w:rPr>
        <w:t>History Workshop Journal</w:t>
      </w:r>
      <w:r w:rsidR="000D3BB3">
        <w:rPr>
          <w:rFonts w:cs="Times New Roman"/>
          <w:i/>
          <w:sz w:val="24"/>
        </w:rPr>
        <w:t>,</w:t>
      </w:r>
      <w:r w:rsidR="000D3BB3">
        <w:rPr>
          <w:rFonts w:cs="Times New Roman"/>
          <w:sz w:val="24"/>
        </w:rPr>
        <w:t xml:space="preserve"> 15</w:t>
      </w:r>
      <w:r w:rsidR="00A769AD" w:rsidRPr="00BD5772">
        <w:rPr>
          <w:rFonts w:cs="Times New Roman"/>
          <w:sz w:val="24"/>
        </w:rPr>
        <w:t xml:space="preserve"> (4)</w:t>
      </w:r>
      <w:r w:rsidR="00BF71E4" w:rsidRPr="00BD5772">
        <w:rPr>
          <w:rFonts w:cs="Times New Roman"/>
          <w:sz w:val="24"/>
        </w:rPr>
        <w:t xml:space="preserve"> (1983)</w:t>
      </w:r>
      <w:r w:rsidR="000D3BB3">
        <w:rPr>
          <w:rFonts w:cs="Times New Roman"/>
          <w:sz w:val="24"/>
        </w:rPr>
        <w:t>:</w:t>
      </w:r>
      <w:r w:rsidR="00A769AD" w:rsidRPr="00BD5772">
        <w:rPr>
          <w:rFonts w:cs="Times New Roman"/>
          <w:sz w:val="24"/>
        </w:rPr>
        <w:t xml:space="preserve"> 4-28</w:t>
      </w:r>
    </w:p>
    <w:p w14:paraId="13EBFEB5" w14:textId="77777777" w:rsidR="00C26F98" w:rsidRPr="00BD5772" w:rsidRDefault="00C26F98" w:rsidP="00876A6B">
      <w:pPr>
        <w:spacing w:line="480" w:lineRule="auto"/>
        <w:rPr>
          <w:rFonts w:cs="Times New Roman"/>
          <w:sz w:val="24"/>
        </w:rPr>
      </w:pPr>
    </w:p>
    <w:p w14:paraId="5F9714BB" w14:textId="77777777" w:rsidR="0072529B" w:rsidRPr="00BD5772" w:rsidRDefault="0072529B" w:rsidP="00876A6B">
      <w:pPr>
        <w:spacing w:line="480" w:lineRule="auto"/>
        <w:rPr>
          <w:rFonts w:cs="Times New Roman"/>
          <w:b/>
          <w:bCs/>
          <w:color w:val="40301F"/>
          <w:sz w:val="24"/>
        </w:rPr>
      </w:pPr>
      <w:r w:rsidRPr="00BD5772">
        <w:rPr>
          <w:rFonts w:cs="Times New Roman"/>
          <w:sz w:val="24"/>
        </w:rPr>
        <w:t>Rowntree, B.</w:t>
      </w:r>
      <w:r w:rsidR="00725863">
        <w:rPr>
          <w:rFonts w:cs="Times New Roman"/>
          <w:sz w:val="24"/>
        </w:rPr>
        <w:t xml:space="preserve"> </w:t>
      </w:r>
      <w:r w:rsidRPr="00BD5772">
        <w:rPr>
          <w:rFonts w:cs="Times New Roman"/>
          <w:sz w:val="24"/>
        </w:rPr>
        <w:t>S</w:t>
      </w:r>
      <w:r w:rsidR="00725863">
        <w:rPr>
          <w:rFonts w:cs="Times New Roman"/>
          <w:sz w:val="24"/>
        </w:rPr>
        <w:t>eebohm</w:t>
      </w:r>
      <w:r w:rsidRPr="00BD5772">
        <w:rPr>
          <w:rFonts w:cs="Times New Roman"/>
          <w:sz w:val="24"/>
        </w:rPr>
        <w:t xml:space="preserve">. </w:t>
      </w:r>
      <w:r w:rsidRPr="00BD5772">
        <w:rPr>
          <w:rFonts w:cs="Times New Roman"/>
          <w:i/>
          <w:iCs/>
          <w:sz w:val="24"/>
          <w:lang w:bidi="he-IL"/>
        </w:rPr>
        <w:t xml:space="preserve">Poverty: A Study of Town Life, </w:t>
      </w:r>
      <w:r w:rsidRPr="00BD5772">
        <w:rPr>
          <w:rFonts w:cs="Times New Roman"/>
          <w:sz w:val="24"/>
        </w:rPr>
        <w:t>London: Macmillan, 1901.</w:t>
      </w:r>
      <w:r w:rsidRPr="00BD5772">
        <w:rPr>
          <w:rFonts w:cs="Times New Roman"/>
          <w:b/>
          <w:bCs/>
          <w:color w:val="40301F"/>
          <w:sz w:val="24"/>
        </w:rPr>
        <w:t xml:space="preserve"> </w:t>
      </w:r>
    </w:p>
    <w:p w14:paraId="420345DD" w14:textId="77777777" w:rsidR="00A350AB" w:rsidRDefault="00A350AB" w:rsidP="00876A6B">
      <w:pPr>
        <w:spacing w:line="480" w:lineRule="auto"/>
        <w:rPr>
          <w:rFonts w:cs="Times New Roman"/>
          <w:highlight w:val="yellow"/>
        </w:rPr>
      </w:pPr>
    </w:p>
    <w:p w14:paraId="129C19C3" w14:textId="77777777" w:rsidR="001E375D" w:rsidRPr="007C33EE" w:rsidRDefault="001E375D" w:rsidP="00876A6B">
      <w:pPr>
        <w:spacing w:line="480" w:lineRule="auto"/>
        <w:rPr>
          <w:rFonts w:cs="Times New Roman"/>
          <w:sz w:val="24"/>
        </w:rPr>
      </w:pPr>
      <w:r w:rsidRPr="007C33EE">
        <w:rPr>
          <w:rFonts w:cs="Times New Roman"/>
          <w:sz w:val="24"/>
        </w:rPr>
        <w:t xml:space="preserve">Rutterford, </w:t>
      </w:r>
      <w:r w:rsidR="007C33EE" w:rsidRPr="007C33EE">
        <w:rPr>
          <w:rFonts w:cs="Times New Roman"/>
          <w:sz w:val="24"/>
        </w:rPr>
        <w:t xml:space="preserve">Janette </w:t>
      </w:r>
      <w:r w:rsidRPr="007C33EE">
        <w:rPr>
          <w:rFonts w:cs="Times New Roman"/>
          <w:sz w:val="24"/>
        </w:rPr>
        <w:t xml:space="preserve">and Josephine Maltby, “'The Widow, The Clergyman And The Reckless': Women Investors In England, 1830—1914", </w:t>
      </w:r>
      <w:r w:rsidRPr="007C33EE">
        <w:rPr>
          <w:rFonts w:cs="Times New Roman"/>
          <w:i/>
          <w:sz w:val="24"/>
        </w:rPr>
        <w:t>Feminist Economics,</w:t>
      </w:r>
      <w:r w:rsidRPr="007C33EE">
        <w:rPr>
          <w:rFonts w:cs="Times New Roman"/>
          <w:sz w:val="24"/>
        </w:rPr>
        <w:t xml:space="preserve"> 12</w:t>
      </w:r>
      <w:r w:rsidR="000D3BB3">
        <w:rPr>
          <w:rFonts w:cs="Times New Roman"/>
          <w:sz w:val="24"/>
        </w:rPr>
        <w:t xml:space="preserve"> (1-2)</w:t>
      </w:r>
      <w:r w:rsidRPr="007C33EE">
        <w:rPr>
          <w:rFonts w:cs="Times New Roman"/>
          <w:sz w:val="24"/>
        </w:rPr>
        <w:t xml:space="preserve"> (2006)</w:t>
      </w:r>
      <w:r w:rsidR="000D3BB3">
        <w:rPr>
          <w:rFonts w:cs="Times New Roman"/>
          <w:sz w:val="24"/>
        </w:rPr>
        <w:t>:</w:t>
      </w:r>
      <w:r w:rsidRPr="007C33EE">
        <w:rPr>
          <w:rFonts w:cs="Times New Roman"/>
          <w:sz w:val="24"/>
        </w:rPr>
        <w:t xml:space="preserve"> 111-138.</w:t>
      </w:r>
    </w:p>
    <w:p w14:paraId="09950597" w14:textId="77777777" w:rsidR="00C26F98" w:rsidRPr="007C33EE" w:rsidRDefault="00C26F98" w:rsidP="00876A6B">
      <w:pPr>
        <w:spacing w:line="480" w:lineRule="auto"/>
        <w:rPr>
          <w:rFonts w:cs="Times New Roman"/>
          <w:sz w:val="24"/>
        </w:rPr>
      </w:pPr>
    </w:p>
    <w:p w14:paraId="35042ABA" w14:textId="77777777" w:rsidR="008B1707" w:rsidRPr="008B1707" w:rsidRDefault="008B1707" w:rsidP="008B1707">
      <w:pPr>
        <w:spacing w:line="480" w:lineRule="auto"/>
        <w:rPr>
          <w:rFonts w:eastAsia="Times New Roman" w:cs="Times New Roman"/>
          <w:sz w:val="24"/>
        </w:rPr>
      </w:pPr>
      <w:r>
        <w:rPr>
          <w:rFonts w:eastAsia="Times New Roman" w:cs="Times New Roman"/>
          <w:color w:val="222222"/>
          <w:sz w:val="24"/>
          <w:shd w:val="clear" w:color="auto" w:fill="FFFFFF"/>
        </w:rPr>
        <w:lastRenderedPageBreak/>
        <w:t>Scott, Joan W.</w:t>
      </w:r>
      <w:r w:rsidRPr="008B1707">
        <w:rPr>
          <w:rFonts w:eastAsia="Times New Roman" w:cs="Times New Roman"/>
          <w:color w:val="222222"/>
          <w:sz w:val="24"/>
          <w:shd w:val="clear" w:color="auto" w:fill="FFFFFF"/>
        </w:rPr>
        <w:t xml:space="preserve"> and Louise A. Tilly. "Women's work and the family in nineteenth-century Europe." </w:t>
      </w:r>
      <w:r w:rsidRPr="008B1707">
        <w:rPr>
          <w:rFonts w:eastAsia="Times New Roman" w:cs="Times New Roman"/>
          <w:i/>
          <w:iCs/>
          <w:color w:val="222222"/>
          <w:sz w:val="24"/>
          <w:shd w:val="clear" w:color="auto" w:fill="FFFFFF"/>
        </w:rPr>
        <w:t>Comparative Studies in Society and History</w:t>
      </w:r>
      <w:r>
        <w:rPr>
          <w:rFonts w:eastAsia="Times New Roman" w:cs="Times New Roman"/>
          <w:color w:val="222222"/>
          <w:sz w:val="24"/>
          <w:shd w:val="clear" w:color="auto" w:fill="FFFFFF"/>
        </w:rPr>
        <w:t xml:space="preserve">, </w:t>
      </w:r>
      <w:r w:rsidRPr="008B1707">
        <w:rPr>
          <w:rFonts w:eastAsia="Times New Roman" w:cs="Times New Roman"/>
          <w:color w:val="222222"/>
          <w:sz w:val="24"/>
          <w:shd w:val="clear" w:color="auto" w:fill="FFFFFF"/>
        </w:rPr>
        <w:t>17</w:t>
      </w:r>
      <w:r>
        <w:rPr>
          <w:rFonts w:eastAsia="Times New Roman" w:cs="Times New Roman"/>
          <w:color w:val="222222"/>
          <w:sz w:val="24"/>
          <w:shd w:val="clear" w:color="auto" w:fill="FFFFFF"/>
        </w:rPr>
        <w:t xml:space="preserve"> (</w:t>
      </w:r>
      <w:r w:rsidRPr="008B1707">
        <w:rPr>
          <w:rFonts w:eastAsia="Times New Roman" w:cs="Times New Roman"/>
          <w:color w:val="222222"/>
          <w:sz w:val="24"/>
          <w:shd w:val="clear" w:color="auto" w:fill="FFFFFF"/>
        </w:rPr>
        <w:t>01</w:t>
      </w:r>
      <w:r>
        <w:rPr>
          <w:rFonts w:eastAsia="Times New Roman" w:cs="Times New Roman"/>
          <w:color w:val="222222"/>
          <w:sz w:val="24"/>
          <w:shd w:val="clear" w:color="auto" w:fill="FFFFFF"/>
        </w:rPr>
        <w:t>)</w:t>
      </w:r>
      <w:r w:rsidRPr="008B1707">
        <w:rPr>
          <w:rFonts w:eastAsia="Times New Roman" w:cs="Times New Roman"/>
          <w:color w:val="222222"/>
          <w:sz w:val="24"/>
          <w:shd w:val="clear" w:color="auto" w:fill="FFFFFF"/>
        </w:rPr>
        <w:t xml:space="preserve"> (1975): 36-64.</w:t>
      </w:r>
    </w:p>
    <w:p w14:paraId="7BE7F63C" w14:textId="77777777" w:rsidR="00A350AB" w:rsidRPr="007C33EE" w:rsidRDefault="00A350AB" w:rsidP="00876A6B">
      <w:pPr>
        <w:spacing w:line="480" w:lineRule="auto"/>
        <w:rPr>
          <w:rFonts w:cs="Times New Roman"/>
          <w:sz w:val="24"/>
          <w:highlight w:val="yellow"/>
          <w:lang w:val="en-US"/>
        </w:rPr>
      </w:pPr>
    </w:p>
    <w:p w14:paraId="0CDE65BE" w14:textId="77777777" w:rsidR="00D720FE" w:rsidRPr="007C33EE" w:rsidRDefault="00A350AB" w:rsidP="00876A6B">
      <w:pPr>
        <w:spacing w:line="480" w:lineRule="auto"/>
        <w:rPr>
          <w:rFonts w:cs="Times New Roman"/>
          <w:sz w:val="24"/>
        </w:rPr>
      </w:pPr>
      <w:r w:rsidRPr="007C33EE">
        <w:rPr>
          <w:rFonts w:cs="Times New Roman"/>
          <w:sz w:val="24"/>
          <w:lang w:val="en-US"/>
        </w:rPr>
        <w:t>Shapely</w:t>
      </w:r>
      <w:r w:rsidR="007C33EE" w:rsidRPr="007C33EE">
        <w:rPr>
          <w:rFonts w:cs="Times New Roman"/>
          <w:sz w:val="24"/>
          <w:lang w:val="en-US"/>
        </w:rPr>
        <w:t>, Peter</w:t>
      </w:r>
      <w:r w:rsidRPr="007C33EE">
        <w:rPr>
          <w:rFonts w:cs="Times New Roman"/>
          <w:sz w:val="24"/>
          <w:lang w:val="en-US"/>
        </w:rPr>
        <w:t xml:space="preserve">. Urban charity, class relations and social cohesion: charitable responses to the Cotton Famine. </w:t>
      </w:r>
      <w:proofErr w:type="gramStart"/>
      <w:r w:rsidRPr="007C33EE">
        <w:rPr>
          <w:rFonts w:cs="Times New Roman"/>
          <w:i/>
          <w:iCs/>
          <w:sz w:val="24"/>
          <w:lang w:val="en-US"/>
        </w:rPr>
        <w:t>Urban history</w:t>
      </w:r>
      <w:r w:rsidRPr="008B1707">
        <w:rPr>
          <w:rFonts w:cs="Times New Roman"/>
          <w:iCs/>
          <w:sz w:val="24"/>
          <w:lang w:val="en-US"/>
        </w:rPr>
        <w:t>, 28</w:t>
      </w:r>
      <w:r w:rsidR="008B1707" w:rsidRPr="008B1707">
        <w:rPr>
          <w:rFonts w:cs="Times New Roman"/>
          <w:iCs/>
          <w:sz w:val="24"/>
          <w:lang w:val="en-US"/>
        </w:rPr>
        <w:t xml:space="preserve"> </w:t>
      </w:r>
      <w:r w:rsidRPr="008B1707">
        <w:rPr>
          <w:rFonts w:cs="Times New Roman"/>
          <w:sz w:val="24"/>
          <w:lang w:val="en-US"/>
        </w:rPr>
        <w:t>(01),</w:t>
      </w:r>
      <w:r w:rsidRPr="007C33EE">
        <w:rPr>
          <w:rFonts w:cs="Times New Roman"/>
          <w:sz w:val="24"/>
          <w:lang w:val="en-US"/>
        </w:rPr>
        <w:t xml:space="preserve"> </w:t>
      </w:r>
      <w:r w:rsidR="008B1707">
        <w:rPr>
          <w:rFonts w:cs="Times New Roman"/>
          <w:sz w:val="24"/>
          <w:lang w:val="en-US"/>
        </w:rPr>
        <w:t xml:space="preserve">(2001): </w:t>
      </w:r>
      <w:r w:rsidRPr="007C33EE">
        <w:rPr>
          <w:rFonts w:cs="Times New Roman"/>
          <w:sz w:val="24"/>
          <w:lang w:val="en-US"/>
        </w:rPr>
        <w:t>46-64</w:t>
      </w:r>
      <w:r w:rsidR="008B1707">
        <w:rPr>
          <w:rFonts w:cs="Times New Roman"/>
          <w:sz w:val="24"/>
          <w:lang w:val="en-US"/>
        </w:rPr>
        <w:t>.</w:t>
      </w:r>
      <w:proofErr w:type="gramEnd"/>
    </w:p>
    <w:p w14:paraId="4AF1ECEF" w14:textId="77777777" w:rsidR="00A350AB" w:rsidRDefault="00A350AB" w:rsidP="00876A6B">
      <w:pPr>
        <w:spacing w:line="480" w:lineRule="auto"/>
        <w:rPr>
          <w:rFonts w:eastAsia="Times New Roman" w:cs="Times New Roman"/>
          <w:sz w:val="24"/>
          <w:shd w:val="clear" w:color="auto" w:fill="FFFFFF"/>
        </w:rPr>
      </w:pPr>
    </w:p>
    <w:p w14:paraId="3E1B6E88" w14:textId="77777777" w:rsidR="00593885" w:rsidRDefault="00593885" w:rsidP="00876A6B">
      <w:pPr>
        <w:spacing w:line="480" w:lineRule="auto"/>
        <w:rPr>
          <w:rFonts w:eastAsia="Times New Roman" w:cs="Times New Roman"/>
          <w:sz w:val="24"/>
          <w:shd w:val="clear" w:color="auto" w:fill="FFFFFF"/>
        </w:rPr>
      </w:pPr>
      <w:r w:rsidRPr="00876A6B">
        <w:rPr>
          <w:rFonts w:eastAsia="Times New Roman" w:cs="Times New Roman"/>
          <w:sz w:val="24"/>
          <w:shd w:val="clear" w:color="auto" w:fill="FFFFFF"/>
        </w:rPr>
        <w:t>Shaw-Taylor</w:t>
      </w:r>
      <w:r w:rsidR="00FF559C" w:rsidRPr="00876A6B">
        <w:rPr>
          <w:rFonts w:eastAsia="Times New Roman" w:cs="Times New Roman"/>
          <w:sz w:val="24"/>
          <w:shd w:val="clear" w:color="auto" w:fill="FFFFFF"/>
        </w:rPr>
        <w:t xml:space="preserve">, </w:t>
      </w:r>
      <w:r w:rsidRPr="00876A6B">
        <w:rPr>
          <w:rFonts w:eastAsia="Times New Roman" w:cs="Times New Roman"/>
          <w:sz w:val="24"/>
          <w:shd w:val="clear" w:color="auto" w:fill="FFFFFF"/>
        </w:rPr>
        <w:t>L</w:t>
      </w:r>
      <w:r w:rsidR="00783FFA" w:rsidRPr="00876A6B">
        <w:rPr>
          <w:rFonts w:eastAsia="Times New Roman" w:cs="Times New Roman"/>
          <w:sz w:val="24"/>
          <w:shd w:val="clear" w:color="auto" w:fill="FFFFFF"/>
        </w:rPr>
        <w:t>eigh</w:t>
      </w:r>
      <w:r w:rsidR="00FF559C" w:rsidRPr="00876A6B">
        <w:rPr>
          <w:rFonts w:eastAsia="Times New Roman" w:cs="Times New Roman"/>
          <w:sz w:val="24"/>
          <w:shd w:val="clear" w:color="auto" w:fill="FFFFFF"/>
        </w:rPr>
        <w:t xml:space="preserve"> </w:t>
      </w:r>
      <w:r w:rsidRPr="00876A6B">
        <w:rPr>
          <w:rFonts w:eastAsia="Times New Roman" w:cs="Times New Roman"/>
          <w:sz w:val="24"/>
          <w:shd w:val="clear" w:color="auto" w:fill="FFFFFF"/>
        </w:rPr>
        <w:t xml:space="preserve">and </w:t>
      </w:r>
      <w:r w:rsidR="0094611C">
        <w:rPr>
          <w:rFonts w:eastAsia="Times New Roman" w:cs="Times New Roman"/>
          <w:sz w:val="24"/>
          <w:shd w:val="clear" w:color="auto" w:fill="FFFFFF"/>
        </w:rPr>
        <w:t xml:space="preserve">Nigel </w:t>
      </w:r>
      <w:r w:rsidRPr="00876A6B">
        <w:rPr>
          <w:rFonts w:eastAsia="Times New Roman" w:cs="Times New Roman"/>
          <w:sz w:val="24"/>
          <w:shd w:val="clear" w:color="auto" w:fill="FFFFFF"/>
        </w:rPr>
        <w:t xml:space="preserve">Goose. </w:t>
      </w:r>
      <w:r w:rsidR="00C01387" w:rsidRPr="00876A6B">
        <w:rPr>
          <w:rFonts w:eastAsia="Times New Roman" w:cs="Times New Roman"/>
          <w:sz w:val="24"/>
          <w:shd w:val="clear" w:color="auto" w:fill="FFFFFF"/>
        </w:rPr>
        <w:t>"</w:t>
      </w:r>
      <w:r w:rsidRPr="00876A6B">
        <w:rPr>
          <w:rFonts w:eastAsia="Times New Roman" w:cs="Times New Roman"/>
          <w:sz w:val="24"/>
          <w:shd w:val="clear" w:color="auto" w:fill="FFFFFF"/>
        </w:rPr>
        <w:t xml:space="preserve">Diverse </w:t>
      </w:r>
      <w:proofErr w:type="gramStart"/>
      <w:r w:rsidRPr="00876A6B">
        <w:rPr>
          <w:rFonts w:eastAsia="Times New Roman" w:cs="Times New Roman"/>
          <w:sz w:val="24"/>
          <w:shd w:val="clear" w:color="auto" w:fill="FFFFFF"/>
        </w:rPr>
        <w:t>experiences :</w:t>
      </w:r>
      <w:proofErr w:type="gramEnd"/>
      <w:r w:rsidRPr="00876A6B">
        <w:rPr>
          <w:rFonts w:eastAsia="Times New Roman" w:cs="Times New Roman"/>
          <w:sz w:val="24"/>
          <w:shd w:val="clear" w:color="auto" w:fill="FFFFFF"/>
        </w:rPr>
        <w:t xml:space="preserve"> the geography of adult female employment in England and the 1851 census</w:t>
      </w:r>
      <w:r w:rsidR="00C01387" w:rsidRPr="00876A6B">
        <w:rPr>
          <w:rFonts w:eastAsia="Times New Roman" w:cs="Times New Roman"/>
          <w:sz w:val="24"/>
          <w:shd w:val="clear" w:color="auto" w:fill="FFFFFF"/>
        </w:rPr>
        <w:t>"</w:t>
      </w:r>
      <w:r w:rsidRPr="00876A6B">
        <w:rPr>
          <w:rFonts w:eastAsia="Times New Roman" w:cs="Times New Roman"/>
          <w:sz w:val="24"/>
          <w:shd w:val="clear" w:color="auto" w:fill="FFFFFF"/>
        </w:rPr>
        <w:t xml:space="preserve">. In: </w:t>
      </w:r>
      <w:r w:rsidR="00751B3E" w:rsidRPr="00876A6B">
        <w:rPr>
          <w:rFonts w:eastAsia="Times New Roman" w:cs="Times New Roman"/>
          <w:i/>
          <w:sz w:val="24"/>
          <w:shd w:val="clear" w:color="auto" w:fill="FFFFFF"/>
        </w:rPr>
        <w:t>Women's</w:t>
      </w:r>
      <w:r w:rsidRPr="00876A6B">
        <w:rPr>
          <w:rFonts w:eastAsia="Times New Roman" w:cs="Times New Roman"/>
          <w:i/>
          <w:sz w:val="24"/>
          <w:shd w:val="clear" w:color="auto" w:fill="FFFFFF"/>
        </w:rPr>
        <w:t xml:space="preserve"> work in industrial </w:t>
      </w:r>
      <w:proofErr w:type="gramStart"/>
      <w:r w:rsidRPr="00876A6B">
        <w:rPr>
          <w:rFonts w:eastAsia="Times New Roman" w:cs="Times New Roman"/>
          <w:i/>
          <w:sz w:val="24"/>
          <w:shd w:val="clear" w:color="auto" w:fill="FFFFFF"/>
        </w:rPr>
        <w:t>England :</w:t>
      </w:r>
      <w:proofErr w:type="gramEnd"/>
      <w:r w:rsidRPr="00876A6B">
        <w:rPr>
          <w:rFonts w:eastAsia="Times New Roman" w:cs="Times New Roman"/>
          <w:i/>
          <w:sz w:val="24"/>
          <w:shd w:val="clear" w:color="auto" w:fill="FFFFFF"/>
        </w:rPr>
        <w:t xml:space="preserve"> regional and local perspectives</w:t>
      </w:r>
      <w:r w:rsidRPr="00876A6B">
        <w:rPr>
          <w:rFonts w:eastAsia="Times New Roman" w:cs="Times New Roman"/>
          <w:sz w:val="24"/>
          <w:shd w:val="clear" w:color="auto" w:fill="FFFFFF"/>
        </w:rPr>
        <w:t>. Hatfield: L</w:t>
      </w:r>
      <w:r w:rsidR="00710E9F" w:rsidRPr="00876A6B">
        <w:rPr>
          <w:rFonts w:eastAsia="Times New Roman" w:cs="Times New Roman"/>
          <w:sz w:val="24"/>
          <w:shd w:val="clear" w:color="auto" w:fill="FFFFFF"/>
        </w:rPr>
        <w:t>ocal Population Studies Society,</w:t>
      </w:r>
      <w:r w:rsidRPr="00876A6B">
        <w:rPr>
          <w:rFonts w:eastAsia="Times New Roman" w:cs="Times New Roman"/>
          <w:sz w:val="24"/>
          <w:shd w:val="clear" w:color="auto" w:fill="FFFFFF"/>
        </w:rPr>
        <w:t xml:space="preserve"> </w:t>
      </w:r>
      <w:r w:rsidR="008B1707">
        <w:rPr>
          <w:rFonts w:eastAsia="Times New Roman" w:cs="Times New Roman"/>
          <w:sz w:val="24"/>
          <w:shd w:val="clear" w:color="auto" w:fill="FFFFFF"/>
        </w:rPr>
        <w:t xml:space="preserve">2007. </w:t>
      </w:r>
      <w:r w:rsidRPr="00876A6B">
        <w:rPr>
          <w:rFonts w:eastAsia="Times New Roman" w:cs="Times New Roman"/>
          <w:sz w:val="24"/>
          <w:shd w:val="clear" w:color="auto" w:fill="FFFFFF"/>
        </w:rPr>
        <w:t xml:space="preserve"> </w:t>
      </w:r>
    </w:p>
    <w:p w14:paraId="3D6C2BDA" w14:textId="77777777" w:rsidR="00C26F98" w:rsidRPr="00876A6B" w:rsidRDefault="00C26F98" w:rsidP="00876A6B">
      <w:pPr>
        <w:spacing w:line="480" w:lineRule="auto"/>
        <w:rPr>
          <w:rFonts w:eastAsia="Times New Roman" w:cs="Times New Roman"/>
          <w:sz w:val="24"/>
        </w:rPr>
      </w:pPr>
    </w:p>
    <w:p w14:paraId="79DB18DE" w14:textId="77777777" w:rsidR="0072529B" w:rsidRDefault="0072529B" w:rsidP="00876A6B">
      <w:pPr>
        <w:spacing w:line="480" w:lineRule="auto"/>
        <w:rPr>
          <w:sz w:val="24"/>
        </w:rPr>
      </w:pPr>
      <w:r w:rsidRPr="00876A6B">
        <w:rPr>
          <w:sz w:val="24"/>
          <w:lang w:val="en-US"/>
        </w:rPr>
        <w:t>Stone, L</w:t>
      </w:r>
      <w:r w:rsidR="00783FFA" w:rsidRPr="00876A6B">
        <w:rPr>
          <w:sz w:val="24"/>
          <w:lang w:val="en-US"/>
        </w:rPr>
        <w:t>aurence</w:t>
      </w:r>
      <w:r w:rsidRPr="00876A6B">
        <w:rPr>
          <w:sz w:val="24"/>
          <w:lang w:val="en-US"/>
        </w:rPr>
        <w:t>.</w:t>
      </w:r>
      <w:r w:rsidR="00FE5B78" w:rsidRPr="00876A6B">
        <w:rPr>
          <w:sz w:val="24"/>
          <w:lang w:val="en-US"/>
        </w:rPr>
        <w:t xml:space="preserve"> </w:t>
      </w:r>
      <w:proofErr w:type="gramStart"/>
      <w:r w:rsidRPr="00876A6B">
        <w:rPr>
          <w:i/>
          <w:sz w:val="24"/>
          <w:lang w:val="en-US"/>
        </w:rPr>
        <w:t>The family, sex, and marriage in England 1500–1800.</w:t>
      </w:r>
      <w:proofErr w:type="gramEnd"/>
      <w:r w:rsidRPr="00876A6B">
        <w:rPr>
          <w:sz w:val="24"/>
          <w:lang w:val="en-US"/>
        </w:rPr>
        <w:t xml:space="preserve"> Harmondsworth: </w:t>
      </w:r>
      <w:r w:rsidRPr="00876A6B">
        <w:rPr>
          <w:sz w:val="24"/>
        </w:rPr>
        <w:t>Penguin, 1979.</w:t>
      </w:r>
    </w:p>
    <w:p w14:paraId="61C18BF8" w14:textId="77777777" w:rsidR="002A335E" w:rsidRDefault="002A335E" w:rsidP="00876A6B">
      <w:pPr>
        <w:spacing w:line="480" w:lineRule="auto"/>
        <w:rPr>
          <w:sz w:val="24"/>
        </w:rPr>
      </w:pPr>
    </w:p>
    <w:p w14:paraId="5923A27A" w14:textId="32169357" w:rsidR="002A335E" w:rsidRDefault="002A335E" w:rsidP="00876A6B">
      <w:pPr>
        <w:spacing w:line="480" w:lineRule="auto"/>
        <w:rPr>
          <w:sz w:val="24"/>
        </w:rPr>
      </w:pPr>
      <w:proofErr w:type="gramStart"/>
      <w:r>
        <w:rPr>
          <w:sz w:val="24"/>
        </w:rPr>
        <w:t>Spectator, The.</w:t>
      </w:r>
      <w:proofErr w:type="gramEnd"/>
      <w:r>
        <w:rPr>
          <w:sz w:val="24"/>
        </w:rPr>
        <w:t xml:space="preserve"> “The Law of Savings Banks”, </w:t>
      </w:r>
      <w:r w:rsidRPr="002A335E">
        <w:rPr>
          <w:i/>
          <w:sz w:val="24"/>
        </w:rPr>
        <w:t>The Spectator</w:t>
      </w:r>
      <w:r>
        <w:rPr>
          <w:sz w:val="24"/>
        </w:rPr>
        <w:t xml:space="preserve">, 16 March 1878, </w:t>
      </w:r>
      <w:r w:rsidR="00471D6A">
        <w:rPr>
          <w:sz w:val="24"/>
        </w:rPr>
        <w:t xml:space="preserve">p. 347. [Accessed 14.10.14 </w:t>
      </w:r>
      <w:r w:rsidRPr="002A335E">
        <w:rPr>
          <w:sz w:val="24"/>
        </w:rPr>
        <w:t>http://archive.spectator.co.uk/article/16th-march-1878/19/the-law-of-savings-banks</w:t>
      </w:r>
      <w:r w:rsidR="00471D6A">
        <w:rPr>
          <w:sz w:val="24"/>
        </w:rPr>
        <w:t>].</w:t>
      </w:r>
    </w:p>
    <w:p w14:paraId="6555F235" w14:textId="77777777" w:rsidR="00C26F98" w:rsidRPr="00876A6B" w:rsidRDefault="00C26F98" w:rsidP="00876A6B">
      <w:pPr>
        <w:spacing w:line="480" w:lineRule="auto"/>
        <w:rPr>
          <w:sz w:val="24"/>
        </w:rPr>
      </w:pPr>
    </w:p>
    <w:p w14:paraId="2D39DB4F" w14:textId="77777777" w:rsidR="00876A6B" w:rsidRDefault="00876A6B" w:rsidP="00876A6B">
      <w:pPr>
        <w:spacing w:line="480" w:lineRule="auto"/>
        <w:rPr>
          <w:sz w:val="24"/>
        </w:rPr>
      </w:pPr>
      <w:r w:rsidRPr="00876A6B">
        <w:rPr>
          <w:sz w:val="24"/>
        </w:rPr>
        <w:t xml:space="preserve">Tabili, Laura. </w:t>
      </w:r>
      <w:proofErr w:type="gramStart"/>
      <w:r w:rsidRPr="0094611C">
        <w:rPr>
          <w:i/>
          <w:sz w:val="24"/>
        </w:rPr>
        <w:t>Global Migrants, Local Culture.</w:t>
      </w:r>
      <w:proofErr w:type="gramEnd"/>
      <w:r w:rsidRPr="0094611C">
        <w:rPr>
          <w:i/>
          <w:sz w:val="24"/>
        </w:rPr>
        <w:t xml:space="preserve"> Natives and Newcomers in Provincial England, 1841–1939</w:t>
      </w:r>
      <w:r w:rsidRPr="00876A6B">
        <w:rPr>
          <w:sz w:val="24"/>
        </w:rPr>
        <w:t>, Basingstoke: Palgrave Macmillan, 2011.</w:t>
      </w:r>
    </w:p>
    <w:p w14:paraId="1F9F2970" w14:textId="77777777" w:rsidR="00C26F98" w:rsidRPr="00872B14" w:rsidRDefault="00C26F98" w:rsidP="00872B14">
      <w:pPr>
        <w:spacing w:line="480" w:lineRule="auto"/>
        <w:rPr>
          <w:rFonts w:cs="Times New Roman"/>
          <w:sz w:val="24"/>
        </w:rPr>
      </w:pPr>
    </w:p>
    <w:p w14:paraId="380568F5" w14:textId="77777777" w:rsidR="00065A61" w:rsidRPr="00065A61" w:rsidRDefault="00065A61" w:rsidP="00065A61">
      <w:pPr>
        <w:spacing w:line="480" w:lineRule="auto"/>
        <w:rPr>
          <w:rFonts w:cs="Times New Roman"/>
          <w:sz w:val="24"/>
          <w:highlight w:val="yellow"/>
        </w:rPr>
      </w:pPr>
      <w:r w:rsidRPr="00065A61">
        <w:rPr>
          <w:sz w:val="24"/>
        </w:rPr>
        <w:t xml:space="preserve">United Kingdom. </w:t>
      </w:r>
      <w:proofErr w:type="gramStart"/>
      <w:r w:rsidRPr="00065A61">
        <w:rPr>
          <w:sz w:val="24"/>
        </w:rPr>
        <w:t xml:space="preserve">House of </w:t>
      </w:r>
      <w:r>
        <w:rPr>
          <w:sz w:val="24"/>
        </w:rPr>
        <w:t>Commons.</w:t>
      </w:r>
      <w:proofErr w:type="gramEnd"/>
      <w:r>
        <w:rPr>
          <w:sz w:val="24"/>
        </w:rPr>
        <w:t xml:space="preserve"> “</w:t>
      </w:r>
      <w:r w:rsidRPr="00065A61">
        <w:rPr>
          <w:rFonts w:cs="Times New Roman"/>
          <w:sz w:val="24"/>
        </w:rPr>
        <w:t xml:space="preserve">Savings banks and friendly societies. Post Office savings banks fund. </w:t>
      </w:r>
      <w:proofErr w:type="gramStart"/>
      <w:r w:rsidRPr="00065A61">
        <w:rPr>
          <w:rFonts w:cs="Times New Roman"/>
          <w:sz w:val="24"/>
        </w:rPr>
        <w:t>Savings banks fund.</w:t>
      </w:r>
      <w:proofErr w:type="gramEnd"/>
      <w:r w:rsidRPr="00065A61">
        <w:rPr>
          <w:rFonts w:cs="Times New Roman"/>
          <w:sz w:val="24"/>
        </w:rPr>
        <w:t xml:space="preserve"> </w:t>
      </w:r>
      <w:proofErr w:type="gramStart"/>
      <w:r w:rsidRPr="00065A61">
        <w:rPr>
          <w:rFonts w:cs="Times New Roman"/>
          <w:sz w:val="24"/>
        </w:rPr>
        <w:t>Friendly societies fund.</w:t>
      </w:r>
      <w:proofErr w:type="gramEnd"/>
      <w:r w:rsidRPr="00065A61">
        <w:rPr>
          <w:rFonts w:cs="Times New Roman"/>
          <w:sz w:val="24"/>
        </w:rPr>
        <w:t xml:space="preserve"> Account for the year ended 31 December 1897</w:t>
      </w:r>
      <w:r>
        <w:rPr>
          <w:rFonts w:cs="Times New Roman"/>
          <w:sz w:val="24"/>
        </w:rPr>
        <w:t>”</w:t>
      </w:r>
      <w:r w:rsidRPr="00065A61">
        <w:rPr>
          <w:rFonts w:cs="Times New Roman"/>
          <w:sz w:val="24"/>
        </w:rPr>
        <w:t>, Sessional Papers vol. 244 (1898-9)</w:t>
      </w:r>
    </w:p>
    <w:p w14:paraId="42984C7B" w14:textId="77777777" w:rsidR="00065A61" w:rsidRPr="00065A61" w:rsidRDefault="00065A61" w:rsidP="00065A61">
      <w:pPr>
        <w:spacing w:line="480" w:lineRule="auto"/>
        <w:rPr>
          <w:sz w:val="24"/>
        </w:rPr>
      </w:pPr>
    </w:p>
    <w:p w14:paraId="67BADD7A" w14:textId="77777777" w:rsidR="00065A61" w:rsidRPr="00065A61" w:rsidRDefault="00065A61" w:rsidP="00065A61">
      <w:pPr>
        <w:spacing w:line="480" w:lineRule="auto"/>
        <w:rPr>
          <w:sz w:val="24"/>
        </w:rPr>
      </w:pPr>
      <w:r w:rsidRPr="00065A61">
        <w:rPr>
          <w:sz w:val="24"/>
        </w:rPr>
        <w:lastRenderedPageBreak/>
        <w:t xml:space="preserve">United Kingdom. </w:t>
      </w:r>
      <w:proofErr w:type="gramStart"/>
      <w:r w:rsidRPr="00065A61">
        <w:rPr>
          <w:sz w:val="24"/>
        </w:rPr>
        <w:t>House of Commons.</w:t>
      </w:r>
      <w:proofErr w:type="gramEnd"/>
      <w:r w:rsidRPr="00065A61">
        <w:rPr>
          <w:rFonts w:cs="Times New Roman"/>
          <w:sz w:val="24"/>
        </w:rPr>
        <w:t xml:space="preserve"> </w:t>
      </w:r>
      <w:r>
        <w:rPr>
          <w:rFonts w:cs="Times New Roman"/>
          <w:sz w:val="24"/>
        </w:rPr>
        <w:t>“</w:t>
      </w:r>
      <w:r w:rsidRPr="00065A61">
        <w:rPr>
          <w:rFonts w:cs="Times New Roman"/>
          <w:sz w:val="24"/>
        </w:rPr>
        <w:t>Return of savings banks in the United Kingdom, showing the number of officers, accounts open, amount owing to depositors, amount invested with national debt coms</w:t>
      </w:r>
      <w:proofErr w:type="gramStart"/>
      <w:r w:rsidRPr="00065A61">
        <w:rPr>
          <w:rFonts w:cs="Times New Roman"/>
          <w:sz w:val="24"/>
        </w:rPr>
        <w:t>.,</w:t>
      </w:r>
      <w:proofErr w:type="gramEnd"/>
      <w:r w:rsidRPr="00065A61">
        <w:rPr>
          <w:rFonts w:cs="Times New Roman"/>
          <w:sz w:val="24"/>
        </w:rPr>
        <w:t xml:space="preserve"> and the rate of interest, 1894-95</w:t>
      </w:r>
      <w:r>
        <w:rPr>
          <w:rFonts w:cs="Times New Roman"/>
          <w:sz w:val="24"/>
        </w:rPr>
        <w:t>”,</w:t>
      </w:r>
      <w:r w:rsidRPr="00065A61">
        <w:rPr>
          <w:rFonts w:cs="Times New Roman"/>
          <w:sz w:val="24"/>
        </w:rPr>
        <w:t>  Sessional Papers vol.197 (1896-7)</w:t>
      </w:r>
    </w:p>
    <w:p w14:paraId="06CF8683" w14:textId="77777777" w:rsidR="00065A61" w:rsidRDefault="00065A61" w:rsidP="00872B14">
      <w:pPr>
        <w:spacing w:line="480" w:lineRule="auto"/>
        <w:rPr>
          <w:rFonts w:eastAsia="Times New Roman" w:cs="Times New Roman"/>
          <w:color w:val="222222"/>
          <w:sz w:val="24"/>
          <w:shd w:val="clear" w:color="auto" w:fill="FFFFFF"/>
        </w:rPr>
      </w:pPr>
    </w:p>
    <w:p w14:paraId="6268065C" w14:textId="77777777" w:rsidR="004C36F8" w:rsidRPr="00872B14" w:rsidRDefault="004C36F8" w:rsidP="00872B14">
      <w:pPr>
        <w:spacing w:line="480" w:lineRule="auto"/>
        <w:rPr>
          <w:rFonts w:eastAsia="Times New Roman" w:cs="Times New Roman"/>
          <w:sz w:val="24"/>
        </w:rPr>
      </w:pPr>
      <w:r w:rsidRPr="00872B14">
        <w:rPr>
          <w:rFonts w:eastAsia="Times New Roman" w:cs="Times New Roman"/>
          <w:color w:val="222222"/>
          <w:sz w:val="24"/>
          <w:shd w:val="clear" w:color="auto" w:fill="FFFFFF"/>
        </w:rPr>
        <w:t>Wadhwani, Rohit Daniel. "Banking from the bottom up: the case of migrant savers at the Philadelphia Saving Fund Society during the late nineteenth century." </w:t>
      </w:r>
      <w:r w:rsidRPr="00872B14">
        <w:rPr>
          <w:rFonts w:eastAsia="Times New Roman" w:cs="Times New Roman"/>
          <w:i/>
          <w:iCs/>
          <w:color w:val="222222"/>
          <w:sz w:val="24"/>
          <w:shd w:val="clear" w:color="auto" w:fill="FFFFFF"/>
        </w:rPr>
        <w:t>Financial History Review</w:t>
      </w:r>
      <w:r w:rsidR="00872B14" w:rsidRPr="00872B14">
        <w:rPr>
          <w:rFonts w:eastAsia="Times New Roman" w:cs="Times New Roman"/>
          <w:i/>
          <w:iCs/>
          <w:color w:val="222222"/>
          <w:sz w:val="24"/>
          <w:shd w:val="clear" w:color="auto" w:fill="FFFFFF"/>
        </w:rPr>
        <w:t>,</w:t>
      </w:r>
      <w:r w:rsidRPr="00872B14">
        <w:rPr>
          <w:rFonts w:eastAsia="Times New Roman" w:cs="Times New Roman"/>
          <w:color w:val="222222"/>
          <w:sz w:val="24"/>
          <w:shd w:val="clear" w:color="auto" w:fill="FFFFFF"/>
        </w:rPr>
        <w:t> 9</w:t>
      </w:r>
      <w:r w:rsidR="00872B14" w:rsidRPr="00872B14">
        <w:rPr>
          <w:rFonts w:eastAsia="Times New Roman" w:cs="Times New Roman"/>
          <w:color w:val="222222"/>
          <w:sz w:val="24"/>
          <w:shd w:val="clear" w:color="auto" w:fill="FFFFFF"/>
        </w:rPr>
        <w:t xml:space="preserve"> (</w:t>
      </w:r>
      <w:r w:rsidRPr="00872B14">
        <w:rPr>
          <w:rFonts w:eastAsia="Times New Roman" w:cs="Times New Roman"/>
          <w:color w:val="222222"/>
          <w:sz w:val="24"/>
          <w:shd w:val="clear" w:color="auto" w:fill="FFFFFF"/>
        </w:rPr>
        <w:t>1</w:t>
      </w:r>
      <w:r w:rsidR="00872B14" w:rsidRPr="00872B14">
        <w:rPr>
          <w:rFonts w:eastAsia="Times New Roman" w:cs="Times New Roman"/>
          <w:color w:val="222222"/>
          <w:sz w:val="24"/>
          <w:shd w:val="clear" w:color="auto" w:fill="FFFFFF"/>
        </w:rPr>
        <w:t>)</w:t>
      </w:r>
      <w:r w:rsidRPr="00872B14">
        <w:rPr>
          <w:rFonts w:eastAsia="Times New Roman" w:cs="Times New Roman"/>
          <w:color w:val="222222"/>
          <w:sz w:val="24"/>
          <w:shd w:val="clear" w:color="auto" w:fill="FFFFFF"/>
        </w:rPr>
        <w:t xml:space="preserve"> (2002): 41-63.</w:t>
      </w:r>
    </w:p>
    <w:p w14:paraId="4BC8EF28" w14:textId="77777777" w:rsidR="004C36F8" w:rsidRPr="00876A6B" w:rsidRDefault="004C36F8" w:rsidP="00876A6B">
      <w:pPr>
        <w:spacing w:line="480" w:lineRule="auto"/>
        <w:rPr>
          <w:sz w:val="24"/>
        </w:rPr>
      </w:pPr>
    </w:p>
    <w:p w14:paraId="768BB568" w14:textId="77777777" w:rsidR="0072529B" w:rsidRPr="00876A6B" w:rsidRDefault="0072529B" w:rsidP="00876A6B">
      <w:pPr>
        <w:spacing w:line="480" w:lineRule="auto"/>
        <w:rPr>
          <w:sz w:val="24"/>
        </w:rPr>
      </w:pPr>
      <w:r w:rsidRPr="00876A6B">
        <w:rPr>
          <w:sz w:val="24"/>
        </w:rPr>
        <w:t>Wadhwani, R</w:t>
      </w:r>
      <w:r w:rsidR="004C36F8">
        <w:rPr>
          <w:sz w:val="24"/>
        </w:rPr>
        <w:t xml:space="preserve">ohit </w:t>
      </w:r>
      <w:r w:rsidRPr="00876A6B">
        <w:rPr>
          <w:sz w:val="24"/>
        </w:rPr>
        <w:t>D</w:t>
      </w:r>
      <w:r w:rsidR="006539EA" w:rsidRPr="00876A6B">
        <w:rPr>
          <w:sz w:val="24"/>
        </w:rPr>
        <w:t>aniel,</w:t>
      </w:r>
      <w:r w:rsidRPr="00876A6B">
        <w:rPr>
          <w:sz w:val="24"/>
        </w:rPr>
        <w:t xml:space="preserve"> </w:t>
      </w:r>
      <w:r w:rsidR="00C01387" w:rsidRPr="00876A6B">
        <w:rPr>
          <w:sz w:val="24"/>
        </w:rPr>
        <w:t>"</w:t>
      </w:r>
      <w:r w:rsidRPr="00876A6B">
        <w:rPr>
          <w:sz w:val="24"/>
        </w:rPr>
        <w:t>The Institutional Foundations of Personal Finance: Innovation in U.S. Savings Banks, 1880s–1920s</w:t>
      </w:r>
      <w:r w:rsidR="00C01387" w:rsidRPr="00876A6B">
        <w:rPr>
          <w:sz w:val="24"/>
        </w:rPr>
        <w:t>"</w:t>
      </w:r>
      <w:r w:rsidRPr="00876A6B">
        <w:rPr>
          <w:sz w:val="24"/>
        </w:rPr>
        <w:t xml:space="preserve">, </w:t>
      </w:r>
      <w:r w:rsidRPr="0094611C">
        <w:rPr>
          <w:i/>
          <w:sz w:val="24"/>
        </w:rPr>
        <w:t>Business</w:t>
      </w:r>
      <w:r w:rsidR="00FE5B78" w:rsidRPr="0094611C">
        <w:rPr>
          <w:i/>
          <w:sz w:val="24"/>
        </w:rPr>
        <w:t xml:space="preserve"> </w:t>
      </w:r>
      <w:r w:rsidRPr="0094611C">
        <w:rPr>
          <w:i/>
          <w:sz w:val="24"/>
        </w:rPr>
        <w:t>History Review</w:t>
      </w:r>
      <w:r w:rsidRPr="00876A6B">
        <w:rPr>
          <w:sz w:val="24"/>
        </w:rPr>
        <w:t>, 85</w:t>
      </w:r>
      <w:r w:rsidR="000D3BB3">
        <w:rPr>
          <w:sz w:val="24"/>
        </w:rPr>
        <w:t xml:space="preserve"> (3)</w:t>
      </w:r>
      <w:r w:rsidR="00FE5B78" w:rsidRPr="00876A6B">
        <w:rPr>
          <w:sz w:val="24"/>
        </w:rPr>
        <w:t xml:space="preserve"> (2011)</w:t>
      </w:r>
      <w:r w:rsidR="000D3BB3">
        <w:rPr>
          <w:sz w:val="24"/>
        </w:rPr>
        <w:t>:</w:t>
      </w:r>
      <w:r w:rsidR="00FE5B78" w:rsidRPr="00876A6B">
        <w:rPr>
          <w:sz w:val="24"/>
        </w:rPr>
        <w:t xml:space="preserve"> </w:t>
      </w:r>
      <w:r w:rsidRPr="00876A6B">
        <w:rPr>
          <w:sz w:val="24"/>
        </w:rPr>
        <w:t>499–528.</w:t>
      </w:r>
    </w:p>
    <w:p w14:paraId="68BB5BDA" w14:textId="77777777" w:rsidR="0094611C" w:rsidRDefault="0094611C" w:rsidP="00876A6B">
      <w:pPr>
        <w:spacing w:line="480" w:lineRule="auto"/>
        <w:rPr>
          <w:sz w:val="24"/>
        </w:rPr>
      </w:pPr>
    </w:p>
    <w:p w14:paraId="76BFAACF" w14:textId="77777777" w:rsidR="001C3B33" w:rsidRPr="00AA7756" w:rsidRDefault="001C3B33" w:rsidP="001C3B33">
      <w:pPr>
        <w:spacing w:line="480" w:lineRule="auto"/>
        <w:rPr>
          <w:sz w:val="24"/>
        </w:rPr>
      </w:pPr>
      <w:r w:rsidRPr="00AA7756">
        <w:rPr>
          <w:rFonts w:cs="Times New Roman"/>
          <w:sz w:val="24"/>
          <w:shd w:val="clear" w:color="auto" w:fill="FFFFFF"/>
        </w:rPr>
        <w:t>Whellan</w:t>
      </w:r>
      <w:proofErr w:type="gramStart"/>
      <w:r w:rsidRPr="00AA7756">
        <w:rPr>
          <w:rFonts w:cs="Times New Roman"/>
          <w:sz w:val="24"/>
          <w:shd w:val="clear" w:color="auto" w:fill="FFFFFF"/>
        </w:rPr>
        <w:t>,  W</w:t>
      </w:r>
      <w:proofErr w:type="gramEnd"/>
      <w:r w:rsidRPr="00AA7756">
        <w:rPr>
          <w:rFonts w:cs="Times New Roman"/>
          <w:sz w:val="24"/>
          <w:shd w:val="clear" w:color="auto" w:fill="FFFFFF"/>
        </w:rPr>
        <w:t xml:space="preserve">. </w:t>
      </w:r>
      <w:r w:rsidRPr="00AA7756">
        <w:rPr>
          <w:rFonts w:cs="Times New Roman"/>
          <w:i/>
          <w:sz w:val="24"/>
          <w:shd w:val="clear" w:color="auto" w:fill="FFFFFF"/>
        </w:rPr>
        <w:t xml:space="preserve">A New Alphabetical and Classified Directory of Manchester and Salford, Bolton, Bury, Wigan... to which are prefixed historical and descriptive sketches, exhibiting their rise, progress, manufactures, and commerce </w:t>
      </w:r>
      <w:hyperlink r:id="rId10" w:history="1">
        <w:r w:rsidRPr="00AA7756">
          <w:rPr>
            <w:sz w:val="24"/>
          </w:rPr>
          <w:t xml:space="preserve"> Manchester: </w:t>
        </w:r>
        <w:r w:rsidRPr="00AA7756">
          <w:rPr>
            <w:rStyle w:val="Hyperlink"/>
            <w:rFonts w:cs="Times New Roman"/>
            <w:color w:val="auto"/>
            <w:sz w:val="24"/>
            <w:u w:val="none"/>
            <w:shd w:val="clear" w:color="auto" w:fill="FFFFFF"/>
          </w:rPr>
          <w:t xml:space="preserve">Booth and </w:t>
        </w:r>
        <w:proofErr w:type="gramStart"/>
        <w:r w:rsidRPr="00AA7756">
          <w:rPr>
            <w:rStyle w:val="Hyperlink"/>
            <w:rFonts w:cs="Times New Roman"/>
            <w:color w:val="auto"/>
            <w:sz w:val="24"/>
            <w:u w:val="none"/>
            <w:shd w:val="clear" w:color="auto" w:fill="FFFFFF"/>
          </w:rPr>
          <w:t xml:space="preserve">Milthorp  </w:t>
        </w:r>
        <w:proofErr w:type="gramEnd"/>
      </w:hyperlink>
      <w:r w:rsidRPr="00AA7756">
        <w:rPr>
          <w:rFonts w:cs="Times New Roman"/>
          <w:i/>
          <w:sz w:val="24"/>
          <w:shd w:val="clear" w:color="auto" w:fill="FFFFFF"/>
        </w:rPr>
        <w:t xml:space="preserve"> </w:t>
      </w:r>
      <w:r w:rsidRPr="00AA7756">
        <w:rPr>
          <w:rFonts w:cs="Times New Roman"/>
          <w:sz w:val="24"/>
          <w:shd w:val="clear" w:color="auto" w:fill="FFFFFF"/>
        </w:rPr>
        <w:t>(1853)</w:t>
      </w:r>
    </w:p>
    <w:p w14:paraId="3208C7A1" w14:textId="77777777" w:rsidR="001C3B33" w:rsidRDefault="001C3B33" w:rsidP="00876A6B">
      <w:pPr>
        <w:spacing w:line="480" w:lineRule="auto"/>
        <w:rPr>
          <w:sz w:val="24"/>
        </w:rPr>
      </w:pPr>
    </w:p>
    <w:p w14:paraId="15DF2BDB" w14:textId="77777777" w:rsidR="00876A6B" w:rsidRDefault="0072529B" w:rsidP="00876A6B">
      <w:pPr>
        <w:spacing w:line="480" w:lineRule="auto"/>
        <w:rPr>
          <w:sz w:val="24"/>
        </w:rPr>
      </w:pPr>
      <w:r w:rsidRPr="00876A6B">
        <w:rPr>
          <w:sz w:val="24"/>
        </w:rPr>
        <w:t>Willi</w:t>
      </w:r>
      <w:r w:rsidR="00710E9F" w:rsidRPr="00876A6B">
        <w:rPr>
          <w:sz w:val="24"/>
        </w:rPr>
        <w:t>amson, M</w:t>
      </w:r>
      <w:r w:rsidR="00B459AE" w:rsidRPr="00876A6B">
        <w:rPr>
          <w:sz w:val="24"/>
        </w:rPr>
        <w:t>argaret</w:t>
      </w:r>
      <w:r w:rsidR="00710E9F" w:rsidRPr="00876A6B">
        <w:rPr>
          <w:sz w:val="24"/>
        </w:rPr>
        <w:t>. "The iron chancellors</w:t>
      </w:r>
      <w:r w:rsidRPr="00876A6B">
        <w:rPr>
          <w:sz w:val="24"/>
        </w:rPr>
        <w:t>: the dynamics of the domestic economy in ironstone-mining households 1918–1964</w:t>
      </w:r>
      <w:r w:rsidR="00710E9F" w:rsidRPr="00876A6B">
        <w:rPr>
          <w:sz w:val="24"/>
        </w:rPr>
        <w:t>"</w:t>
      </w:r>
      <w:r w:rsidRPr="00876A6B">
        <w:rPr>
          <w:sz w:val="24"/>
        </w:rPr>
        <w:t xml:space="preserve">, </w:t>
      </w:r>
      <w:r w:rsidRPr="00876A6B">
        <w:rPr>
          <w:i/>
          <w:sz w:val="24"/>
        </w:rPr>
        <w:t>Journal of Family History,</w:t>
      </w:r>
      <w:r w:rsidR="000D3BB3">
        <w:rPr>
          <w:sz w:val="24"/>
        </w:rPr>
        <w:t xml:space="preserve"> 28 (3)</w:t>
      </w:r>
      <w:r w:rsidRPr="00876A6B">
        <w:rPr>
          <w:sz w:val="24"/>
        </w:rPr>
        <w:t xml:space="preserve"> </w:t>
      </w:r>
      <w:r w:rsidR="00FE5B78" w:rsidRPr="00876A6B">
        <w:rPr>
          <w:sz w:val="24"/>
        </w:rPr>
        <w:t>(2003)</w:t>
      </w:r>
      <w:r w:rsidR="000D3BB3">
        <w:rPr>
          <w:sz w:val="24"/>
        </w:rPr>
        <w:t>:</w:t>
      </w:r>
      <w:r w:rsidR="00FE5B78" w:rsidRPr="00876A6B">
        <w:rPr>
          <w:sz w:val="24"/>
        </w:rPr>
        <w:t xml:space="preserve"> </w:t>
      </w:r>
      <w:r w:rsidRPr="00876A6B">
        <w:rPr>
          <w:sz w:val="24"/>
        </w:rPr>
        <w:t>391–410.</w:t>
      </w:r>
    </w:p>
    <w:p w14:paraId="2DA22529" w14:textId="77777777" w:rsidR="00C26F98" w:rsidRPr="00876A6B" w:rsidRDefault="00C26F98" w:rsidP="00876A6B">
      <w:pPr>
        <w:spacing w:line="480" w:lineRule="auto"/>
        <w:rPr>
          <w:sz w:val="24"/>
        </w:rPr>
      </w:pPr>
    </w:p>
    <w:p w14:paraId="40785D00" w14:textId="77777777" w:rsidR="009E5D43" w:rsidRPr="00876A6B" w:rsidRDefault="009E5D43" w:rsidP="00876A6B">
      <w:pPr>
        <w:spacing w:line="480" w:lineRule="auto"/>
        <w:rPr>
          <w:rFonts w:cs="Times New Roman"/>
          <w:sz w:val="24"/>
        </w:rPr>
      </w:pPr>
      <w:r w:rsidRPr="00876A6B">
        <w:rPr>
          <w:rFonts w:cs="Times New Roman"/>
          <w:sz w:val="24"/>
        </w:rPr>
        <w:t>W</w:t>
      </w:r>
      <w:r w:rsidR="009D3DF9" w:rsidRPr="00876A6B">
        <w:rPr>
          <w:rFonts w:cs="Times New Roman"/>
          <w:sz w:val="24"/>
        </w:rPr>
        <w:t>hite</w:t>
      </w:r>
      <w:r w:rsidRPr="00876A6B">
        <w:rPr>
          <w:rFonts w:cs="Times New Roman"/>
          <w:sz w:val="24"/>
        </w:rPr>
        <w:t xml:space="preserve">, Jerry. </w:t>
      </w:r>
      <w:r w:rsidRPr="00876A6B">
        <w:rPr>
          <w:rFonts w:eastAsia="Times New Roman" w:cs="Times New Roman"/>
          <w:bCs/>
          <w:i/>
          <w:sz w:val="24"/>
        </w:rPr>
        <w:t>London In The Nineteenth Century: A Human Awful Wonder of God</w:t>
      </w:r>
      <w:r w:rsidR="00D34E0E" w:rsidRPr="00876A6B">
        <w:rPr>
          <w:rFonts w:eastAsia="Times New Roman" w:cs="Times New Roman"/>
          <w:bCs/>
          <w:i/>
          <w:sz w:val="24"/>
        </w:rPr>
        <w:t xml:space="preserve">. </w:t>
      </w:r>
      <w:proofErr w:type="gramStart"/>
      <w:r w:rsidR="00D34E0E" w:rsidRPr="00876A6B">
        <w:rPr>
          <w:rFonts w:eastAsia="Times New Roman" w:cs="Times New Roman"/>
          <w:bCs/>
          <w:sz w:val="24"/>
        </w:rPr>
        <w:t>Vintage Digital,</w:t>
      </w:r>
      <w:r w:rsidRPr="00876A6B">
        <w:rPr>
          <w:rStyle w:val="apple-converted-space"/>
          <w:rFonts w:eastAsia="Times New Roman" w:cs="Times New Roman"/>
          <w:bCs/>
          <w:i/>
          <w:sz w:val="24"/>
        </w:rPr>
        <w:t> </w:t>
      </w:r>
      <w:r w:rsidRPr="00876A6B">
        <w:rPr>
          <w:rStyle w:val="apple-converted-space"/>
          <w:rFonts w:eastAsia="Times New Roman" w:cs="Times New Roman"/>
          <w:bCs/>
          <w:sz w:val="24"/>
        </w:rPr>
        <w:t>20</w:t>
      </w:r>
      <w:r w:rsidR="00D34E0E" w:rsidRPr="00876A6B">
        <w:rPr>
          <w:rStyle w:val="apple-converted-space"/>
          <w:rFonts w:eastAsia="Times New Roman" w:cs="Times New Roman"/>
          <w:bCs/>
          <w:sz w:val="24"/>
        </w:rPr>
        <w:t>11</w:t>
      </w:r>
      <w:r w:rsidR="00710E9F" w:rsidRPr="00876A6B">
        <w:rPr>
          <w:rStyle w:val="apple-converted-space"/>
          <w:rFonts w:eastAsia="Times New Roman" w:cs="Times New Roman"/>
          <w:bCs/>
          <w:sz w:val="24"/>
        </w:rPr>
        <w:t>.</w:t>
      </w:r>
      <w:proofErr w:type="gramEnd"/>
      <w:r w:rsidRPr="00876A6B">
        <w:rPr>
          <w:rStyle w:val="apple-converted-space"/>
          <w:rFonts w:eastAsia="Times New Roman" w:cs="Times New Roman"/>
          <w:bCs/>
          <w:sz w:val="24"/>
        </w:rPr>
        <w:t xml:space="preserve"> </w:t>
      </w:r>
      <w:r w:rsidRPr="00876A6B">
        <w:rPr>
          <w:rFonts w:eastAsia="Times New Roman" w:cs="Times New Roman"/>
          <w:bCs/>
          <w:sz w:val="24"/>
        </w:rPr>
        <w:t>[Kindle Edition]</w:t>
      </w:r>
    </w:p>
    <w:p w14:paraId="6494B14C" w14:textId="77777777" w:rsidR="0070469C" w:rsidRDefault="0070469C" w:rsidP="00876A6B">
      <w:pPr>
        <w:spacing w:line="480" w:lineRule="auto"/>
        <w:rPr>
          <w:rFonts w:eastAsiaTheme="minorEastAsia" w:cs="Times New Roman"/>
          <w:sz w:val="24"/>
        </w:rPr>
      </w:pPr>
      <w:r>
        <w:rPr>
          <w:rFonts w:eastAsiaTheme="minorEastAsia" w:cs="Times New Roman"/>
          <w:sz w:val="24"/>
        </w:rPr>
        <w:br w:type="page"/>
      </w:r>
    </w:p>
    <w:p w14:paraId="3762AAD1" w14:textId="77777777" w:rsidR="003F416D" w:rsidRPr="001A72EF" w:rsidRDefault="003F416D" w:rsidP="00876A6B">
      <w:pPr>
        <w:pStyle w:val="Caption"/>
        <w:spacing w:line="480" w:lineRule="auto"/>
      </w:pPr>
    </w:p>
    <w:sectPr w:rsidR="003F416D" w:rsidRPr="001A72EF" w:rsidSect="0032726A">
      <w:headerReference w:type="default" r:id="rId11"/>
      <w:footerReference w:type="even" r:id="rId12"/>
      <w:footerReference w:type="default" r:id="rId13"/>
      <w:endnotePr>
        <w:numFmt w:val="decimal"/>
      </w:endnotePr>
      <w:pgSz w:w="11900" w:h="16840"/>
      <w:pgMar w:top="1440" w:right="1800" w:bottom="1418" w:left="1134"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FD7D20" w14:textId="77777777" w:rsidR="002A335E" w:rsidRDefault="002A335E" w:rsidP="00977DAB">
      <w:r>
        <w:separator/>
      </w:r>
    </w:p>
  </w:endnote>
  <w:endnote w:type="continuationSeparator" w:id="0">
    <w:p w14:paraId="0AFC1E76" w14:textId="77777777" w:rsidR="002A335E" w:rsidRDefault="002A335E" w:rsidP="00977DAB">
      <w:r>
        <w:continuationSeparator/>
      </w:r>
    </w:p>
  </w:endnote>
  <w:endnote w:id="1">
    <w:p w14:paraId="37B226EE" w14:textId="77777777" w:rsidR="002A335E" w:rsidRPr="00815D79" w:rsidRDefault="002A335E" w:rsidP="001C3B33">
      <w:pPr>
        <w:pStyle w:val="EndnoteText"/>
        <w:spacing w:line="480" w:lineRule="auto"/>
        <w:rPr>
          <w:rFonts w:ascii="Times New Roman" w:hAnsi="Times New Roman" w:cs="Times New Roman"/>
          <w:sz w:val="24"/>
          <w:szCs w:val="24"/>
          <w:lang w:val="en-US"/>
        </w:rPr>
      </w:pPr>
      <w:r>
        <w:rPr>
          <w:rStyle w:val="EndnoteReference"/>
        </w:rPr>
        <w:endnoteRef/>
      </w:r>
      <w:r>
        <w:t xml:space="preserve"> </w:t>
      </w:r>
      <w:r w:rsidRPr="00815D79">
        <w:rPr>
          <w:rFonts w:ascii="Times New Roman" w:hAnsi="Times New Roman" w:cs="Times New Roman"/>
          <w:sz w:val="24"/>
          <w:szCs w:val="24"/>
        </w:rPr>
        <w:t xml:space="preserve">The savings banks were under the oversight of trustees rather than directors because they were operated as charitable rather than profit-making organisations. There were no shareholders, as there were in the joint-stock banks, and no surplus to be distributed among shareholders as a dividend. The trustees were unpaid. Trustees did not normally play a day-to-day role in management: this was the responsibility of a manager, assisted as necessary by clerks. </w:t>
      </w:r>
    </w:p>
  </w:endnote>
  <w:endnote w:id="2">
    <w:p w14:paraId="488C4676" w14:textId="77777777" w:rsidR="002A335E" w:rsidRPr="00815D79" w:rsidRDefault="002A335E" w:rsidP="00815D79">
      <w:pPr>
        <w:spacing w:line="480" w:lineRule="auto"/>
        <w:rPr>
          <w:rFonts w:cs="Times New Roman"/>
          <w:sz w:val="24"/>
        </w:rPr>
      </w:pPr>
      <w:r w:rsidRPr="00815D79">
        <w:rPr>
          <w:rStyle w:val="EndnoteReference"/>
          <w:rFonts w:cs="Times New Roman"/>
          <w:sz w:val="24"/>
        </w:rPr>
        <w:endnoteRef/>
      </w:r>
      <w:r w:rsidRPr="00815D79">
        <w:rPr>
          <w:rFonts w:cs="Times New Roman"/>
          <w:sz w:val="24"/>
        </w:rPr>
        <w:t xml:space="preserve"> Garon, </w:t>
      </w:r>
      <w:proofErr w:type="gramStart"/>
      <w:r w:rsidRPr="00815D79">
        <w:rPr>
          <w:rFonts w:cs="Times New Roman"/>
          <w:i/>
          <w:sz w:val="24"/>
        </w:rPr>
        <w:t>Beyond</w:t>
      </w:r>
      <w:proofErr w:type="gramEnd"/>
      <w:r w:rsidRPr="00815D79">
        <w:rPr>
          <w:rFonts w:cs="Times New Roman"/>
          <w:i/>
          <w:sz w:val="24"/>
        </w:rPr>
        <w:t xml:space="preserve"> our means.</w:t>
      </w:r>
    </w:p>
  </w:endnote>
  <w:endnote w:id="3">
    <w:p w14:paraId="4877FA14" w14:textId="77777777" w:rsidR="002A335E" w:rsidRPr="00815D79" w:rsidRDefault="002A335E" w:rsidP="00815D79">
      <w:pPr>
        <w:spacing w:line="480" w:lineRule="auto"/>
        <w:rPr>
          <w:rFonts w:cs="Times New Roman"/>
          <w:sz w:val="24"/>
        </w:rPr>
      </w:pPr>
      <w:r w:rsidRPr="00815D79">
        <w:rPr>
          <w:rStyle w:val="EndnoteReference"/>
          <w:rFonts w:cs="Times New Roman"/>
          <w:sz w:val="24"/>
        </w:rPr>
        <w:endnoteRef/>
      </w:r>
      <w:r w:rsidRPr="00815D79">
        <w:rPr>
          <w:rFonts w:cs="Times New Roman"/>
          <w:sz w:val="24"/>
        </w:rPr>
        <w:t xml:space="preserve"> </w:t>
      </w:r>
      <w:proofErr w:type="gramStart"/>
      <w:r w:rsidRPr="00815D79">
        <w:rPr>
          <w:rFonts w:cs="Times New Roman"/>
          <w:sz w:val="24"/>
          <w:lang w:val="en-US"/>
        </w:rPr>
        <w:t xml:space="preserve">Horne, </w:t>
      </w:r>
      <w:r w:rsidRPr="00815D79">
        <w:rPr>
          <w:rFonts w:cs="Times New Roman"/>
          <w:i/>
          <w:iCs/>
          <w:sz w:val="24"/>
          <w:lang w:val="en-US"/>
        </w:rPr>
        <w:t>A History</w:t>
      </w:r>
      <w:r w:rsidRPr="00815D79">
        <w:rPr>
          <w:rFonts w:cs="Times New Roman"/>
          <w:iCs/>
          <w:sz w:val="24"/>
          <w:lang w:val="en-US"/>
        </w:rPr>
        <w:t xml:space="preserve">; </w:t>
      </w:r>
      <w:r w:rsidRPr="00815D79">
        <w:rPr>
          <w:rFonts w:cs="Times New Roman"/>
          <w:sz w:val="24"/>
        </w:rPr>
        <w:t xml:space="preserve">Moss and Russell, </w:t>
      </w:r>
      <w:r w:rsidRPr="00815D79">
        <w:rPr>
          <w:rFonts w:cs="Times New Roman"/>
          <w:i/>
          <w:iCs/>
          <w:sz w:val="24"/>
        </w:rPr>
        <w:t>An invaluable treasure.</w:t>
      </w:r>
      <w:proofErr w:type="gramEnd"/>
    </w:p>
  </w:endnote>
  <w:endnote w:id="4">
    <w:p w14:paraId="3DC1A99B" w14:textId="77777777" w:rsidR="002A335E" w:rsidRPr="00815D79" w:rsidRDefault="002A335E" w:rsidP="00815D79">
      <w:pPr>
        <w:spacing w:line="480" w:lineRule="auto"/>
        <w:rPr>
          <w:rFonts w:cs="Times New Roman"/>
          <w:sz w:val="24"/>
        </w:rPr>
      </w:pPr>
      <w:r w:rsidRPr="00815D79">
        <w:rPr>
          <w:rStyle w:val="EndnoteReference"/>
          <w:rFonts w:cs="Times New Roman"/>
          <w:sz w:val="24"/>
        </w:rPr>
        <w:endnoteRef/>
      </w:r>
      <w:r w:rsidRPr="00815D79">
        <w:rPr>
          <w:rFonts w:cs="Times New Roman"/>
          <w:sz w:val="24"/>
        </w:rPr>
        <w:t xml:space="preserve"> </w:t>
      </w:r>
      <w:proofErr w:type="gramStart"/>
      <w:r w:rsidRPr="00815D79">
        <w:rPr>
          <w:rFonts w:cs="Times New Roman"/>
          <w:sz w:val="24"/>
        </w:rPr>
        <w:t>e</w:t>
      </w:r>
      <w:proofErr w:type="gramEnd"/>
      <w:r w:rsidRPr="00815D79">
        <w:rPr>
          <w:rFonts w:cs="Times New Roman"/>
          <w:sz w:val="24"/>
        </w:rPr>
        <w:t>.g. Pollard, L</w:t>
      </w:r>
      <w:r w:rsidRPr="00815D79">
        <w:rPr>
          <w:rFonts w:cs="Times New Roman"/>
          <w:i/>
          <w:sz w:val="24"/>
        </w:rPr>
        <w:t>abour in Sheffield, L</w:t>
      </w:r>
      <w:r w:rsidRPr="00815D79">
        <w:rPr>
          <w:rFonts w:cs="Times New Roman"/>
          <w:sz w:val="24"/>
        </w:rPr>
        <w:t xml:space="preserve">emire; “Savings Culture”; Fishlow, “Trustee Savings Banks”. </w:t>
      </w:r>
    </w:p>
  </w:endnote>
  <w:endnote w:id="5">
    <w:p w14:paraId="49947F11" w14:textId="77777777" w:rsidR="002A335E" w:rsidRPr="00815D79" w:rsidRDefault="002A335E" w:rsidP="00815D79">
      <w:pPr>
        <w:spacing w:line="480" w:lineRule="auto"/>
        <w:rPr>
          <w:rFonts w:cs="Times New Roman"/>
          <w:sz w:val="24"/>
        </w:rPr>
      </w:pPr>
      <w:r w:rsidRPr="00815D79">
        <w:rPr>
          <w:rStyle w:val="EndnoteReference"/>
          <w:rFonts w:cs="Times New Roman"/>
          <w:sz w:val="24"/>
        </w:rPr>
        <w:endnoteRef/>
      </w:r>
      <w:r w:rsidRPr="00815D79">
        <w:rPr>
          <w:rFonts w:cs="Times New Roman"/>
          <w:sz w:val="24"/>
        </w:rPr>
        <w:t xml:space="preserve"> </w:t>
      </w:r>
      <w:proofErr w:type="gramStart"/>
      <w:r w:rsidRPr="00815D79">
        <w:rPr>
          <w:rFonts w:cs="Times New Roman"/>
          <w:sz w:val="24"/>
        </w:rPr>
        <w:t>e</w:t>
      </w:r>
      <w:proofErr w:type="gramEnd"/>
      <w:r w:rsidRPr="00815D79">
        <w:rPr>
          <w:rFonts w:cs="Times New Roman"/>
          <w:sz w:val="24"/>
        </w:rPr>
        <w:t xml:space="preserve">.g. Ó Gráda, </w:t>
      </w:r>
      <w:r w:rsidRPr="00815D79">
        <w:rPr>
          <w:rFonts w:cs="Times New Roman"/>
          <w:i/>
          <w:iCs/>
          <w:sz w:val="24"/>
        </w:rPr>
        <w:t>Irish Savings Banks</w:t>
      </w:r>
      <w:r w:rsidRPr="00815D79">
        <w:rPr>
          <w:rFonts w:cs="Times New Roman"/>
          <w:sz w:val="24"/>
        </w:rPr>
        <w:t xml:space="preserve">; Payne, “Savings Bank of Glasgow”; Lloyd-Jones and Lewis, </w:t>
      </w:r>
      <w:r w:rsidRPr="00815D79">
        <w:rPr>
          <w:rFonts w:cs="Times New Roman"/>
          <w:i/>
          <w:sz w:val="24"/>
        </w:rPr>
        <w:t xml:space="preserve">Small savers; </w:t>
      </w:r>
      <w:r w:rsidRPr="00815D79">
        <w:rPr>
          <w:rFonts w:cs="Times New Roman"/>
          <w:sz w:val="24"/>
        </w:rPr>
        <w:t xml:space="preserve">Lawson, "Save the pennies”; Ross, “Penny Banks”; Pollock, “Aspects of thrift”; </w:t>
      </w:r>
      <w:r w:rsidRPr="00815D79">
        <w:rPr>
          <w:rFonts w:eastAsia="MS Mincho" w:cs="Times New Roman"/>
          <w:sz w:val="24"/>
        </w:rPr>
        <w:t xml:space="preserve">McLaughlin "Profligacy”. </w:t>
      </w:r>
    </w:p>
  </w:endnote>
  <w:endnote w:id="6">
    <w:p w14:paraId="60DB8E42" w14:textId="77777777" w:rsidR="002A335E" w:rsidRPr="00815D79" w:rsidRDefault="002A335E" w:rsidP="00815D79">
      <w:pPr>
        <w:pStyle w:val="EndnoteText"/>
        <w:spacing w:line="480" w:lineRule="auto"/>
        <w:rPr>
          <w:rFonts w:ascii="Times New Roman" w:hAnsi="Times New Roman" w:cs="Times New Roman"/>
          <w:sz w:val="24"/>
          <w:szCs w:val="24"/>
          <w:lang w:val="en-US"/>
        </w:rPr>
      </w:pPr>
      <w:r w:rsidRPr="00815D79">
        <w:rPr>
          <w:rStyle w:val="EndnoteReference"/>
          <w:rFonts w:ascii="Times New Roman" w:hAnsi="Times New Roman" w:cs="Times New Roman"/>
          <w:sz w:val="24"/>
          <w:szCs w:val="24"/>
        </w:rPr>
        <w:endnoteRef/>
      </w:r>
      <w:r w:rsidRPr="00815D79">
        <w:rPr>
          <w:rFonts w:ascii="Times New Roman" w:hAnsi="Times New Roman" w:cs="Times New Roman"/>
          <w:sz w:val="24"/>
          <w:szCs w:val="24"/>
        </w:rPr>
        <w:t xml:space="preserve"> </w:t>
      </w:r>
      <w:r w:rsidRPr="00815D79">
        <w:rPr>
          <w:rFonts w:ascii="Times New Roman" w:hAnsi="Times New Roman" w:cs="Times New Roman"/>
          <w:sz w:val="24"/>
          <w:szCs w:val="24"/>
          <w:lang w:val="en-US"/>
        </w:rPr>
        <w:t xml:space="preserve">Ross, “Savings Banks”.  Earlier works that have explored depositor data </w:t>
      </w:r>
      <w:proofErr w:type="gramStart"/>
      <w:r w:rsidRPr="00815D79">
        <w:rPr>
          <w:rFonts w:ascii="Times New Roman" w:hAnsi="Times New Roman" w:cs="Times New Roman"/>
          <w:sz w:val="24"/>
          <w:szCs w:val="24"/>
          <w:lang w:val="en-US"/>
        </w:rPr>
        <w:t>include both</w:t>
      </w:r>
      <w:proofErr w:type="gramEnd"/>
      <w:r w:rsidRPr="00815D79">
        <w:rPr>
          <w:rFonts w:ascii="Times New Roman" w:hAnsi="Times New Roman" w:cs="Times New Roman"/>
          <w:sz w:val="24"/>
          <w:szCs w:val="24"/>
          <w:lang w:val="en-US"/>
        </w:rPr>
        <w:t xml:space="preserve"> Alter, Goldin and Rotella’s, “Ordinary Americans”, and Wadhwani’s, “Banking”, both based on the depositor ledgers of the Philadelphia Saving Fund Society. </w:t>
      </w:r>
    </w:p>
  </w:endnote>
  <w:endnote w:id="7">
    <w:p w14:paraId="61ED6712" w14:textId="77777777" w:rsidR="002A335E" w:rsidRPr="00815D79" w:rsidRDefault="002A335E" w:rsidP="00815D79">
      <w:pPr>
        <w:pStyle w:val="EndnoteText"/>
        <w:spacing w:line="480" w:lineRule="auto"/>
        <w:rPr>
          <w:rFonts w:ascii="Times New Roman" w:hAnsi="Times New Roman" w:cs="Times New Roman"/>
          <w:sz w:val="24"/>
          <w:szCs w:val="24"/>
        </w:rPr>
      </w:pPr>
      <w:r w:rsidRPr="00815D79">
        <w:rPr>
          <w:rStyle w:val="EndnoteReference"/>
          <w:rFonts w:ascii="Times New Roman" w:hAnsi="Times New Roman" w:cs="Times New Roman"/>
          <w:sz w:val="24"/>
          <w:szCs w:val="24"/>
        </w:rPr>
        <w:endnoteRef/>
      </w:r>
      <w:r w:rsidRPr="00815D79">
        <w:rPr>
          <w:rFonts w:ascii="Times New Roman" w:hAnsi="Times New Roman" w:cs="Times New Roman"/>
          <w:sz w:val="24"/>
          <w:szCs w:val="24"/>
        </w:rPr>
        <w:t xml:space="preserve"> </w:t>
      </w:r>
      <w:proofErr w:type="gramStart"/>
      <w:r w:rsidRPr="00815D79">
        <w:rPr>
          <w:rFonts w:ascii="Times New Roman" w:hAnsi="Times New Roman" w:cs="Times New Roman"/>
          <w:sz w:val="24"/>
          <w:szCs w:val="24"/>
        </w:rPr>
        <w:t xml:space="preserve">As in e.g. Burnette, </w:t>
      </w:r>
      <w:r w:rsidRPr="00815D79">
        <w:rPr>
          <w:rFonts w:ascii="Times New Roman" w:eastAsia="MS Mincho" w:hAnsi="Times New Roman" w:cs="Times New Roman"/>
          <w:i/>
          <w:iCs/>
          <w:sz w:val="24"/>
          <w:szCs w:val="24"/>
        </w:rPr>
        <w:t>Gender, work and wages.</w:t>
      </w:r>
      <w:proofErr w:type="gramEnd"/>
    </w:p>
  </w:endnote>
  <w:endnote w:id="8">
    <w:p w14:paraId="6B98095C" w14:textId="77777777" w:rsidR="002A335E" w:rsidRPr="00815D79" w:rsidRDefault="002A335E" w:rsidP="00815D79">
      <w:pPr>
        <w:pStyle w:val="EndnoteText"/>
        <w:spacing w:line="480" w:lineRule="auto"/>
        <w:rPr>
          <w:rFonts w:ascii="Times New Roman" w:hAnsi="Times New Roman" w:cs="Times New Roman"/>
          <w:sz w:val="24"/>
          <w:szCs w:val="24"/>
          <w:lang w:val="en-US"/>
        </w:rPr>
      </w:pPr>
      <w:r w:rsidRPr="00815D79">
        <w:rPr>
          <w:rStyle w:val="EndnoteReference"/>
          <w:rFonts w:ascii="Times New Roman" w:hAnsi="Times New Roman" w:cs="Times New Roman"/>
          <w:sz w:val="24"/>
          <w:szCs w:val="24"/>
        </w:rPr>
        <w:endnoteRef/>
      </w:r>
      <w:r w:rsidRPr="00815D79">
        <w:rPr>
          <w:rFonts w:ascii="Times New Roman" w:hAnsi="Times New Roman" w:cs="Times New Roman"/>
          <w:sz w:val="24"/>
          <w:szCs w:val="24"/>
        </w:rPr>
        <w:t xml:space="preserve"> </w:t>
      </w:r>
      <w:r w:rsidRPr="00815D79">
        <w:rPr>
          <w:rStyle w:val="apple-converted-space"/>
          <w:rFonts w:ascii="Times New Roman" w:hAnsi="Times New Roman" w:cs="Times New Roman"/>
          <w:sz w:val="24"/>
          <w:szCs w:val="24"/>
        </w:rPr>
        <w:t>Humphries, "</w:t>
      </w:r>
      <w:r w:rsidRPr="00815D79">
        <w:rPr>
          <w:rFonts w:ascii="Times New Roman" w:eastAsia="Times New Roman" w:hAnsi="Times New Roman" w:cs="Times New Roman"/>
          <w:bCs/>
          <w:sz w:val="24"/>
          <w:szCs w:val="24"/>
          <w:lang w:eastAsia="en-GB"/>
        </w:rPr>
        <w:t>Class struggle", 243</w:t>
      </w:r>
    </w:p>
  </w:endnote>
  <w:endnote w:id="9">
    <w:p w14:paraId="42ABF6DF" w14:textId="77777777" w:rsidR="002A335E" w:rsidRPr="00815D79" w:rsidRDefault="002A335E" w:rsidP="00815D79">
      <w:pPr>
        <w:spacing w:line="480" w:lineRule="auto"/>
        <w:rPr>
          <w:rFonts w:cs="Times New Roman"/>
          <w:sz w:val="24"/>
        </w:rPr>
      </w:pPr>
      <w:r w:rsidRPr="00815D79">
        <w:rPr>
          <w:rStyle w:val="EndnoteReference"/>
          <w:rFonts w:cs="Times New Roman"/>
          <w:sz w:val="24"/>
        </w:rPr>
        <w:endnoteRef/>
      </w:r>
      <w:r w:rsidRPr="00815D79">
        <w:rPr>
          <w:rFonts w:cs="Times New Roman"/>
          <w:sz w:val="24"/>
        </w:rPr>
        <w:t xml:space="preserve"> </w:t>
      </w:r>
      <w:proofErr w:type="gramStart"/>
      <w:r w:rsidRPr="00815D79">
        <w:rPr>
          <w:rFonts w:cs="Times New Roman"/>
          <w:sz w:val="24"/>
        </w:rPr>
        <w:t>Braunstein and Folbre, "To Honor and Obey”, 27.</w:t>
      </w:r>
      <w:proofErr w:type="gramEnd"/>
    </w:p>
  </w:endnote>
  <w:endnote w:id="10">
    <w:p w14:paraId="5A2AAAF1" w14:textId="77777777" w:rsidR="002A335E" w:rsidRPr="00815D79" w:rsidRDefault="002A335E" w:rsidP="00815D79">
      <w:pPr>
        <w:pStyle w:val="EndnoteText"/>
        <w:spacing w:line="480" w:lineRule="auto"/>
        <w:rPr>
          <w:rFonts w:ascii="Times New Roman" w:hAnsi="Times New Roman" w:cs="Times New Roman"/>
          <w:sz w:val="24"/>
          <w:szCs w:val="24"/>
        </w:rPr>
      </w:pPr>
      <w:r w:rsidRPr="00815D79">
        <w:rPr>
          <w:rStyle w:val="EndnoteReference"/>
          <w:rFonts w:ascii="Times New Roman" w:hAnsi="Times New Roman" w:cs="Times New Roman"/>
          <w:sz w:val="24"/>
          <w:szCs w:val="24"/>
        </w:rPr>
        <w:endnoteRef/>
      </w:r>
      <w:r w:rsidRPr="00815D79">
        <w:rPr>
          <w:rFonts w:ascii="Times New Roman" w:hAnsi="Times New Roman" w:cs="Times New Roman"/>
          <w:sz w:val="24"/>
          <w:szCs w:val="24"/>
        </w:rPr>
        <w:t xml:space="preserve"> </w:t>
      </w:r>
      <w:proofErr w:type="gramStart"/>
      <w:r w:rsidRPr="00815D79">
        <w:rPr>
          <w:rFonts w:ascii="Times New Roman" w:hAnsi="Times New Roman" w:cs="Times New Roman"/>
          <w:sz w:val="24"/>
          <w:szCs w:val="24"/>
        </w:rPr>
        <w:t>Braunstein and Folbre, "To Honor and Obey", 28.</w:t>
      </w:r>
      <w:proofErr w:type="gramEnd"/>
    </w:p>
  </w:endnote>
  <w:endnote w:id="11">
    <w:p w14:paraId="31ECC8E7" w14:textId="77777777" w:rsidR="002A335E" w:rsidRPr="00815D79" w:rsidRDefault="002A335E" w:rsidP="00815D79">
      <w:pPr>
        <w:pStyle w:val="EndnoteText"/>
        <w:spacing w:line="480" w:lineRule="auto"/>
        <w:rPr>
          <w:rFonts w:ascii="Times New Roman" w:hAnsi="Times New Roman" w:cs="Times New Roman"/>
          <w:sz w:val="24"/>
          <w:szCs w:val="24"/>
          <w:lang w:val="en-US"/>
        </w:rPr>
      </w:pPr>
      <w:r w:rsidRPr="00815D79">
        <w:rPr>
          <w:rStyle w:val="EndnoteReference"/>
          <w:rFonts w:ascii="Times New Roman" w:hAnsi="Times New Roman" w:cs="Times New Roman"/>
          <w:sz w:val="24"/>
          <w:szCs w:val="24"/>
        </w:rPr>
        <w:endnoteRef/>
      </w:r>
      <w:r w:rsidRPr="00815D79">
        <w:rPr>
          <w:rFonts w:ascii="Times New Roman" w:hAnsi="Times New Roman" w:cs="Times New Roman"/>
          <w:sz w:val="24"/>
          <w:szCs w:val="24"/>
        </w:rPr>
        <w:t xml:space="preserve"> </w:t>
      </w:r>
      <w:proofErr w:type="gramStart"/>
      <w:r w:rsidRPr="00815D79">
        <w:rPr>
          <w:rFonts w:ascii="Times New Roman" w:hAnsi="Times New Roman" w:cs="Times New Roman"/>
          <w:sz w:val="24"/>
          <w:szCs w:val="24"/>
        </w:rPr>
        <w:t>e</w:t>
      </w:r>
      <w:proofErr w:type="gramEnd"/>
      <w:r w:rsidRPr="00815D79">
        <w:rPr>
          <w:rFonts w:ascii="Times New Roman" w:hAnsi="Times New Roman" w:cs="Times New Roman"/>
          <w:sz w:val="24"/>
          <w:szCs w:val="24"/>
        </w:rPr>
        <w:t xml:space="preserve">.g. </w:t>
      </w:r>
      <w:r w:rsidRPr="00815D79">
        <w:rPr>
          <w:rFonts w:ascii="Times New Roman" w:hAnsi="Times New Roman" w:cs="Times New Roman"/>
          <w:sz w:val="24"/>
          <w:szCs w:val="24"/>
          <w:lang w:val="en-US"/>
        </w:rPr>
        <w:t>Pahl, “Couples”, “His money, her money”, “Allocation of money”.</w:t>
      </w:r>
    </w:p>
  </w:endnote>
  <w:endnote w:id="12">
    <w:p w14:paraId="63E4083A" w14:textId="77777777" w:rsidR="002A335E" w:rsidRPr="00815D79" w:rsidRDefault="002A335E" w:rsidP="00815D79">
      <w:pPr>
        <w:pStyle w:val="EndnoteText"/>
        <w:spacing w:line="480" w:lineRule="auto"/>
        <w:rPr>
          <w:rFonts w:ascii="Times New Roman" w:hAnsi="Times New Roman" w:cs="Times New Roman"/>
          <w:sz w:val="24"/>
          <w:szCs w:val="24"/>
          <w:lang w:val="en-US"/>
        </w:rPr>
      </w:pPr>
      <w:r w:rsidRPr="00815D79">
        <w:rPr>
          <w:rStyle w:val="EndnoteReference"/>
          <w:rFonts w:ascii="Times New Roman" w:hAnsi="Times New Roman" w:cs="Times New Roman"/>
          <w:sz w:val="24"/>
          <w:szCs w:val="24"/>
        </w:rPr>
        <w:endnoteRef/>
      </w:r>
      <w:r w:rsidRPr="00815D79">
        <w:rPr>
          <w:rFonts w:ascii="Times New Roman" w:hAnsi="Times New Roman" w:cs="Times New Roman"/>
          <w:sz w:val="24"/>
          <w:szCs w:val="24"/>
        </w:rPr>
        <w:t xml:space="preserve"> </w:t>
      </w:r>
      <w:r w:rsidRPr="00815D79">
        <w:rPr>
          <w:rFonts w:ascii="Times New Roman" w:hAnsi="Times New Roman" w:cs="Times New Roman"/>
          <w:sz w:val="24"/>
          <w:szCs w:val="24"/>
          <w:lang w:val="en-US"/>
        </w:rPr>
        <w:t>Pahl, “Couples”, 503</w:t>
      </w:r>
    </w:p>
  </w:endnote>
  <w:endnote w:id="13">
    <w:p w14:paraId="3E1C8FC2" w14:textId="77777777" w:rsidR="002A335E" w:rsidRPr="00815D79" w:rsidRDefault="002A335E" w:rsidP="00815D79">
      <w:pPr>
        <w:pStyle w:val="EndnoteText"/>
        <w:spacing w:line="480" w:lineRule="auto"/>
        <w:rPr>
          <w:rFonts w:ascii="Times New Roman" w:hAnsi="Times New Roman" w:cs="Times New Roman"/>
          <w:sz w:val="24"/>
          <w:szCs w:val="24"/>
          <w:lang w:val="en-US"/>
        </w:rPr>
      </w:pPr>
      <w:r w:rsidRPr="00815D79">
        <w:rPr>
          <w:rStyle w:val="EndnoteReference"/>
          <w:rFonts w:ascii="Times New Roman" w:hAnsi="Times New Roman" w:cs="Times New Roman"/>
          <w:sz w:val="24"/>
          <w:szCs w:val="24"/>
        </w:rPr>
        <w:endnoteRef/>
      </w:r>
      <w:r w:rsidRPr="00815D79">
        <w:rPr>
          <w:rFonts w:ascii="Times New Roman" w:hAnsi="Times New Roman" w:cs="Times New Roman"/>
          <w:sz w:val="24"/>
          <w:szCs w:val="24"/>
        </w:rPr>
        <w:t xml:space="preserve"> </w:t>
      </w:r>
      <w:r w:rsidRPr="00815D79">
        <w:rPr>
          <w:rFonts w:ascii="Times New Roman" w:hAnsi="Times New Roman" w:cs="Times New Roman"/>
          <w:sz w:val="24"/>
          <w:szCs w:val="24"/>
          <w:lang w:val="en-US"/>
        </w:rPr>
        <w:t>Pahl, “Couples”, 504</w:t>
      </w:r>
    </w:p>
  </w:endnote>
  <w:endnote w:id="14">
    <w:p w14:paraId="68C3D486" w14:textId="77777777" w:rsidR="002A335E" w:rsidRPr="00815D79" w:rsidRDefault="002A335E" w:rsidP="00815D79">
      <w:pPr>
        <w:pStyle w:val="EndnoteText"/>
        <w:spacing w:line="480" w:lineRule="auto"/>
        <w:rPr>
          <w:rFonts w:ascii="Times New Roman" w:hAnsi="Times New Roman" w:cs="Times New Roman"/>
          <w:sz w:val="24"/>
          <w:szCs w:val="24"/>
        </w:rPr>
      </w:pPr>
      <w:r w:rsidRPr="00815D79">
        <w:rPr>
          <w:rStyle w:val="EndnoteReference"/>
          <w:rFonts w:ascii="Times New Roman" w:hAnsi="Times New Roman" w:cs="Times New Roman"/>
          <w:sz w:val="24"/>
          <w:szCs w:val="24"/>
        </w:rPr>
        <w:endnoteRef/>
      </w:r>
      <w:r w:rsidRPr="00815D79">
        <w:rPr>
          <w:rFonts w:ascii="Times New Roman" w:hAnsi="Times New Roman" w:cs="Times New Roman"/>
          <w:sz w:val="24"/>
          <w:szCs w:val="24"/>
        </w:rPr>
        <w:t xml:space="preserve"> King and Tomkins, </w:t>
      </w:r>
      <w:r w:rsidRPr="00815D79">
        <w:rPr>
          <w:rFonts w:ascii="Times New Roman" w:hAnsi="Times New Roman" w:cs="Times New Roman"/>
          <w:i/>
          <w:sz w:val="24"/>
          <w:szCs w:val="24"/>
        </w:rPr>
        <w:t xml:space="preserve">Economy of Makeshifts, </w:t>
      </w:r>
      <w:r w:rsidRPr="00815D79">
        <w:rPr>
          <w:rFonts w:ascii="Times New Roman" w:hAnsi="Times New Roman" w:cs="Times New Roman"/>
          <w:sz w:val="24"/>
          <w:szCs w:val="24"/>
        </w:rPr>
        <w:t>19.</w:t>
      </w:r>
    </w:p>
  </w:endnote>
  <w:endnote w:id="15">
    <w:p w14:paraId="3BBD0AB9" w14:textId="77777777" w:rsidR="002A335E" w:rsidRPr="00815D79" w:rsidRDefault="002A335E" w:rsidP="00815D79">
      <w:pPr>
        <w:spacing w:line="480" w:lineRule="auto"/>
        <w:rPr>
          <w:rFonts w:cs="Times New Roman"/>
          <w:sz w:val="24"/>
        </w:rPr>
      </w:pPr>
      <w:r w:rsidRPr="00815D79">
        <w:rPr>
          <w:rStyle w:val="EndnoteReference"/>
          <w:rFonts w:cs="Times New Roman"/>
          <w:sz w:val="24"/>
        </w:rPr>
        <w:endnoteRef/>
      </w:r>
      <w:r w:rsidRPr="00815D79">
        <w:rPr>
          <w:rFonts w:cs="Times New Roman"/>
          <w:sz w:val="24"/>
        </w:rPr>
        <w:t xml:space="preserve"> Playfair</w:t>
      </w:r>
      <w:r w:rsidRPr="00815D79">
        <w:rPr>
          <w:rFonts w:eastAsia="MS Mincho" w:cs="Times New Roman"/>
          <w:sz w:val="24"/>
        </w:rPr>
        <w:t xml:space="preserve">, </w:t>
      </w:r>
      <w:r w:rsidRPr="00815D79">
        <w:rPr>
          <w:rFonts w:eastAsia="MS Mincho" w:cs="Times New Roman"/>
          <w:i/>
          <w:sz w:val="24"/>
        </w:rPr>
        <w:t xml:space="preserve">Health of Towns, </w:t>
      </w:r>
      <w:r w:rsidRPr="00815D79">
        <w:rPr>
          <w:rFonts w:eastAsia="MS Mincho" w:cs="Times New Roman"/>
          <w:sz w:val="24"/>
        </w:rPr>
        <w:t>125.</w:t>
      </w:r>
    </w:p>
  </w:endnote>
  <w:endnote w:id="16">
    <w:p w14:paraId="5E512037" w14:textId="77777777" w:rsidR="002A335E" w:rsidRPr="00815D79" w:rsidRDefault="002A335E" w:rsidP="00815D79">
      <w:pPr>
        <w:spacing w:line="480" w:lineRule="auto"/>
        <w:rPr>
          <w:rFonts w:cs="Times New Roman"/>
          <w:sz w:val="24"/>
        </w:rPr>
      </w:pPr>
      <w:r w:rsidRPr="00815D79">
        <w:rPr>
          <w:rStyle w:val="EndnoteReference"/>
          <w:rFonts w:cs="Times New Roman"/>
          <w:sz w:val="24"/>
        </w:rPr>
        <w:endnoteRef/>
      </w:r>
      <w:r w:rsidRPr="00815D79">
        <w:rPr>
          <w:rFonts w:cs="Times New Roman"/>
          <w:sz w:val="24"/>
        </w:rPr>
        <w:t xml:space="preserve"> </w:t>
      </w:r>
      <w:proofErr w:type="gramStart"/>
      <w:r w:rsidRPr="00815D79">
        <w:rPr>
          <w:rFonts w:cs="Times New Roman"/>
          <w:sz w:val="24"/>
        </w:rPr>
        <w:t>e</w:t>
      </w:r>
      <w:proofErr w:type="gramEnd"/>
      <w:r w:rsidRPr="00815D79">
        <w:rPr>
          <w:rFonts w:cs="Times New Roman"/>
          <w:sz w:val="24"/>
        </w:rPr>
        <w:t xml:space="preserve">.g. Rowntree, </w:t>
      </w:r>
      <w:r w:rsidRPr="00815D79">
        <w:rPr>
          <w:rFonts w:cs="Times New Roman"/>
          <w:i/>
          <w:iCs/>
          <w:sz w:val="24"/>
          <w:lang w:bidi="he-IL"/>
        </w:rPr>
        <w:t>Poverty;</w:t>
      </w:r>
      <w:r w:rsidRPr="00815D79">
        <w:rPr>
          <w:rFonts w:cs="Times New Roman"/>
          <w:bCs/>
          <w:sz w:val="24"/>
        </w:rPr>
        <w:t xml:space="preserve"> Booth, </w:t>
      </w:r>
      <w:r w:rsidRPr="00815D79">
        <w:rPr>
          <w:rFonts w:cs="Times New Roman"/>
          <w:bCs/>
          <w:i/>
          <w:sz w:val="24"/>
        </w:rPr>
        <w:t xml:space="preserve">London; </w:t>
      </w:r>
      <w:r w:rsidRPr="00815D79">
        <w:rPr>
          <w:rFonts w:cs="Times New Roman"/>
          <w:sz w:val="24"/>
        </w:rPr>
        <w:t xml:space="preserve">Bell, </w:t>
      </w:r>
      <w:r w:rsidRPr="00815D79">
        <w:rPr>
          <w:rFonts w:cs="Times New Roman"/>
          <w:i/>
          <w:sz w:val="24"/>
        </w:rPr>
        <w:t>At the Works</w:t>
      </w:r>
      <w:r w:rsidRPr="00815D79">
        <w:rPr>
          <w:rFonts w:cs="Times New Roman"/>
          <w:bCs/>
          <w:sz w:val="24"/>
        </w:rPr>
        <w:t>;</w:t>
      </w:r>
      <w:r w:rsidRPr="00815D79">
        <w:rPr>
          <w:rFonts w:cs="Times New Roman"/>
          <w:b/>
          <w:bCs/>
          <w:sz w:val="24"/>
        </w:rPr>
        <w:t xml:space="preserve"> </w:t>
      </w:r>
      <w:r w:rsidRPr="00815D79">
        <w:rPr>
          <w:rFonts w:cs="Times New Roman"/>
          <w:sz w:val="24"/>
        </w:rPr>
        <w:t xml:space="preserve">Horrell and Oxley, </w:t>
      </w:r>
      <w:r w:rsidRPr="00815D79">
        <w:rPr>
          <w:rFonts w:cs="Times New Roman"/>
          <w:sz w:val="24"/>
          <w:lang w:val="en-US"/>
        </w:rPr>
        <w:t>"Crust or crumb? ", "Work and Prudence"</w:t>
      </w:r>
    </w:p>
  </w:endnote>
  <w:endnote w:id="17">
    <w:p w14:paraId="694DC2FB" w14:textId="77777777" w:rsidR="002A335E" w:rsidRPr="00815D79" w:rsidRDefault="002A335E" w:rsidP="00815D79">
      <w:pPr>
        <w:spacing w:line="480" w:lineRule="auto"/>
        <w:rPr>
          <w:rFonts w:cs="Times New Roman"/>
          <w:sz w:val="24"/>
        </w:rPr>
      </w:pPr>
      <w:r w:rsidRPr="00815D79">
        <w:rPr>
          <w:rStyle w:val="EndnoteReference"/>
          <w:rFonts w:cs="Times New Roman"/>
          <w:sz w:val="24"/>
        </w:rPr>
        <w:endnoteRef/>
      </w:r>
      <w:r w:rsidRPr="00815D79">
        <w:rPr>
          <w:rFonts w:cs="Times New Roman"/>
          <w:sz w:val="24"/>
        </w:rPr>
        <w:t xml:space="preserve"> </w:t>
      </w:r>
      <w:r w:rsidRPr="00815D79">
        <w:rPr>
          <w:rStyle w:val="apple-converted-space"/>
          <w:rFonts w:cs="Times New Roman"/>
          <w:sz w:val="24"/>
        </w:rPr>
        <w:t>Humphries, "Female Households</w:t>
      </w:r>
      <w:r w:rsidRPr="00815D79">
        <w:rPr>
          <w:rFonts w:eastAsia="Times New Roman" w:cs="Times New Roman"/>
          <w:bCs/>
          <w:sz w:val="24"/>
          <w:lang w:eastAsia="en-GB"/>
        </w:rPr>
        <w:t>", 36</w:t>
      </w:r>
      <w:r w:rsidRPr="00815D79">
        <w:rPr>
          <w:rFonts w:eastAsia="Times New Roman" w:cs="Times New Roman"/>
          <w:b/>
          <w:bCs/>
          <w:sz w:val="24"/>
          <w:lang w:eastAsia="en-GB"/>
        </w:rPr>
        <w:t xml:space="preserve"> </w:t>
      </w:r>
    </w:p>
  </w:endnote>
  <w:endnote w:id="18">
    <w:p w14:paraId="673E11B0" w14:textId="77777777" w:rsidR="002A335E" w:rsidRPr="00815D79" w:rsidRDefault="002A335E" w:rsidP="00815D79">
      <w:pPr>
        <w:pStyle w:val="EndnoteText"/>
        <w:spacing w:line="480" w:lineRule="auto"/>
        <w:rPr>
          <w:rFonts w:ascii="Times New Roman" w:hAnsi="Times New Roman" w:cs="Times New Roman"/>
          <w:sz w:val="24"/>
          <w:szCs w:val="24"/>
        </w:rPr>
      </w:pPr>
      <w:r w:rsidRPr="00815D79">
        <w:rPr>
          <w:rStyle w:val="EndnoteReference"/>
          <w:rFonts w:ascii="Times New Roman" w:hAnsi="Times New Roman" w:cs="Times New Roman"/>
          <w:sz w:val="24"/>
          <w:szCs w:val="24"/>
        </w:rPr>
        <w:endnoteRef/>
      </w:r>
      <w:r w:rsidRPr="00815D79">
        <w:rPr>
          <w:rFonts w:ascii="Times New Roman" w:hAnsi="Times New Roman" w:cs="Times New Roman"/>
          <w:sz w:val="24"/>
          <w:szCs w:val="24"/>
        </w:rPr>
        <w:t xml:space="preserve"> Horrell and Humphries, “Women's Labour”, 95</w:t>
      </w:r>
    </w:p>
  </w:endnote>
  <w:endnote w:id="19">
    <w:p w14:paraId="53398C77" w14:textId="77777777" w:rsidR="002A335E" w:rsidRPr="00815D79" w:rsidRDefault="002A335E" w:rsidP="00815D79">
      <w:pPr>
        <w:pStyle w:val="EndnoteText"/>
        <w:spacing w:line="480" w:lineRule="auto"/>
        <w:rPr>
          <w:rFonts w:ascii="Times New Roman" w:hAnsi="Times New Roman" w:cs="Times New Roman"/>
          <w:sz w:val="24"/>
          <w:szCs w:val="24"/>
        </w:rPr>
      </w:pPr>
      <w:r w:rsidRPr="00815D79">
        <w:rPr>
          <w:rStyle w:val="EndnoteReference"/>
          <w:rFonts w:ascii="Times New Roman" w:hAnsi="Times New Roman" w:cs="Times New Roman"/>
          <w:sz w:val="24"/>
          <w:szCs w:val="24"/>
        </w:rPr>
        <w:endnoteRef/>
      </w:r>
      <w:r w:rsidRPr="00815D79">
        <w:rPr>
          <w:rFonts w:ascii="Times New Roman" w:hAnsi="Times New Roman" w:cs="Times New Roman"/>
          <w:sz w:val="24"/>
          <w:szCs w:val="24"/>
        </w:rPr>
        <w:t xml:space="preserve"> Horrell and Humphries, “Women's Labour”, 99</w:t>
      </w:r>
    </w:p>
  </w:endnote>
  <w:endnote w:id="20">
    <w:p w14:paraId="61CE90EA" w14:textId="77777777" w:rsidR="002A335E" w:rsidRPr="00815D79" w:rsidRDefault="002A335E" w:rsidP="00815D79">
      <w:pPr>
        <w:spacing w:line="480" w:lineRule="auto"/>
        <w:rPr>
          <w:rFonts w:cs="Times New Roman"/>
          <w:sz w:val="24"/>
        </w:rPr>
      </w:pPr>
      <w:r w:rsidRPr="00815D79">
        <w:rPr>
          <w:rStyle w:val="EndnoteReference"/>
          <w:rFonts w:cs="Times New Roman"/>
          <w:sz w:val="24"/>
        </w:rPr>
        <w:endnoteRef/>
      </w:r>
      <w:r w:rsidRPr="00815D79">
        <w:rPr>
          <w:rFonts w:cs="Times New Roman"/>
          <w:sz w:val="24"/>
        </w:rPr>
        <w:t xml:space="preserve"> Benson, </w:t>
      </w:r>
      <w:r w:rsidRPr="00815D79">
        <w:rPr>
          <w:rFonts w:cs="Times New Roman"/>
          <w:i/>
          <w:sz w:val="24"/>
        </w:rPr>
        <w:t>Working Class</w:t>
      </w:r>
      <w:r w:rsidRPr="00815D79">
        <w:rPr>
          <w:rFonts w:cs="Times New Roman"/>
          <w:sz w:val="24"/>
        </w:rPr>
        <w:t xml:space="preserve">; Scott and Tilly, "Women's Work”; </w:t>
      </w:r>
      <w:r w:rsidRPr="00815D79">
        <w:rPr>
          <w:rFonts w:eastAsiaTheme="minorEastAsia" w:cs="Times New Roman"/>
          <w:sz w:val="24"/>
          <w:lang w:val="en-US"/>
        </w:rPr>
        <w:t xml:space="preserve">Hall, </w:t>
      </w:r>
      <w:r w:rsidRPr="00815D79">
        <w:rPr>
          <w:rFonts w:eastAsiaTheme="minorEastAsia" w:cs="Times New Roman"/>
          <w:i/>
          <w:iCs/>
          <w:sz w:val="24"/>
          <w:lang w:val="en-US"/>
        </w:rPr>
        <w:t>Women at work</w:t>
      </w:r>
      <w:r w:rsidRPr="00815D79">
        <w:rPr>
          <w:rFonts w:eastAsiaTheme="minorEastAsia" w:cs="Times New Roman"/>
          <w:sz w:val="24"/>
          <w:lang w:val="en-US"/>
        </w:rPr>
        <w:t xml:space="preserve">; </w:t>
      </w:r>
      <w:r w:rsidRPr="00815D79">
        <w:rPr>
          <w:rFonts w:cs="Times New Roman"/>
          <w:sz w:val="24"/>
        </w:rPr>
        <w:t xml:space="preserve">Davidoff, </w:t>
      </w:r>
      <w:r w:rsidRPr="00815D79">
        <w:rPr>
          <w:rFonts w:cs="Times New Roman"/>
          <w:i/>
          <w:sz w:val="24"/>
        </w:rPr>
        <w:t>Worlds Between</w:t>
      </w:r>
      <w:r w:rsidRPr="00815D79">
        <w:rPr>
          <w:rFonts w:cs="Times New Roman"/>
          <w:sz w:val="24"/>
        </w:rPr>
        <w:t>.</w:t>
      </w:r>
    </w:p>
  </w:endnote>
  <w:endnote w:id="21">
    <w:p w14:paraId="7F3DE743" w14:textId="77777777" w:rsidR="002A335E" w:rsidRPr="00815D79" w:rsidRDefault="002A335E" w:rsidP="00DB5830">
      <w:pPr>
        <w:pStyle w:val="EndnoteText"/>
        <w:spacing w:line="480" w:lineRule="auto"/>
        <w:rPr>
          <w:rFonts w:ascii="Times New Roman" w:hAnsi="Times New Roman" w:cs="Times New Roman"/>
          <w:sz w:val="24"/>
          <w:szCs w:val="24"/>
        </w:rPr>
      </w:pPr>
      <w:r w:rsidRPr="00815D79">
        <w:rPr>
          <w:rStyle w:val="EndnoteReference"/>
          <w:rFonts w:ascii="Times New Roman" w:hAnsi="Times New Roman" w:cs="Times New Roman"/>
          <w:sz w:val="24"/>
          <w:szCs w:val="24"/>
        </w:rPr>
        <w:endnoteRef/>
      </w:r>
      <w:r w:rsidRPr="00815D79">
        <w:rPr>
          <w:rFonts w:ascii="Times New Roman" w:hAnsi="Times New Roman" w:cs="Times New Roman"/>
          <w:sz w:val="24"/>
          <w:szCs w:val="24"/>
        </w:rPr>
        <w:t xml:space="preserve"> </w:t>
      </w:r>
      <w:proofErr w:type="gramStart"/>
      <w:r w:rsidRPr="00815D79">
        <w:rPr>
          <w:rFonts w:ascii="Times New Roman" w:hAnsi="Times New Roman" w:cs="Times New Roman"/>
          <w:sz w:val="24"/>
          <w:szCs w:val="24"/>
        </w:rPr>
        <w:t>Ross, "Survival networks”, 8.</w:t>
      </w:r>
      <w:proofErr w:type="gramEnd"/>
      <w:r w:rsidRPr="00815D79">
        <w:rPr>
          <w:rFonts w:ascii="Times New Roman" w:hAnsi="Times New Roman" w:cs="Times New Roman"/>
          <w:sz w:val="24"/>
          <w:szCs w:val="24"/>
        </w:rPr>
        <w:t xml:space="preserve"> </w:t>
      </w:r>
    </w:p>
  </w:endnote>
  <w:endnote w:id="22">
    <w:p w14:paraId="04DDFA91" w14:textId="77777777" w:rsidR="002A335E" w:rsidRPr="00815D79" w:rsidRDefault="002A335E" w:rsidP="00DB5830">
      <w:pPr>
        <w:spacing w:line="480" w:lineRule="auto"/>
        <w:rPr>
          <w:rFonts w:cs="Times New Roman"/>
          <w:sz w:val="24"/>
        </w:rPr>
      </w:pPr>
      <w:r w:rsidRPr="00815D79">
        <w:rPr>
          <w:rStyle w:val="EndnoteReference"/>
          <w:rFonts w:cs="Times New Roman"/>
          <w:sz w:val="24"/>
        </w:rPr>
        <w:endnoteRef/>
      </w:r>
      <w:r w:rsidRPr="00815D79">
        <w:rPr>
          <w:rFonts w:cs="Times New Roman"/>
          <w:sz w:val="24"/>
        </w:rPr>
        <w:t xml:space="preserve"> </w:t>
      </w:r>
      <w:r w:rsidRPr="00815D79">
        <w:rPr>
          <w:rStyle w:val="Emphasis"/>
          <w:rFonts w:cs="Times New Roman"/>
          <w:bCs/>
          <w:i w:val="0"/>
          <w:sz w:val="24"/>
          <w:shd w:val="clear" w:color="auto" w:fill="FFFFFF"/>
        </w:rPr>
        <w:t>Hammerton</w:t>
      </w:r>
      <w:r w:rsidRPr="00815D79">
        <w:rPr>
          <w:rFonts w:cs="Times New Roman"/>
          <w:i/>
          <w:sz w:val="24"/>
          <w:shd w:val="clear" w:color="auto" w:fill="FFFFFF"/>
        </w:rPr>
        <w:t>,</w:t>
      </w:r>
      <w:r w:rsidRPr="00815D79">
        <w:rPr>
          <w:rFonts w:cs="Times New Roman"/>
          <w:sz w:val="24"/>
          <w:shd w:val="clear" w:color="auto" w:fill="FFFFFF"/>
        </w:rPr>
        <w:t>"</w:t>
      </w:r>
      <w:r w:rsidRPr="00815D79">
        <w:rPr>
          <w:rStyle w:val="Emphasis"/>
          <w:rFonts w:cs="Times New Roman"/>
          <w:bCs/>
          <w:i w:val="0"/>
          <w:sz w:val="24"/>
          <w:shd w:val="clear" w:color="auto" w:fill="FFFFFF"/>
        </w:rPr>
        <w:t xml:space="preserve">Victorian Marriage”, 278; </w:t>
      </w:r>
      <w:proofErr w:type="gramStart"/>
      <w:r w:rsidRPr="00815D79">
        <w:rPr>
          <w:rStyle w:val="Emphasis"/>
          <w:rFonts w:cs="Times New Roman"/>
          <w:bCs/>
          <w:sz w:val="24"/>
          <w:shd w:val="clear" w:color="auto" w:fill="FFFFFF"/>
        </w:rPr>
        <w:t>C</w:t>
      </w:r>
      <w:r w:rsidRPr="00815D79">
        <w:rPr>
          <w:rFonts w:cs="Times New Roman"/>
          <w:sz w:val="24"/>
          <w:shd w:val="clear" w:color="auto" w:fill="FFFFFF"/>
        </w:rPr>
        <w:t>r</w:t>
      </w:r>
      <w:r w:rsidRPr="00815D79">
        <w:rPr>
          <w:rFonts w:cs="Times New Roman"/>
          <w:i/>
          <w:sz w:val="24"/>
          <w:shd w:val="clear" w:color="auto" w:fill="FFFFFF"/>
        </w:rPr>
        <w:t>uelty  and</w:t>
      </w:r>
      <w:proofErr w:type="gramEnd"/>
      <w:r w:rsidRPr="00815D79">
        <w:rPr>
          <w:rFonts w:cs="Times New Roman"/>
          <w:i/>
          <w:sz w:val="24"/>
          <w:shd w:val="clear" w:color="auto" w:fill="FFFFFF"/>
        </w:rPr>
        <w:t xml:space="preserve"> Companionship</w:t>
      </w:r>
      <w:r w:rsidRPr="00815D79">
        <w:rPr>
          <w:rFonts w:cs="Times New Roman"/>
          <w:sz w:val="24"/>
          <w:shd w:val="clear" w:color="auto" w:fill="FFFFFF"/>
        </w:rPr>
        <w:t>, 31.</w:t>
      </w:r>
    </w:p>
  </w:endnote>
  <w:endnote w:id="23">
    <w:p w14:paraId="4C9A391F" w14:textId="77777777" w:rsidR="002A335E" w:rsidRPr="00815D79" w:rsidRDefault="002A335E" w:rsidP="00815D79">
      <w:pPr>
        <w:pStyle w:val="EndnoteText"/>
        <w:spacing w:line="480" w:lineRule="auto"/>
        <w:rPr>
          <w:rFonts w:ascii="Times New Roman" w:hAnsi="Times New Roman" w:cs="Times New Roman"/>
          <w:sz w:val="24"/>
          <w:szCs w:val="24"/>
        </w:rPr>
      </w:pPr>
      <w:r w:rsidRPr="00815D79">
        <w:rPr>
          <w:rStyle w:val="EndnoteReference"/>
          <w:rFonts w:ascii="Times New Roman" w:hAnsi="Times New Roman" w:cs="Times New Roman"/>
          <w:sz w:val="24"/>
          <w:szCs w:val="24"/>
        </w:rPr>
        <w:endnoteRef/>
      </w:r>
      <w:r w:rsidRPr="00815D79">
        <w:rPr>
          <w:rFonts w:ascii="Times New Roman" w:hAnsi="Times New Roman" w:cs="Times New Roman"/>
          <w:sz w:val="24"/>
          <w:szCs w:val="24"/>
        </w:rPr>
        <w:t xml:space="preserve"> </w:t>
      </w:r>
      <w:proofErr w:type="gramStart"/>
      <w:r w:rsidRPr="00815D79">
        <w:rPr>
          <w:rStyle w:val="Strong"/>
          <w:rFonts w:ascii="Times New Roman" w:hAnsi="Times New Roman" w:cs="Times New Roman"/>
          <w:b w:val="0"/>
          <w:sz w:val="24"/>
          <w:szCs w:val="24"/>
        </w:rPr>
        <w:t>Higgs,</w:t>
      </w:r>
      <w:r w:rsidRPr="00815D79">
        <w:rPr>
          <w:rStyle w:val="Strong"/>
          <w:rFonts w:ascii="Times New Roman" w:hAnsi="Times New Roman" w:cs="Times New Roman"/>
          <w:sz w:val="24"/>
          <w:szCs w:val="24"/>
        </w:rPr>
        <w:t xml:space="preserve">  "</w:t>
      </w:r>
      <w:r w:rsidRPr="00815D79">
        <w:rPr>
          <w:rFonts w:ascii="Times New Roman" w:hAnsi="Times New Roman" w:cs="Times New Roman"/>
          <w:sz w:val="24"/>
          <w:szCs w:val="24"/>
        </w:rPr>
        <w:t>Occupations”</w:t>
      </w:r>
      <w:r w:rsidRPr="00815D79">
        <w:rPr>
          <w:rStyle w:val="Strong"/>
          <w:rFonts w:ascii="Times New Roman" w:hAnsi="Times New Roman" w:cs="Times New Roman"/>
          <w:b w:val="0"/>
          <w:sz w:val="24"/>
          <w:szCs w:val="24"/>
        </w:rPr>
        <w:t>;</w:t>
      </w:r>
      <w:r w:rsidRPr="00815D79">
        <w:rPr>
          <w:rStyle w:val="Strong"/>
          <w:rFonts w:ascii="Times New Roman" w:hAnsi="Times New Roman" w:cs="Times New Roman"/>
          <w:sz w:val="24"/>
          <w:szCs w:val="24"/>
        </w:rPr>
        <w:t xml:space="preserve"> </w:t>
      </w:r>
      <w:r w:rsidRPr="00815D79">
        <w:rPr>
          <w:rFonts w:ascii="Times New Roman" w:hAnsi="Times New Roman" w:cs="Times New Roman"/>
          <w:sz w:val="24"/>
          <w:szCs w:val="24"/>
        </w:rPr>
        <w:t xml:space="preserve">Burnette, </w:t>
      </w:r>
      <w:r w:rsidRPr="00815D79">
        <w:rPr>
          <w:rFonts w:ascii="Times New Roman" w:eastAsia="MS Mincho" w:hAnsi="Times New Roman" w:cs="Times New Roman"/>
          <w:i/>
          <w:iCs/>
          <w:sz w:val="24"/>
          <w:szCs w:val="24"/>
        </w:rPr>
        <w:t>Gender, work and wages.</w:t>
      </w:r>
      <w:proofErr w:type="gramEnd"/>
    </w:p>
  </w:endnote>
  <w:endnote w:id="24">
    <w:p w14:paraId="538E4B7A" w14:textId="77777777" w:rsidR="002A335E" w:rsidRPr="00815D79" w:rsidRDefault="002A335E" w:rsidP="00815D79">
      <w:pPr>
        <w:spacing w:line="480" w:lineRule="auto"/>
        <w:rPr>
          <w:rFonts w:cs="Times New Roman"/>
          <w:sz w:val="24"/>
        </w:rPr>
      </w:pPr>
      <w:r w:rsidRPr="00815D79">
        <w:rPr>
          <w:rStyle w:val="EndnoteReference"/>
          <w:rFonts w:cs="Times New Roman"/>
          <w:sz w:val="24"/>
        </w:rPr>
        <w:endnoteRef/>
      </w:r>
      <w:r w:rsidRPr="00815D79">
        <w:rPr>
          <w:rFonts w:cs="Times New Roman"/>
          <w:sz w:val="24"/>
        </w:rPr>
        <w:t xml:space="preserve"> </w:t>
      </w:r>
      <w:proofErr w:type="gramStart"/>
      <w:r w:rsidRPr="00815D79">
        <w:rPr>
          <w:rFonts w:cs="Times New Roman"/>
          <w:sz w:val="24"/>
        </w:rPr>
        <w:t>Honeyman, "Doing business”, 482.</w:t>
      </w:r>
      <w:proofErr w:type="gramEnd"/>
      <w:r w:rsidRPr="00815D79">
        <w:rPr>
          <w:rFonts w:cs="Times New Roman"/>
          <w:sz w:val="24"/>
        </w:rPr>
        <w:t xml:space="preserve">  </w:t>
      </w:r>
    </w:p>
  </w:endnote>
  <w:endnote w:id="25">
    <w:p w14:paraId="3F184F5F" w14:textId="77777777" w:rsidR="002A335E" w:rsidRPr="00815D79" w:rsidRDefault="002A335E" w:rsidP="00815D79">
      <w:pPr>
        <w:spacing w:line="480" w:lineRule="auto"/>
        <w:rPr>
          <w:rFonts w:cs="Times New Roman"/>
          <w:sz w:val="24"/>
        </w:rPr>
      </w:pPr>
      <w:r w:rsidRPr="00815D79">
        <w:rPr>
          <w:rStyle w:val="EndnoteReference"/>
          <w:rFonts w:cs="Times New Roman"/>
          <w:sz w:val="24"/>
        </w:rPr>
        <w:endnoteRef/>
      </w:r>
      <w:r w:rsidRPr="00815D79">
        <w:rPr>
          <w:rFonts w:cs="Times New Roman"/>
          <w:sz w:val="24"/>
        </w:rPr>
        <w:t xml:space="preserve"> </w:t>
      </w:r>
      <w:proofErr w:type="gramStart"/>
      <w:r w:rsidRPr="00815D79">
        <w:rPr>
          <w:rFonts w:cs="Times New Roman"/>
          <w:sz w:val="24"/>
        </w:rPr>
        <w:t>e</w:t>
      </w:r>
      <w:proofErr w:type="gramEnd"/>
      <w:r w:rsidRPr="00815D79">
        <w:rPr>
          <w:rFonts w:cs="Times New Roman"/>
          <w:sz w:val="24"/>
        </w:rPr>
        <w:t xml:space="preserve">.g. </w:t>
      </w:r>
      <w:r w:rsidRPr="00815D79">
        <w:rPr>
          <w:rFonts w:eastAsiaTheme="minorEastAsia" w:cs="Times New Roman"/>
          <w:sz w:val="24"/>
          <w:lang w:val="en-US"/>
        </w:rPr>
        <w:t xml:space="preserve">Morgan, "Women”; </w:t>
      </w:r>
      <w:r w:rsidRPr="00815D79">
        <w:rPr>
          <w:rFonts w:cs="Times New Roman"/>
          <w:sz w:val="24"/>
        </w:rPr>
        <w:t xml:space="preserve">Gommersall, </w:t>
      </w:r>
      <w:r w:rsidRPr="00815D79">
        <w:rPr>
          <w:rFonts w:cs="Times New Roman"/>
          <w:i/>
          <w:sz w:val="24"/>
        </w:rPr>
        <w:t>Working-Class Girls</w:t>
      </w:r>
      <w:r w:rsidRPr="00815D79">
        <w:rPr>
          <w:rFonts w:cs="Times New Roman"/>
          <w:sz w:val="24"/>
        </w:rPr>
        <w:t xml:space="preserve">. </w:t>
      </w:r>
    </w:p>
  </w:endnote>
  <w:endnote w:id="26">
    <w:p w14:paraId="22A9C90E" w14:textId="77777777" w:rsidR="002A335E" w:rsidRPr="00815D79" w:rsidRDefault="002A335E" w:rsidP="00815D79">
      <w:pPr>
        <w:pStyle w:val="EndnoteText"/>
        <w:spacing w:line="480" w:lineRule="auto"/>
        <w:rPr>
          <w:rFonts w:ascii="Times New Roman" w:hAnsi="Times New Roman" w:cs="Times New Roman"/>
          <w:sz w:val="24"/>
          <w:szCs w:val="24"/>
          <w:lang w:val="en-US"/>
        </w:rPr>
      </w:pPr>
      <w:r w:rsidRPr="00815D79">
        <w:rPr>
          <w:rStyle w:val="EndnoteReference"/>
          <w:rFonts w:ascii="Times New Roman" w:hAnsi="Times New Roman" w:cs="Times New Roman"/>
          <w:sz w:val="24"/>
          <w:szCs w:val="24"/>
        </w:rPr>
        <w:endnoteRef/>
      </w:r>
      <w:r w:rsidRPr="00815D79">
        <w:rPr>
          <w:rFonts w:ascii="Times New Roman" w:hAnsi="Times New Roman" w:cs="Times New Roman"/>
          <w:sz w:val="24"/>
          <w:szCs w:val="24"/>
        </w:rPr>
        <w:t xml:space="preserve"> </w:t>
      </w:r>
      <w:r w:rsidRPr="00815D79">
        <w:rPr>
          <w:rFonts w:ascii="Times New Roman" w:hAnsi="Times New Roman" w:cs="Times New Roman"/>
          <w:sz w:val="24"/>
          <w:szCs w:val="24"/>
          <w:lang w:val="en-US"/>
        </w:rPr>
        <w:t>Kirby, “Brief Statistical Sketch”, 231; Cunningham, “How many children”, 205-209.</w:t>
      </w:r>
    </w:p>
  </w:endnote>
  <w:endnote w:id="27">
    <w:p w14:paraId="6692D3E2" w14:textId="77777777" w:rsidR="002A335E" w:rsidRPr="00815D79" w:rsidRDefault="002A335E" w:rsidP="00815D79">
      <w:pPr>
        <w:pStyle w:val="EndnoteText"/>
        <w:spacing w:line="480" w:lineRule="auto"/>
        <w:rPr>
          <w:rFonts w:ascii="Times New Roman" w:hAnsi="Times New Roman" w:cs="Times New Roman"/>
          <w:sz w:val="24"/>
          <w:szCs w:val="24"/>
        </w:rPr>
      </w:pPr>
      <w:r w:rsidRPr="00815D79">
        <w:rPr>
          <w:rStyle w:val="EndnoteReference"/>
          <w:rFonts w:ascii="Times New Roman" w:hAnsi="Times New Roman" w:cs="Times New Roman"/>
          <w:sz w:val="24"/>
          <w:szCs w:val="24"/>
        </w:rPr>
        <w:endnoteRef/>
      </w:r>
      <w:r w:rsidRPr="00815D79">
        <w:rPr>
          <w:rFonts w:ascii="Times New Roman" w:hAnsi="Times New Roman" w:cs="Times New Roman"/>
          <w:sz w:val="24"/>
          <w:szCs w:val="24"/>
        </w:rPr>
        <w:t xml:space="preserve"> Scott and Tilly, "Women's Work”, 50 </w:t>
      </w:r>
      <w:proofErr w:type="gramStart"/>
      <w:r w:rsidRPr="00815D79">
        <w:rPr>
          <w:rFonts w:ascii="Times New Roman" w:hAnsi="Times New Roman" w:cs="Times New Roman"/>
          <w:sz w:val="24"/>
          <w:szCs w:val="24"/>
        </w:rPr>
        <w:t>et</w:t>
      </w:r>
      <w:proofErr w:type="gramEnd"/>
      <w:r w:rsidRPr="00815D79">
        <w:rPr>
          <w:rFonts w:ascii="Times New Roman" w:hAnsi="Times New Roman" w:cs="Times New Roman"/>
          <w:sz w:val="24"/>
          <w:szCs w:val="24"/>
        </w:rPr>
        <w:t xml:space="preserve"> seq.</w:t>
      </w:r>
    </w:p>
  </w:endnote>
  <w:endnote w:id="28">
    <w:p w14:paraId="29D76EFA" w14:textId="77777777" w:rsidR="002A335E" w:rsidRPr="00815D79" w:rsidRDefault="002A335E" w:rsidP="00815D79">
      <w:pPr>
        <w:pStyle w:val="EndnoteText"/>
        <w:tabs>
          <w:tab w:val="right" w:pos="8966"/>
        </w:tabs>
        <w:spacing w:line="480" w:lineRule="auto"/>
        <w:rPr>
          <w:rFonts w:ascii="Times New Roman" w:hAnsi="Times New Roman" w:cs="Times New Roman"/>
          <w:sz w:val="24"/>
          <w:szCs w:val="24"/>
        </w:rPr>
      </w:pPr>
      <w:r w:rsidRPr="00815D79">
        <w:rPr>
          <w:rStyle w:val="EndnoteReference"/>
          <w:rFonts w:ascii="Times New Roman" w:hAnsi="Times New Roman" w:cs="Times New Roman"/>
          <w:sz w:val="24"/>
          <w:szCs w:val="24"/>
        </w:rPr>
        <w:endnoteRef/>
      </w:r>
      <w:r w:rsidRPr="00815D79">
        <w:rPr>
          <w:rFonts w:ascii="Times New Roman" w:hAnsi="Times New Roman" w:cs="Times New Roman"/>
          <w:sz w:val="24"/>
          <w:szCs w:val="24"/>
        </w:rPr>
        <w:t xml:space="preserve"> Scott and Tilly, "Women's Work”, 55  </w:t>
      </w:r>
      <w:r w:rsidRPr="00815D79">
        <w:rPr>
          <w:rFonts w:ascii="Times New Roman" w:hAnsi="Times New Roman" w:cs="Times New Roman"/>
          <w:sz w:val="24"/>
          <w:szCs w:val="24"/>
        </w:rPr>
        <w:tab/>
      </w:r>
    </w:p>
  </w:endnote>
  <w:endnote w:id="29">
    <w:p w14:paraId="48C9398C" w14:textId="77777777" w:rsidR="002A335E" w:rsidRPr="00815D79" w:rsidRDefault="002A335E" w:rsidP="00815D79">
      <w:pPr>
        <w:spacing w:line="480" w:lineRule="auto"/>
        <w:rPr>
          <w:rFonts w:cs="Times New Roman"/>
          <w:sz w:val="24"/>
        </w:rPr>
      </w:pPr>
      <w:r w:rsidRPr="00815D79">
        <w:rPr>
          <w:rStyle w:val="EndnoteReference"/>
          <w:rFonts w:cs="Times New Roman"/>
          <w:sz w:val="24"/>
        </w:rPr>
        <w:endnoteRef/>
      </w:r>
      <w:r w:rsidRPr="00815D79">
        <w:rPr>
          <w:rFonts w:cs="Times New Roman"/>
          <w:sz w:val="24"/>
        </w:rPr>
        <w:t xml:space="preserve"> Chinn, </w:t>
      </w:r>
      <w:r w:rsidRPr="00815D79">
        <w:rPr>
          <w:rFonts w:cs="Times New Roman"/>
          <w:i/>
          <w:sz w:val="24"/>
        </w:rPr>
        <w:t xml:space="preserve">They worked, </w:t>
      </w:r>
      <w:r w:rsidRPr="00815D79">
        <w:rPr>
          <w:rFonts w:cs="Times New Roman"/>
          <w:sz w:val="24"/>
        </w:rPr>
        <w:t xml:space="preserve">51-52 </w:t>
      </w:r>
    </w:p>
  </w:endnote>
  <w:endnote w:id="30">
    <w:p w14:paraId="6AB189B2" w14:textId="77777777" w:rsidR="002A335E" w:rsidRPr="00815D79" w:rsidRDefault="002A335E" w:rsidP="00815D79">
      <w:pPr>
        <w:spacing w:line="480" w:lineRule="auto"/>
        <w:rPr>
          <w:rFonts w:cs="Times New Roman"/>
          <w:sz w:val="24"/>
        </w:rPr>
      </w:pPr>
      <w:r w:rsidRPr="00815D79">
        <w:rPr>
          <w:rStyle w:val="EndnoteReference"/>
          <w:rFonts w:cs="Times New Roman"/>
          <w:sz w:val="24"/>
        </w:rPr>
        <w:endnoteRef/>
      </w:r>
      <w:r w:rsidRPr="00815D79">
        <w:rPr>
          <w:rFonts w:cs="Times New Roman"/>
          <w:sz w:val="24"/>
        </w:rPr>
        <w:t xml:space="preserve"> </w:t>
      </w:r>
      <w:proofErr w:type="gramStart"/>
      <w:r w:rsidRPr="00815D79">
        <w:rPr>
          <w:rFonts w:cs="Times New Roman"/>
          <w:sz w:val="24"/>
          <w:lang w:val="en-US"/>
        </w:rPr>
        <w:t>e</w:t>
      </w:r>
      <w:proofErr w:type="gramEnd"/>
      <w:r w:rsidRPr="00815D79">
        <w:rPr>
          <w:rFonts w:cs="Times New Roman"/>
          <w:sz w:val="24"/>
          <w:lang w:val="en-US"/>
        </w:rPr>
        <w:t xml:space="preserve">.g. </w:t>
      </w:r>
      <w:r w:rsidRPr="00815D79">
        <w:rPr>
          <w:rFonts w:cs="Times New Roman"/>
          <w:sz w:val="24"/>
        </w:rPr>
        <w:t>Roberts</w:t>
      </w:r>
      <w:r w:rsidRPr="00815D79">
        <w:rPr>
          <w:rFonts w:cs="Times New Roman"/>
          <w:i/>
          <w:sz w:val="24"/>
        </w:rPr>
        <w:t xml:space="preserve">, A woman's place. </w:t>
      </w:r>
    </w:p>
  </w:endnote>
  <w:endnote w:id="31">
    <w:p w14:paraId="37FC69B3" w14:textId="77777777" w:rsidR="002A335E" w:rsidRPr="00815D79" w:rsidRDefault="002A335E" w:rsidP="00815D79">
      <w:pPr>
        <w:pStyle w:val="EndnoteText"/>
        <w:spacing w:line="480" w:lineRule="auto"/>
        <w:rPr>
          <w:rFonts w:ascii="Times New Roman" w:hAnsi="Times New Roman" w:cs="Times New Roman"/>
          <w:sz w:val="24"/>
          <w:szCs w:val="24"/>
          <w:lang w:val="en-US"/>
        </w:rPr>
      </w:pPr>
      <w:r w:rsidRPr="00815D79">
        <w:rPr>
          <w:rStyle w:val="EndnoteReference"/>
          <w:rFonts w:ascii="Times New Roman" w:hAnsi="Times New Roman" w:cs="Times New Roman"/>
          <w:sz w:val="24"/>
          <w:szCs w:val="24"/>
        </w:rPr>
        <w:endnoteRef/>
      </w:r>
      <w:r w:rsidRPr="00815D79">
        <w:rPr>
          <w:rFonts w:ascii="Times New Roman" w:hAnsi="Times New Roman" w:cs="Times New Roman"/>
          <w:sz w:val="24"/>
          <w:szCs w:val="24"/>
        </w:rPr>
        <w:t xml:space="preserve"> </w:t>
      </w:r>
      <w:proofErr w:type="gramStart"/>
      <w:r w:rsidRPr="00815D79">
        <w:rPr>
          <w:rFonts w:ascii="Times New Roman" w:hAnsi="Times New Roman" w:cs="Times New Roman"/>
          <w:sz w:val="24"/>
          <w:szCs w:val="24"/>
        </w:rPr>
        <w:t>Ross "Survival networks", 7.</w:t>
      </w:r>
      <w:proofErr w:type="gramEnd"/>
    </w:p>
  </w:endnote>
  <w:endnote w:id="32">
    <w:p w14:paraId="696FD16A" w14:textId="77777777" w:rsidR="002A335E" w:rsidRPr="00815D79" w:rsidRDefault="002A335E" w:rsidP="00815D79">
      <w:pPr>
        <w:spacing w:line="480" w:lineRule="auto"/>
        <w:rPr>
          <w:rFonts w:cs="Times New Roman"/>
          <w:sz w:val="24"/>
        </w:rPr>
      </w:pPr>
      <w:r w:rsidRPr="00815D79">
        <w:rPr>
          <w:rStyle w:val="EndnoteReference"/>
          <w:rFonts w:cs="Times New Roman"/>
          <w:sz w:val="24"/>
        </w:rPr>
        <w:endnoteRef/>
      </w:r>
      <w:r w:rsidRPr="00815D79">
        <w:rPr>
          <w:rFonts w:cs="Times New Roman"/>
          <w:sz w:val="24"/>
        </w:rPr>
        <w:t xml:space="preserve"> </w:t>
      </w:r>
      <w:proofErr w:type="gramStart"/>
      <w:r w:rsidRPr="00815D79">
        <w:rPr>
          <w:rFonts w:cs="Times New Roman"/>
          <w:sz w:val="24"/>
        </w:rPr>
        <w:t>Oren, "Welfare of women”, 121.</w:t>
      </w:r>
      <w:proofErr w:type="gramEnd"/>
      <w:r w:rsidRPr="00815D79">
        <w:rPr>
          <w:rFonts w:cs="Times New Roman"/>
          <w:sz w:val="24"/>
        </w:rPr>
        <w:t xml:space="preserve"> </w:t>
      </w:r>
    </w:p>
  </w:endnote>
  <w:endnote w:id="33">
    <w:p w14:paraId="01C1C41A" w14:textId="77777777" w:rsidR="002A335E" w:rsidRPr="00815D79" w:rsidRDefault="002A335E" w:rsidP="00815D79">
      <w:pPr>
        <w:spacing w:line="480" w:lineRule="auto"/>
        <w:rPr>
          <w:rFonts w:cs="Times New Roman"/>
          <w:sz w:val="24"/>
        </w:rPr>
      </w:pPr>
      <w:r w:rsidRPr="00815D79">
        <w:rPr>
          <w:rStyle w:val="EndnoteReference"/>
          <w:rFonts w:cs="Times New Roman"/>
          <w:sz w:val="24"/>
        </w:rPr>
        <w:endnoteRef/>
      </w:r>
      <w:r w:rsidRPr="00815D79">
        <w:rPr>
          <w:rFonts w:cs="Times New Roman"/>
          <w:sz w:val="24"/>
        </w:rPr>
        <w:t xml:space="preserve"> </w:t>
      </w:r>
      <w:proofErr w:type="gramStart"/>
      <w:r w:rsidRPr="00815D79">
        <w:rPr>
          <w:rFonts w:cs="Times New Roman"/>
          <w:sz w:val="24"/>
        </w:rPr>
        <w:t>Ross, "Survival networks", 8.</w:t>
      </w:r>
      <w:proofErr w:type="gramEnd"/>
    </w:p>
  </w:endnote>
  <w:endnote w:id="34">
    <w:p w14:paraId="018CBED7" w14:textId="77777777" w:rsidR="002A335E" w:rsidRPr="00815D79" w:rsidRDefault="002A335E" w:rsidP="00815D79">
      <w:pPr>
        <w:pStyle w:val="EndnoteText"/>
        <w:spacing w:line="480" w:lineRule="auto"/>
        <w:rPr>
          <w:rFonts w:ascii="Times New Roman" w:hAnsi="Times New Roman" w:cs="Times New Roman"/>
          <w:sz w:val="24"/>
          <w:szCs w:val="24"/>
        </w:rPr>
      </w:pPr>
      <w:r w:rsidRPr="00815D79">
        <w:rPr>
          <w:rStyle w:val="EndnoteReference"/>
          <w:rFonts w:ascii="Times New Roman" w:hAnsi="Times New Roman" w:cs="Times New Roman"/>
          <w:sz w:val="24"/>
          <w:szCs w:val="24"/>
        </w:rPr>
        <w:endnoteRef/>
      </w:r>
      <w:r w:rsidRPr="00815D79">
        <w:rPr>
          <w:rFonts w:ascii="Times New Roman" w:hAnsi="Times New Roman" w:cs="Times New Roman"/>
          <w:sz w:val="24"/>
          <w:szCs w:val="24"/>
        </w:rPr>
        <w:t xml:space="preserve"> </w:t>
      </w:r>
      <w:proofErr w:type="gramStart"/>
      <w:r w:rsidRPr="00815D79">
        <w:rPr>
          <w:rFonts w:ascii="Times New Roman" w:hAnsi="Times New Roman" w:cs="Times New Roman"/>
          <w:sz w:val="24"/>
          <w:szCs w:val="24"/>
        </w:rPr>
        <w:t>Ross, "Survival networks", 9.</w:t>
      </w:r>
      <w:proofErr w:type="gramEnd"/>
    </w:p>
  </w:endnote>
  <w:endnote w:id="35">
    <w:p w14:paraId="0F81E3BA" w14:textId="77777777" w:rsidR="002A335E" w:rsidRPr="00815D79" w:rsidRDefault="002A335E" w:rsidP="00815D79">
      <w:pPr>
        <w:spacing w:line="480" w:lineRule="auto"/>
        <w:rPr>
          <w:rFonts w:cs="Times New Roman"/>
          <w:sz w:val="24"/>
        </w:rPr>
      </w:pPr>
      <w:r w:rsidRPr="00815D79">
        <w:rPr>
          <w:rStyle w:val="EndnoteReference"/>
          <w:rFonts w:cs="Times New Roman"/>
          <w:sz w:val="24"/>
        </w:rPr>
        <w:endnoteRef/>
      </w:r>
      <w:r w:rsidRPr="00815D79">
        <w:rPr>
          <w:rFonts w:cs="Times New Roman"/>
          <w:sz w:val="24"/>
        </w:rPr>
        <w:t xml:space="preserve"> Rose, </w:t>
      </w:r>
      <w:r w:rsidRPr="00815D79">
        <w:rPr>
          <w:rFonts w:eastAsia="Times New Roman" w:cs="Times New Roman"/>
          <w:i/>
          <w:sz w:val="24"/>
        </w:rPr>
        <w:t xml:space="preserve">Limited Livelihoods; </w:t>
      </w:r>
      <w:r w:rsidRPr="00815D79">
        <w:rPr>
          <w:rFonts w:eastAsiaTheme="minorEastAsia" w:cs="Times New Roman"/>
          <w:sz w:val="24"/>
          <w:lang w:val="en-US"/>
        </w:rPr>
        <w:t xml:space="preserve">de Grazia, "Establishing”; </w:t>
      </w:r>
      <w:r w:rsidRPr="00815D79">
        <w:rPr>
          <w:rFonts w:cs="Times New Roman"/>
          <w:sz w:val="24"/>
        </w:rPr>
        <w:t xml:space="preserve">Horrell, and Oxley, "Work and prudence”. </w:t>
      </w:r>
    </w:p>
  </w:endnote>
  <w:endnote w:id="36">
    <w:p w14:paraId="050A01BA" w14:textId="77777777" w:rsidR="002A335E" w:rsidRPr="00815D79" w:rsidRDefault="002A335E" w:rsidP="00815D79">
      <w:pPr>
        <w:spacing w:line="480" w:lineRule="auto"/>
        <w:rPr>
          <w:rFonts w:cs="Times New Roman"/>
          <w:sz w:val="24"/>
          <w:highlight w:val="yellow"/>
        </w:rPr>
      </w:pPr>
      <w:r w:rsidRPr="00815D79">
        <w:rPr>
          <w:rStyle w:val="EndnoteReference"/>
          <w:rFonts w:cs="Times New Roman"/>
          <w:sz w:val="24"/>
        </w:rPr>
        <w:endnoteRef/>
      </w:r>
      <w:r w:rsidRPr="00815D79">
        <w:rPr>
          <w:rFonts w:cs="Times New Roman"/>
          <w:sz w:val="24"/>
        </w:rPr>
        <w:t xml:space="preserve"> </w:t>
      </w:r>
      <w:proofErr w:type="gramStart"/>
      <w:r w:rsidRPr="00815D79">
        <w:rPr>
          <w:rFonts w:cs="Times New Roman"/>
          <w:sz w:val="24"/>
        </w:rPr>
        <w:t>de</w:t>
      </w:r>
      <w:proofErr w:type="gramEnd"/>
      <w:r w:rsidRPr="00815D79">
        <w:rPr>
          <w:rFonts w:cs="Times New Roman"/>
          <w:sz w:val="24"/>
        </w:rPr>
        <w:t xml:space="preserve"> Grazia, "Establishing", 155-156.</w:t>
      </w:r>
    </w:p>
  </w:endnote>
  <w:endnote w:id="37">
    <w:p w14:paraId="6BF0F4E5" w14:textId="77777777" w:rsidR="002A335E" w:rsidRPr="00815D79" w:rsidRDefault="002A335E" w:rsidP="00815D79">
      <w:pPr>
        <w:pStyle w:val="EndnoteText"/>
        <w:spacing w:line="480" w:lineRule="auto"/>
        <w:rPr>
          <w:rFonts w:ascii="Times New Roman" w:hAnsi="Times New Roman" w:cs="Times New Roman"/>
          <w:sz w:val="24"/>
          <w:szCs w:val="24"/>
          <w:highlight w:val="yellow"/>
        </w:rPr>
      </w:pPr>
      <w:r w:rsidRPr="00815D79">
        <w:rPr>
          <w:rStyle w:val="EndnoteReference"/>
          <w:rFonts w:ascii="Times New Roman" w:hAnsi="Times New Roman" w:cs="Times New Roman"/>
          <w:sz w:val="24"/>
          <w:szCs w:val="24"/>
        </w:rPr>
        <w:endnoteRef/>
      </w:r>
      <w:r w:rsidRPr="00815D79">
        <w:rPr>
          <w:rFonts w:ascii="Times New Roman" w:hAnsi="Times New Roman" w:cs="Times New Roman"/>
          <w:sz w:val="24"/>
          <w:szCs w:val="24"/>
        </w:rPr>
        <w:t xml:space="preserve"> Horrell and Humphries, "Women's Labour”, 105.</w:t>
      </w:r>
    </w:p>
  </w:endnote>
  <w:endnote w:id="38">
    <w:p w14:paraId="15EFEDA9" w14:textId="77777777" w:rsidR="002A335E" w:rsidRPr="00815D79" w:rsidRDefault="002A335E" w:rsidP="00815D79">
      <w:pPr>
        <w:pStyle w:val="EndnoteText"/>
        <w:spacing w:line="480" w:lineRule="auto"/>
        <w:rPr>
          <w:rFonts w:ascii="Times New Roman" w:hAnsi="Times New Roman" w:cs="Times New Roman"/>
          <w:sz w:val="24"/>
          <w:szCs w:val="24"/>
          <w:highlight w:val="yellow"/>
          <w:lang w:val="en-US"/>
        </w:rPr>
      </w:pPr>
      <w:r w:rsidRPr="00815D79">
        <w:rPr>
          <w:rStyle w:val="EndnoteReference"/>
          <w:rFonts w:ascii="Times New Roman" w:hAnsi="Times New Roman" w:cs="Times New Roman"/>
          <w:sz w:val="24"/>
          <w:szCs w:val="24"/>
        </w:rPr>
        <w:endnoteRef/>
      </w:r>
      <w:r w:rsidRPr="00815D79">
        <w:rPr>
          <w:rFonts w:ascii="Times New Roman" w:hAnsi="Times New Roman" w:cs="Times New Roman"/>
          <w:sz w:val="24"/>
          <w:szCs w:val="24"/>
        </w:rPr>
        <w:t xml:space="preserve"> </w:t>
      </w:r>
      <w:proofErr w:type="gramStart"/>
      <w:r w:rsidRPr="00815D79">
        <w:rPr>
          <w:rFonts w:ascii="Times New Roman" w:hAnsi="Times New Roman" w:cs="Times New Roman"/>
          <w:sz w:val="24"/>
          <w:szCs w:val="24"/>
          <w:lang w:val="en-US"/>
        </w:rPr>
        <w:t xml:space="preserve">Braunstein and Folbre, </w:t>
      </w:r>
      <w:r w:rsidRPr="00815D79">
        <w:rPr>
          <w:rFonts w:ascii="Times New Roman" w:hAnsi="Times New Roman" w:cs="Times New Roman"/>
          <w:sz w:val="24"/>
          <w:szCs w:val="24"/>
        </w:rPr>
        <w:t>"To Honor and Obey", 35.</w:t>
      </w:r>
      <w:proofErr w:type="gramEnd"/>
    </w:p>
  </w:endnote>
  <w:endnote w:id="39">
    <w:p w14:paraId="307D2AD0" w14:textId="77777777" w:rsidR="002A335E" w:rsidRPr="00815D79" w:rsidRDefault="002A335E" w:rsidP="00815D79">
      <w:pPr>
        <w:pStyle w:val="EndnoteText"/>
        <w:spacing w:line="480" w:lineRule="auto"/>
        <w:rPr>
          <w:rFonts w:ascii="Times New Roman" w:hAnsi="Times New Roman" w:cs="Times New Roman"/>
          <w:sz w:val="24"/>
          <w:szCs w:val="24"/>
          <w:highlight w:val="yellow"/>
        </w:rPr>
      </w:pPr>
      <w:r w:rsidRPr="00815D79">
        <w:rPr>
          <w:rStyle w:val="EndnoteReference"/>
          <w:rFonts w:ascii="Times New Roman" w:hAnsi="Times New Roman" w:cs="Times New Roman"/>
          <w:sz w:val="24"/>
          <w:szCs w:val="24"/>
        </w:rPr>
        <w:endnoteRef/>
      </w:r>
      <w:r w:rsidRPr="00815D79">
        <w:rPr>
          <w:rFonts w:ascii="Times New Roman" w:hAnsi="Times New Roman" w:cs="Times New Roman"/>
          <w:sz w:val="24"/>
          <w:szCs w:val="24"/>
        </w:rPr>
        <w:t xml:space="preserve"> </w:t>
      </w:r>
      <w:proofErr w:type="gramStart"/>
      <w:r w:rsidRPr="00815D79">
        <w:rPr>
          <w:rFonts w:ascii="Times New Roman" w:hAnsi="Times New Roman" w:cs="Times New Roman"/>
          <w:sz w:val="24"/>
          <w:szCs w:val="24"/>
        </w:rPr>
        <w:t>Braunstein and Folbre,"To Honor and Obey", 35-36.</w:t>
      </w:r>
      <w:proofErr w:type="gramEnd"/>
    </w:p>
  </w:endnote>
  <w:endnote w:id="40">
    <w:p w14:paraId="4CE02CCD" w14:textId="77777777" w:rsidR="002A335E" w:rsidRPr="00815D79" w:rsidRDefault="002A335E" w:rsidP="00815D79">
      <w:pPr>
        <w:spacing w:line="480" w:lineRule="auto"/>
        <w:rPr>
          <w:rFonts w:cs="Times New Roman"/>
          <w:sz w:val="24"/>
          <w:highlight w:val="yellow"/>
        </w:rPr>
      </w:pPr>
      <w:r w:rsidRPr="00815D79">
        <w:rPr>
          <w:rStyle w:val="EndnoteReference"/>
          <w:rFonts w:cs="Times New Roman"/>
          <w:sz w:val="24"/>
        </w:rPr>
        <w:endnoteRef/>
      </w:r>
      <w:r w:rsidRPr="00815D79">
        <w:rPr>
          <w:rFonts w:cs="Times New Roman"/>
          <w:sz w:val="24"/>
        </w:rPr>
        <w:t xml:space="preserve"> </w:t>
      </w:r>
      <w:proofErr w:type="gramStart"/>
      <w:r w:rsidRPr="00815D79">
        <w:rPr>
          <w:rFonts w:cs="Times New Roman"/>
          <w:sz w:val="24"/>
          <w:lang w:val="en-US"/>
        </w:rPr>
        <w:t>Wadhwani, “Institutional Foundations”, 505.</w:t>
      </w:r>
      <w:proofErr w:type="gramEnd"/>
    </w:p>
  </w:endnote>
  <w:endnote w:id="41">
    <w:p w14:paraId="4F239A00" w14:textId="77777777" w:rsidR="002A335E" w:rsidRPr="00815D79" w:rsidRDefault="002A335E" w:rsidP="00815D79">
      <w:pPr>
        <w:pStyle w:val="EndnoteText"/>
        <w:spacing w:line="480" w:lineRule="auto"/>
        <w:rPr>
          <w:rFonts w:ascii="Times New Roman" w:hAnsi="Times New Roman" w:cs="Times New Roman"/>
          <w:sz w:val="24"/>
          <w:szCs w:val="24"/>
          <w:lang w:val="en-US"/>
        </w:rPr>
      </w:pPr>
      <w:r w:rsidRPr="00815D79">
        <w:rPr>
          <w:rStyle w:val="EndnoteReference"/>
          <w:rFonts w:ascii="Times New Roman" w:hAnsi="Times New Roman" w:cs="Times New Roman"/>
          <w:sz w:val="24"/>
          <w:szCs w:val="24"/>
        </w:rPr>
        <w:endnoteRef/>
      </w:r>
      <w:r w:rsidRPr="00815D79">
        <w:rPr>
          <w:rFonts w:ascii="Times New Roman" w:hAnsi="Times New Roman" w:cs="Times New Roman"/>
          <w:sz w:val="24"/>
          <w:szCs w:val="24"/>
        </w:rPr>
        <w:t xml:space="preserve"> </w:t>
      </w:r>
      <w:proofErr w:type="gramStart"/>
      <w:r w:rsidRPr="00815D79">
        <w:rPr>
          <w:rFonts w:ascii="Times New Roman" w:hAnsi="Times New Roman" w:cs="Times New Roman"/>
          <w:sz w:val="24"/>
          <w:szCs w:val="24"/>
          <w:lang w:val="en-US"/>
        </w:rPr>
        <w:t xml:space="preserve">Horne, </w:t>
      </w:r>
      <w:r w:rsidRPr="00815D79">
        <w:rPr>
          <w:rFonts w:ascii="Times New Roman" w:hAnsi="Times New Roman" w:cs="Times New Roman"/>
          <w:i/>
          <w:sz w:val="24"/>
          <w:szCs w:val="24"/>
          <w:lang w:val="en-US"/>
        </w:rPr>
        <w:t xml:space="preserve">A History, </w:t>
      </w:r>
      <w:r w:rsidRPr="00815D79">
        <w:rPr>
          <w:rFonts w:ascii="Times New Roman" w:hAnsi="Times New Roman" w:cs="Times New Roman"/>
          <w:sz w:val="24"/>
          <w:szCs w:val="24"/>
          <w:lang w:val="en-US"/>
        </w:rPr>
        <w:t>91.</w:t>
      </w:r>
      <w:proofErr w:type="gramEnd"/>
    </w:p>
  </w:endnote>
  <w:endnote w:id="42">
    <w:p w14:paraId="23D7D090" w14:textId="77777777" w:rsidR="002A335E" w:rsidRPr="00815D79" w:rsidRDefault="002A335E" w:rsidP="00815D79">
      <w:pPr>
        <w:pStyle w:val="EndnoteText"/>
        <w:spacing w:line="480" w:lineRule="auto"/>
        <w:rPr>
          <w:rFonts w:ascii="Times New Roman" w:hAnsi="Times New Roman" w:cs="Times New Roman"/>
          <w:sz w:val="24"/>
          <w:szCs w:val="24"/>
        </w:rPr>
      </w:pPr>
      <w:r w:rsidRPr="00815D79">
        <w:rPr>
          <w:rStyle w:val="EndnoteReference"/>
          <w:rFonts w:ascii="Times New Roman" w:hAnsi="Times New Roman" w:cs="Times New Roman"/>
          <w:sz w:val="24"/>
          <w:szCs w:val="24"/>
        </w:rPr>
        <w:endnoteRef/>
      </w:r>
      <w:r w:rsidRPr="00815D79">
        <w:rPr>
          <w:rFonts w:ascii="Times New Roman" w:hAnsi="Times New Roman" w:cs="Times New Roman"/>
          <w:sz w:val="24"/>
          <w:szCs w:val="24"/>
        </w:rPr>
        <w:t xml:space="preserve"> White, </w:t>
      </w:r>
      <w:r w:rsidRPr="00815D79">
        <w:rPr>
          <w:rFonts w:ascii="Times New Roman" w:hAnsi="Times New Roman" w:cs="Times New Roman"/>
          <w:i/>
          <w:sz w:val="24"/>
          <w:szCs w:val="24"/>
        </w:rPr>
        <w:t>London in the 19</w:t>
      </w:r>
      <w:r w:rsidRPr="00815D79">
        <w:rPr>
          <w:rFonts w:ascii="Times New Roman" w:hAnsi="Times New Roman" w:cs="Times New Roman"/>
          <w:i/>
          <w:sz w:val="24"/>
          <w:szCs w:val="24"/>
          <w:vertAlign w:val="superscript"/>
        </w:rPr>
        <w:t>th</w:t>
      </w:r>
      <w:r w:rsidRPr="00815D79">
        <w:rPr>
          <w:rFonts w:ascii="Times New Roman" w:hAnsi="Times New Roman" w:cs="Times New Roman"/>
          <w:i/>
          <w:sz w:val="24"/>
          <w:szCs w:val="24"/>
        </w:rPr>
        <w:t xml:space="preserve"> Century</w:t>
      </w:r>
      <w:r w:rsidRPr="00815D79">
        <w:rPr>
          <w:rFonts w:ascii="Times New Roman" w:hAnsi="Times New Roman" w:cs="Times New Roman"/>
          <w:sz w:val="24"/>
          <w:szCs w:val="24"/>
        </w:rPr>
        <w:t xml:space="preserve">, loc. 3764. </w:t>
      </w:r>
    </w:p>
  </w:endnote>
  <w:endnote w:id="43">
    <w:p w14:paraId="2968E0A2" w14:textId="77777777" w:rsidR="002A335E" w:rsidRPr="00815D79" w:rsidRDefault="002A335E" w:rsidP="00815D79">
      <w:pPr>
        <w:pStyle w:val="EndnoteText"/>
        <w:spacing w:line="480" w:lineRule="auto"/>
        <w:rPr>
          <w:rFonts w:ascii="Times New Roman" w:hAnsi="Times New Roman" w:cs="Times New Roman"/>
          <w:sz w:val="24"/>
          <w:szCs w:val="24"/>
          <w:lang w:val="en-US"/>
        </w:rPr>
      </w:pPr>
      <w:r w:rsidRPr="00815D79">
        <w:rPr>
          <w:rStyle w:val="EndnoteReference"/>
          <w:rFonts w:ascii="Times New Roman" w:hAnsi="Times New Roman" w:cs="Times New Roman"/>
          <w:sz w:val="24"/>
          <w:szCs w:val="24"/>
        </w:rPr>
        <w:endnoteRef/>
      </w:r>
      <w:r w:rsidRPr="00815D79">
        <w:rPr>
          <w:rFonts w:ascii="Times New Roman" w:hAnsi="Times New Roman" w:cs="Times New Roman"/>
          <w:sz w:val="24"/>
          <w:szCs w:val="24"/>
        </w:rPr>
        <w:t xml:space="preserve"> The reduction in UK savings banks was largely the result of the closure of smaller, rural banks that were not equipped to offer the same opening hours as the POSB after 1860. The type of depositor that the savings banks attracted were not eligible for </w:t>
      </w:r>
      <w:proofErr w:type="gramStart"/>
      <w:r w:rsidRPr="00815D79">
        <w:rPr>
          <w:rFonts w:ascii="Times New Roman" w:hAnsi="Times New Roman" w:cs="Times New Roman"/>
          <w:sz w:val="24"/>
          <w:szCs w:val="24"/>
        </w:rPr>
        <w:t>accounts</w:t>
      </w:r>
      <w:proofErr w:type="gramEnd"/>
      <w:r w:rsidRPr="00815D79">
        <w:rPr>
          <w:rFonts w:ascii="Times New Roman" w:hAnsi="Times New Roman" w:cs="Times New Roman"/>
          <w:sz w:val="24"/>
          <w:szCs w:val="24"/>
        </w:rPr>
        <w:t xml:space="preserve"> at retail banks; nor did building societies appear to be a direct competitor. A number of well-publicised fraud cases did affect confidence in the savings banks but the overall trend was towards provision centred on a smaller number of large, generally metropolitan banks.</w:t>
      </w:r>
    </w:p>
  </w:endnote>
  <w:endnote w:id="44">
    <w:p w14:paraId="377E62CC" w14:textId="77777777" w:rsidR="002A335E" w:rsidRPr="00815D79" w:rsidRDefault="002A335E" w:rsidP="00815D79">
      <w:pPr>
        <w:spacing w:line="480" w:lineRule="auto"/>
        <w:rPr>
          <w:rFonts w:cs="Times New Roman"/>
          <w:sz w:val="24"/>
        </w:rPr>
      </w:pPr>
      <w:r w:rsidRPr="00815D79">
        <w:rPr>
          <w:rFonts w:cs="Times New Roman"/>
          <w:sz w:val="24"/>
          <w:vertAlign w:val="superscript"/>
        </w:rPr>
        <w:endnoteRef/>
      </w:r>
      <w:r w:rsidRPr="00815D79">
        <w:rPr>
          <w:rFonts w:cs="Times New Roman"/>
          <w:sz w:val="24"/>
          <w:vertAlign w:val="superscript"/>
        </w:rPr>
        <w:t xml:space="preserve"> </w:t>
      </w:r>
      <w:r w:rsidRPr="00815D79">
        <w:rPr>
          <w:rFonts w:cs="Times New Roman"/>
          <w:sz w:val="24"/>
        </w:rPr>
        <w:t>United Kingdom, House of Commons, “Savings banks and friendly societies”</w:t>
      </w:r>
    </w:p>
  </w:endnote>
  <w:endnote w:id="45">
    <w:p w14:paraId="06A0EB94" w14:textId="77777777" w:rsidR="002A335E" w:rsidRPr="00815D79" w:rsidRDefault="002A335E" w:rsidP="00815D79">
      <w:pPr>
        <w:pStyle w:val="EndnoteText"/>
        <w:spacing w:line="480" w:lineRule="auto"/>
        <w:rPr>
          <w:rFonts w:ascii="Times New Roman" w:hAnsi="Times New Roman" w:cs="Times New Roman"/>
          <w:b/>
          <w:sz w:val="24"/>
          <w:szCs w:val="24"/>
        </w:rPr>
      </w:pPr>
      <w:r w:rsidRPr="00815D79">
        <w:rPr>
          <w:rStyle w:val="EndnoteReference"/>
          <w:rFonts w:ascii="Times New Roman" w:hAnsi="Times New Roman" w:cs="Times New Roman"/>
          <w:b/>
          <w:sz w:val="24"/>
          <w:szCs w:val="24"/>
        </w:rPr>
        <w:endnoteRef/>
      </w:r>
      <w:r w:rsidRPr="00815D79">
        <w:rPr>
          <w:rFonts w:ascii="Times New Roman" w:hAnsi="Times New Roman" w:cs="Times New Roman"/>
          <w:b/>
          <w:sz w:val="24"/>
          <w:szCs w:val="24"/>
        </w:rPr>
        <w:t xml:space="preserve"> </w:t>
      </w:r>
      <w:proofErr w:type="gramStart"/>
      <w:r w:rsidRPr="00815D79">
        <w:rPr>
          <w:rFonts w:ascii="Times New Roman" w:hAnsi="Times New Roman" w:cs="Times New Roman"/>
          <w:sz w:val="24"/>
          <w:szCs w:val="24"/>
        </w:rPr>
        <w:t xml:space="preserve">Whellan, </w:t>
      </w:r>
      <w:r w:rsidRPr="00815D79">
        <w:rPr>
          <w:rFonts w:ascii="Times New Roman" w:hAnsi="Times New Roman" w:cs="Times New Roman"/>
          <w:i/>
          <w:iCs/>
          <w:sz w:val="24"/>
          <w:szCs w:val="24"/>
        </w:rPr>
        <w:t xml:space="preserve">New Alphabetical Directory, </w:t>
      </w:r>
      <w:r w:rsidRPr="00815D79">
        <w:rPr>
          <w:rFonts w:ascii="Times New Roman" w:hAnsi="Times New Roman" w:cs="Times New Roman"/>
          <w:iCs/>
          <w:sz w:val="24"/>
          <w:szCs w:val="24"/>
        </w:rPr>
        <w:t>988.</w:t>
      </w:r>
      <w:proofErr w:type="gramEnd"/>
    </w:p>
  </w:endnote>
  <w:endnote w:id="46">
    <w:p w14:paraId="667A3A78" w14:textId="77777777" w:rsidR="002A335E" w:rsidRPr="00815D79" w:rsidRDefault="002A335E" w:rsidP="00815D79">
      <w:pPr>
        <w:pStyle w:val="EndnoteText"/>
        <w:spacing w:line="480" w:lineRule="auto"/>
        <w:rPr>
          <w:rFonts w:ascii="Times New Roman" w:hAnsi="Times New Roman" w:cs="Times New Roman"/>
          <w:sz w:val="24"/>
          <w:szCs w:val="24"/>
        </w:rPr>
      </w:pPr>
      <w:r w:rsidRPr="00815D79">
        <w:rPr>
          <w:rStyle w:val="EndnoteReference"/>
          <w:rFonts w:ascii="Times New Roman" w:hAnsi="Times New Roman" w:cs="Times New Roman"/>
          <w:sz w:val="24"/>
          <w:szCs w:val="24"/>
        </w:rPr>
        <w:endnoteRef/>
      </w:r>
      <w:r w:rsidRPr="00815D79">
        <w:rPr>
          <w:rFonts w:ascii="Times New Roman" w:hAnsi="Times New Roman" w:cs="Times New Roman"/>
          <w:sz w:val="24"/>
          <w:szCs w:val="24"/>
        </w:rPr>
        <w:t xml:space="preserve"> A Church of England clergyman</w:t>
      </w:r>
    </w:p>
  </w:endnote>
  <w:endnote w:id="47">
    <w:p w14:paraId="7A220626" w14:textId="77777777" w:rsidR="002A335E" w:rsidRPr="00815D79" w:rsidRDefault="002A335E" w:rsidP="00815D79">
      <w:pPr>
        <w:pStyle w:val="EndnoteText"/>
        <w:spacing w:line="480" w:lineRule="auto"/>
        <w:rPr>
          <w:rFonts w:ascii="Times New Roman" w:hAnsi="Times New Roman" w:cs="Times New Roman"/>
          <w:sz w:val="24"/>
          <w:szCs w:val="24"/>
        </w:rPr>
      </w:pPr>
      <w:r w:rsidRPr="00815D79">
        <w:rPr>
          <w:rStyle w:val="EndnoteReference"/>
          <w:rFonts w:ascii="Times New Roman" w:hAnsi="Times New Roman" w:cs="Times New Roman"/>
          <w:sz w:val="24"/>
          <w:szCs w:val="24"/>
        </w:rPr>
        <w:endnoteRef/>
      </w:r>
      <w:r w:rsidRPr="00815D79">
        <w:rPr>
          <w:rFonts w:ascii="Times New Roman" w:hAnsi="Times New Roman" w:cs="Times New Roman"/>
          <w:sz w:val="24"/>
          <w:szCs w:val="24"/>
        </w:rPr>
        <w:t xml:space="preserve"> </w:t>
      </w:r>
      <w:hyperlink r:id="rId1" w:history="1">
        <w:r w:rsidRPr="00815D79">
          <w:rPr>
            <w:rStyle w:val="Hyperlink"/>
            <w:rFonts w:ascii="Times New Roman" w:hAnsi="Times New Roman" w:cs="Times New Roman"/>
            <w:color w:val="auto"/>
            <w:sz w:val="24"/>
            <w:szCs w:val="24"/>
            <w:u w:val="none"/>
          </w:rPr>
          <w:t xml:space="preserve"> Mackenzie</w:t>
        </w:r>
      </w:hyperlink>
      <w:r w:rsidRPr="00815D79">
        <w:rPr>
          <w:rFonts w:ascii="Times New Roman" w:hAnsi="Times New Roman" w:cs="Times New Roman"/>
          <w:sz w:val="24"/>
          <w:szCs w:val="24"/>
        </w:rPr>
        <w:t xml:space="preserve"> and </w:t>
      </w:r>
      <w:r w:rsidRPr="00815D79">
        <w:rPr>
          <w:rStyle w:val="apple-converted-space"/>
          <w:rFonts w:ascii="Times New Roman" w:hAnsi="Times New Roman" w:cs="Times New Roman"/>
          <w:sz w:val="24"/>
          <w:szCs w:val="24"/>
        </w:rPr>
        <w:t xml:space="preserve">Ross, </w:t>
      </w:r>
      <w:r w:rsidRPr="00815D79">
        <w:rPr>
          <w:rStyle w:val="apple-converted-space"/>
          <w:rFonts w:ascii="Times New Roman" w:hAnsi="Times New Roman" w:cs="Times New Roman"/>
          <w:i/>
          <w:sz w:val="24"/>
          <w:szCs w:val="24"/>
        </w:rPr>
        <w:t>Palatine of Durham</w:t>
      </w:r>
      <w:r w:rsidRPr="00815D79">
        <w:rPr>
          <w:rStyle w:val="apple-converted-space"/>
          <w:rFonts w:ascii="Times New Roman" w:hAnsi="Times New Roman" w:cs="Times New Roman"/>
          <w:sz w:val="24"/>
          <w:szCs w:val="24"/>
        </w:rPr>
        <w:t xml:space="preserve">, 45.  </w:t>
      </w:r>
    </w:p>
  </w:endnote>
  <w:endnote w:id="48">
    <w:p w14:paraId="0652E9FA" w14:textId="77777777" w:rsidR="002A335E" w:rsidRPr="00815D79" w:rsidRDefault="002A335E" w:rsidP="00815D79">
      <w:pPr>
        <w:spacing w:line="480" w:lineRule="auto"/>
        <w:rPr>
          <w:rFonts w:cs="Times New Roman"/>
          <w:sz w:val="24"/>
        </w:rPr>
      </w:pPr>
      <w:r w:rsidRPr="00815D79">
        <w:rPr>
          <w:rStyle w:val="EndnoteReference"/>
          <w:rFonts w:cs="Times New Roman"/>
          <w:sz w:val="24"/>
        </w:rPr>
        <w:endnoteRef/>
      </w:r>
      <w:r w:rsidRPr="00815D79">
        <w:rPr>
          <w:rFonts w:cs="Times New Roman"/>
          <w:sz w:val="24"/>
        </w:rPr>
        <w:t xml:space="preserve"> </w:t>
      </w:r>
      <w:hyperlink r:id="rId2" w:history="1">
        <w:r w:rsidRPr="00815D79">
          <w:rPr>
            <w:rStyle w:val="Hyperlink"/>
            <w:rFonts w:cs="Times New Roman"/>
            <w:color w:val="auto"/>
            <w:sz w:val="24"/>
            <w:u w:val="none"/>
          </w:rPr>
          <w:t xml:space="preserve"> Mackenzie</w:t>
        </w:r>
      </w:hyperlink>
      <w:r w:rsidRPr="00815D79">
        <w:rPr>
          <w:rFonts w:cs="Times New Roman"/>
          <w:sz w:val="24"/>
        </w:rPr>
        <w:t xml:space="preserve">, </w:t>
      </w:r>
      <w:r w:rsidRPr="00815D79">
        <w:rPr>
          <w:rFonts w:cs="Times New Roman"/>
          <w:i/>
          <w:sz w:val="24"/>
        </w:rPr>
        <w:t xml:space="preserve">Historical Account, </w:t>
      </w:r>
      <w:r w:rsidRPr="00815D79">
        <w:rPr>
          <w:rFonts w:cs="Times New Roman"/>
          <w:sz w:val="24"/>
        </w:rPr>
        <w:t>568</w:t>
      </w:r>
    </w:p>
  </w:endnote>
  <w:endnote w:id="49">
    <w:p w14:paraId="35E6CD33" w14:textId="77777777" w:rsidR="002A335E" w:rsidRPr="00815D79" w:rsidRDefault="002A335E" w:rsidP="00815D79">
      <w:pPr>
        <w:spacing w:line="480" w:lineRule="auto"/>
        <w:rPr>
          <w:rFonts w:cs="Times New Roman"/>
          <w:sz w:val="24"/>
        </w:rPr>
      </w:pPr>
      <w:r w:rsidRPr="00815D79">
        <w:rPr>
          <w:rFonts w:cs="Times New Roman"/>
          <w:sz w:val="24"/>
          <w:vertAlign w:val="superscript"/>
        </w:rPr>
        <w:endnoteRef/>
      </w:r>
      <w:r w:rsidRPr="00815D79">
        <w:rPr>
          <w:rFonts w:cs="Times New Roman"/>
          <w:sz w:val="24"/>
        </w:rPr>
        <w:t xml:space="preserve"> United Kingdom. </w:t>
      </w:r>
      <w:proofErr w:type="gramStart"/>
      <w:r w:rsidRPr="00815D79">
        <w:rPr>
          <w:rFonts w:cs="Times New Roman"/>
          <w:sz w:val="24"/>
        </w:rPr>
        <w:t>House of Commons.</w:t>
      </w:r>
      <w:proofErr w:type="gramEnd"/>
      <w:r w:rsidRPr="00815D79">
        <w:rPr>
          <w:rFonts w:cs="Times New Roman"/>
          <w:sz w:val="24"/>
        </w:rPr>
        <w:t xml:space="preserve"> “Return of savings banks in the United Kingdom”</w:t>
      </w:r>
    </w:p>
  </w:endnote>
  <w:endnote w:id="50">
    <w:p w14:paraId="725AEBE6" w14:textId="77777777" w:rsidR="002A335E" w:rsidRPr="00815D79" w:rsidRDefault="002A335E" w:rsidP="00815D79">
      <w:pPr>
        <w:pStyle w:val="EndnoteText"/>
        <w:spacing w:line="480" w:lineRule="auto"/>
        <w:rPr>
          <w:rFonts w:ascii="Times New Roman" w:hAnsi="Times New Roman" w:cs="Times New Roman"/>
          <w:sz w:val="24"/>
          <w:szCs w:val="24"/>
          <w:lang w:val="en-US"/>
        </w:rPr>
      </w:pPr>
      <w:r w:rsidRPr="00815D79">
        <w:rPr>
          <w:rStyle w:val="EndnoteReference"/>
          <w:rFonts w:ascii="Times New Roman" w:hAnsi="Times New Roman" w:cs="Times New Roman"/>
          <w:sz w:val="24"/>
          <w:szCs w:val="24"/>
        </w:rPr>
        <w:endnoteRef/>
      </w:r>
      <w:r w:rsidRPr="00815D79">
        <w:rPr>
          <w:rFonts w:ascii="Times New Roman" w:hAnsi="Times New Roman" w:cs="Times New Roman"/>
          <w:sz w:val="24"/>
          <w:szCs w:val="24"/>
        </w:rPr>
        <w:t xml:space="preserve"> </w:t>
      </w:r>
      <w:proofErr w:type="gramStart"/>
      <w:r w:rsidRPr="00815D79">
        <w:rPr>
          <w:rFonts w:ascii="Times New Roman" w:hAnsi="Times New Roman" w:cs="Times New Roman"/>
          <w:sz w:val="24"/>
          <w:szCs w:val="24"/>
          <w:lang w:val="en-US"/>
        </w:rPr>
        <w:t xml:space="preserve">Johnson, </w:t>
      </w:r>
      <w:r w:rsidRPr="00815D79">
        <w:rPr>
          <w:rFonts w:ascii="Times New Roman" w:hAnsi="Times New Roman" w:cs="Times New Roman"/>
          <w:i/>
          <w:sz w:val="24"/>
          <w:szCs w:val="24"/>
          <w:lang w:val="en-US"/>
        </w:rPr>
        <w:t xml:space="preserve">Saving and Spending, </w:t>
      </w:r>
      <w:r w:rsidRPr="00815D79">
        <w:rPr>
          <w:rFonts w:ascii="Times New Roman" w:hAnsi="Times New Roman" w:cs="Times New Roman"/>
          <w:sz w:val="24"/>
          <w:szCs w:val="24"/>
          <w:lang w:val="en-US"/>
        </w:rPr>
        <w:t>95.</w:t>
      </w:r>
      <w:proofErr w:type="gramEnd"/>
    </w:p>
  </w:endnote>
  <w:endnote w:id="51">
    <w:p w14:paraId="2518D69C" w14:textId="77777777" w:rsidR="002A335E" w:rsidRPr="00815D79" w:rsidRDefault="002A335E" w:rsidP="00815D79">
      <w:pPr>
        <w:spacing w:line="480" w:lineRule="auto"/>
        <w:rPr>
          <w:rFonts w:cs="Times New Roman"/>
          <w:sz w:val="24"/>
          <w:highlight w:val="yellow"/>
        </w:rPr>
      </w:pPr>
      <w:r w:rsidRPr="00815D79">
        <w:rPr>
          <w:rStyle w:val="EndnoteReference"/>
          <w:rFonts w:cs="Times New Roman"/>
          <w:sz w:val="24"/>
        </w:rPr>
        <w:endnoteRef/>
      </w:r>
      <w:r w:rsidRPr="00815D79">
        <w:rPr>
          <w:rFonts w:cs="Times New Roman"/>
          <w:sz w:val="24"/>
        </w:rPr>
        <w:t xml:space="preserve"> </w:t>
      </w:r>
      <w:proofErr w:type="gramStart"/>
      <w:r w:rsidRPr="00815D79">
        <w:rPr>
          <w:rFonts w:cs="Times New Roman"/>
          <w:color w:val="000000"/>
          <w:sz w:val="24"/>
        </w:rPr>
        <w:t>Maltby</w:t>
      </w:r>
      <w:r w:rsidRPr="00815D79">
        <w:rPr>
          <w:rFonts w:cs="Times New Roman"/>
          <w:sz w:val="24"/>
        </w:rPr>
        <w:t>,</w:t>
      </w:r>
      <w:r w:rsidRPr="00815D79">
        <w:rPr>
          <w:rFonts w:cs="Times New Roman"/>
          <w:color w:val="000000"/>
          <w:sz w:val="24"/>
        </w:rPr>
        <w:t xml:space="preserve"> "</w:t>
      </w:r>
      <w:r w:rsidRPr="00815D79">
        <w:rPr>
          <w:rFonts w:cs="Times New Roman"/>
          <w:sz w:val="24"/>
          <w:shd w:val="clear" w:color="auto" w:fill="FFFFFF"/>
        </w:rPr>
        <w:t>To bind”, 209-211.</w:t>
      </w:r>
      <w:proofErr w:type="gramEnd"/>
    </w:p>
  </w:endnote>
  <w:endnote w:id="52">
    <w:p w14:paraId="44EDE27B" w14:textId="77777777" w:rsidR="002A335E" w:rsidRPr="00471D6A" w:rsidRDefault="002A335E" w:rsidP="00471D6A">
      <w:pPr>
        <w:spacing w:line="480" w:lineRule="auto"/>
        <w:rPr>
          <w:rFonts w:cs="Times New Roman"/>
          <w:sz w:val="24"/>
          <w:highlight w:val="yellow"/>
          <w:lang w:val="en-US"/>
        </w:rPr>
      </w:pPr>
      <w:r w:rsidRPr="00815D79">
        <w:rPr>
          <w:rStyle w:val="EndnoteReference"/>
          <w:rFonts w:cs="Times New Roman"/>
          <w:sz w:val="24"/>
        </w:rPr>
        <w:endnoteRef/>
      </w:r>
      <w:r w:rsidRPr="00815D79">
        <w:rPr>
          <w:rFonts w:cs="Times New Roman"/>
          <w:sz w:val="24"/>
        </w:rPr>
        <w:t xml:space="preserve"> </w:t>
      </w:r>
      <w:r w:rsidRPr="00815D79">
        <w:rPr>
          <w:rFonts w:eastAsiaTheme="minorEastAsia" w:cs="Times New Roman"/>
          <w:sz w:val="24"/>
        </w:rPr>
        <w:t xml:space="preserve">Further sub-categories of these four basic account types could emerge – as the case of the "in and out account" – by collecting data of each transaction, time period between transactions, balance and interest payments. This is a further refinement of the model of </w:t>
      </w:r>
      <w:r w:rsidRPr="00471D6A">
        <w:rPr>
          <w:rFonts w:eastAsiaTheme="minorEastAsia" w:cs="Times New Roman"/>
          <w:sz w:val="24"/>
        </w:rPr>
        <w:t xml:space="preserve">account usage that a larger, funded research project would establish. </w:t>
      </w:r>
    </w:p>
  </w:endnote>
  <w:endnote w:id="53">
    <w:p w14:paraId="7B52003A" w14:textId="72081D87" w:rsidR="002A335E" w:rsidRPr="00471D6A" w:rsidRDefault="002A335E" w:rsidP="00471D6A">
      <w:pPr>
        <w:pStyle w:val="EndnoteText"/>
        <w:spacing w:line="480" w:lineRule="auto"/>
        <w:rPr>
          <w:rFonts w:ascii="Times New Roman" w:hAnsi="Times New Roman" w:cs="Times New Roman"/>
          <w:sz w:val="24"/>
          <w:szCs w:val="24"/>
          <w:lang w:val="en-US"/>
        </w:rPr>
      </w:pPr>
      <w:r w:rsidRPr="00471D6A">
        <w:rPr>
          <w:rStyle w:val="EndnoteReference"/>
          <w:rFonts w:ascii="Times New Roman" w:hAnsi="Times New Roman" w:cs="Times New Roman"/>
          <w:sz w:val="24"/>
          <w:szCs w:val="24"/>
        </w:rPr>
        <w:endnoteRef/>
      </w:r>
      <w:r w:rsidRPr="00471D6A">
        <w:rPr>
          <w:rFonts w:ascii="Times New Roman" w:hAnsi="Times New Roman" w:cs="Times New Roman"/>
          <w:sz w:val="24"/>
          <w:szCs w:val="24"/>
        </w:rPr>
        <w:t xml:space="preserve"> </w:t>
      </w:r>
      <w:r w:rsidRPr="00471D6A">
        <w:rPr>
          <w:rFonts w:ascii="Times New Roman" w:hAnsi="Times New Roman" w:cs="Times New Roman"/>
          <w:sz w:val="24"/>
          <w:szCs w:val="24"/>
          <w:lang w:val="en-US"/>
        </w:rPr>
        <w:t xml:space="preserve">Spectator, </w:t>
      </w:r>
      <w:r w:rsidR="00471D6A" w:rsidRPr="00471D6A">
        <w:rPr>
          <w:rFonts w:ascii="Times New Roman" w:hAnsi="Times New Roman" w:cs="Times New Roman"/>
          <w:sz w:val="24"/>
          <w:szCs w:val="24"/>
          <w:lang w:val="en-US"/>
        </w:rPr>
        <w:t xml:space="preserve">“Law’, </w:t>
      </w:r>
      <w:r w:rsidRPr="00471D6A">
        <w:rPr>
          <w:rFonts w:ascii="Times New Roman" w:hAnsi="Times New Roman" w:cs="Times New Roman"/>
          <w:sz w:val="24"/>
          <w:szCs w:val="24"/>
          <w:lang w:val="en-US"/>
        </w:rPr>
        <w:t>347.</w:t>
      </w:r>
    </w:p>
  </w:endnote>
  <w:endnote w:id="54">
    <w:p w14:paraId="75167148" w14:textId="77777777" w:rsidR="002A335E" w:rsidRPr="00815D79" w:rsidRDefault="002A335E" w:rsidP="00471D6A">
      <w:pPr>
        <w:pStyle w:val="EndnoteText"/>
        <w:spacing w:line="480" w:lineRule="auto"/>
        <w:rPr>
          <w:rFonts w:ascii="Times New Roman" w:hAnsi="Times New Roman" w:cs="Times New Roman"/>
          <w:sz w:val="24"/>
          <w:szCs w:val="24"/>
        </w:rPr>
      </w:pPr>
      <w:r w:rsidRPr="00471D6A">
        <w:rPr>
          <w:rStyle w:val="EndnoteReference"/>
          <w:rFonts w:ascii="Times New Roman" w:hAnsi="Times New Roman" w:cs="Times New Roman"/>
          <w:sz w:val="24"/>
          <w:szCs w:val="24"/>
        </w:rPr>
        <w:endnoteRef/>
      </w:r>
      <w:r w:rsidRPr="00471D6A">
        <w:rPr>
          <w:rFonts w:ascii="Times New Roman" w:hAnsi="Times New Roman" w:cs="Times New Roman"/>
          <w:sz w:val="24"/>
          <w:szCs w:val="24"/>
        </w:rPr>
        <w:t xml:space="preserve"> Married women were not only savers but also active as investors before and after 1870, although pre-1870 trusts were needed to allow them to retain control of assets after marriage.</w:t>
      </w:r>
      <w:r w:rsidRPr="00815D79">
        <w:rPr>
          <w:rFonts w:ascii="Times New Roman" w:hAnsi="Times New Roman" w:cs="Times New Roman"/>
          <w:sz w:val="24"/>
          <w:szCs w:val="24"/>
        </w:rPr>
        <w:t xml:space="preserve">  See, for example, Newton and Cottrell, "Female investors”</w:t>
      </w:r>
      <w:proofErr w:type="gramStart"/>
      <w:r w:rsidRPr="00815D79">
        <w:rPr>
          <w:rFonts w:ascii="Times New Roman" w:hAnsi="Times New Roman" w:cs="Times New Roman"/>
          <w:sz w:val="24"/>
          <w:szCs w:val="24"/>
        </w:rPr>
        <w:t>;  Freeman</w:t>
      </w:r>
      <w:proofErr w:type="gramEnd"/>
      <w:r w:rsidRPr="00815D79">
        <w:rPr>
          <w:rFonts w:ascii="Times New Roman" w:hAnsi="Times New Roman" w:cs="Times New Roman"/>
          <w:sz w:val="24"/>
          <w:szCs w:val="24"/>
        </w:rPr>
        <w:t xml:space="preserve">, Pearson and Taylor, </w:t>
      </w:r>
      <w:r w:rsidRPr="00815D79">
        <w:rPr>
          <w:rFonts w:ascii="Times New Roman" w:hAnsi="Times New Roman" w:cs="Times New Roman"/>
          <w:bCs/>
          <w:i/>
          <w:sz w:val="24"/>
          <w:szCs w:val="24"/>
          <w:shd w:val="clear" w:color="auto" w:fill="FFFFFF"/>
        </w:rPr>
        <w:t>Shareholder democracies?</w:t>
      </w:r>
      <w:r w:rsidRPr="00815D79">
        <w:rPr>
          <w:rFonts w:ascii="Times New Roman" w:hAnsi="Times New Roman" w:cs="Times New Roman"/>
          <w:bCs/>
          <w:sz w:val="24"/>
          <w:szCs w:val="24"/>
          <w:shd w:val="clear" w:color="auto" w:fill="FFFFFF"/>
        </w:rPr>
        <w:t>;</w:t>
      </w:r>
      <w:r w:rsidRPr="00815D79">
        <w:rPr>
          <w:rFonts w:ascii="Times New Roman" w:hAnsi="Times New Roman" w:cs="Times New Roman"/>
          <w:bCs/>
          <w:i/>
          <w:sz w:val="24"/>
          <w:szCs w:val="24"/>
          <w:shd w:val="clear" w:color="auto" w:fill="FFFFFF"/>
        </w:rPr>
        <w:t xml:space="preserve"> </w:t>
      </w:r>
      <w:r w:rsidRPr="00815D79">
        <w:rPr>
          <w:rFonts w:ascii="Times New Roman" w:hAnsi="Times New Roman" w:cs="Times New Roman"/>
          <w:sz w:val="24"/>
          <w:szCs w:val="24"/>
          <w:shd w:val="clear" w:color="auto" w:fill="FFFFFF"/>
        </w:rPr>
        <w:t xml:space="preserve">Laurence, Maltby and Rutterford, </w:t>
      </w:r>
      <w:r w:rsidRPr="00815D79">
        <w:rPr>
          <w:rStyle w:val="Strong"/>
          <w:rFonts w:ascii="Times New Roman" w:hAnsi="Times New Roman" w:cs="Times New Roman"/>
          <w:b w:val="0"/>
          <w:i/>
          <w:sz w:val="24"/>
          <w:szCs w:val="24"/>
          <w:shd w:val="clear" w:color="auto" w:fill="FFFFFF"/>
        </w:rPr>
        <w:t>Women and their money</w:t>
      </w:r>
      <w:r w:rsidRPr="00815D79">
        <w:rPr>
          <w:rStyle w:val="Strong"/>
          <w:rFonts w:ascii="Times New Roman" w:hAnsi="Times New Roman" w:cs="Times New Roman"/>
          <w:b w:val="0"/>
          <w:sz w:val="24"/>
          <w:szCs w:val="24"/>
          <w:shd w:val="clear" w:color="auto" w:fill="FFFFFF"/>
        </w:rPr>
        <w:t>;</w:t>
      </w:r>
      <w:r w:rsidRPr="00815D79">
        <w:rPr>
          <w:rStyle w:val="Strong"/>
          <w:rFonts w:ascii="Times New Roman" w:hAnsi="Times New Roman" w:cs="Times New Roman"/>
          <w:b w:val="0"/>
          <w:i/>
          <w:sz w:val="24"/>
          <w:szCs w:val="24"/>
          <w:shd w:val="clear" w:color="auto" w:fill="FFFFFF"/>
        </w:rPr>
        <w:t xml:space="preserve"> </w:t>
      </w:r>
      <w:r w:rsidRPr="00815D79">
        <w:rPr>
          <w:rFonts w:ascii="Times New Roman" w:hAnsi="Times New Roman" w:cs="Times New Roman"/>
          <w:sz w:val="24"/>
          <w:szCs w:val="24"/>
        </w:rPr>
        <w:t xml:space="preserve">Rutterford and Maltby, “'The Widow”.  </w:t>
      </w:r>
    </w:p>
  </w:endnote>
  <w:endnote w:id="55">
    <w:p w14:paraId="7904C6DF" w14:textId="77777777" w:rsidR="002A335E" w:rsidRPr="00815D79" w:rsidRDefault="002A335E" w:rsidP="00815D79">
      <w:pPr>
        <w:pStyle w:val="EndnoteText"/>
        <w:spacing w:line="480" w:lineRule="auto"/>
        <w:rPr>
          <w:rFonts w:ascii="Times New Roman" w:hAnsi="Times New Roman" w:cs="Times New Roman"/>
          <w:sz w:val="24"/>
          <w:szCs w:val="24"/>
          <w:lang w:val="en-US"/>
        </w:rPr>
      </w:pPr>
      <w:r w:rsidRPr="00815D79">
        <w:rPr>
          <w:rStyle w:val="EndnoteReference"/>
          <w:rFonts w:ascii="Times New Roman" w:hAnsi="Times New Roman" w:cs="Times New Roman"/>
          <w:sz w:val="24"/>
          <w:szCs w:val="24"/>
        </w:rPr>
        <w:endnoteRef/>
      </w:r>
      <w:r w:rsidRPr="00815D79">
        <w:rPr>
          <w:rFonts w:ascii="Times New Roman" w:hAnsi="Times New Roman" w:cs="Times New Roman"/>
          <w:sz w:val="24"/>
          <w:szCs w:val="24"/>
        </w:rPr>
        <w:t xml:space="preserve"> In 1861 Mrs Emma Jane reported to the bank that her husband had taken her passbook without her permission and intended to withdraw the full 10s balance at the next available opportunity. The clerk released the funds to the woman immediately and retained the passbook on the closed account when the husband later arrived at the bank. Ledger E, Limehouse Savings Bank, I/LSB/4 1861 Pages 521-522</w:t>
      </w:r>
      <w:r w:rsidRPr="00815D79">
        <w:rPr>
          <w:rFonts w:ascii="Times New Roman" w:hAnsi="Times New Roman" w:cs="Times New Roman"/>
          <w:sz w:val="24"/>
          <w:szCs w:val="24"/>
          <w:lang w:val="en-US"/>
        </w:rPr>
        <w:t xml:space="preserve"> </w:t>
      </w:r>
    </w:p>
  </w:endnote>
  <w:endnote w:id="56">
    <w:p w14:paraId="474E529F" w14:textId="77777777" w:rsidR="002A335E" w:rsidRPr="00815D79" w:rsidRDefault="002A335E" w:rsidP="00815D79">
      <w:pPr>
        <w:autoSpaceDE w:val="0"/>
        <w:autoSpaceDN w:val="0"/>
        <w:adjustRightInd w:val="0"/>
        <w:spacing w:line="480" w:lineRule="auto"/>
        <w:rPr>
          <w:rFonts w:cs="Times New Roman"/>
          <w:sz w:val="24"/>
          <w:highlight w:val="yellow"/>
        </w:rPr>
      </w:pPr>
      <w:r w:rsidRPr="00815D79">
        <w:rPr>
          <w:rStyle w:val="EndnoteReference"/>
          <w:rFonts w:cs="Times New Roman"/>
          <w:sz w:val="24"/>
        </w:rPr>
        <w:endnoteRef/>
      </w:r>
      <w:r w:rsidRPr="00815D79">
        <w:rPr>
          <w:rFonts w:eastAsiaTheme="minorEastAsia" w:cs="Times New Roman"/>
          <w:sz w:val="24"/>
        </w:rPr>
        <w:t xml:space="preserve"> </w:t>
      </w:r>
      <w:proofErr w:type="gramStart"/>
      <w:r w:rsidRPr="00815D79">
        <w:rPr>
          <w:rFonts w:eastAsiaTheme="minorEastAsia" w:cs="Times New Roman"/>
          <w:sz w:val="24"/>
        </w:rPr>
        <w:t>Combs, “Wives”, 153.</w:t>
      </w:r>
      <w:proofErr w:type="gramEnd"/>
    </w:p>
  </w:endnote>
  <w:endnote w:id="57">
    <w:p w14:paraId="22C4701C" w14:textId="77777777" w:rsidR="002A335E" w:rsidRPr="00815D79" w:rsidRDefault="002A335E" w:rsidP="00815D79">
      <w:pPr>
        <w:spacing w:line="480" w:lineRule="auto"/>
        <w:rPr>
          <w:rFonts w:cs="Times New Roman"/>
          <w:sz w:val="24"/>
          <w:lang w:val="en-US"/>
        </w:rPr>
      </w:pPr>
      <w:r w:rsidRPr="00815D79">
        <w:rPr>
          <w:rStyle w:val="EndnoteReference"/>
          <w:rFonts w:cs="Times New Roman"/>
          <w:sz w:val="24"/>
        </w:rPr>
        <w:endnoteRef/>
      </w:r>
      <w:r w:rsidRPr="00815D79">
        <w:rPr>
          <w:rFonts w:eastAsia="Times New Roman" w:cs="Times New Roman"/>
          <w:color w:val="000000"/>
          <w:sz w:val="24"/>
          <w:lang w:eastAsia="en-GB"/>
        </w:rPr>
        <w:t xml:space="preserve"> </w:t>
      </w:r>
      <w:proofErr w:type="gramStart"/>
      <w:r w:rsidRPr="00815D79">
        <w:rPr>
          <w:rFonts w:eastAsia="Times New Roman" w:cs="Times New Roman"/>
          <w:color w:val="000000"/>
          <w:sz w:val="24"/>
          <w:lang w:eastAsia="en-GB"/>
        </w:rPr>
        <w:t xml:space="preserve">Forbes, </w:t>
      </w:r>
      <w:r w:rsidRPr="00815D79">
        <w:rPr>
          <w:rFonts w:eastAsia="Times New Roman" w:cs="Times New Roman"/>
          <w:i/>
          <w:color w:val="000000"/>
          <w:sz w:val="24"/>
          <w:lang w:eastAsia="en-GB"/>
        </w:rPr>
        <w:t xml:space="preserve">The Law, </w:t>
      </w:r>
      <w:r w:rsidRPr="00815D79">
        <w:rPr>
          <w:rFonts w:eastAsia="Times New Roman" w:cs="Times New Roman"/>
          <w:color w:val="000000"/>
          <w:sz w:val="24"/>
          <w:lang w:eastAsia="en-GB"/>
        </w:rPr>
        <w:t>160-166.</w:t>
      </w:r>
      <w:proofErr w:type="gramEnd"/>
      <w:r w:rsidRPr="00815D79">
        <w:rPr>
          <w:rFonts w:eastAsia="Times New Roman" w:cs="Times New Roman"/>
          <w:i/>
          <w:color w:val="000000"/>
          <w:sz w:val="24"/>
          <w:lang w:eastAsia="en-GB"/>
        </w:rPr>
        <w:t xml:space="preserve"> </w:t>
      </w:r>
    </w:p>
  </w:endnote>
  <w:endnote w:id="58">
    <w:p w14:paraId="650DAD8C" w14:textId="77777777" w:rsidR="002A335E" w:rsidRPr="00815D79" w:rsidRDefault="002A335E" w:rsidP="00815D79">
      <w:pPr>
        <w:spacing w:line="480" w:lineRule="auto"/>
        <w:rPr>
          <w:rFonts w:cs="Times New Roman"/>
          <w:sz w:val="24"/>
          <w:lang w:val="en-US"/>
        </w:rPr>
      </w:pPr>
      <w:r w:rsidRPr="00815D79">
        <w:rPr>
          <w:rStyle w:val="EndnoteReference"/>
          <w:rFonts w:cs="Times New Roman"/>
          <w:sz w:val="24"/>
        </w:rPr>
        <w:endnoteRef/>
      </w:r>
      <w:r w:rsidRPr="00815D79">
        <w:rPr>
          <w:rFonts w:cs="Times New Roman"/>
          <w:sz w:val="24"/>
        </w:rPr>
        <w:t xml:space="preserve"> The increase of married women accounts in the 1850s and 1860s appears to come as a result of the move away from "non-standard" accounts. Non-standard accounts are a feature of the larger urban savings banks i.e. Limehouse, Sheffield and Hallam and Newcastle and included joint family accounts, joint married accounts and accounts operated between friends and workmates. For a fuller discussion see Perriton, “Depositor Trends”, 2012. </w:t>
      </w:r>
    </w:p>
  </w:endnote>
  <w:endnote w:id="59">
    <w:p w14:paraId="58C7C9B8" w14:textId="77777777" w:rsidR="002A335E" w:rsidRPr="00815D79" w:rsidRDefault="002A335E" w:rsidP="00815D79">
      <w:pPr>
        <w:autoSpaceDE w:val="0"/>
        <w:autoSpaceDN w:val="0"/>
        <w:adjustRightInd w:val="0"/>
        <w:spacing w:line="480" w:lineRule="auto"/>
        <w:rPr>
          <w:rFonts w:cs="Times New Roman"/>
          <w:sz w:val="24"/>
          <w:lang w:val="en-US"/>
        </w:rPr>
      </w:pPr>
      <w:r w:rsidRPr="00815D79">
        <w:rPr>
          <w:rStyle w:val="EndnoteReference"/>
          <w:rFonts w:cs="Times New Roman"/>
          <w:sz w:val="24"/>
        </w:rPr>
        <w:endnoteRef/>
      </w:r>
      <w:r w:rsidRPr="00815D79">
        <w:rPr>
          <w:rFonts w:cs="Times New Roman"/>
          <w:sz w:val="24"/>
        </w:rPr>
        <w:t xml:space="preserve"> </w:t>
      </w:r>
      <w:proofErr w:type="gramStart"/>
      <w:r w:rsidRPr="00815D79">
        <w:rPr>
          <w:rFonts w:eastAsiaTheme="minorEastAsia" w:cs="Times New Roman"/>
          <w:sz w:val="24"/>
        </w:rPr>
        <w:t>Maltby, "The wife's administration”, 195.</w:t>
      </w:r>
      <w:proofErr w:type="gramEnd"/>
      <w:r w:rsidRPr="00815D79">
        <w:rPr>
          <w:rFonts w:eastAsiaTheme="minorEastAsia" w:cs="Times New Roman"/>
          <w:sz w:val="24"/>
        </w:rPr>
        <w:t xml:space="preserve"> </w:t>
      </w:r>
    </w:p>
  </w:endnote>
  <w:endnote w:id="60">
    <w:p w14:paraId="03928D56" w14:textId="77777777" w:rsidR="002A335E" w:rsidRPr="00815D79" w:rsidRDefault="002A335E" w:rsidP="00815D79">
      <w:pPr>
        <w:pStyle w:val="EndnoteText"/>
        <w:spacing w:line="480" w:lineRule="auto"/>
        <w:rPr>
          <w:rFonts w:ascii="Times New Roman" w:hAnsi="Times New Roman" w:cs="Times New Roman"/>
          <w:sz w:val="24"/>
          <w:szCs w:val="24"/>
          <w:lang w:val="en-US"/>
        </w:rPr>
      </w:pPr>
      <w:r w:rsidRPr="00815D79">
        <w:rPr>
          <w:rStyle w:val="EndnoteReference"/>
          <w:rFonts w:ascii="Times New Roman" w:hAnsi="Times New Roman" w:cs="Times New Roman"/>
          <w:sz w:val="24"/>
          <w:szCs w:val="24"/>
        </w:rPr>
        <w:endnoteRef/>
      </w:r>
      <w:r w:rsidRPr="00815D79">
        <w:rPr>
          <w:rFonts w:ascii="Times New Roman" w:hAnsi="Times New Roman" w:cs="Times New Roman"/>
          <w:sz w:val="24"/>
          <w:szCs w:val="24"/>
        </w:rPr>
        <w:t xml:space="preserve"> Savings bank regulations allowed for relatives to claim amounts of less than £50 from a deceased family member’s account without the evidence of a will or expression of wish. It is therefore quite likely that some of the accounts opened with £30 lump sums are as a result of inheritance. However, it was also possible for family members to assume ownership of the deceased’s bank account and there are examples of this type of transfer of account ownership in the records.</w:t>
      </w:r>
    </w:p>
  </w:endnote>
  <w:endnote w:id="61">
    <w:p w14:paraId="2844C887" w14:textId="77777777" w:rsidR="002A335E" w:rsidRPr="00815D79" w:rsidRDefault="002A335E" w:rsidP="00815D79">
      <w:pPr>
        <w:pStyle w:val="EndnoteText"/>
        <w:spacing w:line="480" w:lineRule="auto"/>
        <w:rPr>
          <w:rFonts w:ascii="Times New Roman" w:hAnsi="Times New Roman" w:cs="Times New Roman"/>
          <w:sz w:val="24"/>
          <w:szCs w:val="24"/>
          <w:lang w:val="en-US"/>
        </w:rPr>
      </w:pPr>
      <w:r w:rsidRPr="00815D79">
        <w:rPr>
          <w:rStyle w:val="EndnoteReference"/>
          <w:rFonts w:ascii="Times New Roman" w:hAnsi="Times New Roman" w:cs="Times New Roman"/>
          <w:sz w:val="24"/>
          <w:szCs w:val="24"/>
        </w:rPr>
        <w:endnoteRef/>
      </w:r>
      <w:r w:rsidRPr="00815D79">
        <w:rPr>
          <w:rFonts w:ascii="Times New Roman" w:hAnsi="Times New Roman" w:cs="Times New Roman"/>
          <w:sz w:val="24"/>
          <w:szCs w:val="24"/>
        </w:rPr>
        <w:t xml:space="preserve"> </w:t>
      </w:r>
      <w:r w:rsidRPr="00815D79">
        <w:rPr>
          <w:rFonts w:ascii="Times New Roman" w:eastAsia="Times New Roman" w:hAnsi="Times New Roman" w:cs="Times New Roman"/>
          <w:sz w:val="24"/>
          <w:szCs w:val="24"/>
          <w:shd w:val="clear" w:color="auto" w:fill="FFFFFF"/>
        </w:rPr>
        <w:t xml:space="preserve">Shaw-Taylor and Goose, "Diverse experiences”, 21. </w:t>
      </w:r>
    </w:p>
  </w:endnote>
  <w:endnote w:id="62">
    <w:p w14:paraId="71CDA3EE" w14:textId="77777777" w:rsidR="002A335E" w:rsidRPr="00815D79" w:rsidRDefault="002A335E" w:rsidP="00815D79">
      <w:pPr>
        <w:pStyle w:val="EndnoteText"/>
        <w:spacing w:line="480" w:lineRule="auto"/>
        <w:rPr>
          <w:rFonts w:ascii="Times New Roman" w:hAnsi="Times New Roman" w:cs="Times New Roman"/>
          <w:sz w:val="24"/>
          <w:szCs w:val="24"/>
        </w:rPr>
      </w:pPr>
      <w:r w:rsidRPr="00815D79">
        <w:rPr>
          <w:rStyle w:val="EndnoteReference"/>
          <w:rFonts w:ascii="Times New Roman" w:hAnsi="Times New Roman" w:cs="Times New Roman"/>
          <w:sz w:val="24"/>
          <w:szCs w:val="24"/>
        </w:rPr>
        <w:endnoteRef/>
      </w:r>
      <w:r w:rsidRPr="00815D79">
        <w:rPr>
          <w:rFonts w:ascii="Times New Roman" w:hAnsi="Times New Roman" w:cs="Times New Roman"/>
          <w:sz w:val="24"/>
          <w:szCs w:val="24"/>
        </w:rPr>
        <w:t xml:space="preserve"> Field and Erickson, </w:t>
      </w:r>
      <w:r w:rsidRPr="00815D79">
        <w:rPr>
          <w:rFonts w:ascii="Times New Roman" w:hAnsi="Times New Roman" w:cs="Times New Roman"/>
          <w:i/>
          <w:sz w:val="24"/>
          <w:szCs w:val="24"/>
        </w:rPr>
        <w:t xml:space="preserve">Prospects, </w:t>
      </w:r>
      <w:r w:rsidRPr="00815D79">
        <w:rPr>
          <w:rFonts w:ascii="Times New Roman" w:hAnsi="Times New Roman" w:cs="Times New Roman"/>
          <w:sz w:val="24"/>
          <w:szCs w:val="24"/>
        </w:rPr>
        <w:t>7.</w:t>
      </w:r>
    </w:p>
  </w:endnote>
  <w:endnote w:id="63">
    <w:p w14:paraId="7916C6D6" w14:textId="77777777" w:rsidR="002A335E" w:rsidRPr="00815D79" w:rsidRDefault="002A335E" w:rsidP="00815D79">
      <w:pPr>
        <w:pStyle w:val="EndnoteText"/>
        <w:spacing w:line="480" w:lineRule="auto"/>
        <w:rPr>
          <w:rFonts w:ascii="Times New Roman" w:hAnsi="Times New Roman" w:cs="Times New Roman"/>
          <w:sz w:val="24"/>
          <w:szCs w:val="24"/>
          <w:highlight w:val="yellow"/>
        </w:rPr>
      </w:pPr>
      <w:r w:rsidRPr="00815D79">
        <w:rPr>
          <w:rStyle w:val="EndnoteReference"/>
          <w:rFonts w:ascii="Times New Roman" w:hAnsi="Times New Roman" w:cs="Times New Roman"/>
          <w:sz w:val="24"/>
          <w:szCs w:val="24"/>
        </w:rPr>
        <w:endnoteRef/>
      </w:r>
      <w:r w:rsidRPr="00815D79">
        <w:rPr>
          <w:rFonts w:ascii="Times New Roman" w:hAnsi="Times New Roman" w:cs="Times New Roman"/>
          <w:sz w:val="24"/>
          <w:szCs w:val="24"/>
        </w:rPr>
        <w:t xml:space="preserve"> White, </w:t>
      </w:r>
      <w:r w:rsidRPr="00815D79">
        <w:rPr>
          <w:rFonts w:ascii="Times New Roman" w:eastAsia="Times New Roman" w:hAnsi="Times New Roman" w:cs="Times New Roman"/>
          <w:bCs/>
          <w:i/>
          <w:sz w:val="24"/>
          <w:szCs w:val="24"/>
        </w:rPr>
        <w:t>London,</w:t>
      </w:r>
      <w:r w:rsidRPr="00815D79">
        <w:rPr>
          <w:rFonts w:ascii="Times New Roman" w:eastAsia="Times New Roman" w:hAnsi="Times New Roman" w:cs="Times New Roman"/>
          <w:bCs/>
          <w:sz w:val="24"/>
          <w:szCs w:val="24"/>
        </w:rPr>
        <w:t xml:space="preserve"> loc. 3797.</w:t>
      </w:r>
      <w:r w:rsidRPr="00815D79">
        <w:rPr>
          <w:rFonts w:ascii="Times New Roman" w:eastAsia="Times New Roman" w:hAnsi="Times New Roman" w:cs="Times New Roman"/>
          <w:bCs/>
          <w:i/>
          <w:sz w:val="24"/>
          <w:szCs w:val="24"/>
        </w:rPr>
        <w:t xml:space="preserve"> </w:t>
      </w:r>
    </w:p>
  </w:endnote>
  <w:endnote w:id="64">
    <w:p w14:paraId="79D6F6CD" w14:textId="77777777" w:rsidR="002A335E" w:rsidRPr="00815D79" w:rsidRDefault="002A335E" w:rsidP="00815D79">
      <w:pPr>
        <w:pStyle w:val="EndnoteText"/>
        <w:spacing w:line="480" w:lineRule="auto"/>
        <w:rPr>
          <w:rFonts w:ascii="Times New Roman" w:hAnsi="Times New Roman" w:cs="Times New Roman"/>
          <w:sz w:val="24"/>
          <w:szCs w:val="24"/>
          <w:highlight w:val="yellow"/>
        </w:rPr>
      </w:pPr>
      <w:r w:rsidRPr="00815D79">
        <w:rPr>
          <w:rStyle w:val="EndnoteReference"/>
          <w:rFonts w:ascii="Times New Roman" w:hAnsi="Times New Roman" w:cs="Times New Roman"/>
          <w:sz w:val="24"/>
          <w:szCs w:val="24"/>
        </w:rPr>
        <w:endnoteRef/>
      </w:r>
      <w:r w:rsidRPr="00815D79">
        <w:rPr>
          <w:rFonts w:ascii="Times New Roman" w:hAnsi="Times New Roman" w:cs="Times New Roman"/>
          <w:sz w:val="24"/>
          <w:szCs w:val="24"/>
        </w:rPr>
        <w:t xml:space="preserve"> White, </w:t>
      </w:r>
      <w:r w:rsidRPr="00815D79">
        <w:rPr>
          <w:rFonts w:ascii="Times New Roman" w:hAnsi="Times New Roman" w:cs="Times New Roman"/>
          <w:i/>
          <w:sz w:val="24"/>
          <w:szCs w:val="24"/>
        </w:rPr>
        <w:t>London</w:t>
      </w:r>
      <w:r w:rsidRPr="00815D79">
        <w:rPr>
          <w:rFonts w:ascii="Times New Roman" w:hAnsi="Times New Roman" w:cs="Times New Roman"/>
          <w:sz w:val="24"/>
          <w:szCs w:val="24"/>
        </w:rPr>
        <w:t>, loc. 3840.</w:t>
      </w:r>
    </w:p>
  </w:endnote>
  <w:endnote w:id="65">
    <w:p w14:paraId="46C70870" w14:textId="77777777" w:rsidR="002A335E" w:rsidRPr="00815D79" w:rsidRDefault="002A335E" w:rsidP="00815D79">
      <w:pPr>
        <w:pStyle w:val="EndnoteText"/>
        <w:spacing w:line="480" w:lineRule="auto"/>
        <w:rPr>
          <w:rFonts w:ascii="Times New Roman" w:hAnsi="Times New Roman" w:cs="Times New Roman"/>
          <w:sz w:val="24"/>
          <w:szCs w:val="24"/>
          <w:lang w:val="en-US"/>
        </w:rPr>
      </w:pPr>
      <w:r w:rsidRPr="00815D79">
        <w:rPr>
          <w:rStyle w:val="EndnoteReference"/>
          <w:rFonts w:ascii="Times New Roman" w:hAnsi="Times New Roman" w:cs="Times New Roman"/>
          <w:sz w:val="24"/>
          <w:szCs w:val="24"/>
        </w:rPr>
        <w:endnoteRef/>
      </w:r>
      <w:r w:rsidRPr="00815D79">
        <w:rPr>
          <w:rFonts w:ascii="Times New Roman" w:hAnsi="Times New Roman" w:cs="Times New Roman"/>
          <w:sz w:val="24"/>
          <w:szCs w:val="24"/>
        </w:rPr>
        <w:t xml:space="preserve">  </w:t>
      </w:r>
      <w:r w:rsidRPr="00815D79">
        <w:rPr>
          <w:rFonts w:ascii="Times New Roman" w:hAnsi="Times New Roman" w:cs="Times New Roman"/>
          <w:sz w:val="24"/>
          <w:szCs w:val="24"/>
          <w:lang w:val="en-US"/>
        </w:rPr>
        <w:t xml:space="preserve">White, </w:t>
      </w:r>
      <w:r w:rsidRPr="00815D79">
        <w:rPr>
          <w:rFonts w:ascii="Times New Roman" w:hAnsi="Times New Roman" w:cs="Times New Roman"/>
          <w:i/>
          <w:sz w:val="24"/>
          <w:szCs w:val="24"/>
          <w:lang w:val="en-US"/>
        </w:rPr>
        <w:t>London,</w:t>
      </w:r>
      <w:r w:rsidRPr="00815D79">
        <w:rPr>
          <w:rFonts w:ascii="Times New Roman" w:hAnsi="Times New Roman" w:cs="Times New Roman"/>
          <w:sz w:val="24"/>
          <w:szCs w:val="24"/>
          <w:lang w:val="en-US"/>
        </w:rPr>
        <w:t xml:space="preserve"> loc. 3764</w:t>
      </w:r>
    </w:p>
  </w:endnote>
  <w:endnote w:id="66">
    <w:p w14:paraId="5C9B952A" w14:textId="77777777" w:rsidR="002A335E" w:rsidRPr="00815D79" w:rsidRDefault="002A335E" w:rsidP="00815D79">
      <w:pPr>
        <w:pStyle w:val="EndnoteText"/>
        <w:spacing w:line="480" w:lineRule="auto"/>
        <w:rPr>
          <w:rFonts w:ascii="Times New Roman" w:hAnsi="Times New Roman" w:cs="Times New Roman"/>
          <w:sz w:val="24"/>
          <w:szCs w:val="24"/>
          <w:highlight w:val="yellow"/>
          <w:lang w:val="en-US"/>
        </w:rPr>
      </w:pPr>
      <w:r w:rsidRPr="00815D79">
        <w:rPr>
          <w:rStyle w:val="EndnoteReference"/>
          <w:rFonts w:ascii="Times New Roman" w:hAnsi="Times New Roman" w:cs="Times New Roman"/>
          <w:sz w:val="24"/>
          <w:szCs w:val="24"/>
        </w:rPr>
        <w:endnoteRef/>
      </w:r>
      <w:r w:rsidRPr="00815D79">
        <w:rPr>
          <w:rFonts w:ascii="Times New Roman" w:hAnsi="Times New Roman" w:cs="Times New Roman"/>
          <w:sz w:val="24"/>
          <w:szCs w:val="24"/>
        </w:rPr>
        <w:t xml:space="preserve"> </w:t>
      </w:r>
      <w:proofErr w:type="gramStart"/>
      <w:r w:rsidRPr="00815D79">
        <w:rPr>
          <w:rFonts w:ascii="Times New Roman" w:hAnsi="Times New Roman" w:cs="Times New Roman"/>
          <w:sz w:val="24"/>
          <w:szCs w:val="24"/>
        </w:rPr>
        <w:t>T</w:t>
      </w:r>
      <w:r w:rsidRPr="00815D79">
        <w:rPr>
          <w:rFonts w:ascii="Times New Roman" w:hAnsi="Times New Roman" w:cs="Times New Roman"/>
          <w:sz w:val="24"/>
          <w:szCs w:val="24"/>
          <w:lang w:val="en-US"/>
        </w:rPr>
        <w:t xml:space="preserve">abili, </w:t>
      </w:r>
      <w:r w:rsidRPr="00815D79">
        <w:rPr>
          <w:rFonts w:ascii="Times New Roman" w:eastAsia="Times New Roman" w:hAnsi="Times New Roman" w:cs="Times New Roman"/>
          <w:i/>
          <w:color w:val="333333"/>
          <w:sz w:val="24"/>
          <w:szCs w:val="24"/>
        </w:rPr>
        <w:t xml:space="preserve">Global Migrants, </w:t>
      </w:r>
      <w:r w:rsidRPr="00815D79">
        <w:rPr>
          <w:rFonts w:ascii="Times New Roman" w:eastAsia="Times New Roman" w:hAnsi="Times New Roman" w:cs="Times New Roman"/>
          <w:color w:val="333333"/>
          <w:sz w:val="24"/>
          <w:szCs w:val="24"/>
        </w:rPr>
        <w:t>157-159.</w:t>
      </w:r>
      <w:proofErr w:type="gramEnd"/>
    </w:p>
  </w:endnote>
  <w:endnote w:id="67">
    <w:p w14:paraId="57B65C59" w14:textId="77777777" w:rsidR="002A335E" w:rsidRPr="00815D79" w:rsidRDefault="002A335E" w:rsidP="00815D79">
      <w:pPr>
        <w:pStyle w:val="Heading1"/>
        <w:shd w:val="clear" w:color="auto" w:fill="FFFFFF"/>
        <w:spacing w:before="0" w:beforeAutospacing="0" w:after="0" w:afterAutospacing="0" w:line="480" w:lineRule="auto"/>
        <w:rPr>
          <w:rFonts w:ascii="Times New Roman" w:eastAsia="Times New Roman" w:hAnsi="Times New Roman" w:cs="Times New Roman"/>
          <w:b w:val="0"/>
          <w:color w:val="333333"/>
          <w:sz w:val="24"/>
          <w:szCs w:val="24"/>
        </w:rPr>
      </w:pPr>
      <w:r w:rsidRPr="00815D79">
        <w:rPr>
          <w:rStyle w:val="EndnoteReference"/>
          <w:rFonts w:ascii="Times New Roman" w:hAnsi="Times New Roman" w:cs="Times New Roman"/>
          <w:b w:val="0"/>
          <w:sz w:val="24"/>
          <w:szCs w:val="24"/>
        </w:rPr>
        <w:endnoteRef/>
      </w:r>
      <w:r w:rsidRPr="00815D79">
        <w:rPr>
          <w:rFonts w:ascii="Times New Roman" w:hAnsi="Times New Roman" w:cs="Times New Roman"/>
          <w:b w:val="0"/>
          <w:sz w:val="24"/>
          <w:szCs w:val="24"/>
        </w:rPr>
        <w:t xml:space="preserve"> </w:t>
      </w:r>
      <w:proofErr w:type="gramStart"/>
      <w:r w:rsidRPr="00815D79">
        <w:rPr>
          <w:rFonts w:ascii="Times New Roman" w:hAnsi="Times New Roman" w:cs="Times New Roman"/>
          <w:b w:val="0"/>
          <w:sz w:val="24"/>
          <w:szCs w:val="24"/>
        </w:rPr>
        <w:t>Norling, “Ahab’s wife”, 165-219.</w:t>
      </w:r>
      <w:proofErr w:type="gramEnd"/>
    </w:p>
  </w:endnote>
  <w:endnote w:id="68">
    <w:p w14:paraId="0A01B859" w14:textId="77777777" w:rsidR="002A335E" w:rsidRPr="00815D79" w:rsidRDefault="002A335E" w:rsidP="00815D79">
      <w:pPr>
        <w:pStyle w:val="EndnoteText"/>
        <w:spacing w:line="480" w:lineRule="auto"/>
        <w:rPr>
          <w:rFonts w:ascii="Times New Roman" w:hAnsi="Times New Roman" w:cs="Times New Roman"/>
          <w:sz w:val="24"/>
          <w:szCs w:val="24"/>
          <w:lang w:val="en-US"/>
        </w:rPr>
      </w:pPr>
      <w:r w:rsidRPr="00815D79">
        <w:rPr>
          <w:rStyle w:val="EndnoteReference"/>
          <w:rFonts w:ascii="Times New Roman" w:hAnsi="Times New Roman" w:cs="Times New Roman"/>
          <w:sz w:val="24"/>
          <w:szCs w:val="24"/>
        </w:rPr>
        <w:endnoteRef/>
      </w:r>
      <w:r w:rsidRPr="00815D79">
        <w:rPr>
          <w:rFonts w:ascii="Times New Roman" w:hAnsi="Times New Roman" w:cs="Times New Roman"/>
          <w:sz w:val="24"/>
          <w:szCs w:val="24"/>
        </w:rPr>
        <w:t xml:space="preserve"> </w:t>
      </w:r>
      <w:proofErr w:type="gramStart"/>
      <w:r w:rsidRPr="00815D79">
        <w:rPr>
          <w:rFonts w:ascii="Times New Roman" w:hAnsi="Times New Roman" w:cs="Times New Roman"/>
          <w:sz w:val="24"/>
          <w:szCs w:val="24"/>
          <w:lang w:val="en-US"/>
        </w:rPr>
        <w:t xml:space="preserve">Norling, “Ahab’s Wife”, </w:t>
      </w:r>
      <w:r w:rsidRPr="00815D79">
        <w:rPr>
          <w:rFonts w:ascii="Times New Roman" w:hAnsi="Times New Roman" w:cs="Times New Roman"/>
          <w:sz w:val="24"/>
          <w:szCs w:val="24"/>
        </w:rPr>
        <w:t>165-219.</w:t>
      </w:r>
      <w:proofErr w:type="gramEnd"/>
    </w:p>
  </w:endnote>
  <w:endnote w:id="69">
    <w:p w14:paraId="7F09E507" w14:textId="77777777" w:rsidR="002A335E" w:rsidRPr="00815D79" w:rsidRDefault="002A335E" w:rsidP="00815D79">
      <w:pPr>
        <w:pStyle w:val="EndnoteText"/>
        <w:spacing w:line="480" w:lineRule="auto"/>
        <w:rPr>
          <w:rFonts w:ascii="Times New Roman" w:hAnsi="Times New Roman" w:cs="Times New Roman"/>
          <w:sz w:val="24"/>
          <w:szCs w:val="24"/>
          <w:lang w:val="en-US"/>
        </w:rPr>
      </w:pPr>
      <w:r w:rsidRPr="00815D79">
        <w:rPr>
          <w:rStyle w:val="EndnoteReference"/>
          <w:rFonts w:ascii="Times New Roman" w:hAnsi="Times New Roman" w:cs="Times New Roman"/>
          <w:sz w:val="24"/>
          <w:szCs w:val="24"/>
        </w:rPr>
        <w:endnoteRef/>
      </w:r>
      <w:r w:rsidRPr="00815D79">
        <w:rPr>
          <w:rFonts w:ascii="Times New Roman" w:hAnsi="Times New Roman" w:cs="Times New Roman"/>
          <w:sz w:val="24"/>
          <w:szCs w:val="24"/>
        </w:rPr>
        <w:t xml:space="preserve"> </w:t>
      </w:r>
      <w:proofErr w:type="gramStart"/>
      <w:r w:rsidRPr="00815D79">
        <w:rPr>
          <w:rFonts w:ascii="Times New Roman" w:hAnsi="Times New Roman" w:cs="Times New Roman"/>
          <w:sz w:val="24"/>
          <w:szCs w:val="24"/>
          <w:lang w:val="en-US"/>
        </w:rPr>
        <w:t>Hurl-Eamon, “The fiction”, 486.</w:t>
      </w:r>
      <w:proofErr w:type="gramEnd"/>
    </w:p>
  </w:endnote>
  <w:endnote w:id="70">
    <w:p w14:paraId="39A42E50" w14:textId="77777777" w:rsidR="002A335E" w:rsidRPr="00815D79" w:rsidRDefault="002A335E" w:rsidP="00815D79">
      <w:pPr>
        <w:pStyle w:val="EndnoteText"/>
        <w:spacing w:line="480" w:lineRule="auto"/>
        <w:rPr>
          <w:rFonts w:ascii="Times New Roman" w:hAnsi="Times New Roman" w:cs="Times New Roman"/>
          <w:sz w:val="24"/>
          <w:szCs w:val="24"/>
          <w:lang w:val="en-US"/>
        </w:rPr>
      </w:pPr>
      <w:r w:rsidRPr="00815D79">
        <w:rPr>
          <w:rStyle w:val="EndnoteReference"/>
          <w:rFonts w:ascii="Times New Roman" w:hAnsi="Times New Roman" w:cs="Times New Roman"/>
          <w:sz w:val="24"/>
          <w:szCs w:val="24"/>
        </w:rPr>
        <w:endnoteRef/>
      </w:r>
      <w:r w:rsidRPr="00815D79">
        <w:rPr>
          <w:rFonts w:ascii="Times New Roman" w:hAnsi="Times New Roman" w:cs="Times New Roman"/>
          <w:sz w:val="24"/>
          <w:szCs w:val="24"/>
        </w:rPr>
        <w:t xml:space="preserve"> </w:t>
      </w:r>
      <w:proofErr w:type="gramStart"/>
      <w:r w:rsidRPr="00815D79">
        <w:rPr>
          <w:rFonts w:ascii="Times New Roman" w:hAnsi="Times New Roman" w:cs="Times New Roman"/>
          <w:sz w:val="24"/>
          <w:szCs w:val="24"/>
          <w:lang w:val="en-US"/>
        </w:rPr>
        <w:t xml:space="preserve">Tabili, </w:t>
      </w:r>
      <w:r w:rsidRPr="00815D79">
        <w:rPr>
          <w:rFonts w:ascii="Times New Roman" w:hAnsi="Times New Roman" w:cs="Times New Roman"/>
          <w:i/>
          <w:sz w:val="24"/>
          <w:szCs w:val="24"/>
          <w:lang w:val="en-US"/>
        </w:rPr>
        <w:t xml:space="preserve">Global Migrants, </w:t>
      </w:r>
      <w:r w:rsidRPr="00815D79">
        <w:rPr>
          <w:rFonts w:ascii="Times New Roman" w:hAnsi="Times New Roman" w:cs="Times New Roman"/>
          <w:sz w:val="24"/>
          <w:szCs w:val="24"/>
          <w:lang w:val="en-US"/>
        </w:rPr>
        <w:t>157-159.</w:t>
      </w:r>
      <w:proofErr w:type="gramEnd"/>
    </w:p>
  </w:endnote>
  <w:endnote w:id="71">
    <w:p w14:paraId="6A9174C6" w14:textId="77777777" w:rsidR="002A335E" w:rsidRPr="00815D79" w:rsidRDefault="002A335E" w:rsidP="00815D79">
      <w:pPr>
        <w:pStyle w:val="Heading3"/>
        <w:spacing w:before="0" w:line="480" w:lineRule="auto"/>
        <w:textAlignment w:val="baseline"/>
        <w:rPr>
          <w:rFonts w:ascii="Times New Roman" w:eastAsia="Times New Roman" w:hAnsi="Times New Roman" w:cs="Times New Roman"/>
          <w:b w:val="0"/>
          <w:bCs w:val="0"/>
          <w:color w:val="auto"/>
          <w:sz w:val="24"/>
        </w:rPr>
      </w:pPr>
      <w:r w:rsidRPr="00815D79">
        <w:rPr>
          <w:rStyle w:val="EndnoteReference"/>
          <w:rFonts w:ascii="Times New Roman" w:hAnsi="Times New Roman" w:cs="Times New Roman"/>
          <w:b w:val="0"/>
          <w:color w:val="auto"/>
          <w:sz w:val="24"/>
        </w:rPr>
        <w:endnoteRef/>
      </w:r>
      <w:r w:rsidRPr="00815D79">
        <w:rPr>
          <w:rFonts w:ascii="Times New Roman" w:hAnsi="Times New Roman" w:cs="Times New Roman"/>
          <w:b w:val="0"/>
          <w:color w:val="auto"/>
          <w:sz w:val="24"/>
        </w:rPr>
        <w:t xml:space="preserve"> </w:t>
      </w:r>
      <w:proofErr w:type="gramStart"/>
      <w:r w:rsidRPr="00815D79">
        <w:rPr>
          <w:rFonts w:ascii="Times New Roman" w:hAnsi="Times New Roman" w:cs="Times New Roman"/>
          <w:b w:val="0"/>
          <w:color w:val="auto"/>
          <w:sz w:val="24"/>
        </w:rPr>
        <w:t>Fowler, "British Textile Workers”, 8.</w:t>
      </w:r>
      <w:proofErr w:type="gramEnd"/>
      <w:r w:rsidRPr="00815D79">
        <w:rPr>
          <w:rFonts w:ascii="Times New Roman" w:hAnsi="Times New Roman" w:cs="Times New Roman"/>
          <w:b w:val="0"/>
          <w:color w:val="auto"/>
          <w:sz w:val="24"/>
        </w:rPr>
        <w:t xml:space="preserve"> </w:t>
      </w:r>
    </w:p>
  </w:endnote>
  <w:endnote w:id="72">
    <w:p w14:paraId="6939B53B" w14:textId="77777777" w:rsidR="002A335E" w:rsidRPr="00815D79" w:rsidRDefault="002A335E" w:rsidP="00815D79">
      <w:pPr>
        <w:spacing w:line="480" w:lineRule="auto"/>
        <w:rPr>
          <w:rFonts w:cs="Times New Roman"/>
          <w:sz w:val="24"/>
          <w:lang w:val="en-US"/>
        </w:rPr>
      </w:pPr>
      <w:r w:rsidRPr="00815D79">
        <w:rPr>
          <w:rStyle w:val="EndnoteReference"/>
          <w:rFonts w:cs="Times New Roman"/>
          <w:sz w:val="24"/>
        </w:rPr>
        <w:endnoteRef/>
      </w:r>
      <w:r w:rsidRPr="00815D79">
        <w:rPr>
          <w:rFonts w:cs="Times New Roman"/>
          <w:sz w:val="24"/>
        </w:rPr>
        <w:t xml:space="preserve"> </w:t>
      </w:r>
      <w:r w:rsidRPr="00815D79">
        <w:rPr>
          <w:rFonts w:eastAsiaTheme="minorEastAsia" w:cs="Times New Roman"/>
          <w:sz w:val="24"/>
          <w:lang w:val="en-US"/>
        </w:rPr>
        <w:t xml:space="preserve">Fleischman, </w:t>
      </w:r>
      <w:r w:rsidRPr="00815D79">
        <w:rPr>
          <w:rFonts w:eastAsiaTheme="minorEastAsia" w:cs="Times New Roman"/>
          <w:i/>
          <w:sz w:val="24"/>
          <w:lang w:val="en-US"/>
        </w:rPr>
        <w:t xml:space="preserve">Conditions of life, </w:t>
      </w:r>
      <w:r w:rsidRPr="00815D79">
        <w:rPr>
          <w:rFonts w:eastAsiaTheme="minorEastAsia" w:cs="Times New Roman"/>
          <w:sz w:val="24"/>
          <w:lang w:val="en-US"/>
        </w:rPr>
        <w:t>146.</w:t>
      </w:r>
    </w:p>
  </w:endnote>
  <w:endnote w:id="73">
    <w:p w14:paraId="65EA8873" w14:textId="77777777" w:rsidR="002A335E" w:rsidRPr="00815D79" w:rsidRDefault="002A335E" w:rsidP="00815D79">
      <w:pPr>
        <w:pStyle w:val="EndnoteText"/>
        <w:spacing w:line="480" w:lineRule="auto"/>
        <w:rPr>
          <w:rFonts w:ascii="Times New Roman" w:hAnsi="Times New Roman" w:cs="Times New Roman"/>
          <w:sz w:val="24"/>
          <w:szCs w:val="24"/>
          <w:lang w:val="en-US"/>
        </w:rPr>
      </w:pPr>
      <w:r w:rsidRPr="00815D79">
        <w:rPr>
          <w:rStyle w:val="EndnoteReference"/>
          <w:rFonts w:ascii="Times New Roman" w:hAnsi="Times New Roman" w:cs="Times New Roman"/>
          <w:sz w:val="24"/>
          <w:szCs w:val="24"/>
        </w:rPr>
        <w:endnoteRef/>
      </w:r>
      <w:r w:rsidRPr="00815D79">
        <w:rPr>
          <w:rFonts w:ascii="Times New Roman" w:hAnsi="Times New Roman" w:cs="Times New Roman"/>
          <w:sz w:val="24"/>
          <w:szCs w:val="24"/>
        </w:rPr>
        <w:t xml:space="preserve"> </w:t>
      </w:r>
      <w:r w:rsidRPr="00815D79">
        <w:rPr>
          <w:rFonts w:ascii="Times New Roman" w:hAnsi="Times New Roman" w:cs="Times New Roman"/>
          <w:sz w:val="24"/>
          <w:szCs w:val="24"/>
          <w:lang w:val="en-US"/>
        </w:rPr>
        <w:t xml:space="preserve"> </w:t>
      </w:r>
      <w:proofErr w:type="gramStart"/>
      <w:r w:rsidRPr="00815D79">
        <w:rPr>
          <w:rFonts w:ascii="Times New Roman" w:hAnsi="Times New Roman" w:cs="Times New Roman"/>
          <w:sz w:val="24"/>
          <w:szCs w:val="24"/>
          <w:lang w:val="en-US"/>
        </w:rPr>
        <w:t>Hall, "Poor cotton”; Shapely, “Urban charity”; Beckert, “Emancipation and Empire”.</w:t>
      </w:r>
      <w:proofErr w:type="gramEnd"/>
    </w:p>
  </w:endnote>
  <w:endnote w:id="74">
    <w:p w14:paraId="718192D2" w14:textId="77777777" w:rsidR="002A335E" w:rsidRPr="00815D79" w:rsidRDefault="002A335E" w:rsidP="00815D79">
      <w:pPr>
        <w:pStyle w:val="EndnoteText"/>
        <w:spacing w:line="480" w:lineRule="auto"/>
        <w:rPr>
          <w:rFonts w:ascii="Times New Roman" w:hAnsi="Times New Roman" w:cs="Times New Roman"/>
          <w:sz w:val="24"/>
          <w:szCs w:val="24"/>
          <w:lang w:val="en-US"/>
        </w:rPr>
      </w:pPr>
      <w:r w:rsidRPr="00815D79">
        <w:rPr>
          <w:rStyle w:val="EndnoteReference"/>
          <w:rFonts w:ascii="Times New Roman" w:hAnsi="Times New Roman" w:cs="Times New Roman"/>
          <w:sz w:val="24"/>
          <w:szCs w:val="24"/>
        </w:rPr>
        <w:endnoteRef/>
      </w:r>
      <w:r w:rsidRPr="00815D79">
        <w:rPr>
          <w:rFonts w:ascii="Times New Roman" w:hAnsi="Times New Roman" w:cs="Times New Roman"/>
          <w:sz w:val="24"/>
          <w:szCs w:val="24"/>
        </w:rPr>
        <w:t xml:space="preserve"> </w:t>
      </w:r>
      <w:r w:rsidRPr="00815D79">
        <w:rPr>
          <w:rFonts w:ascii="Times New Roman" w:hAnsi="Times New Roman" w:cs="Times New Roman"/>
          <w:sz w:val="24"/>
          <w:szCs w:val="24"/>
          <w:lang w:val="en-US"/>
        </w:rPr>
        <w:t xml:space="preserve">Kirby, “Statistical sketch”, 230-231 </w:t>
      </w:r>
    </w:p>
  </w:endnote>
  <w:endnote w:id="75">
    <w:p w14:paraId="12EA6379" w14:textId="77777777" w:rsidR="002A335E" w:rsidRPr="00815D79" w:rsidRDefault="002A335E" w:rsidP="00815D79">
      <w:pPr>
        <w:pStyle w:val="EndnoteText"/>
        <w:spacing w:line="480" w:lineRule="auto"/>
        <w:rPr>
          <w:rFonts w:ascii="Times New Roman" w:hAnsi="Times New Roman" w:cs="Times New Roman"/>
          <w:sz w:val="24"/>
          <w:szCs w:val="24"/>
          <w:lang w:val="en-US"/>
        </w:rPr>
      </w:pPr>
      <w:r w:rsidRPr="00815D79">
        <w:rPr>
          <w:rStyle w:val="EndnoteReference"/>
          <w:rFonts w:ascii="Times New Roman" w:hAnsi="Times New Roman" w:cs="Times New Roman"/>
          <w:sz w:val="24"/>
          <w:szCs w:val="24"/>
        </w:rPr>
        <w:endnoteRef/>
      </w:r>
      <w:r w:rsidRPr="00815D79">
        <w:rPr>
          <w:rFonts w:ascii="Times New Roman" w:hAnsi="Times New Roman" w:cs="Times New Roman"/>
          <w:sz w:val="24"/>
          <w:szCs w:val="24"/>
        </w:rPr>
        <w:t xml:space="preserve"> </w:t>
      </w:r>
      <w:r w:rsidRPr="00815D79">
        <w:rPr>
          <w:rFonts w:ascii="Times New Roman" w:hAnsi="Times New Roman" w:cs="Times New Roman"/>
          <w:sz w:val="24"/>
          <w:szCs w:val="24"/>
          <w:lang w:val="en-US"/>
        </w:rPr>
        <w:t xml:space="preserve">Goose and Honeyman, </w:t>
      </w:r>
      <w:r w:rsidRPr="00815D79">
        <w:rPr>
          <w:rFonts w:ascii="Times New Roman" w:hAnsi="Times New Roman" w:cs="Times New Roman"/>
          <w:i/>
          <w:sz w:val="24"/>
          <w:szCs w:val="24"/>
          <w:lang w:val="en-US"/>
        </w:rPr>
        <w:t xml:space="preserve">Childhood and child labour, </w:t>
      </w:r>
      <w:r w:rsidRPr="00815D79">
        <w:rPr>
          <w:rFonts w:ascii="Times New Roman" w:hAnsi="Times New Roman" w:cs="Times New Roman"/>
          <w:sz w:val="24"/>
          <w:szCs w:val="24"/>
          <w:lang w:val="en-US"/>
        </w:rPr>
        <w:t>17.</w:t>
      </w:r>
    </w:p>
  </w:endnote>
  <w:endnote w:id="76">
    <w:p w14:paraId="44F6E310" w14:textId="77777777" w:rsidR="002A335E" w:rsidRDefault="002A335E" w:rsidP="00815D79">
      <w:pPr>
        <w:spacing w:line="480" w:lineRule="auto"/>
        <w:rPr>
          <w:rFonts w:eastAsiaTheme="minorEastAsia" w:cs="Times New Roman"/>
          <w:sz w:val="24"/>
          <w:lang w:val="en-US"/>
        </w:rPr>
      </w:pPr>
      <w:r w:rsidRPr="00815D79">
        <w:rPr>
          <w:rStyle w:val="EndnoteReference"/>
          <w:rFonts w:cs="Times New Roman"/>
          <w:sz w:val="24"/>
        </w:rPr>
        <w:endnoteRef/>
      </w:r>
      <w:r w:rsidRPr="00815D79">
        <w:rPr>
          <w:rFonts w:cs="Times New Roman"/>
          <w:sz w:val="24"/>
        </w:rPr>
        <w:t xml:space="preserve"> </w:t>
      </w:r>
      <w:proofErr w:type="gramStart"/>
      <w:r w:rsidRPr="00815D79">
        <w:rPr>
          <w:rFonts w:cs="Times New Roman"/>
          <w:sz w:val="24"/>
        </w:rPr>
        <w:t>e</w:t>
      </w:r>
      <w:proofErr w:type="gramEnd"/>
      <w:r w:rsidRPr="00815D79">
        <w:rPr>
          <w:rFonts w:cs="Times New Roman"/>
          <w:sz w:val="24"/>
        </w:rPr>
        <w:t xml:space="preserve">.g. </w:t>
      </w:r>
      <w:r w:rsidRPr="00815D79">
        <w:rPr>
          <w:rFonts w:eastAsiaTheme="minorEastAsia" w:cs="Times New Roman"/>
          <w:sz w:val="24"/>
          <w:lang w:val="en-US"/>
        </w:rPr>
        <w:t xml:space="preserve">Finn, "Consumption and Coverture”, 721-722. </w:t>
      </w:r>
    </w:p>
    <w:p w14:paraId="185E73B4" w14:textId="77777777" w:rsidR="008B6181" w:rsidRPr="00815D79" w:rsidRDefault="008B6181" w:rsidP="00815D79">
      <w:pPr>
        <w:spacing w:line="480" w:lineRule="auto"/>
        <w:rPr>
          <w:rFonts w:eastAsiaTheme="minorEastAsia" w:cs="Times New Roman"/>
          <w:sz w:val="24"/>
          <w:lang w:val="en-US"/>
        </w:rPr>
      </w:pPr>
      <w:bookmarkStart w:id="0" w:name="_GoBack"/>
      <w:bookmarkEnd w:id="0"/>
    </w:p>
    <w:p w14:paraId="12172B5E" w14:textId="77777777" w:rsidR="008B6181" w:rsidRDefault="008B6181" w:rsidP="00A2553D">
      <w:pPr>
        <w:jc w:val="both"/>
        <w:rPr>
          <w:rFonts w:eastAsiaTheme="minorEastAsia" w:cs="Times New Roman"/>
          <w:sz w:val="24"/>
        </w:rPr>
      </w:pPr>
      <w:r>
        <w:rPr>
          <w:rFonts w:eastAsiaTheme="minorEastAsia" w:cs="Times New Roman"/>
          <w:noProof/>
          <w:sz w:val="24"/>
          <w:lang w:val="en-US"/>
        </w:rPr>
        <w:drawing>
          <wp:inline distT="0" distB="0" distL="0" distR="0" wp14:anchorId="1F5B4327" wp14:editId="0B2BEF89">
            <wp:extent cx="5582719" cy="171450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tal depositors in TSB and POSB 1830-1880.jpg"/>
                    <pic:cNvPicPr/>
                  </pic:nvPicPr>
                  <pic:blipFill>
                    <a:blip r:embed="rId3">
                      <a:extLst>
                        <a:ext uri="{28A0092B-C50C-407E-A947-70E740481C1C}">
                          <a14:useLocalDpi xmlns:a14="http://schemas.microsoft.com/office/drawing/2010/main" val="0"/>
                        </a:ext>
                      </a:extLst>
                    </a:blip>
                    <a:stretch>
                      <a:fillRect/>
                    </a:stretch>
                  </pic:blipFill>
                  <pic:spPr>
                    <a:xfrm>
                      <a:off x="0" y="0"/>
                      <a:ext cx="5582719" cy="1714500"/>
                    </a:xfrm>
                    <a:prstGeom prst="rect">
                      <a:avLst/>
                    </a:prstGeom>
                  </pic:spPr>
                </pic:pic>
              </a:graphicData>
            </a:graphic>
          </wp:inline>
        </w:drawing>
      </w:r>
    </w:p>
    <w:p w14:paraId="1DE77AFC" w14:textId="77777777" w:rsidR="008B6181" w:rsidRDefault="008B6181" w:rsidP="00A2553D">
      <w:pPr>
        <w:jc w:val="both"/>
        <w:rPr>
          <w:rFonts w:eastAsiaTheme="minorEastAsia" w:cs="Times New Roman"/>
          <w:sz w:val="24"/>
        </w:rPr>
      </w:pPr>
    </w:p>
    <w:p w14:paraId="5465D41C" w14:textId="77777777" w:rsidR="008B6181" w:rsidRDefault="008B6181" w:rsidP="00A2553D">
      <w:pPr>
        <w:pStyle w:val="Caption"/>
        <w:rPr>
          <w:rFonts w:eastAsiaTheme="minorEastAsia" w:cs="Times New Roman"/>
          <w:sz w:val="24"/>
        </w:rPr>
      </w:pPr>
      <w:r>
        <w:t>Figure 1: Total Numbers of depositors in savings banks and the Post Office Savings Bank: 1830-1879 (derived from Horne, 1947)</w:t>
      </w:r>
    </w:p>
    <w:tbl>
      <w:tblPr>
        <w:tblStyle w:val="TableGrid"/>
        <w:tblW w:w="0" w:type="auto"/>
        <w:tblLayout w:type="fixed"/>
        <w:tblLook w:val="04A0" w:firstRow="1" w:lastRow="0" w:firstColumn="1" w:lastColumn="0" w:noHBand="0" w:noVBand="1"/>
      </w:tblPr>
      <w:tblGrid>
        <w:gridCol w:w="2802"/>
        <w:gridCol w:w="1142"/>
        <w:gridCol w:w="1143"/>
        <w:gridCol w:w="1143"/>
        <w:gridCol w:w="1143"/>
        <w:gridCol w:w="1143"/>
      </w:tblGrid>
      <w:tr w:rsidR="008B6181" w:rsidRPr="002B4E29" w14:paraId="0D627D85" w14:textId="77777777" w:rsidTr="00744228">
        <w:tc>
          <w:tcPr>
            <w:tcW w:w="2802" w:type="dxa"/>
          </w:tcPr>
          <w:p w14:paraId="618729B6" w14:textId="77777777" w:rsidR="008B6181" w:rsidRPr="00E35FBE" w:rsidRDefault="008B6181" w:rsidP="00744228">
            <w:pPr>
              <w:rPr>
                <w:rFonts w:cs="Times New Roman"/>
                <w:b/>
                <w:sz w:val="22"/>
                <w:szCs w:val="22"/>
              </w:rPr>
            </w:pPr>
            <w:r w:rsidRPr="00E35FBE">
              <w:rPr>
                <w:rFonts w:cs="Times New Roman"/>
                <w:b/>
                <w:sz w:val="22"/>
                <w:szCs w:val="22"/>
              </w:rPr>
              <w:t>Decade</w:t>
            </w:r>
          </w:p>
        </w:tc>
        <w:tc>
          <w:tcPr>
            <w:tcW w:w="1142" w:type="dxa"/>
          </w:tcPr>
          <w:p w14:paraId="19580868" w14:textId="77777777" w:rsidR="008B6181" w:rsidRPr="00E35FBE" w:rsidRDefault="008B6181" w:rsidP="00744228">
            <w:pPr>
              <w:rPr>
                <w:rFonts w:cs="Times New Roman"/>
                <w:b/>
                <w:sz w:val="22"/>
                <w:szCs w:val="22"/>
              </w:rPr>
            </w:pPr>
            <w:r w:rsidRPr="00E35FBE">
              <w:rPr>
                <w:rFonts w:cs="Times New Roman"/>
                <w:b/>
                <w:sz w:val="22"/>
                <w:szCs w:val="22"/>
              </w:rPr>
              <w:t>1830s</w:t>
            </w:r>
          </w:p>
        </w:tc>
        <w:tc>
          <w:tcPr>
            <w:tcW w:w="1143" w:type="dxa"/>
          </w:tcPr>
          <w:p w14:paraId="614736BA" w14:textId="77777777" w:rsidR="008B6181" w:rsidRPr="00E35FBE" w:rsidRDefault="008B6181" w:rsidP="00744228">
            <w:pPr>
              <w:rPr>
                <w:rFonts w:cs="Times New Roman"/>
                <w:b/>
                <w:sz w:val="22"/>
                <w:szCs w:val="22"/>
              </w:rPr>
            </w:pPr>
            <w:r w:rsidRPr="00E35FBE">
              <w:rPr>
                <w:rFonts w:cs="Times New Roman"/>
                <w:b/>
                <w:sz w:val="22"/>
                <w:szCs w:val="22"/>
              </w:rPr>
              <w:t>1840s</w:t>
            </w:r>
          </w:p>
        </w:tc>
        <w:tc>
          <w:tcPr>
            <w:tcW w:w="1143" w:type="dxa"/>
          </w:tcPr>
          <w:p w14:paraId="040B5936" w14:textId="77777777" w:rsidR="008B6181" w:rsidRPr="00E35FBE" w:rsidRDefault="008B6181" w:rsidP="00744228">
            <w:pPr>
              <w:rPr>
                <w:rFonts w:cs="Times New Roman"/>
                <w:b/>
                <w:sz w:val="22"/>
                <w:szCs w:val="22"/>
              </w:rPr>
            </w:pPr>
            <w:r w:rsidRPr="00E35FBE">
              <w:rPr>
                <w:rFonts w:cs="Times New Roman"/>
                <w:b/>
                <w:sz w:val="22"/>
                <w:szCs w:val="22"/>
              </w:rPr>
              <w:t>1850s</w:t>
            </w:r>
          </w:p>
        </w:tc>
        <w:tc>
          <w:tcPr>
            <w:tcW w:w="1143" w:type="dxa"/>
          </w:tcPr>
          <w:p w14:paraId="426A25B6" w14:textId="77777777" w:rsidR="008B6181" w:rsidRPr="00E35FBE" w:rsidRDefault="008B6181" w:rsidP="00744228">
            <w:pPr>
              <w:rPr>
                <w:rFonts w:cs="Times New Roman"/>
                <w:b/>
                <w:sz w:val="22"/>
                <w:szCs w:val="22"/>
              </w:rPr>
            </w:pPr>
            <w:r w:rsidRPr="00E35FBE">
              <w:rPr>
                <w:rFonts w:cs="Times New Roman"/>
                <w:b/>
                <w:sz w:val="22"/>
                <w:szCs w:val="22"/>
              </w:rPr>
              <w:t>1860s</w:t>
            </w:r>
          </w:p>
        </w:tc>
        <w:tc>
          <w:tcPr>
            <w:tcW w:w="1143" w:type="dxa"/>
          </w:tcPr>
          <w:p w14:paraId="7D35A0B0" w14:textId="77777777" w:rsidR="008B6181" w:rsidRPr="00E35FBE" w:rsidRDefault="008B6181" w:rsidP="00744228">
            <w:pPr>
              <w:rPr>
                <w:rFonts w:cs="Times New Roman"/>
                <w:b/>
                <w:sz w:val="22"/>
                <w:szCs w:val="22"/>
              </w:rPr>
            </w:pPr>
            <w:r w:rsidRPr="00E35FBE">
              <w:rPr>
                <w:rFonts w:cs="Times New Roman"/>
                <w:b/>
                <w:sz w:val="22"/>
                <w:szCs w:val="22"/>
              </w:rPr>
              <w:t>1870s (partial)</w:t>
            </w:r>
          </w:p>
        </w:tc>
      </w:tr>
      <w:tr w:rsidR="008B6181" w:rsidRPr="002B4E29" w14:paraId="08F20FF6" w14:textId="77777777" w:rsidTr="00744228">
        <w:tc>
          <w:tcPr>
            <w:tcW w:w="2802" w:type="dxa"/>
          </w:tcPr>
          <w:p w14:paraId="16761B47" w14:textId="77777777" w:rsidR="008B6181" w:rsidRPr="00E35FBE" w:rsidRDefault="008B6181" w:rsidP="00744228">
            <w:pPr>
              <w:rPr>
                <w:rFonts w:cs="Times New Roman"/>
                <w:sz w:val="22"/>
                <w:szCs w:val="22"/>
              </w:rPr>
            </w:pPr>
            <w:r w:rsidRPr="00E35FBE">
              <w:rPr>
                <w:rFonts w:cs="Times New Roman"/>
                <w:sz w:val="22"/>
                <w:szCs w:val="22"/>
              </w:rPr>
              <w:t>Number of total new accounts</w:t>
            </w:r>
          </w:p>
          <w:p w14:paraId="4C0142F7" w14:textId="77777777" w:rsidR="008B6181" w:rsidRPr="00E35FBE" w:rsidRDefault="008B6181" w:rsidP="00744228">
            <w:pPr>
              <w:rPr>
                <w:rFonts w:cs="Times New Roman"/>
                <w:sz w:val="22"/>
                <w:szCs w:val="22"/>
              </w:rPr>
            </w:pPr>
            <w:proofErr w:type="gramStart"/>
            <w:r w:rsidRPr="00E35FBE">
              <w:rPr>
                <w:rFonts w:cs="Times New Roman"/>
                <w:sz w:val="22"/>
                <w:szCs w:val="22"/>
              </w:rPr>
              <w:t>in</w:t>
            </w:r>
            <w:proofErr w:type="gramEnd"/>
            <w:r w:rsidRPr="00E35FBE">
              <w:rPr>
                <w:rFonts w:cs="Times New Roman"/>
                <w:sz w:val="22"/>
                <w:szCs w:val="22"/>
              </w:rPr>
              <w:t xml:space="preserve"> each decade</w:t>
            </w:r>
          </w:p>
        </w:tc>
        <w:tc>
          <w:tcPr>
            <w:tcW w:w="1142" w:type="dxa"/>
          </w:tcPr>
          <w:p w14:paraId="6772E534" w14:textId="77777777" w:rsidR="008B6181" w:rsidRPr="00E35FBE" w:rsidRDefault="008B6181" w:rsidP="00744228">
            <w:pPr>
              <w:rPr>
                <w:rFonts w:cs="Times New Roman"/>
                <w:sz w:val="22"/>
                <w:szCs w:val="22"/>
              </w:rPr>
            </w:pPr>
            <w:r w:rsidRPr="00E35FBE">
              <w:rPr>
                <w:rFonts w:cs="Times New Roman"/>
                <w:sz w:val="22"/>
                <w:szCs w:val="22"/>
              </w:rPr>
              <w:t>2440</w:t>
            </w:r>
          </w:p>
        </w:tc>
        <w:tc>
          <w:tcPr>
            <w:tcW w:w="1143" w:type="dxa"/>
          </w:tcPr>
          <w:p w14:paraId="3DCFF62D" w14:textId="77777777" w:rsidR="008B6181" w:rsidRPr="00E35FBE" w:rsidRDefault="008B6181" w:rsidP="00744228">
            <w:pPr>
              <w:rPr>
                <w:rFonts w:cs="Times New Roman"/>
                <w:sz w:val="22"/>
                <w:szCs w:val="22"/>
              </w:rPr>
            </w:pPr>
            <w:r w:rsidRPr="00E35FBE">
              <w:rPr>
                <w:rFonts w:cs="Times New Roman"/>
                <w:sz w:val="22"/>
                <w:szCs w:val="22"/>
              </w:rPr>
              <w:t>3156</w:t>
            </w:r>
          </w:p>
        </w:tc>
        <w:tc>
          <w:tcPr>
            <w:tcW w:w="1143" w:type="dxa"/>
          </w:tcPr>
          <w:p w14:paraId="6E23E09B" w14:textId="77777777" w:rsidR="008B6181" w:rsidRPr="00E35FBE" w:rsidRDefault="008B6181" w:rsidP="00744228">
            <w:pPr>
              <w:rPr>
                <w:rFonts w:cs="Times New Roman"/>
                <w:sz w:val="22"/>
                <w:szCs w:val="22"/>
              </w:rPr>
            </w:pPr>
            <w:r w:rsidRPr="00E35FBE">
              <w:rPr>
                <w:rFonts w:cs="Times New Roman"/>
                <w:sz w:val="22"/>
                <w:szCs w:val="22"/>
              </w:rPr>
              <w:t>3885</w:t>
            </w:r>
          </w:p>
        </w:tc>
        <w:tc>
          <w:tcPr>
            <w:tcW w:w="1143" w:type="dxa"/>
          </w:tcPr>
          <w:p w14:paraId="716C865A" w14:textId="77777777" w:rsidR="008B6181" w:rsidRPr="00E35FBE" w:rsidRDefault="008B6181" w:rsidP="00744228">
            <w:pPr>
              <w:rPr>
                <w:rFonts w:cs="Times New Roman"/>
                <w:sz w:val="22"/>
                <w:szCs w:val="22"/>
              </w:rPr>
            </w:pPr>
            <w:r w:rsidRPr="00E35FBE">
              <w:rPr>
                <w:rFonts w:cs="Times New Roman"/>
                <w:sz w:val="22"/>
                <w:szCs w:val="22"/>
              </w:rPr>
              <w:t>2633</w:t>
            </w:r>
          </w:p>
        </w:tc>
        <w:tc>
          <w:tcPr>
            <w:tcW w:w="1143" w:type="dxa"/>
          </w:tcPr>
          <w:p w14:paraId="6B6B2833" w14:textId="77777777" w:rsidR="008B6181" w:rsidRPr="00E35FBE" w:rsidRDefault="008B6181" w:rsidP="00744228">
            <w:pPr>
              <w:rPr>
                <w:rFonts w:cs="Times New Roman"/>
                <w:sz w:val="22"/>
                <w:szCs w:val="22"/>
              </w:rPr>
            </w:pPr>
            <w:r w:rsidRPr="00E35FBE">
              <w:rPr>
                <w:rFonts w:cs="Times New Roman"/>
                <w:sz w:val="22"/>
                <w:szCs w:val="22"/>
              </w:rPr>
              <w:t>1480</w:t>
            </w:r>
          </w:p>
        </w:tc>
      </w:tr>
      <w:tr w:rsidR="008B6181" w:rsidRPr="002B4E29" w14:paraId="05AFCB4E" w14:textId="77777777" w:rsidTr="00744228">
        <w:tc>
          <w:tcPr>
            <w:tcW w:w="2802" w:type="dxa"/>
          </w:tcPr>
          <w:p w14:paraId="495B0557" w14:textId="77777777" w:rsidR="008B6181" w:rsidRPr="00E35FBE" w:rsidRDefault="008B6181" w:rsidP="00744228">
            <w:pPr>
              <w:rPr>
                <w:rFonts w:cs="Times New Roman"/>
                <w:sz w:val="22"/>
                <w:szCs w:val="22"/>
              </w:rPr>
            </w:pPr>
            <w:r w:rsidRPr="00E35FBE">
              <w:rPr>
                <w:rFonts w:cs="Times New Roman"/>
                <w:sz w:val="22"/>
                <w:szCs w:val="22"/>
              </w:rPr>
              <w:t>Adult Male accounts (total)</w:t>
            </w:r>
          </w:p>
        </w:tc>
        <w:tc>
          <w:tcPr>
            <w:tcW w:w="1142" w:type="dxa"/>
          </w:tcPr>
          <w:p w14:paraId="43E8C48E" w14:textId="77777777" w:rsidR="008B6181" w:rsidRPr="00E35FBE" w:rsidRDefault="008B6181" w:rsidP="00744228">
            <w:pPr>
              <w:rPr>
                <w:rFonts w:cs="Times New Roman"/>
                <w:sz w:val="22"/>
                <w:szCs w:val="22"/>
              </w:rPr>
            </w:pPr>
            <w:r w:rsidRPr="00E35FBE">
              <w:rPr>
                <w:rFonts w:cs="Times New Roman"/>
                <w:sz w:val="22"/>
                <w:szCs w:val="22"/>
              </w:rPr>
              <w:t>35.8</w:t>
            </w:r>
          </w:p>
        </w:tc>
        <w:tc>
          <w:tcPr>
            <w:tcW w:w="1143" w:type="dxa"/>
          </w:tcPr>
          <w:p w14:paraId="53C94F48" w14:textId="77777777" w:rsidR="008B6181" w:rsidRPr="00E35FBE" w:rsidRDefault="008B6181" w:rsidP="00744228">
            <w:pPr>
              <w:rPr>
                <w:rFonts w:cs="Times New Roman"/>
                <w:sz w:val="22"/>
                <w:szCs w:val="22"/>
              </w:rPr>
            </w:pPr>
            <w:r w:rsidRPr="00E35FBE">
              <w:rPr>
                <w:rFonts w:cs="Times New Roman"/>
                <w:sz w:val="22"/>
                <w:szCs w:val="22"/>
              </w:rPr>
              <w:t>37.3</w:t>
            </w:r>
          </w:p>
        </w:tc>
        <w:tc>
          <w:tcPr>
            <w:tcW w:w="1143" w:type="dxa"/>
          </w:tcPr>
          <w:p w14:paraId="6CF352DF" w14:textId="77777777" w:rsidR="008B6181" w:rsidRPr="00E35FBE" w:rsidRDefault="008B6181" w:rsidP="00744228">
            <w:pPr>
              <w:rPr>
                <w:rFonts w:cs="Times New Roman"/>
                <w:sz w:val="22"/>
                <w:szCs w:val="22"/>
              </w:rPr>
            </w:pPr>
            <w:r w:rsidRPr="00E35FBE">
              <w:rPr>
                <w:rFonts w:cs="Times New Roman"/>
                <w:sz w:val="22"/>
                <w:szCs w:val="22"/>
              </w:rPr>
              <w:t>38.4</w:t>
            </w:r>
          </w:p>
        </w:tc>
        <w:tc>
          <w:tcPr>
            <w:tcW w:w="1143" w:type="dxa"/>
          </w:tcPr>
          <w:p w14:paraId="4DBF2D6C" w14:textId="77777777" w:rsidR="008B6181" w:rsidRPr="00E35FBE" w:rsidRDefault="008B6181" w:rsidP="00744228">
            <w:pPr>
              <w:rPr>
                <w:rFonts w:cs="Times New Roman"/>
                <w:sz w:val="22"/>
                <w:szCs w:val="22"/>
              </w:rPr>
            </w:pPr>
            <w:r w:rsidRPr="00E35FBE">
              <w:rPr>
                <w:rFonts w:cs="Times New Roman"/>
                <w:sz w:val="22"/>
                <w:szCs w:val="22"/>
              </w:rPr>
              <w:t>37.9</w:t>
            </w:r>
          </w:p>
        </w:tc>
        <w:tc>
          <w:tcPr>
            <w:tcW w:w="1143" w:type="dxa"/>
          </w:tcPr>
          <w:p w14:paraId="3A3E5E2E" w14:textId="77777777" w:rsidR="008B6181" w:rsidRPr="00E35FBE" w:rsidRDefault="008B6181" w:rsidP="00744228">
            <w:pPr>
              <w:rPr>
                <w:rFonts w:cs="Times New Roman"/>
                <w:sz w:val="22"/>
                <w:szCs w:val="22"/>
              </w:rPr>
            </w:pPr>
            <w:r w:rsidRPr="00E35FBE">
              <w:rPr>
                <w:rFonts w:cs="Times New Roman"/>
                <w:sz w:val="22"/>
                <w:szCs w:val="22"/>
              </w:rPr>
              <w:t>38.5</w:t>
            </w:r>
          </w:p>
        </w:tc>
      </w:tr>
      <w:tr w:rsidR="008B6181" w:rsidRPr="002B4E29" w14:paraId="2835452F" w14:textId="77777777" w:rsidTr="00744228">
        <w:tc>
          <w:tcPr>
            <w:tcW w:w="2802" w:type="dxa"/>
          </w:tcPr>
          <w:p w14:paraId="4417127A" w14:textId="77777777" w:rsidR="008B6181" w:rsidRPr="00E35FBE" w:rsidRDefault="008B6181" w:rsidP="00744228">
            <w:pPr>
              <w:rPr>
                <w:rFonts w:cs="Times New Roman"/>
                <w:sz w:val="22"/>
                <w:szCs w:val="22"/>
              </w:rPr>
            </w:pPr>
            <w:r w:rsidRPr="00E35FBE">
              <w:rPr>
                <w:rFonts w:cs="Times New Roman"/>
                <w:sz w:val="22"/>
                <w:szCs w:val="22"/>
              </w:rPr>
              <w:t>Adult Female accounts (total)</w:t>
            </w:r>
          </w:p>
        </w:tc>
        <w:tc>
          <w:tcPr>
            <w:tcW w:w="1142" w:type="dxa"/>
          </w:tcPr>
          <w:p w14:paraId="442CB36D" w14:textId="77777777" w:rsidR="008B6181" w:rsidRPr="00E35FBE" w:rsidRDefault="008B6181" w:rsidP="00744228">
            <w:pPr>
              <w:rPr>
                <w:rFonts w:cs="Times New Roman"/>
                <w:sz w:val="22"/>
                <w:szCs w:val="22"/>
              </w:rPr>
            </w:pPr>
            <w:r w:rsidRPr="00E35FBE">
              <w:rPr>
                <w:rFonts w:cs="Times New Roman"/>
                <w:sz w:val="22"/>
                <w:szCs w:val="22"/>
              </w:rPr>
              <w:t>31.2</w:t>
            </w:r>
          </w:p>
        </w:tc>
        <w:tc>
          <w:tcPr>
            <w:tcW w:w="1143" w:type="dxa"/>
          </w:tcPr>
          <w:p w14:paraId="01EC4607" w14:textId="77777777" w:rsidR="008B6181" w:rsidRPr="00E35FBE" w:rsidRDefault="008B6181" w:rsidP="00744228">
            <w:pPr>
              <w:rPr>
                <w:rFonts w:cs="Times New Roman"/>
                <w:sz w:val="22"/>
                <w:szCs w:val="22"/>
              </w:rPr>
            </w:pPr>
            <w:r w:rsidRPr="00E35FBE">
              <w:rPr>
                <w:rFonts w:cs="Times New Roman"/>
                <w:sz w:val="22"/>
                <w:szCs w:val="22"/>
              </w:rPr>
              <w:t>33.3</w:t>
            </w:r>
          </w:p>
        </w:tc>
        <w:tc>
          <w:tcPr>
            <w:tcW w:w="1143" w:type="dxa"/>
          </w:tcPr>
          <w:p w14:paraId="60471D75" w14:textId="77777777" w:rsidR="008B6181" w:rsidRPr="00E35FBE" w:rsidRDefault="008B6181" w:rsidP="00744228">
            <w:pPr>
              <w:rPr>
                <w:rFonts w:cs="Times New Roman"/>
                <w:sz w:val="22"/>
                <w:szCs w:val="22"/>
              </w:rPr>
            </w:pPr>
            <w:r w:rsidRPr="00E35FBE">
              <w:rPr>
                <w:rFonts w:cs="Times New Roman"/>
                <w:sz w:val="22"/>
                <w:szCs w:val="22"/>
              </w:rPr>
              <w:t>34.8</w:t>
            </w:r>
          </w:p>
        </w:tc>
        <w:tc>
          <w:tcPr>
            <w:tcW w:w="1143" w:type="dxa"/>
          </w:tcPr>
          <w:p w14:paraId="23420413" w14:textId="77777777" w:rsidR="008B6181" w:rsidRPr="00E35FBE" w:rsidRDefault="008B6181" w:rsidP="00744228">
            <w:pPr>
              <w:rPr>
                <w:rFonts w:cs="Times New Roman"/>
                <w:sz w:val="22"/>
                <w:szCs w:val="22"/>
              </w:rPr>
            </w:pPr>
            <w:r w:rsidRPr="00E35FBE">
              <w:rPr>
                <w:rFonts w:cs="Times New Roman"/>
                <w:sz w:val="22"/>
                <w:szCs w:val="22"/>
              </w:rPr>
              <w:t>39.8</w:t>
            </w:r>
          </w:p>
        </w:tc>
        <w:tc>
          <w:tcPr>
            <w:tcW w:w="1143" w:type="dxa"/>
          </w:tcPr>
          <w:p w14:paraId="36A30CF8" w14:textId="77777777" w:rsidR="008B6181" w:rsidRPr="00E35FBE" w:rsidRDefault="008B6181" w:rsidP="00744228">
            <w:pPr>
              <w:rPr>
                <w:rFonts w:cs="Times New Roman"/>
                <w:sz w:val="22"/>
                <w:szCs w:val="22"/>
              </w:rPr>
            </w:pPr>
            <w:r w:rsidRPr="00E35FBE">
              <w:rPr>
                <w:rFonts w:cs="Times New Roman"/>
                <w:sz w:val="22"/>
                <w:szCs w:val="22"/>
              </w:rPr>
              <w:t>40.0</w:t>
            </w:r>
          </w:p>
        </w:tc>
      </w:tr>
      <w:tr w:rsidR="008B6181" w:rsidRPr="002B4E29" w14:paraId="0D1C7B40" w14:textId="77777777" w:rsidTr="00744228">
        <w:tc>
          <w:tcPr>
            <w:tcW w:w="2802" w:type="dxa"/>
          </w:tcPr>
          <w:p w14:paraId="1EABF3AB" w14:textId="77777777" w:rsidR="008B6181" w:rsidRPr="00E35FBE" w:rsidRDefault="008B6181" w:rsidP="00744228">
            <w:pPr>
              <w:rPr>
                <w:rFonts w:cs="Times New Roman"/>
                <w:sz w:val="22"/>
                <w:szCs w:val="22"/>
              </w:rPr>
            </w:pPr>
            <w:r w:rsidRPr="00E35FBE">
              <w:rPr>
                <w:rFonts w:cs="Times New Roman"/>
                <w:sz w:val="22"/>
                <w:szCs w:val="22"/>
              </w:rPr>
              <w:t xml:space="preserve">* </w:t>
            </w:r>
            <w:proofErr w:type="gramStart"/>
            <w:r w:rsidRPr="00E35FBE">
              <w:rPr>
                <w:rFonts w:cs="Times New Roman"/>
                <w:sz w:val="22"/>
                <w:szCs w:val="22"/>
              </w:rPr>
              <w:t>widows</w:t>
            </w:r>
            <w:proofErr w:type="gramEnd"/>
          </w:p>
        </w:tc>
        <w:tc>
          <w:tcPr>
            <w:tcW w:w="1142" w:type="dxa"/>
          </w:tcPr>
          <w:p w14:paraId="45AFA78F" w14:textId="77777777" w:rsidR="008B6181" w:rsidRPr="00E35FBE" w:rsidRDefault="008B6181" w:rsidP="00744228">
            <w:pPr>
              <w:rPr>
                <w:rFonts w:cs="Times New Roman"/>
                <w:sz w:val="22"/>
                <w:szCs w:val="22"/>
              </w:rPr>
            </w:pPr>
            <w:r w:rsidRPr="00E35FBE">
              <w:rPr>
                <w:rFonts w:cs="Times New Roman"/>
                <w:sz w:val="22"/>
                <w:szCs w:val="22"/>
              </w:rPr>
              <w:t>4.4</w:t>
            </w:r>
          </w:p>
        </w:tc>
        <w:tc>
          <w:tcPr>
            <w:tcW w:w="1143" w:type="dxa"/>
          </w:tcPr>
          <w:p w14:paraId="7EBBFAE1" w14:textId="77777777" w:rsidR="008B6181" w:rsidRPr="00E35FBE" w:rsidRDefault="008B6181" w:rsidP="00744228">
            <w:pPr>
              <w:rPr>
                <w:rFonts w:cs="Times New Roman"/>
                <w:sz w:val="22"/>
                <w:szCs w:val="22"/>
              </w:rPr>
            </w:pPr>
            <w:r w:rsidRPr="00E35FBE">
              <w:rPr>
                <w:rFonts w:cs="Times New Roman"/>
                <w:sz w:val="22"/>
                <w:szCs w:val="22"/>
              </w:rPr>
              <w:t>4.9</w:t>
            </w:r>
          </w:p>
        </w:tc>
        <w:tc>
          <w:tcPr>
            <w:tcW w:w="1143" w:type="dxa"/>
          </w:tcPr>
          <w:p w14:paraId="0C947317" w14:textId="77777777" w:rsidR="008B6181" w:rsidRPr="00E35FBE" w:rsidRDefault="008B6181" w:rsidP="00744228">
            <w:pPr>
              <w:rPr>
                <w:rFonts w:cs="Times New Roman"/>
                <w:sz w:val="22"/>
                <w:szCs w:val="22"/>
              </w:rPr>
            </w:pPr>
            <w:r w:rsidRPr="00E35FBE">
              <w:rPr>
                <w:rFonts w:cs="Times New Roman"/>
                <w:sz w:val="22"/>
                <w:szCs w:val="22"/>
              </w:rPr>
              <w:t>3.9</w:t>
            </w:r>
          </w:p>
        </w:tc>
        <w:tc>
          <w:tcPr>
            <w:tcW w:w="1143" w:type="dxa"/>
          </w:tcPr>
          <w:p w14:paraId="360FFBD1" w14:textId="77777777" w:rsidR="008B6181" w:rsidRPr="00E35FBE" w:rsidRDefault="008B6181" w:rsidP="00744228">
            <w:pPr>
              <w:rPr>
                <w:rFonts w:cs="Times New Roman"/>
                <w:sz w:val="22"/>
                <w:szCs w:val="22"/>
              </w:rPr>
            </w:pPr>
            <w:r w:rsidRPr="00E35FBE">
              <w:rPr>
                <w:rFonts w:cs="Times New Roman"/>
                <w:sz w:val="22"/>
                <w:szCs w:val="22"/>
              </w:rPr>
              <w:t>4.5</w:t>
            </w:r>
          </w:p>
        </w:tc>
        <w:tc>
          <w:tcPr>
            <w:tcW w:w="1143" w:type="dxa"/>
          </w:tcPr>
          <w:p w14:paraId="1E3C5F30" w14:textId="77777777" w:rsidR="008B6181" w:rsidRPr="00E35FBE" w:rsidRDefault="008B6181" w:rsidP="00744228">
            <w:pPr>
              <w:rPr>
                <w:rFonts w:cs="Times New Roman"/>
                <w:sz w:val="22"/>
                <w:szCs w:val="22"/>
              </w:rPr>
            </w:pPr>
            <w:r w:rsidRPr="00E35FBE">
              <w:rPr>
                <w:rFonts w:cs="Times New Roman"/>
                <w:sz w:val="22"/>
                <w:szCs w:val="22"/>
              </w:rPr>
              <w:t>4.3</w:t>
            </w:r>
          </w:p>
        </w:tc>
      </w:tr>
      <w:tr w:rsidR="008B6181" w:rsidRPr="002B4E29" w14:paraId="46222FC3" w14:textId="77777777" w:rsidTr="00744228">
        <w:tc>
          <w:tcPr>
            <w:tcW w:w="2802" w:type="dxa"/>
            <w:shd w:val="clear" w:color="auto" w:fill="auto"/>
          </w:tcPr>
          <w:p w14:paraId="18B0EC51" w14:textId="77777777" w:rsidR="008B6181" w:rsidRPr="00E35FBE" w:rsidRDefault="008B6181" w:rsidP="00744228">
            <w:pPr>
              <w:rPr>
                <w:rFonts w:cs="Times New Roman"/>
                <w:sz w:val="22"/>
                <w:szCs w:val="22"/>
              </w:rPr>
            </w:pPr>
            <w:r w:rsidRPr="00E35FBE">
              <w:rPr>
                <w:rFonts w:cs="Times New Roman"/>
                <w:sz w:val="22"/>
                <w:szCs w:val="22"/>
              </w:rPr>
              <w:t xml:space="preserve">* </w:t>
            </w:r>
            <w:proofErr w:type="gramStart"/>
            <w:r w:rsidRPr="00E35FBE">
              <w:rPr>
                <w:rFonts w:cs="Times New Roman"/>
                <w:sz w:val="22"/>
                <w:szCs w:val="22"/>
              </w:rPr>
              <w:t>married</w:t>
            </w:r>
            <w:proofErr w:type="gramEnd"/>
            <w:r w:rsidRPr="00E35FBE">
              <w:rPr>
                <w:rFonts w:cs="Times New Roman"/>
                <w:sz w:val="22"/>
                <w:szCs w:val="22"/>
              </w:rPr>
              <w:t xml:space="preserve"> women</w:t>
            </w:r>
          </w:p>
        </w:tc>
        <w:tc>
          <w:tcPr>
            <w:tcW w:w="1142" w:type="dxa"/>
            <w:shd w:val="clear" w:color="auto" w:fill="auto"/>
          </w:tcPr>
          <w:p w14:paraId="56669D64" w14:textId="77777777" w:rsidR="008B6181" w:rsidRPr="00E35FBE" w:rsidRDefault="008B6181" w:rsidP="00744228">
            <w:pPr>
              <w:rPr>
                <w:rFonts w:cs="Times New Roman"/>
                <w:sz w:val="22"/>
                <w:szCs w:val="22"/>
              </w:rPr>
            </w:pPr>
            <w:r w:rsidRPr="00E35FBE">
              <w:rPr>
                <w:rFonts w:cs="Times New Roman"/>
                <w:sz w:val="22"/>
                <w:szCs w:val="22"/>
              </w:rPr>
              <w:t>14.8</w:t>
            </w:r>
          </w:p>
        </w:tc>
        <w:tc>
          <w:tcPr>
            <w:tcW w:w="1143" w:type="dxa"/>
            <w:shd w:val="clear" w:color="auto" w:fill="auto"/>
          </w:tcPr>
          <w:p w14:paraId="39B0E77C" w14:textId="77777777" w:rsidR="008B6181" w:rsidRPr="00E35FBE" w:rsidRDefault="008B6181" w:rsidP="00744228">
            <w:pPr>
              <w:rPr>
                <w:rFonts w:cs="Times New Roman"/>
                <w:sz w:val="22"/>
                <w:szCs w:val="22"/>
              </w:rPr>
            </w:pPr>
            <w:r w:rsidRPr="00E35FBE">
              <w:rPr>
                <w:rFonts w:cs="Times New Roman"/>
                <w:sz w:val="22"/>
                <w:szCs w:val="22"/>
              </w:rPr>
              <w:t>16.6</w:t>
            </w:r>
          </w:p>
        </w:tc>
        <w:tc>
          <w:tcPr>
            <w:tcW w:w="1143" w:type="dxa"/>
            <w:shd w:val="clear" w:color="auto" w:fill="auto"/>
          </w:tcPr>
          <w:p w14:paraId="52AD57F0" w14:textId="77777777" w:rsidR="008B6181" w:rsidRPr="00E35FBE" w:rsidRDefault="008B6181" w:rsidP="00744228">
            <w:pPr>
              <w:rPr>
                <w:rFonts w:cs="Times New Roman"/>
                <w:sz w:val="22"/>
                <w:szCs w:val="22"/>
              </w:rPr>
            </w:pPr>
            <w:r w:rsidRPr="00E35FBE">
              <w:rPr>
                <w:rFonts w:cs="Times New Roman"/>
                <w:sz w:val="22"/>
                <w:szCs w:val="22"/>
              </w:rPr>
              <w:t>18.3</w:t>
            </w:r>
          </w:p>
        </w:tc>
        <w:tc>
          <w:tcPr>
            <w:tcW w:w="1143" w:type="dxa"/>
            <w:shd w:val="clear" w:color="auto" w:fill="auto"/>
          </w:tcPr>
          <w:p w14:paraId="5F136E7F" w14:textId="77777777" w:rsidR="008B6181" w:rsidRPr="00E35FBE" w:rsidRDefault="008B6181" w:rsidP="00744228">
            <w:pPr>
              <w:rPr>
                <w:rFonts w:cs="Times New Roman"/>
                <w:sz w:val="22"/>
                <w:szCs w:val="22"/>
              </w:rPr>
            </w:pPr>
            <w:r w:rsidRPr="00E35FBE">
              <w:rPr>
                <w:rFonts w:cs="Times New Roman"/>
                <w:sz w:val="22"/>
                <w:szCs w:val="22"/>
              </w:rPr>
              <w:t>23.0</w:t>
            </w:r>
          </w:p>
        </w:tc>
        <w:tc>
          <w:tcPr>
            <w:tcW w:w="1143" w:type="dxa"/>
            <w:shd w:val="clear" w:color="auto" w:fill="auto"/>
          </w:tcPr>
          <w:p w14:paraId="0782F5F3" w14:textId="77777777" w:rsidR="008B6181" w:rsidRPr="00E35FBE" w:rsidRDefault="008B6181" w:rsidP="00744228">
            <w:pPr>
              <w:rPr>
                <w:rFonts w:cs="Times New Roman"/>
                <w:sz w:val="22"/>
                <w:szCs w:val="22"/>
              </w:rPr>
            </w:pPr>
            <w:r w:rsidRPr="00E35FBE">
              <w:rPr>
                <w:rFonts w:cs="Times New Roman"/>
                <w:sz w:val="22"/>
                <w:szCs w:val="22"/>
              </w:rPr>
              <w:t>24.7</w:t>
            </w:r>
          </w:p>
        </w:tc>
      </w:tr>
      <w:tr w:rsidR="008B6181" w:rsidRPr="002B4E29" w14:paraId="7AA097C7" w14:textId="77777777" w:rsidTr="00744228">
        <w:tc>
          <w:tcPr>
            <w:tcW w:w="2802" w:type="dxa"/>
          </w:tcPr>
          <w:p w14:paraId="288F266E" w14:textId="77777777" w:rsidR="008B6181" w:rsidRPr="00E35FBE" w:rsidRDefault="008B6181" w:rsidP="00744228">
            <w:pPr>
              <w:rPr>
                <w:rFonts w:cs="Times New Roman"/>
                <w:sz w:val="22"/>
                <w:szCs w:val="22"/>
              </w:rPr>
            </w:pPr>
            <w:r w:rsidRPr="00E35FBE">
              <w:rPr>
                <w:rFonts w:cs="Times New Roman"/>
                <w:sz w:val="22"/>
                <w:szCs w:val="22"/>
              </w:rPr>
              <w:t xml:space="preserve">* </w:t>
            </w:r>
            <w:proofErr w:type="gramStart"/>
            <w:r w:rsidRPr="00E35FBE">
              <w:rPr>
                <w:rFonts w:cs="Times New Roman"/>
                <w:sz w:val="22"/>
                <w:szCs w:val="22"/>
              </w:rPr>
              <w:t>single</w:t>
            </w:r>
            <w:proofErr w:type="gramEnd"/>
            <w:r w:rsidRPr="00E35FBE">
              <w:rPr>
                <w:rFonts w:cs="Times New Roman"/>
                <w:sz w:val="22"/>
                <w:szCs w:val="22"/>
              </w:rPr>
              <w:t xml:space="preserve"> women</w:t>
            </w:r>
          </w:p>
        </w:tc>
        <w:tc>
          <w:tcPr>
            <w:tcW w:w="1142" w:type="dxa"/>
          </w:tcPr>
          <w:p w14:paraId="16C21498" w14:textId="77777777" w:rsidR="008B6181" w:rsidRPr="00E35FBE" w:rsidRDefault="008B6181" w:rsidP="00744228">
            <w:pPr>
              <w:rPr>
                <w:rFonts w:cs="Times New Roman"/>
                <w:sz w:val="22"/>
                <w:szCs w:val="22"/>
              </w:rPr>
            </w:pPr>
            <w:r w:rsidRPr="00E35FBE">
              <w:rPr>
                <w:rFonts w:cs="Times New Roman"/>
                <w:sz w:val="22"/>
                <w:szCs w:val="22"/>
              </w:rPr>
              <w:t>12.0</w:t>
            </w:r>
          </w:p>
        </w:tc>
        <w:tc>
          <w:tcPr>
            <w:tcW w:w="1143" w:type="dxa"/>
          </w:tcPr>
          <w:p w14:paraId="2E9CBB66" w14:textId="77777777" w:rsidR="008B6181" w:rsidRPr="00E35FBE" w:rsidRDefault="008B6181" w:rsidP="00744228">
            <w:pPr>
              <w:rPr>
                <w:rFonts w:cs="Times New Roman"/>
                <w:sz w:val="22"/>
                <w:szCs w:val="22"/>
              </w:rPr>
            </w:pPr>
            <w:r w:rsidRPr="00E35FBE">
              <w:rPr>
                <w:rFonts w:cs="Times New Roman"/>
                <w:sz w:val="22"/>
                <w:szCs w:val="22"/>
              </w:rPr>
              <w:t>11.8</w:t>
            </w:r>
          </w:p>
        </w:tc>
        <w:tc>
          <w:tcPr>
            <w:tcW w:w="1143" w:type="dxa"/>
          </w:tcPr>
          <w:p w14:paraId="4DCE0A07" w14:textId="77777777" w:rsidR="008B6181" w:rsidRPr="00E35FBE" w:rsidRDefault="008B6181" w:rsidP="00744228">
            <w:pPr>
              <w:rPr>
                <w:rFonts w:cs="Times New Roman"/>
                <w:sz w:val="22"/>
                <w:szCs w:val="22"/>
              </w:rPr>
            </w:pPr>
            <w:r w:rsidRPr="00E35FBE">
              <w:rPr>
                <w:rFonts w:cs="Times New Roman"/>
                <w:sz w:val="22"/>
                <w:szCs w:val="22"/>
              </w:rPr>
              <w:t>12.6</w:t>
            </w:r>
          </w:p>
        </w:tc>
        <w:tc>
          <w:tcPr>
            <w:tcW w:w="1143" w:type="dxa"/>
          </w:tcPr>
          <w:p w14:paraId="74637D71" w14:textId="77777777" w:rsidR="008B6181" w:rsidRPr="00E35FBE" w:rsidRDefault="008B6181" w:rsidP="00744228">
            <w:pPr>
              <w:rPr>
                <w:rFonts w:cs="Times New Roman"/>
                <w:sz w:val="22"/>
                <w:szCs w:val="22"/>
              </w:rPr>
            </w:pPr>
            <w:r w:rsidRPr="00E35FBE">
              <w:rPr>
                <w:rFonts w:cs="Times New Roman"/>
                <w:sz w:val="22"/>
                <w:szCs w:val="22"/>
              </w:rPr>
              <w:t>12.3</w:t>
            </w:r>
          </w:p>
        </w:tc>
        <w:tc>
          <w:tcPr>
            <w:tcW w:w="1143" w:type="dxa"/>
          </w:tcPr>
          <w:p w14:paraId="27D03C28" w14:textId="77777777" w:rsidR="008B6181" w:rsidRPr="00E35FBE" w:rsidRDefault="008B6181" w:rsidP="00744228">
            <w:pPr>
              <w:rPr>
                <w:rFonts w:cs="Times New Roman"/>
                <w:sz w:val="22"/>
                <w:szCs w:val="22"/>
              </w:rPr>
            </w:pPr>
            <w:r w:rsidRPr="00E35FBE">
              <w:rPr>
                <w:rFonts w:cs="Times New Roman"/>
                <w:sz w:val="22"/>
                <w:szCs w:val="22"/>
              </w:rPr>
              <w:t>11.0</w:t>
            </w:r>
          </w:p>
        </w:tc>
      </w:tr>
      <w:tr w:rsidR="008B6181" w:rsidRPr="002B4E29" w14:paraId="1407B015" w14:textId="77777777" w:rsidTr="00744228">
        <w:tc>
          <w:tcPr>
            <w:tcW w:w="2802" w:type="dxa"/>
          </w:tcPr>
          <w:p w14:paraId="7DEBB7E8" w14:textId="77777777" w:rsidR="008B6181" w:rsidRPr="00E35FBE" w:rsidRDefault="008B6181" w:rsidP="00744228">
            <w:pPr>
              <w:rPr>
                <w:rFonts w:cs="Times New Roman"/>
                <w:sz w:val="22"/>
                <w:szCs w:val="22"/>
              </w:rPr>
            </w:pPr>
            <w:r w:rsidRPr="00E35FBE">
              <w:rPr>
                <w:rFonts w:cs="Times New Roman"/>
                <w:sz w:val="22"/>
                <w:szCs w:val="22"/>
              </w:rPr>
              <w:t>Female Minors</w:t>
            </w:r>
          </w:p>
        </w:tc>
        <w:tc>
          <w:tcPr>
            <w:tcW w:w="1142" w:type="dxa"/>
          </w:tcPr>
          <w:p w14:paraId="56FB40FB" w14:textId="77777777" w:rsidR="008B6181" w:rsidRPr="00E35FBE" w:rsidRDefault="008B6181" w:rsidP="00744228">
            <w:pPr>
              <w:rPr>
                <w:rFonts w:cs="Times New Roman"/>
                <w:sz w:val="22"/>
                <w:szCs w:val="22"/>
              </w:rPr>
            </w:pPr>
            <w:r w:rsidRPr="00E35FBE">
              <w:rPr>
                <w:rFonts w:cs="Times New Roman"/>
                <w:sz w:val="22"/>
                <w:szCs w:val="22"/>
              </w:rPr>
              <w:t>9.3</w:t>
            </w:r>
          </w:p>
        </w:tc>
        <w:tc>
          <w:tcPr>
            <w:tcW w:w="1143" w:type="dxa"/>
          </w:tcPr>
          <w:p w14:paraId="7FF8C734" w14:textId="77777777" w:rsidR="008B6181" w:rsidRPr="00E35FBE" w:rsidRDefault="008B6181" w:rsidP="00744228">
            <w:pPr>
              <w:rPr>
                <w:rFonts w:cs="Times New Roman"/>
                <w:sz w:val="22"/>
                <w:szCs w:val="22"/>
              </w:rPr>
            </w:pPr>
            <w:r w:rsidRPr="00E35FBE">
              <w:rPr>
                <w:rFonts w:cs="Times New Roman"/>
                <w:sz w:val="22"/>
                <w:szCs w:val="22"/>
              </w:rPr>
              <w:t>6.6</w:t>
            </w:r>
          </w:p>
        </w:tc>
        <w:tc>
          <w:tcPr>
            <w:tcW w:w="1143" w:type="dxa"/>
          </w:tcPr>
          <w:p w14:paraId="05FF16EC" w14:textId="77777777" w:rsidR="008B6181" w:rsidRPr="00E35FBE" w:rsidRDefault="008B6181" w:rsidP="00744228">
            <w:pPr>
              <w:rPr>
                <w:rFonts w:cs="Times New Roman"/>
                <w:sz w:val="22"/>
                <w:szCs w:val="22"/>
              </w:rPr>
            </w:pPr>
            <w:r w:rsidRPr="00E35FBE">
              <w:rPr>
                <w:rFonts w:cs="Times New Roman"/>
                <w:sz w:val="22"/>
                <w:szCs w:val="22"/>
              </w:rPr>
              <w:t>7.8</w:t>
            </w:r>
          </w:p>
        </w:tc>
        <w:tc>
          <w:tcPr>
            <w:tcW w:w="1143" w:type="dxa"/>
          </w:tcPr>
          <w:p w14:paraId="261F071F" w14:textId="77777777" w:rsidR="008B6181" w:rsidRPr="00E35FBE" w:rsidRDefault="008B6181" w:rsidP="00744228">
            <w:pPr>
              <w:rPr>
                <w:rFonts w:cs="Times New Roman"/>
                <w:sz w:val="22"/>
                <w:szCs w:val="22"/>
              </w:rPr>
            </w:pPr>
            <w:r w:rsidRPr="00E35FBE">
              <w:rPr>
                <w:rFonts w:cs="Times New Roman"/>
                <w:sz w:val="22"/>
                <w:szCs w:val="22"/>
              </w:rPr>
              <w:t>6.5</w:t>
            </w:r>
          </w:p>
        </w:tc>
        <w:tc>
          <w:tcPr>
            <w:tcW w:w="1143" w:type="dxa"/>
          </w:tcPr>
          <w:p w14:paraId="0F60EA42" w14:textId="77777777" w:rsidR="008B6181" w:rsidRPr="00E35FBE" w:rsidRDefault="008B6181" w:rsidP="00744228">
            <w:pPr>
              <w:rPr>
                <w:rFonts w:cs="Times New Roman"/>
                <w:sz w:val="22"/>
                <w:szCs w:val="22"/>
              </w:rPr>
            </w:pPr>
            <w:r w:rsidRPr="00E35FBE">
              <w:rPr>
                <w:rFonts w:cs="Times New Roman"/>
                <w:sz w:val="22"/>
                <w:szCs w:val="22"/>
              </w:rPr>
              <w:t>6.3</w:t>
            </w:r>
          </w:p>
        </w:tc>
      </w:tr>
      <w:tr w:rsidR="008B6181" w:rsidRPr="002B4E29" w14:paraId="1FAEF897" w14:textId="77777777" w:rsidTr="00744228">
        <w:tc>
          <w:tcPr>
            <w:tcW w:w="2802" w:type="dxa"/>
          </w:tcPr>
          <w:p w14:paraId="05FAE1C3" w14:textId="77777777" w:rsidR="008B6181" w:rsidRPr="00E35FBE" w:rsidRDefault="008B6181" w:rsidP="00744228">
            <w:pPr>
              <w:rPr>
                <w:rFonts w:cs="Times New Roman"/>
                <w:sz w:val="22"/>
                <w:szCs w:val="22"/>
              </w:rPr>
            </w:pPr>
            <w:r w:rsidRPr="00E35FBE">
              <w:rPr>
                <w:rFonts w:cs="Times New Roman"/>
                <w:sz w:val="22"/>
                <w:szCs w:val="22"/>
              </w:rPr>
              <w:t>Male Minors</w:t>
            </w:r>
          </w:p>
        </w:tc>
        <w:tc>
          <w:tcPr>
            <w:tcW w:w="1142" w:type="dxa"/>
          </w:tcPr>
          <w:p w14:paraId="04B397F0" w14:textId="77777777" w:rsidR="008B6181" w:rsidRPr="00E35FBE" w:rsidRDefault="008B6181" w:rsidP="00744228">
            <w:pPr>
              <w:rPr>
                <w:rFonts w:cs="Times New Roman"/>
                <w:sz w:val="22"/>
                <w:szCs w:val="22"/>
              </w:rPr>
            </w:pPr>
            <w:r w:rsidRPr="00E35FBE">
              <w:rPr>
                <w:rFonts w:cs="Times New Roman"/>
                <w:sz w:val="22"/>
                <w:szCs w:val="22"/>
              </w:rPr>
              <w:t>11.5</w:t>
            </w:r>
          </w:p>
        </w:tc>
        <w:tc>
          <w:tcPr>
            <w:tcW w:w="1143" w:type="dxa"/>
          </w:tcPr>
          <w:p w14:paraId="78D87819" w14:textId="77777777" w:rsidR="008B6181" w:rsidRPr="00E35FBE" w:rsidRDefault="008B6181" w:rsidP="00744228">
            <w:pPr>
              <w:rPr>
                <w:rFonts w:cs="Times New Roman"/>
                <w:sz w:val="22"/>
                <w:szCs w:val="22"/>
              </w:rPr>
            </w:pPr>
            <w:r w:rsidRPr="00E35FBE">
              <w:rPr>
                <w:rFonts w:cs="Times New Roman"/>
                <w:sz w:val="22"/>
                <w:szCs w:val="22"/>
              </w:rPr>
              <w:t>8.9</w:t>
            </w:r>
          </w:p>
        </w:tc>
        <w:tc>
          <w:tcPr>
            <w:tcW w:w="1143" w:type="dxa"/>
          </w:tcPr>
          <w:p w14:paraId="238453D7" w14:textId="77777777" w:rsidR="008B6181" w:rsidRPr="00E35FBE" w:rsidRDefault="008B6181" w:rsidP="00744228">
            <w:pPr>
              <w:rPr>
                <w:rFonts w:cs="Times New Roman"/>
                <w:sz w:val="22"/>
                <w:szCs w:val="22"/>
              </w:rPr>
            </w:pPr>
            <w:r w:rsidRPr="00E35FBE">
              <w:rPr>
                <w:rFonts w:cs="Times New Roman"/>
                <w:sz w:val="22"/>
                <w:szCs w:val="22"/>
              </w:rPr>
              <w:t>9.1</w:t>
            </w:r>
          </w:p>
        </w:tc>
        <w:tc>
          <w:tcPr>
            <w:tcW w:w="1143" w:type="dxa"/>
          </w:tcPr>
          <w:p w14:paraId="26912338" w14:textId="77777777" w:rsidR="008B6181" w:rsidRPr="00E35FBE" w:rsidRDefault="008B6181" w:rsidP="00744228">
            <w:pPr>
              <w:rPr>
                <w:rFonts w:cs="Times New Roman"/>
                <w:sz w:val="22"/>
                <w:szCs w:val="22"/>
              </w:rPr>
            </w:pPr>
            <w:r w:rsidRPr="00E35FBE">
              <w:rPr>
                <w:rFonts w:cs="Times New Roman"/>
                <w:sz w:val="22"/>
                <w:szCs w:val="22"/>
              </w:rPr>
              <w:t>8.5</w:t>
            </w:r>
          </w:p>
        </w:tc>
        <w:tc>
          <w:tcPr>
            <w:tcW w:w="1143" w:type="dxa"/>
          </w:tcPr>
          <w:p w14:paraId="2900D318" w14:textId="77777777" w:rsidR="008B6181" w:rsidRPr="00E35FBE" w:rsidRDefault="008B6181" w:rsidP="00744228">
            <w:pPr>
              <w:rPr>
                <w:rFonts w:cs="Times New Roman"/>
                <w:sz w:val="22"/>
                <w:szCs w:val="22"/>
              </w:rPr>
            </w:pPr>
            <w:r w:rsidRPr="00E35FBE">
              <w:rPr>
                <w:rFonts w:cs="Times New Roman"/>
                <w:sz w:val="22"/>
                <w:szCs w:val="22"/>
              </w:rPr>
              <w:t>9.3</w:t>
            </w:r>
          </w:p>
        </w:tc>
      </w:tr>
      <w:tr w:rsidR="008B6181" w:rsidRPr="002B4E29" w14:paraId="27C4F0B7" w14:textId="77777777" w:rsidTr="00744228">
        <w:tc>
          <w:tcPr>
            <w:tcW w:w="2802" w:type="dxa"/>
          </w:tcPr>
          <w:p w14:paraId="16838D87" w14:textId="77777777" w:rsidR="008B6181" w:rsidRPr="00E35FBE" w:rsidRDefault="008B6181" w:rsidP="00744228">
            <w:pPr>
              <w:rPr>
                <w:rFonts w:cs="Times New Roman"/>
                <w:sz w:val="22"/>
                <w:szCs w:val="22"/>
              </w:rPr>
            </w:pPr>
            <w:r w:rsidRPr="00E35FBE">
              <w:rPr>
                <w:rFonts w:cs="Times New Roman"/>
                <w:sz w:val="22"/>
                <w:szCs w:val="22"/>
              </w:rPr>
              <w:t>Charities</w:t>
            </w:r>
          </w:p>
        </w:tc>
        <w:tc>
          <w:tcPr>
            <w:tcW w:w="1142" w:type="dxa"/>
          </w:tcPr>
          <w:p w14:paraId="4FD93142" w14:textId="77777777" w:rsidR="008B6181" w:rsidRPr="00E35FBE" w:rsidRDefault="008B6181" w:rsidP="00744228">
            <w:pPr>
              <w:rPr>
                <w:rFonts w:cs="Times New Roman"/>
                <w:sz w:val="22"/>
                <w:szCs w:val="22"/>
              </w:rPr>
            </w:pPr>
            <w:r w:rsidRPr="00E35FBE">
              <w:rPr>
                <w:rFonts w:cs="Times New Roman"/>
                <w:sz w:val="22"/>
                <w:szCs w:val="22"/>
              </w:rPr>
              <w:t>2.8</w:t>
            </w:r>
          </w:p>
        </w:tc>
        <w:tc>
          <w:tcPr>
            <w:tcW w:w="1143" w:type="dxa"/>
          </w:tcPr>
          <w:p w14:paraId="5A439A2D" w14:textId="77777777" w:rsidR="008B6181" w:rsidRPr="00E35FBE" w:rsidRDefault="008B6181" w:rsidP="00744228">
            <w:pPr>
              <w:rPr>
                <w:rFonts w:cs="Times New Roman"/>
                <w:sz w:val="22"/>
                <w:szCs w:val="22"/>
              </w:rPr>
            </w:pPr>
            <w:r w:rsidRPr="00E35FBE">
              <w:rPr>
                <w:rFonts w:cs="Times New Roman"/>
                <w:sz w:val="22"/>
                <w:szCs w:val="22"/>
              </w:rPr>
              <w:t>3.5</w:t>
            </w:r>
          </w:p>
        </w:tc>
        <w:tc>
          <w:tcPr>
            <w:tcW w:w="1143" w:type="dxa"/>
          </w:tcPr>
          <w:p w14:paraId="6E7E8B15" w14:textId="77777777" w:rsidR="008B6181" w:rsidRPr="00E35FBE" w:rsidRDefault="008B6181" w:rsidP="00744228">
            <w:pPr>
              <w:rPr>
                <w:rFonts w:cs="Times New Roman"/>
                <w:sz w:val="22"/>
                <w:szCs w:val="22"/>
              </w:rPr>
            </w:pPr>
            <w:r w:rsidRPr="00E35FBE">
              <w:rPr>
                <w:rFonts w:cs="Times New Roman"/>
                <w:sz w:val="22"/>
                <w:szCs w:val="22"/>
              </w:rPr>
              <w:t>2.6</w:t>
            </w:r>
          </w:p>
        </w:tc>
        <w:tc>
          <w:tcPr>
            <w:tcW w:w="1143" w:type="dxa"/>
          </w:tcPr>
          <w:p w14:paraId="07AAA390" w14:textId="77777777" w:rsidR="008B6181" w:rsidRPr="00E35FBE" w:rsidRDefault="008B6181" w:rsidP="00744228">
            <w:pPr>
              <w:rPr>
                <w:rFonts w:cs="Times New Roman"/>
                <w:sz w:val="22"/>
                <w:szCs w:val="22"/>
              </w:rPr>
            </w:pPr>
            <w:r w:rsidRPr="00E35FBE">
              <w:rPr>
                <w:rFonts w:cs="Times New Roman"/>
                <w:sz w:val="22"/>
                <w:szCs w:val="22"/>
              </w:rPr>
              <w:t>3.5</w:t>
            </w:r>
          </w:p>
        </w:tc>
        <w:tc>
          <w:tcPr>
            <w:tcW w:w="1143" w:type="dxa"/>
          </w:tcPr>
          <w:p w14:paraId="38517366" w14:textId="77777777" w:rsidR="008B6181" w:rsidRPr="00E35FBE" w:rsidRDefault="008B6181" w:rsidP="00744228">
            <w:pPr>
              <w:rPr>
                <w:rFonts w:cs="Times New Roman"/>
                <w:sz w:val="22"/>
                <w:szCs w:val="22"/>
              </w:rPr>
            </w:pPr>
            <w:r w:rsidRPr="00E35FBE">
              <w:rPr>
                <w:rFonts w:cs="Times New Roman"/>
                <w:sz w:val="22"/>
                <w:szCs w:val="22"/>
              </w:rPr>
              <w:t>3.6</w:t>
            </w:r>
          </w:p>
        </w:tc>
      </w:tr>
      <w:tr w:rsidR="008B6181" w:rsidRPr="002B4E29" w14:paraId="2F578032" w14:textId="77777777" w:rsidTr="00744228">
        <w:tc>
          <w:tcPr>
            <w:tcW w:w="2802" w:type="dxa"/>
            <w:shd w:val="clear" w:color="auto" w:fill="auto"/>
          </w:tcPr>
          <w:p w14:paraId="49535C18" w14:textId="77777777" w:rsidR="008B6181" w:rsidRPr="00E35FBE" w:rsidRDefault="008B6181" w:rsidP="00744228">
            <w:pPr>
              <w:rPr>
                <w:rFonts w:cs="Times New Roman"/>
                <w:sz w:val="22"/>
                <w:szCs w:val="22"/>
              </w:rPr>
            </w:pPr>
            <w:r w:rsidRPr="00E35FBE">
              <w:rPr>
                <w:rFonts w:cs="Times New Roman"/>
                <w:sz w:val="22"/>
                <w:szCs w:val="22"/>
              </w:rPr>
              <w:t xml:space="preserve">Non-standard </w:t>
            </w:r>
          </w:p>
        </w:tc>
        <w:tc>
          <w:tcPr>
            <w:tcW w:w="1142" w:type="dxa"/>
            <w:shd w:val="clear" w:color="auto" w:fill="auto"/>
          </w:tcPr>
          <w:p w14:paraId="1E00E6BA" w14:textId="77777777" w:rsidR="008B6181" w:rsidRPr="00E35FBE" w:rsidRDefault="008B6181" w:rsidP="00744228">
            <w:pPr>
              <w:rPr>
                <w:rFonts w:cs="Times New Roman"/>
                <w:sz w:val="22"/>
                <w:szCs w:val="22"/>
              </w:rPr>
            </w:pPr>
            <w:r w:rsidRPr="00E35FBE">
              <w:rPr>
                <w:rFonts w:cs="Times New Roman"/>
                <w:sz w:val="22"/>
                <w:szCs w:val="22"/>
              </w:rPr>
              <w:t>9.4</w:t>
            </w:r>
          </w:p>
        </w:tc>
        <w:tc>
          <w:tcPr>
            <w:tcW w:w="1143" w:type="dxa"/>
            <w:shd w:val="clear" w:color="auto" w:fill="auto"/>
          </w:tcPr>
          <w:p w14:paraId="23A03787" w14:textId="77777777" w:rsidR="008B6181" w:rsidRPr="00E35FBE" w:rsidRDefault="008B6181" w:rsidP="00744228">
            <w:pPr>
              <w:rPr>
                <w:rFonts w:cs="Times New Roman"/>
                <w:sz w:val="22"/>
                <w:szCs w:val="22"/>
              </w:rPr>
            </w:pPr>
            <w:r w:rsidRPr="00E35FBE">
              <w:rPr>
                <w:rFonts w:cs="Times New Roman"/>
                <w:sz w:val="22"/>
                <w:szCs w:val="22"/>
              </w:rPr>
              <w:t>10.6</w:t>
            </w:r>
          </w:p>
        </w:tc>
        <w:tc>
          <w:tcPr>
            <w:tcW w:w="1143" w:type="dxa"/>
            <w:shd w:val="clear" w:color="auto" w:fill="auto"/>
          </w:tcPr>
          <w:p w14:paraId="547EF43C" w14:textId="77777777" w:rsidR="008B6181" w:rsidRPr="00E35FBE" w:rsidRDefault="008B6181" w:rsidP="00744228">
            <w:pPr>
              <w:rPr>
                <w:rFonts w:cs="Times New Roman"/>
                <w:sz w:val="22"/>
                <w:szCs w:val="22"/>
              </w:rPr>
            </w:pPr>
            <w:r w:rsidRPr="00E35FBE">
              <w:rPr>
                <w:rFonts w:cs="Times New Roman"/>
                <w:sz w:val="22"/>
                <w:szCs w:val="22"/>
              </w:rPr>
              <w:t>7.2</w:t>
            </w:r>
          </w:p>
        </w:tc>
        <w:tc>
          <w:tcPr>
            <w:tcW w:w="1143" w:type="dxa"/>
            <w:shd w:val="clear" w:color="auto" w:fill="auto"/>
          </w:tcPr>
          <w:p w14:paraId="256C727F" w14:textId="77777777" w:rsidR="008B6181" w:rsidRPr="00E35FBE" w:rsidRDefault="008B6181" w:rsidP="00744228">
            <w:pPr>
              <w:rPr>
                <w:rFonts w:cs="Times New Roman"/>
                <w:sz w:val="22"/>
                <w:szCs w:val="22"/>
              </w:rPr>
            </w:pPr>
            <w:r w:rsidRPr="00E35FBE">
              <w:rPr>
                <w:rFonts w:cs="Times New Roman"/>
                <w:sz w:val="22"/>
                <w:szCs w:val="22"/>
              </w:rPr>
              <w:t>3.8</w:t>
            </w:r>
          </w:p>
        </w:tc>
        <w:tc>
          <w:tcPr>
            <w:tcW w:w="1143" w:type="dxa"/>
            <w:shd w:val="clear" w:color="auto" w:fill="auto"/>
          </w:tcPr>
          <w:p w14:paraId="4C713DAA" w14:textId="77777777" w:rsidR="008B6181" w:rsidRPr="00E35FBE" w:rsidRDefault="008B6181" w:rsidP="00744228">
            <w:pPr>
              <w:rPr>
                <w:rFonts w:cs="Times New Roman"/>
                <w:sz w:val="22"/>
                <w:szCs w:val="22"/>
              </w:rPr>
            </w:pPr>
            <w:r w:rsidRPr="00E35FBE">
              <w:rPr>
                <w:rFonts w:cs="Times New Roman"/>
                <w:sz w:val="22"/>
                <w:szCs w:val="22"/>
              </w:rPr>
              <w:t>2.3</w:t>
            </w:r>
          </w:p>
        </w:tc>
      </w:tr>
    </w:tbl>
    <w:p w14:paraId="4ADDC50C" w14:textId="77777777" w:rsidR="008B6181" w:rsidRDefault="008B6181" w:rsidP="00A2553D">
      <w:pPr>
        <w:jc w:val="both"/>
        <w:rPr>
          <w:rFonts w:eastAsiaTheme="minorEastAsia" w:cs="Times New Roman"/>
          <w:sz w:val="24"/>
        </w:rPr>
      </w:pPr>
    </w:p>
    <w:p w14:paraId="38DD30C1" w14:textId="77777777" w:rsidR="008B6181" w:rsidRDefault="008B6181" w:rsidP="00A2553D">
      <w:pPr>
        <w:jc w:val="both"/>
        <w:rPr>
          <w:rFonts w:eastAsiaTheme="minorEastAsia" w:cs="Times New Roman"/>
          <w:sz w:val="24"/>
        </w:rPr>
      </w:pPr>
    </w:p>
    <w:p w14:paraId="18A43C53" w14:textId="77777777" w:rsidR="008B6181" w:rsidRPr="00C24323" w:rsidRDefault="008B6181" w:rsidP="00A2553D">
      <w:pPr>
        <w:jc w:val="both"/>
        <w:rPr>
          <w:b/>
          <w:color w:val="4F81BD" w:themeColor="accent1"/>
          <w:sz w:val="18"/>
          <w:szCs w:val="18"/>
        </w:rPr>
      </w:pPr>
      <w:r>
        <w:rPr>
          <w:b/>
          <w:color w:val="4F81BD" w:themeColor="accent1"/>
          <w:sz w:val="18"/>
          <w:szCs w:val="18"/>
        </w:rPr>
        <w:t xml:space="preserve">Table 1: </w:t>
      </w:r>
      <w:r w:rsidRPr="00C24323">
        <w:rPr>
          <w:b/>
          <w:color w:val="4F81BD" w:themeColor="accent1"/>
          <w:sz w:val="18"/>
          <w:szCs w:val="18"/>
        </w:rPr>
        <w:t xml:space="preserve"> New accounts per decade in Limehouse Savings Bank 1830s-1870s split by type, gender and marital status</w:t>
      </w:r>
    </w:p>
    <w:p w14:paraId="6FAAF851" w14:textId="77777777" w:rsidR="008B6181" w:rsidRDefault="008B6181" w:rsidP="00A2553D">
      <w:pPr>
        <w:jc w:val="both"/>
        <w:rPr>
          <w:rFonts w:eastAsiaTheme="minorEastAsia" w:cs="Times New Roman"/>
          <w:sz w:val="24"/>
        </w:rPr>
      </w:pPr>
    </w:p>
    <w:p w14:paraId="0D053629" w14:textId="77777777" w:rsidR="008B6181" w:rsidRDefault="008B6181" w:rsidP="00A2553D">
      <w:pPr>
        <w:jc w:val="both"/>
        <w:rPr>
          <w:rFonts w:eastAsiaTheme="minorEastAsia" w:cs="Times New Roman"/>
          <w:sz w:val="24"/>
        </w:rPr>
      </w:pPr>
    </w:p>
    <w:p w14:paraId="1BFB8AC1" w14:textId="77777777" w:rsidR="008B6181" w:rsidRDefault="008B6181" w:rsidP="00A2553D">
      <w:pPr>
        <w:jc w:val="both"/>
        <w:rPr>
          <w:rFonts w:eastAsiaTheme="minorEastAsia" w:cs="Times New Roman"/>
          <w:sz w:val="24"/>
        </w:rPr>
      </w:pPr>
      <w:r>
        <w:rPr>
          <w:rFonts w:eastAsiaTheme="minorEastAsia" w:cs="Times New Roman"/>
          <w:noProof/>
          <w:sz w:val="24"/>
          <w:lang w:val="en-US"/>
        </w:rPr>
        <w:drawing>
          <wp:inline distT="0" distB="0" distL="0" distR="0" wp14:anchorId="2F910F5F" wp14:editId="6B07769E">
            <wp:extent cx="5558842" cy="1997612"/>
            <wp:effectExtent l="0" t="0" r="381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tal accounts.png"/>
                    <pic:cNvPicPr/>
                  </pic:nvPicPr>
                  <pic:blipFill>
                    <a:blip r:embed="rId4">
                      <a:extLst>
                        <a:ext uri="{28A0092B-C50C-407E-A947-70E740481C1C}">
                          <a14:useLocalDpi xmlns:a14="http://schemas.microsoft.com/office/drawing/2010/main" val="0"/>
                        </a:ext>
                      </a:extLst>
                    </a:blip>
                    <a:stretch>
                      <a:fillRect/>
                    </a:stretch>
                  </pic:blipFill>
                  <pic:spPr>
                    <a:xfrm>
                      <a:off x="0" y="0"/>
                      <a:ext cx="5558842" cy="1997612"/>
                    </a:xfrm>
                    <a:prstGeom prst="rect">
                      <a:avLst/>
                    </a:prstGeom>
                  </pic:spPr>
                </pic:pic>
              </a:graphicData>
            </a:graphic>
          </wp:inline>
        </w:drawing>
      </w:r>
    </w:p>
    <w:p w14:paraId="1C06C902" w14:textId="77777777" w:rsidR="008B6181" w:rsidRDefault="008B6181" w:rsidP="00A2553D">
      <w:pPr>
        <w:jc w:val="both"/>
        <w:rPr>
          <w:rFonts w:eastAsiaTheme="minorEastAsia" w:cs="Times New Roman"/>
          <w:sz w:val="24"/>
        </w:rPr>
      </w:pPr>
    </w:p>
    <w:p w14:paraId="4B5A22B9" w14:textId="77777777" w:rsidR="008B6181" w:rsidRDefault="008B6181" w:rsidP="00A2553D">
      <w:pPr>
        <w:pStyle w:val="Caption"/>
      </w:pPr>
      <w:r>
        <w:t>Figure 2: Account types held by adult savers in all sample banks by saver category</w:t>
      </w:r>
    </w:p>
    <w:p w14:paraId="5BF2FA9B" w14:textId="77777777" w:rsidR="008B6181" w:rsidRDefault="008B6181" w:rsidP="00A2553D">
      <w:pPr>
        <w:rPr>
          <w:rFonts w:eastAsiaTheme="minorEastAsia" w:cs="Times New Roman"/>
          <w:sz w:val="24"/>
        </w:rPr>
      </w:pPr>
      <w:r>
        <w:rPr>
          <w:rFonts w:eastAsiaTheme="minorEastAsia" w:cs="Times New Roman"/>
          <w:sz w:val="24"/>
        </w:rPr>
        <w:br w:type="page"/>
      </w:r>
    </w:p>
    <w:tbl>
      <w:tblPr>
        <w:tblStyle w:val="TableGrid"/>
        <w:tblW w:w="7800" w:type="dxa"/>
        <w:tblLook w:val="04A0" w:firstRow="1" w:lastRow="0" w:firstColumn="1" w:lastColumn="0" w:noHBand="0" w:noVBand="1"/>
      </w:tblPr>
      <w:tblGrid>
        <w:gridCol w:w="1300"/>
        <w:gridCol w:w="1300"/>
        <w:gridCol w:w="1300"/>
        <w:gridCol w:w="1300"/>
        <w:gridCol w:w="1300"/>
        <w:gridCol w:w="1300"/>
      </w:tblGrid>
      <w:tr w:rsidR="008B6181" w:rsidRPr="00DB049D" w14:paraId="6365E6AC" w14:textId="77777777" w:rsidTr="00744228">
        <w:trPr>
          <w:trHeight w:val="300"/>
        </w:trPr>
        <w:tc>
          <w:tcPr>
            <w:tcW w:w="1300" w:type="dxa"/>
            <w:noWrap/>
            <w:hideMark/>
          </w:tcPr>
          <w:p w14:paraId="1384FFA0" w14:textId="77777777" w:rsidR="008B6181" w:rsidRPr="00B924D7" w:rsidRDefault="008B6181" w:rsidP="00744228">
            <w:pPr>
              <w:rPr>
                <w:rFonts w:eastAsia="Times New Roman" w:cs="Times New Roman"/>
                <w:b/>
                <w:color w:val="000000"/>
                <w:sz w:val="22"/>
                <w:szCs w:val="22"/>
              </w:rPr>
            </w:pPr>
            <w:r w:rsidRPr="00B924D7">
              <w:rPr>
                <w:rFonts w:eastAsia="Times New Roman" w:cs="Times New Roman"/>
                <w:b/>
                <w:color w:val="000000"/>
                <w:sz w:val="22"/>
                <w:szCs w:val="22"/>
              </w:rPr>
              <w:t>Limehouse</w:t>
            </w:r>
          </w:p>
        </w:tc>
        <w:tc>
          <w:tcPr>
            <w:tcW w:w="1300" w:type="dxa"/>
            <w:noWrap/>
            <w:hideMark/>
          </w:tcPr>
          <w:p w14:paraId="704F6581" w14:textId="77777777" w:rsidR="008B6181" w:rsidRPr="00B924D7" w:rsidRDefault="008B6181" w:rsidP="00744228">
            <w:pPr>
              <w:rPr>
                <w:rFonts w:eastAsia="Times New Roman" w:cs="Times New Roman"/>
                <w:b/>
                <w:color w:val="000000"/>
                <w:sz w:val="22"/>
                <w:szCs w:val="22"/>
              </w:rPr>
            </w:pPr>
            <w:r w:rsidRPr="00B924D7">
              <w:rPr>
                <w:rFonts w:eastAsia="Times New Roman" w:cs="Times New Roman"/>
                <w:b/>
                <w:color w:val="000000"/>
                <w:sz w:val="22"/>
                <w:szCs w:val="22"/>
              </w:rPr>
              <w:t>Men</w:t>
            </w:r>
          </w:p>
        </w:tc>
        <w:tc>
          <w:tcPr>
            <w:tcW w:w="1300" w:type="dxa"/>
            <w:noWrap/>
            <w:hideMark/>
          </w:tcPr>
          <w:p w14:paraId="30F5F189" w14:textId="77777777" w:rsidR="008B6181" w:rsidRPr="00B924D7" w:rsidRDefault="008B6181" w:rsidP="00744228">
            <w:pPr>
              <w:rPr>
                <w:rFonts w:eastAsia="Times New Roman" w:cs="Times New Roman"/>
                <w:b/>
                <w:color w:val="000000"/>
                <w:sz w:val="22"/>
                <w:szCs w:val="22"/>
              </w:rPr>
            </w:pPr>
            <w:r w:rsidRPr="00B924D7">
              <w:rPr>
                <w:rFonts w:eastAsia="Times New Roman" w:cs="Times New Roman"/>
                <w:b/>
                <w:color w:val="000000"/>
                <w:sz w:val="22"/>
                <w:szCs w:val="22"/>
              </w:rPr>
              <w:t>Widows</w:t>
            </w:r>
          </w:p>
        </w:tc>
        <w:tc>
          <w:tcPr>
            <w:tcW w:w="1300" w:type="dxa"/>
            <w:noWrap/>
            <w:hideMark/>
          </w:tcPr>
          <w:p w14:paraId="663FEF5B" w14:textId="77777777" w:rsidR="008B6181" w:rsidRPr="00B924D7" w:rsidRDefault="008B6181" w:rsidP="00744228">
            <w:pPr>
              <w:rPr>
                <w:rFonts w:eastAsia="Times New Roman" w:cs="Times New Roman"/>
                <w:b/>
                <w:color w:val="000000"/>
                <w:sz w:val="22"/>
                <w:szCs w:val="22"/>
              </w:rPr>
            </w:pPr>
            <w:r w:rsidRPr="00B924D7">
              <w:rPr>
                <w:rFonts w:eastAsia="Times New Roman" w:cs="Times New Roman"/>
                <w:b/>
                <w:color w:val="000000"/>
                <w:sz w:val="22"/>
                <w:szCs w:val="22"/>
              </w:rPr>
              <w:t xml:space="preserve">Wives </w:t>
            </w:r>
          </w:p>
        </w:tc>
        <w:tc>
          <w:tcPr>
            <w:tcW w:w="1300" w:type="dxa"/>
            <w:noWrap/>
            <w:hideMark/>
          </w:tcPr>
          <w:p w14:paraId="3DCE670D" w14:textId="77777777" w:rsidR="008B6181" w:rsidRPr="00B924D7" w:rsidRDefault="008B6181" w:rsidP="00744228">
            <w:pPr>
              <w:rPr>
                <w:rFonts w:eastAsia="Times New Roman" w:cs="Times New Roman"/>
                <w:b/>
                <w:color w:val="000000"/>
                <w:sz w:val="22"/>
                <w:szCs w:val="22"/>
              </w:rPr>
            </w:pPr>
            <w:r w:rsidRPr="00B924D7">
              <w:rPr>
                <w:rFonts w:eastAsia="Times New Roman" w:cs="Times New Roman"/>
                <w:b/>
                <w:color w:val="000000"/>
                <w:sz w:val="22"/>
                <w:szCs w:val="22"/>
              </w:rPr>
              <w:t>Single</w:t>
            </w:r>
          </w:p>
        </w:tc>
        <w:tc>
          <w:tcPr>
            <w:tcW w:w="1300" w:type="dxa"/>
            <w:noWrap/>
            <w:hideMark/>
          </w:tcPr>
          <w:p w14:paraId="32543444" w14:textId="77777777" w:rsidR="008B6181" w:rsidRPr="00B924D7" w:rsidRDefault="008B6181" w:rsidP="00744228">
            <w:pPr>
              <w:rPr>
                <w:rFonts w:eastAsia="Times New Roman" w:cs="Times New Roman"/>
                <w:b/>
                <w:color w:val="000000"/>
                <w:sz w:val="22"/>
                <w:szCs w:val="22"/>
              </w:rPr>
            </w:pPr>
            <w:r w:rsidRPr="00B924D7">
              <w:rPr>
                <w:rFonts w:eastAsia="Times New Roman" w:cs="Times New Roman"/>
                <w:b/>
                <w:color w:val="000000"/>
                <w:sz w:val="22"/>
                <w:szCs w:val="22"/>
              </w:rPr>
              <w:t>Total New Accounts</w:t>
            </w:r>
          </w:p>
        </w:tc>
      </w:tr>
      <w:tr w:rsidR="008B6181" w:rsidRPr="00DB049D" w14:paraId="34FBB6E2" w14:textId="77777777" w:rsidTr="00744228">
        <w:trPr>
          <w:trHeight w:val="300"/>
        </w:trPr>
        <w:tc>
          <w:tcPr>
            <w:tcW w:w="1300" w:type="dxa"/>
            <w:noWrap/>
          </w:tcPr>
          <w:p w14:paraId="574F49BF" w14:textId="77777777" w:rsidR="008B6181" w:rsidRPr="00B924D7" w:rsidRDefault="008B6181" w:rsidP="00744228">
            <w:pPr>
              <w:rPr>
                <w:rFonts w:eastAsia="Times New Roman" w:cs="Times New Roman"/>
                <w:b/>
                <w:color w:val="000000"/>
                <w:sz w:val="22"/>
                <w:szCs w:val="22"/>
              </w:rPr>
            </w:pPr>
            <w:r w:rsidRPr="00B924D7">
              <w:rPr>
                <w:rFonts w:eastAsia="Times New Roman" w:cs="Times New Roman"/>
                <w:b/>
                <w:color w:val="000000"/>
                <w:sz w:val="22"/>
                <w:szCs w:val="22"/>
              </w:rPr>
              <w:t>1851</w:t>
            </w:r>
          </w:p>
        </w:tc>
        <w:tc>
          <w:tcPr>
            <w:tcW w:w="1300" w:type="dxa"/>
            <w:noWrap/>
          </w:tcPr>
          <w:p w14:paraId="17CD087E" w14:textId="77777777" w:rsidR="008B6181" w:rsidRPr="00B924D7" w:rsidRDefault="008B6181" w:rsidP="00744228">
            <w:pPr>
              <w:rPr>
                <w:rFonts w:eastAsia="Times New Roman" w:cs="Times New Roman"/>
                <w:b/>
                <w:color w:val="000000"/>
                <w:sz w:val="22"/>
                <w:szCs w:val="22"/>
              </w:rPr>
            </w:pPr>
            <w:r w:rsidRPr="00B924D7">
              <w:rPr>
                <w:rFonts w:eastAsia="Times New Roman" w:cs="Times New Roman"/>
                <w:b/>
                <w:bCs/>
                <w:color w:val="000000"/>
                <w:sz w:val="22"/>
                <w:szCs w:val="22"/>
              </w:rPr>
              <w:t>139</w:t>
            </w:r>
          </w:p>
        </w:tc>
        <w:tc>
          <w:tcPr>
            <w:tcW w:w="1300" w:type="dxa"/>
            <w:noWrap/>
          </w:tcPr>
          <w:p w14:paraId="2FCB9707" w14:textId="77777777" w:rsidR="008B6181" w:rsidRPr="00B924D7" w:rsidRDefault="008B6181" w:rsidP="00744228">
            <w:pPr>
              <w:rPr>
                <w:rFonts w:eastAsia="Times New Roman" w:cs="Times New Roman"/>
                <w:b/>
                <w:color w:val="000000"/>
                <w:sz w:val="22"/>
                <w:szCs w:val="22"/>
              </w:rPr>
            </w:pPr>
            <w:r w:rsidRPr="00B924D7">
              <w:rPr>
                <w:rFonts w:eastAsia="Times New Roman" w:cs="Times New Roman"/>
                <w:b/>
                <w:bCs/>
                <w:color w:val="000000"/>
                <w:sz w:val="22"/>
                <w:szCs w:val="22"/>
              </w:rPr>
              <w:t>20</w:t>
            </w:r>
          </w:p>
        </w:tc>
        <w:tc>
          <w:tcPr>
            <w:tcW w:w="1300" w:type="dxa"/>
            <w:noWrap/>
          </w:tcPr>
          <w:p w14:paraId="306DA56F" w14:textId="77777777" w:rsidR="008B6181" w:rsidRPr="00B924D7" w:rsidRDefault="008B6181" w:rsidP="00744228">
            <w:pPr>
              <w:rPr>
                <w:rFonts w:eastAsia="Times New Roman" w:cs="Times New Roman"/>
                <w:b/>
                <w:color w:val="000000"/>
                <w:sz w:val="22"/>
                <w:szCs w:val="22"/>
              </w:rPr>
            </w:pPr>
            <w:r w:rsidRPr="00B924D7">
              <w:rPr>
                <w:rFonts w:eastAsia="Times New Roman" w:cs="Times New Roman"/>
                <w:b/>
                <w:bCs/>
                <w:color w:val="000000"/>
                <w:sz w:val="22"/>
                <w:szCs w:val="22"/>
              </w:rPr>
              <w:t>67</w:t>
            </w:r>
          </w:p>
        </w:tc>
        <w:tc>
          <w:tcPr>
            <w:tcW w:w="1300" w:type="dxa"/>
            <w:noWrap/>
          </w:tcPr>
          <w:p w14:paraId="79706E82" w14:textId="77777777" w:rsidR="008B6181" w:rsidRPr="00B924D7" w:rsidRDefault="008B6181" w:rsidP="00744228">
            <w:pPr>
              <w:rPr>
                <w:rFonts w:eastAsia="Times New Roman" w:cs="Times New Roman"/>
                <w:b/>
                <w:color w:val="000000"/>
                <w:sz w:val="22"/>
                <w:szCs w:val="22"/>
              </w:rPr>
            </w:pPr>
            <w:r w:rsidRPr="00B924D7">
              <w:rPr>
                <w:rFonts w:eastAsia="Times New Roman" w:cs="Times New Roman"/>
                <w:b/>
                <w:bCs/>
                <w:color w:val="000000"/>
                <w:sz w:val="22"/>
                <w:szCs w:val="22"/>
              </w:rPr>
              <w:t>43</w:t>
            </w:r>
          </w:p>
        </w:tc>
        <w:tc>
          <w:tcPr>
            <w:tcW w:w="1300" w:type="dxa"/>
            <w:noWrap/>
            <w:hideMark/>
          </w:tcPr>
          <w:p w14:paraId="694C7399" w14:textId="77777777" w:rsidR="008B6181" w:rsidRPr="00B924D7" w:rsidRDefault="008B6181" w:rsidP="00744228">
            <w:pPr>
              <w:rPr>
                <w:rFonts w:eastAsia="Times New Roman" w:cs="Times New Roman"/>
                <w:b/>
                <w:color w:val="000000"/>
                <w:sz w:val="22"/>
                <w:szCs w:val="22"/>
              </w:rPr>
            </w:pPr>
            <w:r w:rsidRPr="00B924D7">
              <w:rPr>
                <w:rFonts w:eastAsia="Times New Roman" w:cs="Times New Roman"/>
                <w:b/>
                <w:color w:val="000000"/>
                <w:sz w:val="22"/>
                <w:szCs w:val="22"/>
              </w:rPr>
              <w:t>269</w:t>
            </w:r>
          </w:p>
        </w:tc>
      </w:tr>
      <w:tr w:rsidR="008B6181" w:rsidRPr="00DB049D" w14:paraId="0CFDF408" w14:textId="77777777" w:rsidTr="00744228">
        <w:trPr>
          <w:trHeight w:val="300"/>
        </w:trPr>
        <w:tc>
          <w:tcPr>
            <w:tcW w:w="1300" w:type="dxa"/>
            <w:noWrap/>
            <w:hideMark/>
          </w:tcPr>
          <w:p w14:paraId="37A3D112" w14:textId="77777777" w:rsidR="008B6181" w:rsidRPr="00B924D7" w:rsidRDefault="008B6181" w:rsidP="00744228">
            <w:pPr>
              <w:rPr>
                <w:rFonts w:eastAsia="Times New Roman" w:cs="Times New Roman"/>
                <w:bCs/>
                <w:color w:val="000000"/>
                <w:sz w:val="22"/>
                <w:szCs w:val="22"/>
              </w:rPr>
            </w:pPr>
            <w:r w:rsidRPr="00B924D7">
              <w:rPr>
                <w:rFonts w:eastAsia="Times New Roman" w:cs="Times New Roman"/>
                <w:bCs/>
                <w:color w:val="000000"/>
                <w:sz w:val="22"/>
                <w:szCs w:val="22"/>
              </w:rPr>
              <w:t>Average Maximum Balance</w:t>
            </w:r>
          </w:p>
        </w:tc>
        <w:tc>
          <w:tcPr>
            <w:tcW w:w="1300" w:type="dxa"/>
            <w:noWrap/>
          </w:tcPr>
          <w:p w14:paraId="229878A2" w14:textId="77777777" w:rsidR="008B6181" w:rsidRPr="00B924D7" w:rsidRDefault="008B6181" w:rsidP="00744228">
            <w:pPr>
              <w:rPr>
                <w:rFonts w:eastAsia="Times New Roman" w:cs="Times New Roman"/>
                <w:color w:val="000000"/>
                <w:sz w:val="22"/>
                <w:szCs w:val="22"/>
              </w:rPr>
            </w:pPr>
          </w:p>
          <w:p w14:paraId="4E589134" w14:textId="77777777" w:rsidR="008B6181" w:rsidRPr="00B924D7" w:rsidRDefault="008B6181" w:rsidP="00744228">
            <w:pPr>
              <w:rPr>
                <w:rFonts w:eastAsia="Times New Roman" w:cs="Times New Roman"/>
                <w:b/>
                <w:bCs/>
                <w:color w:val="000000"/>
                <w:sz w:val="22"/>
                <w:szCs w:val="22"/>
              </w:rPr>
            </w:pPr>
            <w:r w:rsidRPr="00B924D7">
              <w:rPr>
                <w:rFonts w:eastAsia="Times New Roman" w:cs="Times New Roman"/>
                <w:color w:val="000000"/>
                <w:sz w:val="22"/>
                <w:szCs w:val="22"/>
              </w:rPr>
              <w:t>£23 12s 10d</w:t>
            </w:r>
          </w:p>
        </w:tc>
        <w:tc>
          <w:tcPr>
            <w:tcW w:w="1300" w:type="dxa"/>
            <w:noWrap/>
          </w:tcPr>
          <w:p w14:paraId="36C75421" w14:textId="77777777" w:rsidR="008B6181" w:rsidRPr="00B924D7" w:rsidRDefault="008B6181" w:rsidP="00744228">
            <w:pPr>
              <w:rPr>
                <w:rFonts w:eastAsia="Times New Roman" w:cs="Times New Roman"/>
                <w:color w:val="000000"/>
                <w:sz w:val="22"/>
                <w:szCs w:val="22"/>
              </w:rPr>
            </w:pPr>
          </w:p>
          <w:p w14:paraId="17F34078" w14:textId="77777777" w:rsidR="008B6181" w:rsidRPr="00B924D7" w:rsidRDefault="008B6181" w:rsidP="00744228">
            <w:pPr>
              <w:rPr>
                <w:rFonts w:eastAsia="Times New Roman" w:cs="Times New Roman"/>
                <w:b/>
                <w:bCs/>
                <w:color w:val="000000"/>
                <w:sz w:val="22"/>
                <w:szCs w:val="22"/>
              </w:rPr>
            </w:pPr>
            <w:r w:rsidRPr="00B924D7">
              <w:rPr>
                <w:rFonts w:eastAsia="Times New Roman" w:cs="Times New Roman"/>
                <w:color w:val="000000"/>
                <w:sz w:val="22"/>
                <w:szCs w:val="22"/>
              </w:rPr>
              <w:t>£27 1s 10d</w:t>
            </w:r>
          </w:p>
        </w:tc>
        <w:tc>
          <w:tcPr>
            <w:tcW w:w="1300" w:type="dxa"/>
            <w:noWrap/>
          </w:tcPr>
          <w:p w14:paraId="69FD0432" w14:textId="77777777" w:rsidR="008B6181" w:rsidRPr="00B924D7" w:rsidRDefault="008B6181" w:rsidP="00744228">
            <w:pPr>
              <w:rPr>
                <w:rFonts w:eastAsia="Times New Roman" w:cs="Times New Roman"/>
                <w:color w:val="000000"/>
                <w:sz w:val="22"/>
                <w:szCs w:val="22"/>
              </w:rPr>
            </w:pPr>
          </w:p>
          <w:p w14:paraId="2A96F2BE" w14:textId="77777777" w:rsidR="008B6181" w:rsidRPr="00B924D7" w:rsidRDefault="008B6181" w:rsidP="00744228">
            <w:pPr>
              <w:rPr>
                <w:rFonts w:eastAsia="Times New Roman" w:cs="Times New Roman"/>
                <w:b/>
                <w:bCs/>
                <w:color w:val="000000"/>
                <w:sz w:val="22"/>
                <w:szCs w:val="22"/>
              </w:rPr>
            </w:pPr>
            <w:r w:rsidRPr="00B924D7">
              <w:rPr>
                <w:rFonts w:eastAsia="Times New Roman" w:cs="Times New Roman"/>
                <w:color w:val="000000"/>
                <w:sz w:val="22"/>
                <w:szCs w:val="22"/>
              </w:rPr>
              <w:t>£21 12s 0d</w:t>
            </w:r>
          </w:p>
        </w:tc>
        <w:tc>
          <w:tcPr>
            <w:tcW w:w="1300" w:type="dxa"/>
            <w:noWrap/>
          </w:tcPr>
          <w:p w14:paraId="7BEB312C" w14:textId="77777777" w:rsidR="008B6181" w:rsidRPr="00B924D7" w:rsidRDefault="008B6181" w:rsidP="00744228">
            <w:pPr>
              <w:rPr>
                <w:rFonts w:eastAsia="Times New Roman" w:cs="Times New Roman"/>
                <w:color w:val="000000"/>
                <w:sz w:val="22"/>
                <w:szCs w:val="22"/>
              </w:rPr>
            </w:pPr>
          </w:p>
          <w:p w14:paraId="08CA5023" w14:textId="77777777" w:rsidR="008B6181" w:rsidRPr="00B924D7" w:rsidRDefault="008B6181" w:rsidP="00744228">
            <w:pPr>
              <w:rPr>
                <w:rFonts w:eastAsia="Times New Roman" w:cs="Times New Roman"/>
                <w:b/>
                <w:bCs/>
                <w:color w:val="000000"/>
                <w:sz w:val="22"/>
                <w:szCs w:val="22"/>
              </w:rPr>
            </w:pPr>
            <w:r w:rsidRPr="00B924D7">
              <w:rPr>
                <w:rFonts w:eastAsia="Times New Roman" w:cs="Times New Roman"/>
                <w:color w:val="000000"/>
                <w:sz w:val="22"/>
                <w:szCs w:val="22"/>
              </w:rPr>
              <w:t>£13 1s 1d</w:t>
            </w:r>
          </w:p>
        </w:tc>
        <w:tc>
          <w:tcPr>
            <w:tcW w:w="1300" w:type="dxa"/>
            <w:noWrap/>
          </w:tcPr>
          <w:p w14:paraId="5470F899" w14:textId="77777777" w:rsidR="008B6181" w:rsidRPr="00B924D7" w:rsidRDefault="008B6181" w:rsidP="00744228">
            <w:pPr>
              <w:rPr>
                <w:rFonts w:eastAsia="Times New Roman" w:cs="Times New Roman"/>
                <w:color w:val="000000"/>
                <w:sz w:val="22"/>
                <w:szCs w:val="22"/>
              </w:rPr>
            </w:pPr>
          </w:p>
        </w:tc>
      </w:tr>
      <w:tr w:rsidR="008B6181" w:rsidRPr="00DB049D" w14:paraId="668C971E" w14:textId="77777777" w:rsidTr="00744228">
        <w:trPr>
          <w:trHeight w:val="300"/>
        </w:trPr>
        <w:tc>
          <w:tcPr>
            <w:tcW w:w="1300" w:type="dxa"/>
            <w:noWrap/>
            <w:hideMark/>
          </w:tcPr>
          <w:p w14:paraId="05878058" w14:textId="77777777" w:rsidR="008B6181" w:rsidRPr="00B924D7" w:rsidRDefault="008B6181" w:rsidP="00744228">
            <w:pPr>
              <w:rPr>
                <w:rFonts w:eastAsia="Times New Roman" w:cs="Times New Roman"/>
                <w:color w:val="000000"/>
                <w:sz w:val="22"/>
                <w:szCs w:val="22"/>
              </w:rPr>
            </w:pPr>
            <w:r w:rsidRPr="00B924D7">
              <w:rPr>
                <w:rFonts w:eastAsia="Times New Roman" w:cs="Times New Roman"/>
                <w:color w:val="000000"/>
                <w:sz w:val="22"/>
                <w:szCs w:val="22"/>
              </w:rPr>
              <w:t>I/O</w:t>
            </w:r>
          </w:p>
        </w:tc>
        <w:tc>
          <w:tcPr>
            <w:tcW w:w="1300" w:type="dxa"/>
            <w:noWrap/>
            <w:hideMark/>
          </w:tcPr>
          <w:p w14:paraId="3A53749B" w14:textId="77777777" w:rsidR="008B6181" w:rsidRPr="00B924D7" w:rsidRDefault="008B6181" w:rsidP="00744228">
            <w:pPr>
              <w:rPr>
                <w:rFonts w:eastAsia="Times New Roman" w:cs="Times New Roman"/>
                <w:color w:val="000000"/>
                <w:sz w:val="22"/>
                <w:szCs w:val="22"/>
              </w:rPr>
            </w:pPr>
            <w:r w:rsidRPr="00B924D7">
              <w:rPr>
                <w:rFonts w:eastAsia="Times New Roman" w:cs="Times New Roman"/>
                <w:color w:val="000000"/>
                <w:sz w:val="22"/>
                <w:szCs w:val="22"/>
              </w:rPr>
              <w:t>14</w:t>
            </w:r>
          </w:p>
        </w:tc>
        <w:tc>
          <w:tcPr>
            <w:tcW w:w="1300" w:type="dxa"/>
            <w:noWrap/>
            <w:hideMark/>
          </w:tcPr>
          <w:p w14:paraId="2EAD2079" w14:textId="77777777" w:rsidR="008B6181" w:rsidRPr="00B924D7" w:rsidRDefault="008B6181" w:rsidP="00744228">
            <w:pPr>
              <w:rPr>
                <w:rFonts w:eastAsia="Times New Roman" w:cs="Times New Roman"/>
                <w:color w:val="000000"/>
                <w:sz w:val="22"/>
                <w:szCs w:val="22"/>
              </w:rPr>
            </w:pPr>
            <w:r w:rsidRPr="00B924D7">
              <w:rPr>
                <w:rFonts w:eastAsia="Times New Roman" w:cs="Times New Roman"/>
                <w:color w:val="000000"/>
                <w:sz w:val="22"/>
                <w:szCs w:val="22"/>
              </w:rPr>
              <w:t>1</w:t>
            </w:r>
          </w:p>
        </w:tc>
        <w:tc>
          <w:tcPr>
            <w:tcW w:w="1300" w:type="dxa"/>
            <w:noWrap/>
            <w:hideMark/>
          </w:tcPr>
          <w:p w14:paraId="42C38458" w14:textId="77777777" w:rsidR="008B6181" w:rsidRPr="00B924D7" w:rsidRDefault="008B6181" w:rsidP="00744228">
            <w:pPr>
              <w:rPr>
                <w:rFonts w:eastAsia="Times New Roman" w:cs="Times New Roman"/>
                <w:color w:val="000000"/>
                <w:sz w:val="22"/>
                <w:szCs w:val="22"/>
              </w:rPr>
            </w:pPr>
            <w:r w:rsidRPr="00B924D7">
              <w:rPr>
                <w:rFonts w:eastAsia="Times New Roman" w:cs="Times New Roman"/>
                <w:color w:val="000000"/>
                <w:sz w:val="22"/>
                <w:szCs w:val="22"/>
              </w:rPr>
              <w:t>4</w:t>
            </w:r>
          </w:p>
        </w:tc>
        <w:tc>
          <w:tcPr>
            <w:tcW w:w="1300" w:type="dxa"/>
            <w:noWrap/>
            <w:hideMark/>
          </w:tcPr>
          <w:p w14:paraId="61B8FB42" w14:textId="77777777" w:rsidR="008B6181" w:rsidRPr="00B924D7" w:rsidRDefault="008B6181" w:rsidP="00744228">
            <w:pPr>
              <w:rPr>
                <w:rFonts w:eastAsia="Times New Roman" w:cs="Times New Roman"/>
                <w:color w:val="000000"/>
                <w:sz w:val="22"/>
                <w:szCs w:val="22"/>
              </w:rPr>
            </w:pPr>
            <w:r w:rsidRPr="00B924D7">
              <w:rPr>
                <w:rFonts w:eastAsia="Times New Roman" w:cs="Times New Roman"/>
                <w:color w:val="000000"/>
                <w:sz w:val="22"/>
                <w:szCs w:val="22"/>
              </w:rPr>
              <w:t>6</w:t>
            </w:r>
          </w:p>
        </w:tc>
        <w:tc>
          <w:tcPr>
            <w:tcW w:w="1300" w:type="dxa"/>
            <w:noWrap/>
            <w:hideMark/>
          </w:tcPr>
          <w:p w14:paraId="108C0445" w14:textId="77777777" w:rsidR="008B6181" w:rsidRPr="00B924D7" w:rsidRDefault="008B6181" w:rsidP="00744228">
            <w:pPr>
              <w:rPr>
                <w:rFonts w:eastAsia="Times New Roman" w:cs="Times New Roman"/>
                <w:color w:val="000000"/>
                <w:sz w:val="22"/>
                <w:szCs w:val="22"/>
              </w:rPr>
            </w:pPr>
            <w:r w:rsidRPr="00B924D7">
              <w:rPr>
                <w:rFonts w:eastAsia="Times New Roman" w:cs="Times New Roman"/>
                <w:color w:val="000000"/>
                <w:sz w:val="22"/>
                <w:szCs w:val="22"/>
              </w:rPr>
              <w:t>25</w:t>
            </w:r>
          </w:p>
        </w:tc>
      </w:tr>
      <w:tr w:rsidR="008B6181" w:rsidRPr="00DB049D" w14:paraId="531EC254" w14:textId="77777777" w:rsidTr="00744228">
        <w:trPr>
          <w:trHeight w:val="300"/>
        </w:trPr>
        <w:tc>
          <w:tcPr>
            <w:tcW w:w="1300" w:type="dxa"/>
            <w:noWrap/>
            <w:hideMark/>
          </w:tcPr>
          <w:p w14:paraId="3A8E41C0" w14:textId="77777777" w:rsidR="008B6181" w:rsidRPr="00B924D7" w:rsidRDefault="008B6181" w:rsidP="00744228">
            <w:pPr>
              <w:rPr>
                <w:rFonts w:eastAsia="Times New Roman" w:cs="Times New Roman"/>
                <w:color w:val="000000"/>
                <w:sz w:val="22"/>
                <w:szCs w:val="22"/>
              </w:rPr>
            </w:pPr>
            <w:r w:rsidRPr="00B924D7">
              <w:rPr>
                <w:rFonts w:eastAsia="Times New Roman" w:cs="Times New Roman"/>
                <w:color w:val="000000"/>
                <w:sz w:val="22"/>
                <w:szCs w:val="22"/>
              </w:rPr>
              <w:t>Acc</w:t>
            </w:r>
          </w:p>
        </w:tc>
        <w:tc>
          <w:tcPr>
            <w:tcW w:w="1300" w:type="dxa"/>
            <w:noWrap/>
            <w:hideMark/>
          </w:tcPr>
          <w:p w14:paraId="7E7D3325" w14:textId="77777777" w:rsidR="008B6181" w:rsidRPr="00B924D7" w:rsidRDefault="008B6181" w:rsidP="00744228">
            <w:pPr>
              <w:rPr>
                <w:rFonts w:eastAsia="Times New Roman" w:cs="Times New Roman"/>
                <w:color w:val="000000"/>
                <w:sz w:val="22"/>
                <w:szCs w:val="22"/>
              </w:rPr>
            </w:pPr>
            <w:r w:rsidRPr="00B924D7">
              <w:rPr>
                <w:rFonts w:eastAsia="Times New Roman" w:cs="Times New Roman"/>
                <w:color w:val="000000"/>
                <w:sz w:val="22"/>
                <w:szCs w:val="22"/>
              </w:rPr>
              <w:t>30</w:t>
            </w:r>
          </w:p>
        </w:tc>
        <w:tc>
          <w:tcPr>
            <w:tcW w:w="1300" w:type="dxa"/>
            <w:noWrap/>
            <w:hideMark/>
          </w:tcPr>
          <w:p w14:paraId="24200ED3" w14:textId="77777777" w:rsidR="008B6181" w:rsidRPr="00B924D7" w:rsidRDefault="008B6181" w:rsidP="00744228">
            <w:pPr>
              <w:rPr>
                <w:rFonts w:eastAsia="Times New Roman" w:cs="Times New Roman"/>
                <w:color w:val="000000"/>
                <w:sz w:val="22"/>
                <w:szCs w:val="22"/>
              </w:rPr>
            </w:pPr>
            <w:r w:rsidRPr="00B924D7">
              <w:rPr>
                <w:rFonts w:eastAsia="Times New Roman" w:cs="Times New Roman"/>
                <w:color w:val="000000"/>
                <w:sz w:val="22"/>
                <w:szCs w:val="22"/>
              </w:rPr>
              <w:t>6</w:t>
            </w:r>
          </w:p>
        </w:tc>
        <w:tc>
          <w:tcPr>
            <w:tcW w:w="1300" w:type="dxa"/>
            <w:noWrap/>
            <w:hideMark/>
          </w:tcPr>
          <w:p w14:paraId="7CE57C35" w14:textId="77777777" w:rsidR="008B6181" w:rsidRPr="00B924D7" w:rsidRDefault="008B6181" w:rsidP="00744228">
            <w:pPr>
              <w:rPr>
                <w:rFonts w:eastAsia="Times New Roman" w:cs="Times New Roman"/>
                <w:color w:val="000000"/>
                <w:sz w:val="22"/>
                <w:szCs w:val="22"/>
              </w:rPr>
            </w:pPr>
            <w:r w:rsidRPr="00B924D7">
              <w:rPr>
                <w:rFonts w:eastAsia="Times New Roman" w:cs="Times New Roman"/>
                <w:color w:val="000000"/>
                <w:sz w:val="22"/>
                <w:szCs w:val="22"/>
              </w:rPr>
              <w:t>13</w:t>
            </w:r>
          </w:p>
        </w:tc>
        <w:tc>
          <w:tcPr>
            <w:tcW w:w="1300" w:type="dxa"/>
            <w:noWrap/>
            <w:hideMark/>
          </w:tcPr>
          <w:p w14:paraId="0ADAE901" w14:textId="77777777" w:rsidR="008B6181" w:rsidRPr="00B924D7" w:rsidRDefault="008B6181" w:rsidP="00744228">
            <w:pPr>
              <w:rPr>
                <w:rFonts w:eastAsia="Times New Roman" w:cs="Times New Roman"/>
                <w:color w:val="000000"/>
                <w:sz w:val="22"/>
                <w:szCs w:val="22"/>
              </w:rPr>
            </w:pPr>
            <w:r w:rsidRPr="00B924D7">
              <w:rPr>
                <w:rFonts w:eastAsia="Times New Roman" w:cs="Times New Roman"/>
                <w:color w:val="000000"/>
                <w:sz w:val="22"/>
                <w:szCs w:val="22"/>
              </w:rPr>
              <w:t>10</w:t>
            </w:r>
          </w:p>
        </w:tc>
        <w:tc>
          <w:tcPr>
            <w:tcW w:w="1300" w:type="dxa"/>
            <w:noWrap/>
            <w:hideMark/>
          </w:tcPr>
          <w:p w14:paraId="0B2986A3" w14:textId="77777777" w:rsidR="008B6181" w:rsidRPr="00B924D7" w:rsidRDefault="008B6181" w:rsidP="00744228">
            <w:pPr>
              <w:rPr>
                <w:rFonts w:eastAsia="Times New Roman" w:cs="Times New Roman"/>
                <w:color w:val="000000"/>
                <w:sz w:val="22"/>
                <w:szCs w:val="22"/>
              </w:rPr>
            </w:pPr>
            <w:r w:rsidRPr="00B924D7">
              <w:rPr>
                <w:rFonts w:eastAsia="Times New Roman" w:cs="Times New Roman"/>
                <w:color w:val="000000"/>
                <w:sz w:val="22"/>
                <w:szCs w:val="22"/>
              </w:rPr>
              <w:t>59</w:t>
            </w:r>
          </w:p>
        </w:tc>
      </w:tr>
      <w:tr w:rsidR="008B6181" w:rsidRPr="00DB049D" w14:paraId="00F19CD2" w14:textId="77777777" w:rsidTr="00744228">
        <w:trPr>
          <w:trHeight w:val="300"/>
        </w:trPr>
        <w:tc>
          <w:tcPr>
            <w:tcW w:w="1300" w:type="dxa"/>
            <w:noWrap/>
            <w:hideMark/>
          </w:tcPr>
          <w:p w14:paraId="5E11E34F" w14:textId="77777777" w:rsidR="008B6181" w:rsidRPr="00B924D7" w:rsidRDefault="008B6181" w:rsidP="00744228">
            <w:pPr>
              <w:rPr>
                <w:rFonts w:eastAsia="Times New Roman" w:cs="Times New Roman"/>
                <w:color w:val="000000"/>
                <w:sz w:val="22"/>
                <w:szCs w:val="22"/>
              </w:rPr>
            </w:pPr>
            <w:r w:rsidRPr="00B924D7">
              <w:rPr>
                <w:rFonts w:eastAsia="Times New Roman" w:cs="Times New Roman"/>
                <w:color w:val="000000"/>
                <w:sz w:val="22"/>
                <w:szCs w:val="22"/>
              </w:rPr>
              <w:t>DD</w:t>
            </w:r>
          </w:p>
        </w:tc>
        <w:tc>
          <w:tcPr>
            <w:tcW w:w="1300" w:type="dxa"/>
            <w:noWrap/>
            <w:hideMark/>
          </w:tcPr>
          <w:p w14:paraId="6F4A42E2" w14:textId="77777777" w:rsidR="008B6181" w:rsidRPr="00B924D7" w:rsidRDefault="008B6181" w:rsidP="00744228">
            <w:pPr>
              <w:rPr>
                <w:rFonts w:eastAsia="Times New Roman" w:cs="Times New Roman"/>
                <w:color w:val="000000"/>
                <w:sz w:val="22"/>
                <w:szCs w:val="22"/>
              </w:rPr>
            </w:pPr>
            <w:r w:rsidRPr="00B924D7">
              <w:rPr>
                <w:rFonts w:eastAsia="Times New Roman" w:cs="Times New Roman"/>
                <w:color w:val="000000"/>
                <w:sz w:val="22"/>
                <w:szCs w:val="22"/>
              </w:rPr>
              <w:t>6</w:t>
            </w:r>
          </w:p>
        </w:tc>
        <w:tc>
          <w:tcPr>
            <w:tcW w:w="1300" w:type="dxa"/>
            <w:noWrap/>
            <w:hideMark/>
          </w:tcPr>
          <w:p w14:paraId="0EF4DB9B" w14:textId="77777777" w:rsidR="008B6181" w:rsidRPr="00B924D7" w:rsidRDefault="008B6181" w:rsidP="00744228">
            <w:pPr>
              <w:rPr>
                <w:rFonts w:eastAsia="Times New Roman" w:cs="Times New Roman"/>
                <w:color w:val="000000"/>
                <w:sz w:val="22"/>
                <w:szCs w:val="22"/>
              </w:rPr>
            </w:pPr>
            <w:r w:rsidRPr="00B924D7">
              <w:rPr>
                <w:rFonts w:eastAsia="Times New Roman" w:cs="Times New Roman"/>
                <w:color w:val="000000"/>
                <w:sz w:val="22"/>
                <w:szCs w:val="22"/>
              </w:rPr>
              <w:t>4</w:t>
            </w:r>
          </w:p>
        </w:tc>
        <w:tc>
          <w:tcPr>
            <w:tcW w:w="1300" w:type="dxa"/>
            <w:noWrap/>
            <w:hideMark/>
          </w:tcPr>
          <w:p w14:paraId="62997464" w14:textId="77777777" w:rsidR="008B6181" w:rsidRPr="00B924D7" w:rsidRDefault="008B6181" w:rsidP="00744228">
            <w:pPr>
              <w:rPr>
                <w:rFonts w:eastAsia="Times New Roman" w:cs="Times New Roman"/>
                <w:color w:val="000000"/>
                <w:sz w:val="22"/>
                <w:szCs w:val="22"/>
              </w:rPr>
            </w:pPr>
            <w:r w:rsidRPr="00B924D7">
              <w:rPr>
                <w:rFonts w:eastAsia="Times New Roman" w:cs="Times New Roman"/>
                <w:color w:val="000000"/>
                <w:sz w:val="22"/>
                <w:szCs w:val="22"/>
              </w:rPr>
              <w:t>5</w:t>
            </w:r>
          </w:p>
        </w:tc>
        <w:tc>
          <w:tcPr>
            <w:tcW w:w="1300" w:type="dxa"/>
            <w:noWrap/>
            <w:hideMark/>
          </w:tcPr>
          <w:p w14:paraId="34130B2D" w14:textId="77777777" w:rsidR="008B6181" w:rsidRPr="00B924D7" w:rsidRDefault="008B6181" w:rsidP="00744228">
            <w:pPr>
              <w:rPr>
                <w:rFonts w:eastAsia="Times New Roman" w:cs="Times New Roman"/>
                <w:color w:val="000000"/>
                <w:sz w:val="22"/>
                <w:szCs w:val="22"/>
              </w:rPr>
            </w:pPr>
            <w:r w:rsidRPr="00B924D7">
              <w:rPr>
                <w:rFonts w:eastAsia="Times New Roman" w:cs="Times New Roman"/>
                <w:color w:val="000000"/>
                <w:sz w:val="22"/>
                <w:szCs w:val="22"/>
              </w:rPr>
              <w:t>3</w:t>
            </w:r>
          </w:p>
        </w:tc>
        <w:tc>
          <w:tcPr>
            <w:tcW w:w="1300" w:type="dxa"/>
            <w:noWrap/>
            <w:hideMark/>
          </w:tcPr>
          <w:p w14:paraId="59A097EF" w14:textId="77777777" w:rsidR="008B6181" w:rsidRPr="00B924D7" w:rsidRDefault="008B6181" w:rsidP="00744228">
            <w:pPr>
              <w:rPr>
                <w:rFonts w:eastAsia="Times New Roman" w:cs="Times New Roman"/>
                <w:color w:val="000000"/>
                <w:sz w:val="22"/>
                <w:szCs w:val="22"/>
              </w:rPr>
            </w:pPr>
            <w:r w:rsidRPr="00B924D7">
              <w:rPr>
                <w:rFonts w:eastAsia="Times New Roman" w:cs="Times New Roman"/>
                <w:color w:val="000000"/>
                <w:sz w:val="22"/>
                <w:szCs w:val="22"/>
              </w:rPr>
              <w:t>18</w:t>
            </w:r>
          </w:p>
        </w:tc>
      </w:tr>
      <w:tr w:rsidR="008B6181" w:rsidRPr="00DB049D" w14:paraId="150C0B0D" w14:textId="77777777" w:rsidTr="00744228">
        <w:trPr>
          <w:trHeight w:val="300"/>
        </w:trPr>
        <w:tc>
          <w:tcPr>
            <w:tcW w:w="1300" w:type="dxa"/>
            <w:noWrap/>
            <w:hideMark/>
          </w:tcPr>
          <w:p w14:paraId="5019D478" w14:textId="77777777" w:rsidR="008B6181" w:rsidRPr="00B924D7" w:rsidRDefault="008B6181" w:rsidP="00744228">
            <w:pPr>
              <w:rPr>
                <w:rFonts w:eastAsia="Times New Roman" w:cs="Times New Roman"/>
                <w:color w:val="000000"/>
                <w:sz w:val="22"/>
                <w:szCs w:val="22"/>
              </w:rPr>
            </w:pPr>
            <w:r w:rsidRPr="00B924D7">
              <w:rPr>
                <w:rFonts w:eastAsia="Times New Roman" w:cs="Times New Roman"/>
                <w:color w:val="000000"/>
                <w:sz w:val="22"/>
                <w:szCs w:val="22"/>
              </w:rPr>
              <w:t>Con</w:t>
            </w:r>
          </w:p>
        </w:tc>
        <w:tc>
          <w:tcPr>
            <w:tcW w:w="1300" w:type="dxa"/>
            <w:noWrap/>
            <w:hideMark/>
          </w:tcPr>
          <w:p w14:paraId="09F8D192" w14:textId="77777777" w:rsidR="008B6181" w:rsidRPr="00B924D7" w:rsidRDefault="008B6181" w:rsidP="00744228">
            <w:pPr>
              <w:rPr>
                <w:rFonts w:eastAsia="Times New Roman" w:cs="Times New Roman"/>
                <w:color w:val="000000"/>
                <w:sz w:val="22"/>
                <w:szCs w:val="22"/>
              </w:rPr>
            </w:pPr>
            <w:r w:rsidRPr="00B924D7">
              <w:rPr>
                <w:rFonts w:eastAsia="Times New Roman" w:cs="Times New Roman"/>
                <w:color w:val="000000"/>
                <w:sz w:val="22"/>
                <w:szCs w:val="22"/>
              </w:rPr>
              <w:t>89</w:t>
            </w:r>
          </w:p>
        </w:tc>
        <w:tc>
          <w:tcPr>
            <w:tcW w:w="1300" w:type="dxa"/>
            <w:noWrap/>
            <w:hideMark/>
          </w:tcPr>
          <w:p w14:paraId="298C820A" w14:textId="77777777" w:rsidR="008B6181" w:rsidRPr="00B924D7" w:rsidRDefault="008B6181" w:rsidP="00744228">
            <w:pPr>
              <w:rPr>
                <w:rFonts w:eastAsia="Times New Roman" w:cs="Times New Roman"/>
                <w:color w:val="000000"/>
                <w:sz w:val="22"/>
                <w:szCs w:val="22"/>
              </w:rPr>
            </w:pPr>
            <w:r w:rsidRPr="00B924D7">
              <w:rPr>
                <w:rFonts w:eastAsia="Times New Roman" w:cs="Times New Roman"/>
                <w:color w:val="000000"/>
                <w:sz w:val="22"/>
                <w:szCs w:val="22"/>
              </w:rPr>
              <w:t>9</w:t>
            </w:r>
          </w:p>
        </w:tc>
        <w:tc>
          <w:tcPr>
            <w:tcW w:w="1300" w:type="dxa"/>
            <w:noWrap/>
            <w:hideMark/>
          </w:tcPr>
          <w:p w14:paraId="0E6595B9" w14:textId="77777777" w:rsidR="008B6181" w:rsidRPr="00B924D7" w:rsidRDefault="008B6181" w:rsidP="00744228">
            <w:pPr>
              <w:rPr>
                <w:rFonts w:eastAsia="Times New Roman" w:cs="Times New Roman"/>
                <w:color w:val="000000"/>
                <w:sz w:val="22"/>
                <w:szCs w:val="22"/>
              </w:rPr>
            </w:pPr>
            <w:r w:rsidRPr="00B924D7">
              <w:rPr>
                <w:rFonts w:eastAsia="Times New Roman" w:cs="Times New Roman"/>
                <w:color w:val="000000"/>
                <w:sz w:val="22"/>
                <w:szCs w:val="22"/>
              </w:rPr>
              <w:t>45</w:t>
            </w:r>
          </w:p>
        </w:tc>
        <w:tc>
          <w:tcPr>
            <w:tcW w:w="1300" w:type="dxa"/>
            <w:noWrap/>
            <w:hideMark/>
          </w:tcPr>
          <w:p w14:paraId="6A2D96BF" w14:textId="77777777" w:rsidR="008B6181" w:rsidRPr="00B924D7" w:rsidRDefault="008B6181" w:rsidP="00744228">
            <w:pPr>
              <w:rPr>
                <w:rFonts w:eastAsia="Times New Roman" w:cs="Times New Roman"/>
                <w:color w:val="000000"/>
                <w:sz w:val="22"/>
                <w:szCs w:val="22"/>
              </w:rPr>
            </w:pPr>
            <w:r w:rsidRPr="00B924D7">
              <w:rPr>
                <w:rFonts w:eastAsia="Times New Roman" w:cs="Times New Roman"/>
                <w:color w:val="000000"/>
                <w:sz w:val="22"/>
                <w:szCs w:val="22"/>
              </w:rPr>
              <w:t>24</w:t>
            </w:r>
          </w:p>
        </w:tc>
        <w:tc>
          <w:tcPr>
            <w:tcW w:w="1300" w:type="dxa"/>
            <w:noWrap/>
            <w:hideMark/>
          </w:tcPr>
          <w:p w14:paraId="71FD1498" w14:textId="77777777" w:rsidR="008B6181" w:rsidRPr="00B924D7" w:rsidRDefault="008B6181" w:rsidP="00744228">
            <w:pPr>
              <w:rPr>
                <w:rFonts w:eastAsia="Times New Roman" w:cs="Times New Roman"/>
                <w:color w:val="000000"/>
                <w:sz w:val="22"/>
                <w:szCs w:val="22"/>
              </w:rPr>
            </w:pPr>
            <w:r w:rsidRPr="00B924D7">
              <w:rPr>
                <w:rFonts w:eastAsia="Times New Roman" w:cs="Times New Roman"/>
                <w:color w:val="000000"/>
                <w:sz w:val="22"/>
                <w:szCs w:val="22"/>
              </w:rPr>
              <w:t>167</w:t>
            </w:r>
          </w:p>
        </w:tc>
      </w:tr>
      <w:tr w:rsidR="008B6181" w:rsidRPr="00DB049D" w14:paraId="4C4E90F5" w14:textId="77777777" w:rsidTr="00744228">
        <w:trPr>
          <w:trHeight w:val="300"/>
        </w:trPr>
        <w:tc>
          <w:tcPr>
            <w:tcW w:w="1300" w:type="dxa"/>
            <w:noWrap/>
          </w:tcPr>
          <w:p w14:paraId="0A10A0B5" w14:textId="77777777" w:rsidR="008B6181" w:rsidRPr="00B924D7" w:rsidRDefault="008B6181" w:rsidP="00744228">
            <w:pPr>
              <w:rPr>
                <w:rFonts w:eastAsia="Times New Roman" w:cs="Times New Roman"/>
                <w:b/>
                <w:color w:val="000000"/>
                <w:sz w:val="22"/>
                <w:szCs w:val="22"/>
              </w:rPr>
            </w:pPr>
            <w:r w:rsidRPr="00B924D7">
              <w:rPr>
                <w:rFonts w:eastAsia="Times New Roman" w:cs="Times New Roman"/>
                <w:b/>
                <w:bCs/>
                <w:color w:val="000000"/>
                <w:sz w:val="22"/>
                <w:szCs w:val="22"/>
              </w:rPr>
              <w:t>1861</w:t>
            </w:r>
          </w:p>
        </w:tc>
        <w:tc>
          <w:tcPr>
            <w:tcW w:w="1300" w:type="dxa"/>
            <w:noWrap/>
          </w:tcPr>
          <w:p w14:paraId="3AF1EEF6" w14:textId="77777777" w:rsidR="008B6181" w:rsidRPr="00B924D7" w:rsidRDefault="008B6181" w:rsidP="00744228">
            <w:pPr>
              <w:rPr>
                <w:rFonts w:eastAsia="Times New Roman" w:cs="Times New Roman"/>
                <w:b/>
                <w:color w:val="000000"/>
                <w:sz w:val="22"/>
                <w:szCs w:val="22"/>
              </w:rPr>
            </w:pPr>
            <w:r w:rsidRPr="00B924D7">
              <w:rPr>
                <w:rFonts w:eastAsia="Times New Roman" w:cs="Times New Roman"/>
                <w:b/>
                <w:bCs/>
                <w:color w:val="000000"/>
                <w:sz w:val="22"/>
                <w:szCs w:val="22"/>
              </w:rPr>
              <w:t>130</w:t>
            </w:r>
          </w:p>
        </w:tc>
        <w:tc>
          <w:tcPr>
            <w:tcW w:w="1300" w:type="dxa"/>
            <w:noWrap/>
          </w:tcPr>
          <w:p w14:paraId="6E691779" w14:textId="77777777" w:rsidR="008B6181" w:rsidRPr="00B924D7" w:rsidRDefault="008B6181" w:rsidP="00744228">
            <w:pPr>
              <w:rPr>
                <w:rFonts w:eastAsia="Times New Roman" w:cs="Times New Roman"/>
                <w:b/>
                <w:color w:val="000000"/>
                <w:sz w:val="22"/>
                <w:szCs w:val="22"/>
              </w:rPr>
            </w:pPr>
            <w:r w:rsidRPr="00B924D7">
              <w:rPr>
                <w:rFonts w:eastAsia="Times New Roman" w:cs="Times New Roman"/>
                <w:b/>
                <w:bCs/>
                <w:color w:val="000000"/>
                <w:sz w:val="22"/>
                <w:szCs w:val="22"/>
              </w:rPr>
              <w:t>19</w:t>
            </w:r>
          </w:p>
        </w:tc>
        <w:tc>
          <w:tcPr>
            <w:tcW w:w="1300" w:type="dxa"/>
            <w:noWrap/>
          </w:tcPr>
          <w:p w14:paraId="50B6816E" w14:textId="77777777" w:rsidR="008B6181" w:rsidRPr="00B924D7" w:rsidRDefault="008B6181" w:rsidP="00744228">
            <w:pPr>
              <w:rPr>
                <w:rFonts w:eastAsia="Times New Roman" w:cs="Times New Roman"/>
                <w:b/>
                <w:color w:val="000000"/>
                <w:sz w:val="22"/>
                <w:szCs w:val="22"/>
              </w:rPr>
            </w:pPr>
            <w:r w:rsidRPr="00B924D7">
              <w:rPr>
                <w:rFonts w:eastAsia="Times New Roman" w:cs="Times New Roman"/>
                <w:b/>
                <w:bCs/>
                <w:color w:val="000000"/>
                <w:sz w:val="22"/>
                <w:szCs w:val="22"/>
              </w:rPr>
              <w:t>72</w:t>
            </w:r>
          </w:p>
        </w:tc>
        <w:tc>
          <w:tcPr>
            <w:tcW w:w="1300" w:type="dxa"/>
            <w:noWrap/>
          </w:tcPr>
          <w:p w14:paraId="04903833" w14:textId="77777777" w:rsidR="008B6181" w:rsidRPr="00B924D7" w:rsidRDefault="008B6181" w:rsidP="00744228">
            <w:pPr>
              <w:rPr>
                <w:rFonts w:eastAsia="Times New Roman" w:cs="Times New Roman"/>
                <w:b/>
                <w:color w:val="000000"/>
                <w:sz w:val="22"/>
                <w:szCs w:val="22"/>
              </w:rPr>
            </w:pPr>
            <w:r w:rsidRPr="00B924D7">
              <w:rPr>
                <w:rFonts w:eastAsia="Times New Roman" w:cs="Times New Roman"/>
                <w:b/>
                <w:bCs/>
                <w:color w:val="000000"/>
                <w:sz w:val="22"/>
                <w:szCs w:val="22"/>
              </w:rPr>
              <w:t>39</w:t>
            </w:r>
          </w:p>
        </w:tc>
        <w:tc>
          <w:tcPr>
            <w:tcW w:w="1300" w:type="dxa"/>
            <w:noWrap/>
            <w:hideMark/>
          </w:tcPr>
          <w:p w14:paraId="2BC8AAD6" w14:textId="77777777" w:rsidR="008B6181" w:rsidRPr="00B924D7" w:rsidRDefault="008B6181" w:rsidP="00744228">
            <w:pPr>
              <w:rPr>
                <w:rFonts w:eastAsia="Times New Roman" w:cs="Times New Roman"/>
                <w:b/>
                <w:color w:val="000000"/>
                <w:sz w:val="22"/>
                <w:szCs w:val="22"/>
              </w:rPr>
            </w:pPr>
            <w:r w:rsidRPr="00B924D7">
              <w:rPr>
                <w:rFonts w:eastAsia="Times New Roman" w:cs="Times New Roman"/>
                <w:b/>
                <w:color w:val="000000"/>
                <w:sz w:val="22"/>
                <w:szCs w:val="22"/>
              </w:rPr>
              <w:t>260</w:t>
            </w:r>
          </w:p>
        </w:tc>
      </w:tr>
      <w:tr w:rsidR="008B6181" w:rsidRPr="00DB049D" w14:paraId="6832BA50" w14:textId="77777777" w:rsidTr="00744228">
        <w:trPr>
          <w:trHeight w:val="300"/>
        </w:trPr>
        <w:tc>
          <w:tcPr>
            <w:tcW w:w="1300" w:type="dxa"/>
            <w:noWrap/>
          </w:tcPr>
          <w:p w14:paraId="7D1BF033" w14:textId="77777777" w:rsidR="008B6181" w:rsidRPr="00B924D7" w:rsidRDefault="008B6181" w:rsidP="00744228">
            <w:pPr>
              <w:rPr>
                <w:rFonts w:eastAsia="Times New Roman" w:cs="Times New Roman"/>
                <w:b/>
                <w:bCs/>
                <w:color w:val="000000"/>
                <w:sz w:val="22"/>
                <w:szCs w:val="22"/>
              </w:rPr>
            </w:pPr>
            <w:r w:rsidRPr="00635F81">
              <w:rPr>
                <w:rFonts w:eastAsia="Times New Roman" w:cs="Times New Roman"/>
                <w:bCs/>
                <w:color w:val="000000"/>
                <w:sz w:val="22"/>
                <w:szCs w:val="22"/>
              </w:rPr>
              <w:t>A</w:t>
            </w:r>
            <w:r w:rsidRPr="00B924D7">
              <w:rPr>
                <w:rFonts w:eastAsia="Times New Roman" w:cs="Times New Roman"/>
                <w:bCs/>
                <w:color w:val="000000"/>
                <w:sz w:val="22"/>
                <w:szCs w:val="22"/>
              </w:rPr>
              <w:t>verage Maximum Balance</w:t>
            </w:r>
          </w:p>
        </w:tc>
        <w:tc>
          <w:tcPr>
            <w:tcW w:w="1300" w:type="dxa"/>
            <w:noWrap/>
          </w:tcPr>
          <w:p w14:paraId="33DAD5A1" w14:textId="77777777" w:rsidR="008B6181" w:rsidRPr="00B924D7" w:rsidRDefault="008B6181" w:rsidP="00744228">
            <w:pPr>
              <w:rPr>
                <w:rFonts w:eastAsia="Times New Roman" w:cs="Times New Roman"/>
                <w:bCs/>
                <w:color w:val="000000"/>
                <w:sz w:val="22"/>
                <w:szCs w:val="22"/>
              </w:rPr>
            </w:pPr>
          </w:p>
          <w:p w14:paraId="6D425A20" w14:textId="77777777" w:rsidR="008B6181" w:rsidRPr="00B924D7" w:rsidRDefault="008B6181" w:rsidP="00744228">
            <w:pPr>
              <w:rPr>
                <w:rFonts w:eastAsia="Times New Roman" w:cs="Times New Roman"/>
                <w:bCs/>
                <w:color w:val="000000"/>
                <w:sz w:val="22"/>
                <w:szCs w:val="22"/>
              </w:rPr>
            </w:pPr>
            <w:r w:rsidRPr="00B924D7">
              <w:rPr>
                <w:rFonts w:eastAsia="Times New Roman" w:cs="Times New Roman"/>
                <w:bCs/>
                <w:color w:val="000000"/>
                <w:sz w:val="22"/>
                <w:szCs w:val="22"/>
              </w:rPr>
              <w:t>£18 15s 5d</w:t>
            </w:r>
          </w:p>
        </w:tc>
        <w:tc>
          <w:tcPr>
            <w:tcW w:w="1300" w:type="dxa"/>
            <w:noWrap/>
          </w:tcPr>
          <w:p w14:paraId="25887942" w14:textId="77777777" w:rsidR="008B6181" w:rsidRPr="00B924D7" w:rsidRDefault="008B6181" w:rsidP="00744228">
            <w:pPr>
              <w:rPr>
                <w:rFonts w:eastAsia="Times New Roman" w:cs="Times New Roman"/>
                <w:color w:val="000000"/>
                <w:sz w:val="22"/>
                <w:szCs w:val="22"/>
              </w:rPr>
            </w:pPr>
          </w:p>
          <w:p w14:paraId="7FA0A7B9" w14:textId="77777777" w:rsidR="008B6181" w:rsidRPr="00B924D7" w:rsidRDefault="008B6181" w:rsidP="00744228">
            <w:pPr>
              <w:rPr>
                <w:rFonts w:eastAsia="Times New Roman" w:cs="Times New Roman"/>
                <w:bCs/>
                <w:color w:val="000000"/>
                <w:sz w:val="22"/>
                <w:szCs w:val="22"/>
              </w:rPr>
            </w:pPr>
            <w:r w:rsidRPr="00B924D7">
              <w:rPr>
                <w:rFonts w:eastAsia="Times New Roman" w:cs="Times New Roman"/>
                <w:color w:val="000000"/>
                <w:sz w:val="22"/>
                <w:szCs w:val="22"/>
              </w:rPr>
              <w:t>£18 17s 0d</w:t>
            </w:r>
          </w:p>
        </w:tc>
        <w:tc>
          <w:tcPr>
            <w:tcW w:w="1300" w:type="dxa"/>
            <w:noWrap/>
          </w:tcPr>
          <w:p w14:paraId="514F60BD" w14:textId="77777777" w:rsidR="008B6181" w:rsidRPr="00B924D7" w:rsidRDefault="008B6181" w:rsidP="00744228">
            <w:pPr>
              <w:rPr>
                <w:rFonts w:eastAsia="Times New Roman" w:cs="Times New Roman"/>
                <w:color w:val="000000"/>
                <w:sz w:val="22"/>
                <w:szCs w:val="22"/>
              </w:rPr>
            </w:pPr>
          </w:p>
          <w:p w14:paraId="6D3F084D" w14:textId="77777777" w:rsidR="008B6181" w:rsidRPr="00B924D7" w:rsidRDefault="008B6181" w:rsidP="00744228">
            <w:pPr>
              <w:rPr>
                <w:rFonts w:eastAsia="Times New Roman" w:cs="Times New Roman"/>
                <w:bCs/>
                <w:color w:val="000000"/>
                <w:sz w:val="22"/>
                <w:szCs w:val="22"/>
              </w:rPr>
            </w:pPr>
            <w:r w:rsidRPr="00B924D7">
              <w:rPr>
                <w:rFonts w:eastAsia="Times New Roman" w:cs="Times New Roman"/>
                <w:color w:val="000000"/>
                <w:sz w:val="22"/>
                <w:szCs w:val="22"/>
              </w:rPr>
              <w:t>£17 4s 3d</w:t>
            </w:r>
          </w:p>
        </w:tc>
        <w:tc>
          <w:tcPr>
            <w:tcW w:w="1300" w:type="dxa"/>
            <w:noWrap/>
          </w:tcPr>
          <w:p w14:paraId="262E636A" w14:textId="77777777" w:rsidR="008B6181" w:rsidRPr="00B924D7" w:rsidRDefault="008B6181" w:rsidP="00744228">
            <w:pPr>
              <w:rPr>
                <w:rFonts w:eastAsia="Times New Roman" w:cs="Times New Roman"/>
                <w:color w:val="000000"/>
                <w:sz w:val="22"/>
                <w:szCs w:val="22"/>
              </w:rPr>
            </w:pPr>
          </w:p>
          <w:p w14:paraId="5CA8B3A5" w14:textId="77777777" w:rsidR="008B6181" w:rsidRPr="00B924D7" w:rsidRDefault="008B6181" w:rsidP="00744228">
            <w:pPr>
              <w:rPr>
                <w:rFonts w:eastAsia="Times New Roman" w:cs="Times New Roman"/>
                <w:bCs/>
                <w:color w:val="000000"/>
                <w:sz w:val="22"/>
                <w:szCs w:val="22"/>
              </w:rPr>
            </w:pPr>
            <w:r w:rsidRPr="00B924D7">
              <w:rPr>
                <w:rFonts w:eastAsia="Times New Roman" w:cs="Times New Roman"/>
                <w:color w:val="000000"/>
                <w:sz w:val="22"/>
                <w:szCs w:val="22"/>
              </w:rPr>
              <w:t>£11 0s 11d</w:t>
            </w:r>
          </w:p>
        </w:tc>
        <w:tc>
          <w:tcPr>
            <w:tcW w:w="1300" w:type="dxa"/>
            <w:noWrap/>
          </w:tcPr>
          <w:p w14:paraId="4F00AE7C" w14:textId="77777777" w:rsidR="008B6181" w:rsidRPr="00B924D7" w:rsidRDefault="008B6181" w:rsidP="00744228">
            <w:pPr>
              <w:rPr>
                <w:rFonts w:eastAsia="Times New Roman" w:cs="Times New Roman"/>
                <w:color w:val="000000"/>
                <w:sz w:val="22"/>
                <w:szCs w:val="22"/>
              </w:rPr>
            </w:pPr>
          </w:p>
        </w:tc>
      </w:tr>
      <w:tr w:rsidR="008B6181" w:rsidRPr="00DB049D" w14:paraId="359DC868" w14:textId="77777777" w:rsidTr="00744228">
        <w:trPr>
          <w:trHeight w:val="300"/>
        </w:trPr>
        <w:tc>
          <w:tcPr>
            <w:tcW w:w="1300" w:type="dxa"/>
            <w:noWrap/>
            <w:hideMark/>
          </w:tcPr>
          <w:p w14:paraId="7D228525" w14:textId="77777777" w:rsidR="008B6181" w:rsidRPr="00B924D7" w:rsidRDefault="008B6181" w:rsidP="00744228">
            <w:pPr>
              <w:rPr>
                <w:rFonts w:eastAsia="Times New Roman" w:cs="Times New Roman"/>
                <w:color w:val="000000"/>
                <w:sz w:val="22"/>
                <w:szCs w:val="22"/>
              </w:rPr>
            </w:pPr>
            <w:r w:rsidRPr="00B924D7">
              <w:rPr>
                <w:rFonts w:eastAsia="Times New Roman" w:cs="Times New Roman"/>
                <w:color w:val="000000"/>
                <w:sz w:val="22"/>
                <w:szCs w:val="22"/>
              </w:rPr>
              <w:t>I/O</w:t>
            </w:r>
          </w:p>
        </w:tc>
        <w:tc>
          <w:tcPr>
            <w:tcW w:w="1300" w:type="dxa"/>
            <w:noWrap/>
            <w:hideMark/>
          </w:tcPr>
          <w:p w14:paraId="305AE6D6" w14:textId="77777777" w:rsidR="008B6181" w:rsidRPr="00B924D7" w:rsidRDefault="008B6181" w:rsidP="00744228">
            <w:pPr>
              <w:rPr>
                <w:rFonts w:eastAsia="Times New Roman" w:cs="Times New Roman"/>
                <w:color w:val="000000"/>
                <w:sz w:val="22"/>
                <w:szCs w:val="22"/>
              </w:rPr>
            </w:pPr>
            <w:r w:rsidRPr="00B924D7">
              <w:rPr>
                <w:rFonts w:eastAsia="Times New Roman" w:cs="Times New Roman"/>
                <w:color w:val="000000"/>
                <w:sz w:val="22"/>
                <w:szCs w:val="22"/>
              </w:rPr>
              <w:t>10</w:t>
            </w:r>
          </w:p>
        </w:tc>
        <w:tc>
          <w:tcPr>
            <w:tcW w:w="1300" w:type="dxa"/>
            <w:noWrap/>
            <w:hideMark/>
          </w:tcPr>
          <w:p w14:paraId="2A56661A" w14:textId="77777777" w:rsidR="008B6181" w:rsidRPr="00B924D7" w:rsidRDefault="008B6181" w:rsidP="00744228">
            <w:pPr>
              <w:rPr>
                <w:rFonts w:eastAsia="Times New Roman" w:cs="Times New Roman"/>
                <w:color w:val="000000"/>
                <w:sz w:val="22"/>
                <w:szCs w:val="22"/>
              </w:rPr>
            </w:pPr>
            <w:r w:rsidRPr="00B924D7">
              <w:rPr>
                <w:rFonts w:eastAsia="Times New Roman" w:cs="Times New Roman"/>
                <w:color w:val="000000"/>
                <w:sz w:val="22"/>
                <w:szCs w:val="22"/>
              </w:rPr>
              <w:t>0</w:t>
            </w:r>
          </w:p>
        </w:tc>
        <w:tc>
          <w:tcPr>
            <w:tcW w:w="1300" w:type="dxa"/>
            <w:noWrap/>
            <w:hideMark/>
          </w:tcPr>
          <w:p w14:paraId="4F97BC6D" w14:textId="77777777" w:rsidR="008B6181" w:rsidRPr="00B924D7" w:rsidRDefault="008B6181" w:rsidP="00744228">
            <w:pPr>
              <w:rPr>
                <w:rFonts w:eastAsia="Times New Roman" w:cs="Times New Roman"/>
                <w:color w:val="000000"/>
                <w:sz w:val="22"/>
                <w:szCs w:val="22"/>
              </w:rPr>
            </w:pPr>
            <w:r w:rsidRPr="00B924D7">
              <w:rPr>
                <w:rFonts w:eastAsia="Times New Roman" w:cs="Times New Roman"/>
                <w:color w:val="000000"/>
                <w:sz w:val="22"/>
                <w:szCs w:val="22"/>
              </w:rPr>
              <w:t>12</w:t>
            </w:r>
          </w:p>
        </w:tc>
        <w:tc>
          <w:tcPr>
            <w:tcW w:w="1300" w:type="dxa"/>
            <w:noWrap/>
            <w:hideMark/>
          </w:tcPr>
          <w:p w14:paraId="0B24784B" w14:textId="77777777" w:rsidR="008B6181" w:rsidRPr="00B924D7" w:rsidRDefault="008B6181" w:rsidP="00744228">
            <w:pPr>
              <w:rPr>
                <w:rFonts w:eastAsia="Times New Roman" w:cs="Times New Roman"/>
                <w:color w:val="000000"/>
                <w:sz w:val="22"/>
                <w:szCs w:val="22"/>
              </w:rPr>
            </w:pPr>
            <w:r>
              <w:rPr>
                <w:rFonts w:eastAsia="Times New Roman" w:cs="Times New Roman"/>
                <w:color w:val="000000"/>
                <w:sz w:val="22"/>
                <w:szCs w:val="22"/>
              </w:rPr>
              <w:t>3</w:t>
            </w:r>
          </w:p>
        </w:tc>
        <w:tc>
          <w:tcPr>
            <w:tcW w:w="1300" w:type="dxa"/>
            <w:noWrap/>
            <w:hideMark/>
          </w:tcPr>
          <w:p w14:paraId="11278ECB" w14:textId="77777777" w:rsidR="008B6181" w:rsidRPr="00B924D7" w:rsidRDefault="008B6181" w:rsidP="00744228">
            <w:pPr>
              <w:rPr>
                <w:rFonts w:eastAsia="Times New Roman" w:cs="Times New Roman"/>
                <w:color w:val="000000"/>
                <w:sz w:val="22"/>
                <w:szCs w:val="22"/>
              </w:rPr>
            </w:pPr>
            <w:r>
              <w:rPr>
                <w:rFonts w:eastAsia="Times New Roman" w:cs="Times New Roman"/>
                <w:color w:val="000000"/>
                <w:sz w:val="22"/>
                <w:szCs w:val="22"/>
              </w:rPr>
              <w:t>25</w:t>
            </w:r>
          </w:p>
        </w:tc>
      </w:tr>
      <w:tr w:rsidR="008B6181" w:rsidRPr="00DB049D" w14:paraId="22283784" w14:textId="77777777" w:rsidTr="00744228">
        <w:trPr>
          <w:trHeight w:val="300"/>
        </w:trPr>
        <w:tc>
          <w:tcPr>
            <w:tcW w:w="1300" w:type="dxa"/>
            <w:noWrap/>
            <w:hideMark/>
          </w:tcPr>
          <w:p w14:paraId="011DFC47" w14:textId="77777777" w:rsidR="008B6181" w:rsidRPr="00B924D7" w:rsidRDefault="008B6181" w:rsidP="00744228">
            <w:pPr>
              <w:rPr>
                <w:rFonts w:eastAsia="Times New Roman" w:cs="Times New Roman"/>
                <w:color w:val="000000"/>
                <w:sz w:val="22"/>
                <w:szCs w:val="22"/>
              </w:rPr>
            </w:pPr>
            <w:r w:rsidRPr="00B924D7">
              <w:rPr>
                <w:rFonts w:eastAsia="Times New Roman" w:cs="Times New Roman"/>
                <w:color w:val="000000"/>
                <w:sz w:val="22"/>
                <w:szCs w:val="22"/>
              </w:rPr>
              <w:t>Acc</w:t>
            </w:r>
          </w:p>
        </w:tc>
        <w:tc>
          <w:tcPr>
            <w:tcW w:w="1300" w:type="dxa"/>
            <w:noWrap/>
            <w:hideMark/>
          </w:tcPr>
          <w:p w14:paraId="7663CFA2" w14:textId="77777777" w:rsidR="008B6181" w:rsidRPr="00B924D7" w:rsidRDefault="008B6181" w:rsidP="00744228">
            <w:pPr>
              <w:rPr>
                <w:rFonts w:eastAsia="Times New Roman" w:cs="Times New Roman"/>
                <w:color w:val="000000"/>
                <w:sz w:val="22"/>
                <w:szCs w:val="22"/>
              </w:rPr>
            </w:pPr>
            <w:r w:rsidRPr="00B924D7">
              <w:rPr>
                <w:rFonts w:eastAsia="Times New Roman" w:cs="Times New Roman"/>
                <w:color w:val="000000"/>
                <w:sz w:val="22"/>
                <w:szCs w:val="22"/>
              </w:rPr>
              <w:t>36</w:t>
            </w:r>
          </w:p>
        </w:tc>
        <w:tc>
          <w:tcPr>
            <w:tcW w:w="1300" w:type="dxa"/>
            <w:noWrap/>
            <w:hideMark/>
          </w:tcPr>
          <w:p w14:paraId="6E21819F" w14:textId="77777777" w:rsidR="008B6181" w:rsidRPr="00B924D7" w:rsidRDefault="008B6181" w:rsidP="00744228">
            <w:pPr>
              <w:rPr>
                <w:rFonts w:eastAsia="Times New Roman" w:cs="Times New Roman"/>
                <w:color w:val="000000"/>
                <w:sz w:val="22"/>
                <w:szCs w:val="22"/>
              </w:rPr>
            </w:pPr>
            <w:r w:rsidRPr="00B924D7">
              <w:rPr>
                <w:rFonts w:eastAsia="Times New Roman" w:cs="Times New Roman"/>
                <w:color w:val="000000"/>
                <w:sz w:val="22"/>
                <w:szCs w:val="22"/>
              </w:rPr>
              <w:t>0</w:t>
            </w:r>
          </w:p>
        </w:tc>
        <w:tc>
          <w:tcPr>
            <w:tcW w:w="1300" w:type="dxa"/>
            <w:noWrap/>
            <w:hideMark/>
          </w:tcPr>
          <w:p w14:paraId="16769B3D" w14:textId="77777777" w:rsidR="008B6181" w:rsidRPr="00B924D7" w:rsidRDefault="008B6181" w:rsidP="00744228">
            <w:pPr>
              <w:rPr>
                <w:rFonts w:eastAsia="Times New Roman" w:cs="Times New Roman"/>
                <w:color w:val="000000"/>
                <w:sz w:val="22"/>
                <w:szCs w:val="22"/>
              </w:rPr>
            </w:pPr>
            <w:r w:rsidRPr="00B924D7">
              <w:rPr>
                <w:rFonts w:eastAsia="Times New Roman" w:cs="Times New Roman"/>
                <w:color w:val="000000"/>
                <w:sz w:val="22"/>
                <w:szCs w:val="22"/>
              </w:rPr>
              <w:t>12</w:t>
            </w:r>
          </w:p>
        </w:tc>
        <w:tc>
          <w:tcPr>
            <w:tcW w:w="1300" w:type="dxa"/>
            <w:noWrap/>
            <w:hideMark/>
          </w:tcPr>
          <w:p w14:paraId="5F2E2AFB" w14:textId="77777777" w:rsidR="008B6181" w:rsidRPr="00B924D7" w:rsidRDefault="008B6181" w:rsidP="00744228">
            <w:pPr>
              <w:rPr>
                <w:rFonts w:eastAsia="Times New Roman" w:cs="Times New Roman"/>
                <w:color w:val="000000"/>
                <w:sz w:val="22"/>
                <w:szCs w:val="22"/>
              </w:rPr>
            </w:pPr>
            <w:r>
              <w:rPr>
                <w:rFonts w:eastAsia="Times New Roman" w:cs="Times New Roman"/>
                <w:color w:val="000000"/>
                <w:sz w:val="22"/>
                <w:szCs w:val="22"/>
              </w:rPr>
              <w:t>12</w:t>
            </w:r>
          </w:p>
        </w:tc>
        <w:tc>
          <w:tcPr>
            <w:tcW w:w="1300" w:type="dxa"/>
            <w:noWrap/>
            <w:hideMark/>
          </w:tcPr>
          <w:p w14:paraId="0933C564" w14:textId="77777777" w:rsidR="008B6181" w:rsidRPr="00B924D7" w:rsidRDefault="008B6181" w:rsidP="00744228">
            <w:pPr>
              <w:rPr>
                <w:rFonts w:eastAsia="Times New Roman" w:cs="Times New Roman"/>
                <w:color w:val="000000"/>
                <w:sz w:val="22"/>
                <w:szCs w:val="22"/>
              </w:rPr>
            </w:pPr>
            <w:r>
              <w:rPr>
                <w:rFonts w:eastAsia="Times New Roman" w:cs="Times New Roman"/>
                <w:color w:val="000000"/>
                <w:sz w:val="22"/>
                <w:szCs w:val="22"/>
              </w:rPr>
              <w:t>60</w:t>
            </w:r>
          </w:p>
        </w:tc>
      </w:tr>
      <w:tr w:rsidR="008B6181" w:rsidRPr="00DB049D" w14:paraId="23462536" w14:textId="77777777" w:rsidTr="00744228">
        <w:trPr>
          <w:trHeight w:val="300"/>
        </w:trPr>
        <w:tc>
          <w:tcPr>
            <w:tcW w:w="1300" w:type="dxa"/>
            <w:noWrap/>
            <w:hideMark/>
          </w:tcPr>
          <w:p w14:paraId="7BE6808A" w14:textId="77777777" w:rsidR="008B6181" w:rsidRPr="00B924D7" w:rsidRDefault="008B6181" w:rsidP="00744228">
            <w:pPr>
              <w:rPr>
                <w:rFonts w:eastAsia="Times New Roman" w:cs="Times New Roman"/>
                <w:color w:val="000000"/>
                <w:sz w:val="22"/>
                <w:szCs w:val="22"/>
              </w:rPr>
            </w:pPr>
            <w:r w:rsidRPr="00B924D7">
              <w:rPr>
                <w:rFonts w:eastAsia="Times New Roman" w:cs="Times New Roman"/>
                <w:color w:val="000000"/>
                <w:sz w:val="22"/>
                <w:szCs w:val="22"/>
              </w:rPr>
              <w:t>DD</w:t>
            </w:r>
          </w:p>
        </w:tc>
        <w:tc>
          <w:tcPr>
            <w:tcW w:w="1300" w:type="dxa"/>
            <w:noWrap/>
            <w:hideMark/>
          </w:tcPr>
          <w:p w14:paraId="54DE3A2C" w14:textId="77777777" w:rsidR="008B6181" w:rsidRPr="00B924D7" w:rsidRDefault="008B6181" w:rsidP="00744228">
            <w:pPr>
              <w:rPr>
                <w:rFonts w:eastAsia="Times New Roman" w:cs="Times New Roman"/>
                <w:color w:val="000000"/>
                <w:sz w:val="22"/>
                <w:szCs w:val="22"/>
              </w:rPr>
            </w:pPr>
            <w:r w:rsidRPr="00B924D7">
              <w:rPr>
                <w:rFonts w:eastAsia="Times New Roman" w:cs="Times New Roman"/>
                <w:color w:val="000000"/>
                <w:sz w:val="22"/>
                <w:szCs w:val="22"/>
              </w:rPr>
              <w:t>6</w:t>
            </w:r>
          </w:p>
        </w:tc>
        <w:tc>
          <w:tcPr>
            <w:tcW w:w="1300" w:type="dxa"/>
            <w:noWrap/>
            <w:hideMark/>
          </w:tcPr>
          <w:p w14:paraId="6C6A968E" w14:textId="77777777" w:rsidR="008B6181" w:rsidRPr="00B924D7" w:rsidRDefault="008B6181" w:rsidP="00744228">
            <w:pPr>
              <w:rPr>
                <w:rFonts w:eastAsia="Times New Roman" w:cs="Times New Roman"/>
                <w:color w:val="000000"/>
                <w:sz w:val="22"/>
                <w:szCs w:val="22"/>
              </w:rPr>
            </w:pPr>
            <w:r w:rsidRPr="00B924D7">
              <w:rPr>
                <w:rFonts w:eastAsia="Times New Roman" w:cs="Times New Roman"/>
                <w:color w:val="000000"/>
                <w:sz w:val="22"/>
                <w:szCs w:val="22"/>
              </w:rPr>
              <w:t>4</w:t>
            </w:r>
          </w:p>
        </w:tc>
        <w:tc>
          <w:tcPr>
            <w:tcW w:w="1300" w:type="dxa"/>
            <w:noWrap/>
            <w:hideMark/>
          </w:tcPr>
          <w:p w14:paraId="501EA6FE" w14:textId="77777777" w:rsidR="008B6181" w:rsidRPr="00B924D7" w:rsidRDefault="008B6181" w:rsidP="00744228">
            <w:pPr>
              <w:rPr>
                <w:rFonts w:eastAsia="Times New Roman" w:cs="Times New Roman"/>
                <w:color w:val="000000"/>
                <w:sz w:val="22"/>
                <w:szCs w:val="22"/>
              </w:rPr>
            </w:pPr>
            <w:r w:rsidRPr="00B924D7">
              <w:rPr>
                <w:rFonts w:eastAsia="Times New Roman" w:cs="Times New Roman"/>
                <w:color w:val="000000"/>
                <w:sz w:val="22"/>
                <w:szCs w:val="22"/>
              </w:rPr>
              <w:t>2</w:t>
            </w:r>
          </w:p>
        </w:tc>
        <w:tc>
          <w:tcPr>
            <w:tcW w:w="1300" w:type="dxa"/>
            <w:noWrap/>
            <w:hideMark/>
          </w:tcPr>
          <w:p w14:paraId="42F93D35" w14:textId="77777777" w:rsidR="008B6181" w:rsidRPr="00B924D7" w:rsidRDefault="008B6181" w:rsidP="00744228">
            <w:pPr>
              <w:rPr>
                <w:rFonts w:eastAsia="Times New Roman" w:cs="Times New Roman"/>
                <w:color w:val="000000"/>
                <w:sz w:val="22"/>
                <w:szCs w:val="22"/>
              </w:rPr>
            </w:pPr>
            <w:r>
              <w:rPr>
                <w:rFonts w:eastAsia="Times New Roman" w:cs="Times New Roman"/>
                <w:color w:val="000000"/>
                <w:sz w:val="22"/>
                <w:szCs w:val="22"/>
              </w:rPr>
              <w:t>7</w:t>
            </w:r>
          </w:p>
        </w:tc>
        <w:tc>
          <w:tcPr>
            <w:tcW w:w="1300" w:type="dxa"/>
            <w:noWrap/>
            <w:hideMark/>
          </w:tcPr>
          <w:p w14:paraId="6EADF969" w14:textId="77777777" w:rsidR="008B6181" w:rsidRPr="00B924D7" w:rsidRDefault="008B6181" w:rsidP="00744228">
            <w:pPr>
              <w:rPr>
                <w:rFonts w:eastAsia="Times New Roman" w:cs="Times New Roman"/>
                <w:color w:val="000000"/>
                <w:sz w:val="22"/>
                <w:szCs w:val="22"/>
              </w:rPr>
            </w:pPr>
            <w:r>
              <w:rPr>
                <w:rFonts w:eastAsia="Times New Roman" w:cs="Times New Roman"/>
                <w:color w:val="000000"/>
                <w:sz w:val="22"/>
                <w:szCs w:val="22"/>
              </w:rPr>
              <w:t>19</w:t>
            </w:r>
          </w:p>
        </w:tc>
      </w:tr>
      <w:tr w:rsidR="008B6181" w:rsidRPr="00DB049D" w14:paraId="50960351" w14:textId="77777777" w:rsidTr="00744228">
        <w:trPr>
          <w:trHeight w:val="300"/>
        </w:trPr>
        <w:tc>
          <w:tcPr>
            <w:tcW w:w="1300" w:type="dxa"/>
            <w:noWrap/>
            <w:hideMark/>
          </w:tcPr>
          <w:p w14:paraId="550E4A07" w14:textId="77777777" w:rsidR="008B6181" w:rsidRPr="00B924D7" w:rsidRDefault="008B6181" w:rsidP="00744228">
            <w:pPr>
              <w:rPr>
                <w:rFonts w:eastAsia="Times New Roman" w:cs="Times New Roman"/>
                <w:color w:val="000000"/>
                <w:sz w:val="22"/>
                <w:szCs w:val="22"/>
              </w:rPr>
            </w:pPr>
            <w:r w:rsidRPr="00B924D7">
              <w:rPr>
                <w:rFonts w:eastAsia="Times New Roman" w:cs="Times New Roman"/>
                <w:color w:val="000000"/>
                <w:sz w:val="22"/>
                <w:szCs w:val="22"/>
              </w:rPr>
              <w:t>Con</w:t>
            </w:r>
          </w:p>
        </w:tc>
        <w:tc>
          <w:tcPr>
            <w:tcW w:w="1300" w:type="dxa"/>
            <w:noWrap/>
            <w:hideMark/>
          </w:tcPr>
          <w:p w14:paraId="203ADE57" w14:textId="77777777" w:rsidR="008B6181" w:rsidRPr="00B924D7" w:rsidRDefault="008B6181" w:rsidP="00744228">
            <w:pPr>
              <w:rPr>
                <w:rFonts w:eastAsia="Times New Roman" w:cs="Times New Roman"/>
                <w:color w:val="000000"/>
                <w:sz w:val="22"/>
                <w:szCs w:val="22"/>
              </w:rPr>
            </w:pPr>
            <w:r w:rsidRPr="00B924D7">
              <w:rPr>
                <w:rFonts w:eastAsia="Times New Roman" w:cs="Times New Roman"/>
                <w:color w:val="000000"/>
                <w:sz w:val="22"/>
                <w:szCs w:val="22"/>
              </w:rPr>
              <w:t>78</w:t>
            </w:r>
          </w:p>
        </w:tc>
        <w:tc>
          <w:tcPr>
            <w:tcW w:w="1300" w:type="dxa"/>
            <w:noWrap/>
            <w:hideMark/>
          </w:tcPr>
          <w:p w14:paraId="0D706362" w14:textId="77777777" w:rsidR="008B6181" w:rsidRPr="00B924D7" w:rsidRDefault="008B6181" w:rsidP="00744228">
            <w:pPr>
              <w:rPr>
                <w:rFonts w:eastAsia="Times New Roman" w:cs="Times New Roman"/>
                <w:color w:val="000000"/>
                <w:sz w:val="22"/>
                <w:szCs w:val="22"/>
              </w:rPr>
            </w:pPr>
            <w:r>
              <w:rPr>
                <w:rFonts w:eastAsia="Times New Roman" w:cs="Times New Roman"/>
                <w:color w:val="000000"/>
                <w:sz w:val="22"/>
                <w:szCs w:val="22"/>
              </w:rPr>
              <w:t>15</w:t>
            </w:r>
          </w:p>
        </w:tc>
        <w:tc>
          <w:tcPr>
            <w:tcW w:w="1300" w:type="dxa"/>
            <w:noWrap/>
            <w:hideMark/>
          </w:tcPr>
          <w:p w14:paraId="2BA16DC9" w14:textId="77777777" w:rsidR="008B6181" w:rsidRPr="00B924D7" w:rsidRDefault="008B6181" w:rsidP="00744228">
            <w:pPr>
              <w:rPr>
                <w:rFonts w:eastAsia="Times New Roman" w:cs="Times New Roman"/>
                <w:color w:val="000000"/>
                <w:sz w:val="22"/>
                <w:szCs w:val="22"/>
              </w:rPr>
            </w:pPr>
            <w:r w:rsidRPr="00B924D7">
              <w:rPr>
                <w:rFonts w:eastAsia="Times New Roman" w:cs="Times New Roman"/>
                <w:color w:val="000000"/>
                <w:sz w:val="22"/>
                <w:szCs w:val="22"/>
              </w:rPr>
              <w:t>46</w:t>
            </w:r>
          </w:p>
        </w:tc>
        <w:tc>
          <w:tcPr>
            <w:tcW w:w="1300" w:type="dxa"/>
            <w:noWrap/>
            <w:hideMark/>
          </w:tcPr>
          <w:p w14:paraId="6AFD80EC" w14:textId="77777777" w:rsidR="008B6181" w:rsidRPr="00B924D7" w:rsidRDefault="008B6181" w:rsidP="00744228">
            <w:pPr>
              <w:rPr>
                <w:rFonts w:eastAsia="Times New Roman" w:cs="Times New Roman"/>
                <w:color w:val="000000"/>
                <w:sz w:val="22"/>
                <w:szCs w:val="22"/>
              </w:rPr>
            </w:pPr>
            <w:r>
              <w:rPr>
                <w:rFonts w:eastAsia="Times New Roman" w:cs="Times New Roman"/>
                <w:color w:val="000000"/>
                <w:sz w:val="22"/>
                <w:szCs w:val="22"/>
              </w:rPr>
              <w:t>17</w:t>
            </w:r>
          </w:p>
        </w:tc>
        <w:tc>
          <w:tcPr>
            <w:tcW w:w="1300" w:type="dxa"/>
            <w:noWrap/>
            <w:hideMark/>
          </w:tcPr>
          <w:p w14:paraId="1A47D3D3" w14:textId="77777777" w:rsidR="008B6181" w:rsidRPr="00B924D7" w:rsidRDefault="008B6181" w:rsidP="00744228">
            <w:pPr>
              <w:rPr>
                <w:rFonts w:eastAsia="Times New Roman" w:cs="Times New Roman"/>
                <w:color w:val="000000"/>
                <w:sz w:val="22"/>
                <w:szCs w:val="22"/>
              </w:rPr>
            </w:pPr>
            <w:r>
              <w:rPr>
                <w:rFonts w:eastAsia="Times New Roman" w:cs="Times New Roman"/>
                <w:color w:val="000000"/>
                <w:sz w:val="22"/>
                <w:szCs w:val="22"/>
              </w:rPr>
              <w:t>156</w:t>
            </w:r>
          </w:p>
        </w:tc>
      </w:tr>
    </w:tbl>
    <w:p w14:paraId="260A2713" w14:textId="77777777" w:rsidR="008B6181" w:rsidRDefault="008B6181" w:rsidP="00A2553D">
      <w:pPr>
        <w:jc w:val="both"/>
        <w:rPr>
          <w:rFonts w:eastAsiaTheme="minorEastAsia" w:cs="Times New Roman"/>
          <w:sz w:val="24"/>
        </w:rPr>
      </w:pPr>
    </w:p>
    <w:p w14:paraId="6E89C5E9" w14:textId="77777777" w:rsidR="008B6181" w:rsidRDefault="008B6181" w:rsidP="00A2553D">
      <w:pPr>
        <w:pStyle w:val="Caption"/>
      </w:pPr>
      <w:r>
        <w:t>Table 2: Limehouse 1851 and 1861 account usage and average maximum balance for each adult saver category</w:t>
      </w:r>
    </w:p>
    <w:p w14:paraId="367A7CD2" w14:textId="77777777" w:rsidR="008B6181" w:rsidRDefault="008B6181" w:rsidP="00A2553D">
      <w:pPr>
        <w:jc w:val="both"/>
        <w:rPr>
          <w:rFonts w:eastAsiaTheme="minorEastAsia" w:cs="Times New Roman"/>
          <w:sz w:val="24"/>
        </w:rPr>
      </w:pPr>
    </w:p>
    <w:tbl>
      <w:tblPr>
        <w:tblStyle w:val="TableGrid"/>
        <w:tblW w:w="7800" w:type="dxa"/>
        <w:tblLook w:val="04A0" w:firstRow="1" w:lastRow="0" w:firstColumn="1" w:lastColumn="0" w:noHBand="0" w:noVBand="1"/>
      </w:tblPr>
      <w:tblGrid>
        <w:gridCol w:w="1300"/>
        <w:gridCol w:w="1300"/>
        <w:gridCol w:w="1300"/>
        <w:gridCol w:w="1300"/>
        <w:gridCol w:w="1300"/>
        <w:gridCol w:w="1300"/>
      </w:tblGrid>
      <w:tr w:rsidR="008B6181" w:rsidRPr="00DB049D" w14:paraId="1EF28D82" w14:textId="77777777" w:rsidTr="00744228">
        <w:trPr>
          <w:trHeight w:val="300"/>
        </w:trPr>
        <w:tc>
          <w:tcPr>
            <w:tcW w:w="1300" w:type="dxa"/>
            <w:noWrap/>
            <w:hideMark/>
          </w:tcPr>
          <w:p w14:paraId="141363D3" w14:textId="77777777" w:rsidR="008B6181" w:rsidRPr="00B924D7" w:rsidRDefault="008B6181" w:rsidP="00744228">
            <w:pPr>
              <w:rPr>
                <w:rFonts w:eastAsia="Times New Roman" w:cs="Times New Roman"/>
                <w:b/>
                <w:color w:val="000000"/>
                <w:sz w:val="22"/>
                <w:szCs w:val="22"/>
              </w:rPr>
            </w:pPr>
            <w:r>
              <w:rPr>
                <w:rFonts w:eastAsia="Times New Roman" w:cs="Times New Roman"/>
                <w:b/>
                <w:color w:val="000000"/>
                <w:sz w:val="22"/>
                <w:szCs w:val="22"/>
              </w:rPr>
              <w:t>South Shields</w:t>
            </w:r>
          </w:p>
        </w:tc>
        <w:tc>
          <w:tcPr>
            <w:tcW w:w="1300" w:type="dxa"/>
            <w:noWrap/>
            <w:hideMark/>
          </w:tcPr>
          <w:p w14:paraId="46E95FD5" w14:textId="77777777" w:rsidR="008B6181" w:rsidRPr="00B924D7" w:rsidRDefault="008B6181" w:rsidP="00744228">
            <w:pPr>
              <w:rPr>
                <w:rFonts w:eastAsia="Times New Roman" w:cs="Times New Roman"/>
                <w:b/>
                <w:color w:val="000000"/>
                <w:sz w:val="22"/>
                <w:szCs w:val="22"/>
              </w:rPr>
            </w:pPr>
            <w:r w:rsidRPr="00B924D7">
              <w:rPr>
                <w:rFonts w:eastAsia="Times New Roman" w:cs="Times New Roman"/>
                <w:b/>
                <w:color w:val="000000"/>
                <w:sz w:val="22"/>
                <w:szCs w:val="22"/>
              </w:rPr>
              <w:t>Men</w:t>
            </w:r>
          </w:p>
        </w:tc>
        <w:tc>
          <w:tcPr>
            <w:tcW w:w="1300" w:type="dxa"/>
            <w:noWrap/>
            <w:hideMark/>
          </w:tcPr>
          <w:p w14:paraId="020E417A" w14:textId="77777777" w:rsidR="008B6181" w:rsidRPr="00B924D7" w:rsidRDefault="008B6181" w:rsidP="00744228">
            <w:pPr>
              <w:rPr>
                <w:rFonts w:eastAsia="Times New Roman" w:cs="Times New Roman"/>
                <w:b/>
                <w:color w:val="000000"/>
                <w:sz w:val="22"/>
                <w:szCs w:val="22"/>
              </w:rPr>
            </w:pPr>
            <w:r w:rsidRPr="00B924D7">
              <w:rPr>
                <w:rFonts w:eastAsia="Times New Roman" w:cs="Times New Roman"/>
                <w:b/>
                <w:color w:val="000000"/>
                <w:sz w:val="22"/>
                <w:szCs w:val="22"/>
              </w:rPr>
              <w:t>Widows</w:t>
            </w:r>
          </w:p>
        </w:tc>
        <w:tc>
          <w:tcPr>
            <w:tcW w:w="1300" w:type="dxa"/>
            <w:noWrap/>
            <w:hideMark/>
          </w:tcPr>
          <w:p w14:paraId="77F2A9A7" w14:textId="77777777" w:rsidR="008B6181" w:rsidRPr="00B924D7" w:rsidRDefault="008B6181" w:rsidP="00744228">
            <w:pPr>
              <w:rPr>
                <w:rFonts w:eastAsia="Times New Roman" w:cs="Times New Roman"/>
                <w:b/>
                <w:color w:val="000000"/>
                <w:sz w:val="22"/>
                <w:szCs w:val="22"/>
              </w:rPr>
            </w:pPr>
            <w:r w:rsidRPr="00B924D7">
              <w:rPr>
                <w:rFonts w:eastAsia="Times New Roman" w:cs="Times New Roman"/>
                <w:b/>
                <w:color w:val="000000"/>
                <w:sz w:val="22"/>
                <w:szCs w:val="22"/>
              </w:rPr>
              <w:t xml:space="preserve">Wives </w:t>
            </w:r>
          </w:p>
        </w:tc>
        <w:tc>
          <w:tcPr>
            <w:tcW w:w="1300" w:type="dxa"/>
            <w:noWrap/>
            <w:hideMark/>
          </w:tcPr>
          <w:p w14:paraId="33635EB0" w14:textId="77777777" w:rsidR="008B6181" w:rsidRPr="00B924D7" w:rsidRDefault="008B6181" w:rsidP="00744228">
            <w:pPr>
              <w:rPr>
                <w:rFonts w:eastAsia="Times New Roman" w:cs="Times New Roman"/>
                <w:b/>
                <w:color w:val="000000"/>
                <w:sz w:val="22"/>
                <w:szCs w:val="22"/>
              </w:rPr>
            </w:pPr>
            <w:r w:rsidRPr="00B924D7">
              <w:rPr>
                <w:rFonts w:eastAsia="Times New Roman" w:cs="Times New Roman"/>
                <w:b/>
                <w:color w:val="000000"/>
                <w:sz w:val="22"/>
                <w:szCs w:val="22"/>
              </w:rPr>
              <w:t>Single</w:t>
            </w:r>
          </w:p>
        </w:tc>
        <w:tc>
          <w:tcPr>
            <w:tcW w:w="1300" w:type="dxa"/>
            <w:noWrap/>
            <w:hideMark/>
          </w:tcPr>
          <w:p w14:paraId="06344974" w14:textId="77777777" w:rsidR="008B6181" w:rsidRPr="00B924D7" w:rsidRDefault="008B6181" w:rsidP="00744228">
            <w:pPr>
              <w:rPr>
                <w:rFonts w:eastAsia="Times New Roman" w:cs="Times New Roman"/>
                <w:b/>
                <w:color w:val="000000"/>
                <w:sz w:val="22"/>
                <w:szCs w:val="22"/>
              </w:rPr>
            </w:pPr>
            <w:r w:rsidRPr="00B924D7">
              <w:rPr>
                <w:rFonts w:eastAsia="Times New Roman" w:cs="Times New Roman"/>
                <w:b/>
                <w:color w:val="000000"/>
                <w:sz w:val="22"/>
                <w:szCs w:val="22"/>
              </w:rPr>
              <w:t>Total New Accounts</w:t>
            </w:r>
          </w:p>
        </w:tc>
      </w:tr>
      <w:tr w:rsidR="008B6181" w:rsidRPr="00DB049D" w14:paraId="0ED948B3" w14:textId="77777777" w:rsidTr="00744228">
        <w:trPr>
          <w:trHeight w:val="300"/>
        </w:trPr>
        <w:tc>
          <w:tcPr>
            <w:tcW w:w="1300" w:type="dxa"/>
            <w:noWrap/>
          </w:tcPr>
          <w:p w14:paraId="5A2B67B3" w14:textId="77777777" w:rsidR="008B6181" w:rsidRPr="00B924D7" w:rsidRDefault="008B6181" w:rsidP="00744228">
            <w:pPr>
              <w:rPr>
                <w:rFonts w:eastAsia="Times New Roman" w:cs="Times New Roman"/>
                <w:b/>
                <w:color w:val="000000"/>
                <w:sz w:val="22"/>
                <w:szCs w:val="22"/>
              </w:rPr>
            </w:pPr>
            <w:r>
              <w:rPr>
                <w:rFonts w:eastAsia="Times New Roman" w:cs="Times New Roman"/>
                <w:b/>
                <w:color w:val="000000"/>
                <w:sz w:val="22"/>
                <w:szCs w:val="22"/>
              </w:rPr>
              <w:t>1853</w:t>
            </w:r>
          </w:p>
        </w:tc>
        <w:tc>
          <w:tcPr>
            <w:tcW w:w="1300" w:type="dxa"/>
            <w:noWrap/>
          </w:tcPr>
          <w:p w14:paraId="4E363610" w14:textId="77777777" w:rsidR="008B6181" w:rsidRPr="00B924D7" w:rsidRDefault="008B6181" w:rsidP="00744228">
            <w:pPr>
              <w:rPr>
                <w:rFonts w:eastAsia="Times New Roman" w:cs="Times New Roman"/>
                <w:b/>
                <w:color w:val="000000"/>
                <w:sz w:val="22"/>
                <w:szCs w:val="22"/>
              </w:rPr>
            </w:pPr>
            <w:r>
              <w:rPr>
                <w:rFonts w:eastAsia="Times New Roman" w:cs="Times New Roman"/>
                <w:b/>
                <w:color w:val="000000"/>
                <w:sz w:val="22"/>
                <w:szCs w:val="22"/>
              </w:rPr>
              <w:t>143</w:t>
            </w:r>
          </w:p>
        </w:tc>
        <w:tc>
          <w:tcPr>
            <w:tcW w:w="1300" w:type="dxa"/>
            <w:noWrap/>
          </w:tcPr>
          <w:p w14:paraId="10C4DD35" w14:textId="77777777" w:rsidR="008B6181" w:rsidRPr="00B924D7" w:rsidRDefault="008B6181" w:rsidP="00744228">
            <w:pPr>
              <w:rPr>
                <w:rFonts w:eastAsia="Times New Roman" w:cs="Times New Roman"/>
                <w:b/>
                <w:color w:val="000000"/>
                <w:sz w:val="22"/>
                <w:szCs w:val="22"/>
              </w:rPr>
            </w:pPr>
            <w:r>
              <w:rPr>
                <w:rFonts w:eastAsia="Times New Roman" w:cs="Times New Roman"/>
                <w:b/>
                <w:color w:val="000000"/>
                <w:sz w:val="22"/>
                <w:szCs w:val="22"/>
              </w:rPr>
              <w:t>18</w:t>
            </w:r>
          </w:p>
        </w:tc>
        <w:tc>
          <w:tcPr>
            <w:tcW w:w="1300" w:type="dxa"/>
            <w:noWrap/>
          </w:tcPr>
          <w:p w14:paraId="6B66E21D" w14:textId="77777777" w:rsidR="008B6181" w:rsidRPr="00B924D7" w:rsidRDefault="008B6181" w:rsidP="00744228">
            <w:pPr>
              <w:rPr>
                <w:rFonts w:eastAsia="Times New Roman" w:cs="Times New Roman"/>
                <w:b/>
                <w:color w:val="000000"/>
                <w:sz w:val="22"/>
                <w:szCs w:val="22"/>
              </w:rPr>
            </w:pPr>
            <w:r>
              <w:rPr>
                <w:rFonts w:eastAsia="Times New Roman" w:cs="Times New Roman"/>
                <w:b/>
                <w:color w:val="000000"/>
                <w:sz w:val="22"/>
                <w:szCs w:val="22"/>
              </w:rPr>
              <w:t>93</w:t>
            </w:r>
          </w:p>
        </w:tc>
        <w:tc>
          <w:tcPr>
            <w:tcW w:w="1300" w:type="dxa"/>
            <w:noWrap/>
          </w:tcPr>
          <w:p w14:paraId="64FD64A6" w14:textId="77777777" w:rsidR="008B6181" w:rsidRPr="00B924D7" w:rsidRDefault="008B6181" w:rsidP="00744228">
            <w:pPr>
              <w:rPr>
                <w:rFonts w:eastAsia="Times New Roman" w:cs="Times New Roman"/>
                <w:b/>
                <w:color w:val="000000"/>
                <w:sz w:val="22"/>
                <w:szCs w:val="22"/>
              </w:rPr>
            </w:pPr>
            <w:r>
              <w:rPr>
                <w:rFonts w:eastAsia="Times New Roman" w:cs="Times New Roman"/>
                <w:b/>
                <w:color w:val="000000"/>
                <w:sz w:val="22"/>
                <w:szCs w:val="22"/>
              </w:rPr>
              <w:t>27</w:t>
            </w:r>
          </w:p>
        </w:tc>
        <w:tc>
          <w:tcPr>
            <w:tcW w:w="1300" w:type="dxa"/>
            <w:noWrap/>
          </w:tcPr>
          <w:p w14:paraId="680B26B8" w14:textId="77777777" w:rsidR="008B6181" w:rsidRPr="00B924D7" w:rsidRDefault="008B6181" w:rsidP="00744228">
            <w:pPr>
              <w:rPr>
                <w:rFonts w:eastAsia="Times New Roman" w:cs="Times New Roman"/>
                <w:b/>
                <w:color w:val="000000"/>
                <w:sz w:val="22"/>
                <w:szCs w:val="22"/>
              </w:rPr>
            </w:pPr>
            <w:r>
              <w:rPr>
                <w:rFonts w:eastAsia="Times New Roman" w:cs="Times New Roman"/>
                <w:b/>
                <w:color w:val="000000"/>
                <w:sz w:val="22"/>
                <w:szCs w:val="22"/>
              </w:rPr>
              <w:t>281</w:t>
            </w:r>
          </w:p>
        </w:tc>
      </w:tr>
      <w:tr w:rsidR="008B6181" w:rsidRPr="00DB049D" w14:paraId="116991EC" w14:textId="77777777" w:rsidTr="00744228">
        <w:trPr>
          <w:trHeight w:val="300"/>
        </w:trPr>
        <w:tc>
          <w:tcPr>
            <w:tcW w:w="1300" w:type="dxa"/>
            <w:noWrap/>
            <w:hideMark/>
          </w:tcPr>
          <w:p w14:paraId="40C6A510" w14:textId="77777777" w:rsidR="008B6181" w:rsidRPr="00B924D7" w:rsidRDefault="008B6181" w:rsidP="00744228">
            <w:pPr>
              <w:rPr>
                <w:rFonts w:eastAsia="Times New Roman" w:cs="Times New Roman"/>
                <w:bCs/>
                <w:color w:val="000000"/>
                <w:sz w:val="22"/>
                <w:szCs w:val="22"/>
              </w:rPr>
            </w:pPr>
            <w:r w:rsidRPr="00B924D7">
              <w:rPr>
                <w:rFonts w:eastAsia="Times New Roman" w:cs="Times New Roman"/>
                <w:bCs/>
                <w:color w:val="000000"/>
                <w:sz w:val="22"/>
                <w:szCs w:val="22"/>
              </w:rPr>
              <w:t>Average Maximum Balance</w:t>
            </w:r>
          </w:p>
        </w:tc>
        <w:tc>
          <w:tcPr>
            <w:tcW w:w="1300" w:type="dxa"/>
            <w:noWrap/>
          </w:tcPr>
          <w:p w14:paraId="1FB72CD5" w14:textId="77777777" w:rsidR="008B6181" w:rsidRDefault="008B6181" w:rsidP="00744228">
            <w:pPr>
              <w:rPr>
                <w:rFonts w:eastAsia="Times New Roman" w:cs="Times New Roman"/>
                <w:bCs/>
                <w:color w:val="000000"/>
                <w:sz w:val="22"/>
                <w:szCs w:val="22"/>
              </w:rPr>
            </w:pPr>
          </w:p>
          <w:p w14:paraId="513FAEEF" w14:textId="77777777" w:rsidR="008B6181" w:rsidRPr="006954C4" w:rsidRDefault="008B6181" w:rsidP="00744228">
            <w:pPr>
              <w:rPr>
                <w:rFonts w:eastAsia="Times New Roman" w:cs="Times New Roman"/>
                <w:bCs/>
                <w:color w:val="000000"/>
                <w:sz w:val="22"/>
                <w:szCs w:val="22"/>
              </w:rPr>
            </w:pPr>
            <w:r w:rsidRPr="006954C4">
              <w:rPr>
                <w:rFonts w:eastAsia="Times New Roman" w:cs="Times New Roman"/>
                <w:bCs/>
                <w:color w:val="000000"/>
                <w:sz w:val="22"/>
                <w:szCs w:val="22"/>
              </w:rPr>
              <w:t>£31 3s 4d</w:t>
            </w:r>
          </w:p>
        </w:tc>
        <w:tc>
          <w:tcPr>
            <w:tcW w:w="1300" w:type="dxa"/>
            <w:noWrap/>
          </w:tcPr>
          <w:p w14:paraId="1326F293" w14:textId="77777777" w:rsidR="008B6181" w:rsidRDefault="008B6181" w:rsidP="00744228">
            <w:pPr>
              <w:rPr>
                <w:rFonts w:eastAsia="Times New Roman" w:cs="Times New Roman"/>
                <w:bCs/>
                <w:color w:val="000000"/>
                <w:sz w:val="22"/>
                <w:szCs w:val="22"/>
              </w:rPr>
            </w:pPr>
          </w:p>
          <w:p w14:paraId="5834AC85" w14:textId="77777777" w:rsidR="008B6181" w:rsidRPr="006954C4" w:rsidRDefault="008B6181" w:rsidP="00744228">
            <w:pPr>
              <w:rPr>
                <w:rFonts w:eastAsia="Times New Roman" w:cs="Times New Roman"/>
                <w:bCs/>
                <w:color w:val="000000"/>
                <w:sz w:val="22"/>
                <w:szCs w:val="22"/>
              </w:rPr>
            </w:pPr>
            <w:r>
              <w:rPr>
                <w:rFonts w:eastAsia="Times New Roman" w:cs="Times New Roman"/>
                <w:bCs/>
                <w:color w:val="000000"/>
                <w:sz w:val="22"/>
                <w:szCs w:val="22"/>
              </w:rPr>
              <w:t>£23 11s 10d</w:t>
            </w:r>
          </w:p>
        </w:tc>
        <w:tc>
          <w:tcPr>
            <w:tcW w:w="1300" w:type="dxa"/>
            <w:noWrap/>
          </w:tcPr>
          <w:p w14:paraId="77CB5037" w14:textId="77777777" w:rsidR="008B6181" w:rsidRDefault="008B6181" w:rsidP="00744228">
            <w:pPr>
              <w:rPr>
                <w:rFonts w:eastAsia="Times New Roman" w:cs="Times New Roman"/>
                <w:bCs/>
                <w:color w:val="000000"/>
                <w:sz w:val="22"/>
                <w:szCs w:val="22"/>
              </w:rPr>
            </w:pPr>
          </w:p>
          <w:p w14:paraId="4DD14F62" w14:textId="77777777" w:rsidR="008B6181" w:rsidRPr="006954C4" w:rsidRDefault="008B6181" w:rsidP="00744228">
            <w:pPr>
              <w:rPr>
                <w:rFonts w:eastAsia="Times New Roman" w:cs="Times New Roman"/>
                <w:bCs/>
                <w:color w:val="000000"/>
                <w:sz w:val="22"/>
                <w:szCs w:val="22"/>
              </w:rPr>
            </w:pPr>
            <w:r>
              <w:rPr>
                <w:rFonts w:eastAsia="Times New Roman" w:cs="Times New Roman"/>
                <w:bCs/>
                <w:color w:val="000000"/>
                <w:sz w:val="22"/>
                <w:szCs w:val="22"/>
              </w:rPr>
              <w:t>£41 7s 8d</w:t>
            </w:r>
          </w:p>
        </w:tc>
        <w:tc>
          <w:tcPr>
            <w:tcW w:w="1300" w:type="dxa"/>
            <w:noWrap/>
          </w:tcPr>
          <w:p w14:paraId="71DF30C0" w14:textId="77777777" w:rsidR="008B6181" w:rsidRDefault="008B6181" w:rsidP="00744228">
            <w:pPr>
              <w:rPr>
                <w:rFonts w:eastAsia="Times New Roman" w:cs="Times New Roman"/>
                <w:bCs/>
                <w:color w:val="000000"/>
                <w:sz w:val="22"/>
                <w:szCs w:val="22"/>
              </w:rPr>
            </w:pPr>
          </w:p>
          <w:p w14:paraId="1A5E20E6" w14:textId="77777777" w:rsidR="008B6181" w:rsidRPr="006954C4" w:rsidRDefault="008B6181" w:rsidP="00744228">
            <w:pPr>
              <w:rPr>
                <w:rFonts w:eastAsia="Times New Roman" w:cs="Times New Roman"/>
                <w:bCs/>
                <w:color w:val="000000"/>
                <w:sz w:val="22"/>
                <w:szCs w:val="22"/>
              </w:rPr>
            </w:pPr>
            <w:r>
              <w:rPr>
                <w:rFonts w:eastAsia="Times New Roman" w:cs="Times New Roman"/>
                <w:bCs/>
                <w:color w:val="000000"/>
                <w:sz w:val="22"/>
                <w:szCs w:val="22"/>
              </w:rPr>
              <w:t>£39 3s 3d</w:t>
            </w:r>
          </w:p>
        </w:tc>
        <w:tc>
          <w:tcPr>
            <w:tcW w:w="1300" w:type="dxa"/>
            <w:noWrap/>
          </w:tcPr>
          <w:p w14:paraId="2820E7CE" w14:textId="77777777" w:rsidR="008B6181" w:rsidRPr="006954C4" w:rsidRDefault="008B6181" w:rsidP="00744228">
            <w:pPr>
              <w:rPr>
                <w:rFonts w:eastAsia="Times New Roman" w:cs="Times New Roman"/>
                <w:color w:val="000000"/>
                <w:sz w:val="22"/>
                <w:szCs w:val="22"/>
              </w:rPr>
            </w:pPr>
          </w:p>
        </w:tc>
      </w:tr>
      <w:tr w:rsidR="008B6181" w:rsidRPr="00DB049D" w14:paraId="6F19E6D2" w14:textId="77777777" w:rsidTr="00744228">
        <w:trPr>
          <w:trHeight w:val="300"/>
        </w:trPr>
        <w:tc>
          <w:tcPr>
            <w:tcW w:w="1300" w:type="dxa"/>
            <w:noWrap/>
            <w:hideMark/>
          </w:tcPr>
          <w:p w14:paraId="1A0FB42C" w14:textId="77777777" w:rsidR="008B6181" w:rsidRPr="00B924D7" w:rsidRDefault="008B6181" w:rsidP="00744228">
            <w:pPr>
              <w:rPr>
                <w:rFonts w:eastAsia="Times New Roman" w:cs="Times New Roman"/>
                <w:color w:val="000000"/>
                <w:sz w:val="22"/>
                <w:szCs w:val="22"/>
              </w:rPr>
            </w:pPr>
            <w:r w:rsidRPr="00B924D7">
              <w:rPr>
                <w:rFonts w:eastAsia="Times New Roman" w:cs="Times New Roman"/>
                <w:color w:val="000000"/>
                <w:sz w:val="22"/>
                <w:szCs w:val="22"/>
              </w:rPr>
              <w:t>I/O</w:t>
            </w:r>
          </w:p>
        </w:tc>
        <w:tc>
          <w:tcPr>
            <w:tcW w:w="1300" w:type="dxa"/>
            <w:noWrap/>
          </w:tcPr>
          <w:p w14:paraId="677FC09E" w14:textId="77777777" w:rsidR="008B6181" w:rsidRPr="00B924D7" w:rsidRDefault="008B6181" w:rsidP="00744228">
            <w:pPr>
              <w:rPr>
                <w:rFonts w:eastAsia="Times New Roman" w:cs="Times New Roman"/>
                <w:color w:val="000000"/>
                <w:sz w:val="22"/>
                <w:szCs w:val="22"/>
              </w:rPr>
            </w:pPr>
            <w:r>
              <w:rPr>
                <w:rFonts w:eastAsia="Times New Roman" w:cs="Times New Roman"/>
                <w:color w:val="000000"/>
                <w:sz w:val="22"/>
                <w:szCs w:val="22"/>
              </w:rPr>
              <w:t>20</w:t>
            </w:r>
          </w:p>
        </w:tc>
        <w:tc>
          <w:tcPr>
            <w:tcW w:w="1300" w:type="dxa"/>
            <w:noWrap/>
          </w:tcPr>
          <w:p w14:paraId="2B0D55ED" w14:textId="77777777" w:rsidR="008B6181" w:rsidRPr="00B924D7" w:rsidRDefault="008B6181" w:rsidP="00744228">
            <w:pPr>
              <w:rPr>
                <w:rFonts w:eastAsia="Times New Roman" w:cs="Times New Roman"/>
                <w:color w:val="000000"/>
                <w:sz w:val="22"/>
                <w:szCs w:val="22"/>
              </w:rPr>
            </w:pPr>
            <w:r>
              <w:rPr>
                <w:rFonts w:eastAsia="Times New Roman" w:cs="Times New Roman"/>
                <w:color w:val="000000"/>
                <w:sz w:val="22"/>
                <w:szCs w:val="22"/>
              </w:rPr>
              <w:t>1</w:t>
            </w:r>
          </w:p>
        </w:tc>
        <w:tc>
          <w:tcPr>
            <w:tcW w:w="1300" w:type="dxa"/>
            <w:noWrap/>
          </w:tcPr>
          <w:p w14:paraId="39A6277C" w14:textId="77777777" w:rsidR="008B6181" w:rsidRPr="00B924D7" w:rsidRDefault="008B6181" w:rsidP="00744228">
            <w:pPr>
              <w:rPr>
                <w:rFonts w:eastAsia="Times New Roman" w:cs="Times New Roman"/>
                <w:color w:val="000000"/>
                <w:sz w:val="22"/>
                <w:szCs w:val="22"/>
              </w:rPr>
            </w:pPr>
            <w:r>
              <w:rPr>
                <w:rFonts w:eastAsia="Times New Roman" w:cs="Times New Roman"/>
                <w:color w:val="000000"/>
                <w:sz w:val="22"/>
                <w:szCs w:val="22"/>
              </w:rPr>
              <w:t>6</w:t>
            </w:r>
          </w:p>
        </w:tc>
        <w:tc>
          <w:tcPr>
            <w:tcW w:w="1300" w:type="dxa"/>
            <w:noWrap/>
          </w:tcPr>
          <w:p w14:paraId="36459757" w14:textId="77777777" w:rsidR="008B6181" w:rsidRPr="00B924D7" w:rsidRDefault="008B6181" w:rsidP="00744228">
            <w:pPr>
              <w:rPr>
                <w:rFonts w:eastAsia="Times New Roman" w:cs="Times New Roman"/>
                <w:color w:val="000000"/>
                <w:sz w:val="22"/>
                <w:szCs w:val="22"/>
              </w:rPr>
            </w:pPr>
            <w:r>
              <w:rPr>
                <w:rFonts w:eastAsia="Times New Roman" w:cs="Times New Roman"/>
                <w:color w:val="000000"/>
                <w:sz w:val="22"/>
                <w:szCs w:val="22"/>
              </w:rPr>
              <w:t>4</w:t>
            </w:r>
          </w:p>
        </w:tc>
        <w:tc>
          <w:tcPr>
            <w:tcW w:w="1300" w:type="dxa"/>
            <w:noWrap/>
          </w:tcPr>
          <w:p w14:paraId="26CBAF89" w14:textId="77777777" w:rsidR="008B6181" w:rsidRPr="00B924D7" w:rsidRDefault="008B6181" w:rsidP="00744228">
            <w:pPr>
              <w:rPr>
                <w:rFonts w:eastAsia="Times New Roman" w:cs="Times New Roman"/>
                <w:color w:val="000000"/>
                <w:sz w:val="22"/>
                <w:szCs w:val="22"/>
              </w:rPr>
            </w:pPr>
            <w:r>
              <w:rPr>
                <w:rFonts w:eastAsia="Times New Roman" w:cs="Times New Roman"/>
                <w:color w:val="000000"/>
                <w:sz w:val="22"/>
                <w:szCs w:val="22"/>
              </w:rPr>
              <w:t>31</w:t>
            </w:r>
          </w:p>
        </w:tc>
      </w:tr>
      <w:tr w:rsidR="008B6181" w:rsidRPr="00DB049D" w14:paraId="61159E2A" w14:textId="77777777" w:rsidTr="00744228">
        <w:trPr>
          <w:trHeight w:val="300"/>
        </w:trPr>
        <w:tc>
          <w:tcPr>
            <w:tcW w:w="1300" w:type="dxa"/>
            <w:noWrap/>
            <w:hideMark/>
          </w:tcPr>
          <w:p w14:paraId="4FB8EE24" w14:textId="77777777" w:rsidR="008B6181" w:rsidRPr="00B924D7" w:rsidRDefault="008B6181" w:rsidP="00744228">
            <w:pPr>
              <w:rPr>
                <w:rFonts w:eastAsia="Times New Roman" w:cs="Times New Roman"/>
                <w:color w:val="000000"/>
                <w:sz w:val="22"/>
                <w:szCs w:val="22"/>
              </w:rPr>
            </w:pPr>
            <w:r w:rsidRPr="00B924D7">
              <w:rPr>
                <w:rFonts w:eastAsia="Times New Roman" w:cs="Times New Roman"/>
                <w:color w:val="000000"/>
                <w:sz w:val="22"/>
                <w:szCs w:val="22"/>
              </w:rPr>
              <w:t>Acc</w:t>
            </w:r>
          </w:p>
        </w:tc>
        <w:tc>
          <w:tcPr>
            <w:tcW w:w="1300" w:type="dxa"/>
            <w:noWrap/>
          </w:tcPr>
          <w:p w14:paraId="0494ABA1" w14:textId="77777777" w:rsidR="008B6181" w:rsidRPr="00B924D7" w:rsidRDefault="008B6181" w:rsidP="00744228">
            <w:pPr>
              <w:rPr>
                <w:rFonts w:eastAsia="Times New Roman" w:cs="Times New Roman"/>
                <w:color w:val="000000"/>
                <w:sz w:val="22"/>
                <w:szCs w:val="22"/>
              </w:rPr>
            </w:pPr>
            <w:r>
              <w:rPr>
                <w:rFonts w:eastAsia="Times New Roman" w:cs="Times New Roman"/>
                <w:color w:val="000000"/>
                <w:sz w:val="22"/>
                <w:szCs w:val="22"/>
              </w:rPr>
              <w:t>33</w:t>
            </w:r>
          </w:p>
        </w:tc>
        <w:tc>
          <w:tcPr>
            <w:tcW w:w="1300" w:type="dxa"/>
            <w:noWrap/>
          </w:tcPr>
          <w:p w14:paraId="5688FD14" w14:textId="77777777" w:rsidR="008B6181" w:rsidRPr="00B924D7" w:rsidRDefault="008B6181" w:rsidP="00744228">
            <w:pPr>
              <w:rPr>
                <w:rFonts w:eastAsia="Times New Roman" w:cs="Times New Roman"/>
                <w:color w:val="000000"/>
                <w:sz w:val="22"/>
                <w:szCs w:val="22"/>
              </w:rPr>
            </w:pPr>
            <w:r>
              <w:rPr>
                <w:rFonts w:eastAsia="Times New Roman" w:cs="Times New Roman"/>
                <w:color w:val="000000"/>
                <w:sz w:val="22"/>
                <w:szCs w:val="22"/>
              </w:rPr>
              <w:t>5</w:t>
            </w:r>
          </w:p>
        </w:tc>
        <w:tc>
          <w:tcPr>
            <w:tcW w:w="1300" w:type="dxa"/>
            <w:noWrap/>
          </w:tcPr>
          <w:p w14:paraId="6061CDF1" w14:textId="77777777" w:rsidR="008B6181" w:rsidRPr="00B924D7" w:rsidRDefault="008B6181" w:rsidP="00744228">
            <w:pPr>
              <w:rPr>
                <w:rFonts w:eastAsia="Times New Roman" w:cs="Times New Roman"/>
                <w:color w:val="000000"/>
                <w:sz w:val="22"/>
                <w:szCs w:val="22"/>
              </w:rPr>
            </w:pPr>
            <w:r>
              <w:rPr>
                <w:rFonts w:eastAsia="Times New Roman" w:cs="Times New Roman"/>
                <w:color w:val="000000"/>
                <w:sz w:val="22"/>
                <w:szCs w:val="22"/>
              </w:rPr>
              <w:t>22</w:t>
            </w:r>
          </w:p>
        </w:tc>
        <w:tc>
          <w:tcPr>
            <w:tcW w:w="1300" w:type="dxa"/>
            <w:noWrap/>
          </w:tcPr>
          <w:p w14:paraId="2326830D" w14:textId="77777777" w:rsidR="008B6181" w:rsidRPr="00B924D7" w:rsidRDefault="008B6181" w:rsidP="00744228">
            <w:pPr>
              <w:rPr>
                <w:rFonts w:eastAsia="Times New Roman" w:cs="Times New Roman"/>
                <w:color w:val="000000"/>
                <w:sz w:val="22"/>
                <w:szCs w:val="22"/>
              </w:rPr>
            </w:pPr>
            <w:r>
              <w:rPr>
                <w:rFonts w:eastAsia="Times New Roman" w:cs="Times New Roman"/>
                <w:color w:val="000000"/>
                <w:sz w:val="22"/>
                <w:szCs w:val="22"/>
              </w:rPr>
              <w:t>14</w:t>
            </w:r>
          </w:p>
        </w:tc>
        <w:tc>
          <w:tcPr>
            <w:tcW w:w="1300" w:type="dxa"/>
            <w:noWrap/>
          </w:tcPr>
          <w:p w14:paraId="177E3DCD" w14:textId="77777777" w:rsidR="008B6181" w:rsidRPr="00B924D7" w:rsidRDefault="008B6181" w:rsidP="00744228">
            <w:pPr>
              <w:rPr>
                <w:rFonts w:eastAsia="Times New Roman" w:cs="Times New Roman"/>
                <w:color w:val="000000"/>
                <w:sz w:val="22"/>
                <w:szCs w:val="22"/>
              </w:rPr>
            </w:pPr>
            <w:r>
              <w:rPr>
                <w:rFonts w:eastAsia="Times New Roman" w:cs="Times New Roman"/>
                <w:color w:val="000000"/>
                <w:sz w:val="22"/>
                <w:szCs w:val="22"/>
              </w:rPr>
              <w:t>74</w:t>
            </w:r>
          </w:p>
        </w:tc>
      </w:tr>
      <w:tr w:rsidR="008B6181" w:rsidRPr="00DB049D" w14:paraId="6EB477E1" w14:textId="77777777" w:rsidTr="00744228">
        <w:trPr>
          <w:trHeight w:val="300"/>
        </w:trPr>
        <w:tc>
          <w:tcPr>
            <w:tcW w:w="1300" w:type="dxa"/>
            <w:noWrap/>
            <w:hideMark/>
          </w:tcPr>
          <w:p w14:paraId="1561900C" w14:textId="77777777" w:rsidR="008B6181" w:rsidRPr="00B924D7" w:rsidRDefault="008B6181" w:rsidP="00744228">
            <w:pPr>
              <w:rPr>
                <w:rFonts w:eastAsia="Times New Roman" w:cs="Times New Roman"/>
                <w:color w:val="000000"/>
                <w:sz w:val="22"/>
                <w:szCs w:val="22"/>
              </w:rPr>
            </w:pPr>
            <w:r w:rsidRPr="00B924D7">
              <w:rPr>
                <w:rFonts w:eastAsia="Times New Roman" w:cs="Times New Roman"/>
                <w:color w:val="000000"/>
                <w:sz w:val="22"/>
                <w:szCs w:val="22"/>
              </w:rPr>
              <w:t>DD</w:t>
            </w:r>
          </w:p>
        </w:tc>
        <w:tc>
          <w:tcPr>
            <w:tcW w:w="1300" w:type="dxa"/>
            <w:noWrap/>
          </w:tcPr>
          <w:p w14:paraId="5ADFC738" w14:textId="77777777" w:rsidR="008B6181" w:rsidRPr="00B924D7" w:rsidRDefault="008B6181" w:rsidP="00744228">
            <w:pPr>
              <w:rPr>
                <w:rFonts w:eastAsia="Times New Roman" w:cs="Times New Roman"/>
                <w:color w:val="000000"/>
                <w:sz w:val="22"/>
                <w:szCs w:val="22"/>
              </w:rPr>
            </w:pPr>
            <w:r>
              <w:rPr>
                <w:rFonts w:eastAsia="Times New Roman" w:cs="Times New Roman"/>
                <w:color w:val="000000"/>
                <w:sz w:val="22"/>
                <w:szCs w:val="22"/>
              </w:rPr>
              <w:t>23</w:t>
            </w:r>
          </w:p>
        </w:tc>
        <w:tc>
          <w:tcPr>
            <w:tcW w:w="1300" w:type="dxa"/>
            <w:noWrap/>
          </w:tcPr>
          <w:p w14:paraId="55EA8549" w14:textId="77777777" w:rsidR="008B6181" w:rsidRPr="00B924D7" w:rsidRDefault="008B6181" w:rsidP="00744228">
            <w:pPr>
              <w:rPr>
                <w:rFonts w:eastAsia="Times New Roman" w:cs="Times New Roman"/>
                <w:color w:val="000000"/>
                <w:sz w:val="22"/>
                <w:szCs w:val="22"/>
              </w:rPr>
            </w:pPr>
            <w:r>
              <w:rPr>
                <w:rFonts w:eastAsia="Times New Roman" w:cs="Times New Roman"/>
                <w:color w:val="000000"/>
                <w:sz w:val="22"/>
                <w:szCs w:val="22"/>
              </w:rPr>
              <w:t>5</w:t>
            </w:r>
          </w:p>
        </w:tc>
        <w:tc>
          <w:tcPr>
            <w:tcW w:w="1300" w:type="dxa"/>
            <w:noWrap/>
          </w:tcPr>
          <w:p w14:paraId="21082879" w14:textId="77777777" w:rsidR="008B6181" w:rsidRPr="00B924D7" w:rsidRDefault="008B6181" w:rsidP="00744228">
            <w:pPr>
              <w:rPr>
                <w:rFonts w:eastAsia="Times New Roman" w:cs="Times New Roman"/>
                <w:color w:val="000000"/>
                <w:sz w:val="22"/>
                <w:szCs w:val="22"/>
              </w:rPr>
            </w:pPr>
            <w:r>
              <w:rPr>
                <w:rFonts w:eastAsia="Times New Roman" w:cs="Times New Roman"/>
                <w:color w:val="000000"/>
                <w:sz w:val="22"/>
                <w:szCs w:val="22"/>
              </w:rPr>
              <w:t>10</w:t>
            </w:r>
          </w:p>
        </w:tc>
        <w:tc>
          <w:tcPr>
            <w:tcW w:w="1300" w:type="dxa"/>
            <w:noWrap/>
          </w:tcPr>
          <w:p w14:paraId="51057376" w14:textId="77777777" w:rsidR="008B6181" w:rsidRPr="00B924D7" w:rsidRDefault="008B6181" w:rsidP="00744228">
            <w:pPr>
              <w:rPr>
                <w:rFonts w:eastAsia="Times New Roman" w:cs="Times New Roman"/>
                <w:color w:val="000000"/>
                <w:sz w:val="22"/>
                <w:szCs w:val="22"/>
              </w:rPr>
            </w:pPr>
            <w:r>
              <w:rPr>
                <w:rFonts w:eastAsia="Times New Roman" w:cs="Times New Roman"/>
                <w:color w:val="000000"/>
                <w:sz w:val="22"/>
                <w:szCs w:val="22"/>
              </w:rPr>
              <w:t>1</w:t>
            </w:r>
          </w:p>
        </w:tc>
        <w:tc>
          <w:tcPr>
            <w:tcW w:w="1300" w:type="dxa"/>
            <w:noWrap/>
          </w:tcPr>
          <w:p w14:paraId="592B56F9" w14:textId="77777777" w:rsidR="008B6181" w:rsidRPr="00B924D7" w:rsidRDefault="008B6181" w:rsidP="00744228">
            <w:pPr>
              <w:rPr>
                <w:rFonts w:eastAsia="Times New Roman" w:cs="Times New Roman"/>
                <w:color w:val="000000"/>
                <w:sz w:val="22"/>
                <w:szCs w:val="22"/>
              </w:rPr>
            </w:pPr>
            <w:r>
              <w:rPr>
                <w:rFonts w:eastAsia="Times New Roman" w:cs="Times New Roman"/>
                <w:color w:val="000000"/>
                <w:sz w:val="22"/>
                <w:szCs w:val="22"/>
              </w:rPr>
              <w:t>39</w:t>
            </w:r>
          </w:p>
        </w:tc>
      </w:tr>
      <w:tr w:rsidR="008B6181" w:rsidRPr="00DB049D" w14:paraId="7A753575" w14:textId="77777777" w:rsidTr="00744228">
        <w:trPr>
          <w:trHeight w:val="300"/>
        </w:trPr>
        <w:tc>
          <w:tcPr>
            <w:tcW w:w="1300" w:type="dxa"/>
            <w:noWrap/>
            <w:hideMark/>
          </w:tcPr>
          <w:p w14:paraId="1C67E262" w14:textId="77777777" w:rsidR="008B6181" w:rsidRPr="00B924D7" w:rsidRDefault="008B6181" w:rsidP="00744228">
            <w:pPr>
              <w:rPr>
                <w:rFonts w:eastAsia="Times New Roman" w:cs="Times New Roman"/>
                <w:color w:val="000000"/>
                <w:sz w:val="22"/>
                <w:szCs w:val="22"/>
              </w:rPr>
            </w:pPr>
            <w:r w:rsidRPr="00B924D7">
              <w:rPr>
                <w:rFonts w:eastAsia="Times New Roman" w:cs="Times New Roman"/>
                <w:color w:val="000000"/>
                <w:sz w:val="22"/>
                <w:szCs w:val="22"/>
              </w:rPr>
              <w:t>Con</w:t>
            </w:r>
          </w:p>
        </w:tc>
        <w:tc>
          <w:tcPr>
            <w:tcW w:w="1300" w:type="dxa"/>
            <w:noWrap/>
          </w:tcPr>
          <w:p w14:paraId="586495F4" w14:textId="77777777" w:rsidR="008B6181" w:rsidRPr="00B924D7" w:rsidRDefault="008B6181" w:rsidP="00744228">
            <w:pPr>
              <w:rPr>
                <w:rFonts w:eastAsia="Times New Roman" w:cs="Times New Roman"/>
                <w:color w:val="000000"/>
                <w:sz w:val="22"/>
                <w:szCs w:val="22"/>
              </w:rPr>
            </w:pPr>
            <w:r>
              <w:rPr>
                <w:rFonts w:eastAsia="Times New Roman" w:cs="Times New Roman"/>
                <w:color w:val="000000"/>
                <w:sz w:val="22"/>
                <w:szCs w:val="22"/>
              </w:rPr>
              <w:t>67</w:t>
            </w:r>
          </w:p>
        </w:tc>
        <w:tc>
          <w:tcPr>
            <w:tcW w:w="1300" w:type="dxa"/>
            <w:noWrap/>
          </w:tcPr>
          <w:p w14:paraId="25D98F01" w14:textId="77777777" w:rsidR="008B6181" w:rsidRPr="00B924D7" w:rsidRDefault="008B6181" w:rsidP="00744228">
            <w:pPr>
              <w:rPr>
                <w:rFonts w:eastAsia="Times New Roman" w:cs="Times New Roman"/>
                <w:color w:val="000000"/>
                <w:sz w:val="22"/>
                <w:szCs w:val="22"/>
              </w:rPr>
            </w:pPr>
            <w:r>
              <w:rPr>
                <w:rFonts w:eastAsia="Times New Roman" w:cs="Times New Roman"/>
                <w:color w:val="000000"/>
                <w:sz w:val="22"/>
                <w:szCs w:val="22"/>
              </w:rPr>
              <w:t>7</w:t>
            </w:r>
          </w:p>
        </w:tc>
        <w:tc>
          <w:tcPr>
            <w:tcW w:w="1300" w:type="dxa"/>
            <w:noWrap/>
          </w:tcPr>
          <w:p w14:paraId="264FD947" w14:textId="77777777" w:rsidR="008B6181" w:rsidRPr="00B924D7" w:rsidRDefault="008B6181" w:rsidP="00744228">
            <w:pPr>
              <w:rPr>
                <w:rFonts w:eastAsia="Times New Roman" w:cs="Times New Roman"/>
                <w:color w:val="000000"/>
                <w:sz w:val="22"/>
                <w:szCs w:val="22"/>
              </w:rPr>
            </w:pPr>
            <w:r>
              <w:rPr>
                <w:rFonts w:eastAsia="Times New Roman" w:cs="Times New Roman"/>
                <w:color w:val="000000"/>
                <w:sz w:val="22"/>
                <w:szCs w:val="22"/>
              </w:rPr>
              <w:t>55</w:t>
            </w:r>
          </w:p>
        </w:tc>
        <w:tc>
          <w:tcPr>
            <w:tcW w:w="1300" w:type="dxa"/>
            <w:noWrap/>
          </w:tcPr>
          <w:p w14:paraId="604F504F" w14:textId="77777777" w:rsidR="008B6181" w:rsidRPr="00B924D7" w:rsidRDefault="008B6181" w:rsidP="00744228">
            <w:pPr>
              <w:rPr>
                <w:rFonts w:eastAsia="Times New Roman" w:cs="Times New Roman"/>
                <w:color w:val="000000"/>
                <w:sz w:val="22"/>
                <w:szCs w:val="22"/>
              </w:rPr>
            </w:pPr>
            <w:r>
              <w:rPr>
                <w:rFonts w:eastAsia="Times New Roman" w:cs="Times New Roman"/>
                <w:color w:val="000000"/>
                <w:sz w:val="22"/>
                <w:szCs w:val="22"/>
              </w:rPr>
              <w:t>8</w:t>
            </w:r>
          </w:p>
        </w:tc>
        <w:tc>
          <w:tcPr>
            <w:tcW w:w="1300" w:type="dxa"/>
            <w:noWrap/>
          </w:tcPr>
          <w:p w14:paraId="5DC8C688" w14:textId="77777777" w:rsidR="008B6181" w:rsidRPr="00B924D7" w:rsidRDefault="008B6181" w:rsidP="00744228">
            <w:pPr>
              <w:rPr>
                <w:rFonts w:eastAsia="Times New Roman" w:cs="Times New Roman"/>
                <w:color w:val="000000"/>
                <w:sz w:val="22"/>
                <w:szCs w:val="22"/>
              </w:rPr>
            </w:pPr>
            <w:r>
              <w:rPr>
                <w:rFonts w:eastAsia="Times New Roman" w:cs="Times New Roman"/>
                <w:color w:val="000000"/>
                <w:sz w:val="22"/>
                <w:szCs w:val="22"/>
              </w:rPr>
              <w:t>137</w:t>
            </w:r>
          </w:p>
        </w:tc>
      </w:tr>
      <w:tr w:rsidR="008B6181" w:rsidRPr="00DB049D" w14:paraId="5DC93550" w14:textId="77777777" w:rsidTr="00744228">
        <w:trPr>
          <w:trHeight w:val="300"/>
        </w:trPr>
        <w:tc>
          <w:tcPr>
            <w:tcW w:w="1300" w:type="dxa"/>
            <w:noWrap/>
          </w:tcPr>
          <w:p w14:paraId="7D90B27A" w14:textId="77777777" w:rsidR="008B6181" w:rsidRPr="00B924D7" w:rsidRDefault="008B6181" w:rsidP="00744228">
            <w:pPr>
              <w:rPr>
                <w:rFonts w:eastAsia="Times New Roman" w:cs="Times New Roman"/>
                <w:b/>
                <w:color w:val="000000"/>
                <w:sz w:val="22"/>
                <w:szCs w:val="22"/>
              </w:rPr>
            </w:pPr>
            <w:r>
              <w:rPr>
                <w:rFonts w:eastAsia="Times New Roman" w:cs="Times New Roman"/>
                <w:b/>
                <w:color w:val="000000"/>
                <w:sz w:val="22"/>
                <w:szCs w:val="22"/>
              </w:rPr>
              <w:t>Newcastle</w:t>
            </w:r>
          </w:p>
        </w:tc>
        <w:tc>
          <w:tcPr>
            <w:tcW w:w="1300" w:type="dxa"/>
            <w:noWrap/>
          </w:tcPr>
          <w:p w14:paraId="331BDE98" w14:textId="77777777" w:rsidR="008B6181" w:rsidRPr="00B924D7" w:rsidRDefault="008B6181" w:rsidP="00744228">
            <w:pPr>
              <w:rPr>
                <w:rFonts w:eastAsia="Times New Roman" w:cs="Times New Roman"/>
                <w:b/>
                <w:color w:val="000000"/>
                <w:sz w:val="22"/>
                <w:szCs w:val="22"/>
              </w:rPr>
            </w:pPr>
          </w:p>
        </w:tc>
        <w:tc>
          <w:tcPr>
            <w:tcW w:w="1300" w:type="dxa"/>
            <w:noWrap/>
          </w:tcPr>
          <w:p w14:paraId="4F3732D4" w14:textId="77777777" w:rsidR="008B6181" w:rsidRPr="00B924D7" w:rsidRDefault="008B6181" w:rsidP="00744228">
            <w:pPr>
              <w:rPr>
                <w:rFonts w:eastAsia="Times New Roman" w:cs="Times New Roman"/>
                <w:b/>
                <w:color w:val="000000"/>
                <w:sz w:val="22"/>
                <w:szCs w:val="22"/>
              </w:rPr>
            </w:pPr>
          </w:p>
        </w:tc>
        <w:tc>
          <w:tcPr>
            <w:tcW w:w="1300" w:type="dxa"/>
            <w:noWrap/>
          </w:tcPr>
          <w:p w14:paraId="13A5BF0B" w14:textId="77777777" w:rsidR="008B6181" w:rsidRPr="00B924D7" w:rsidRDefault="008B6181" w:rsidP="00744228">
            <w:pPr>
              <w:rPr>
                <w:rFonts w:eastAsia="Times New Roman" w:cs="Times New Roman"/>
                <w:b/>
                <w:color w:val="000000"/>
                <w:sz w:val="22"/>
                <w:szCs w:val="22"/>
              </w:rPr>
            </w:pPr>
          </w:p>
        </w:tc>
        <w:tc>
          <w:tcPr>
            <w:tcW w:w="1300" w:type="dxa"/>
            <w:noWrap/>
          </w:tcPr>
          <w:p w14:paraId="589EBC2C" w14:textId="77777777" w:rsidR="008B6181" w:rsidRPr="00B924D7" w:rsidRDefault="008B6181" w:rsidP="00744228">
            <w:pPr>
              <w:rPr>
                <w:rFonts w:eastAsia="Times New Roman" w:cs="Times New Roman"/>
                <w:b/>
                <w:color w:val="000000"/>
                <w:sz w:val="22"/>
                <w:szCs w:val="22"/>
              </w:rPr>
            </w:pPr>
          </w:p>
        </w:tc>
        <w:tc>
          <w:tcPr>
            <w:tcW w:w="1300" w:type="dxa"/>
            <w:noWrap/>
          </w:tcPr>
          <w:p w14:paraId="5CA5C025" w14:textId="77777777" w:rsidR="008B6181" w:rsidRPr="00B924D7" w:rsidRDefault="008B6181" w:rsidP="00744228">
            <w:pPr>
              <w:rPr>
                <w:rFonts w:eastAsia="Times New Roman" w:cs="Times New Roman"/>
                <w:b/>
                <w:color w:val="000000"/>
                <w:sz w:val="22"/>
                <w:szCs w:val="22"/>
              </w:rPr>
            </w:pPr>
          </w:p>
        </w:tc>
      </w:tr>
      <w:tr w:rsidR="008B6181" w:rsidRPr="00DB049D" w14:paraId="090C01DC" w14:textId="77777777" w:rsidTr="00744228">
        <w:trPr>
          <w:trHeight w:val="300"/>
        </w:trPr>
        <w:tc>
          <w:tcPr>
            <w:tcW w:w="1300" w:type="dxa"/>
            <w:noWrap/>
          </w:tcPr>
          <w:p w14:paraId="0B0F3128" w14:textId="77777777" w:rsidR="008B6181" w:rsidRPr="00B924D7" w:rsidRDefault="008B6181" w:rsidP="00744228">
            <w:pPr>
              <w:rPr>
                <w:rFonts w:eastAsia="Times New Roman" w:cs="Times New Roman"/>
                <w:b/>
                <w:bCs/>
                <w:color w:val="000000"/>
                <w:sz w:val="22"/>
                <w:szCs w:val="22"/>
              </w:rPr>
            </w:pPr>
            <w:r w:rsidRPr="00B924D7">
              <w:rPr>
                <w:rFonts w:eastAsia="Times New Roman" w:cs="Times New Roman"/>
                <w:b/>
                <w:bCs/>
                <w:color w:val="000000"/>
                <w:sz w:val="22"/>
                <w:szCs w:val="22"/>
              </w:rPr>
              <w:t>186</w:t>
            </w:r>
            <w:r>
              <w:rPr>
                <w:rFonts w:eastAsia="Times New Roman" w:cs="Times New Roman"/>
                <w:b/>
                <w:bCs/>
                <w:color w:val="000000"/>
                <w:sz w:val="22"/>
                <w:szCs w:val="22"/>
              </w:rPr>
              <w:t>3</w:t>
            </w:r>
          </w:p>
        </w:tc>
        <w:tc>
          <w:tcPr>
            <w:tcW w:w="1300" w:type="dxa"/>
            <w:noWrap/>
          </w:tcPr>
          <w:p w14:paraId="60DD7F01" w14:textId="77777777" w:rsidR="008B6181" w:rsidRPr="00B924D7" w:rsidRDefault="008B6181" w:rsidP="00744228">
            <w:pPr>
              <w:rPr>
                <w:rFonts w:eastAsia="Times New Roman" w:cs="Times New Roman"/>
                <w:b/>
                <w:bCs/>
                <w:color w:val="000000"/>
                <w:sz w:val="22"/>
                <w:szCs w:val="22"/>
              </w:rPr>
            </w:pPr>
            <w:r>
              <w:rPr>
                <w:rFonts w:eastAsia="Times New Roman" w:cs="Times New Roman"/>
                <w:b/>
                <w:bCs/>
                <w:color w:val="000000"/>
                <w:sz w:val="22"/>
                <w:szCs w:val="22"/>
              </w:rPr>
              <w:t>1147</w:t>
            </w:r>
          </w:p>
        </w:tc>
        <w:tc>
          <w:tcPr>
            <w:tcW w:w="1300" w:type="dxa"/>
            <w:noWrap/>
          </w:tcPr>
          <w:p w14:paraId="2C5E4166" w14:textId="77777777" w:rsidR="008B6181" w:rsidRPr="00B924D7" w:rsidRDefault="008B6181" w:rsidP="00744228">
            <w:pPr>
              <w:rPr>
                <w:rFonts w:eastAsia="Times New Roman" w:cs="Times New Roman"/>
                <w:b/>
                <w:bCs/>
                <w:color w:val="000000"/>
                <w:sz w:val="22"/>
                <w:szCs w:val="22"/>
              </w:rPr>
            </w:pPr>
            <w:r>
              <w:rPr>
                <w:rFonts w:eastAsia="Times New Roman" w:cs="Times New Roman"/>
                <w:b/>
                <w:bCs/>
                <w:color w:val="000000"/>
                <w:sz w:val="22"/>
                <w:szCs w:val="22"/>
              </w:rPr>
              <w:t>109</w:t>
            </w:r>
          </w:p>
        </w:tc>
        <w:tc>
          <w:tcPr>
            <w:tcW w:w="1300" w:type="dxa"/>
            <w:noWrap/>
          </w:tcPr>
          <w:p w14:paraId="36FFBF72" w14:textId="77777777" w:rsidR="008B6181" w:rsidRPr="00B924D7" w:rsidRDefault="008B6181" w:rsidP="00744228">
            <w:pPr>
              <w:rPr>
                <w:rFonts w:eastAsia="Times New Roman" w:cs="Times New Roman"/>
                <w:b/>
                <w:bCs/>
                <w:color w:val="000000"/>
                <w:sz w:val="22"/>
                <w:szCs w:val="22"/>
              </w:rPr>
            </w:pPr>
            <w:r>
              <w:rPr>
                <w:rFonts w:eastAsia="Times New Roman" w:cs="Times New Roman"/>
                <w:b/>
                <w:bCs/>
                <w:color w:val="000000"/>
                <w:sz w:val="22"/>
                <w:szCs w:val="22"/>
              </w:rPr>
              <w:t>477</w:t>
            </w:r>
          </w:p>
        </w:tc>
        <w:tc>
          <w:tcPr>
            <w:tcW w:w="1300" w:type="dxa"/>
            <w:noWrap/>
          </w:tcPr>
          <w:p w14:paraId="0C6046A5" w14:textId="77777777" w:rsidR="008B6181" w:rsidRPr="00B924D7" w:rsidRDefault="008B6181" w:rsidP="00744228">
            <w:pPr>
              <w:rPr>
                <w:rFonts w:eastAsia="Times New Roman" w:cs="Times New Roman"/>
                <w:b/>
                <w:bCs/>
                <w:color w:val="000000"/>
                <w:sz w:val="22"/>
                <w:szCs w:val="22"/>
              </w:rPr>
            </w:pPr>
            <w:r>
              <w:rPr>
                <w:rFonts w:eastAsia="Times New Roman" w:cs="Times New Roman"/>
                <w:b/>
                <w:bCs/>
                <w:color w:val="000000"/>
                <w:sz w:val="22"/>
                <w:szCs w:val="22"/>
              </w:rPr>
              <w:t>415</w:t>
            </w:r>
          </w:p>
        </w:tc>
        <w:tc>
          <w:tcPr>
            <w:tcW w:w="1300" w:type="dxa"/>
            <w:noWrap/>
          </w:tcPr>
          <w:p w14:paraId="6482CD54" w14:textId="77777777" w:rsidR="008B6181" w:rsidRPr="00B924D7" w:rsidRDefault="008B6181" w:rsidP="00744228">
            <w:pPr>
              <w:rPr>
                <w:rFonts w:eastAsia="Times New Roman" w:cs="Times New Roman"/>
                <w:b/>
                <w:color w:val="000000"/>
                <w:sz w:val="22"/>
                <w:szCs w:val="22"/>
              </w:rPr>
            </w:pPr>
            <w:r>
              <w:rPr>
                <w:rFonts w:eastAsia="Times New Roman" w:cs="Times New Roman"/>
                <w:b/>
                <w:color w:val="000000"/>
                <w:sz w:val="22"/>
                <w:szCs w:val="22"/>
              </w:rPr>
              <w:t>2148</w:t>
            </w:r>
          </w:p>
        </w:tc>
      </w:tr>
      <w:tr w:rsidR="008B6181" w:rsidRPr="00DB049D" w14:paraId="5F4FA9EA" w14:textId="77777777" w:rsidTr="00744228">
        <w:trPr>
          <w:trHeight w:val="300"/>
        </w:trPr>
        <w:tc>
          <w:tcPr>
            <w:tcW w:w="1300" w:type="dxa"/>
            <w:noWrap/>
          </w:tcPr>
          <w:p w14:paraId="2CB00F71" w14:textId="77777777" w:rsidR="008B6181" w:rsidRPr="00B924D7" w:rsidRDefault="008B6181" w:rsidP="00744228">
            <w:pPr>
              <w:rPr>
                <w:rFonts w:eastAsia="Times New Roman" w:cs="Times New Roman"/>
                <w:b/>
                <w:bCs/>
                <w:color w:val="000000"/>
                <w:sz w:val="22"/>
                <w:szCs w:val="22"/>
              </w:rPr>
            </w:pPr>
            <w:r w:rsidRPr="00635F81">
              <w:rPr>
                <w:rFonts w:eastAsia="Times New Roman" w:cs="Times New Roman"/>
                <w:bCs/>
                <w:color w:val="000000"/>
                <w:sz w:val="22"/>
                <w:szCs w:val="22"/>
              </w:rPr>
              <w:t>A</w:t>
            </w:r>
            <w:r w:rsidRPr="00B924D7">
              <w:rPr>
                <w:rFonts w:eastAsia="Times New Roman" w:cs="Times New Roman"/>
                <w:bCs/>
                <w:color w:val="000000"/>
                <w:sz w:val="22"/>
                <w:szCs w:val="22"/>
              </w:rPr>
              <w:t>verage Maximum Balance</w:t>
            </w:r>
          </w:p>
        </w:tc>
        <w:tc>
          <w:tcPr>
            <w:tcW w:w="1300" w:type="dxa"/>
            <w:noWrap/>
          </w:tcPr>
          <w:p w14:paraId="794D3691" w14:textId="77777777" w:rsidR="008B6181" w:rsidRDefault="008B6181" w:rsidP="00744228">
            <w:pPr>
              <w:rPr>
                <w:rFonts w:eastAsia="Times New Roman" w:cs="Times New Roman"/>
                <w:bCs/>
                <w:color w:val="000000"/>
                <w:sz w:val="22"/>
                <w:szCs w:val="22"/>
              </w:rPr>
            </w:pPr>
          </w:p>
          <w:p w14:paraId="223354AF" w14:textId="77777777" w:rsidR="008B6181" w:rsidRPr="00B924D7" w:rsidRDefault="008B6181" w:rsidP="00744228">
            <w:pPr>
              <w:rPr>
                <w:rFonts w:eastAsia="Times New Roman" w:cs="Times New Roman"/>
                <w:bCs/>
                <w:color w:val="000000"/>
                <w:sz w:val="22"/>
                <w:szCs w:val="22"/>
              </w:rPr>
            </w:pPr>
            <w:r>
              <w:rPr>
                <w:rFonts w:eastAsia="Times New Roman" w:cs="Times New Roman"/>
                <w:bCs/>
                <w:color w:val="000000"/>
                <w:sz w:val="22"/>
                <w:szCs w:val="22"/>
              </w:rPr>
              <w:t>£30 19s 1d</w:t>
            </w:r>
          </w:p>
        </w:tc>
        <w:tc>
          <w:tcPr>
            <w:tcW w:w="1300" w:type="dxa"/>
            <w:noWrap/>
          </w:tcPr>
          <w:p w14:paraId="264488BB" w14:textId="77777777" w:rsidR="008B6181" w:rsidRDefault="008B6181" w:rsidP="00744228">
            <w:pPr>
              <w:rPr>
                <w:rFonts w:eastAsia="Times New Roman" w:cs="Times New Roman"/>
                <w:bCs/>
                <w:color w:val="000000"/>
                <w:sz w:val="22"/>
                <w:szCs w:val="22"/>
              </w:rPr>
            </w:pPr>
          </w:p>
          <w:p w14:paraId="2E3E2887" w14:textId="77777777" w:rsidR="008B6181" w:rsidRPr="00B924D7" w:rsidRDefault="008B6181" w:rsidP="00744228">
            <w:pPr>
              <w:rPr>
                <w:rFonts w:eastAsia="Times New Roman" w:cs="Times New Roman"/>
                <w:bCs/>
                <w:color w:val="000000"/>
                <w:sz w:val="22"/>
                <w:szCs w:val="22"/>
              </w:rPr>
            </w:pPr>
            <w:r>
              <w:rPr>
                <w:rFonts w:eastAsia="Times New Roman" w:cs="Times New Roman"/>
                <w:bCs/>
                <w:color w:val="000000"/>
                <w:sz w:val="22"/>
                <w:szCs w:val="22"/>
              </w:rPr>
              <w:t>£31 16s 3d</w:t>
            </w:r>
          </w:p>
        </w:tc>
        <w:tc>
          <w:tcPr>
            <w:tcW w:w="1300" w:type="dxa"/>
            <w:noWrap/>
          </w:tcPr>
          <w:p w14:paraId="21A59E88" w14:textId="77777777" w:rsidR="008B6181" w:rsidRDefault="008B6181" w:rsidP="00744228">
            <w:pPr>
              <w:rPr>
                <w:rFonts w:eastAsia="Times New Roman" w:cs="Times New Roman"/>
                <w:bCs/>
                <w:color w:val="000000"/>
                <w:sz w:val="22"/>
                <w:szCs w:val="22"/>
              </w:rPr>
            </w:pPr>
          </w:p>
          <w:p w14:paraId="69BF98ED" w14:textId="77777777" w:rsidR="008B6181" w:rsidRPr="00B924D7" w:rsidRDefault="008B6181" w:rsidP="00744228">
            <w:pPr>
              <w:rPr>
                <w:rFonts w:eastAsia="Times New Roman" w:cs="Times New Roman"/>
                <w:bCs/>
                <w:color w:val="000000"/>
                <w:sz w:val="22"/>
                <w:szCs w:val="22"/>
              </w:rPr>
            </w:pPr>
            <w:r>
              <w:rPr>
                <w:rFonts w:eastAsia="Times New Roman" w:cs="Times New Roman"/>
                <w:bCs/>
                <w:color w:val="000000"/>
                <w:sz w:val="22"/>
                <w:szCs w:val="22"/>
              </w:rPr>
              <w:t>£33 11s 6d</w:t>
            </w:r>
          </w:p>
        </w:tc>
        <w:tc>
          <w:tcPr>
            <w:tcW w:w="1300" w:type="dxa"/>
            <w:noWrap/>
          </w:tcPr>
          <w:p w14:paraId="765AADE9" w14:textId="77777777" w:rsidR="008B6181" w:rsidRDefault="008B6181" w:rsidP="00744228">
            <w:pPr>
              <w:rPr>
                <w:rFonts w:eastAsia="Times New Roman" w:cs="Times New Roman"/>
                <w:bCs/>
                <w:color w:val="000000"/>
                <w:sz w:val="22"/>
                <w:szCs w:val="22"/>
              </w:rPr>
            </w:pPr>
          </w:p>
          <w:p w14:paraId="0FCEC07A" w14:textId="77777777" w:rsidR="008B6181" w:rsidRPr="00B924D7" w:rsidRDefault="008B6181" w:rsidP="00744228">
            <w:pPr>
              <w:rPr>
                <w:rFonts w:eastAsia="Times New Roman" w:cs="Times New Roman"/>
                <w:bCs/>
                <w:color w:val="000000"/>
                <w:sz w:val="22"/>
                <w:szCs w:val="22"/>
              </w:rPr>
            </w:pPr>
            <w:r>
              <w:rPr>
                <w:rFonts w:eastAsia="Times New Roman" w:cs="Times New Roman"/>
                <w:bCs/>
                <w:color w:val="000000"/>
                <w:sz w:val="22"/>
                <w:szCs w:val="22"/>
              </w:rPr>
              <w:t>£21 1s 9d</w:t>
            </w:r>
          </w:p>
        </w:tc>
        <w:tc>
          <w:tcPr>
            <w:tcW w:w="1300" w:type="dxa"/>
            <w:noWrap/>
          </w:tcPr>
          <w:p w14:paraId="09BAD37A" w14:textId="77777777" w:rsidR="008B6181" w:rsidRPr="00B924D7" w:rsidRDefault="008B6181" w:rsidP="00744228">
            <w:pPr>
              <w:rPr>
                <w:rFonts w:eastAsia="Times New Roman" w:cs="Times New Roman"/>
                <w:color w:val="000000"/>
                <w:sz w:val="22"/>
                <w:szCs w:val="22"/>
              </w:rPr>
            </w:pPr>
          </w:p>
        </w:tc>
      </w:tr>
      <w:tr w:rsidR="008B6181" w:rsidRPr="00DB049D" w14:paraId="2B86A7D6" w14:textId="77777777" w:rsidTr="00744228">
        <w:trPr>
          <w:trHeight w:val="300"/>
        </w:trPr>
        <w:tc>
          <w:tcPr>
            <w:tcW w:w="1300" w:type="dxa"/>
            <w:noWrap/>
            <w:hideMark/>
          </w:tcPr>
          <w:p w14:paraId="0E365180" w14:textId="77777777" w:rsidR="008B6181" w:rsidRPr="00B924D7" w:rsidRDefault="008B6181" w:rsidP="00744228">
            <w:pPr>
              <w:rPr>
                <w:rFonts w:eastAsia="Times New Roman" w:cs="Times New Roman"/>
                <w:color w:val="000000"/>
                <w:sz w:val="22"/>
                <w:szCs w:val="22"/>
              </w:rPr>
            </w:pPr>
            <w:r w:rsidRPr="00B924D7">
              <w:rPr>
                <w:rFonts w:eastAsia="Times New Roman" w:cs="Times New Roman"/>
                <w:color w:val="000000"/>
                <w:sz w:val="22"/>
                <w:szCs w:val="22"/>
              </w:rPr>
              <w:t>I/O</w:t>
            </w:r>
          </w:p>
        </w:tc>
        <w:tc>
          <w:tcPr>
            <w:tcW w:w="1300" w:type="dxa"/>
            <w:noWrap/>
          </w:tcPr>
          <w:p w14:paraId="54E146A8" w14:textId="77777777" w:rsidR="008B6181" w:rsidRPr="00B924D7" w:rsidRDefault="008B6181" w:rsidP="00744228">
            <w:pPr>
              <w:rPr>
                <w:rFonts w:eastAsia="Times New Roman" w:cs="Times New Roman"/>
                <w:color w:val="000000"/>
                <w:sz w:val="22"/>
                <w:szCs w:val="22"/>
              </w:rPr>
            </w:pPr>
            <w:r>
              <w:rPr>
                <w:rFonts w:eastAsia="Times New Roman" w:cs="Times New Roman"/>
                <w:color w:val="000000"/>
                <w:sz w:val="22"/>
                <w:szCs w:val="22"/>
              </w:rPr>
              <w:t>153</w:t>
            </w:r>
          </w:p>
        </w:tc>
        <w:tc>
          <w:tcPr>
            <w:tcW w:w="1300" w:type="dxa"/>
            <w:noWrap/>
          </w:tcPr>
          <w:p w14:paraId="61608CD8" w14:textId="77777777" w:rsidR="008B6181" w:rsidRPr="00B924D7" w:rsidRDefault="008B6181" w:rsidP="00744228">
            <w:pPr>
              <w:rPr>
                <w:rFonts w:eastAsia="Times New Roman" w:cs="Times New Roman"/>
                <w:color w:val="000000"/>
                <w:sz w:val="22"/>
                <w:szCs w:val="22"/>
              </w:rPr>
            </w:pPr>
            <w:r>
              <w:rPr>
                <w:rFonts w:eastAsia="Times New Roman" w:cs="Times New Roman"/>
                <w:color w:val="000000"/>
                <w:sz w:val="22"/>
                <w:szCs w:val="22"/>
              </w:rPr>
              <w:t>20</w:t>
            </w:r>
          </w:p>
        </w:tc>
        <w:tc>
          <w:tcPr>
            <w:tcW w:w="1300" w:type="dxa"/>
            <w:noWrap/>
          </w:tcPr>
          <w:p w14:paraId="5008374C" w14:textId="77777777" w:rsidR="008B6181" w:rsidRPr="00B924D7" w:rsidRDefault="008B6181" w:rsidP="00744228">
            <w:pPr>
              <w:rPr>
                <w:rFonts w:eastAsia="Times New Roman" w:cs="Times New Roman"/>
                <w:color w:val="000000"/>
                <w:sz w:val="22"/>
                <w:szCs w:val="22"/>
              </w:rPr>
            </w:pPr>
            <w:r>
              <w:rPr>
                <w:rFonts w:eastAsia="Times New Roman" w:cs="Times New Roman"/>
                <w:color w:val="000000"/>
                <w:sz w:val="22"/>
                <w:szCs w:val="22"/>
              </w:rPr>
              <w:t>59</w:t>
            </w:r>
          </w:p>
        </w:tc>
        <w:tc>
          <w:tcPr>
            <w:tcW w:w="1300" w:type="dxa"/>
            <w:noWrap/>
          </w:tcPr>
          <w:p w14:paraId="663E4FF9" w14:textId="77777777" w:rsidR="008B6181" w:rsidRPr="00B924D7" w:rsidRDefault="008B6181" w:rsidP="00744228">
            <w:pPr>
              <w:rPr>
                <w:rFonts w:eastAsia="Times New Roman" w:cs="Times New Roman"/>
                <w:color w:val="000000"/>
                <w:sz w:val="22"/>
                <w:szCs w:val="22"/>
              </w:rPr>
            </w:pPr>
            <w:r>
              <w:rPr>
                <w:rFonts w:eastAsia="Times New Roman" w:cs="Times New Roman"/>
                <w:color w:val="000000"/>
                <w:sz w:val="22"/>
                <w:szCs w:val="22"/>
              </w:rPr>
              <w:t>65</w:t>
            </w:r>
          </w:p>
        </w:tc>
        <w:tc>
          <w:tcPr>
            <w:tcW w:w="1300" w:type="dxa"/>
            <w:noWrap/>
          </w:tcPr>
          <w:p w14:paraId="7F8EFCD6" w14:textId="77777777" w:rsidR="008B6181" w:rsidRPr="00B924D7" w:rsidRDefault="008B6181" w:rsidP="00744228">
            <w:pPr>
              <w:rPr>
                <w:rFonts w:eastAsia="Times New Roman" w:cs="Times New Roman"/>
                <w:color w:val="000000"/>
                <w:sz w:val="22"/>
                <w:szCs w:val="22"/>
              </w:rPr>
            </w:pPr>
            <w:r>
              <w:rPr>
                <w:rFonts w:eastAsia="Times New Roman" w:cs="Times New Roman"/>
                <w:color w:val="000000"/>
                <w:sz w:val="22"/>
                <w:szCs w:val="22"/>
              </w:rPr>
              <w:t>297</w:t>
            </w:r>
          </w:p>
        </w:tc>
      </w:tr>
      <w:tr w:rsidR="008B6181" w:rsidRPr="00DB049D" w14:paraId="6455328E" w14:textId="77777777" w:rsidTr="00744228">
        <w:trPr>
          <w:trHeight w:val="300"/>
        </w:trPr>
        <w:tc>
          <w:tcPr>
            <w:tcW w:w="1300" w:type="dxa"/>
            <w:noWrap/>
            <w:hideMark/>
          </w:tcPr>
          <w:p w14:paraId="67E18D96" w14:textId="77777777" w:rsidR="008B6181" w:rsidRPr="00B924D7" w:rsidRDefault="008B6181" w:rsidP="00744228">
            <w:pPr>
              <w:rPr>
                <w:rFonts w:eastAsia="Times New Roman" w:cs="Times New Roman"/>
                <w:color w:val="000000"/>
                <w:sz w:val="22"/>
                <w:szCs w:val="22"/>
              </w:rPr>
            </w:pPr>
            <w:r w:rsidRPr="00B924D7">
              <w:rPr>
                <w:rFonts w:eastAsia="Times New Roman" w:cs="Times New Roman"/>
                <w:color w:val="000000"/>
                <w:sz w:val="22"/>
                <w:szCs w:val="22"/>
              </w:rPr>
              <w:t>Acc</w:t>
            </w:r>
          </w:p>
        </w:tc>
        <w:tc>
          <w:tcPr>
            <w:tcW w:w="1300" w:type="dxa"/>
            <w:noWrap/>
          </w:tcPr>
          <w:p w14:paraId="5301B352" w14:textId="77777777" w:rsidR="008B6181" w:rsidRPr="00B924D7" w:rsidRDefault="008B6181" w:rsidP="00744228">
            <w:pPr>
              <w:rPr>
                <w:rFonts w:eastAsia="Times New Roman" w:cs="Times New Roman"/>
                <w:color w:val="000000"/>
                <w:sz w:val="22"/>
                <w:szCs w:val="22"/>
              </w:rPr>
            </w:pPr>
            <w:r>
              <w:rPr>
                <w:rFonts w:eastAsia="Times New Roman" w:cs="Times New Roman"/>
                <w:color w:val="000000"/>
                <w:sz w:val="22"/>
                <w:szCs w:val="22"/>
              </w:rPr>
              <w:t>176</w:t>
            </w:r>
          </w:p>
        </w:tc>
        <w:tc>
          <w:tcPr>
            <w:tcW w:w="1300" w:type="dxa"/>
            <w:noWrap/>
          </w:tcPr>
          <w:p w14:paraId="034925FD" w14:textId="77777777" w:rsidR="008B6181" w:rsidRPr="00B924D7" w:rsidRDefault="008B6181" w:rsidP="00744228">
            <w:pPr>
              <w:rPr>
                <w:rFonts w:eastAsia="Times New Roman" w:cs="Times New Roman"/>
                <w:color w:val="000000"/>
                <w:sz w:val="22"/>
                <w:szCs w:val="22"/>
              </w:rPr>
            </w:pPr>
            <w:r>
              <w:rPr>
                <w:rFonts w:eastAsia="Times New Roman" w:cs="Times New Roman"/>
                <w:color w:val="000000"/>
                <w:sz w:val="22"/>
                <w:szCs w:val="22"/>
              </w:rPr>
              <w:t>8</w:t>
            </w:r>
          </w:p>
        </w:tc>
        <w:tc>
          <w:tcPr>
            <w:tcW w:w="1300" w:type="dxa"/>
            <w:noWrap/>
          </w:tcPr>
          <w:p w14:paraId="2842FC2E" w14:textId="77777777" w:rsidR="008B6181" w:rsidRPr="00B924D7" w:rsidRDefault="008B6181" w:rsidP="00744228">
            <w:pPr>
              <w:rPr>
                <w:rFonts w:eastAsia="Times New Roman" w:cs="Times New Roman"/>
                <w:color w:val="000000"/>
                <w:sz w:val="22"/>
                <w:szCs w:val="22"/>
              </w:rPr>
            </w:pPr>
            <w:r>
              <w:rPr>
                <w:rFonts w:eastAsia="Times New Roman" w:cs="Times New Roman"/>
                <w:color w:val="000000"/>
                <w:sz w:val="22"/>
                <w:szCs w:val="22"/>
              </w:rPr>
              <w:t>72</w:t>
            </w:r>
          </w:p>
        </w:tc>
        <w:tc>
          <w:tcPr>
            <w:tcW w:w="1300" w:type="dxa"/>
            <w:noWrap/>
          </w:tcPr>
          <w:p w14:paraId="2CD13D11" w14:textId="77777777" w:rsidR="008B6181" w:rsidRPr="00B924D7" w:rsidRDefault="008B6181" w:rsidP="00744228">
            <w:pPr>
              <w:rPr>
                <w:rFonts w:eastAsia="Times New Roman" w:cs="Times New Roman"/>
                <w:color w:val="000000"/>
                <w:sz w:val="22"/>
                <w:szCs w:val="22"/>
              </w:rPr>
            </w:pPr>
            <w:r>
              <w:rPr>
                <w:rFonts w:eastAsia="Times New Roman" w:cs="Times New Roman"/>
                <w:color w:val="000000"/>
                <w:sz w:val="22"/>
                <w:szCs w:val="22"/>
              </w:rPr>
              <w:t>101</w:t>
            </w:r>
          </w:p>
        </w:tc>
        <w:tc>
          <w:tcPr>
            <w:tcW w:w="1300" w:type="dxa"/>
            <w:noWrap/>
          </w:tcPr>
          <w:p w14:paraId="7220832C" w14:textId="77777777" w:rsidR="008B6181" w:rsidRPr="00B924D7" w:rsidRDefault="008B6181" w:rsidP="00744228">
            <w:pPr>
              <w:rPr>
                <w:rFonts w:eastAsia="Times New Roman" w:cs="Times New Roman"/>
                <w:color w:val="000000"/>
                <w:sz w:val="22"/>
                <w:szCs w:val="22"/>
              </w:rPr>
            </w:pPr>
            <w:r>
              <w:rPr>
                <w:rFonts w:eastAsia="Times New Roman" w:cs="Times New Roman"/>
                <w:color w:val="000000"/>
                <w:sz w:val="22"/>
                <w:szCs w:val="22"/>
              </w:rPr>
              <w:t>357</w:t>
            </w:r>
          </w:p>
        </w:tc>
      </w:tr>
      <w:tr w:rsidR="008B6181" w:rsidRPr="00DB049D" w14:paraId="584121C1" w14:textId="77777777" w:rsidTr="00744228">
        <w:trPr>
          <w:trHeight w:val="300"/>
        </w:trPr>
        <w:tc>
          <w:tcPr>
            <w:tcW w:w="1300" w:type="dxa"/>
            <w:noWrap/>
            <w:hideMark/>
          </w:tcPr>
          <w:p w14:paraId="3381704A" w14:textId="77777777" w:rsidR="008B6181" w:rsidRPr="00B924D7" w:rsidRDefault="008B6181" w:rsidP="00744228">
            <w:pPr>
              <w:rPr>
                <w:rFonts w:eastAsia="Times New Roman" w:cs="Times New Roman"/>
                <w:color w:val="000000"/>
                <w:sz w:val="22"/>
                <w:szCs w:val="22"/>
              </w:rPr>
            </w:pPr>
            <w:r w:rsidRPr="00B924D7">
              <w:rPr>
                <w:rFonts w:eastAsia="Times New Roman" w:cs="Times New Roman"/>
                <w:color w:val="000000"/>
                <w:sz w:val="22"/>
                <w:szCs w:val="22"/>
              </w:rPr>
              <w:t>DD</w:t>
            </w:r>
          </w:p>
        </w:tc>
        <w:tc>
          <w:tcPr>
            <w:tcW w:w="1300" w:type="dxa"/>
            <w:noWrap/>
          </w:tcPr>
          <w:p w14:paraId="07BDA6A5" w14:textId="77777777" w:rsidR="008B6181" w:rsidRPr="00B924D7" w:rsidRDefault="008B6181" w:rsidP="00744228">
            <w:pPr>
              <w:rPr>
                <w:rFonts w:eastAsia="Times New Roman" w:cs="Times New Roman"/>
                <w:color w:val="000000"/>
                <w:sz w:val="22"/>
                <w:szCs w:val="22"/>
              </w:rPr>
            </w:pPr>
            <w:r>
              <w:rPr>
                <w:rFonts w:eastAsia="Times New Roman" w:cs="Times New Roman"/>
                <w:color w:val="000000"/>
                <w:sz w:val="22"/>
                <w:szCs w:val="22"/>
              </w:rPr>
              <w:t>116</w:t>
            </w:r>
          </w:p>
        </w:tc>
        <w:tc>
          <w:tcPr>
            <w:tcW w:w="1300" w:type="dxa"/>
            <w:noWrap/>
          </w:tcPr>
          <w:p w14:paraId="11AEC0AA" w14:textId="77777777" w:rsidR="008B6181" w:rsidRPr="00B924D7" w:rsidRDefault="008B6181" w:rsidP="00744228">
            <w:pPr>
              <w:rPr>
                <w:rFonts w:eastAsia="Times New Roman" w:cs="Times New Roman"/>
                <w:color w:val="000000"/>
                <w:sz w:val="22"/>
                <w:szCs w:val="22"/>
              </w:rPr>
            </w:pPr>
            <w:r>
              <w:rPr>
                <w:rFonts w:eastAsia="Times New Roman" w:cs="Times New Roman"/>
                <w:color w:val="000000"/>
                <w:sz w:val="22"/>
                <w:szCs w:val="22"/>
              </w:rPr>
              <w:t>26</w:t>
            </w:r>
          </w:p>
        </w:tc>
        <w:tc>
          <w:tcPr>
            <w:tcW w:w="1300" w:type="dxa"/>
            <w:noWrap/>
          </w:tcPr>
          <w:p w14:paraId="7822007D" w14:textId="77777777" w:rsidR="008B6181" w:rsidRPr="00B924D7" w:rsidRDefault="008B6181" w:rsidP="00744228">
            <w:pPr>
              <w:rPr>
                <w:rFonts w:eastAsia="Times New Roman" w:cs="Times New Roman"/>
                <w:color w:val="000000"/>
                <w:sz w:val="22"/>
                <w:szCs w:val="22"/>
              </w:rPr>
            </w:pPr>
            <w:r>
              <w:rPr>
                <w:rFonts w:eastAsia="Times New Roman" w:cs="Times New Roman"/>
                <w:color w:val="000000"/>
                <w:sz w:val="22"/>
                <w:szCs w:val="22"/>
              </w:rPr>
              <w:t>83</w:t>
            </w:r>
          </w:p>
        </w:tc>
        <w:tc>
          <w:tcPr>
            <w:tcW w:w="1300" w:type="dxa"/>
            <w:noWrap/>
          </w:tcPr>
          <w:p w14:paraId="4B79A73B" w14:textId="77777777" w:rsidR="008B6181" w:rsidRPr="00B924D7" w:rsidRDefault="008B6181" w:rsidP="00744228">
            <w:pPr>
              <w:rPr>
                <w:rFonts w:eastAsia="Times New Roman" w:cs="Times New Roman"/>
                <w:color w:val="000000"/>
                <w:sz w:val="22"/>
                <w:szCs w:val="22"/>
              </w:rPr>
            </w:pPr>
            <w:r>
              <w:rPr>
                <w:rFonts w:eastAsia="Times New Roman" w:cs="Times New Roman"/>
                <w:color w:val="000000"/>
                <w:sz w:val="22"/>
                <w:szCs w:val="22"/>
              </w:rPr>
              <w:t>43</w:t>
            </w:r>
          </w:p>
        </w:tc>
        <w:tc>
          <w:tcPr>
            <w:tcW w:w="1300" w:type="dxa"/>
            <w:noWrap/>
          </w:tcPr>
          <w:p w14:paraId="15116AF6" w14:textId="77777777" w:rsidR="008B6181" w:rsidRPr="00B924D7" w:rsidRDefault="008B6181" w:rsidP="00744228">
            <w:pPr>
              <w:rPr>
                <w:rFonts w:eastAsia="Times New Roman" w:cs="Times New Roman"/>
                <w:color w:val="000000"/>
                <w:sz w:val="22"/>
                <w:szCs w:val="22"/>
              </w:rPr>
            </w:pPr>
            <w:r>
              <w:rPr>
                <w:rFonts w:eastAsia="Times New Roman" w:cs="Times New Roman"/>
                <w:color w:val="000000"/>
                <w:sz w:val="22"/>
                <w:szCs w:val="22"/>
              </w:rPr>
              <w:t>268</w:t>
            </w:r>
          </w:p>
        </w:tc>
      </w:tr>
      <w:tr w:rsidR="008B6181" w:rsidRPr="00DB049D" w14:paraId="0946CCD3" w14:textId="77777777" w:rsidTr="00744228">
        <w:trPr>
          <w:trHeight w:val="300"/>
        </w:trPr>
        <w:tc>
          <w:tcPr>
            <w:tcW w:w="1300" w:type="dxa"/>
            <w:noWrap/>
            <w:hideMark/>
          </w:tcPr>
          <w:p w14:paraId="55B8C067" w14:textId="77777777" w:rsidR="008B6181" w:rsidRPr="00B924D7" w:rsidRDefault="008B6181" w:rsidP="00744228">
            <w:pPr>
              <w:rPr>
                <w:rFonts w:eastAsia="Times New Roman" w:cs="Times New Roman"/>
                <w:color w:val="000000"/>
                <w:sz w:val="22"/>
                <w:szCs w:val="22"/>
              </w:rPr>
            </w:pPr>
            <w:r w:rsidRPr="00B924D7">
              <w:rPr>
                <w:rFonts w:eastAsia="Times New Roman" w:cs="Times New Roman"/>
                <w:color w:val="000000"/>
                <w:sz w:val="22"/>
                <w:szCs w:val="22"/>
              </w:rPr>
              <w:t>Con</w:t>
            </w:r>
          </w:p>
        </w:tc>
        <w:tc>
          <w:tcPr>
            <w:tcW w:w="1300" w:type="dxa"/>
            <w:noWrap/>
          </w:tcPr>
          <w:p w14:paraId="2BBA20B6" w14:textId="77777777" w:rsidR="008B6181" w:rsidRPr="00B924D7" w:rsidRDefault="008B6181" w:rsidP="00744228">
            <w:pPr>
              <w:rPr>
                <w:rFonts w:eastAsia="Times New Roman" w:cs="Times New Roman"/>
                <w:color w:val="000000"/>
                <w:sz w:val="22"/>
                <w:szCs w:val="22"/>
              </w:rPr>
            </w:pPr>
            <w:r>
              <w:rPr>
                <w:rFonts w:eastAsia="Times New Roman" w:cs="Times New Roman"/>
                <w:color w:val="000000"/>
                <w:sz w:val="22"/>
                <w:szCs w:val="22"/>
              </w:rPr>
              <w:t>702</w:t>
            </w:r>
          </w:p>
        </w:tc>
        <w:tc>
          <w:tcPr>
            <w:tcW w:w="1300" w:type="dxa"/>
            <w:noWrap/>
          </w:tcPr>
          <w:p w14:paraId="1E85B22C" w14:textId="77777777" w:rsidR="008B6181" w:rsidRPr="00B924D7" w:rsidRDefault="008B6181" w:rsidP="00744228">
            <w:pPr>
              <w:rPr>
                <w:rFonts w:eastAsia="Times New Roman" w:cs="Times New Roman"/>
                <w:color w:val="000000"/>
                <w:sz w:val="22"/>
                <w:szCs w:val="22"/>
              </w:rPr>
            </w:pPr>
            <w:r>
              <w:rPr>
                <w:rFonts w:eastAsia="Times New Roman" w:cs="Times New Roman"/>
                <w:color w:val="000000"/>
                <w:sz w:val="22"/>
                <w:szCs w:val="22"/>
              </w:rPr>
              <w:t>55</w:t>
            </w:r>
          </w:p>
        </w:tc>
        <w:tc>
          <w:tcPr>
            <w:tcW w:w="1300" w:type="dxa"/>
            <w:noWrap/>
          </w:tcPr>
          <w:p w14:paraId="0A11037A" w14:textId="77777777" w:rsidR="008B6181" w:rsidRPr="00B924D7" w:rsidRDefault="008B6181" w:rsidP="00744228">
            <w:pPr>
              <w:rPr>
                <w:rFonts w:eastAsia="Times New Roman" w:cs="Times New Roman"/>
                <w:color w:val="000000"/>
                <w:sz w:val="22"/>
                <w:szCs w:val="22"/>
              </w:rPr>
            </w:pPr>
            <w:r>
              <w:rPr>
                <w:rFonts w:eastAsia="Times New Roman" w:cs="Times New Roman"/>
                <w:color w:val="000000"/>
                <w:sz w:val="22"/>
                <w:szCs w:val="22"/>
              </w:rPr>
              <w:t>263</w:t>
            </w:r>
          </w:p>
        </w:tc>
        <w:tc>
          <w:tcPr>
            <w:tcW w:w="1300" w:type="dxa"/>
            <w:noWrap/>
          </w:tcPr>
          <w:p w14:paraId="49BF095B" w14:textId="77777777" w:rsidR="008B6181" w:rsidRPr="00B924D7" w:rsidRDefault="008B6181" w:rsidP="00744228">
            <w:pPr>
              <w:rPr>
                <w:rFonts w:eastAsia="Times New Roman" w:cs="Times New Roman"/>
                <w:color w:val="000000"/>
                <w:sz w:val="22"/>
                <w:szCs w:val="22"/>
              </w:rPr>
            </w:pPr>
            <w:r>
              <w:rPr>
                <w:rFonts w:eastAsia="Times New Roman" w:cs="Times New Roman"/>
                <w:color w:val="000000"/>
                <w:sz w:val="22"/>
                <w:szCs w:val="22"/>
              </w:rPr>
              <w:t>206</w:t>
            </w:r>
          </w:p>
        </w:tc>
        <w:tc>
          <w:tcPr>
            <w:tcW w:w="1300" w:type="dxa"/>
            <w:noWrap/>
          </w:tcPr>
          <w:p w14:paraId="40D6BE14" w14:textId="77777777" w:rsidR="008B6181" w:rsidRPr="00B924D7" w:rsidRDefault="008B6181" w:rsidP="00744228">
            <w:pPr>
              <w:rPr>
                <w:rFonts w:eastAsia="Times New Roman" w:cs="Times New Roman"/>
                <w:color w:val="000000"/>
                <w:sz w:val="22"/>
                <w:szCs w:val="22"/>
              </w:rPr>
            </w:pPr>
            <w:r>
              <w:rPr>
                <w:rFonts w:eastAsia="Times New Roman" w:cs="Times New Roman"/>
                <w:color w:val="000000"/>
                <w:sz w:val="22"/>
                <w:szCs w:val="22"/>
              </w:rPr>
              <w:t>1226</w:t>
            </w:r>
          </w:p>
        </w:tc>
      </w:tr>
    </w:tbl>
    <w:p w14:paraId="7C2C8008" w14:textId="77777777" w:rsidR="008B6181" w:rsidRDefault="008B6181" w:rsidP="00A2553D">
      <w:pPr>
        <w:pStyle w:val="Caption"/>
        <w:rPr>
          <w:rFonts w:eastAsiaTheme="minorEastAsia" w:cs="Times New Roman"/>
        </w:rPr>
      </w:pPr>
    </w:p>
    <w:p w14:paraId="5238BAC0" w14:textId="77777777" w:rsidR="008B6181" w:rsidRPr="00D872C3" w:rsidRDefault="008B6181" w:rsidP="00A2553D">
      <w:pPr>
        <w:pStyle w:val="Caption"/>
        <w:rPr>
          <w:rFonts w:eastAsiaTheme="minorEastAsia" w:cs="Times New Roman"/>
        </w:rPr>
      </w:pPr>
      <w:r w:rsidRPr="00D872C3">
        <w:rPr>
          <w:rFonts w:eastAsiaTheme="minorEastAsia" w:cs="Times New Roman"/>
        </w:rPr>
        <w:t xml:space="preserve">Table 3: South Shields (1853) and Newcastle (1863) </w:t>
      </w:r>
      <w:r w:rsidRPr="00D872C3">
        <w:t>account usage and average maximum balance for each adult saver category</w:t>
      </w:r>
    </w:p>
    <w:p w14:paraId="65613DBA" w14:textId="77777777" w:rsidR="008B6181" w:rsidRDefault="008B6181" w:rsidP="00A2553D">
      <w:pPr>
        <w:jc w:val="both"/>
        <w:rPr>
          <w:rFonts w:eastAsiaTheme="minorEastAsia" w:cs="Times New Roman"/>
          <w:sz w:val="24"/>
        </w:rPr>
      </w:pPr>
    </w:p>
    <w:p w14:paraId="5E89EA93" w14:textId="77777777" w:rsidR="008B6181" w:rsidRDefault="008B6181" w:rsidP="00A2553D">
      <w:pPr>
        <w:jc w:val="both"/>
        <w:rPr>
          <w:rFonts w:eastAsiaTheme="minorEastAsia" w:cs="Times New Roman"/>
          <w:sz w:val="24"/>
        </w:rPr>
      </w:pPr>
    </w:p>
    <w:p w14:paraId="6BF8F9B8" w14:textId="77777777" w:rsidR="008B6181" w:rsidRDefault="008B6181" w:rsidP="00A2553D">
      <w:pPr>
        <w:jc w:val="both"/>
        <w:rPr>
          <w:rFonts w:eastAsiaTheme="minorEastAsia" w:cs="Times New Roman"/>
          <w:sz w:val="24"/>
        </w:rPr>
      </w:pPr>
    </w:p>
    <w:p w14:paraId="4990EC66" w14:textId="77777777" w:rsidR="008B6181" w:rsidRDefault="008B6181" w:rsidP="00A2553D">
      <w:pPr>
        <w:jc w:val="both"/>
        <w:rPr>
          <w:rFonts w:eastAsiaTheme="minorEastAsia" w:cs="Times New Roman"/>
          <w:sz w:val="24"/>
        </w:rPr>
      </w:pPr>
    </w:p>
    <w:p w14:paraId="57C9D5E7" w14:textId="77777777" w:rsidR="008B6181" w:rsidRDefault="008B6181" w:rsidP="00A2553D">
      <w:pPr>
        <w:jc w:val="both"/>
        <w:rPr>
          <w:rFonts w:eastAsiaTheme="minorEastAsia" w:cs="Times New Roman"/>
          <w:sz w:val="24"/>
        </w:rPr>
      </w:pPr>
    </w:p>
    <w:p w14:paraId="751FD861" w14:textId="77777777" w:rsidR="008B6181" w:rsidRDefault="008B6181" w:rsidP="00A2553D">
      <w:pPr>
        <w:jc w:val="both"/>
        <w:rPr>
          <w:rFonts w:eastAsiaTheme="minorEastAsia" w:cs="Times New Roman"/>
          <w:sz w:val="24"/>
        </w:rPr>
      </w:pPr>
    </w:p>
    <w:tbl>
      <w:tblPr>
        <w:tblStyle w:val="TableGrid"/>
        <w:tblW w:w="7800" w:type="dxa"/>
        <w:tblLook w:val="04A0" w:firstRow="1" w:lastRow="0" w:firstColumn="1" w:lastColumn="0" w:noHBand="0" w:noVBand="1"/>
      </w:tblPr>
      <w:tblGrid>
        <w:gridCol w:w="1300"/>
        <w:gridCol w:w="1300"/>
        <w:gridCol w:w="1300"/>
        <w:gridCol w:w="1300"/>
        <w:gridCol w:w="1300"/>
        <w:gridCol w:w="1300"/>
      </w:tblGrid>
      <w:tr w:rsidR="008B6181" w:rsidRPr="00DB049D" w14:paraId="0D88B59D" w14:textId="77777777" w:rsidTr="00744228">
        <w:trPr>
          <w:trHeight w:val="300"/>
        </w:trPr>
        <w:tc>
          <w:tcPr>
            <w:tcW w:w="1300" w:type="dxa"/>
            <w:noWrap/>
            <w:hideMark/>
          </w:tcPr>
          <w:p w14:paraId="61BCFCCB" w14:textId="77777777" w:rsidR="008B6181" w:rsidRPr="00CA1F7D" w:rsidRDefault="008B6181" w:rsidP="00744228">
            <w:pPr>
              <w:rPr>
                <w:rFonts w:eastAsia="Times New Roman" w:cs="Times New Roman"/>
                <w:b/>
                <w:color w:val="000000"/>
                <w:sz w:val="22"/>
                <w:szCs w:val="22"/>
              </w:rPr>
            </w:pPr>
            <w:r w:rsidRPr="00CA1F7D">
              <w:rPr>
                <w:rFonts w:eastAsia="Times New Roman" w:cs="Times New Roman"/>
                <w:b/>
                <w:color w:val="000000"/>
                <w:sz w:val="22"/>
                <w:szCs w:val="22"/>
              </w:rPr>
              <w:t>Bury</w:t>
            </w:r>
          </w:p>
        </w:tc>
        <w:tc>
          <w:tcPr>
            <w:tcW w:w="1300" w:type="dxa"/>
            <w:noWrap/>
            <w:hideMark/>
          </w:tcPr>
          <w:p w14:paraId="2A3AE5D1" w14:textId="77777777" w:rsidR="008B6181" w:rsidRPr="00CA1F7D" w:rsidRDefault="008B6181" w:rsidP="00744228">
            <w:pPr>
              <w:rPr>
                <w:rFonts w:eastAsia="Times New Roman" w:cs="Times New Roman"/>
                <w:b/>
                <w:color w:val="000000"/>
                <w:sz w:val="22"/>
                <w:szCs w:val="22"/>
              </w:rPr>
            </w:pPr>
            <w:r w:rsidRPr="00CA1F7D">
              <w:rPr>
                <w:rFonts w:eastAsia="Times New Roman" w:cs="Times New Roman"/>
                <w:b/>
                <w:color w:val="000000"/>
                <w:sz w:val="22"/>
                <w:szCs w:val="22"/>
              </w:rPr>
              <w:t>Men</w:t>
            </w:r>
          </w:p>
        </w:tc>
        <w:tc>
          <w:tcPr>
            <w:tcW w:w="1300" w:type="dxa"/>
            <w:noWrap/>
            <w:hideMark/>
          </w:tcPr>
          <w:p w14:paraId="308F563F" w14:textId="77777777" w:rsidR="008B6181" w:rsidRPr="00CA1F7D" w:rsidRDefault="008B6181" w:rsidP="00744228">
            <w:pPr>
              <w:rPr>
                <w:rFonts w:eastAsia="Times New Roman" w:cs="Times New Roman"/>
                <w:b/>
                <w:color w:val="000000"/>
                <w:sz w:val="22"/>
                <w:szCs w:val="22"/>
              </w:rPr>
            </w:pPr>
            <w:r w:rsidRPr="00CA1F7D">
              <w:rPr>
                <w:rFonts w:eastAsia="Times New Roman" w:cs="Times New Roman"/>
                <w:b/>
                <w:color w:val="000000"/>
                <w:sz w:val="22"/>
                <w:szCs w:val="22"/>
              </w:rPr>
              <w:t>Widows</w:t>
            </w:r>
          </w:p>
        </w:tc>
        <w:tc>
          <w:tcPr>
            <w:tcW w:w="1300" w:type="dxa"/>
            <w:noWrap/>
            <w:hideMark/>
          </w:tcPr>
          <w:p w14:paraId="05EC8821" w14:textId="77777777" w:rsidR="008B6181" w:rsidRPr="00CA1F7D" w:rsidRDefault="008B6181" w:rsidP="00744228">
            <w:pPr>
              <w:rPr>
                <w:rFonts w:eastAsia="Times New Roman" w:cs="Times New Roman"/>
                <w:b/>
                <w:color w:val="000000"/>
                <w:sz w:val="22"/>
                <w:szCs w:val="22"/>
              </w:rPr>
            </w:pPr>
            <w:r w:rsidRPr="00CA1F7D">
              <w:rPr>
                <w:rFonts w:eastAsia="Times New Roman" w:cs="Times New Roman"/>
                <w:b/>
                <w:color w:val="000000"/>
                <w:sz w:val="22"/>
                <w:szCs w:val="22"/>
              </w:rPr>
              <w:t xml:space="preserve">Wives </w:t>
            </w:r>
          </w:p>
        </w:tc>
        <w:tc>
          <w:tcPr>
            <w:tcW w:w="1300" w:type="dxa"/>
            <w:noWrap/>
            <w:hideMark/>
          </w:tcPr>
          <w:p w14:paraId="5E2F1A46" w14:textId="77777777" w:rsidR="008B6181" w:rsidRPr="00CA1F7D" w:rsidRDefault="008B6181" w:rsidP="00744228">
            <w:pPr>
              <w:rPr>
                <w:rFonts w:eastAsia="Times New Roman" w:cs="Times New Roman"/>
                <w:b/>
                <w:color w:val="000000"/>
                <w:sz w:val="22"/>
                <w:szCs w:val="22"/>
              </w:rPr>
            </w:pPr>
            <w:r w:rsidRPr="00CA1F7D">
              <w:rPr>
                <w:rFonts w:eastAsia="Times New Roman" w:cs="Times New Roman"/>
                <w:b/>
                <w:color w:val="000000"/>
                <w:sz w:val="22"/>
                <w:szCs w:val="22"/>
              </w:rPr>
              <w:t>Single</w:t>
            </w:r>
          </w:p>
        </w:tc>
        <w:tc>
          <w:tcPr>
            <w:tcW w:w="1300" w:type="dxa"/>
            <w:noWrap/>
            <w:hideMark/>
          </w:tcPr>
          <w:p w14:paraId="500FE9C9" w14:textId="77777777" w:rsidR="008B6181" w:rsidRPr="00CA1F7D" w:rsidRDefault="008B6181" w:rsidP="00744228">
            <w:pPr>
              <w:rPr>
                <w:rFonts w:eastAsia="Times New Roman" w:cs="Times New Roman"/>
                <w:b/>
                <w:color w:val="000000"/>
                <w:sz w:val="22"/>
                <w:szCs w:val="22"/>
              </w:rPr>
            </w:pPr>
            <w:r w:rsidRPr="00CA1F7D">
              <w:rPr>
                <w:rFonts w:eastAsia="Times New Roman" w:cs="Times New Roman"/>
                <w:b/>
                <w:color w:val="000000"/>
                <w:sz w:val="22"/>
                <w:szCs w:val="22"/>
              </w:rPr>
              <w:t>Total New Accounts</w:t>
            </w:r>
          </w:p>
        </w:tc>
      </w:tr>
      <w:tr w:rsidR="008B6181" w:rsidRPr="00DB049D" w14:paraId="3E917548" w14:textId="77777777" w:rsidTr="00744228">
        <w:trPr>
          <w:trHeight w:val="300"/>
        </w:trPr>
        <w:tc>
          <w:tcPr>
            <w:tcW w:w="1300" w:type="dxa"/>
            <w:noWrap/>
          </w:tcPr>
          <w:p w14:paraId="50AC0999" w14:textId="77777777" w:rsidR="008B6181" w:rsidRPr="00CA1F7D" w:rsidRDefault="008B6181" w:rsidP="00744228">
            <w:pPr>
              <w:rPr>
                <w:rFonts w:eastAsia="Times New Roman" w:cs="Times New Roman"/>
                <w:b/>
                <w:color w:val="000000"/>
                <w:sz w:val="22"/>
                <w:szCs w:val="22"/>
              </w:rPr>
            </w:pPr>
            <w:r w:rsidRPr="00CA1F7D">
              <w:rPr>
                <w:rFonts w:eastAsia="Times New Roman" w:cs="Times New Roman"/>
                <w:b/>
                <w:color w:val="000000"/>
                <w:sz w:val="22"/>
                <w:szCs w:val="22"/>
              </w:rPr>
              <w:t>1855</w:t>
            </w:r>
          </w:p>
        </w:tc>
        <w:tc>
          <w:tcPr>
            <w:tcW w:w="1300" w:type="dxa"/>
            <w:noWrap/>
          </w:tcPr>
          <w:p w14:paraId="72F909F2" w14:textId="77777777" w:rsidR="008B6181" w:rsidRPr="00CA1F7D" w:rsidRDefault="008B6181" w:rsidP="00744228">
            <w:pPr>
              <w:rPr>
                <w:rFonts w:eastAsia="Times New Roman" w:cs="Times New Roman"/>
                <w:b/>
                <w:color w:val="000000"/>
                <w:sz w:val="22"/>
                <w:szCs w:val="22"/>
              </w:rPr>
            </w:pPr>
            <w:r w:rsidRPr="00CA1F7D">
              <w:rPr>
                <w:rFonts w:eastAsia="Times New Roman" w:cs="Times New Roman"/>
                <w:b/>
                <w:color w:val="000000"/>
                <w:sz w:val="22"/>
                <w:szCs w:val="22"/>
              </w:rPr>
              <w:t>198</w:t>
            </w:r>
          </w:p>
        </w:tc>
        <w:tc>
          <w:tcPr>
            <w:tcW w:w="1300" w:type="dxa"/>
            <w:noWrap/>
          </w:tcPr>
          <w:p w14:paraId="56FF812C" w14:textId="77777777" w:rsidR="008B6181" w:rsidRPr="00CA1F7D" w:rsidRDefault="008B6181" w:rsidP="00744228">
            <w:pPr>
              <w:rPr>
                <w:rFonts w:eastAsia="Times New Roman" w:cs="Times New Roman"/>
                <w:b/>
                <w:color w:val="000000"/>
                <w:sz w:val="22"/>
                <w:szCs w:val="22"/>
              </w:rPr>
            </w:pPr>
            <w:r w:rsidRPr="00CA1F7D">
              <w:rPr>
                <w:rFonts w:eastAsia="Times New Roman" w:cs="Times New Roman"/>
                <w:b/>
                <w:color w:val="000000"/>
                <w:sz w:val="22"/>
                <w:szCs w:val="22"/>
              </w:rPr>
              <w:t>15</w:t>
            </w:r>
          </w:p>
        </w:tc>
        <w:tc>
          <w:tcPr>
            <w:tcW w:w="1300" w:type="dxa"/>
            <w:noWrap/>
          </w:tcPr>
          <w:p w14:paraId="230B635B" w14:textId="77777777" w:rsidR="008B6181" w:rsidRPr="00CA1F7D" w:rsidRDefault="008B6181" w:rsidP="00744228">
            <w:pPr>
              <w:rPr>
                <w:rFonts w:eastAsia="Times New Roman" w:cs="Times New Roman"/>
                <w:b/>
                <w:color w:val="000000"/>
                <w:sz w:val="22"/>
                <w:szCs w:val="22"/>
              </w:rPr>
            </w:pPr>
            <w:r w:rsidRPr="00CA1F7D">
              <w:rPr>
                <w:rFonts w:eastAsia="Times New Roman" w:cs="Times New Roman"/>
                <w:b/>
                <w:color w:val="000000"/>
                <w:sz w:val="22"/>
                <w:szCs w:val="22"/>
              </w:rPr>
              <w:t>31</w:t>
            </w:r>
          </w:p>
        </w:tc>
        <w:tc>
          <w:tcPr>
            <w:tcW w:w="1300" w:type="dxa"/>
            <w:noWrap/>
          </w:tcPr>
          <w:p w14:paraId="06EF62E5" w14:textId="77777777" w:rsidR="008B6181" w:rsidRPr="00CA1F7D" w:rsidRDefault="008B6181" w:rsidP="00744228">
            <w:pPr>
              <w:rPr>
                <w:rFonts w:eastAsia="Times New Roman" w:cs="Times New Roman"/>
                <w:b/>
                <w:color w:val="000000"/>
                <w:sz w:val="22"/>
                <w:szCs w:val="22"/>
              </w:rPr>
            </w:pPr>
            <w:r w:rsidRPr="00CA1F7D">
              <w:rPr>
                <w:rFonts w:eastAsia="Times New Roman" w:cs="Times New Roman"/>
                <w:b/>
                <w:color w:val="000000"/>
                <w:sz w:val="22"/>
                <w:szCs w:val="22"/>
              </w:rPr>
              <w:t>106</w:t>
            </w:r>
          </w:p>
        </w:tc>
        <w:tc>
          <w:tcPr>
            <w:tcW w:w="1300" w:type="dxa"/>
            <w:noWrap/>
          </w:tcPr>
          <w:p w14:paraId="28B18D96" w14:textId="77777777" w:rsidR="008B6181" w:rsidRPr="00CA1F7D" w:rsidRDefault="008B6181" w:rsidP="00744228">
            <w:pPr>
              <w:rPr>
                <w:rFonts w:eastAsia="Times New Roman" w:cs="Times New Roman"/>
                <w:b/>
                <w:color w:val="000000"/>
                <w:sz w:val="22"/>
                <w:szCs w:val="22"/>
              </w:rPr>
            </w:pPr>
            <w:r w:rsidRPr="00CA1F7D">
              <w:rPr>
                <w:rFonts w:eastAsia="Times New Roman" w:cs="Times New Roman"/>
                <w:b/>
                <w:color w:val="000000"/>
                <w:sz w:val="22"/>
                <w:szCs w:val="22"/>
              </w:rPr>
              <w:t>350</w:t>
            </w:r>
          </w:p>
        </w:tc>
      </w:tr>
      <w:tr w:rsidR="008B6181" w:rsidRPr="00DB049D" w14:paraId="7075E8A9" w14:textId="77777777" w:rsidTr="00744228">
        <w:trPr>
          <w:trHeight w:val="300"/>
        </w:trPr>
        <w:tc>
          <w:tcPr>
            <w:tcW w:w="1300" w:type="dxa"/>
            <w:noWrap/>
            <w:hideMark/>
          </w:tcPr>
          <w:p w14:paraId="6D4D1110" w14:textId="77777777" w:rsidR="008B6181" w:rsidRPr="00CA1F7D" w:rsidRDefault="008B6181" w:rsidP="00744228">
            <w:pPr>
              <w:rPr>
                <w:rFonts w:eastAsia="Times New Roman" w:cs="Times New Roman"/>
                <w:bCs/>
                <w:color w:val="000000"/>
                <w:sz w:val="22"/>
                <w:szCs w:val="22"/>
              </w:rPr>
            </w:pPr>
            <w:r w:rsidRPr="00CA1F7D">
              <w:rPr>
                <w:rFonts w:eastAsia="Times New Roman" w:cs="Times New Roman"/>
                <w:bCs/>
                <w:color w:val="000000"/>
                <w:sz w:val="22"/>
                <w:szCs w:val="22"/>
              </w:rPr>
              <w:t>Average Maximum Balance</w:t>
            </w:r>
          </w:p>
        </w:tc>
        <w:tc>
          <w:tcPr>
            <w:tcW w:w="1300" w:type="dxa"/>
            <w:noWrap/>
          </w:tcPr>
          <w:p w14:paraId="40947EB6" w14:textId="77777777" w:rsidR="008B6181" w:rsidRPr="00CA1F7D" w:rsidRDefault="008B6181" w:rsidP="00744228">
            <w:pPr>
              <w:rPr>
                <w:rFonts w:eastAsia="Times New Roman" w:cs="Times New Roman"/>
                <w:bCs/>
                <w:color w:val="000000"/>
                <w:sz w:val="22"/>
                <w:szCs w:val="22"/>
              </w:rPr>
            </w:pPr>
          </w:p>
          <w:p w14:paraId="1BCDD52D" w14:textId="77777777" w:rsidR="008B6181" w:rsidRPr="00CA1F7D" w:rsidRDefault="008B6181" w:rsidP="00744228">
            <w:pPr>
              <w:rPr>
                <w:rFonts w:eastAsia="Times New Roman" w:cs="Times New Roman"/>
                <w:bCs/>
                <w:color w:val="000000"/>
                <w:sz w:val="22"/>
                <w:szCs w:val="22"/>
              </w:rPr>
            </w:pPr>
            <w:r w:rsidRPr="00CA1F7D">
              <w:rPr>
                <w:rFonts w:eastAsia="Times New Roman" w:cs="Times New Roman"/>
                <w:bCs/>
                <w:color w:val="000000"/>
                <w:sz w:val="22"/>
                <w:szCs w:val="22"/>
              </w:rPr>
              <w:t>£27 13s 11d</w:t>
            </w:r>
          </w:p>
        </w:tc>
        <w:tc>
          <w:tcPr>
            <w:tcW w:w="1300" w:type="dxa"/>
            <w:noWrap/>
          </w:tcPr>
          <w:p w14:paraId="4277D6A5" w14:textId="77777777" w:rsidR="008B6181" w:rsidRPr="00CA1F7D" w:rsidRDefault="008B6181" w:rsidP="00744228">
            <w:pPr>
              <w:rPr>
                <w:rFonts w:eastAsia="Times New Roman" w:cs="Times New Roman"/>
                <w:bCs/>
                <w:color w:val="000000"/>
                <w:sz w:val="22"/>
                <w:szCs w:val="22"/>
              </w:rPr>
            </w:pPr>
          </w:p>
          <w:p w14:paraId="0A7253BB" w14:textId="77777777" w:rsidR="008B6181" w:rsidRPr="00CA1F7D" w:rsidRDefault="008B6181" w:rsidP="00744228">
            <w:pPr>
              <w:rPr>
                <w:rFonts w:eastAsia="Times New Roman" w:cs="Times New Roman"/>
                <w:bCs/>
                <w:color w:val="000000"/>
                <w:sz w:val="22"/>
                <w:szCs w:val="22"/>
              </w:rPr>
            </w:pPr>
            <w:r w:rsidRPr="00CA1F7D">
              <w:rPr>
                <w:rFonts w:eastAsia="Times New Roman" w:cs="Times New Roman"/>
                <w:bCs/>
                <w:color w:val="000000"/>
                <w:sz w:val="22"/>
                <w:szCs w:val="22"/>
              </w:rPr>
              <w:t>£33</w:t>
            </w:r>
            <w:r>
              <w:rPr>
                <w:rFonts w:eastAsia="Times New Roman" w:cs="Times New Roman"/>
                <w:bCs/>
                <w:color w:val="000000"/>
                <w:sz w:val="22"/>
                <w:szCs w:val="22"/>
              </w:rPr>
              <w:t xml:space="preserve"> 3s 0d</w:t>
            </w:r>
            <w:r w:rsidRPr="00CA1F7D">
              <w:rPr>
                <w:rFonts w:eastAsia="Times New Roman" w:cs="Times New Roman"/>
                <w:bCs/>
                <w:color w:val="000000"/>
                <w:sz w:val="22"/>
                <w:szCs w:val="22"/>
              </w:rPr>
              <w:t xml:space="preserve"> </w:t>
            </w:r>
          </w:p>
        </w:tc>
        <w:tc>
          <w:tcPr>
            <w:tcW w:w="1300" w:type="dxa"/>
            <w:noWrap/>
          </w:tcPr>
          <w:p w14:paraId="5F02F3F7" w14:textId="77777777" w:rsidR="008B6181" w:rsidRDefault="008B6181" w:rsidP="00744228">
            <w:pPr>
              <w:rPr>
                <w:rFonts w:eastAsia="Times New Roman" w:cs="Times New Roman"/>
                <w:bCs/>
                <w:color w:val="000000"/>
                <w:sz w:val="22"/>
                <w:szCs w:val="22"/>
              </w:rPr>
            </w:pPr>
          </w:p>
          <w:p w14:paraId="0F562C11" w14:textId="77777777" w:rsidR="008B6181" w:rsidRPr="00CA1F7D" w:rsidRDefault="008B6181" w:rsidP="00744228">
            <w:pPr>
              <w:rPr>
                <w:rFonts w:eastAsia="Times New Roman" w:cs="Times New Roman"/>
                <w:bCs/>
                <w:color w:val="000000"/>
                <w:sz w:val="22"/>
                <w:szCs w:val="22"/>
              </w:rPr>
            </w:pPr>
            <w:r>
              <w:rPr>
                <w:rFonts w:eastAsia="Times New Roman" w:cs="Times New Roman"/>
                <w:bCs/>
                <w:color w:val="000000"/>
                <w:sz w:val="22"/>
                <w:szCs w:val="22"/>
              </w:rPr>
              <w:t>£31 10s 6d</w:t>
            </w:r>
          </w:p>
        </w:tc>
        <w:tc>
          <w:tcPr>
            <w:tcW w:w="1300" w:type="dxa"/>
            <w:noWrap/>
          </w:tcPr>
          <w:p w14:paraId="77E539C6" w14:textId="77777777" w:rsidR="008B6181" w:rsidRDefault="008B6181" w:rsidP="00744228">
            <w:pPr>
              <w:rPr>
                <w:rFonts w:eastAsia="Times New Roman" w:cs="Times New Roman"/>
                <w:bCs/>
                <w:color w:val="000000"/>
                <w:sz w:val="22"/>
                <w:szCs w:val="22"/>
              </w:rPr>
            </w:pPr>
          </w:p>
          <w:p w14:paraId="2FE66A93" w14:textId="77777777" w:rsidR="008B6181" w:rsidRPr="00CA1F7D" w:rsidRDefault="008B6181" w:rsidP="00744228">
            <w:pPr>
              <w:rPr>
                <w:rFonts w:eastAsia="Times New Roman" w:cs="Times New Roman"/>
                <w:bCs/>
                <w:color w:val="000000"/>
                <w:sz w:val="22"/>
                <w:szCs w:val="22"/>
              </w:rPr>
            </w:pPr>
            <w:r>
              <w:rPr>
                <w:rFonts w:eastAsia="Times New Roman" w:cs="Times New Roman"/>
                <w:bCs/>
                <w:color w:val="000000"/>
                <w:sz w:val="22"/>
                <w:szCs w:val="22"/>
              </w:rPr>
              <w:t>£22 1s 10d</w:t>
            </w:r>
          </w:p>
        </w:tc>
        <w:tc>
          <w:tcPr>
            <w:tcW w:w="1300" w:type="dxa"/>
            <w:noWrap/>
          </w:tcPr>
          <w:p w14:paraId="359356CE" w14:textId="77777777" w:rsidR="008B6181" w:rsidRPr="00CA1F7D" w:rsidRDefault="008B6181" w:rsidP="00744228">
            <w:pPr>
              <w:rPr>
                <w:rFonts w:eastAsia="Times New Roman" w:cs="Times New Roman"/>
                <w:color w:val="000000"/>
                <w:sz w:val="22"/>
                <w:szCs w:val="22"/>
              </w:rPr>
            </w:pPr>
          </w:p>
        </w:tc>
      </w:tr>
      <w:tr w:rsidR="008B6181" w:rsidRPr="00DB049D" w14:paraId="00D09642" w14:textId="77777777" w:rsidTr="00744228">
        <w:trPr>
          <w:trHeight w:val="300"/>
        </w:trPr>
        <w:tc>
          <w:tcPr>
            <w:tcW w:w="1300" w:type="dxa"/>
            <w:noWrap/>
            <w:hideMark/>
          </w:tcPr>
          <w:p w14:paraId="766B94B3" w14:textId="77777777" w:rsidR="008B6181" w:rsidRPr="00CA1F7D" w:rsidRDefault="008B6181" w:rsidP="00744228">
            <w:pPr>
              <w:rPr>
                <w:rFonts w:eastAsia="Times New Roman" w:cs="Times New Roman"/>
                <w:color w:val="000000"/>
                <w:sz w:val="22"/>
                <w:szCs w:val="22"/>
              </w:rPr>
            </w:pPr>
            <w:r w:rsidRPr="00CA1F7D">
              <w:rPr>
                <w:rFonts w:eastAsia="Times New Roman" w:cs="Times New Roman"/>
                <w:color w:val="000000"/>
                <w:sz w:val="22"/>
                <w:szCs w:val="22"/>
              </w:rPr>
              <w:t>I/O</w:t>
            </w:r>
          </w:p>
        </w:tc>
        <w:tc>
          <w:tcPr>
            <w:tcW w:w="1300" w:type="dxa"/>
            <w:noWrap/>
          </w:tcPr>
          <w:p w14:paraId="18349A3B" w14:textId="77777777" w:rsidR="008B6181" w:rsidRPr="00CA1F7D" w:rsidRDefault="008B6181" w:rsidP="00744228">
            <w:pPr>
              <w:rPr>
                <w:rFonts w:eastAsia="Times New Roman" w:cs="Times New Roman"/>
                <w:color w:val="000000"/>
                <w:sz w:val="22"/>
                <w:szCs w:val="22"/>
              </w:rPr>
            </w:pPr>
            <w:r w:rsidRPr="00CA1F7D">
              <w:rPr>
                <w:rFonts w:eastAsia="Times New Roman" w:cs="Times New Roman"/>
                <w:color w:val="000000"/>
                <w:sz w:val="22"/>
                <w:szCs w:val="22"/>
              </w:rPr>
              <w:t>33</w:t>
            </w:r>
          </w:p>
        </w:tc>
        <w:tc>
          <w:tcPr>
            <w:tcW w:w="1300" w:type="dxa"/>
            <w:noWrap/>
          </w:tcPr>
          <w:p w14:paraId="350D7F02" w14:textId="77777777" w:rsidR="008B6181" w:rsidRPr="00CA1F7D" w:rsidRDefault="008B6181" w:rsidP="00744228">
            <w:pPr>
              <w:rPr>
                <w:rFonts w:eastAsia="Times New Roman" w:cs="Times New Roman"/>
                <w:color w:val="000000"/>
                <w:sz w:val="22"/>
                <w:szCs w:val="22"/>
              </w:rPr>
            </w:pPr>
            <w:r w:rsidRPr="00CA1F7D">
              <w:rPr>
                <w:rFonts w:eastAsia="Times New Roman" w:cs="Times New Roman"/>
                <w:color w:val="000000"/>
                <w:sz w:val="22"/>
                <w:szCs w:val="22"/>
              </w:rPr>
              <w:t>0</w:t>
            </w:r>
          </w:p>
        </w:tc>
        <w:tc>
          <w:tcPr>
            <w:tcW w:w="1300" w:type="dxa"/>
            <w:noWrap/>
          </w:tcPr>
          <w:p w14:paraId="61CE44B2" w14:textId="77777777" w:rsidR="008B6181" w:rsidRPr="00CA1F7D" w:rsidRDefault="008B6181" w:rsidP="00744228">
            <w:pPr>
              <w:rPr>
                <w:rFonts w:eastAsia="Times New Roman" w:cs="Times New Roman"/>
                <w:color w:val="000000"/>
                <w:sz w:val="22"/>
                <w:szCs w:val="22"/>
              </w:rPr>
            </w:pPr>
            <w:r w:rsidRPr="00CA1F7D">
              <w:rPr>
                <w:rFonts w:eastAsia="Times New Roman" w:cs="Times New Roman"/>
                <w:color w:val="000000"/>
                <w:sz w:val="22"/>
                <w:szCs w:val="22"/>
              </w:rPr>
              <w:t>5</w:t>
            </w:r>
          </w:p>
        </w:tc>
        <w:tc>
          <w:tcPr>
            <w:tcW w:w="1300" w:type="dxa"/>
            <w:noWrap/>
          </w:tcPr>
          <w:p w14:paraId="412E39C1" w14:textId="77777777" w:rsidR="008B6181" w:rsidRPr="00CA1F7D" w:rsidRDefault="008B6181" w:rsidP="00744228">
            <w:pPr>
              <w:rPr>
                <w:rFonts w:eastAsia="Times New Roman" w:cs="Times New Roman"/>
                <w:color w:val="000000"/>
                <w:sz w:val="22"/>
                <w:szCs w:val="22"/>
              </w:rPr>
            </w:pPr>
            <w:r w:rsidRPr="00CA1F7D">
              <w:rPr>
                <w:rFonts w:eastAsia="Times New Roman" w:cs="Times New Roman"/>
                <w:color w:val="000000"/>
                <w:sz w:val="22"/>
                <w:szCs w:val="22"/>
              </w:rPr>
              <w:t>18</w:t>
            </w:r>
          </w:p>
        </w:tc>
        <w:tc>
          <w:tcPr>
            <w:tcW w:w="1300" w:type="dxa"/>
            <w:noWrap/>
          </w:tcPr>
          <w:p w14:paraId="256A79D5" w14:textId="77777777" w:rsidR="008B6181" w:rsidRPr="00CA1F7D" w:rsidRDefault="008B6181" w:rsidP="00744228">
            <w:pPr>
              <w:rPr>
                <w:rFonts w:eastAsia="Times New Roman" w:cs="Times New Roman"/>
                <w:color w:val="000000"/>
                <w:sz w:val="22"/>
                <w:szCs w:val="22"/>
              </w:rPr>
            </w:pPr>
            <w:r w:rsidRPr="00CA1F7D">
              <w:rPr>
                <w:rFonts w:eastAsia="Times New Roman" w:cs="Times New Roman"/>
                <w:color w:val="000000"/>
                <w:sz w:val="22"/>
                <w:szCs w:val="22"/>
              </w:rPr>
              <w:t>56</w:t>
            </w:r>
          </w:p>
        </w:tc>
      </w:tr>
      <w:tr w:rsidR="008B6181" w:rsidRPr="00DB049D" w14:paraId="2146183D" w14:textId="77777777" w:rsidTr="00744228">
        <w:trPr>
          <w:trHeight w:val="300"/>
        </w:trPr>
        <w:tc>
          <w:tcPr>
            <w:tcW w:w="1300" w:type="dxa"/>
            <w:noWrap/>
            <w:hideMark/>
          </w:tcPr>
          <w:p w14:paraId="5D210617" w14:textId="77777777" w:rsidR="008B6181" w:rsidRPr="00CA1F7D" w:rsidRDefault="008B6181" w:rsidP="00744228">
            <w:pPr>
              <w:rPr>
                <w:rFonts w:eastAsia="Times New Roman" w:cs="Times New Roman"/>
                <w:color w:val="000000"/>
                <w:sz w:val="22"/>
                <w:szCs w:val="22"/>
              </w:rPr>
            </w:pPr>
            <w:r w:rsidRPr="00CA1F7D">
              <w:rPr>
                <w:rFonts w:eastAsia="Times New Roman" w:cs="Times New Roman"/>
                <w:color w:val="000000"/>
                <w:sz w:val="22"/>
                <w:szCs w:val="22"/>
              </w:rPr>
              <w:t>Acc</w:t>
            </w:r>
          </w:p>
        </w:tc>
        <w:tc>
          <w:tcPr>
            <w:tcW w:w="1300" w:type="dxa"/>
            <w:noWrap/>
          </w:tcPr>
          <w:p w14:paraId="56F38F53" w14:textId="77777777" w:rsidR="008B6181" w:rsidRPr="00CA1F7D" w:rsidRDefault="008B6181" w:rsidP="00744228">
            <w:pPr>
              <w:rPr>
                <w:rFonts w:eastAsia="Times New Roman" w:cs="Times New Roman"/>
                <w:color w:val="000000"/>
                <w:sz w:val="22"/>
                <w:szCs w:val="22"/>
              </w:rPr>
            </w:pPr>
            <w:r w:rsidRPr="00CA1F7D">
              <w:rPr>
                <w:rFonts w:eastAsia="Times New Roman" w:cs="Times New Roman"/>
                <w:color w:val="000000"/>
                <w:sz w:val="22"/>
                <w:szCs w:val="22"/>
              </w:rPr>
              <w:t>41</w:t>
            </w:r>
          </w:p>
        </w:tc>
        <w:tc>
          <w:tcPr>
            <w:tcW w:w="1300" w:type="dxa"/>
            <w:noWrap/>
          </w:tcPr>
          <w:p w14:paraId="58CE48D4" w14:textId="77777777" w:rsidR="008B6181" w:rsidRPr="00CA1F7D" w:rsidRDefault="008B6181" w:rsidP="00744228">
            <w:pPr>
              <w:rPr>
                <w:rFonts w:eastAsia="Times New Roman" w:cs="Times New Roman"/>
                <w:color w:val="000000"/>
                <w:sz w:val="22"/>
                <w:szCs w:val="22"/>
              </w:rPr>
            </w:pPr>
            <w:r w:rsidRPr="00CA1F7D">
              <w:rPr>
                <w:rFonts w:eastAsia="Times New Roman" w:cs="Times New Roman"/>
                <w:color w:val="000000"/>
                <w:sz w:val="22"/>
                <w:szCs w:val="22"/>
              </w:rPr>
              <w:t>3</w:t>
            </w:r>
          </w:p>
        </w:tc>
        <w:tc>
          <w:tcPr>
            <w:tcW w:w="1300" w:type="dxa"/>
            <w:noWrap/>
          </w:tcPr>
          <w:p w14:paraId="7CCCD982" w14:textId="77777777" w:rsidR="008B6181" w:rsidRPr="00CA1F7D" w:rsidRDefault="008B6181" w:rsidP="00744228">
            <w:pPr>
              <w:rPr>
                <w:rFonts w:eastAsia="Times New Roman" w:cs="Times New Roman"/>
                <w:color w:val="000000"/>
                <w:sz w:val="22"/>
                <w:szCs w:val="22"/>
              </w:rPr>
            </w:pPr>
            <w:r w:rsidRPr="00CA1F7D">
              <w:rPr>
                <w:rFonts w:eastAsia="Times New Roman" w:cs="Times New Roman"/>
                <w:color w:val="000000"/>
                <w:sz w:val="22"/>
                <w:szCs w:val="22"/>
              </w:rPr>
              <w:t>9</w:t>
            </w:r>
          </w:p>
        </w:tc>
        <w:tc>
          <w:tcPr>
            <w:tcW w:w="1300" w:type="dxa"/>
            <w:noWrap/>
          </w:tcPr>
          <w:p w14:paraId="59C15107" w14:textId="77777777" w:rsidR="008B6181" w:rsidRPr="00CA1F7D" w:rsidRDefault="008B6181" w:rsidP="00744228">
            <w:pPr>
              <w:rPr>
                <w:rFonts w:eastAsia="Times New Roman" w:cs="Times New Roman"/>
                <w:color w:val="000000"/>
                <w:sz w:val="22"/>
                <w:szCs w:val="22"/>
              </w:rPr>
            </w:pPr>
            <w:r w:rsidRPr="00CA1F7D">
              <w:rPr>
                <w:rFonts w:eastAsia="Times New Roman" w:cs="Times New Roman"/>
                <w:color w:val="000000"/>
                <w:sz w:val="22"/>
                <w:szCs w:val="22"/>
              </w:rPr>
              <w:t>34</w:t>
            </w:r>
          </w:p>
        </w:tc>
        <w:tc>
          <w:tcPr>
            <w:tcW w:w="1300" w:type="dxa"/>
            <w:noWrap/>
          </w:tcPr>
          <w:p w14:paraId="684E5CAC" w14:textId="77777777" w:rsidR="008B6181" w:rsidRPr="00CA1F7D" w:rsidRDefault="008B6181" w:rsidP="00744228">
            <w:pPr>
              <w:rPr>
                <w:rFonts w:eastAsia="Times New Roman" w:cs="Times New Roman"/>
                <w:color w:val="000000"/>
                <w:sz w:val="22"/>
                <w:szCs w:val="22"/>
              </w:rPr>
            </w:pPr>
            <w:r w:rsidRPr="00CA1F7D">
              <w:rPr>
                <w:rFonts w:eastAsia="Times New Roman" w:cs="Times New Roman"/>
                <w:color w:val="000000"/>
                <w:sz w:val="22"/>
                <w:szCs w:val="22"/>
              </w:rPr>
              <w:t>87</w:t>
            </w:r>
          </w:p>
        </w:tc>
      </w:tr>
      <w:tr w:rsidR="008B6181" w:rsidRPr="00DB049D" w14:paraId="49058431" w14:textId="77777777" w:rsidTr="00744228">
        <w:trPr>
          <w:trHeight w:val="300"/>
        </w:trPr>
        <w:tc>
          <w:tcPr>
            <w:tcW w:w="1300" w:type="dxa"/>
            <w:noWrap/>
            <w:hideMark/>
          </w:tcPr>
          <w:p w14:paraId="191CA944" w14:textId="77777777" w:rsidR="008B6181" w:rsidRPr="00CA1F7D" w:rsidRDefault="008B6181" w:rsidP="00744228">
            <w:pPr>
              <w:rPr>
                <w:rFonts w:eastAsia="Times New Roman" w:cs="Times New Roman"/>
                <w:color w:val="000000"/>
                <w:sz w:val="22"/>
                <w:szCs w:val="22"/>
              </w:rPr>
            </w:pPr>
            <w:r w:rsidRPr="00CA1F7D">
              <w:rPr>
                <w:rFonts w:eastAsia="Times New Roman" w:cs="Times New Roman"/>
                <w:color w:val="000000"/>
                <w:sz w:val="22"/>
                <w:szCs w:val="22"/>
              </w:rPr>
              <w:t>DD</w:t>
            </w:r>
          </w:p>
        </w:tc>
        <w:tc>
          <w:tcPr>
            <w:tcW w:w="1300" w:type="dxa"/>
            <w:noWrap/>
          </w:tcPr>
          <w:p w14:paraId="7B9645A7" w14:textId="77777777" w:rsidR="008B6181" w:rsidRPr="00CA1F7D" w:rsidRDefault="008B6181" w:rsidP="00744228">
            <w:pPr>
              <w:rPr>
                <w:rFonts w:eastAsia="Times New Roman" w:cs="Times New Roman"/>
                <w:color w:val="000000"/>
                <w:sz w:val="22"/>
                <w:szCs w:val="22"/>
              </w:rPr>
            </w:pPr>
            <w:r w:rsidRPr="00CA1F7D">
              <w:rPr>
                <w:rFonts w:eastAsia="Times New Roman" w:cs="Times New Roman"/>
                <w:color w:val="000000"/>
                <w:sz w:val="22"/>
                <w:szCs w:val="22"/>
              </w:rPr>
              <w:t>14</w:t>
            </w:r>
          </w:p>
        </w:tc>
        <w:tc>
          <w:tcPr>
            <w:tcW w:w="1300" w:type="dxa"/>
            <w:noWrap/>
          </w:tcPr>
          <w:p w14:paraId="4EFB2176" w14:textId="77777777" w:rsidR="008B6181" w:rsidRPr="00CA1F7D" w:rsidRDefault="008B6181" w:rsidP="00744228">
            <w:pPr>
              <w:rPr>
                <w:rFonts w:eastAsia="Times New Roman" w:cs="Times New Roman"/>
                <w:color w:val="000000"/>
                <w:sz w:val="22"/>
                <w:szCs w:val="22"/>
              </w:rPr>
            </w:pPr>
            <w:r w:rsidRPr="00CA1F7D">
              <w:rPr>
                <w:rFonts w:eastAsia="Times New Roman" w:cs="Times New Roman"/>
                <w:color w:val="000000"/>
                <w:sz w:val="22"/>
                <w:szCs w:val="22"/>
              </w:rPr>
              <w:t>4</w:t>
            </w:r>
          </w:p>
        </w:tc>
        <w:tc>
          <w:tcPr>
            <w:tcW w:w="1300" w:type="dxa"/>
            <w:noWrap/>
          </w:tcPr>
          <w:p w14:paraId="133F8735" w14:textId="77777777" w:rsidR="008B6181" w:rsidRPr="00CA1F7D" w:rsidRDefault="008B6181" w:rsidP="00744228">
            <w:pPr>
              <w:rPr>
                <w:rFonts w:eastAsia="Times New Roman" w:cs="Times New Roman"/>
                <w:color w:val="000000"/>
                <w:sz w:val="22"/>
                <w:szCs w:val="22"/>
              </w:rPr>
            </w:pPr>
            <w:r w:rsidRPr="00CA1F7D">
              <w:rPr>
                <w:rFonts w:eastAsia="Times New Roman" w:cs="Times New Roman"/>
                <w:color w:val="000000"/>
                <w:sz w:val="22"/>
                <w:szCs w:val="22"/>
              </w:rPr>
              <w:t>2</w:t>
            </w:r>
          </w:p>
        </w:tc>
        <w:tc>
          <w:tcPr>
            <w:tcW w:w="1300" w:type="dxa"/>
            <w:noWrap/>
          </w:tcPr>
          <w:p w14:paraId="0732BFD8" w14:textId="77777777" w:rsidR="008B6181" w:rsidRPr="00CA1F7D" w:rsidRDefault="008B6181" w:rsidP="00744228">
            <w:pPr>
              <w:rPr>
                <w:rFonts w:eastAsia="Times New Roman" w:cs="Times New Roman"/>
                <w:color w:val="000000"/>
                <w:sz w:val="22"/>
                <w:szCs w:val="22"/>
              </w:rPr>
            </w:pPr>
            <w:r w:rsidRPr="00CA1F7D">
              <w:rPr>
                <w:rFonts w:eastAsia="Times New Roman" w:cs="Times New Roman"/>
                <w:color w:val="000000"/>
                <w:sz w:val="22"/>
                <w:szCs w:val="22"/>
              </w:rPr>
              <w:t>6</w:t>
            </w:r>
          </w:p>
        </w:tc>
        <w:tc>
          <w:tcPr>
            <w:tcW w:w="1300" w:type="dxa"/>
            <w:noWrap/>
          </w:tcPr>
          <w:p w14:paraId="40F66ECD" w14:textId="77777777" w:rsidR="008B6181" w:rsidRPr="00CA1F7D" w:rsidRDefault="008B6181" w:rsidP="00744228">
            <w:pPr>
              <w:rPr>
                <w:rFonts w:eastAsia="Times New Roman" w:cs="Times New Roman"/>
                <w:color w:val="000000"/>
                <w:sz w:val="22"/>
                <w:szCs w:val="22"/>
              </w:rPr>
            </w:pPr>
            <w:r w:rsidRPr="00CA1F7D">
              <w:rPr>
                <w:rFonts w:eastAsia="Times New Roman" w:cs="Times New Roman"/>
                <w:color w:val="000000"/>
                <w:sz w:val="22"/>
                <w:szCs w:val="22"/>
              </w:rPr>
              <w:t>26</w:t>
            </w:r>
          </w:p>
        </w:tc>
      </w:tr>
      <w:tr w:rsidR="008B6181" w:rsidRPr="00DB049D" w14:paraId="4DE567B7" w14:textId="77777777" w:rsidTr="00744228">
        <w:trPr>
          <w:trHeight w:val="300"/>
        </w:trPr>
        <w:tc>
          <w:tcPr>
            <w:tcW w:w="1300" w:type="dxa"/>
            <w:noWrap/>
            <w:hideMark/>
          </w:tcPr>
          <w:p w14:paraId="73AD1DD8" w14:textId="77777777" w:rsidR="008B6181" w:rsidRPr="00CA1F7D" w:rsidRDefault="008B6181" w:rsidP="00744228">
            <w:pPr>
              <w:rPr>
                <w:rFonts w:eastAsia="Times New Roman" w:cs="Times New Roman"/>
                <w:color w:val="000000"/>
                <w:sz w:val="22"/>
                <w:szCs w:val="22"/>
              </w:rPr>
            </w:pPr>
            <w:r w:rsidRPr="00CA1F7D">
              <w:rPr>
                <w:rFonts w:eastAsia="Times New Roman" w:cs="Times New Roman"/>
                <w:color w:val="000000"/>
                <w:sz w:val="22"/>
                <w:szCs w:val="22"/>
              </w:rPr>
              <w:t>Con</w:t>
            </w:r>
          </w:p>
        </w:tc>
        <w:tc>
          <w:tcPr>
            <w:tcW w:w="1300" w:type="dxa"/>
            <w:noWrap/>
          </w:tcPr>
          <w:p w14:paraId="535EE3B3" w14:textId="77777777" w:rsidR="008B6181" w:rsidRPr="00CA1F7D" w:rsidRDefault="008B6181" w:rsidP="00744228">
            <w:pPr>
              <w:rPr>
                <w:rFonts w:eastAsia="Times New Roman" w:cs="Times New Roman"/>
                <w:color w:val="000000"/>
                <w:sz w:val="22"/>
                <w:szCs w:val="22"/>
              </w:rPr>
            </w:pPr>
            <w:r w:rsidRPr="00CA1F7D">
              <w:rPr>
                <w:rFonts w:eastAsia="Times New Roman" w:cs="Times New Roman"/>
                <w:color w:val="000000"/>
                <w:sz w:val="22"/>
                <w:szCs w:val="22"/>
              </w:rPr>
              <w:t>110</w:t>
            </w:r>
          </w:p>
        </w:tc>
        <w:tc>
          <w:tcPr>
            <w:tcW w:w="1300" w:type="dxa"/>
            <w:noWrap/>
          </w:tcPr>
          <w:p w14:paraId="7A522A28" w14:textId="77777777" w:rsidR="008B6181" w:rsidRPr="00CA1F7D" w:rsidRDefault="008B6181" w:rsidP="00744228">
            <w:pPr>
              <w:rPr>
                <w:rFonts w:eastAsia="Times New Roman" w:cs="Times New Roman"/>
                <w:color w:val="000000"/>
                <w:sz w:val="22"/>
                <w:szCs w:val="22"/>
              </w:rPr>
            </w:pPr>
            <w:r w:rsidRPr="00CA1F7D">
              <w:rPr>
                <w:rFonts w:eastAsia="Times New Roman" w:cs="Times New Roman"/>
                <w:color w:val="000000"/>
                <w:sz w:val="22"/>
                <w:szCs w:val="22"/>
              </w:rPr>
              <w:t>8</w:t>
            </w:r>
          </w:p>
        </w:tc>
        <w:tc>
          <w:tcPr>
            <w:tcW w:w="1300" w:type="dxa"/>
            <w:noWrap/>
          </w:tcPr>
          <w:p w14:paraId="3D284275" w14:textId="77777777" w:rsidR="008B6181" w:rsidRPr="00CA1F7D" w:rsidRDefault="008B6181" w:rsidP="00744228">
            <w:pPr>
              <w:rPr>
                <w:rFonts w:eastAsia="Times New Roman" w:cs="Times New Roman"/>
                <w:color w:val="000000"/>
                <w:sz w:val="22"/>
                <w:szCs w:val="22"/>
              </w:rPr>
            </w:pPr>
            <w:r w:rsidRPr="00CA1F7D">
              <w:rPr>
                <w:rFonts w:eastAsia="Times New Roman" w:cs="Times New Roman"/>
                <w:color w:val="000000"/>
                <w:sz w:val="22"/>
                <w:szCs w:val="22"/>
              </w:rPr>
              <w:t>15</w:t>
            </w:r>
          </w:p>
        </w:tc>
        <w:tc>
          <w:tcPr>
            <w:tcW w:w="1300" w:type="dxa"/>
            <w:noWrap/>
          </w:tcPr>
          <w:p w14:paraId="4C8A5B25" w14:textId="77777777" w:rsidR="008B6181" w:rsidRPr="00CA1F7D" w:rsidRDefault="008B6181" w:rsidP="00744228">
            <w:pPr>
              <w:rPr>
                <w:rFonts w:eastAsia="Times New Roman" w:cs="Times New Roman"/>
                <w:color w:val="000000"/>
                <w:sz w:val="22"/>
                <w:szCs w:val="22"/>
              </w:rPr>
            </w:pPr>
            <w:r w:rsidRPr="00CA1F7D">
              <w:rPr>
                <w:rFonts w:eastAsia="Times New Roman" w:cs="Times New Roman"/>
                <w:color w:val="000000"/>
                <w:sz w:val="22"/>
                <w:szCs w:val="22"/>
              </w:rPr>
              <w:t>48</w:t>
            </w:r>
          </w:p>
        </w:tc>
        <w:tc>
          <w:tcPr>
            <w:tcW w:w="1300" w:type="dxa"/>
            <w:noWrap/>
          </w:tcPr>
          <w:p w14:paraId="72D76FB5" w14:textId="77777777" w:rsidR="008B6181" w:rsidRPr="00CA1F7D" w:rsidRDefault="008B6181" w:rsidP="00744228">
            <w:pPr>
              <w:rPr>
                <w:rFonts w:eastAsia="Times New Roman" w:cs="Times New Roman"/>
                <w:color w:val="000000"/>
                <w:sz w:val="22"/>
                <w:szCs w:val="22"/>
              </w:rPr>
            </w:pPr>
            <w:r w:rsidRPr="00CA1F7D">
              <w:rPr>
                <w:rFonts w:eastAsia="Times New Roman" w:cs="Times New Roman"/>
                <w:color w:val="000000"/>
                <w:sz w:val="22"/>
                <w:szCs w:val="22"/>
              </w:rPr>
              <w:t>181</w:t>
            </w:r>
          </w:p>
        </w:tc>
      </w:tr>
      <w:tr w:rsidR="008B6181" w:rsidRPr="00DB049D" w14:paraId="43A48423" w14:textId="77777777" w:rsidTr="00744228">
        <w:trPr>
          <w:trHeight w:val="300"/>
        </w:trPr>
        <w:tc>
          <w:tcPr>
            <w:tcW w:w="1300" w:type="dxa"/>
            <w:noWrap/>
          </w:tcPr>
          <w:p w14:paraId="74C8C626" w14:textId="77777777" w:rsidR="008B6181" w:rsidRPr="00CA1F7D" w:rsidRDefault="008B6181" w:rsidP="00744228">
            <w:pPr>
              <w:rPr>
                <w:rFonts w:eastAsia="Times New Roman" w:cs="Times New Roman"/>
                <w:b/>
                <w:color w:val="000000"/>
                <w:sz w:val="22"/>
                <w:szCs w:val="22"/>
              </w:rPr>
            </w:pPr>
            <w:r w:rsidRPr="00CA1F7D">
              <w:rPr>
                <w:rFonts w:eastAsia="Times New Roman" w:cs="Times New Roman"/>
                <w:b/>
                <w:bCs/>
                <w:color w:val="000000"/>
                <w:sz w:val="22"/>
                <w:szCs w:val="22"/>
              </w:rPr>
              <w:t>1865</w:t>
            </w:r>
          </w:p>
        </w:tc>
        <w:tc>
          <w:tcPr>
            <w:tcW w:w="1300" w:type="dxa"/>
            <w:noWrap/>
          </w:tcPr>
          <w:p w14:paraId="55668482" w14:textId="77777777" w:rsidR="008B6181" w:rsidRPr="00CA1F7D" w:rsidRDefault="008B6181" w:rsidP="00744228">
            <w:pPr>
              <w:rPr>
                <w:rFonts w:eastAsia="Times New Roman" w:cs="Times New Roman"/>
                <w:b/>
                <w:color w:val="000000"/>
                <w:sz w:val="22"/>
                <w:szCs w:val="22"/>
              </w:rPr>
            </w:pPr>
            <w:r w:rsidRPr="00CA1F7D">
              <w:rPr>
                <w:rFonts w:eastAsia="Times New Roman" w:cs="Times New Roman"/>
                <w:b/>
                <w:color w:val="000000"/>
                <w:sz w:val="22"/>
                <w:szCs w:val="22"/>
              </w:rPr>
              <w:t>115</w:t>
            </w:r>
          </w:p>
        </w:tc>
        <w:tc>
          <w:tcPr>
            <w:tcW w:w="1300" w:type="dxa"/>
            <w:noWrap/>
          </w:tcPr>
          <w:p w14:paraId="58F64DDC" w14:textId="77777777" w:rsidR="008B6181" w:rsidRPr="00CA1F7D" w:rsidRDefault="008B6181" w:rsidP="00744228">
            <w:pPr>
              <w:rPr>
                <w:rFonts w:eastAsia="Times New Roman" w:cs="Times New Roman"/>
                <w:b/>
                <w:color w:val="000000"/>
                <w:sz w:val="22"/>
                <w:szCs w:val="22"/>
              </w:rPr>
            </w:pPr>
            <w:r w:rsidRPr="00CA1F7D">
              <w:rPr>
                <w:rFonts w:eastAsia="Times New Roman" w:cs="Times New Roman"/>
                <w:b/>
                <w:color w:val="000000"/>
                <w:sz w:val="22"/>
                <w:szCs w:val="22"/>
              </w:rPr>
              <w:t>4</w:t>
            </w:r>
          </w:p>
        </w:tc>
        <w:tc>
          <w:tcPr>
            <w:tcW w:w="1300" w:type="dxa"/>
            <w:noWrap/>
          </w:tcPr>
          <w:p w14:paraId="7C15DA91" w14:textId="77777777" w:rsidR="008B6181" w:rsidRPr="00CA1F7D" w:rsidRDefault="008B6181" w:rsidP="00744228">
            <w:pPr>
              <w:rPr>
                <w:rFonts w:eastAsia="Times New Roman" w:cs="Times New Roman"/>
                <w:b/>
                <w:color w:val="000000"/>
                <w:sz w:val="22"/>
                <w:szCs w:val="22"/>
              </w:rPr>
            </w:pPr>
            <w:r w:rsidRPr="00CA1F7D">
              <w:rPr>
                <w:rFonts w:eastAsia="Times New Roman" w:cs="Times New Roman"/>
                <w:b/>
                <w:color w:val="000000"/>
                <w:sz w:val="22"/>
                <w:szCs w:val="22"/>
              </w:rPr>
              <w:t>40</w:t>
            </w:r>
          </w:p>
        </w:tc>
        <w:tc>
          <w:tcPr>
            <w:tcW w:w="1300" w:type="dxa"/>
            <w:noWrap/>
          </w:tcPr>
          <w:p w14:paraId="6D6EF139" w14:textId="77777777" w:rsidR="008B6181" w:rsidRPr="00CA1F7D" w:rsidRDefault="008B6181" w:rsidP="00744228">
            <w:pPr>
              <w:rPr>
                <w:rFonts w:eastAsia="Times New Roman" w:cs="Times New Roman"/>
                <w:b/>
                <w:color w:val="000000"/>
                <w:sz w:val="22"/>
                <w:szCs w:val="22"/>
              </w:rPr>
            </w:pPr>
            <w:r w:rsidRPr="00CA1F7D">
              <w:rPr>
                <w:rFonts w:eastAsia="Times New Roman" w:cs="Times New Roman"/>
                <w:b/>
                <w:color w:val="000000"/>
                <w:sz w:val="22"/>
                <w:szCs w:val="22"/>
              </w:rPr>
              <w:t>76</w:t>
            </w:r>
          </w:p>
        </w:tc>
        <w:tc>
          <w:tcPr>
            <w:tcW w:w="1300" w:type="dxa"/>
            <w:noWrap/>
          </w:tcPr>
          <w:p w14:paraId="5428FDFC" w14:textId="77777777" w:rsidR="008B6181" w:rsidRPr="00CA1F7D" w:rsidRDefault="008B6181" w:rsidP="00744228">
            <w:pPr>
              <w:rPr>
                <w:rFonts w:eastAsia="Times New Roman" w:cs="Times New Roman"/>
                <w:b/>
                <w:color w:val="000000"/>
                <w:sz w:val="22"/>
                <w:szCs w:val="22"/>
              </w:rPr>
            </w:pPr>
            <w:r w:rsidRPr="00CA1F7D">
              <w:rPr>
                <w:rFonts w:eastAsia="Times New Roman" w:cs="Times New Roman"/>
                <w:b/>
                <w:color w:val="000000"/>
                <w:sz w:val="22"/>
                <w:szCs w:val="22"/>
              </w:rPr>
              <w:t>235</w:t>
            </w:r>
          </w:p>
        </w:tc>
      </w:tr>
      <w:tr w:rsidR="008B6181" w:rsidRPr="00DB049D" w14:paraId="22FACB09" w14:textId="77777777" w:rsidTr="00744228">
        <w:trPr>
          <w:trHeight w:val="300"/>
        </w:trPr>
        <w:tc>
          <w:tcPr>
            <w:tcW w:w="1300" w:type="dxa"/>
            <w:noWrap/>
          </w:tcPr>
          <w:p w14:paraId="196E1985" w14:textId="77777777" w:rsidR="008B6181" w:rsidRPr="00CA1F7D" w:rsidRDefault="008B6181" w:rsidP="00744228">
            <w:pPr>
              <w:rPr>
                <w:rFonts w:eastAsia="Times New Roman" w:cs="Times New Roman"/>
                <w:b/>
                <w:bCs/>
                <w:color w:val="000000"/>
                <w:sz w:val="22"/>
                <w:szCs w:val="22"/>
              </w:rPr>
            </w:pPr>
            <w:r w:rsidRPr="00CA1F7D">
              <w:rPr>
                <w:rFonts w:eastAsia="Times New Roman" w:cs="Times New Roman"/>
                <w:bCs/>
                <w:color w:val="000000"/>
                <w:sz w:val="22"/>
                <w:szCs w:val="22"/>
              </w:rPr>
              <w:t>Average Maximum Balance</w:t>
            </w:r>
          </w:p>
        </w:tc>
        <w:tc>
          <w:tcPr>
            <w:tcW w:w="1300" w:type="dxa"/>
            <w:noWrap/>
          </w:tcPr>
          <w:p w14:paraId="2FD5BEE3" w14:textId="77777777" w:rsidR="008B6181" w:rsidRDefault="008B6181" w:rsidP="00744228">
            <w:pPr>
              <w:rPr>
                <w:rFonts w:eastAsia="Times New Roman" w:cs="Times New Roman"/>
                <w:bCs/>
                <w:color w:val="000000"/>
                <w:sz w:val="22"/>
                <w:szCs w:val="22"/>
              </w:rPr>
            </w:pPr>
          </w:p>
          <w:p w14:paraId="3608CD74" w14:textId="77777777" w:rsidR="008B6181" w:rsidRPr="00CA1F7D" w:rsidRDefault="008B6181" w:rsidP="00744228">
            <w:pPr>
              <w:rPr>
                <w:rFonts w:eastAsia="Times New Roman" w:cs="Times New Roman"/>
                <w:bCs/>
                <w:color w:val="000000"/>
                <w:sz w:val="22"/>
                <w:szCs w:val="22"/>
              </w:rPr>
            </w:pPr>
            <w:r>
              <w:rPr>
                <w:rFonts w:eastAsia="Times New Roman" w:cs="Times New Roman"/>
                <w:bCs/>
                <w:color w:val="000000"/>
                <w:sz w:val="22"/>
                <w:szCs w:val="22"/>
              </w:rPr>
              <w:t>£28 13s 9d</w:t>
            </w:r>
          </w:p>
        </w:tc>
        <w:tc>
          <w:tcPr>
            <w:tcW w:w="1300" w:type="dxa"/>
            <w:noWrap/>
          </w:tcPr>
          <w:p w14:paraId="0ABE9D75" w14:textId="77777777" w:rsidR="008B6181" w:rsidRDefault="008B6181" w:rsidP="00744228">
            <w:pPr>
              <w:rPr>
                <w:rFonts w:eastAsia="Times New Roman" w:cs="Times New Roman"/>
                <w:bCs/>
                <w:color w:val="000000"/>
                <w:sz w:val="22"/>
                <w:szCs w:val="22"/>
              </w:rPr>
            </w:pPr>
          </w:p>
          <w:p w14:paraId="4DAB3B77" w14:textId="77777777" w:rsidR="008B6181" w:rsidRPr="00CA1F7D" w:rsidRDefault="008B6181" w:rsidP="00744228">
            <w:pPr>
              <w:rPr>
                <w:rFonts w:eastAsia="Times New Roman" w:cs="Times New Roman"/>
                <w:bCs/>
                <w:color w:val="000000"/>
                <w:sz w:val="22"/>
                <w:szCs w:val="22"/>
              </w:rPr>
            </w:pPr>
            <w:r>
              <w:rPr>
                <w:rFonts w:eastAsia="Times New Roman" w:cs="Times New Roman"/>
                <w:bCs/>
                <w:color w:val="000000"/>
                <w:sz w:val="22"/>
                <w:szCs w:val="22"/>
              </w:rPr>
              <w:t>£29 7s 5d</w:t>
            </w:r>
          </w:p>
        </w:tc>
        <w:tc>
          <w:tcPr>
            <w:tcW w:w="1300" w:type="dxa"/>
            <w:noWrap/>
          </w:tcPr>
          <w:p w14:paraId="3D151348" w14:textId="77777777" w:rsidR="008B6181" w:rsidRDefault="008B6181" w:rsidP="00744228">
            <w:pPr>
              <w:rPr>
                <w:rFonts w:eastAsia="Times New Roman" w:cs="Times New Roman"/>
                <w:bCs/>
                <w:color w:val="000000"/>
                <w:sz w:val="22"/>
                <w:szCs w:val="22"/>
              </w:rPr>
            </w:pPr>
          </w:p>
          <w:p w14:paraId="6C917CD5" w14:textId="77777777" w:rsidR="008B6181" w:rsidRPr="00CA1F7D" w:rsidRDefault="008B6181" w:rsidP="00744228">
            <w:pPr>
              <w:rPr>
                <w:rFonts w:eastAsia="Times New Roman" w:cs="Times New Roman"/>
                <w:bCs/>
                <w:color w:val="000000"/>
                <w:sz w:val="22"/>
                <w:szCs w:val="22"/>
              </w:rPr>
            </w:pPr>
            <w:r>
              <w:rPr>
                <w:rFonts w:eastAsia="Times New Roman" w:cs="Times New Roman"/>
                <w:bCs/>
                <w:color w:val="000000"/>
                <w:sz w:val="22"/>
                <w:szCs w:val="22"/>
              </w:rPr>
              <w:t>£53 10s 9d</w:t>
            </w:r>
          </w:p>
        </w:tc>
        <w:tc>
          <w:tcPr>
            <w:tcW w:w="1300" w:type="dxa"/>
            <w:noWrap/>
          </w:tcPr>
          <w:p w14:paraId="246EE2C1" w14:textId="77777777" w:rsidR="008B6181" w:rsidRDefault="008B6181" w:rsidP="00744228">
            <w:pPr>
              <w:rPr>
                <w:rFonts w:eastAsia="Times New Roman" w:cs="Times New Roman"/>
                <w:bCs/>
                <w:color w:val="000000"/>
                <w:sz w:val="22"/>
                <w:szCs w:val="22"/>
              </w:rPr>
            </w:pPr>
          </w:p>
          <w:p w14:paraId="4CFDC4D4" w14:textId="77777777" w:rsidR="008B6181" w:rsidRPr="00CA1F7D" w:rsidRDefault="008B6181" w:rsidP="00744228">
            <w:pPr>
              <w:rPr>
                <w:rFonts w:eastAsia="Times New Roman" w:cs="Times New Roman"/>
                <w:bCs/>
                <w:color w:val="000000"/>
                <w:sz w:val="22"/>
                <w:szCs w:val="22"/>
              </w:rPr>
            </w:pPr>
            <w:r>
              <w:rPr>
                <w:rFonts w:eastAsia="Times New Roman" w:cs="Times New Roman"/>
                <w:bCs/>
                <w:color w:val="000000"/>
                <w:sz w:val="22"/>
                <w:szCs w:val="22"/>
              </w:rPr>
              <w:t>£30 2s 6d</w:t>
            </w:r>
          </w:p>
        </w:tc>
        <w:tc>
          <w:tcPr>
            <w:tcW w:w="1300" w:type="dxa"/>
            <w:noWrap/>
          </w:tcPr>
          <w:p w14:paraId="3E74D421" w14:textId="77777777" w:rsidR="008B6181" w:rsidRPr="00CA1F7D" w:rsidRDefault="008B6181" w:rsidP="00744228">
            <w:pPr>
              <w:rPr>
                <w:rFonts w:eastAsia="Times New Roman" w:cs="Times New Roman"/>
                <w:color w:val="000000"/>
                <w:sz w:val="22"/>
                <w:szCs w:val="22"/>
              </w:rPr>
            </w:pPr>
          </w:p>
        </w:tc>
      </w:tr>
      <w:tr w:rsidR="008B6181" w:rsidRPr="00DB049D" w14:paraId="38BA6ACB" w14:textId="77777777" w:rsidTr="00744228">
        <w:trPr>
          <w:trHeight w:val="300"/>
        </w:trPr>
        <w:tc>
          <w:tcPr>
            <w:tcW w:w="1300" w:type="dxa"/>
            <w:noWrap/>
            <w:hideMark/>
          </w:tcPr>
          <w:p w14:paraId="0A4BD1F8" w14:textId="77777777" w:rsidR="008B6181" w:rsidRPr="00CA1F7D" w:rsidRDefault="008B6181" w:rsidP="00744228">
            <w:pPr>
              <w:rPr>
                <w:rFonts w:eastAsia="Times New Roman" w:cs="Times New Roman"/>
                <w:color w:val="000000"/>
                <w:sz w:val="22"/>
                <w:szCs w:val="22"/>
              </w:rPr>
            </w:pPr>
            <w:r w:rsidRPr="00CA1F7D">
              <w:rPr>
                <w:rFonts w:eastAsia="Times New Roman" w:cs="Times New Roman"/>
                <w:color w:val="000000"/>
                <w:sz w:val="22"/>
                <w:szCs w:val="22"/>
              </w:rPr>
              <w:t>I/O</w:t>
            </w:r>
          </w:p>
        </w:tc>
        <w:tc>
          <w:tcPr>
            <w:tcW w:w="1300" w:type="dxa"/>
            <w:noWrap/>
          </w:tcPr>
          <w:p w14:paraId="19C2C554" w14:textId="77777777" w:rsidR="008B6181" w:rsidRPr="00CA1F7D" w:rsidRDefault="008B6181" w:rsidP="00744228">
            <w:pPr>
              <w:rPr>
                <w:rFonts w:eastAsia="Times New Roman" w:cs="Times New Roman"/>
                <w:color w:val="000000"/>
                <w:sz w:val="22"/>
                <w:szCs w:val="22"/>
              </w:rPr>
            </w:pPr>
            <w:r w:rsidRPr="00CA1F7D">
              <w:rPr>
                <w:rFonts w:eastAsia="Times New Roman" w:cs="Times New Roman"/>
                <w:color w:val="000000"/>
                <w:sz w:val="22"/>
                <w:szCs w:val="22"/>
              </w:rPr>
              <w:t>17</w:t>
            </w:r>
          </w:p>
        </w:tc>
        <w:tc>
          <w:tcPr>
            <w:tcW w:w="1300" w:type="dxa"/>
            <w:noWrap/>
          </w:tcPr>
          <w:p w14:paraId="6018DDC3" w14:textId="77777777" w:rsidR="008B6181" w:rsidRPr="00CA1F7D" w:rsidRDefault="008B6181" w:rsidP="00744228">
            <w:pPr>
              <w:rPr>
                <w:rFonts w:eastAsia="Times New Roman" w:cs="Times New Roman"/>
                <w:color w:val="000000"/>
                <w:sz w:val="22"/>
                <w:szCs w:val="22"/>
              </w:rPr>
            </w:pPr>
            <w:r w:rsidRPr="00CA1F7D">
              <w:rPr>
                <w:rFonts w:eastAsia="Times New Roman" w:cs="Times New Roman"/>
                <w:color w:val="000000"/>
                <w:sz w:val="22"/>
                <w:szCs w:val="22"/>
              </w:rPr>
              <w:t>1</w:t>
            </w:r>
          </w:p>
        </w:tc>
        <w:tc>
          <w:tcPr>
            <w:tcW w:w="1300" w:type="dxa"/>
            <w:noWrap/>
          </w:tcPr>
          <w:p w14:paraId="35006F29" w14:textId="77777777" w:rsidR="008B6181" w:rsidRPr="00CA1F7D" w:rsidRDefault="008B6181" w:rsidP="00744228">
            <w:pPr>
              <w:rPr>
                <w:rFonts w:eastAsia="Times New Roman" w:cs="Times New Roman"/>
                <w:color w:val="000000"/>
                <w:sz w:val="22"/>
                <w:szCs w:val="22"/>
              </w:rPr>
            </w:pPr>
            <w:r w:rsidRPr="00CA1F7D">
              <w:rPr>
                <w:rFonts w:eastAsia="Times New Roman" w:cs="Times New Roman"/>
                <w:color w:val="000000"/>
                <w:sz w:val="22"/>
                <w:szCs w:val="22"/>
              </w:rPr>
              <w:t>9</w:t>
            </w:r>
          </w:p>
        </w:tc>
        <w:tc>
          <w:tcPr>
            <w:tcW w:w="1300" w:type="dxa"/>
            <w:noWrap/>
          </w:tcPr>
          <w:p w14:paraId="6CB55241" w14:textId="77777777" w:rsidR="008B6181" w:rsidRPr="00CA1F7D" w:rsidRDefault="008B6181" w:rsidP="00744228">
            <w:pPr>
              <w:rPr>
                <w:rFonts w:eastAsia="Times New Roman" w:cs="Times New Roman"/>
                <w:color w:val="000000"/>
                <w:sz w:val="22"/>
                <w:szCs w:val="22"/>
              </w:rPr>
            </w:pPr>
            <w:r w:rsidRPr="00CA1F7D">
              <w:rPr>
                <w:rFonts w:eastAsia="Times New Roman" w:cs="Times New Roman"/>
                <w:color w:val="000000"/>
                <w:sz w:val="22"/>
                <w:szCs w:val="22"/>
              </w:rPr>
              <w:t>12</w:t>
            </w:r>
          </w:p>
        </w:tc>
        <w:tc>
          <w:tcPr>
            <w:tcW w:w="1300" w:type="dxa"/>
            <w:noWrap/>
          </w:tcPr>
          <w:p w14:paraId="03218A11" w14:textId="77777777" w:rsidR="008B6181" w:rsidRPr="00CA1F7D" w:rsidRDefault="008B6181" w:rsidP="00744228">
            <w:pPr>
              <w:rPr>
                <w:rFonts w:eastAsia="Times New Roman" w:cs="Times New Roman"/>
                <w:color w:val="000000"/>
                <w:sz w:val="22"/>
                <w:szCs w:val="22"/>
              </w:rPr>
            </w:pPr>
            <w:r w:rsidRPr="00CA1F7D">
              <w:rPr>
                <w:rFonts w:eastAsia="Times New Roman" w:cs="Times New Roman"/>
                <w:color w:val="000000"/>
                <w:sz w:val="22"/>
                <w:szCs w:val="22"/>
              </w:rPr>
              <w:t>39</w:t>
            </w:r>
          </w:p>
        </w:tc>
      </w:tr>
      <w:tr w:rsidR="008B6181" w:rsidRPr="00DB049D" w14:paraId="2FF75E27" w14:textId="77777777" w:rsidTr="00744228">
        <w:trPr>
          <w:trHeight w:val="300"/>
        </w:trPr>
        <w:tc>
          <w:tcPr>
            <w:tcW w:w="1300" w:type="dxa"/>
            <w:noWrap/>
            <w:hideMark/>
          </w:tcPr>
          <w:p w14:paraId="629FC590" w14:textId="77777777" w:rsidR="008B6181" w:rsidRPr="00CA1F7D" w:rsidRDefault="008B6181" w:rsidP="00744228">
            <w:pPr>
              <w:rPr>
                <w:rFonts w:eastAsia="Times New Roman" w:cs="Times New Roman"/>
                <w:color w:val="000000"/>
                <w:sz w:val="22"/>
                <w:szCs w:val="22"/>
              </w:rPr>
            </w:pPr>
            <w:r w:rsidRPr="00CA1F7D">
              <w:rPr>
                <w:rFonts w:eastAsia="Times New Roman" w:cs="Times New Roman"/>
                <w:color w:val="000000"/>
                <w:sz w:val="22"/>
                <w:szCs w:val="22"/>
              </w:rPr>
              <w:t>Acc</w:t>
            </w:r>
          </w:p>
        </w:tc>
        <w:tc>
          <w:tcPr>
            <w:tcW w:w="1300" w:type="dxa"/>
            <w:noWrap/>
          </w:tcPr>
          <w:p w14:paraId="266B11A9" w14:textId="77777777" w:rsidR="008B6181" w:rsidRPr="00CA1F7D" w:rsidRDefault="008B6181" w:rsidP="00744228">
            <w:pPr>
              <w:rPr>
                <w:rFonts w:eastAsia="Times New Roman" w:cs="Times New Roman"/>
                <w:color w:val="000000"/>
                <w:sz w:val="22"/>
                <w:szCs w:val="22"/>
              </w:rPr>
            </w:pPr>
            <w:r w:rsidRPr="00CA1F7D">
              <w:rPr>
                <w:rFonts w:eastAsia="Times New Roman" w:cs="Times New Roman"/>
                <w:color w:val="000000"/>
                <w:sz w:val="22"/>
                <w:szCs w:val="22"/>
              </w:rPr>
              <w:t>38</w:t>
            </w:r>
          </w:p>
        </w:tc>
        <w:tc>
          <w:tcPr>
            <w:tcW w:w="1300" w:type="dxa"/>
            <w:noWrap/>
          </w:tcPr>
          <w:p w14:paraId="74914CE5" w14:textId="77777777" w:rsidR="008B6181" w:rsidRPr="00CA1F7D" w:rsidRDefault="008B6181" w:rsidP="00744228">
            <w:pPr>
              <w:rPr>
                <w:rFonts w:eastAsia="Times New Roman" w:cs="Times New Roman"/>
                <w:color w:val="000000"/>
                <w:sz w:val="22"/>
                <w:szCs w:val="22"/>
              </w:rPr>
            </w:pPr>
            <w:r w:rsidRPr="00CA1F7D">
              <w:rPr>
                <w:rFonts w:eastAsia="Times New Roman" w:cs="Times New Roman"/>
                <w:color w:val="000000"/>
                <w:sz w:val="22"/>
                <w:szCs w:val="22"/>
              </w:rPr>
              <w:t>0</w:t>
            </w:r>
          </w:p>
        </w:tc>
        <w:tc>
          <w:tcPr>
            <w:tcW w:w="1300" w:type="dxa"/>
            <w:noWrap/>
          </w:tcPr>
          <w:p w14:paraId="053FD87E" w14:textId="77777777" w:rsidR="008B6181" w:rsidRPr="00CA1F7D" w:rsidRDefault="008B6181" w:rsidP="00744228">
            <w:pPr>
              <w:rPr>
                <w:rFonts w:eastAsia="Times New Roman" w:cs="Times New Roman"/>
                <w:color w:val="000000"/>
                <w:sz w:val="22"/>
                <w:szCs w:val="22"/>
              </w:rPr>
            </w:pPr>
            <w:r w:rsidRPr="00CA1F7D">
              <w:rPr>
                <w:rFonts w:eastAsia="Times New Roman" w:cs="Times New Roman"/>
                <w:color w:val="000000"/>
                <w:sz w:val="22"/>
                <w:szCs w:val="22"/>
              </w:rPr>
              <w:t>21</w:t>
            </w:r>
          </w:p>
        </w:tc>
        <w:tc>
          <w:tcPr>
            <w:tcW w:w="1300" w:type="dxa"/>
            <w:noWrap/>
          </w:tcPr>
          <w:p w14:paraId="7D611171" w14:textId="77777777" w:rsidR="008B6181" w:rsidRPr="00CA1F7D" w:rsidRDefault="008B6181" w:rsidP="00744228">
            <w:pPr>
              <w:rPr>
                <w:rFonts w:eastAsia="Times New Roman" w:cs="Times New Roman"/>
                <w:color w:val="000000"/>
                <w:sz w:val="22"/>
                <w:szCs w:val="22"/>
              </w:rPr>
            </w:pPr>
            <w:r w:rsidRPr="00CA1F7D">
              <w:rPr>
                <w:rFonts w:eastAsia="Times New Roman" w:cs="Times New Roman"/>
                <w:color w:val="000000"/>
                <w:sz w:val="22"/>
                <w:szCs w:val="22"/>
              </w:rPr>
              <w:t>30</w:t>
            </w:r>
          </w:p>
        </w:tc>
        <w:tc>
          <w:tcPr>
            <w:tcW w:w="1300" w:type="dxa"/>
            <w:noWrap/>
          </w:tcPr>
          <w:p w14:paraId="0FE71AAF" w14:textId="77777777" w:rsidR="008B6181" w:rsidRPr="00CA1F7D" w:rsidRDefault="008B6181" w:rsidP="00744228">
            <w:pPr>
              <w:rPr>
                <w:rFonts w:eastAsia="Times New Roman" w:cs="Times New Roman"/>
                <w:color w:val="000000"/>
                <w:sz w:val="22"/>
                <w:szCs w:val="22"/>
              </w:rPr>
            </w:pPr>
            <w:r w:rsidRPr="00CA1F7D">
              <w:rPr>
                <w:rFonts w:eastAsia="Times New Roman" w:cs="Times New Roman"/>
                <w:color w:val="000000"/>
                <w:sz w:val="22"/>
                <w:szCs w:val="22"/>
              </w:rPr>
              <w:t>89</w:t>
            </w:r>
          </w:p>
        </w:tc>
      </w:tr>
      <w:tr w:rsidR="008B6181" w:rsidRPr="00DB049D" w14:paraId="3653E179" w14:textId="77777777" w:rsidTr="00744228">
        <w:trPr>
          <w:trHeight w:val="300"/>
        </w:trPr>
        <w:tc>
          <w:tcPr>
            <w:tcW w:w="1300" w:type="dxa"/>
            <w:noWrap/>
            <w:hideMark/>
          </w:tcPr>
          <w:p w14:paraId="3FE3C8F2" w14:textId="77777777" w:rsidR="008B6181" w:rsidRPr="00CA1F7D" w:rsidRDefault="008B6181" w:rsidP="00744228">
            <w:pPr>
              <w:rPr>
                <w:rFonts w:eastAsia="Times New Roman" w:cs="Times New Roman"/>
                <w:color w:val="000000"/>
                <w:sz w:val="22"/>
                <w:szCs w:val="22"/>
              </w:rPr>
            </w:pPr>
            <w:r w:rsidRPr="00CA1F7D">
              <w:rPr>
                <w:rFonts w:eastAsia="Times New Roman" w:cs="Times New Roman"/>
                <w:color w:val="000000"/>
                <w:sz w:val="22"/>
                <w:szCs w:val="22"/>
              </w:rPr>
              <w:t>DD</w:t>
            </w:r>
          </w:p>
        </w:tc>
        <w:tc>
          <w:tcPr>
            <w:tcW w:w="1300" w:type="dxa"/>
            <w:noWrap/>
          </w:tcPr>
          <w:p w14:paraId="20A0D065" w14:textId="77777777" w:rsidR="008B6181" w:rsidRPr="00CA1F7D" w:rsidRDefault="008B6181" w:rsidP="00744228">
            <w:pPr>
              <w:rPr>
                <w:rFonts w:eastAsia="Times New Roman" w:cs="Times New Roman"/>
                <w:color w:val="000000"/>
                <w:sz w:val="22"/>
                <w:szCs w:val="22"/>
              </w:rPr>
            </w:pPr>
            <w:r w:rsidRPr="00CA1F7D">
              <w:rPr>
                <w:rFonts w:eastAsia="Times New Roman" w:cs="Times New Roman"/>
                <w:color w:val="000000"/>
                <w:sz w:val="22"/>
                <w:szCs w:val="22"/>
              </w:rPr>
              <w:t>16</w:t>
            </w:r>
          </w:p>
        </w:tc>
        <w:tc>
          <w:tcPr>
            <w:tcW w:w="1300" w:type="dxa"/>
            <w:noWrap/>
          </w:tcPr>
          <w:p w14:paraId="54677C6C" w14:textId="77777777" w:rsidR="008B6181" w:rsidRPr="00CA1F7D" w:rsidRDefault="008B6181" w:rsidP="00744228">
            <w:pPr>
              <w:rPr>
                <w:rFonts w:eastAsia="Times New Roman" w:cs="Times New Roman"/>
                <w:color w:val="000000"/>
                <w:sz w:val="22"/>
                <w:szCs w:val="22"/>
              </w:rPr>
            </w:pPr>
            <w:r w:rsidRPr="00CA1F7D">
              <w:rPr>
                <w:rFonts w:eastAsia="Times New Roman" w:cs="Times New Roman"/>
                <w:color w:val="000000"/>
                <w:sz w:val="22"/>
                <w:szCs w:val="22"/>
              </w:rPr>
              <w:t>0</w:t>
            </w:r>
          </w:p>
        </w:tc>
        <w:tc>
          <w:tcPr>
            <w:tcW w:w="1300" w:type="dxa"/>
            <w:noWrap/>
          </w:tcPr>
          <w:p w14:paraId="211D0AE3" w14:textId="77777777" w:rsidR="008B6181" w:rsidRPr="00CA1F7D" w:rsidRDefault="008B6181" w:rsidP="00744228">
            <w:pPr>
              <w:rPr>
                <w:rFonts w:eastAsia="Times New Roman" w:cs="Times New Roman"/>
                <w:color w:val="000000"/>
                <w:sz w:val="22"/>
                <w:szCs w:val="22"/>
              </w:rPr>
            </w:pPr>
            <w:r w:rsidRPr="00CA1F7D">
              <w:rPr>
                <w:rFonts w:eastAsia="Times New Roman" w:cs="Times New Roman"/>
                <w:color w:val="000000"/>
                <w:sz w:val="22"/>
                <w:szCs w:val="22"/>
              </w:rPr>
              <w:t>0</w:t>
            </w:r>
          </w:p>
        </w:tc>
        <w:tc>
          <w:tcPr>
            <w:tcW w:w="1300" w:type="dxa"/>
            <w:noWrap/>
          </w:tcPr>
          <w:p w14:paraId="72375D29" w14:textId="77777777" w:rsidR="008B6181" w:rsidRPr="00CA1F7D" w:rsidRDefault="008B6181" w:rsidP="00744228">
            <w:pPr>
              <w:rPr>
                <w:rFonts w:eastAsia="Times New Roman" w:cs="Times New Roman"/>
                <w:color w:val="000000"/>
                <w:sz w:val="22"/>
                <w:szCs w:val="22"/>
              </w:rPr>
            </w:pPr>
            <w:r w:rsidRPr="00CA1F7D">
              <w:rPr>
                <w:rFonts w:eastAsia="Times New Roman" w:cs="Times New Roman"/>
                <w:color w:val="000000"/>
                <w:sz w:val="22"/>
                <w:szCs w:val="22"/>
              </w:rPr>
              <w:t>1</w:t>
            </w:r>
          </w:p>
        </w:tc>
        <w:tc>
          <w:tcPr>
            <w:tcW w:w="1300" w:type="dxa"/>
            <w:noWrap/>
          </w:tcPr>
          <w:p w14:paraId="50FDDEA9" w14:textId="77777777" w:rsidR="008B6181" w:rsidRPr="00CA1F7D" w:rsidRDefault="008B6181" w:rsidP="00744228">
            <w:pPr>
              <w:rPr>
                <w:rFonts w:eastAsia="Times New Roman" w:cs="Times New Roman"/>
                <w:color w:val="000000"/>
                <w:sz w:val="22"/>
                <w:szCs w:val="22"/>
              </w:rPr>
            </w:pPr>
            <w:r w:rsidRPr="00CA1F7D">
              <w:rPr>
                <w:rFonts w:eastAsia="Times New Roman" w:cs="Times New Roman"/>
                <w:color w:val="000000"/>
                <w:sz w:val="22"/>
                <w:szCs w:val="22"/>
              </w:rPr>
              <w:t>17</w:t>
            </w:r>
          </w:p>
        </w:tc>
      </w:tr>
      <w:tr w:rsidR="008B6181" w:rsidRPr="00DB049D" w14:paraId="233AFD20" w14:textId="77777777" w:rsidTr="00744228">
        <w:trPr>
          <w:trHeight w:val="300"/>
        </w:trPr>
        <w:tc>
          <w:tcPr>
            <w:tcW w:w="1300" w:type="dxa"/>
            <w:noWrap/>
            <w:hideMark/>
          </w:tcPr>
          <w:p w14:paraId="4AFD9DE5" w14:textId="77777777" w:rsidR="008B6181" w:rsidRPr="00CA1F7D" w:rsidRDefault="008B6181" w:rsidP="00744228">
            <w:pPr>
              <w:rPr>
                <w:rFonts w:eastAsia="Times New Roman" w:cs="Times New Roman"/>
                <w:color w:val="000000"/>
                <w:sz w:val="22"/>
                <w:szCs w:val="22"/>
              </w:rPr>
            </w:pPr>
            <w:r w:rsidRPr="00CA1F7D">
              <w:rPr>
                <w:rFonts w:eastAsia="Times New Roman" w:cs="Times New Roman"/>
                <w:color w:val="000000"/>
                <w:sz w:val="22"/>
                <w:szCs w:val="22"/>
              </w:rPr>
              <w:t>Con</w:t>
            </w:r>
          </w:p>
        </w:tc>
        <w:tc>
          <w:tcPr>
            <w:tcW w:w="1300" w:type="dxa"/>
            <w:noWrap/>
          </w:tcPr>
          <w:p w14:paraId="7E9F4A35" w14:textId="77777777" w:rsidR="008B6181" w:rsidRPr="00CA1F7D" w:rsidRDefault="008B6181" w:rsidP="00744228">
            <w:pPr>
              <w:rPr>
                <w:rFonts w:eastAsia="Times New Roman" w:cs="Times New Roman"/>
                <w:color w:val="000000"/>
                <w:sz w:val="22"/>
                <w:szCs w:val="22"/>
              </w:rPr>
            </w:pPr>
            <w:r w:rsidRPr="00CA1F7D">
              <w:rPr>
                <w:rFonts w:eastAsia="Times New Roman" w:cs="Times New Roman"/>
                <w:color w:val="000000"/>
                <w:sz w:val="22"/>
                <w:szCs w:val="22"/>
              </w:rPr>
              <w:t>44</w:t>
            </w:r>
          </w:p>
        </w:tc>
        <w:tc>
          <w:tcPr>
            <w:tcW w:w="1300" w:type="dxa"/>
            <w:noWrap/>
          </w:tcPr>
          <w:p w14:paraId="3FEEC24C" w14:textId="77777777" w:rsidR="008B6181" w:rsidRPr="00CA1F7D" w:rsidRDefault="008B6181" w:rsidP="00744228">
            <w:pPr>
              <w:rPr>
                <w:rFonts w:eastAsia="Times New Roman" w:cs="Times New Roman"/>
                <w:color w:val="000000"/>
                <w:sz w:val="22"/>
                <w:szCs w:val="22"/>
              </w:rPr>
            </w:pPr>
            <w:r w:rsidRPr="00CA1F7D">
              <w:rPr>
                <w:rFonts w:eastAsia="Times New Roman" w:cs="Times New Roman"/>
                <w:color w:val="000000"/>
                <w:sz w:val="22"/>
                <w:szCs w:val="22"/>
              </w:rPr>
              <w:t>3</w:t>
            </w:r>
          </w:p>
        </w:tc>
        <w:tc>
          <w:tcPr>
            <w:tcW w:w="1300" w:type="dxa"/>
            <w:noWrap/>
          </w:tcPr>
          <w:p w14:paraId="45A0BEF1" w14:textId="77777777" w:rsidR="008B6181" w:rsidRPr="00CA1F7D" w:rsidRDefault="008B6181" w:rsidP="00744228">
            <w:pPr>
              <w:rPr>
                <w:rFonts w:eastAsia="Times New Roman" w:cs="Times New Roman"/>
                <w:color w:val="000000"/>
                <w:sz w:val="22"/>
                <w:szCs w:val="22"/>
              </w:rPr>
            </w:pPr>
            <w:r w:rsidRPr="00CA1F7D">
              <w:rPr>
                <w:rFonts w:eastAsia="Times New Roman" w:cs="Times New Roman"/>
                <w:color w:val="000000"/>
                <w:sz w:val="22"/>
                <w:szCs w:val="22"/>
              </w:rPr>
              <w:t>10</w:t>
            </w:r>
          </w:p>
        </w:tc>
        <w:tc>
          <w:tcPr>
            <w:tcW w:w="1300" w:type="dxa"/>
            <w:noWrap/>
          </w:tcPr>
          <w:p w14:paraId="42C9FB84" w14:textId="77777777" w:rsidR="008B6181" w:rsidRPr="00CA1F7D" w:rsidRDefault="008B6181" w:rsidP="00744228">
            <w:pPr>
              <w:rPr>
                <w:rFonts w:eastAsia="Times New Roman" w:cs="Times New Roman"/>
                <w:color w:val="000000"/>
                <w:sz w:val="22"/>
                <w:szCs w:val="22"/>
              </w:rPr>
            </w:pPr>
            <w:r w:rsidRPr="00CA1F7D">
              <w:rPr>
                <w:rFonts w:eastAsia="Times New Roman" w:cs="Times New Roman"/>
                <w:color w:val="000000"/>
                <w:sz w:val="22"/>
                <w:szCs w:val="22"/>
              </w:rPr>
              <w:t>33</w:t>
            </w:r>
          </w:p>
        </w:tc>
        <w:tc>
          <w:tcPr>
            <w:tcW w:w="1300" w:type="dxa"/>
            <w:noWrap/>
          </w:tcPr>
          <w:p w14:paraId="59C2DA3B" w14:textId="77777777" w:rsidR="008B6181" w:rsidRPr="00CA1F7D" w:rsidRDefault="008B6181" w:rsidP="00744228">
            <w:pPr>
              <w:rPr>
                <w:rFonts w:eastAsia="Times New Roman" w:cs="Times New Roman"/>
                <w:color w:val="000000"/>
                <w:sz w:val="22"/>
                <w:szCs w:val="22"/>
              </w:rPr>
            </w:pPr>
            <w:r w:rsidRPr="00CA1F7D">
              <w:rPr>
                <w:rFonts w:eastAsia="Times New Roman" w:cs="Times New Roman"/>
                <w:color w:val="000000"/>
                <w:sz w:val="22"/>
                <w:szCs w:val="22"/>
              </w:rPr>
              <w:t>90</w:t>
            </w:r>
          </w:p>
        </w:tc>
      </w:tr>
    </w:tbl>
    <w:p w14:paraId="290D797C" w14:textId="77777777" w:rsidR="008B6181" w:rsidRDefault="008B6181" w:rsidP="00A2553D">
      <w:pPr>
        <w:jc w:val="both"/>
        <w:rPr>
          <w:rFonts w:eastAsiaTheme="minorEastAsia" w:cs="Times New Roman"/>
          <w:sz w:val="24"/>
        </w:rPr>
      </w:pPr>
    </w:p>
    <w:p w14:paraId="04FA611E" w14:textId="77777777" w:rsidR="008B6181" w:rsidRPr="00D872C3" w:rsidRDefault="008B6181" w:rsidP="00A2553D">
      <w:pPr>
        <w:pStyle w:val="Caption"/>
        <w:rPr>
          <w:rFonts w:eastAsiaTheme="minorEastAsia" w:cs="Times New Roman"/>
        </w:rPr>
      </w:pPr>
      <w:r>
        <w:rPr>
          <w:rFonts w:eastAsiaTheme="minorEastAsia" w:cs="Times New Roman"/>
        </w:rPr>
        <w:t>Table 4</w:t>
      </w:r>
      <w:r w:rsidRPr="00D872C3">
        <w:rPr>
          <w:rFonts w:eastAsiaTheme="minorEastAsia" w:cs="Times New Roman"/>
        </w:rPr>
        <w:t xml:space="preserve">: </w:t>
      </w:r>
      <w:r>
        <w:rPr>
          <w:rFonts w:eastAsiaTheme="minorEastAsia" w:cs="Times New Roman"/>
        </w:rPr>
        <w:t xml:space="preserve">Bury </w:t>
      </w:r>
      <w:r w:rsidRPr="00D872C3">
        <w:rPr>
          <w:rFonts w:eastAsiaTheme="minorEastAsia" w:cs="Times New Roman"/>
        </w:rPr>
        <w:t>(185</w:t>
      </w:r>
      <w:r>
        <w:rPr>
          <w:rFonts w:eastAsiaTheme="minorEastAsia" w:cs="Times New Roman"/>
        </w:rPr>
        <w:t xml:space="preserve">5 and 1865) </w:t>
      </w:r>
      <w:r w:rsidRPr="00D872C3">
        <w:t>account usage and average maximum balance for each adult saver category</w:t>
      </w:r>
    </w:p>
    <w:p w14:paraId="146C71ED" w14:textId="77777777" w:rsidR="008B6181" w:rsidRDefault="008B6181"/>
    <w:p w14:paraId="4E71A8F0" w14:textId="77777777" w:rsidR="002A335E" w:rsidRPr="00CA2912" w:rsidRDefault="002A335E" w:rsidP="003F15AA">
      <w:pPr>
        <w:pStyle w:val="EndnoteText"/>
        <w:rPr>
          <w:rFonts w:ascii="Times New Roman" w:hAnsi="Times New Roman" w:cs="Times New Roman"/>
          <w:sz w:val="22"/>
          <w:szCs w:val="22"/>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ode">
    <w:altName w:val="Code"/>
    <w:panose1 w:val="00000000000000000000"/>
    <w:charset w:val="00"/>
    <w:family w:val="swiss"/>
    <w:notTrueType/>
    <w:pitch w:val="default"/>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1200C" w14:textId="77777777" w:rsidR="002A335E" w:rsidRDefault="002A335E" w:rsidP="004370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17345F" w14:textId="77777777" w:rsidR="002A335E" w:rsidRDefault="002A335E" w:rsidP="0043701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7583D" w14:textId="77777777" w:rsidR="002A335E" w:rsidRDefault="002A335E" w:rsidP="004370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B6181">
      <w:rPr>
        <w:rStyle w:val="PageNumber"/>
        <w:noProof/>
      </w:rPr>
      <w:t>24</w:t>
    </w:r>
    <w:r>
      <w:rPr>
        <w:rStyle w:val="PageNumber"/>
      </w:rPr>
      <w:fldChar w:fldCharType="end"/>
    </w:r>
  </w:p>
  <w:p w14:paraId="2C00DEC6" w14:textId="77777777" w:rsidR="002A335E" w:rsidRDefault="002A335E" w:rsidP="0043701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3FF794" w14:textId="77777777" w:rsidR="002A335E" w:rsidRDefault="002A335E" w:rsidP="00977DAB">
      <w:r>
        <w:separator/>
      </w:r>
    </w:p>
  </w:footnote>
  <w:footnote w:type="continuationSeparator" w:id="0">
    <w:p w14:paraId="78D41F70" w14:textId="77777777" w:rsidR="002A335E" w:rsidRDefault="002A335E" w:rsidP="00977DA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BDD5AC" w14:textId="77777777" w:rsidR="002A335E" w:rsidRPr="00437015" w:rsidRDefault="002A335E" w:rsidP="00437015">
    <w:pPr>
      <w:jc w:val="center"/>
      <w:rPr>
        <w:b/>
        <w:sz w:val="24"/>
      </w:rPr>
    </w:pPr>
    <w:r w:rsidRPr="00437015">
      <w:rPr>
        <w:b/>
        <w:sz w:val="24"/>
      </w:rPr>
      <w:t>Working-class hou</w:t>
    </w:r>
    <w:r>
      <w:rPr>
        <w:b/>
        <w:sz w:val="24"/>
      </w:rPr>
      <w:t xml:space="preserve">seholds and savings in England </w:t>
    </w:r>
    <w:r w:rsidRPr="00437015">
      <w:rPr>
        <w:b/>
        <w:sz w:val="24"/>
      </w:rPr>
      <w:t>1850-1880</w:t>
    </w:r>
  </w:p>
  <w:p w14:paraId="7FBADA22" w14:textId="77777777" w:rsidR="002A335E" w:rsidRDefault="002A335E">
    <w:pPr>
      <w:pStyle w:val="Header"/>
    </w:pPr>
  </w:p>
  <w:p w14:paraId="3E4F4276" w14:textId="77777777" w:rsidR="002A335E" w:rsidRDefault="002A335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F2851"/>
    <w:multiLevelType w:val="hybridMultilevel"/>
    <w:tmpl w:val="E4785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5061E5"/>
    <w:multiLevelType w:val="hybridMultilevel"/>
    <w:tmpl w:val="AF26F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CE3FF0"/>
    <w:multiLevelType w:val="hybridMultilevel"/>
    <w:tmpl w:val="7786CE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E6331C"/>
    <w:multiLevelType w:val="hybridMultilevel"/>
    <w:tmpl w:val="E668C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E72D67"/>
    <w:multiLevelType w:val="hybridMultilevel"/>
    <w:tmpl w:val="02D61B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21B1411"/>
    <w:multiLevelType w:val="hybridMultilevel"/>
    <w:tmpl w:val="AF40CA7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nsid w:val="23B505E6"/>
    <w:multiLevelType w:val="hybridMultilevel"/>
    <w:tmpl w:val="77FA55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8203B7"/>
    <w:multiLevelType w:val="hybridMultilevel"/>
    <w:tmpl w:val="79C848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380133B"/>
    <w:multiLevelType w:val="hybridMultilevel"/>
    <w:tmpl w:val="E7589C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AD7196"/>
    <w:multiLevelType w:val="hybridMultilevel"/>
    <w:tmpl w:val="98708C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C36798"/>
    <w:multiLevelType w:val="hybridMultilevel"/>
    <w:tmpl w:val="23503D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8"/>
  </w:num>
  <w:num w:numId="5">
    <w:abstractNumId w:val="6"/>
  </w:num>
  <w:num w:numId="6">
    <w:abstractNumId w:val="10"/>
  </w:num>
  <w:num w:numId="7">
    <w:abstractNumId w:val="7"/>
  </w:num>
  <w:num w:numId="8">
    <w:abstractNumId w:val="9"/>
  </w:num>
  <w:num w:numId="9">
    <w:abstractNumId w:val="2"/>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oNotTrackFormatting/>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6BE"/>
    <w:rsid w:val="000009D7"/>
    <w:rsid w:val="000030B6"/>
    <w:rsid w:val="00003763"/>
    <w:rsid w:val="00007797"/>
    <w:rsid w:val="000113D9"/>
    <w:rsid w:val="00020B02"/>
    <w:rsid w:val="00022608"/>
    <w:rsid w:val="00022FBC"/>
    <w:rsid w:val="00024B62"/>
    <w:rsid w:val="000259C9"/>
    <w:rsid w:val="000314DF"/>
    <w:rsid w:val="000323A4"/>
    <w:rsid w:val="00034087"/>
    <w:rsid w:val="00035724"/>
    <w:rsid w:val="00037767"/>
    <w:rsid w:val="00051B91"/>
    <w:rsid w:val="00055B9F"/>
    <w:rsid w:val="00056631"/>
    <w:rsid w:val="000611FE"/>
    <w:rsid w:val="000626A5"/>
    <w:rsid w:val="0006421C"/>
    <w:rsid w:val="00065A61"/>
    <w:rsid w:val="00065E87"/>
    <w:rsid w:val="000672C7"/>
    <w:rsid w:val="000747E1"/>
    <w:rsid w:val="00075CDE"/>
    <w:rsid w:val="00076981"/>
    <w:rsid w:val="00080AA8"/>
    <w:rsid w:val="0008212D"/>
    <w:rsid w:val="00085843"/>
    <w:rsid w:val="00086078"/>
    <w:rsid w:val="00090497"/>
    <w:rsid w:val="000960C5"/>
    <w:rsid w:val="00096F3E"/>
    <w:rsid w:val="000A6243"/>
    <w:rsid w:val="000A6E97"/>
    <w:rsid w:val="000A7888"/>
    <w:rsid w:val="000B182B"/>
    <w:rsid w:val="000B6522"/>
    <w:rsid w:val="000C2AD4"/>
    <w:rsid w:val="000C50DA"/>
    <w:rsid w:val="000D275D"/>
    <w:rsid w:val="000D3BB3"/>
    <w:rsid w:val="000D6AA7"/>
    <w:rsid w:val="000E0998"/>
    <w:rsid w:val="000E0BB3"/>
    <w:rsid w:val="000E41AC"/>
    <w:rsid w:val="000F02C4"/>
    <w:rsid w:val="000F04A9"/>
    <w:rsid w:val="000F1811"/>
    <w:rsid w:val="000F4406"/>
    <w:rsid w:val="000F4FCF"/>
    <w:rsid w:val="000F53EC"/>
    <w:rsid w:val="000F5FD8"/>
    <w:rsid w:val="000F7F90"/>
    <w:rsid w:val="0010241A"/>
    <w:rsid w:val="001027BE"/>
    <w:rsid w:val="001110CC"/>
    <w:rsid w:val="001111B1"/>
    <w:rsid w:val="00111406"/>
    <w:rsid w:val="0011527B"/>
    <w:rsid w:val="00116013"/>
    <w:rsid w:val="00117E54"/>
    <w:rsid w:val="00120F6A"/>
    <w:rsid w:val="00122EEA"/>
    <w:rsid w:val="001232A3"/>
    <w:rsid w:val="00126C5A"/>
    <w:rsid w:val="0012771A"/>
    <w:rsid w:val="00130829"/>
    <w:rsid w:val="00130EDC"/>
    <w:rsid w:val="0013719A"/>
    <w:rsid w:val="00137D87"/>
    <w:rsid w:val="0014300D"/>
    <w:rsid w:val="00145836"/>
    <w:rsid w:val="001508E9"/>
    <w:rsid w:val="00151412"/>
    <w:rsid w:val="00151F95"/>
    <w:rsid w:val="00152116"/>
    <w:rsid w:val="001529A2"/>
    <w:rsid w:val="00160BB8"/>
    <w:rsid w:val="001634EA"/>
    <w:rsid w:val="00167278"/>
    <w:rsid w:val="00170E00"/>
    <w:rsid w:val="0017137B"/>
    <w:rsid w:val="0017137D"/>
    <w:rsid w:val="00172A84"/>
    <w:rsid w:val="0017447C"/>
    <w:rsid w:val="001755F2"/>
    <w:rsid w:val="00177506"/>
    <w:rsid w:val="001A0A2A"/>
    <w:rsid w:val="001A5CAC"/>
    <w:rsid w:val="001A6D31"/>
    <w:rsid w:val="001A7182"/>
    <w:rsid w:val="001A72EF"/>
    <w:rsid w:val="001B08CA"/>
    <w:rsid w:val="001C02B1"/>
    <w:rsid w:val="001C0AC9"/>
    <w:rsid w:val="001C1FE9"/>
    <w:rsid w:val="001C3904"/>
    <w:rsid w:val="001C3A79"/>
    <w:rsid w:val="001C3B33"/>
    <w:rsid w:val="001C4973"/>
    <w:rsid w:val="001D0418"/>
    <w:rsid w:val="001D3A20"/>
    <w:rsid w:val="001E375D"/>
    <w:rsid w:val="001E3B44"/>
    <w:rsid w:val="001F53EE"/>
    <w:rsid w:val="0020331D"/>
    <w:rsid w:val="00203878"/>
    <w:rsid w:val="00205CD9"/>
    <w:rsid w:val="00206B9D"/>
    <w:rsid w:val="0020735E"/>
    <w:rsid w:val="00210A53"/>
    <w:rsid w:val="00213557"/>
    <w:rsid w:val="00216514"/>
    <w:rsid w:val="00217811"/>
    <w:rsid w:val="0022020D"/>
    <w:rsid w:val="002228C9"/>
    <w:rsid w:val="002237AD"/>
    <w:rsid w:val="00223F50"/>
    <w:rsid w:val="00225AB0"/>
    <w:rsid w:val="00226AD7"/>
    <w:rsid w:val="002300A8"/>
    <w:rsid w:val="00233B68"/>
    <w:rsid w:val="00235FF5"/>
    <w:rsid w:val="002370BA"/>
    <w:rsid w:val="00237990"/>
    <w:rsid w:val="00240509"/>
    <w:rsid w:val="002426DE"/>
    <w:rsid w:val="002426E3"/>
    <w:rsid w:val="00243597"/>
    <w:rsid w:val="002435DD"/>
    <w:rsid w:val="002473A8"/>
    <w:rsid w:val="002549ED"/>
    <w:rsid w:val="00256D0C"/>
    <w:rsid w:val="002576A4"/>
    <w:rsid w:val="00260D0F"/>
    <w:rsid w:val="0026273B"/>
    <w:rsid w:val="002701EF"/>
    <w:rsid w:val="00271EF1"/>
    <w:rsid w:val="00272B2C"/>
    <w:rsid w:val="00273532"/>
    <w:rsid w:val="00274914"/>
    <w:rsid w:val="0027606E"/>
    <w:rsid w:val="00286C34"/>
    <w:rsid w:val="00292D94"/>
    <w:rsid w:val="0029437F"/>
    <w:rsid w:val="002A27F5"/>
    <w:rsid w:val="002A335E"/>
    <w:rsid w:val="002A5F24"/>
    <w:rsid w:val="002A60F3"/>
    <w:rsid w:val="002A68D9"/>
    <w:rsid w:val="002A70FD"/>
    <w:rsid w:val="002B43C6"/>
    <w:rsid w:val="002B5E31"/>
    <w:rsid w:val="002C10C6"/>
    <w:rsid w:val="002C357C"/>
    <w:rsid w:val="002C5850"/>
    <w:rsid w:val="002C6C34"/>
    <w:rsid w:val="002D2D11"/>
    <w:rsid w:val="002D2F02"/>
    <w:rsid w:val="002D494B"/>
    <w:rsid w:val="002D60EC"/>
    <w:rsid w:val="002E1E89"/>
    <w:rsid w:val="002E66BF"/>
    <w:rsid w:val="002F231E"/>
    <w:rsid w:val="00300FD0"/>
    <w:rsid w:val="0030496E"/>
    <w:rsid w:val="00306A4E"/>
    <w:rsid w:val="003071FC"/>
    <w:rsid w:val="0031313A"/>
    <w:rsid w:val="00316AA3"/>
    <w:rsid w:val="0032211B"/>
    <w:rsid w:val="00322811"/>
    <w:rsid w:val="003242FC"/>
    <w:rsid w:val="00326193"/>
    <w:rsid w:val="0032726A"/>
    <w:rsid w:val="0032744C"/>
    <w:rsid w:val="00330F31"/>
    <w:rsid w:val="0033207D"/>
    <w:rsid w:val="0033221B"/>
    <w:rsid w:val="00332A0F"/>
    <w:rsid w:val="00332D4E"/>
    <w:rsid w:val="003357CF"/>
    <w:rsid w:val="00341FBB"/>
    <w:rsid w:val="00345793"/>
    <w:rsid w:val="003534FC"/>
    <w:rsid w:val="0035399A"/>
    <w:rsid w:val="00355C75"/>
    <w:rsid w:val="0036071E"/>
    <w:rsid w:val="00361867"/>
    <w:rsid w:val="00367D80"/>
    <w:rsid w:val="00370962"/>
    <w:rsid w:val="003730DF"/>
    <w:rsid w:val="00374D1A"/>
    <w:rsid w:val="00375AA5"/>
    <w:rsid w:val="00382F7C"/>
    <w:rsid w:val="0038351A"/>
    <w:rsid w:val="003904F1"/>
    <w:rsid w:val="00391435"/>
    <w:rsid w:val="00395A01"/>
    <w:rsid w:val="003A0349"/>
    <w:rsid w:val="003A0F02"/>
    <w:rsid w:val="003A2C7F"/>
    <w:rsid w:val="003A3376"/>
    <w:rsid w:val="003A7E8B"/>
    <w:rsid w:val="003B7261"/>
    <w:rsid w:val="003C3256"/>
    <w:rsid w:val="003C502D"/>
    <w:rsid w:val="003C677D"/>
    <w:rsid w:val="003D1DBA"/>
    <w:rsid w:val="003D5E40"/>
    <w:rsid w:val="003E08B0"/>
    <w:rsid w:val="003E4511"/>
    <w:rsid w:val="003F05C1"/>
    <w:rsid w:val="003F0B62"/>
    <w:rsid w:val="003F15AA"/>
    <w:rsid w:val="003F1F3D"/>
    <w:rsid w:val="003F39CB"/>
    <w:rsid w:val="003F416D"/>
    <w:rsid w:val="003F4AA6"/>
    <w:rsid w:val="003F4ED2"/>
    <w:rsid w:val="003F53FD"/>
    <w:rsid w:val="00407DA8"/>
    <w:rsid w:val="00413953"/>
    <w:rsid w:val="00413BA2"/>
    <w:rsid w:val="004154C4"/>
    <w:rsid w:val="00415954"/>
    <w:rsid w:val="0042290E"/>
    <w:rsid w:val="00430BDF"/>
    <w:rsid w:val="0043389D"/>
    <w:rsid w:val="00433A9C"/>
    <w:rsid w:val="00437015"/>
    <w:rsid w:val="00440481"/>
    <w:rsid w:val="004412B4"/>
    <w:rsid w:val="004446EC"/>
    <w:rsid w:val="004446F1"/>
    <w:rsid w:val="004460A2"/>
    <w:rsid w:val="00447195"/>
    <w:rsid w:val="00447B33"/>
    <w:rsid w:val="00452637"/>
    <w:rsid w:val="00453636"/>
    <w:rsid w:val="0046457C"/>
    <w:rsid w:val="00465066"/>
    <w:rsid w:val="00471D6A"/>
    <w:rsid w:val="00472779"/>
    <w:rsid w:val="00472EFD"/>
    <w:rsid w:val="004734A5"/>
    <w:rsid w:val="0047362A"/>
    <w:rsid w:val="00473896"/>
    <w:rsid w:val="00473997"/>
    <w:rsid w:val="0047454C"/>
    <w:rsid w:val="004800E9"/>
    <w:rsid w:val="00483736"/>
    <w:rsid w:val="00483F23"/>
    <w:rsid w:val="0048647D"/>
    <w:rsid w:val="00487492"/>
    <w:rsid w:val="00490A40"/>
    <w:rsid w:val="00494083"/>
    <w:rsid w:val="00496A84"/>
    <w:rsid w:val="004A39E9"/>
    <w:rsid w:val="004A48F7"/>
    <w:rsid w:val="004A79EB"/>
    <w:rsid w:val="004B5233"/>
    <w:rsid w:val="004C1168"/>
    <w:rsid w:val="004C2624"/>
    <w:rsid w:val="004C36F8"/>
    <w:rsid w:val="004C4966"/>
    <w:rsid w:val="004D0A0F"/>
    <w:rsid w:val="004D44BE"/>
    <w:rsid w:val="004D4AAE"/>
    <w:rsid w:val="004E1AF7"/>
    <w:rsid w:val="004E3B69"/>
    <w:rsid w:val="004E721D"/>
    <w:rsid w:val="004F2104"/>
    <w:rsid w:val="004F2A39"/>
    <w:rsid w:val="0050107B"/>
    <w:rsid w:val="00501E99"/>
    <w:rsid w:val="00503267"/>
    <w:rsid w:val="00512411"/>
    <w:rsid w:val="00513A2E"/>
    <w:rsid w:val="0051471E"/>
    <w:rsid w:val="0051511D"/>
    <w:rsid w:val="00517139"/>
    <w:rsid w:val="00520857"/>
    <w:rsid w:val="005208FA"/>
    <w:rsid w:val="00523F2B"/>
    <w:rsid w:val="00524FBB"/>
    <w:rsid w:val="00527966"/>
    <w:rsid w:val="00531277"/>
    <w:rsid w:val="00534CF1"/>
    <w:rsid w:val="00535D13"/>
    <w:rsid w:val="005365A7"/>
    <w:rsid w:val="005407C0"/>
    <w:rsid w:val="00541B76"/>
    <w:rsid w:val="00541FA1"/>
    <w:rsid w:val="0054582E"/>
    <w:rsid w:val="005460BA"/>
    <w:rsid w:val="00550255"/>
    <w:rsid w:val="00552FD9"/>
    <w:rsid w:val="00554850"/>
    <w:rsid w:val="005559FA"/>
    <w:rsid w:val="0055782F"/>
    <w:rsid w:val="00566019"/>
    <w:rsid w:val="00570254"/>
    <w:rsid w:val="00570889"/>
    <w:rsid w:val="00571FB3"/>
    <w:rsid w:val="00574E22"/>
    <w:rsid w:val="0057574A"/>
    <w:rsid w:val="00576177"/>
    <w:rsid w:val="005776CF"/>
    <w:rsid w:val="00582333"/>
    <w:rsid w:val="00582AD0"/>
    <w:rsid w:val="00585445"/>
    <w:rsid w:val="0058785A"/>
    <w:rsid w:val="00591627"/>
    <w:rsid w:val="00593885"/>
    <w:rsid w:val="00593B72"/>
    <w:rsid w:val="00594E2D"/>
    <w:rsid w:val="005975CF"/>
    <w:rsid w:val="005A2302"/>
    <w:rsid w:val="005A6857"/>
    <w:rsid w:val="005B56E8"/>
    <w:rsid w:val="005B6DC0"/>
    <w:rsid w:val="005B74B6"/>
    <w:rsid w:val="005C0032"/>
    <w:rsid w:val="005C34BC"/>
    <w:rsid w:val="005D016F"/>
    <w:rsid w:val="005D16EC"/>
    <w:rsid w:val="005D2A25"/>
    <w:rsid w:val="005D3227"/>
    <w:rsid w:val="005D3D27"/>
    <w:rsid w:val="005D469D"/>
    <w:rsid w:val="005D61FD"/>
    <w:rsid w:val="005E15F3"/>
    <w:rsid w:val="005E2FB0"/>
    <w:rsid w:val="005E5A5C"/>
    <w:rsid w:val="005E5D20"/>
    <w:rsid w:val="005F0067"/>
    <w:rsid w:val="005F49D1"/>
    <w:rsid w:val="005F709B"/>
    <w:rsid w:val="00600C85"/>
    <w:rsid w:val="00601067"/>
    <w:rsid w:val="00601915"/>
    <w:rsid w:val="00603A2B"/>
    <w:rsid w:val="00605B22"/>
    <w:rsid w:val="0060780E"/>
    <w:rsid w:val="00607CB7"/>
    <w:rsid w:val="00610D60"/>
    <w:rsid w:val="006171F6"/>
    <w:rsid w:val="006172F3"/>
    <w:rsid w:val="0062021C"/>
    <w:rsid w:val="00620D0B"/>
    <w:rsid w:val="006237C0"/>
    <w:rsid w:val="0063198D"/>
    <w:rsid w:val="00631BEC"/>
    <w:rsid w:val="006325F6"/>
    <w:rsid w:val="00634F73"/>
    <w:rsid w:val="00635F81"/>
    <w:rsid w:val="006430E2"/>
    <w:rsid w:val="0064459F"/>
    <w:rsid w:val="006452BD"/>
    <w:rsid w:val="00646314"/>
    <w:rsid w:val="006466BA"/>
    <w:rsid w:val="00646A34"/>
    <w:rsid w:val="00650F31"/>
    <w:rsid w:val="006539EA"/>
    <w:rsid w:val="006544B3"/>
    <w:rsid w:val="006552E4"/>
    <w:rsid w:val="006622C9"/>
    <w:rsid w:val="00662467"/>
    <w:rsid w:val="00663B04"/>
    <w:rsid w:val="00664568"/>
    <w:rsid w:val="006718CD"/>
    <w:rsid w:val="00672B37"/>
    <w:rsid w:val="006736C1"/>
    <w:rsid w:val="00674A95"/>
    <w:rsid w:val="006759E4"/>
    <w:rsid w:val="00683556"/>
    <w:rsid w:val="006939F0"/>
    <w:rsid w:val="00694578"/>
    <w:rsid w:val="006954C4"/>
    <w:rsid w:val="006A0385"/>
    <w:rsid w:val="006A3199"/>
    <w:rsid w:val="006A3BE0"/>
    <w:rsid w:val="006A4952"/>
    <w:rsid w:val="006B1ED6"/>
    <w:rsid w:val="006C3498"/>
    <w:rsid w:val="006C4834"/>
    <w:rsid w:val="006C4C5D"/>
    <w:rsid w:val="006D1340"/>
    <w:rsid w:val="006D7907"/>
    <w:rsid w:val="006E1172"/>
    <w:rsid w:val="006E1991"/>
    <w:rsid w:val="006E5EFC"/>
    <w:rsid w:val="006E7799"/>
    <w:rsid w:val="006F37A2"/>
    <w:rsid w:val="006F3FED"/>
    <w:rsid w:val="006F5492"/>
    <w:rsid w:val="00701282"/>
    <w:rsid w:val="007018D5"/>
    <w:rsid w:val="00703085"/>
    <w:rsid w:val="0070469C"/>
    <w:rsid w:val="00710E9F"/>
    <w:rsid w:val="007110D3"/>
    <w:rsid w:val="00714115"/>
    <w:rsid w:val="00721D78"/>
    <w:rsid w:val="00721F5B"/>
    <w:rsid w:val="00723A13"/>
    <w:rsid w:val="0072529B"/>
    <w:rsid w:val="00725863"/>
    <w:rsid w:val="00725E49"/>
    <w:rsid w:val="007305B8"/>
    <w:rsid w:val="00735D4D"/>
    <w:rsid w:val="007379E9"/>
    <w:rsid w:val="00740208"/>
    <w:rsid w:val="007430C2"/>
    <w:rsid w:val="00751B3E"/>
    <w:rsid w:val="0075760C"/>
    <w:rsid w:val="0076000D"/>
    <w:rsid w:val="00760669"/>
    <w:rsid w:val="00766A8F"/>
    <w:rsid w:val="0076748B"/>
    <w:rsid w:val="00770971"/>
    <w:rsid w:val="00771465"/>
    <w:rsid w:val="00775C2D"/>
    <w:rsid w:val="0078320A"/>
    <w:rsid w:val="00783FFA"/>
    <w:rsid w:val="007856BE"/>
    <w:rsid w:val="00787651"/>
    <w:rsid w:val="00787A67"/>
    <w:rsid w:val="007B0928"/>
    <w:rsid w:val="007B13BE"/>
    <w:rsid w:val="007B152C"/>
    <w:rsid w:val="007B1AB7"/>
    <w:rsid w:val="007B1F49"/>
    <w:rsid w:val="007B6297"/>
    <w:rsid w:val="007B6B19"/>
    <w:rsid w:val="007C0219"/>
    <w:rsid w:val="007C0523"/>
    <w:rsid w:val="007C2CC7"/>
    <w:rsid w:val="007C33EE"/>
    <w:rsid w:val="007C3F24"/>
    <w:rsid w:val="007D2C85"/>
    <w:rsid w:val="007D687D"/>
    <w:rsid w:val="007E1D18"/>
    <w:rsid w:val="007E46C2"/>
    <w:rsid w:val="007E59AE"/>
    <w:rsid w:val="007E6D60"/>
    <w:rsid w:val="007F19E7"/>
    <w:rsid w:val="007F2D7D"/>
    <w:rsid w:val="007F4133"/>
    <w:rsid w:val="007F5A15"/>
    <w:rsid w:val="007F7FE5"/>
    <w:rsid w:val="008021F9"/>
    <w:rsid w:val="00810D7C"/>
    <w:rsid w:val="00811054"/>
    <w:rsid w:val="00815D79"/>
    <w:rsid w:val="00817420"/>
    <w:rsid w:val="0081771E"/>
    <w:rsid w:val="00820E33"/>
    <w:rsid w:val="00824921"/>
    <w:rsid w:val="00825DFA"/>
    <w:rsid w:val="00825E1E"/>
    <w:rsid w:val="00826789"/>
    <w:rsid w:val="00826C0D"/>
    <w:rsid w:val="00826E57"/>
    <w:rsid w:val="00827DEE"/>
    <w:rsid w:val="00831706"/>
    <w:rsid w:val="00833655"/>
    <w:rsid w:val="00833936"/>
    <w:rsid w:val="008340A0"/>
    <w:rsid w:val="008423D8"/>
    <w:rsid w:val="008430B5"/>
    <w:rsid w:val="00843980"/>
    <w:rsid w:val="00845672"/>
    <w:rsid w:val="00845795"/>
    <w:rsid w:val="00846800"/>
    <w:rsid w:val="00846C3D"/>
    <w:rsid w:val="00847554"/>
    <w:rsid w:val="00853218"/>
    <w:rsid w:val="008559C3"/>
    <w:rsid w:val="00855A6C"/>
    <w:rsid w:val="00855B3D"/>
    <w:rsid w:val="00861093"/>
    <w:rsid w:val="00861BF8"/>
    <w:rsid w:val="00871E2C"/>
    <w:rsid w:val="00872166"/>
    <w:rsid w:val="00872B14"/>
    <w:rsid w:val="008736EF"/>
    <w:rsid w:val="00875DC5"/>
    <w:rsid w:val="00876A6B"/>
    <w:rsid w:val="0088214B"/>
    <w:rsid w:val="0088280D"/>
    <w:rsid w:val="00885D62"/>
    <w:rsid w:val="008900E2"/>
    <w:rsid w:val="008938A1"/>
    <w:rsid w:val="00894C4E"/>
    <w:rsid w:val="008951EC"/>
    <w:rsid w:val="008954A8"/>
    <w:rsid w:val="008976A5"/>
    <w:rsid w:val="00897B84"/>
    <w:rsid w:val="008A1168"/>
    <w:rsid w:val="008A2E3C"/>
    <w:rsid w:val="008A31AC"/>
    <w:rsid w:val="008A33ED"/>
    <w:rsid w:val="008A5C51"/>
    <w:rsid w:val="008A5F02"/>
    <w:rsid w:val="008A6F6E"/>
    <w:rsid w:val="008B1171"/>
    <w:rsid w:val="008B1707"/>
    <w:rsid w:val="008B4B0F"/>
    <w:rsid w:val="008B6181"/>
    <w:rsid w:val="008C76D4"/>
    <w:rsid w:val="008D31A5"/>
    <w:rsid w:val="008D397B"/>
    <w:rsid w:val="008D77E1"/>
    <w:rsid w:val="008D7874"/>
    <w:rsid w:val="008E072D"/>
    <w:rsid w:val="008E3D06"/>
    <w:rsid w:val="008E6509"/>
    <w:rsid w:val="008F05DF"/>
    <w:rsid w:val="008F1259"/>
    <w:rsid w:val="008F31C4"/>
    <w:rsid w:val="008F43D6"/>
    <w:rsid w:val="00902808"/>
    <w:rsid w:val="00903C7C"/>
    <w:rsid w:val="00906F48"/>
    <w:rsid w:val="00917795"/>
    <w:rsid w:val="00920B28"/>
    <w:rsid w:val="009219F1"/>
    <w:rsid w:val="0092260A"/>
    <w:rsid w:val="00924945"/>
    <w:rsid w:val="00924BC6"/>
    <w:rsid w:val="00925306"/>
    <w:rsid w:val="00926E4D"/>
    <w:rsid w:val="009330AA"/>
    <w:rsid w:val="00935758"/>
    <w:rsid w:val="00936387"/>
    <w:rsid w:val="00940822"/>
    <w:rsid w:val="00940D22"/>
    <w:rsid w:val="009419FE"/>
    <w:rsid w:val="009446E9"/>
    <w:rsid w:val="00944817"/>
    <w:rsid w:val="0094611C"/>
    <w:rsid w:val="00950317"/>
    <w:rsid w:val="009522F7"/>
    <w:rsid w:val="00953023"/>
    <w:rsid w:val="00953E7E"/>
    <w:rsid w:val="009552C8"/>
    <w:rsid w:val="00957EEA"/>
    <w:rsid w:val="00963A61"/>
    <w:rsid w:val="009651A2"/>
    <w:rsid w:val="00965C63"/>
    <w:rsid w:val="00965EFB"/>
    <w:rsid w:val="00965F0D"/>
    <w:rsid w:val="00972115"/>
    <w:rsid w:val="009726D8"/>
    <w:rsid w:val="009758CE"/>
    <w:rsid w:val="00975EBF"/>
    <w:rsid w:val="00977DAB"/>
    <w:rsid w:val="00980514"/>
    <w:rsid w:val="0098179A"/>
    <w:rsid w:val="009852C5"/>
    <w:rsid w:val="00985B06"/>
    <w:rsid w:val="00987BEF"/>
    <w:rsid w:val="00990480"/>
    <w:rsid w:val="0099143B"/>
    <w:rsid w:val="009958FA"/>
    <w:rsid w:val="00997F24"/>
    <w:rsid w:val="009A075E"/>
    <w:rsid w:val="009A0E99"/>
    <w:rsid w:val="009A19EF"/>
    <w:rsid w:val="009A41CA"/>
    <w:rsid w:val="009A6E18"/>
    <w:rsid w:val="009A75B6"/>
    <w:rsid w:val="009B15D3"/>
    <w:rsid w:val="009B7834"/>
    <w:rsid w:val="009C0C48"/>
    <w:rsid w:val="009C22DB"/>
    <w:rsid w:val="009C2ECA"/>
    <w:rsid w:val="009C3AE9"/>
    <w:rsid w:val="009C43CD"/>
    <w:rsid w:val="009C5E7A"/>
    <w:rsid w:val="009C7084"/>
    <w:rsid w:val="009C7291"/>
    <w:rsid w:val="009D17D9"/>
    <w:rsid w:val="009D3DF9"/>
    <w:rsid w:val="009E1DD0"/>
    <w:rsid w:val="009E4153"/>
    <w:rsid w:val="009E5D43"/>
    <w:rsid w:val="009E5D81"/>
    <w:rsid w:val="009F2A7B"/>
    <w:rsid w:val="009F35E4"/>
    <w:rsid w:val="009F45C6"/>
    <w:rsid w:val="009F62A1"/>
    <w:rsid w:val="009F6340"/>
    <w:rsid w:val="00A02D65"/>
    <w:rsid w:val="00A04D5B"/>
    <w:rsid w:val="00A04DE4"/>
    <w:rsid w:val="00A07A5B"/>
    <w:rsid w:val="00A11FE5"/>
    <w:rsid w:val="00A131BE"/>
    <w:rsid w:val="00A14DE2"/>
    <w:rsid w:val="00A1792C"/>
    <w:rsid w:val="00A17C7A"/>
    <w:rsid w:val="00A20E99"/>
    <w:rsid w:val="00A22E99"/>
    <w:rsid w:val="00A239A0"/>
    <w:rsid w:val="00A24B78"/>
    <w:rsid w:val="00A30FF5"/>
    <w:rsid w:val="00A3137E"/>
    <w:rsid w:val="00A3236E"/>
    <w:rsid w:val="00A32D65"/>
    <w:rsid w:val="00A34FA6"/>
    <w:rsid w:val="00A350AB"/>
    <w:rsid w:val="00A4107B"/>
    <w:rsid w:val="00A417BF"/>
    <w:rsid w:val="00A45C37"/>
    <w:rsid w:val="00A46740"/>
    <w:rsid w:val="00A52377"/>
    <w:rsid w:val="00A57D86"/>
    <w:rsid w:val="00A61501"/>
    <w:rsid w:val="00A62509"/>
    <w:rsid w:val="00A63024"/>
    <w:rsid w:val="00A63F4E"/>
    <w:rsid w:val="00A64BA0"/>
    <w:rsid w:val="00A673A8"/>
    <w:rsid w:val="00A70E04"/>
    <w:rsid w:val="00A7259E"/>
    <w:rsid w:val="00A7459A"/>
    <w:rsid w:val="00A765A7"/>
    <w:rsid w:val="00A769AD"/>
    <w:rsid w:val="00A80731"/>
    <w:rsid w:val="00A951F1"/>
    <w:rsid w:val="00A971C0"/>
    <w:rsid w:val="00AA42E5"/>
    <w:rsid w:val="00AA6F67"/>
    <w:rsid w:val="00AA7326"/>
    <w:rsid w:val="00AB2DEE"/>
    <w:rsid w:val="00AB72AC"/>
    <w:rsid w:val="00AC1B45"/>
    <w:rsid w:val="00AC5A62"/>
    <w:rsid w:val="00AC5E12"/>
    <w:rsid w:val="00AD131A"/>
    <w:rsid w:val="00AD24AC"/>
    <w:rsid w:val="00AD4924"/>
    <w:rsid w:val="00AD54F9"/>
    <w:rsid w:val="00AE1F08"/>
    <w:rsid w:val="00AE596B"/>
    <w:rsid w:val="00AE7ED1"/>
    <w:rsid w:val="00AF0313"/>
    <w:rsid w:val="00AF0355"/>
    <w:rsid w:val="00AF40CE"/>
    <w:rsid w:val="00AF4379"/>
    <w:rsid w:val="00AF6571"/>
    <w:rsid w:val="00AF7A85"/>
    <w:rsid w:val="00B0178C"/>
    <w:rsid w:val="00B05F28"/>
    <w:rsid w:val="00B12062"/>
    <w:rsid w:val="00B12463"/>
    <w:rsid w:val="00B1445D"/>
    <w:rsid w:val="00B2077C"/>
    <w:rsid w:val="00B241F7"/>
    <w:rsid w:val="00B25FF1"/>
    <w:rsid w:val="00B3106D"/>
    <w:rsid w:val="00B31984"/>
    <w:rsid w:val="00B3252A"/>
    <w:rsid w:val="00B3268E"/>
    <w:rsid w:val="00B32EE6"/>
    <w:rsid w:val="00B338B2"/>
    <w:rsid w:val="00B346AC"/>
    <w:rsid w:val="00B371BC"/>
    <w:rsid w:val="00B459AE"/>
    <w:rsid w:val="00B46ECA"/>
    <w:rsid w:val="00B5051F"/>
    <w:rsid w:val="00B512D1"/>
    <w:rsid w:val="00B52F13"/>
    <w:rsid w:val="00B5489E"/>
    <w:rsid w:val="00B5520F"/>
    <w:rsid w:val="00B636B1"/>
    <w:rsid w:val="00B636E4"/>
    <w:rsid w:val="00B66042"/>
    <w:rsid w:val="00B66C83"/>
    <w:rsid w:val="00B71356"/>
    <w:rsid w:val="00B72E50"/>
    <w:rsid w:val="00B7484B"/>
    <w:rsid w:val="00B82AE7"/>
    <w:rsid w:val="00B854B0"/>
    <w:rsid w:val="00B854DC"/>
    <w:rsid w:val="00B86487"/>
    <w:rsid w:val="00B86D4A"/>
    <w:rsid w:val="00B91A6C"/>
    <w:rsid w:val="00B924D7"/>
    <w:rsid w:val="00B935D5"/>
    <w:rsid w:val="00B948DA"/>
    <w:rsid w:val="00B95A8F"/>
    <w:rsid w:val="00BA0171"/>
    <w:rsid w:val="00BA2021"/>
    <w:rsid w:val="00BA2B30"/>
    <w:rsid w:val="00BA2E22"/>
    <w:rsid w:val="00BB5157"/>
    <w:rsid w:val="00BC15C9"/>
    <w:rsid w:val="00BC39B9"/>
    <w:rsid w:val="00BC5967"/>
    <w:rsid w:val="00BC5A2A"/>
    <w:rsid w:val="00BC67D5"/>
    <w:rsid w:val="00BD2320"/>
    <w:rsid w:val="00BD2AD8"/>
    <w:rsid w:val="00BD51F8"/>
    <w:rsid w:val="00BD5772"/>
    <w:rsid w:val="00BD6E75"/>
    <w:rsid w:val="00BE165D"/>
    <w:rsid w:val="00BF0752"/>
    <w:rsid w:val="00BF71E4"/>
    <w:rsid w:val="00C01387"/>
    <w:rsid w:val="00C0215B"/>
    <w:rsid w:val="00C0237C"/>
    <w:rsid w:val="00C03CC6"/>
    <w:rsid w:val="00C124CB"/>
    <w:rsid w:val="00C12A34"/>
    <w:rsid w:val="00C12B34"/>
    <w:rsid w:val="00C13155"/>
    <w:rsid w:val="00C137C3"/>
    <w:rsid w:val="00C14D74"/>
    <w:rsid w:val="00C17FA5"/>
    <w:rsid w:val="00C20EF7"/>
    <w:rsid w:val="00C24323"/>
    <w:rsid w:val="00C251D9"/>
    <w:rsid w:val="00C26535"/>
    <w:rsid w:val="00C26F98"/>
    <w:rsid w:val="00C275CA"/>
    <w:rsid w:val="00C31281"/>
    <w:rsid w:val="00C35077"/>
    <w:rsid w:val="00C37084"/>
    <w:rsid w:val="00C377A1"/>
    <w:rsid w:val="00C425A8"/>
    <w:rsid w:val="00C43F4E"/>
    <w:rsid w:val="00C512BE"/>
    <w:rsid w:val="00C534C2"/>
    <w:rsid w:val="00C56396"/>
    <w:rsid w:val="00C5696F"/>
    <w:rsid w:val="00C574D0"/>
    <w:rsid w:val="00C60E9E"/>
    <w:rsid w:val="00C61273"/>
    <w:rsid w:val="00C61924"/>
    <w:rsid w:val="00C61E83"/>
    <w:rsid w:val="00C66AA1"/>
    <w:rsid w:val="00C74849"/>
    <w:rsid w:val="00C76F3C"/>
    <w:rsid w:val="00C86E65"/>
    <w:rsid w:val="00C96545"/>
    <w:rsid w:val="00CA0716"/>
    <w:rsid w:val="00CA10EC"/>
    <w:rsid w:val="00CA1F7D"/>
    <w:rsid w:val="00CA2540"/>
    <w:rsid w:val="00CA2912"/>
    <w:rsid w:val="00CA4907"/>
    <w:rsid w:val="00CA6D5B"/>
    <w:rsid w:val="00CA7D82"/>
    <w:rsid w:val="00CB0FBE"/>
    <w:rsid w:val="00CB33BC"/>
    <w:rsid w:val="00CB754C"/>
    <w:rsid w:val="00CB7615"/>
    <w:rsid w:val="00CC0B1F"/>
    <w:rsid w:val="00CC46C9"/>
    <w:rsid w:val="00CC6A08"/>
    <w:rsid w:val="00CC7E4A"/>
    <w:rsid w:val="00CD0607"/>
    <w:rsid w:val="00CD24E8"/>
    <w:rsid w:val="00CD545A"/>
    <w:rsid w:val="00CD6801"/>
    <w:rsid w:val="00CD771B"/>
    <w:rsid w:val="00CE1311"/>
    <w:rsid w:val="00CE77FE"/>
    <w:rsid w:val="00CF014C"/>
    <w:rsid w:val="00CF0848"/>
    <w:rsid w:val="00CF1015"/>
    <w:rsid w:val="00CF1242"/>
    <w:rsid w:val="00CF33BF"/>
    <w:rsid w:val="00CF424C"/>
    <w:rsid w:val="00CF44B5"/>
    <w:rsid w:val="00CF45CB"/>
    <w:rsid w:val="00CF58F6"/>
    <w:rsid w:val="00CF7936"/>
    <w:rsid w:val="00D003F6"/>
    <w:rsid w:val="00D02EFE"/>
    <w:rsid w:val="00D03E78"/>
    <w:rsid w:val="00D05281"/>
    <w:rsid w:val="00D12206"/>
    <w:rsid w:val="00D17B60"/>
    <w:rsid w:val="00D21F48"/>
    <w:rsid w:val="00D2444C"/>
    <w:rsid w:val="00D34E0E"/>
    <w:rsid w:val="00D362C7"/>
    <w:rsid w:val="00D40504"/>
    <w:rsid w:val="00D40C7C"/>
    <w:rsid w:val="00D42C4D"/>
    <w:rsid w:val="00D435FC"/>
    <w:rsid w:val="00D4379C"/>
    <w:rsid w:val="00D453E7"/>
    <w:rsid w:val="00D47DCF"/>
    <w:rsid w:val="00D50197"/>
    <w:rsid w:val="00D51783"/>
    <w:rsid w:val="00D56938"/>
    <w:rsid w:val="00D56A3F"/>
    <w:rsid w:val="00D56F95"/>
    <w:rsid w:val="00D60A77"/>
    <w:rsid w:val="00D623EA"/>
    <w:rsid w:val="00D65CFA"/>
    <w:rsid w:val="00D66A82"/>
    <w:rsid w:val="00D720FE"/>
    <w:rsid w:val="00D72E3C"/>
    <w:rsid w:val="00D742CB"/>
    <w:rsid w:val="00D74BBE"/>
    <w:rsid w:val="00D762DE"/>
    <w:rsid w:val="00D8073F"/>
    <w:rsid w:val="00D820A6"/>
    <w:rsid w:val="00D82FC5"/>
    <w:rsid w:val="00D838CF"/>
    <w:rsid w:val="00D872C3"/>
    <w:rsid w:val="00D87568"/>
    <w:rsid w:val="00D877A9"/>
    <w:rsid w:val="00D95B9C"/>
    <w:rsid w:val="00D96330"/>
    <w:rsid w:val="00DA2C6C"/>
    <w:rsid w:val="00DA2C7B"/>
    <w:rsid w:val="00DA544D"/>
    <w:rsid w:val="00DA7E20"/>
    <w:rsid w:val="00DB049D"/>
    <w:rsid w:val="00DB3AE8"/>
    <w:rsid w:val="00DB40FF"/>
    <w:rsid w:val="00DB5830"/>
    <w:rsid w:val="00DC1307"/>
    <w:rsid w:val="00DC31E9"/>
    <w:rsid w:val="00DC56A1"/>
    <w:rsid w:val="00DC681B"/>
    <w:rsid w:val="00DD25E2"/>
    <w:rsid w:val="00DD4D6F"/>
    <w:rsid w:val="00DE18B4"/>
    <w:rsid w:val="00DE3DEA"/>
    <w:rsid w:val="00DE528C"/>
    <w:rsid w:val="00DE53D7"/>
    <w:rsid w:val="00DF0862"/>
    <w:rsid w:val="00DF4F08"/>
    <w:rsid w:val="00DF79F1"/>
    <w:rsid w:val="00E00276"/>
    <w:rsid w:val="00E00D0F"/>
    <w:rsid w:val="00E02040"/>
    <w:rsid w:val="00E03679"/>
    <w:rsid w:val="00E03CBE"/>
    <w:rsid w:val="00E0667A"/>
    <w:rsid w:val="00E06BE6"/>
    <w:rsid w:val="00E07F20"/>
    <w:rsid w:val="00E16157"/>
    <w:rsid w:val="00E200F4"/>
    <w:rsid w:val="00E24707"/>
    <w:rsid w:val="00E260F6"/>
    <w:rsid w:val="00E318F6"/>
    <w:rsid w:val="00E32484"/>
    <w:rsid w:val="00E367D5"/>
    <w:rsid w:val="00E3793E"/>
    <w:rsid w:val="00E421F1"/>
    <w:rsid w:val="00E42F3F"/>
    <w:rsid w:val="00E45A23"/>
    <w:rsid w:val="00E45DDF"/>
    <w:rsid w:val="00E50225"/>
    <w:rsid w:val="00E53D1E"/>
    <w:rsid w:val="00E5448D"/>
    <w:rsid w:val="00E56485"/>
    <w:rsid w:val="00E647E8"/>
    <w:rsid w:val="00E67083"/>
    <w:rsid w:val="00E67479"/>
    <w:rsid w:val="00E71229"/>
    <w:rsid w:val="00E71BA9"/>
    <w:rsid w:val="00E7200E"/>
    <w:rsid w:val="00E74D58"/>
    <w:rsid w:val="00E81151"/>
    <w:rsid w:val="00E83A30"/>
    <w:rsid w:val="00E8546E"/>
    <w:rsid w:val="00E870DA"/>
    <w:rsid w:val="00E92BD9"/>
    <w:rsid w:val="00E92C9A"/>
    <w:rsid w:val="00E975D4"/>
    <w:rsid w:val="00EA15FE"/>
    <w:rsid w:val="00EA781A"/>
    <w:rsid w:val="00EB0562"/>
    <w:rsid w:val="00EB1EA8"/>
    <w:rsid w:val="00EB6E91"/>
    <w:rsid w:val="00EC0DE7"/>
    <w:rsid w:val="00EC2C0E"/>
    <w:rsid w:val="00ED2094"/>
    <w:rsid w:val="00ED6F6E"/>
    <w:rsid w:val="00ED7F57"/>
    <w:rsid w:val="00EF0065"/>
    <w:rsid w:val="00EF1488"/>
    <w:rsid w:val="00EF3605"/>
    <w:rsid w:val="00EF4589"/>
    <w:rsid w:val="00EF5706"/>
    <w:rsid w:val="00F015F4"/>
    <w:rsid w:val="00F02220"/>
    <w:rsid w:val="00F02775"/>
    <w:rsid w:val="00F045C1"/>
    <w:rsid w:val="00F068A9"/>
    <w:rsid w:val="00F07D2B"/>
    <w:rsid w:val="00F11E64"/>
    <w:rsid w:val="00F15F5E"/>
    <w:rsid w:val="00F16C2F"/>
    <w:rsid w:val="00F17547"/>
    <w:rsid w:val="00F177CA"/>
    <w:rsid w:val="00F2026F"/>
    <w:rsid w:val="00F2151F"/>
    <w:rsid w:val="00F21C9A"/>
    <w:rsid w:val="00F24028"/>
    <w:rsid w:val="00F26DBF"/>
    <w:rsid w:val="00F31A5B"/>
    <w:rsid w:val="00F32230"/>
    <w:rsid w:val="00F334F4"/>
    <w:rsid w:val="00F340A9"/>
    <w:rsid w:val="00F34108"/>
    <w:rsid w:val="00F412FC"/>
    <w:rsid w:val="00F414EA"/>
    <w:rsid w:val="00F44B2C"/>
    <w:rsid w:val="00F45F56"/>
    <w:rsid w:val="00F50C86"/>
    <w:rsid w:val="00F51853"/>
    <w:rsid w:val="00F55581"/>
    <w:rsid w:val="00F55AAD"/>
    <w:rsid w:val="00F6300F"/>
    <w:rsid w:val="00F66E69"/>
    <w:rsid w:val="00F7061D"/>
    <w:rsid w:val="00F824F6"/>
    <w:rsid w:val="00F8520F"/>
    <w:rsid w:val="00F85AB9"/>
    <w:rsid w:val="00F86FE9"/>
    <w:rsid w:val="00F8787A"/>
    <w:rsid w:val="00F913A8"/>
    <w:rsid w:val="00F93190"/>
    <w:rsid w:val="00F96840"/>
    <w:rsid w:val="00FA27E3"/>
    <w:rsid w:val="00FA3232"/>
    <w:rsid w:val="00FA577D"/>
    <w:rsid w:val="00FA6285"/>
    <w:rsid w:val="00FB3EBA"/>
    <w:rsid w:val="00FB5658"/>
    <w:rsid w:val="00FC54F0"/>
    <w:rsid w:val="00FC651F"/>
    <w:rsid w:val="00FC75AB"/>
    <w:rsid w:val="00FD1BB8"/>
    <w:rsid w:val="00FD65E4"/>
    <w:rsid w:val="00FE16C4"/>
    <w:rsid w:val="00FE2C01"/>
    <w:rsid w:val="00FE3951"/>
    <w:rsid w:val="00FE567C"/>
    <w:rsid w:val="00FE5768"/>
    <w:rsid w:val="00FE5B78"/>
    <w:rsid w:val="00FF313B"/>
    <w:rsid w:val="00FF32EC"/>
    <w:rsid w:val="00FF49B6"/>
    <w:rsid w:val="00FF559C"/>
    <w:rsid w:val="00FF57F5"/>
    <w:rsid w:val="00FF79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92FE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6BE"/>
    <w:rPr>
      <w:rFonts w:ascii="Times New Roman" w:eastAsiaTheme="minorHAnsi" w:hAnsi="Times New Roman"/>
      <w:sz w:val="20"/>
      <w:lang w:val="en-GB"/>
    </w:rPr>
  </w:style>
  <w:style w:type="paragraph" w:styleId="Heading1">
    <w:name w:val="heading 1"/>
    <w:basedOn w:val="Normal"/>
    <w:link w:val="Heading1Char"/>
    <w:uiPriority w:val="9"/>
    <w:qFormat/>
    <w:rsid w:val="00C0237C"/>
    <w:pPr>
      <w:spacing w:before="100" w:beforeAutospacing="1" w:after="100" w:afterAutospacing="1"/>
      <w:outlineLvl w:val="0"/>
    </w:pPr>
    <w:rPr>
      <w:rFonts w:ascii="Times" w:eastAsiaTheme="minorEastAsia" w:hAnsi="Times"/>
      <w:b/>
      <w:bCs/>
      <w:kern w:val="36"/>
      <w:sz w:val="48"/>
      <w:szCs w:val="48"/>
    </w:rPr>
  </w:style>
  <w:style w:type="paragraph" w:styleId="Heading3">
    <w:name w:val="heading 3"/>
    <w:basedOn w:val="Normal"/>
    <w:next w:val="Normal"/>
    <w:link w:val="Heading3Char"/>
    <w:uiPriority w:val="9"/>
    <w:unhideWhenUsed/>
    <w:qFormat/>
    <w:rsid w:val="0081742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7DAB"/>
    <w:pPr>
      <w:ind w:left="720"/>
      <w:contextualSpacing/>
    </w:pPr>
    <w:rPr>
      <w:rFonts w:asciiTheme="minorHAnsi" w:eastAsiaTheme="minorEastAsia" w:hAnsiTheme="minorHAnsi"/>
      <w:sz w:val="24"/>
    </w:rPr>
  </w:style>
  <w:style w:type="paragraph" w:styleId="EndnoteText">
    <w:name w:val="endnote text"/>
    <w:basedOn w:val="Normal"/>
    <w:link w:val="EndnoteTextChar"/>
    <w:uiPriority w:val="99"/>
    <w:unhideWhenUsed/>
    <w:rsid w:val="00977DAB"/>
    <w:rPr>
      <w:rFonts w:asciiTheme="minorHAnsi" w:eastAsiaTheme="minorEastAsia" w:hAnsiTheme="minorHAnsi"/>
      <w:szCs w:val="20"/>
    </w:rPr>
  </w:style>
  <w:style w:type="character" w:customStyle="1" w:styleId="EndnoteTextChar">
    <w:name w:val="Endnote Text Char"/>
    <w:basedOn w:val="DefaultParagraphFont"/>
    <w:link w:val="EndnoteText"/>
    <w:uiPriority w:val="99"/>
    <w:rsid w:val="00977DAB"/>
    <w:rPr>
      <w:sz w:val="20"/>
      <w:szCs w:val="20"/>
      <w:lang w:val="en-GB"/>
    </w:rPr>
  </w:style>
  <w:style w:type="character" w:styleId="EndnoteReference">
    <w:name w:val="endnote reference"/>
    <w:basedOn w:val="DefaultParagraphFont"/>
    <w:uiPriority w:val="99"/>
    <w:unhideWhenUsed/>
    <w:rsid w:val="00977DAB"/>
    <w:rPr>
      <w:vertAlign w:val="superscript"/>
    </w:rPr>
  </w:style>
  <w:style w:type="character" w:styleId="Hyperlink">
    <w:name w:val="Hyperlink"/>
    <w:basedOn w:val="DefaultParagraphFont"/>
    <w:uiPriority w:val="99"/>
    <w:unhideWhenUsed/>
    <w:rsid w:val="00437015"/>
    <w:rPr>
      <w:color w:val="0000FF" w:themeColor="hyperlink"/>
      <w:u w:val="single"/>
    </w:rPr>
  </w:style>
  <w:style w:type="paragraph" w:styleId="Header">
    <w:name w:val="header"/>
    <w:basedOn w:val="Normal"/>
    <w:link w:val="HeaderChar"/>
    <w:uiPriority w:val="99"/>
    <w:unhideWhenUsed/>
    <w:rsid w:val="00437015"/>
    <w:pPr>
      <w:tabs>
        <w:tab w:val="center" w:pos="4320"/>
        <w:tab w:val="right" w:pos="8640"/>
      </w:tabs>
    </w:pPr>
  </w:style>
  <w:style w:type="character" w:customStyle="1" w:styleId="HeaderChar">
    <w:name w:val="Header Char"/>
    <w:basedOn w:val="DefaultParagraphFont"/>
    <w:link w:val="Header"/>
    <w:uiPriority w:val="99"/>
    <w:rsid w:val="00437015"/>
    <w:rPr>
      <w:rFonts w:ascii="Times New Roman" w:eastAsiaTheme="minorHAnsi" w:hAnsi="Times New Roman"/>
      <w:sz w:val="20"/>
      <w:lang w:val="en-GB"/>
    </w:rPr>
  </w:style>
  <w:style w:type="paragraph" w:styleId="Footer">
    <w:name w:val="footer"/>
    <w:basedOn w:val="Normal"/>
    <w:link w:val="FooterChar"/>
    <w:uiPriority w:val="99"/>
    <w:unhideWhenUsed/>
    <w:rsid w:val="00437015"/>
    <w:pPr>
      <w:tabs>
        <w:tab w:val="center" w:pos="4320"/>
        <w:tab w:val="right" w:pos="8640"/>
      </w:tabs>
    </w:pPr>
  </w:style>
  <w:style w:type="character" w:customStyle="1" w:styleId="FooterChar">
    <w:name w:val="Footer Char"/>
    <w:basedOn w:val="DefaultParagraphFont"/>
    <w:link w:val="Footer"/>
    <w:uiPriority w:val="99"/>
    <w:rsid w:val="00437015"/>
    <w:rPr>
      <w:rFonts w:ascii="Times New Roman" w:eastAsiaTheme="minorHAnsi" w:hAnsi="Times New Roman"/>
      <w:sz w:val="20"/>
      <w:lang w:val="en-GB"/>
    </w:rPr>
  </w:style>
  <w:style w:type="character" w:styleId="PageNumber">
    <w:name w:val="page number"/>
    <w:basedOn w:val="DefaultParagraphFont"/>
    <w:uiPriority w:val="99"/>
    <w:semiHidden/>
    <w:unhideWhenUsed/>
    <w:rsid w:val="00437015"/>
  </w:style>
  <w:style w:type="character" w:styleId="FootnoteReference">
    <w:name w:val="footnote reference"/>
    <w:basedOn w:val="DefaultParagraphFont"/>
    <w:uiPriority w:val="99"/>
    <w:unhideWhenUsed/>
    <w:rsid w:val="00902808"/>
    <w:rPr>
      <w:vertAlign w:val="superscript"/>
    </w:rPr>
  </w:style>
  <w:style w:type="character" w:styleId="Strong">
    <w:name w:val="Strong"/>
    <w:basedOn w:val="DefaultParagraphFont"/>
    <w:uiPriority w:val="22"/>
    <w:qFormat/>
    <w:rsid w:val="00CA0716"/>
    <w:rPr>
      <w:b/>
      <w:bCs/>
    </w:rPr>
  </w:style>
  <w:style w:type="paragraph" w:styleId="FootnoteText">
    <w:name w:val="footnote text"/>
    <w:basedOn w:val="Normal"/>
    <w:link w:val="FootnoteTextChar"/>
    <w:uiPriority w:val="99"/>
    <w:unhideWhenUsed/>
    <w:rsid w:val="00CA0716"/>
    <w:rPr>
      <w:rFonts w:asciiTheme="minorHAnsi" w:eastAsiaTheme="minorEastAsia" w:hAnsiTheme="minorHAnsi"/>
      <w:sz w:val="24"/>
    </w:rPr>
  </w:style>
  <w:style w:type="character" w:customStyle="1" w:styleId="FootnoteTextChar">
    <w:name w:val="Footnote Text Char"/>
    <w:basedOn w:val="DefaultParagraphFont"/>
    <w:link w:val="FootnoteText"/>
    <w:uiPriority w:val="99"/>
    <w:rsid w:val="00CA0716"/>
    <w:rPr>
      <w:lang w:val="en-GB"/>
    </w:rPr>
  </w:style>
  <w:style w:type="paragraph" w:styleId="BalloonText">
    <w:name w:val="Balloon Text"/>
    <w:basedOn w:val="Normal"/>
    <w:link w:val="BalloonTextChar"/>
    <w:uiPriority w:val="99"/>
    <w:semiHidden/>
    <w:unhideWhenUsed/>
    <w:rsid w:val="00571F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1FB3"/>
    <w:rPr>
      <w:rFonts w:ascii="Lucida Grande" w:eastAsiaTheme="minorHAnsi" w:hAnsi="Lucida Grande" w:cs="Lucida Grande"/>
      <w:sz w:val="18"/>
      <w:szCs w:val="18"/>
      <w:lang w:val="en-GB"/>
    </w:rPr>
  </w:style>
  <w:style w:type="table" w:styleId="TableGrid">
    <w:name w:val="Table Grid"/>
    <w:basedOn w:val="TableNormal"/>
    <w:uiPriority w:val="59"/>
    <w:rsid w:val="00826C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9C5E7A"/>
    <w:pPr>
      <w:spacing w:after="200"/>
    </w:pPr>
    <w:rPr>
      <w:b/>
      <w:bCs/>
      <w:color w:val="4F81BD" w:themeColor="accent1"/>
      <w:sz w:val="18"/>
      <w:szCs w:val="18"/>
    </w:rPr>
  </w:style>
  <w:style w:type="paragraph" w:customStyle="1" w:styleId="Default">
    <w:name w:val="Default"/>
    <w:rsid w:val="007018D5"/>
    <w:pPr>
      <w:widowControl w:val="0"/>
      <w:autoSpaceDE w:val="0"/>
      <w:autoSpaceDN w:val="0"/>
      <w:adjustRightInd w:val="0"/>
    </w:pPr>
    <w:rPr>
      <w:rFonts w:ascii="Code" w:hAnsi="Code" w:cs="Code"/>
      <w:color w:val="000000"/>
    </w:rPr>
  </w:style>
  <w:style w:type="character" w:styleId="Emphasis">
    <w:name w:val="Emphasis"/>
    <w:basedOn w:val="DefaultParagraphFont"/>
    <w:uiPriority w:val="20"/>
    <w:qFormat/>
    <w:rsid w:val="007018D5"/>
    <w:rPr>
      <w:i/>
      <w:iCs/>
    </w:rPr>
  </w:style>
  <w:style w:type="character" w:customStyle="1" w:styleId="apple-converted-space">
    <w:name w:val="apple-converted-space"/>
    <w:basedOn w:val="DefaultParagraphFont"/>
    <w:rsid w:val="007018D5"/>
  </w:style>
  <w:style w:type="character" w:styleId="FollowedHyperlink">
    <w:name w:val="FollowedHyperlink"/>
    <w:basedOn w:val="DefaultParagraphFont"/>
    <w:uiPriority w:val="99"/>
    <w:semiHidden/>
    <w:unhideWhenUsed/>
    <w:rsid w:val="000B6522"/>
    <w:rPr>
      <w:color w:val="800080" w:themeColor="followedHyperlink"/>
      <w:u w:val="single"/>
    </w:rPr>
  </w:style>
  <w:style w:type="character" w:customStyle="1" w:styleId="Heading1Char">
    <w:name w:val="Heading 1 Char"/>
    <w:basedOn w:val="DefaultParagraphFont"/>
    <w:link w:val="Heading1"/>
    <w:uiPriority w:val="9"/>
    <w:rsid w:val="00C0237C"/>
    <w:rPr>
      <w:rFonts w:ascii="Times" w:hAnsi="Times"/>
      <w:b/>
      <w:bCs/>
      <w:kern w:val="36"/>
      <w:sz w:val="48"/>
      <w:szCs w:val="48"/>
      <w:lang w:val="en-GB"/>
    </w:rPr>
  </w:style>
  <w:style w:type="character" w:styleId="CommentReference">
    <w:name w:val="annotation reference"/>
    <w:basedOn w:val="DefaultParagraphFont"/>
    <w:uiPriority w:val="99"/>
    <w:semiHidden/>
    <w:unhideWhenUsed/>
    <w:rsid w:val="008340A0"/>
    <w:rPr>
      <w:sz w:val="18"/>
      <w:szCs w:val="18"/>
    </w:rPr>
  </w:style>
  <w:style w:type="paragraph" w:styleId="CommentText">
    <w:name w:val="annotation text"/>
    <w:basedOn w:val="Normal"/>
    <w:link w:val="CommentTextChar"/>
    <w:uiPriority w:val="99"/>
    <w:semiHidden/>
    <w:unhideWhenUsed/>
    <w:rsid w:val="008340A0"/>
    <w:rPr>
      <w:sz w:val="24"/>
    </w:rPr>
  </w:style>
  <w:style w:type="character" w:customStyle="1" w:styleId="CommentTextChar">
    <w:name w:val="Comment Text Char"/>
    <w:basedOn w:val="DefaultParagraphFont"/>
    <w:link w:val="CommentText"/>
    <w:uiPriority w:val="99"/>
    <w:semiHidden/>
    <w:rsid w:val="008340A0"/>
    <w:rPr>
      <w:rFonts w:ascii="Times New Roman" w:eastAsiaTheme="minorHAnsi" w:hAnsi="Times New Roman"/>
      <w:lang w:val="en-GB"/>
    </w:rPr>
  </w:style>
  <w:style w:type="paragraph" w:styleId="CommentSubject">
    <w:name w:val="annotation subject"/>
    <w:basedOn w:val="CommentText"/>
    <w:next w:val="CommentText"/>
    <w:link w:val="CommentSubjectChar"/>
    <w:uiPriority w:val="99"/>
    <w:semiHidden/>
    <w:unhideWhenUsed/>
    <w:rsid w:val="008340A0"/>
    <w:rPr>
      <w:b/>
      <w:bCs/>
      <w:sz w:val="20"/>
      <w:szCs w:val="20"/>
    </w:rPr>
  </w:style>
  <w:style w:type="character" w:customStyle="1" w:styleId="CommentSubjectChar">
    <w:name w:val="Comment Subject Char"/>
    <w:basedOn w:val="CommentTextChar"/>
    <w:link w:val="CommentSubject"/>
    <w:uiPriority w:val="99"/>
    <w:semiHidden/>
    <w:rsid w:val="008340A0"/>
    <w:rPr>
      <w:rFonts w:ascii="Times New Roman" w:eastAsiaTheme="minorHAnsi" w:hAnsi="Times New Roman"/>
      <w:b/>
      <w:bCs/>
      <w:sz w:val="20"/>
      <w:szCs w:val="20"/>
      <w:lang w:val="en-GB"/>
    </w:rPr>
  </w:style>
  <w:style w:type="character" w:customStyle="1" w:styleId="highlight">
    <w:name w:val="highlight"/>
    <w:basedOn w:val="DefaultParagraphFont"/>
    <w:rsid w:val="007F4133"/>
  </w:style>
  <w:style w:type="character" w:customStyle="1" w:styleId="addmd">
    <w:name w:val="addmd"/>
    <w:basedOn w:val="DefaultParagraphFont"/>
    <w:rsid w:val="00BD5772"/>
  </w:style>
  <w:style w:type="paragraph" w:styleId="PlainText">
    <w:name w:val="Plain Text"/>
    <w:basedOn w:val="Normal"/>
    <w:link w:val="PlainTextChar"/>
    <w:semiHidden/>
    <w:rsid w:val="009E5D43"/>
    <w:rPr>
      <w:rFonts w:ascii="Courier New" w:eastAsia="Times New Roman" w:hAnsi="Courier New" w:cs="Times New Roman"/>
      <w:szCs w:val="20"/>
      <w:lang w:val="en-US"/>
    </w:rPr>
  </w:style>
  <w:style w:type="character" w:customStyle="1" w:styleId="PlainTextChar">
    <w:name w:val="Plain Text Char"/>
    <w:basedOn w:val="DefaultParagraphFont"/>
    <w:link w:val="PlainText"/>
    <w:semiHidden/>
    <w:rsid w:val="009E5D43"/>
    <w:rPr>
      <w:rFonts w:ascii="Courier New" w:eastAsia="Times New Roman" w:hAnsi="Courier New" w:cs="Times New Roman"/>
      <w:sz w:val="20"/>
      <w:szCs w:val="20"/>
    </w:rPr>
  </w:style>
  <w:style w:type="character" w:customStyle="1" w:styleId="Heading3Char">
    <w:name w:val="Heading 3 Char"/>
    <w:basedOn w:val="DefaultParagraphFont"/>
    <w:link w:val="Heading3"/>
    <w:uiPriority w:val="9"/>
    <w:rsid w:val="00817420"/>
    <w:rPr>
      <w:rFonts w:asciiTheme="majorHAnsi" w:eastAsiaTheme="majorEastAsia" w:hAnsiTheme="majorHAnsi" w:cstheme="majorBidi"/>
      <w:b/>
      <w:bCs/>
      <w:color w:val="4F81BD" w:themeColor="accent1"/>
      <w:sz w:val="20"/>
      <w:lang w:val="en-GB"/>
    </w:rPr>
  </w:style>
  <w:style w:type="paragraph" w:styleId="HTMLPreformatted">
    <w:name w:val="HTML Preformatted"/>
    <w:basedOn w:val="Normal"/>
    <w:link w:val="HTMLPreformattedChar"/>
    <w:uiPriority w:val="99"/>
    <w:unhideWhenUsed/>
    <w:rsid w:val="00890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Cs w:val="20"/>
      <w:lang w:eastAsia="en-GB"/>
    </w:rPr>
  </w:style>
  <w:style w:type="character" w:customStyle="1" w:styleId="HTMLPreformattedChar">
    <w:name w:val="HTML Preformatted Char"/>
    <w:basedOn w:val="DefaultParagraphFont"/>
    <w:link w:val="HTMLPreformatted"/>
    <w:uiPriority w:val="99"/>
    <w:rsid w:val="008900E2"/>
    <w:rPr>
      <w:rFonts w:ascii="Courier New" w:hAnsi="Courier New" w:cs="Courier New"/>
      <w:sz w:val="20"/>
      <w:szCs w:val="20"/>
      <w:lang w:val="en-GB" w:eastAsia="en-GB"/>
    </w:rPr>
  </w:style>
  <w:style w:type="character" w:customStyle="1" w:styleId="fn">
    <w:name w:val="fn"/>
    <w:basedOn w:val="DefaultParagraphFont"/>
    <w:rsid w:val="00940822"/>
  </w:style>
  <w:style w:type="character" w:customStyle="1" w:styleId="subtitle">
    <w:name w:val="subtitle"/>
    <w:basedOn w:val="DefaultParagraphFont"/>
    <w:rsid w:val="0094082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6BE"/>
    <w:rPr>
      <w:rFonts w:ascii="Times New Roman" w:eastAsiaTheme="minorHAnsi" w:hAnsi="Times New Roman"/>
      <w:sz w:val="20"/>
      <w:lang w:val="en-GB"/>
    </w:rPr>
  </w:style>
  <w:style w:type="paragraph" w:styleId="Heading1">
    <w:name w:val="heading 1"/>
    <w:basedOn w:val="Normal"/>
    <w:link w:val="Heading1Char"/>
    <w:uiPriority w:val="9"/>
    <w:qFormat/>
    <w:rsid w:val="00C0237C"/>
    <w:pPr>
      <w:spacing w:before="100" w:beforeAutospacing="1" w:after="100" w:afterAutospacing="1"/>
      <w:outlineLvl w:val="0"/>
    </w:pPr>
    <w:rPr>
      <w:rFonts w:ascii="Times" w:eastAsiaTheme="minorEastAsia" w:hAnsi="Times"/>
      <w:b/>
      <w:bCs/>
      <w:kern w:val="36"/>
      <w:sz w:val="48"/>
      <w:szCs w:val="48"/>
    </w:rPr>
  </w:style>
  <w:style w:type="paragraph" w:styleId="Heading3">
    <w:name w:val="heading 3"/>
    <w:basedOn w:val="Normal"/>
    <w:next w:val="Normal"/>
    <w:link w:val="Heading3Char"/>
    <w:uiPriority w:val="9"/>
    <w:unhideWhenUsed/>
    <w:qFormat/>
    <w:rsid w:val="0081742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7DAB"/>
    <w:pPr>
      <w:ind w:left="720"/>
      <w:contextualSpacing/>
    </w:pPr>
    <w:rPr>
      <w:rFonts w:asciiTheme="minorHAnsi" w:eastAsiaTheme="minorEastAsia" w:hAnsiTheme="minorHAnsi"/>
      <w:sz w:val="24"/>
    </w:rPr>
  </w:style>
  <w:style w:type="paragraph" w:styleId="EndnoteText">
    <w:name w:val="endnote text"/>
    <w:basedOn w:val="Normal"/>
    <w:link w:val="EndnoteTextChar"/>
    <w:uiPriority w:val="99"/>
    <w:unhideWhenUsed/>
    <w:rsid w:val="00977DAB"/>
    <w:rPr>
      <w:rFonts w:asciiTheme="minorHAnsi" w:eastAsiaTheme="minorEastAsia" w:hAnsiTheme="minorHAnsi"/>
      <w:szCs w:val="20"/>
    </w:rPr>
  </w:style>
  <w:style w:type="character" w:customStyle="1" w:styleId="EndnoteTextChar">
    <w:name w:val="Endnote Text Char"/>
    <w:basedOn w:val="DefaultParagraphFont"/>
    <w:link w:val="EndnoteText"/>
    <w:uiPriority w:val="99"/>
    <w:rsid w:val="00977DAB"/>
    <w:rPr>
      <w:sz w:val="20"/>
      <w:szCs w:val="20"/>
      <w:lang w:val="en-GB"/>
    </w:rPr>
  </w:style>
  <w:style w:type="character" w:styleId="EndnoteReference">
    <w:name w:val="endnote reference"/>
    <w:basedOn w:val="DefaultParagraphFont"/>
    <w:uiPriority w:val="99"/>
    <w:unhideWhenUsed/>
    <w:rsid w:val="00977DAB"/>
    <w:rPr>
      <w:vertAlign w:val="superscript"/>
    </w:rPr>
  </w:style>
  <w:style w:type="character" w:styleId="Hyperlink">
    <w:name w:val="Hyperlink"/>
    <w:basedOn w:val="DefaultParagraphFont"/>
    <w:uiPriority w:val="99"/>
    <w:unhideWhenUsed/>
    <w:rsid w:val="00437015"/>
    <w:rPr>
      <w:color w:val="0000FF" w:themeColor="hyperlink"/>
      <w:u w:val="single"/>
    </w:rPr>
  </w:style>
  <w:style w:type="paragraph" w:styleId="Header">
    <w:name w:val="header"/>
    <w:basedOn w:val="Normal"/>
    <w:link w:val="HeaderChar"/>
    <w:uiPriority w:val="99"/>
    <w:unhideWhenUsed/>
    <w:rsid w:val="00437015"/>
    <w:pPr>
      <w:tabs>
        <w:tab w:val="center" w:pos="4320"/>
        <w:tab w:val="right" w:pos="8640"/>
      </w:tabs>
    </w:pPr>
  </w:style>
  <w:style w:type="character" w:customStyle="1" w:styleId="HeaderChar">
    <w:name w:val="Header Char"/>
    <w:basedOn w:val="DefaultParagraphFont"/>
    <w:link w:val="Header"/>
    <w:uiPriority w:val="99"/>
    <w:rsid w:val="00437015"/>
    <w:rPr>
      <w:rFonts w:ascii="Times New Roman" w:eastAsiaTheme="minorHAnsi" w:hAnsi="Times New Roman"/>
      <w:sz w:val="20"/>
      <w:lang w:val="en-GB"/>
    </w:rPr>
  </w:style>
  <w:style w:type="paragraph" w:styleId="Footer">
    <w:name w:val="footer"/>
    <w:basedOn w:val="Normal"/>
    <w:link w:val="FooterChar"/>
    <w:uiPriority w:val="99"/>
    <w:unhideWhenUsed/>
    <w:rsid w:val="00437015"/>
    <w:pPr>
      <w:tabs>
        <w:tab w:val="center" w:pos="4320"/>
        <w:tab w:val="right" w:pos="8640"/>
      </w:tabs>
    </w:pPr>
  </w:style>
  <w:style w:type="character" w:customStyle="1" w:styleId="FooterChar">
    <w:name w:val="Footer Char"/>
    <w:basedOn w:val="DefaultParagraphFont"/>
    <w:link w:val="Footer"/>
    <w:uiPriority w:val="99"/>
    <w:rsid w:val="00437015"/>
    <w:rPr>
      <w:rFonts w:ascii="Times New Roman" w:eastAsiaTheme="minorHAnsi" w:hAnsi="Times New Roman"/>
      <w:sz w:val="20"/>
      <w:lang w:val="en-GB"/>
    </w:rPr>
  </w:style>
  <w:style w:type="character" w:styleId="PageNumber">
    <w:name w:val="page number"/>
    <w:basedOn w:val="DefaultParagraphFont"/>
    <w:uiPriority w:val="99"/>
    <w:semiHidden/>
    <w:unhideWhenUsed/>
    <w:rsid w:val="00437015"/>
  </w:style>
  <w:style w:type="character" w:styleId="FootnoteReference">
    <w:name w:val="footnote reference"/>
    <w:basedOn w:val="DefaultParagraphFont"/>
    <w:uiPriority w:val="99"/>
    <w:unhideWhenUsed/>
    <w:rsid w:val="00902808"/>
    <w:rPr>
      <w:vertAlign w:val="superscript"/>
    </w:rPr>
  </w:style>
  <w:style w:type="character" w:styleId="Strong">
    <w:name w:val="Strong"/>
    <w:basedOn w:val="DefaultParagraphFont"/>
    <w:uiPriority w:val="22"/>
    <w:qFormat/>
    <w:rsid w:val="00CA0716"/>
    <w:rPr>
      <w:b/>
      <w:bCs/>
    </w:rPr>
  </w:style>
  <w:style w:type="paragraph" w:styleId="FootnoteText">
    <w:name w:val="footnote text"/>
    <w:basedOn w:val="Normal"/>
    <w:link w:val="FootnoteTextChar"/>
    <w:uiPriority w:val="99"/>
    <w:unhideWhenUsed/>
    <w:rsid w:val="00CA0716"/>
    <w:rPr>
      <w:rFonts w:asciiTheme="minorHAnsi" w:eastAsiaTheme="minorEastAsia" w:hAnsiTheme="minorHAnsi"/>
      <w:sz w:val="24"/>
    </w:rPr>
  </w:style>
  <w:style w:type="character" w:customStyle="1" w:styleId="FootnoteTextChar">
    <w:name w:val="Footnote Text Char"/>
    <w:basedOn w:val="DefaultParagraphFont"/>
    <w:link w:val="FootnoteText"/>
    <w:uiPriority w:val="99"/>
    <w:rsid w:val="00CA0716"/>
    <w:rPr>
      <w:lang w:val="en-GB"/>
    </w:rPr>
  </w:style>
  <w:style w:type="paragraph" w:styleId="BalloonText">
    <w:name w:val="Balloon Text"/>
    <w:basedOn w:val="Normal"/>
    <w:link w:val="BalloonTextChar"/>
    <w:uiPriority w:val="99"/>
    <w:semiHidden/>
    <w:unhideWhenUsed/>
    <w:rsid w:val="00571F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1FB3"/>
    <w:rPr>
      <w:rFonts w:ascii="Lucida Grande" w:eastAsiaTheme="minorHAnsi" w:hAnsi="Lucida Grande" w:cs="Lucida Grande"/>
      <w:sz w:val="18"/>
      <w:szCs w:val="18"/>
      <w:lang w:val="en-GB"/>
    </w:rPr>
  </w:style>
  <w:style w:type="table" w:styleId="TableGrid">
    <w:name w:val="Table Grid"/>
    <w:basedOn w:val="TableNormal"/>
    <w:uiPriority w:val="59"/>
    <w:rsid w:val="00826C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9C5E7A"/>
    <w:pPr>
      <w:spacing w:after="200"/>
    </w:pPr>
    <w:rPr>
      <w:b/>
      <w:bCs/>
      <w:color w:val="4F81BD" w:themeColor="accent1"/>
      <w:sz w:val="18"/>
      <w:szCs w:val="18"/>
    </w:rPr>
  </w:style>
  <w:style w:type="paragraph" w:customStyle="1" w:styleId="Default">
    <w:name w:val="Default"/>
    <w:rsid w:val="007018D5"/>
    <w:pPr>
      <w:widowControl w:val="0"/>
      <w:autoSpaceDE w:val="0"/>
      <w:autoSpaceDN w:val="0"/>
      <w:adjustRightInd w:val="0"/>
    </w:pPr>
    <w:rPr>
      <w:rFonts w:ascii="Code" w:hAnsi="Code" w:cs="Code"/>
      <w:color w:val="000000"/>
    </w:rPr>
  </w:style>
  <w:style w:type="character" w:styleId="Emphasis">
    <w:name w:val="Emphasis"/>
    <w:basedOn w:val="DefaultParagraphFont"/>
    <w:uiPriority w:val="20"/>
    <w:qFormat/>
    <w:rsid w:val="007018D5"/>
    <w:rPr>
      <w:i/>
      <w:iCs/>
    </w:rPr>
  </w:style>
  <w:style w:type="character" w:customStyle="1" w:styleId="apple-converted-space">
    <w:name w:val="apple-converted-space"/>
    <w:basedOn w:val="DefaultParagraphFont"/>
    <w:rsid w:val="007018D5"/>
  </w:style>
  <w:style w:type="character" w:styleId="FollowedHyperlink">
    <w:name w:val="FollowedHyperlink"/>
    <w:basedOn w:val="DefaultParagraphFont"/>
    <w:uiPriority w:val="99"/>
    <w:semiHidden/>
    <w:unhideWhenUsed/>
    <w:rsid w:val="000B6522"/>
    <w:rPr>
      <w:color w:val="800080" w:themeColor="followedHyperlink"/>
      <w:u w:val="single"/>
    </w:rPr>
  </w:style>
  <w:style w:type="character" w:customStyle="1" w:styleId="Heading1Char">
    <w:name w:val="Heading 1 Char"/>
    <w:basedOn w:val="DefaultParagraphFont"/>
    <w:link w:val="Heading1"/>
    <w:uiPriority w:val="9"/>
    <w:rsid w:val="00C0237C"/>
    <w:rPr>
      <w:rFonts w:ascii="Times" w:hAnsi="Times"/>
      <w:b/>
      <w:bCs/>
      <w:kern w:val="36"/>
      <w:sz w:val="48"/>
      <w:szCs w:val="48"/>
      <w:lang w:val="en-GB"/>
    </w:rPr>
  </w:style>
  <w:style w:type="character" w:styleId="CommentReference">
    <w:name w:val="annotation reference"/>
    <w:basedOn w:val="DefaultParagraphFont"/>
    <w:uiPriority w:val="99"/>
    <w:semiHidden/>
    <w:unhideWhenUsed/>
    <w:rsid w:val="008340A0"/>
    <w:rPr>
      <w:sz w:val="18"/>
      <w:szCs w:val="18"/>
    </w:rPr>
  </w:style>
  <w:style w:type="paragraph" w:styleId="CommentText">
    <w:name w:val="annotation text"/>
    <w:basedOn w:val="Normal"/>
    <w:link w:val="CommentTextChar"/>
    <w:uiPriority w:val="99"/>
    <w:semiHidden/>
    <w:unhideWhenUsed/>
    <w:rsid w:val="008340A0"/>
    <w:rPr>
      <w:sz w:val="24"/>
    </w:rPr>
  </w:style>
  <w:style w:type="character" w:customStyle="1" w:styleId="CommentTextChar">
    <w:name w:val="Comment Text Char"/>
    <w:basedOn w:val="DefaultParagraphFont"/>
    <w:link w:val="CommentText"/>
    <w:uiPriority w:val="99"/>
    <w:semiHidden/>
    <w:rsid w:val="008340A0"/>
    <w:rPr>
      <w:rFonts w:ascii="Times New Roman" w:eastAsiaTheme="minorHAnsi" w:hAnsi="Times New Roman"/>
      <w:lang w:val="en-GB"/>
    </w:rPr>
  </w:style>
  <w:style w:type="paragraph" w:styleId="CommentSubject">
    <w:name w:val="annotation subject"/>
    <w:basedOn w:val="CommentText"/>
    <w:next w:val="CommentText"/>
    <w:link w:val="CommentSubjectChar"/>
    <w:uiPriority w:val="99"/>
    <w:semiHidden/>
    <w:unhideWhenUsed/>
    <w:rsid w:val="008340A0"/>
    <w:rPr>
      <w:b/>
      <w:bCs/>
      <w:sz w:val="20"/>
      <w:szCs w:val="20"/>
    </w:rPr>
  </w:style>
  <w:style w:type="character" w:customStyle="1" w:styleId="CommentSubjectChar">
    <w:name w:val="Comment Subject Char"/>
    <w:basedOn w:val="CommentTextChar"/>
    <w:link w:val="CommentSubject"/>
    <w:uiPriority w:val="99"/>
    <w:semiHidden/>
    <w:rsid w:val="008340A0"/>
    <w:rPr>
      <w:rFonts w:ascii="Times New Roman" w:eastAsiaTheme="minorHAnsi" w:hAnsi="Times New Roman"/>
      <w:b/>
      <w:bCs/>
      <w:sz w:val="20"/>
      <w:szCs w:val="20"/>
      <w:lang w:val="en-GB"/>
    </w:rPr>
  </w:style>
  <w:style w:type="character" w:customStyle="1" w:styleId="highlight">
    <w:name w:val="highlight"/>
    <w:basedOn w:val="DefaultParagraphFont"/>
    <w:rsid w:val="007F4133"/>
  </w:style>
  <w:style w:type="character" w:customStyle="1" w:styleId="addmd">
    <w:name w:val="addmd"/>
    <w:basedOn w:val="DefaultParagraphFont"/>
    <w:rsid w:val="00BD5772"/>
  </w:style>
  <w:style w:type="paragraph" w:styleId="PlainText">
    <w:name w:val="Plain Text"/>
    <w:basedOn w:val="Normal"/>
    <w:link w:val="PlainTextChar"/>
    <w:semiHidden/>
    <w:rsid w:val="009E5D43"/>
    <w:rPr>
      <w:rFonts w:ascii="Courier New" w:eastAsia="Times New Roman" w:hAnsi="Courier New" w:cs="Times New Roman"/>
      <w:szCs w:val="20"/>
      <w:lang w:val="en-US"/>
    </w:rPr>
  </w:style>
  <w:style w:type="character" w:customStyle="1" w:styleId="PlainTextChar">
    <w:name w:val="Plain Text Char"/>
    <w:basedOn w:val="DefaultParagraphFont"/>
    <w:link w:val="PlainText"/>
    <w:semiHidden/>
    <w:rsid w:val="009E5D43"/>
    <w:rPr>
      <w:rFonts w:ascii="Courier New" w:eastAsia="Times New Roman" w:hAnsi="Courier New" w:cs="Times New Roman"/>
      <w:sz w:val="20"/>
      <w:szCs w:val="20"/>
    </w:rPr>
  </w:style>
  <w:style w:type="character" w:customStyle="1" w:styleId="Heading3Char">
    <w:name w:val="Heading 3 Char"/>
    <w:basedOn w:val="DefaultParagraphFont"/>
    <w:link w:val="Heading3"/>
    <w:uiPriority w:val="9"/>
    <w:rsid w:val="00817420"/>
    <w:rPr>
      <w:rFonts w:asciiTheme="majorHAnsi" w:eastAsiaTheme="majorEastAsia" w:hAnsiTheme="majorHAnsi" w:cstheme="majorBidi"/>
      <w:b/>
      <w:bCs/>
      <w:color w:val="4F81BD" w:themeColor="accent1"/>
      <w:sz w:val="20"/>
      <w:lang w:val="en-GB"/>
    </w:rPr>
  </w:style>
  <w:style w:type="paragraph" w:styleId="HTMLPreformatted">
    <w:name w:val="HTML Preformatted"/>
    <w:basedOn w:val="Normal"/>
    <w:link w:val="HTMLPreformattedChar"/>
    <w:uiPriority w:val="99"/>
    <w:unhideWhenUsed/>
    <w:rsid w:val="00890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Cs w:val="20"/>
      <w:lang w:eastAsia="en-GB"/>
    </w:rPr>
  </w:style>
  <w:style w:type="character" w:customStyle="1" w:styleId="HTMLPreformattedChar">
    <w:name w:val="HTML Preformatted Char"/>
    <w:basedOn w:val="DefaultParagraphFont"/>
    <w:link w:val="HTMLPreformatted"/>
    <w:uiPriority w:val="99"/>
    <w:rsid w:val="008900E2"/>
    <w:rPr>
      <w:rFonts w:ascii="Courier New" w:hAnsi="Courier New" w:cs="Courier New"/>
      <w:sz w:val="20"/>
      <w:szCs w:val="20"/>
      <w:lang w:val="en-GB" w:eastAsia="en-GB"/>
    </w:rPr>
  </w:style>
  <w:style w:type="character" w:customStyle="1" w:styleId="fn">
    <w:name w:val="fn"/>
    <w:basedOn w:val="DefaultParagraphFont"/>
    <w:rsid w:val="00940822"/>
  </w:style>
  <w:style w:type="character" w:customStyle="1" w:styleId="subtitle">
    <w:name w:val="subtitle"/>
    <w:basedOn w:val="DefaultParagraphFont"/>
    <w:rsid w:val="00940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54245">
      <w:bodyDiv w:val="1"/>
      <w:marLeft w:val="0"/>
      <w:marRight w:val="0"/>
      <w:marTop w:val="0"/>
      <w:marBottom w:val="0"/>
      <w:divBdr>
        <w:top w:val="none" w:sz="0" w:space="0" w:color="auto"/>
        <w:left w:val="none" w:sz="0" w:space="0" w:color="auto"/>
        <w:bottom w:val="none" w:sz="0" w:space="0" w:color="auto"/>
        <w:right w:val="none" w:sz="0" w:space="0" w:color="auto"/>
      </w:divBdr>
    </w:div>
    <w:div w:id="122507147">
      <w:bodyDiv w:val="1"/>
      <w:marLeft w:val="0"/>
      <w:marRight w:val="0"/>
      <w:marTop w:val="0"/>
      <w:marBottom w:val="0"/>
      <w:divBdr>
        <w:top w:val="none" w:sz="0" w:space="0" w:color="auto"/>
        <w:left w:val="none" w:sz="0" w:space="0" w:color="auto"/>
        <w:bottom w:val="none" w:sz="0" w:space="0" w:color="auto"/>
        <w:right w:val="none" w:sz="0" w:space="0" w:color="auto"/>
      </w:divBdr>
    </w:div>
    <w:div w:id="355161139">
      <w:bodyDiv w:val="1"/>
      <w:marLeft w:val="0"/>
      <w:marRight w:val="0"/>
      <w:marTop w:val="0"/>
      <w:marBottom w:val="0"/>
      <w:divBdr>
        <w:top w:val="none" w:sz="0" w:space="0" w:color="auto"/>
        <w:left w:val="none" w:sz="0" w:space="0" w:color="auto"/>
        <w:bottom w:val="none" w:sz="0" w:space="0" w:color="auto"/>
        <w:right w:val="none" w:sz="0" w:space="0" w:color="auto"/>
      </w:divBdr>
    </w:div>
    <w:div w:id="408964789">
      <w:bodyDiv w:val="1"/>
      <w:marLeft w:val="0"/>
      <w:marRight w:val="0"/>
      <w:marTop w:val="0"/>
      <w:marBottom w:val="0"/>
      <w:divBdr>
        <w:top w:val="none" w:sz="0" w:space="0" w:color="auto"/>
        <w:left w:val="none" w:sz="0" w:space="0" w:color="auto"/>
        <w:bottom w:val="none" w:sz="0" w:space="0" w:color="auto"/>
        <w:right w:val="none" w:sz="0" w:space="0" w:color="auto"/>
      </w:divBdr>
    </w:div>
    <w:div w:id="410934954">
      <w:bodyDiv w:val="1"/>
      <w:marLeft w:val="0"/>
      <w:marRight w:val="0"/>
      <w:marTop w:val="0"/>
      <w:marBottom w:val="0"/>
      <w:divBdr>
        <w:top w:val="none" w:sz="0" w:space="0" w:color="auto"/>
        <w:left w:val="none" w:sz="0" w:space="0" w:color="auto"/>
        <w:bottom w:val="none" w:sz="0" w:space="0" w:color="auto"/>
        <w:right w:val="none" w:sz="0" w:space="0" w:color="auto"/>
      </w:divBdr>
    </w:div>
    <w:div w:id="530992958">
      <w:bodyDiv w:val="1"/>
      <w:marLeft w:val="0"/>
      <w:marRight w:val="0"/>
      <w:marTop w:val="0"/>
      <w:marBottom w:val="0"/>
      <w:divBdr>
        <w:top w:val="none" w:sz="0" w:space="0" w:color="auto"/>
        <w:left w:val="none" w:sz="0" w:space="0" w:color="auto"/>
        <w:bottom w:val="none" w:sz="0" w:space="0" w:color="auto"/>
        <w:right w:val="none" w:sz="0" w:space="0" w:color="auto"/>
      </w:divBdr>
    </w:div>
    <w:div w:id="603270181">
      <w:bodyDiv w:val="1"/>
      <w:marLeft w:val="0"/>
      <w:marRight w:val="0"/>
      <w:marTop w:val="0"/>
      <w:marBottom w:val="0"/>
      <w:divBdr>
        <w:top w:val="none" w:sz="0" w:space="0" w:color="auto"/>
        <w:left w:val="none" w:sz="0" w:space="0" w:color="auto"/>
        <w:bottom w:val="none" w:sz="0" w:space="0" w:color="auto"/>
        <w:right w:val="none" w:sz="0" w:space="0" w:color="auto"/>
      </w:divBdr>
    </w:div>
    <w:div w:id="726489895">
      <w:bodyDiv w:val="1"/>
      <w:marLeft w:val="0"/>
      <w:marRight w:val="0"/>
      <w:marTop w:val="0"/>
      <w:marBottom w:val="0"/>
      <w:divBdr>
        <w:top w:val="none" w:sz="0" w:space="0" w:color="auto"/>
        <w:left w:val="none" w:sz="0" w:space="0" w:color="auto"/>
        <w:bottom w:val="none" w:sz="0" w:space="0" w:color="auto"/>
        <w:right w:val="none" w:sz="0" w:space="0" w:color="auto"/>
      </w:divBdr>
    </w:div>
    <w:div w:id="738137944">
      <w:bodyDiv w:val="1"/>
      <w:marLeft w:val="0"/>
      <w:marRight w:val="0"/>
      <w:marTop w:val="0"/>
      <w:marBottom w:val="0"/>
      <w:divBdr>
        <w:top w:val="none" w:sz="0" w:space="0" w:color="auto"/>
        <w:left w:val="none" w:sz="0" w:space="0" w:color="auto"/>
        <w:bottom w:val="none" w:sz="0" w:space="0" w:color="auto"/>
        <w:right w:val="none" w:sz="0" w:space="0" w:color="auto"/>
      </w:divBdr>
    </w:div>
    <w:div w:id="755172696">
      <w:bodyDiv w:val="1"/>
      <w:marLeft w:val="0"/>
      <w:marRight w:val="0"/>
      <w:marTop w:val="0"/>
      <w:marBottom w:val="0"/>
      <w:divBdr>
        <w:top w:val="none" w:sz="0" w:space="0" w:color="auto"/>
        <w:left w:val="none" w:sz="0" w:space="0" w:color="auto"/>
        <w:bottom w:val="none" w:sz="0" w:space="0" w:color="auto"/>
        <w:right w:val="none" w:sz="0" w:space="0" w:color="auto"/>
      </w:divBdr>
    </w:div>
    <w:div w:id="785079661">
      <w:bodyDiv w:val="1"/>
      <w:marLeft w:val="0"/>
      <w:marRight w:val="0"/>
      <w:marTop w:val="0"/>
      <w:marBottom w:val="0"/>
      <w:divBdr>
        <w:top w:val="none" w:sz="0" w:space="0" w:color="auto"/>
        <w:left w:val="none" w:sz="0" w:space="0" w:color="auto"/>
        <w:bottom w:val="none" w:sz="0" w:space="0" w:color="auto"/>
        <w:right w:val="none" w:sz="0" w:space="0" w:color="auto"/>
      </w:divBdr>
    </w:div>
    <w:div w:id="970284637">
      <w:bodyDiv w:val="1"/>
      <w:marLeft w:val="0"/>
      <w:marRight w:val="0"/>
      <w:marTop w:val="0"/>
      <w:marBottom w:val="0"/>
      <w:divBdr>
        <w:top w:val="none" w:sz="0" w:space="0" w:color="auto"/>
        <w:left w:val="none" w:sz="0" w:space="0" w:color="auto"/>
        <w:bottom w:val="none" w:sz="0" w:space="0" w:color="auto"/>
        <w:right w:val="none" w:sz="0" w:space="0" w:color="auto"/>
      </w:divBdr>
    </w:div>
    <w:div w:id="1024943476">
      <w:bodyDiv w:val="1"/>
      <w:marLeft w:val="0"/>
      <w:marRight w:val="0"/>
      <w:marTop w:val="0"/>
      <w:marBottom w:val="0"/>
      <w:divBdr>
        <w:top w:val="none" w:sz="0" w:space="0" w:color="auto"/>
        <w:left w:val="none" w:sz="0" w:space="0" w:color="auto"/>
        <w:bottom w:val="none" w:sz="0" w:space="0" w:color="auto"/>
        <w:right w:val="none" w:sz="0" w:space="0" w:color="auto"/>
      </w:divBdr>
    </w:div>
    <w:div w:id="1115098195">
      <w:bodyDiv w:val="1"/>
      <w:marLeft w:val="0"/>
      <w:marRight w:val="0"/>
      <w:marTop w:val="0"/>
      <w:marBottom w:val="0"/>
      <w:divBdr>
        <w:top w:val="none" w:sz="0" w:space="0" w:color="auto"/>
        <w:left w:val="none" w:sz="0" w:space="0" w:color="auto"/>
        <w:bottom w:val="none" w:sz="0" w:space="0" w:color="auto"/>
        <w:right w:val="none" w:sz="0" w:space="0" w:color="auto"/>
      </w:divBdr>
    </w:div>
    <w:div w:id="1161431678">
      <w:bodyDiv w:val="1"/>
      <w:marLeft w:val="0"/>
      <w:marRight w:val="0"/>
      <w:marTop w:val="0"/>
      <w:marBottom w:val="0"/>
      <w:divBdr>
        <w:top w:val="none" w:sz="0" w:space="0" w:color="auto"/>
        <w:left w:val="none" w:sz="0" w:space="0" w:color="auto"/>
        <w:bottom w:val="none" w:sz="0" w:space="0" w:color="auto"/>
        <w:right w:val="none" w:sz="0" w:space="0" w:color="auto"/>
      </w:divBdr>
    </w:div>
    <w:div w:id="1168449011">
      <w:bodyDiv w:val="1"/>
      <w:marLeft w:val="0"/>
      <w:marRight w:val="0"/>
      <w:marTop w:val="0"/>
      <w:marBottom w:val="0"/>
      <w:divBdr>
        <w:top w:val="none" w:sz="0" w:space="0" w:color="auto"/>
        <w:left w:val="none" w:sz="0" w:space="0" w:color="auto"/>
        <w:bottom w:val="none" w:sz="0" w:space="0" w:color="auto"/>
        <w:right w:val="none" w:sz="0" w:space="0" w:color="auto"/>
      </w:divBdr>
    </w:div>
    <w:div w:id="1233277600">
      <w:bodyDiv w:val="1"/>
      <w:marLeft w:val="0"/>
      <w:marRight w:val="0"/>
      <w:marTop w:val="0"/>
      <w:marBottom w:val="0"/>
      <w:divBdr>
        <w:top w:val="none" w:sz="0" w:space="0" w:color="auto"/>
        <w:left w:val="none" w:sz="0" w:space="0" w:color="auto"/>
        <w:bottom w:val="none" w:sz="0" w:space="0" w:color="auto"/>
        <w:right w:val="none" w:sz="0" w:space="0" w:color="auto"/>
      </w:divBdr>
      <w:divsChild>
        <w:div w:id="139344869">
          <w:marLeft w:val="0"/>
          <w:marRight w:val="0"/>
          <w:marTop w:val="0"/>
          <w:marBottom w:val="0"/>
          <w:divBdr>
            <w:top w:val="none" w:sz="0" w:space="0" w:color="auto"/>
            <w:left w:val="none" w:sz="0" w:space="0" w:color="auto"/>
            <w:bottom w:val="none" w:sz="0" w:space="0" w:color="auto"/>
            <w:right w:val="none" w:sz="0" w:space="0" w:color="auto"/>
          </w:divBdr>
        </w:div>
        <w:div w:id="418332374">
          <w:marLeft w:val="0"/>
          <w:marRight w:val="0"/>
          <w:marTop w:val="0"/>
          <w:marBottom w:val="0"/>
          <w:divBdr>
            <w:top w:val="none" w:sz="0" w:space="0" w:color="auto"/>
            <w:left w:val="none" w:sz="0" w:space="0" w:color="auto"/>
            <w:bottom w:val="none" w:sz="0" w:space="0" w:color="auto"/>
            <w:right w:val="none" w:sz="0" w:space="0" w:color="auto"/>
          </w:divBdr>
        </w:div>
        <w:div w:id="625624733">
          <w:marLeft w:val="0"/>
          <w:marRight w:val="0"/>
          <w:marTop w:val="0"/>
          <w:marBottom w:val="0"/>
          <w:divBdr>
            <w:top w:val="none" w:sz="0" w:space="0" w:color="auto"/>
            <w:left w:val="none" w:sz="0" w:space="0" w:color="auto"/>
            <w:bottom w:val="none" w:sz="0" w:space="0" w:color="auto"/>
            <w:right w:val="none" w:sz="0" w:space="0" w:color="auto"/>
          </w:divBdr>
        </w:div>
        <w:div w:id="683871137">
          <w:marLeft w:val="0"/>
          <w:marRight w:val="0"/>
          <w:marTop w:val="0"/>
          <w:marBottom w:val="0"/>
          <w:divBdr>
            <w:top w:val="none" w:sz="0" w:space="0" w:color="auto"/>
            <w:left w:val="none" w:sz="0" w:space="0" w:color="auto"/>
            <w:bottom w:val="none" w:sz="0" w:space="0" w:color="auto"/>
            <w:right w:val="none" w:sz="0" w:space="0" w:color="auto"/>
          </w:divBdr>
        </w:div>
        <w:div w:id="794257813">
          <w:marLeft w:val="0"/>
          <w:marRight w:val="0"/>
          <w:marTop w:val="0"/>
          <w:marBottom w:val="0"/>
          <w:divBdr>
            <w:top w:val="none" w:sz="0" w:space="0" w:color="auto"/>
            <w:left w:val="none" w:sz="0" w:space="0" w:color="auto"/>
            <w:bottom w:val="none" w:sz="0" w:space="0" w:color="auto"/>
            <w:right w:val="none" w:sz="0" w:space="0" w:color="auto"/>
          </w:divBdr>
        </w:div>
      </w:divsChild>
    </w:div>
    <w:div w:id="1349410019">
      <w:bodyDiv w:val="1"/>
      <w:marLeft w:val="0"/>
      <w:marRight w:val="0"/>
      <w:marTop w:val="0"/>
      <w:marBottom w:val="0"/>
      <w:divBdr>
        <w:top w:val="none" w:sz="0" w:space="0" w:color="auto"/>
        <w:left w:val="none" w:sz="0" w:space="0" w:color="auto"/>
        <w:bottom w:val="none" w:sz="0" w:space="0" w:color="auto"/>
        <w:right w:val="none" w:sz="0" w:space="0" w:color="auto"/>
      </w:divBdr>
    </w:div>
    <w:div w:id="1419400153">
      <w:bodyDiv w:val="1"/>
      <w:marLeft w:val="0"/>
      <w:marRight w:val="0"/>
      <w:marTop w:val="0"/>
      <w:marBottom w:val="0"/>
      <w:divBdr>
        <w:top w:val="none" w:sz="0" w:space="0" w:color="auto"/>
        <w:left w:val="none" w:sz="0" w:space="0" w:color="auto"/>
        <w:bottom w:val="none" w:sz="0" w:space="0" w:color="auto"/>
        <w:right w:val="none" w:sz="0" w:space="0" w:color="auto"/>
      </w:divBdr>
    </w:div>
    <w:div w:id="1426533487">
      <w:bodyDiv w:val="1"/>
      <w:marLeft w:val="0"/>
      <w:marRight w:val="0"/>
      <w:marTop w:val="0"/>
      <w:marBottom w:val="0"/>
      <w:divBdr>
        <w:top w:val="none" w:sz="0" w:space="0" w:color="auto"/>
        <w:left w:val="none" w:sz="0" w:space="0" w:color="auto"/>
        <w:bottom w:val="none" w:sz="0" w:space="0" w:color="auto"/>
        <w:right w:val="none" w:sz="0" w:space="0" w:color="auto"/>
      </w:divBdr>
      <w:divsChild>
        <w:div w:id="231934888">
          <w:marLeft w:val="0"/>
          <w:marRight w:val="0"/>
          <w:marTop w:val="0"/>
          <w:marBottom w:val="0"/>
          <w:divBdr>
            <w:top w:val="none" w:sz="0" w:space="0" w:color="auto"/>
            <w:left w:val="none" w:sz="0" w:space="0" w:color="auto"/>
            <w:bottom w:val="none" w:sz="0" w:space="0" w:color="auto"/>
            <w:right w:val="none" w:sz="0" w:space="0" w:color="auto"/>
          </w:divBdr>
        </w:div>
        <w:div w:id="273244909">
          <w:marLeft w:val="0"/>
          <w:marRight w:val="0"/>
          <w:marTop w:val="0"/>
          <w:marBottom w:val="0"/>
          <w:divBdr>
            <w:top w:val="none" w:sz="0" w:space="0" w:color="auto"/>
            <w:left w:val="none" w:sz="0" w:space="0" w:color="auto"/>
            <w:bottom w:val="none" w:sz="0" w:space="0" w:color="auto"/>
            <w:right w:val="none" w:sz="0" w:space="0" w:color="auto"/>
          </w:divBdr>
        </w:div>
        <w:div w:id="945816972">
          <w:marLeft w:val="0"/>
          <w:marRight w:val="0"/>
          <w:marTop w:val="0"/>
          <w:marBottom w:val="0"/>
          <w:divBdr>
            <w:top w:val="none" w:sz="0" w:space="0" w:color="auto"/>
            <w:left w:val="none" w:sz="0" w:space="0" w:color="auto"/>
            <w:bottom w:val="none" w:sz="0" w:space="0" w:color="auto"/>
            <w:right w:val="none" w:sz="0" w:space="0" w:color="auto"/>
          </w:divBdr>
        </w:div>
        <w:div w:id="1464422418">
          <w:marLeft w:val="0"/>
          <w:marRight w:val="0"/>
          <w:marTop w:val="0"/>
          <w:marBottom w:val="0"/>
          <w:divBdr>
            <w:top w:val="none" w:sz="0" w:space="0" w:color="auto"/>
            <w:left w:val="none" w:sz="0" w:space="0" w:color="auto"/>
            <w:bottom w:val="none" w:sz="0" w:space="0" w:color="auto"/>
            <w:right w:val="none" w:sz="0" w:space="0" w:color="auto"/>
          </w:divBdr>
        </w:div>
        <w:div w:id="1716198125">
          <w:marLeft w:val="0"/>
          <w:marRight w:val="0"/>
          <w:marTop w:val="0"/>
          <w:marBottom w:val="0"/>
          <w:divBdr>
            <w:top w:val="none" w:sz="0" w:space="0" w:color="auto"/>
            <w:left w:val="none" w:sz="0" w:space="0" w:color="auto"/>
            <w:bottom w:val="none" w:sz="0" w:space="0" w:color="auto"/>
            <w:right w:val="none" w:sz="0" w:space="0" w:color="auto"/>
          </w:divBdr>
        </w:div>
        <w:div w:id="1898203338">
          <w:marLeft w:val="0"/>
          <w:marRight w:val="0"/>
          <w:marTop w:val="0"/>
          <w:marBottom w:val="0"/>
          <w:divBdr>
            <w:top w:val="none" w:sz="0" w:space="0" w:color="auto"/>
            <w:left w:val="none" w:sz="0" w:space="0" w:color="auto"/>
            <w:bottom w:val="none" w:sz="0" w:space="0" w:color="auto"/>
            <w:right w:val="none" w:sz="0" w:space="0" w:color="auto"/>
          </w:divBdr>
        </w:div>
      </w:divsChild>
    </w:div>
    <w:div w:id="1638561297">
      <w:bodyDiv w:val="1"/>
      <w:marLeft w:val="0"/>
      <w:marRight w:val="0"/>
      <w:marTop w:val="0"/>
      <w:marBottom w:val="0"/>
      <w:divBdr>
        <w:top w:val="none" w:sz="0" w:space="0" w:color="auto"/>
        <w:left w:val="none" w:sz="0" w:space="0" w:color="auto"/>
        <w:bottom w:val="none" w:sz="0" w:space="0" w:color="auto"/>
        <w:right w:val="none" w:sz="0" w:space="0" w:color="auto"/>
      </w:divBdr>
    </w:div>
    <w:div w:id="1641808741">
      <w:bodyDiv w:val="1"/>
      <w:marLeft w:val="0"/>
      <w:marRight w:val="0"/>
      <w:marTop w:val="0"/>
      <w:marBottom w:val="0"/>
      <w:divBdr>
        <w:top w:val="none" w:sz="0" w:space="0" w:color="auto"/>
        <w:left w:val="none" w:sz="0" w:space="0" w:color="auto"/>
        <w:bottom w:val="none" w:sz="0" w:space="0" w:color="auto"/>
        <w:right w:val="none" w:sz="0" w:space="0" w:color="auto"/>
      </w:divBdr>
    </w:div>
    <w:div w:id="1768233085">
      <w:bodyDiv w:val="1"/>
      <w:marLeft w:val="0"/>
      <w:marRight w:val="0"/>
      <w:marTop w:val="0"/>
      <w:marBottom w:val="0"/>
      <w:divBdr>
        <w:top w:val="none" w:sz="0" w:space="0" w:color="auto"/>
        <w:left w:val="none" w:sz="0" w:space="0" w:color="auto"/>
        <w:bottom w:val="none" w:sz="0" w:space="0" w:color="auto"/>
        <w:right w:val="none" w:sz="0" w:space="0" w:color="auto"/>
      </w:divBdr>
    </w:div>
    <w:div w:id="18833267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sciencedirect.com/science/journal/01674870" TargetMode="External"/><Relationship Id="rId10" Type="http://schemas.openxmlformats.org/officeDocument/2006/relationships/hyperlink" Target="http://leicester.contentdm.oclc.org/cdm/search/searchterm/pr.%20by%20Booth%20and%20Milthorp%20for%20W.%20Whellan%20&amp;%20Co./mode/exact" TargetMode="External"/></Relationships>
</file>

<file path=word/_rels/endnotes.xml.rels><?xml version="1.0" encoding="UTF-8" standalone="yes"?>
<Relationships xmlns="http://schemas.openxmlformats.org/package/2006/relationships"><Relationship Id="rId3" Type="http://schemas.openxmlformats.org/officeDocument/2006/relationships/image" Target="media/image1.jpg"/><Relationship Id="rId4" Type="http://schemas.openxmlformats.org/officeDocument/2006/relationships/image" Target="media/image2.png"/><Relationship Id="rId1" Type="http://schemas.openxmlformats.org/officeDocument/2006/relationships/hyperlink" Target="http://www.google.co.uk/search?tbo=p&amp;tbm=bks&amp;q=inauthor:%22Eneas+Mackenzie%22" TargetMode="External"/><Relationship Id="rId2" Type="http://schemas.openxmlformats.org/officeDocument/2006/relationships/hyperlink" Target="http://www.google.co.uk/search?tbo=p&amp;tbm=bks&amp;q=inauthor:%22Eneas+Mackenzie%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1A844B-CE54-504C-A1BB-025C23DED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50</Pages>
  <Words>10561</Words>
  <Characters>60204</Characters>
  <Application>Microsoft Macintosh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Perriton</dc:creator>
  <cp:lastModifiedBy>Linda Perriton</cp:lastModifiedBy>
  <cp:revision>3</cp:revision>
  <cp:lastPrinted>2014-02-19T12:23:00Z</cp:lastPrinted>
  <dcterms:created xsi:type="dcterms:W3CDTF">2015-03-03T09:02:00Z</dcterms:created>
  <dcterms:modified xsi:type="dcterms:W3CDTF">2015-03-03T09:04:00Z</dcterms:modified>
</cp:coreProperties>
</file>