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FCCE2" w14:textId="73EF5B1B" w:rsidR="00BC13E4" w:rsidRPr="00B712C2" w:rsidRDefault="003870EA" w:rsidP="003870EA">
      <w:pPr>
        <w:spacing w:line="480" w:lineRule="auto"/>
        <w:rPr>
          <w:rFonts w:ascii="Times New Roman" w:hAnsi="Times New Roman" w:cs="Times New Roman"/>
          <w:b/>
        </w:rPr>
      </w:pPr>
      <w:r>
        <w:rPr>
          <w:rFonts w:ascii="Times New Roman" w:hAnsi="Times New Roman" w:cs="Times New Roman"/>
          <w:b/>
        </w:rPr>
        <w:t xml:space="preserve">1. </w:t>
      </w:r>
      <w:r w:rsidR="00BC13E4" w:rsidRPr="00B712C2">
        <w:rPr>
          <w:rFonts w:ascii="Times New Roman" w:hAnsi="Times New Roman" w:cs="Times New Roman"/>
          <w:b/>
        </w:rPr>
        <w:t>Introduction</w:t>
      </w:r>
    </w:p>
    <w:p w14:paraId="7B308C0D" w14:textId="346220CA" w:rsidR="00F35628" w:rsidRPr="00807BAB" w:rsidRDefault="00F35628" w:rsidP="00D67EC8">
      <w:pPr>
        <w:spacing w:line="480" w:lineRule="auto"/>
        <w:rPr>
          <w:rFonts w:ascii="Times New Roman" w:hAnsi="Times New Roman" w:cs="Times New Roman"/>
        </w:rPr>
      </w:pPr>
      <w:r w:rsidRPr="00807BAB">
        <w:rPr>
          <w:rFonts w:ascii="Times New Roman" w:hAnsi="Times New Roman" w:cs="Times New Roman"/>
        </w:rPr>
        <w:t xml:space="preserve">The economic crisis that began in 2008 </w:t>
      </w:r>
      <w:r w:rsidR="00936204">
        <w:rPr>
          <w:rFonts w:ascii="Times New Roman" w:hAnsi="Times New Roman" w:cs="Times New Roman"/>
        </w:rPr>
        <w:t xml:space="preserve">encouraged a lively debate about which policies are conducive to positive long-term economic performance and the economic theories on which those policies are founded. It appeared that the </w:t>
      </w:r>
      <w:r w:rsidRPr="00807BAB">
        <w:rPr>
          <w:rFonts w:ascii="Times New Roman" w:hAnsi="Times New Roman" w:cs="Times New Roman"/>
        </w:rPr>
        <w:t xml:space="preserve">orthodoxies </w:t>
      </w:r>
      <w:r w:rsidR="00936204">
        <w:rPr>
          <w:rFonts w:ascii="Times New Roman" w:hAnsi="Times New Roman" w:cs="Times New Roman"/>
        </w:rPr>
        <w:t xml:space="preserve">that had shaped economic policy during the preceding thirty years had been discredited while new </w:t>
      </w:r>
      <w:r w:rsidRPr="00807BAB">
        <w:rPr>
          <w:rFonts w:ascii="Times New Roman" w:hAnsi="Times New Roman" w:cs="Times New Roman"/>
        </w:rPr>
        <w:t xml:space="preserve">life </w:t>
      </w:r>
      <w:r w:rsidR="00936204">
        <w:rPr>
          <w:rFonts w:ascii="Times New Roman" w:hAnsi="Times New Roman" w:cs="Times New Roman"/>
        </w:rPr>
        <w:t xml:space="preserve">was being breathed </w:t>
      </w:r>
      <w:r w:rsidRPr="00807BAB">
        <w:rPr>
          <w:rFonts w:ascii="Times New Roman" w:hAnsi="Times New Roman" w:cs="Times New Roman"/>
        </w:rPr>
        <w:t xml:space="preserve">into old ideas. </w:t>
      </w:r>
      <w:r w:rsidR="00936204">
        <w:rPr>
          <w:rFonts w:ascii="Times New Roman" w:hAnsi="Times New Roman"/>
        </w:rPr>
        <w:t xml:space="preserve">Media and politicians of all political stripes proclaimed the death of neo-liberalism and argued that the dominant economic concepts of ‘rational expectations’ and ‘efficient markets’ should be consigned to the dustbin of history. </w:t>
      </w:r>
      <w:r w:rsidR="00814D17">
        <w:rPr>
          <w:rFonts w:ascii="Times New Roman" w:hAnsi="Times New Roman"/>
        </w:rPr>
        <w:t xml:space="preserve">The </w:t>
      </w:r>
      <w:r w:rsidR="00057C99">
        <w:rPr>
          <w:rFonts w:ascii="Times New Roman" w:hAnsi="Times New Roman"/>
        </w:rPr>
        <w:t xml:space="preserve">former </w:t>
      </w:r>
      <w:r w:rsidR="00814D17">
        <w:rPr>
          <w:rFonts w:ascii="Times New Roman" w:hAnsi="Times New Roman"/>
        </w:rPr>
        <w:t>French p</w:t>
      </w:r>
      <w:r w:rsidR="00936204">
        <w:rPr>
          <w:rFonts w:ascii="Times New Roman" w:hAnsi="Times New Roman"/>
        </w:rPr>
        <w:t xml:space="preserve">resident </w:t>
      </w:r>
      <w:r w:rsidR="00814D17">
        <w:rPr>
          <w:rFonts w:ascii="Times New Roman" w:hAnsi="Times New Roman"/>
        </w:rPr>
        <w:t xml:space="preserve">Nicolas </w:t>
      </w:r>
      <w:r w:rsidR="00936204">
        <w:rPr>
          <w:rFonts w:ascii="Times New Roman" w:hAnsi="Times New Roman"/>
        </w:rPr>
        <w:t>Sarkozy’s claim that ‘Laissez faire is finished’ (Callinicos</w:t>
      </w:r>
      <w:r w:rsidR="00F75379">
        <w:rPr>
          <w:rFonts w:ascii="Times New Roman" w:hAnsi="Times New Roman"/>
        </w:rPr>
        <w:t>,</w:t>
      </w:r>
      <w:r w:rsidR="00936204">
        <w:rPr>
          <w:rFonts w:ascii="Times New Roman" w:hAnsi="Times New Roman"/>
        </w:rPr>
        <w:t xml:space="preserve"> 2010: 5) neatly captured what appeared to be the consensus view. </w:t>
      </w:r>
      <w:r w:rsidR="00CC6328">
        <w:rPr>
          <w:rFonts w:ascii="Times New Roman" w:hAnsi="Times New Roman"/>
        </w:rPr>
        <w:t xml:space="preserve">By contrast, </w:t>
      </w:r>
      <w:r w:rsidR="00936204">
        <w:rPr>
          <w:rFonts w:ascii="Times New Roman" w:hAnsi="Times New Roman"/>
        </w:rPr>
        <w:t>Keynesian ideas</w:t>
      </w:r>
      <w:r w:rsidR="00CC6328">
        <w:rPr>
          <w:rFonts w:ascii="Times New Roman" w:hAnsi="Times New Roman"/>
        </w:rPr>
        <w:t xml:space="preserve"> </w:t>
      </w:r>
      <w:r w:rsidR="00936204">
        <w:rPr>
          <w:rFonts w:ascii="Times New Roman" w:hAnsi="Times New Roman"/>
        </w:rPr>
        <w:t xml:space="preserve">received </w:t>
      </w:r>
      <w:r w:rsidR="00CC6328">
        <w:rPr>
          <w:rFonts w:ascii="Times New Roman" w:hAnsi="Times New Roman"/>
        </w:rPr>
        <w:t xml:space="preserve">a </w:t>
      </w:r>
      <w:r w:rsidR="00936204">
        <w:rPr>
          <w:rFonts w:ascii="Times New Roman" w:hAnsi="Times New Roman"/>
        </w:rPr>
        <w:t xml:space="preserve">favourable hearing </w:t>
      </w:r>
      <w:r w:rsidR="00CC6328">
        <w:rPr>
          <w:rFonts w:ascii="Times New Roman" w:hAnsi="Times New Roman"/>
        </w:rPr>
        <w:t xml:space="preserve">for the first time since the 1970s and there appeared to be a general acknowledgement of the disastrous consequences of the </w:t>
      </w:r>
      <w:r w:rsidRPr="00807BAB">
        <w:rPr>
          <w:rFonts w:ascii="Times New Roman" w:hAnsi="Times New Roman" w:cs="Times New Roman"/>
        </w:rPr>
        <w:t>deregulati</w:t>
      </w:r>
      <w:r w:rsidR="00CC6328">
        <w:rPr>
          <w:rFonts w:ascii="Times New Roman" w:hAnsi="Times New Roman" w:cs="Times New Roman"/>
        </w:rPr>
        <w:t>on of the</w:t>
      </w:r>
      <w:r w:rsidRPr="00807BAB">
        <w:rPr>
          <w:rFonts w:ascii="Times New Roman" w:hAnsi="Times New Roman" w:cs="Times New Roman"/>
        </w:rPr>
        <w:t xml:space="preserve"> </w:t>
      </w:r>
      <w:r w:rsidR="00CC6328">
        <w:rPr>
          <w:rFonts w:ascii="Times New Roman" w:hAnsi="Times New Roman" w:cs="Times New Roman"/>
        </w:rPr>
        <w:t>ban</w:t>
      </w:r>
      <w:r w:rsidRPr="00807BAB">
        <w:rPr>
          <w:rFonts w:ascii="Times New Roman" w:hAnsi="Times New Roman" w:cs="Times New Roman"/>
        </w:rPr>
        <w:t>king and finance</w:t>
      </w:r>
      <w:r w:rsidR="00CC6328">
        <w:rPr>
          <w:rFonts w:ascii="Times New Roman" w:hAnsi="Times New Roman" w:cs="Times New Roman"/>
        </w:rPr>
        <w:t xml:space="preserve"> sector. Markets, it seemed, did not necessarily ‘know best’. Weakened faith in the merits of deregulation extended to the labour market. The OECD (2011) acknowledged that many countries with weak </w:t>
      </w:r>
      <w:r w:rsidR="007E7350">
        <w:rPr>
          <w:rFonts w:ascii="Times New Roman" w:hAnsi="Times New Roman" w:cs="Times New Roman"/>
        </w:rPr>
        <w:t>labour market institutions</w:t>
      </w:r>
      <w:r w:rsidR="00CC6328">
        <w:rPr>
          <w:rFonts w:ascii="Times New Roman" w:hAnsi="Times New Roman" w:cs="Times New Roman"/>
        </w:rPr>
        <w:t xml:space="preserve">, such as the USA and UK, had experienced more substantial increases in unemployment </w:t>
      </w:r>
      <w:r w:rsidR="007E7350">
        <w:rPr>
          <w:rFonts w:ascii="Times New Roman" w:hAnsi="Times New Roman" w:cs="Times New Roman"/>
        </w:rPr>
        <w:t xml:space="preserve">than countries such as Austria and Germany, where </w:t>
      </w:r>
      <w:r w:rsidR="00502144">
        <w:rPr>
          <w:rFonts w:ascii="Times New Roman" w:hAnsi="Times New Roman" w:cs="Times New Roman"/>
        </w:rPr>
        <w:t>institutions</w:t>
      </w:r>
      <w:r w:rsidR="007E7350">
        <w:rPr>
          <w:rFonts w:ascii="Times New Roman" w:hAnsi="Times New Roman" w:cs="Times New Roman"/>
        </w:rPr>
        <w:t xml:space="preserve"> were more robust.  </w:t>
      </w:r>
      <w:r w:rsidRPr="00807BAB">
        <w:rPr>
          <w:rFonts w:ascii="Times New Roman" w:hAnsi="Times New Roman" w:cs="Times New Roman"/>
        </w:rPr>
        <w:t xml:space="preserve"> </w:t>
      </w:r>
    </w:p>
    <w:p w14:paraId="142D940A" w14:textId="40871BE9" w:rsidR="0017602E" w:rsidRDefault="007E7350">
      <w:pPr>
        <w:spacing w:line="480" w:lineRule="auto"/>
        <w:rPr>
          <w:rFonts w:ascii="Times New Roman" w:hAnsi="Times New Roman" w:cs="Times New Roman"/>
          <w:bCs/>
        </w:rPr>
      </w:pPr>
      <w:r>
        <w:rPr>
          <w:rFonts w:ascii="Times New Roman" w:hAnsi="Times New Roman" w:cs="Times New Roman"/>
        </w:rPr>
        <w:t xml:space="preserve">The return of Keynesianism to the policy spotlight proved to be short-lived, as did political enthusiasm for re-regulating the banking and finance sector. Many of the orthodoxies that appeared to have been swept away by the crisis made a remarkable recovery as the economic crisis continued and governments began to pursue austerity measures. </w:t>
      </w:r>
      <w:r w:rsidR="00AE00F4">
        <w:rPr>
          <w:rFonts w:ascii="Times New Roman" w:hAnsi="Times New Roman" w:cs="Times New Roman"/>
        </w:rPr>
        <w:t xml:space="preserve">Clinging to failed ideas is hardly a new political phenomenon. </w:t>
      </w:r>
      <w:r w:rsidR="00CC6328">
        <w:rPr>
          <w:rFonts w:ascii="Times New Roman" w:hAnsi="Times New Roman" w:cs="Times New Roman"/>
        </w:rPr>
        <w:t xml:space="preserve">As Quiggin (2010) has </w:t>
      </w:r>
      <w:r>
        <w:rPr>
          <w:rFonts w:ascii="Times New Roman" w:hAnsi="Times New Roman" w:cs="Times New Roman"/>
        </w:rPr>
        <w:t xml:space="preserve">recently argued, many influential </w:t>
      </w:r>
      <w:r w:rsidR="004E4A40" w:rsidRPr="00807BAB">
        <w:rPr>
          <w:rFonts w:ascii="Times New Roman" w:hAnsi="Times New Roman" w:cs="Times New Roman"/>
        </w:rPr>
        <w:t xml:space="preserve">economic theories and assumptions have ‘refused to die’ despite </w:t>
      </w:r>
      <w:r>
        <w:rPr>
          <w:rFonts w:ascii="Times New Roman" w:hAnsi="Times New Roman" w:cs="Times New Roman"/>
        </w:rPr>
        <w:t>repeated</w:t>
      </w:r>
      <w:r w:rsidR="004E4A40" w:rsidRPr="00807BAB">
        <w:rPr>
          <w:rFonts w:ascii="Times New Roman" w:hAnsi="Times New Roman" w:cs="Times New Roman"/>
        </w:rPr>
        <w:t xml:space="preserve"> evidence that they are </w:t>
      </w:r>
      <w:r w:rsidR="00AE00F4">
        <w:rPr>
          <w:rFonts w:ascii="Times New Roman" w:hAnsi="Times New Roman" w:cs="Times New Roman"/>
        </w:rPr>
        <w:t xml:space="preserve">highly </w:t>
      </w:r>
      <w:r w:rsidR="004E4A40" w:rsidRPr="00807BAB">
        <w:rPr>
          <w:rFonts w:ascii="Times New Roman" w:hAnsi="Times New Roman" w:cs="Times New Roman"/>
        </w:rPr>
        <w:t xml:space="preserve">flawed. </w:t>
      </w:r>
      <w:r w:rsidR="00502144">
        <w:rPr>
          <w:rFonts w:ascii="Times New Roman" w:hAnsi="Times New Roman" w:cs="Times New Roman"/>
        </w:rPr>
        <w:t>Examples</w:t>
      </w:r>
      <w:r w:rsidR="004E4A40" w:rsidRPr="00807BAB">
        <w:rPr>
          <w:rFonts w:ascii="Times New Roman" w:hAnsi="Times New Roman" w:cs="Times New Roman"/>
        </w:rPr>
        <w:t xml:space="preserve"> include the claim that spending by the state ‘crowds out’ private </w:t>
      </w:r>
      <w:r w:rsidR="00B32EF2" w:rsidRPr="00807BAB">
        <w:rPr>
          <w:rFonts w:ascii="Times New Roman" w:hAnsi="Times New Roman" w:cs="Times New Roman"/>
        </w:rPr>
        <w:t>investment</w:t>
      </w:r>
      <w:r w:rsidR="00AB169D" w:rsidRPr="00807BAB">
        <w:rPr>
          <w:rFonts w:ascii="Times New Roman" w:hAnsi="Times New Roman" w:cs="Times New Roman"/>
        </w:rPr>
        <w:t xml:space="preserve"> and that policies that favour the well-off will in the long-run produce ‘trickle down’ effects that benefit </w:t>
      </w:r>
      <w:r w:rsidR="00502144">
        <w:rPr>
          <w:rFonts w:ascii="Times New Roman" w:hAnsi="Times New Roman" w:cs="Times New Roman"/>
        </w:rPr>
        <w:t>the poor</w:t>
      </w:r>
      <w:r w:rsidR="00AB169D" w:rsidRPr="00807BAB">
        <w:rPr>
          <w:rFonts w:ascii="Times New Roman" w:hAnsi="Times New Roman" w:cs="Times New Roman"/>
        </w:rPr>
        <w:t xml:space="preserve">. The belief that </w:t>
      </w:r>
      <w:r w:rsidR="00030B1F" w:rsidRPr="00807BAB">
        <w:rPr>
          <w:rFonts w:ascii="Times New Roman" w:hAnsi="Times New Roman" w:cs="Times New Roman"/>
        </w:rPr>
        <w:t xml:space="preserve">employment protection legislation (EPL) causes unemployment </w:t>
      </w:r>
      <w:r w:rsidR="00AB169D" w:rsidRPr="00807BAB">
        <w:rPr>
          <w:rFonts w:ascii="Times New Roman" w:hAnsi="Times New Roman" w:cs="Times New Roman"/>
        </w:rPr>
        <w:t xml:space="preserve">and is bad for competitiveness </w:t>
      </w:r>
      <w:r w:rsidR="00F35628" w:rsidRPr="00807BAB">
        <w:rPr>
          <w:rFonts w:ascii="Times New Roman" w:hAnsi="Times New Roman" w:cs="Times New Roman"/>
        </w:rPr>
        <w:t>can</w:t>
      </w:r>
      <w:r w:rsidR="00030B1F" w:rsidRPr="00807BAB">
        <w:rPr>
          <w:rFonts w:ascii="Times New Roman" w:hAnsi="Times New Roman" w:cs="Times New Roman"/>
        </w:rPr>
        <w:t xml:space="preserve"> be added to this list</w:t>
      </w:r>
      <w:r w:rsidR="0047182D">
        <w:rPr>
          <w:rFonts w:ascii="Times New Roman" w:hAnsi="Times New Roman" w:cs="Times New Roman"/>
        </w:rPr>
        <w:t xml:space="preserve">. </w:t>
      </w:r>
      <w:r w:rsidR="00173C63" w:rsidRPr="00807BAB">
        <w:rPr>
          <w:rFonts w:ascii="Times New Roman" w:hAnsi="Times New Roman" w:cs="Times New Roman"/>
        </w:rPr>
        <w:t xml:space="preserve">Employment protection legislation regulates individual and collective dismissals and the use of temporary contracts by employers. It sets limits on employers’ ability to dismiss their employees and </w:t>
      </w:r>
      <w:r w:rsidR="00173C63" w:rsidRPr="00807BAB">
        <w:rPr>
          <w:rFonts w:ascii="Times New Roman" w:hAnsi="Times New Roman" w:cs="Times New Roman"/>
        </w:rPr>
        <w:lastRenderedPageBreak/>
        <w:t>provides workers with rights in respect of consultation and severance payments</w:t>
      </w:r>
      <w:r w:rsidR="00173C63">
        <w:rPr>
          <w:rFonts w:ascii="Times New Roman" w:hAnsi="Times New Roman" w:cs="Times New Roman"/>
        </w:rPr>
        <w:t xml:space="preserve">. </w:t>
      </w:r>
      <w:r w:rsidR="0017602E">
        <w:rPr>
          <w:rFonts w:ascii="Times New Roman" w:hAnsi="Times New Roman" w:cs="Times New Roman"/>
        </w:rPr>
        <w:t xml:space="preserve">The claim that </w:t>
      </w:r>
      <w:r w:rsidR="00173C63">
        <w:rPr>
          <w:rFonts w:ascii="Times New Roman" w:hAnsi="Times New Roman" w:cs="Times New Roman"/>
        </w:rPr>
        <w:t xml:space="preserve">EPL has harmful economic consequences </w:t>
      </w:r>
      <w:r w:rsidR="0017602E">
        <w:rPr>
          <w:rFonts w:ascii="Times New Roman" w:hAnsi="Times New Roman" w:cs="Times New Roman"/>
        </w:rPr>
        <w:t>gained in influence</w:t>
      </w:r>
      <w:r w:rsidR="00173C63">
        <w:rPr>
          <w:rFonts w:ascii="Times New Roman" w:hAnsi="Times New Roman" w:cs="Times New Roman"/>
        </w:rPr>
        <w:t xml:space="preserve"> a</w:t>
      </w:r>
      <w:r w:rsidR="0087771C">
        <w:rPr>
          <w:rFonts w:ascii="Times New Roman" w:hAnsi="Times New Roman" w:cs="Times New Roman"/>
        </w:rPr>
        <w:t>fter the 1970s, as Keynesian prescriptions for reducing unemployment gave way to supply-side analyse</w:t>
      </w:r>
      <w:r w:rsidR="003E5395">
        <w:rPr>
          <w:rFonts w:ascii="Times New Roman" w:hAnsi="Times New Roman" w:cs="Times New Roman"/>
        </w:rPr>
        <w:t>s</w:t>
      </w:r>
      <w:r w:rsidR="0087771C">
        <w:rPr>
          <w:rFonts w:ascii="Times New Roman" w:hAnsi="Times New Roman" w:cs="Times New Roman"/>
        </w:rPr>
        <w:t xml:space="preserve"> and policy recommendations. </w:t>
      </w:r>
      <w:r w:rsidR="00E87378">
        <w:rPr>
          <w:rFonts w:ascii="Times New Roman" w:hAnsi="Times New Roman" w:cs="Times New Roman"/>
        </w:rPr>
        <w:t>L</w:t>
      </w:r>
      <w:r w:rsidR="0087771C">
        <w:rPr>
          <w:rFonts w:ascii="Times New Roman" w:hAnsi="Times New Roman" w:cs="Times New Roman"/>
        </w:rPr>
        <w:t xml:space="preserve">abour market </w:t>
      </w:r>
      <w:r w:rsidR="003E5395">
        <w:rPr>
          <w:rFonts w:ascii="Times New Roman" w:hAnsi="Times New Roman" w:cs="Times New Roman"/>
        </w:rPr>
        <w:t>flexibility was vigorously p</w:t>
      </w:r>
      <w:r w:rsidR="003E5395" w:rsidRPr="00173C63">
        <w:rPr>
          <w:rFonts w:ascii="Times New Roman" w:hAnsi="Times New Roman" w:cs="Times New Roman"/>
        </w:rPr>
        <w:t xml:space="preserve">ursued by Conservative </w:t>
      </w:r>
      <w:r w:rsidR="0087771C" w:rsidRPr="00173C63">
        <w:rPr>
          <w:rFonts w:ascii="Times New Roman" w:hAnsi="Times New Roman" w:cs="Times New Roman"/>
        </w:rPr>
        <w:t xml:space="preserve">governments </w:t>
      </w:r>
      <w:r w:rsidR="003E5395" w:rsidRPr="00173C63">
        <w:rPr>
          <w:rFonts w:ascii="Times New Roman" w:hAnsi="Times New Roman" w:cs="Times New Roman"/>
        </w:rPr>
        <w:t>in</w:t>
      </w:r>
      <w:r w:rsidR="0087771C" w:rsidRPr="00173C63">
        <w:rPr>
          <w:rFonts w:ascii="Times New Roman" w:hAnsi="Times New Roman" w:cs="Times New Roman"/>
        </w:rPr>
        <w:t xml:space="preserve"> the UK</w:t>
      </w:r>
      <w:r w:rsidR="00E87378">
        <w:rPr>
          <w:rFonts w:ascii="Times New Roman" w:hAnsi="Times New Roman" w:cs="Times New Roman"/>
        </w:rPr>
        <w:t xml:space="preserve"> during the 1980s and 1990s</w:t>
      </w:r>
      <w:r w:rsidR="00910EF5">
        <w:rPr>
          <w:rFonts w:ascii="Times New Roman" w:hAnsi="Times New Roman" w:cs="Times New Roman"/>
        </w:rPr>
        <w:t xml:space="preserve">. Although other </w:t>
      </w:r>
      <w:r w:rsidR="00751816">
        <w:rPr>
          <w:rFonts w:ascii="Times New Roman" w:hAnsi="Times New Roman" w:cs="Times New Roman"/>
        </w:rPr>
        <w:t>European Union (</w:t>
      </w:r>
      <w:r w:rsidR="00910EF5">
        <w:rPr>
          <w:rFonts w:ascii="Times New Roman" w:hAnsi="Times New Roman" w:cs="Times New Roman"/>
        </w:rPr>
        <w:t>EU</w:t>
      </w:r>
      <w:r w:rsidR="00751816">
        <w:rPr>
          <w:rFonts w:ascii="Times New Roman" w:hAnsi="Times New Roman" w:cs="Times New Roman"/>
        </w:rPr>
        <w:t>)</w:t>
      </w:r>
      <w:r w:rsidR="00910EF5">
        <w:rPr>
          <w:rFonts w:ascii="Times New Roman" w:hAnsi="Times New Roman" w:cs="Times New Roman"/>
        </w:rPr>
        <w:t xml:space="preserve"> member states tended to proceed at a slower pace, reforms were </w:t>
      </w:r>
      <w:r w:rsidR="00751816">
        <w:rPr>
          <w:rFonts w:ascii="Times New Roman" w:hAnsi="Times New Roman" w:cs="Times New Roman"/>
        </w:rPr>
        <w:t xml:space="preserve">nevertheless </w:t>
      </w:r>
      <w:r w:rsidR="00910EF5">
        <w:rPr>
          <w:rFonts w:ascii="Times New Roman" w:hAnsi="Times New Roman" w:cs="Times New Roman"/>
        </w:rPr>
        <w:t xml:space="preserve">widespread during this period, particularly in relation to </w:t>
      </w:r>
      <w:r w:rsidR="00751816">
        <w:rPr>
          <w:rFonts w:ascii="Times New Roman" w:hAnsi="Times New Roman" w:cs="Times New Roman"/>
        </w:rPr>
        <w:t xml:space="preserve">the </w:t>
      </w:r>
      <w:r w:rsidR="00910EF5">
        <w:rPr>
          <w:rFonts w:ascii="Times New Roman" w:hAnsi="Times New Roman" w:cs="Times New Roman"/>
        </w:rPr>
        <w:t xml:space="preserve">weakening </w:t>
      </w:r>
      <w:r w:rsidR="00751816">
        <w:rPr>
          <w:rFonts w:ascii="Times New Roman" w:hAnsi="Times New Roman" w:cs="Times New Roman"/>
        </w:rPr>
        <w:t xml:space="preserve">of </w:t>
      </w:r>
      <w:r w:rsidR="00910EF5">
        <w:rPr>
          <w:rFonts w:ascii="Times New Roman" w:hAnsi="Times New Roman" w:cs="Times New Roman"/>
        </w:rPr>
        <w:t xml:space="preserve">restrictions on fixed-term employment, a </w:t>
      </w:r>
      <w:r w:rsidR="00751816">
        <w:rPr>
          <w:rFonts w:ascii="Times New Roman" w:hAnsi="Times New Roman" w:cs="Times New Roman"/>
        </w:rPr>
        <w:t>policy reform</w:t>
      </w:r>
      <w:r w:rsidR="00910EF5">
        <w:rPr>
          <w:rFonts w:ascii="Times New Roman" w:hAnsi="Times New Roman" w:cs="Times New Roman"/>
        </w:rPr>
        <w:t xml:space="preserve"> </w:t>
      </w:r>
      <w:r w:rsidR="00751816">
        <w:rPr>
          <w:rFonts w:ascii="Times New Roman" w:hAnsi="Times New Roman" w:cs="Times New Roman"/>
        </w:rPr>
        <w:t xml:space="preserve">that was </w:t>
      </w:r>
      <w:r w:rsidR="00910EF5">
        <w:rPr>
          <w:rFonts w:ascii="Times New Roman" w:hAnsi="Times New Roman" w:cs="Times New Roman"/>
        </w:rPr>
        <w:t xml:space="preserve">encouraged by the </w:t>
      </w:r>
      <w:r w:rsidR="003E5395" w:rsidRPr="00173C63">
        <w:rPr>
          <w:rFonts w:ascii="Times New Roman" w:hAnsi="Times New Roman" w:cs="Times New Roman"/>
        </w:rPr>
        <w:t>European Commission</w:t>
      </w:r>
      <w:r w:rsidR="00910EF5">
        <w:rPr>
          <w:rFonts w:ascii="Times New Roman" w:hAnsi="Times New Roman" w:cs="Times New Roman"/>
        </w:rPr>
        <w:t xml:space="preserve">. </w:t>
      </w:r>
      <w:r w:rsidR="00751816">
        <w:rPr>
          <w:rFonts w:ascii="Times New Roman" w:hAnsi="Times New Roman" w:cs="Times New Roman"/>
        </w:rPr>
        <w:t xml:space="preserve">During </w:t>
      </w:r>
      <w:r w:rsidR="00173C63" w:rsidRPr="00B712C2">
        <w:rPr>
          <w:rFonts w:ascii="Times New Roman" w:hAnsi="Times New Roman" w:cs="Times New Roman"/>
          <w:bCs/>
        </w:rPr>
        <w:t xml:space="preserve">the early 2000s </w:t>
      </w:r>
      <w:r w:rsidR="00910EF5">
        <w:rPr>
          <w:rFonts w:ascii="Times New Roman" w:hAnsi="Times New Roman" w:cs="Times New Roman"/>
          <w:bCs/>
        </w:rPr>
        <w:t>the Commission</w:t>
      </w:r>
      <w:r w:rsidR="00173C63" w:rsidRPr="00B712C2">
        <w:rPr>
          <w:rFonts w:ascii="Times New Roman" w:hAnsi="Times New Roman" w:cs="Times New Roman"/>
          <w:bCs/>
        </w:rPr>
        <w:t xml:space="preserve"> began to call for reform of </w:t>
      </w:r>
      <w:r w:rsidR="00910EF5">
        <w:rPr>
          <w:rFonts w:ascii="Times New Roman" w:hAnsi="Times New Roman" w:cs="Times New Roman"/>
          <w:bCs/>
        </w:rPr>
        <w:t xml:space="preserve">employment protection </w:t>
      </w:r>
      <w:r w:rsidR="00173C63" w:rsidRPr="00B712C2">
        <w:rPr>
          <w:rFonts w:ascii="Times New Roman" w:hAnsi="Times New Roman" w:cs="Times New Roman"/>
          <w:bCs/>
        </w:rPr>
        <w:t>r</w:t>
      </w:r>
      <w:r w:rsidR="00173C63">
        <w:rPr>
          <w:rFonts w:ascii="Times New Roman" w:hAnsi="Times New Roman" w:cs="Times New Roman"/>
          <w:bCs/>
        </w:rPr>
        <w:t>egulations</w:t>
      </w:r>
      <w:r w:rsidR="00173C63" w:rsidRPr="00B712C2">
        <w:rPr>
          <w:rFonts w:ascii="Times New Roman" w:hAnsi="Times New Roman" w:cs="Times New Roman"/>
          <w:bCs/>
        </w:rPr>
        <w:t xml:space="preserve"> relating to regular jobs, claiming that these were necessary </w:t>
      </w:r>
      <w:r w:rsidR="00751816">
        <w:rPr>
          <w:rFonts w:ascii="Times New Roman" w:hAnsi="Times New Roman" w:cs="Times New Roman"/>
          <w:bCs/>
        </w:rPr>
        <w:t xml:space="preserve">in order to improve </w:t>
      </w:r>
      <w:r w:rsidR="00173C63" w:rsidRPr="00B712C2">
        <w:rPr>
          <w:rFonts w:ascii="Times New Roman" w:hAnsi="Times New Roman" w:cs="Times New Roman"/>
          <w:bCs/>
        </w:rPr>
        <w:t xml:space="preserve">the ability of marginally employed workers to make transitions to more secure employment (Freedland and Countouris, 2013). </w:t>
      </w:r>
      <w:r w:rsidR="0017602E">
        <w:rPr>
          <w:rFonts w:ascii="Times New Roman" w:hAnsi="Times New Roman" w:cs="Times New Roman"/>
          <w:bCs/>
        </w:rPr>
        <w:t>EU member states were, however, encouraged to ensure that increase</w:t>
      </w:r>
      <w:r w:rsidR="00751816">
        <w:rPr>
          <w:rFonts w:ascii="Times New Roman" w:hAnsi="Times New Roman" w:cs="Times New Roman"/>
          <w:bCs/>
        </w:rPr>
        <w:t>s in</w:t>
      </w:r>
      <w:r w:rsidR="0017602E">
        <w:rPr>
          <w:rFonts w:ascii="Times New Roman" w:hAnsi="Times New Roman" w:cs="Times New Roman"/>
          <w:bCs/>
        </w:rPr>
        <w:t xml:space="preserve"> labour market flexibility w</w:t>
      </w:r>
      <w:r w:rsidR="00751816">
        <w:rPr>
          <w:rFonts w:ascii="Times New Roman" w:hAnsi="Times New Roman" w:cs="Times New Roman"/>
          <w:bCs/>
        </w:rPr>
        <w:t>ere</w:t>
      </w:r>
      <w:r w:rsidR="0017602E">
        <w:rPr>
          <w:rFonts w:ascii="Times New Roman" w:hAnsi="Times New Roman" w:cs="Times New Roman"/>
          <w:bCs/>
        </w:rPr>
        <w:t xml:space="preserve"> accompanied by measures to provide workers with employment security, a policy combination referred to as ‘flexicurity’ (European Commission, 2007).</w:t>
      </w:r>
    </w:p>
    <w:p w14:paraId="65F3DEBC" w14:textId="68C41B2D" w:rsidR="00A76B05" w:rsidRDefault="0017602E" w:rsidP="00D67EC8">
      <w:pPr>
        <w:spacing w:line="480" w:lineRule="auto"/>
        <w:rPr>
          <w:rFonts w:ascii="Times New Roman" w:hAnsi="Times New Roman" w:cs="Times New Roman"/>
        </w:rPr>
      </w:pPr>
      <w:r w:rsidRPr="00B712C2">
        <w:rPr>
          <w:rFonts w:ascii="Times New Roman" w:hAnsi="Times New Roman" w:cs="Times New Roman"/>
          <w:bCs/>
        </w:rPr>
        <w:t xml:space="preserve">The crisis </w:t>
      </w:r>
      <w:r w:rsidR="00CE7D39">
        <w:rPr>
          <w:rFonts w:ascii="Times New Roman" w:hAnsi="Times New Roman" w:cs="Times New Roman"/>
          <w:bCs/>
        </w:rPr>
        <w:t>may be understood as</w:t>
      </w:r>
      <w:r w:rsidRPr="00B712C2">
        <w:rPr>
          <w:rFonts w:ascii="Times New Roman" w:hAnsi="Times New Roman" w:cs="Times New Roman"/>
          <w:bCs/>
        </w:rPr>
        <w:t xml:space="preserve"> a punctuation point, where for a short period the supply-side agenda was questioned</w:t>
      </w:r>
      <w:r>
        <w:rPr>
          <w:rFonts w:ascii="Times New Roman" w:hAnsi="Times New Roman" w:cs="Times New Roman"/>
          <w:bCs/>
        </w:rPr>
        <w:t>,</w:t>
      </w:r>
      <w:r w:rsidRPr="00B712C2">
        <w:rPr>
          <w:rFonts w:ascii="Times New Roman" w:hAnsi="Times New Roman" w:cs="Times New Roman"/>
          <w:bCs/>
        </w:rPr>
        <w:t xml:space="preserve"> including the </w:t>
      </w:r>
      <w:r>
        <w:rPr>
          <w:rFonts w:ascii="Times New Roman" w:hAnsi="Times New Roman" w:cs="Times New Roman"/>
          <w:bCs/>
        </w:rPr>
        <w:t xml:space="preserve">merits of </w:t>
      </w:r>
      <w:r w:rsidRPr="00B712C2">
        <w:rPr>
          <w:rFonts w:ascii="Times New Roman" w:hAnsi="Times New Roman" w:cs="Times New Roman"/>
          <w:bCs/>
        </w:rPr>
        <w:t>de-regulatin</w:t>
      </w:r>
      <w:r>
        <w:rPr>
          <w:rFonts w:ascii="Times New Roman" w:hAnsi="Times New Roman" w:cs="Times New Roman"/>
          <w:bCs/>
        </w:rPr>
        <w:t>g</w:t>
      </w:r>
      <w:r w:rsidRPr="00B712C2">
        <w:rPr>
          <w:rFonts w:ascii="Times New Roman" w:hAnsi="Times New Roman" w:cs="Times New Roman"/>
          <w:bCs/>
        </w:rPr>
        <w:t xml:space="preserve"> markets (OECD 2011). However, once it became clear that inter-state fiscal stimulus could not be applied within the Eurozone at the current level of political integration</w:t>
      </w:r>
      <w:r>
        <w:rPr>
          <w:rFonts w:ascii="Times New Roman" w:hAnsi="Times New Roman" w:cs="Times New Roman"/>
          <w:bCs/>
        </w:rPr>
        <w:t>,</w:t>
      </w:r>
      <w:r w:rsidRPr="00B712C2">
        <w:rPr>
          <w:rFonts w:ascii="Times New Roman" w:hAnsi="Times New Roman" w:cs="Times New Roman"/>
          <w:bCs/>
        </w:rPr>
        <w:t xml:space="preserve"> and that the E</w:t>
      </w:r>
      <w:r>
        <w:rPr>
          <w:rFonts w:ascii="Times New Roman" w:hAnsi="Times New Roman" w:cs="Times New Roman"/>
          <w:bCs/>
        </w:rPr>
        <w:t xml:space="preserve">uropean </w:t>
      </w:r>
      <w:r w:rsidRPr="00B712C2">
        <w:rPr>
          <w:rFonts w:ascii="Times New Roman" w:hAnsi="Times New Roman" w:cs="Times New Roman"/>
          <w:bCs/>
        </w:rPr>
        <w:t>C</w:t>
      </w:r>
      <w:r>
        <w:rPr>
          <w:rFonts w:ascii="Times New Roman" w:hAnsi="Times New Roman" w:cs="Times New Roman"/>
          <w:bCs/>
        </w:rPr>
        <w:t xml:space="preserve">entral </w:t>
      </w:r>
      <w:r w:rsidRPr="00B712C2">
        <w:rPr>
          <w:rFonts w:ascii="Times New Roman" w:hAnsi="Times New Roman" w:cs="Times New Roman"/>
          <w:bCs/>
        </w:rPr>
        <w:t>B</w:t>
      </w:r>
      <w:r>
        <w:rPr>
          <w:rFonts w:ascii="Times New Roman" w:hAnsi="Times New Roman" w:cs="Times New Roman"/>
          <w:bCs/>
        </w:rPr>
        <w:t>ank</w:t>
      </w:r>
      <w:r w:rsidRPr="00B712C2">
        <w:rPr>
          <w:rFonts w:ascii="Times New Roman" w:hAnsi="Times New Roman" w:cs="Times New Roman"/>
          <w:bCs/>
        </w:rPr>
        <w:t xml:space="preserve"> would not </w:t>
      </w:r>
      <w:r w:rsidR="00751816">
        <w:rPr>
          <w:rFonts w:ascii="Times New Roman" w:hAnsi="Times New Roman" w:cs="Times New Roman"/>
          <w:bCs/>
        </w:rPr>
        <w:t>loosen</w:t>
      </w:r>
      <w:r w:rsidRPr="00B712C2">
        <w:rPr>
          <w:rFonts w:ascii="Times New Roman" w:hAnsi="Times New Roman" w:cs="Times New Roman"/>
          <w:bCs/>
        </w:rPr>
        <w:t xml:space="preserve"> monetary policy or directly ease bond market tensions for the most vulnerable states, </w:t>
      </w:r>
      <w:r>
        <w:rPr>
          <w:rFonts w:ascii="Times New Roman" w:hAnsi="Times New Roman" w:cs="Times New Roman"/>
          <w:bCs/>
        </w:rPr>
        <w:t>there came a</w:t>
      </w:r>
      <w:r w:rsidRPr="00B712C2">
        <w:rPr>
          <w:rFonts w:ascii="Times New Roman" w:hAnsi="Times New Roman" w:cs="Times New Roman"/>
          <w:bCs/>
        </w:rPr>
        <w:t xml:space="preserve"> turn to fiscal austerity, internal adjustment and a re-embracing of the supply-side paradigm with a vengeance.</w:t>
      </w:r>
      <w:r>
        <w:rPr>
          <w:rFonts w:ascii="Times New Roman" w:hAnsi="Times New Roman" w:cs="Times New Roman"/>
          <w:bCs/>
        </w:rPr>
        <w:t xml:space="preserve"> </w:t>
      </w:r>
      <w:r w:rsidR="00751816">
        <w:rPr>
          <w:rFonts w:ascii="Times New Roman" w:hAnsi="Times New Roman" w:cs="Times New Roman"/>
          <w:bCs/>
        </w:rPr>
        <w:t>Since the start of the crisis, m</w:t>
      </w:r>
      <w:r w:rsidR="00AE00F4">
        <w:rPr>
          <w:rFonts w:ascii="Times New Roman" w:hAnsi="Times New Roman" w:cs="Times New Roman"/>
        </w:rPr>
        <w:t xml:space="preserve">any EU </w:t>
      </w:r>
      <w:r w:rsidR="00751816">
        <w:rPr>
          <w:rFonts w:ascii="Times New Roman" w:hAnsi="Times New Roman" w:cs="Times New Roman"/>
        </w:rPr>
        <w:t xml:space="preserve">national </w:t>
      </w:r>
      <w:r w:rsidR="00AE00F4">
        <w:rPr>
          <w:rFonts w:ascii="Times New Roman" w:hAnsi="Times New Roman" w:cs="Times New Roman"/>
        </w:rPr>
        <w:t xml:space="preserve">governments have </w:t>
      </w:r>
      <w:r w:rsidR="00030B1F" w:rsidRPr="00807BAB">
        <w:rPr>
          <w:rFonts w:ascii="Times New Roman" w:hAnsi="Times New Roman" w:cs="Times New Roman"/>
        </w:rPr>
        <w:t xml:space="preserve">eroded constraints on employers’ ability to dismiss </w:t>
      </w:r>
      <w:r w:rsidR="00A66789" w:rsidRPr="00807BAB">
        <w:rPr>
          <w:rFonts w:ascii="Times New Roman" w:hAnsi="Times New Roman" w:cs="Times New Roman"/>
        </w:rPr>
        <w:t>their employees</w:t>
      </w:r>
      <w:r w:rsidR="00030B1F" w:rsidRPr="00807BAB">
        <w:rPr>
          <w:rFonts w:ascii="Times New Roman" w:hAnsi="Times New Roman" w:cs="Times New Roman"/>
        </w:rPr>
        <w:t xml:space="preserve">. </w:t>
      </w:r>
      <w:r w:rsidR="00AE00F4">
        <w:rPr>
          <w:rFonts w:ascii="Times New Roman" w:hAnsi="Times New Roman" w:cs="Times New Roman"/>
        </w:rPr>
        <w:t xml:space="preserve">In several countries, the reform programmes have been undertaken </w:t>
      </w:r>
      <w:r w:rsidR="00D533DB" w:rsidRPr="00807BAB">
        <w:rPr>
          <w:rFonts w:ascii="Times New Roman" w:hAnsi="Times New Roman" w:cs="Times New Roman"/>
        </w:rPr>
        <w:t>at the behest of the Troika of the European Central Bank</w:t>
      </w:r>
      <w:r w:rsidR="00502144">
        <w:rPr>
          <w:rFonts w:ascii="Times New Roman" w:hAnsi="Times New Roman" w:cs="Times New Roman"/>
        </w:rPr>
        <w:t xml:space="preserve"> (ECB)</w:t>
      </w:r>
      <w:r w:rsidR="00D533DB" w:rsidRPr="00807BAB">
        <w:rPr>
          <w:rFonts w:ascii="Times New Roman" w:hAnsi="Times New Roman" w:cs="Times New Roman"/>
        </w:rPr>
        <w:t xml:space="preserve">, International Monetary Fund </w:t>
      </w:r>
      <w:r w:rsidR="00502144">
        <w:rPr>
          <w:rFonts w:ascii="Times New Roman" w:hAnsi="Times New Roman" w:cs="Times New Roman"/>
        </w:rPr>
        <w:t xml:space="preserve">(IMF) </w:t>
      </w:r>
      <w:r w:rsidR="00D533DB" w:rsidRPr="00807BAB">
        <w:rPr>
          <w:rFonts w:ascii="Times New Roman" w:hAnsi="Times New Roman" w:cs="Times New Roman"/>
        </w:rPr>
        <w:t>and European Commission</w:t>
      </w:r>
      <w:r w:rsidR="00203586" w:rsidRPr="00807BAB">
        <w:rPr>
          <w:rFonts w:ascii="Times New Roman" w:hAnsi="Times New Roman" w:cs="Times New Roman"/>
        </w:rPr>
        <w:t>.</w:t>
      </w:r>
      <w:r w:rsidR="00C137D9" w:rsidRPr="00807BAB">
        <w:rPr>
          <w:rFonts w:ascii="Times New Roman" w:hAnsi="Times New Roman" w:cs="Times New Roman"/>
        </w:rPr>
        <w:t xml:space="preserve"> </w:t>
      </w:r>
      <w:r w:rsidR="00CE7D39">
        <w:rPr>
          <w:rFonts w:ascii="Times New Roman" w:hAnsi="Times New Roman" w:cs="Times New Roman"/>
        </w:rPr>
        <w:t xml:space="preserve">In others, reforms have been adopted voluntarily in an attempt to stimulate employment and growth. </w:t>
      </w:r>
      <w:r w:rsidR="00342D88">
        <w:rPr>
          <w:rFonts w:ascii="Times New Roman" w:hAnsi="Times New Roman" w:cs="Times New Roman"/>
        </w:rPr>
        <w:t xml:space="preserve">Employment protection </w:t>
      </w:r>
      <w:r w:rsidR="00CE7D39">
        <w:rPr>
          <w:rFonts w:ascii="Times New Roman" w:hAnsi="Times New Roman" w:cs="Times New Roman"/>
        </w:rPr>
        <w:t xml:space="preserve">has become </w:t>
      </w:r>
      <w:r w:rsidR="00342D88">
        <w:rPr>
          <w:rFonts w:ascii="Times New Roman" w:hAnsi="Times New Roman" w:cs="Times New Roman"/>
        </w:rPr>
        <w:t xml:space="preserve">a </w:t>
      </w:r>
      <w:r w:rsidR="00CE7D39">
        <w:rPr>
          <w:rFonts w:ascii="Times New Roman" w:hAnsi="Times New Roman" w:cs="Times New Roman"/>
        </w:rPr>
        <w:t>target for reform by</w:t>
      </w:r>
      <w:r w:rsidR="00342D88">
        <w:rPr>
          <w:rFonts w:ascii="Times New Roman" w:hAnsi="Times New Roman" w:cs="Times New Roman"/>
        </w:rPr>
        <w:t xml:space="preserve"> the European Commission and the ECB as it is held to affect </w:t>
      </w:r>
      <w:r w:rsidR="00751816">
        <w:rPr>
          <w:rFonts w:ascii="Times New Roman" w:hAnsi="Times New Roman" w:cs="Times New Roman"/>
        </w:rPr>
        <w:t xml:space="preserve">the employment rate </w:t>
      </w:r>
      <w:r w:rsidR="00252048">
        <w:rPr>
          <w:rFonts w:ascii="Times New Roman" w:hAnsi="Times New Roman" w:cs="Times New Roman"/>
        </w:rPr>
        <w:t xml:space="preserve">and competitiveness, </w:t>
      </w:r>
      <w:r w:rsidR="00342D88">
        <w:rPr>
          <w:rFonts w:ascii="Times New Roman" w:hAnsi="Times New Roman" w:cs="Times New Roman"/>
        </w:rPr>
        <w:t xml:space="preserve">which are core concerns of the Europe 2020 growth strategy. </w:t>
      </w:r>
      <w:r w:rsidR="00C137D9" w:rsidRPr="00807BAB">
        <w:rPr>
          <w:rFonts w:ascii="Times New Roman" w:hAnsi="Times New Roman" w:cs="Times New Roman"/>
        </w:rPr>
        <w:t xml:space="preserve">The </w:t>
      </w:r>
      <w:r w:rsidR="00AE00F4">
        <w:rPr>
          <w:rFonts w:ascii="Times New Roman" w:hAnsi="Times New Roman" w:cs="Times New Roman"/>
        </w:rPr>
        <w:t xml:space="preserve">dilution of EPL is regarded </w:t>
      </w:r>
      <w:r w:rsidR="00502144">
        <w:rPr>
          <w:rFonts w:ascii="Times New Roman" w:hAnsi="Times New Roman" w:cs="Times New Roman"/>
        </w:rPr>
        <w:t xml:space="preserve">by policy makers </w:t>
      </w:r>
      <w:r w:rsidR="00AE00F4">
        <w:rPr>
          <w:rFonts w:ascii="Times New Roman" w:hAnsi="Times New Roman" w:cs="Times New Roman"/>
        </w:rPr>
        <w:t xml:space="preserve">as a solution to </w:t>
      </w:r>
      <w:r w:rsidR="00AE00F4">
        <w:rPr>
          <w:rFonts w:ascii="Times New Roman" w:hAnsi="Times New Roman" w:cs="Times New Roman"/>
        </w:rPr>
        <w:lastRenderedPageBreak/>
        <w:t xml:space="preserve">stubbornly high levels of unemployment in the EU, </w:t>
      </w:r>
      <w:r w:rsidR="00751816">
        <w:rPr>
          <w:rFonts w:ascii="Times New Roman" w:hAnsi="Times New Roman" w:cs="Times New Roman"/>
        </w:rPr>
        <w:t xml:space="preserve">which </w:t>
      </w:r>
      <w:r w:rsidR="00AE00F4">
        <w:rPr>
          <w:rFonts w:ascii="Times New Roman" w:hAnsi="Times New Roman" w:cs="Times New Roman"/>
        </w:rPr>
        <w:t>particularly a</w:t>
      </w:r>
      <w:r w:rsidR="00502144">
        <w:rPr>
          <w:rFonts w:ascii="Times New Roman" w:hAnsi="Times New Roman" w:cs="Times New Roman"/>
        </w:rPr>
        <w:t>ffect</w:t>
      </w:r>
      <w:r w:rsidR="00AE00F4">
        <w:rPr>
          <w:rFonts w:ascii="Times New Roman" w:hAnsi="Times New Roman" w:cs="Times New Roman"/>
        </w:rPr>
        <w:t xml:space="preserve"> younger workers</w:t>
      </w:r>
      <w:r w:rsidR="00342D88">
        <w:rPr>
          <w:rFonts w:ascii="Times New Roman" w:hAnsi="Times New Roman" w:cs="Times New Roman"/>
        </w:rPr>
        <w:t>, and a means of achieving improved social inclusion</w:t>
      </w:r>
      <w:r w:rsidR="00AE00F4">
        <w:rPr>
          <w:rFonts w:ascii="Times New Roman" w:hAnsi="Times New Roman" w:cs="Times New Roman"/>
        </w:rPr>
        <w:t xml:space="preserve">. By making it easier for employers to dismiss employees, overall hiring activity by risk-averse employers should increase and divisions between labour market ‘insiders’ and ‘outsiders’ diminish. </w:t>
      </w:r>
      <w:r w:rsidR="00FA2D7C" w:rsidRPr="00807BAB">
        <w:rPr>
          <w:rFonts w:ascii="Times New Roman" w:hAnsi="Times New Roman" w:cs="Times New Roman"/>
        </w:rPr>
        <w:t>Th</w:t>
      </w:r>
      <w:r w:rsidR="00C137D9" w:rsidRPr="00807BAB">
        <w:rPr>
          <w:rFonts w:ascii="Times New Roman" w:hAnsi="Times New Roman" w:cs="Times New Roman"/>
        </w:rPr>
        <w:t>is</w:t>
      </w:r>
      <w:r w:rsidR="00FA2D7C" w:rsidRPr="00807BAB">
        <w:rPr>
          <w:rFonts w:ascii="Times New Roman" w:hAnsi="Times New Roman" w:cs="Times New Roman"/>
        </w:rPr>
        <w:t xml:space="preserve"> </w:t>
      </w:r>
      <w:r w:rsidR="00C137D9" w:rsidRPr="00807BAB">
        <w:rPr>
          <w:rFonts w:ascii="Times New Roman" w:hAnsi="Times New Roman" w:cs="Times New Roman"/>
        </w:rPr>
        <w:t>paper</w:t>
      </w:r>
      <w:r w:rsidR="00FA2D7C" w:rsidRPr="00807BAB">
        <w:rPr>
          <w:rFonts w:ascii="Times New Roman" w:hAnsi="Times New Roman" w:cs="Times New Roman"/>
        </w:rPr>
        <w:t xml:space="preserve"> subject</w:t>
      </w:r>
      <w:r w:rsidR="00C137D9" w:rsidRPr="00807BAB">
        <w:rPr>
          <w:rFonts w:ascii="Times New Roman" w:hAnsi="Times New Roman" w:cs="Times New Roman"/>
        </w:rPr>
        <w:t>s</w:t>
      </w:r>
      <w:r w:rsidR="00FA2D7C" w:rsidRPr="00807BAB">
        <w:rPr>
          <w:rFonts w:ascii="Times New Roman" w:hAnsi="Times New Roman" w:cs="Times New Roman"/>
        </w:rPr>
        <w:t xml:space="preserve"> th</w:t>
      </w:r>
      <w:r w:rsidR="00AE00F4">
        <w:rPr>
          <w:rFonts w:ascii="Times New Roman" w:hAnsi="Times New Roman" w:cs="Times New Roman"/>
        </w:rPr>
        <w:t xml:space="preserve">ese assumptions to </w:t>
      </w:r>
      <w:r w:rsidR="00FA2D7C" w:rsidRPr="00807BAB">
        <w:rPr>
          <w:rFonts w:ascii="Times New Roman" w:hAnsi="Times New Roman" w:cs="Times New Roman"/>
        </w:rPr>
        <w:t>critical scrutiny</w:t>
      </w:r>
      <w:r w:rsidR="00831F93">
        <w:rPr>
          <w:rFonts w:ascii="Times New Roman" w:hAnsi="Times New Roman" w:cs="Times New Roman"/>
        </w:rPr>
        <w:t xml:space="preserve"> and argues that</w:t>
      </w:r>
      <w:r w:rsidR="00AE00F4">
        <w:rPr>
          <w:rFonts w:ascii="Times New Roman" w:hAnsi="Times New Roman" w:cs="Times New Roman"/>
        </w:rPr>
        <w:t xml:space="preserve"> </w:t>
      </w:r>
      <w:r w:rsidR="005B5D0A">
        <w:rPr>
          <w:rFonts w:ascii="Times New Roman" w:hAnsi="Times New Roman" w:cs="Times New Roman"/>
        </w:rPr>
        <w:t>policy makers’ faith in labour market deregulation as a path to labour market recovery is misplaced</w:t>
      </w:r>
      <w:r w:rsidR="00FA2D7C" w:rsidRPr="00807BAB">
        <w:rPr>
          <w:rFonts w:ascii="Times New Roman" w:hAnsi="Times New Roman" w:cs="Times New Roman"/>
        </w:rPr>
        <w:t>.</w:t>
      </w:r>
      <w:r w:rsidR="00AE609A">
        <w:rPr>
          <w:rFonts w:ascii="Times New Roman" w:hAnsi="Times New Roman" w:cs="Times New Roman"/>
        </w:rPr>
        <w:t xml:space="preserve"> </w:t>
      </w:r>
      <w:r w:rsidR="00FA2D7C" w:rsidRPr="00807BAB">
        <w:rPr>
          <w:rFonts w:ascii="Times New Roman" w:hAnsi="Times New Roman" w:cs="Times New Roman"/>
        </w:rPr>
        <w:t xml:space="preserve">The </w:t>
      </w:r>
      <w:r w:rsidR="00B22112" w:rsidRPr="00807BAB">
        <w:rPr>
          <w:rFonts w:ascii="Times New Roman" w:hAnsi="Times New Roman" w:cs="Times New Roman"/>
        </w:rPr>
        <w:t>paper</w:t>
      </w:r>
      <w:r w:rsidR="00FA2D7C" w:rsidRPr="00807BAB">
        <w:rPr>
          <w:rFonts w:ascii="Times New Roman" w:hAnsi="Times New Roman" w:cs="Times New Roman"/>
        </w:rPr>
        <w:t xml:space="preserve"> begins by discussing the belief that EPL is harmful to employment</w:t>
      </w:r>
      <w:r w:rsidR="00A76B05" w:rsidRPr="00807BAB">
        <w:rPr>
          <w:rFonts w:ascii="Times New Roman" w:hAnsi="Times New Roman" w:cs="Times New Roman"/>
        </w:rPr>
        <w:t>,</w:t>
      </w:r>
      <w:r w:rsidR="00FA2D7C" w:rsidRPr="00807BAB">
        <w:rPr>
          <w:rFonts w:ascii="Times New Roman" w:hAnsi="Times New Roman" w:cs="Times New Roman"/>
        </w:rPr>
        <w:t xml:space="preserve"> tracing </w:t>
      </w:r>
      <w:r w:rsidR="00AE609A">
        <w:rPr>
          <w:rFonts w:ascii="Times New Roman" w:hAnsi="Times New Roman" w:cs="Times New Roman"/>
        </w:rPr>
        <w:t>the</w:t>
      </w:r>
      <w:r w:rsidR="00FA2D7C" w:rsidRPr="00807BAB">
        <w:rPr>
          <w:rFonts w:ascii="Times New Roman" w:hAnsi="Times New Roman" w:cs="Times New Roman"/>
        </w:rPr>
        <w:t xml:space="preserve"> influence </w:t>
      </w:r>
      <w:r w:rsidR="00AE609A">
        <w:rPr>
          <w:rFonts w:ascii="Times New Roman" w:hAnsi="Times New Roman" w:cs="Times New Roman"/>
        </w:rPr>
        <w:t xml:space="preserve">of this view </w:t>
      </w:r>
      <w:r w:rsidR="00FA2D7C" w:rsidRPr="00807BAB">
        <w:rPr>
          <w:rFonts w:ascii="Times New Roman" w:hAnsi="Times New Roman" w:cs="Times New Roman"/>
        </w:rPr>
        <w:t xml:space="preserve">on </w:t>
      </w:r>
      <w:r w:rsidR="00751816">
        <w:rPr>
          <w:rFonts w:ascii="Times New Roman" w:hAnsi="Times New Roman" w:cs="Times New Roman"/>
        </w:rPr>
        <w:t xml:space="preserve">EU labour market </w:t>
      </w:r>
      <w:r w:rsidR="00FA2D7C" w:rsidRPr="00807BAB">
        <w:rPr>
          <w:rFonts w:ascii="Times New Roman" w:hAnsi="Times New Roman" w:cs="Times New Roman"/>
        </w:rPr>
        <w:t>polic</w:t>
      </w:r>
      <w:r w:rsidR="00A66789" w:rsidRPr="00807BAB">
        <w:rPr>
          <w:rFonts w:ascii="Times New Roman" w:hAnsi="Times New Roman" w:cs="Times New Roman"/>
        </w:rPr>
        <w:t>ies</w:t>
      </w:r>
      <w:r w:rsidR="00FA2D7C" w:rsidRPr="00807BAB">
        <w:rPr>
          <w:rFonts w:ascii="Times New Roman" w:hAnsi="Times New Roman" w:cs="Times New Roman"/>
        </w:rPr>
        <w:t xml:space="preserve">. </w:t>
      </w:r>
      <w:r w:rsidR="00E72344" w:rsidRPr="00807BAB">
        <w:rPr>
          <w:rFonts w:ascii="Times New Roman" w:hAnsi="Times New Roman" w:cs="Times New Roman"/>
        </w:rPr>
        <w:t xml:space="preserve">The </w:t>
      </w:r>
      <w:r w:rsidR="00A76B05" w:rsidRPr="00807BAB">
        <w:rPr>
          <w:rFonts w:ascii="Times New Roman" w:hAnsi="Times New Roman" w:cs="Times New Roman"/>
        </w:rPr>
        <w:t>paper</w:t>
      </w:r>
      <w:r w:rsidR="00E72344" w:rsidRPr="00807BAB">
        <w:rPr>
          <w:rFonts w:ascii="Times New Roman" w:hAnsi="Times New Roman" w:cs="Times New Roman"/>
        </w:rPr>
        <w:t xml:space="preserve"> </w:t>
      </w:r>
      <w:r w:rsidR="00FA2D7C" w:rsidRPr="00807BAB">
        <w:rPr>
          <w:rFonts w:ascii="Times New Roman" w:hAnsi="Times New Roman" w:cs="Times New Roman"/>
        </w:rPr>
        <w:t>goes on to</w:t>
      </w:r>
      <w:r w:rsidR="00E72344" w:rsidRPr="00807BAB">
        <w:rPr>
          <w:rFonts w:ascii="Times New Roman" w:hAnsi="Times New Roman" w:cs="Times New Roman"/>
        </w:rPr>
        <w:t xml:space="preserve"> </w:t>
      </w:r>
      <w:r w:rsidR="00AE609A">
        <w:rPr>
          <w:rFonts w:ascii="Times New Roman" w:hAnsi="Times New Roman" w:cs="Times New Roman"/>
        </w:rPr>
        <w:t>examine</w:t>
      </w:r>
      <w:r w:rsidR="00E72344" w:rsidRPr="00807BAB">
        <w:rPr>
          <w:rFonts w:ascii="Times New Roman" w:hAnsi="Times New Roman" w:cs="Times New Roman"/>
        </w:rPr>
        <w:t xml:space="preserve"> the ways in which government</w:t>
      </w:r>
      <w:r w:rsidR="00A76B05" w:rsidRPr="00807BAB">
        <w:rPr>
          <w:rFonts w:ascii="Times New Roman" w:hAnsi="Times New Roman" w:cs="Times New Roman"/>
        </w:rPr>
        <w:t>s</w:t>
      </w:r>
      <w:r w:rsidR="00E72344" w:rsidRPr="00807BAB">
        <w:rPr>
          <w:rFonts w:ascii="Times New Roman" w:hAnsi="Times New Roman" w:cs="Times New Roman"/>
        </w:rPr>
        <w:t xml:space="preserve"> ha</w:t>
      </w:r>
      <w:r w:rsidR="00A76B05" w:rsidRPr="00807BAB">
        <w:rPr>
          <w:rFonts w:ascii="Times New Roman" w:hAnsi="Times New Roman" w:cs="Times New Roman"/>
        </w:rPr>
        <w:t>ve</w:t>
      </w:r>
      <w:r w:rsidR="00E72344" w:rsidRPr="00807BAB">
        <w:rPr>
          <w:rFonts w:ascii="Times New Roman" w:hAnsi="Times New Roman" w:cs="Times New Roman"/>
        </w:rPr>
        <w:t xml:space="preserve"> </w:t>
      </w:r>
      <w:r w:rsidR="0096273D">
        <w:rPr>
          <w:rFonts w:ascii="Times New Roman" w:hAnsi="Times New Roman" w:cs="Times New Roman"/>
        </w:rPr>
        <w:t>reformed EPL sin</w:t>
      </w:r>
      <w:r w:rsidR="00AE609A">
        <w:rPr>
          <w:rFonts w:ascii="Times New Roman" w:hAnsi="Times New Roman" w:cs="Times New Roman"/>
        </w:rPr>
        <w:t>ce 2008</w:t>
      </w:r>
      <w:r w:rsidR="00E72344" w:rsidRPr="00807BAB">
        <w:rPr>
          <w:rFonts w:ascii="Times New Roman" w:hAnsi="Times New Roman" w:cs="Times New Roman"/>
        </w:rPr>
        <w:t xml:space="preserve">. </w:t>
      </w:r>
      <w:r w:rsidR="00EC75B4">
        <w:rPr>
          <w:rFonts w:ascii="Times New Roman" w:hAnsi="Times New Roman" w:cs="Times New Roman"/>
        </w:rPr>
        <w:t>The e</w:t>
      </w:r>
      <w:r w:rsidR="00A76B05" w:rsidRPr="00807BAB">
        <w:rPr>
          <w:rFonts w:ascii="Times New Roman" w:hAnsi="Times New Roman" w:cs="Times New Roman"/>
        </w:rPr>
        <w:t>vidence suggests that these reforms have</w:t>
      </w:r>
      <w:r w:rsidR="00502144">
        <w:rPr>
          <w:rFonts w:ascii="Times New Roman" w:hAnsi="Times New Roman" w:cs="Times New Roman"/>
        </w:rPr>
        <w:t>,</w:t>
      </w:r>
      <w:r w:rsidR="00A76B05" w:rsidRPr="00807BAB">
        <w:rPr>
          <w:rFonts w:ascii="Times New Roman" w:hAnsi="Times New Roman" w:cs="Times New Roman"/>
        </w:rPr>
        <w:t xml:space="preserve"> </w:t>
      </w:r>
      <w:r w:rsidR="00EC75B4">
        <w:rPr>
          <w:rFonts w:ascii="Times New Roman" w:hAnsi="Times New Roman" w:cs="Times New Roman"/>
        </w:rPr>
        <w:t>thus far</w:t>
      </w:r>
      <w:r w:rsidR="00502144">
        <w:rPr>
          <w:rFonts w:ascii="Times New Roman" w:hAnsi="Times New Roman" w:cs="Times New Roman"/>
        </w:rPr>
        <w:t>,</w:t>
      </w:r>
      <w:r w:rsidR="00EC75B4">
        <w:rPr>
          <w:rFonts w:ascii="Times New Roman" w:hAnsi="Times New Roman" w:cs="Times New Roman"/>
        </w:rPr>
        <w:t xml:space="preserve"> </w:t>
      </w:r>
      <w:r w:rsidR="00A76B05" w:rsidRPr="00807BAB">
        <w:rPr>
          <w:rFonts w:ascii="Times New Roman" w:hAnsi="Times New Roman" w:cs="Times New Roman"/>
        </w:rPr>
        <w:t xml:space="preserve">had little impact on </w:t>
      </w:r>
      <w:r w:rsidR="00EC75B4">
        <w:rPr>
          <w:rFonts w:ascii="Times New Roman" w:hAnsi="Times New Roman" w:cs="Times New Roman"/>
        </w:rPr>
        <w:t xml:space="preserve">long-term </w:t>
      </w:r>
      <w:r w:rsidR="00A76B05" w:rsidRPr="00807BAB">
        <w:rPr>
          <w:rFonts w:ascii="Times New Roman" w:hAnsi="Times New Roman" w:cs="Times New Roman"/>
        </w:rPr>
        <w:t xml:space="preserve">unemployment, </w:t>
      </w:r>
      <w:r w:rsidR="00EC75B4">
        <w:rPr>
          <w:rFonts w:ascii="Times New Roman" w:hAnsi="Times New Roman" w:cs="Times New Roman"/>
        </w:rPr>
        <w:t>which has continued to increase in many of those countries that have weakened their EPL</w:t>
      </w:r>
      <w:r w:rsidR="00D533DB" w:rsidRPr="00807BAB">
        <w:rPr>
          <w:rFonts w:ascii="Times New Roman" w:hAnsi="Times New Roman" w:cs="Times New Roman"/>
        </w:rPr>
        <w:t>.</w:t>
      </w:r>
      <w:r w:rsidR="00EC75B4">
        <w:rPr>
          <w:rFonts w:ascii="Times New Roman" w:hAnsi="Times New Roman" w:cs="Times New Roman"/>
        </w:rPr>
        <w:t xml:space="preserve"> We follow this discussion by considering </w:t>
      </w:r>
      <w:r w:rsidR="00814D17">
        <w:rPr>
          <w:rFonts w:ascii="Times New Roman" w:hAnsi="Times New Roman" w:cs="Times New Roman"/>
        </w:rPr>
        <w:t>the implications of the dilution of EPL for the European Commission’s flexicurity agenda</w:t>
      </w:r>
      <w:r w:rsidR="00073FB6">
        <w:rPr>
          <w:rFonts w:ascii="Times New Roman" w:hAnsi="Times New Roman" w:cs="Times New Roman"/>
        </w:rPr>
        <w:t xml:space="preserve">, examining </w:t>
      </w:r>
      <w:r w:rsidR="00814D17">
        <w:rPr>
          <w:rFonts w:ascii="Times New Roman" w:hAnsi="Times New Roman" w:cs="Times New Roman"/>
        </w:rPr>
        <w:t xml:space="preserve">the extent to which </w:t>
      </w:r>
      <w:r w:rsidR="00073FB6">
        <w:rPr>
          <w:rFonts w:ascii="Times New Roman" w:hAnsi="Times New Roman" w:cs="Times New Roman"/>
        </w:rPr>
        <w:t xml:space="preserve">changes to employment protections have coincided with changes in government support for social protections and </w:t>
      </w:r>
      <w:r w:rsidR="00073FB6" w:rsidRPr="004D7839">
        <w:rPr>
          <w:rFonts w:ascii="Times New Roman" w:hAnsi="Times New Roman" w:cs="Times New Roman"/>
        </w:rPr>
        <w:t xml:space="preserve">active labour market measures. </w:t>
      </w:r>
      <w:r w:rsidR="00E40A83" w:rsidRPr="004D7839">
        <w:rPr>
          <w:rFonts w:ascii="Times New Roman" w:hAnsi="Times New Roman" w:cs="Times New Roman"/>
        </w:rPr>
        <w:t xml:space="preserve">We argue that </w:t>
      </w:r>
      <w:r w:rsidR="00E40A83" w:rsidRPr="00B712C2">
        <w:rPr>
          <w:rFonts w:ascii="Times New Roman" w:hAnsi="Times New Roman" w:cs="Times New Roman"/>
          <w:bCs/>
        </w:rPr>
        <w:t xml:space="preserve">concerns </w:t>
      </w:r>
      <w:r w:rsidR="004D7839" w:rsidRPr="00B712C2">
        <w:rPr>
          <w:rFonts w:ascii="Times New Roman" w:hAnsi="Times New Roman" w:cs="Times New Roman"/>
          <w:bCs/>
        </w:rPr>
        <w:t xml:space="preserve">relating to </w:t>
      </w:r>
      <w:r w:rsidR="00E40A83" w:rsidRPr="00B712C2">
        <w:rPr>
          <w:rFonts w:ascii="Times New Roman" w:hAnsi="Times New Roman" w:cs="Times New Roman"/>
          <w:bCs/>
        </w:rPr>
        <w:t xml:space="preserve">social justice and security </w:t>
      </w:r>
      <w:r w:rsidR="004D7839" w:rsidRPr="00B712C2">
        <w:rPr>
          <w:rFonts w:ascii="Times New Roman" w:hAnsi="Times New Roman" w:cs="Times New Roman"/>
          <w:bCs/>
        </w:rPr>
        <w:t>have</w:t>
      </w:r>
      <w:r w:rsidR="00E40A83" w:rsidRPr="00B712C2">
        <w:rPr>
          <w:rFonts w:ascii="Times New Roman" w:hAnsi="Times New Roman" w:cs="Times New Roman"/>
          <w:bCs/>
        </w:rPr>
        <w:t xml:space="preserve"> </w:t>
      </w:r>
      <w:r w:rsidR="004D7839" w:rsidRPr="00B712C2">
        <w:rPr>
          <w:rFonts w:ascii="Times New Roman" w:hAnsi="Times New Roman" w:cs="Times New Roman"/>
          <w:bCs/>
        </w:rPr>
        <w:t>been marginalised as policy makers have further embraced</w:t>
      </w:r>
      <w:r w:rsidR="00E40A83" w:rsidRPr="00B712C2">
        <w:rPr>
          <w:rFonts w:ascii="Times New Roman" w:hAnsi="Times New Roman" w:cs="Times New Roman"/>
          <w:bCs/>
        </w:rPr>
        <w:t xml:space="preserve"> labour market flexibility, hop</w:t>
      </w:r>
      <w:r w:rsidR="004D7839" w:rsidRPr="00B712C2">
        <w:rPr>
          <w:rFonts w:ascii="Times New Roman" w:hAnsi="Times New Roman" w:cs="Times New Roman"/>
          <w:bCs/>
        </w:rPr>
        <w:t>ing</w:t>
      </w:r>
      <w:r w:rsidR="00E40A83" w:rsidRPr="00B712C2">
        <w:rPr>
          <w:rFonts w:ascii="Times New Roman" w:hAnsi="Times New Roman" w:cs="Times New Roman"/>
          <w:bCs/>
        </w:rPr>
        <w:t xml:space="preserve"> that this </w:t>
      </w:r>
      <w:r w:rsidR="004D7839">
        <w:rPr>
          <w:rFonts w:ascii="Times New Roman" w:hAnsi="Times New Roman" w:cs="Times New Roman"/>
          <w:bCs/>
        </w:rPr>
        <w:t>will</w:t>
      </w:r>
      <w:r w:rsidR="00E40A83" w:rsidRPr="00B712C2">
        <w:rPr>
          <w:rFonts w:ascii="Times New Roman" w:hAnsi="Times New Roman" w:cs="Times New Roman"/>
          <w:bCs/>
        </w:rPr>
        <w:t xml:space="preserve"> do the heavy lifting </w:t>
      </w:r>
      <w:r w:rsidR="004D7839" w:rsidRPr="00B712C2">
        <w:rPr>
          <w:rFonts w:ascii="Times New Roman" w:hAnsi="Times New Roman" w:cs="Times New Roman"/>
          <w:bCs/>
        </w:rPr>
        <w:t>in respect of</w:t>
      </w:r>
      <w:r w:rsidR="00E40A83" w:rsidRPr="00B712C2">
        <w:rPr>
          <w:rFonts w:ascii="Times New Roman" w:hAnsi="Times New Roman" w:cs="Times New Roman"/>
          <w:bCs/>
        </w:rPr>
        <w:t xml:space="preserve"> stimulating employment and growth. </w:t>
      </w:r>
      <w:r w:rsidR="004D7839">
        <w:rPr>
          <w:rFonts w:ascii="Times New Roman" w:hAnsi="Times New Roman" w:cs="Times New Roman"/>
          <w:bCs/>
        </w:rPr>
        <w:t>G</w:t>
      </w:r>
      <w:r w:rsidR="00E40A83" w:rsidRPr="00B712C2">
        <w:rPr>
          <w:rFonts w:ascii="Times New Roman" w:hAnsi="Times New Roman" w:cs="Times New Roman"/>
          <w:bCs/>
        </w:rPr>
        <w:t xml:space="preserve">iven the confluence of </w:t>
      </w:r>
      <w:r w:rsidR="004D7839">
        <w:rPr>
          <w:rFonts w:ascii="Times New Roman" w:hAnsi="Times New Roman" w:cs="Times New Roman"/>
          <w:bCs/>
        </w:rPr>
        <w:t>weak</w:t>
      </w:r>
      <w:r w:rsidR="00E40A83" w:rsidRPr="00B712C2">
        <w:rPr>
          <w:rFonts w:ascii="Times New Roman" w:hAnsi="Times New Roman" w:cs="Times New Roman"/>
          <w:bCs/>
        </w:rPr>
        <w:t xml:space="preserve"> </w:t>
      </w:r>
      <w:r w:rsidR="004D7839">
        <w:rPr>
          <w:rFonts w:ascii="Times New Roman" w:hAnsi="Times New Roman" w:cs="Times New Roman"/>
          <w:bCs/>
        </w:rPr>
        <w:t xml:space="preserve">effective </w:t>
      </w:r>
      <w:r w:rsidR="00E40A83" w:rsidRPr="00B712C2">
        <w:rPr>
          <w:rFonts w:ascii="Times New Roman" w:hAnsi="Times New Roman" w:cs="Times New Roman"/>
          <w:bCs/>
        </w:rPr>
        <w:t xml:space="preserve">demand, high unemployment and </w:t>
      </w:r>
      <w:r w:rsidR="004D7839">
        <w:rPr>
          <w:rFonts w:ascii="Times New Roman" w:hAnsi="Times New Roman" w:cs="Times New Roman"/>
          <w:bCs/>
        </w:rPr>
        <w:t>poor</w:t>
      </w:r>
      <w:r w:rsidR="00E40A83" w:rsidRPr="00B712C2">
        <w:rPr>
          <w:rFonts w:ascii="Times New Roman" w:hAnsi="Times New Roman" w:cs="Times New Roman"/>
          <w:bCs/>
        </w:rPr>
        <w:t xml:space="preserve"> productivity growth</w:t>
      </w:r>
      <w:r w:rsidR="004D7839">
        <w:rPr>
          <w:rFonts w:ascii="Times New Roman" w:hAnsi="Times New Roman" w:cs="Times New Roman"/>
          <w:bCs/>
        </w:rPr>
        <w:t>, this must be considered a forlorn hope.</w:t>
      </w:r>
      <w:r w:rsidR="008E40AF">
        <w:rPr>
          <w:rFonts w:ascii="Times New Roman" w:hAnsi="Times New Roman" w:cs="Times New Roman"/>
          <w:bCs/>
        </w:rPr>
        <w:t xml:space="preserve"> </w:t>
      </w:r>
      <w:r w:rsidR="008A1798">
        <w:rPr>
          <w:rFonts w:ascii="Times New Roman" w:hAnsi="Times New Roman" w:cs="Times New Roman"/>
          <w:bCs/>
        </w:rPr>
        <w:t>We also argue that t</w:t>
      </w:r>
      <w:r w:rsidR="008E40AF">
        <w:rPr>
          <w:rFonts w:ascii="Times New Roman" w:hAnsi="Times New Roman" w:cs="Times New Roman"/>
          <w:bCs/>
        </w:rPr>
        <w:t>he current drive to reform EPL i</w:t>
      </w:r>
      <w:r w:rsidR="008A1798">
        <w:rPr>
          <w:rFonts w:ascii="Times New Roman" w:hAnsi="Times New Roman" w:cs="Times New Roman"/>
          <w:bCs/>
        </w:rPr>
        <w:t>ndicates</w:t>
      </w:r>
      <w:r w:rsidR="008E40AF">
        <w:rPr>
          <w:rFonts w:ascii="Times New Roman" w:hAnsi="Times New Roman" w:cs="Times New Roman"/>
          <w:bCs/>
        </w:rPr>
        <w:t xml:space="preserve"> a shift in multi-scalar relations in the EU in the wake of the crisis, reflecting the increased </w:t>
      </w:r>
      <w:r w:rsidR="008A1798">
        <w:rPr>
          <w:rFonts w:ascii="Times New Roman" w:hAnsi="Times New Roman" w:cs="Times New Roman"/>
          <w:bCs/>
        </w:rPr>
        <w:t xml:space="preserve">concern and ability of the </w:t>
      </w:r>
      <w:r w:rsidR="008E40AF">
        <w:rPr>
          <w:rFonts w:ascii="Times New Roman" w:hAnsi="Times New Roman" w:cs="Times New Roman"/>
          <w:bCs/>
        </w:rPr>
        <w:t xml:space="preserve">EU institutions to </w:t>
      </w:r>
      <w:r w:rsidR="008A1798">
        <w:rPr>
          <w:rFonts w:ascii="Times New Roman" w:hAnsi="Times New Roman" w:cs="Times New Roman"/>
          <w:bCs/>
        </w:rPr>
        <w:t xml:space="preserve">oblige member states to </w:t>
      </w:r>
      <w:r w:rsidR="008E40AF">
        <w:rPr>
          <w:rFonts w:ascii="Times New Roman" w:hAnsi="Times New Roman" w:cs="Times New Roman"/>
          <w:bCs/>
        </w:rPr>
        <w:t>use social policy as a</w:t>
      </w:r>
      <w:r w:rsidR="008A1798">
        <w:rPr>
          <w:rFonts w:ascii="Times New Roman" w:hAnsi="Times New Roman" w:cs="Times New Roman"/>
          <w:bCs/>
        </w:rPr>
        <w:t xml:space="preserve"> means of affecting </w:t>
      </w:r>
      <w:r w:rsidR="008E40AF">
        <w:rPr>
          <w:rFonts w:ascii="Times New Roman" w:hAnsi="Times New Roman" w:cs="Times New Roman"/>
          <w:bCs/>
        </w:rPr>
        <w:t>economic adjustment</w:t>
      </w:r>
      <w:r w:rsidR="008A1798">
        <w:rPr>
          <w:rFonts w:ascii="Times New Roman" w:hAnsi="Times New Roman" w:cs="Times New Roman"/>
          <w:bCs/>
        </w:rPr>
        <w:t>s, particularly in relation to those countries that have received financial assistance</w:t>
      </w:r>
      <w:r w:rsidR="008E40AF">
        <w:rPr>
          <w:rFonts w:ascii="Times New Roman" w:hAnsi="Times New Roman" w:cs="Times New Roman"/>
          <w:bCs/>
        </w:rPr>
        <w:t xml:space="preserve">. </w:t>
      </w:r>
    </w:p>
    <w:p w14:paraId="26980677" w14:textId="77777777" w:rsidR="00E35C93" w:rsidRDefault="00E35C93" w:rsidP="00D67EC8">
      <w:pPr>
        <w:spacing w:line="480" w:lineRule="auto"/>
        <w:rPr>
          <w:rFonts w:ascii="Times New Roman" w:hAnsi="Times New Roman" w:cs="Times New Roman"/>
          <w:b/>
        </w:rPr>
      </w:pPr>
    </w:p>
    <w:p w14:paraId="4EF3AA8F" w14:textId="0C67A30C" w:rsidR="00FA2D7C" w:rsidRPr="00807BAB" w:rsidRDefault="00FA2D7C" w:rsidP="00D67EC8">
      <w:pPr>
        <w:spacing w:line="480" w:lineRule="auto"/>
        <w:rPr>
          <w:rFonts w:ascii="Times New Roman" w:hAnsi="Times New Roman" w:cs="Times New Roman"/>
          <w:b/>
        </w:rPr>
      </w:pPr>
      <w:r w:rsidRPr="00807BAB">
        <w:rPr>
          <w:rFonts w:ascii="Times New Roman" w:hAnsi="Times New Roman" w:cs="Times New Roman"/>
          <w:b/>
        </w:rPr>
        <w:t xml:space="preserve">2. </w:t>
      </w:r>
      <w:r w:rsidR="00D5758C">
        <w:rPr>
          <w:rFonts w:ascii="Times New Roman" w:hAnsi="Times New Roman" w:cs="Times New Roman"/>
          <w:b/>
        </w:rPr>
        <w:t>EPL and the Labour Market: Theory and Evidence</w:t>
      </w:r>
    </w:p>
    <w:p w14:paraId="74E315B3" w14:textId="72033BDC" w:rsidR="00FA2D7C" w:rsidRDefault="00FA2D7C" w:rsidP="00D67EC8">
      <w:pPr>
        <w:spacing w:line="480" w:lineRule="auto"/>
        <w:rPr>
          <w:rFonts w:ascii="Times New Roman" w:hAnsi="Times New Roman" w:cs="Times New Roman"/>
        </w:rPr>
      </w:pPr>
      <w:r w:rsidRPr="00807BAB">
        <w:rPr>
          <w:rFonts w:ascii="Times New Roman" w:hAnsi="Times New Roman" w:cs="Times New Roman"/>
        </w:rPr>
        <w:t xml:space="preserve">The consequences of EPL for the labour market have long been debated by economists and policy makers. The relationship between </w:t>
      </w:r>
      <w:r w:rsidR="00411FD1">
        <w:rPr>
          <w:rFonts w:ascii="Times New Roman" w:hAnsi="Times New Roman" w:cs="Times New Roman"/>
        </w:rPr>
        <w:t>EPL</w:t>
      </w:r>
      <w:r w:rsidRPr="00807BAB">
        <w:rPr>
          <w:rFonts w:ascii="Times New Roman" w:hAnsi="Times New Roman" w:cs="Times New Roman"/>
        </w:rPr>
        <w:t xml:space="preserve"> and unemployment has been of particular concern. Orthodox economists (e.g. St Paul</w:t>
      </w:r>
      <w:r w:rsidR="00F75379">
        <w:rPr>
          <w:rFonts w:ascii="Times New Roman" w:hAnsi="Times New Roman" w:cs="Times New Roman"/>
        </w:rPr>
        <w:t>,</w:t>
      </w:r>
      <w:r w:rsidRPr="00807BAB">
        <w:rPr>
          <w:rFonts w:ascii="Times New Roman" w:hAnsi="Times New Roman" w:cs="Times New Roman"/>
        </w:rPr>
        <w:t xml:space="preserve"> 2004; Siebert, 1997) </w:t>
      </w:r>
      <w:r w:rsidR="00673DB0" w:rsidRPr="00807BAB">
        <w:rPr>
          <w:rFonts w:ascii="Times New Roman" w:hAnsi="Times New Roman" w:cs="Times New Roman"/>
        </w:rPr>
        <w:t xml:space="preserve">tend to </w:t>
      </w:r>
      <w:r w:rsidRPr="00807BAB">
        <w:rPr>
          <w:rFonts w:ascii="Times New Roman" w:hAnsi="Times New Roman" w:cs="Times New Roman"/>
        </w:rPr>
        <w:t xml:space="preserve">claim that restrictions on dismissal </w:t>
      </w:r>
      <w:r w:rsidR="00416C44" w:rsidRPr="00807BAB">
        <w:rPr>
          <w:rFonts w:ascii="Times New Roman" w:hAnsi="Times New Roman" w:cs="Times New Roman"/>
        </w:rPr>
        <w:t xml:space="preserve">and </w:t>
      </w:r>
      <w:r w:rsidR="00416C44" w:rsidRPr="00807BAB">
        <w:rPr>
          <w:rFonts w:ascii="Times New Roman" w:hAnsi="Times New Roman" w:cs="Times New Roman"/>
        </w:rPr>
        <w:lastRenderedPageBreak/>
        <w:t xml:space="preserve">requirements relating to severance payments </w:t>
      </w:r>
      <w:r w:rsidRPr="00807BAB">
        <w:rPr>
          <w:rFonts w:ascii="Times New Roman" w:hAnsi="Times New Roman" w:cs="Times New Roman"/>
        </w:rPr>
        <w:t xml:space="preserve">contribute to unemployment by presenting firms with a disincentive to hire </w:t>
      </w:r>
      <w:r w:rsidR="00502144">
        <w:rPr>
          <w:rFonts w:ascii="Times New Roman" w:hAnsi="Times New Roman" w:cs="Times New Roman"/>
        </w:rPr>
        <w:t>workers</w:t>
      </w:r>
      <w:r w:rsidRPr="00807BAB">
        <w:rPr>
          <w:rFonts w:ascii="Times New Roman" w:hAnsi="Times New Roman" w:cs="Times New Roman"/>
        </w:rPr>
        <w:t xml:space="preserve">. Employers supposedly take into consideration potential future costs of dismissal, which leads them to recruit fewer workers than </w:t>
      </w:r>
      <w:r w:rsidR="00411FD1">
        <w:rPr>
          <w:rFonts w:ascii="Times New Roman" w:hAnsi="Times New Roman" w:cs="Times New Roman"/>
        </w:rPr>
        <w:t>would otherwise be the case</w:t>
      </w:r>
      <w:r w:rsidRPr="00807BAB">
        <w:rPr>
          <w:rFonts w:ascii="Times New Roman" w:hAnsi="Times New Roman" w:cs="Times New Roman"/>
        </w:rPr>
        <w:t xml:space="preserve">. </w:t>
      </w:r>
      <w:r w:rsidR="00DD5713" w:rsidRPr="00807BAB">
        <w:rPr>
          <w:rFonts w:ascii="Times New Roman" w:hAnsi="Times New Roman" w:cs="Times New Roman"/>
        </w:rPr>
        <w:t>A further twist on the argument is that</w:t>
      </w:r>
      <w:r w:rsidRPr="00807BAB">
        <w:rPr>
          <w:rFonts w:ascii="Times New Roman" w:hAnsi="Times New Roman" w:cs="Times New Roman"/>
        </w:rPr>
        <w:t xml:space="preserve"> employment protection</w:t>
      </w:r>
      <w:r w:rsidR="00DD5713" w:rsidRPr="00807BAB">
        <w:rPr>
          <w:rFonts w:ascii="Times New Roman" w:hAnsi="Times New Roman" w:cs="Times New Roman"/>
        </w:rPr>
        <w:t>s</w:t>
      </w:r>
      <w:r w:rsidRPr="00807BAB">
        <w:rPr>
          <w:rFonts w:ascii="Times New Roman" w:hAnsi="Times New Roman" w:cs="Times New Roman"/>
        </w:rPr>
        <w:t xml:space="preserve"> </w:t>
      </w:r>
      <w:r w:rsidR="00411FD1">
        <w:rPr>
          <w:rFonts w:ascii="Times New Roman" w:hAnsi="Times New Roman" w:cs="Times New Roman"/>
        </w:rPr>
        <w:t xml:space="preserve">in respect of regular jobs </w:t>
      </w:r>
      <w:r w:rsidRPr="00807BAB">
        <w:rPr>
          <w:rFonts w:ascii="Times New Roman" w:hAnsi="Times New Roman" w:cs="Times New Roman"/>
        </w:rPr>
        <w:t xml:space="preserve">reduce both inflows and outflows from unemployment, enabling </w:t>
      </w:r>
      <w:r w:rsidR="00AB1DF1" w:rsidRPr="00807BAB">
        <w:rPr>
          <w:rFonts w:ascii="Times New Roman" w:hAnsi="Times New Roman" w:cs="Times New Roman"/>
        </w:rPr>
        <w:t xml:space="preserve">‘insiders’ (i.e. </w:t>
      </w:r>
      <w:r w:rsidR="009528C3" w:rsidRPr="00807BAB">
        <w:rPr>
          <w:rFonts w:ascii="Times New Roman" w:hAnsi="Times New Roman" w:cs="Times New Roman"/>
        </w:rPr>
        <w:t>workers in regular employment</w:t>
      </w:r>
      <w:r w:rsidRPr="00807BAB">
        <w:rPr>
          <w:rFonts w:ascii="Times New Roman" w:hAnsi="Times New Roman" w:cs="Times New Roman"/>
        </w:rPr>
        <w:t>) to extract higher wage</w:t>
      </w:r>
      <w:r w:rsidR="00CE7D39">
        <w:rPr>
          <w:rFonts w:ascii="Times New Roman" w:hAnsi="Times New Roman" w:cs="Times New Roman"/>
        </w:rPr>
        <w:t>s</w:t>
      </w:r>
      <w:r w:rsidRPr="00807BAB">
        <w:rPr>
          <w:rFonts w:ascii="Times New Roman" w:hAnsi="Times New Roman" w:cs="Times New Roman"/>
        </w:rPr>
        <w:t xml:space="preserve">  from employers while exacerbating long-term unemployment </w:t>
      </w:r>
      <w:r w:rsidR="00411FD1">
        <w:rPr>
          <w:rFonts w:ascii="Times New Roman" w:hAnsi="Times New Roman" w:cs="Times New Roman"/>
        </w:rPr>
        <w:t>and disadvantaging so-called</w:t>
      </w:r>
      <w:r w:rsidRPr="00807BAB">
        <w:rPr>
          <w:rFonts w:ascii="Times New Roman" w:hAnsi="Times New Roman" w:cs="Times New Roman"/>
        </w:rPr>
        <w:t xml:space="preserve"> ‘outsiders’</w:t>
      </w:r>
      <w:r w:rsidR="00416C44" w:rsidRPr="00807BAB">
        <w:rPr>
          <w:rFonts w:ascii="Times New Roman" w:hAnsi="Times New Roman" w:cs="Times New Roman"/>
        </w:rPr>
        <w:t xml:space="preserve"> </w:t>
      </w:r>
      <w:r w:rsidR="00AB1DF1" w:rsidRPr="00807BAB">
        <w:rPr>
          <w:rFonts w:ascii="Times New Roman" w:hAnsi="Times New Roman" w:cs="Times New Roman"/>
        </w:rPr>
        <w:t>(</w:t>
      </w:r>
      <w:r w:rsidR="00411FD1">
        <w:rPr>
          <w:rFonts w:ascii="Times New Roman" w:hAnsi="Times New Roman" w:cs="Times New Roman"/>
        </w:rPr>
        <w:t xml:space="preserve">i.e. </w:t>
      </w:r>
      <w:r w:rsidR="009528C3" w:rsidRPr="00807BAB">
        <w:rPr>
          <w:rFonts w:ascii="Times New Roman" w:hAnsi="Times New Roman" w:cs="Times New Roman"/>
        </w:rPr>
        <w:t xml:space="preserve">those in temporary </w:t>
      </w:r>
      <w:r w:rsidR="00411FD1">
        <w:rPr>
          <w:rFonts w:ascii="Times New Roman" w:hAnsi="Times New Roman" w:cs="Times New Roman"/>
        </w:rPr>
        <w:t xml:space="preserve">or seasonal </w:t>
      </w:r>
      <w:r w:rsidR="009528C3" w:rsidRPr="00807BAB">
        <w:rPr>
          <w:rFonts w:ascii="Times New Roman" w:hAnsi="Times New Roman" w:cs="Times New Roman"/>
        </w:rPr>
        <w:t>jobs</w:t>
      </w:r>
      <w:r w:rsidR="00411FD1">
        <w:rPr>
          <w:rFonts w:ascii="Times New Roman" w:hAnsi="Times New Roman" w:cs="Times New Roman"/>
        </w:rPr>
        <w:t xml:space="preserve"> or</w:t>
      </w:r>
      <w:r w:rsidR="009528C3" w:rsidRPr="00807BAB">
        <w:rPr>
          <w:rFonts w:ascii="Times New Roman" w:hAnsi="Times New Roman" w:cs="Times New Roman"/>
        </w:rPr>
        <w:t xml:space="preserve"> </w:t>
      </w:r>
      <w:r w:rsidR="00411FD1">
        <w:rPr>
          <w:rFonts w:ascii="Times New Roman" w:hAnsi="Times New Roman" w:cs="Times New Roman"/>
        </w:rPr>
        <w:t xml:space="preserve">in the informal economy), </w:t>
      </w:r>
      <w:r w:rsidR="00502144">
        <w:rPr>
          <w:rFonts w:ascii="Times New Roman" w:hAnsi="Times New Roman" w:cs="Times New Roman"/>
        </w:rPr>
        <w:t>a disproportionate number of whom are</w:t>
      </w:r>
      <w:r w:rsidR="00411FD1">
        <w:rPr>
          <w:rFonts w:ascii="Times New Roman" w:hAnsi="Times New Roman" w:cs="Times New Roman"/>
        </w:rPr>
        <w:t xml:space="preserve"> young workers</w:t>
      </w:r>
      <w:r w:rsidR="00673DB0" w:rsidRPr="00807BAB">
        <w:rPr>
          <w:rFonts w:ascii="Times New Roman" w:hAnsi="Times New Roman" w:cs="Times New Roman"/>
        </w:rPr>
        <w:t xml:space="preserve"> (Lindbeck and Snower</w:t>
      </w:r>
      <w:r w:rsidR="00F75379">
        <w:rPr>
          <w:rFonts w:ascii="Times New Roman" w:hAnsi="Times New Roman" w:cs="Times New Roman"/>
        </w:rPr>
        <w:t>,</w:t>
      </w:r>
      <w:r w:rsidR="00673DB0" w:rsidRPr="00807BAB">
        <w:rPr>
          <w:rFonts w:ascii="Times New Roman" w:hAnsi="Times New Roman" w:cs="Times New Roman"/>
        </w:rPr>
        <w:t xml:space="preserve"> 1990</w:t>
      </w:r>
      <w:r w:rsidR="00F75379">
        <w:rPr>
          <w:rFonts w:ascii="Times New Roman" w:hAnsi="Times New Roman" w:cs="Times New Roman"/>
        </w:rPr>
        <w:t>;</w:t>
      </w:r>
      <w:r w:rsidR="00673DB0" w:rsidRPr="00807BAB">
        <w:rPr>
          <w:rFonts w:ascii="Times New Roman" w:hAnsi="Times New Roman" w:cs="Times New Roman"/>
        </w:rPr>
        <w:t xml:space="preserve"> Blanchard and Portugal</w:t>
      </w:r>
      <w:r w:rsidR="00F75379">
        <w:rPr>
          <w:rFonts w:ascii="Times New Roman" w:hAnsi="Times New Roman" w:cs="Times New Roman"/>
        </w:rPr>
        <w:t>,</w:t>
      </w:r>
      <w:r w:rsidR="00673DB0" w:rsidRPr="00807BAB">
        <w:rPr>
          <w:rFonts w:ascii="Times New Roman" w:hAnsi="Times New Roman" w:cs="Times New Roman"/>
        </w:rPr>
        <w:t xml:space="preserve"> 2001)</w:t>
      </w:r>
      <w:r w:rsidRPr="00807BAB">
        <w:rPr>
          <w:rFonts w:ascii="Times New Roman" w:hAnsi="Times New Roman" w:cs="Times New Roman"/>
        </w:rPr>
        <w:t>. The policy prescriptions that flow from this analysis include a weakening of employment protections and a reduction (or elimination) of minimum wages, which are deemed harmful to the employment prospects of workers</w:t>
      </w:r>
      <w:r w:rsidR="00411FD1">
        <w:rPr>
          <w:rFonts w:ascii="Times New Roman" w:hAnsi="Times New Roman" w:cs="Times New Roman"/>
        </w:rPr>
        <w:t xml:space="preserve"> with few skills and little experience</w:t>
      </w:r>
      <w:r w:rsidRPr="00807BAB">
        <w:rPr>
          <w:rFonts w:ascii="Times New Roman" w:hAnsi="Times New Roman" w:cs="Times New Roman"/>
        </w:rPr>
        <w:t xml:space="preserve">. </w:t>
      </w:r>
    </w:p>
    <w:p w14:paraId="0EBB6335" w14:textId="5541ABD9" w:rsidR="00D5758C" w:rsidRPr="00807BAB" w:rsidRDefault="00D5758C" w:rsidP="00D5758C">
      <w:pPr>
        <w:spacing w:line="480" w:lineRule="auto"/>
        <w:rPr>
          <w:rFonts w:ascii="Times New Roman" w:hAnsi="Times New Roman" w:cs="Times New Roman"/>
        </w:rPr>
      </w:pPr>
      <w:r>
        <w:rPr>
          <w:rFonts w:ascii="Times New Roman" w:hAnsi="Times New Roman" w:cs="Times New Roman"/>
        </w:rPr>
        <w:t xml:space="preserve">Empirical evidence relating to the </w:t>
      </w:r>
      <w:r w:rsidRPr="00807BAB">
        <w:rPr>
          <w:rFonts w:ascii="Times New Roman" w:hAnsi="Times New Roman" w:cs="Times New Roman"/>
        </w:rPr>
        <w:t>relationship between unemployment and EPL over time</w:t>
      </w:r>
      <w:r>
        <w:rPr>
          <w:rFonts w:ascii="Times New Roman" w:hAnsi="Times New Roman" w:cs="Times New Roman"/>
        </w:rPr>
        <w:t xml:space="preserve"> is extremely mixed</w:t>
      </w:r>
      <w:r w:rsidRPr="00807BAB">
        <w:rPr>
          <w:rFonts w:ascii="Times New Roman" w:hAnsi="Times New Roman" w:cs="Times New Roman"/>
        </w:rPr>
        <w:t xml:space="preserve">. Some </w:t>
      </w:r>
      <w:r>
        <w:rPr>
          <w:rFonts w:ascii="Times New Roman" w:hAnsi="Times New Roman" w:cs="Times New Roman"/>
        </w:rPr>
        <w:t xml:space="preserve">studies </w:t>
      </w:r>
      <w:r w:rsidRPr="00807BAB">
        <w:rPr>
          <w:rFonts w:ascii="Times New Roman" w:hAnsi="Times New Roman" w:cs="Times New Roman"/>
        </w:rPr>
        <w:t xml:space="preserve">have </w:t>
      </w:r>
      <w:r>
        <w:rPr>
          <w:rFonts w:ascii="Times New Roman" w:hAnsi="Times New Roman" w:cs="Times New Roman"/>
        </w:rPr>
        <w:t>found</w:t>
      </w:r>
      <w:r w:rsidRPr="00807BAB">
        <w:rPr>
          <w:rFonts w:ascii="Times New Roman" w:hAnsi="Times New Roman" w:cs="Times New Roman"/>
        </w:rPr>
        <w:t xml:space="preserve"> that unemployment (particularly long-term unemployment) i</w:t>
      </w:r>
      <w:r>
        <w:rPr>
          <w:rFonts w:ascii="Times New Roman" w:hAnsi="Times New Roman" w:cs="Times New Roman"/>
        </w:rPr>
        <w:t>s</w:t>
      </w:r>
      <w:r w:rsidRPr="00807BAB">
        <w:rPr>
          <w:rFonts w:ascii="Times New Roman" w:hAnsi="Times New Roman" w:cs="Times New Roman"/>
        </w:rPr>
        <w:t xml:space="preserve"> positively related to increases in the strictness of EPL (see, for example, Elmeskov et al., 1998; Bertola et al., 2001; Botero et al.</w:t>
      </w:r>
      <w:r>
        <w:rPr>
          <w:rFonts w:ascii="Times New Roman" w:hAnsi="Times New Roman" w:cs="Times New Roman"/>
        </w:rPr>
        <w:t>,</w:t>
      </w:r>
      <w:r w:rsidRPr="00807BAB">
        <w:rPr>
          <w:rFonts w:ascii="Times New Roman" w:hAnsi="Times New Roman" w:cs="Times New Roman"/>
        </w:rPr>
        <w:t xml:space="preserve"> 2004). However, </w:t>
      </w:r>
      <w:r w:rsidRPr="00807BAB">
        <w:rPr>
          <w:rFonts w:ascii="Times New Roman" w:eastAsia="Calibri" w:hAnsi="Times New Roman" w:cs="Times New Roman"/>
        </w:rPr>
        <w:t xml:space="preserve">Baker et al. (2005) have highlighted that the estimates contained in these studies vary considerably, are in some cases implausible and are highly sensitive to the measures, time periods and estimation methods on which they are based. Their own analysis, based on data from the 1960s to the 2000s, provided no support for the view that EPL is positively associated with unemployment. Other recent studies have produced similar results. Oesch (2010), for example, found that the employment prospects of low-skilled workers in OECD countries were unaffected by employment protections during the period 1991-2006, while </w:t>
      </w:r>
      <w:r w:rsidRPr="00807BAB">
        <w:rPr>
          <w:rFonts w:ascii="Times New Roman" w:hAnsi="Times New Roman" w:cs="Times New Roman"/>
        </w:rPr>
        <w:t>Avdagic and Salardi’s (2013: 750) analysis of 32 EU and OECD countries over a 30 year time period found that ‘[e]mployment protection legislation does not have any discernible impact on unemployment, regardless of the choice of estimators and specifications’</w:t>
      </w:r>
      <w:r>
        <w:rPr>
          <w:rFonts w:ascii="Times New Roman" w:hAnsi="Times New Roman" w:cs="Times New Roman"/>
        </w:rPr>
        <w:t xml:space="preserve"> (also see Avdagic 2014)</w:t>
      </w:r>
      <w:r w:rsidRPr="00807BAB">
        <w:rPr>
          <w:rFonts w:ascii="Times New Roman" w:hAnsi="Times New Roman" w:cs="Times New Roman"/>
        </w:rPr>
        <w:t xml:space="preserve">. Furthermore, a recent analysis by Cazes et al. (2012) has suggested that negative impacts of EPL on employment are observable only among countries </w:t>
      </w:r>
      <w:r w:rsidRPr="00807BAB">
        <w:rPr>
          <w:rFonts w:ascii="Times New Roman" w:hAnsi="Times New Roman" w:cs="Times New Roman"/>
        </w:rPr>
        <w:lastRenderedPageBreak/>
        <w:t xml:space="preserve">with very high EPL index scores and that ‘at very low levels of employment protection, increases in EPL stringency are associated with a </w:t>
      </w:r>
      <w:r w:rsidRPr="00807BAB">
        <w:rPr>
          <w:rFonts w:ascii="Times New Roman" w:hAnsi="Times New Roman" w:cs="Times New Roman"/>
          <w:i/>
        </w:rPr>
        <w:t xml:space="preserve">higher </w:t>
      </w:r>
      <w:r w:rsidRPr="00807BAB">
        <w:rPr>
          <w:rFonts w:ascii="Times New Roman" w:hAnsi="Times New Roman" w:cs="Times New Roman"/>
        </w:rPr>
        <w:t>employment rate’ (Cazes et al.</w:t>
      </w:r>
      <w:r>
        <w:rPr>
          <w:rFonts w:ascii="Times New Roman" w:hAnsi="Times New Roman" w:cs="Times New Roman"/>
        </w:rPr>
        <w:t>,</w:t>
      </w:r>
      <w:r w:rsidRPr="00807BAB">
        <w:rPr>
          <w:rFonts w:ascii="Times New Roman" w:hAnsi="Times New Roman" w:cs="Times New Roman"/>
        </w:rPr>
        <w:t xml:space="preserve"> 2012: 14, emphasis added).</w:t>
      </w:r>
    </w:p>
    <w:p w14:paraId="45D9A8FE" w14:textId="77777777" w:rsidR="00D5758C" w:rsidRDefault="00D5758C" w:rsidP="00D5758C">
      <w:pPr>
        <w:spacing w:line="480" w:lineRule="auto"/>
        <w:rPr>
          <w:rFonts w:ascii="Times New Roman" w:hAnsi="Times New Roman" w:cs="Times New Roman"/>
        </w:rPr>
      </w:pPr>
      <w:r w:rsidRPr="00807BAB">
        <w:rPr>
          <w:rFonts w:ascii="Times New Roman" w:hAnsi="Times New Roman" w:cs="Times New Roman"/>
        </w:rPr>
        <w:t xml:space="preserve">Even if the impact of EPL is broadly neutral with respect to aggregate unemployment, it is possible that it might have a disproportionate impact on certain disadvantaged groups, such as the disabled and young people. Given the </w:t>
      </w:r>
      <w:r>
        <w:rPr>
          <w:rFonts w:ascii="Times New Roman" w:hAnsi="Times New Roman" w:cs="Times New Roman"/>
        </w:rPr>
        <w:t>consequences of the Great Recession for young people</w:t>
      </w:r>
      <w:r w:rsidRPr="00807BAB">
        <w:rPr>
          <w:rFonts w:ascii="Times New Roman" w:hAnsi="Times New Roman" w:cs="Times New Roman"/>
        </w:rPr>
        <w:t>, perhaps the most important question is whether a reduction in the stringency of EPL might improve the</w:t>
      </w:r>
      <w:r>
        <w:rPr>
          <w:rFonts w:ascii="Times New Roman" w:hAnsi="Times New Roman" w:cs="Times New Roman"/>
        </w:rPr>
        <w:t>ir</w:t>
      </w:r>
      <w:r w:rsidRPr="00807BAB">
        <w:rPr>
          <w:rFonts w:ascii="Times New Roman" w:hAnsi="Times New Roman" w:cs="Times New Roman"/>
        </w:rPr>
        <w:t xml:space="preserve"> job prospects. Once again, however, the evidence relating to the consequences of EPL for employment is mixed. Some studies have found that stringent EPL has adverse effects on young people (e.g. Allard and Lindert, 200</w:t>
      </w:r>
      <w:r>
        <w:rPr>
          <w:rFonts w:ascii="Times New Roman" w:hAnsi="Times New Roman" w:cs="Times New Roman"/>
        </w:rPr>
        <w:t>6</w:t>
      </w:r>
      <w:r w:rsidRPr="00807BAB">
        <w:rPr>
          <w:rFonts w:ascii="Times New Roman" w:hAnsi="Times New Roman" w:cs="Times New Roman"/>
        </w:rPr>
        <w:t>; Bertola et al.</w:t>
      </w:r>
      <w:r>
        <w:rPr>
          <w:rFonts w:ascii="Times New Roman" w:hAnsi="Times New Roman" w:cs="Times New Roman"/>
        </w:rPr>
        <w:t>,</w:t>
      </w:r>
      <w:r w:rsidRPr="00807BAB">
        <w:rPr>
          <w:rFonts w:ascii="Times New Roman" w:hAnsi="Times New Roman" w:cs="Times New Roman"/>
        </w:rPr>
        <w:t xml:space="preserve"> 2007) while others, such as Noelke (2011) </w:t>
      </w:r>
      <w:r>
        <w:rPr>
          <w:rFonts w:ascii="Times New Roman" w:hAnsi="Times New Roman" w:cs="Times New Roman"/>
        </w:rPr>
        <w:t xml:space="preserve">and Avdagic (2014) </w:t>
      </w:r>
      <w:r w:rsidRPr="00807BAB">
        <w:rPr>
          <w:rFonts w:ascii="Times New Roman" w:hAnsi="Times New Roman" w:cs="Times New Roman"/>
        </w:rPr>
        <w:t xml:space="preserve">have found that the strictness of EPL has no implications for youth unemployment. </w:t>
      </w:r>
    </w:p>
    <w:p w14:paraId="4A34EFB7" w14:textId="77777777" w:rsidR="00D5758C" w:rsidRDefault="00D5758C" w:rsidP="00D5758C">
      <w:pPr>
        <w:spacing w:line="480" w:lineRule="auto"/>
        <w:rPr>
          <w:rFonts w:ascii="Times New Roman" w:hAnsi="Times New Roman"/>
        </w:rPr>
      </w:pPr>
      <w:r>
        <w:rPr>
          <w:rFonts w:ascii="Times New Roman" w:hAnsi="Times New Roman" w:cs="Times New Roman"/>
        </w:rPr>
        <w:t>T</w:t>
      </w:r>
      <w:r w:rsidRPr="00B57ED2">
        <w:rPr>
          <w:rFonts w:ascii="Times New Roman" w:hAnsi="Times New Roman" w:cs="Times New Roman"/>
        </w:rPr>
        <w:t>he implications of weaker EPL for management-worker relations, innovation and productivity also need to be considered</w:t>
      </w:r>
      <w:r>
        <w:rPr>
          <w:rFonts w:ascii="Times New Roman" w:hAnsi="Times New Roman" w:cs="Times New Roman"/>
        </w:rPr>
        <w:t xml:space="preserve"> (Nolan 1994)</w:t>
      </w:r>
      <w:r w:rsidRPr="00B57ED2">
        <w:rPr>
          <w:rFonts w:ascii="Times New Roman" w:hAnsi="Times New Roman" w:cs="Times New Roman"/>
        </w:rPr>
        <w:t xml:space="preserve">. </w:t>
      </w:r>
      <w:r w:rsidRPr="00B57ED2">
        <w:rPr>
          <w:rFonts w:ascii="Times New Roman" w:hAnsi="Times New Roman"/>
        </w:rPr>
        <w:t xml:space="preserve">Evidence has been provided for a positive association between employment protections and productivity growth (Buchele and Christiansen, 1995, 1999; Storm and Naastepad, 2009), which might serve to offset any negative consequences of EPL for unemployment. </w:t>
      </w:r>
      <w:r>
        <w:rPr>
          <w:rFonts w:ascii="Times New Roman" w:hAnsi="Times New Roman"/>
        </w:rPr>
        <w:t>S</w:t>
      </w:r>
      <w:r w:rsidRPr="00807BAB">
        <w:rPr>
          <w:rFonts w:ascii="Times New Roman" w:hAnsi="Times New Roman" w:cs="Times New Roman"/>
        </w:rPr>
        <w:t xml:space="preserve">trong </w:t>
      </w:r>
      <w:r>
        <w:rPr>
          <w:rFonts w:ascii="Times New Roman" w:hAnsi="Times New Roman" w:cs="Times New Roman"/>
        </w:rPr>
        <w:t xml:space="preserve">labour market </w:t>
      </w:r>
      <w:r w:rsidRPr="00807BAB">
        <w:rPr>
          <w:rFonts w:ascii="Times New Roman" w:hAnsi="Times New Roman" w:cs="Times New Roman"/>
        </w:rPr>
        <w:t xml:space="preserve">institutions, including robust employment protections, </w:t>
      </w:r>
      <w:r>
        <w:rPr>
          <w:rFonts w:ascii="Times New Roman" w:hAnsi="Times New Roman" w:cs="Times New Roman"/>
        </w:rPr>
        <w:t xml:space="preserve">also appear to favour </w:t>
      </w:r>
      <w:r w:rsidRPr="00807BAB">
        <w:rPr>
          <w:rFonts w:ascii="Times New Roman" w:hAnsi="Times New Roman" w:cs="Times New Roman"/>
        </w:rPr>
        <w:t>skill development (Harcourt and Wood</w:t>
      </w:r>
      <w:r>
        <w:rPr>
          <w:rFonts w:ascii="Times New Roman" w:hAnsi="Times New Roman" w:cs="Times New Roman"/>
        </w:rPr>
        <w:t>,</w:t>
      </w:r>
      <w:r w:rsidRPr="00807BAB">
        <w:rPr>
          <w:rFonts w:ascii="Times New Roman" w:hAnsi="Times New Roman" w:cs="Times New Roman"/>
        </w:rPr>
        <w:t xml:space="preserve"> 2007)</w:t>
      </w:r>
      <w:r>
        <w:rPr>
          <w:rFonts w:ascii="Times New Roman" w:hAnsi="Times New Roman" w:cs="Times New Roman"/>
        </w:rPr>
        <w:t>.</w:t>
      </w:r>
      <w:r w:rsidRPr="00807BAB">
        <w:rPr>
          <w:rFonts w:ascii="Times New Roman" w:hAnsi="Times New Roman" w:cs="Times New Roman"/>
        </w:rPr>
        <w:t xml:space="preserve"> </w:t>
      </w:r>
      <w:r>
        <w:rPr>
          <w:rFonts w:ascii="Times New Roman" w:hAnsi="Times New Roman" w:cs="Times New Roman"/>
        </w:rPr>
        <w:t xml:space="preserve"> </w:t>
      </w:r>
      <w:r w:rsidRPr="00B57ED2">
        <w:rPr>
          <w:rFonts w:ascii="Times New Roman" w:hAnsi="Times New Roman"/>
        </w:rPr>
        <w:t>Buchele and Christiansen (1999: 327) have further suggested that weaker employment protections are likely to undermine the cooperation and participation of workers that is needed for productivity-enhancing investments in skills and work organisation, an argument that is consistent with evidence showing that the use of non-standard contracts by firms is negatively associated with the probability of their making product or process innovations (Michie and Sheehan, 2003).</w:t>
      </w:r>
      <w:r>
        <w:rPr>
          <w:rFonts w:ascii="Times New Roman" w:hAnsi="Times New Roman"/>
        </w:rPr>
        <w:t xml:space="preserve"> </w:t>
      </w:r>
    </w:p>
    <w:p w14:paraId="67F3DF05" w14:textId="77777777" w:rsidR="0047182D" w:rsidRDefault="0047182D" w:rsidP="00D67EC8">
      <w:pPr>
        <w:spacing w:line="480" w:lineRule="auto"/>
        <w:rPr>
          <w:rFonts w:ascii="Times New Roman" w:hAnsi="Times New Roman" w:cs="Times New Roman"/>
          <w:b/>
        </w:rPr>
      </w:pPr>
    </w:p>
    <w:p w14:paraId="10E51A23" w14:textId="77777777" w:rsidR="0089047D" w:rsidRDefault="0089047D" w:rsidP="00D67EC8">
      <w:pPr>
        <w:spacing w:line="480" w:lineRule="auto"/>
        <w:rPr>
          <w:rFonts w:ascii="Times New Roman" w:hAnsi="Times New Roman" w:cs="Times New Roman"/>
          <w:b/>
        </w:rPr>
      </w:pPr>
    </w:p>
    <w:p w14:paraId="40285C2C" w14:textId="77777777" w:rsidR="0089047D" w:rsidRDefault="0089047D" w:rsidP="00D67EC8">
      <w:pPr>
        <w:spacing w:line="480" w:lineRule="auto"/>
        <w:rPr>
          <w:rFonts w:ascii="Times New Roman" w:hAnsi="Times New Roman" w:cs="Times New Roman"/>
          <w:b/>
        </w:rPr>
      </w:pPr>
    </w:p>
    <w:p w14:paraId="0D36E9FE" w14:textId="1127993D" w:rsidR="00D5758C" w:rsidRPr="00B712C2" w:rsidRDefault="00831F93" w:rsidP="00D67EC8">
      <w:pPr>
        <w:spacing w:line="480" w:lineRule="auto"/>
        <w:rPr>
          <w:rFonts w:ascii="Times New Roman" w:hAnsi="Times New Roman" w:cs="Times New Roman"/>
          <w:b/>
        </w:rPr>
      </w:pPr>
      <w:r>
        <w:rPr>
          <w:rFonts w:ascii="Times New Roman" w:hAnsi="Times New Roman" w:cs="Times New Roman"/>
          <w:b/>
        </w:rPr>
        <w:lastRenderedPageBreak/>
        <w:t>3</w:t>
      </w:r>
      <w:r w:rsidR="00D5758C" w:rsidRPr="00B712C2">
        <w:rPr>
          <w:rFonts w:ascii="Times New Roman" w:hAnsi="Times New Roman" w:cs="Times New Roman"/>
          <w:b/>
        </w:rPr>
        <w:t>. EPL Policies in the European Union</w:t>
      </w:r>
    </w:p>
    <w:p w14:paraId="0F0371BD" w14:textId="157BA0E4" w:rsidR="00926508" w:rsidRDefault="00D5758C" w:rsidP="00D67EC8">
      <w:pPr>
        <w:spacing w:line="480" w:lineRule="auto"/>
        <w:rPr>
          <w:rFonts w:ascii="Times New Roman" w:hAnsi="Times New Roman" w:cs="Times New Roman"/>
        </w:rPr>
      </w:pPr>
      <w:r>
        <w:rPr>
          <w:rFonts w:ascii="Times New Roman" w:hAnsi="Times New Roman" w:cs="Times New Roman"/>
        </w:rPr>
        <w:t xml:space="preserve">Despite the lack of firm empirical support for the </w:t>
      </w:r>
      <w:r w:rsidR="0022306F">
        <w:rPr>
          <w:rFonts w:ascii="Times New Roman" w:hAnsi="Times New Roman" w:cs="Times New Roman"/>
        </w:rPr>
        <w:t>claim</w:t>
      </w:r>
      <w:r>
        <w:rPr>
          <w:rFonts w:ascii="Times New Roman" w:hAnsi="Times New Roman" w:cs="Times New Roman"/>
        </w:rPr>
        <w:t xml:space="preserve"> that </w:t>
      </w:r>
      <w:r w:rsidR="0022306F">
        <w:rPr>
          <w:rFonts w:ascii="Times New Roman" w:hAnsi="Times New Roman" w:cs="Times New Roman"/>
        </w:rPr>
        <w:t xml:space="preserve">labour market deregulation necessarily leads to improved economic performance, belief in the virtues of flexible labour markets has gained traction in the EU. </w:t>
      </w:r>
      <w:r w:rsidR="00FA2D7C" w:rsidRPr="00807BAB">
        <w:rPr>
          <w:rFonts w:ascii="Times New Roman" w:hAnsi="Times New Roman" w:cs="Times New Roman"/>
        </w:rPr>
        <w:t xml:space="preserve">The </w:t>
      </w:r>
      <w:r w:rsidR="00AB1DF1" w:rsidRPr="00807BAB">
        <w:rPr>
          <w:rFonts w:ascii="Times New Roman" w:hAnsi="Times New Roman" w:cs="Times New Roman"/>
        </w:rPr>
        <w:t>claim</w:t>
      </w:r>
      <w:r w:rsidR="00FA2D7C" w:rsidRPr="00807BAB">
        <w:rPr>
          <w:rFonts w:ascii="Times New Roman" w:hAnsi="Times New Roman" w:cs="Times New Roman"/>
        </w:rPr>
        <w:t xml:space="preserve"> that EPL is </w:t>
      </w:r>
      <w:r w:rsidR="00AB1DF1" w:rsidRPr="00807BAB">
        <w:rPr>
          <w:rFonts w:ascii="Times New Roman" w:hAnsi="Times New Roman" w:cs="Times New Roman"/>
        </w:rPr>
        <w:t>damaging</w:t>
      </w:r>
      <w:r w:rsidR="00FA2D7C" w:rsidRPr="00807BAB">
        <w:rPr>
          <w:rFonts w:ascii="Times New Roman" w:hAnsi="Times New Roman" w:cs="Times New Roman"/>
        </w:rPr>
        <w:t xml:space="preserve"> to the labour market bec</w:t>
      </w:r>
      <w:r w:rsidR="002620B3" w:rsidRPr="00807BAB">
        <w:rPr>
          <w:rFonts w:ascii="Times New Roman" w:hAnsi="Times New Roman" w:cs="Times New Roman"/>
        </w:rPr>
        <w:t>ame</w:t>
      </w:r>
      <w:r w:rsidR="00FA2D7C" w:rsidRPr="00807BAB">
        <w:rPr>
          <w:rFonts w:ascii="Times New Roman" w:hAnsi="Times New Roman" w:cs="Times New Roman"/>
        </w:rPr>
        <w:t xml:space="preserve"> a </w:t>
      </w:r>
      <w:r w:rsidR="0022306F">
        <w:rPr>
          <w:rFonts w:ascii="Times New Roman" w:hAnsi="Times New Roman" w:cs="Times New Roman"/>
        </w:rPr>
        <w:t>persistent</w:t>
      </w:r>
      <w:r w:rsidR="00FA2D7C" w:rsidRPr="00807BAB">
        <w:rPr>
          <w:rFonts w:ascii="Times New Roman" w:hAnsi="Times New Roman" w:cs="Times New Roman"/>
        </w:rPr>
        <w:t xml:space="preserve"> theme in policy debates </w:t>
      </w:r>
      <w:r w:rsidR="002620B3" w:rsidRPr="00807BAB">
        <w:rPr>
          <w:rFonts w:ascii="Times New Roman" w:hAnsi="Times New Roman" w:cs="Times New Roman"/>
        </w:rPr>
        <w:t>in the 1980s</w:t>
      </w:r>
      <w:r w:rsidR="00DF7FA4" w:rsidRPr="00807BAB">
        <w:rPr>
          <w:rFonts w:ascii="Times New Roman" w:hAnsi="Times New Roman" w:cs="Times New Roman"/>
        </w:rPr>
        <w:t xml:space="preserve">, as the Keynesian preoccupation with the relationship between aggregate demand and unemployment came to be replaced with an emphasis on </w:t>
      </w:r>
      <w:r w:rsidR="00AB1DF1" w:rsidRPr="00807BAB">
        <w:rPr>
          <w:rFonts w:ascii="Times New Roman" w:hAnsi="Times New Roman" w:cs="Times New Roman"/>
        </w:rPr>
        <w:t xml:space="preserve">the importance of </w:t>
      </w:r>
      <w:r w:rsidR="00DF7FA4" w:rsidRPr="00807BAB">
        <w:rPr>
          <w:rFonts w:ascii="Times New Roman" w:hAnsi="Times New Roman" w:cs="Times New Roman"/>
        </w:rPr>
        <w:t>‘supply-side’ phenomena</w:t>
      </w:r>
      <w:r w:rsidR="002620B3" w:rsidRPr="00807BAB">
        <w:rPr>
          <w:rFonts w:ascii="Times New Roman" w:hAnsi="Times New Roman" w:cs="Times New Roman"/>
        </w:rPr>
        <w:t xml:space="preserve">. </w:t>
      </w:r>
      <w:r w:rsidR="00AB1DF1" w:rsidRPr="00807BAB">
        <w:rPr>
          <w:rFonts w:ascii="Times New Roman" w:hAnsi="Times New Roman" w:cs="Times New Roman"/>
        </w:rPr>
        <w:t>Drawing unfavourable comparisons between the supposedly over-regulated and sclerotic labour markets of Continental Europe and the flexible labour markets of the US and UK, t</w:t>
      </w:r>
      <w:r w:rsidR="00DF7FA4" w:rsidRPr="00807BAB">
        <w:rPr>
          <w:rFonts w:ascii="Times New Roman" w:hAnsi="Times New Roman" w:cs="Times New Roman"/>
        </w:rPr>
        <w:t>he O</w:t>
      </w:r>
      <w:r w:rsidR="00502144">
        <w:rPr>
          <w:rFonts w:ascii="Times New Roman" w:hAnsi="Times New Roman" w:cs="Times New Roman"/>
        </w:rPr>
        <w:t xml:space="preserve">rganisation for </w:t>
      </w:r>
      <w:r w:rsidR="00DF7FA4" w:rsidRPr="00807BAB">
        <w:rPr>
          <w:rFonts w:ascii="Times New Roman" w:hAnsi="Times New Roman" w:cs="Times New Roman"/>
        </w:rPr>
        <w:t>E</w:t>
      </w:r>
      <w:r w:rsidR="00502144">
        <w:rPr>
          <w:rFonts w:ascii="Times New Roman" w:hAnsi="Times New Roman" w:cs="Times New Roman"/>
        </w:rPr>
        <w:t xml:space="preserve">conomic </w:t>
      </w:r>
      <w:r w:rsidR="00DF7FA4" w:rsidRPr="00807BAB">
        <w:rPr>
          <w:rFonts w:ascii="Times New Roman" w:hAnsi="Times New Roman" w:cs="Times New Roman"/>
        </w:rPr>
        <w:t>C</w:t>
      </w:r>
      <w:r w:rsidR="00502144">
        <w:rPr>
          <w:rFonts w:ascii="Times New Roman" w:hAnsi="Times New Roman" w:cs="Times New Roman"/>
        </w:rPr>
        <w:t xml:space="preserve">ooperation and </w:t>
      </w:r>
      <w:r w:rsidR="00DF7FA4" w:rsidRPr="00807BAB">
        <w:rPr>
          <w:rFonts w:ascii="Times New Roman" w:hAnsi="Times New Roman" w:cs="Times New Roman"/>
        </w:rPr>
        <w:t>D</w:t>
      </w:r>
      <w:r w:rsidR="00502144">
        <w:rPr>
          <w:rFonts w:ascii="Times New Roman" w:hAnsi="Times New Roman" w:cs="Times New Roman"/>
        </w:rPr>
        <w:t>evelopment (OECD)</w:t>
      </w:r>
      <w:r w:rsidR="00DF7FA4" w:rsidRPr="00807BAB">
        <w:rPr>
          <w:rFonts w:ascii="Times New Roman" w:hAnsi="Times New Roman" w:cs="Times New Roman"/>
        </w:rPr>
        <w:t xml:space="preserve"> and </w:t>
      </w:r>
      <w:r w:rsidR="00502144">
        <w:rPr>
          <w:rFonts w:ascii="Times New Roman" w:hAnsi="Times New Roman" w:cs="Times New Roman"/>
        </w:rPr>
        <w:t xml:space="preserve">the </w:t>
      </w:r>
      <w:r w:rsidR="00DF7FA4" w:rsidRPr="00807BAB">
        <w:rPr>
          <w:rFonts w:ascii="Times New Roman" w:hAnsi="Times New Roman" w:cs="Times New Roman"/>
        </w:rPr>
        <w:t>IMF a</w:t>
      </w:r>
      <w:r w:rsidR="00AB1DF1" w:rsidRPr="00807BAB">
        <w:rPr>
          <w:rFonts w:ascii="Times New Roman" w:hAnsi="Times New Roman" w:cs="Times New Roman"/>
        </w:rPr>
        <w:t xml:space="preserve">rgued that European governments would need to reduce the strictness of </w:t>
      </w:r>
      <w:r w:rsidR="00FA2D7C" w:rsidRPr="00807BAB">
        <w:rPr>
          <w:rFonts w:ascii="Times New Roman" w:hAnsi="Times New Roman" w:cs="Times New Roman"/>
        </w:rPr>
        <w:t xml:space="preserve">EPL </w:t>
      </w:r>
      <w:r w:rsidR="00AB1DF1" w:rsidRPr="00807BAB">
        <w:rPr>
          <w:rFonts w:ascii="Times New Roman" w:hAnsi="Times New Roman" w:cs="Times New Roman"/>
        </w:rPr>
        <w:t xml:space="preserve">if they were to cut </w:t>
      </w:r>
      <w:r w:rsidR="00DF7FA4" w:rsidRPr="00807BAB">
        <w:rPr>
          <w:rFonts w:ascii="Times New Roman" w:hAnsi="Times New Roman" w:cs="Times New Roman"/>
        </w:rPr>
        <w:t>unemployment (e.g. OECD, 1994). T</w:t>
      </w:r>
      <w:r w:rsidR="00FA2D7C" w:rsidRPr="00807BAB">
        <w:rPr>
          <w:rFonts w:ascii="Times New Roman" w:hAnsi="Times New Roman" w:cs="Times New Roman"/>
        </w:rPr>
        <w:t xml:space="preserve">his message found favour with an increasing number of </w:t>
      </w:r>
      <w:r w:rsidR="0022306F">
        <w:rPr>
          <w:rFonts w:ascii="Times New Roman" w:hAnsi="Times New Roman" w:cs="Times New Roman"/>
        </w:rPr>
        <w:t xml:space="preserve">EU </w:t>
      </w:r>
      <w:r w:rsidR="00FA2D7C" w:rsidRPr="00807BAB">
        <w:rPr>
          <w:rFonts w:ascii="Times New Roman" w:hAnsi="Times New Roman" w:cs="Times New Roman"/>
        </w:rPr>
        <w:t>national policy makers. During the 1980s and 1990s employment protections were weakened in some EU countries</w:t>
      </w:r>
      <w:r w:rsidR="00AE00B4">
        <w:rPr>
          <w:rFonts w:ascii="Times New Roman" w:hAnsi="Times New Roman" w:cs="Times New Roman"/>
        </w:rPr>
        <w:t xml:space="preserve"> (Denmark, Finland, Germany, Greece, Netherlands, Portugal, Spain, Sweden and the UK)</w:t>
      </w:r>
      <w:r w:rsidR="00FA2D7C" w:rsidRPr="00807BAB">
        <w:rPr>
          <w:rFonts w:ascii="Times New Roman" w:hAnsi="Times New Roman" w:cs="Times New Roman"/>
        </w:rPr>
        <w:t xml:space="preserve">, although this is not to say that there was an untrammelled ‘race to the bottom’: employment </w:t>
      </w:r>
      <w:r w:rsidR="00BD4F2D">
        <w:rPr>
          <w:rFonts w:ascii="Times New Roman" w:hAnsi="Times New Roman" w:cs="Times New Roman"/>
        </w:rPr>
        <w:t>protections</w:t>
      </w:r>
      <w:r w:rsidR="00FA2D7C" w:rsidRPr="00807BAB">
        <w:rPr>
          <w:rFonts w:ascii="Times New Roman" w:hAnsi="Times New Roman" w:cs="Times New Roman"/>
        </w:rPr>
        <w:t xml:space="preserve"> were strengthened for some groups within some countries</w:t>
      </w:r>
      <w:r w:rsidR="00AB1DF1" w:rsidRPr="00807BAB">
        <w:rPr>
          <w:rFonts w:ascii="Times New Roman" w:hAnsi="Times New Roman" w:cs="Times New Roman"/>
        </w:rPr>
        <w:t xml:space="preserve">, for example </w:t>
      </w:r>
      <w:r w:rsidR="00FA2D7C" w:rsidRPr="00807BAB">
        <w:rPr>
          <w:rFonts w:ascii="Times New Roman" w:hAnsi="Times New Roman" w:cs="Times New Roman"/>
        </w:rPr>
        <w:t xml:space="preserve">Italy </w:t>
      </w:r>
      <w:r w:rsidR="00AB1DF1" w:rsidRPr="00807BAB">
        <w:rPr>
          <w:rFonts w:ascii="Times New Roman" w:hAnsi="Times New Roman" w:cs="Times New Roman"/>
        </w:rPr>
        <w:t>(</w:t>
      </w:r>
      <w:r w:rsidR="00FA2D7C" w:rsidRPr="00807BAB">
        <w:rPr>
          <w:rFonts w:ascii="Times New Roman" w:hAnsi="Times New Roman" w:cs="Times New Roman"/>
        </w:rPr>
        <w:t>Michelotti and Nyland, 2008)</w:t>
      </w:r>
      <w:r w:rsidR="00AB1DF1" w:rsidRPr="00807BAB">
        <w:rPr>
          <w:rFonts w:ascii="Times New Roman" w:hAnsi="Times New Roman" w:cs="Times New Roman"/>
        </w:rPr>
        <w:t>,</w:t>
      </w:r>
      <w:r w:rsidR="00FA2D7C" w:rsidRPr="00807BAB">
        <w:rPr>
          <w:rFonts w:ascii="Times New Roman" w:hAnsi="Times New Roman" w:cs="Times New Roman"/>
        </w:rPr>
        <w:t xml:space="preserve"> while in </w:t>
      </w:r>
      <w:r w:rsidR="005D20BE" w:rsidRPr="00807BAB">
        <w:rPr>
          <w:rFonts w:ascii="Times New Roman" w:hAnsi="Times New Roman" w:cs="Times New Roman"/>
        </w:rPr>
        <w:t xml:space="preserve">the UK, a country with one of the most weakly regulated labour markets in the EU, </w:t>
      </w:r>
      <w:r w:rsidR="00FA2D7C" w:rsidRPr="00807BAB">
        <w:rPr>
          <w:rFonts w:ascii="Times New Roman" w:hAnsi="Times New Roman" w:cs="Times New Roman"/>
        </w:rPr>
        <w:t>there was a</w:t>
      </w:r>
      <w:r w:rsidR="00825048">
        <w:rPr>
          <w:rFonts w:ascii="Times New Roman" w:hAnsi="Times New Roman" w:cs="Times New Roman"/>
        </w:rPr>
        <w:t xml:space="preserve"> slight</w:t>
      </w:r>
      <w:r w:rsidR="00FA2D7C" w:rsidRPr="00807BAB">
        <w:rPr>
          <w:rFonts w:ascii="Times New Roman" w:hAnsi="Times New Roman" w:cs="Times New Roman"/>
        </w:rPr>
        <w:t xml:space="preserve"> improvement </w:t>
      </w:r>
      <w:r w:rsidR="005D20BE" w:rsidRPr="00807BAB">
        <w:rPr>
          <w:rFonts w:ascii="Times New Roman" w:hAnsi="Times New Roman" w:cs="Times New Roman"/>
        </w:rPr>
        <w:t>following</w:t>
      </w:r>
      <w:r w:rsidR="00DF7FA4" w:rsidRPr="00807BAB">
        <w:rPr>
          <w:rFonts w:ascii="Times New Roman" w:hAnsi="Times New Roman" w:cs="Times New Roman"/>
        </w:rPr>
        <w:t xml:space="preserve"> the election</w:t>
      </w:r>
      <w:r w:rsidR="00825048">
        <w:rPr>
          <w:rFonts w:ascii="Times New Roman" w:hAnsi="Times New Roman" w:cs="Times New Roman"/>
        </w:rPr>
        <w:t xml:space="preserve"> of a Labour government in 1997</w:t>
      </w:r>
      <w:r w:rsidR="00FA2D7C" w:rsidRPr="00807BAB">
        <w:rPr>
          <w:rFonts w:ascii="Times New Roman" w:hAnsi="Times New Roman" w:cs="Times New Roman"/>
        </w:rPr>
        <w:t xml:space="preserve">. </w:t>
      </w:r>
      <w:r w:rsidR="005D20BE" w:rsidRPr="00807BAB">
        <w:rPr>
          <w:rFonts w:ascii="Times New Roman" w:hAnsi="Times New Roman" w:cs="Times New Roman"/>
        </w:rPr>
        <w:t>In many European countries, l</w:t>
      </w:r>
      <w:r w:rsidR="00FA2D7C" w:rsidRPr="00807BAB">
        <w:rPr>
          <w:rFonts w:ascii="Times New Roman" w:hAnsi="Times New Roman" w:cs="Times New Roman"/>
        </w:rPr>
        <w:t xml:space="preserve">abour market reforms were </w:t>
      </w:r>
      <w:r w:rsidR="00502144">
        <w:rPr>
          <w:rFonts w:ascii="Times New Roman" w:hAnsi="Times New Roman" w:cs="Times New Roman"/>
        </w:rPr>
        <w:t>largely confined to</w:t>
      </w:r>
      <w:r w:rsidR="00FA2D7C" w:rsidRPr="00807BAB">
        <w:rPr>
          <w:rFonts w:ascii="Times New Roman" w:hAnsi="Times New Roman" w:cs="Times New Roman"/>
        </w:rPr>
        <w:t xml:space="preserve"> measures to facilitate an extension of fixed-term employment (OECD, 2004). </w:t>
      </w:r>
      <w:r w:rsidR="00594E19" w:rsidRPr="00807BAB">
        <w:rPr>
          <w:rFonts w:ascii="Times New Roman" w:hAnsi="Times New Roman" w:cs="Times New Roman"/>
        </w:rPr>
        <w:t>With the support of the European Commission, flexibility was sought ‘at the margin’</w:t>
      </w:r>
      <w:r w:rsidR="00CA328F">
        <w:rPr>
          <w:rFonts w:ascii="Times New Roman" w:hAnsi="Times New Roman" w:cs="Times New Roman"/>
        </w:rPr>
        <w:t xml:space="preserve"> (Freedland and Countouris</w:t>
      </w:r>
      <w:r w:rsidR="00F75379">
        <w:rPr>
          <w:rFonts w:ascii="Times New Roman" w:hAnsi="Times New Roman" w:cs="Times New Roman"/>
        </w:rPr>
        <w:t>,</w:t>
      </w:r>
      <w:r w:rsidR="00CA328F">
        <w:rPr>
          <w:rFonts w:ascii="Times New Roman" w:hAnsi="Times New Roman" w:cs="Times New Roman"/>
        </w:rPr>
        <w:t xml:space="preserve"> 2013)</w:t>
      </w:r>
      <w:r w:rsidR="00594E19" w:rsidRPr="00807BAB">
        <w:rPr>
          <w:rFonts w:ascii="Times New Roman" w:hAnsi="Times New Roman" w:cs="Times New Roman"/>
        </w:rPr>
        <w:t xml:space="preserve">. </w:t>
      </w:r>
      <w:r w:rsidR="00FA2D7C" w:rsidRPr="00807BAB">
        <w:rPr>
          <w:rFonts w:ascii="Times New Roman" w:hAnsi="Times New Roman" w:cs="Times New Roman"/>
        </w:rPr>
        <w:t>In Germany, for example, the ‘Employment Promotion Act’ (Beschäftigungförderungsgestz) of 1985 reduced restrictions on the use of fixed-term contracts, a process that was furthered in the early 2000s by the implementation of the recommendations of the Hartz Committee (Eichorst and Marx, 2011). Restrictions on employers’ freedom to make use of non-standard contracts were similarly loosened in Spain in 1984, in Belgium in 1991 and in France in 1993.</w:t>
      </w:r>
    </w:p>
    <w:p w14:paraId="39BAB07B" w14:textId="66B5B722" w:rsidR="00D25038" w:rsidRDefault="0022306F" w:rsidP="00AD0A80">
      <w:pPr>
        <w:spacing w:line="480" w:lineRule="auto"/>
        <w:rPr>
          <w:rFonts w:ascii="Times New Roman" w:hAnsi="Times New Roman" w:cs="Times New Roman"/>
        </w:rPr>
      </w:pPr>
      <w:r>
        <w:rPr>
          <w:rFonts w:ascii="Times New Roman" w:hAnsi="Times New Roman"/>
        </w:rPr>
        <w:t xml:space="preserve">The emphasis placed </w:t>
      </w:r>
      <w:r w:rsidR="00BD4F2D">
        <w:rPr>
          <w:rFonts w:ascii="Times New Roman" w:hAnsi="Times New Roman"/>
        </w:rPr>
        <w:t xml:space="preserve">on labour market flexibility in EU policy debates increased in the late 1990s and after the start of the new millennium. A number of EU member states, particularly the </w:t>
      </w:r>
      <w:r>
        <w:rPr>
          <w:rFonts w:ascii="Times New Roman" w:hAnsi="Times New Roman"/>
        </w:rPr>
        <w:t xml:space="preserve">UK, Germany, </w:t>
      </w:r>
      <w:r>
        <w:rPr>
          <w:rFonts w:ascii="Times New Roman" w:hAnsi="Times New Roman"/>
        </w:rPr>
        <w:lastRenderedPageBreak/>
        <w:t xml:space="preserve">Italy and Spain, </w:t>
      </w:r>
      <w:r w:rsidR="00BD4F2D">
        <w:rPr>
          <w:rFonts w:ascii="Times New Roman" w:hAnsi="Times New Roman"/>
        </w:rPr>
        <w:t>began to</w:t>
      </w:r>
      <w:r>
        <w:rPr>
          <w:rFonts w:ascii="Times New Roman" w:hAnsi="Times New Roman"/>
        </w:rPr>
        <w:t xml:space="preserve"> push for labour market and welfare reforms that would place greater emphasis on the responsibility of individuals and encourage them to seek work (Schweiger 2014: 31). </w:t>
      </w:r>
      <w:r>
        <w:rPr>
          <w:rFonts w:ascii="Times New Roman" w:eastAsia="Calibri" w:hAnsi="Times New Roman" w:cs="Times New Roman"/>
        </w:rPr>
        <w:t xml:space="preserve">The development of </w:t>
      </w:r>
      <w:r w:rsidR="009769C9">
        <w:rPr>
          <w:rFonts w:ascii="Times New Roman" w:eastAsia="Calibri" w:hAnsi="Times New Roman" w:cs="Times New Roman"/>
        </w:rPr>
        <w:t xml:space="preserve">the </w:t>
      </w:r>
      <w:r>
        <w:rPr>
          <w:rFonts w:ascii="Times New Roman" w:eastAsia="Calibri" w:hAnsi="Times New Roman" w:cs="Times New Roman"/>
        </w:rPr>
        <w:t>E</w:t>
      </w:r>
      <w:r w:rsidR="00BD4F2D">
        <w:rPr>
          <w:rFonts w:ascii="Times New Roman" w:eastAsia="Calibri" w:hAnsi="Times New Roman" w:cs="Times New Roman"/>
        </w:rPr>
        <w:t>uropean Employment Strategy, launched f</w:t>
      </w:r>
      <w:r>
        <w:rPr>
          <w:rFonts w:ascii="Times New Roman" w:eastAsia="Calibri" w:hAnsi="Times New Roman" w:cs="Times New Roman"/>
        </w:rPr>
        <w:t>ollowing the adoption of the Treaty of Amsterdam in 1997</w:t>
      </w:r>
      <w:r w:rsidR="00BD4F2D">
        <w:rPr>
          <w:rFonts w:ascii="Times New Roman" w:eastAsia="Calibri" w:hAnsi="Times New Roman" w:cs="Times New Roman"/>
        </w:rPr>
        <w:t xml:space="preserve"> and</w:t>
      </w:r>
      <w:r>
        <w:rPr>
          <w:rFonts w:ascii="Times New Roman" w:eastAsia="Calibri" w:hAnsi="Times New Roman" w:cs="Times New Roman"/>
        </w:rPr>
        <w:t xml:space="preserve"> given further impetus by the Lisbon Treat</w:t>
      </w:r>
      <w:r w:rsidR="00BD4F2D">
        <w:rPr>
          <w:rFonts w:ascii="Times New Roman" w:eastAsia="Calibri" w:hAnsi="Times New Roman" w:cs="Times New Roman"/>
        </w:rPr>
        <w:t>y</w:t>
      </w:r>
      <w:r>
        <w:rPr>
          <w:rFonts w:ascii="Times New Roman" w:eastAsia="Calibri" w:hAnsi="Times New Roman" w:cs="Times New Roman"/>
        </w:rPr>
        <w:t xml:space="preserve"> of 2000</w:t>
      </w:r>
      <w:r w:rsidR="00BD4F2D">
        <w:rPr>
          <w:rFonts w:ascii="Times New Roman" w:eastAsia="Calibri" w:hAnsi="Times New Roman" w:cs="Times New Roman"/>
        </w:rPr>
        <w:t xml:space="preserve">, reflected the new emphasis on </w:t>
      </w:r>
      <w:r>
        <w:rPr>
          <w:rFonts w:ascii="Times New Roman" w:hAnsi="Times New Roman"/>
        </w:rPr>
        <w:t xml:space="preserve">labour market </w:t>
      </w:r>
      <w:r w:rsidR="00BB6ECA">
        <w:rPr>
          <w:rFonts w:ascii="Times New Roman" w:hAnsi="Times New Roman"/>
        </w:rPr>
        <w:t>flexibility</w:t>
      </w:r>
      <w:r>
        <w:rPr>
          <w:rFonts w:ascii="Times New Roman" w:hAnsi="Times New Roman"/>
        </w:rPr>
        <w:t xml:space="preserve"> and active labour market measures</w:t>
      </w:r>
      <w:r w:rsidR="00BD4F2D">
        <w:rPr>
          <w:rFonts w:ascii="Times New Roman" w:hAnsi="Times New Roman"/>
        </w:rPr>
        <w:t xml:space="preserve">, an emphasis that was further underscored in </w:t>
      </w:r>
      <w:r>
        <w:rPr>
          <w:rFonts w:ascii="Times New Roman" w:hAnsi="Times New Roman"/>
        </w:rPr>
        <w:t>2005</w:t>
      </w:r>
      <w:r w:rsidR="00BD4F2D">
        <w:rPr>
          <w:rFonts w:ascii="Times New Roman" w:hAnsi="Times New Roman"/>
        </w:rPr>
        <w:t xml:space="preserve">, when the focus of the </w:t>
      </w:r>
      <w:r>
        <w:rPr>
          <w:rFonts w:ascii="Times New Roman" w:hAnsi="Times New Roman"/>
        </w:rPr>
        <w:t xml:space="preserve">Lisbon Agenda </w:t>
      </w:r>
      <w:r w:rsidR="00BD4F2D">
        <w:rPr>
          <w:rFonts w:ascii="Times New Roman" w:hAnsi="Times New Roman"/>
        </w:rPr>
        <w:t xml:space="preserve">was </w:t>
      </w:r>
      <w:r w:rsidR="00BB6ECA">
        <w:rPr>
          <w:rFonts w:ascii="Times New Roman" w:hAnsi="Times New Roman"/>
        </w:rPr>
        <w:t xml:space="preserve">placed firmly on </w:t>
      </w:r>
      <w:r>
        <w:rPr>
          <w:rFonts w:ascii="Times New Roman" w:hAnsi="Times New Roman"/>
        </w:rPr>
        <w:t>jobs, growth and competitiveness</w:t>
      </w:r>
      <w:r w:rsidR="00CC7E09">
        <w:rPr>
          <w:rFonts w:ascii="Times New Roman" w:hAnsi="Times New Roman"/>
        </w:rPr>
        <w:t xml:space="preserve"> (Tangian, 2010)</w:t>
      </w:r>
      <w:r>
        <w:rPr>
          <w:rFonts w:ascii="Times New Roman" w:hAnsi="Times New Roman"/>
        </w:rPr>
        <w:t>.</w:t>
      </w:r>
      <w:r w:rsidR="00BB6ECA">
        <w:rPr>
          <w:rFonts w:ascii="Times New Roman" w:hAnsi="Times New Roman"/>
        </w:rPr>
        <w:t xml:space="preserve"> Following the re-launch of the Lisbon Agenda, the </w:t>
      </w:r>
      <w:r w:rsidR="00B32EF2" w:rsidRPr="00807BAB">
        <w:rPr>
          <w:rFonts w:ascii="Times New Roman" w:hAnsi="Times New Roman" w:cs="Times New Roman"/>
        </w:rPr>
        <w:t xml:space="preserve">European Commission began to </w:t>
      </w:r>
      <w:r w:rsidR="005D20BE" w:rsidRPr="00807BAB">
        <w:rPr>
          <w:rFonts w:ascii="Times New Roman" w:hAnsi="Times New Roman" w:cs="Times New Roman"/>
        </w:rPr>
        <w:t>encourage EU member states to pursue ‘</w:t>
      </w:r>
      <w:r w:rsidR="00B32EF2" w:rsidRPr="00807BAB">
        <w:rPr>
          <w:rFonts w:ascii="Times New Roman" w:hAnsi="Times New Roman" w:cs="Times New Roman"/>
        </w:rPr>
        <w:t>flexicurity</w:t>
      </w:r>
      <w:r w:rsidR="005D20BE" w:rsidRPr="00807BAB">
        <w:rPr>
          <w:rFonts w:ascii="Times New Roman" w:hAnsi="Times New Roman" w:cs="Times New Roman"/>
        </w:rPr>
        <w:t>’</w:t>
      </w:r>
      <w:r w:rsidR="00B32EF2" w:rsidRPr="00807BAB">
        <w:rPr>
          <w:rFonts w:ascii="Times New Roman" w:hAnsi="Times New Roman" w:cs="Times New Roman"/>
        </w:rPr>
        <w:t>, defined as an ‘integrated strategy to enhance, at the same time, flexibility and security in the labour market’ (European Commission, 2007: 10). According to the Commission, the introduction of greater contractual flexibility along with active labour market measures and increases in lifelong learning would promote employment, reduce the duration of unemployment and improve the prospects of labour market ‘outsiders’. The Commission adopted a</w:t>
      </w:r>
      <w:r w:rsidR="00825048">
        <w:rPr>
          <w:rFonts w:ascii="Times New Roman" w:hAnsi="Times New Roman" w:cs="Times New Roman"/>
        </w:rPr>
        <w:t xml:space="preserve"> sometimes</w:t>
      </w:r>
      <w:r w:rsidR="00B32EF2" w:rsidRPr="00807BAB">
        <w:rPr>
          <w:rFonts w:ascii="Times New Roman" w:hAnsi="Times New Roman" w:cs="Times New Roman"/>
        </w:rPr>
        <w:t xml:space="preserve"> ambiguous but</w:t>
      </w:r>
      <w:r w:rsidR="00502144">
        <w:rPr>
          <w:rFonts w:ascii="Times New Roman" w:hAnsi="Times New Roman" w:cs="Times New Roman"/>
        </w:rPr>
        <w:t>,</w:t>
      </w:r>
      <w:r w:rsidR="00B32EF2" w:rsidRPr="00807BAB">
        <w:rPr>
          <w:rFonts w:ascii="Times New Roman" w:hAnsi="Times New Roman" w:cs="Times New Roman"/>
        </w:rPr>
        <w:t xml:space="preserve"> on balance</w:t>
      </w:r>
      <w:r w:rsidR="00502144">
        <w:rPr>
          <w:rFonts w:ascii="Times New Roman" w:hAnsi="Times New Roman" w:cs="Times New Roman"/>
        </w:rPr>
        <w:t>,</w:t>
      </w:r>
      <w:r w:rsidR="00B32EF2" w:rsidRPr="00807BAB">
        <w:rPr>
          <w:rFonts w:ascii="Times New Roman" w:hAnsi="Times New Roman" w:cs="Times New Roman"/>
        </w:rPr>
        <w:t xml:space="preserve"> </w:t>
      </w:r>
      <w:r w:rsidR="00825048">
        <w:rPr>
          <w:rFonts w:ascii="Times New Roman" w:hAnsi="Times New Roman" w:cs="Times New Roman"/>
        </w:rPr>
        <w:t>critical</w:t>
      </w:r>
      <w:r w:rsidR="00B32EF2" w:rsidRPr="00807BAB">
        <w:rPr>
          <w:rFonts w:ascii="Times New Roman" w:hAnsi="Times New Roman" w:cs="Times New Roman"/>
        </w:rPr>
        <w:t xml:space="preserve"> position in relation to EPL, arguing that achieving flexicurity would require policies that promoted ‘employment security’ rather than ‘job security’ (European Commission, 2007</w:t>
      </w:r>
      <w:r w:rsidR="00F75379">
        <w:rPr>
          <w:rFonts w:ascii="Times New Roman" w:hAnsi="Times New Roman" w:cs="Times New Roman"/>
        </w:rPr>
        <w:t>:</w:t>
      </w:r>
      <w:r w:rsidR="00B32EF2" w:rsidRPr="00807BAB">
        <w:rPr>
          <w:rFonts w:ascii="Times New Roman" w:hAnsi="Times New Roman" w:cs="Times New Roman"/>
        </w:rPr>
        <w:t xml:space="preserve"> 7). It also claimed that </w:t>
      </w:r>
      <w:r w:rsidR="00B32EF2" w:rsidRPr="00807BAB">
        <w:rPr>
          <w:rFonts w:ascii="Times New Roman" w:hAnsi="Times New Roman" w:cs="Times New Roman"/>
          <w:bCs/>
        </w:rPr>
        <w:t xml:space="preserve">strict protections against economic dismissal </w:t>
      </w:r>
      <w:r w:rsidR="0089777B" w:rsidRPr="00807BAB">
        <w:rPr>
          <w:rFonts w:ascii="Times New Roman" w:hAnsi="Times New Roman" w:cs="Times New Roman"/>
          <w:bCs/>
        </w:rPr>
        <w:t xml:space="preserve">perpetuated dualism in the labour market, </w:t>
      </w:r>
      <w:r w:rsidR="00B32EF2" w:rsidRPr="00807BAB">
        <w:rPr>
          <w:rFonts w:ascii="Times New Roman" w:hAnsi="Times New Roman" w:cs="Times New Roman"/>
          <w:bCs/>
        </w:rPr>
        <w:t>encourag</w:t>
      </w:r>
      <w:r w:rsidR="0089777B" w:rsidRPr="00807BAB">
        <w:rPr>
          <w:rFonts w:ascii="Times New Roman" w:hAnsi="Times New Roman" w:cs="Times New Roman"/>
          <w:bCs/>
        </w:rPr>
        <w:t>ing</w:t>
      </w:r>
      <w:r w:rsidR="00B32EF2" w:rsidRPr="00807BAB">
        <w:rPr>
          <w:rFonts w:ascii="Times New Roman" w:hAnsi="Times New Roman" w:cs="Times New Roman"/>
          <w:bCs/>
        </w:rPr>
        <w:t xml:space="preserve"> ‘recourse to a range of temporary contracts with low protection – often held by women and young people – with limited progress into open-ended jobs’ (European Commission, 2007</w:t>
      </w:r>
      <w:r w:rsidR="00F75379">
        <w:rPr>
          <w:rFonts w:ascii="Times New Roman" w:hAnsi="Times New Roman" w:cs="Times New Roman"/>
          <w:bCs/>
        </w:rPr>
        <w:t>:</w:t>
      </w:r>
      <w:r w:rsidR="00B32EF2" w:rsidRPr="00807BAB">
        <w:rPr>
          <w:rFonts w:ascii="Times New Roman" w:hAnsi="Times New Roman" w:cs="Times New Roman"/>
          <w:bCs/>
        </w:rPr>
        <w:t xml:space="preserve"> 12). </w:t>
      </w:r>
      <w:r w:rsidR="00CA328F" w:rsidRPr="00CA328F">
        <w:rPr>
          <w:rFonts w:ascii="Times New Roman" w:hAnsi="Times New Roman" w:cs="Times New Roman"/>
        </w:rPr>
        <w:t>As Freedland and Countouris (2013) have noted, h</w:t>
      </w:r>
      <w:r w:rsidR="0089777B" w:rsidRPr="00CA328F">
        <w:rPr>
          <w:rFonts w:ascii="Times New Roman" w:hAnsi="Times New Roman" w:cs="Times New Roman"/>
        </w:rPr>
        <w:t xml:space="preserve">aving </w:t>
      </w:r>
      <w:r w:rsidR="00CA328F" w:rsidRPr="00CA328F">
        <w:rPr>
          <w:rFonts w:ascii="Times New Roman" w:hAnsi="Times New Roman" w:cs="Times New Roman"/>
        </w:rPr>
        <w:t xml:space="preserve">promoted the </w:t>
      </w:r>
      <w:r w:rsidR="0089777B" w:rsidRPr="00CA328F">
        <w:rPr>
          <w:rFonts w:ascii="Times New Roman" w:hAnsi="Times New Roman" w:cs="Times New Roman"/>
        </w:rPr>
        <w:t>idea of ‘flexibility at the margin’</w:t>
      </w:r>
      <w:r w:rsidR="00D25038">
        <w:rPr>
          <w:rFonts w:ascii="Times New Roman" w:hAnsi="Times New Roman" w:cs="Times New Roman"/>
        </w:rPr>
        <w:t xml:space="preserve"> during the 1990s</w:t>
      </w:r>
      <w:r w:rsidR="0089777B" w:rsidRPr="00CA328F">
        <w:rPr>
          <w:rFonts w:ascii="Times New Roman" w:hAnsi="Times New Roman" w:cs="Times New Roman"/>
        </w:rPr>
        <w:t xml:space="preserve">, the EU </w:t>
      </w:r>
      <w:r w:rsidR="00CA328F" w:rsidRPr="00CA328F">
        <w:rPr>
          <w:rFonts w:ascii="Times New Roman" w:hAnsi="Times New Roman" w:cs="Times New Roman"/>
        </w:rPr>
        <w:t>subsequently argue</w:t>
      </w:r>
      <w:r w:rsidR="009769C9">
        <w:rPr>
          <w:rFonts w:ascii="Times New Roman" w:hAnsi="Times New Roman" w:cs="Times New Roman"/>
        </w:rPr>
        <w:t>d</w:t>
      </w:r>
      <w:r w:rsidR="00CA328F" w:rsidRPr="00CA328F">
        <w:rPr>
          <w:rFonts w:ascii="Times New Roman" w:hAnsi="Times New Roman" w:cs="Times New Roman"/>
        </w:rPr>
        <w:t xml:space="preserve"> that the consequences for ‘outsiders’ should be remedied by increasing </w:t>
      </w:r>
      <w:r w:rsidR="0089777B" w:rsidRPr="00CA328F">
        <w:rPr>
          <w:rFonts w:ascii="Times New Roman" w:hAnsi="Times New Roman" w:cs="Times New Roman"/>
        </w:rPr>
        <w:t>‘flexibility at the core’</w:t>
      </w:r>
      <w:r w:rsidR="00CA328F" w:rsidRPr="00CA328F">
        <w:rPr>
          <w:rFonts w:ascii="Times New Roman" w:hAnsi="Times New Roman" w:cs="Times New Roman"/>
        </w:rPr>
        <w:t xml:space="preserve"> (via </w:t>
      </w:r>
      <w:r w:rsidR="0089777B" w:rsidRPr="00CA328F">
        <w:rPr>
          <w:rFonts w:ascii="Times New Roman" w:hAnsi="Times New Roman" w:cs="Times New Roman"/>
        </w:rPr>
        <w:t xml:space="preserve">reduced </w:t>
      </w:r>
      <w:r w:rsidR="00CA328F" w:rsidRPr="00CA328F">
        <w:rPr>
          <w:rFonts w:ascii="Times New Roman" w:hAnsi="Times New Roman" w:cs="Times New Roman"/>
        </w:rPr>
        <w:t xml:space="preserve">employment protection for workers on </w:t>
      </w:r>
      <w:r w:rsidR="0089777B" w:rsidRPr="00CA328F">
        <w:rPr>
          <w:rFonts w:ascii="Times New Roman" w:hAnsi="Times New Roman" w:cs="Times New Roman"/>
        </w:rPr>
        <w:t xml:space="preserve">standard </w:t>
      </w:r>
      <w:r w:rsidR="00CA328F" w:rsidRPr="00CA328F">
        <w:rPr>
          <w:rFonts w:ascii="Times New Roman" w:hAnsi="Times New Roman" w:cs="Times New Roman"/>
        </w:rPr>
        <w:t xml:space="preserve">employment </w:t>
      </w:r>
      <w:r w:rsidR="0089777B" w:rsidRPr="00CA328F">
        <w:rPr>
          <w:rFonts w:ascii="Times New Roman" w:hAnsi="Times New Roman" w:cs="Times New Roman"/>
        </w:rPr>
        <w:t>contracts</w:t>
      </w:r>
      <w:r w:rsidR="00CA328F" w:rsidRPr="00CA328F">
        <w:rPr>
          <w:rFonts w:ascii="Times New Roman" w:hAnsi="Times New Roman" w:cs="Times New Roman"/>
        </w:rPr>
        <w:t>)</w:t>
      </w:r>
      <w:r w:rsidR="0089777B" w:rsidRPr="00CA328F">
        <w:rPr>
          <w:rFonts w:ascii="Times New Roman" w:hAnsi="Times New Roman" w:cs="Times New Roman"/>
        </w:rPr>
        <w:t>.</w:t>
      </w:r>
      <w:r w:rsidR="0089777B" w:rsidRPr="00807BAB">
        <w:rPr>
          <w:rFonts w:ascii="Times New Roman" w:hAnsi="Times New Roman" w:cs="Times New Roman"/>
        </w:rPr>
        <w:t xml:space="preserve"> </w:t>
      </w:r>
    </w:p>
    <w:p w14:paraId="33078BE7" w14:textId="4B58F6BD" w:rsidR="00E14BDB" w:rsidRDefault="00E34586">
      <w:pPr>
        <w:spacing w:line="480" w:lineRule="auto"/>
        <w:rPr>
          <w:rFonts w:ascii="Times New Roman" w:eastAsia="Calibri" w:hAnsi="Times New Roman" w:cs="Times New Roman"/>
        </w:rPr>
      </w:pPr>
      <w:r>
        <w:rPr>
          <w:rFonts w:ascii="Times New Roman" w:hAnsi="Times New Roman" w:cs="Times New Roman"/>
        </w:rPr>
        <w:t>In pra</w:t>
      </w:r>
      <w:r w:rsidR="00B81E3B">
        <w:rPr>
          <w:rFonts w:ascii="Times New Roman" w:hAnsi="Times New Roman" w:cs="Times New Roman"/>
        </w:rPr>
        <w:t>c</w:t>
      </w:r>
      <w:r>
        <w:rPr>
          <w:rFonts w:ascii="Times New Roman" w:hAnsi="Times New Roman" w:cs="Times New Roman"/>
        </w:rPr>
        <w:t>tice, e</w:t>
      </w:r>
      <w:r w:rsidR="00B32EF2" w:rsidRPr="00807BAB">
        <w:rPr>
          <w:rFonts w:ascii="Times New Roman" w:hAnsi="Times New Roman" w:cs="Times New Roman"/>
        </w:rPr>
        <w:t>fforts by European policy makers to secure support for a common set of flexicurity principles resulted in a de-emphasising of implied threats to employment protections and</w:t>
      </w:r>
      <w:r w:rsidR="00B32EF2" w:rsidRPr="00807BAB">
        <w:rPr>
          <w:rFonts w:ascii="Times New Roman" w:hAnsi="Times New Roman" w:cs="Times New Roman"/>
          <w:bCs/>
        </w:rPr>
        <w:t xml:space="preserve"> job security so as to appease flexicurity ‘sceptics’, including trade unions and some EU member states (Mailand, 2010). </w:t>
      </w:r>
      <w:r w:rsidR="00CC7E09">
        <w:rPr>
          <w:rFonts w:ascii="Times New Roman" w:hAnsi="Times New Roman" w:cs="Times New Roman"/>
          <w:bCs/>
        </w:rPr>
        <w:t>S</w:t>
      </w:r>
      <w:r w:rsidR="00594E19" w:rsidRPr="00807BAB">
        <w:rPr>
          <w:rFonts w:ascii="Times New Roman" w:hAnsi="Times New Roman" w:cs="Times New Roman"/>
          <w:bCs/>
        </w:rPr>
        <w:t xml:space="preserve">ince the start of the crisis, </w:t>
      </w:r>
      <w:r w:rsidR="00D25038">
        <w:rPr>
          <w:rFonts w:ascii="Times New Roman" w:hAnsi="Times New Roman" w:cs="Times New Roman"/>
          <w:bCs/>
        </w:rPr>
        <w:t xml:space="preserve">however, </w:t>
      </w:r>
      <w:r w:rsidR="00594E19" w:rsidRPr="00807BAB">
        <w:rPr>
          <w:rFonts w:ascii="Times New Roman" w:hAnsi="Times New Roman" w:cs="Times New Roman"/>
          <w:bCs/>
        </w:rPr>
        <w:t xml:space="preserve">the European Commission has become more </w:t>
      </w:r>
      <w:r w:rsidR="00BB7FA2">
        <w:rPr>
          <w:rFonts w:ascii="Times New Roman" w:hAnsi="Times New Roman" w:cs="Times New Roman"/>
          <w:bCs/>
        </w:rPr>
        <w:t>explicit</w:t>
      </w:r>
      <w:r w:rsidR="00594E19" w:rsidRPr="00807BAB">
        <w:rPr>
          <w:rFonts w:ascii="Times New Roman" w:hAnsi="Times New Roman" w:cs="Times New Roman"/>
          <w:bCs/>
        </w:rPr>
        <w:t xml:space="preserve"> in its call for greater labour market flexibility</w:t>
      </w:r>
      <w:r w:rsidR="00BB7FA2" w:rsidRPr="0027485F">
        <w:rPr>
          <w:rFonts w:ascii="Times New Roman" w:eastAsia="Calibri" w:hAnsi="Times New Roman" w:cs="Times New Roman"/>
        </w:rPr>
        <w:t xml:space="preserve"> (EPSCO, 2011: 9</w:t>
      </w:r>
      <w:r w:rsidR="00B01CE6">
        <w:rPr>
          <w:rFonts w:ascii="Times New Roman" w:eastAsia="Calibri" w:hAnsi="Times New Roman" w:cs="Times New Roman"/>
        </w:rPr>
        <w:t>; European Commission</w:t>
      </w:r>
      <w:r w:rsidR="00F75379">
        <w:rPr>
          <w:rFonts w:ascii="Times New Roman" w:eastAsia="Calibri" w:hAnsi="Times New Roman" w:cs="Times New Roman"/>
        </w:rPr>
        <w:t>,</w:t>
      </w:r>
      <w:r w:rsidR="00B01CE6">
        <w:rPr>
          <w:rFonts w:ascii="Times New Roman" w:eastAsia="Calibri" w:hAnsi="Times New Roman" w:cs="Times New Roman"/>
        </w:rPr>
        <w:t xml:space="preserve"> 2012: 12</w:t>
      </w:r>
      <w:r w:rsidR="00117556">
        <w:rPr>
          <w:rFonts w:ascii="Times New Roman" w:eastAsia="Calibri" w:hAnsi="Times New Roman" w:cs="Times New Roman"/>
        </w:rPr>
        <w:t>;</w:t>
      </w:r>
      <w:r w:rsidR="00117556" w:rsidRPr="00117556">
        <w:rPr>
          <w:rFonts w:ascii="Times New Roman" w:hAnsi="Times New Roman" w:cs="Times New Roman"/>
          <w:color w:val="000000"/>
        </w:rPr>
        <w:t xml:space="preserve"> </w:t>
      </w:r>
      <w:r w:rsidR="00117556">
        <w:rPr>
          <w:rFonts w:ascii="Times New Roman" w:hAnsi="Times New Roman" w:cs="Times New Roman"/>
          <w:color w:val="000000"/>
        </w:rPr>
        <w:t>Schömann</w:t>
      </w:r>
      <w:r w:rsidR="00F75379">
        <w:rPr>
          <w:rFonts w:ascii="Times New Roman" w:hAnsi="Times New Roman" w:cs="Times New Roman"/>
          <w:color w:val="000000"/>
        </w:rPr>
        <w:t>,</w:t>
      </w:r>
      <w:r w:rsidR="00117556">
        <w:rPr>
          <w:rFonts w:ascii="Times New Roman" w:hAnsi="Times New Roman" w:cs="Times New Roman"/>
          <w:color w:val="000000"/>
        </w:rPr>
        <w:t xml:space="preserve"> </w:t>
      </w:r>
      <w:r w:rsidR="00117556">
        <w:rPr>
          <w:rFonts w:ascii="Times New Roman" w:hAnsi="Times New Roman" w:cs="Times New Roman"/>
          <w:color w:val="000000"/>
        </w:rPr>
        <w:lastRenderedPageBreak/>
        <w:t>2014</w:t>
      </w:r>
      <w:r w:rsidR="00BB7FA2" w:rsidRPr="0027485F">
        <w:rPr>
          <w:rFonts w:ascii="Times New Roman" w:eastAsia="Calibri" w:hAnsi="Times New Roman" w:cs="Times New Roman"/>
        </w:rPr>
        <w:t xml:space="preserve">). </w:t>
      </w:r>
      <w:r w:rsidR="00CC7E09">
        <w:rPr>
          <w:rFonts w:ascii="Times New Roman" w:eastAsia="Calibri" w:hAnsi="Times New Roman" w:cs="Times New Roman"/>
        </w:rPr>
        <w:t>Furthermore, t</w:t>
      </w:r>
      <w:r w:rsidR="00AD0A80">
        <w:rPr>
          <w:rFonts w:ascii="Times New Roman" w:hAnsi="Times New Roman"/>
        </w:rPr>
        <w:t xml:space="preserve">he </w:t>
      </w:r>
      <w:r w:rsidR="00B058A4">
        <w:rPr>
          <w:rFonts w:ascii="Times New Roman" w:hAnsi="Times New Roman"/>
        </w:rPr>
        <w:t>m</w:t>
      </w:r>
      <w:r w:rsidR="00AD0A80">
        <w:rPr>
          <w:rFonts w:ascii="Times New Roman" w:hAnsi="Times New Roman"/>
        </w:rPr>
        <w:t xml:space="preserve">utation of the banking crisis into a Eurozone crisis in which concerns relating to public debt </w:t>
      </w:r>
      <w:r w:rsidR="00BB6640">
        <w:rPr>
          <w:rFonts w:ascii="Times New Roman" w:hAnsi="Times New Roman"/>
        </w:rPr>
        <w:t xml:space="preserve">reduction </w:t>
      </w:r>
      <w:r w:rsidR="00AD0A80">
        <w:rPr>
          <w:rFonts w:ascii="Times New Roman" w:hAnsi="Times New Roman"/>
        </w:rPr>
        <w:t xml:space="preserve">have </w:t>
      </w:r>
      <w:r w:rsidR="00BB6640">
        <w:rPr>
          <w:rFonts w:ascii="Times New Roman" w:hAnsi="Times New Roman"/>
        </w:rPr>
        <w:t xml:space="preserve">come to </w:t>
      </w:r>
      <w:r w:rsidR="00AD0A80">
        <w:rPr>
          <w:rFonts w:ascii="Times New Roman" w:hAnsi="Times New Roman"/>
        </w:rPr>
        <w:t xml:space="preserve">dominate has enabled </w:t>
      </w:r>
      <w:r w:rsidR="00B058A4">
        <w:rPr>
          <w:rFonts w:ascii="Times New Roman" w:hAnsi="Times New Roman"/>
        </w:rPr>
        <w:t xml:space="preserve">the ECB, </w:t>
      </w:r>
      <w:r w:rsidR="00CC7E09">
        <w:rPr>
          <w:rFonts w:ascii="Times New Roman" w:hAnsi="Times New Roman"/>
        </w:rPr>
        <w:t>the Directorate General for Financial and Economic Affars (</w:t>
      </w:r>
      <w:r w:rsidR="00B058A4">
        <w:rPr>
          <w:rFonts w:ascii="Times New Roman" w:hAnsi="Times New Roman"/>
        </w:rPr>
        <w:t>DG Ec</w:t>
      </w:r>
      <w:r w:rsidR="00CC7E09">
        <w:rPr>
          <w:rFonts w:ascii="Times New Roman" w:hAnsi="Times New Roman"/>
        </w:rPr>
        <w:t>F</w:t>
      </w:r>
      <w:r w:rsidR="00B058A4">
        <w:rPr>
          <w:rFonts w:ascii="Times New Roman" w:hAnsi="Times New Roman"/>
        </w:rPr>
        <w:t>in</w:t>
      </w:r>
      <w:r w:rsidR="00CC7E09">
        <w:rPr>
          <w:rFonts w:ascii="Times New Roman" w:hAnsi="Times New Roman"/>
        </w:rPr>
        <w:t>)</w:t>
      </w:r>
      <w:r w:rsidR="00B058A4">
        <w:rPr>
          <w:rFonts w:ascii="Times New Roman" w:hAnsi="Times New Roman"/>
        </w:rPr>
        <w:t xml:space="preserve"> and </w:t>
      </w:r>
      <w:r w:rsidR="005526D2">
        <w:rPr>
          <w:rFonts w:ascii="Times New Roman" w:hAnsi="Times New Roman"/>
        </w:rPr>
        <w:t xml:space="preserve">national </w:t>
      </w:r>
      <w:r w:rsidR="00B058A4">
        <w:rPr>
          <w:rFonts w:ascii="Times New Roman" w:hAnsi="Times New Roman"/>
        </w:rPr>
        <w:t xml:space="preserve">economic and finance ministers to push for social policy to be used as an economic adjustment mechanism (Degryse et al, 2013). This </w:t>
      </w:r>
      <w:r w:rsidR="005526D2">
        <w:rPr>
          <w:rFonts w:ascii="Times New Roman" w:hAnsi="Times New Roman"/>
        </w:rPr>
        <w:t>has been particularly</w:t>
      </w:r>
      <w:r w:rsidR="00B058A4">
        <w:rPr>
          <w:rFonts w:ascii="Times New Roman" w:hAnsi="Times New Roman"/>
        </w:rPr>
        <w:t xml:space="preserve"> the case in relation to those countries</w:t>
      </w:r>
      <w:r w:rsidR="004E1023">
        <w:rPr>
          <w:rFonts w:ascii="Times New Roman" w:hAnsi="Times New Roman"/>
        </w:rPr>
        <w:t>, such as Spain, Italy, Greece and Portugal,</w:t>
      </w:r>
      <w:r w:rsidR="00252048">
        <w:rPr>
          <w:rFonts w:ascii="Times New Roman" w:hAnsi="Times New Roman"/>
        </w:rPr>
        <w:t xml:space="preserve"> which</w:t>
      </w:r>
      <w:r w:rsidR="00B058A4">
        <w:rPr>
          <w:rFonts w:ascii="Times New Roman" w:hAnsi="Times New Roman"/>
        </w:rPr>
        <w:t xml:space="preserve"> have </w:t>
      </w:r>
      <w:r w:rsidR="004E1023">
        <w:rPr>
          <w:rFonts w:ascii="Times New Roman" w:hAnsi="Times New Roman"/>
        </w:rPr>
        <w:t>sought</w:t>
      </w:r>
      <w:r w:rsidR="00B058A4">
        <w:rPr>
          <w:rFonts w:ascii="Times New Roman" w:hAnsi="Times New Roman"/>
        </w:rPr>
        <w:t xml:space="preserve"> financial assistance</w:t>
      </w:r>
      <w:r w:rsidR="004E1023">
        <w:rPr>
          <w:rFonts w:ascii="Times New Roman" w:hAnsi="Times New Roman"/>
        </w:rPr>
        <w:t xml:space="preserve"> in the form of bailouts or ECB intervention in the bond market</w:t>
      </w:r>
      <w:r w:rsidR="001D6C5F">
        <w:rPr>
          <w:rFonts w:ascii="Times New Roman" w:hAnsi="Times New Roman"/>
        </w:rPr>
        <w:t xml:space="preserve">. In each case, </w:t>
      </w:r>
      <w:r w:rsidR="00233DA3">
        <w:rPr>
          <w:rFonts w:ascii="Times New Roman" w:hAnsi="Times New Roman"/>
        </w:rPr>
        <w:t>the ECB</w:t>
      </w:r>
      <w:r w:rsidR="00266E0C">
        <w:rPr>
          <w:rFonts w:ascii="Times New Roman" w:hAnsi="Times New Roman"/>
        </w:rPr>
        <w:t>,</w:t>
      </w:r>
      <w:r w:rsidR="00233DA3">
        <w:rPr>
          <w:rFonts w:ascii="Times New Roman" w:hAnsi="Times New Roman"/>
        </w:rPr>
        <w:t xml:space="preserve"> European Commission </w:t>
      </w:r>
      <w:r w:rsidR="00266E0C">
        <w:rPr>
          <w:rFonts w:ascii="Times New Roman" w:hAnsi="Times New Roman"/>
        </w:rPr>
        <w:t xml:space="preserve">and the International Monetary Fund (IMF) </w:t>
      </w:r>
      <w:r w:rsidR="00233DA3">
        <w:rPr>
          <w:rFonts w:ascii="Times New Roman" w:hAnsi="Times New Roman"/>
        </w:rPr>
        <w:t>ha</w:t>
      </w:r>
      <w:r w:rsidR="009769C9">
        <w:rPr>
          <w:rFonts w:ascii="Times New Roman" w:hAnsi="Times New Roman"/>
        </w:rPr>
        <w:t>ve</w:t>
      </w:r>
      <w:r w:rsidR="00233DA3">
        <w:rPr>
          <w:rFonts w:ascii="Times New Roman" w:hAnsi="Times New Roman"/>
        </w:rPr>
        <w:t xml:space="preserve"> insisted </w:t>
      </w:r>
      <w:r w:rsidR="00252048">
        <w:rPr>
          <w:rFonts w:ascii="Times New Roman" w:hAnsi="Times New Roman"/>
        </w:rPr>
        <w:t>o</w:t>
      </w:r>
      <w:r w:rsidR="00233DA3">
        <w:rPr>
          <w:rFonts w:ascii="Times New Roman" w:hAnsi="Times New Roman"/>
        </w:rPr>
        <w:t xml:space="preserve">n structural reforms, including </w:t>
      </w:r>
      <w:r w:rsidR="001D6C5F">
        <w:rPr>
          <w:rFonts w:ascii="Times New Roman" w:hAnsi="Times New Roman"/>
        </w:rPr>
        <w:t>labour market reforms</w:t>
      </w:r>
      <w:r w:rsidR="00233DA3">
        <w:rPr>
          <w:rFonts w:ascii="Times New Roman" w:hAnsi="Times New Roman"/>
        </w:rPr>
        <w:t>, as a</w:t>
      </w:r>
      <w:r w:rsidR="001D6C5F">
        <w:rPr>
          <w:rFonts w:ascii="Times New Roman" w:hAnsi="Times New Roman"/>
        </w:rPr>
        <w:t xml:space="preserve"> condition of support</w:t>
      </w:r>
      <w:r w:rsidR="00233DA3">
        <w:rPr>
          <w:rFonts w:ascii="Times New Roman" w:hAnsi="Times New Roman"/>
        </w:rPr>
        <w:t xml:space="preserve"> (for a discussion of Spain and Italy, see Meardi, 2014)</w:t>
      </w:r>
      <w:r w:rsidR="001D6C5F">
        <w:rPr>
          <w:rFonts w:ascii="Times New Roman" w:hAnsi="Times New Roman"/>
        </w:rPr>
        <w:t>.</w:t>
      </w:r>
      <w:r w:rsidR="00252048">
        <w:rPr>
          <w:rFonts w:ascii="Times New Roman" w:hAnsi="Times New Roman"/>
        </w:rPr>
        <w:t xml:space="preserve"> More generally, a </w:t>
      </w:r>
      <w:r w:rsidR="00252048">
        <w:rPr>
          <w:rFonts w:ascii="Times New Roman" w:eastAsia="Calibri" w:hAnsi="Times New Roman" w:cs="Times New Roman"/>
        </w:rPr>
        <w:t xml:space="preserve">set of instruments has been </w:t>
      </w:r>
      <w:r w:rsidR="00BB6640">
        <w:rPr>
          <w:rFonts w:ascii="Times New Roman" w:eastAsia="Calibri" w:hAnsi="Times New Roman" w:cs="Times New Roman"/>
        </w:rPr>
        <w:t>created</w:t>
      </w:r>
      <w:r w:rsidR="00252048">
        <w:rPr>
          <w:rFonts w:ascii="Times New Roman" w:eastAsia="Calibri" w:hAnsi="Times New Roman" w:cs="Times New Roman"/>
        </w:rPr>
        <w:t xml:space="preserve"> to strengthen the power of the European Commission and ECB to influence the social and economic policies of EU member states. </w:t>
      </w:r>
      <w:r w:rsidR="00BB6640">
        <w:rPr>
          <w:rFonts w:ascii="Times New Roman" w:eastAsia="Calibri" w:hAnsi="Times New Roman" w:cs="Times New Roman"/>
        </w:rPr>
        <w:t>The Euro-plus pact and so-called ‘six pack’ have introduced more stringent rules and penalties in relation to fiscal governance while the</w:t>
      </w:r>
      <w:r w:rsidR="00252048">
        <w:rPr>
          <w:rFonts w:ascii="Times New Roman" w:eastAsia="Calibri" w:hAnsi="Times New Roman" w:cs="Times New Roman"/>
        </w:rPr>
        <w:t xml:space="preserve"> </w:t>
      </w:r>
      <w:r w:rsidR="00BB6640">
        <w:rPr>
          <w:rFonts w:ascii="Times New Roman" w:eastAsia="Calibri" w:hAnsi="Times New Roman" w:cs="Times New Roman"/>
        </w:rPr>
        <w:t xml:space="preserve">introduction of the </w:t>
      </w:r>
      <w:r w:rsidR="00252048">
        <w:rPr>
          <w:rFonts w:ascii="Times New Roman" w:eastAsia="Calibri" w:hAnsi="Times New Roman" w:cs="Times New Roman"/>
        </w:rPr>
        <w:t xml:space="preserve">‘European Semester’ </w:t>
      </w:r>
      <w:r w:rsidR="00BB6640">
        <w:rPr>
          <w:rFonts w:ascii="Times New Roman" w:eastAsia="Calibri" w:hAnsi="Times New Roman" w:cs="Times New Roman"/>
        </w:rPr>
        <w:t xml:space="preserve">has </w:t>
      </w:r>
      <w:r w:rsidR="00E14BDB">
        <w:rPr>
          <w:rFonts w:ascii="Times New Roman" w:eastAsia="Calibri" w:hAnsi="Times New Roman" w:cs="Times New Roman"/>
        </w:rPr>
        <w:t xml:space="preserve">led to a </w:t>
      </w:r>
      <w:r w:rsidR="00BB6640">
        <w:rPr>
          <w:rFonts w:ascii="Times New Roman" w:hAnsi="Times New Roman"/>
        </w:rPr>
        <w:t xml:space="preserve">more detailed and prescriptive approach towards social policy reform </w:t>
      </w:r>
      <w:r w:rsidR="00E14BDB">
        <w:rPr>
          <w:rFonts w:ascii="Times New Roman" w:hAnsi="Times New Roman"/>
        </w:rPr>
        <w:t xml:space="preserve">(Laulom et al., 2012; </w:t>
      </w:r>
      <w:r w:rsidR="00BB6640">
        <w:rPr>
          <w:rFonts w:ascii="Times New Roman" w:eastAsia="Calibri" w:hAnsi="Times New Roman" w:cs="Times New Roman"/>
        </w:rPr>
        <w:t>Copeland and ter Haar, 2013).</w:t>
      </w:r>
      <w:r w:rsidR="00E14BDB">
        <w:rPr>
          <w:rFonts w:ascii="Times New Roman" w:eastAsia="Calibri" w:hAnsi="Times New Roman" w:cs="Times New Roman"/>
        </w:rPr>
        <w:t xml:space="preserve"> </w:t>
      </w:r>
      <w:r w:rsidR="00BB6640">
        <w:rPr>
          <w:rFonts w:ascii="Times New Roman" w:eastAsia="Calibri" w:hAnsi="Times New Roman" w:cs="Times New Roman"/>
        </w:rPr>
        <w:t xml:space="preserve">The European Semester </w:t>
      </w:r>
      <w:r w:rsidR="00252048">
        <w:rPr>
          <w:rFonts w:ascii="Times New Roman" w:eastAsia="Calibri" w:hAnsi="Times New Roman" w:cs="Times New Roman"/>
        </w:rPr>
        <w:t xml:space="preserve">involves an Annual Growth Survey, in which the EU’s progress towards the achievement of key objective is assessed, leading to the development of ‘country-specific recommendations’ (CSRs) that member states are expected to act upon. The CSRs generally focus on measures related to growth and competitiveness, including the reform of </w:t>
      </w:r>
      <w:r w:rsidR="00E14BDB">
        <w:rPr>
          <w:rFonts w:ascii="Times New Roman" w:eastAsia="Calibri" w:hAnsi="Times New Roman" w:cs="Times New Roman"/>
        </w:rPr>
        <w:t>Employment Protection Legislation</w:t>
      </w:r>
      <w:r w:rsidR="00252048">
        <w:rPr>
          <w:rFonts w:ascii="Times New Roman" w:eastAsia="Calibri" w:hAnsi="Times New Roman" w:cs="Times New Roman"/>
        </w:rPr>
        <w:t xml:space="preserve"> (Degryse et al., 2013</w:t>
      </w:r>
      <w:r w:rsidR="00A73123">
        <w:rPr>
          <w:rFonts w:ascii="Times New Roman" w:eastAsia="Calibri" w:hAnsi="Times New Roman" w:cs="Times New Roman"/>
        </w:rPr>
        <w:t xml:space="preserve">; </w:t>
      </w:r>
      <w:r w:rsidR="00A73123">
        <w:rPr>
          <w:rFonts w:ascii="Times New Roman" w:hAnsi="Times New Roman" w:cs="Times New Roman"/>
          <w:color w:val="000000"/>
        </w:rPr>
        <w:t>Schömann, 2014</w:t>
      </w:r>
      <w:r w:rsidR="00252048">
        <w:rPr>
          <w:rFonts w:ascii="Times New Roman" w:eastAsia="Calibri" w:hAnsi="Times New Roman" w:cs="Times New Roman"/>
        </w:rPr>
        <w:t>)</w:t>
      </w:r>
      <w:r w:rsidR="00E14BDB">
        <w:rPr>
          <w:rFonts w:ascii="Times New Roman" w:eastAsia="Calibri" w:hAnsi="Times New Roman" w:cs="Times New Roman"/>
        </w:rPr>
        <w:t>.</w:t>
      </w:r>
    </w:p>
    <w:p w14:paraId="2682B8E3" w14:textId="438EE440" w:rsidR="009133E6" w:rsidRDefault="00D25038">
      <w:pPr>
        <w:spacing w:line="480" w:lineRule="auto"/>
        <w:rPr>
          <w:rFonts w:ascii="Times New Roman" w:eastAsia="Calibri" w:hAnsi="Times New Roman" w:cs="Times New Roman"/>
        </w:rPr>
      </w:pPr>
      <w:r>
        <w:rPr>
          <w:rFonts w:ascii="Times New Roman" w:eastAsia="Calibri" w:hAnsi="Times New Roman" w:cs="Times New Roman"/>
        </w:rPr>
        <w:t xml:space="preserve"> </w:t>
      </w:r>
    </w:p>
    <w:p w14:paraId="7961F8C2" w14:textId="2EFE8E2C" w:rsidR="00B736FF" w:rsidRPr="00807BAB" w:rsidRDefault="00836038" w:rsidP="00D67EC8">
      <w:pPr>
        <w:spacing w:line="480" w:lineRule="auto"/>
        <w:rPr>
          <w:rFonts w:ascii="Times New Roman" w:hAnsi="Times New Roman" w:cs="Times New Roman"/>
          <w:b/>
          <w:bCs/>
        </w:rPr>
      </w:pPr>
      <w:r>
        <w:rPr>
          <w:rFonts w:ascii="Times New Roman" w:hAnsi="Times New Roman" w:cs="Times New Roman"/>
          <w:b/>
          <w:bCs/>
        </w:rPr>
        <w:t>4</w:t>
      </w:r>
      <w:r w:rsidR="00B736FF" w:rsidRPr="00807BAB">
        <w:rPr>
          <w:rFonts w:ascii="Times New Roman" w:hAnsi="Times New Roman" w:cs="Times New Roman"/>
          <w:b/>
          <w:bCs/>
        </w:rPr>
        <w:t xml:space="preserve">. </w:t>
      </w:r>
      <w:r w:rsidR="00B736FF">
        <w:rPr>
          <w:rFonts w:ascii="Times New Roman" w:hAnsi="Times New Roman" w:cs="Times New Roman"/>
          <w:b/>
          <w:bCs/>
        </w:rPr>
        <w:t xml:space="preserve">The impact of </w:t>
      </w:r>
      <w:r w:rsidR="00B736FF" w:rsidRPr="00807BAB">
        <w:rPr>
          <w:rFonts w:ascii="Times New Roman" w:hAnsi="Times New Roman" w:cs="Times New Roman"/>
          <w:b/>
          <w:bCs/>
        </w:rPr>
        <w:t xml:space="preserve">EPL </w:t>
      </w:r>
      <w:r w:rsidR="00B736FF">
        <w:rPr>
          <w:rFonts w:ascii="Times New Roman" w:hAnsi="Times New Roman" w:cs="Times New Roman"/>
          <w:b/>
          <w:bCs/>
        </w:rPr>
        <w:t>before and during the crisis</w:t>
      </w:r>
    </w:p>
    <w:p w14:paraId="507E312E" w14:textId="060DCC00" w:rsidR="005B5D0A" w:rsidRDefault="00073FB6" w:rsidP="00B712C2">
      <w:pPr>
        <w:spacing w:line="480" w:lineRule="auto"/>
        <w:rPr>
          <w:rFonts w:ascii="Times New Roman" w:eastAsia="Times New Roman" w:hAnsi="Times New Roman" w:cs="Times New Roman"/>
          <w:b/>
          <w:bCs/>
          <w:lang w:eastAsia="en-GB"/>
        </w:rPr>
      </w:pPr>
      <w:r>
        <w:rPr>
          <w:rFonts w:ascii="Times New Roman" w:hAnsi="Times New Roman" w:cs="Times New Roman"/>
          <w:bCs/>
        </w:rPr>
        <w:t>I</w:t>
      </w:r>
      <w:r w:rsidR="00656389" w:rsidRPr="00807BAB">
        <w:rPr>
          <w:rFonts w:ascii="Times New Roman" w:hAnsi="Times New Roman" w:cs="Times New Roman"/>
          <w:bCs/>
        </w:rPr>
        <w:t xml:space="preserve">n the initial stages of the crisis, it appeared that </w:t>
      </w:r>
      <w:r w:rsidR="00325B22">
        <w:rPr>
          <w:rFonts w:ascii="Times New Roman" w:hAnsi="Times New Roman" w:cs="Times New Roman"/>
          <w:bCs/>
        </w:rPr>
        <w:t>dominant thinking in policy circles concerning the supposed negative consequences of EPL for the labour market might be successfully challenged.</w:t>
      </w:r>
      <w:r w:rsidR="00656389" w:rsidRPr="00807BAB">
        <w:rPr>
          <w:rFonts w:ascii="Times New Roman" w:hAnsi="Times New Roman" w:cs="Times New Roman"/>
          <w:bCs/>
        </w:rPr>
        <w:t xml:space="preserve"> </w:t>
      </w:r>
      <w:r w:rsidR="00332FD3" w:rsidRPr="00807BAB">
        <w:rPr>
          <w:rFonts w:ascii="Times New Roman" w:hAnsi="Times New Roman" w:cs="Times New Roman"/>
          <w:bCs/>
        </w:rPr>
        <w:t xml:space="preserve">As shown in Figure </w:t>
      </w:r>
      <w:r w:rsidR="00DA394F" w:rsidRPr="00807BAB">
        <w:rPr>
          <w:rFonts w:ascii="Times New Roman" w:hAnsi="Times New Roman" w:cs="Times New Roman"/>
          <w:bCs/>
        </w:rPr>
        <w:t>1,</w:t>
      </w:r>
      <w:r w:rsidR="00332FD3" w:rsidRPr="00807BAB">
        <w:rPr>
          <w:rFonts w:ascii="Times New Roman" w:hAnsi="Times New Roman" w:cs="Times New Roman"/>
          <w:bCs/>
        </w:rPr>
        <w:t xml:space="preserve"> </w:t>
      </w:r>
      <w:r w:rsidR="00332FD3" w:rsidRPr="00807BAB">
        <w:rPr>
          <w:rFonts w:ascii="Times New Roman" w:eastAsia="Times New Roman" w:hAnsi="Times New Roman" w:cs="Times New Roman"/>
          <w:bCs/>
          <w:lang w:eastAsia="en-GB"/>
        </w:rPr>
        <w:t xml:space="preserve">EU </w:t>
      </w:r>
      <w:r w:rsidR="00332FD3" w:rsidRPr="00807BAB">
        <w:rPr>
          <w:rFonts w:ascii="Times New Roman" w:hAnsi="Times New Roman" w:cs="Times New Roman"/>
        </w:rPr>
        <w:t>countries with relatively strong employment protections</w:t>
      </w:r>
      <w:r w:rsidR="00320276">
        <w:rPr>
          <w:rFonts w:ascii="Times New Roman" w:hAnsi="Times New Roman" w:cs="Times New Roman"/>
        </w:rPr>
        <w:t>, for example Germany,</w:t>
      </w:r>
      <w:r w:rsidR="00332FD3" w:rsidRPr="00807BAB">
        <w:rPr>
          <w:rFonts w:ascii="Times New Roman" w:hAnsi="Times New Roman" w:cs="Times New Roman"/>
        </w:rPr>
        <w:t xml:space="preserve"> tended to experience less severe job losses than those with weaker protections </w:t>
      </w:r>
      <w:r w:rsidR="00320276">
        <w:rPr>
          <w:rFonts w:ascii="Times New Roman" w:hAnsi="Times New Roman" w:cs="Times New Roman"/>
        </w:rPr>
        <w:t xml:space="preserve">(e.g. the UK) </w:t>
      </w:r>
      <w:r w:rsidR="00332FD3" w:rsidRPr="00807BAB">
        <w:rPr>
          <w:rFonts w:ascii="Times New Roman" w:hAnsi="Times New Roman" w:cs="Times New Roman"/>
        </w:rPr>
        <w:t xml:space="preserve">during the early stages of the crisis (for a fuller discussion see </w:t>
      </w:r>
      <w:r w:rsidR="00240A94">
        <w:rPr>
          <w:rFonts w:ascii="Times New Roman" w:hAnsi="Times New Roman" w:cs="Times New Roman"/>
        </w:rPr>
        <w:t>Authors</w:t>
      </w:r>
      <w:r w:rsidR="00332FD3" w:rsidRPr="00807BAB">
        <w:rPr>
          <w:rFonts w:ascii="Times New Roman" w:hAnsi="Times New Roman" w:cs="Times New Roman"/>
        </w:rPr>
        <w:t xml:space="preserve">). It is likely that constraints on dismissals </w:t>
      </w:r>
      <w:r w:rsidR="00332FD3" w:rsidRPr="00807BAB">
        <w:rPr>
          <w:rFonts w:ascii="Times New Roman" w:hAnsi="Times New Roman" w:cs="Times New Roman"/>
        </w:rPr>
        <w:lastRenderedPageBreak/>
        <w:t xml:space="preserve">served to stem job losses in the initial period and encouraged employers to look for internal means of reducing labour costs. This was particularly the case in countries such as Germany, where short-time working was used extensively </w:t>
      </w:r>
      <w:r>
        <w:rPr>
          <w:rFonts w:ascii="Times New Roman" w:hAnsi="Times New Roman" w:cs="Times New Roman"/>
        </w:rPr>
        <w:t xml:space="preserve">to reduce labour costs by reducing hours of work </w:t>
      </w:r>
      <w:r w:rsidR="00332FD3" w:rsidRPr="00807BAB">
        <w:rPr>
          <w:rFonts w:ascii="Times New Roman" w:hAnsi="Times New Roman" w:cs="Times New Roman"/>
        </w:rPr>
        <w:t>(Bosch 2010)</w:t>
      </w:r>
      <w:r w:rsidR="00332FD3" w:rsidRPr="00BE6C8E">
        <w:rPr>
          <w:rFonts w:ascii="Times New Roman" w:hAnsi="Times New Roman" w:cs="Times New Roman"/>
        </w:rPr>
        <w:t xml:space="preserve">. </w:t>
      </w:r>
      <w:r w:rsidR="00656389" w:rsidRPr="00BE6C8E">
        <w:rPr>
          <w:rFonts w:ascii="Times New Roman" w:hAnsi="Times New Roman" w:cs="Times New Roman"/>
        </w:rPr>
        <w:t xml:space="preserve">The OECD </w:t>
      </w:r>
      <w:r w:rsidR="00332FD3" w:rsidRPr="00BE6C8E">
        <w:rPr>
          <w:rFonts w:ascii="Times New Roman" w:hAnsi="Times New Roman" w:cs="Times New Roman"/>
        </w:rPr>
        <w:t>(2011)</w:t>
      </w:r>
      <w:r w:rsidR="00656389" w:rsidRPr="00BE6C8E">
        <w:rPr>
          <w:rFonts w:ascii="Times New Roman" w:hAnsi="Times New Roman" w:cs="Times New Roman"/>
        </w:rPr>
        <w:t xml:space="preserve"> acknowledged that </w:t>
      </w:r>
      <w:r w:rsidR="00332FD3" w:rsidRPr="00BE6C8E">
        <w:rPr>
          <w:rFonts w:ascii="Times New Roman" w:hAnsi="Times New Roman" w:cs="Times New Roman"/>
        </w:rPr>
        <w:t>Germany</w:t>
      </w:r>
      <w:r w:rsidR="00656389" w:rsidRPr="00BE6C8E">
        <w:rPr>
          <w:rFonts w:ascii="Times New Roman" w:hAnsi="Times New Roman" w:cs="Times New Roman"/>
        </w:rPr>
        <w:t xml:space="preserve"> and </w:t>
      </w:r>
      <w:r w:rsidR="00BE6C8E" w:rsidRPr="00BE6C8E">
        <w:rPr>
          <w:rFonts w:ascii="Times New Roman" w:hAnsi="Times New Roman" w:cs="Times New Roman"/>
        </w:rPr>
        <w:t xml:space="preserve">several other European economies with above average EPL scores experienced relatively fewer job losses during the first years of the crisis than countries with comparatively weak employment protections, such as the USA. </w:t>
      </w:r>
    </w:p>
    <w:p w14:paraId="4F8C2650" w14:textId="77777777" w:rsidR="005B5D0A" w:rsidRDefault="005B5D0A" w:rsidP="00B712C2">
      <w:pPr>
        <w:spacing w:line="480" w:lineRule="auto"/>
        <w:rPr>
          <w:rFonts w:ascii="Times New Roman" w:eastAsia="Times New Roman" w:hAnsi="Times New Roman" w:cs="Times New Roman"/>
          <w:b/>
          <w:bCs/>
          <w:lang w:eastAsia="en-GB"/>
        </w:rPr>
      </w:pPr>
    </w:p>
    <w:p w14:paraId="108B3C3D" w14:textId="1431A4CE" w:rsidR="00F527E6" w:rsidRPr="00D67EC8" w:rsidRDefault="00F527E6">
      <w:pPr>
        <w:spacing w:line="480" w:lineRule="auto"/>
        <w:jc w:val="center"/>
        <w:rPr>
          <w:rFonts w:ascii="Times New Roman" w:eastAsia="Times New Roman" w:hAnsi="Times New Roman" w:cs="Times New Roman"/>
          <w:bCs/>
          <w:lang w:eastAsia="en-GB"/>
        </w:rPr>
      </w:pPr>
      <w:r w:rsidRPr="00D67EC8">
        <w:rPr>
          <w:rFonts w:ascii="Times New Roman" w:eastAsia="Times New Roman" w:hAnsi="Times New Roman" w:cs="Times New Roman"/>
          <w:bCs/>
          <w:lang w:eastAsia="en-GB"/>
        </w:rPr>
        <w:t>FIGURE 1 ABOUT HERE</w:t>
      </w:r>
    </w:p>
    <w:p w14:paraId="3BA820E1" w14:textId="77777777" w:rsidR="00F527E6" w:rsidRDefault="00F527E6" w:rsidP="00D67EC8">
      <w:pPr>
        <w:spacing w:line="480" w:lineRule="auto"/>
        <w:rPr>
          <w:rFonts w:ascii="Times New Roman" w:eastAsia="Times New Roman" w:hAnsi="Times New Roman" w:cs="Times New Roman"/>
          <w:b/>
          <w:bCs/>
          <w:lang w:eastAsia="en-GB"/>
        </w:rPr>
      </w:pPr>
    </w:p>
    <w:p w14:paraId="6C8DCF38" w14:textId="340C9D0F" w:rsidR="006B6C5B" w:rsidRDefault="00656389" w:rsidP="00D67EC8">
      <w:pPr>
        <w:spacing w:line="480" w:lineRule="auto"/>
        <w:rPr>
          <w:rFonts w:ascii="Times New Roman" w:hAnsi="Times New Roman" w:cs="Times New Roman"/>
        </w:rPr>
      </w:pPr>
      <w:r w:rsidRPr="00807BAB">
        <w:rPr>
          <w:rFonts w:ascii="Times New Roman" w:hAnsi="Times New Roman" w:cs="Times New Roman"/>
        </w:rPr>
        <w:t>By 2010</w:t>
      </w:r>
      <w:r w:rsidR="00332FD3" w:rsidRPr="00807BAB">
        <w:rPr>
          <w:rFonts w:ascii="Times New Roman" w:hAnsi="Times New Roman" w:cs="Times New Roman"/>
        </w:rPr>
        <w:t>, however,</w:t>
      </w:r>
      <w:r w:rsidRPr="00807BAB">
        <w:rPr>
          <w:rFonts w:ascii="Times New Roman" w:hAnsi="Times New Roman" w:cs="Times New Roman"/>
        </w:rPr>
        <w:t xml:space="preserve"> </w:t>
      </w:r>
      <w:r w:rsidR="00B81E3B">
        <w:rPr>
          <w:rFonts w:ascii="Times New Roman" w:hAnsi="Times New Roman" w:cs="Times New Roman"/>
        </w:rPr>
        <w:t>it</w:t>
      </w:r>
      <w:r w:rsidR="00332FD3" w:rsidRPr="00807BAB">
        <w:rPr>
          <w:rFonts w:ascii="Times New Roman" w:hAnsi="Times New Roman" w:cs="Times New Roman"/>
        </w:rPr>
        <w:t xml:space="preserve"> had become clear that there would not be a rapid return to growth within the EU</w:t>
      </w:r>
      <w:r w:rsidRPr="00807BAB">
        <w:rPr>
          <w:rFonts w:ascii="Times New Roman" w:hAnsi="Times New Roman" w:cs="Times New Roman"/>
        </w:rPr>
        <w:t xml:space="preserve"> (OECD, 2010: 12)</w:t>
      </w:r>
      <w:r w:rsidR="006B6C5B" w:rsidRPr="00807BAB">
        <w:rPr>
          <w:rFonts w:ascii="Times New Roman" w:hAnsi="Times New Roman" w:cs="Times New Roman"/>
        </w:rPr>
        <w:t xml:space="preserve"> and underlying structural weaknesses in the Eurozone were being exposed. A renewed scepticism about the consequences of strong employment protection legislation emerged within the European Commission, as reflected the Commission’s 2011 Joint Employment Report, which recommended ‘removing institutional obstacles that prevent proper functioning of Members States’ labour markets’ (EPSCO, 2011: 9)</w:t>
      </w:r>
      <w:r w:rsidR="00073FB6">
        <w:rPr>
          <w:rFonts w:ascii="Times New Roman" w:hAnsi="Times New Roman" w:cs="Times New Roman"/>
        </w:rPr>
        <w:t xml:space="preserve">, </w:t>
      </w:r>
      <w:r w:rsidR="00E34586">
        <w:rPr>
          <w:rFonts w:ascii="Times New Roman" w:hAnsi="Times New Roman" w:cs="Times New Roman"/>
        </w:rPr>
        <w:t>taking measures to</w:t>
      </w:r>
      <w:r w:rsidR="006B6C5B" w:rsidRPr="00807BAB">
        <w:rPr>
          <w:rFonts w:ascii="Times New Roman" w:hAnsi="Times New Roman" w:cs="Times New Roman"/>
        </w:rPr>
        <w:t xml:space="preserve"> ensur</w:t>
      </w:r>
      <w:r w:rsidR="00E34586">
        <w:rPr>
          <w:rFonts w:ascii="Times New Roman" w:hAnsi="Times New Roman" w:cs="Times New Roman"/>
        </w:rPr>
        <w:t>e</w:t>
      </w:r>
      <w:r w:rsidR="006B6C5B" w:rsidRPr="00807BAB">
        <w:rPr>
          <w:rFonts w:ascii="Times New Roman" w:hAnsi="Times New Roman" w:cs="Times New Roman"/>
        </w:rPr>
        <w:t xml:space="preserve"> that unemployment benefit schemes should ‘provide the right incentives to work’ and </w:t>
      </w:r>
      <w:r w:rsidR="00073FB6">
        <w:rPr>
          <w:rFonts w:ascii="Times New Roman" w:hAnsi="Times New Roman" w:cs="Times New Roman"/>
        </w:rPr>
        <w:t xml:space="preserve">introducing </w:t>
      </w:r>
      <w:r w:rsidR="006B6C5B" w:rsidRPr="00807BAB">
        <w:rPr>
          <w:rFonts w:ascii="Times New Roman" w:hAnsi="Times New Roman" w:cs="Times New Roman"/>
        </w:rPr>
        <w:t>greater sanctions for non-compliance.</w:t>
      </w:r>
      <w:r w:rsidR="00D015B0" w:rsidRPr="00807BAB">
        <w:rPr>
          <w:rFonts w:ascii="Times New Roman" w:hAnsi="Times New Roman" w:cs="Times New Roman"/>
        </w:rPr>
        <w:t xml:space="preserve"> The Euro Plus Pact, initiated by Germany and France in an effort to stabilise the Euro and preserve the integrity of the Eurozone, directed member countries to take steps to enhance competitiveness and boost employment, emphasising the importance of containing labour costs. Moreover, reform of employment protection legislation was </w:t>
      </w:r>
      <w:r w:rsidR="00797F70" w:rsidRPr="00807BAB">
        <w:rPr>
          <w:rFonts w:ascii="Times New Roman" w:hAnsi="Times New Roman" w:cs="Times New Roman"/>
        </w:rPr>
        <w:t>made a requirement for most of those EU member states</w:t>
      </w:r>
      <w:r w:rsidR="00320276">
        <w:rPr>
          <w:rFonts w:ascii="Times New Roman" w:hAnsi="Times New Roman" w:cs="Times New Roman"/>
        </w:rPr>
        <w:t xml:space="preserve"> (Greece, Ireland, Spain, Portugal, Italy) </w:t>
      </w:r>
      <w:r w:rsidR="00797F70" w:rsidRPr="00807BAB">
        <w:rPr>
          <w:rFonts w:ascii="Times New Roman" w:hAnsi="Times New Roman" w:cs="Times New Roman"/>
        </w:rPr>
        <w:t xml:space="preserve">that experienced greatest financial distress during the crisis and that consequently approached the European institutions </w:t>
      </w:r>
      <w:r w:rsidR="00266E0C">
        <w:rPr>
          <w:rFonts w:ascii="Times New Roman" w:hAnsi="Times New Roman" w:cs="Times New Roman"/>
        </w:rPr>
        <w:t xml:space="preserve">and IMF </w:t>
      </w:r>
      <w:r w:rsidR="00797F70" w:rsidRPr="00807BAB">
        <w:rPr>
          <w:rFonts w:ascii="Times New Roman" w:hAnsi="Times New Roman" w:cs="Times New Roman"/>
        </w:rPr>
        <w:t xml:space="preserve">for financial assistance. </w:t>
      </w:r>
      <w:r w:rsidR="00266E0C">
        <w:rPr>
          <w:rFonts w:ascii="Times New Roman" w:hAnsi="Times New Roman" w:cs="Times New Roman"/>
        </w:rPr>
        <w:t>The position of the IMF (2010) has been that reforms to EPL are essential in order to improve the responsiveness of unemployment to changes in output</w:t>
      </w:r>
      <w:r w:rsidR="003D5445">
        <w:rPr>
          <w:rFonts w:ascii="Times New Roman" w:hAnsi="Times New Roman" w:cs="Times New Roman"/>
        </w:rPr>
        <w:t>.</w:t>
      </w:r>
      <w:r w:rsidR="00BE4028">
        <w:rPr>
          <w:rFonts w:ascii="Times New Roman" w:hAnsi="Times New Roman" w:cs="Times New Roman"/>
        </w:rPr>
        <w:t xml:space="preserve"> </w:t>
      </w:r>
      <w:r w:rsidR="003D5445">
        <w:rPr>
          <w:rFonts w:ascii="Times New Roman" w:hAnsi="Times New Roman" w:cs="Times New Roman"/>
        </w:rPr>
        <w:t>T</w:t>
      </w:r>
      <w:r w:rsidR="00266E0C">
        <w:rPr>
          <w:rFonts w:ascii="Times New Roman" w:hAnsi="Times New Roman" w:cs="Times New Roman"/>
        </w:rPr>
        <w:t xml:space="preserve">he IMF has </w:t>
      </w:r>
      <w:r w:rsidR="003D5445">
        <w:rPr>
          <w:rFonts w:ascii="Times New Roman" w:hAnsi="Times New Roman" w:cs="Times New Roman"/>
        </w:rPr>
        <w:t>recommended</w:t>
      </w:r>
      <w:r w:rsidR="00BE4028">
        <w:rPr>
          <w:rFonts w:ascii="Times New Roman" w:hAnsi="Times New Roman" w:cs="Times New Roman"/>
        </w:rPr>
        <w:t xml:space="preserve"> that </w:t>
      </w:r>
      <w:r w:rsidR="003D5445">
        <w:rPr>
          <w:rFonts w:ascii="Times New Roman" w:hAnsi="Times New Roman" w:cs="Times New Roman"/>
        </w:rPr>
        <w:t>EPL i</w:t>
      </w:r>
      <w:r w:rsidR="00BE4028">
        <w:rPr>
          <w:rFonts w:ascii="Times New Roman" w:hAnsi="Times New Roman" w:cs="Times New Roman"/>
        </w:rPr>
        <w:t>n re</w:t>
      </w:r>
      <w:r w:rsidR="003D5445">
        <w:rPr>
          <w:rFonts w:ascii="Times New Roman" w:hAnsi="Times New Roman" w:cs="Times New Roman"/>
        </w:rPr>
        <w:t>spect of</w:t>
      </w:r>
      <w:r w:rsidR="00BE4028">
        <w:rPr>
          <w:rFonts w:ascii="Times New Roman" w:hAnsi="Times New Roman" w:cs="Times New Roman"/>
        </w:rPr>
        <w:t xml:space="preserve"> open-ended contracts </w:t>
      </w:r>
      <w:r w:rsidR="003D5445">
        <w:rPr>
          <w:rFonts w:ascii="Times New Roman" w:hAnsi="Times New Roman" w:cs="Times New Roman"/>
        </w:rPr>
        <w:t xml:space="preserve">be reformed </w:t>
      </w:r>
      <w:r w:rsidR="00BE4028">
        <w:rPr>
          <w:rFonts w:ascii="Times New Roman" w:hAnsi="Times New Roman" w:cs="Times New Roman"/>
        </w:rPr>
        <w:t xml:space="preserve">so as to ensure that dismissal costs increase </w:t>
      </w:r>
      <w:r w:rsidR="003D5445">
        <w:rPr>
          <w:rFonts w:ascii="Times New Roman" w:hAnsi="Times New Roman" w:cs="Times New Roman"/>
        </w:rPr>
        <w:t xml:space="preserve">only </w:t>
      </w:r>
      <w:r w:rsidR="00BE4028">
        <w:rPr>
          <w:rFonts w:ascii="Times New Roman" w:hAnsi="Times New Roman" w:cs="Times New Roman"/>
        </w:rPr>
        <w:t xml:space="preserve">gradually </w:t>
      </w:r>
      <w:r w:rsidR="003D5445">
        <w:rPr>
          <w:rFonts w:ascii="Times New Roman" w:hAnsi="Times New Roman" w:cs="Times New Roman"/>
        </w:rPr>
        <w:t>and according to</w:t>
      </w:r>
      <w:r w:rsidR="00BE4028">
        <w:rPr>
          <w:rFonts w:ascii="Times New Roman" w:hAnsi="Times New Roman" w:cs="Times New Roman"/>
        </w:rPr>
        <w:t xml:space="preserve"> </w:t>
      </w:r>
      <w:r w:rsidR="003D5445">
        <w:rPr>
          <w:rFonts w:ascii="Times New Roman" w:hAnsi="Times New Roman" w:cs="Times New Roman"/>
        </w:rPr>
        <w:t xml:space="preserve">length of tenure, the </w:t>
      </w:r>
      <w:r w:rsidR="003D5445">
        <w:rPr>
          <w:rFonts w:ascii="Times New Roman" w:hAnsi="Times New Roman" w:cs="Times New Roman"/>
        </w:rPr>
        <w:lastRenderedPageBreak/>
        <w:t>assumption being that this will reduce incentives for employers to make of use of temporary contracts, particularly in ‘two-tier’ labour markets.</w:t>
      </w:r>
      <w:r w:rsidR="00BE4028">
        <w:rPr>
          <w:rFonts w:ascii="Times New Roman" w:hAnsi="Times New Roman" w:cs="Times New Roman"/>
        </w:rPr>
        <w:t xml:space="preserve"> </w:t>
      </w:r>
      <w:r w:rsidR="00DA394F" w:rsidRPr="00AF66B3">
        <w:rPr>
          <w:rFonts w:ascii="Times New Roman" w:hAnsi="Times New Roman" w:cs="Times New Roman"/>
        </w:rPr>
        <w:t xml:space="preserve">The OECD </w:t>
      </w:r>
      <w:r w:rsidR="00DA394F" w:rsidRPr="00AF66B3">
        <w:rPr>
          <w:rFonts w:ascii="Times New Roman" w:hAnsi="Times New Roman" w:cs="Times New Roman"/>
          <w:shd w:val="clear" w:color="auto" w:fill="FFFFFF"/>
        </w:rPr>
        <w:t xml:space="preserve">(2011b) </w:t>
      </w:r>
      <w:r w:rsidR="00266E0C">
        <w:rPr>
          <w:rFonts w:ascii="Times New Roman" w:hAnsi="Times New Roman" w:cs="Times New Roman"/>
          <w:shd w:val="clear" w:color="auto" w:fill="FFFFFF"/>
        </w:rPr>
        <w:t xml:space="preserve">has </w:t>
      </w:r>
      <w:r w:rsidR="00DA394F" w:rsidRPr="00AF66B3">
        <w:rPr>
          <w:rFonts w:ascii="Times New Roman" w:hAnsi="Times New Roman" w:cs="Times New Roman"/>
          <w:shd w:val="clear" w:color="auto" w:fill="FFFFFF"/>
        </w:rPr>
        <w:t xml:space="preserve">also argued </w:t>
      </w:r>
      <w:r w:rsidR="00AF66B3" w:rsidRPr="00AF66B3">
        <w:rPr>
          <w:rFonts w:ascii="Times New Roman" w:hAnsi="Times New Roman" w:cs="Times New Roman"/>
          <w:shd w:val="clear" w:color="auto" w:fill="FFFFFF"/>
        </w:rPr>
        <w:t xml:space="preserve">in favour of </w:t>
      </w:r>
      <w:r w:rsidR="00266E0C">
        <w:rPr>
          <w:rFonts w:ascii="Times New Roman" w:hAnsi="Times New Roman" w:cs="Times New Roman"/>
          <w:shd w:val="clear" w:color="auto" w:fill="FFFFFF"/>
        </w:rPr>
        <w:t>reforming</w:t>
      </w:r>
      <w:r w:rsidR="00DA394F" w:rsidRPr="00AF66B3">
        <w:rPr>
          <w:rFonts w:ascii="Times New Roman" w:hAnsi="Times New Roman" w:cs="Times New Roman"/>
          <w:shd w:val="clear" w:color="auto" w:fill="FFFFFF"/>
        </w:rPr>
        <w:t xml:space="preserve"> employment </w:t>
      </w:r>
      <w:r w:rsidR="00AF66B3" w:rsidRPr="00AF66B3">
        <w:rPr>
          <w:rFonts w:ascii="Times New Roman" w:hAnsi="Times New Roman" w:cs="Times New Roman"/>
          <w:shd w:val="clear" w:color="auto" w:fill="FFFFFF"/>
        </w:rPr>
        <w:t>protections</w:t>
      </w:r>
      <w:r w:rsidR="003D5445">
        <w:rPr>
          <w:rFonts w:ascii="Times New Roman" w:hAnsi="Times New Roman" w:cs="Times New Roman"/>
          <w:shd w:val="clear" w:color="auto" w:fill="FFFFFF"/>
        </w:rPr>
        <w:t>,</w:t>
      </w:r>
      <w:r w:rsidR="00DA394F" w:rsidRPr="00AF66B3">
        <w:rPr>
          <w:rFonts w:ascii="Times New Roman" w:hAnsi="Times New Roman" w:cs="Times New Roman"/>
          <w:shd w:val="clear" w:color="auto" w:fill="FFFFFF"/>
        </w:rPr>
        <w:t xml:space="preserve"> </w:t>
      </w:r>
      <w:r w:rsidR="00AF66B3" w:rsidRPr="00AF66B3">
        <w:rPr>
          <w:rFonts w:ascii="Times New Roman" w:hAnsi="Times New Roman" w:cs="Times New Roman"/>
          <w:shd w:val="clear" w:color="auto" w:fill="FFFFFF"/>
        </w:rPr>
        <w:t xml:space="preserve">on the basis that </w:t>
      </w:r>
      <w:r w:rsidR="00DA394F" w:rsidRPr="00AF66B3">
        <w:rPr>
          <w:rFonts w:ascii="Times New Roman" w:hAnsi="Times New Roman" w:cs="Times New Roman"/>
          <w:shd w:val="clear" w:color="auto" w:fill="FFFFFF"/>
        </w:rPr>
        <w:t>young workers</w:t>
      </w:r>
      <w:r w:rsidR="00AF66B3" w:rsidRPr="00AF66B3">
        <w:rPr>
          <w:rFonts w:ascii="Times New Roman" w:hAnsi="Times New Roman" w:cs="Times New Roman"/>
          <w:shd w:val="clear" w:color="auto" w:fill="FFFFFF"/>
        </w:rPr>
        <w:t>’ immediate and longer term employment prospects</w:t>
      </w:r>
      <w:r w:rsidR="00DA394F" w:rsidRPr="00AF66B3">
        <w:rPr>
          <w:rFonts w:ascii="Times New Roman" w:hAnsi="Times New Roman" w:cs="Times New Roman"/>
          <w:shd w:val="clear" w:color="auto" w:fill="FFFFFF"/>
        </w:rPr>
        <w:t xml:space="preserve"> were being</w:t>
      </w:r>
      <w:r w:rsidR="00AF66B3" w:rsidRPr="00AF66B3">
        <w:rPr>
          <w:rFonts w:ascii="Times New Roman" w:hAnsi="Times New Roman" w:cs="Times New Roman"/>
          <w:shd w:val="clear" w:color="auto" w:fill="FFFFFF"/>
        </w:rPr>
        <w:t xml:space="preserve"> harmed</w:t>
      </w:r>
      <w:r w:rsidR="00DA394F" w:rsidRPr="00AF66B3">
        <w:rPr>
          <w:rFonts w:ascii="Times New Roman" w:hAnsi="Times New Roman" w:cs="Times New Roman"/>
          <w:shd w:val="clear" w:color="auto" w:fill="FFFFFF"/>
        </w:rPr>
        <w:t xml:space="preserve"> by ‘</w:t>
      </w:r>
      <w:r w:rsidR="00DA394F" w:rsidRPr="00AF66B3">
        <w:rPr>
          <w:rFonts w:ascii="Times New Roman" w:hAnsi="Times New Roman" w:cs="Times New Roman"/>
        </w:rPr>
        <w:t>overly strict regulations on permanent employment contracts, [which] can mean that short-term entry jobs fail to act as a stepping stone to more stable jobs and become instead dead-ends’ (OECD, 2011b: 13).</w:t>
      </w:r>
    </w:p>
    <w:p w14:paraId="32390264" w14:textId="77777777" w:rsidR="00F527E6" w:rsidRDefault="00F527E6" w:rsidP="00D67EC8">
      <w:pPr>
        <w:spacing w:line="480" w:lineRule="auto"/>
        <w:jc w:val="center"/>
        <w:rPr>
          <w:rFonts w:ascii="Times New Roman" w:hAnsi="Times New Roman" w:cs="Times New Roman"/>
        </w:rPr>
      </w:pPr>
    </w:p>
    <w:p w14:paraId="501D75CB" w14:textId="153CC0D2" w:rsidR="00F527E6" w:rsidRDefault="00F527E6" w:rsidP="00D67EC8">
      <w:pPr>
        <w:spacing w:line="480" w:lineRule="auto"/>
        <w:jc w:val="center"/>
        <w:rPr>
          <w:rFonts w:ascii="Times New Roman" w:hAnsi="Times New Roman" w:cs="Times New Roman"/>
        </w:rPr>
      </w:pPr>
      <w:r>
        <w:rPr>
          <w:rFonts w:ascii="Times New Roman" w:hAnsi="Times New Roman" w:cs="Times New Roman"/>
        </w:rPr>
        <w:t>TABLE 1 ABOUT HERE</w:t>
      </w:r>
    </w:p>
    <w:p w14:paraId="1E29A126" w14:textId="3E8BAF1E" w:rsidR="00687951" w:rsidRPr="00807BAB" w:rsidRDefault="00CE2062" w:rsidP="00D67EC8">
      <w:pPr>
        <w:spacing w:line="480" w:lineRule="auto"/>
        <w:rPr>
          <w:rFonts w:ascii="Times New Roman" w:hAnsi="Times New Roman" w:cs="Times New Roman"/>
        </w:rPr>
      </w:pPr>
      <w:r w:rsidRPr="00807BAB">
        <w:rPr>
          <w:rFonts w:ascii="Times New Roman" w:hAnsi="Times New Roman" w:cs="Times New Roman"/>
        </w:rPr>
        <w:t>Table 1 compare</w:t>
      </w:r>
      <w:r w:rsidR="00F527E6">
        <w:rPr>
          <w:rFonts w:ascii="Times New Roman" w:hAnsi="Times New Roman" w:cs="Times New Roman"/>
        </w:rPr>
        <w:t>s</w:t>
      </w:r>
      <w:r w:rsidRPr="00807BAB">
        <w:rPr>
          <w:rFonts w:ascii="Times New Roman" w:hAnsi="Times New Roman" w:cs="Times New Roman"/>
        </w:rPr>
        <w:t xml:space="preserve"> EU member states according to </w:t>
      </w:r>
      <w:r w:rsidR="009758C6">
        <w:rPr>
          <w:rFonts w:ascii="Times New Roman" w:hAnsi="Times New Roman" w:cs="Times New Roman"/>
        </w:rPr>
        <w:t>one of the</w:t>
      </w:r>
      <w:r w:rsidRPr="00807BAB">
        <w:rPr>
          <w:rFonts w:ascii="Times New Roman" w:hAnsi="Times New Roman" w:cs="Times New Roman"/>
        </w:rPr>
        <w:t xml:space="preserve"> synthetic EPL measures developed by the OECD</w:t>
      </w:r>
      <w:r w:rsidR="00594E19" w:rsidRPr="00807BAB">
        <w:rPr>
          <w:rFonts w:ascii="Times New Roman" w:hAnsi="Times New Roman" w:cs="Times New Roman"/>
        </w:rPr>
        <w:t xml:space="preserve"> (Venn 2009). The indicator, which </w:t>
      </w:r>
      <w:r w:rsidR="009758C6">
        <w:rPr>
          <w:rFonts w:ascii="Times New Roman" w:hAnsi="Times New Roman" w:cs="Times New Roman"/>
        </w:rPr>
        <w:t>is intended to measure the strength of protections in relation to individual and collective dismissals</w:t>
      </w:r>
      <w:r w:rsidR="00594E19" w:rsidRPr="00807BAB">
        <w:rPr>
          <w:rFonts w:ascii="Times New Roman" w:hAnsi="Times New Roman" w:cs="Times New Roman"/>
        </w:rPr>
        <w:t>, facilitate</w:t>
      </w:r>
      <w:r w:rsidR="009758C6">
        <w:rPr>
          <w:rFonts w:ascii="Times New Roman" w:hAnsi="Times New Roman" w:cs="Times New Roman"/>
        </w:rPr>
        <w:t>s</w:t>
      </w:r>
      <w:r w:rsidR="00594E19" w:rsidRPr="00807BAB">
        <w:rPr>
          <w:rFonts w:ascii="Times New Roman" w:hAnsi="Times New Roman" w:cs="Times New Roman"/>
        </w:rPr>
        <w:t xml:space="preserve"> cross-country benchmarking. </w:t>
      </w:r>
      <w:r w:rsidR="001153CA">
        <w:rPr>
          <w:rFonts w:ascii="Times New Roman" w:hAnsi="Times New Roman" w:cs="Times New Roman"/>
        </w:rPr>
        <w:t xml:space="preserve">Reductions in the strength of EPL since 2008 </w:t>
      </w:r>
      <w:r w:rsidRPr="00807BAB">
        <w:rPr>
          <w:rFonts w:ascii="Times New Roman" w:hAnsi="Times New Roman" w:cs="Times New Roman"/>
        </w:rPr>
        <w:t xml:space="preserve">have been </w:t>
      </w:r>
      <w:r w:rsidR="005F20A5">
        <w:rPr>
          <w:rFonts w:ascii="Times New Roman" w:hAnsi="Times New Roman" w:cs="Times New Roman"/>
        </w:rPr>
        <w:t xml:space="preserve">particularly apparent in those countries that </w:t>
      </w:r>
      <w:r w:rsidR="00D2174C">
        <w:rPr>
          <w:rFonts w:ascii="Times New Roman" w:hAnsi="Times New Roman" w:cs="Times New Roman"/>
        </w:rPr>
        <w:t>have received financial support from the EU. T</w:t>
      </w:r>
      <w:r w:rsidR="005F20A5">
        <w:rPr>
          <w:rFonts w:ascii="Times New Roman" w:hAnsi="Times New Roman" w:cs="Times New Roman"/>
        </w:rPr>
        <w:t xml:space="preserve">hese countries </w:t>
      </w:r>
      <w:r w:rsidRPr="00807BAB">
        <w:rPr>
          <w:rFonts w:ascii="Times New Roman" w:hAnsi="Times New Roman" w:cs="Times New Roman"/>
        </w:rPr>
        <w:t>have been obliged by the ‘Troika’ of the European Commission, European Central Bank and IMF to implement reforms in return for financial assistance intended to ameliorate their debt crises and stabilise the Eurozone.</w:t>
      </w:r>
      <w:r w:rsidR="009534C4">
        <w:rPr>
          <w:rFonts w:ascii="Times New Roman" w:hAnsi="Times New Roman" w:cs="Times New Roman"/>
        </w:rPr>
        <w:t xml:space="preserve"> An initial Memorandum of Understanding established between Greece and the European Commission in 2010</w:t>
      </w:r>
      <w:r w:rsidR="004B5131">
        <w:rPr>
          <w:rFonts w:ascii="Times New Roman" w:hAnsi="Times New Roman" w:cs="Times New Roman"/>
        </w:rPr>
        <w:t>, for example,</w:t>
      </w:r>
      <w:r w:rsidR="009534C4">
        <w:rPr>
          <w:rFonts w:ascii="Times New Roman" w:hAnsi="Times New Roman" w:cs="Times New Roman"/>
        </w:rPr>
        <w:t xml:space="preserve"> referred to the need for longer probationary periods, reforms to facilitate increases in part-time employment and changes to regulations relating to collective dismissals</w:t>
      </w:r>
      <w:r w:rsidR="00B573DC" w:rsidRPr="009534C4">
        <w:rPr>
          <w:rFonts w:ascii="Times New Roman" w:hAnsi="Times New Roman" w:cs="Times New Roman"/>
        </w:rPr>
        <w:t xml:space="preserve"> (Memorandum, 2010a: 13, 37). </w:t>
      </w:r>
      <w:r w:rsidR="00687951" w:rsidRPr="00807BAB">
        <w:rPr>
          <w:rFonts w:ascii="Times New Roman" w:eastAsia="Times New Roman" w:hAnsi="Times New Roman" w:cs="Times New Roman"/>
          <w:color w:val="000000"/>
          <w:lang w:val="en-US" w:eastAsia="en-GB"/>
        </w:rPr>
        <w:t xml:space="preserve">Greece has </w:t>
      </w:r>
      <w:r w:rsidR="00B81E3B">
        <w:rPr>
          <w:rFonts w:ascii="Times New Roman" w:eastAsia="Times New Roman" w:hAnsi="Times New Roman" w:cs="Times New Roman"/>
          <w:color w:val="000000"/>
          <w:lang w:val="en-US" w:eastAsia="en-GB"/>
        </w:rPr>
        <w:t xml:space="preserve">since </w:t>
      </w:r>
      <w:r w:rsidR="00687951" w:rsidRPr="00807BAB">
        <w:rPr>
          <w:rFonts w:ascii="Times New Roman" w:eastAsia="Times New Roman" w:hAnsi="Times New Roman" w:cs="Times New Roman"/>
          <w:color w:val="000000"/>
          <w:lang w:val="en-US" w:eastAsia="en-GB"/>
        </w:rPr>
        <w:t>cut starting salaries for young people, increased employers’ freedom to extend working time, established a 12-month probation period for new employees, and made it possible for company-level collective agreements to take precedence over sectoral-level agreements.</w:t>
      </w:r>
    </w:p>
    <w:p w14:paraId="3E17F8E9" w14:textId="57C2227B" w:rsidR="00CE2062" w:rsidRPr="00807BAB" w:rsidRDefault="00CE2062" w:rsidP="00D67EC8">
      <w:pPr>
        <w:spacing w:line="480" w:lineRule="auto"/>
        <w:rPr>
          <w:rFonts w:ascii="Times New Roman" w:hAnsi="Times New Roman" w:cs="Times New Roman"/>
          <w:b/>
          <w:color w:val="000000"/>
          <w:lang w:val="en-US"/>
        </w:rPr>
      </w:pPr>
      <w:r w:rsidRPr="00807BAB">
        <w:rPr>
          <w:rFonts w:ascii="Times New Roman" w:hAnsi="Times New Roman" w:cs="Times New Roman"/>
        </w:rPr>
        <w:t>Spain and Portugal</w:t>
      </w:r>
      <w:r w:rsidR="00687951" w:rsidRPr="00807BAB">
        <w:rPr>
          <w:rFonts w:ascii="Times New Roman" w:hAnsi="Times New Roman" w:cs="Times New Roman"/>
        </w:rPr>
        <w:t xml:space="preserve">, which like Greece have </w:t>
      </w:r>
      <w:r w:rsidR="005F20A5">
        <w:rPr>
          <w:rFonts w:ascii="Times New Roman" w:hAnsi="Times New Roman" w:cs="Times New Roman"/>
        </w:rPr>
        <w:t>entered into Memoranda of Understanding with the Troika</w:t>
      </w:r>
      <w:r w:rsidR="00687951" w:rsidRPr="00807BAB">
        <w:rPr>
          <w:rFonts w:ascii="Times New Roman" w:hAnsi="Times New Roman" w:cs="Times New Roman"/>
        </w:rPr>
        <w:t>,</w:t>
      </w:r>
      <w:r w:rsidRPr="00807BAB">
        <w:rPr>
          <w:rFonts w:ascii="Times New Roman" w:hAnsi="Times New Roman" w:cs="Times New Roman"/>
        </w:rPr>
        <w:t xml:space="preserve"> have increased employers’ freedom to make use of fixed-term contracts and made it easier for employers to dismiss workers. </w:t>
      </w:r>
      <w:r w:rsidRPr="00807BAB">
        <w:rPr>
          <w:rStyle w:val="Strong"/>
          <w:rFonts w:ascii="Times New Roman" w:hAnsi="Times New Roman" w:cs="Times New Roman"/>
          <w:b w:val="0"/>
          <w:color w:val="000000"/>
          <w:lang w:val="en-US"/>
        </w:rPr>
        <w:t xml:space="preserve">Spain has ended administrative authorization for large-scale redundancies and cut the basis for calculating compensation for unfair dismissals, while Portugal has </w:t>
      </w:r>
      <w:r w:rsidRPr="00807BAB">
        <w:rPr>
          <w:rStyle w:val="Strong"/>
          <w:rFonts w:ascii="Times New Roman" w:hAnsi="Times New Roman" w:cs="Times New Roman"/>
          <w:b w:val="0"/>
          <w:color w:val="000000"/>
          <w:lang w:val="en-US"/>
        </w:rPr>
        <w:lastRenderedPageBreak/>
        <w:t>c</w:t>
      </w:r>
      <w:r w:rsidRPr="00807BAB">
        <w:rPr>
          <w:rFonts w:ascii="Times New Roman" w:hAnsi="Times New Roman" w:cs="Times New Roman"/>
          <w:color w:val="000000"/>
          <w:lang w:val="en-US"/>
        </w:rPr>
        <w:t xml:space="preserve">ut overtime payments, reduced the number of bank holidays, increased employers’ freedom to select workers for dismissal and cut </w:t>
      </w:r>
      <w:r w:rsidRPr="00807BAB">
        <w:rPr>
          <w:rFonts w:ascii="Times New Roman" w:hAnsi="Times New Roman" w:cs="Times New Roman"/>
          <w:bCs/>
          <w:color w:val="000000"/>
          <w:lang w:val="en-US"/>
        </w:rPr>
        <w:t>severance payments.</w:t>
      </w:r>
      <w:r w:rsidRPr="00807BAB">
        <w:rPr>
          <w:rFonts w:ascii="Times New Roman" w:eastAsia="Times New Roman" w:hAnsi="Times New Roman" w:cs="Times New Roman"/>
          <w:color w:val="000000"/>
          <w:lang w:val="en-US" w:eastAsia="en-GB"/>
        </w:rPr>
        <w:t xml:space="preserve"> By comparison, </w:t>
      </w:r>
      <w:r w:rsidR="00687951" w:rsidRPr="00807BAB">
        <w:rPr>
          <w:rFonts w:ascii="Times New Roman" w:eastAsia="Times New Roman" w:hAnsi="Times New Roman" w:cs="Times New Roman"/>
          <w:color w:val="000000"/>
          <w:lang w:val="en-US" w:eastAsia="en-GB"/>
        </w:rPr>
        <w:t xml:space="preserve">reforms in </w:t>
      </w:r>
      <w:r w:rsidRPr="00807BAB">
        <w:rPr>
          <w:rStyle w:val="Strong"/>
          <w:rFonts w:ascii="Times New Roman" w:hAnsi="Times New Roman" w:cs="Times New Roman"/>
          <w:b w:val="0"/>
          <w:color w:val="000000"/>
          <w:lang w:val="en-US"/>
        </w:rPr>
        <w:t>Ireland</w:t>
      </w:r>
      <w:r w:rsidR="00687951" w:rsidRPr="00807BAB">
        <w:rPr>
          <w:rStyle w:val="Strong"/>
          <w:rFonts w:ascii="Times New Roman" w:hAnsi="Times New Roman" w:cs="Times New Roman"/>
          <w:b w:val="0"/>
          <w:color w:val="000000"/>
          <w:lang w:val="en-US"/>
        </w:rPr>
        <w:t xml:space="preserve">, which </w:t>
      </w:r>
      <w:r w:rsidR="00825048">
        <w:rPr>
          <w:rStyle w:val="Strong"/>
          <w:rFonts w:ascii="Times New Roman" w:hAnsi="Times New Roman" w:cs="Times New Roman"/>
          <w:b w:val="0"/>
          <w:color w:val="000000"/>
          <w:lang w:val="en-US"/>
        </w:rPr>
        <w:t xml:space="preserve">in 2010 </w:t>
      </w:r>
      <w:r w:rsidR="00687951" w:rsidRPr="00807BAB">
        <w:rPr>
          <w:rStyle w:val="Strong"/>
          <w:rFonts w:ascii="Times New Roman" w:hAnsi="Times New Roman" w:cs="Times New Roman"/>
          <w:b w:val="0"/>
          <w:color w:val="000000"/>
          <w:lang w:val="en-US"/>
        </w:rPr>
        <w:t>received a ‘bailout’ of 85 billion Euros</w:t>
      </w:r>
      <w:r w:rsidR="00825048">
        <w:rPr>
          <w:rStyle w:val="Strong"/>
          <w:rFonts w:ascii="Times New Roman" w:hAnsi="Times New Roman" w:cs="Times New Roman"/>
          <w:b w:val="0"/>
          <w:color w:val="000000"/>
          <w:lang w:val="en-US"/>
        </w:rPr>
        <w:t xml:space="preserve"> from the IMF and ECB</w:t>
      </w:r>
      <w:r w:rsidR="00687951" w:rsidRPr="00807BAB">
        <w:rPr>
          <w:rStyle w:val="Strong"/>
          <w:rFonts w:ascii="Times New Roman" w:hAnsi="Times New Roman" w:cs="Times New Roman"/>
          <w:b w:val="0"/>
          <w:color w:val="000000"/>
          <w:lang w:val="en-US"/>
        </w:rPr>
        <w:t xml:space="preserve">, </w:t>
      </w:r>
      <w:r w:rsidRPr="00807BAB">
        <w:rPr>
          <w:rStyle w:val="Strong"/>
          <w:rFonts w:ascii="Times New Roman" w:hAnsi="Times New Roman" w:cs="Times New Roman"/>
          <w:b w:val="0"/>
          <w:color w:val="000000"/>
          <w:lang w:val="en-US"/>
        </w:rPr>
        <w:t>have been more limited</w:t>
      </w:r>
      <w:r w:rsidR="00687951" w:rsidRPr="00807BAB">
        <w:rPr>
          <w:rStyle w:val="Strong"/>
          <w:rFonts w:ascii="Times New Roman" w:hAnsi="Times New Roman" w:cs="Times New Roman"/>
          <w:b w:val="0"/>
          <w:color w:val="000000"/>
          <w:lang w:val="en-US"/>
        </w:rPr>
        <w:t>. T</w:t>
      </w:r>
      <w:r w:rsidRPr="00807BAB">
        <w:rPr>
          <w:rStyle w:val="Strong"/>
          <w:rFonts w:ascii="Times New Roman" w:hAnsi="Times New Roman" w:cs="Times New Roman"/>
          <w:b w:val="0"/>
          <w:color w:val="000000"/>
          <w:lang w:val="en-US"/>
        </w:rPr>
        <w:t xml:space="preserve">he country is </w:t>
      </w:r>
      <w:r w:rsidRPr="00807BAB">
        <w:rPr>
          <w:rFonts w:ascii="Times New Roman" w:hAnsi="Times New Roman" w:cs="Times New Roman"/>
        </w:rPr>
        <w:t xml:space="preserve">something of an exception among the financially distressed EU member states in that its EPL scores for regular and temporary contracts have increased since 2008, albeit from a very low base. The main improvements have been the transposition of the </w:t>
      </w:r>
      <w:r w:rsidRPr="00807BAB">
        <w:rPr>
          <w:rStyle w:val="Strong"/>
          <w:rFonts w:ascii="Times New Roman" w:hAnsi="Times New Roman" w:cs="Times New Roman"/>
          <w:b w:val="0"/>
          <w:color w:val="000000"/>
          <w:lang w:val="en-US"/>
        </w:rPr>
        <w:t xml:space="preserve">European directive on temporary agency work into Ireland’s national legislation, which has strengthened rights for this group of workers, greater protection for whistleblowers and efforts to improve compliance. </w:t>
      </w:r>
    </w:p>
    <w:p w14:paraId="38B4CEC6" w14:textId="19949D03" w:rsidR="00CE2062" w:rsidRPr="00807BAB" w:rsidRDefault="00CE2062" w:rsidP="00D67EC8">
      <w:pPr>
        <w:spacing w:line="480" w:lineRule="auto"/>
        <w:rPr>
          <w:rFonts w:ascii="Times New Roman" w:hAnsi="Times New Roman" w:cs="Times New Roman"/>
        </w:rPr>
      </w:pPr>
      <w:r w:rsidRPr="00807BAB">
        <w:rPr>
          <w:rFonts w:ascii="Times New Roman" w:hAnsi="Times New Roman" w:cs="Times New Roman"/>
        </w:rPr>
        <w:t>Reforms have been also been widespread among the CEE economies.</w:t>
      </w:r>
      <w:r w:rsidRPr="00807BAB">
        <w:rPr>
          <w:rFonts w:ascii="Times New Roman" w:eastAsia="Times New Roman" w:hAnsi="Times New Roman" w:cs="Times New Roman"/>
          <w:lang w:eastAsia="en-GB"/>
        </w:rPr>
        <w:t xml:space="preserve"> Some improvements in </w:t>
      </w:r>
      <w:r w:rsidR="00117556">
        <w:rPr>
          <w:rFonts w:ascii="Times New Roman" w:eastAsia="Times New Roman" w:hAnsi="Times New Roman" w:cs="Times New Roman"/>
          <w:lang w:eastAsia="en-GB"/>
        </w:rPr>
        <w:t xml:space="preserve">employment </w:t>
      </w:r>
      <w:r w:rsidRPr="00807BAB">
        <w:rPr>
          <w:rFonts w:ascii="Times New Roman" w:eastAsia="Times New Roman" w:hAnsi="Times New Roman" w:cs="Times New Roman"/>
          <w:lang w:eastAsia="en-GB"/>
        </w:rPr>
        <w:t>rights have taken place, mostly as a consequence of the transposition of EU Directives into national legislation (e.g. in 2009 Slovakia implemented the EU Directives on part-time and fixed-term workers). Other measures, however, have been directed at weakening protections. Slovakia has made notice and probation periods more flexible, Slovenia has cut severance payments and increased employers’ freedom to dismiss workers, while Lithuania has extended working time and also relaxed constraints on lay-offs. Several countries, including Lithuania and Romania, have weakened restrictions on the use of fixed-term contracts (Clauwaert and Schömann, 2012: 11).</w:t>
      </w:r>
      <w:r w:rsidRPr="00807BAB">
        <w:rPr>
          <w:rFonts w:ascii="Times New Roman" w:hAnsi="Times New Roman" w:cs="Times New Roman"/>
        </w:rPr>
        <w:t xml:space="preserve"> </w:t>
      </w:r>
      <w:r w:rsidR="005F234D">
        <w:rPr>
          <w:rFonts w:ascii="Times New Roman" w:hAnsi="Times New Roman" w:cs="Times New Roman"/>
        </w:rPr>
        <w:t>With the exceptions of Romania, Latvia and Hungary, which have re</w:t>
      </w:r>
      <w:r w:rsidR="00825048">
        <w:rPr>
          <w:rFonts w:ascii="Times New Roman" w:hAnsi="Times New Roman" w:cs="Times New Roman"/>
        </w:rPr>
        <w:t xml:space="preserve">quested substantial </w:t>
      </w:r>
      <w:r w:rsidR="005F20A5">
        <w:rPr>
          <w:rFonts w:ascii="Times New Roman" w:hAnsi="Times New Roman" w:cs="Times New Roman"/>
        </w:rPr>
        <w:t xml:space="preserve">EU </w:t>
      </w:r>
      <w:r w:rsidR="005F234D">
        <w:rPr>
          <w:rFonts w:ascii="Times New Roman" w:hAnsi="Times New Roman" w:cs="Times New Roman"/>
        </w:rPr>
        <w:t>financ</w:t>
      </w:r>
      <w:r w:rsidR="00825048">
        <w:rPr>
          <w:rFonts w:ascii="Times New Roman" w:hAnsi="Times New Roman" w:cs="Times New Roman"/>
        </w:rPr>
        <w:t xml:space="preserve">ial support since the start of the crisis, </w:t>
      </w:r>
      <w:r w:rsidR="005F234D">
        <w:rPr>
          <w:rFonts w:ascii="Times New Roman" w:hAnsi="Times New Roman" w:cs="Times New Roman"/>
        </w:rPr>
        <w:t>t</w:t>
      </w:r>
      <w:r w:rsidRPr="00807BAB">
        <w:rPr>
          <w:rFonts w:ascii="Times New Roman" w:hAnsi="Times New Roman" w:cs="Times New Roman"/>
        </w:rPr>
        <w:t xml:space="preserve">he CEE economies have not been subject to direct </w:t>
      </w:r>
      <w:r w:rsidR="00117556">
        <w:rPr>
          <w:rFonts w:ascii="Times New Roman" w:hAnsi="Times New Roman" w:cs="Times New Roman"/>
        </w:rPr>
        <w:t>demands</w:t>
      </w:r>
      <w:r w:rsidRPr="00807BAB">
        <w:rPr>
          <w:rFonts w:ascii="Times New Roman" w:hAnsi="Times New Roman" w:cs="Times New Roman"/>
        </w:rPr>
        <w:t xml:space="preserve"> from the Troika. However, </w:t>
      </w:r>
      <w:r w:rsidR="005F234D">
        <w:rPr>
          <w:rFonts w:ascii="Times New Roman" w:hAnsi="Times New Roman" w:cs="Times New Roman"/>
        </w:rPr>
        <w:t>t</w:t>
      </w:r>
      <w:r w:rsidR="00117556">
        <w:rPr>
          <w:rFonts w:ascii="Times New Roman" w:hAnsi="Times New Roman" w:cs="Times New Roman"/>
        </w:rPr>
        <w:t xml:space="preserve">heir reforms have been </w:t>
      </w:r>
      <w:r w:rsidR="005F234D">
        <w:rPr>
          <w:rFonts w:ascii="Times New Roman" w:hAnsi="Times New Roman" w:cs="Times New Roman"/>
        </w:rPr>
        <w:t>heavily influenced</w:t>
      </w:r>
      <w:r w:rsidR="00117556">
        <w:rPr>
          <w:rFonts w:ascii="Times New Roman" w:hAnsi="Times New Roman" w:cs="Times New Roman"/>
        </w:rPr>
        <w:t xml:space="preserve"> by country-specific recommendations, issued by the European Commission since 2011 and based on annual reviews of the economic performance of </w:t>
      </w:r>
      <w:r w:rsidR="005F234D">
        <w:rPr>
          <w:rFonts w:ascii="Times New Roman" w:hAnsi="Times New Roman" w:cs="Times New Roman"/>
        </w:rPr>
        <w:t xml:space="preserve">each </w:t>
      </w:r>
      <w:r w:rsidR="00117556">
        <w:rPr>
          <w:rFonts w:ascii="Times New Roman" w:hAnsi="Times New Roman" w:cs="Times New Roman"/>
        </w:rPr>
        <w:t>EU member state</w:t>
      </w:r>
      <w:r w:rsidR="005F234D">
        <w:rPr>
          <w:rFonts w:ascii="Times New Roman" w:hAnsi="Times New Roman" w:cs="Times New Roman"/>
        </w:rPr>
        <w:t xml:space="preserve">. Member states are expected to implement the recommendations of the Commission via </w:t>
      </w:r>
      <w:r w:rsidR="005F20A5">
        <w:rPr>
          <w:rFonts w:ascii="Times New Roman" w:hAnsi="Times New Roman" w:cs="Times New Roman"/>
        </w:rPr>
        <w:t xml:space="preserve">their individual </w:t>
      </w:r>
      <w:r w:rsidR="005F234D">
        <w:rPr>
          <w:rFonts w:ascii="Times New Roman" w:hAnsi="Times New Roman" w:cs="Times New Roman"/>
        </w:rPr>
        <w:t>National Reform Programmes</w:t>
      </w:r>
      <w:r w:rsidR="005F20A5">
        <w:rPr>
          <w:rFonts w:ascii="Times New Roman" w:hAnsi="Times New Roman" w:cs="Times New Roman"/>
        </w:rPr>
        <w:t xml:space="preserve">. Several countries, including France, the Netherlands, Sweden, Lithuania and Slovenia, have received specific recommendations aimed at increasing labour market flexibility </w:t>
      </w:r>
      <w:r w:rsidR="005F234D">
        <w:rPr>
          <w:rFonts w:ascii="Times New Roman" w:hAnsi="Times New Roman" w:cs="Times New Roman"/>
        </w:rPr>
        <w:t>(</w:t>
      </w:r>
      <w:r w:rsidR="005F234D" w:rsidRPr="00807BAB">
        <w:rPr>
          <w:rFonts w:ascii="Times New Roman" w:eastAsia="Times New Roman" w:hAnsi="Times New Roman" w:cs="Times New Roman"/>
          <w:lang w:eastAsia="en-GB"/>
        </w:rPr>
        <w:t>Schömann</w:t>
      </w:r>
      <w:r w:rsidR="00F75379">
        <w:rPr>
          <w:rFonts w:ascii="Times New Roman" w:eastAsia="Times New Roman" w:hAnsi="Times New Roman" w:cs="Times New Roman"/>
          <w:lang w:eastAsia="en-GB"/>
        </w:rPr>
        <w:t>,</w:t>
      </w:r>
      <w:r w:rsidR="005F234D">
        <w:rPr>
          <w:rFonts w:ascii="Times New Roman" w:eastAsia="Times New Roman" w:hAnsi="Times New Roman" w:cs="Times New Roman"/>
          <w:lang w:eastAsia="en-GB"/>
        </w:rPr>
        <w:t xml:space="preserve"> 2014: 15-18)</w:t>
      </w:r>
      <w:r w:rsidR="005F234D">
        <w:rPr>
          <w:rFonts w:ascii="Times New Roman" w:hAnsi="Times New Roman" w:cs="Times New Roman"/>
        </w:rPr>
        <w:t>.</w:t>
      </w:r>
    </w:p>
    <w:p w14:paraId="0B6D4A64" w14:textId="755845D1" w:rsidR="00B712B2" w:rsidRPr="00807BAB" w:rsidRDefault="00CE2062" w:rsidP="00D67EC8">
      <w:pPr>
        <w:spacing w:line="480" w:lineRule="auto"/>
        <w:rPr>
          <w:rFonts w:ascii="Times New Roman" w:hAnsi="Times New Roman" w:cs="Times New Roman"/>
        </w:rPr>
      </w:pPr>
      <w:r w:rsidRPr="00807BAB">
        <w:rPr>
          <w:rFonts w:ascii="Times New Roman" w:hAnsi="Times New Roman" w:cs="Times New Roman"/>
        </w:rPr>
        <w:t xml:space="preserve">The UK government has also implemented cuts to employment protections. </w:t>
      </w:r>
      <w:r w:rsidR="00B712B2" w:rsidRPr="00807BAB">
        <w:rPr>
          <w:rFonts w:ascii="Times New Roman" w:hAnsi="Times New Roman" w:cs="Times New Roman"/>
        </w:rPr>
        <w:t xml:space="preserve">Its employment law reforms have formed part of a wider set of measures aimed at removing regulations that are deemed to be </w:t>
      </w:r>
      <w:r w:rsidR="00B712B2" w:rsidRPr="00807BAB">
        <w:rPr>
          <w:rFonts w:ascii="Times New Roman" w:hAnsi="Times New Roman" w:cs="Times New Roman"/>
        </w:rPr>
        <w:lastRenderedPageBreak/>
        <w:t xml:space="preserve">detrimental to business. The regulatory reform agenda in respect of employment rights has had two </w:t>
      </w:r>
      <w:r w:rsidR="00B81E3B">
        <w:rPr>
          <w:rFonts w:ascii="Times New Roman" w:hAnsi="Times New Roman" w:cs="Times New Roman"/>
        </w:rPr>
        <w:t>main</w:t>
      </w:r>
      <w:r w:rsidR="00B712B2" w:rsidRPr="00807BAB">
        <w:rPr>
          <w:rFonts w:ascii="Times New Roman" w:hAnsi="Times New Roman" w:cs="Times New Roman"/>
        </w:rPr>
        <w:t xml:space="preserve"> components: firstly, a weakening of constraints on employers’ ability to dismiss employees; and secondly, the introduction of new restrictions on workers’ ability to access justice. The attack on employment protections, which was presaged by a report commissioned by the government from the venture capitalist Adrian Beecroft </w:t>
      </w:r>
      <w:r w:rsidR="00B712B2" w:rsidRPr="00807BAB">
        <w:rPr>
          <w:rFonts w:ascii="Times New Roman" w:hAnsi="Times New Roman" w:cs="Times New Roman"/>
          <w:color w:val="000000"/>
        </w:rPr>
        <w:t>(Beecroft</w:t>
      </w:r>
      <w:r w:rsidR="00F75379">
        <w:rPr>
          <w:rFonts w:ascii="Times New Roman" w:hAnsi="Times New Roman" w:cs="Times New Roman"/>
          <w:color w:val="000000"/>
        </w:rPr>
        <w:t>,</w:t>
      </w:r>
      <w:r w:rsidR="00B712B2" w:rsidRPr="00807BAB">
        <w:rPr>
          <w:rFonts w:ascii="Times New Roman" w:hAnsi="Times New Roman" w:cs="Times New Roman"/>
          <w:color w:val="000000"/>
        </w:rPr>
        <w:t xml:space="preserve"> 2011), </w:t>
      </w:r>
      <w:r w:rsidR="00B712B2" w:rsidRPr="00807BAB">
        <w:rPr>
          <w:rFonts w:ascii="Times New Roman" w:hAnsi="Times New Roman" w:cs="Times New Roman"/>
          <w:bCs/>
        </w:rPr>
        <w:t>commenced in April 2012 when the minimum period of employment service for unfair dismissal claims was increased from one to two years</w:t>
      </w:r>
      <w:r w:rsidR="00B712B2" w:rsidRPr="00807BAB">
        <w:rPr>
          <w:rFonts w:ascii="Times New Roman" w:hAnsi="Times New Roman" w:cs="Times New Roman"/>
        </w:rPr>
        <w:t xml:space="preserve">. </w:t>
      </w:r>
      <w:r w:rsidR="00B712B2" w:rsidRPr="00807BAB">
        <w:rPr>
          <w:rFonts w:ascii="Times New Roman" w:hAnsi="Times New Roman" w:cs="Times New Roman"/>
          <w:bCs/>
        </w:rPr>
        <w:t>In April 2013 the government reduced the minimum consultation period required in respect of large-scale collective redundancies</w:t>
      </w:r>
      <w:r w:rsidR="00B712B2" w:rsidRPr="00807BAB">
        <w:rPr>
          <w:rFonts w:ascii="Times New Roman" w:hAnsi="Times New Roman" w:cs="Times New Roman"/>
        </w:rPr>
        <w:t xml:space="preserve"> involving more than 100 workers from 90 to 45 days. The following month, measures were introduced that permitted private sector employers to offer prospective employees a financial stake in their business, on the condition that key employment rights were foregone</w:t>
      </w:r>
      <w:r w:rsidR="009D57B7" w:rsidRPr="00807BAB">
        <w:rPr>
          <w:rFonts w:ascii="Times New Roman" w:hAnsi="Times New Roman" w:cs="Times New Roman"/>
        </w:rPr>
        <w:t xml:space="preserve"> (the</w:t>
      </w:r>
      <w:r w:rsidR="00B712B2" w:rsidRPr="00807BAB">
        <w:rPr>
          <w:rFonts w:ascii="Times New Roman" w:hAnsi="Times New Roman" w:cs="Times New Roman"/>
        </w:rPr>
        <w:t xml:space="preserve"> so-called ‘employee ownership’ scheme</w:t>
      </w:r>
      <w:r w:rsidR="009D57B7" w:rsidRPr="00807BAB">
        <w:rPr>
          <w:rFonts w:ascii="Times New Roman" w:hAnsi="Times New Roman" w:cs="Times New Roman"/>
        </w:rPr>
        <w:t xml:space="preserve">). </w:t>
      </w:r>
      <w:r w:rsidR="00B712B2" w:rsidRPr="00807BAB">
        <w:rPr>
          <w:rFonts w:ascii="Times New Roman" w:hAnsi="Times New Roman" w:cs="Times New Roman"/>
        </w:rPr>
        <w:t>The government has also made it easier for employers to dismiss staff who are deemed to be ‘under-performing’ by introducing measures to facilitate ‘consensual termination’ of the employment relationship through A</w:t>
      </w:r>
      <w:r w:rsidR="00EC75B4">
        <w:rPr>
          <w:rFonts w:ascii="Times New Roman" w:hAnsi="Times New Roman" w:cs="Times New Roman"/>
        </w:rPr>
        <w:t>CAS</w:t>
      </w:r>
      <w:r w:rsidR="00B712B2" w:rsidRPr="00807BAB">
        <w:rPr>
          <w:rFonts w:ascii="Times New Roman" w:hAnsi="Times New Roman" w:cs="Times New Roman"/>
        </w:rPr>
        <w:t xml:space="preserve"> conciliation, settlement agreements and ‘protected conversations’ between employees and employers. </w:t>
      </w:r>
    </w:p>
    <w:p w14:paraId="7ACB843D" w14:textId="4799D600" w:rsidR="00594E19" w:rsidRDefault="00B712B2" w:rsidP="00D67EC8">
      <w:pPr>
        <w:autoSpaceDE w:val="0"/>
        <w:autoSpaceDN w:val="0"/>
        <w:adjustRightInd w:val="0"/>
        <w:spacing w:after="0" w:afterAutospacing="0" w:line="480" w:lineRule="auto"/>
        <w:rPr>
          <w:rFonts w:ascii="Times New Roman" w:hAnsi="Times New Roman" w:cs="Times New Roman"/>
        </w:rPr>
      </w:pPr>
      <w:r w:rsidRPr="00807BAB">
        <w:rPr>
          <w:rFonts w:ascii="Times New Roman" w:hAnsi="Times New Roman" w:cs="Times New Roman"/>
        </w:rPr>
        <w:t xml:space="preserve">To date, the reforms </w:t>
      </w:r>
      <w:r w:rsidR="009D57B7" w:rsidRPr="00807BAB">
        <w:rPr>
          <w:rFonts w:ascii="Times New Roman" w:hAnsi="Times New Roman" w:cs="Times New Roman"/>
        </w:rPr>
        <w:t xml:space="preserve">implemented by EU government </w:t>
      </w:r>
      <w:r w:rsidRPr="00807BAB">
        <w:rPr>
          <w:rFonts w:ascii="Times New Roman" w:hAnsi="Times New Roman" w:cs="Times New Roman"/>
        </w:rPr>
        <w:t xml:space="preserve">appear to have had little </w:t>
      </w:r>
      <w:r w:rsidR="009D57B7" w:rsidRPr="00807BAB">
        <w:rPr>
          <w:rFonts w:ascii="Times New Roman" w:hAnsi="Times New Roman" w:cs="Times New Roman"/>
        </w:rPr>
        <w:t xml:space="preserve">positive </w:t>
      </w:r>
      <w:r w:rsidRPr="00807BAB">
        <w:rPr>
          <w:rFonts w:ascii="Times New Roman" w:hAnsi="Times New Roman" w:cs="Times New Roman"/>
        </w:rPr>
        <w:t xml:space="preserve">impact on </w:t>
      </w:r>
      <w:r w:rsidR="009D57B7" w:rsidRPr="00807BAB">
        <w:rPr>
          <w:rFonts w:ascii="Times New Roman" w:hAnsi="Times New Roman" w:cs="Times New Roman"/>
        </w:rPr>
        <w:t>national</w:t>
      </w:r>
      <w:r w:rsidRPr="00807BAB">
        <w:rPr>
          <w:rFonts w:ascii="Times New Roman" w:hAnsi="Times New Roman" w:cs="Times New Roman"/>
        </w:rPr>
        <w:t xml:space="preserve"> labour market</w:t>
      </w:r>
      <w:r w:rsidR="00AF66B3">
        <w:rPr>
          <w:rFonts w:ascii="Times New Roman" w:hAnsi="Times New Roman" w:cs="Times New Roman"/>
        </w:rPr>
        <w:t>s</w:t>
      </w:r>
      <w:r w:rsidRPr="00807BAB">
        <w:rPr>
          <w:rFonts w:ascii="Times New Roman" w:hAnsi="Times New Roman" w:cs="Times New Roman"/>
        </w:rPr>
        <w:t>.</w:t>
      </w:r>
      <w:r w:rsidR="00594E19" w:rsidRPr="00807BAB">
        <w:rPr>
          <w:rFonts w:ascii="Times New Roman" w:hAnsi="Times New Roman" w:cs="Times New Roman"/>
        </w:rPr>
        <w:t xml:space="preserve"> </w:t>
      </w:r>
      <w:r w:rsidR="006E6F2C" w:rsidRPr="00807BAB">
        <w:rPr>
          <w:rFonts w:ascii="Times New Roman" w:hAnsi="Times New Roman" w:cs="Times New Roman"/>
        </w:rPr>
        <w:t xml:space="preserve">Figures </w:t>
      </w:r>
      <w:r w:rsidR="00525CCB">
        <w:rPr>
          <w:rFonts w:ascii="Times New Roman" w:hAnsi="Times New Roman" w:cs="Times New Roman"/>
        </w:rPr>
        <w:t>2 and 3</w:t>
      </w:r>
      <w:r w:rsidR="006E6F2C" w:rsidRPr="00807BAB">
        <w:rPr>
          <w:rFonts w:ascii="Times New Roman" w:hAnsi="Times New Roman" w:cs="Times New Roman"/>
        </w:rPr>
        <w:t xml:space="preserve"> </w:t>
      </w:r>
      <w:r w:rsidR="00FE76FB">
        <w:rPr>
          <w:rFonts w:ascii="Times New Roman" w:hAnsi="Times New Roman" w:cs="Times New Roman"/>
        </w:rPr>
        <w:t xml:space="preserve">include </w:t>
      </w:r>
      <w:r w:rsidR="00D17E17">
        <w:rPr>
          <w:rFonts w:ascii="Times New Roman" w:hAnsi="Times New Roman" w:cs="Times New Roman"/>
        </w:rPr>
        <w:t xml:space="preserve">those </w:t>
      </w:r>
      <w:r w:rsidR="00FE76FB">
        <w:rPr>
          <w:rFonts w:ascii="Times New Roman" w:hAnsi="Times New Roman" w:cs="Times New Roman"/>
        </w:rPr>
        <w:t xml:space="preserve">countries that have relaxed EPL for regular contracts (based on measure </w:t>
      </w:r>
      <w:r w:rsidR="00006B64">
        <w:rPr>
          <w:rFonts w:ascii="Times New Roman" w:hAnsi="Times New Roman" w:cs="Times New Roman"/>
        </w:rPr>
        <w:t xml:space="preserve">EPRC_V3). The evidence </w:t>
      </w:r>
      <w:r w:rsidR="006E6F2C" w:rsidRPr="00807BAB">
        <w:rPr>
          <w:rFonts w:ascii="Times New Roman" w:hAnsi="Times New Roman" w:cs="Times New Roman"/>
        </w:rPr>
        <w:t>suggest</w:t>
      </w:r>
      <w:r w:rsidR="00006B64">
        <w:rPr>
          <w:rFonts w:ascii="Times New Roman" w:hAnsi="Times New Roman" w:cs="Times New Roman"/>
        </w:rPr>
        <w:t>s</w:t>
      </w:r>
      <w:r w:rsidR="006E6F2C" w:rsidRPr="00807BAB">
        <w:rPr>
          <w:rFonts w:ascii="Times New Roman" w:hAnsi="Times New Roman" w:cs="Times New Roman"/>
        </w:rPr>
        <w:t xml:space="preserve"> that </w:t>
      </w:r>
      <w:r w:rsidR="009D57B7" w:rsidRPr="00807BAB">
        <w:rPr>
          <w:rFonts w:ascii="Times New Roman" w:hAnsi="Times New Roman" w:cs="Times New Roman"/>
        </w:rPr>
        <w:t xml:space="preserve">long-term unemployment for young workers (aged </w:t>
      </w:r>
      <w:r w:rsidR="008440DF">
        <w:rPr>
          <w:rFonts w:ascii="Times New Roman" w:hAnsi="Times New Roman" w:cs="Times New Roman"/>
        </w:rPr>
        <w:t>1</w:t>
      </w:r>
      <w:r w:rsidR="009D57B7" w:rsidRPr="00807BAB">
        <w:rPr>
          <w:rFonts w:ascii="Times New Roman" w:hAnsi="Times New Roman" w:cs="Times New Roman"/>
        </w:rPr>
        <w:t>5-24 years) and older workers (aged 25-64 years) remains well above pre-crisis levels</w:t>
      </w:r>
      <w:r w:rsidR="006E6F2C" w:rsidRPr="00807BAB">
        <w:rPr>
          <w:rFonts w:ascii="Times New Roman" w:hAnsi="Times New Roman" w:cs="Times New Roman"/>
        </w:rPr>
        <w:t xml:space="preserve"> in most of th</w:t>
      </w:r>
      <w:r w:rsidR="00006B64">
        <w:rPr>
          <w:rFonts w:ascii="Times New Roman" w:hAnsi="Times New Roman" w:cs="Times New Roman"/>
        </w:rPr>
        <w:t>e</w:t>
      </w:r>
      <w:r w:rsidR="006E6F2C" w:rsidRPr="00807BAB">
        <w:rPr>
          <w:rFonts w:ascii="Times New Roman" w:hAnsi="Times New Roman" w:cs="Times New Roman"/>
        </w:rPr>
        <w:t xml:space="preserve">se countries </w:t>
      </w:r>
      <w:r w:rsidR="009D57B7" w:rsidRPr="00807BAB">
        <w:rPr>
          <w:rFonts w:ascii="Times New Roman" w:hAnsi="Times New Roman" w:cs="Times New Roman"/>
        </w:rPr>
        <w:t>and has generally continued to increase, despite reforms to EPL</w:t>
      </w:r>
      <w:r w:rsidR="008440DF">
        <w:rPr>
          <w:rFonts w:ascii="Times New Roman" w:hAnsi="Times New Roman" w:cs="Times New Roman"/>
        </w:rPr>
        <w:t xml:space="preserve"> (Estonia is an exception, at least as far as adult workers are concerned)</w:t>
      </w:r>
      <w:r w:rsidR="00FE76FB">
        <w:rPr>
          <w:rStyle w:val="FootnoteReference"/>
          <w:rFonts w:ascii="Times New Roman" w:hAnsi="Times New Roman" w:cs="Times New Roman"/>
        </w:rPr>
        <w:footnoteReference w:id="1"/>
      </w:r>
      <w:r w:rsidR="006E6F2C" w:rsidRPr="00807BAB">
        <w:rPr>
          <w:rFonts w:ascii="Times New Roman" w:hAnsi="Times New Roman" w:cs="Times New Roman"/>
        </w:rPr>
        <w:t xml:space="preserve">. Other evidence </w:t>
      </w:r>
      <w:r w:rsidR="009D57B7" w:rsidRPr="00807BAB">
        <w:rPr>
          <w:rFonts w:ascii="Times New Roman" w:hAnsi="Times New Roman" w:cs="Times New Roman"/>
        </w:rPr>
        <w:t xml:space="preserve">similarly </w:t>
      </w:r>
      <w:r w:rsidR="006E6F2C" w:rsidRPr="00807BAB">
        <w:rPr>
          <w:rFonts w:ascii="Times New Roman" w:hAnsi="Times New Roman" w:cs="Times New Roman"/>
        </w:rPr>
        <w:t xml:space="preserve">suggests that </w:t>
      </w:r>
      <w:r w:rsidR="00594E19" w:rsidRPr="00807BAB">
        <w:rPr>
          <w:rFonts w:ascii="Times New Roman" w:hAnsi="Times New Roman" w:cs="Times New Roman"/>
        </w:rPr>
        <w:t xml:space="preserve">once GDP changes are controlled for, national experiences of youth unemployment since the start of the Great Recession </w:t>
      </w:r>
      <w:r w:rsidR="006E6F2C" w:rsidRPr="00807BAB">
        <w:rPr>
          <w:rFonts w:ascii="Times New Roman" w:hAnsi="Times New Roman" w:cs="Times New Roman"/>
        </w:rPr>
        <w:t>have been</w:t>
      </w:r>
      <w:r w:rsidR="00594E19" w:rsidRPr="00807BAB">
        <w:rPr>
          <w:rFonts w:ascii="Times New Roman" w:hAnsi="Times New Roman" w:cs="Times New Roman"/>
        </w:rPr>
        <w:t xml:space="preserve"> unrelated to differences in EPL strictness</w:t>
      </w:r>
      <w:r w:rsidR="006E6F2C" w:rsidRPr="00807BAB">
        <w:rPr>
          <w:rFonts w:ascii="Times New Roman" w:hAnsi="Times New Roman" w:cs="Times New Roman"/>
        </w:rPr>
        <w:t xml:space="preserve"> (Cazes et a1</w:t>
      </w:r>
      <w:r w:rsidR="00F75379">
        <w:rPr>
          <w:rFonts w:ascii="Times New Roman" w:hAnsi="Times New Roman" w:cs="Times New Roman"/>
        </w:rPr>
        <w:t>.</w:t>
      </w:r>
      <w:r w:rsidR="00D67EC8">
        <w:rPr>
          <w:rFonts w:ascii="Times New Roman" w:hAnsi="Times New Roman" w:cs="Times New Roman"/>
        </w:rPr>
        <w:t>,</w:t>
      </w:r>
      <w:r w:rsidR="006E6F2C" w:rsidRPr="00807BAB">
        <w:rPr>
          <w:rFonts w:ascii="Times New Roman" w:hAnsi="Times New Roman" w:cs="Times New Roman"/>
        </w:rPr>
        <w:t xml:space="preserve"> 2012)</w:t>
      </w:r>
      <w:r w:rsidR="00594E19" w:rsidRPr="00807BAB">
        <w:rPr>
          <w:rFonts w:ascii="Times New Roman" w:hAnsi="Times New Roman" w:cs="Times New Roman"/>
        </w:rPr>
        <w:t xml:space="preserve">. </w:t>
      </w:r>
    </w:p>
    <w:p w14:paraId="06F75B8F" w14:textId="77777777" w:rsidR="00FE76FB" w:rsidRDefault="00FE76FB" w:rsidP="00D67EC8">
      <w:pPr>
        <w:autoSpaceDE w:val="0"/>
        <w:autoSpaceDN w:val="0"/>
        <w:adjustRightInd w:val="0"/>
        <w:spacing w:after="0" w:afterAutospacing="0" w:line="480" w:lineRule="auto"/>
        <w:rPr>
          <w:rFonts w:ascii="Times New Roman" w:hAnsi="Times New Roman" w:cs="Times New Roman"/>
        </w:rPr>
      </w:pPr>
    </w:p>
    <w:p w14:paraId="2B7BCFF6" w14:textId="77777777" w:rsidR="00D67EC8" w:rsidRDefault="00D67EC8" w:rsidP="00D67EC8">
      <w:pPr>
        <w:autoSpaceDE w:val="0"/>
        <w:autoSpaceDN w:val="0"/>
        <w:adjustRightInd w:val="0"/>
        <w:spacing w:after="0" w:afterAutospacing="0" w:line="480" w:lineRule="auto"/>
        <w:rPr>
          <w:rFonts w:ascii="Times New Roman" w:hAnsi="Times New Roman" w:cs="Times New Roman"/>
        </w:rPr>
      </w:pPr>
    </w:p>
    <w:p w14:paraId="47E5E70F" w14:textId="57CE0E1E" w:rsidR="00D67EC8" w:rsidRDefault="00D67EC8" w:rsidP="00D67EC8">
      <w:pPr>
        <w:autoSpaceDE w:val="0"/>
        <w:autoSpaceDN w:val="0"/>
        <w:adjustRightInd w:val="0"/>
        <w:spacing w:after="0" w:afterAutospacing="0" w:line="480" w:lineRule="auto"/>
        <w:jc w:val="center"/>
        <w:rPr>
          <w:rFonts w:ascii="Times New Roman" w:hAnsi="Times New Roman" w:cs="Times New Roman"/>
        </w:rPr>
      </w:pPr>
      <w:r>
        <w:rPr>
          <w:rFonts w:ascii="Times New Roman" w:hAnsi="Times New Roman" w:cs="Times New Roman"/>
        </w:rPr>
        <w:lastRenderedPageBreak/>
        <w:t>FIGURE 2 ABOUT HERE</w:t>
      </w:r>
    </w:p>
    <w:p w14:paraId="59DE0A5B" w14:textId="77777777" w:rsidR="00D67EC8" w:rsidRDefault="00D67EC8" w:rsidP="00D67EC8">
      <w:pPr>
        <w:autoSpaceDE w:val="0"/>
        <w:autoSpaceDN w:val="0"/>
        <w:adjustRightInd w:val="0"/>
        <w:spacing w:after="0" w:afterAutospacing="0" w:line="480" w:lineRule="auto"/>
        <w:rPr>
          <w:rFonts w:ascii="Times New Roman" w:hAnsi="Times New Roman" w:cs="Times New Roman"/>
        </w:rPr>
      </w:pPr>
    </w:p>
    <w:p w14:paraId="36403215" w14:textId="77777777" w:rsidR="00D67EC8" w:rsidRDefault="00D67EC8" w:rsidP="00D67EC8">
      <w:pPr>
        <w:autoSpaceDE w:val="0"/>
        <w:autoSpaceDN w:val="0"/>
        <w:adjustRightInd w:val="0"/>
        <w:spacing w:after="0" w:afterAutospacing="0" w:line="480" w:lineRule="auto"/>
        <w:rPr>
          <w:rFonts w:ascii="Times New Roman" w:hAnsi="Times New Roman" w:cs="Times New Roman"/>
        </w:rPr>
      </w:pPr>
    </w:p>
    <w:p w14:paraId="574871D7" w14:textId="73B389C0" w:rsidR="00006B64" w:rsidRDefault="00D67EC8" w:rsidP="00D67EC8">
      <w:pPr>
        <w:autoSpaceDE w:val="0"/>
        <w:autoSpaceDN w:val="0"/>
        <w:adjustRightInd w:val="0"/>
        <w:spacing w:after="0" w:afterAutospacing="0" w:line="480" w:lineRule="auto"/>
        <w:rPr>
          <w:rFonts w:ascii="Times New Roman" w:hAnsi="Times New Roman" w:cs="Times New Roman"/>
          <w:b/>
        </w:rPr>
      </w:pPr>
      <w:r>
        <w:rPr>
          <w:rFonts w:ascii="Times New Roman" w:hAnsi="Times New Roman" w:cs="Times New Roman"/>
          <w:b/>
        </w:rPr>
        <w:t xml:space="preserve"> </w:t>
      </w:r>
    </w:p>
    <w:p w14:paraId="11442B03" w14:textId="7659782A" w:rsidR="00006B64" w:rsidRPr="00D67EC8" w:rsidRDefault="00D67EC8" w:rsidP="00D67EC8">
      <w:pPr>
        <w:autoSpaceDE w:val="0"/>
        <w:autoSpaceDN w:val="0"/>
        <w:adjustRightInd w:val="0"/>
        <w:spacing w:after="0" w:afterAutospacing="0" w:line="480" w:lineRule="auto"/>
        <w:jc w:val="center"/>
        <w:rPr>
          <w:rFonts w:ascii="Times New Roman" w:hAnsi="Times New Roman" w:cs="Times New Roman"/>
        </w:rPr>
      </w:pPr>
      <w:r w:rsidRPr="00D67EC8">
        <w:rPr>
          <w:rFonts w:ascii="Times New Roman" w:hAnsi="Times New Roman" w:cs="Times New Roman"/>
        </w:rPr>
        <w:t>FIGURE 3 ABOUT HERE</w:t>
      </w:r>
    </w:p>
    <w:p w14:paraId="70A25CB9" w14:textId="77777777" w:rsidR="00D67EC8" w:rsidRDefault="00D67EC8" w:rsidP="00D67EC8">
      <w:pPr>
        <w:autoSpaceDE w:val="0"/>
        <w:autoSpaceDN w:val="0"/>
        <w:adjustRightInd w:val="0"/>
        <w:spacing w:after="0" w:afterAutospacing="0" w:line="480" w:lineRule="auto"/>
        <w:rPr>
          <w:rFonts w:ascii="Times New Roman" w:hAnsi="Times New Roman" w:cs="Times New Roman"/>
          <w:b/>
        </w:rPr>
      </w:pPr>
    </w:p>
    <w:p w14:paraId="1FCC294F" w14:textId="77777777" w:rsidR="00D67EC8" w:rsidRDefault="00D67EC8" w:rsidP="00D67EC8">
      <w:pPr>
        <w:autoSpaceDE w:val="0"/>
        <w:autoSpaceDN w:val="0"/>
        <w:adjustRightInd w:val="0"/>
        <w:spacing w:after="0" w:afterAutospacing="0" w:line="480" w:lineRule="auto"/>
        <w:rPr>
          <w:rFonts w:ascii="Times New Roman" w:hAnsi="Times New Roman" w:cs="Times New Roman"/>
          <w:b/>
        </w:rPr>
      </w:pPr>
    </w:p>
    <w:p w14:paraId="53E10883" w14:textId="49B87D17" w:rsidR="00D17FD8" w:rsidRDefault="00754E2E" w:rsidP="00D67EC8">
      <w:pPr>
        <w:autoSpaceDE w:val="0"/>
        <w:autoSpaceDN w:val="0"/>
        <w:adjustRightInd w:val="0"/>
        <w:spacing w:after="0" w:afterAutospacing="0" w:line="480" w:lineRule="auto"/>
        <w:rPr>
          <w:rFonts w:ascii="Times New Roman" w:hAnsi="Times New Roman" w:cs="Times New Roman"/>
        </w:rPr>
      </w:pPr>
      <w:r>
        <w:rPr>
          <w:rFonts w:ascii="Times New Roman" w:hAnsi="Times New Roman" w:cs="Times New Roman"/>
        </w:rPr>
        <w:t xml:space="preserve">In theory, </w:t>
      </w:r>
      <w:r w:rsidR="0048194A">
        <w:rPr>
          <w:rFonts w:ascii="Times New Roman" w:hAnsi="Times New Roman" w:cs="Times New Roman"/>
        </w:rPr>
        <w:t xml:space="preserve">a </w:t>
      </w:r>
      <w:r>
        <w:rPr>
          <w:rFonts w:ascii="Times New Roman" w:hAnsi="Times New Roman" w:cs="Times New Roman"/>
        </w:rPr>
        <w:t>weakening</w:t>
      </w:r>
      <w:r w:rsidR="0048194A">
        <w:rPr>
          <w:rFonts w:ascii="Times New Roman" w:hAnsi="Times New Roman" w:cs="Times New Roman"/>
        </w:rPr>
        <w:t xml:space="preserve"> of</w:t>
      </w:r>
      <w:r>
        <w:rPr>
          <w:rFonts w:ascii="Times New Roman" w:hAnsi="Times New Roman" w:cs="Times New Roman"/>
        </w:rPr>
        <w:t xml:space="preserve"> EPL for regular contracts relative to temporary and fixed-term contracts will reduce the incentives for employers to make use of the latter, thereby reducing the divide between ‘insiders’ and ‘outsiders’</w:t>
      </w:r>
      <w:r w:rsidR="00BB7FA2">
        <w:rPr>
          <w:rFonts w:ascii="Times New Roman" w:hAnsi="Times New Roman" w:cs="Times New Roman"/>
        </w:rPr>
        <w:t xml:space="preserve"> </w:t>
      </w:r>
      <w:r w:rsidR="00BB7FA2" w:rsidRPr="00A678CE">
        <w:rPr>
          <w:rFonts w:ascii="Times New Roman" w:hAnsi="Times New Roman" w:cs="Times New Roman"/>
        </w:rPr>
        <w:t>(Bassanini and Duval</w:t>
      </w:r>
      <w:r w:rsidR="00F75379">
        <w:rPr>
          <w:rFonts w:ascii="Times New Roman" w:hAnsi="Times New Roman" w:cs="Times New Roman"/>
        </w:rPr>
        <w:t>,</w:t>
      </w:r>
      <w:r w:rsidR="00BB7FA2" w:rsidRPr="00A678CE">
        <w:rPr>
          <w:rFonts w:ascii="Times New Roman" w:hAnsi="Times New Roman" w:cs="Times New Roman"/>
        </w:rPr>
        <w:t xml:space="preserve"> 2006; Layard et al.</w:t>
      </w:r>
      <w:r w:rsidR="00F75379">
        <w:rPr>
          <w:rFonts w:ascii="Times New Roman" w:hAnsi="Times New Roman" w:cs="Times New Roman"/>
        </w:rPr>
        <w:t>,</w:t>
      </w:r>
      <w:r w:rsidR="00BB7FA2" w:rsidRPr="00A678CE">
        <w:rPr>
          <w:rFonts w:ascii="Times New Roman" w:hAnsi="Times New Roman" w:cs="Times New Roman"/>
        </w:rPr>
        <w:t xml:space="preserve"> 2005; OECD</w:t>
      </w:r>
      <w:r w:rsidR="00F75379">
        <w:rPr>
          <w:rFonts w:ascii="Times New Roman" w:hAnsi="Times New Roman" w:cs="Times New Roman"/>
        </w:rPr>
        <w:t>,</w:t>
      </w:r>
      <w:r w:rsidR="00BB7FA2" w:rsidRPr="00A678CE">
        <w:rPr>
          <w:rFonts w:ascii="Times New Roman" w:hAnsi="Times New Roman" w:cs="Times New Roman"/>
        </w:rPr>
        <w:t xml:space="preserve"> 2004).</w:t>
      </w:r>
      <w:r>
        <w:rPr>
          <w:rFonts w:ascii="Times New Roman" w:hAnsi="Times New Roman" w:cs="Times New Roman"/>
        </w:rPr>
        <w:t xml:space="preserve"> With the exception of Spain, however, the proportion of workers in temporary employment in those countries that have reformed EPL has not fallen below pre-crisis levels. </w:t>
      </w:r>
      <w:r w:rsidR="007216E7">
        <w:rPr>
          <w:rFonts w:ascii="Times New Roman" w:hAnsi="Times New Roman"/>
        </w:rPr>
        <w:t>The proportion of workers employed on temporary contracts has long been exceptionally large in Spain and t</w:t>
      </w:r>
      <w:r w:rsidR="007216E7" w:rsidRPr="005870A0">
        <w:rPr>
          <w:rFonts w:ascii="Times New Roman" w:hAnsi="Times New Roman"/>
        </w:rPr>
        <w:t xml:space="preserve">emporary employment accounted for 90 percent of all job losses </w:t>
      </w:r>
      <w:r w:rsidR="007216E7">
        <w:rPr>
          <w:rFonts w:ascii="Times New Roman" w:hAnsi="Times New Roman"/>
        </w:rPr>
        <w:t>in that country during</w:t>
      </w:r>
      <w:r w:rsidR="007216E7" w:rsidRPr="005870A0">
        <w:rPr>
          <w:rFonts w:ascii="Times New Roman" w:hAnsi="Times New Roman"/>
        </w:rPr>
        <w:t xml:space="preserve"> the 12 months to June 2009 (OECD</w:t>
      </w:r>
      <w:r w:rsidR="00F75379">
        <w:rPr>
          <w:rFonts w:ascii="Times New Roman" w:hAnsi="Times New Roman"/>
        </w:rPr>
        <w:t>,</w:t>
      </w:r>
      <w:r w:rsidR="007216E7" w:rsidRPr="005870A0">
        <w:rPr>
          <w:rFonts w:ascii="Times New Roman" w:hAnsi="Times New Roman"/>
        </w:rPr>
        <w:t xml:space="preserve"> 2009).</w:t>
      </w:r>
      <w:r w:rsidR="007216E7">
        <w:rPr>
          <w:rFonts w:ascii="Times New Roman" w:hAnsi="Times New Roman"/>
        </w:rPr>
        <w:t xml:space="preserve"> A</w:t>
      </w:r>
      <w:r w:rsidR="00057C99">
        <w:rPr>
          <w:rFonts w:ascii="Times New Roman" w:hAnsi="Times New Roman"/>
        </w:rPr>
        <w:t>s shown in Figure 4, a</w:t>
      </w:r>
      <w:r w:rsidR="007216E7">
        <w:rPr>
          <w:rFonts w:ascii="Times New Roman" w:hAnsi="Times New Roman"/>
        </w:rPr>
        <w:t>mong the other EPL reformers, temporary employment as a proportion of total employment has remained relatively stable during the crisis</w:t>
      </w:r>
      <w:r w:rsidR="00057C99">
        <w:rPr>
          <w:rFonts w:ascii="Times New Roman" w:hAnsi="Times New Roman"/>
        </w:rPr>
        <w:t>.</w:t>
      </w:r>
    </w:p>
    <w:p w14:paraId="1EB069A9" w14:textId="7D7CFC5E" w:rsidR="00B021F2" w:rsidRDefault="00D67EC8" w:rsidP="00D67EC8">
      <w:pPr>
        <w:autoSpaceDE w:val="0"/>
        <w:autoSpaceDN w:val="0"/>
        <w:adjustRightInd w:val="0"/>
        <w:spacing w:after="0" w:afterAutospacing="0" w:line="480" w:lineRule="auto"/>
        <w:rPr>
          <w:rFonts w:ascii="Times New Roman" w:hAnsi="Times New Roman" w:cs="Times New Roman"/>
        </w:rPr>
      </w:pPr>
      <w:r>
        <w:rPr>
          <w:rFonts w:ascii="Times New Roman" w:hAnsi="Times New Roman" w:cs="Times New Roman"/>
        </w:rPr>
        <w:t xml:space="preserve"> </w:t>
      </w:r>
    </w:p>
    <w:p w14:paraId="70D23C34" w14:textId="11CB29CD" w:rsidR="00B021F2" w:rsidRDefault="00D67EC8" w:rsidP="00D67EC8">
      <w:pPr>
        <w:autoSpaceDE w:val="0"/>
        <w:autoSpaceDN w:val="0"/>
        <w:adjustRightInd w:val="0"/>
        <w:spacing w:after="0" w:afterAutospacing="0" w:line="480" w:lineRule="auto"/>
        <w:jc w:val="center"/>
        <w:rPr>
          <w:rFonts w:ascii="Times New Roman" w:hAnsi="Times New Roman" w:cs="Times New Roman"/>
        </w:rPr>
      </w:pPr>
      <w:r>
        <w:rPr>
          <w:rFonts w:ascii="Times New Roman" w:hAnsi="Times New Roman" w:cs="Times New Roman"/>
        </w:rPr>
        <w:t>FIGURE 4 ABOUT HERE</w:t>
      </w:r>
    </w:p>
    <w:p w14:paraId="4A2041A8" w14:textId="77777777" w:rsidR="009D57B7" w:rsidRPr="00807BAB" w:rsidRDefault="009D57B7" w:rsidP="00D67EC8">
      <w:pPr>
        <w:autoSpaceDE w:val="0"/>
        <w:autoSpaceDN w:val="0"/>
        <w:adjustRightInd w:val="0"/>
        <w:spacing w:after="0" w:afterAutospacing="0" w:line="480" w:lineRule="auto"/>
        <w:rPr>
          <w:rFonts w:ascii="Times New Roman" w:hAnsi="Times New Roman" w:cs="Times New Roman"/>
        </w:rPr>
      </w:pPr>
    </w:p>
    <w:p w14:paraId="5283A2F8" w14:textId="2F0BA3E2" w:rsidR="00C93C15" w:rsidRDefault="00313ED7" w:rsidP="00D67EC8">
      <w:pPr>
        <w:autoSpaceDE w:val="0"/>
        <w:autoSpaceDN w:val="0"/>
        <w:adjustRightInd w:val="0"/>
        <w:spacing w:after="0" w:afterAutospacing="0" w:line="480" w:lineRule="auto"/>
        <w:rPr>
          <w:rFonts w:ascii="Times New Roman" w:hAnsi="Times New Roman" w:cs="Times New Roman"/>
          <w:b/>
        </w:rPr>
      </w:pPr>
      <w:r w:rsidRPr="00807BAB">
        <w:rPr>
          <w:rFonts w:ascii="Times New Roman" w:hAnsi="Times New Roman" w:cs="Times New Roman"/>
          <w:b/>
        </w:rPr>
        <w:t xml:space="preserve">5. </w:t>
      </w:r>
      <w:r w:rsidR="00B81887">
        <w:rPr>
          <w:rFonts w:ascii="Times New Roman" w:hAnsi="Times New Roman" w:cs="Times New Roman"/>
          <w:b/>
        </w:rPr>
        <w:t xml:space="preserve">From job </w:t>
      </w:r>
      <w:r w:rsidR="00240A94">
        <w:rPr>
          <w:rFonts w:ascii="Times New Roman" w:hAnsi="Times New Roman" w:cs="Times New Roman"/>
          <w:b/>
        </w:rPr>
        <w:t>security</w:t>
      </w:r>
      <w:r w:rsidR="00B81887">
        <w:rPr>
          <w:rFonts w:ascii="Times New Roman" w:hAnsi="Times New Roman" w:cs="Times New Roman"/>
          <w:b/>
        </w:rPr>
        <w:t xml:space="preserve"> to employment </w:t>
      </w:r>
      <w:r w:rsidR="00AA263F">
        <w:rPr>
          <w:rFonts w:ascii="Times New Roman" w:hAnsi="Times New Roman" w:cs="Times New Roman"/>
          <w:b/>
        </w:rPr>
        <w:t>security</w:t>
      </w:r>
      <w:r w:rsidR="00B81887">
        <w:rPr>
          <w:rFonts w:ascii="Times New Roman" w:hAnsi="Times New Roman" w:cs="Times New Roman"/>
          <w:b/>
        </w:rPr>
        <w:t>?</w:t>
      </w:r>
      <w:r w:rsidR="006121BB">
        <w:rPr>
          <w:rFonts w:ascii="Times New Roman" w:hAnsi="Times New Roman" w:cs="Times New Roman"/>
          <w:b/>
        </w:rPr>
        <w:t xml:space="preserve"> </w:t>
      </w:r>
    </w:p>
    <w:p w14:paraId="353B2EFB" w14:textId="45A3BC63" w:rsidR="009F17B7" w:rsidRPr="00FF6029" w:rsidRDefault="006121BB" w:rsidP="00D67EC8">
      <w:pPr>
        <w:autoSpaceDE w:val="0"/>
        <w:autoSpaceDN w:val="0"/>
        <w:adjustRightInd w:val="0"/>
        <w:spacing w:after="0" w:afterAutospacing="0" w:line="480" w:lineRule="auto"/>
        <w:rPr>
          <w:rFonts w:ascii="Times New Roman" w:hAnsi="Times New Roman" w:cs="Times New Roman"/>
        </w:rPr>
      </w:pPr>
      <w:r w:rsidRPr="00FF6029">
        <w:rPr>
          <w:rFonts w:ascii="Times New Roman" w:eastAsia="+mn-ea" w:hAnsi="Times New Roman" w:cs="Times New Roman"/>
        </w:rPr>
        <w:t>For the European Commission, employment protection reform is but one facet of its boarder flexicur</w:t>
      </w:r>
      <w:r w:rsidR="00FF6029" w:rsidRPr="00FF6029">
        <w:rPr>
          <w:rFonts w:ascii="Times New Roman" w:eastAsia="+mn-ea" w:hAnsi="Times New Roman" w:cs="Times New Roman"/>
        </w:rPr>
        <w:t>ity</w:t>
      </w:r>
      <w:r w:rsidRPr="00FF6029">
        <w:rPr>
          <w:rFonts w:ascii="Times New Roman" w:eastAsia="+mn-ea" w:hAnsi="Times New Roman" w:cs="Times New Roman"/>
        </w:rPr>
        <w:t xml:space="preserve"> agenda</w:t>
      </w:r>
      <w:r w:rsidR="00FF6029" w:rsidRPr="00FF6029">
        <w:rPr>
          <w:rFonts w:ascii="Times New Roman" w:eastAsia="+mn-ea" w:hAnsi="Times New Roman" w:cs="Times New Roman"/>
        </w:rPr>
        <w:t xml:space="preserve">, which is </w:t>
      </w:r>
      <w:r w:rsidR="00FF6029" w:rsidRPr="00FF6029">
        <w:rPr>
          <w:rFonts w:ascii="Times New Roman" w:hAnsi="Times New Roman" w:cs="Times New Roman"/>
        </w:rPr>
        <w:t>supposed to promote ‘employment security’ rather than ‘job security’ (European Commission, 2007: 7)</w:t>
      </w:r>
      <w:r w:rsidR="00FF6029" w:rsidRPr="00FF6029">
        <w:rPr>
          <w:rFonts w:ascii="Times New Roman" w:hAnsi="Times New Roman" w:cs="Times New Roman"/>
          <w:bCs/>
        </w:rPr>
        <w:t xml:space="preserve"> and protect people rather than jobs</w:t>
      </w:r>
      <w:r w:rsidR="00FF6029" w:rsidRPr="00FF6029">
        <w:rPr>
          <w:rFonts w:ascii="Times New Roman" w:hAnsi="Times New Roman" w:cs="Times New Roman"/>
          <w:vertAlign w:val="superscript"/>
          <w:lang w:val="en"/>
        </w:rPr>
        <w:t xml:space="preserve">3. </w:t>
      </w:r>
      <w:r w:rsidR="00FF6029" w:rsidRPr="00FF6029">
        <w:rPr>
          <w:rFonts w:ascii="Times New Roman" w:hAnsi="Times New Roman" w:cs="Times New Roman"/>
          <w:bCs/>
        </w:rPr>
        <w:t>EU member states have</w:t>
      </w:r>
      <w:r w:rsidR="00FF6029" w:rsidRPr="00FF6029">
        <w:rPr>
          <w:rFonts w:ascii="Times New Roman" w:hAnsi="Times New Roman" w:cs="Times New Roman"/>
        </w:rPr>
        <w:t xml:space="preserve"> therefore been advised to increase labour market flexibility while simultaneously improving workers’ ability to make labour market transitions through active labour market policies and lifelong learning measures that increase workers’ e</w:t>
      </w:r>
      <w:r w:rsidR="00FF6029" w:rsidRPr="00FF6029">
        <w:rPr>
          <w:rFonts w:ascii="Times New Roman" w:hAnsi="Times New Roman" w:cs="Times New Roman"/>
          <w:i/>
        </w:rPr>
        <w:t xml:space="preserve">mployability. </w:t>
      </w:r>
      <w:r w:rsidR="00FF6029" w:rsidRPr="00FF6029">
        <w:rPr>
          <w:rFonts w:ascii="Times New Roman" w:hAnsi="Times New Roman" w:cs="Times New Roman"/>
          <w:lang w:val="en"/>
        </w:rPr>
        <w:t xml:space="preserve">The envisaged protections consist of support (opportunities to enhance ‘employability’ through education, assistance with ‘job search) and incentives for workers’ to make </w:t>
      </w:r>
      <w:r w:rsidR="00FF6029" w:rsidRPr="00FF6029">
        <w:rPr>
          <w:rFonts w:ascii="Times New Roman" w:hAnsi="Times New Roman" w:cs="Times New Roman"/>
          <w:lang w:val="en"/>
        </w:rPr>
        <w:lastRenderedPageBreak/>
        <w:t>smooth transitions between jobs, thereby ensuring that ‘</w:t>
      </w:r>
      <w:r w:rsidR="00FF6029" w:rsidRPr="00FF6029">
        <w:rPr>
          <w:rFonts w:ascii="Times New Roman" w:hAnsi="Times New Roman" w:cs="Times New Roman"/>
        </w:rPr>
        <w:t>EU citizen can enjoy […] the possibility to easily find a job at every stage of active life’ (EC</w:t>
      </w:r>
      <w:r w:rsidR="00F75379">
        <w:rPr>
          <w:rFonts w:ascii="Times New Roman" w:hAnsi="Times New Roman" w:cs="Times New Roman"/>
        </w:rPr>
        <w:t>,</w:t>
      </w:r>
      <w:r w:rsidR="00FF6029" w:rsidRPr="00FF6029">
        <w:rPr>
          <w:rFonts w:ascii="Times New Roman" w:hAnsi="Times New Roman" w:cs="Times New Roman"/>
        </w:rPr>
        <w:t xml:space="preserve"> 2007: 10). However, the extent to which such ‘protections’ offer workers ‘security’ depends on whether aggregate demand for labour power is stable and strong, which it is clearly not in those countries that have been diluting </w:t>
      </w:r>
      <w:r w:rsidR="004B5131">
        <w:rPr>
          <w:rFonts w:ascii="Times New Roman" w:hAnsi="Times New Roman" w:cs="Times New Roman"/>
        </w:rPr>
        <w:t xml:space="preserve">their </w:t>
      </w:r>
      <w:r w:rsidR="00FF6029" w:rsidRPr="00FF6029">
        <w:rPr>
          <w:rFonts w:ascii="Times New Roman" w:hAnsi="Times New Roman" w:cs="Times New Roman"/>
        </w:rPr>
        <w:t>EPL</w:t>
      </w:r>
      <w:r w:rsidR="004B5131">
        <w:rPr>
          <w:rFonts w:ascii="Times New Roman" w:hAnsi="Times New Roman" w:cs="Times New Roman"/>
        </w:rPr>
        <w:t xml:space="preserve"> provisions</w:t>
      </w:r>
      <w:r w:rsidR="00FF6029" w:rsidRPr="00FF6029">
        <w:rPr>
          <w:rFonts w:ascii="Times New Roman" w:hAnsi="Times New Roman" w:cs="Times New Roman"/>
        </w:rPr>
        <w:t xml:space="preserve">. Furthermore, the austerity programmes being pursued in these countries have led to reductions in spending on social protections. ‘Flexibility’ is being increased as ‘security’ is decreased. </w:t>
      </w:r>
      <w:r w:rsidR="00E803D5">
        <w:rPr>
          <w:rFonts w:ascii="Times New Roman" w:hAnsi="Times New Roman" w:cs="Times New Roman"/>
        </w:rPr>
        <w:t xml:space="preserve">Cuts and greater restrictions in respect of unemployment benefits have been implemented in Greece, Spain, </w:t>
      </w:r>
      <w:r w:rsidR="00E41EC2">
        <w:rPr>
          <w:rFonts w:ascii="Times New Roman" w:hAnsi="Times New Roman" w:cs="Times New Roman"/>
        </w:rPr>
        <w:t xml:space="preserve">Slovenia, </w:t>
      </w:r>
      <w:r w:rsidR="00E803D5">
        <w:rPr>
          <w:rFonts w:ascii="Times New Roman" w:hAnsi="Times New Roman" w:cs="Times New Roman"/>
        </w:rPr>
        <w:t>Hungary</w:t>
      </w:r>
      <w:r w:rsidR="00814D17">
        <w:rPr>
          <w:rFonts w:ascii="Times New Roman" w:hAnsi="Times New Roman" w:cs="Times New Roman"/>
        </w:rPr>
        <w:t xml:space="preserve"> and</w:t>
      </w:r>
      <w:r w:rsidR="00E803D5">
        <w:rPr>
          <w:rFonts w:ascii="Times New Roman" w:hAnsi="Times New Roman" w:cs="Times New Roman"/>
        </w:rPr>
        <w:t xml:space="preserve"> the Czech Republic and in many of these countries other benefits, such as family allowances and sickness benefits, have also been reduced</w:t>
      </w:r>
      <w:r w:rsidR="00236009">
        <w:rPr>
          <w:rFonts w:ascii="Times New Roman" w:hAnsi="Times New Roman" w:cs="Times New Roman"/>
        </w:rPr>
        <w:t xml:space="preserve"> (Laulom et al. 2012</w:t>
      </w:r>
      <w:r w:rsidR="008531F6">
        <w:rPr>
          <w:rFonts w:ascii="Times New Roman" w:hAnsi="Times New Roman" w:cs="Times New Roman"/>
        </w:rPr>
        <w:t>; Heyes 2013</w:t>
      </w:r>
      <w:r w:rsidR="00CE3966">
        <w:rPr>
          <w:rFonts w:ascii="Times New Roman" w:hAnsi="Times New Roman" w:cs="Times New Roman"/>
        </w:rPr>
        <w:t>a</w:t>
      </w:r>
      <w:r w:rsidR="00236009">
        <w:rPr>
          <w:rFonts w:ascii="Times New Roman" w:hAnsi="Times New Roman" w:cs="Times New Roman"/>
        </w:rPr>
        <w:t>)</w:t>
      </w:r>
      <w:r w:rsidR="00E803D5">
        <w:rPr>
          <w:rFonts w:ascii="Times New Roman" w:hAnsi="Times New Roman" w:cs="Times New Roman"/>
        </w:rPr>
        <w:t xml:space="preserve">. Steps have also been taken to link entitlement to benefits more closely to workers’ willingness to accept a job, regardless of its quality. As can be seen from Figure </w:t>
      </w:r>
      <w:r w:rsidR="00F53ECB">
        <w:rPr>
          <w:rFonts w:ascii="Times New Roman" w:hAnsi="Times New Roman" w:cs="Times New Roman"/>
        </w:rPr>
        <w:t>5</w:t>
      </w:r>
      <w:r w:rsidR="00E803D5">
        <w:rPr>
          <w:rFonts w:ascii="Times New Roman" w:hAnsi="Times New Roman" w:cs="Times New Roman"/>
        </w:rPr>
        <w:t>, net replacement rates</w:t>
      </w:r>
      <w:r w:rsidR="00F53ECB">
        <w:rPr>
          <w:rFonts w:ascii="Times New Roman" w:hAnsi="Times New Roman" w:cs="Times New Roman"/>
        </w:rPr>
        <w:t xml:space="preserve"> have fallen below pre-crisis levels in several of those countries </w:t>
      </w:r>
      <w:r w:rsidR="0058287B">
        <w:rPr>
          <w:rFonts w:ascii="Times New Roman" w:hAnsi="Times New Roman" w:cs="Times New Roman"/>
        </w:rPr>
        <w:t xml:space="preserve">(notably Greece, Portugal and Hungary) </w:t>
      </w:r>
      <w:r w:rsidR="00F53ECB">
        <w:rPr>
          <w:rFonts w:ascii="Times New Roman" w:hAnsi="Times New Roman" w:cs="Times New Roman"/>
        </w:rPr>
        <w:t>that have</w:t>
      </w:r>
      <w:r w:rsidR="00F13368">
        <w:rPr>
          <w:rFonts w:ascii="Times New Roman" w:hAnsi="Times New Roman" w:cs="Times New Roman"/>
        </w:rPr>
        <w:t xml:space="preserve"> weakened</w:t>
      </w:r>
      <w:r w:rsidR="00F53ECB">
        <w:rPr>
          <w:rFonts w:ascii="Times New Roman" w:hAnsi="Times New Roman" w:cs="Times New Roman"/>
        </w:rPr>
        <w:t xml:space="preserve"> </w:t>
      </w:r>
      <w:r w:rsidR="004B5131">
        <w:rPr>
          <w:rFonts w:ascii="Times New Roman" w:hAnsi="Times New Roman" w:cs="Times New Roman"/>
        </w:rPr>
        <w:t xml:space="preserve">their </w:t>
      </w:r>
      <w:r w:rsidR="00F53ECB">
        <w:rPr>
          <w:rFonts w:ascii="Times New Roman" w:hAnsi="Times New Roman" w:cs="Times New Roman"/>
        </w:rPr>
        <w:t>EPL.</w:t>
      </w:r>
    </w:p>
    <w:p w14:paraId="3EB76E6F" w14:textId="77777777" w:rsidR="00D67EC8" w:rsidRDefault="00D67EC8" w:rsidP="00D67EC8">
      <w:pPr>
        <w:spacing w:line="480" w:lineRule="auto"/>
        <w:rPr>
          <w:rFonts w:ascii="Times New Roman" w:hAnsi="Times New Roman" w:cs="Times New Roman"/>
          <w:b/>
        </w:rPr>
      </w:pPr>
    </w:p>
    <w:p w14:paraId="1E147B9B" w14:textId="12D6B6A3" w:rsidR="00D67EC8" w:rsidRPr="00D67EC8" w:rsidRDefault="00D67EC8" w:rsidP="00D67EC8">
      <w:pPr>
        <w:spacing w:line="480" w:lineRule="auto"/>
        <w:jc w:val="center"/>
        <w:rPr>
          <w:rFonts w:ascii="Times New Roman" w:hAnsi="Times New Roman" w:cs="Times New Roman"/>
        </w:rPr>
      </w:pPr>
      <w:r w:rsidRPr="00D67EC8">
        <w:rPr>
          <w:rFonts w:ascii="Times New Roman" w:hAnsi="Times New Roman" w:cs="Times New Roman"/>
        </w:rPr>
        <w:t>FIGURE 5 ABOUT HERE</w:t>
      </w:r>
    </w:p>
    <w:p w14:paraId="28D50F76" w14:textId="25B62BBB" w:rsidR="00BA5A78" w:rsidRDefault="003D01CE" w:rsidP="00D67EC8">
      <w:pPr>
        <w:autoSpaceDE w:val="0"/>
        <w:autoSpaceDN w:val="0"/>
        <w:adjustRightInd w:val="0"/>
        <w:spacing w:after="0" w:afterAutospacing="0" w:line="480" w:lineRule="auto"/>
        <w:rPr>
          <w:rFonts w:ascii="Times New Roman" w:hAnsi="Times New Roman" w:cs="Times New Roman"/>
        </w:rPr>
      </w:pPr>
      <w:r>
        <w:rPr>
          <w:rFonts w:ascii="Times New Roman" w:hAnsi="Times New Roman" w:cs="Times New Roman"/>
        </w:rPr>
        <w:t xml:space="preserve">In general, levels of </w:t>
      </w:r>
      <w:r w:rsidR="008531F6">
        <w:rPr>
          <w:rFonts w:ascii="Times New Roman" w:hAnsi="Times New Roman" w:cs="Times New Roman"/>
        </w:rPr>
        <w:t>government spending</w:t>
      </w:r>
      <w:r>
        <w:rPr>
          <w:rFonts w:ascii="Times New Roman" w:hAnsi="Times New Roman" w:cs="Times New Roman"/>
        </w:rPr>
        <w:t xml:space="preserve"> on </w:t>
      </w:r>
      <w:r w:rsidR="008531F6">
        <w:rPr>
          <w:rFonts w:ascii="Times New Roman" w:hAnsi="Times New Roman" w:cs="Times New Roman"/>
        </w:rPr>
        <w:t xml:space="preserve">active labour market programmes (ALMPs) </w:t>
      </w:r>
      <w:r>
        <w:rPr>
          <w:rFonts w:ascii="Times New Roman" w:hAnsi="Times New Roman" w:cs="Times New Roman"/>
        </w:rPr>
        <w:t xml:space="preserve">tend to be positively correlated with levels of </w:t>
      </w:r>
      <w:r w:rsidR="008531F6">
        <w:rPr>
          <w:rFonts w:ascii="Times New Roman" w:hAnsi="Times New Roman" w:cs="Times New Roman"/>
        </w:rPr>
        <w:t>spending</w:t>
      </w:r>
      <w:r>
        <w:rPr>
          <w:rFonts w:ascii="Times New Roman" w:hAnsi="Times New Roman" w:cs="Times New Roman"/>
        </w:rPr>
        <w:t xml:space="preserve"> on passive labour market measures, p</w:t>
      </w:r>
      <w:r w:rsidR="008531F6">
        <w:rPr>
          <w:rFonts w:ascii="Times New Roman" w:hAnsi="Times New Roman" w:cs="Times New Roman"/>
        </w:rPr>
        <w:t>artly</w:t>
      </w:r>
      <w:r>
        <w:rPr>
          <w:rFonts w:ascii="Times New Roman" w:hAnsi="Times New Roman" w:cs="Times New Roman"/>
        </w:rPr>
        <w:t xml:space="preserve"> because the cost to the state and perceived risk of benefit dependency create added incentives for governments to </w:t>
      </w:r>
      <w:r w:rsidR="008531F6">
        <w:rPr>
          <w:rFonts w:ascii="Times New Roman" w:hAnsi="Times New Roman" w:cs="Times New Roman"/>
        </w:rPr>
        <w:t xml:space="preserve">attempt to </w:t>
      </w:r>
      <w:r>
        <w:rPr>
          <w:rFonts w:ascii="Times New Roman" w:hAnsi="Times New Roman" w:cs="Times New Roman"/>
        </w:rPr>
        <w:t>affect speedy transitions from unemployment to employment (Grubb</w:t>
      </w:r>
      <w:r w:rsidR="00F75379">
        <w:rPr>
          <w:rFonts w:ascii="Times New Roman" w:hAnsi="Times New Roman" w:cs="Times New Roman"/>
        </w:rPr>
        <w:t xml:space="preserve">, </w:t>
      </w:r>
      <w:r>
        <w:rPr>
          <w:rFonts w:ascii="Times New Roman" w:hAnsi="Times New Roman" w:cs="Times New Roman"/>
        </w:rPr>
        <w:t>2007: 9; OECD</w:t>
      </w:r>
      <w:r w:rsidR="00F75379">
        <w:rPr>
          <w:rFonts w:ascii="Times New Roman" w:hAnsi="Times New Roman" w:cs="Times New Roman"/>
        </w:rPr>
        <w:t>,</w:t>
      </w:r>
      <w:r>
        <w:rPr>
          <w:rFonts w:ascii="Times New Roman" w:hAnsi="Times New Roman" w:cs="Times New Roman"/>
        </w:rPr>
        <w:t xml:space="preserve"> 2009b).</w:t>
      </w:r>
      <w:r w:rsidR="00F53ECB">
        <w:rPr>
          <w:rFonts w:ascii="Times New Roman" w:hAnsi="Times New Roman" w:cs="Times New Roman"/>
        </w:rPr>
        <w:t xml:space="preserve"> </w:t>
      </w:r>
      <w:r>
        <w:rPr>
          <w:rFonts w:ascii="Times New Roman" w:hAnsi="Times New Roman" w:cs="Times New Roman"/>
        </w:rPr>
        <w:t>S</w:t>
      </w:r>
      <w:r w:rsidR="00F53ECB">
        <w:rPr>
          <w:rFonts w:ascii="Times New Roman" w:hAnsi="Times New Roman" w:cs="Times New Roman"/>
        </w:rPr>
        <w:t xml:space="preserve">pending on ALMPs tends to be </w:t>
      </w:r>
      <w:r w:rsidR="00BA5A78">
        <w:rPr>
          <w:rFonts w:ascii="Times New Roman" w:hAnsi="Times New Roman" w:cs="Times New Roman"/>
        </w:rPr>
        <w:t xml:space="preserve">considerably </w:t>
      </w:r>
      <w:r w:rsidR="00F53ECB">
        <w:rPr>
          <w:rFonts w:ascii="Times New Roman" w:hAnsi="Times New Roman" w:cs="Times New Roman"/>
        </w:rPr>
        <w:t xml:space="preserve">lower in the southern and central and eastern European </w:t>
      </w:r>
      <w:r w:rsidR="00BA5A78">
        <w:rPr>
          <w:rFonts w:ascii="Times New Roman" w:hAnsi="Times New Roman" w:cs="Times New Roman"/>
        </w:rPr>
        <w:t xml:space="preserve">(CEE) </w:t>
      </w:r>
      <w:r w:rsidR="00F53ECB">
        <w:rPr>
          <w:rFonts w:ascii="Times New Roman" w:hAnsi="Times New Roman" w:cs="Times New Roman"/>
        </w:rPr>
        <w:t>economies that have been worst hit by the crisis than in northern European and (in particular) Scandinavian economies</w:t>
      </w:r>
      <w:r>
        <w:rPr>
          <w:rFonts w:ascii="Times New Roman" w:hAnsi="Times New Roman" w:cs="Times New Roman"/>
        </w:rPr>
        <w:t xml:space="preserve"> (Auer</w:t>
      </w:r>
      <w:r w:rsidR="00F75379">
        <w:rPr>
          <w:rFonts w:ascii="Times New Roman" w:hAnsi="Times New Roman" w:cs="Times New Roman"/>
        </w:rPr>
        <w:t xml:space="preserve"> et al.,</w:t>
      </w:r>
      <w:r>
        <w:rPr>
          <w:rFonts w:ascii="Times New Roman" w:hAnsi="Times New Roman" w:cs="Times New Roman"/>
        </w:rPr>
        <w:t xml:space="preserve"> 2008: 24)</w:t>
      </w:r>
      <w:r w:rsidR="00F53ECB">
        <w:rPr>
          <w:rFonts w:ascii="Times New Roman" w:hAnsi="Times New Roman" w:cs="Times New Roman"/>
        </w:rPr>
        <w:t xml:space="preserve">. </w:t>
      </w:r>
      <w:r w:rsidR="009367BB">
        <w:rPr>
          <w:rFonts w:ascii="Times New Roman" w:hAnsi="Times New Roman" w:cs="Times New Roman"/>
        </w:rPr>
        <w:t xml:space="preserve">While </w:t>
      </w:r>
      <w:r w:rsidR="00BA5A78">
        <w:rPr>
          <w:rFonts w:ascii="Times New Roman" w:hAnsi="Times New Roman" w:cs="Times New Roman"/>
        </w:rPr>
        <w:t>m</w:t>
      </w:r>
      <w:r w:rsidR="009367BB">
        <w:rPr>
          <w:rFonts w:ascii="Times New Roman" w:hAnsi="Times New Roman" w:cs="Times New Roman"/>
        </w:rPr>
        <w:t>any souther</w:t>
      </w:r>
      <w:r w:rsidR="00F747C7">
        <w:rPr>
          <w:rFonts w:ascii="Times New Roman" w:hAnsi="Times New Roman" w:cs="Times New Roman"/>
        </w:rPr>
        <w:t xml:space="preserve">n and </w:t>
      </w:r>
      <w:r w:rsidR="00BA5A78">
        <w:rPr>
          <w:rFonts w:ascii="Times New Roman" w:hAnsi="Times New Roman" w:cs="Times New Roman"/>
        </w:rPr>
        <w:t>CEE</w:t>
      </w:r>
      <w:r w:rsidR="00F747C7">
        <w:rPr>
          <w:rFonts w:ascii="Times New Roman" w:hAnsi="Times New Roman" w:cs="Times New Roman"/>
        </w:rPr>
        <w:t xml:space="preserve"> economies</w:t>
      </w:r>
      <w:r w:rsidR="00BA5A78">
        <w:rPr>
          <w:rFonts w:ascii="Times New Roman" w:hAnsi="Times New Roman" w:cs="Times New Roman"/>
        </w:rPr>
        <w:t xml:space="preserve"> (Slovenia, Slovakia, Portugal, Spain and Greece) </w:t>
      </w:r>
      <w:r w:rsidR="009367BB">
        <w:rPr>
          <w:rFonts w:ascii="Times New Roman" w:hAnsi="Times New Roman" w:cs="Times New Roman"/>
        </w:rPr>
        <w:t>increased their expenditure</w:t>
      </w:r>
      <w:r w:rsidR="00BA5A78">
        <w:rPr>
          <w:rFonts w:ascii="Times New Roman" w:hAnsi="Times New Roman" w:cs="Times New Roman"/>
        </w:rPr>
        <w:t xml:space="preserve"> on ALMPs after 2008</w:t>
      </w:r>
      <w:r w:rsidR="00DB09C1">
        <w:rPr>
          <w:rFonts w:ascii="Times New Roman" w:hAnsi="Times New Roman" w:cs="Times New Roman"/>
        </w:rPr>
        <w:t xml:space="preserve"> (measured in terms of percentage of GDP)</w:t>
      </w:r>
      <w:r w:rsidR="009367BB">
        <w:rPr>
          <w:rFonts w:ascii="Times New Roman" w:hAnsi="Times New Roman" w:cs="Times New Roman"/>
        </w:rPr>
        <w:t xml:space="preserve">, </w:t>
      </w:r>
      <w:r w:rsidR="00F747C7">
        <w:rPr>
          <w:rFonts w:ascii="Times New Roman" w:hAnsi="Times New Roman" w:cs="Times New Roman"/>
        </w:rPr>
        <w:t>the</w:t>
      </w:r>
      <w:r w:rsidR="009367BB">
        <w:rPr>
          <w:rFonts w:ascii="Times New Roman" w:hAnsi="Times New Roman" w:cs="Times New Roman"/>
        </w:rPr>
        <w:t xml:space="preserve"> increases were small</w:t>
      </w:r>
      <w:r w:rsidR="005D61F2">
        <w:rPr>
          <w:rFonts w:ascii="Times New Roman" w:hAnsi="Times New Roman" w:cs="Times New Roman"/>
        </w:rPr>
        <w:t>,</w:t>
      </w:r>
      <w:r w:rsidR="00BA5A78">
        <w:rPr>
          <w:rFonts w:ascii="Times New Roman" w:hAnsi="Times New Roman" w:cs="Times New Roman"/>
        </w:rPr>
        <w:t xml:space="preserve"> from a low base</w:t>
      </w:r>
      <w:r w:rsidR="005D61F2">
        <w:rPr>
          <w:rFonts w:ascii="Times New Roman" w:hAnsi="Times New Roman" w:cs="Times New Roman"/>
        </w:rPr>
        <w:t xml:space="preserve"> and in several cases not sustained (as shown in Figure 6)</w:t>
      </w:r>
      <w:r w:rsidR="00BA5A78">
        <w:rPr>
          <w:rFonts w:ascii="Times New Roman" w:hAnsi="Times New Roman" w:cs="Times New Roman"/>
        </w:rPr>
        <w:t xml:space="preserve">. </w:t>
      </w:r>
      <w:r w:rsidR="005D61F2">
        <w:rPr>
          <w:rFonts w:ascii="Times New Roman" w:hAnsi="Times New Roman" w:cs="Times New Roman"/>
        </w:rPr>
        <w:t>S</w:t>
      </w:r>
      <w:r w:rsidR="00BA5A78">
        <w:rPr>
          <w:rFonts w:ascii="Times New Roman" w:hAnsi="Times New Roman" w:cs="Times New Roman"/>
        </w:rPr>
        <w:t>pending in Italy</w:t>
      </w:r>
      <w:r w:rsidR="00C930D8">
        <w:rPr>
          <w:rFonts w:ascii="Times New Roman" w:hAnsi="Times New Roman" w:cs="Times New Roman"/>
        </w:rPr>
        <w:t>, on the other hand,</w:t>
      </w:r>
      <w:r w:rsidR="00BA5A78">
        <w:rPr>
          <w:rFonts w:ascii="Times New Roman" w:hAnsi="Times New Roman" w:cs="Times New Roman"/>
        </w:rPr>
        <w:t xml:space="preserve"> fell </w:t>
      </w:r>
      <w:r w:rsidR="005D61F2">
        <w:rPr>
          <w:rFonts w:ascii="Times New Roman" w:hAnsi="Times New Roman" w:cs="Times New Roman"/>
        </w:rPr>
        <w:t xml:space="preserve">after 2008 and </w:t>
      </w:r>
      <w:r w:rsidR="00C930D8">
        <w:rPr>
          <w:rFonts w:ascii="Times New Roman" w:hAnsi="Times New Roman" w:cs="Times New Roman"/>
        </w:rPr>
        <w:t xml:space="preserve">has </w:t>
      </w:r>
      <w:r w:rsidR="005D61F2">
        <w:rPr>
          <w:rFonts w:ascii="Times New Roman" w:hAnsi="Times New Roman" w:cs="Times New Roman"/>
        </w:rPr>
        <w:t xml:space="preserve">remained </w:t>
      </w:r>
      <w:r w:rsidR="00BA5A78">
        <w:rPr>
          <w:rFonts w:ascii="Times New Roman" w:hAnsi="Times New Roman" w:cs="Times New Roman"/>
        </w:rPr>
        <w:t>below pre-crisis levels</w:t>
      </w:r>
      <w:r w:rsidR="009367BB">
        <w:rPr>
          <w:rFonts w:ascii="Times New Roman" w:hAnsi="Times New Roman" w:cs="Times New Roman"/>
        </w:rPr>
        <w:t>.</w:t>
      </w:r>
      <w:r w:rsidR="00BA5A78">
        <w:rPr>
          <w:rFonts w:ascii="Times New Roman" w:hAnsi="Times New Roman" w:cs="Times New Roman"/>
        </w:rPr>
        <w:t xml:space="preserve"> </w:t>
      </w:r>
    </w:p>
    <w:p w14:paraId="260F869C" w14:textId="4A0C27C1" w:rsidR="00756D12" w:rsidRDefault="00B954ED" w:rsidP="00FB5CB2">
      <w:pPr>
        <w:autoSpaceDE w:val="0"/>
        <w:autoSpaceDN w:val="0"/>
        <w:adjustRightInd w:val="0"/>
        <w:spacing w:after="0" w:afterAutospacing="0" w:line="480" w:lineRule="auto"/>
        <w:rPr>
          <w:rFonts w:ascii="Times New Roman" w:hAnsi="Times New Roman" w:cs="Times New Roman"/>
          <w:b/>
        </w:rPr>
      </w:pPr>
      <w:r>
        <w:rPr>
          <w:rFonts w:ascii="Times New Roman" w:hAnsi="Times New Roman" w:cs="Times New Roman"/>
        </w:rPr>
        <w:lastRenderedPageBreak/>
        <w:t xml:space="preserve">Lifelong learning, the remaining core component of flexicurity, has fared little better. </w:t>
      </w:r>
      <w:r w:rsidR="00FB5CB2">
        <w:rPr>
          <w:rFonts w:ascii="Times New Roman" w:hAnsi="Times New Roman" w:cs="Times New Roman"/>
        </w:rPr>
        <w:t>In considering how Europe should respond to mounting job losses in the early stages of the crisis, t</w:t>
      </w:r>
      <w:r w:rsidR="00FB5CB2" w:rsidRPr="00705CBA">
        <w:rPr>
          <w:rFonts w:ascii="Times New Roman" w:hAnsi="Times New Roman" w:cs="Times New Roman"/>
        </w:rPr>
        <w:t>he European Commission (2009a: 9) advocated that ‘</w:t>
      </w:r>
      <w:r w:rsidR="0089047D">
        <w:rPr>
          <w:rFonts w:ascii="Times New Roman" w:hAnsi="Times New Roman" w:cs="Times New Roman"/>
        </w:rPr>
        <w:t>[f]</w:t>
      </w:r>
      <w:r w:rsidR="00FB5CB2" w:rsidRPr="00705CBA">
        <w:rPr>
          <w:rFonts w:ascii="Times New Roman" w:hAnsi="Times New Roman" w:cs="Times New Roman"/>
        </w:rPr>
        <w:t>or men and women facing difficulties in gaining new employment, the “training first approach” should be considered. For the entire workforce, upskilling and re-skilling is crucial to ensure adaptability and employability in uncertain times’.</w:t>
      </w:r>
      <w:r w:rsidR="00FB5CB2">
        <w:rPr>
          <w:rFonts w:ascii="Times New Roman" w:hAnsi="Times New Roman" w:cs="Times New Roman"/>
        </w:rPr>
        <w:t xml:space="preserve"> There is little </w:t>
      </w:r>
      <w:r w:rsidR="00BE1B24">
        <w:rPr>
          <w:rFonts w:ascii="Times New Roman" w:hAnsi="Times New Roman" w:cs="Times New Roman"/>
        </w:rPr>
        <w:t xml:space="preserve">evidence </w:t>
      </w:r>
      <w:r w:rsidR="00FB5CB2">
        <w:rPr>
          <w:rFonts w:ascii="Times New Roman" w:hAnsi="Times New Roman" w:cs="Times New Roman"/>
        </w:rPr>
        <w:t xml:space="preserve">to suggest </w:t>
      </w:r>
      <w:r w:rsidR="00BE1B24">
        <w:rPr>
          <w:rFonts w:ascii="Times New Roman" w:hAnsi="Times New Roman" w:cs="Times New Roman"/>
        </w:rPr>
        <w:t xml:space="preserve">a widespread </w:t>
      </w:r>
      <w:r w:rsidR="008E4515">
        <w:rPr>
          <w:rFonts w:ascii="Times New Roman" w:hAnsi="Times New Roman" w:cs="Times New Roman"/>
        </w:rPr>
        <w:t xml:space="preserve">move to </w:t>
      </w:r>
      <w:r w:rsidR="00BE1B24">
        <w:rPr>
          <w:rFonts w:ascii="Times New Roman" w:hAnsi="Times New Roman" w:cs="Times New Roman"/>
        </w:rPr>
        <w:t>act</w:t>
      </w:r>
      <w:r w:rsidR="008E4515">
        <w:rPr>
          <w:rFonts w:ascii="Times New Roman" w:hAnsi="Times New Roman" w:cs="Times New Roman"/>
        </w:rPr>
        <w:t xml:space="preserve"> on </w:t>
      </w:r>
      <w:r w:rsidR="00FB5CB2">
        <w:rPr>
          <w:rFonts w:ascii="Times New Roman" w:hAnsi="Times New Roman" w:cs="Times New Roman"/>
        </w:rPr>
        <w:t>this recommendation. Across the EU, t</w:t>
      </w:r>
      <w:r>
        <w:rPr>
          <w:rFonts w:ascii="Times New Roman" w:hAnsi="Times New Roman" w:cs="Times New Roman"/>
        </w:rPr>
        <w:t>he rate of p</w:t>
      </w:r>
      <w:r w:rsidRPr="00B954ED">
        <w:rPr>
          <w:rFonts w:ascii="Times New Roman" w:hAnsi="Times New Roman" w:cs="Times New Roman"/>
        </w:rPr>
        <w:t xml:space="preserve">articipation </w:t>
      </w:r>
      <w:r>
        <w:rPr>
          <w:rFonts w:ascii="Times New Roman" w:hAnsi="Times New Roman" w:cs="Times New Roman"/>
        </w:rPr>
        <w:t xml:space="preserve">of </w:t>
      </w:r>
      <w:r w:rsidRPr="00B954ED">
        <w:rPr>
          <w:rFonts w:ascii="Times New Roman" w:hAnsi="Times New Roman" w:cs="Times New Roman"/>
        </w:rPr>
        <w:t xml:space="preserve">employed persons in education and training </w:t>
      </w:r>
      <w:r>
        <w:rPr>
          <w:rFonts w:ascii="Times New Roman" w:hAnsi="Times New Roman" w:cs="Times New Roman"/>
        </w:rPr>
        <w:t xml:space="preserve">peaked in 2005 and fell thereafter </w:t>
      </w:r>
      <w:r w:rsidRPr="00B954ED">
        <w:rPr>
          <w:rFonts w:ascii="Times New Roman" w:hAnsi="Times New Roman" w:cs="Times New Roman"/>
        </w:rPr>
        <w:t xml:space="preserve">(CEDEFOP 2009), although participation continued to </w:t>
      </w:r>
      <w:r w:rsidR="00FB5CB2">
        <w:rPr>
          <w:rFonts w:ascii="Times New Roman" w:hAnsi="Times New Roman" w:cs="Times New Roman"/>
        </w:rPr>
        <w:t xml:space="preserve">increase in a number of </w:t>
      </w:r>
      <w:r w:rsidRPr="00B954ED">
        <w:rPr>
          <w:rFonts w:ascii="Times New Roman" w:hAnsi="Times New Roman" w:cs="Times New Roman"/>
        </w:rPr>
        <w:t>EU member states, including Denmark, Estonia</w:t>
      </w:r>
      <w:r w:rsidR="00FB5CB2">
        <w:rPr>
          <w:rFonts w:ascii="Times New Roman" w:hAnsi="Times New Roman" w:cs="Times New Roman"/>
        </w:rPr>
        <w:t xml:space="preserve"> and</w:t>
      </w:r>
      <w:r w:rsidRPr="00B954ED">
        <w:rPr>
          <w:rFonts w:ascii="Times New Roman" w:hAnsi="Times New Roman" w:cs="Times New Roman"/>
        </w:rPr>
        <w:t xml:space="preserve"> Sweden</w:t>
      </w:r>
      <w:r w:rsidR="00FB5CB2">
        <w:rPr>
          <w:rFonts w:ascii="Times New Roman" w:hAnsi="Times New Roman" w:cs="Times New Roman"/>
        </w:rPr>
        <w:t>. By</w:t>
      </w:r>
      <w:r w:rsidRPr="00B954ED">
        <w:rPr>
          <w:rFonts w:ascii="Times New Roman" w:hAnsi="Times New Roman" w:cs="Times New Roman"/>
        </w:rPr>
        <w:t xml:space="preserve"> contrast the participation rate </w:t>
      </w:r>
      <w:r w:rsidR="00FB5CB2">
        <w:rPr>
          <w:rFonts w:ascii="Times New Roman" w:hAnsi="Times New Roman" w:cs="Times New Roman"/>
        </w:rPr>
        <w:t>of</w:t>
      </w:r>
      <w:r w:rsidRPr="00B954ED">
        <w:rPr>
          <w:rFonts w:ascii="Times New Roman" w:hAnsi="Times New Roman" w:cs="Times New Roman"/>
        </w:rPr>
        <w:t xml:space="preserve"> unemployed workers </w:t>
      </w:r>
      <w:r w:rsidR="008E4515">
        <w:rPr>
          <w:rFonts w:ascii="Times New Roman" w:hAnsi="Times New Roman" w:cs="Times New Roman"/>
        </w:rPr>
        <w:t>across</w:t>
      </w:r>
      <w:r w:rsidR="00FB5CB2">
        <w:rPr>
          <w:rFonts w:ascii="Times New Roman" w:hAnsi="Times New Roman" w:cs="Times New Roman"/>
        </w:rPr>
        <w:t xml:space="preserve"> the EU </w:t>
      </w:r>
      <w:r w:rsidRPr="00B954ED">
        <w:rPr>
          <w:rFonts w:ascii="Times New Roman" w:hAnsi="Times New Roman" w:cs="Times New Roman"/>
        </w:rPr>
        <w:t>ha</w:t>
      </w:r>
      <w:r w:rsidR="00FB5CB2">
        <w:rPr>
          <w:rFonts w:ascii="Times New Roman" w:hAnsi="Times New Roman" w:cs="Times New Roman"/>
        </w:rPr>
        <w:t>s</w:t>
      </w:r>
      <w:r w:rsidRPr="00B954ED">
        <w:rPr>
          <w:rFonts w:ascii="Times New Roman" w:hAnsi="Times New Roman" w:cs="Times New Roman"/>
        </w:rPr>
        <w:t xml:space="preserve"> increase</w:t>
      </w:r>
      <w:r w:rsidR="00FB5CB2">
        <w:rPr>
          <w:rFonts w:ascii="Times New Roman" w:hAnsi="Times New Roman" w:cs="Times New Roman"/>
        </w:rPr>
        <w:t>d since the start of the crisis</w:t>
      </w:r>
      <w:r w:rsidR="008E4515">
        <w:rPr>
          <w:rFonts w:ascii="Times New Roman" w:hAnsi="Times New Roman" w:cs="Times New Roman"/>
        </w:rPr>
        <w:t xml:space="preserve">, although </w:t>
      </w:r>
      <w:r w:rsidRPr="00B954ED">
        <w:rPr>
          <w:rFonts w:ascii="Times New Roman" w:hAnsi="Times New Roman" w:cs="Times New Roman"/>
        </w:rPr>
        <w:t>participation rates in most countries have changed relatively little</w:t>
      </w:r>
      <w:r w:rsidR="00773383">
        <w:rPr>
          <w:rFonts w:ascii="Times New Roman" w:hAnsi="Times New Roman" w:cs="Times New Roman"/>
        </w:rPr>
        <w:t xml:space="preserve"> (Heyes 2013b)</w:t>
      </w:r>
      <w:r w:rsidR="00FB5CB2">
        <w:rPr>
          <w:rFonts w:ascii="Times New Roman" w:hAnsi="Times New Roman" w:cs="Times New Roman"/>
        </w:rPr>
        <w:t xml:space="preserve">. </w:t>
      </w:r>
      <w:r w:rsidR="00D81C9D">
        <w:rPr>
          <w:rFonts w:ascii="Times New Roman" w:hAnsi="Times New Roman" w:cs="Times New Roman"/>
        </w:rPr>
        <w:t xml:space="preserve">Participation rates in training-related ALMPs in the </w:t>
      </w:r>
      <w:r w:rsidR="00FB5CB2">
        <w:rPr>
          <w:rFonts w:ascii="Times New Roman" w:hAnsi="Times New Roman" w:cs="Times New Roman"/>
        </w:rPr>
        <w:t>southern European and CEE economies</w:t>
      </w:r>
      <w:r w:rsidR="00D81C9D">
        <w:rPr>
          <w:rFonts w:ascii="Times New Roman" w:hAnsi="Times New Roman" w:cs="Times New Roman"/>
        </w:rPr>
        <w:t xml:space="preserve"> that have fared worst since the start of the crisis have long been the lowest in the EU </w:t>
      </w:r>
      <w:r w:rsidR="00AA2B2F">
        <w:rPr>
          <w:rFonts w:ascii="Times New Roman" w:hAnsi="Times New Roman" w:cs="Times New Roman"/>
        </w:rPr>
        <w:t xml:space="preserve">(typically representing less than 10 per cent of those </w:t>
      </w:r>
      <w:r w:rsidR="00AA2B2F" w:rsidRPr="00F13368">
        <w:rPr>
          <w:rFonts w:ascii="Times New Roman" w:hAnsi="Times New Roman" w:cs="Times New Roman"/>
        </w:rPr>
        <w:t xml:space="preserve">seeking work) </w:t>
      </w:r>
      <w:r w:rsidR="00D81C9D">
        <w:rPr>
          <w:rFonts w:ascii="Times New Roman" w:hAnsi="Times New Roman" w:cs="Times New Roman"/>
        </w:rPr>
        <w:t>and the position has not improved since 2008 (</w:t>
      </w:r>
      <w:r w:rsidR="00773383">
        <w:rPr>
          <w:rFonts w:ascii="Times New Roman" w:hAnsi="Times New Roman" w:cs="Times New Roman"/>
        </w:rPr>
        <w:t>op cit.</w:t>
      </w:r>
      <w:r w:rsidR="00D81C9D">
        <w:rPr>
          <w:rFonts w:ascii="Times New Roman" w:hAnsi="Times New Roman" w:cs="Times New Roman"/>
        </w:rPr>
        <w:t>).</w:t>
      </w:r>
    </w:p>
    <w:p w14:paraId="38ABD7EB" w14:textId="77777777" w:rsidR="00A347EC" w:rsidRDefault="00A347EC" w:rsidP="00D67EC8">
      <w:pPr>
        <w:autoSpaceDE w:val="0"/>
        <w:autoSpaceDN w:val="0"/>
        <w:adjustRightInd w:val="0"/>
        <w:spacing w:after="0" w:afterAutospacing="0" w:line="480" w:lineRule="auto"/>
        <w:rPr>
          <w:rFonts w:ascii="Times New Roman" w:hAnsi="Times New Roman" w:cs="Times New Roman"/>
          <w:b/>
        </w:rPr>
      </w:pPr>
    </w:p>
    <w:p w14:paraId="30CA3213" w14:textId="77777777" w:rsidR="00D67EC8" w:rsidRDefault="00D67EC8" w:rsidP="00D67EC8">
      <w:pPr>
        <w:autoSpaceDE w:val="0"/>
        <w:autoSpaceDN w:val="0"/>
        <w:adjustRightInd w:val="0"/>
        <w:spacing w:after="0" w:afterAutospacing="0" w:line="480" w:lineRule="auto"/>
        <w:rPr>
          <w:rFonts w:ascii="Times New Roman" w:hAnsi="Times New Roman" w:cs="Times New Roman"/>
        </w:rPr>
      </w:pPr>
    </w:p>
    <w:p w14:paraId="57EFCDAE" w14:textId="25B270B1" w:rsidR="00D67EC8" w:rsidRPr="00035171" w:rsidRDefault="00D67EC8" w:rsidP="00D67EC8">
      <w:pPr>
        <w:autoSpaceDE w:val="0"/>
        <w:autoSpaceDN w:val="0"/>
        <w:adjustRightInd w:val="0"/>
        <w:spacing w:after="0" w:afterAutospacing="0" w:line="480" w:lineRule="auto"/>
        <w:jc w:val="center"/>
        <w:rPr>
          <w:rFonts w:ascii="Times New Roman" w:hAnsi="Times New Roman" w:cs="Times New Roman"/>
        </w:rPr>
      </w:pPr>
      <w:r>
        <w:rPr>
          <w:rFonts w:ascii="Times New Roman" w:hAnsi="Times New Roman" w:cs="Times New Roman"/>
        </w:rPr>
        <w:t>FIGURE 6 ABOUT HERE</w:t>
      </w:r>
    </w:p>
    <w:p w14:paraId="08955E0A" w14:textId="77777777" w:rsidR="00A347EC" w:rsidRDefault="00A347EC" w:rsidP="00D67EC8">
      <w:pPr>
        <w:autoSpaceDE w:val="0"/>
        <w:autoSpaceDN w:val="0"/>
        <w:adjustRightInd w:val="0"/>
        <w:spacing w:after="0" w:afterAutospacing="0" w:line="480" w:lineRule="auto"/>
        <w:rPr>
          <w:rFonts w:ascii="Times New Roman" w:hAnsi="Times New Roman" w:cs="Times New Roman"/>
          <w:b/>
        </w:rPr>
      </w:pPr>
    </w:p>
    <w:p w14:paraId="09CE8A24" w14:textId="28A8E4E8" w:rsidR="00D104DF" w:rsidRDefault="00937D40" w:rsidP="00D67EC8">
      <w:pPr>
        <w:spacing w:line="480" w:lineRule="auto"/>
        <w:rPr>
          <w:rFonts w:ascii="Times New Roman" w:hAnsi="Times New Roman" w:cs="Times New Roman"/>
        </w:rPr>
      </w:pPr>
      <w:r w:rsidRPr="00054BC5">
        <w:rPr>
          <w:rFonts w:ascii="Times New Roman" w:hAnsi="Times New Roman" w:cs="Times New Roman"/>
        </w:rPr>
        <w:t xml:space="preserve">Those economies that are weakening employment protections and thereby making it easier for employers to dismiss workers are </w:t>
      </w:r>
      <w:r w:rsidR="00D81C9D">
        <w:rPr>
          <w:rFonts w:ascii="Times New Roman" w:hAnsi="Times New Roman" w:cs="Times New Roman"/>
        </w:rPr>
        <w:t xml:space="preserve">therefore </w:t>
      </w:r>
      <w:r w:rsidRPr="00054BC5">
        <w:rPr>
          <w:rFonts w:ascii="Times New Roman" w:hAnsi="Times New Roman" w:cs="Times New Roman"/>
        </w:rPr>
        <w:t xml:space="preserve">failing to </w:t>
      </w:r>
      <w:r w:rsidR="008E4515">
        <w:rPr>
          <w:rFonts w:ascii="Times New Roman" w:hAnsi="Times New Roman" w:cs="Times New Roman"/>
        </w:rPr>
        <w:t xml:space="preserve">attempt to </w:t>
      </w:r>
      <w:r w:rsidRPr="00054BC5">
        <w:rPr>
          <w:rFonts w:ascii="Times New Roman" w:hAnsi="Times New Roman" w:cs="Times New Roman"/>
        </w:rPr>
        <w:t xml:space="preserve">compensate by </w:t>
      </w:r>
      <w:r w:rsidR="008531F6">
        <w:rPr>
          <w:rFonts w:ascii="Times New Roman" w:hAnsi="Times New Roman" w:cs="Times New Roman"/>
        </w:rPr>
        <w:t xml:space="preserve">substantially </w:t>
      </w:r>
      <w:r w:rsidRPr="00054BC5">
        <w:rPr>
          <w:rFonts w:ascii="Times New Roman" w:hAnsi="Times New Roman" w:cs="Times New Roman"/>
        </w:rPr>
        <w:t xml:space="preserve">enhancing funding for measures that might connect unemployed </w:t>
      </w:r>
      <w:r w:rsidR="008E4515">
        <w:rPr>
          <w:rFonts w:ascii="Times New Roman" w:hAnsi="Times New Roman" w:cs="Times New Roman"/>
        </w:rPr>
        <w:t xml:space="preserve">workers </w:t>
      </w:r>
      <w:r w:rsidRPr="00054BC5">
        <w:rPr>
          <w:rFonts w:ascii="Times New Roman" w:hAnsi="Times New Roman" w:cs="Times New Roman"/>
        </w:rPr>
        <w:t xml:space="preserve">to jobs. </w:t>
      </w:r>
      <w:r w:rsidR="004B5131">
        <w:rPr>
          <w:rFonts w:ascii="Times New Roman" w:hAnsi="Times New Roman" w:cs="Times New Roman"/>
        </w:rPr>
        <w:t>It should be noted, h</w:t>
      </w:r>
      <w:r w:rsidRPr="00054BC5">
        <w:rPr>
          <w:rFonts w:ascii="Times New Roman" w:hAnsi="Times New Roman" w:cs="Times New Roman"/>
        </w:rPr>
        <w:t xml:space="preserve">owever, </w:t>
      </w:r>
      <w:r w:rsidR="004B5131">
        <w:rPr>
          <w:rFonts w:ascii="Times New Roman" w:hAnsi="Times New Roman" w:cs="Times New Roman"/>
        </w:rPr>
        <w:t xml:space="preserve">that </w:t>
      </w:r>
      <w:r w:rsidR="000B7A31" w:rsidRPr="00054BC5">
        <w:rPr>
          <w:rFonts w:ascii="Times New Roman" w:hAnsi="Times New Roman" w:cs="Times New Roman"/>
        </w:rPr>
        <w:t>the evidence concerning the effectiveness of ALMPs is mixed</w:t>
      </w:r>
      <w:r w:rsidR="00054BC5" w:rsidRPr="00054BC5">
        <w:rPr>
          <w:rFonts w:ascii="Times New Roman" w:hAnsi="Times New Roman" w:cs="Times New Roman"/>
        </w:rPr>
        <w:t xml:space="preserve"> and, as Auer et al. (2008) </w:t>
      </w:r>
      <w:r w:rsidR="004B5131">
        <w:rPr>
          <w:rFonts w:ascii="Times New Roman" w:hAnsi="Times New Roman" w:cs="Times New Roman"/>
        </w:rPr>
        <w:t>emphasise</w:t>
      </w:r>
      <w:r w:rsidR="00054BC5" w:rsidRPr="00054BC5">
        <w:rPr>
          <w:rFonts w:ascii="Times New Roman" w:hAnsi="Times New Roman" w:cs="Times New Roman"/>
        </w:rPr>
        <w:t xml:space="preserve">, expenditure </w:t>
      </w:r>
      <w:r w:rsidR="004B5131">
        <w:rPr>
          <w:rFonts w:ascii="Times New Roman" w:hAnsi="Times New Roman" w:cs="Times New Roman"/>
        </w:rPr>
        <w:t xml:space="preserve">levels </w:t>
      </w:r>
      <w:r w:rsidR="00054BC5" w:rsidRPr="00054BC5">
        <w:rPr>
          <w:rFonts w:ascii="Times New Roman" w:hAnsi="Times New Roman" w:cs="Times New Roman"/>
        </w:rPr>
        <w:t>reveal nothing about the duration or quality of programmes or their associated outcomes</w:t>
      </w:r>
      <w:r w:rsidR="000B7A31" w:rsidRPr="00054BC5">
        <w:rPr>
          <w:rFonts w:ascii="Times New Roman" w:hAnsi="Times New Roman" w:cs="Times New Roman"/>
        </w:rPr>
        <w:t xml:space="preserve">. </w:t>
      </w:r>
      <w:r w:rsidR="00054BC5">
        <w:rPr>
          <w:rFonts w:ascii="Times New Roman" w:hAnsi="Times New Roman" w:cs="Times New Roman"/>
        </w:rPr>
        <w:t>Moreover, the forms of support associated with ALMPs reflect a</w:t>
      </w:r>
      <w:r w:rsidR="000F38A7">
        <w:rPr>
          <w:rFonts w:ascii="Times New Roman" w:hAnsi="Times New Roman" w:cs="Times New Roman"/>
        </w:rPr>
        <w:t xml:space="preserve"> supply-side focus in </w:t>
      </w:r>
      <w:bookmarkStart w:id="0" w:name="_GoBack"/>
      <w:bookmarkEnd w:id="0"/>
      <w:r w:rsidR="000F38A7">
        <w:rPr>
          <w:rFonts w:ascii="Times New Roman" w:hAnsi="Times New Roman" w:cs="Times New Roman"/>
        </w:rPr>
        <w:t>employment policy, in which the root causes of u</w:t>
      </w:r>
      <w:r w:rsidR="000F38A7" w:rsidRPr="003C1D87">
        <w:rPr>
          <w:rFonts w:ascii="Times New Roman" w:hAnsi="Times New Roman" w:cs="Times New Roman"/>
        </w:rPr>
        <w:t xml:space="preserve">nemployment </w:t>
      </w:r>
      <w:r w:rsidR="000F38A7">
        <w:rPr>
          <w:rFonts w:ascii="Times New Roman" w:hAnsi="Times New Roman" w:cs="Times New Roman"/>
        </w:rPr>
        <w:t xml:space="preserve">are </w:t>
      </w:r>
      <w:r w:rsidR="000F38A7" w:rsidRPr="003C1D87">
        <w:rPr>
          <w:rFonts w:ascii="Times New Roman" w:hAnsi="Times New Roman" w:cs="Times New Roman"/>
        </w:rPr>
        <w:t>‘conceived of in individualistic and behavioural terms’ (Peck and Theodore</w:t>
      </w:r>
      <w:r w:rsidR="00F75379">
        <w:rPr>
          <w:rFonts w:ascii="Times New Roman" w:hAnsi="Times New Roman" w:cs="Times New Roman"/>
        </w:rPr>
        <w:t>,</w:t>
      </w:r>
      <w:r w:rsidR="000F38A7" w:rsidRPr="003C1D87">
        <w:rPr>
          <w:rFonts w:ascii="Times New Roman" w:hAnsi="Times New Roman" w:cs="Times New Roman"/>
        </w:rPr>
        <w:t xml:space="preserve"> 2000: 729).</w:t>
      </w:r>
      <w:r w:rsidR="000F38A7">
        <w:rPr>
          <w:rFonts w:ascii="Times New Roman" w:hAnsi="Times New Roman" w:cs="Times New Roman"/>
        </w:rPr>
        <w:t xml:space="preserve"> Engagement with the demand side of the labour market has increasingly become limited to attempts to involve employers more closely in local labour </w:t>
      </w:r>
      <w:r w:rsidR="000F38A7">
        <w:rPr>
          <w:rFonts w:ascii="Times New Roman" w:hAnsi="Times New Roman" w:cs="Times New Roman"/>
        </w:rPr>
        <w:lastRenderedPageBreak/>
        <w:t xml:space="preserve">market schemes and efforts to identify their current and future skill requirements so as to improve the match between the supply of and demand for skills, most recently exemplified by the European Commission’s </w:t>
      </w:r>
      <w:r w:rsidR="000F38A7" w:rsidRPr="0083385D">
        <w:rPr>
          <w:rFonts w:ascii="Times New Roman" w:hAnsi="Times New Roman" w:cs="Times New Roman"/>
          <w:i/>
        </w:rPr>
        <w:t>New Skills for New Jobs</w:t>
      </w:r>
      <w:r w:rsidR="000F38A7">
        <w:rPr>
          <w:rFonts w:ascii="Times New Roman" w:hAnsi="Times New Roman" w:cs="Times New Roman"/>
        </w:rPr>
        <w:t xml:space="preserve"> initiative.</w:t>
      </w:r>
    </w:p>
    <w:p w14:paraId="2ABE3D0A" w14:textId="77777777" w:rsidR="00640893" w:rsidRDefault="00640893" w:rsidP="00D67EC8">
      <w:pPr>
        <w:autoSpaceDE w:val="0"/>
        <w:autoSpaceDN w:val="0"/>
        <w:adjustRightInd w:val="0"/>
        <w:spacing w:after="0" w:afterAutospacing="0" w:line="480" w:lineRule="auto"/>
        <w:rPr>
          <w:rFonts w:ascii="Times New Roman" w:hAnsi="Times New Roman" w:cs="Times New Roman"/>
          <w:b/>
        </w:rPr>
      </w:pPr>
    </w:p>
    <w:p w14:paraId="12D1CB44" w14:textId="77777777" w:rsidR="00BC13E4" w:rsidRPr="00807BAB" w:rsidRDefault="00F02D99" w:rsidP="00D67EC8">
      <w:pPr>
        <w:spacing w:line="480" w:lineRule="auto"/>
        <w:rPr>
          <w:rFonts w:ascii="Times New Roman" w:hAnsi="Times New Roman" w:cs="Times New Roman"/>
          <w:b/>
        </w:rPr>
      </w:pPr>
      <w:r w:rsidRPr="00807BAB">
        <w:rPr>
          <w:rFonts w:ascii="Times New Roman" w:hAnsi="Times New Roman" w:cs="Times New Roman"/>
          <w:b/>
        </w:rPr>
        <w:t>6</w:t>
      </w:r>
      <w:r w:rsidR="007C33F7" w:rsidRPr="00807BAB">
        <w:rPr>
          <w:rFonts w:ascii="Times New Roman" w:hAnsi="Times New Roman" w:cs="Times New Roman"/>
          <w:b/>
        </w:rPr>
        <w:t xml:space="preserve">. </w:t>
      </w:r>
      <w:r w:rsidR="00BC13E4" w:rsidRPr="00807BAB">
        <w:rPr>
          <w:rFonts w:ascii="Times New Roman" w:hAnsi="Times New Roman" w:cs="Times New Roman"/>
          <w:b/>
        </w:rPr>
        <w:t>Conclusion</w:t>
      </w:r>
    </w:p>
    <w:p w14:paraId="3B8D8757" w14:textId="62F7759F" w:rsidR="00926508" w:rsidRDefault="00AE0354" w:rsidP="00D67EC8">
      <w:pPr>
        <w:spacing w:line="480" w:lineRule="auto"/>
        <w:rPr>
          <w:rFonts w:ascii="Times New Roman" w:hAnsi="Times New Roman" w:cs="Times New Roman"/>
        </w:rPr>
      </w:pPr>
      <w:r>
        <w:rPr>
          <w:rFonts w:ascii="Times New Roman" w:hAnsi="Times New Roman" w:cs="Times New Roman"/>
        </w:rPr>
        <w:t xml:space="preserve">European policy makers appear to be convinced that weaker employment protection legislation is required in order to stimulate economic growth and job creation. Some </w:t>
      </w:r>
      <w:r w:rsidR="0054502F">
        <w:rPr>
          <w:rFonts w:ascii="Times New Roman" w:hAnsi="Times New Roman" w:cs="Times New Roman"/>
        </w:rPr>
        <w:t>national governments have been obliged by the Troika to implement substantial reforms. Others</w:t>
      </w:r>
      <w:r w:rsidR="005947EB">
        <w:rPr>
          <w:rFonts w:ascii="Times New Roman" w:hAnsi="Times New Roman" w:cs="Times New Roman"/>
        </w:rPr>
        <w:t xml:space="preserve">, such as the UK’s Conservative-Liberal Democrat coalition, </w:t>
      </w:r>
      <w:r w:rsidR="0054502F">
        <w:rPr>
          <w:rFonts w:ascii="Times New Roman" w:hAnsi="Times New Roman" w:cs="Times New Roman"/>
        </w:rPr>
        <w:t>have voluntarily stripped away employment protections. The renewed attack on employment protection</w:t>
      </w:r>
      <w:r w:rsidR="00D662F9">
        <w:rPr>
          <w:rFonts w:ascii="Times New Roman" w:hAnsi="Times New Roman" w:cs="Times New Roman"/>
        </w:rPr>
        <w:t>s</w:t>
      </w:r>
      <w:r w:rsidR="0054502F">
        <w:rPr>
          <w:rFonts w:ascii="Times New Roman" w:hAnsi="Times New Roman" w:cs="Times New Roman"/>
        </w:rPr>
        <w:t xml:space="preserve"> represents </w:t>
      </w:r>
      <w:r w:rsidR="00847AB4" w:rsidRPr="00807BAB">
        <w:rPr>
          <w:rFonts w:ascii="Times New Roman" w:hAnsi="Times New Roman" w:cs="Times New Roman"/>
        </w:rPr>
        <w:t xml:space="preserve">the </w:t>
      </w:r>
      <w:r w:rsidR="00294EC1" w:rsidRPr="00807BAB">
        <w:rPr>
          <w:rFonts w:ascii="Times New Roman" w:hAnsi="Times New Roman" w:cs="Times New Roman"/>
        </w:rPr>
        <w:t>labour market face</w:t>
      </w:r>
      <w:r w:rsidR="00847AB4" w:rsidRPr="00807BAB">
        <w:rPr>
          <w:rFonts w:ascii="Times New Roman" w:hAnsi="Times New Roman" w:cs="Times New Roman"/>
        </w:rPr>
        <w:t xml:space="preserve"> of austerity, i</w:t>
      </w:r>
      <w:r w:rsidR="0054502F">
        <w:rPr>
          <w:rFonts w:ascii="Times New Roman" w:hAnsi="Times New Roman" w:cs="Times New Roman"/>
        </w:rPr>
        <w:t>mplemented</w:t>
      </w:r>
      <w:r w:rsidR="00847AB4" w:rsidRPr="00807BAB">
        <w:rPr>
          <w:rFonts w:ascii="Times New Roman" w:hAnsi="Times New Roman" w:cs="Times New Roman"/>
        </w:rPr>
        <w:t xml:space="preserve"> in the belief that economic growth will ensue as businesses are freed from </w:t>
      </w:r>
      <w:r w:rsidR="001076D0" w:rsidRPr="00807BAB">
        <w:rPr>
          <w:rFonts w:ascii="Times New Roman" w:hAnsi="Times New Roman" w:cs="Times New Roman"/>
        </w:rPr>
        <w:t>shackles that stym</w:t>
      </w:r>
      <w:r w:rsidR="00A85E18" w:rsidRPr="00807BAB">
        <w:rPr>
          <w:rFonts w:ascii="Times New Roman" w:hAnsi="Times New Roman" w:cs="Times New Roman"/>
        </w:rPr>
        <w:t>ie</w:t>
      </w:r>
      <w:r w:rsidR="001076D0" w:rsidRPr="00807BAB">
        <w:rPr>
          <w:rFonts w:ascii="Times New Roman" w:hAnsi="Times New Roman" w:cs="Times New Roman"/>
        </w:rPr>
        <w:t xml:space="preserve"> </w:t>
      </w:r>
      <w:r w:rsidR="00847AB4" w:rsidRPr="00807BAB">
        <w:rPr>
          <w:rFonts w:ascii="Times New Roman" w:hAnsi="Times New Roman" w:cs="Times New Roman"/>
        </w:rPr>
        <w:t xml:space="preserve">their </w:t>
      </w:r>
      <w:r w:rsidR="001076D0" w:rsidRPr="00807BAB">
        <w:rPr>
          <w:rFonts w:ascii="Times New Roman" w:hAnsi="Times New Roman" w:cs="Times New Roman"/>
        </w:rPr>
        <w:t>efforts to improve efficiency</w:t>
      </w:r>
      <w:r w:rsidR="00847AB4" w:rsidRPr="00807BAB">
        <w:rPr>
          <w:rFonts w:ascii="Times New Roman" w:hAnsi="Times New Roman" w:cs="Times New Roman"/>
        </w:rPr>
        <w:t xml:space="preserve"> and expand the scale of production</w:t>
      </w:r>
      <w:r w:rsidR="001076D0" w:rsidRPr="00807BAB">
        <w:rPr>
          <w:rFonts w:ascii="Times New Roman" w:hAnsi="Times New Roman" w:cs="Times New Roman"/>
        </w:rPr>
        <w:t xml:space="preserve">. </w:t>
      </w:r>
      <w:r w:rsidR="008E2E24">
        <w:rPr>
          <w:rFonts w:ascii="Times New Roman" w:hAnsi="Times New Roman" w:cs="Times New Roman"/>
        </w:rPr>
        <w:t xml:space="preserve">It is further assumed that workers will benefit as cuts to EPL stimulate </w:t>
      </w:r>
      <w:r w:rsidR="00926508">
        <w:rPr>
          <w:rFonts w:ascii="Times New Roman" w:hAnsi="Times New Roman" w:cs="Times New Roman"/>
        </w:rPr>
        <w:t xml:space="preserve">employers to </w:t>
      </w:r>
      <w:r w:rsidR="008E2E24">
        <w:rPr>
          <w:rFonts w:ascii="Times New Roman" w:hAnsi="Times New Roman" w:cs="Times New Roman"/>
        </w:rPr>
        <w:t>hir</w:t>
      </w:r>
      <w:r w:rsidR="00926508">
        <w:rPr>
          <w:rFonts w:ascii="Times New Roman" w:hAnsi="Times New Roman" w:cs="Times New Roman"/>
        </w:rPr>
        <w:t>e</w:t>
      </w:r>
      <w:r w:rsidR="008E2E24">
        <w:rPr>
          <w:rFonts w:ascii="Times New Roman" w:hAnsi="Times New Roman" w:cs="Times New Roman"/>
        </w:rPr>
        <w:t xml:space="preserve"> a</w:t>
      </w:r>
      <w:r w:rsidR="00926508">
        <w:rPr>
          <w:rFonts w:ascii="Times New Roman" w:hAnsi="Times New Roman" w:cs="Times New Roman"/>
        </w:rPr>
        <w:t xml:space="preserve">dditional workers, </w:t>
      </w:r>
      <w:r w:rsidR="008E2E24">
        <w:rPr>
          <w:rFonts w:ascii="Times New Roman" w:hAnsi="Times New Roman" w:cs="Times New Roman"/>
        </w:rPr>
        <w:t>thereby reduc</w:t>
      </w:r>
      <w:r w:rsidR="00926508">
        <w:rPr>
          <w:rFonts w:ascii="Times New Roman" w:hAnsi="Times New Roman" w:cs="Times New Roman"/>
        </w:rPr>
        <w:t>ing</w:t>
      </w:r>
      <w:r w:rsidR="008E2E24">
        <w:rPr>
          <w:rFonts w:ascii="Times New Roman" w:hAnsi="Times New Roman" w:cs="Times New Roman"/>
        </w:rPr>
        <w:t xml:space="preserve"> unemployment. </w:t>
      </w:r>
    </w:p>
    <w:p w14:paraId="130701A5" w14:textId="4576244C" w:rsidR="00165BBA" w:rsidRDefault="00A74B31" w:rsidP="00D67EC8">
      <w:pPr>
        <w:spacing w:line="480" w:lineRule="auto"/>
        <w:rPr>
          <w:rFonts w:ascii="Times New Roman" w:hAnsi="Times New Roman" w:cs="Times New Roman"/>
        </w:rPr>
      </w:pPr>
      <w:r>
        <w:rPr>
          <w:rFonts w:ascii="Times New Roman" w:hAnsi="Times New Roman" w:cs="Times New Roman"/>
        </w:rPr>
        <w:t>The</w:t>
      </w:r>
      <w:r w:rsidR="00726C31">
        <w:rPr>
          <w:rFonts w:ascii="Times New Roman" w:hAnsi="Times New Roman" w:cs="Times New Roman"/>
        </w:rPr>
        <w:t xml:space="preserve"> empirical evidence, however, suggests that there is no clear cut relationship between employment protections and aggregate unemployment that holds across all economies at all times</w:t>
      </w:r>
      <w:r w:rsidR="00926508">
        <w:rPr>
          <w:rFonts w:ascii="Times New Roman" w:hAnsi="Times New Roman" w:cs="Times New Roman"/>
        </w:rPr>
        <w:t xml:space="preserve">. As far as the consequences for employment are concerned </w:t>
      </w:r>
      <w:r w:rsidR="00926508" w:rsidRPr="0027485F">
        <w:rPr>
          <w:rFonts w:ascii="Times New Roman" w:hAnsi="Times New Roman" w:cs="Times New Roman"/>
        </w:rPr>
        <w:t>‘time spent worrying about strict labour market regulations, employment protection and minimum wages is probab</w:t>
      </w:r>
      <w:r w:rsidR="00926508">
        <w:rPr>
          <w:rFonts w:ascii="Times New Roman" w:hAnsi="Times New Roman" w:cs="Times New Roman"/>
        </w:rPr>
        <w:t>ly time largely wasted’ (</w:t>
      </w:r>
      <w:r w:rsidR="00926508" w:rsidRPr="0027485F">
        <w:rPr>
          <w:rFonts w:ascii="Times New Roman" w:hAnsi="Times New Roman" w:cs="Times New Roman"/>
        </w:rPr>
        <w:t>Nickell and Layard</w:t>
      </w:r>
      <w:r w:rsidR="00926508">
        <w:rPr>
          <w:rFonts w:ascii="Times New Roman" w:hAnsi="Times New Roman" w:cs="Times New Roman"/>
        </w:rPr>
        <w:t xml:space="preserve">, </w:t>
      </w:r>
      <w:r w:rsidR="00926508" w:rsidRPr="0027485F">
        <w:rPr>
          <w:rFonts w:ascii="Times New Roman" w:hAnsi="Times New Roman" w:cs="Times New Roman"/>
        </w:rPr>
        <w:t>1999</w:t>
      </w:r>
      <w:r w:rsidR="00926508">
        <w:rPr>
          <w:rFonts w:ascii="Times New Roman" w:hAnsi="Times New Roman" w:cs="Times New Roman"/>
        </w:rPr>
        <w:t>: 3209</w:t>
      </w:r>
      <w:r w:rsidR="00926508" w:rsidRPr="0027485F">
        <w:rPr>
          <w:rFonts w:ascii="Times New Roman" w:hAnsi="Times New Roman" w:cs="Times New Roman"/>
        </w:rPr>
        <w:t>)</w:t>
      </w:r>
      <w:r w:rsidR="004B16B7">
        <w:rPr>
          <w:rFonts w:ascii="Times New Roman" w:hAnsi="Times New Roman" w:cs="Times New Roman"/>
        </w:rPr>
        <w:t>. Nevertheless, the belief that weake</w:t>
      </w:r>
      <w:r w:rsidR="00DF4C07">
        <w:rPr>
          <w:rFonts w:ascii="Times New Roman" w:hAnsi="Times New Roman" w:cs="Times New Roman"/>
        </w:rPr>
        <w:t>r</w:t>
      </w:r>
      <w:r w:rsidR="004B16B7">
        <w:rPr>
          <w:rFonts w:ascii="Times New Roman" w:hAnsi="Times New Roman" w:cs="Times New Roman"/>
        </w:rPr>
        <w:t xml:space="preserve"> EPL is necessary for employment growth and high employment levels continues to </w:t>
      </w:r>
      <w:r w:rsidR="00B81E3B">
        <w:rPr>
          <w:rFonts w:ascii="Times New Roman" w:hAnsi="Times New Roman" w:cs="Times New Roman"/>
        </w:rPr>
        <w:t xml:space="preserve">hold an </w:t>
      </w:r>
      <w:r w:rsidR="004B16B7">
        <w:rPr>
          <w:rFonts w:ascii="Times New Roman" w:hAnsi="Times New Roman" w:cs="Times New Roman"/>
        </w:rPr>
        <w:t xml:space="preserve">appeal </w:t>
      </w:r>
      <w:r w:rsidR="00B81E3B">
        <w:rPr>
          <w:rFonts w:ascii="Times New Roman" w:hAnsi="Times New Roman" w:cs="Times New Roman"/>
        </w:rPr>
        <w:t>for</w:t>
      </w:r>
      <w:r w:rsidR="004B16B7">
        <w:rPr>
          <w:rFonts w:ascii="Times New Roman" w:hAnsi="Times New Roman" w:cs="Times New Roman"/>
        </w:rPr>
        <w:t xml:space="preserve"> </w:t>
      </w:r>
      <w:r w:rsidR="00B81E3B">
        <w:rPr>
          <w:rFonts w:ascii="Times New Roman" w:hAnsi="Times New Roman" w:cs="Times New Roman"/>
        </w:rPr>
        <w:t>governments</w:t>
      </w:r>
      <w:r w:rsidR="004B16B7">
        <w:rPr>
          <w:rFonts w:ascii="Times New Roman" w:hAnsi="Times New Roman" w:cs="Times New Roman"/>
        </w:rPr>
        <w:t xml:space="preserve">. As a number of recent studies have </w:t>
      </w:r>
      <w:r w:rsidR="008924D7">
        <w:rPr>
          <w:rFonts w:ascii="Times New Roman" w:hAnsi="Times New Roman" w:cs="Times New Roman"/>
        </w:rPr>
        <w:t>discussed</w:t>
      </w:r>
      <w:r w:rsidR="004B16B7">
        <w:rPr>
          <w:rFonts w:ascii="Times New Roman" w:hAnsi="Times New Roman" w:cs="Times New Roman"/>
        </w:rPr>
        <w:t xml:space="preserve"> (Blyth</w:t>
      </w:r>
      <w:r w:rsidR="00F75379">
        <w:rPr>
          <w:rFonts w:ascii="Times New Roman" w:hAnsi="Times New Roman" w:cs="Times New Roman"/>
        </w:rPr>
        <w:t>,</w:t>
      </w:r>
      <w:r w:rsidR="004B16B7">
        <w:rPr>
          <w:rFonts w:ascii="Times New Roman" w:hAnsi="Times New Roman" w:cs="Times New Roman"/>
        </w:rPr>
        <w:t xml:space="preserve"> 201</w:t>
      </w:r>
      <w:r w:rsidR="005F20A5">
        <w:rPr>
          <w:rFonts w:ascii="Times New Roman" w:hAnsi="Times New Roman" w:cs="Times New Roman"/>
        </w:rPr>
        <w:t>3</w:t>
      </w:r>
      <w:r w:rsidR="004B16B7">
        <w:rPr>
          <w:rFonts w:ascii="Times New Roman" w:hAnsi="Times New Roman" w:cs="Times New Roman"/>
        </w:rPr>
        <w:t>; Peck</w:t>
      </w:r>
      <w:r w:rsidR="00F75379">
        <w:rPr>
          <w:rFonts w:ascii="Times New Roman" w:hAnsi="Times New Roman" w:cs="Times New Roman"/>
        </w:rPr>
        <w:t>,</w:t>
      </w:r>
      <w:r w:rsidR="00135167">
        <w:rPr>
          <w:rFonts w:ascii="Times New Roman" w:hAnsi="Times New Roman" w:cs="Times New Roman"/>
        </w:rPr>
        <w:t xml:space="preserve"> 2010</w:t>
      </w:r>
      <w:r w:rsidR="005F20A5">
        <w:rPr>
          <w:rFonts w:ascii="Times New Roman" w:hAnsi="Times New Roman" w:cs="Times New Roman"/>
        </w:rPr>
        <w:t>;</w:t>
      </w:r>
      <w:r w:rsidR="005F20A5" w:rsidRPr="005F20A5">
        <w:rPr>
          <w:rFonts w:ascii="Times New Roman" w:hAnsi="Times New Roman" w:cs="Times New Roman"/>
        </w:rPr>
        <w:t xml:space="preserve"> </w:t>
      </w:r>
      <w:r w:rsidR="005F20A5">
        <w:rPr>
          <w:rFonts w:ascii="Times New Roman" w:hAnsi="Times New Roman" w:cs="Times New Roman"/>
        </w:rPr>
        <w:t>Quiggin</w:t>
      </w:r>
      <w:r w:rsidR="00F75379">
        <w:rPr>
          <w:rFonts w:ascii="Times New Roman" w:hAnsi="Times New Roman" w:cs="Times New Roman"/>
        </w:rPr>
        <w:t>,</w:t>
      </w:r>
      <w:r w:rsidR="005F20A5">
        <w:rPr>
          <w:rFonts w:ascii="Times New Roman" w:hAnsi="Times New Roman" w:cs="Times New Roman"/>
        </w:rPr>
        <w:t xml:space="preserve"> 2010</w:t>
      </w:r>
      <w:r w:rsidR="004B16B7">
        <w:rPr>
          <w:rFonts w:ascii="Times New Roman" w:hAnsi="Times New Roman" w:cs="Times New Roman"/>
        </w:rPr>
        <w:t xml:space="preserve">), </w:t>
      </w:r>
      <w:r w:rsidR="008924D7">
        <w:rPr>
          <w:rFonts w:ascii="Times New Roman" w:hAnsi="Times New Roman" w:cs="Times New Roman"/>
        </w:rPr>
        <w:t>a lack of robust evidence in support of a theory is no guarantee that the theory will be abandoned by policy makers or academics.</w:t>
      </w:r>
      <w:r w:rsidR="004B16B7">
        <w:rPr>
          <w:rFonts w:ascii="Times New Roman" w:hAnsi="Times New Roman" w:cs="Times New Roman"/>
        </w:rPr>
        <w:t xml:space="preserve"> </w:t>
      </w:r>
      <w:r w:rsidR="008924D7">
        <w:rPr>
          <w:rFonts w:ascii="Times New Roman" w:hAnsi="Times New Roman" w:cs="Times New Roman"/>
        </w:rPr>
        <w:t xml:space="preserve">Established orthodoxies can serve the interests of those with political and economic power and also shape their view of the world. The economic </w:t>
      </w:r>
      <w:r w:rsidR="00165BBA">
        <w:rPr>
          <w:rFonts w:ascii="Times New Roman" w:hAnsi="Times New Roman" w:cs="Times New Roman"/>
        </w:rPr>
        <w:t xml:space="preserve">and political </w:t>
      </w:r>
      <w:r w:rsidR="00B81E3B">
        <w:rPr>
          <w:rFonts w:ascii="Times New Roman" w:hAnsi="Times New Roman" w:cs="Times New Roman"/>
        </w:rPr>
        <w:t>architecture</w:t>
      </w:r>
      <w:r w:rsidR="008924D7">
        <w:rPr>
          <w:rFonts w:ascii="Times New Roman" w:hAnsi="Times New Roman" w:cs="Times New Roman"/>
        </w:rPr>
        <w:t xml:space="preserve"> of the EU also encourages policy makers to think in terms of relatively orthodox supply-side solutions to economic problems. Shackled to a common interest rate, the </w:t>
      </w:r>
      <w:r w:rsidR="008116C0">
        <w:rPr>
          <w:rFonts w:ascii="Times New Roman" w:hAnsi="Times New Roman" w:cs="Times New Roman"/>
        </w:rPr>
        <w:t xml:space="preserve">ailing </w:t>
      </w:r>
      <w:r w:rsidR="008924D7">
        <w:rPr>
          <w:rFonts w:ascii="Times New Roman" w:hAnsi="Times New Roman" w:cs="Times New Roman"/>
        </w:rPr>
        <w:t>countries of the Eurozone</w:t>
      </w:r>
      <w:r w:rsidR="008116C0">
        <w:rPr>
          <w:rFonts w:ascii="Times New Roman" w:hAnsi="Times New Roman" w:cs="Times New Roman"/>
        </w:rPr>
        <w:t xml:space="preserve"> have been driven to seek ‘internal devaluations’ in </w:t>
      </w:r>
      <w:r w:rsidR="008116C0">
        <w:rPr>
          <w:rFonts w:ascii="Times New Roman" w:hAnsi="Times New Roman" w:cs="Times New Roman"/>
        </w:rPr>
        <w:lastRenderedPageBreak/>
        <w:t>order to boost their economies</w:t>
      </w:r>
      <w:r w:rsidR="00165BBA">
        <w:rPr>
          <w:rFonts w:ascii="Times New Roman" w:hAnsi="Times New Roman" w:cs="Times New Roman"/>
        </w:rPr>
        <w:t>, attempting to drive down labour costs and</w:t>
      </w:r>
      <w:r w:rsidR="008116C0">
        <w:rPr>
          <w:rFonts w:ascii="Times New Roman" w:hAnsi="Times New Roman" w:cs="Times New Roman"/>
        </w:rPr>
        <w:t xml:space="preserve"> EPL</w:t>
      </w:r>
      <w:r w:rsidR="00165BBA">
        <w:rPr>
          <w:rFonts w:ascii="Times New Roman" w:hAnsi="Times New Roman" w:cs="Times New Roman"/>
        </w:rPr>
        <w:t xml:space="preserve"> (</w:t>
      </w:r>
      <w:r w:rsidR="008116C0">
        <w:rPr>
          <w:rFonts w:ascii="Times New Roman" w:hAnsi="Times New Roman" w:cs="Times New Roman"/>
        </w:rPr>
        <w:t>which can be viewed as an additional cost of employing workers</w:t>
      </w:r>
      <w:r w:rsidR="00165BBA">
        <w:rPr>
          <w:rFonts w:ascii="Times New Roman" w:hAnsi="Times New Roman" w:cs="Times New Roman"/>
        </w:rPr>
        <w:t>).</w:t>
      </w:r>
      <w:r w:rsidR="008116C0">
        <w:rPr>
          <w:rFonts w:ascii="Times New Roman" w:hAnsi="Times New Roman" w:cs="Times New Roman"/>
        </w:rPr>
        <w:t xml:space="preserve"> </w:t>
      </w:r>
      <w:r w:rsidR="00165BBA">
        <w:rPr>
          <w:rFonts w:ascii="Times New Roman" w:hAnsi="Times New Roman" w:cs="Times New Roman"/>
        </w:rPr>
        <w:t xml:space="preserve">There is as yet little sign that this will produce a substantial decrease in unemployment. </w:t>
      </w:r>
      <w:r w:rsidR="00165BBA" w:rsidRPr="00807BAB">
        <w:rPr>
          <w:rFonts w:ascii="Times New Roman" w:hAnsi="Times New Roman" w:cs="Times New Roman"/>
        </w:rPr>
        <w:t>It is more likely that the recalibration of employment rights will produce a shift in the balance of power at the workplace in favour of employers, emboldening the worst employers and increasing the vulnerability and insecurity of those they employ.</w:t>
      </w:r>
    </w:p>
    <w:p w14:paraId="285F1706" w14:textId="56227ADB" w:rsidR="005947EB" w:rsidRDefault="005947EB" w:rsidP="00D67EC8">
      <w:pPr>
        <w:spacing w:line="480" w:lineRule="auto"/>
        <w:rPr>
          <w:rFonts w:ascii="Times New Roman" w:hAnsi="Times New Roman" w:cs="Times New Roman"/>
        </w:rPr>
      </w:pPr>
      <w:r>
        <w:rPr>
          <w:rFonts w:ascii="Times New Roman" w:hAnsi="Times New Roman" w:cs="Times New Roman"/>
          <w:iCs/>
        </w:rPr>
        <w:t>The e</w:t>
      </w:r>
      <w:r w:rsidRPr="00271CD4">
        <w:rPr>
          <w:rFonts w:ascii="Times New Roman" w:hAnsi="Times New Roman" w:cs="Times New Roman"/>
          <w:iCs/>
        </w:rPr>
        <w:t>nforcement</w:t>
      </w:r>
      <w:r>
        <w:rPr>
          <w:rFonts w:ascii="Times New Roman" w:hAnsi="Times New Roman" w:cs="Times New Roman"/>
          <w:iCs/>
        </w:rPr>
        <w:t xml:space="preserve"> of employment </w:t>
      </w:r>
      <w:r w:rsidR="0047182D">
        <w:rPr>
          <w:rFonts w:ascii="Times New Roman" w:hAnsi="Times New Roman" w:cs="Times New Roman"/>
          <w:iCs/>
        </w:rPr>
        <w:t>protections</w:t>
      </w:r>
      <w:r w:rsidRPr="00271CD4">
        <w:rPr>
          <w:rFonts w:ascii="Times New Roman" w:hAnsi="Times New Roman" w:cs="Times New Roman"/>
          <w:iCs/>
        </w:rPr>
        <w:t>, an issue which is not captured by the OECD’s EPL measures</w:t>
      </w:r>
      <w:r w:rsidR="008E40AF">
        <w:rPr>
          <w:rFonts w:ascii="Times New Roman" w:hAnsi="Times New Roman" w:cs="Times New Roman"/>
          <w:iCs/>
        </w:rPr>
        <w:t xml:space="preserve"> but which is clearly important in assessing the effectiveness of EPL,</w:t>
      </w:r>
      <w:r w:rsidRPr="00271CD4">
        <w:rPr>
          <w:rFonts w:ascii="Times New Roman" w:hAnsi="Times New Roman" w:cs="Times New Roman"/>
          <w:iCs/>
        </w:rPr>
        <w:t xml:space="preserve"> </w:t>
      </w:r>
      <w:r w:rsidRPr="00271CD4">
        <w:rPr>
          <w:rFonts w:ascii="Times New Roman" w:hAnsi="Times New Roman" w:cs="Times New Roman"/>
        </w:rPr>
        <w:t xml:space="preserve">has </w:t>
      </w:r>
      <w:r>
        <w:rPr>
          <w:rFonts w:ascii="Times New Roman" w:hAnsi="Times New Roman" w:cs="Times New Roman"/>
        </w:rPr>
        <w:t xml:space="preserve">also </w:t>
      </w:r>
      <w:r w:rsidRPr="00271CD4">
        <w:rPr>
          <w:rFonts w:ascii="Times New Roman" w:hAnsi="Times New Roman" w:cs="Times New Roman"/>
        </w:rPr>
        <w:t>become more problematic as a consequence of the diminished ability of trade unions to act as joint regulators of the employment relationship alongside management and the increasing complexity of supply chains (Vega</w:t>
      </w:r>
      <w:r w:rsidR="00F75379">
        <w:rPr>
          <w:rFonts w:ascii="Times New Roman" w:hAnsi="Times New Roman" w:cs="Times New Roman"/>
        </w:rPr>
        <w:t>,</w:t>
      </w:r>
      <w:r w:rsidRPr="00271CD4">
        <w:rPr>
          <w:rFonts w:ascii="Times New Roman" w:hAnsi="Times New Roman" w:cs="Times New Roman"/>
        </w:rPr>
        <w:t xml:space="preserve"> 2013). In some countries labour courts, or their functional equivalent, have been reformed</w:t>
      </w:r>
      <w:r w:rsidR="00E52F52">
        <w:rPr>
          <w:rFonts w:ascii="Times New Roman" w:hAnsi="Times New Roman" w:cs="Times New Roman"/>
        </w:rPr>
        <w:t xml:space="preserve"> in ways that have impeded access to justice</w:t>
      </w:r>
      <w:r w:rsidR="00C466BC">
        <w:rPr>
          <w:rFonts w:ascii="Times New Roman" w:hAnsi="Times New Roman" w:cs="Times New Roman"/>
        </w:rPr>
        <w:t xml:space="preserve">, notably in the </w:t>
      </w:r>
      <w:r w:rsidRPr="00271CD4">
        <w:rPr>
          <w:rFonts w:ascii="Times New Roman" w:hAnsi="Times New Roman" w:cs="Times New Roman"/>
        </w:rPr>
        <w:t xml:space="preserve">UK </w:t>
      </w:r>
      <w:r w:rsidR="00C466BC">
        <w:rPr>
          <w:rFonts w:ascii="Times New Roman" w:hAnsi="Times New Roman" w:cs="Times New Roman"/>
        </w:rPr>
        <w:t xml:space="preserve">where the </w:t>
      </w:r>
      <w:r w:rsidRPr="00271CD4">
        <w:rPr>
          <w:rFonts w:ascii="Times New Roman" w:hAnsi="Times New Roman" w:cs="Times New Roman"/>
        </w:rPr>
        <w:t xml:space="preserve">imposition of a new fees regime for Employment Tribunals has resulted in a substantial decline in the number of cases </w:t>
      </w:r>
      <w:r w:rsidR="00C466BC">
        <w:rPr>
          <w:rFonts w:ascii="Times New Roman" w:hAnsi="Times New Roman" w:cs="Times New Roman"/>
        </w:rPr>
        <w:t xml:space="preserve">being </w:t>
      </w:r>
      <w:r w:rsidRPr="00271CD4">
        <w:rPr>
          <w:rFonts w:ascii="Times New Roman" w:hAnsi="Times New Roman" w:cs="Times New Roman"/>
        </w:rPr>
        <w:t xml:space="preserve">brought by workers. </w:t>
      </w:r>
      <w:r w:rsidR="00C466BC">
        <w:rPr>
          <w:rFonts w:ascii="Times New Roman" w:hAnsi="Times New Roman" w:cs="Times New Roman"/>
        </w:rPr>
        <w:t>The UK’s pre-crisis weaknesses in relation to enforcement and compliance (see Dickens</w:t>
      </w:r>
      <w:r w:rsidR="00F75379">
        <w:rPr>
          <w:rFonts w:ascii="Times New Roman" w:hAnsi="Times New Roman" w:cs="Times New Roman"/>
        </w:rPr>
        <w:t>,</w:t>
      </w:r>
      <w:r w:rsidR="00C466BC">
        <w:rPr>
          <w:rFonts w:ascii="Times New Roman" w:hAnsi="Times New Roman" w:cs="Times New Roman"/>
        </w:rPr>
        <w:t xml:space="preserve"> 2013) </w:t>
      </w:r>
      <w:r w:rsidR="008E40AF">
        <w:rPr>
          <w:rFonts w:ascii="Times New Roman" w:hAnsi="Times New Roman" w:cs="Times New Roman"/>
        </w:rPr>
        <w:t xml:space="preserve">have been </w:t>
      </w:r>
      <w:r w:rsidR="00C466BC">
        <w:rPr>
          <w:rFonts w:ascii="Times New Roman" w:hAnsi="Times New Roman" w:cs="Times New Roman"/>
        </w:rPr>
        <w:t>substantially magnified.</w:t>
      </w:r>
    </w:p>
    <w:p w14:paraId="7CC1F747" w14:textId="686DFCEA" w:rsidR="00FE6728" w:rsidRPr="00167FF5" w:rsidRDefault="00FE6728" w:rsidP="00D67EC8">
      <w:pPr>
        <w:spacing w:line="480" w:lineRule="auto"/>
        <w:rPr>
          <w:rFonts w:ascii="Times New Roman" w:hAnsi="Times New Roman" w:cs="Times New Roman"/>
        </w:rPr>
      </w:pPr>
      <w:r>
        <w:rPr>
          <w:rFonts w:ascii="Times New Roman" w:hAnsi="Times New Roman" w:cs="Times New Roman"/>
        </w:rPr>
        <w:t xml:space="preserve">Within the framework of flexicurity, </w:t>
      </w:r>
      <w:r w:rsidR="00056E8B">
        <w:rPr>
          <w:rFonts w:ascii="Times New Roman" w:hAnsi="Times New Roman" w:cs="Times New Roman"/>
        </w:rPr>
        <w:t>weaker</w:t>
      </w:r>
      <w:r>
        <w:rPr>
          <w:rFonts w:ascii="Times New Roman" w:hAnsi="Times New Roman" w:cs="Times New Roman"/>
        </w:rPr>
        <w:t xml:space="preserve"> EPL </w:t>
      </w:r>
      <w:r w:rsidR="00056E8B">
        <w:rPr>
          <w:rFonts w:ascii="Times New Roman" w:hAnsi="Times New Roman" w:cs="Times New Roman"/>
        </w:rPr>
        <w:t xml:space="preserve">is regarded </w:t>
      </w:r>
      <w:r>
        <w:rPr>
          <w:rFonts w:ascii="Times New Roman" w:hAnsi="Times New Roman" w:cs="Times New Roman"/>
        </w:rPr>
        <w:t xml:space="preserve">as part of a package of supply-side policy measures </w:t>
      </w:r>
      <w:r w:rsidR="00056E8B">
        <w:rPr>
          <w:rFonts w:ascii="Times New Roman" w:hAnsi="Times New Roman" w:cs="Times New Roman"/>
        </w:rPr>
        <w:t>aimed at</w:t>
      </w:r>
      <w:r>
        <w:rPr>
          <w:rFonts w:ascii="Times New Roman" w:hAnsi="Times New Roman" w:cs="Times New Roman"/>
        </w:rPr>
        <w:t xml:space="preserve"> balanc</w:t>
      </w:r>
      <w:r w:rsidR="00056E8B">
        <w:rPr>
          <w:rFonts w:ascii="Times New Roman" w:hAnsi="Times New Roman" w:cs="Times New Roman"/>
        </w:rPr>
        <w:t>ing</w:t>
      </w:r>
      <w:r>
        <w:rPr>
          <w:rFonts w:ascii="Times New Roman" w:hAnsi="Times New Roman" w:cs="Times New Roman"/>
        </w:rPr>
        <w:t xml:space="preserve"> support for skill adaptation and development with incentives to work. As with all supply-side policies</w:t>
      </w:r>
      <w:r w:rsidR="00056E8B">
        <w:rPr>
          <w:rFonts w:ascii="Times New Roman" w:hAnsi="Times New Roman" w:cs="Times New Roman"/>
        </w:rPr>
        <w:t>, however, active labour market measures</w:t>
      </w:r>
      <w:r>
        <w:rPr>
          <w:rFonts w:ascii="Times New Roman" w:hAnsi="Times New Roman" w:cs="Times New Roman"/>
        </w:rPr>
        <w:t xml:space="preserve"> pre-suppose a benign, if not thriving, macro-economic environment. Further research is required to examine the consequences for employment of </w:t>
      </w:r>
      <w:r w:rsidR="00C77704">
        <w:rPr>
          <w:rFonts w:ascii="Times New Roman" w:hAnsi="Times New Roman" w:cs="Times New Roman"/>
        </w:rPr>
        <w:t xml:space="preserve">government actions to </w:t>
      </w:r>
      <w:r>
        <w:rPr>
          <w:rFonts w:ascii="Times New Roman" w:hAnsi="Times New Roman" w:cs="Times New Roman"/>
        </w:rPr>
        <w:t>weaken EPL in an environment of weak demand</w:t>
      </w:r>
      <w:r w:rsidR="00C77704">
        <w:rPr>
          <w:rFonts w:ascii="Times New Roman" w:hAnsi="Times New Roman" w:cs="Times New Roman"/>
        </w:rPr>
        <w:t xml:space="preserve"> while simultaneously</w:t>
      </w:r>
      <w:r w:rsidR="00CE3966">
        <w:rPr>
          <w:rFonts w:ascii="Times New Roman" w:hAnsi="Times New Roman" w:cs="Times New Roman"/>
        </w:rPr>
        <w:t xml:space="preserve"> </w:t>
      </w:r>
      <w:r w:rsidR="00056E8B">
        <w:rPr>
          <w:rFonts w:ascii="Times New Roman" w:hAnsi="Times New Roman" w:cs="Times New Roman"/>
        </w:rPr>
        <w:t>reducing unemployment benefit and other forms of income maintenance</w:t>
      </w:r>
      <w:r w:rsidR="00CE3966">
        <w:rPr>
          <w:rFonts w:ascii="Times New Roman" w:hAnsi="Times New Roman" w:cs="Times New Roman"/>
        </w:rPr>
        <w:t>,</w:t>
      </w:r>
      <w:r w:rsidR="00C77704">
        <w:rPr>
          <w:rFonts w:ascii="Times New Roman" w:hAnsi="Times New Roman" w:cs="Times New Roman"/>
        </w:rPr>
        <w:t xml:space="preserve"> </w:t>
      </w:r>
      <w:r w:rsidR="00056E8B">
        <w:rPr>
          <w:rFonts w:ascii="Times New Roman" w:hAnsi="Times New Roman" w:cs="Times New Roman"/>
        </w:rPr>
        <w:t>tightening</w:t>
      </w:r>
      <w:r>
        <w:rPr>
          <w:rFonts w:ascii="Times New Roman" w:hAnsi="Times New Roman" w:cs="Times New Roman"/>
        </w:rPr>
        <w:t xml:space="preserve"> conditionality</w:t>
      </w:r>
      <w:r w:rsidR="00056E8B">
        <w:rPr>
          <w:rFonts w:ascii="Times New Roman" w:hAnsi="Times New Roman" w:cs="Times New Roman"/>
        </w:rPr>
        <w:t xml:space="preserve"> rules</w:t>
      </w:r>
      <w:r w:rsidR="00CE3966">
        <w:rPr>
          <w:rFonts w:ascii="Times New Roman" w:hAnsi="Times New Roman" w:cs="Times New Roman"/>
        </w:rPr>
        <w:t xml:space="preserve"> and failing to increase spending on ALMPs</w:t>
      </w:r>
      <w:r>
        <w:rPr>
          <w:rFonts w:ascii="Times New Roman" w:hAnsi="Times New Roman" w:cs="Times New Roman"/>
        </w:rPr>
        <w:t xml:space="preserve">. Given the </w:t>
      </w:r>
      <w:r w:rsidR="00056E8B">
        <w:rPr>
          <w:rFonts w:ascii="Times New Roman" w:hAnsi="Times New Roman" w:cs="Times New Roman"/>
        </w:rPr>
        <w:t xml:space="preserve">recent increases in </w:t>
      </w:r>
      <w:r>
        <w:rPr>
          <w:rFonts w:ascii="Times New Roman" w:hAnsi="Times New Roman" w:cs="Times New Roman"/>
        </w:rPr>
        <w:t xml:space="preserve">involuntary non-standard employment </w:t>
      </w:r>
      <w:r w:rsidR="00056E8B">
        <w:rPr>
          <w:rFonts w:ascii="Times New Roman" w:hAnsi="Times New Roman" w:cs="Times New Roman"/>
        </w:rPr>
        <w:t>in many EU member states (</w:t>
      </w:r>
      <w:r w:rsidR="00CE3966">
        <w:rPr>
          <w:rFonts w:ascii="Times New Roman" w:hAnsi="Times New Roman" w:cs="Times New Roman"/>
        </w:rPr>
        <w:t>Heyes and Lewis, 2014)</w:t>
      </w:r>
      <w:r>
        <w:rPr>
          <w:rFonts w:ascii="Times New Roman" w:hAnsi="Times New Roman" w:cs="Times New Roman"/>
        </w:rPr>
        <w:t xml:space="preserve"> it is </w:t>
      </w:r>
      <w:r w:rsidR="00CE3966">
        <w:rPr>
          <w:rFonts w:ascii="Times New Roman" w:hAnsi="Times New Roman" w:cs="Times New Roman"/>
        </w:rPr>
        <w:t>likely</w:t>
      </w:r>
      <w:r>
        <w:rPr>
          <w:rFonts w:ascii="Times New Roman" w:hAnsi="Times New Roman" w:cs="Times New Roman"/>
        </w:rPr>
        <w:t xml:space="preserve"> that this particular mix of policies in post-crisis economic circumstances is acting to increase the proportion of </w:t>
      </w:r>
      <w:r w:rsidR="00056E8B">
        <w:rPr>
          <w:rFonts w:ascii="Times New Roman" w:hAnsi="Times New Roman" w:cs="Times New Roman"/>
        </w:rPr>
        <w:t xml:space="preserve">workers in </w:t>
      </w:r>
      <w:r>
        <w:rPr>
          <w:rFonts w:ascii="Times New Roman" w:hAnsi="Times New Roman" w:cs="Times New Roman"/>
        </w:rPr>
        <w:t>low-</w:t>
      </w:r>
      <w:r w:rsidR="00056E8B">
        <w:rPr>
          <w:rFonts w:ascii="Times New Roman" w:hAnsi="Times New Roman" w:cs="Times New Roman"/>
        </w:rPr>
        <w:t>paid</w:t>
      </w:r>
      <w:r>
        <w:rPr>
          <w:rFonts w:ascii="Times New Roman" w:hAnsi="Times New Roman" w:cs="Times New Roman"/>
        </w:rPr>
        <w:t>, precarious employment</w:t>
      </w:r>
      <w:r w:rsidR="00BB0D53">
        <w:rPr>
          <w:rFonts w:ascii="Times New Roman" w:hAnsi="Times New Roman" w:cs="Times New Roman"/>
        </w:rPr>
        <w:t xml:space="preserve">. In addition to the </w:t>
      </w:r>
      <w:r w:rsidR="008B1C9A">
        <w:rPr>
          <w:rFonts w:ascii="Times New Roman" w:hAnsi="Times New Roman" w:cs="Times New Roman"/>
        </w:rPr>
        <w:t xml:space="preserve">associated </w:t>
      </w:r>
      <w:r w:rsidR="00BB0D53">
        <w:rPr>
          <w:rFonts w:ascii="Times New Roman" w:hAnsi="Times New Roman" w:cs="Times New Roman"/>
        </w:rPr>
        <w:t>social costs</w:t>
      </w:r>
      <w:r w:rsidR="008B1C9A">
        <w:rPr>
          <w:rFonts w:ascii="Times New Roman" w:hAnsi="Times New Roman" w:cs="Times New Roman"/>
        </w:rPr>
        <w:t>,</w:t>
      </w:r>
      <w:r w:rsidR="00BB0D53">
        <w:rPr>
          <w:rFonts w:ascii="Times New Roman" w:hAnsi="Times New Roman" w:cs="Times New Roman"/>
        </w:rPr>
        <w:t xml:space="preserve"> </w:t>
      </w:r>
      <w:r w:rsidR="008B1C9A">
        <w:rPr>
          <w:rFonts w:ascii="Times New Roman" w:hAnsi="Times New Roman" w:cs="Times New Roman"/>
        </w:rPr>
        <w:t>including</w:t>
      </w:r>
      <w:r w:rsidR="00BB0D53">
        <w:rPr>
          <w:rFonts w:ascii="Times New Roman" w:hAnsi="Times New Roman" w:cs="Times New Roman"/>
        </w:rPr>
        <w:t xml:space="preserve"> </w:t>
      </w:r>
      <w:r w:rsidR="008B1C9A">
        <w:rPr>
          <w:rFonts w:ascii="Times New Roman" w:hAnsi="Times New Roman" w:cs="Times New Roman"/>
        </w:rPr>
        <w:t>increased</w:t>
      </w:r>
      <w:r w:rsidR="00BB0D53">
        <w:rPr>
          <w:rFonts w:ascii="Times New Roman" w:hAnsi="Times New Roman" w:cs="Times New Roman"/>
        </w:rPr>
        <w:t xml:space="preserve"> insecurity, inequality</w:t>
      </w:r>
      <w:r w:rsidR="008B1C9A">
        <w:rPr>
          <w:rFonts w:ascii="Times New Roman" w:hAnsi="Times New Roman" w:cs="Times New Roman"/>
        </w:rPr>
        <w:t xml:space="preserve"> and</w:t>
      </w:r>
      <w:r w:rsidR="00BB0D53">
        <w:rPr>
          <w:rFonts w:ascii="Times New Roman" w:hAnsi="Times New Roman" w:cs="Times New Roman"/>
        </w:rPr>
        <w:t xml:space="preserve"> levels of in-work poverty (</w:t>
      </w:r>
      <w:r w:rsidR="00CE3966">
        <w:rPr>
          <w:rFonts w:ascii="Times New Roman" w:hAnsi="Times New Roman" w:cs="Times New Roman"/>
        </w:rPr>
        <w:t>op cit.</w:t>
      </w:r>
      <w:r w:rsidR="00BB0D53">
        <w:rPr>
          <w:rFonts w:ascii="Times New Roman" w:hAnsi="Times New Roman" w:cs="Times New Roman"/>
        </w:rPr>
        <w:t>)</w:t>
      </w:r>
      <w:r w:rsidR="008B1C9A">
        <w:rPr>
          <w:rFonts w:ascii="Times New Roman" w:hAnsi="Times New Roman" w:cs="Times New Roman"/>
        </w:rPr>
        <w:t>,</w:t>
      </w:r>
      <w:r w:rsidR="008B1C9A" w:rsidDel="008B1C9A">
        <w:rPr>
          <w:rFonts w:ascii="Times New Roman" w:hAnsi="Times New Roman" w:cs="Times New Roman"/>
        </w:rPr>
        <w:t xml:space="preserve"> </w:t>
      </w:r>
      <w:r w:rsidR="008B1C9A">
        <w:rPr>
          <w:rFonts w:ascii="Times New Roman" w:hAnsi="Times New Roman" w:cs="Times New Roman"/>
        </w:rPr>
        <w:t xml:space="preserve">there are </w:t>
      </w:r>
      <w:r w:rsidR="00BB0D53">
        <w:rPr>
          <w:rFonts w:ascii="Times New Roman" w:hAnsi="Times New Roman" w:cs="Times New Roman"/>
        </w:rPr>
        <w:t xml:space="preserve"> likely </w:t>
      </w:r>
      <w:r w:rsidR="008B1C9A">
        <w:rPr>
          <w:rFonts w:ascii="Times New Roman" w:hAnsi="Times New Roman" w:cs="Times New Roman"/>
        </w:rPr>
        <w:t xml:space="preserve">to be </w:t>
      </w:r>
      <w:r w:rsidR="00BB0D53">
        <w:rPr>
          <w:rFonts w:ascii="Times New Roman" w:hAnsi="Times New Roman" w:cs="Times New Roman"/>
        </w:rPr>
        <w:t xml:space="preserve"> longer-term </w:t>
      </w:r>
      <w:r w:rsidR="00CE3966">
        <w:rPr>
          <w:rFonts w:ascii="Times New Roman" w:hAnsi="Times New Roman" w:cs="Times New Roman"/>
        </w:rPr>
        <w:t xml:space="preserve">negative </w:t>
      </w:r>
      <w:r w:rsidR="008B1C9A">
        <w:rPr>
          <w:rFonts w:ascii="Times New Roman" w:hAnsi="Times New Roman" w:cs="Times New Roman"/>
        </w:rPr>
        <w:t xml:space="preserve">consequences for the </w:t>
      </w:r>
      <w:r w:rsidR="00BB0D53">
        <w:rPr>
          <w:rFonts w:ascii="Times New Roman" w:hAnsi="Times New Roman" w:cs="Times New Roman"/>
        </w:rPr>
        <w:t>composition of  econom</w:t>
      </w:r>
      <w:r w:rsidR="008B1C9A">
        <w:rPr>
          <w:rFonts w:ascii="Times New Roman" w:hAnsi="Times New Roman" w:cs="Times New Roman"/>
        </w:rPr>
        <w:t>ies</w:t>
      </w:r>
      <w:r w:rsidR="00BB0D53">
        <w:rPr>
          <w:rFonts w:ascii="Times New Roman" w:hAnsi="Times New Roman" w:cs="Times New Roman"/>
        </w:rPr>
        <w:t xml:space="preserve">, </w:t>
      </w:r>
      <w:r w:rsidR="008B1C9A">
        <w:rPr>
          <w:rFonts w:ascii="Times New Roman" w:hAnsi="Times New Roman" w:cs="Times New Roman"/>
        </w:rPr>
        <w:t>their</w:t>
      </w:r>
      <w:r w:rsidR="00BB0D53">
        <w:rPr>
          <w:rFonts w:ascii="Times New Roman" w:hAnsi="Times New Roman" w:cs="Times New Roman"/>
        </w:rPr>
        <w:t xml:space="preserve"> skill</w:t>
      </w:r>
      <w:r w:rsidR="008B1C9A">
        <w:rPr>
          <w:rFonts w:ascii="Times New Roman" w:hAnsi="Times New Roman" w:cs="Times New Roman"/>
        </w:rPr>
        <w:t>s</w:t>
      </w:r>
      <w:r w:rsidR="00BB0D53">
        <w:rPr>
          <w:rFonts w:ascii="Times New Roman" w:hAnsi="Times New Roman" w:cs="Times New Roman"/>
        </w:rPr>
        <w:t>-base</w:t>
      </w:r>
      <w:r w:rsidR="008B1C9A">
        <w:rPr>
          <w:rFonts w:ascii="Times New Roman" w:hAnsi="Times New Roman" w:cs="Times New Roman"/>
        </w:rPr>
        <w:t>s</w:t>
      </w:r>
      <w:r w:rsidR="00BB0D53">
        <w:rPr>
          <w:rFonts w:ascii="Times New Roman" w:hAnsi="Times New Roman" w:cs="Times New Roman"/>
        </w:rPr>
        <w:t xml:space="preserve"> and potential </w:t>
      </w:r>
      <w:r w:rsidR="00BB0D53">
        <w:rPr>
          <w:rFonts w:ascii="Times New Roman" w:hAnsi="Times New Roman" w:cs="Times New Roman"/>
        </w:rPr>
        <w:lastRenderedPageBreak/>
        <w:t>for future growth</w:t>
      </w:r>
      <w:r>
        <w:rPr>
          <w:rFonts w:ascii="Times New Roman" w:hAnsi="Times New Roman" w:cs="Times New Roman"/>
        </w:rPr>
        <w:t xml:space="preserve">. </w:t>
      </w:r>
      <w:r w:rsidR="00056E8B">
        <w:rPr>
          <w:rFonts w:ascii="Times New Roman" w:hAnsi="Times New Roman" w:cs="Times New Roman"/>
        </w:rPr>
        <w:t>F</w:t>
      </w:r>
      <w:r>
        <w:rPr>
          <w:rFonts w:ascii="Times New Roman" w:hAnsi="Times New Roman" w:cs="Times New Roman"/>
        </w:rPr>
        <w:t xml:space="preserve">urther </w:t>
      </w:r>
      <w:r w:rsidR="00056E8B">
        <w:rPr>
          <w:rFonts w:ascii="Times New Roman" w:hAnsi="Times New Roman" w:cs="Times New Roman"/>
        </w:rPr>
        <w:t xml:space="preserve">comparative </w:t>
      </w:r>
      <w:r>
        <w:rPr>
          <w:rFonts w:ascii="Times New Roman" w:hAnsi="Times New Roman" w:cs="Times New Roman"/>
        </w:rPr>
        <w:t xml:space="preserve">research </w:t>
      </w:r>
      <w:r w:rsidR="00056E8B">
        <w:rPr>
          <w:rFonts w:ascii="Times New Roman" w:hAnsi="Times New Roman" w:cs="Times New Roman"/>
        </w:rPr>
        <w:t xml:space="preserve">is required on </w:t>
      </w:r>
      <w:r w:rsidR="00C77704">
        <w:rPr>
          <w:rFonts w:ascii="Times New Roman" w:hAnsi="Times New Roman" w:cs="Times New Roman"/>
        </w:rPr>
        <w:t xml:space="preserve">variations in </w:t>
      </w:r>
      <w:r>
        <w:rPr>
          <w:rFonts w:ascii="Times New Roman" w:hAnsi="Times New Roman" w:cs="Times New Roman"/>
        </w:rPr>
        <w:t>the effect</w:t>
      </w:r>
      <w:r w:rsidR="00C77704">
        <w:rPr>
          <w:rFonts w:ascii="Times New Roman" w:hAnsi="Times New Roman" w:cs="Times New Roman"/>
        </w:rPr>
        <w:t>s</w:t>
      </w:r>
      <w:r>
        <w:rPr>
          <w:rFonts w:ascii="Times New Roman" w:hAnsi="Times New Roman" w:cs="Times New Roman"/>
        </w:rPr>
        <w:t xml:space="preserve"> of different policy mixes </w:t>
      </w:r>
      <w:r w:rsidR="008B1C9A">
        <w:rPr>
          <w:rFonts w:ascii="Times New Roman" w:hAnsi="Times New Roman" w:cs="Times New Roman"/>
        </w:rPr>
        <w:t>in</w:t>
      </w:r>
      <w:r w:rsidR="00BB0D53">
        <w:rPr>
          <w:rFonts w:ascii="Times New Roman" w:hAnsi="Times New Roman" w:cs="Times New Roman"/>
        </w:rPr>
        <w:t xml:space="preserve"> particular macro-economic circumstances and </w:t>
      </w:r>
      <w:r w:rsidR="007739AF">
        <w:rPr>
          <w:rFonts w:ascii="Times New Roman" w:hAnsi="Times New Roman" w:cs="Times New Roman"/>
        </w:rPr>
        <w:t xml:space="preserve">the long-term consequences of policy mixes </w:t>
      </w:r>
      <w:r w:rsidR="00C77704">
        <w:rPr>
          <w:rFonts w:ascii="Times New Roman" w:hAnsi="Times New Roman" w:cs="Times New Roman"/>
        </w:rPr>
        <w:t>as</w:t>
      </w:r>
      <w:r w:rsidR="00056E8B">
        <w:rPr>
          <w:rFonts w:ascii="Times New Roman" w:hAnsi="Times New Roman" w:cs="Times New Roman"/>
        </w:rPr>
        <w:t xml:space="preserve"> economic conditions change over time</w:t>
      </w:r>
      <w:r>
        <w:rPr>
          <w:rFonts w:ascii="Times New Roman" w:hAnsi="Times New Roman" w:cs="Times New Roman"/>
        </w:rPr>
        <w:t xml:space="preserve">. </w:t>
      </w:r>
    </w:p>
    <w:p w14:paraId="035B8898" w14:textId="68F8DB84" w:rsidR="00761637" w:rsidRDefault="00761637">
      <w:pPr>
        <w:spacing w:line="480" w:lineRule="auto"/>
        <w:rPr>
          <w:rFonts w:ascii="Times New Roman" w:hAnsi="Times New Roman" w:cs="Times New Roman"/>
        </w:rPr>
      </w:pPr>
      <w:r>
        <w:rPr>
          <w:rFonts w:ascii="Times New Roman" w:hAnsi="Times New Roman" w:cs="Times New Roman"/>
        </w:rPr>
        <w:t xml:space="preserve">The erosion of protections for workers represents a further subordination of </w:t>
      </w:r>
      <w:r w:rsidR="00082F50">
        <w:rPr>
          <w:rFonts w:ascii="Times New Roman" w:hAnsi="Times New Roman" w:cs="Times New Roman"/>
        </w:rPr>
        <w:t xml:space="preserve">social justice </w:t>
      </w:r>
      <w:r>
        <w:rPr>
          <w:rFonts w:ascii="Times New Roman" w:hAnsi="Times New Roman" w:cs="Times New Roman"/>
        </w:rPr>
        <w:t xml:space="preserve">considerations </w:t>
      </w:r>
      <w:r w:rsidR="00082F50">
        <w:rPr>
          <w:rFonts w:ascii="Times New Roman" w:hAnsi="Times New Roman" w:cs="Times New Roman"/>
        </w:rPr>
        <w:t xml:space="preserve">to the </w:t>
      </w:r>
      <w:r>
        <w:rPr>
          <w:rFonts w:ascii="Times New Roman" w:hAnsi="Times New Roman" w:cs="Times New Roman"/>
        </w:rPr>
        <w:t>(supposed) needs</w:t>
      </w:r>
      <w:r w:rsidR="00082F50">
        <w:rPr>
          <w:rFonts w:ascii="Times New Roman" w:hAnsi="Times New Roman" w:cs="Times New Roman"/>
        </w:rPr>
        <w:t xml:space="preserve"> of the economy</w:t>
      </w:r>
      <w:r>
        <w:rPr>
          <w:rFonts w:ascii="Times New Roman" w:hAnsi="Times New Roman" w:cs="Times New Roman"/>
        </w:rPr>
        <w:t>, a tendency that has strengthened in the Western economies since the 1970s (Supiot</w:t>
      </w:r>
      <w:r w:rsidR="001144F2">
        <w:rPr>
          <w:rFonts w:ascii="Times New Roman" w:hAnsi="Times New Roman" w:cs="Times New Roman"/>
        </w:rPr>
        <w:t>,</w:t>
      </w:r>
      <w:r>
        <w:rPr>
          <w:rFonts w:ascii="Times New Roman" w:hAnsi="Times New Roman" w:cs="Times New Roman"/>
        </w:rPr>
        <w:t xml:space="preserve"> 2012). </w:t>
      </w:r>
      <w:r w:rsidR="002B49EB">
        <w:rPr>
          <w:rFonts w:ascii="Times New Roman" w:hAnsi="Times New Roman" w:cs="Times New Roman"/>
        </w:rPr>
        <w:t>Policy makers have placed u</w:t>
      </w:r>
      <w:r>
        <w:rPr>
          <w:rFonts w:ascii="Times New Roman" w:hAnsi="Times New Roman" w:cs="Times New Roman"/>
        </w:rPr>
        <w:t xml:space="preserve">ndue emphasis on the potential for employment law to act as an instrument for stimulating economic growth. </w:t>
      </w:r>
      <w:r w:rsidR="002B49EB">
        <w:rPr>
          <w:rFonts w:ascii="Times New Roman" w:hAnsi="Times New Roman" w:cs="Times New Roman"/>
        </w:rPr>
        <w:t>The emphasis placed on i</w:t>
      </w:r>
      <w:r>
        <w:rPr>
          <w:rFonts w:ascii="Times New Roman" w:hAnsi="Times New Roman" w:cs="Times New Roman"/>
        </w:rPr>
        <w:t xml:space="preserve">ts </w:t>
      </w:r>
      <w:r w:rsidR="0038432D">
        <w:rPr>
          <w:rFonts w:ascii="Times New Roman" w:hAnsi="Times New Roman" w:cs="Times New Roman"/>
        </w:rPr>
        <w:t xml:space="preserve">role in </w:t>
      </w:r>
      <w:r w:rsidR="0038432D" w:rsidRPr="00807BAB">
        <w:rPr>
          <w:rFonts w:ascii="Times New Roman" w:hAnsi="Times New Roman" w:cs="Times New Roman"/>
        </w:rPr>
        <w:t>‘protecting the dignity and working conditions of workers’</w:t>
      </w:r>
      <w:r w:rsidR="00807321">
        <w:rPr>
          <w:rFonts w:ascii="Times New Roman" w:hAnsi="Times New Roman" w:cs="Times New Roman"/>
        </w:rPr>
        <w:t xml:space="preserve"> has</w:t>
      </w:r>
      <w:r w:rsidR="0038432D">
        <w:rPr>
          <w:rFonts w:ascii="Times New Roman" w:hAnsi="Times New Roman" w:cs="Times New Roman"/>
        </w:rPr>
        <w:t>, by contrast,</w:t>
      </w:r>
      <w:r w:rsidR="002B49EB">
        <w:rPr>
          <w:rFonts w:ascii="Times New Roman" w:hAnsi="Times New Roman" w:cs="Times New Roman"/>
        </w:rPr>
        <w:t xml:space="preserve"> diminished</w:t>
      </w:r>
      <w:r w:rsidR="00D662F9" w:rsidRPr="00807BAB">
        <w:rPr>
          <w:rFonts w:ascii="Times New Roman" w:hAnsi="Times New Roman" w:cs="Times New Roman"/>
        </w:rPr>
        <w:t xml:space="preserve"> </w:t>
      </w:r>
      <w:r w:rsidR="002B49EB">
        <w:rPr>
          <w:rFonts w:ascii="Times New Roman" w:hAnsi="Times New Roman" w:cs="Times New Roman"/>
        </w:rPr>
        <w:t>(</w:t>
      </w:r>
      <w:r w:rsidR="00D662F9" w:rsidRPr="00807BAB">
        <w:rPr>
          <w:rFonts w:ascii="Times New Roman" w:hAnsi="Times New Roman" w:cs="Times New Roman"/>
        </w:rPr>
        <w:t>Countouris and Freedland</w:t>
      </w:r>
      <w:r w:rsidR="001144F2">
        <w:rPr>
          <w:rFonts w:ascii="Times New Roman" w:hAnsi="Times New Roman" w:cs="Times New Roman"/>
        </w:rPr>
        <w:t>,</w:t>
      </w:r>
      <w:r w:rsidR="00D662F9" w:rsidRPr="00807BAB">
        <w:rPr>
          <w:rFonts w:ascii="Times New Roman" w:hAnsi="Times New Roman" w:cs="Times New Roman"/>
        </w:rPr>
        <w:t xml:space="preserve"> 2013: 93)</w:t>
      </w:r>
      <w:r w:rsidR="00082F50">
        <w:rPr>
          <w:rFonts w:ascii="Times New Roman" w:hAnsi="Times New Roman" w:cs="Times New Roman"/>
        </w:rPr>
        <w:t xml:space="preserve">. </w:t>
      </w:r>
      <w:r w:rsidR="00022255">
        <w:rPr>
          <w:rFonts w:ascii="Times New Roman" w:hAnsi="Times New Roman" w:cs="Times New Roman"/>
        </w:rPr>
        <w:t>In the wake of the most serious economic crisis in 80 years, t</w:t>
      </w:r>
      <w:r w:rsidR="00807321">
        <w:rPr>
          <w:rFonts w:ascii="Times New Roman" w:hAnsi="Times New Roman" w:cs="Times New Roman"/>
        </w:rPr>
        <w:t xml:space="preserve">here is a need to reframe the EPL </w:t>
      </w:r>
      <w:r w:rsidR="00DA40E7">
        <w:rPr>
          <w:rFonts w:ascii="Times New Roman" w:hAnsi="Times New Roman" w:cs="Times New Roman"/>
        </w:rPr>
        <w:t>and broader flexicurity debate</w:t>
      </w:r>
      <w:r w:rsidR="00792755">
        <w:rPr>
          <w:rFonts w:ascii="Times New Roman" w:hAnsi="Times New Roman" w:cs="Times New Roman"/>
        </w:rPr>
        <w:t>s</w:t>
      </w:r>
      <w:r w:rsidR="00807321">
        <w:rPr>
          <w:rFonts w:ascii="Times New Roman" w:hAnsi="Times New Roman" w:cs="Times New Roman"/>
        </w:rPr>
        <w:t xml:space="preserve"> in a way that gives proper consideration to the potential </w:t>
      </w:r>
      <w:r w:rsidR="00135167">
        <w:rPr>
          <w:rFonts w:ascii="Times New Roman" w:hAnsi="Times New Roman" w:cs="Times New Roman"/>
        </w:rPr>
        <w:t>contribution</w:t>
      </w:r>
      <w:r w:rsidR="00807321">
        <w:rPr>
          <w:rFonts w:ascii="Times New Roman" w:hAnsi="Times New Roman" w:cs="Times New Roman"/>
        </w:rPr>
        <w:t xml:space="preserve"> that employment </w:t>
      </w:r>
      <w:r w:rsidR="00814D17">
        <w:rPr>
          <w:rFonts w:ascii="Times New Roman" w:hAnsi="Times New Roman" w:cs="Times New Roman"/>
        </w:rPr>
        <w:t>regulations and social protections</w:t>
      </w:r>
      <w:r w:rsidR="00807321">
        <w:rPr>
          <w:rFonts w:ascii="Times New Roman" w:hAnsi="Times New Roman" w:cs="Times New Roman"/>
        </w:rPr>
        <w:t xml:space="preserve"> </w:t>
      </w:r>
      <w:r w:rsidR="00022255">
        <w:rPr>
          <w:rFonts w:ascii="Times New Roman" w:hAnsi="Times New Roman" w:cs="Times New Roman"/>
        </w:rPr>
        <w:t>might</w:t>
      </w:r>
      <w:r w:rsidR="00807321">
        <w:rPr>
          <w:rFonts w:ascii="Times New Roman" w:hAnsi="Times New Roman" w:cs="Times New Roman"/>
        </w:rPr>
        <w:t xml:space="preserve"> </w:t>
      </w:r>
      <w:r w:rsidR="00135167">
        <w:rPr>
          <w:rFonts w:ascii="Times New Roman" w:hAnsi="Times New Roman" w:cs="Times New Roman"/>
        </w:rPr>
        <w:t>make</w:t>
      </w:r>
      <w:r w:rsidR="00807321">
        <w:rPr>
          <w:rFonts w:ascii="Times New Roman" w:hAnsi="Times New Roman" w:cs="Times New Roman"/>
        </w:rPr>
        <w:t xml:space="preserve"> </w:t>
      </w:r>
      <w:r w:rsidR="00135167">
        <w:rPr>
          <w:rFonts w:ascii="Times New Roman" w:hAnsi="Times New Roman" w:cs="Times New Roman"/>
        </w:rPr>
        <w:t>to</w:t>
      </w:r>
      <w:r w:rsidR="00807321">
        <w:rPr>
          <w:rFonts w:ascii="Times New Roman" w:hAnsi="Times New Roman" w:cs="Times New Roman"/>
        </w:rPr>
        <w:t xml:space="preserve"> </w:t>
      </w:r>
      <w:r w:rsidR="00022255">
        <w:rPr>
          <w:rFonts w:ascii="Times New Roman" w:hAnsi="Times New Roman" w:cs="Times New Roman"/>
        </w:rPr>
        <w:t xml:space="preserve">rebuilding security </w:t>
      </w:r>
      <w:r w:rsidR="001E353A">
        <w:rPr>
          <w:rFonts w:ascii="Times New Roman" w:hAnsi="Times New Roman" w:cs="Times New Roman"/>
        </w:rPr>
        <w:t>in the labour market and wider society</w:t>
      </w:r>
      <w:r w:rsidR="00792755" w:rsidRPr="00792755">
        <w:rPr>
          <w:rFonts w:ascii="Times New Roman" w:hAnsi="Times New Roman" w:cs="Times New Roman"/>
        </w:rPr>
        <w:t xml:space="preserve">. </w:t>
      </w:r>
      <w:r w:rsidR="00792755" w:rsidRPr="00B712C2">
        <w:rPr>
          <w:rFonts w:ascii="Times New Roman" w:hAnsi="Times New Roman" w:cs="Times New Roman"/>
        </w:rPr>
        <w:t xml:space="preserve">Academic critics of the flexicurity agenda </w:t>
      </w:r>
      <w:r w:rsidR="00321535">
        <w:rPr>
          <w:rFonts w:ascii="Times New Roman" w:hAnsi="Times New Roman" w:cs="Times New Roman"/>
        </w:rPr>
        <w:t xml:space="preserve">(see </w:t>
      </w:r>
      <w:r w:rsidR="00792755">
        <w:rPr>
          <w:rFonts w:ascii="Times New Roman" w:hAnsi="Times New Roman" w:cs="Times New Roman"/>
        </w:rPr>
        <w:t xml:space="preserve">various </w:t>
      </w:r>
      <w:r w:rsidR="00321535">
        <w:rPr>
          <w:rFonts w:ascii="Times New Roman" w:hAnsi="Times New Roman" w:cs="Times New Roman"/>
        </w:rPr>
        <w:t>contributions to Keune and Serrano, 2014)</w:t>
      </w:r>
      <w:r w:rsidR="00792755">
        <w:rPr>
          <w:rFonts w:ascii="Times New Roman" w:hAnsi="Times New Roman" w:cs="Times New Roman"/>
        </w:rPr>
        <w:t xml:space="preserve"> have suggested alternative approaches to labour market and social policy that would involve </w:t>
      </w:r>
      <w:r w:rsidR="00374741">
        <w:rPr>
          <w:rFonts w:ascii="Times New Roman" w:hAnsi="Times New Roman" w:cs="Times New Roman"/>
        </w:rPr>
        <w:t xml:space="preserve">providing workers with new social rights and </w:t>
      </w:r>
      <w:r w:rsidR="00792755">
        <w:rPr>
          <w:rFonts w:ascii="Times New Roman" w:hAnsi="Times New Roman" w:cs="Times New Roman"/>
        </w:rPr>
        <w:t>i</w:t>
      </w:r>
      <w:r w:rsidR="00321535">
        <w:rPr>
          <w:rFonts w:ascii="Times New Roman" w:hAnsi="Times New Roman" w:cs="Times New Roman"/>
        </w:rPr>
        <w:t>ncreasing the</w:t>
      </w:r>
      <w:r w:rsidR="00374741">
        <w:rPr>
          <w:rFonts w:ascii="Times New Roman" w:hAnsi="Times New Roman" w:cs="Times New Roman"/>
        </w:rPr>
        <w:t>ir</w:t>
      </w:r>
      <w:r w:rsidR="00321535">
        <w:rPr>
          <w:rFonts w:ascii="Times New Roman" w:hAnsi="Times New Roman" w:cs="Times New Roman"/>
        </w:rPr>
        <w:t xml:space="preserve"> voice in the identification of social objectives and the means of achi</w:t>
      </w:r>
      <w:r w:rsidR="00792755">
        <w:rPr>
          <w:rFonts w:ascii="Times New Roman" w:hAnsi="Times New Roman" w:cs="Times New Roman"/>
        </w:rPr>
        <w:t>e</w:t>
      </w:r>
      <w:r w:rsidR="00321535">
        <w:rPr>
          <w:rFonts w:ascii="Times New Roman" w:hAnsi="Times New Roman" w:cs="Times New Roman"/>
        </w:rPr>
        <w:t>ving them</w:t>
      </w:r>
      <w:r w:rsidR="00374741">
        <w:rPr>
          <w:rFonts w:ascii="Times New Roman" w:hAnsi="Times New Roman" w:cs="Times New Roman"/>
        </w:rPr>
        <w:t xml:space="preserve">. These ambitions resonate with the </w:t>
      </w:r>
      <w:r w:rsidR="004E2E70">
        <w:rPr>
          <w:rFonts w:ascii="Times New Roman" w:hAnsi="Times New Roman" w:cs="Times New Roman"/>
        </w:rPr>
        <w:t>content</w:t>
      </w:r>
      <w:r w:rsidR="00374741">
        <w:rPr>
          <w:rFonts w:ascii="Times New Roman" w:hAnsi="Times New Roman" w:cs="Times New Roman"/>
        </w:rPr>
        <w:t xml:space="preserve"> of the </w:t>
      </w:r>
      <w:r w:rsidR="00374741" w:rsidRPr="008C28BF">
        <w:rPr>
          <w:rFonts w:ascii="Times New Roman" w:hAnsi="Times New Roman" w:cs="Times New Roman"/>
        </w:rPr>
        <w:t xml:space="preserve">‘Athens Manifesto’, agreed by the European trade union movement in 2011 (ETUC 2011), </w:t>
      </w:r>
      <w:r w:rsidR="00374741">
        <w:rPr>
          <w:rFonts w:ascii="Times New Roman" w:hAnsi="Times New Roman" w:cs="Times New Roman"/>
        </w:rPr>
        <w:t xml:space="preserve">which </w:t>
      </w:r>
      <w:r w:rsidR="00881D1A">
        <w:rPr>
          <w:rFonts w:ascii="Times New Roman" w:hAnsi="Times New Roman" w:cs="Times New Roman"/>
        </w:rPr>
        <w:t xml:space="preserve">includes a </w:t>
      </w:r>
      <w:r w:rsidR="00374741" w:rsidRPr="008C28BF">
        <w:rPr>
          <w:rFonts w:ascii="Times New Roman" w:hAnsi="Times New Roman" w:cs="Times New Roman"/>
        </w:rPr>
        <w:t>demand that social rights ‘should take precedence over economic freedoms’ and calls for new constraints on market forces.</w:t>
      </w:r>
      <w:r w:rsidR="00374741">
        <w:rPr>
          <w:rFonts w:ascii="Times New Roman" w:hAnsi="Times New Roman" w:cs="Times New Roman"/>
        </w:rPr>
        <w:t xml:space="preserve"> </w:t>
      </w:r>
      <w:r w:rsidR="00881D1A">
        <w:rPr>
          <w:rFonts w:ascii="Times New Roman" w:hAnsi="Times New Roman" w:cs="Times New Roman"/>
        </w:rPr>
        <w:t>T</w:t>
      </w:r>
      <w:r w:rsidR="0048194A">
        <w:rPr>
          <w:rFonts w:ascii="Times New Roman" w:hAnsi="Times New Roman" w:cs="Times New Roman"/>
        </w:rPr>
        <w:t>h</w:t>
      </w:r>
      <w:r w:rsidR="0043481D">
        <w:rPr>
          <w:rFonts w:ascii="Times New Roman" w:hAnsi="Times New Roman" w:cs="Times New Roman"/>
        </w:rPr>
        <w:t>is clearly requires that the European Commission and ECB cease to treat social policy as a means of achieving structural economic adjustments. There are</w:t>
      </w:r>
      <w:r w:rsidR="0048194A">
        <w:rPr>
          <w:rFonts w:ascii="Times New Roman" w:hAnsi="Times New Roman" w:cs="Times New Roman"/>
        </w:rPr>
        <w:t xml:space="preserve"> signs of an increased </w:t>
      </w:r>
      <w:r w:rsidR="00831F93">
        <w:rPr>
          <w:rFonts w:ascii="Times New Roman" w:hAnsi="Times New Roman" w:cs="Times New Roman"/>
        </w:rPr>
        <w:t xml:space="preserve">awareness </w:t>
      </w:r>
      <w:r w:rsidR="00881D1A">
        <w:rPr>
          <w:rFonts w:ascii="Times New Roman" w:hAnsi="Times New Roman" w:cs="Times New Roman"/>
        </w:rPr>
        <w:t xml:space="preserve">on the part of EU policy makers </w:t>
      </w:r>
      <w:r w:rsidR="00831F93">
        <w:rPr>
          <w:rFonts w:ascii="Times New Roman" w:hAnsi="Times New Roman" w:cs="Times New Roman"/>
        </w:rPr>
        <w:t>of</w:t>
      </w:r>
      <w:r w:rsidR="0048194A">
        <w:rPr>
          <w:rFonts w:ascii="Times New Roman" w:hAnsi="Times New Roman" w:cs="Times New Roman"/>
        </w:rPr>
        <w:t xml:space="preserve"> the </w:t>
      </w:r>
      <w:r w:rsidR="0096273D">
        <w:rPr>
          <w:rFonts w:ascii="Times New Roman" w:hAnsi="Times New Roman" w:cs="Times New Roman"/>
        </w:rPr>
        <w:t xml:space="preserve">potential </w:t>
      </w:r>
      <w:r w:rsidR="0048194A">
        <w:rPr>
          <w:rFonts w:ascii="Times New Roman" w:hAnsi="Times New Roman" w:cs="Times New Roman"/>
        </w:rPr>
        <w:t xml:space="preserve">social </w:t>
      </w:r>
      <w:r w:rsidR="0096273D">
        <w:rPr>
          <w:rFonts w:ascii="Times New Roman" w:hAnsi="Times New Roman" w:cs="Times New Roman"/>
        </w:rPr>
        <w:t>damage resulting from the</w:t>
      </w:r>
      <w:r w:rsidR="0048194A">
        <w:rPr>
          <w:rFonts w:ascii="Times New Roman" w:hAnsi="Times New Roman" w:cs="Times New Roman"/>
        </w:rPr>
        <w:t xml:space="preserve"> demands that have been made of </w:t>
      </w:r>
      <w:r w:rsidR="0043481D">
        <w:rPr>
          <w:rFonts w:ascii="Times New Roman" w:hAnsi="Times New Roman" w:cs="Times New Roman"/>
        </w:rPr>
        <w:t xml:space="preserve">those </w:t>
      </w:r>
      <w:r w:rsidR="0048194A">
        <w:rPr>
          <w:rFonts w:ascii="Times New Roman" w:hAnsi="Times New Roman" w:cs="Times New Roman"/>
        </w:rPr>
        <w:t>member states that have requested financial assistance</w:t>
      </w:r>
      <w:r w:rsidR="0096273D">
        <w:rPr>
          <w:rFonts w:ascii="Times New Roman" w:hAnsi="Times New Roman" w:cs="Times New Roman"/>
        </w:rPr>
        <w:t>, as reflected in the priorities outlined by the recently-appointed Commission President</w:t>
      </w:r>
      <w:r w:rsidR="00831F93">
        <w:rPr>
          <w:rFonts w:ascii="Times New Roman" w:hAnsi="Times New Roman" w:cs="Times New Roman"/>
        </w:rPr>
        <w:t>,</w:t>
      </w:r>
      <w:r w:rsidR="0096273D">
        <w:rPr>
          <w:rFonts w:ascii="Times New Roman" w:hAnsi="Times New Roman" w:cs="Times New Roman"/>
        </w:rPr>
        <w:t xml:space="preserve"> Jean-Claude Junker</w:t>
      </w:r>
      <w:r w:rsidR="0096273D">
        <w:rPr>
          <w:rStyle w:val="FootnoteReference"/>
          <w:rFonts w:ascii="Times New Roman" w:hAnsi="Times New Roman" w:cs="Times New Roman"/>
        </w:rPr>
        <w:footnoteReference w:id="2"/>
      </w:r>
      <w:r w:rsidR="0096273D">
        <w:rPr>
          <w:rFonts w:ascii="Times New Roman" w:hAnsi="Times New Roman" w:cs="Times New Roman"/>
        </w:rPr>
        <w:t xml:space="preserve">. </w:t>
      </w:r>
      <w:r w:rsidR="00B212E5">
        <w:rPr>
          <w:rFonts w:ascii="Times New Roman" w:hAnsi="Times New Roman" w:cs="Times New Roman"/>
        </w:rPr>
        <w:t>However,</w:t>
      </w:r>
      <w:r w:rsidR="009836EC" w:rsidRPr="009836EC">
        <w:rPr>
          <w:rFonts w:ascii="Times New Roman" w:hAnsi="Times New Roman" w:cs="Times New Roman"/>
        </w:rPr>
        <w:t xml:space="preserve"> </w:t>
      </w:r>
      <w:r w:rsidR="00B212E5">
        <w:rPr>
          <w:rFonts w:ascii="Times New Roman" w:hAnsi="Times New Roman" w:cs="Times New Roman"/>
        </w:rPr>
        <w:t xml:space="preserve">the prospect of a substantial change of policy emphasis in relation to EPL </w:t>
      </w:r>
      <w:r w:rsidR="0043481D">
        <w:rPr>
          <w:rFonts w:ascii="Times New Roman" w:hAnsi="Times New Roman" w:cs="Times New Roman"/>
        </w:rPr>
        <w:t xml:space="preserve">and flexicurity </w:t>
      </w:r>
      <w:r w:rsidR="00003721">
        <w:rPr>
          <w:rFonts w:ascii="Times New Roman" w:hAnsi="Times New Roman" w:cs="Times New Roman"/>
        </w:rPr>
        <w:t xml:space="preserve">currently </w:t>
      </w:r>
      <w:r w:rsidR="00B212E5">
        <w:rPr>
          <w:rFonts w:ascii="Times New Roman" w:hAnsi="Times New Roman" w:cs="Times New Roman"/>
        </w:rPr>
        <w:t>seems unlikely</w:t>
      </w:r>
      <w:r w:rsidR="004E2E70">
        <w:rPr>
          <w:rFonts w:ascii="Times New Roman" w:hAnsi="Times New Roman" w:cs="Times New Roman"/>
        </w:rPr>
        <w:t xml:space="preserve">, given the economic fragility of the EU, the weakness of </w:t>
      </w:r>
      <w:r w:rsidR="00CA61F2">
        <w:rPr>
          <w:rFonts w:ascii="Times New Roman" w:hAnsi="Times New Roman" w:cs="Times New Roman"/>
        </w:rPr>
        <w:t xml:space="preserve">Europe’s </w:t>
      </w:r>
      <w:r w:rsidR="00CA61F2">
        <w:rPr>
          <w:rFonts w:ascii="Times New Roman" w:hAnsi="Times New Roman" w:cs="Times New Roman"/>
        </w:rPr>
        <w:lastRenderedPageBreak/>
        <w:t xml:space="preserve">trade unions, </w:t>
      </w:r>
      <w:r w:rsidR="004E2E70">
        <w:rPr>
          <w:rFonts w:ascii="Times New Roman" w:hAnsi="Times New Roman" w:cs="Times New Roman"/>
        </w:rPr>
        <w:t xml:space="preserve">and </w:t>
      </w:r>
      <w:r w:rsidR="00CA61F2">
        <w:rPr>
          <w:rFonts w:ascii="Times New Roman" w:hAnsi="Times New Roman" w:cs="Times New Roman"/>
        </w:rPr>
        <w:t>political and economic constraints that strongly pre-dispose policy makers to focus on supply-side reforms</w:t>
      </w:r>
      <w:r w:rsidR="009836EC">
        <w:rPr>
          <w:rFonts w:ascii="Times New Roman" w:hAnsi="Times New Roman" w:cs="Times New Roman"/>
        </w:rPr>
        <w:t>.</w:t>
      </w:r>
      <w:r w:rsidR="00B212E5">
        <w:rPr>
          <w:rFonts w:ascii="Times New Roman" w:hAnsi="Times New Roman" w:cs="Times New Roman"/>
        </w:rPr>
        <w:t xml:space="preserve">  </w:t>
      </w:r>
    </w:p>
    <w:p w14:paraId="6FEB9D7D" w14:textId="77777777" w:rsidR="00792477" w:rsidRPr="00807BAB" w:rsidRDefault="00792477" w:rsidP="00D67EC8">
      <w:pPr>
        <w:spacing w:line="480" w:lineRule="auto"/>
        <w:rPr>
          <w:rFonts w:ascii="Times New Roman" w:hAnsi="Times New Roman" w:cs="Times New Roman"/>
        </w:rPr>
      </w:pPr>
    </w:p>
    <w:p w14:paraId="5EB294C7" w14:textId="63AB74FB" w:rsidR="00E65D5A" w:rsidRDefault="008030D7" w:rsidP="00D67EC8">
      <w:pPr>
        <w:spacing w:line="480" w:lineRule="auto"/>
        <w:rPr>
          <w:rFonts w:ascii="Times New Roman" w:hAnsi="Times New Roman" w:cs="Times New Roman"/>
          <w:b/>
        </w:rPr>
      </w:pPr>
      <w:r w:rsidRPr="00807BAB">
        <w:rPr>
          <w:rFonts w:ascii="Times New Roman" w:hAnsi="Times New Roman" w:cs="Times New Roman"/>
          <w:b/>
        </w:rPr>
        <w:br w:type="column"/>
      </w:r>
      <w:r w:rsidR="00E65D5A">
        <w:rPr>
          <w:rFonts w:ascii="Times New Roman" w:hAnsi="Times New Roman" w:cs="Times New Roman"/>
          <w:b/>
        </w:rPr>
        <w:lastRenderedPageBreak/>
        <w:t>Acknowledgements</w:t>
      </w:r>
    </w:p>
    <w:p w14:paraId="3BCD13A7" w14:textId="585AA947" w:rsidR="007739AF" w:rsidRPr="00F12791" w:rsidRDefault="007739AF" w:rsidP="00D67EC8">
      <w:pPr>
        <w:spacing w:line="480" w:lineRule="auto"/>
        <w:rPr>
          <w:rFonts w:ascii="Times New Roman" w:hAnsi="Times New Roman" w:cs="Times New Roman"/>
        </w:rPr>
      </w:pPr>
      <w:r w:rsidRPr="00F12791">
        <w:rPr>
          <w:rFonts w:ascii="Times New Roman" w:hAnsi="Times New Roman" w:cs="Times New Roman"/>
        </w:rPr>
        <w:t>The research for this paper was supported by the British Academy /Leverhulme</w:t>
      </w:r>
      <w:r w:rsidR="00F12791">
        <w:rPr>
          <w:rFonts w:ascii="Times New Roman" w:hAnsi="Times New Roman" w:cs="Times New Roman"/>
        </w:rPr>
        <w:t xml:space="preserve"> Trust, </w:t>
      </w:r>
      <w:r w:rsidRPr="00F12791">
        <w:rPr>
          <w:rFonts w:ascii="Times New Roman" w:hAnsi="Times New Roman" w:cs="Times New Roman"/>
        </w:rPr>
        <w:t xml:space="preserve">grant SG120966, </w:t>
      </w:r>
      <w:r w:rsidRPr="00B712C2">
        <w:rPr>
          <w:rFonts w:ascii="Times New Roman" w:hAnsi="Times New Roman" w:cs="Times New Roman"/>
          <w:bCs/>
        </w:rPr>
        <w:t>‘Employment protection, job quality and the distribution of earnings’</w:t>
      </w:r>
    </w:p>
    <w:p w14:paraId="21B97ADF" w14:textId="492A4CBB" w:rsidR="00E65D5A" w:rsidRPr="00B712C2" w:rsidRDefault="00E65D5A" w:rsidP="00D67EC8">
      <w:pPr>
        <w:spacing w:line="480" w:lineRule="auto"/>
        <w:rPr>
          <w:rFonts w:ascii="Times New Roman" w:hAnsi="Times New Roman" w:cs="Times New Roman"/>
        </w:rPr>
      </w:pPr>
      <w:r>
        <w:rPr>
          <w:rFonts w:ascii="Times New Roman" w:hAnsi="Times New Roman" w:cs="Times New Roman"/>
        </w:rPr>
        <w:t>We would like to express our gratitude to the journal’s referees for providing extremely constructive comments on an earlier version of this paper. We are responsible for any errors that remain.</w:t>
      </w:r>
    </w:p>
    <w:p w14:paraId="6D103476" w14:textId="77777777" w:rsidR="00E65D5A" w:rsidRDefault="00E65D5A" w:rsidP="00D67EC8">
      <w:pPr>
        <w:spacing w:line="480" w:lineRule="auto"/>
        <w:rPr>
          <w:rFonts w:ascii="Times New Roman" w:hAnsi="Times New Roman" w:cs="Times New Roman"/>
          <w:b/>
        </w:rPr>
      </w:pPr>
    </w:p>
    <w:p w14:paraId="3D05C9A2" w14:textId="0402735C" w:rsidR="00BC13E4" w:rsidRPr="00807BAB" w:rsidRDefault="00A74119" w:rsidP="00D67EC8">
      <w:pPr>
        <w:spacing w:line="480" w:lineRule="auto"/>
        <w:rPr>
          <w:rFonts w:ascii="Times New Roman" w:hAnsi="Times New Roman" w:cs="Times New Roman"/>
          <w:b/>
        </w:rPr>
      </w:pPr>
      <w:r w:rsidRPr="00807BAB">
        <w:rPr>
          <w:rFonts w:ascii="Times New Roman" w:hAnsi="Times New Roman" w:cs="Times New Roman"/>
          <w:b/>
        </w:rPr>
        <w:t>References</w:t>
      </w:r>
    </w:p>
    <w:p w14:paraId="44FCD07A" w14:textId="58C24582" w:rsidR="001144F2" w:rsidRPr="001144F2" w:rsidRDefault="001144F2" w:rsidP="00D67EC8">
      <w:pPr>
        <w:spacing w:line="480" w:lineRule="auto"/>
        <w:rPr>
          <w:rFonts w:ascii="Times New Roman" w:hAnsi="Times New Roman" w:cs="Times New Roman"/>
        </w:rPr>
      </w:pPr>
      <w:r>
        <w:rPr>
          <w:rFonts w:ascii="Times New Roman" w:hAnsi="Times New Roman" w:cs="Times New Roman"/>
        </w:rPr>
        <w:t>Allard, G. and Lindert, P. (2006)</w:t>
      </w:r>
      <w:r w:rsidR="00F75379">
        <w:rPr>
          <w:rFonts w:ascii="Times New Roman" w:hAnsi="Times New Roman" w:cs="Times New Roman"/>
        </w:rPr>
        <w:t>,</w:t>
      </w:r>
      <w:r>
        <w:rPr>
          <w:rFonts w:ascii="Times New Roman" w:hAnsi="Times New Roman" w:cs="Times New Roman"/>
        </w:rPr>
        <w:t xml:space="preserve"> ‘E</w:t>
      </w:r>
      <w:r w:rsidRPr="001144F2">
        <w:rPr>
          <w:rFonts w:ascii="Times New Roman" w:hAnsi="Times New Roman" w:cs="Times New Roman"/>
        </w:rPr>
        <w:t>uro-</w:t>
      </w:r>
      <w:r w:rsidR="00F75379">
        <w:rPr>
          <w:rFonts w:ascii="Times New Roman" w:hAnsi="Times New Roman" w:cs="Times New Roman"/>
        </w:rPr>
        <w:t>P</w:t>
      </w:r>
      <w:r w:rsidRPr="001144F2">
        <w:rPr>
          <w:rFonts w:ascii="Times New Roman" w:hAnsi="Times New Roman" w:cs="Times New Roman"/>
        </w:rPr>
        <w:t xml:space="preserve">roductivity and </w:t>
      </w:r>
      <w:r w:rsidR="00F75379">
        <w:rPr>
          <w:rFonts w:ascii="Times New Roman" w:hAnsi="Times New Roman" w:cs="Times New Roman"/>
        </w:rPr>
        <w:t>E</w:t>
      </w:r>
      <w:r w:rsidRPr="001144F2">
        <w:rPr>
          <w:rFonts w:ascii="Times New Roman" w:hAnsi="Times New Roman" w:cs="Times New Roman"/>
        </w:rPr>
        <w:t>uro-</w:t>
      </w:r>
      <w:r w:rsidR="00F75379">
        <w:rPr>
          <w:rFonts w:ascii="Times New Roman" w:hAnsi="Times New Roman" w:cs="Times New Roman"/>
        </w:rPr>
        <w:t>J</w:t>
      </w:r>
      <w:r w:rsidRPr="001144F2">
        <w:rPr>
          <w:rFonts w:ascii="Times New Roman" w:hAnsi="Times New Roman" w:cs="Times New Roman"/>
        </w:rPr>
        <w:t>ob</w:t>
      </w:r>
      <w:r w:rsidR="00F75379">
        <w:rPr>
          <w:rFonts w:ascii="Times New Roman" w:hAnsi="Times New Roman" w:cs="Times New Roman"/>
        </w:rPr>
        <w:t>s</w:t>
      </w:r>
      <w:r w:rsidRPr="001144F2">
        <w:rPr>
          <w:rFonts w:ascii="Times New Roman" w:hAnsi="Times New Roman" w:cs="Times New Roman"/>
        </w:rPr>
        <w:t xml:space="preserve"> </w:t>
      </w:r>
      <w:r w:rsidR="00F75379">
        <w:rPr>
          <w:rFonts w:ascii="Times New Roman" w:hAnsi="Times New Roman" w:cs="Times New Roman"/>
        </w:rPr>
        <w:t>S</w:t>
      </w:r>
      <w:r w:rsidRPr="001144F2">
        <w:rPr>
          <w:rFonts w:ascii="Times New Roman" w:hAnsi="Times New Roman" w:cs="Times New Roman"/>
        </w:rPr>
        <w:t xml:space="preserve">ince the 1960s: </w:t>
      </w:r>
      <w:r w:rsidR="00F75379">
        <w:rPr>
          <w:rFonts w:ascii="Times New Roman" w:hAnsi="Times New Roman" w:cs="Times New Roman"/>
        </w:rPr>
        <w:t>W</w:t>
      </w:r>
      <w:r w:rsidRPr="001144F2">
        <w:rPr>
          <w:rFonts w:ascii="Times New Roman" w:hAnsi="Times New Roman" w:cs="Times New Roman"/>
        </w:rPr>
        <w:t xml:space="preserve">hich </w:t>
      </w:r>
      <w:r w:rsidR="00F75379">
        <w:rPr>
          <w:rFonts w:ascii="Times New Roman" w:hAnsi="Times New Roman" w:cs="Times New Roman"/>
        </w:rPr>
        <w:t>I</w:t>
      </w:r>
      <w:r w:rsidRPr="001144F2">
        <w:rPr>
          <w:rFonts w:ascii="Times New Roman" w:hAnsi="Times New Roman" w:cs="Times New Roman"/>
        </w:rPr>
        <w:t xml:space="preserve">nstitutions </w:t>
      </w:r>
      <w:r w:rsidR="00F75379">
        <w:rPr>
          <w:rFonts w:ascii="Times New Roman" w:hAnsi="Times New Roman" w:cs="Times New Roman"/>
        </w:rPr>
        <w:t>R</w:t>
      </w:r>
      <w:r w:rsidRPr="001144F2">
        <w:rPr>
          <w:rFonts w:ascii="Times New Roman" w:hAnsi="Times New Roman" w:cs="Times New Roman"/>
        </w:rPr>
        <w:t xml:space="preserve">eally </w:t>
      </w:r>
      <w:r w:rsidR="00F75379">
        <w:rPr>
          <w:rFonts w:ascii="Times New Roman" w:hAnsi="Times New Roman" w:cs="Times New Roman"/>
        </w:rPr>
        <w:t>M</w:t>
      </w:r>
      <w:r w:rsidRPr="001144F2">
        <w:rPr>
          <w:rFonts w:ascii="Times New Roman" w:hAnsi="Times New Roman" w:cs="Times New Roman"/>
        </w:rPr>
        <w:t>ttered?</w:t>
      </w:r>
      <w:r>
        <w:rPr>
          <w:rFonts w:ascii="Times New Roman" w:hAnsi="Times New Roman" w:cs="Times New Roman"/>
        </w:rPr>
        <w:t xml:space="preserve">’, National Bureau of Economic Research, </w:t>
      </w:r>
      <w:r w:rsidRPr="001144F2">
        <w:rPr>
          <w:rFonts w:ascii="Times New Roman" w:hAnsi="Times New Roman" w:cs="Times New Roman"/>
        </w:rPr>
        <w:t>Working Paper 12460 http://www.nber.org/papers/w12460</w:t>
      </w:r>
    </w:p>
    <w:p w14:paraId="6B5904E2" w14:textId="7F056324" w:rsidR="0046660B" w:rsidRDefault="0046660B" w:rsidP="00D67EC8">
      <w:pPr>
        <w:spacing w:line="480" w:lineRule="auto"/>
        <w:rPr>
          <w:rFonts w:ascii="Times New Roman" w:hAnsi="Times New Roman" w:cs="Times New Roman"/>
        </w:rPr>
      </w:pPr>
      <w:r w:rsidRPr="0021278F">
        <w:rPr>
          <w:rFonts w:ascii="Times New Roman" w:hAnsi="Times New Roman" w:cs="Times New Roman"/>
        </w:rPr>
        <w:t>Auer, P., Efendioğlu, Ű and Leschke, J. (2008)</w:t>
      </w:r>
      <w:r w:rsidR="00F75379">
        <w:rPr>
          <w:rFonts w:ascii="Times New Roman" w:hAnsi="Times New Roman" w:cs="Times New Roman"/>
        </w:rPr>
        <w:t>,</w:t>
      </w:r>
      <w:r w:rsidRPr="0021278F">
        <w:rPr>
          <w:rFonts w:ascii="Times New Roman" w:hAnsi="Times New Roman" w:cs="Times New Roman"/>
        </w:rPr>
        <w:t xml:space="preserve"> </w:t>
      </w:r>
      <w:r w:rsidRPr="0021278F">
        <w:rPr>
          <w:rFonts w:ascii="Times New Roman" w:hAnsi="Times New Roman" w:cs="Times New Roman"/>
          <w:i/>
        </w:rPr>
        <w:t xml:space="preserve">Active Labour Market Policies Around the World: </w:t>
      </w:r>
      <w:r w:rsidR="000B04FD">
        <w:rPr>
          <w:rFonts w:ascii="Times New Roman" w:hAnsi="Times New Roman" w:cs="Times New Roman"/>
          <w:i/>
        </w:rPr>
        <w:t>C</w:t>
      </w:r>
      <w:r w:rsidRPr="0021278F">
        <w:rPr>
          <w:rFonts w:ascii="Times New Roman" w:hAnsi="Times New Roman" w:cs="Times New Roman"/>
          <w:i/>
        </w:rPr>
        <w:t>oping with the Consequences of Globalization</w:t>
      </w:r>
      <w:r w:rsidR="00F75379">
        <w:rPr>
          <w:rFonts w:ascii="Times New Roman" w:hAnsi="Times New Roman" w:cs="Times New Roman"/>
          <w:i/>
        </w:rPr>
        <w:t xml:space="preserve"> </w:t>
      </w:r>
      <w:r w:rsidR="00F75379" w:rsidRPr="00F75379">
        <w:rPr>
          <w:rFonts w:ascii="Times New Roman" w:hAnsi="Times New Roman" w:cs="Times New Roman"/>
        </w:rPr>
        <w:t>(</w:t>
      </w:r>
      <w:r w:rsidRPr="0021278F">
        <w:rPr>
          <w:rFonts w:ascii="Times New Roman" w:hAnsi="Times New Roman" w:cs="Times New Roman"/>
        </w:rPr>
        <w:t>Geneva</w:t>
      </w:r>
      <w:r w:rsidR="000B04FD">
        <w:rPr>
          <w:rFonts w:ascii="Times New Roman" w:hAnsi="Times New Roman" w:cs="Times New Roman"/>
        </w:rPr>
        <w:t>,</w:t>
      </w:r>
      <w:r w:rsidRPr="0021278F">
        <w:rPr>
          <w:rFonts w:ascii="Times New Roman" w:hAnsi="Times New Roman" w:cs="Times New Roman"/>
        </w:rPr>
        <w:t xml:space="preserve"> ILO</w:t>
      </w:r>
      <w:r w:rsidR="00F75379">
        <w:rPr>
          <w:rFonts w:ascii="Times New Roman" w:hAnsi="Times New Roman" w:cs="Times New Roman"/>
        </w:rPr>
        <w:t>)</w:t>
      </w:r>
      <w:r w:rsidRPr="0021278F">
        <w:rPr>
          <w:rFonts w:ascii="Times New Roman" w:hAnsi="Times New Roman" w:cs="Times New Roman"/>
        </w:rPr>
        <w:t>.</w:t>
      </w:r>
    </w:p>
    <w:p w14:paraId="62872DF0" w14:textId="5CEC2093" w:rsidR="00F93FAF" w:rsidRPr="0021278F" w:rsidRDefault="00F93FAF" w:rsidP="00D67EC8">
      <w:pPr>
        <w:spacing w:line="480" w:lineRule="auto"/>
        <w:rPr>
          <w:rFonts w:ascii="Times New Roman" w:hAnsi="Times New Roman" w:cs="Times New Roman"/>
        </w:rPr>
      </w:pPr>
      <w:r>
        <w:rPr>
          <w:rFonts w:ascii="Times New Roman" w:hAnsi="Times New Roman" w:cs="Times New Roman"/>
        </w:rPr>
        <w:t xml:space="preserve">Avdagic, S. (2014), ‘Does Deregulation Work? Reassessing the Unemployment Effects of Employment Protection’, </w:t>
      </w:r>
      <w:r w:rsidRPr="00B712C2">
        <w:rPr>
          <w:rFonts w:ascii="Times New Roman" w:hAnsi="Times New Roman" w:cs="Times New Roman"/>
          <w:i/>
        </w:rPr>
        <w:t>British Journal of Industrial Relations</w:t>
      </w:r>
      <w:r>
        <w:rPr>
          <w:rFonts w:ascii="Times New Roman" w:hAnsi="Times New Roman" w:cs="Times New Roman"/>
        </w:rPr>
        <w:t xml:space="preserve">,  </w:t>
      </w:r>
    </w:p>
    <w:p w14:paraId="22152432" w14:textId="2644FC33" w:rsidR="00416C44" w:rsidRDefault="00F13368" w:rsidP="00D67EC8">
      <w:pPr>
        <w:spacing w:line="480" w:lineRule="auto"/>
        <w:rPr>
          <w:rFonts w:ascii="Times New Roman" w:hAnsi="Times New Roman" w:cs="Times New Roman"/>
        </w:rPr>
      </w:pPr>
      <w:r>
        <w:rPr>
          <w:rFonts w:ascii="Times New Roman" w:hAnsi="Times New Roman" w:cs="Times New Roman"/>
        </w:rPr>
        <w:t>A</w:t>
      </w:r>
      <w:r w:rsidR="00416C44" w:rsidRPr="00807BAB">
        <w:rPr>
          <w:rFonts w:ascii="Times New Roman" w:hAnsi="Times New Roman" w:cs="Times New Roman"/>
        </w:rPr>
        <w:t>vdagic, S. and Salardi, P. (2013)</w:t>
      </w:r>
      <w:r w:rsidR="000B04FD">
        <w:rPr>
          <w:rFonts w:ascii="Times New Roman" w:hAnsi="Times New Roman" w:cs="Times New Roman"/>
        </w:rPr>
        <w:t>,</w:t>
      </w:r>
      <w:r w:rsidR="00416C44" w:rsidRPr="00807BAB">
        <w:rPr>
          <w:rFonts w:ascii="Times New Roman" w:hAnsi="Times New Roman" w:cs="Times New Roman"/>
        </w:rPr>
        <w:t xml:space="preserve"> ‘Tenuous </w:t>
      </w:r>
      <w:r w:rsidR="000B04FD">
        <w:rPr>
          <w:rFonts w:ascii="Times New Roman" w:hAnsi="Times New Roman" w:cs="Times New Roman"/>
        </w:rPr>
        <w:t>L</w:t>
      </w:r>
      <w:r w:rsidR="00416C44" w:rsidRPr="00807BAB">
        <w:rPr>
          <w:rFonts w:ascii="Times New Roman" w:hAnsi="Times New Roman" w:cs="Times New Roman"/>
        </w:rPr>
        <w:t xml:space="preserve">ink: </w:t>
      </w:r>
      <w:r w:rsidR="000B04FD">
        <w:rPr>
          <w:rFonts w:ascii="Times New Roman" w:hAnsi="Times New Roman" w:cs="Times New Roman"/>
        </w:rPr>
        <w:t>L</w:t>
      </w:r>
      <w:r w:rsidR="00416C44" w:rsidRPr="00807BAB">
        <w:rPr>
          <w:rFonts w:ascii="Times New Roman" w:hAnsi="Times New Roman" w:cs="Times New Roman"/>
        </w:rPr>
        <w:t xml:space="preserve">abour </w:t>
      </w:r>
      <w:r w:rsidR="000B04FD">
        <w:rPr>
          <w:rFonts w:ascii="Times New Roman" w:hAnsi="Times New Roman" w:cs="Times New Roman"/>
        </w:rPr>
        <w:t>M</w:t>
      </w:r>
      <w:r w:rsidR="00416C44" w:rsidRPr="00807BAB">
        <w:rPr>
          <w:rFonts w:ascii="Times New Roman" w:hAnsi="Times New Roman" w:cs="Times New Roman"/>
        </w:rPr>
        <w:t xml:space="preserve">arket </w:t>
      </w:r>
      <w:r w:rsidR="000B04FD">
        <w:rPr>
          <w:rFonts w:ascii="Times New Roman" w:hAnsi="Times New Roman" w:cs="Times New Roman"/>
        </w:rPr>
        <w:t>I</w:t>
      </w:r>
      <w:r w:rsidR="00416C44" w:rsidRPr="00807BAB">
        <w:rPr>
          <w:rFonts w:ascii="Times New Roman" w:hAnsi="Times New Roman" w:cs="Times New Roman"/>
        </w:rPr>
        <w:t xml:space="preserve">nstitutions and </w:t>
      </w:r>
      <w:r w:rsidR="000B04FD">
        <w:rPr>
          <w:rFonts w:ascii="Times New Roman" w:hAnsi="Times New Roman" w:cs="Times New Roman"/>
        </w:rPr>
        <w:t>U</w:t>
      </w:r>
      <w:r w:rsidR="00416C44" w:rsidRPr="00807BAB">
        <w:rPr>
          <w:rFonts w:ascii="Times New Roman" w:hAnsi="Times New Roman" w:cs="Times New Roman"/>
        </w:rPr>
        <w:t xml:space="preserve">nemployment in </w:t>
      </w:r>
      <w:r w:rsidR="000B04FD">
        <w:rPr>
          <w:rFonts w:ascii="Times New Roman" w:hAnsi="Times New Roman" w:cs="Times New Roman"/>
        </w:rPr>
        <w:t>A</w:t>
      </w:r>
      <w:r w:rsidR="00416C44" w:rsidRPr="00807BAB">
        <w:rPr>
          <w:rFonts w:ascii="Times New Roman" w:hAnsi="Times New Roman" w:cs="Times New Roman"/>
        </w:rPr>
        <w:t xml:space="preserve">dvanced and </w:t>
      </w:r>
      <w:r w:rsidR="000B04FD">
        <w:rPr>
          <w:rFonts w:ascii="Times New Roman" w:hAnsi="Times New Roman" w:cs="Times New Roman"/>
        </w:rPr>
        <w:t>N</w:t>
      </w:r>
      <w:r w:rsidR="00416C44" w:rsidRPr="00807BAB">
        <w:rPr>
          <w:rFonts w:ascii="Times New Roman" w:hAnsi="Times New Roman" w:cs="Times New Roman"/>
        </w:rPr>
        <w:t xml:space="preserve">ew </w:t>
      </w:r>
      <w:r w:rsidR="000B04FD">
        <w:rPr>
          <w:rFonts w:ascii="Times New Roman" w:hAnsi="Times New Roman" w:cs="Times New Roman"/>
        </w:rPr>
        <w:t>M</w:t>
      </w:r>
      <w:r w:rsidR="00416C44" w:rsidRPr="00807BAB">
        <w:rPr>
          <w:rFonts w:ascii="Times New Roman" w:hAnsi="Times New Roman" w:cs="Times New Roman"/>
        </w:rPr>
        <w:t xml:space="preserve">arket </w:t>
      </w:r>
      <w:r w:rsidR="000B04FD">
        <w:rPr>
          <w:rFonts w:ascii="Times New Roman" w:hAnsi="Times New Roman" w:cs="Times New Roman"/>
        </w:rPr>
        <w:t>E</w:t>
      </w:r>
      <w:r w:rsidR="00416C44" w:rsidRPr="00807BAB">
        <w:rPr>
          <w:rFonts w:ascii="Times New Roman" w:hAnsi="Times New Roman" w:cs="Times New Roman"/>
        </w:rPr>
        <w:t xml:space="preserve">conomies’, </w:t>
      </w:r>
      <w:r w:rsidR="00416C44" w:rsidRPr="00807BAB">
        <w:rPr>
          <w:rFonts w:ascii="Times New Roman" w:hAnsi="Times New Roman" w:cs="Times New Roman"/>
          <w:i/>
        </w:rPr>
        <w:t>Socio-Economic Review</w:t>
      </w:r>
      <w:r w:rsidR="00416C44" w:rsidRPr="00807BAB">
        <w:rPr>
          <w:rFonts w:ascii="Times New Roman" w:hAnsi="Times New Roman" w:cs="Times New Roman"/>
        </w:rPr>
        <w:t>, 11, 4</w:t>
      </w:r>
      <w:r w:rsidR="000B04FD">
        <w:rPr>
          <w:rFonts w:ascii="Times New Roman" w:hAnsi="Times New Roman" w:cs="Times New Roman"/>
        </w:rPr>
        <w:t>,</w:t>
      </w:r>
      <w:r w:rsidR="00416C44" w:rsidRPr="00807BAB">
        <w:rPr>
          <w:rFonts w:ascii="Times New Roman" w:hAnsi="Times New Roman" w:cs="Times New Roman"/>
        </w:rPr>
        <w:t xml:space="preserve"> 739-770.</w:t>
      </w:r>
    </w:p>
    <w:p w14:paraId="2F828B9B" w14:textId="0ED790F2" w:rsidR="00F16B5B" w:rsidRPr="003024E8" w:rsidRDefault="00F16B5B" w:rsidP="00D67EC8">
      <w:pPr>
        <w:spacing w:line="480" w:lineRule="auto"/>
        <w:rPr>
          <w:rFonts w:ascii="Times New Roman" w:hAnsi="Times New Roman" w:cs="Times New Roman"/>
        </w:rPr>
      </w:pPr>
      <w:r>
        <w:rPr>
          <w:rFonts w:ascii="Times New Roman" w:eastAsia="Calibri" w:hAnsi="Times New Roman" w:cs="Times New Roman"/>
        </w:rPr>
        <w:t>Baker, D., Glyn, A., Howell, D.R. and Schmitt, J. (2005)</w:t>
      </w:r>
      <w:r w:rsidR="000B04FD">
        <w:rPr>
          <w:rFonts w:ascii="Times New Roman" w:eastAsia="Calibri" w:hAnsi="Times New Roman" w:cs="Times New Roman"/>
        </w:rPr>
        <w:t>,</w:t>
      </w:r>
      <w:r>
        <w:rPr>
          <w:rFonts w:ascii="Times New Roman" w:eastAsia="Calibri" w:hAnsi="Times New Roman" w:cs="Times New Roman"/>
        </w:rPr>
        <w:t xml:space="preserve"> ‘Labour </w:t>
      </w:r>
      <w:r w:rsidR="000B04FD">
        <w:rPr>
          <w:rFonts w:ascii="Times New Roman" w:eastAsia="Calibri" w:hAnsi="Times New Roman" w:cs="Times New Roman"/>
        </w:rPr>
        <w:t>M</w:t>
      </w:r>
      <w:r>
        <w:rPr>
          <w:rFonts w:ascii="Times New Roman" w:eastAsia="Calibri" w:hAnsi="Times New Roman" w:cs="Times New Roman"/>
        </w:rPr>
        <w:t xml:space="preserve">arket </w:t>
      </w:r>
      <w:r w:rsidR="000B04FD">
        <w:rPr>
          <w:rFonts w:ascii="Times New Roman" w:eastAsia="Calibri" w:hAnsi="Times New Roman" w:cs="Times New Roman"/>
        </w:rPr>
        <w:t>I</w:t>
      </w:r>
      <w:r>
        <w:rPr>
          <w:rFonts w:ascii="Times New Roman" w:eastAsia="Calibri" w:hAnsi="Times New Roman" w:cs="Times New Roman"/>
        </w:rPr>
        <w:t xml:space="preserve">nstitutions and </w:t>
      </w:r>
      <w:r w:rsidR="000B04FD">
        <w:rPr>
          <w:rFonts w:ascii="Times New Roman" w:eastAsia="Calibri" w:hAnsi="Times New Roman" w:cs="Times New Roman"/>
        </w:rPr>
        <w:t>U</w:t>
      </w:r>
      <w:r>
        <w:rPr>
          <w:rFonts w:ascii="Times New Roman" w:eastAsia="Calibri" w:hAnsi="Times New Roman" w:cs="Times New Roman"/>
        </w:rPr>
        <w:t xml:space="preserve">nemployment: </w:t>
      </w:r>
      <w:r w:rsidR="000B04FD">
        <w:rPr>
          <w:rFonts w:ascii="Times New Roman" w:eastAsia="Calibri" w:hAnsi="Times New Roman" w:cs="Times New Roman"/>
        </w:rPr>
        <w:t>A</w:t>
      </w:r>
      <w:r>
        <w:rPr>
          <w:rFonts w:ascii="Times New Roman" w:eastAsia="Calibri" w:hAnsi="Times New Roman" w:cs="Times New Roman"/>
        </w:rPr>
        <w:t xml:space="preserve"> </w:t>
      </w:r>
      <w:r w:rsidR="000B04FD">
        <w:rPr>
          <w:rFonts w:ascii="Times New Roman" w:eastAsia="Calibri" w:hAnsi="Times New Roman" w:cs="Times New Roman"/>
        </w:rPr>
        <w:t>C</w:t>
      </w:r>
      <w:r>
        <w:rPr>
          <w:rFonts w:ascii="Times New Roman" w:eastAsia="Calibri" w:hAnsi="Times New Roman" w:cs="Times New Roman"/>
        </w:rPr>
        <w:t xml:space="preserve">ritical </w:t>
      </w:r>
      <w:r w:rsidR="000B04FD">
        <w:rPr>
          <w:rFonts w:ascii="Times New Roman" w:eastAsia="Calibri" w:hAnsi="Times New Roman" w:cs="Times New Roman"/>
        </w:rPr>
        <w:t>A</w:t>
      </w:r>
      <w:r>
        <w:rPr>
          <w:rFonts w:ascii="Times New Roman" w:eastAsia="Calibri" w:hAnsi="Times New Roman" w:cs="Times New Roman"/>
        </w:rPr>
        <w:t xml:space="preserve">ssessment of the </w:t>
      </w:r>
      <w:r w:rsidR="000B04FD">
        <w:rPr>
          <w:rFonts w:ascii="Times New Roman" w:eastAsia="Calibri" w:hAnsi="Times New Roman" w:cs="Times New Roman"/>
        </w:rPr>
        <w:t>C</w:t>
      </w:r>
      <w:r>
        <w:rPr>
          <w:rFonts w:ascii="Times New Roman" w:eastAsia="Calibri" w:hAnsi="Times New Roman" w:cs="Times New Roman"/>
        </w:rPr>
        <w:t>ross-</w:t>
      </w:r>
      <w:r w:rsidR="000B04FD">
        <w:rPr>
          <w:rFonts w:ascii="Times New Roman" w:eastAsia="Calibri" w:hAnsi="Times New Roman" w:cs="Times New Roman"/>
        </w:rPr>
        <w:t>C</w:t>
      </w:r>
      <w:r>
        <w:rPr>
          <w:rFonts w:ascii="Times New Roman" w:eastAsia="Calibri" w:hAnsi="Times New Roman" w:cs="Times New Roman"/>
        </w:rPr>
        <w:t xml:space="preserve">ountry </w:t>
      </w:r>
      <w:r w:rsidR="000B04FD">
        <w:rPr>
          <w:rFonts w:ascii="Times New Roman" w:eastAsia="Calibri" w:hAnsi="Times New Roman" w:cs="Times New Roman"/>
        </w:rPr>
        <w:t>E</w:t>
      </w:r>
      <w:r>
        <w:rPr>
          <w:rFonts w:ascii="Times New Roman" w:eastAsia="Calibri" w:hAnsi="Times New Roman" w:cs="Times New Roman"/>
        </w:rPr>
        <w:t>vidence’, in</w:t>
      </w:r>
      <w:r w:rsidR="000B04FD">
        <w:rPr>
          <w:rFonts w:ascii="Times New Roman" w:eastAsia="Calibri" w:hAnsi="Times New Roman" w:cs="Times New Roman"/>
        </w:rPr>
        <w:t xml:space="preserve"> D. R. </w:t>
      </w:r>
      <w:r>
        <w:rPr>
          <w:rFonts w:ascii="Times New Roman" w:eastAsia="Calibri" w:hAnsi="Times New Roman" w:cs="Times New Roman"/>
        </w:rPr>
        <w:t>Howell,  (</w:t>
      </w:r>
      <w:r w:rsidR="000B04FD">
        <w:rPr>
          <w:rFonts w:ascii="Times New Roman" w:eastAsia="Calibri" w:hAnsi="Times New Roman" w:cs="Times New Roman"/>
        </w:rPr>
        <w:t>e</w:t>
      </w:r>
      <w:r>
        <w:rPr>
          <w:rFonts w:ascii="Times New Roman" w:eastAsia="Calibri" w:hAnsi="Times New Roman" w:cs="Times New Roman"/>
        </w:rPr>
        <w:t>d.)</w:t>
      </w:r>
      <w:r w:rsidR="000B04FD">
        <w:rPr>
          <w:rFonts w:ascii="Times New Roman" w:eastAsia="Calibri" w:hAnsi="Times New Roman" w:cs="Times New Roman"/>
        </w:rPr>
        <w:t>,</w:t>
      </w:r>
      <w:r>
        <w:rPr>
          <w:rFonts w:ascii="Times New Roman" w:eastAsia="Calibri" w:hAnsi="Times New Roman" w:cs="Times New Roman"/>
        </w:rPr>
        <w:t xml:space="preserve"> </w:t>
      </w:r>
      <w:r w:rsidRPr="00D800FA">
        <w:rPr>
          <w:rFonts w:ascii="Times New Roman" w:eastAsia="Calibri" w:hAnsi="Times New Roman" w:cs="Times New Roman"/>
          <w:i/>
        </w:rPr>
        <w:t>Fighting Unemployment: The Limits of Free Market Orthodoxy</w:t>
      </w:r>
      <w:r>
        <w:rPr>
          <w:rFonts w:ascii="Times New Roman" w:eastAsia="Calibri" w:hAnsi="Times New Roman" w:cs="Times New Roman"/>
        </w:rPr>
        <w:t xml:space="preserve"> </w:t>
      </w:r>
      <w:r w:rsidR="000B04FD">
        <w:rPr>
          <w:rFonts w:ascii="Times New Roman" w:eastAsia="Calibri" w:hAnsi="Times New Roman" w:cs="Times New Roman"/>
        </w:rPr>
        <w:t>(</w:t>
      </w:r>
      <w:r>
        <w:rPr>
          <w:rFonts w:ascii="Times New Roman" w:eastAsia="Calibri" w:hAnsi="Times New Roman" w:cs="Times New Roman"/>
        </w:rPr>
        <w:t>Oxford</w:t>
      </w:r>
      <w:r w:rsidR="000B04FD">
        <w:rPr>
          <w:rFonts w:ascii="Times New Roman" w:eastAsia="Calibri" w:hAnsi="Times New Roman" w:cs="Times New Roman"/>
        </w:rPr>
        <w:t>,</w:t>
      </w:r>
      <w:r>
        <w:rPr>
          <w:rFonts w:ascii="Times New Roman" w:eastAsia="Calibri" w:hAnsi="Times New Roman" w:cs="Times New Roman"/>
        </w:rPr>
        <w:t xml:space="preserve"> OUP</w:t>
      </w:r>
      <w:r w:rsidR="000B04FD">
        <w:rPr>
          <w:rFonts w:ascii="Times New Roman" w:eastAsia="Calibri" w:hAnsi="Times New Roman" w:cs="Times New Roman"/>
        </w:rPr>
        <w:t>)</w:t>
      </w:r>
      <w:r>
        <w:rPr>
          <w:rFonts w:ascii="Times New Roman" w:eastAsia="Calibri" w:hAnsi="Times New Roman" w:cs="Times New Roman"/>
        </w:rPr>
        <w:t>.</w:t>
      </w:r>
    </w:p>
    <w:p w14:paraId="3E329492" w14:textId="5B4F42AF" w:rsidR="00F16B5B" w:rsidRPr="003024E8" w:rsidRDefault="00F16B5B" w:rsidP="00D67EC8">
      <w:pPr>
        <w:spacing w:line="480" w:lineRule="auto"/>
        <w:rPr>
          <w:rFonts w:ascii="Times New Roman" w:hAnsi="Times New Roman" w:cs="Times New Roman"/>
        </w:rPr>
      </w:pPr>
      <w:r w:rsidRPr="00CB4FA1">
        <w:rPr>
          <w:rFonts w:ascii="Times New Roman" w:hAnsi="Times New Roman" w:cs="Times New Roman"/>
          <w:color w:val="333333"/>
        </w:rPr>
        <w:lastRenderedPageBreak/>
        <w:t>Bassanini, A. and Duval, R. (2006)</w:t>
      </w:r>
      <w:r w:rsidR="000B04FD">
        <w:rPr>
          <w:rFonts w:ascii="Times New Roman" w:hAnsi="Times New Roman" w:cs="Times New Roman"/>
          <w:color w:val="333333"/>
        </w:rPr>
        <w:t>,</w:t>
      </w:r>
      <w:r w:rsidRPr="000B04FD">
        <w:rPr>
          <w:rFonts w:ascii="Times New Roman" w:hAnsi="Times New Roman" w:cs="Times New Roman"/>
        </w:rPr>
        <w:t xml:space="preserve"> </w:t>
      </w:r>
      <w:hyperlink r:id="rId8" w:history="1">
        <w:r w:rsidRPr="000B04FD">
          <w:rPr>
            <w:rStyle w:val="Hyperlink"/>
            <w:rFonts w:ascii="Times New Roman" w:hAnsi="Times New Roman" w:cs="Times New Roman"/>
            <w:bCs/>
            <w:i/>
            <w:color w:val="auto"/>
            <w:u w:val="none"/>
          </w:rPr>
          <w:t>Employment Patterns in OECD Countries: Reassessing the Role of Policies and Institutions</w:t>
        </w:r>
      </w:hyperlink>
      <w:r w:rsidRPr="000B04FD">
        <w:rPr>
          <w:rFonts w:ascii="Times New Roman" w:hAnsi="Times New Roman" w:cs="Times New Roman"/>
          <w:i/>
        </w:rPr>
        <w:t>,</w:t>
      </w:r>
      <w:r w:rsidRPr="000B04FD">
        <w:rPr>
          <w:rFonts w:ascii="Times New Roman" w:hAnsi="Times New Roman" w:cs="Times New Roman"/>
        </w:rPr>
        <w:t xml:space="preserve"> </w:t>
      </w:r>
      <w:hyperlink r:id="rId9" w:history="1">
        <w:r w:rsidRPr="000B04FD">
          <w:rPr>
            <w:rStyle w:val="Hyperlink"/>
            <w:rFonts w:ascii="Times New Roman" w:hAnsi="Times New Roman" w:cs="Times New Roman"/>
            <w:color w:val="auto"/>
            <w:u w:val="none"/>
          </w:rPr>
          <w:t>OECD Economics Department Working Papers</w:t>
        </w:r>
      </w:hyperlink>
      <w:r w:rsidRPr="000B04FD">
        <w:rPr>
          <w:rFonts w:ascii="Times New Roman" w:hAnsi="Times New Roman" w:cs="Times New Roman"/>
        </w:rPr>
        <w:t xml:space="preserve"> </w:t>
      </w:r>
      <w:r w:rsidRPr="003024E8">
        <w:rPr>
          <w:rFonts w:ascii="Times New Roman" w:hAnsi="Times New Roman" w:cs="Times New Roman"/>
        </w:rPr>
        <w:t>4</w:t>
      </w:r>
      <w:r w:rsidRPr="003024E8">
        <w:rPr>
          <w:rFonts w:ascii="Times New Roman" w:hAnsi="Times New Roman" w:cs="Times New Roman"/>
          <w:color w:val="333333"/>
        </w:rPr>
        <w:t xml:space="preserve">86 </w:t>
      </w:r>
      <w:r w:rsidR="000B04FD">
        <w:rPr>
          <w:rFonts w:ascii="Times New Roman" w:hAnsi="Times New Roman" w:cs="Times New Roman"/>
          <w:color w:val="333333"/>
        </w:rPr>
        <w:t xml:space="preserve">(Paris, </w:t>
      </w:r>
      <w:r w:rsidRPr="003024E8">
        <w:rPr>
          <w:rFonts w:ascii="Times New Roman" w:hAnsi="Times New Roman" w:cs="Times New Roman"/>
          <w:color w:val="333333"/>
        </w:rPr>
        <w:t>OECD Publishing</w:t>
      </w:r>
      <w:r w:rsidR="000B04FD">
        <w:rPr>
          <w:rFonts w:ascii="Times New Roman" w:hAnsi="Times New Roman" w:cs="Times New Roman"/>
          <w:color w:val="333333"/>
        </w:rPr>
        <w:t>).</w:t>
      </w:r>
    </w:p>
    <w:p w14:paraId="2C624C2B" w14:textId="3AC38F92" w:rsidR="0046660B" w:rsidRDefault="0046660B" w:rsidP="00D67EC8">
      <w:pPr>
        <w:spacing w:line="480" w:lineRule="auto"/>
        <w:rPr>
          <w:rFonts w:ascii="Times New Roman" w:hAnsi="Times New Roman" w:cs="Times New Roman"/>
        </w:rPr>
      </w:pPr>
      <w:r w:rsidRPr="0021278F">
        <w:rPr>
          <w:rFonts w:ascii="Times New Roman" w:hAnsi="Times New Roman" w:cs="Times New Roman"/>
        </w:rPr>
        <w:t xml:space="preserve">Bechterman, G., Olivas, K., </w:t>
      </w:r>
      <w:r w:rsidR="000B04FD">
        <w:rPr>
          <w:rFonts w:ascii="Times New Roman" w:hAnsi="Times New Roman" w:cs="Times New Roman"/>
        </w:rPr>
        <w:t xml:space="preserve">and </w:t>
      </w:r>
      <w:r w:rsidRPr="0021278F">
        <w:rPr>
          <w:rFonts w:ascii="Times New Roman" w:hAnsi="Times New Roman" w:cs="Times New Roman"/>
        </w:rPr>
        <w:t>Dar, A. (2004)</w:t>
      </w:r>
      <w:r w:rsidR="000B04FD">
        <w:rPr>
          <w:rFonts w:ascii="Times New Roman" w:hAnsi="Times New Roman" w:cs="Times New Roman"/>
        </w:rPr>
        <w:t>,</w:t>
      </w:r>
      <w:r w:rsidRPr="0021278F">
        <w:rPr>
          <w:rFonts w:ascii="Times New Roman" w:hAnsi="Times New Roman" w:cs="Times New Roman"/>
        </w:rPr>
        <w:t xml:space="preserve"> ‘Impact of </w:t>
      </w:r>
      <w:r w:rsidR="000B04FD">
        <w:rPr>
          <w:rFonts w:ascii="Times New Roman" w:hAnsi="Times New Roman" w:cs="Times New Roman"/>
        </w:rPr>
        <w:t>A</w:t>
      </w:r>
      <w:r w:rsidRPr="0021278F">
        <w:rPr>
          <w:rFonts w:ascii="Times New Roman" w:hAnsi="Times New Roman" w:cs="Times New Roman"/>
        </w:rPr>
        <w:t xml:space="preserve">ctive </w:t>
      </w:r>
      <w:r w:rsidR="000B04FD">
        <w:rPr>
          <w:rFonts w:ascii="Times New Roman" w:hAnsi="Times New Roman" w:cs="Times New Roman"/>
        </w:rPr>
        <w:t>L</w:t>
      </w:r>
      <w:r w:rsidRPr="0021278F">
        <w:rPr>
          <w:rFonts w:ascii="Times New Roman" w:hAnsi="Times New Roman" w:cs="Times New Roman"/>
        </w:rPr>
        <w:t xml:space="preserve">abor </w:t>
      </w:r>
      <w:r w:rsidR="000B04FD">
        <w:rPr>
          <w:rFonts w:ascii="Times New Roman" w:hAnsi="Times New Roman" w:cs="Times New Roman"/>
        </w:rPr>
        <w:t>M</w:t>
      </w:r>
      <w:r w:rsidRPr="0021278F">
        <w:rPr>
          <w:rFonts w:ascii="Times New Roman" w:hAnsi="Times New Roman" w:cs="Times New Roman"/>
        </w:rPr>
        <w:t xml:space="preserve">arket </w:t>
      </w:r>
      <w:r w:rsidR="000B04FD">
        <w:rPr>
          <w:rFonts w:ascii="Times New Roman" w:hAnsi="Times New Roman" w:cs="Times New Roman"/>
        </w:rPr>
        <w:t>P</w:t>
      </w:r>
      <w:r w:rsidRPr="0021278F">
        <w:rPr>
          <w:rFonts w:ascii="Times New Roman" w:hAnsi="Times New Roman" w:cs="Times New Roman"/>
        </w:rPr>
        <w:t xml:space="preserve">rograms: </w:t>
      </w:r>
      <w:r w:rsidR="000B04FD">
        <w:rPr>
          <w:rFonts w:ascii="Times New Roman" w:hAnsi="Times New Roman" w:cs="Times New Roman"/>
        </w:rPr>
        <w:t>N</w:t>
      </w:r>
      <w:r w:rsidRPr="0021278F">
        <w:rPr>
          <w:rFonts w:ascii="Times New Roman" w:hAnsi="Times New Roman" w:cs="Times New Roman"/>
        </w:rPr>
        <w:t xml:space="preserve">ew </w:t>
      </w:r>
      <w:r w:rsidR="000B04FD">
        <w:rPr>
          <w:rFonts w:ascii="Times New Roman" w:hAnsi="Times New Roman" w:cs="Times New Roman"/>
        </w:rPr>
        <w:t>E</w:t>
      </w:r>
      <w:r w:rsidRPr="0021278F">
        <w:rPr>
          <w:rFonts w:ascii="Times New Roman" w:hAnsi="Times New Roman" w:cs="Times New Roman"/>
        </w:rPr>
        <w:t xml:space="preserve">vidence from </w:t>
      </w:r>
      <w:r w:rsidR="000B04FD">
        <w:rPr>
          <w:rFonts w:ascii="Times New Roman" w:hAnsi="Times New Roman" w:cs="Times New Roman"/>
        </w:rPr>
        <w:t>E</w:t>
      </w:r>
      <w:r w:rsidRPr="0021278F">
        <w:rPr>
          <w:rFonts w:ascii="Times New Roman" w:hAnsi="Times New Roman" w:cs="Times New Roman"/>
        </w:rPr>
        <w:t xml:space="preserve">valuations with </w:t>
      </w:r>
      <w:r w:rsidR="000B04FD">
        <w:rPr>
          <w:rFonts w:ascii="Times New Roman" w:hAnsi="Times New Roman" w:cs="Times New Roman"/>
        </w:rPr>
        <w:t>P</w:t>
      </w:r>
      <w:r w:rsidRPr="0021278F">
        <w:rPr>
          <w:rFonts w:ascii="Times New Roman" w:hAnsi="Times New Roman" w:cs="Times New Roman"/>
        </w:rPr>
        <w:t xml:space="preserve">articular </w:t>
      </w:r>
      <w:r w:rsidR="000B04FD">
        <w:rPr>
          <w:rFonts w:ascii="Times New Roman" w:hAnsi="Times New Roman" w:cs="Times New Roman"/>
        </w:rPr>
        <w:t>A</w:t>
      </w:r>
      <w:r w:rsidRPr="0021278F">
        <w:rPr>
          <w:rFonts w:ascii="Times New Roman" w:hAnsi="Times New Roman" w:cs="Times New Roman"/>
        </w:rPr>
        <w:t xml:space="preserve">ttention to </w:t>
      </w:r>
      <w:r w:rsidR="000B04FD">
        <w:rPr>
          <w:rFonts w:ascii="Times New Roman" w:hAnsi="Times New Roman" w:cs="Times New Roman"/>
        </w:rPr>
        <w:t>D</w:t>
      </w:r>
      <w:r w:rsidRPr="0021278F">
        <w:rPr>
          <w:rFonts w:ascii="Times New Roman" w:hAnsi="Times New Roman" w:cs="Times New Roman"/>
        </w:rPr>
        <w:t xml:space="preserve">eveloping and </w:t>
      </w:r>
      <w:r w:rsidR="000B04FD">
        <w:rPr>
          <w:rFonts w:ascii="Times New Roman" w:hAnsi="Times New Roman" w:cs="Times New Roman"/>
        </w:rPr>
        <w:t>T</w:t>
      </w:r>
      <w:r w:rsidRPr="0021278F">
        <w:rPr>
          <w:rFonts w:ascii="Times New Roman" w:hAnsi="Times New Roman" w:cs="Times New Roman"/>
        </w:rPr>
        <w:t xml:space="preserve">ransition </w:t>
      </w:r>
      <w:r w:rsidR="000B04FD">
        <w:rPr>
          <w:rFonts w:ascii="Times New Roman" w:hAnsi="Times New Roman" w:cs="Times New Roman"/>
        </w:rPr>
        <w:t>C</w:t>
      </w:r>
      <w:r w:rsidRPr="0021278F">
        <w:rPr>
          <w:rFonts w:ascii="Times New Roman" w:hAnsi="Times New Roman" w:cs="Times New Roman"/>
        </w:rPr>
        <w:t xml:space="preserve">ountries’, </w:t>
      </w:r>
      <w:r w:rsidRPr="0021278F">
        <w:rPr>
          <w:rFonts w:ascii="Times New Roman" w:hAnsi="Times New Roman" w:cs="Times New Roman"/>
          <w:i/>
        </w:rPr>
        <w:t>World Bank Social Protection Discussion Paper</w:t>
      </w:r>
      <w:r w:rsidRPr="0021278F">
        <w:rPr>
          <w:rFonts w:ascii="Times New Roman" w:hAnsi="Times New Roman" w:cs="Times New Roman"/>
        </w:rPr>
        <w:t>, No. 0402</w:t>
      </w:r>
      <w:r w:rsidR="000B04FD">
        <w:rPr>
          <w:rFonts w:ascii="Times New Roman" w:hAnsi="Times New Roman" w:cs="Times New Roman"/>
        </w:rPr>
        <w:t>,</w:t>
      </w:r>
      <w:r w:rsidRPr="0021278F">
        <w:rPr>
          <w:rFonts w:ascii="Times New Roman" w:hAnsi="Times New Roman" w:cs="Times New Roman"/>
        </w:rPr>
        <w:t xml:space="preserve"> World Bank.</w:t>
      </w:r>
    </w:p>
    <w:p w14:paraId="201A4B90" w14:textId="601171C3" w:rsidR="00A74119" w:rsidRPr="00807BAB" w:rsidRDefault="00A74119" w:rsidP="00D67EC8">
      <w:pPr>
        <w:spacing w:line="480" w:lineRule="auto"/>
        <w:rPr>
          <w:rFonts w:ascii="Times New Roman" w:hAnsi="Times New Roman" w:cs="Times New Roman"/>
        </w:rPr>
      </w:pPr>
      <w:r w:rsidRPr="00807BAB">
        <w:rPr>
          <w:rFonts w:ascii="Times New Roman" w:hAnsi="Times New Roman" w:cs="Times New Roman"/>
        </w:rPr>
        <w:t>Beecroft,</w:t>
      </w:r>
      <w:r w:rsidR="00135167">
        <w:rPr>
          <w:rFonts w:ascii="Times New Roman" w:hAnsi="Times New Roman" w:cs="Times New Roman"/>
        </w:rPr>
        <w:t xml:space="preserve"> </w:t>
      </w:r>
      <w:r w:rsidRPr="00807BAB">
        <w:rPr>
          <w:rFonts w:ascii="Times New Roman" w:hAnsi="Times New Roman" w:cs="Times New Roman"/>
        </w:rPr>
        <w:t>A. (2011)</w:t>
      </w:r>
      <w:r w:rsidR="00526527">
        <w:rPr>
          <w:rFonts w:ascii="Times New Roman" w:hAnsi="Times New Roman" w:cs="Times New Roman"/>
        </w:rPr>
        <w:t>,</w:t>
      </w:r>
      <w:r w:rsidRPr="00807BAB">
        <w:rPr>
          <w:rFonts w:ascii="Times New Roman" w:hAnsi="Times New Roman" w:cs="Times New Roman"/>
        </w:rPr>
        <w:t xml:space="preserve"> </w:t>
      </w:r>
      <w:r w:rsidRPr="00807BAB">
        <w:rPr>
          <w:rFonts w:ascii="Times New Roman" w:hAnsi="Times New Roman" w:cs="Times New Roman"/>
          <w:i/>
        </w:rPr>
        <w:t xml:space="preserve">Report on </w:t>
      </w:r>
      <w:r w:rsidR="00AB169D" w:rsidRPr="00807BAB">
        <w:rPr>
          <w:rFonts w:ascii="Times New Roman" w:hAnsi="Times New Roman" w:cs="Times New Roman"/>
          <w:i/>
        </w:rPr>
        <w:t>E</w:t>
      </w:r>
      <w:r w:rsidRPr="00807BAB">
        <w:rPr>
          <w:rFonts w:ascii="Times New Roman" w:hAnsi="Times New Roman" w:cs="Times New Roman"/>
          <w:i/>
        </w:rPr>
        <w:t>mployment Law</w:t>
      </w:r>
      <w:r w:rsidRPr="00807BAB">
        <w:rPr>
          <w:rFonts w:ascii="Times New Roman" w:hAnsi="Times New Roman" w:cs="Times New Roman"/>
        </w:rPr>
        <w:t xml:space="preserve">. Department for Business, Innovation and Skills. </w:t>
      </w:r>
      <w:hyperlink r:id="rId10" w:history="1">
        <w:r w:rsidRPr="00807BAB">
          <w:rPr>
            <w:rStyle w:val="Hyperlink"/>
            <w:rFonts w:ascii="Times New Roman" w:hAnsi="Times New Roman" w:cs="Times New Roman"/>
          </w:rPr>
          <w:t>http://news.bis.gov.uk/imagelibrary/downloadmedia.ashx?MediaDetailsID=5551</w:t>
        </w:r>
      </w:hyperlink>
      <w:r w:rsidRPr="00807BAB">
        <w:rPr>
          <w:rFonts w:ascii="Times New Roman" w:hAnsi="Times New Roman" w:cs="Times New Roman"/>
        </w:rPr>
        <w:t>.</w:t>
      </w:r>
    </w:p>
    <w:p w14:paraId="2BD18C09" w14:textId="51E2AB84" w:rsidR="000F0E7D" w:rsidRPr="00807BAB" w:rsidRDefault="000F0E7D" w:rsidP="00D67EC8">
      <w:pPr>
        <w:spacing w:line="480" w:lineRule="auto"/>
        <w:rPr>
          <w:rFonts w:ascii="Times New Roman" w:hAnsi="Times New Roman" w:cs="Times New Roman"/>
        </w:rPr>
      </w:pPr>
      <w:r w:rsidRPr="00807BAB">
        <w:rPr>
          <w:rFonts w:ascii="Times New Roman" w:hAnsi="Times New Roman" w:cs="Times New Roman"/>
        </w:rPr>
        <w:t>Bertola, G.M., Blau, F.D. and Kahn, L.M. (2001)</w:t>
      </w:r>
      <w:r w:rsidR="00526527">
        <w:rPr>
          <w:rFonts w:ascii="Times New Roman" w:hAnsi="Times New Roman" w:cs="Times New Roman"/>
        </w:rPr>
        <w:t>,</w:t>
      </w:r>
      <w:r w:rsidRPr="00807BAB">
        <w:rPr>
          <w:rFonts w:ascii="Times New Roman" w:hAnsi="Times New Roman" w:cs="Times New Roman"/>
        </w:rPr>
        <w:t xml:space="preserve"> </w:t>
      </w:r>
      <w:r w:rsidR="00116BEC" w:rsidRPr="00807BAB">
        <w:rPr>
          <w:rFonts w:ascii="Times New Roman" w:hAnsi="Times New Roman" w:cs="Times New Roman"/>
        </w:rPr>
        <w:t>‘</w:t>
      </w:r>
      <w:r w:rsidRPr="00807BAB">
        <w:rPr>
          <w:rFonts w:ascii="Times New Roman" w:hAnsi="Times New Roman" w:cs="Times New Roman"/>
        </w:rPr>
        <w:t xml:space="preserve">Comparative </w:t>
      </w:r>
      <w:r w:rsidR="00526527">
        <w:rPr>
          <w:rFonts w:ascii="Times New Roman" w:hAnsi="Times New Roman" w:cs="Times New Roman"/>
        </w:rPr>
        <w:t>A</w:t>
      </w:r>
      <w:r w:rsidRPr="00807BAB">
        <w:rPr>
          <w:rFonts w:ascii="Times New Roman" w:hAnsi="Times New Roman" w:cs="Times New Roman"/>
        </w:rPr>
        <w:t xml:space="preserve">nalysis of </w:t>
      </w:r>
      <w:r w:rsidR="00526527">
        <w:rPr>
          <w:rFonts w:ascii="Times New Roman" w:hAnsi="Times New Roman" w:cs="Times New Roman"/>
        </w:rPr>
        <w:t>L</w:t>
      </w:r>
      <w:r w:rsidRPr="00807BAB">
        <w:rPr>
          <w:rFonts w:ascii="Times New Roman" w:hAnsi="Times New Roman" w:cs="Times New Roman"/>
        </w:rPr>
        <w:t xml:space="preserve">abor </w:t>
      </w:r>
      <w:r w:rsidR="00526527">
        <w:rPr>
          <w:rFonts w:ascii="Times New Roman" w:hAnsi="Times New Roman" w:cs="Times New Roman"/>
        </w:rPr>
        <w:t>M</w:t>
      </w:r>
      <w:r w:rsidRPr="00807BAB">
        <w:rPr>
          <w:rFonts w:ascii="Times New Roman" w:hAnsi="Times New Roman" w:cs="Times New Roman"/>
        </w:rPr>
        <w:t xml:space="preserve">arket </w:t>
      </w:r>
      <w:r w:rsidR="00526527">
        <w:rPr>
          <w:rFonts w:ascii="Times New Roman" w:hAnsi="Times New Roman" w:cs="Times New Roman"/>
        </w:rPr>
        <w:t>O</w:t>
      </w:r>
      <w:r w:rsidRPr="00807BAB">
        <w:rPr>
          <w:rFonts w:ascii="Times New Roman" w:hAnsi="Times New Roman" w:cs="Times New Roman"/>
        </w:rPr>
        <w:t xml:space="preserve">utcomes: </w:t>
      </w:r>
      <w:r w:rsidR="00526527">
        <w:rPr>
          <w:rFonts w:ascii="Times New Roman" w:hAnsi="Times New Roman" w:cs="Times New Roman"/>
        </w:rPr>
        <w:t>L</w:t>
      </w:r>
      <w:r w:rsidRPr="00807BAB">
        <w:rPr>
          <w:rFonts w:ascii="Times New Roman" w:hAnsi="Times New Roman" w:cs="Times New Roman"/>
        </w:rPr>
        <w:t xml:space="preserve">essons for the United States from </w:t>
      </w:r>
      <w:r w:rsidR="00526527">
        <w:rPr>
          <w:rFonts w:ascii="Times New Roman" w:hAnsi="Times New Roman" w:cs="Times New Roman"/>
        </w:rPr>
        <w:t>I</w:t>
      </w:r>
      <w:r w:rsidRPr="00807BAB">
        <w:rPr>
          <w:rFonts w:ascii="Times New Roman" w:hAnsi="Times New Roman" w:cs="Times New Roman"/>
        </w:rPr>
        <w:t xml:space="preserve">nternational </w:t>
      </w:r>
      <w:r w:rsidR="00526527">
        <w:rPr>
          <w:rFonts w:ascii="Times New Roman" w:hAnsi="Times New Roman" w:cs="Times New Roman"/>
        </w:rPr>
        <w:t>L</w:t>
      </w:r>
      <w:r w:rsidRPr="00807BAB">
        <w:rPr>
          <w:rFonts w:ascii="Times New Roman" w:hAnsi="Times New Roman" w:cs="Times New Roman"/>
        </w:rPr>
        <w:t>ong-</w:t>
      </w:r>
      <w:r w:rsidR="00526527">
        <w:rPr>
          <w:rFonts w:ascii="Times New Roman" w:hAnsi="Times New Roman" w:cs="Times New Roman"/>
        </w:rPr>
        <w:t>R</w:t>
      </w:r>
      <w:r w:rsidRPr="00807BAB">
        <w:rPr>
          <w:rFonts w:ascii="Times New Roman" w:hAnsi="Times New Roman" w:cs="Times New Roman"/>
        </w:rPr>
        <w:t xml:space="preserve">un </w:t>
      </w:r>
      <w:r w:rsidR="00526527">
        <w:rPr>
          <w:rFonts w:ascii="Times New Roman" w:hAnsi="Times New Roman" w:cs="Times New Roman"/>
        </w:rPr>
        <w:t>E</w:t>
      </w:r>
      <w:r w:rsidRPr="00807BAB">
        <w:rPr>
          <w:rFonts w:ascii="Times New Roman" w:hAnsi="Times New Roman" w:cs="Times New Roman"/>
        </w:rPr>
        <w:t xml:space="preserve">vidence’, in </w:t>
      </w:r>
      <w:r w:rsidRPr="00807BAB">
        <w:rPr>
          <w:rFonts w:ascii="Times New Roman" w:hAnsi="Times New Roman" w:cs="Times New Roman"/>
          <w:i/>
        </w:rPr>
        <w:t>National Bureau of Economic Research Working Paper,</w:t>
      </w:r>
      <w:r w:rsidRPr="00807BAB">
        <w:rPr>
          <w:rFonts w:ascii="Times New Roman" w:hAnsi="Times New Roman" w:cs="Times New Roman"/>
        </w:rPr>
        <w:t xml:space="preserve"> no. W8526, October.</w:t>
      </w:r>
    </w:p>
    <w:p w14:paraId="20F5FC01" w14:textId="404CA506" w:rsidR="00673DB0" w:rsidRDefault="00673DB0" w:rsidP="00D67EC8">
      <w:pPr>
        <w:spacing w:line="480" w:lineRule="auto"/>
        <w:rPr>
          <w:rFonts w:ascii="Times New Roman" w:hAnsi="Times New Roman" w:cs="Times New Roman"/>
          <w:color w:val="000000"/>
        </w:rPr>
      </w:pPr>
      <w:r w:rsidRPr="00807BAB">
        <w:rPr>
          <w:rFonts w:ascii="Times New Roman" w:hAnsi="Times New Roman" w:cs="Times New Roman"/>
          <w:color w:val="000000"/>
        </w:rPr>
        <w:t>Blanchard O and Portugal P (2001)</w:t>
      </w:r>
      <w:r w:rsidR="00526527">
        <w:rPr>
          <w:rFonts w:ascii="Times New Roman" w:hAnsi="Times New Roman" w:cs="Times New Roman"/>
          <w:color w:val="000000"/>
        </w:rPr>
        <w:t>,</w:t>
      </w:r>
      <w:r w:rsidRPr="00807BAB">
        <w:rPr>
          <w:rFonts w:ascii="Times New Roman" w:hAnsi="Times New Roman" w:cs="Times New Roman"/>
          <w:color w:val="000000"/>
        </w:rPr>
        <w:t xml:space="preserve"> </w:t>
      </w:r>
      <w:r w:rsidR="00116BEC" w:rsidRPr="00807BAB">
        <w:rPr>
          <w:rFonts w:ascii="Times New Roman" w:hAnsi="Times New Roman" w:cs="Times New Roman"/>
          <w:color w:val="000000"/>
        </w:rPr>
        <w:t>‘</w:t>
      </w:r>
      <w:r w:rsidRPr="00807BAB">
        <w:rPr>
          <w:rFonts w:ascii="Times New Roman" w:hAnsi="Times New Roman" w:cs="Times New Roman"/>
          <w:color w:val="000000"/>
        </w:rPr>
        <w:t xml:space="preserve">What </w:t>
      </w:r>
      <w:r w:rsidR="00526527">
        <w:rPr>
          <w:rFonts w:ascii="Times New Roman" w:hAnsi="Times New Roman" w:cs="Times New Roman"/>
          <w:color w:val="000000"/>
        </w:rPr>
        <w:t>H</w:t>
      </w:r>
      <w:r w:rsidRPr="00807BAB">
        <w:rPr>
          <w:rFonts w:ascii="Times New Roman" w:hAnsi="Times New Roman" w:cs="Times New Roman"/>
          <w:color w:val="000000"/>
        </w:rPr>
        <w:t xml:space="preserve">ides </w:t>
      </w:r>
      <w:r w:rsidR="00526527">
        <w:rPr>
          <w:rFonts w:ascii="Times New Roman" w:hAnsi="Times New Roman" w:cs="Times New Roman"/>
          <w:color w:val="000000"/>
        </w:rPr>
        <w:t>B</w:t>
      </w:r>
      <w:r w:rsidRPr="00807BAB">
        <w:rPr>
          <w:rFonts w:ascii="Times New Roman" w:hAnsi="Times New Roman" w:cs="Times New Roman"/>
          <w:color w:val="000000"/>
        </w:rPr>
        <w:t xml:space="preserve">ehind an </w:t>
      </w:r>
      <w:r w:rsidR="00526527">
        <w:rPr>
          <w:rFonts w:ascii="Times New Roman" w:hAnsi="Times New Roman" w:cs="Times New Roman"/>
          <w:color w:val="000000"/>
        </w:rPr>
        <w:t>U</w:t>
      </w:r>
      <w:r w:rsidRPr="00807BAB">
        <w:rPr>
          <w:rFonts w:ascii="Times New Roman" w:hAnsi="Times New Roman" w:cs="Times New Roman"/>
          <w:color w:val="000000"/>
        </w:rPr>
        <w:t xml:space="preserve">nemployment </w:t>
      </w:r>
      <w:r w:rsidR="00526527">
        <w:rPr>
          <w:rFonts w:ascii="Times New Roman" w:hAnsi="Times New Roman" w:cs="Times New Roman"/>
          <w:color w:val="000000"/>
        </w:rPr>
        <w:t>R</w:t>
      </w:r>
      <w:r w:rsidRPr="00807BAB">
        <w:rPr>
          <w:rFonts w:ascii="Times New Roman" w:hAnsi="Times New Roman" w:cs="Times New Roman"/>
          <w:color w:val="000000"/>
        </w:rPr>
        <w:t xml:space="preserve">ate: </w:t>
      </w:r>
      <w:r w:rsidR="00526527">
        <w:rPr>
          <w:rFonts w:ascii="Times New Roman" w:hAnsi="Times New Roman" w:cs="Times New Roman"/>
          <w:color w:val="000000"/>
        </w:rPr>
        <w:t>C</w:t>
      </w:r>
      <w:r w:rsidRPr="00807BAB">
        <w:rPr>
          <w:rFonts w:ascii="Times New Roman" w:hAnsi="Times New Roman" w:cs="Times New Roman"/>
          <w:color w:val="000000"/>
        </w:rPr>
        <w:t xml:space="preserve">omparing Portuguese and US </w:t>
      </w:r>
      <w:r w:rsidR="00526527">
        <w:rPr>
          <w:rFonts w:ascii="Times New Roman" w:hAnsi="Times New Roman" w:cs="Times New Roman"/>
          <w:color w:val="000000"/>
        </w:rPr>
        <w:t>L</w:t>
      </w:r>
      <w:r w:rsidRPr="00807BAB">
        <w:rPr>
          <w:rFonts w:ascii="Times New Roman" w:hAnsi="Times New Roman" w:cs="Times New Roman"/>
          <w:color w:val="000000"/>
        </w:rPr>
        <w:t xml:space="preserve">abour </w:t>
      </w:r>
      <w:r w:rsidR="00526527">
        <w:rPr>
          <w:rFonts w:ascii="Times New Roman" w:hAnsi="Times New Roman" w:cs="Times New Roman"/>
          <w:color w:val="000000"/>
        </w:rPr>
        <w:t>M</w:t>
      </w:r>
      <w:r w:rsidRPr="00807BAB">
        <w:rPr>
          <w:rFonts w:ascii="Times New Roman" w:hAnsi="Times New Roman" w:cs="Times New Roman"/>
          <w:color w:val="000000"/>
        </w:rPr>
        <w:t>arkets</w:t>
      </w:r>
      <w:r w:rsidR="00116BEC" w:rsidRPr="00807BAB">
        <w:rPr>
          <w:rFonts w:ascii="Times New Roman" w:hAnsi="Times New Roman" w:cs="Times New Roman"/>
          <w:color w:val="000000"/>
        </w:rPr>
        <w:t>’</w:t>
      </w:r>
      <w:r w:rsidR="008030D7" w:rsidRPr="00807BAB">
        <w:rPr>
          <w:rFonts w:ascii="Times New Roman" w:hAnsi="Times New Roman" w:cs="Times New Roman"/>
          <w:color w:val="000000"/>
        </w:rPr>
        <w:t>,</w:t>
      </w:r>
      <w:r w:rsidRPr="00807BAB">
        <w:rPr>
          <w:rFonts w:ascii="Times New Roman" w:hAnsi="Times New Roman" w:cs="Times New Roman"/>
          <w:color w:val="000000"/>
        </w:rPr>
        <w:t xml:space="preserve"> </w:t>
      </w:r>
      <w:r w:rsidRPr="00807BAB">
        <w:rPr>
          <w:rFonts w:ascii="Times New Roman" w:hAnsi="Times New Roman" w:cs="Times New Roman"/>
          <w:i/>
          <w:color w:val="000000"/>
        </w:rPr>
        <w:t>American Economic Review</w:t>
      </w:r>
      <w:r w:rsidR="008030D7" w:rsidRPr="00807BAB">
        <w:rPr>
          <w:rFonts w:ascii="Times New Roman" w:hAnsi="Times New Roman" w:cs="Times New Roman"/>
          <w:i/>
          <w:color w:val="000000"/>
        </w:rPr>
        <w:t>,</w:t>
      </w:r>
      <w:r w:rsidRPr="00807BAB">
        <w:rPr>
          <w:rFonts w:ascii="Times New Roman" w:hAnsi="Times New Roman" w:cs="Times New Roman"/>
          <w:color w:val="000000"/>
        </w:rPr>
        <w:t xml:space="preserve"> 91</w:t>
      </w:r>
      <w:r w:rsidR="00526527">
        <w:rPr>
          <w:rFonts w:ascii="Times New Roman" w:hAnsi="Times New Roman" w:cs="Times New Roman"/>
          <w:color w:val="000000"/>
        </w:rPr>
        <w:t xml:space="preserve">, </w:t>
      </w:r>
      <w:r w:rsidRPr="00807BAB">
        <w:rPr>
          <w:rFonts w:ascii="Times New Roman" w:hAnsi="Times New Roman" w:cs="Times New Roman"/>
          <w:color w:val="000000"/>
        </w:rPr>
        <w:t>1</w:t>
      </w:r>
      <w:r w:rsidR="00526527">
        <w:rPr>
          <w:rFonts w:ascii="Times New Roman" w:hAnsi="Times New Roman" w:cs="Times New Roman"/>
          <w:color w:val="000000"/>
        </w:rPr>
        <w:t xml:space="preserve">, </w:t>
      </w:r>
      <w:r w:rsidRPr="00807BAB">
        <w:rPr>
          <w:rFonts w:ascii="Times New Roman" w:hAnsi="Times New Roman" w:cs="Times New Roman"/>
          <w:color w:val="000000"/>
        </w:rPr>
        <w:t>187-207.</w:t>
      </w:r>
    </w:p>
    <w:p w14:paraId="23E73B53" w14:textId="44DA9CB3" w:rsidR="00135167" w:rsidRPr="00807BAB" w:rsidRDefault="00135167" w:rsidP="00D67EC8">
      <w:pPr>
        <w:spacing w:line="480" w:lineRule="auto"/>
        <w:rPr>
          <w:rFonts w:ascii="Times New Roman" w:hAnsi="Times New Roman" w:cs="Times New Roman"/>
          <w:color w:val="000000"/>
        </w:rPr>
      </w:pPr>
      <w:r>
        <w:rPr>
          <w:rFonts w:ascii="Times New Roman" w:hAnsi="Times New Roman" w:cs="Times New Roman"/>
          <w:color w:val="000000"/>
        </w:rPr>
        <w:t>Blyth, M. (2013)</w:t>
      </w:r>
      <w:r w:rsidR="00526527">
        <w:rPr>
          <w:rFonts w:ascii="Times New Roman" w:hAnsi="Times New Roman" w:cs="Times New Roman"/>
          <w:color w:val="000000"/>
        </w:rPr>
        <w:t>,</w:t>
      </w:r>
      <w:r>
        <w:rPr>
          <w:rFonts w:ascii="Times New Roman" w:hAnsi="Times New Roman" w:cs="Times New Roman"/>
          <w:color w:val="000000"/>
        </w:rPr>
        <w:t xml:space="preserve"> </w:t>
      </w:r>
      <w:r w:rsidRPr="00135167">
        <w:rPr>
          <w:rFonts w:ascii="Times New Roman" w:hAnsi="Times New Roman" w:cs="Times New Roman"/>
          <w:i/>
          <w:color w:val="000000"/>
        </w:rPr>
        <w:t>Austerity: The History of a Dangerous Idea</w:t>
      </w:r>
      <w:r>
        <w:rPr>
          <w:rFonts w:ascii="Times New Roman" w:hAnsi="Times New Roman" w:cs="Times New Roman"/>
          <w:color w:val="000000"/>
        </w:rPr>
        <w:t xml:space="preserve"> </w:t>
      </w:r>
      <w:r w:rsidR="00526527">
        <w:rPr>
          <w:rFonts w:ascii="Times New Roman" w:hAnsi="Times New Roman" w:cs="Times New Roman"/>
          <w:color w:val="000000"/>
        </w:rPr>
        <w:t>(</w:t>
      </w:r>
      <w:r>
        <w:rPr>
          <w:rFonts w:ascii="Times New Roman" w:hAnsi="Times New Roman" w:cs="Times New Roman"/>
          <w:color w:val="000000"/>
        </w:rPr>
        <w:t>Oxford: OUP</w:t>
      </w:r>
      <w:r w:rsidR="00526527">
        <w:rPr>
          <w:rFonts w:ascii="Times New Roman" w:hAnsi="Times New Roman" w:cs="Times New Roman"/>
          <w:color w:val="000000"/>
        </w:rPr>
        <w:t>)</w:t>
      </w:r>
      <w:r>
        <w:rPr>
          <w:rFonts w:ascii="Times New Roman" w:hAnsi="Times New Roman" w:cs="Times New Roman"/>
          <w:color w:val="000000"/>
        </w:rPr>
        <w:t>.</w:t>
      </w:r>
    </w:p>
    <w:p w14:paraId="17D177D3" w14:textId="30BEBA89" w:rsidR="00673DB0" w:rsidRPr="00807BAB" w:rsidRDefault="00673DB0" w:rsidP="00D67EC8">
      <w:pPr>
        <w:spacing w:line="480" w:lineRule="auto"/>
        <w:rPr>
          <w:rFonts w:ascii="Times New Roman" w:hAnsi="Times New Roman" w:cs="Times New Roman"/>
          <w:color w:val="000000"/>
        </w:rPr>
      </w:pPr>
      <w:r w:rsidRPr="00807BAB">
        <w:rPr>
          <w:rFonts w:ascii="Times New Roman" w:hAnsi="Times New Roman" w:cs="Times New Roman"/>
          <w:color w:val="000000"/>
        </w:rPr>
        <w:t>Bosch, G (2010)</w:t>
      </w:r>
      <w:r w:rsidR="00526527">
        <w:rPr>
          <w:rFonts w:ascii="Times New Roman" w:hAnsi="Times New Roman" w:cs="Times New Roman"/>
          <w:color w:val="000000"/>
        </w:rPr>
        <w:t>,</w:t>
      </w:r>
      <w:r w:rsidRPr="00807BAB">
        <w:rPr>
          <w:rFonts w:ascii="Times New Roman" w:hAnsi="Times New Roman" w:cs="Times New Roman"/>
          <w:color w:val="000000"/>
        </w:rPr>
        <w:t xml:space="preserve"> </w:t>
      </w:r>
      <w:r w:rsidR="00116BEC" w:rsidRPr="00807BAB">
        <w:rPr>
          <w:rFonts w:ascii="Times New Roman" w:hAnsi="Times New Roman" w:cs="Times New Roman"/>
          <w:color w:val="000000"/>
        </w:rPr>
        <w:t>‘</w:t>
      </w:r>
      <w:r w:rsidRPr="00807BAB">
        <w:rPr>
          <w:rFonts w:ascii="Times New Roman" w:hAnsi="Times New Roman" w:cs="Times New Roman"/>
          <w:color w:val="000000"/>
        </w:rPr>
        <w:t xml:space="preserve">Dismissing </w:t>
      </w:r>
      <w:r w:rsidR="00526527">
        <w:rPr>
          <w:rFonts w:ascii="Times New Roman" w:hAnsi="Times New Roman" w:cs="Times New Roman"/>
          <w:color w:val="000000"/>
        </w:rPr>
        <w:t>H</w:t>
      </w:r>
      <w:r w:rsidRPr="00807BAB">
        <w:rPr>
          <w:rFonts w:ascii="Times New Roman" w:hAnsi="Times New Roman" w:cs="Times New Roman"/>
          <w:color w:val="000000"/>
        </w:rPr>
        <w:t xml:space="preserve">ours not </w:t>
      </w:r>
      <w:r w:rsidR="00526527">
        <w:rPr>
          <w:rFonts w:ascii="Times New Roman" w:hAnsi="Times New Roman" w:cs="Times New Roman"/>
          <w:color w:val="000000"/>
        </w:rPr>
        <w:t>W</w:t>
      </w:r>
      <w:r w:rsidRPr="00807BAB">
        <w:rPr>
          <w:rFonts w:ascii="Times New Roman" w:hAnsi="Times New Roman" w:cs="Times New Roman"/>
          <w:color w:val="000000"/>
        </w:rPr>
        <w:t xml:space="preserve">orkers: </w:t>
      </w:r>
      <w:r w:rsidR="00526527">
        <w:rPr>
          <w:rFonts w:ascii="Times New Roman" w:hAnsi="Times New Roman" w:cs="Times New Roman"/>
          <w:color w:val="000000"/>
        </w:rPr>
        <w:t>W</w:t>
      </w:r>
      <w:r w:rsidRPr="00807BAB">
        <w:rPr>
          <w:rFonts w:ascii="Times New Roman" w:hAnsi="Times New Roman" w:cs="Times New Roman"/>
          <w:color w:val="000000"/>
        </w:rPr>
        <w:t>ork-</w:t>
      </w:r>
      <w:r w:rsidR="00526527">
        <w:rPr>
          <w:rFonts w:ascii="Times New Roman" w:hAnsi="Times New Roman" w:cs="Times New Roman"/>
          <w:color w:val="000000"/>
        </w:rPr>
        <w:t>S</w:t>
      </w:r>
      <w:r w:rsidRPr="00807BAB">
        <w:rPr>
          <w:rFonts w:ascii="Times New Roman" w:hAnsi="Times New Roman" w:cs="Times New Roman"/>
          <w:color w:val="000000"/>
        </w:rPr>
        <w:t xml:space="preserve">haring in the </w:t>
      </w:r>
      <w:r w:rsidR="00526527">
        <w:rPr>
          <w:rFonts w:ascii="Times New Roman" w:hAnsi="Times New Roman" w:cs="Times New Roman"/>
          <w:color w:val="000000"/>
        </w:rPr>
        <w:t>E</w:t>
      </w:r>
      <w:r w:rsidRPr="00807BAB">
        <w:rPr>
          <w:rFonts w:ascii="Times New Roman" w:hAnsi="Times New Roman" w:cs="Times New Roman"/>
          <w:color w:val="000000"/>
        </w:rPr>
        <w:t xml:space="preserve">conomic </w:t>
      </w:r>
      <w:r w:rsidR="00526527">
        <w:rPr>
          <w:rFonts w:ascii="Times New Roman" w:hAnsi="Times New Roman" w:cs="Times New Roman"/>
          <w:color w:val="000000"/>
        </w:rPr>
        <w:t>C</w:t>
      </w:r>
      <w:r w:rsidRPr="00807BAB">
        <w:rPr>
          <w:rFonts w:ascii="Times New Roman" w:hAnsi="Times New Roman" w:cs="Times New Roman"/>
          <w:color w:val="000000"/>
        </w:rPr>
        <w:t>risis</w:t>
      </w:r>
      <w:r w:rsidR="00116BEC" w:rsidRPr="00807BAB">
        <w:rPr>
          <w:rFonts w:ascii="Times New Roman" w:hAnsi="Times New Roman" w:cs="Times New Roman"/>
          <w:color w:val="000000"/>
        </w:rPr>
        <w:t>’</w:t>
      </w:r>
      <w:r w:rsidR="008030D7" w:rsidRPr="00807BAB">
        <w:rPr>
          <w:rFonts w:ascii="Times New Roman" w:hAnsi="Times New Roman" w:cs="Times New Roman"/>
          <w:color w:val="000000"/>
        </w:rPr>
        <w:t>,</w:t>
      </w:r>
      <w:r w:rsidRPr="00807BAB">
        <w:rPr>
          <w:rFonts w:ascii="Times New Roman" w:hAnsi="Times New Roman" w:cs="Times New Roman"/>
          <w:color w:val="000000"/>
        </w:rPr>
        <w:t xml:space="preserve"> </w:t>
      </w:r>
      <w:r w:rsidRPr="00807BAB">
        <w:rPr>
          <w:rFonts w:ascii="Times New Roman" w:hAnsi="Times New Roman" w:cs="Times New Roman"/>
          <w:i/>
          <w:iCs/>
          <w:color w:val="000000"/>
        </w:rPr>
        <w:t>Principios: Estudios De Economía Política</w:t>
      </w:r>
      <w:r w:rsidR="008030D7" w:rsidRPr="00807BAB">
        <w:rPr>
          <w:rFonts w:ascii="Times New Roman" w:hAnsi="Times New Roman" w:cs="Times New Roman"/>
          <w:i/>
          <w:iCs/>
          <w:color w:val="000000"/>
        </w:rPr>
        <w:t>,</w:t>
      </w:r>
      <w:r w:rsidRPr="00807BAB">
        <w:rPr>
          <w:rFonts w:ascii="Times New Roman" w:hAnsi="Times New Roman" w:cs="Times New Roman"/>
          <w:i/>
          <w:iCs/>
          <w:color w:val="000000"/>
        </w:rPr>
        <w:t xml:space="preserve"> </w:t>
      </w:r>
      <w:r w:rsidRPr="00807BAB">
        <w:rPr>
          <w:rFonts w:ascii="Times New Roman" w:hAnsi="Times New Roman" w:cs="Times New Roman"/>
          <w:color w:val="000000"/>
        </w:rPr>
        <w:t>17</w:t>
      </w:r>
      <w:r w:rsidR="00526527">
        <w:rPr>
          <w:rFonts w:ascii="Times New Roman" w:hAnsi="Times New Roman" w:cs="Times New Roman"/>
          <w:color w:val="000000"/>
        </w:rPr>
        <w:t>,</w:t>
      </w:r>
      <w:r w:rsidRPr="00807BAB">
        <w:rPr>
          <w:rFonts w:ascii="Times New Roman" w:hAnsi="Times New Roman" w:cs="Times New Roman"/>
          <w:color w:val="000000"/>
        </w:rPr>
        <w:t xml:space="preserve"> 29–51.</w:t>
      </w:r>
    </w:p>
    <w:p w14:paraId="59EE9BBD" w14:textId="3DBB6AF0" w:rsidR="0018629B" w:rsidRPr="00807BAB" w:rsidRDefault="0018629B" w:rsidP="00D67EC8">
      <w:pPr>
        <w:spacing w:line="480" w:lineRule="auto"/>
        <w:rPr>
          <w:rFonts w:ascii="Times New Roman" w:hAnsi="Times New Roman" w:cs="Times New Roman"/>
          <w:color w:val="000000"/>
        </w:rPr>
      </w:pPr>
      <w:r w:rsidRPr="00807BAB">
        <w:rPr>
          <w:rFonts w:ascii="Times New Roman" w:hAnsi="Times New Roman" w:cs="Times New Roman"/>
          <w:color w:val="000000"/>
        </w:rPr>
        <w:t>Botero, J.C., Djankov, S., La Porta, R., Lopez-de-Sinales, F. and Shleifer, A. (2004)</w:t>
      </w:r>
      <w:r w:rsidR="00526527">
        <w:rPr>
          <w:rFonts w:ascii="Times New Roman" w:hAnsi="Times New Roman" w:cs="Times New Roman"/>
          <w:color w:val="000000"/>
        </w:rPr>
        <w:t>,</w:t>
      </w:r>
      <w:r w:rsidRPr="00807BAB">
        <w:rPr>
          <w:rFonts w:ascii="Times New Roman" w:hAnsi="Times New Roman" w:cs="Times New Roman"/>
          <w:color w:val="000000"/>
        </w:rPr>
        <w:t xml:space="preserve"> ‘The </w:t>
      </w:r>
      <w:r w:rsidR="00526527">
        <w:rPr>
          <w:rFonts w:ascii="Times New Roman" w:hAnsi="Times New Roman" w:cs="Times New Roman"/>
          <w:color w:val="000000"/>
        </w:rPr>
        <w:t>R</w:t>
      </w:r>
      <w:r w:rsidRPr="00807BAB">
        <w:rPr>
          <w:rFonts w:ascii="Times New Roman" w:hAnsi="Times New Roman" w:cs="Times New Roman"/>
          <w:color w:val="000000"/>
        </w:rPr>
        <w:t xml:space="preserve">egulation of </w:t>
      </w:r>
      <w:r w:rsidR="00526527">
        <w:rPr>
          <w:rFonts w:ascii="Times New Roman" w:hAnsi="Times New Roman" w:cs="Times New Roman"/>
          <w:color w:val="000000"/>
        </w:rPr>
        <w:t>L</w:t>
      </w:r>
      <w:r w:rsidRPr="00807BAB">
        <w:rPr>
          <w:rFonts w:ascii="Times New Roman" w:hAnsi="Times New Roman" w:cs="Times New Roman"/>
          <w:color w:val="000000"/>
        </w:rPr>
        <w:t>abor’,</w:t>
      </w:r>
      <w:r w:rsidRPr="00807BAB">
        <w:rPr>
          <w:rFonts w:ascii="Times New Roman" w:hAnsi="Times New Roman" w:cs="Times New Roman"/>
          <w:i/>
          <w:color w:val="000000"/>
        </w:rPr>
        <w:t xml:space="preserve"> Quarterly Journal of Economics</w:t>
      </w:r>
      <w:r w:rsidRPr="00807BAB">
        <w:rPr>
          <w:rFonts w:ascii="Times New Roman" w:hAnsi="Times New Roman" w:cs="Times New Roman"/>
          <w:color w:val="000000"/>
        </w:rPr>
        <w:t>, 119</w:t>
      </w:r>
      <w:r w:rsidR="00526527">
        <w:rPr>
          <w:rFonts w:ascii="Times New Roman" w:hAnsi="Times New Roman" w:cs="Times New Roman"/>
          <w:color w:val="000000"/>
        </w:rPr>
        <w:t>,</w:t>
      </w:r>
      <w:r w:rsidRPr="00807BAB">
        <w:rPr>
          <w:rFonts w:ascii="Times New Roman" w:hAnsi="Times New Roman" w:cs="Times New Roman"/>
          <w:color w:val="000000"/>
        </w:rPr>
        <w:t xml:space="preserve"> 1339-82.</w:t>
      </w:r>
    </w:p>
    <w:p w14:paraId="31D98371" w14:textId="114C4803" w:rsidR="00673DB0" w:rsidRPr="00807BAB" w:rsidRDefault="00673DB0" w:rsidP="00D67EC8">
      <w:pPr>
        <w:spacing w:line="480" w:lineRule="auto"/>
        <w:rPr>
          <w:rFonts w:ascii="Times New Roman" w:hAnsi="Times New Roman" w:cs="Times New Roman"/>
          <w:color w:val="000000"/>
        </w:rPr>
      </w:pPr>
      <w:r w:rsidRPr="00807BAB">
        <w:rPr>
          <w:rFonts w:ascii="Times New Roman" w:hAnsi="Times New Roman" w:cs="Times New Roman"/>
          <w:color w:val="000000"/>
        </w:rPr>
        <w:t>Buchele R and Christiansen J (1995)</w:t>
      </w:r>
      <w:r w:rsidR="00526527">
        <w:rPr>
          <w:rFonts w:ascii="Times New Roman" w:hAnsi="Times New Roman" w:cs="Times New Roman"/>
          <w:color w:val="000000"/>
        </w:rPr>
        <w:t>,</w:t>
      </w:r>
      <w:r w:rsidRPr="00807BAB">
        <w:rPr>
          <w:rFonts w:ascii="Times New Roman" w:hAnsi="Times New Roman" w:cs="Times New Roman"/>
          <w:color w:val="000000"/>
        </w:rPr>
        <w:t xml:space="preserve"> </w:t>
      </w:r>
      <w:r w:rsidR="00116BEC" w:rsidRPr="00807BAB">
        <w:rPr>
          <w:rFonts w:ascii="Times New Roman" w:hAnsi="Times New Roman" w:cs="Times New Roman"/>
          <w:color w:val="000000"/>
        </w:rPr>
        <w:t>‘</w:t>
      </w:r>
      <w:r w:rsidRPr="00807BAB">
        <w:rPr>
          <w:rFonts w:ascii="Times New Roman" w:hAnsi="Times New Roman" w:cs="Times New Roman"/>
          <w:color w:val="000000"/>
        </w:rPr>
        <w:t xml:space="preserve">Productivity, </w:t>
      </w:r>
      <w:r w:rsidR="00526527">
        <w:rPr>
          <w:rFonts w:ascii="Times New Roman" w:hAnsi="Times New Roman" w:cs="Times New Roman"/>
          <w:color w:val="000000"/>
        </w:rPr>
        <w:t>R</w:t>
      </w:r>
      <w:r w:rsidRPr="00807BAB">
        <w:rPr>
          <w:rFonts w:ascii="Times New Roman" w:hAnsi="Times New Roman" w:cs="Times New Roman"/>
          <w:color w:val="000000"/>
        </w:rPr>
        <w:t xml:space="preserve">eal </w:t>
      </w:r>
      <w:r w:rsidR="00526527">
        <w:rPr>
          <w:rFonts w:ascii="Times New Roman" w:hAnsi="Times New Roman" w:cs="Times New Roman"/>
          <w:color w:val="000000"/>
        </w:rPr>
        <w:t>W</w:t>
      </w:r>
      <w:r w:rsidRPr="00807BAB">
        <w:rPr>
          <w:rFonts w:ascii="Times New Roman" w:hAnsi="Times New Roman" w:cs="Times New Roman"/>
          <w:color w:val="000000"/>
        </w:rPr>
        <w:t xml:space="preserve">ages and </w:t>
      </w:r>
      <w:r w:rsidR="00526527">
        <w:rPr>
          <w:rFonts w:ascii="Times New Roman" w:hAnsi="Times New Roman" w:cs="Times New Roman"/>
          <w:color w:val="000000"/>
        </w:rPr>
        <w:t>W</w:t>
      </w:r>
      <w:r w:rsidRPr="00807BAB">
        <w:rPr>
          <w:rFonts w:ascii="Times New Roman" w:hAnsi="Times New Roman" w:cs="Times New Roman"/>
          <w:color w:val="000000"/>
        </w:rPr>
        <w:t xml:space="preserve">orker </w:t>
      </w:r>
      <w:r w:rsidR="00526527">
        <w:rPr>
          <w:rFonts w:ascii="Times New Roman" w:hAnsi="Times New Roman" w:cs="Times New Roman"/>
          <w:color w:val="000000"/>
        </w:rPr>
        <w:t>R</w:t>
      </w:r>
      <w:r w:rsidRPr="00807BAB">
        <w:rPr>
          <w:rFonts w:ascii="Times New Roman" w:hAnsi="Times New Roman" w:cs="Times New Roman"/>
          <w:color w:val="000000"/>
        </w:rPr>
        <w:t xml:space="preserve">ights: a </w:t>
      </w:r>
      <w:r w:rsidR="00526527">
        <w:rPr>
          <w:rFonts w:ascii="Times New Roman" w:hAnsi="Times New Roman" w:cs="Times New Roman"/>
          <w:color w:val="000000"/>
        </w:rPr>
        <w:t>C</w:t>
      </w:r>
      <w:r w:rsidRPr="00807BAB">
        <w:rPr>
          <w:rFonts w:ascii="Times New Roman" w:hAnsi="Times New Roman" w:cs="Times New Roman"/>
          <w:color w:val="000000"/>
        </w:rPr>
        <w:t>ross-</w:t>
      </w:r>
      <w:r w:rsidR="00526527">
        <w:rPr>
          <w:rFonts w:ascii="Times New Roman" w:hAnsi="Times New Roman" w:cs="Times New Roman"/>
          <w:color w:val="000000"/>
        </w:rPr>
        <w:t>N</w:t>
      </w:r>
      <w:r w:rsidRPr="00807BAB">
        <w:rPr>
          <w:rFonts w:ascii="Times New Roman" w:hAnsi="Times New Roman" w:cs="Times New Roman"/>
          <w:color w:val="000000"/>
        </w:rPr>
        <w:t xml:space="preserve">ational </w:t>
      </w:r>
      <w:r w:rsidR="00526527">
        <w:rPr>
          <w:rFonts w:ascii="Times New Roman" w:hAnsi="Times New Roman" w:cs="Times New Roman"/>
          <w:color w:val="000000"/>
        </w:rPr>
        <w:t>C</w:t>
      </w:r>
      <w:r w:rsidRPr="00807BAB">
        <w:rPr>
          <w:rFonts w:ascii="Times New Roman" w:hAnsi="Times New Roman" w:cs="Times New Roman"/>
          <w:color w:val="000000"/>
        </w:rPr>
        <w:t>omparison</w:t>
      </w:r>
      <w:r w:rsidR="00116BEC" w:rsidRPr="00807BAB">
        <w:rPr>
          <w:rFonts w:ascii="Times New Roman" w:hAnsi="Times New Roman" w:cs="Times New Roman"/>
          <w:color w:val="000000"/>
        </w:rPr>
        <w:t>’</w:t>
      </w:r>
      <w:r w:rsidR="008030D7" w:rsidRPr="00807BAB">
        <w:rPr>
          <w:rFonts w:ascii="Times New Roman" w:hAnsi="Times New Roman" w:cs="Times New Roman"/>
          <w:color w:val="000000"/>
        </w:rPr>
        <w:t>,</w:t>
      </w:r>
      <w:r w:rsidRPr="00807BAB">
        <w:rPr>
          <w:rFonts w:ascii="Times New Roman" w:hAnsi="Times New Roman" w:cs="Times New Roman"/>
          <w:color w:val="000000"/>
        </w:rPr>
        <w:t xml:space="preserve"> </w:t>
      </w:r>
      <w:r w:rsidRPr="00807BAB">
        <w:rPr>
          <w:rFonts w:ascii="Times New Roman" w:hAnsi="Times New Roman" w:cs="Times New Roman"/>
          <w:i/>
          <w:color w:val="000000"/>
        </w:rPr>
        <w:t>Labour</w:t>
      </w:r>
      <w:r w:rsidR="008030D7" w:rsidRPr="00807BAB">
        <w:rPr>
          <w:rFonts w:ascii="Times New Roman" w:hAnsi="Times New Roman" w:cs="Times New Roman"/>
          <w:i/>
          <w:color w:val="000000"/>
        </w:rPr>
        <w:t>,</w:t>
      </w:r>
      <w:r w:rsidRPr="00807BAB">
        <w:rPr>
          <w:rFonts w:ascii="Times New Roman" w:hAnsi="Times New Roman" w:cs="Times New Roman"/>
          <w:color w:val="000000"/>
        </w:rPr>
        <w:t xml:space="preserve"> 9</w:t>
      </w:r>
      <w:r w:rsidR="00526527">
        <w:rPr>
          <w:rFonts w:ascii="Times New Roman" w:hAnsi="Times New Roman" w:cs="Times New Roman"/>
          <w:color w:val="000000"/>
        </w:rPr>
        <w:t xml:space="preserve">, </w:t>
      </w:r>
      <w:r w:rsidRPr="00807BAB">
        <w:rPr>
          <w:rFonts w:ascii="Times New Roman" w:hAnsi="Times New Roman" w:cs="Times New Roman"/>
          <w:color w:val="000000"/>
        </w:rPr>
        <w:t>3</w:t>
      </w:r>
      <w:r w:rsidR="00526527">
        <w:rPr>
          <w:rFonts w:ascii="Times New Roman" w:hAnsi="Times New Roman" w:cs="Times New Roman"/>
          <w:color w:val="000000"/>
        </w:rPr>
        <w:t>,</w:t>
      </w:r>
      <w:r w:rsidRPr="00807BAB">
        <w:rPr>
          <w:rFonts w:ascii="Times New Roman" w:hAnsi="Times New Roman" w:cs="Times New Roman"/>
          <w:color w:val="000000"/>
        </w:rPr>
        <w:t xml:space="preserve"> 405-422.</w:t>
      </w:r>
    </w:p>
    <w:p w14:paraId="00946178" w14:textId="45034696" w:rsidR="00673DB0" w:rsidRDefault="00673DB0" w:rsidP="00D67EC8">
      <w:pPr>
        <w:spacing w:line="480" w:lineRule="auto"/>
        <w:rPr>
          <w:rFonts w:ascii="Times New Roman" w:hAnsi="Times New Roman" w:cs="Times New Roman"/>
          <w:color w:val="000000"/>
        </w:rPr>
      </w:pPr>
      <w:r w:rsidRPr="00807BAB">
        <w:rPr>
          <w:rFonts w:ascii="Times New Roman" w:hAnsi="Times New Roman" w:cs="Times New Roman"/>
          <w:color w:val="000000"/>
        </w:rPr>
        <w:lastRenderedPageBreak/>
        <w:t>Buchele R and Christiansen J (1999)</w:t>
      </w:r>
      <w:r w:rsidR="00526527">
        <w:rPr>
          <w:rFonts w:ascii="Times New Roman" w:hAnsi="Times New Roman" w:cs="Times New Roman"/>
          <w:color w:val="000000"/>
        </w:rPr>
        <w:t>,</w:t>
      </w:r>
      <w:r w:rsidRPr="00807BAB">
        <w:rPr>
          <w:rFonts w:ascii="Times New Roman" w:hAnsi="Times New Roman" w:cs="Times New Roman"/>
          <w:color w:val="000000"/>
        </w:rPr>
        <w:t xml:space="preserve"> </w:t>
      </w:r>
      <w:r w:rsidR="00116BEC" w:rsidRPr="00807BAB">
        <w:rPr>
          <w:rFonts w:ascii="Times New Roman" w:hAnsi="Times New Roman" w:cs="Times New Roman"/>
          <w:color w:val="000000"/>
        </w:rPr>
        <w:t>‘</w:t>
      </w:r>
      <w:r w:rsidRPr="00807BAB">
        <w:rPr>
          <w:rFonts w:ascii="Times New Roman" w:hAnsi="Times New Roman" w:cs="Times New Roman"/>
          <w:color w:val="000000"/>
        </w:rPr>
        <w:t xml:space="preserve">Employment and </w:t>
      </w:r>
      <w:r w:rsidR="00526527">
        <w:rPr>
          <w:rFonts w:ascii="Times New Roman" w:hAnsi="Times New Roman" w:cs="Times New Roman"/>
          <w:color w:val="000000"/>
        </w:rPr>
        <w:t>P</w:t>
      </w:r>
      <w:r w:rsidRPr="00807BAB">
        <w:rPr>
          <w:rFonts w:ascii="Times New Roman" w:hAnsi="Times New Roman" w:cs="Times New Roman"/>
          <w:color w:val="000000"/>
        </w:rPr>
        <w:t xml:space="preserve">roductivity </w:t>
      </w:r>
      <w:r w:rsidR="00526527">
        <w:rPr>
          <w:rFonts w:ascii="Times New Roman" w:hAnsi="Times New Roman" w:cs="Times New Roman"/>
          <w:color w:val="000000"/>
        </w:rPr>
        <w:t>G</w:t>
      </w:r>
      <w:r w:rsidRPr="00807BAB">
        <w:rPr>
          <w:rFonts w:ascii="Times New Roman" w:hAnsi="Times New Roman" w:cs="Times New Roman"/>
          <w:color w:val="000000"/>
        </w:rPr>
        <w:t xml:space="preserve">rowth in Europe and North America: the </w:t>
      </w:r>
      <w:r w:rsidR="00526527">
        <w:rPr>
          <w:rFonts w:ascii="Times New Roman" w:hAnsi="Times New Roman" w:cs="Times New Roman"/>
          <w:color w:val="000000"/>
        </w:rPr>
        <w:t>I</w:t>
      </w:r>
      <w:r w:rsidRPr="00807BAB">
        <w:rPr>
          <w:rFonts w:ascii="Times New Roman" w:hAnsi="Times New Roman" w:cs="Times New Roman"/>
          <w:color w:val="000000"/>
        </w:rPr>
        <w:t xml:space="preserve">mpact of </w:t>
      </w:r>
      <w:r w:rsidR="00526527">
        <w:rPr>
          <w:rFonts w:ascii="Times New Roman" w:hAnsi="Times New Roman" w:cs="Times New Roman"/>
          <w:color w:val="000000"/>
        </w:rPr>
        <w:t>L</w:t>
      </w:r>
      <w:r w:rsidRPr="00807BAB">
        <w:rPr>
          <w:rFonts w:ascii="Times New Roman" w:hAnsi="Times New Roman" w:cs="Times New Roman"/>
          <w:color w:val="000000"/>
        </w:rPr>
        <w:t xml:space="preserve">abour </w:t>
      </w:r>
      <w:r w:rsidR="00526527">
        <w:rPr>
          <w:rFonts w:ascii="Times New Roman" w:hAnsi="Times New Roman" w:cs="Times New Roman"/>
          <w:color w:val="000000"/>
        </w:rPr>
        <w:t>M</w:t>
      </w:r>
      <w:r w:rsidRPr="00807BAB">
        <w:rPr>
          <w:rFonts w:ascii="Times New Roman" w:hAnsi="Times New Roman" w:cs="Times New Roman"/>
          <w:color w:val="000000"/>
        </w:rPr>
        <w:t xml:space="preserve">arket </w:t>
      </w:r>
      <w:r w:rsidR="00526527">
        <w:rPr>
          <w:rFonts w:ascii="Times New Roman" w:hAnsi="Times New Roman" w:cs="Times New Roman"/>
          <w:color w:val="000000"/>
        </w:rPr>
        <w:t>I</w:t>
      </w:r>
      <w:r w:rsidRPr="00807BAB">
        <w:rPr>
          <w:rFonts w:ascii="Times New Roman" w:hAnsi="Times New Roman" w:cs="Times New Roman"/>
          <w:color w:val="000000"/>
        </w:rPr>
        <w:t>nstitutions</w:t>
      </w:r>
      <w:r w:rsidR="00116BEC" w:rsidRPr="00807BAB">
        <w:rPr>
          <w:rFonts w:ascii="Times New Roman" w:hAnsi="Times New Roman" w:cs="Times New Roman"/>
          <w:color w:val="000000"/>
        </w:rPr>
        <w:t>’</w:t>
      </w:r>
      <w:r w:rsidR="008030D7" w:rsidRPr="00807BAB">
        <w:rPr>
          <w:rFonts w:ascii="Times New Roman" w:hAnsi="Times New Roman" w:cs="Times New Roman"/>
          <w:color w:val="000000"/>
        </w:rPr>
        <w:t>,</w:t>
      </w:r>
      <w:r w:rsidRPr="00807BAB">
        <w:rPr>
          <w:rFonts w:ascii="Times New Roman" w:hAnsi="Times New Roman" w:cs="Times New Roman"/>
          <w:color w:val="000000"/>
        </w:rPr>
        <w:t xml:space="preserve"> </w:t>
      </w:r>
      <w:r w:rsidRPr="00807BAB">
        <w:rPr>
          <w:rFonts w:ascii="Times New Roman" w:hAnsi="Times New Roman" w:cs="Times New Roman"/>
          <w:i/>
          <w:color w:val="000000"/>
        </w:rPr>
        <w:t>International Review of Applied Economics</w:t>
      </w:r>
      <w:r w:rsidR="008030D7" w:rsidRPr="00807BAB">
        <w:rPr>
          <w:rFonts w:ascii="Times New Roman" w:hAnsi="Times New Roman" w:cs="Times New Roman"/>
          <w:i/>
          <w:color w:val="000000"/>
        </w:rPr>
        <w:t>,</w:t>
      </w:r>
      <w:r w:rsidRPr="00807BAB">
        <w:rPr>
          <w:rFonts w:ascii="Times New Roman" w:hAnsi="Times New Roman" w:cs="Times New Roman"/>
          <w:color w:val="000000"/>
        </w:rPr>
        <w:t xml:space="preserve"> 13</w:t>
      </w:r>
      <w:r w:rsidR="00526527">
        <w:rPr>
          <w:rFonts w:ascii="Times New Roman" w:hAnsi="Times New Roman" w:cs="Times New Roman"/>
          <w:color w:val="000000"/>
        </w:rPr>
        <w:t xml:space="preserve">, </w:t>
      </w:r>
      <w:r w:rsidRPr="00807BAB">
        <w:rPr>
          <w:rFonts w:ascii="Times New Roman" w:hAnsi="Times New Roman" w:cs="Times New Roman"/>
          <w:color w:val="000000"/>
        </w:rPr>
        <w:t>3</w:t>
      </w:r>
      <w:r w:rsidR="00526527">
        <w:rPr>
          <w:rFonts w:ascii="Times New Roman" w:hAnsi="Times New Roman" w:cs="Times New Roman"/>
          <w:color w:val="000000"/>
        </w:rPr>
        <w:t>,</w:t>
      </w:r>
      <w:r w:rsidRPr="00807BAB">
        <w:rPr>
          <w:rFonts w:ascii="Times New Roman" w:hAnsi="Times New Roman" w:cs="Times New Roman"/>
          <w:color w:val="000000"/>
        </w:rPr>
        <w:t xml:space="preserve"> 313-332.</w:t>
      </w:r>
    </w:p>
    <w:p w14:paraId="2A6EA659" w14:textId="2EDDD56C" w:rsidR="00A1151E" w:rsidRDefault="00A1151E" w:rsidP="00A1151E">
      <w:pPr>
        <w:spacing w:line="480" w:lineRule="auto"/>
        <w:rPr>
          <w:rFonts w:ascii="Times New Roman" w:hAnsi="Times New Roman"/>
          <w:color w:val="000000"/>
          <w:sz w:val="24"/>
          <w:szCs w:val="24"/>
        </w:rPr>
      </w:pPr>
      <w:r w:rsidRPr="000C347E">
        <w:rPr>
          <w:rFonts w:ascii="Times New Roman" w:hAnsi="Times New Roman"/>
          <w:color w:val="000000"/>
          <w:sz w:val="24"/>
          <w:szCs w:val="24"/>
        </w:rPr>
        <w:t>Callinicos, A</w:t>
      </w:r>
      <w:r>
        <w:rPr>
          <w:rFonts w:ascii="Times New Roman" w:hAnsi="Times New Roman"/>
          <w:color w:val="000000"/>
          <w:sz w:val="24"/>
          <w:szCs w:val="24"/>
        </w:rPr>
        <w:t>lex</w:t>
      </w:r>
      <w:r w:rsidRPr="000C347E">
        <w:rPr>
          <w:rFonts w:ascii="Times New Roman" w:hAnsi="Times New Roman"/>
          <w:color w:val="000000"/>
          <w:sz w:val="24"/>
          <w:szCs w:val="24"/>
        </w:rPr>
        <w:t>. 2010</w:t>
      </w:r>
      <w:r>
        <w:rPr>
          <w:rFonts w:ascii="Times New Roman" w:hAnsi="Times New Roman"/>
          <w:color w:val="000000"/>
          <w:sz w:val="24"/>
          <w:szCs w:val="24"/>
        </w:rPr>
        <w:t>.</w:t>
      </w:r>
      <w:r w:rsidRPr="000C347E">
        <w:rPr>
          <w:rFonts w:ascii="Times New Roman" w:hAnsi="Times New Roman"/>
          <w:color w:val="000000"/>
          <w:sz w:val="24"/>
          <w:szCs w:val="24"/>
        </w:rPr>
        <w:t xml:space="preserve"> </w:t>
      </w:r>
      <w:r w:rsidRPr="000C347E">
        <w:rPr>
          <w:rFonts w:ascii="Times New Roman" w:hAnsi="Times New Roman"/>
          <w:i/>
          <w:color w:val="000000"/>
          <w:sz w:val="24"/>
          <w:szCs w:val="24"/>
        </w:rPr>
        <w:t>Bonfire of Illusions: The Twin Crises of the Liberal World</w:t>
      </w:r>
      <w:r w:rsidRPr="000C347E">
        <w:rPr>
          <w:rFonts w:ascii="Times New Roman" w:hAnsi="Times New Roman"/>
          <w:color w:val="000000"/>
          <w:sz w:val="24"/>
          <w:szCs w:val="24"/>
        </w:rPr>
        <w:t>. Cambridge: Polity Press.</w:t>
      </w:r>
    </w:p>
    <w:p w14:paraId="576BDCC8" w14:textId="12A1F4D2" w:rsidR="00673DB0" w:rsidRPr="00807BAB" w:rsidRDefault="00673DB0" w:rsidP="00D67EC8">
      <w:pPr>
        <w:spacing w:line="480" w:lineRule="auto"/>
        <w:rPr>
          <w:rFonts w:ascii="Times New Roman" w:hAnsi="Times New Roman" w:cs="Times New Roman"/>
          <w:color w:val="000000"/>
        </w:rPr>
      </w:pPr>
      <w:r w:rsidRPr="00807BAB">
        <w:rPr>
          <w:rFonts w:ascii="Times New Roman" w:hAnsi="Times New Roman" w:cs="Times New Roman"/>
          <w:color w:val="000000"/>
        </w:rPr>
        <w:t>Cazes S and Tonin M (2010)</w:t>
      </w:r>
      <w:r w:rsidR="00526527">
        <w:rPr>
          <w:rFonts w:ascii="Times New Roman" w:hAnsi="Times New Roman" w:cs="Times New Roman"/>
          <w:color w:val="000000"/>
        </w:rPr>
        <w:t>,</w:t>
      </w:r>
      <w:r w:rsidRPr="00807BAB">
        <w:rPr>
          <w:rFonts w:ascii="Times New Roman" w:hAnsi="Times New Roman" w:cs="Times New Roman"/>
          <w:color w:val="000000"/>
        </w:rPr>
        <w:t xml:space="preserve"> </w:t>
      </w:r>
      <w:r w:rsidR="00116BEC" w:rsidRPr="00807BAB">
        <w:rPr>
          <w:rFonts w:ascii="Times New Roman" w:hAnsi="Times New Roman" w:cs="Times New Roman"/>
          <w:color w:val="000000"/>
        </w:rPr>
        <w:t>‘</w:t>
      </w:r>
      <w:r w:rsidRPr="00807BAB">
        <w:rPr>
          <w:rFonts w:ascii="Times New Roman" w:hAnsi="Times New Roman" w:cs="Times New Roman"/>
          <w:color w:val="000000"/>
        </w:rPr>
        <w:t xml:space="preserve">Employment </w:t>
      </w:r>
      <w:r w:rsidR="00526527">
        <w:rPr>
          <w:rFonts w:ascii="Times New Roman" w:hAnsi="Times New Roman" w:cs="Times New Roman"/>
          <w:color w:val="000000"/>
        </w:rPr>
        <w:t>P</w:t>
      </w:r>
      <w:r w:rsidRPr="00807BAB">
        <w:rPr>
          <w:rFonts w:ascii="Times New Roman" w:hAnsi="Times New Roman" w:cs="Times New Roman"/>
          <w:color w:val="000000"/>
        </w:rPr>
        <w:t xml:space="preserve">rotection </w:t>
      </w:r>
      <w:r w:rsidR="00526527">
        <w:rPr>
          <w:rFonts w:ascii="Times New Roman" w:hAnsi="Times New Roman" w:cs="Times New Roman"/>
          <w:color w:val="000000"/>
        </w:rPr>
        <w:t>L</w:t>
      </w:r>
      <w:r w:rsidRPr="00807BAB">
        <w:rPr>
          <w:rFonts w:ascii="Times New Roman" w:hAnsi="Times New Roman" w:cs="Times New Roman"/>
          <w:color w:val="000000"/>
        </w:rPr>
        <w:t xml:space="preserve">egislation and </w:t>
      </w:r>
      <w:r w:rsidR="00526527">
        <w:rPr>
          <w:rFonts w:ascii="Times New Roman" w:hAnsi="Times New Roman" w:cs="Times New Roman"/>
          <w:color w:val="000000"/>
        </w:rPr>
        <w:t>J</w:t>
      </w:r>
      <w:r w:rsidRPr="00807BAB">
        <w:rPr>
          <w:rFonts w:ascii="Times New Roman" w:hAnsi="Times New Roman" w:cs="Times New Roman"/>
          <w:color w:val="000000"/>
        </w:rPr>
        <w:t xml:space="preserve">ob </w:t>
      </w:r>
      <w:r w:rsidR="00526527">
        <w:rPr>
          <w:rFonts w:ascii="Times New Roman" w:hAnsi="Times New Roman" w:cs="Times New Roman"/>
          <w:color w:val="000000"/>
        </w:rPr>
        <w:t>S</w:t>
      </w:r>
      <w:r w:rsidRPr="00807BAB">
        <w:rPr>
          <w:rFonts w:ascii="Times New Roman" w:hAnsi="Times New Roman" w:cs="Times New Roman"/>
          <w:color w:val="000000"/>
        </w:rPr>
        <w:t xml:space="preserve">tability: A European </w:t>
      </w:r>
      <w:r w:rsidR="00526527">
        <w:rPr>
          <w:rFonts w:ascii="Times New Roman" w:hAnsi="Times New Roman" w:cs="Times New Roman"/>
          <w:color w:val="000000"/>
        </w:rPr>
        <w:t>C</w:t>
      </w:r>
      <w:r w:rsidRPr="00807BAB">
        <w:rPr>
          <w:rFonts w:ascii="Times New Roman" w:hAnsi="Times New Roman" w:cs="Times New Roman"/>
          <w:color w:val="000000"/>
        </w:rPr>
        <w:t>ross-</w:t>
      </w:r>
      <w:r w:rsidR="00526527">
        <w:rPr>
          <w:rFonts w:ascii="Times New Roman" w:hAnsi="Times New Roman" w:cs="Times New Roman"/>
          <w:color w:val="000000"/>
        </w:rPr>
        <w:t>C</w:t>
      </w:r>
      <w:r w:rsidRPr="00807BAB">
        <w:rPr>
          <w:rFonts w:ascii="Times New Roman" w:hAnsi="Times New Roman" w:cs="Times New Roman"/>
          <w:color w:val="000000"/>
        </w:rPr>
        <w:t xml:space="preserve">ountry </w:t>
      </w:r>
      <w:r w:rsidR="00526527">
        <w:rPr>
          <w:rFonts w:ascii="Times New Roman" w:hAnsi="Times New Roman" w:cs="Times New Roman"/>
          <w:color w:val="000000"/>
        </w:rPr>
        <w:t>A</w:t>
      </w:r>
      <w:r w:rsidRPr="00807BAB">
        <w:rPr>
          <w:rFonts w:ascii="Times New Roman" w:hAnsi="Times New Roman" w:cs="Times New Roman"/>
          <w:color w:val="000000"/>
        </w:rPr>
        <w:t>nalysis</w:t>
      </w:r>
      <w:r w:rsidR="00116BEC" w:rsidRPr="00807BAB">
        <w:rPr>
          <w:rFonts w:ascii="Times New Roman" w:hAnsi="Times New Roman" w:cs="Times New Roman"/>
          <w:color w:val="000000"/>
        </w:rPr>
        <w:t>’</w:t>
      </w:r>
      <w:r w:rsidR="008030D7" w:rsidRPr="00807BAB">
        <w:rPr>
          <w:rFonts w:ascii="Times New Roman" w:hAnsi="Times New Roman" w:cs="Times New Roman"/>
          <w:color w:val="000000"/>
        </w:rPr>
        <w:t>,</w:t>
      </w:r>
      <w:r w:rsidRPr="00807BAB">
        <w:rPr>
          <w:rFonts w:ascii="Times New Roman" w:hAnsi="Times New Roman" w:cs="Times New Roman"/>
          <w:color w:val="000000"/>
        </w:rPr>
        <w:t xml:space="preserve"> </w:t>
      </w:r>
      <w:r w:rsidRPr="00807BAB">
        <w:rPr>
          <w:rFonts w:ascii="Times New Roman" w:hAnsi="Times New Roman" w:cs="Times New Roman"/>
          <w:i/>
          <w:color w:val="000000"/>
        </w:rPr>
        <w:t>International Labour Review</w:t>
      </w:r>
      <w:r w:rsidR="008030D7" w:rsidRPr="00807BAB">
        <w:rPr>
          <w:rFonts w:ascii="Times New Roman" w:hAnsi="Times New Roman" w:cs="Times New Roman"/>
          <w:i/>
          <w:color w:val="000000"/>
        </w:rPr>
        <w:t>,</w:t>
      </w:r>
      <w:r w:rsidRPr="00807BAB">
        <w:rPr>
          <w:rFonts w:ascii="Times New Roman" w:hAnsi="Times New Roman" w:cs="Times New Roman"/>
          <w:color w:val="000000"/>
        </w:rPr>
        <w:t xml:space="preserve"> 149</w:t>
      </w:r>
      <w:r w:rsidR="00526527">
        <w:rPr>
          <w:rFonts w:ascii="Times New Roman" w:hAnsi="Times New Roman" w:cs="Times New Roman"/>
          <w:color w:val="000000"/>
        </w:rPr>
        <w:t xml:space="preserve">, </w:t>
      </w:r>
      <w:r w:rsidRPr="00807BAB">
        <w:rPr>
          <w:rFonts w:ascii="Times New Roman" w:hAnsi="Times New Roman" w:cs="Times New Roman"/>
          <w:color w:val="000000"/>
        </w:rPr>
        <w:t>3</w:t>
      </w:r>
      <w:r w:rsidR="00526527">
        <w:rPr>
          <w:rFonts w:ascii="Times New Roman" w:hAnsi="Times New Roman" w:cs="Times New Roman"/>
          <w:color w:val="000000"/>
        </w:rPr>
        <w:t>,</w:t>
      </w:r>
      <w:r w:rsidRPr="00807BAB">
        <w:rPr>
          <w:rFonts w:ascii="Times New Roman" w:hAnsi="Times New Roman" w:cs="Times New Roman"/>
          <w:color w:val="000000"/>
        </w:rPr>
        <w:t xml:space="preserve"> 261-285.</w:t>
      </w:r>
    </w:p>
    <w:p w14:paraId="6001DA98" w14:textId="2E99E376" w:rsidR="00071D80" w:rsidRPr="00807BAB" w:rsidRDefault="00071D80" w:rsidP="00D67EC8">
      <w:pPr>
        <w:spacing w:line="480" w:lineRule="auto"/>
        <w:rPr>
          <w:rFonts w:ascii="Times New Roman" w:hAnsi="Times New Roman" w:cs="Times New Roman"/>
          <w:color w:val="000000"/>
        </w:rPr>
      </w:pPr>
      <w:r w:rsidRPr="00807BAB">
        <w:rPr>
          <w:rFonts w:ascii="Times New Roman" w:hAnsi="Times New Roman" w:cs="Times New Roman"/>
          <w:color w:val="000000"/>
        </w:rPr>
        <w:t>Cazes, S., Khatiwada, S. and Malo, M. (2012)</w:t>
      </w:r>
      <w:r w:rsidR="00526527">
        <w:rPr>
          <w:rFonts w:ascii="Times New Roman" w:hAnsi="Times New Roman" w:cs="Times New Roman"/>
          <w:color w:val="000000"/>
        </w:rPr>
        <w:t>,</w:t>
      </w:r>
      <w:r w:rsidRPr="00807BAB">
        <w:rPr>
          <w:rFonts w:ascii="Times New Roman" w:hAnsi="Times New Roman" w:cs="Times New Roman"/>
          <w:color w:val="000000"/>
        </w:rPr>
        <w:t xml:space="preserve"> ‘Employment </w:t>
      </w:r>
      <w:r w:rsidR="00526527">
        <w:rPr>
          <w:rFonts w:ascii="Times New Roman" w:hAnsi="Times New Roman" w:cs="Times New Roman"/>
          <w:color w:val="000000"/>
        </w:rPr>
        <w:t>P</w:t>
      </w:r>
      <w:r w:rsidRPr="00807BAB">
        <w:rPr>
          <w:rFonts w:ascii="Times New Roman" w:hAnsi="Times New Roman" w:cs="Times New Roman"/>
          <w:color w:val="000000"/>
        </w:rPr>
        <w:t xml:space="preserve">rotection and </w:t>
      </w:r>
      <w:r w:rsidR="00526527">
        <w:rPr>
          <w:rFonts w:ascii="Times New Roman" w:hAnsi="Times New Roman" w:cs="Times New Roman"/>
          <w:color w:val="000000"/>
        </w:rPr>
        <w:t>C</w:t>
      </w:r>
      <w:r w:rsidRPr="00807BAB">
        <w:rPr>
          <w:rFonts w:ascii="Times New Roman" w:hAnsi="Times New Roman" w:cs="Times New Roman"/>
          <w:color w:val="000000"/>
        </w:rPr>
        <w:t xml:space="preserve">ollective </w:t>
      </w:r>
      <w:r w:rsidR="00526527">
        <w:rPr>
          <w:rFonts w:ascii="Times New Roman" w:hAnsi="Times New Roman" w:cs="Times New Roman"/>
          <w:color w:val="000000"/>
        </w:rPr>
        <w:t>B</w:t>
      </w:r>
      <w:r w:rsidRPr="00807BAB">
        <w:rPr>
          <w:rFonts w:ascii="Times New Roman" w:hAnsi="Times New Roman" w:cs="Times New Roman"/>
          <w:color w:val="000000"/>
        </w:rPr>
        <w:t xml:space="preserve">argaining: </w:t>
      </w:r>
      <w:r w:rsidR="00526527">
        <w:rPr>
          <w:rFonts w:ascii="Times New Roman" w:hAnsi="Times New Roman" w:cs="Times New Roman"/>
          <w:color w:val="000000"/>
        </w:rPr>
        <w:t>B</w:t>
      </w:r>
      <w:r w:rsidRPr="00807BAB">
        <w:rPr>
          <w:rFonts w:ascii="Times New Roman" w:hAnsi="Times New Roman" w:cs="Times New Roman"/>
          <w:color w:val="000000"/>
        </w:rPr>
        <w:t xml:space="preserve">eyond the </w:t>
      </w:r>
      <w:r w:rsidR="00526527">
        <w:rPr>
          <w:rFonts w:ascii="Times New Roman" w:hAnsi="Times New Roman" w:cs="Times New Roman"/>
          <w:color w:val="000000"/>
        </w:rPr>
        <w:t>D</w:t>
      </w:r>
      <w:r w:rsidRPr="00807BAB">
        <w:rPr>
          <w:rFonts w:ascii="Times New Roman" w:hAnsi="Times New Roman" w:cs="Times New Roman"/>
          <w:color w:val="000000"/>
        </w:rPr>
        <w:t xml:space="preserve">eregulation </w:t>
      </w:r>
      <w:r w:rsidR="00526527">
        <w:rPr>
          <w:rFonts w:ascii="Times New Roman" w:hAnsi="Times New Roman" w:cs="Times New Roman"/>
          <w:color w:val="000000"/>
        </w:rPr>
        <w:t>A</w:t>
      </w:r>
      <w:r w:rsidRPr="00807BAB">
        <w:rPr>
          <w:rFonts w:ascii="Times New Roman" w:hAnsi="Times New Roman" w:cs="Times New Roman"/>
          <w:color w:val="000000"/>
        </w:rPr>
        <w:t xml:space="preserve">genda’, </w:t>
      </w:r>
      <w:r w:rsidRPr="00807BAB">
        <w:rPr>
          <w:rFonts w:ascii="Times New Roman" w:hAnsi="Times New Roman" w:cs="Times New Roman"/>
          <w:i/>
          <w:color w:val="000000"/>
        </w:rPr>
        <w:t>Employment Sector Employment Working Paper</w:t>
      </w:r>
      <w:r w:rsidRPr="00807BAB">
        <w:rPr>
          <w:rFonts w:ascii="Times New Roman" w:hAnsi="Times New Roman" w:cs="Times New Roman"/>
          <w:color w:val="000000"/>
        </w:rPr>
        <w:t xml:space="preserve"> No. 133</w:t>
      </w:r>
      <w:r w:rsidR="00526527">
        <w:rPr>
          <w:rFonts w:ascii="Times New Roman" w:hAnsi="Times New Roman" w:cs="Times New Roman"/>
          <w:color w:val="000000"/>
        </w:rPr>
        <w:t xml:space="preserve"> (</w:t>
      </w:r>
      <w:r w:rsidRPr="00807BAB">
        <w:rPr>
          <w:rFonts w:ascii="Times New Roman" w:hAnsi="Times New Roman" w:cs="Times New Roman"/>
          <w:color w:val="000000"/>
        </w:rPr>
        <w:t>Geneva</w:t>
      </w:r>
      <w:r w:rsidR="00526527">
        <w:rPr>
          <w:rFonts w:ascii="Times New Roman" w:hAnsi="Times New Roman" w:cs="Times New Roman"/>
          <w:color w:val="000000"/>
        </w:rPr>
        <w:t>,</w:t>
      </w:r>
      <w:r w:rsidRPr="00807BAB">
        <w:rPr>
          <w:rFonts w:ascii="Times New Roman" w:hAnsi="Times New Roman" w:cs="Times New Roman"/>
          <w:color w:val="000000"/>
        </w:rPr>
        <w:t xml:space="preserve"> ILO</w:t>
      </w:r>
      <w:r w:rsidR="00526527">
        <w:rPr>
          <w:rFonts w:ascii="Times New Roman" w:hAnsi="Times New Roman" w:cs="Times New Roman"/>
          <w:color w:val="000000"/>
        </w:rPr>
        <w:t>)</w:t>
      </w:r>
      <w:r w:rsidRPr="00807BAB">
        <w:rPr>
          <w:rFonts w:ascii="Times New Roman" w:hAnsi="Times New Roman" w:cs="Times New Roman"/>
          <w:color w:val="000000"/>
        </w:rPr>
        <w:t>.</w:t>
      </w:r>
    </w:p>
    <w:p w14:paraId="2774CACD" w14:textId="35D389D1" w:rsidR="00673DB0" w:rsidRDefault="00673DB0" w:rsidP="00D67EC8">
      <w:pPr>
        <w:spacing w:line="480" w:lineRule="auto"/>
        <w:rPr>
          <w:rFonts w:ascii="Times New Roman" w:hAnsi="Times New Roman" w:cs="Times New Roman"/>
          <w:color w:val="000000"/>
        </w:rPr>
      </w:pPr>
      <w:r w:rsidRPr="00807BAB">
        <w:rPr>
          <w:rFonts w:ascii="Times New Roman" w:hAnsi="Times New Roman" w:cs="Times New Roman"/>
          <w:color w:val="000000"/>
        </w:rPr>
        <w:t>Clauwaert S and Schömann I (2012)</w:t>
      </w:r>
      <w:r w:rsidR="00526527">
        <w:rPr>
          <w:rFonts w:ascii="Times New Roman" w:hAnsi="Times New Roman" w:cs="Times New Roman"/>
          <w:color w:val="000000"/>
        </w:rPr>
        <w:t>,</w:t>
      </w:r>
      <w:r w:rsidRPr="00807BAB">
        <w:rPr>
          <w:rFonts w:ascii="Times New Roman" w:hAnsi="Times New Roman" w:cs="Times New Roman"/>
          <w:color w:val="000000"/>
        </w:rPr>
        <w:t xml:space="preserve"> </w:t>
      </w:r>
      <w:r w:rsidRPr="00807BAB">
        <w:rPr>
          <w:rFonts w:ascii="Times New Roman" w:hAnsi="Times New Roman" w:cs="Times New Roman"/>
          <w:i/>
          <w:color w:val="000000"/>
        </w:rPr>
        <w:t>The Crisis And National Labour Law Reforms: A Mapping Exercise</w:t>
      </w:r>
      <w:r w:rsidRPr="00807BAB">
        <w:rPr>
          <w:rFonts w:ascii="Times New Roman" w:hAnsi="Times New Roman" w:cs="Times New Roman"/>
          <w:color w:val="000000"/>
        </w:rPr>
        <w:t xml:space="preserve">. European Trade Union Institute. Working Paper 2012.04 </w:t>
      </w:r>
      <w:r w:rsidR="00526527">
        <w:rPr>
          <w:rFonts w:ascii="Times New Roman" w:hAnsi="Times New Roman" w:cs="Times New Roman"/>
          <w:color w:val="000000"/>
        </w:rPr>
        <w:t>(</w:t>
      </w:r>
      <w:r w:rsidRPr="00807BAB">
        <w:rPr>
          <w:rFonts w:ascii="Times New Roman" w:hAnsi="Times New Roman" w:cs="Times New Roman"/>
          <w:color w:val="000000"/>
        </w:rPr>
        <w:t>Brussels</w:t>
      </w:r>
      <w:r w:rsidR="00526527">
        <w:rPr>
          <w:rFonts w:ascii="Times New Roman" w:hAnsi="Times New Roman" w:cs="Times New Roman"/>
          <w:color w:val="000000"/>
        </w:rPr>
        <w:t>,</w:t>
      </w:r>
      <w:r w:rsidRPr="00807BAB">
        <w:rPr>
          <w:rFonts w:ascii="Times New Roman" w:hAnsi="Times New Roman" w:cs="Times New Roman"/>
          <w:color w:val="000000"/>
        </w:rPr>
        <w:t xml:space="preserve"> ETUI</w:t>
      </w:r>
      <w:r w:rsidR="00526527">
        <w:rPr>
          <w:rFonts w:ascii="Times New Roman" w:hAnsi="Times New Roman" w:cs="Times New Roman"/>
          <w:color w:val="000000"/>
        </w:rPr>
        <w:t>)</w:t>
      </w:r>
      <w:r w:rsidRPr="00807BAB">
        <w:rPr>
          <w:rFonts w:ascii="Times New Roman" w:hAnsi="Times New Roman" w:cs="Times New Roman"/>
          <w:color w:val="000000"/>
        </w:rPr>
        <w:t>.</w:t>
      </w:r>
    </w:p>
    <w:p w14:paraId="7C39BD0A" w14:textId="52B7952D" w:rsidR="00F93FAF" w:rsidRPr="00807BAB" w:rsidRDefault="00F93FAF" w:rsidP="00D67EC8">
      <w:pPr>
        <w:spacing w:line="480" w:lineRule="auto"/>
        <w:rPr>
          <w:rFonts w:ascii="Times New Roman" w:hAnsi="Times New Roman" w:cs="Times New Roman"/>
          <w:color w:val="000000"/>
        </w:rPr>
      </w:pPr>
      <w:r>
        <w:rPr>
          <w:rFonts w:ascii="Times New Roman" w:hAnsi="Times New Roman" w:cs="Times New Roman"/>
          <w:color w:val="000000"/>
        </w:rPr>
        <w:t>Copeland, P. and Ter Haar, B. (2013), ‘A Toothless Bite? The Effectiveness of the European Employment Strategy as a Governance Tool’</w:t>
      </w:r>
      <w:r w:rsidRPr="00B712C2">
        <w:rPr>
          <w:rFonts w:ascii="Times New Roman" w:hAnsi="Times New Roman" w:cs="Times New Roman"/>
          <w:i/>
          <w:color w:val="000000"/>
        </w:rPr>
        <w:t>, Journal of European Social Policy</w:t>
      </w:r>
      <w:r>
        <w:rPr>
          <w:rFonts w:ascii="Times New Roman" w:hAnsi="Times New Roman" w:cs="Times New Roman"/>
          <w:color w:val="000000"/>
        </w:rPr>
        <w:t>, 23, 1, 21-36.</w:t>
      </w:r>
    </w:p>
    <w:p w14:paraId="4694F164" w14:textId="7B3D3BE9" w:rsidR="00D10295" w:rsidRDefault="00D10295" w:rsidP="00D67EC8">
      <w:pPr>
        <w:spacing w:line="480" w:lineRule="auto"/>
        <w:rPr>
          <w:rFonts w:ascii="Times New Roman" w:hAnsi="Times New Roman" w:cs="Times New Roman"/>
          <w:color w:val="000000"/>
        </w:rPr>
      </w:pPr>
      <w:r w:rsidRPr="00807BAB">
        <w:rPr>
          <w:rFonts w:ascii="Times New Roman" w:hAnsi="Times New Roman" w:cs="Times New Roman"/>
          <w:color w:val="000000"/>
        </w:rPr>
        <w:t>Countouris, N. and Freedland, M (2013)</w:t>
      </w:r>
      <w:r w:rsidR="00526527">
        <w:rPr>
          <w:rFonts w:ascii="Times New Roman" w:hAnsi="Times New Roman" w:cs="Times New Roman"/>
          <w:color w:val="000000"/>
        </w:rPr>
        <w:t>,</w:t>
      </w:r>
      <w:r w:rsidRPr="00807BAB">
        <w:rPr>
          <w:rFonts w:ascii="Times New Roman" w:hAnsi="Times New Roman" w:cs="Times New Roman"/>
          <w:color w:val="000000"/>
        </w:rPr>
        <w:t xml:space="preserve"> ‘Labour </w:t>
      </w:r>
      <w:r w:rsidR="00526527">
        <w:rPr>
          <w:rFonts w:ascii="Times New Roman" w:hAnsi="Times New Roman" w:cs="Times New Roman"/>
          <w:color w:val="000000"/>
        </w:rPr>
        <w:t>R</w:t>
      </w:r>
      <w:r w:rsidRPr="00807BAB">
        <w:rPr>
          <w:rFonts w:ascii="Times New Roman" w:hAnsi="Times New Roman" w:cs="Times New Roman"/>
          <w:color w:val="000000"/>
        </w:rPr>
        <w:t xml:space="preserve">egulation and the </w:t>
      </w:r>
      <w:r w:rsidR="00526527">
        <w:rPr>
          <w:rFonts w:ascii="Times New Roman" w:hAnsi="Times New Roman" w:cs="Times New Roman"/>
          <w:color w:val="000000"/>
        </w:rPr>
        <w:t>E</w:t>
      </w:r>
      <w:r w:rsidRPr="00807BAB">
        <w:rPr>
          <w:rFonts w:ascii="Times New Roman" w:hAnsi="Times New Roman" w:cs="Times New Roman"/>
          <w:color w:val="000000"/>
        </w:rPr>
        <w:t xml:space="preserve">conomic </w:t>
      </w:r>
      <w:r w:rsidR="00526527">
        <w:rPr>
          <w:rFonts w:ascii="Times New Roman" w:hAnsi="Times New Roman" w:cs="Times New Roman"/>
          <w:color w:val="000000"/>
        </w:rPr>
        <w:t>C</w:t>
      </w:r>
      <w:r w:rsidRPr="00807BAB">
        <w:rPr>
          <w:rFonts w:ascii="Times New Roman" w:hAnsi="Times New Roman" w:cs="Times New Roman"/>
          <w:color w:val="000000"/>
        </w:rPr>
        <w:t xml:space="preserve">risis in Europe: </w:t>
      </w:r>
      <w:r w:rsidR="00526527">
        <w:rPr>
          <w:rFonts w:ascii="Times New Roman" w:hAnsi="Times New Roman" w:cs="Times New Roman"/>
          <w:color w:val="000000"/>
        </w:rPr>
        <w:t>C</w:t>
      </w:r>
      <w:r w:rsidRPr="00807BAB">
        <w:rPr>
          <w:rFonts w:ascii="Times New Roman" w:hAnsi="Times New Roman" w:cs="Times New Roman"/>
          <w:color w:val="000000"/>
        </w:rPr>
        <w:t xml:space="preserve">hallenges, </w:t>
      </w:r>
      <w:r w:rsidR="00526527">
        <w:rPr>
          <w:rFonts w:ascii="Times New Roman" w:hAnsi="Times New Roman" w:cs="Times New Roman"/>
          <w:color w:val="000000"/>
        </w:rPr>
        <w:t>R</w:t>
      </w:r>
      <w:r w:rsidRPr="00807BAB">
        <w:rPr>
          <w:rFonts w:ascii="Times New Roman" w:hAnsi="Times New Roman" w:cs="Times New Roman"/>
          <w:color w:val="000000"/>
        </w:rPr>
        <w:t xml:space="preserve">esponses and </w:t>
      </w:r>
      <w:r w:rsidR="00526527">
        <w:rPr>
          <w:rFonts w:ascii="Times New Roman" w:hAnsi="Times New Roman" w:cs="Times New Roman"/>
          <w:color w:val="000000"/>
        </w:rPr>
        <w:t>P</w:t>
      </w:r>
      <w:r w:rsidRPr="00807BAB">
        <w:rPr>
          <w:rFonts w:ascii="Times New Roman" w:hAnsi="Times New Roman" w:cs="Times New Roman"/>
          <w:color w:val="000000"/>
        </w:rPr>
        <w:t xml:space="preserve">rospects’, in </w:t>
      </w:r>
      <w:r w:rsidR="00526527">
        <w:rPr>
          <w:rFonts w:ascii="Times New Roman" w:hAnsi="Times New Roman" w:cs="Times New Roman"/>
          <w:color w:val="000000"/>
        </w:rPr>
        <w:t xml:space="preserve">J. </w:t>
      </w:r>
      <w:r w:rsidRPr="00807BAB">
        <w:rPr>
          <w:rFonts w:ascii="Times New Roman" w:hAnsi="Times New Roman" w:cs="Times New Roman"/>
          <w:color w:val="000000"/>
        </w:rPr>
        <w:t xml:space="preserve">Heyes, J. and </w:t>
      </w:r>
      <w:r w:rsidR="00526527">
        <w:rPr>
          <w:rFonts w:ascii="Times New Roman" w:hAnsi="Times New Roman" w:cs="Times New Roman"/>
          <w:color w:val="000000"/>
        </w:rPr>
        <w:t xml:space="preserve">L. </w:t>
      </w:r>
      <w:r w:rsidRPr="00807BAB">
        <w:rPr>
          <w:rFonts w:ascii="Times New Roman" w:hAnsi="Times New Roman" w:cs="Times New Roman"/>
          <w:color w:val="000000"/>
        </w:rPr>
        <w:t>Rychly (Eds.)</w:t>
      </w:r>
      <w:r w:rsidR="00526527">
        <w:rPr>
          <w:rFonts w:ascii="Times New Roman" w:hAnsi="Times New Roman" w:cs="Times New Roman"/>
          <w:color w:val="000000"/>
        </w:rPr>
        <w:t>,</w:t>
      </w:r>
      <w:r w:rsidRPr="00807BAB">
        <w:rPr>
          <w:rFonts w:ascii="Times New Roman" w:hAnsi="Times New Roman" w:cs="Times New Roman"/>
          <w:color w:val="000000"/>
        </w:rPr>
        <w:t xml:space="preserve"> </w:t>
      </w:r>
      <w:r w:rsidRPr="00807BAB">
        <w:rPr>
          <w:rFonts w:ascii="Times New Roman" w:hAnsi="Times New Roman" w:cs="Times New Roman"/>
          <w:i/>
          <w:color w:val="000000"/>
        </w:rPr>
        <w:t>Labour Administration in Uncertain Times: Policy, Practice and Institutions</w:t>
      </w:r>
      <w:r w:rsidR="00526527">
        <w:rPr>
          <w:rFonts w:ascii="Times New Roman" w:hAnsi="Times New Roman" w:cs="Times New Roman"/>
          <w:i/>
          <w:color w:val="000000"/>
        </w:rPr>
        <w:t xml:space="preserve"> (</w:t>
      </w:r>
      <w:r w:rsidRPr="00807BAB">
        <w:rPr>
          <w:rFonts w:ascii="Times New Roman" w:hAnsi="Times New Roman" w:cs="Times New Roman"/>
          <w:color w:val="000000"/>
        </w:rPr>
        <w:t>Cheltenham: Edward Elgar/ILO</w:t>
      </w:r>
      <w:r w:rsidR="00526527">
        <w:rPr>
          <w:rFonts w:ascii="Times New Roman" w:hAnsi="Times New Roman" w:cs="Times New Roman"/>
          <w:color w:val="000000"/>
        </w:rPr>
        <w:t>)</w:t>
      </w:r>
      <w:r w:rsidRPr="00807BAB">
        <w:rPr>
          <w:rFonts w:ascii="Times New Roman" w:hAnsi="Times New Roman" w:cs="Times New Roman"/>
          <w:color w:val="000000"/>
        </w:rPr>
        <w:t>.</w:t>
      </w:r>
    </w:p>
    <w:p w14:paraId="1CF6A5E5" w14:textId="4106A45A" w:rsidR="00E52F52" w:rsidRDefault="00E52F52" w:rsidP="00D67EC8">
      <w:pPr>
        <w:spacing w:line="480" w:lineRule="auto"/>
        <w:rPr>
          <w:rFonts w:ascii="Times New Roman" w:hAnsi="Times New Roman" w:cs="Times New Roman"/>
          <w:color w:val="000000"/>
        </w:rPr>
      </w:pPr>
      <w:r>
        <w:rPr>
          <w:rFonts w:ascii="Times New Roman" w:hAnsi="Times New Roman" w:cs="Times New Roman"/>
          <w:color w:val="000000"/>
        </w:rPr>
        <w:t>Department for Business, Innovation and Skills (2014)</w:t>
      </w:r>
      <w:r w:rsidR="00526527">
        <w:rPr>
          <w:rFonts w:ascii="Times New Roman" w:hAnsi="Times New Roman" w:cs="Times New Roman"/>
          <w:color w:val="000000"/>
        </w:rPr>
        <w:t>,</w:t>
      </w:r>
      <w:r>
        <w:rPr>
          <w:rFonts w:ascii="Times New Roman" w:hAnsi="Times New Roman" w:cs="Times New Roman"/>
          <w:color w:val="000000"/>
        </w:rPr>
        <w:t xml:space="preserve"> </w:t>
      </w:r>
      <w:r w:rsidRPr="00E52F52">
        <w:rPr>
          <w:rFonts w:ascii="Times New Roman" w:hAnsi="Times New Roman" w:cs="Times New Roman"/>
          <w:i/>
          <w:color w:val="000000"/>
        </w:rPr>
        <w:t>Regulators</w:t>
      </w:r>
      <w:r>
        <w:rPr>
          <w:rFonts w:ascii="Times New Roman" w:hAnsi="Times New Roman" w:cs="Times New Roman"/>
          <w:i/>
          <w:color w:val="000000"/>
        </w:rPr>
        <w:t>’</w:t>
      </w:r>
      <w:r w:rsidRPr="00E52F52">
        <w:rPr>
          <w:rFonts w:ascii="Times New Roman" w:hAnsi="Times New Roman" w:cs="Times New Roman"/>
          <w:i/>
          <w:color w:val="000000"/>
        </w:rPr>
        <w:t xml:space="preserve"> Code.</w:t>
      </w:r>
      <w:r w:rsidRPr="00E52F52">
        <w:t xml:space="preserve"> </w:t>
      </w:r>
      <w:hyperlink r:id="rId11" w:history="1">
        <w:r w:rsidR="00F93FAF" w:rsidRPr="00034CF6">
          <w:rPr>
            <w:rStyle w:val="Hyperlink"/>
            <w:rFonts w:ascii="Times New Roman" w:hAnsi="Times New Roman" w:cs="Times New Roman"/>
          </w:rPr>
          <w:t>https://www.gov.uk/government/publications/regulators-code</w:t>
        </w:r>
      </w:hyperlink>
    </w:p>
    <w:p w14:paraId="69AA9432" w14:textId="637E3811" w:rsidR="00F93FAF" w:rsidRPr="00E52F52" w:rsidRDefault="00F93FAF" w:rsidP="00D67EC8">
      <w:pPr>
        <w:spacing w:line="480" w:lineRule="auto"/>
        <w:rPr>
          <w:rFonts w:ascii="Times New Roman" w:hAnsi="Times New Roman" w:cs="Times New Roman"/>
          <w:color w:val="000000"/>
        </w:rPr>
      </w:pPr>
      <w:r>
        <w:rPr>
          <w:rFonts w:ascii="Times New Roman" w:hAnsi="Times New Roman" w:cs="Times New Roman"/>
          <w:color w:val="000000"/>
        </w:rPr>
        <w:t xml:space="preserve">Degryse, C., Jepsen, M. and Pochet, P. (2013), </w:t>
      </w:r>
      <w:r w:rsidRPr="00B712C2">
        <w:rPr>
          <w:rFonts w:ascii="Times New Roman" w:hAnsi="Times New Roman" w:cs="Times New Roman"/>
          <w:i/>
          <w:color w:val="000000"/>
        </w:rPr>
        <w:t>The Euro Crisis and its Impact on National and European Social Policies</w:t>
      </w:r>
      <w:r>
        <w:rPr>
          <w:rFonts w:ascii="Times New Roman" w:hAnsi="Times New Roman" w:cs="Times New Roman"/>
          <w:color w:val="000000"/>
        </w:rPr>
        <w:t>, European Trade Union Institute Working Paper 2013.05 (Brussels: ETUI)</w:t>
      </w:r>
    </w:p>
    <w:p w14:paraId="7AEAD0F9" w14:textId="1A1E8680" w:rsidR="009C561E" w:rsidRDefault="009C561E" w:rsidP="00D67EC8">
      <w:pPr>
        <w:spacing w:line="480" w:lineRule="auto"/>
        <w:rPr>
          <w:rFonts w:ascii="Times New Roman" w:hAnsi="Times New Roman" w:cs="Times New Roman"/>
          <w:color w:val="000000"/>
        </w:rPr>
      </w:pPr>
      <w:r>
        <w:rPr>
          <w:rFonts w:ascii="Times New Roman" w:hAnsi="Times New Roman" w:cs="Times New Roman"/>
          <w:color w:val="000000"/>
        </w:rPr>
        <w:lastRenderedPageBreak/>
        <w:t xml:space="preserve">Dickens, L. </w:t>
      </w:r>
      <w:r w:rsidR="00271CD4">
        <w:rPr>
          <w:rFonts w:ascii="Times New Roman" w:hAnsi="Times New Roman" w:cs="Times New Roman"/>
          <w:color w:val="000000"/>
        </w:rPr>
        <w:t>(Ed.) (2012</w:t>
      </w:r>
      <w:r w:rsidR="00271CD4" w:rsidRPr="00526527">
        <w:rPr>
          <w:rFonts w:ascii="Times New Roman" w:hAnsi="Times New Roman" w:cs="Times New Roman"/>
          <w:color w:val="000000"/>
        </w:rPr>
        <w:t>)</w:t>
      </w:r>
      <w:r w:rsidR="00526527" w:rsidRPr="00526527">
        <w:rPr>
          <w:rFonts w:ascii="Times New Roman" w:hAnsi="Times New Roman" w:cs="Times New Roman"/>
          <w:color w:val="000000"/>
        </w:rPr>
        <w:t>,</w:t>
      </w:r>
      <w:r w:rsidR="00271CD4" w:rsidRPr="00271CD4">
        <w:rPr>
          <w:rFonts w:ascii="Times New Roman" w:hAnsi="Times New Roman" w:cs="Times New Roman"/>
          <w:i/>
          <w:color w:val="000000"/>
        </w:rPr>
        <w:t xml:space="preserve"> Making Employment Rights Effective: Issue of Enforcement and Compliance</w:t>
      </w:r>
      <w:r w:rsidR="00526527">
        <w:rPr>
          <w:rFonts w:ascii="Times New Roman" w:hAnsi="Times New Roman" w:cs="Times New Roman"/>
          <w:i/>
          <w:color w:val="000000"/>
        </w:rPr>
        <w:t xml:space="preserve"> (</w:t>
      </w:r>
      <w:r w:rsidR="00271CD4">
        <w:rPr>
          <w:rFonts w:ascii="Times New Roman" w:hAnsi="Times New Roman" w:cs="Times New Roman"/>
          <w:color w:val="000000"/>
        </w:rPr>
        <w:t>Oxford: Hart</w:t>
      </w:r>
      <w:r w:rsidR="00526527">
        <w:rPr>
          <w:rFonts w:ascii="Times New Roman" w:hAnsi="Times New Roman" w:cs="Times New Roman"/>
          <w:color w:val="000000"/>
        </w:rPr>
        <w:t>)</w:t>
      </w:r>
      <w:r w:rsidR="00271CD4">
        <w:rPr>
          <w:rFonts w:ascii="Times New Roman" w:hAnsi="Times New Roman" w:cs="Times New Roman"/>
          <w:color w:val="000000"/>
        </w:rPr>
        <w:t>.</w:t>
      </w:r>
    </w:p>
    <w:p w14:paraId="1FA90E69" w14:textId="3C131708" w:rsidR="00F16B5B" w:rsidRPr="003024E8" w:rsidRDefault="00F16B5B" w:rsidP="00D67EC8">
      <w:pPr>
        <w:spacing w:line="480" w:lineRule="auto"/>
        <w:rPr>
          <w:rFonts w:ascii="Times New Roman" w:hAnsi="Times New Roman" w:cs="Times New Roman"/>
        </w:rPr>
      </w:pPr>
      <w:r w:rsidRPr="003024E8">
        <w:rPr>
          <w:rFonts w:ascii="Times New Roman" w:hAnsi="Times New Roman" w:cs="Times New Roman"/>
        </w:rPr>
        <w:t xml:space="preserve">Eichhorst, W. </w:t>
      </w:r>
      <w:r w:rsidR="00526527">
        <w:rPr>
          <w:rFonts w:ascii="Times New Roman" w:hAnsi="Times New Roman" w:cs="Times New Roman"/>
        </w:rPr>
        <w:t>a</w:t>
      </w:r>
      <w:r w:rsidRPr="003024E8">
        <w:rPr>
          <w:rFonts w:ascii="Times New Roman" w:hAnsi="Times New Roman" w:cs="Times New Roman"/>
        </w:rPr>
        <w:t>nd Marx, P. (2011)</w:t>
      </w:r>
      <w:r w:rsidR="00526527">
        <w:rPr>
          <w:rFonts w:ascii="Times New Roman" w:hAnsi="Times New Roman" w:cs="Times New Roman"/>
        </w:rPr>
        <w:t>,</w:t>
      </w:r>
      <w:r w:rsidRPr="003024E8">
        <w:rPr>
          <w:rFonts w:ascii="Times New Roman" w:hAnsi="Times New Roman" w:cs="Times New Roman"/>
        </w:rPr>
        <w:t xml:space="preserve"> ‘Reforming German </w:t>
      </w:r>
      <w:r w:rsidR="00526527">
        <w:rPr>
          <w:rFonts w:ascii="Times New Roman" w:hAnsi="Times New Roman" w:cs="Times New Roman"/>
        </w:rPr>
        <w:t>L</w:t>
      </w:r>
      <w:r w:rsidRPr="003024E8">
        <w:rPr>
          <w:rFonts w:ascii="Times New Roman" w:hAnsi="Times New Roman" w:cs="Times New Roman"/>
        </w:rPr>
        <w:t xml:space="preserve">abour </w:t>
      </w:r>
      <w:r w:rsidR="00526527">
        <w:rPr>
          <w:rFonts w:ascii="Times New Roman" w:hAnsi="Times New Roman" w:cs="Times New Roman"/>
        </w:rPr>
        <w:t>M</w:t>
      </w:r>
      <w:r w:rsidRPr="003024E8">
        <w:rPr>
          <w:rFonts w:ascii="Times New Roman" w:hAnsi="Times New Roman" w:cs="Times New Roman"/>
        </w:rPr>
        <w:t xml:space="preserve">arket </w:t>
      </w:r>
      <w:r w:rsidR="00526527">
        <w:rPr>
          <w:rFonts w:ascii="Times New Roman" w:hAnsi="Times New Roman" w:cs="Times New Roman"/>
        </w:rPr>
        <w:t>I</w:t>
      </w:r>
      <w:r w:rsidRPr="003024E8">
        <w:rPr>
          <w:rFonts w:ascii="Times New Roman" w:hAnsi="Times New Roman" w:cs="Times New Roman"/>
        </w:rPr>
        <w:t xml:space="preserve">nstitutions: </w:t>
      </w:r>
      <w:r w:rsidR="00526527">
        <w:rPr>
          <w:rFonts w:ascii="Times New Roman" w:hAnsi="Times New Roman" w:cs="Times New Roman"/>
        </w:rPr>
        <w:t>A</w:t>
      </w:r>
      <w:r w:rsidRPr="003024E8">
        <w:rPr>
          <w:rFonts w:ascii="Times New Roman" w:hAnsi="Times New Roman" w:cs="Times New Roman"/>
        </w:rPr>
        <w:t xml:space="preserve"> </w:t>
      </w:r>
      <w:r w:rsidR="00526527">
        <w:rPr>
          <w:rFonts w:ascii="Times New Roman" w:hAnsi="Times New Roman" w:cs="Times New Roman"/>
        </w:rPr>
        <w:t>D</w:t>
      </w:r>
      <w:r w:rsidRPr="003024E8">
        <w:rPr>
          <w:rFonts w:ascii="Times New Roman" w:hAnsi="Times New Roman" w:cs="Times New Roman"/>
        </w:rPr>
        <w:t xml:space="preserve">ual </w:t>
      </w:r>
      <w:r w:rsidR="00526527">
        <w:rPr>
          <w:rFonts w:ascii="Times New Roman" w:hAnsi="Times New Roman" w:cs="Times New Roman"/>
        </w:rPr>
        <w:t>P</w:t>
      </w:r>
      <w:r w:rsidRPr="003024E8">
        <w:rPr>
          <w:rFonts w:ascii="Times New Roman" w:hAnsi="Times New Roman" w:cs="Times New Roman"/>
        </w:rPr>
        <w:t xml:space="preserve">ath to </w:t>
      </w:r>
      <w:r w:rsidR="00526527">
        <w:rPr>
          <w:rFonts w:ascii="Times New Roman" w:hAnsi="Times New Roman" w:cs="Times New Roman"/>
        </w:rPr>
        <w:t>F</w:t>
      </w:r>
      <w:r w:rsidRPr="003024E8">
        <w:rPr>
          <w:rFonts w:ascii="Times New Roman" w:hAnsi="Times New Roman" w:cs="Times New Roman"/>
        </w:rPr>
        <w:t xml:space="preserve">lexibility’, </w:t>
      </w:r>
      <w:r w:rsidRPr="003024E8">
        <w:rPr>
          <w:rFonts w:ascii="Times New Roman" w:hAnsi="Times New Roman" w:cs="Times New Roman"/>
          <w:i/>
        </w:rPr>
        <w:t>Journal of European Social Policy</w:t>
      </w:r>
      <w:r w:rsidRPr="003024E8">
        <w:rPr>
          <w:rFonts w:ascii="Times New Roman" w:hAnsi="Times New Roman" w:cs="Times New Roman"/>
        </w:rPr>
        <w:t>, 21, 1</w:t>
      </w:r>
      <w:r w:rsidR="00526527">
        <w:rPr>
          <w:rFonts w:ascii="Times New Roman" w:hAnsi="Times New Roman" w:cs="Times New Roman"/>
        </w:rPr>
        <w:t>,</w:t>
      </w:r>
      <w:r w:rsidRPr="003024E8">
        <w:rPr>
          <w:rFonts w:ascii="Times New Roman" w:hAnsi="Times New Roman" w:cs="Times New Roman"/>
        </w:rPr>
        <w:t xml:space="preserve"> 73-87.</w:t>
      </w:r>
    </w:p>
    <w:p w14:paraId="5AFD57C7" w14:textId="0902ABEB" w:rsidR="000F0E7D" w:rsidRDefault="000F0E7D" w:rsidP="00D67EC8">
      <w:pPr>
        <w:spacing w:line="480" w:lineRule="auto"/>
        <w:rPr>
          <w:rFonts w:ascii="Times New Roman" w:hAnsi="Times New Roman" w:cs="Times New Roman"/>
        </w:rPr>
      </w:pPr>
      <w:r w:rsidRPr="00807BAB">
        <w:rPr>
          <w:rFonts w:ascii="Times New Roman" w:hAnsi="Times New Roman" w:cs="Times New Roman"/>
        </w:rPr>
        <w:t>Elmeskov, M.J. and Scarpetta, S. (1998)</w:t>
      </w:r>
      <w:r w:rsidR="00526527">
        <w:rPr>
          <w:rFonts w:ascii="Times New Roman" w:hAnsi="Times New Roman" w:cs="Times New Roman"/>
        </w:rPr>
        <w:t>,</w:t>
      </w:r>
      <w:r w:rsidRPr="00807BAB">
        <w:rPr>
          <w:rFonts w:ascii="Times New Roman" w:hAnsi="Times New Roman" w:cs="Times New Roman"/>
        </w:rPr>
        <w:t xml:space="preserve"> ‘Key </w:t>
      </w:r>
      <w:r w:rsidR="00526527">
        <w:rPr>
          <w:rFonts w:ascii="Times New Roman" w:hAnsi="Times New Roman" w:cs="Times New Roman"/>
        </w:rPr>
        <w:t>L</w:t>
      </w:r>
      <w:r w:rsidRPr="00807BAB">
        <w:rPr>
          <w:rFonts w:ascii="Times New Roman" w:hAnsi="Times New Roman" w:cs="Times New Roman"/>
        </w:rPr>
        <w:t xml:space="preserve">essons for </w:t>
      </w:r>
      <w:r w:rsidR="00526527">
        <w:rPr>
          <w:rFonts w:ascii="Times New Roman" w:hAnsi="Times New Roman" w:cs="Times New Roman"/>
        </w:rPr>
        <w:t>La</w:t>
      </w:r>
      <w:r w:rsidRPr="00807BAB">
        <w:rPr>
          <w:rFonts w:ascii="Times New Roman" w:hAnsi="Times New Roman" w:cs="Times New Roman"/>
        </w:rPr>
        <w:t xml:space="preserve">bor </w:t>
      </w:r>
      <w:r w:rsidR="00526527">
        <w:rPr>
          <w:rFonts w:ascii="Times New Roman" w:hAnsi="Times New Roman" w:cs="Times New Roman"/>
        </w:rPr>
        <w:t>M</w:t>
      </w:r>
      <w:r w:rsidRPr="00807BAB">
        <w:rPr>
          <w:rFonts w:ascii="Times New Roman" w:hAnsi="Times New Roman" w:cs="Times New Roman"/>
        </w:rPr>
        <w:t xml:space="preserve">arket </w:t>
      </w:r>
      <w:r w:rsidR="00526527">
        <w:rPr>
          <w:rFonts w:ascii="Times New Roman" w:hAnsi="Times New Roman" w:cs="Times New Roman"/>
        </w:rPr>
        <w:t>R</w:t>
      </w:r>
      <w:r w:rsidRPr="00807BAB">
        <w:rPr>
          <w:rFonts w:ascii="Times New Roman" w:hAnsi="Times New Roman" w:cs="Times New Roman"/>
        </w:rPr>
        <w:t xml:space="preserve">eforms: </w:t>
      </w:r>
      <w:r w:rsidR="00526527">
        <w:rPr>
          <w:rFonts w:ascii="Times New Roman" w:hAnsi="Times New Roman" w:cs="Times New Roman"/>
        </w:rPr>
        <w:t>E</w:t>
      </w:r>
      <w:r w:rsidRPr="00807BAB">
        <w:rPr>
          <w:rFonts w:ascii="Times New Roman" w:hAnsi="Times New Roman" w:cs="Times New Roman"/>
        </w:rPr>
        <w:t xml:space="preserve">vidence from OECD </w:t>
      </w:r>
      <w:r w:rsidR="00526527">
        <w:rPr>
          <w:rFonts w:ascii="Times New Roman" w:hAnsi="Times New Roman" w:cs="Times New Roman"/>
        </w:rPr>
        <w:t>C</w:t>
      </w:r>
      <w:r w:rsidRPr="00807BAB">
        <w:rPr>
          <w:rFonts w:ascii="Times New Roman" w:hAnsi="Times New Roman" w:cs="Times New Roman"/>
        </w:rPr>
        <w:t xml:space="preserve">ountries </w:t>
      </w:r>
      <w:r w:rsidR="00526527">
        <w:rPr>
          <w:rFonts w:ascii="Times New Roman" w:hAnsi="Times New Roman" w:cs="Times New Roman"/>
        </w:rPr>
        <w:t>E</w:t>
      </w:r>
      <w:r w:rsidRPr="00807BAB">
        <w:rPr>
          <w:rFonts w:ascii="Times New Roman" w:hAnsi="Times New Roman" w:cs="Times New Roman"/>
        </w:rPr>
        <w:t xml:space="preserve">xperience’. </w:t>
      </w:r>
      <w:r w:rsidRPr="00807BAB">
        <w:rPr>
          <w:rFonts w:ascii="Times New Roman" w:hAnsi="Times New Roman" w:cs="Times New Roman"/>
          <w:i/>
        </w:rPr>
        <w:t>Swedish Economic Policy Review</w:t>
      </w:r>
      <w:r w:rsidRPr="00807BAB">
        <w:rPr>
          <w:rFonts w:ascii="Times New Roman" w:hAnsi="Times New Roman" w:cs="Times New Roman"/>
        </w:rPr>
        <w:t>, 5, 2</w:t>
      </w:r>
      <w:r w:rsidR="00526527">
        <w:rPr>
          <w:rFonts w:ascii="Times New Roman" w:hAnsi="Times New Roman" w:cs="Times New Roman"/>
        </w:rPr>
        <w:t>,</w:t>
      </w:r>
      <w:r w:rsidRPr="00807BAB">
        <w:rPr>
          <w:rFonts w:ascii="Times New Roman" w:hAnsi="Times New Roman" w:cs="Times New Roman"/>
        </w:rPr>
        <w:t xml:space="preserve"> 205-252.</w:t>
      </w:r>
    </w:p>
    <w:p w14:paraId="62A0EB43" w14:textId="378088D3" w:rsidR="00F16B5B" w:rsidRPr="003024E8" w:rsidRDefault="00F16B5B" w:rsidP="00D67EC8">
      <w:pPr>
        <w:spacing w:line="480" w:lineRule="auto"/>
        <w:rPr>
          <w:rFonts w:ascii="Times New Roman" w:hAnsi="Times New Roman" w:cs="Times New Roman"/>
        </w:rPr>
      </w:pPr>
      <w:r w:rsidRPr="00CB4FA1">
        <w:rPr>
          <w:rFonts w:ascii="Times New Roman" w:hAnsi="Times New Roman" w:cs="Times New Roman"/>
        </w:rPr>
        <w:t>EPSCO (2011)</w:t>
      </w:r>
      <w:r w:rsidR="00526527">
        <w:rPr>
          <w:rFonts w:ascii="Times New Roman" w:hAnsi="Times New Roman" w:cs="Times New Roman"/>
        </w:rPr>
        <w:t>,</w:t>
      </w:r>
      <w:r w:rsidRPr="00CB4FA1">
        <w:rPr>
          <w:rFonts w:ascii="Times New Roman" w:hAnsi="Times New Roman" w:cs="Times New Roman"/>
          <w:i/>
        </w:rPr>
        <w:t xml:space="preserve"> Joint Employment Report. </w:t>
      </w:r>
      <w:r w:rsidRPr="00CB4FA1">
        <w:rPr>
          <w:rFonts w:ascii="Times New Roman" w:hAnsi="Times New Roman" w:cs="Times New Roman"/>
        </w:rPr>
        <w:t>Available at :</w:t>
      </w:r>
      <w:hyperlink r:id="rId12" w:history="1">
        <w:r w:rsidRPr="00CB4FA1">
          <w:rPr>
            <w:rStyle w:val="Hyperlink"/>
            <w:rFonts w:ascii="Times New Roman" w:hAnsi="Times New Roman" w:cs="Times New Roman"/>
          </w:rPr>
          <w:t>http://register.consilium.europa.eu/pdf/en/11/st07/st07396.en11.pdf</w:t>
        </w:r>
      </w:hyperlink>
      <w:r w:rsidRPr="003024E8">
        <w:rPr>
          <w:rFonts w:ascii="Times New Roman" w:hAnsi="Times New Roman" w:cs="Times New Roman"/>
        </w:rPr>
        <w:t xml:space="preserve">. </w:t>
      </w:r>
    </w:p>
    <w:p w14:paraId="54A5EE83" w14:textId="52D25752" w:rsidR="00F16B5B" w:rsidRDefault="00F16B5B" w:rsidP="00D67EC8">
      <w:pPr>
        <w:spacing w:line="480" w:lineRule="auto"/>
        <w:rPr>
          <w:rFonts w:ascii="Times New Roman" w:hAnsi="Times New Roman"/>
          <w:color w:val="231F20"/>
          <w:lang w:eastAsia="en-GB"/>
        </w:rPr>
      </w:pPr>
      <w:r w:rsidRPr="00AD38F3">
        <w:rPr>
          <w:rFonts w:ascii="Times New Roman" w:hAnsi="Times New Roman"/>
        </w:rPr>
        <w:t>European Commission (2007)</w:t>
      </w:r>
      <w:r w:rsidR="00526527">
        <w:rPr>
          <w:rFonts w:ascii="Times New Roman" w:hAnsi="Times New Roman"/>
        </w:rPr>
        <w:t>,</w:t>
      </w:r>
      <w:r w:rsidRPr="00AD38F3">
        <w:rPr>
          <w:rFonts w:ascii="Times New Roman" w:hAnsi="Times New Roman"/>
        </w:rPr>
        <w:t xml:space="preserve"> </w:t>
      </w:r>
      <w:r w:rsidRPr="00AD38F3">
        <w:rPr>
          <w:rFonts w:ascii="Times New Roman" w:hAnsi="Times New Roman"/>
          <w:i/>
        </w:rPr>
        <w:t>Towards Common Principles of Flexicurity: More and Better Jobs Through Flexibility and Security</w:t>
      </w:r>
      <w:r w:rsidRPr="00AD38F3">
        <w:rPr>
          <w:rFonts w:ascii="Times New Roman" w:hAnsi="Times New Roman"/>
        </w:rPr>
        <w:t xml:space="preserve"> </w:t>
      </w:r>
      <w:r w:rsidR="00526527">
        <w:rPr>
          <w:rFonts w:ascii="Times New Roman" w:hAnsi="Times New Roman"/>
        </w:rPr>
        <w:t>(</w:t>
      </w:r>
      <w:r w:rsidRPr="00AD38F3">
        <w:rPr>
          <w:rFonts w:ascii="Times New Roman" w:hAnsi="Times New Roman"/>
          <w:color w:val="231F20"/>
          <w:lang w:eastAsia="en-GB"/>
        </w:rPr>
        <w:t>Luxembourg</w:t>
      </w:r>
      <w:r w:rsidR="00526527">
        <w:rPr>
          <w:rFonts w:ascii="Times New Roman" w:hAnsi="Times New Roman"/>
          <w:color w:val="231F20"/>
          <w:lang w:eastAsia="en-GB"/>
        </w:rPr>
        <w:t>,</w:t>
      </w:r>
      <w:r w:rsidRPr="00AD38F3">
        <w:rPr>
          <w:rFonts w:ascii="Times New Roman" w:hAnsi="Times New Roman"/>
          <w:color w:val="231F20"/>
          <w:lang w:eastAsia="en-GB"/>
        </w:rPr>
        <w:t xml:space="preserve"> Office for Official Publications of the European Communities</w:t>
      </w:r>
      <w:r w:rsidR="00526527">
        <w:rPr>
          <w:rFonts w:ascii="Times New Roman" w:hAnsi="Times New Roman"/>
          <w:color w:val="231F20"/>
          <w:lang w:eastAsia="en-GB"/>
        </w:rPr>
        <w:t>)</w:t>
      </w:r>
      <w:r w:rsidRPr="00AD38F3">
        <w:rPr>
          <w:rFonts w:ascii="Times New Roman" w:hAnsi="Times New Roman"/>
          <w:color w:val="231F20"/>
          <w:lang w:eastAsia="en-GB"/>
        </w:rPr>
        <w:t>.</w:t>
      </w:r>
    </w:p>
    <w:p w14:paraId="7CAC1C8D" w14:textId="49690FEC" w:rsidR="00B01CE6" w:rsidRDefault="00B01CE6" w:rsidP="00D67EC8">
      <w:pPr>
        <w:spacing w:line="480" w:lineRule="auto"/>
        <w:rPr>
          <w:rFonts w:ascii="Times New Roman" w:hAnsi="Times New Roman" w:cs="Times New Roman"/>
        </w:rPr>
      </w:pPr>
      <w:r>
        <w:rPr>
          <w:rFonts w:ascii="Times New Roman" w:hAnsi="Times New Roman" w:cs="Times New Roman"/>
        </w:rPr>
        <w:t>European Commission (2012)</w:t>
      </w:r>
      <w:r w:rsidR="00526527">
        <w:rPr>
          <w:rFonts w:ascii="Times New Roman" w:hAnsi="Times New Roman" w:cs="Times New Roman"/>
        </w:rPr>
        <w:t>,</w:t>
      </w:r>
      <w:r>
        <w:rPr>
          <w:rFonts w:ascii="Times New Roman" w:hAnsi="Times New Roman" w:cs="Times New Roman"/>
        </w:rPr>
        <w:t xml:space="preserve"> </w:t>
      </w:r>
      <w:r w:rsidRPr="00B01CE6">
        <w:rPr>
          <w:rFonts w:ascii="Times New Roman" w:hAnsi="Times New Roman" w:cs="Times New Roman"/>
          <w:i/>
        </w:rPr>
        <w:t>Labour Market Developments in Europe 2012</w:t>
      </w:r>
      <w:r>
        <w:rPr>
          <w:rFonts w:ascii="Times New Roman" w:hAnsi="Times New Roman" w:cs="Times New Roman"/>
        </w:rPr>
        <w:t xml:space="preserve">, European Economy 5/2012 </w:t>
      </w:r>
      <w:r w:rsidR="00526527">
        <w:rPr>
          <w:rFonts w:ascii="Times New Roman" w:hAnsi="Times New Roman" w:cs="Times New Roman"/>
        </w:rPr>
        <w:t>(</w:t>
      </w:r>
      <w:r>
        <w:rPr>
          <w:rFonts w:ascii="Times New Roman" w:hAnsi="Times New Roman" w:cs="Times New Roman"/>
        </w:rPr>
        <w:t>Luxembourg</w:t>
      </w:r>
      <w:r w:rsidR="00526527">
        <w:rPr>
          <w:rFonts w:ascii="Times New Roman" w:hAnsi="Times New Roman" w:cs="Times New Roman"/>
        </w:rPr>
        <w:t>,</w:t>
      </w:r>
      <w:r>
        <w:rPr>
          <w:rFonts w:ascii="Times New Roman" w:hAnsi="Times New Roman" w:cs="Times New Roman"/>
        </w:rPr>
        <w:t xml:space="preserve"> Publications Office of the European Union</w:t>
      </w:r>
      <w:r w:rsidR="00526527">
        <w:rPr>
          <w:rFonts w:ascii="Times New Roman" w:hAnsi="Times New Roman" w:cs="Times New Roman"/>
        </w:rPr>
        <w:t>)</w:t>
      </w:r>
      <w:r>
        <w:rPr>
          <w:rFonts w:ascii="Times New Roman" w:hAnsi="Times New Roman" w:cs="Times New Roman"/>
        </w:rPr>
        <w:t>.</w:t>
      </w:r>
    </w:p>
    <w:p w14:paraId="14FD8BB0" w14:textId="2836BBF9" w:rsidR="00DA40E7" w:rsidRDefault="00DA40E7" w:rsidP="00DA40E7">
      <w:pPr>
        <w:spacing w:line="480" w:lineRule="auto"/>
        <w:ind w:hanging="11"/>
        <w:rPr>
          <w:rFonts w:ascii="Times New Roman" w:hAnsi="Times New Roman"/>
        </w:rPr>
      </w:pPr>
      <w:r>
        <w:rPr>
          <w:rFonts w:ascii="Times New Roman" w:hAnsi="Times New Roman"/>
        </w:rPr>
        <w:t xml:space="preserve">European Trade Union Confederation (ETUC) (2011), </w:t>
      </w:r>
      <w:r w:rsidRPr="00361999">
        <w:rPr>
          <w:rFonts w:ascii="Times New Roman" w:hAnsi="Times New Roman"/>
          <w:i/>
        </w:rPr>
        <w:t>The Athens Manifesto</w:t>
      </w:r>
      <w:r>
        <w:rPr>
          <w:rFonts w:ascii="Times New Roman" w:hAnsi="Times New Roman"/>
        </w:rPr>
        <w:t xml:space="preserve">. Available at: </w:t>
      </w:r>
      <w:hyperlink r:id="rId13" w:history="1">
        <w:r w:rsidRPr="00296B65">
          <w:rPr>
            <w:rStyle w:val="Hyperlink"/>
            <w:rFonts w:ascii="Times New Roman" w:hAnsi="Times New Roman"/>
          </w:rPr>
          <w:t>http://www.etuc.org/a/8747</w:t>
        </w:r>
      </w:hyperlink>
      <w:r>
        <w:rPr>
          <w:rFonts w:ascii="Times New Roman" w:hAnsi="Times New Roman"/>
        </w:rPr>
        <w:t>.</w:t>
      </w:r>
    </w:p>
    <w:p w14:paraId="4A1F2985" w14:textId="53C2F663" w:rsidR="0011177C" w:rsidRDefault="0011177C" w:rsidP="00D67EC8">
      <w:pPr>
        <w:spacing w:line="480" w:lineRule="auto"/>
        <w:rPr>
          <w:rFonts w:ascii="Times New Roman" w:eastAsia="Calibri" w:hAnsi="Times New Roman" w:cs="Times New Roman"/>
        </w:rPr>
      </w:pPr>
      <w:r>
        <w:rPr>
          <w:rFonts w:ascii="Times New Roman" w:eastAsia="Calibri" w:hAnsi="Times New Roman" w:cs="Times New Roman"/>
        </w:rPr>
        <w:t>Grubb, D. (2007)</w:t>
      </w:r>
      <w:r w:rsidR="00526527">
        <w:rPr>
          <w:rFonts w:ascii="Times New Roman" w:eastAsia="Calibri" w:hAnsi="Times New Roman" w:cs="Times New Roman"/>
        </w:rPr>
        <w:t>,</w:t>
      </w:r>
      <w:r>
        <w:rPr>
          <w:rFonts w:ascii="Times New Roman" w:eastAsia="Calibri" w:hAnsi="Times New Roman" w:cs="Times New Roman"/>
        </w:rPr>
        <w:t xml:space="preserve"> </w:t>
      </w:r>
      <w:r w:rsidRPr="00526527">
        <w:rPr>
          <w:rFonts w:ascii="Times New Roman" w:eastAsia="Calibri" w:hAnsi="Times New Roman" w:cs="Times New Roman"/>
          <w:i/>
        </w:rPr>
        <w:t xml:space="preserve">Labour </w:t>
      </w:r>
      <w:r w:rsidR="00526527" w:rsidRPr="00526527">
        <w:rPr>
          <w:rFonts w:ascii="Times New Roman" w:eastAsia="Calibri" w:hAnsi="Times New Roman" w:cs="Times New Roman"/>
          <w:i/>
        </w:rPr>
        <w:t>M</w:t>
      </w:r>
      <w:r w:rsidRPr="00526527">
        <w:rPr>
          <w:rFonts w:ascii="Times New Roman" w:eastAsia="Calibri" w:hAnsi="Times New Roman" w:cs="Times New Roman"/>
          <w:i/>
        </w:rPr>
        <w:t xml:space="preserve">arket </w:t>
      </w:r>
      <w:r w:rsidR="00526527" w:rsidRPr="00526527">
        <w:rPr>
          <w:rFonts w:ascii="Times New Roman" w:eastAsia="Calibri" w:hAnsi="Times New Roman" w:cs="Times New Roman"/>
          <w:i/>
        </w:rPr>
        <w:t>P</w:t>
      </w:r>
      <w:r w:rsidRPr="00526527">
        <w:rPr>
          <w:rFonts w:ascii="Times New Roman" w:eastAsia="Calibri" w:hAnsi="Times New Roman" w:cs="Times New Roman"/>
          <w:i/>
        </w:rPr>
        <w:t xml:space="preserve">olicies at </w:t>
      </w:r>
      <w:r w:rsidR="00526527" w:rsidRPr="00526527">
        <w:rPr>
          <w:rFonts w:ascii="Times New Roman" w:eastAsia="Calibri" w:hAnsi="Times New Roman" w:cs="Times New Roman"/>
          <w:i/>
        </w:rPr>
        <w:t>D</w:t>
      </w:r>
      <w:r w:rsidRPr="00526527">
        <w:rPr>
          <w:rFonts w:ascii="Times New Roman" w:eastAsia="Calibri" w:hAnsi="Times New Roman" w:cs="Times New Roman"/>
          <w:i/>
        </w:rPr>
        <w:t xml:space="preserve">ifferent </w:t>
      </w:r>
      <w:r w:rsidR="00526527" w:rsidRPr="00526527">
        <w:rPr>
          <w:rFonts w:ascii="Times New Roman" w:eastAsia="Calibri" w:hAnsi="Times New Roman" w:cs="Times New Roman"/>
          <w:i/>
        </w:rPr>
        <w:t>B</w:t>
      </w:r>
      <w:r w:rsidRPr="00526527">
        <w:rPr>
          <w:rFonts w:ascii="Times New Roman" w:eastAsia="Calibri" w:hAnsi="Times New Roman" w:cs="Times New Roman"/>
          <w:i/>
        </w:rPr>
        <w:t xml:space="preserve">enefit </w:t>
      </w:r>
      <w:r w:rsidR="00526527" w:rsidRPr="00526527">
        <w:rPr>
          <w:rFonts w:ascii="Times New Roman" w:eastAsia="Calibri" w:hAnsi="Times New Roman" w:cs="Times New Roman"/>
          <w:i/>
        </w:rPr>
        <w:t>R</w:t>
      </w:r>
      <w:r w:rsidRPr="00526527">
        <w:rPr>
          <w:rFonts w:ascii="Times New Roman" w:eastAsia="Calibri" w:hAnsi="Times New Roman" w:cs="Times New Roman"/>
          <w:i/>
        </w:rPr>
        <w:t xml:space="preserve">eplacement </w:t>
      </w:r>
      <w:r w:rsidR="00526527" w:rsidRPr="00526527">
        <w:rPr>
          <w:rFonts w:ascii="Times New Roman" w:eastAsia="Calibri" w:hAnsi="Times New Roman" w:cs="Times New Roman"/>
          <w:i/>
        </w:rPr>
        <w:t>R</w:t>
      </w:r>
      <w:r w:rsidRPr="00526527">
        <w:rPr>
          <w:rFonts w:ascii="Times New Roman" w:eastAsia="Calibri" w:hAnsi="Times New Roman" w:cs="Times New Roman"/>
          <w:i/>
        </w:rPr>
        <w:t>ates</w:t>
      </w:r>
      <w:r w:rsidR="00526527">
        <w:rPr>
          <w:rFonts w:ascii="Times New Roman" w:eastAsia="Calibri" w:hAnsi="Times New Roman" w:cs="Times New Roman"/>
        </w:rPr>
        <w:t>, (</w:t>
      </w:r>
      <w:r>
        <w:rPr>
          <w:rFonts w:ascii="Times New Roman" w:eastAsia="Calibri" w:hAnsi="Times New Roman" w:cs="Times New Roman"/>
        </w:rPr>
        <w:t>Paris</w:t>
      </w:r>
      <w:r w:rsidR="00526527">
        <w:rPr>
          <w:rFonts w:ascii="Times New Roman" w:eastAsia="Calibri" w:hAnsi="Times New Roman" w:cs="Times New Roman"/>
        </w:rPr>
        <w:t>,</w:t>
      </w:r>
      <w:r>
        <w:rPr>
          <w:rFonts w:ascii="Times New Roman" w:eastAsia="Calibri" w:hAnsi="Times New Roman" w:cs="Times New Roman"/>
        </w:rPr>
        <w:t xml:space="preserve"> OECD</w:t>
      </w:r>
      <w:r w:rsidR="00526527">
        <w:rPr>
          <w:rFonts w:ascii="Times New Roman" w:eastAsia="Calibri" w:hAnsi="Times New Roman" w:cs="Times New Roman"/>
        </w:rPr>
        <w:t>)</w:t>
      </w:r>
      <w:r>
        <w:rPr>
          <w:rFonts w:ascii="Times New Roman" w:eastAsia="Calibri" w:hAnsi="Times New Roman" w:cs="Times New Roman"/>
        </w:rPr>
        <w:t>.</w:t>
      </w:r>
    </w:p>
    <w:p w14:paraId="5DBB249E" w14:textId="3A2F42B2" w:rsidR="008030D7" w:rsidRDefault="008030D7" w:rsidP="00D67EC8">
      <w:pPr>
        <w:autoSpaceDE w:val="0"/>
        <w:autoSpaceDN w:val="0"/>
        <w:adjustRightInd w:val="0"/>
        <w:spacing w:after="0" w:afterAutospacing="0" w:line="480" w:lineRule="auto"/>
        <w:rPr>
          <w:rFonts w:ascii="Times New Roman" w:hAnsi="Times New Roman" w:cs="Times New Roman"/>
          <w:bCs/>
        </w:rPr>
      </w:pPr>
      <w:r w:rsidRPr="00CE3966">
        <w:rPr>
          <w:rFonts w:ascii="Times New Roman" w:hAnsi="Times New Roman" w:cs="Times New Roman"/>
          <w:bCs/>
        </w:rPr>
        <w:t>Harcourt, M. and Wood, G. (2007)</w:t>
      </w:r>
      <w:r w:rsidR="00526527" w:rsidRPr="00CE3966">
        <w:rPr>
          <w:rFonts w:ascii="Times New Roman" w:hAnsi="Times New Roman" w:cs="Times New Roman"/>
          <w:bCs/>
        </w:rPr>
        <w:t>,</w:t>
      </w:r>
      <w:r w:rsidRPr="00CE3966">
        <w:rPr>
          <w:rFonts w:ascii="Times New Roman" w:hAnsi="Times New Roman" w:cs="Times New Roman"/>
          <w:bCs/>
        </w:rPr>
        <w:t xml:space="preserve"> ‘The </w:t>
      </w:r>
      <w:r w:rsidR="00526527" w:rsidRPr="00CE3966">
        <w:rPr>
          <w:rFonts w:ascii="Times New Roman" w:hAnsi="Times New Roman" w:cs="Times New Roman"/>
          <w:bCs/>
        </w:rPr>
        <w:t>I</w:t>
      </w:r>
      <w:r w:rsidRPr="00CE3966">
        <w:rPr>
          <w:rFonts w:ascii="Times New Roman" w:hAnsi="Times New Roman" w:cs="Times New Roman"/>
          <w:bCs/>
        </w:rPr>
        <w:t xml:space="preserve">mportance of </w:t>
      </w:r>
      <w:r w:rsidR="00526527" w:rsidRPr="00CE3966">
        <w:rPr>
          <w:rFonts w:ascii="Times New Roman" w:hAnsi="Times New Roman" w:cs="Times New Roman"/>
          <w:bCs/>
        </w:rPr>
        <w:t>E</w:t>
      </w:r>
      <w:r w:rsidRPr="00CE3966">
        <w:rPr>
          <w:rFonts w:ascii="Times New Roman" w:hAnsi="Times New Roman" w:cs="Times New Roman"/>
          <w:bCs/>
        </w:rPr>
        <w:t xml:space="preserve">mployment </w:t>
      </w:r>
      <w:r w:rsidR="00526527" w:rsidRPr="00CE3966">
        <w:rPr>
          <w:rFonts w:ascii="Times New Roman" w:hAnsi="Times New Roman" w:cs="Times New Roman"/>
          <w:bCs/>
        </w:rPr>
        <w:t>P</w:t>
      </w:r>
      <w:r w:rsidRPr="00CE3966">
        <w:rPr>
          <w:rFonts w:ascii="Times New Roman" w:hAnsi="Times New Roman" w:cs="Times New Roman"/>
          <w:bCs/>
        </w:rPr>
        <w:t xml:space="preserve">rotection for </w:t>
      </w:r>
      <w:r w:rsidR="00526527" w:rsidRPr="00CE3966">
        <w:rPr>
          <w:rFonts w:ascii="Times New Roman" w:hAnsi="Times New Roman" w:cs="Times New Roman"/>
          <w:bCs/>
        </w:rPr>
        <w:t>S</w:t>
      </w:r>
      <w:r w:rsidRPr="00CE3966">
        <w:rPr>
          <w:rFonts w:ascii="Times New Roman" w:hAnsi="Times New Roman" w:cs="Times New Roman"/>
          <w:bCs/>
        </w:rPr>
        <w:t xml:space="preserve">kill </w:t>
      </w:r>
      <w:r w:rsidR="00526527" w:rsidRPr="00CE3966">
        <w:rPr>
          <w:rFonts w:ascii="Times New Roman" w:hAnsi="Times New Roman" w:cs="Times New Roman"/>
          <w:bCs/>
        </w:rPr>
        <w:t>D</w:t>
      </w:r>
      <w:r w:rsidRPr="00CE3966">
        <w:rPr>
          <w:rFonts w:ascii="Times New Roman" w:hAnsi="Times New Roman" w:cs="Times New Roman"/>
          <w:bCs/>
        </w:rPr>
        <w:t xml:space="preserve">evelopment in </w:t>
      </w:r>
      <w:r w:rsidR="00526527" w:rsidRPr="00CE3966">
        <w:rPr>
          <w:rFonts w:ascii="Times New Roman" w:hAnsi="Times New Roman" w:cs="Times New Roman"/>
          <w:bCs/>
        </w:rPr>
        <w:t>C</w:t>
      </w:r>
      <w:r w:rsidRPr="00CE3966">
        <w:rPr>
          <w:rFonts w:ascii="Times New Roman" w:hAnsi="Times New Roman" w:cs="Times New Roman"/>
          <w:bCs/>
        </w:rPr>
        <w:t xml:space="preserve">oordinated </w:t>
      </w:r>
      <w:r w:rsidR="00526527" w:rsidRPr="00CE3966">
        <w:rPr>
          <w:rFonts w:ascii="Times New Roman" w:hAnsi="Times New Roman" w:cs="Times New Roman"/>
          <w:bCs/>
        </w:rPr>
        <w:t>M</w:t>
      </w:r>
      <w:r w:rsidRPr="00CE3966">
        <w:rPr>
          <w:rFonts w:ascii="Times New Roman" w:hAnsi="Times New Roman" w:cs="Times New Roman"/>
          <w:bCs/>
        </w:rPr>
        <w:t xml:space="preserve">arket </w:t>
      </w:r>
      <w:r w:rsidR="00526527" w:rsidRPr="00CE3966">
        <w:rPr>
          <w:rFonts w:ascii="Times New Roman" w:hAnsi="Times New Roman" w:cs="Times New Roman"/>
          <w:bCs/>
        </w:rPr>
        <w:t>E</w:t>
      </w:r>
      <w:r w:rsidRPr="00CE3966">
        <w:rPr>
          <w:rFonts w:ascii="Times New Roman" w:hAnsi="Times New Roman" w:cs="Times New Roman"/>
          <w:bCs/>
        </w:rPr>
        <w:t xml:space="preserve">conomies’, </w:t>
      </w:r>
      <w:r w:rsidRPr="00CE3966">
        <w:rPr>
          <w:rFonts w:ascii="Times New Roman" w:hAnsi="Times New Roman" w:cs="Times New Roman"/>
          <w:bCs/>
          <w:i/>
        </w:rPr>
        <w:t>European Journal of Industrial Relations</w:t>
      </w:r>
      <w:r w:rsidRPr="00CE3966">
        <w:rPr>
          <w:rFonts w:ascii="Times New Roman" w:hAnsi="Times New Roman" w:cs="Times New Roman"/>
          <w:bCs/>
        </w:rPr>
        <w:t>, 13, 2</w:t>
      </w:r>
      <w:r w:rsidR="00526527" w:rsidRPr="00CE3966">
        <w:rPr>
          <w:rFonts w:ascii="Times New Roman" w:hAnsi="Times New Roman" w:cs="Times New Roman"/>
          <w:bCs/>
        </w:rPr>
        <w:t>,</w:t>
      </w:r>
      <w:r w:rsidRPr="00CE3966">
        <w:rPr>
          <w:rFonts w:ascii="Times New Roman" w:hAnsi="Times New Roman" w:cs="Times New Roman"/>
          <w:bCs/>
        </w:rPr>
        <w:t xml:space="preserve"> 141-159.</w:t>
      </w:r>
    </w:p>
    <w:p w14:paraId="1A147435" w14:textId="77777777" w:rsidR="00CE3966" w:rsidRPr="00CE3966" w:rsidRDefault="00CE3966" w:rsidP="00D67EC8">
      <w:pPr>
        <w:autoSpaceDE w:val="0"/>
        <w:autoSpaceDN w:val="0"/>
        <w:adjustRightInd w:val="0"/>
        <w:spacing w:after="0" w:afterAutospacing="0" w:line="480" w:lineRule="auto"/>
        <w:rPr>
          <w:rFonts w:ascii="Times New Roman" w:hAnsi="Times New Roman" w:cs="Times New Roman"/>
          <w:bCs/>
        </w:rPr>
      </w:pPr>
    </w:p>
    <w:p w14:paraId="22F8F01B" w14:textId="77E11E76" w:rsidR="00CE3966" w:rsidRDefault="00CE3966" w:rsidP="00D67EC8">
      <w:pPr>
        <w:autoSpaceDE w:val="0"/>
        <w:autoSpaceDN w:val="0"/>
        <w:adjustRightInd w:val="0"/>
        <w:spacing w:after="0" w:afterAutospacing="0" w:line="480" w:lineRule="auto"/>
        <w:rPr>
          <w:rFonts w:ascii="Times New Roman" w:hAnsi="Times New Roman" w:cs="Times New Roman"/>
          <w:color w:val="000000"/>
        </w:rPr>
      </w:pPr>
      <w:r w:rsidRPr="00B712C2">
        <w:rPr>
          <w:rFonts w:ascii="Times New Roman" w:hAnsi="Times New Roman" w:cs="Times New Roman"/>
          <w:color w:val="000000"/>
        </w:rPr>
        <w:t>Heyes, J. (2013</w:t>
      </w:r>
      <w:r>
        <w:rPr>
          <w:rFonts w:ascii="Times New Roman" w:hAnsi="Times New Roman" w:cs="Times New Roman"/>
          <w:color w:val="000000"/>
        </w:rPr>
        <w:t>a</w:t>
      </w:r>
      <w:r w:rsidRPr="00B712C2">
        <w:rPr>
          <w:rFonts w:ascii="Times New Roman" w:hAnsi="Times New Roman" w:cs="Times New Roman"/>
          <w:color w:val="000000"/>
        </w:rPr>
        <w:t>)</w:t>
      </w:r>
      <w:r>
        <w:rPr>
          <w:rFonts w:ascii="Times New Roman" w:hAnsi="Times New Roman" w:cs="Times New Roman"/>
          <w:color w:val="000000"/>
        </w:rPr>
        <w:t>,</w:t>
      </w:r>
      <w:r w:rsidRPr="00B712C2">
        <w:rPr>
          <w:rFonts w:ascii="Times New Roman" w:hAnsi="Times New Roman" w:cs="Times New Roman"/>
          <w:color w:val="000000"/>
        </w:rPr>
        <w:t xml:space="preserve"> ‘Flexicurity in Crisis: European Labour Market Policies in a Time of Austerity’</w:t>
      </w:r>
      <w:r>
        <w:rPr>
          <w:rFonts w:ascii="Times New Roman" w:hAnsi="Times New Roman" w:cs="Times New Roman"/>
          <w:color w:val="000000"/>
        </w:rPr>
        <w:t>,</w:t>
      </w:r>
      <w:r w:rsidRPr="00B712C2">
        <w:rPr>
          <w:rFonts w:ascii="Times New Roman" w:hAnsi="Times New Roman" w:cs="Times New Roman"/>
          <w:color w:val="000000"/>
        </w:rPr>
        <w:t xml:space="preserve"> </w:t>
      </w:r>
      <w:r w:rsidRPr="00B712C2">
        <w:rPr>
          <w:rFonts w:ascii="Times New Roman" w:hAnsi="Times New Roman" w:cs="Times New Roman"/>
          <w:i/>
          <w:color w:val="000000"/>
        </w:rPr>
        <w:t>European Journal of Industrial Relations</w:t>
      </w:r>
      <w:r>
        <w:rPr>
          <w:rFonts w:ascii="Times New Roman" w:hAnsi="Times New Roman" w:cs="Times New Roman"/>
          <w:i/>
          <w:color w:val="000000"/>
        </w:rPr>
        <w:t>,</w:t>
      </w:r>
      <w:r w:rsidRPr="00B712C2">
        <w:rPr>
          <w:rFonts w:ascii="Times New Roman" w:hAnsi="Times New Roman" w:cs="Times New Roman"/>
          <w:color w:val="000000"/>
        </w:rPr>
        <w:t xml:space="preserve"> 19, 3: 71-86</w:t>
      </w:r>
      <w:r>
        <w:rPr>
          <w:rFonts w:ascii="Times New Roman" w:hAnsi="Times New Roman" w:cs="Times New Roman"/>
          <w:color w:val="000000"/>
        </w:rPr>
        <w:t>.</w:t>
      </w:r>
    </w:p>
    <w:p w14:paraId="5D45DC7C" w14:textId="77777777" w:rsidR="00CE3966" w:rsidRPr="00B712C2" w:rsidRDefault="00CE3966" w:rsidP="00D67EC8">
      <w:pPr>
        <w:autoSpaceDE w:val="0"/>
        <w:autoSpaceDN w:val="0"/>
        <w:adjustRightInd w:val="0"/>
        <w:spacing w:after="0" w:afterAutospacing="0" w:line="480" w:lineRule="auto"/>
        <w:rPr>
          <w:rFonts w:ascii="Times New Roman" w:hAnsi="Times New Roman" w:cs="Times New Roman"/>
        </w:rPr>
      </w:pPr>
    </w:p>
    <w:p w14:paraId="5E272D99" w14:textId="4EF10336" w:rsidR="00CE3966" w:rsidRDefault="00CE3966" w:rsidP="00D67EC8">
      <w:pPr>
        <w:autoSpaceDE w:val="0"/>
        <w:autoSpaceDN w:val="0"/>
        <w:adjustRightInd w:val="0"/>
        <w:spacing w:after="0" w:afterAutospacing="0" w:line="480" w:lineRule="auto"/>
        <w:rPr>
          <w:rStyle w:val="cit-last-page2"/>
          <w:rFonts w:ascii="Times New Roman" w:hAnsi="Times New Roman" w:cs="Times New Roman"/>
          <w:iCs/>
          <w:color w:val="222222"/>
          <w:lang w:val="en"/>
        </w:rPr>
      </w:pPr>
      <w:r w:rsidRPr="00B712C2">
        <w:rPr>
          <w:rFonts w:ascii="Times New Roman" w:hAnsi="Times New Roman" w:cs="Times New Roman"/>
        </w:rPr>
        <w:lastRenderedPageBreak/>
        <w:t>Heyes, J. (2013</w:t>
      </w:r>
      <w:r>
        <w:rPr>
          <w:rFonts w:ascii="Times New Roman" w:hAnsi="Times New Roman" w:cs="Times New Roman"/>
        </w:rPr>
        <w:t>b</w:t>
      </w:r>
      <w:r w:rsidRPr="00B712C2">
        <w:rPr>
          <w:rFonts w:ascii="Times New Roman" w:hAnsi="Times New Roman" w:cs="Times New Roman"/>
        </w:rPr>
        <w:t>)</w:t>
      </w:r>
      <w:r w:rsidRPr="00CE3966">
        <w:rPr>
          <w:rFonts w:ascii="Times New Roman" w:hAnsi="Times New Roman" w:cs="Times New Roman"/>
        </w:rPr>
        <w:t>,</w:t>
      </w:r>
      <w:r w:rsidRPr="00B712C2">
        <w:rPr>
          <w:rFonts w:ascii="Times New Roman" w:hAnsi="Times New Roman" w:cs="Times New Roman"/>
        </w:rPr>
        <w:t xml:space="preserve"> ‘Vocational Training, Employability and the Post-2008 Jobs Crisis: Responses in the European Union’</w:t>
      </w:r>
      <w:r>
        <w:rPr>
          <w:rFonts w:ascii="Times New Roman" w:hAnsi="Times New Roman" w:cs="Times New Roman"/>
        </w:rPr>
        <w:t>,</w:t>
      </w:r>
      <w:r w:rsidRPr="00B712C2">
        <w:rPr>
          <w:rFonts w:ascii="Times New Roman" w:hAnsi="Times New Roman" w:cs="Times New Roman"/>
        </w:rPr>
        <w:t xml:space="preserve"> </w:t>
      </w:r>
      <w:r w:rsidRPr="00B712C2">
        <w:rPr>
          <w:rFonts w:ascii="Times New Roman" w:hAnsi="Times New Roman" w:cs="Times New Roman"/>
          <w:i/>
        </w:rPr>
        <w:t>Economic &amp; Industrial Democracy</w:t>
      </w:r>
      <w:r>
        <w:rPr>
          <w:rFonts w:ascii="Times New Roman" w:hAnsi="Times New Roman" w:cs="Times New Roman"/>
          <w:i/>
        </w:rPr>
        <w:t>,</w:t>
      </w:r>
      <w:r w:rsidRPr="00B712C2">
        <w:rPr>
          <w:rFonts w:ascii="Times New Roman" w:hAnsi="Times New Roman" w:cs="Times New Roman"/>
          <w:i/>
        </w:rPr>
        <w:t xml:space="preserve"> </w:t>
      </w:r>
      <w:r w:rsidRPr="00B712C2">
        <w:rPr>
          <w:rStyle w:val="cit-vol2"/>
          <w:rFonts w:ascii="Times New Roman" w:hAnsi="Times New Roman" w:cs="Times New Roman"/>
          <w:iCs/>
          <w:color w:val="222222"/>
          <w:lang w:val="en"/>
        </w:rPr>
        <w:t>34, 2</w:t>
      </w:r>
      <w:r w:rsidRPr="00B712C2">
        <w:rPr>
          <w:rStyle w:val="cit-sep2"/>
          <w:rFonts w:ascii="Times New Roman" w:hAnsi="Times New Roman" w:cs="Times New Roman"/>
          <w:iCs/>
          <w:color w:val="222222"/>
          <w:lang w:val="en"/>
        </w:rPr>
        <w:t xml:space="preserve">: </w:t>
      </w:r>
      <w:r w:rsidRPr="00B712C2">
        <w:rPr>
          <w:rStyle w:val="cit-first-page"/>
          <w:rFonts w:ascii="Times New Roman" w:hAnsi="Times New Roman" w:cs="Times New Roman"/>
          <w:iCs/>
          <w:color w:val="222222"/>
          <w:lang w:val="en"/>
        </w:rPr>
        <w:t>291</w:t>
      </w:r>
      <w:r w:rsidRPr="00B712C2">
        <w:rPr>
          <w:rStyle w:val="cit-sep2"/>
          <w:rFonts w:ascii="Times New Roman" w:hAnsi="Times New Roman" w:cs="Times New Roman"/>
          <w:iCs/>
          <w:color w:val="222222"/>
          <w:lang w:val="en"/>
        </w:rPr>
        <w:t>-</w:t>
      </w:r>
      <w:r w:rsidRPr="00B712C2">
        <w:rPr>
          <w:rStyle w:val="cit-last-page2"/>
          <w:rFonts w:ascii="Times New Roman" w:hAnsi="Times New Roman" w:cs="Times New Roman"/>
          <w:iCs/>
          <w:color w:val="222222"/>
          <w:lang w:val="en"/>
        </w:rPr>
        <w:t>311</w:t>
      </w:r>
      <w:r>
        <w:rPr>
          <w:rStyle w:val="cit-last-page2"/>
          <w:rFonts w:ascii="Times New Roman" w:hAnsi="Times New Roman" w:cs="Times New Roman"/>
          <w:iCs/>
          <w:color w:val="222222"/>
          <w:lang w:val="en"/>
        </w:rPr>
        <w:t>.</w:t>
      </w:r>
    </w:p>
    <w:p w14:paraId="35174DA7" w14:textId="77777777" w:rsidR="00CE3966" w:rsidRPr="00CE3966" w:rsidRDefault="00CE3966" w:rsidP="00D67EC8">
      <w:pPr>
        <w:autoSpaceDE w:val="0"/>
        <w:autoSpaceDN w:val="0"/>
        <w:adjustRightInd w:val="0"/>
        <w:spacing w:after="0" w:afterAutospacing="0" w:line="480" w:lineRule="auto"/>
        <w:rPr>
          <w:rStyle w:val="cit-last-page2"/>
          <w:rFonts w:ascii="Times New Roman" w:hAnsi="Times New Roman" w:cs="Times New Roman"/>
          <w:iCs/>
          <w:color w:val="222222"/>
          <w:lang w:val="en"/>
        </w:rPr>
      </w:pPr>
    </w:p>
    <w:p w14:paraId="312AFE99" w14:textId="01C6A81D" w:rsidR="00CE3966" w:rsidRPr="00CE3966" w:rsidRDefault="00CE3966" w:rsidP="00D67EC8">
      <w:pPr>
        <w:autoSpaceDE w:val="0"/>
        <w:autoSpaceDN w:val="0"/>
        <w:adjustRightInd w:val="0"/>
        <w:spacing w:after="0" w:afterAutospacing="0" w:line="480" w:lineRule="auto"/>
        <w:rPr>
          <w:rFonts w:ascii="Times New Roman" w:hAnsi="Times New Roman" w:cs="Times New Roman"/>
          <w:bCs/>
        </w:rPr>
      </w:pPr>
      <w:r w:rsidRPr="00B712C2">
        <w:rPr>
          <w:rFonts w:ascii="Times New Roman" w:hAnsi="Times New Roman" w:cs="Times New Roman"/>
          <w:color w:val="000000"/>
        </w:rPr>
        <w:t>Heyes, J. and Lewis,. P. (2014)</w:t>
      </w:r>
      <w:r>
        <w:rPr>
          <w:rFonts w:ascii="Times New Roman" w:hAnsi="Times New Roman" w:cs="Times New Roman"/>
          <w:color w:val="000000"/>
        </w:rPr>
        <w:t>,</w:t>
      </w:r>
      <w:r w:rsidRPr="00B712C2">
        <w:rPr>
          <w:rFonts w:ascii="Times New Roman" w:hAnsi="Times New Roman" w:cs="Times New Roman"/>
          <w:color w:val="000000"/>
        </w:rPr>
        <w:t xml:space="preserve"> ‘</w:t>
      </w:r>
      <w:r w:rsidRPr="00B712C2">
        <w:rPr>
          <w:rFonts w:ascii="Times New Roman" w:hAnsi="Times New Roman" w:cs="Times New Roman"/>
        </w:rPr>
        <w:t>Employment Protection Under Fire: Labour Market Deregulation and Employment in the European Union’</w:t>
      </w:r>
      <w:r>
        <w:rPr>
          <w:rFonts w:ascii="Times New Roman" w:hAnsi="Times New Roman" w:cs="Times New Roman"/>
        </w:rPr>
        <w:t>,</w:t>
      </w:r>
      <w:r w:rsidRPr="00B712C2">
        <w:rPr>
          <w:rFonts w:ascii="Times New Roman" w:hAnsi="Times New Roman" w:cs="Times New Roman"/>
        </w:rPr>
        <w:t xml:space="preserve"> </w:t>
      </w:r>
      <w:r w:rsidRPr="00B712C2">
        <w:rPr>
          <w:rFonts w:ascii="Times New Roman" w:hAnsi="Times New Roman" w:cs="Times New Roman"/>
          <w:i/>
        </w:rPr>
        <w:t>Economic &amp; Industrial Democracy</w:t>
      </w:r>
      <w:r>
        <w:rPr>
          <w:rFonts w:ascii="Times New Roman" w:hAnsi="Times New Roman" w:cs="Times New Roman"/>
          <w:i/>
        </w:rPr>
        <w:t>,</w:t>
      </w:r>
      <w:r w:rsidRPr="00B712C2">
        <w:rPr>
          <w:rFonts w:ascii="Times New Roman" w:hAnsi="Times New Roman" w:cs="Times New Roman"/>
        </w:rPr>
        <w:t xml:space="preserve"> </w:t>
      </w:r>
      <w:r w:rsidRPr="00B712C2">
        <w:rPr>
          <w:rStyle w:val="cit-vol2"/>
          <w:rFonts w:ascii="Times New Roman" w:hAnsi="Times New Roman" w:cs="Times New Roman"/>
          <w:iCs/>
          <w:color w:val="222222"/>
          <w:lang w:val="en"/>
        </w:rPr>
        <w:t>35, 4</w:t>
      </w:r>
      <w:r w:rsidRPr="00B712C2">
        <w:rPr>
          <w:rStyle w:val="cit-sep2"/>
          <w:rFonts w:ascii="Times New Roman" w:hAnsi="Times New Roman" w:cs="Times New Roman"/>
          <w:iCs/>
          <w:color w:val="222222"/>
          <w:lang w:val="en"/>
        </w:rPr>
        <w:t xml:space="preserve">: </w:t>
      </w:r>
      <w:r w:rsidRPr="00B712C2">
        <w:rPr>
          <w:rStyle w:val="cit-first-page"/>
          <w:rFonts w:ascii="Times New Roman" w:hAnsi="Times New Roman" w:cs="Times New Roman"/>
          <w:iCs/>
          <w:color w:val="222222"/>
          <w:lang w:val="en"/>
        </w:rPr>
        <w:t>587</w:t>
      </w:r>
      <w:r w:rsidRPr="00B712C2">
        <w:rPr>
          <w:rStyle w:val="cit-sep2"/>
          <w:rFonts w:ascii="Times New Roman" w:hAnsi="Times New Roman" w:cs="Times New Roman"/>
          <w:iCs/>
          <w:color w:val="222222"/>
          <w:lang w:val="en"/>
        </w:rPr>
        <w:t>-</w:t>
      </w:r>
      <w:r w:rsidRPr="00B712C2">
        <w:rPr>
          <w:rStyle w:val="cit-last-page2"/>
          <w:rFonts w:ascii="Times New Roman" w:hAnsi="Times New Roman" w:cs="Times New Roman"/>
          <w:iCs/>
          <w:color w:val="222222"/>
          <w:lang w:val="en"/>
        </w:rPr>
        <w:t>607</w:t>
      </w:r>
      <w:r>
        <w:rPr>
          <w:rStyle w:val="cit-last-page2"/>
          <w:rFonts w:ascii="Times New Roman" w:hAnsi="Times New Roman" w:cs="Times New Roman"/>
          <w:iCs/>
          <w:color w:val="222222"/>
          <w:lang w:val="en"/>
        </w:rPr>
        <w:t>.</w:t>
      </w:r>
    </w:p>
    <w:p w14:paraId="0E82D16E" w14:textId="77777777" w:rsidR="00A511D4" w:rsidRPr="00B712C2" w:rsidRDefault="00A511D4" w:rsidP="00A511D4">
      <w:pPr>
        <w:spacing w:after="0" w:afterAutospacing="0"/>
        <w:jc w:val="left"/>
        <w:outlineLvl w:val="1"/>
        <w:rPr>
          <w:rFonts w:ascii="Times New Roman" w:eastAsia="Times New Roman" w:hAnsi="Times New Roman" w:cs="Times New Roman"/>
          <w:color w:val="004490"/>
          <w:kern w:val="36"/>
          <w:sz w:val="34"/>
          <w:szCs w:val="34"/>
          <w:lang w:eastAsia="en-GB"/>
        </w:rPr>
      </w:pPr>
    </w:p>
    <w:p w14:paraId="72892260" w14:textId="343523CB" w:rsidR="00A511D4" w:rsidRPr="00A511D4" w:rsidRDefault="00A511D4" w:rsidP="00B712C2">
      <w:pPr>
        <w:spacing w:after="0" w:afterAutospacing="0" w:line="480" w:lineRule="auto"/>
        <w:outlineLvl w:val="1"/>
        <w:rPr>
          <w:rFonts w:ascii="Times New Roman" w:hAnsi="Times New Roman" w:cs="Times New Roman"/>
          <w:bCs/>
        </w:rPr>
      </w:pPr>
      <w:r w:rsidRPr="00B712C2">
        <w:rPr>
          <w:rFonts w:ascii="Times New Roman" w:eastAsia="Times New Roman" w:hAnsi="Times New Roman" w:cs="Times New Roman"/>
          <w:kern w:val="36"/>
          <w:lang w:eastAsia="en-GB"/>
        </w:rPr>
        <w:t>International Monetary Fund (2010)</w:t>
      </w:r>
      <w:r>
        <w:rPr>
          <w:rFonts w:ascii="Times New Roman" w:eastAsia="Times New Roman" w:hAnsi="Times New Roman" w:cs="Times New Roman"/>
          <w:kern w:val="36"/>
          <w:lang w:eastAsia="en-GB"/>
        </w:rPr>
        <w:t>,</w:t>
      </w:r>
      <w:r w:rsidRPr="00B712C2">
        <w:rPr>
          <w:rFonts w:ascii="Times New Roman" w:eastAsia="Times New Roman" w:hAnsi="Times New Roman" w:cs="Times New Roman"/>
          <w:kern w:val="36"/>
          <w:lang w:eastAsia="en-GB"/>
        </w:rPr>
        <w:t xml:space="preserve"> </w:t>
      </w:r>
      <w:r w:rsidRPr="00B712C2">
        <w:rPr>
          <w:rFonts w:ascii="Times New Roman" w:eastAsia="Times New Roman" w:hAnsi="Times New Roman" w:cs="Times New Roman"/>
          <w:i/>
          <w:kern w:val="36"/>
          <w:lang w:eastAsia="en-GB"/>
        </w:rPr>
        <w:t xml:space="preserve">World Economic Outlook (WEO): </w:t>
      </w:r>
      <w:r w:rsidRPr="00B712C2">
        <w:rPr>
          <w:rFonts w:ascii="Times New Roman" w:eastAsia="Times New Roman" w:hAnsi="Times New Roman" w:cs="Times New Roman"/>
          <w:bCs/>
          <w:i/>
          <w:kern w:val="36"/>
          <w:lang w:eastAsia="en-GB"/>
        </w:rPr>
        <w:t>Rebalancing Growth</w:t>
      </w:r>
      <w:r w:rsidRPr="00B712C2">
        <w:rPr>
          <w:rFonts w:ascii="Times New Roman" w:eastAsia="Times New Roman" w:hAnsi="Times New Roman" w:cs="Times New Roman"/>
          <w:bCs/>
          <w:kern w:val="36"/>
          <w:lang w:eastAsia="en-GB"/>
        </w:rPr>
        <w:t xml:space="preserve"> (Washington DC: IMF).</w:t>
      </w:r>
    </w:p>
    <w:p w14:paraId="18CBE368" w14:textId="77777777" w:rsidR="00CE3966" w:rsidRDefault="00CE3966" w:rsidP="00D67EC8">
      <w:pPr>
        <w:spacing w:line="480" w:lineRule="auto"/>
        <w:rPr>
          <w:rFonts w:ascii="Times New Roman" w:eastAsia="Calibri" w:hAnsi="Times New Roman" w:cs="Times New Roman"/>
        </w:rPr>
      </w:pPr>
    </w:p>
    <w:p w14:paraId="2ECC2C1F" w14:textId="114E7547" w:rsidR="00CA61F2" w:rsidRDefault="00CA61F2" w:rsidP="00D67EC8">
      <w:pPr>
        <w:spacing w:line="480" w:lineRule="auto"/>
        <w:rPr>
          <w:rFonts w:ascii="Times New Roman" w:eastAsia="Calibri" w:hAnsi="Times New Roman" w:cs="Times New Roman"/>
        </w:rPr>
      </w:pPr>
      <w:r>
        <w:rPr>
          <w:rFonts w:ascii="Times New Roman" w:eastAsia="Calibri" w:hAnsi="Times New Roman" w:cs="Times New Roman"/>
        </w:rPr>
        <w:t xml:space="preserve">Keune, M. and Serrano, A. (2014) </w:t>
      </w:r>
      <w:r w:rsidRPr="00B712C2">
        <w:rPr>
          <w:rFonts w:ascii="Times New Roman" w:eastAsia="Calibri" w:hAnsi="Times New Roman" w:cs="Times New Roman"/>
          <w:i/>
        </w:rPr>
        <w:t>Deconstructing Flexicurity and Developing Alternative Approaches: Towards New Concepts and Approaches for Employment and Social Policy</w:t>
      </w:r>
      <w:r>
        <w:rPr>
          <w:rFonts w:ascii="Times New Roman" w:eastAsia="Calibri" w:hAnsi="Times New Roman" w:cs="Times New Roman"/>
        </w:rPr>
        <w:t xml:space="preserve">, </w:t>
      </w:r>
      <w:r w:rsidR="008E315B">
        <w:rPr>
          <w:rFonts w:ascii="Times New Roman" w:eastAsia="Calibri" w:hAnsi="Times New Roman" w:cs="Times New Roman"/>
        </w:rPr>
        <w:t>(London: Routledge).</w:t>
      </w:r>
    </w:p>
    <w:p w14:paraId="3B703DB2" w14:textId="63040D74" w:rsidR="0011177C" w:rsidRDefault="0011177C" w:rsidP="00D67EC8">
      <w:pPr>
        <w:spacing w:line="480" w:lineRule="auto"/>
        <w:rPr>
          <w:rFonts w:ascii="Times New Roman" w:eastAsia="Calibri" w:hAnsi="Times New Roman" w:cs="Times New Roman"/>
        </w:rPr>
      </w:pPr>
      <w:r>
        <w:rPr>
          <w:rFonts w:ascii="Times New Roman" w:eastAsia="Calibri" w:hAnsi="Times New Roman" w:cs="Times New Roman"/>
        </w:rPr>
        <w:t>Kopf, E. (2009)</w:t>
      </w:r>
      <w:r w:rsidR="00526527">
        <w:rPr>
          <w:rFonts w:ascii="Times New Roman" w:eastAsia="Calibri" w:hAnsi="Times New Roman" w:cs="Times New Roman"/>
        </w:rPr>
        <w:t>,</w:t>
      </w:r>
      <w:r>
        <w:rPr>
          <w:rFonts w:ascii="Times New Roman" w:eastAsia="Calibri" w:hAnsi="Times New Roman" w:cs="Times New Roman"/>
        </w:rPr>
        <w:t xml:space="preserve"> </w:t>
      </w:r>
      <w:r w:rsidRPr="009124EA">
        <w:rPr>
          <w:rFonts w:ascii="Times New Roman" w:eastAsia="Calibri" w:hAnsi="Times New Roman" w:cs="Times New Roman"/>
          <w:i/>
        </w:rPr>
        <w:t xml:space="preserve">Short-term </w:t>
      </w:r>
      <w:r>
        <w:rPr>
          <w:rFonts w:ascii="Times New Roman" w:eastAsia="Calibri" w:hAnsi="Times New Roman" w:cs="Times New Roman"/>
          <w:i/>
        </w:rPr>
        <w:t>T</w:t>
      </w:r>
      <w:r w:rsidRPr="009124EA">
        <w:rPr>
          <w:rFonts w:ascii="Times New Roman" w:eastAsia="Calibri" w:hAnsi="Times New Roman" w:cs="Times New Roman"/>
          <w:i/>
        </w:rPr>
        <w:t xml:space="preserve">raining </w:t>
      </w:r>
      <w:r>
        <w:rPr>
          <w:rFonts w:ascii="Times New Roman" w:eastAsia="Calibri" w:hAnsi="Times New Roman" w:cs="Times New Roman"/>
          <w:i/>
        </w:rPr>
        <w:t>V</w:t>
      </w:r>
      <w:r w:rsidRPr="009124EA">
        <w:rPr>
          <w:rFonts w:ascii="Times New Roman" w:eastAsia="Calibri" w:hAnsi="Times New Roman" w:cs="Times New Roman"/>
          <w:i/>
        </w:rPr>
        <w:t xml:space="preserve">ariety for </w:t>
      </w:r>
      <w:r>
        <w:rPr>
          <w:rFonts w:ascii="Times New Roman" w:eastAsia="Calibri" w:hAnsi="Times New Roman" w:cs="Times New Roman"/>
          <w:i/>
        </w:rPr>
        <w:t>W</w:t>
      </w:r>
      <w:r w:rsidRPr="009124EA">
        <w:rPr>
          <w:rFonts w:ascii="Times New Roman" w:eastAsia="Calibri" w:hAnsi="Times New Roman" w:cs="Times New Roman"/>
          <w:i/>
        </w:rPr>
        <w:t xml:space="preserve">elfare </w:t>
      </w:r>
      <w:r>
        <w:rPr>
          <w:rFonts w:ascii="Times New Roman" w:eastAsia="Calibri" w:hAnsi="Times New Roman" w:cs="Times New Roman"/>
          <w:i/>
        </w:rPr>
        <w:t>R</w:t>
      </w:r>
      <w:r w:rsidRPr="009124EA">
        <w:rPr>
          <w:rFonts w:ascii="Times New Roman" w:eastAsia="Calibri" w:hAnsi="Times New Roman" w:cs="Times New Roman"/>
          <w:i/>
        </w:rPr>
        <w:t>ecipients</w:t>
      </w:r>
      <w:r>
        <w:rPr>
          <w:rFonts w:ascii="Times New Roman" w:eastAsia="Calibri" w:hAnsi="Times New Roman" w:cs="Times New Roman"/>
          <w:i/>
        </w:rPr>
        <w:t>: The Effects of Different Training Types</w:t>
      </w:r>
      <w:r>
        <w:rPr>
          <w:rFonts w:ascii="Times New Roman" w:eastAsia="Calibri" w:hAnsi="Times New Roman" w:cs="Times New Roman"/>
        </w:rPr>
        <w:t>’, IAB Discussion Paper, 17</w:t>
      </w:r>
      <w:r w:rsidR="00526527">
        <w:rPr>
          <w:rFonts w:ascii="Times New Roman" w:eastAsia="Calibri" w:hAnsi="Times New Roman" w:cs="Times New Roman"/>
        </w:rPr>
        <w:t xml:space="preserve"> (</w:t>
      </w:r>
      <w:r>
        <w:rPr>
          <w:rFonts w:ascii="Times New Roman" w:eastAsia="Calibri" w:hAnsi="Times New Roman" w:cs="Times New Roman"/>
        </w:rPr>
        <w:t>Institute for Employment Research</w:t>
      </w:r>
      <w:r w:rsidR="00526527">
        <w:rPr>
          <w:rFonts w:ascii="Times New Roman" w:eastAsia="Calibri" w:hAnsi="Times New Roman" w:cs="Times New Roman"/>
        </w:rPr>
        <w:t>)</w:t>
      </w:r>
      <w:r>
        <w:rPr>
          <w:rFonts w:ascii="Times New Roman" w:eastAsia="Calibri" w:hAnsi="Times New Roman" w:cs="Times New Roman"/>
        </w:rPr>
        <w:t>.</w:t>
      </w:r>
    </w:p>
    <w:p w14:paraId="67410B8D" w14:textId="09F8AD7C" w:rsidR="00E14BDB" w:rsidRDefault="00E14BDB" w:rsidP="00D67EC8">
      <w:pPr>
        <w:spacing w:line="480" w:lineRule="auto"/>
        <w:rPr>
          <w:rFonts w:ascii="Times New Roman" w:eastAsia="Calibri" w:hAnsi="Times New Roman" w:cs="Times New Roman"/>
        </w:rPr>
      </w:pPr>
      <w:r>
        <w:rPr>
          <w:rFonts w:ascii="Times New Roman" w:eastAsia="Calibri" w:hAnsi="Times New Roman" w:cs="Times New Roman"/>
        </w:rPr>
        <w:t xml:space="preserve">Laulom, S., Mazuyer, E., Teissier, C., Triomphe, C.M and Vielle, P. (2012) ‘How Has the Crisis Affected Social Legislation in Europe?’, </w:t>
      </w:r>
      <w:r w:rsidRPr="00B712C2">
        <w:rPr>
          <w:rFonts w:ascii="Times New Roman" w:eastAsia="Calibri" w:hAnsi="Times New Roman" w:cs="Times New Roman"/>
          <w:i/>
        </w:rPr>
        <w:t>ETUI Policy Brief,</w:t>
      </w:r>
      <w:r>
        <w:rPr>
          <w:rFonts w:ascii="Times New Roman" w:eastAsia="Calibri" w:hAnsi="Times New Roman" w:cs="Times New Roman"/>
        </w:rPr>
        <w:t xml:space="preserve"> No.2/2012 (Brussels: European Trade Union Institute).</w:t>
      </w:r>
    </w:p>
    <w:p w14:paraId="547A5631" w14:textId="4F89297A" w:rsidR="00F16B5B" w:rsidRPr="00526527" w:rsidRDefault="00F16B5B" w:rsidP="00D67EC8">
      <w:pPr>
        <w:spacing w:line="480" w:lineRule="auto"/>
        <w:rPr>
          <w:rFonts w:ascii="Times New Roman" w:hAnsi="Times New Roman" w:cs="Times New Roman"/>
          <w:i/>
        </w:rPr>
      </w:pPr>
      <w:r w:rsidRPr="00526527">
        <w:rPr>
          <w:rStyle w:val="Emphasis"/>
          <w:rFonts w:ascii="Times New Roman" w:hAnsi="Times New Roman" w:cs="Times New Roman"/>
          <w:i w:val="0"/>
        </w:rPr>
        <w:t xml:space="preserve">Layard, R., Nickell, S. </w:t>
      </w:r>
      <w:r w:rsidR="00E14BDB">
        <w:rPr>
          <w:rStyle w:val="Emphasis"/>
          <w:rFonts w:ascii="Times New Roman" w:hAnsi="Times New Roman" w:cs="Times New Roman"/>
          <w:i w:val="0"/>
        </w:rPr>
        <w:t>a</w:t>
      </w:r>
      <w:r w:rsidRPr="00526527">
        <w:rPr>
          <w:rStyle w:val="Emphasis"/>
          <w:rFonts w:ascii="Times New Roman" w:hAnsi="Times New Roman" w:cs="Times New Roman"/>
          <w:i w:val="0"/>
        </w:rPr>
        <w:t>nd Jackman, R. (2005)</w:t>
      </w:r>
      <w:r w:rsidR="00526527" w:rsidRPr="00526527">
        <w:rPr>
          <w:rStyle w:val="Emphasis"/>
          <w:rFonts w:ascii="Times New Roman" w:hAnsi="Times New Roman" w:cs="Times New Roman"/>
          <w:i w:val="0"/>
        </w:rPr>
        <w:t>,</w:t>
      </w:r>
      <w:r w:rsidRPr="003024E8">
        <w:rPr>
          <w:rStyle w:val="Emphasis"/>
          <w:rFonts w:ascii="Times New Roman" w:hAnsi="Times New Roman" w:cs="Times New Roman"/>
        </w:rPr>
        <w:t xml:space="preserve"> Unemployment: Macroeconomic Performance and the Labour Market</w:t>
      </w:r>
      <w:r w:rsidR="00526527">
        <w:rPr>
          <w:rStyle w:val="Emphasis"/>
          <w:rFonts w:ascii="Times New Roman" w:hAnsi="Times New Roman" w:cs="Times New Roman"/>
        </w:rPr>
        <w:t xml:space="preserve"> </w:t>
      </w:r>
      <w:r w:rsidR="00526527" w:rsidRPr="00526527">
        <w:rPr>
          <w:rStyle w:val="Emphasis"/>
          <w:rFonts w:ascii="Times New Roman" w:hAnsi="Times New Roman" w:cs="Times New Roman"/>
          <w:i w:val="0"/>
        </w:rPr>
        <w:t>(</w:t>
      </w:r>
      <w:r w:rsidRPr="00526527">
        <w:rPr>
          <w:rStyle w:val="Emphasis"/>
          <w:rFonts w:ascii="Times New Roman" w:hAnsi="Times New Roman" w:cs="Times New Roman"/>
          <w:i w:val="0"/>
        </w:rPr>
        <w:t>Oxford</w:t>
      </w:r>
      <w:r w:rsidR="009C4EB3">
        <w:rPr>
          <w:rStyle w:val="Emphasis"/>
          <w:rFonts w:ascii="Times New Roman" w:hAnsi="Times New Roman" w:cs="Times New Roman"/>
          <w:i w:val="0"/>
        </w:rPr>
        <w:t>,</w:t>
      </w:r>
      <w:r w:rsidRPr="00526527">
        <w:rPr>
          <w:rStyle w:val="Emphasis"/>
          <w:rFonts w:ascii="Times New Roman" w:hAnsi="Times New Roman" w:cs="Times New Roman"/>
          <w:i w:val="0"/>
        </w:rPr>
        <w:t xml:space="preserve"> Oxford University Press</w:t>
      </w:r>
      <w:r w:rsidR="009C4EB3">
        <w:rPr>
          <w:rStyle w:val="Emphasis"/>
          <w:rFonts w:ascii="Times New Roman" w:hAnsi="Times New Roman" w:cs="Times New Roman"/>
          <w:i w:val="0"/>
        </w:rPr>
        <w:t>)</w:t>
      </w:r>
      <w:r w:rsidRPr="00526527">
        <w:rPr>
          <w:rStyle w:val="Emphasis"/>
          <w:rFonts w:ascii="Times New Roman" w:hAnsi="Times New Roman" w:cs="Times New Roman"/>
          <w:i w:val="0"/>
        </w:rPr>
        <w:t>. Second Edition.</w:t>
      </w:r>
    </w:p>
    <w:p w14:paraId="03F98E15" w14:textId="4495F6E4" w:rsidR="00E13E23" w:rsidRPr="001144F2" w:rsidRDefault="00673DB0" w:rsidP="00D67EC8">
      <w:pPr>
        <w:autoSpaceDE w:val="0"/>
        <w:autoSpaceDN w:val="0"/>
        <w:adjustRightInd w:val="0"/>
        <w:spacing w:after="0" w:afterAutospacing="0" w:line="480" w:lineRule="auto"/>
        <w:rPr>
          <w:rFonts w:ascii="Times New Roman" w:hAnsi="Times New Roman" w:cs="Times New Roman"/>
          <w:color w:val="000000"/>
        </w:rPr>
      </w:pPr>
      <w:r w:rsidRPr="001144F2">
        <w:rPr>
          <w:rFonts w:ascii="Times New Roman" w:hAnsi="Times New Roman" w:cs="Times New Roman"/>
          <w:color w:val="000000"/>
        </w:rPr>
        <w:t>Lindbeck A and Snower D J (1990)</w:t>
      </w:r>
      <w:r w:rsidR="009C4EB3">
        <w:rPr>
          <w:rFonts w:ascii="Times New Roman" w:hAnsi="Times New Roman" w:cs="Times New Roman"/>
          <w:color w:val="000000"/>
        </w:rPr>
        <w:t>,</w:t>
      </w:r>
      <w:r w:rsidRPr="001144F2">
        <w:rPr>
          <w:rFonts w:ascii="Times New Roman" w:hAnsi="Times New Roman" w:cs="Times New Roman"/>
          <w:color w:val="000000"/>
        </w:rPr>
        <w:t xml:space="preserve"> </w:t>
      </w:r>
      <w:r w:rsidR="00116BEC" w:rsidRPr="001144F2">
        <w:rPr>
          <w:rFonts w:ascii="Times New Roman" w:hAnsi="Times New Roman" w:cs="Times New Roman"/>
          <w:color w:val="000000"/>
        </w:rPr>
        <w:t>‘</w:t>
      </w:r>
      <w:r w:rsidRPr="001144F2">
        <w:rPr>
          <w:rFonts w:ascii="Times New Roman" w:hAnsi="Times New Roman" w:cs="Times New Roman"/>
          <w:color w:val="000000"/>
        </w:rPr>
        <w:t xml:space="preserve">Demand and </w:t>
      </w:r>
      <w:r w:rsidR="009C4EB3">
        <w:rPr>
          <w:rFonts w:ascii="Times New Roman" w:hAnsi="Times New Roman" w:cs="Times New Roman"/>
          <w:color w:val="000000"/>
        </w:rPr>
        <w:t>S</w:t>
      </w:r>
      <w:r w:rsidRPr="001144F2">
        <w:rPr>
          <w:rFonts w:ascii="Times New Roman" w:hAnsi="Times New Roman" w:cs="Times New Roman"/>
          <w:color w:val="000000"/>
        </w:rPr>
        <w:t>upply-</w:t>
      </w:r>
      <w:r w:rsidR="009C4EB3">
        <w:rPr>
          <w:rFonts w:ascii="Times New Roman" w:hAnsi="Times New Roman" w:cs="Times New Roman"/>
          <w:color w:val="000000"/>
        </w:rPr>
        <w:t>S</w:t>
      </w:r>
      <w:r w:rsidRPr="001144F2">
        <w:rPr>
          <w:rFonts w:ascii="Times New Roman" w:hAnsi="Times New Roman" w:cs="Times New Roman"/>
          <w:color w:val="000000"/>
        </w:rPr>
        <w:t xml:space="preserve">ide </w:t>
      </w:r>
      <w:r w:rsidR="009C4EB3">
        <w:rPr>
          <w:rFonts w:ascii="Times New Roman" w:hAnsi="Times New Roman" w:cs="Times New Roman"/>
          <w:color w:val="000000"/>
        </w:rPr>
        <w:t>P</w:t>
      </w:r>
      <w:r w:rsidRPr="001144F2">
        <w:rPr>
          <w:rFonts w:ascii="Times New Roman" w:hAnsi="Times New Roman" w:cs="Times New Roman"/>
          <w:color w:val="000000"/>
        </w:rPr>
        <w:t xml:space="preserve">olicies and </w:t>
      </w:r>
      <w:r w:rsidR="009C4EB3">
        <w:rPr>
          <w:rFonts w:ascii="Times New Roman" w:hAnsi="Times New Roman" w:cs="Times New Roman"/>
          <w:color w:val="000000"/>
        </w:rPr>
        <w:t>U</w:t>
      </w:r>
      <w:r w:rsidRPr="001144F2">
        <w:rPr>
          <w:rFonts w:ascii="Times New Roman" w:hAnsi="Times New Roman" w:cs="Times New Roman"/>
          <w:color w:val="000000"/>
        </w:rPr>
        <w:t xml:space="preserve">nemployment: </w:t>
      </w:r>
      <w:r w:rsidR="009C4EB3">
        <w:rPr>
          <w:rFonts w:ascii="Times New Roman" w:hAnsi="Times New Roman" w:cs="Times New Roman"/>
          <w:color w:val="000000"/>
        </w:rPr>
        <w:t>P</w:t>
      </w:r>
      <w:r w:rsidRPr="001144F2">
        <w:rPr>
          <w:rFonts w:ascii="Times New Roman" w:hAnsi="Times New Roman" w:cs="Times New Roman"/>
          <w:color w:val="000000"/>
        </w:rPr>
        <w:t xml:space="preserve">olicy </w:t>
      </w:r>
      <w:r w:rsidR="009C4EB3">
        <w:rPr>
          <w:rFonts w:ascii="Times New Roman" w:hAnsi="Times New Roman" w:cs="Times New Roman"/>
          <w:color w:val="000000"/>
        </w:rPr>
        <w:t>I</w:t>
      </w:r>
      <w:r w:rsidRPr="001144F2">
        <w:rPr>
          <w:rFonts w:ascii="Times New Roman" w:hAnsi="Times New Roman" w:cs="Times New Roman"/>
          <w:color w:val="000000"/>
        </w:rPr>
        <w:t xml:space="preserve">mplications of the </w:t>
      </w:r>
      <w:r w:rsidR="009C4EB3">
        <w:rPr>
          <w:rFonts w:ascii="Times New Roman" w:hAnsi="Times New Roman" w:cs="Times New Roman"/>
          <w:color w:val="000000"/>
        </w:rPr>
        <w:t>I</w:t>
      </w:r>
      <w:r w:rsidRPr="001144F2">
        <w:rPr>
          <w:rFonts w:ascii="Times New Roman" w:hAnsi="Times New Roman" w:cs="Times New Roman"/>
          <w:color w:val="000000"/>
        </w:rPr>
        <w:t>nsider-</w:t>
      </w:r>
      <w:r w:rsidR="009C4EB3">
        <w:rPr>
          <w:rFonts w:ascii="Times New Roman" w:hAnsi="Times New Roman" w:cs="Times New Roman"/>
          <w:color w:val="000000"/>
        </w:rPr>
        <w:t>O</w:t>
      </w:r>
      <w:r w:rsidRPr="001144F2">
        <w:rPr>
          <w:rFonts w:ascii="Times New Roman" w:hAnsi="Times New Roman" w:cs="Times New Roman"/>
          <w:color w:val="000000"/>
        </w:rPr>
        <w:t xml:space="preserve">utsider </w:t>
      </w:r>
      <w:r w:rsidR="009C4EB3">
        <w:rPr>
          <w:rFonts w:ascii="Times New Roman" w:hAnsi="Times New Roman" w:cs="Times New Roman"/>
          <w:color w:val="000000"/>
        </w:rPr>
        <w:t>A</w:t>
      </w:r>
      <w:r w:rsidRPr="001144F2">
        <w:rPr>
          <w:rFonts w:ascii="Times New Roman" w:hAnsi="Times New Roman" w:cs="Times New Roman"/>
          <w:color w:val="000000"/>
        </w:rPr>
        <w:t>pproach</w:t>
      </w:r>
      <w:r w:rsidR="00116BEC" w:rsidRPr="001144F2">
        <w:rPr>
          <w:rFonts w:ascii="Times New Roman" w:hAnsi="Times New Roman" w:cs="Times New Roman"/>
          <w:color w:val="000000"/>
        </w:rPr>
        <w:t>’</w:t>
      </w:r>
      <w:r w:rsidRPr="001144F2">
        <w:rPr>
          <w:rFonts w:ascii="Times New Roman" w:hAnsi="Times New Roman" w:cs="Times New Roman"/>
          <w:color w:val="000000"/>
        </w:rPr>
        <w:t xml:space="preserve">. </w:t>
      </w:r>
      <w:r w:rsidRPr="001144F2">
        <w:rPr>
          <w:rFonts w:ascii="Times New Roman" w:hAnsi="Times New Roman" w:cs="Times New Roman"/>
          <w:i/>
          <w:color w:val="000000"/>
        </w:rPr>
        <w:t>Scandinavian Journal of Economics</w:t>
      </w:r>
      <w:r w:rsidR="009C4EB3">
        <w:rPr>
          <w:rFonts w:ascii="Times New Roman" w:hAnsi="Times New Roman" w:cs="Times New Roman"/>
          <w:i/>
          <w:color w:val="000000"/>
        </w:rPr>
        <w:t>,</w:t>
      </w:r>
      <w:r w:rsidRPr="001144F2">
        <w:rPr>
          <w:rFonts w:ascii="Times New Roman" w:hAnsi="Times New Roman" w:cs="Times New Roman"/>
          <w:color w:val="000000"/>
        </w:rPr>
        <w:t xml:space="preserve"> 92</w:t>
      </w:r>
      <w:r w:rsidR="009C4EB3">
        <w:rPr>
          <w:rFonts w:ascii="Times New Roman" w:hAnsi="Times New Roman" w:cs="Times New Roman"/>
          <w:color w:val="000000"/>
        </w:rPr>
        <w:t xml:space="preserve">, </w:t>
      </w:r>
      <w:r w:rsidRPr="001144F2">
        <w:rPr>
          <w:rFonts w:ascii="Times New Roman" w:hAnsi="Times New Roman" w:cs="Times New Roman"/>
          <w:color w:val="000000"/>
        </w:rPr>
        <w:t>2</w:t>
      </w:r>
      <w:r w:rsidR="009C4EB3">
        <w:rPr>
          <w:rFonts w:ascii="Times New Roman" w:hAnsi="Times New Roman" w:cs="Times New Roman"/>
          <w:color w:val="000000"/>
        </w:rPr>
        <w:t>,</w:t>
      </w:r>
      <w:r w:rsidRPr="001144F2">
        <w:rPr>
          <w:rFonts w:ascii="Times New Roman" w:hAnsi="Times New Roman" w:cs="Times New Roman"/>
          <w:color w:val="000000"/>
        </w:rPr>
        <w:t xml:space="preserve"> 279-305.</w:t>
      </w:r>
    </w:p>
    <w:p w14:paraId="138A570C" w14:textId="77777777" w:rsidR="001144F2" w:rsidRDefault="001144F2" w:rsidP="00D67EC8">
      <w:pPr>
        <w:spacing w:line="480" w:lineRule="auto"/>
        <w:rPr>
          <w:rFonts w:ascii="Times New Roman" w:eastAsia="Calibri" w:hAnsi="Times New Roman" w:cs="Times New Roman"/>
        </w:rPr>
      </w:pPr>
    </w:p>
    <w:p w14:paraId="6BEF003C" w14:textId="35790CF0" w:rsidR="00F16B5B" w:rsidRPr="001144F2" w:rsidRDefault="00F16B5B" w:rsidP="00D67EC8">
      <w:pPr>
        <w:spacing w:line="480" w:lineRule="auto"/>
        <w:rPr>
          <w:rFonts w:ascii="Times New Roman" w:eastAsia="Calibri" w:hAnsi="Times New Roman" w:cs="Times New Roman"/>
        </w:rPr>
      </w:pPr>
      <w:r w:rsidRPr="001144F2">
        <w:rPr>
          <w:rFonts w:ascii="Times New Roman" w:eastAsia="Calibri" w:hAnsi="Times New Roman" w:cs="Times New Roman"/>
        </w:rPr>
        <w:t>Mailand, M. (2010)</w:t>
      </w:r>
      <w:r w:rsidR="009C4EB3">
        <w:rPr>
          <w:rFonts w:ascii="Times New Roman" w:eastAsia="Calibri" w:hAnsi="Times New Roman" w:cs="Times New Roman"/>
        </w:rPr>
        <w:t xml:space="preserve">, </w:t>
      </w:r>
      <w:r w:rsidRPr="001144F2">
        <w:rPr>
          <w:rFonts w:ascii="Times New Roman" w:eastAsia="Calibri" w:hAnsi="Times New Roman" w:cs="Times New Roman"/>
        </w:rPr>
        <w:t xml:space="preserve">‘The Common European Flexicurity Principles: How a Fragile Consensus was Reached’, </w:t>
      </w:r>
      <w:r w:rsidRPr="001144F2">
        <w:rPr>
          <w:rFonts w:ascii="Times New Roman" w:eastAsia="Calibri" w:hAnsi="Times New Roman" w:cs="Times New Roman"/>
          <w:i/>
        </w:rPr>
        <w:t>European Journal of Industrial Relations</w:t>
      </w:r>
      <w:r w:rsidRPr="001144F2">
        <w:rPr>
          <w:rFonts w:ascii="Times New Roman" w:eastAsia="Calibri" w:hAnsi="Times New Roman" w:cs="Times New Roman"/>
        </w:rPr>
        <w:t>, 16</w:t>
      </w:r>
      <w:r w:rsidR="009C4EB3">
        <w:rPr>
          <w:rFonts w:ascii="Times New Roman" w:eastAsia="Calibri" w:hAnsi="Times New Roman" w:cs="Times New Roman"/>
        </w:rPr>
        <w:t xml:space="preserve">, </w:t>
      </w:r>
      <w:r w:rsidRPr="001144F2">
        <w:rPr>
          <w:rFonts w:ascii="Times New Roman" w:eastAsia="Calibri" w:hAnsi="Times New Roman" w:cs="Times New Roman"/>
        </w:rPr>
        <w:t>3</w:t>
      </w:r>
      <w:r w:rsidR="009C4EB3">
        <w:rPr>
          <w:rFonts w:ascii="Times New Roman" w:eastAsia="Calibri" w:hAnsi="Times New Roman" w:cs="Times New Roman"/>
        </w:rPr>
        <w:t>,</w:t>
      </w:r>
      <w:r w:rsidRPr="001144F2">
        <w:rPr>
          <w:rFonts w:ascii="Times New Roman" w:eastAsia="Calibri" w:hAnsi="Times New Roman" w:cs="Times New Roman"/>
        </w:rPr>
        <w:t xml:space="preserve"> 1-16</w:t>
      </w:r>
    </w:p>
    <w:p w14:paraId="43F6BE4A" w14:textId="7DBF970E" w:rsidR="00F16B5B" w:rsidRDefault="00F16B5B" w:rsidP="00D67EC8">
      <w:pPr>
        <w:spacing w:line="480" w:lineRule="auto"/>
        <w:rPr>
          <w:rFonts w:ascii="Times New Roman" w:eastAsia="Calibri" w:hAnsi="Times New Roman" w:cs="Times New Roman"/>
        </w:rPr>
      </w:pPr>
      <w:r w:rsidRPr="001144F2">
        <w:rPr>
          <w:rFonts w:ascii="Times New Roman" w:eastAsia="Calibri" w:hAnsi="Times New Roman" w:cs="Times New Roman"/>
        </w:rPr>
        <w:lastRenderedPageBreak/>
        <w:t>Meager, N. (2009)</w:t>
      </w:r>
      <w:r w:rsidR="009C4EB3">
        <w:rPr>
          <w:rFonts w:ascii="Times New Roman" w:eastAsia="Calibri" w:hAnsi="Times New Roman" w:cs="Times New Roman"/>
        </w:rPr>
        <w:t>,</w:t>
      </w:r>
      <w:r w:rsidRPr="001144F2">
        <w:rPr>
          <w:rFonts w:ascii="Times New Roman" w:eastAsia="Calibri" w:hAnsi="Times New Roman" w:cs="Times New Roman"/>
        </w:rPr>
        <w:t xml:space="preserve"> ‘The </w:t>
      </w:r>
      <w:r w:rsidR="009C4EB3">
        <w:rPr>
          <w:rFonts w:ascii="Times New Roman" w:eastAsia="Calibri" w:hAnsi="Times New Roman" w:cs="Times New Roman"/>
        </w:rPr>
        <w:t>R</w:t>
      </w:r>
      <w:r w:rsidRPr="001144F2">
        <w:rPr>
          <w:rFonts w:ascii="Times New Roman" w:eastAsia="Calibri" w:hAnsi="Times New Roman" w:cs="Times New Roman"/>
        </w:rPr>
        <w:t xml:space="preserve">ole of </w:t>
      </w:r>
      <w:r w:rsidR="009C4EB3">
        <w:rPr>
          <w:rFonts w:ascii="Times New Roman" w:eastAsia="Calibri" w:hAnsi="Times New Roman" w:cs="Times New Roman"/>
        </w:rPr>
        <w:t>T</w:t>
      </w:r>
      <w:r w:rsidRPr="001144F2">
        <w:rPr>
          <w:rFonts w:ascii="Times New Roman" w:eastAsia="Calibri" w:hAnsi="Times New Roman" w:cs="Times New Roman"/>
        </w:rPr>
        <w:t xml:space="preserve">raining and </w:t>
      </w:r>
      <w:r w:rsidR="009C4EB3">
        <w:rPr>
          <w:rFonts w:ascii="Times New Roman" w:eastAsia="Calibri" w:hAnsi="Times New Roman" w:cs="Times New Roman"/>
        </w:rPr>
        <w:t>S</w:t>
      </w:r>
      <w:r w:rsidRPr="001144F2">
        <w:rPr>
          <w:rFonts w:ascii="Times New Roman" w:eastAsia="Calibri" w:hAnsi="Times New Roman" w:cs="Times New Roman"/>
        </w:rPr>
        <w:t xml:space="preserve">kills </w:t>
      </w:r>
      <w:r w:rsidR="009C4EB3">
        <w:rPr>
          <w:rFonts w:ascii="Times New Roman" w:eastAsia="Calibri" w:hAnsi="Times New Roman" w:cs="Times New Roman"/>
        </w:rPr>
        <w:t>D</w:t>
      </w:r>
      <w:r w:rsidRPr="001144F2">
        <w:rPr>
          <w:rFonts w:ascii="Times New Roman" w:eastAsia="Calibri" w:hAnsi="Times New Roman" w:cs="Times New Roman"/>
        </w:rPr>
        <w:t xml:space="preserve">evelopment in </w:t>
      </w:r>
      <w:r w:rsidR="009C4EB3">
        <w:rPr>
          <w:rFonts w:ascii="Times New Roman" w:eastAsia="Calibri" w:hAnsi="Times New Roman" w:cs="Times New Roman"/>
        </w:rPr>
        <w:t>A</w:t>
      </w:r>
      <w:r w:rsidRPr="001144F2">
        <w:rPr>
          <w:rFonts w:ascii="Times New Roman" w:eastAsia="Calibri" w:hAnsi="Times New Roman" w:cs="Times New Roman"/>
        </w:rPr>
        <w:t xml:space="preserve">ctive </w:t>
      </w:r>
      <w:r w:rsidR="009C4EB3">
        <w:rPr>
          <w:rFonts w:ascii="Times New Roman" w:eastAsia="Calibri" w:hAnsi="Times New Roman" w:cs="Times New Roman"/>
        </w:rPr>
        <w:t>L</w:t>
      </w:r>
      <w:r w:rsidRPr="001144F2">
        <w:rPr>
          <w:rFonts w:ascii="Times New Roman" w:eastAsia="Calibri" w:hAnsi="Times New Roman" w:cs="Times New Roman"/>
        </w:rPr>
        <w:t xml:space="preserve">abour </w:t>
      </w:r>
      <w:r w:rsidR="009C4EB3">
        <w:rPr>
          <w:rFonts w:ascii="Times New Roman" w:eastAsia="Calibri" w:hAnsi="Times New Roman" w:cs="Times New Roman"/>
        </w:rPr>
        <w:t>M</w:t>
      </w:r>
      <w:r w:rsidRPr="001144F2">
        <w:rPr>
          <w:rFonts w:ascii="Times New Roman" w:eastAsia="Calibri" w:hAnsi="Times New Roman" w:cs="Times New Roman"/>
        </w:rPr>
        <w:t xml:space="preserve">arket </w:t>
      </w:r>
      <w:r w:rsidR="009C4EB3">
        <w:rPr>
          <w:rFonts w:ascii="Times New Roman" w:eastAsia="Calibri" w:hAnsi="Times New Roman" w:cs="Times New Roman"/>
        </w:rPr>
        <w:t>P</w:t>
      </w:r>
      <w:r w:rsidRPr="001144F2">
        <w:rPr>
          <w:rFonts w:ascii="Times New Roman" w:eastAsia="Calibri" w:hAnsi="Times New Roman" w:cs="Times New Roman"/>
        </w:rPr>
        <w:t xml:space="preserve">olicies’, </w:t>
      </w:r>
      <w:r w:rsidRPr="001144F2">
        <w:rPr>
          <w:rFonts w:ascii="Times New Roman" w:eastAsia="Calibri" w:hAnsi="Times New Roman" w:cs="Times New Roman"/>
          <w:i/>
        </w:rPr>
        <w:t>International Journal of Training and Development</w:t>
      </w:r>
      <w:r w:rsidRPr="001144F2">
        <w:rPr>
          <w:rFonts w:ascii="Times New Roman" w:eastAsia="Calibri" w:hAnsi="Times New Roman" w:cs="Times New Roman"/>
        </w:rPr>
        <w:t>, 13, 1</w:t>
      </w:r>
      <w:r w:rsidR="009C4EB3">
        <w:rPr>
          <w:rFonts w:ascii="Times New Roman" w:eastAsia="Calibri" w:hAnsi="Times New Roman" w:cs="Times New Roman"/>
        </w:rPr>
        <w:t>,</w:t>
      </w:r>
      <w:r w:rsidRPr="001144F2">
        <w:rPr>
          <w:rFonts w:ascii="Times New Roman" w:eastAsia="Calibri" w:hAnsi="Times New Roman" w:cs="Times New Roman"/>
        </w:rPr>
        <w:t xml:space="preserve"> 1-18.</w:t>
      </w:r>
    </w:p>
    <w:p w14:paraId="12AB4B5D" w14:textId="780B86F2" w:rsidR="00B058A4" w:rsidRPr="001144F2" w:rsidRDefault="00B058A4" w:rsidP="00D67EC8">
      <w:pPr>
        <w:spacing w:line="480" w:lineRule="auto"/>
        <w:rPr>
          <w:rFonts w:ascii="Times New Roman" w:eastAsia="Calibri" w:hAnsi="Times New Roman" w:cs="Times New Roman"/>
        </w:rPr>
      </w:pPr>
      <w:r>
        <w:rPr>
          <w:rFonts w:ascii="Times New Roman" w:eastAsia="Calibri" w:hAnsi="Times New Roman" w:cs="Times New Roman"/>
        </w:rPr>
        <w:t xml:space="preserve">Meardi, G. (2014), ‘Italian and Spanish Employment Reforms in the Great Recession, in </w:t>
      </w:r>
      <w:r w:rsidR="004E1023">
        <w:rPr>
          <w:rFonts w:ascii="Times New Roman" w:eastAsia="Calibri" w:hAnsi="Times New Roman" w:cs="Times New Roman"/>
        </w:rPr>
        <w:t xml:space="preserve">M. Hauptmeier and M. Vidal (eds), </w:t>
      </w:r>
      <w:r w:rsidR="004E1023" w:rsidRPr="00B712C2">
        <w:rPr>
          <w:rFonts w:ascii="Times New Roman" w:eastAsia="Calibri" w:hAnsi="Times New Roman" w:cs="Times New Roman"/>
          <w:i/>
        </w:rPr>
        <w:t>Comparative Political Economy of Work</w:t>
      </w:r>
      <w:r w:rsidR="004E1023">
        <w:rPr>
          <w:rFonts w:ascii="Times New Roman" w:eastAsia="Calibri" w:hAnsi="Times New Roman" w:cs="Times New Roman"/>
        </w:rPr>
        <w:t xml:space="preserve"> (Basingstoke: Palgrave Macmillan).</w:t>
      </w:r>
    </w:p>
    <w:p w14:paraId="49B50D94" w14:textId="64546992" w:rsidR="00F16B5B" w:rsidRPr="003024E8" w:rsidRDefault="00F16B5B" w:rsidP="00D67EC8">
      <w:pPr>
        <w:spacing w:line="480" w:lineRule="auto"/>
        <w:rPr>
          <w:rFonts w:ascii="Times New Roman" w:hAnsi="Times New Roman" w:cs="Times New Roman"/>
        </w:rPr>
      </w:pPr>
      <w:r w:rsidRPr="003024E8">
        <w:rPr>
          <w:rFonts w:ascii="Times New Roman" w:hAnsi="Times New Roman" w:cs="Times New Roman"/>
        </w:rPr>
        <w:t>Michie, J. and Sheehan, M. (2003)</w:t>
      </w:r>
      <w:r w:rsidR="009C4EB3">
        <w:rPr>
          <w:rFonts w:ascii="Times New Roman" w:hAnsi="Times New Roman" w:cs="Times New Roman"/>
        </w:rPr>
        <w:t>,</w:t>
      </w:r>
      <w:r w:rsidRPr="003024E8">
        <w:rPr>
          <w:rFonts w:ascii="Times New Roman" w:hAnsi="Times New Roman" w:cs="Times New Roman"/>
        </w:rPr>
        <w:t xml:space="preserve"> ‘Labour </w:t>
      </w:r>
      <w:r w:rsidR="009C4EB3">
        <w:rPr>
          <w:rFonts w:ascii="Times New Roman" w:hAnsi="Times New Roman" w:cs="Times New Roman"/>
        </w:rPr>
        <w:t>M</w:t>
      </w:r>
      <w:r w:rsidRPr="003024E8">
        <w:rPr>
          <w:rFonts w:ascii="Times New Roman" w:hAnsi="Times New Roman" w:cs="Times New Roman"/>
        </w:rPr>
        <w:t xml:space="preserve">arket </w:t>
      </w:r>
      <w:r w:rsidR="009C4EB3">
        <w:rPr>
          <w:rFonts w:ascii="Times New Roman" w:hAnsi="Times New Roman" w:cs="Times New Roman"/>
        </w:rPr>
        <w:t>D</w:t>
      </w:r>
      <w:r w:rsidRPr="003024E8">
        <w:rPr>
          <w:rFonts w:ascii="Times New Roman" w:hAnsi="Times New Roman" w:cs="Times New Roman"/>
        </w:rPr>
        <w:t>eregulation, “</w:t>
      </w:r>
      <w:r w:rsidR="009C4EB3">
        <w:rPr>
          <w:rFonts w:ascii="Times New Roman" w:hAnsi="Times New Roman" w:cs="Times New Roman"/>
        </w:rPr>
        <w:t>F</w:t>
      </w:r>
      <w:r w:rsidRPr="003024E8">
        <w:rPr>
          <w:rFonts w:ascii="Times New Roman" w:hAnsi="Times New Roman" w:cs="Times New Roman"/>
        </w:rPr>
        <w:t xml:space="preserve">lexibility” and </w:t>
      </w:r>
      <w:r w:rsidR="009C4EB3">
        <w:rPr>
          <w:rFonts w:ascii="Times New Roman" w:hAnsi="Times New Roman" w:cs="Times New Roman"/>
        </w:rPr>
        <w:t>I</w:t>
      </w:r>
      <w:r w:rsidRPr="003024E8">
        <w:rPr>
          <w:rFonts w:ascii="Times New Roman" w:hAnsi="Times New Roman" w:cs="Times New Roman"/>
        </w:rPr>
        <w:t xml:space="preserve">nnovation’, </w:t>
      </w:r>
      <w:r w:rsidRPr="001F0D13">
        <w:rPr>
          <w:rFonts w:ascii="Times New Roman" w:hAnsi="Times New Roman" w:cs="Times New Roman"/>
          <w:i/>
        </w:rPr>
        <w:t>Cambridge Journal of Economics</w:t>
      </w:r>
      <w:r w:rsidRPr="00CB4FA1">
        <w:rPr>
          <w:rFonts w:ascii="Times New Roman" w:hAnsi="Times New Roman" w:cs="Times New Roman"/>
        </w:rPr>
        <w:t>, 27</w:t>
      </w:r>
      <w:r w:rsidR="009C4EB3">
        <w:rPr>
          <w:rFonts w:ascii="Times New Roman" w:hAnsi="Times New Roman" w:cs="Times New Roman"/>
        </w:rPr>
        <w:t>,</w:t>
      </w:r>
      <w:r w:rsidRPr="00CB4FA1">
        <w:rPr>
          <w:rFonts w:ascii="Times New Roman" w:hAnsi="Times New Roman" w:cs="Times New Roman"/>
        </w:rPr>
        <w:t xml:space="preserve"> 123-143.</w:t>
      </w:r>
    </w:p>
    <w:p w14:paraId="183FA979" w14:textId="2DB16E56" w:rsidR="00926719" w:rsidRPr="006E1CB1" w:rsidRDefault="00926719" w:rsidP="00D67EC8">
      <w:pPr>
        <w:spacing w:line="480" w:lineRule="auto"/>
        <w:rPr>
          <w:rFonts w:ascii="Times New Roman" w:hAnsi="Times New Roman" w:cs="Times New Roman"/>
        </w:rPr>
      </w:pPr>
      <w:r w:rsidRPr="006E1CB1">
        <w:rPr>
          <w:rFonts w:ascii="Times New Roman" w:hAnsi="Times New Roman" w:cs="Times New Roman"/>
        </w:rPr>
        <w:t>Nickell, S. and Layard, R. (1999)</w:t>
      </w:r>
      <w:r w:rsidR="009C4EB3">
        <w:rPr>
          <w:rFonts w:ascii="Times New Roman" w:hAnsi="Times New Roman" w:cs="Times New Roman"/>
        </w:rPr>
        <w:t>,</w:t>
      </w:r>
      <w:r w:rsidRPr="006E1CB1">
        <w:rPr>
          <w:rFonts w:ascii="Times New Roman" w:hAnsi="Times New Roman" w:cs="Times New Roman"/>
        </w:rPr>
        <w:t xml:space="preserve"> ‘Labour </w:t>
      </w:r>
      <w:r w:rsidR="009C4EB3">
        <w:rPr>
          <w:rFonts w:ascii="Times New Roman" w:hAnsi="Times New Roman" w:cs="Times New Roman"/>
        </w:rPr>
        <w:t>M</w:t>
      </w:r>
      <w:r w:rsidRPr="006E1CB1">
        <w:rPr>
          <w:rFonts w:ascii="Times New Roman" w:hAnsi="Times New Roman" w:cs="Times New Roman"/>
        </w:rPr>
        <w:t xml:space="preserve">arket </w:t>
      </w:r>
      <w:r w:rsidR="009C4EB3">
        <w:rPr>
          <w:rFonts w:ascii="Times New Roman" w:hAnsi="Times New Roman" w:cs="Times New Roman"/>
        </w:rPr>
        <w:t>I</w:t>
      </w:r>
      <w:r w:rsidRPr="006E1CB1">
        <w:rPr>
          <w:rFonts w:ascii="Times New Roman" w:hAnsi="Times New Roman" w:cs="Times New Roman"/>
        </w:rPr>
        <w:t xml:space="preserve">nstitutions and </w:t>
      </w:r>
      <w:r w:rsidR="009C4EB3">
        <w:rPr>
          <w:rFonts w:ascii="Times New Roman" w:hAnsi="Times New Roman" w:cs="Times New Roman"/>
        </w:rPr>
        <w:t>E</w:t>
      </w:r>
      <w:r w:rsidRPr="006E1CB1">
        <w:rPr>
          <w:rFonts w:ascii="Times New Roman" w:hAnsi="Times New Roman" w:cs="Times New Roman"/>
        </w:rPr>
        <w:t xml:space="preserve">conomic </w:t>
      </w:r>
      <w:r w:rsidR="009C4EB3">
        <w:rPr>
          <w:rFonts w:ascii="Times New Roman" w:hAnsi="Times New Roman" w:cs="Times New Roman"/>
        </w:rPr>
        <w:t>P</w:t>
      </w:r>
      <w:r w:rsidRPr="006E1CB1">
        <w:rPr>
          <w:rFonts w:ascii="Times New Roman" w:hAnsi="Times New Roman" w:cs="Times New Roman"/>
        </w:rPr>
        <w:t xml:space="preserve">erformance’, in </w:t>
      </w:r>
      <w:r w:rsidR="009C4EB3">
        <w:rPr>
          <w:rFonts w:ascii="Times New Roman" w:hAnsi="Times New Roman" w:cs="Times New Roman"/>
        </w:rPr>
        <w:t xml:space="preserve">O. </w:t>
      </w:r>
      <w:r w:rsidRPr="006E1CB1">
        <w:rPr>
          <w:rFonts w:ascii="Times New Roman" w:hAnsi="Times New Roman" w:cs="Times New Roman"/>
        </w:rPr>
        <w:t xml:space="preserve">Ashenfelter and </w:t>
      </w:r>
      <w:r w:rsidR="009C4EB3">
        <w:rPr>
          <w:rFonts w:ascii="Times New Roman" w:hAnsi="Times New Roman" w:cs="Times New Roman"/>
        </w:rPr>
        <w:t xml:space="preserve">D. </w:t>
      </w:r>
      <w:r w:rsidRPr="006E1CB1">
        <w:rPr>
          <w:rFonts w:ascii="Times New Roman" w:hAnsi="Times New Roman" w:cs="Times New Roman"/>
        </w:rPr>
        <w:t>Card, D. (eds)</w:t>
      </w:r>
      <w:r w:rsidR="009C4EB3">
        <w:rPr>
          <w:rFonts w:ascii="Times New Roman" w:hAnsi="Times New Roman" w:cs="Times New Roman"/>
        </w:rPr>
        <w:t>,</w:t>
      </w:r>
      <w:r w:rsidRPr="006E1CB1">
        <w:rPr>
          <w:rFonts w:ascii="Times New Roman" w:hAnsi="Times New Roman" w:cs="Times New Roman"/>
        </w:rPr>
        <w:t xml:space="preserve"> </w:t>
      </w:r>
      <w:r w:rsidRPr="006E1CB1">
        <w:rPr>
          <w:rFonts w:ascii="Times New Roman" w:hAnsi="Times New Roman" w:cs="Times New Roman"/>
          <w:i/>
        </w:rPr>
        <w:t>Handbook of Labour Economics</w:t>
      </w:r>
      <w:r w:rsidRPr="006E1CB1">
        <w:rPr>
          <w:rFonts w:ascii="Times New Roman" w:hAnsi="Times New Roman" w:cs="Times New Roman"/>
        </w:rPr>
        <w:t>, 3</w:t>
      </w:r>
      <w:r w:rsidR="009C4EB3">
        <w:rPr>
          <w:rFonts w:ascii="Times New Roman" w:hAnsi="Times New Roman" w:cs="Times New Roman"/>
        </w:rPr>
        <w:t xml:space="preserve">, </w:t>
      </w:r>
      <w:r w:rsidRPr="006E1CB1">
        <w:rPr>
          <w:rFonts w:ascii="Times New Roman" w:hAnsi="Times New Roman" w:cs="Times New Roman"/>
        </w:rPr>
        <w:t>3, 3029-84</w:t>
      </w:r>
      <w:r w:rsidR="009C4EB3">
        <w:rPr>
          <w:rFonts w:ascii="Times New Roman" w:hAnsi="Times New Roman" w:cs="Times New Roman"/>
        </w:rPr>
        <w:t xml:space="preserve"> (</w:t>
      </w:r>
      <w:r w:rsidRPr="006E1CB1">
        <w:rPr>
          <w:rFonts w:ascii="Times New Roman" w:hAnsi="Times New Roman" w:cs="Times New Roman"/>
        </w:rPr>
        <w:t>Amsterdam</w:t>
      </w:r>
      <w:r w:rsidR="009C4EB3">
        <w:rPr>
          <w:rFonts w:ascii="Times New Roman" w:hAnsi="Times New Roman" w:cs="Times New Roman"/>
        </w:rPr>
        <w:t>,</w:t>
      </w:r>
      <w:r w:rsidRPr="006E1CB1">
        <w:rPr>
          <w:rFonts w:ascii="Times New Roman" w:hAnsi="Times New Roman" w:cs="Times New Roman"/>
        </w:rPr>
        <w:t xml:space="preserve"> North-Holland</w:t>
      </w:r>
      <w:r w:rsidR="009C4EB3">
        <w:rPr>
          <w:rFonts w:ascii="Times New Roman" w:hAnsi="Times New Roman" w:cs="Times New Roman"/>
        </w:rPr>
        <w:t>)</w:t>
      </w:r>
      <w:r w:rsidRPr="006E1CB1">
        <w:rPr>
          <w:rFonts w:ascii="Times New Roman" w:hAnsi="Times New Roman" w:cs="Times New Roman"/>
        </w:rPr>
        <w:t>.</w:t>
      </w:r>
    </w:p>
    <w:p w14:paraId="19C4F56D" w14:textId="3378F807" w:rsidR="00E13E23" w:rsidRPr="00807BAB" w:rsidRDefault="00BC3823" w:rsidP="00D67EC8">
      <w:pPr>
        <w:autoSpaceDE w:val="0"/>
        <w:autoSpaceDN w:val="0"/>
        <w:adjustRightInd w:val="0"/>
        <w:spacing w:after="0" w:afterAutospacing="0" w:line="480" w:lineRule="auto"/>
        <w:rPr>
          <w:rFonts w:ascii="Times New Roman" w:hAnsi="Times New Roman" w:cs="Times New Roman"/>
          <w:color w:val="000000"/>
        </w:rPr>
      </w:pPr>
      <w:r w:rsidRPr="00807BAB">
        <w:rPr>
          <w:rFonts w:ascii="Times New Roman" w:hAnsi="Times New Roman" w:cs="Times New Roman"/>
          <w:color w:val="000000"/>
        </w:rPr>
        <w:t xml:space="preserve">Noelke, C. (2011) ‘The </w:t>
      </w:r>
      <w:r w:rsidR="009C4EB3">
        <w:rPr>
          <w:rFonts w:ascii="Times New Roman" w:hAnsi="Times New Roman" w:cs="Times New Roman"/>
          <w:color w:val="000000"/>
        </w:rPr>
        <w:t>C</w:t>
      </w:r>
      <w:r w:rsidRPr="00807BAB">
        <w:rPr>
          <w:rFonts w:ascii="Times New Roman" w:hAnsi="Times New Roman" w:cs="Times New Roman"/>
          <w:color w:val="000000"/>
        </w:rPr>
        <w:t xml:space="preserve">onsequences of </w:t>
      </w:r>
      <w:r w:rsidR="009C4EB3">
        <w:rPr>
          <w:rFonts w:ascii="Times New Roman" w:hAnsi="Times New Roman" w:cs="Times New Roman"/>
          <w:color w:val="000000"/>
        </w:rPr>
        <w:t>E</w:t>
      </w:r>
      <w:r w:rsidRPr="00807BAB">
        <w:rPr>
          <w:rFonts w:ascii="Times New Roman" w:hAnsi="Times New Roman" w:cs="Times New Roman"/>
          <w:color w:val="000000"/>
        </w:rPr>
        <w:t xml:space="preserve">mployment </w:t>
      </w:r>
      <w:r w:rsidR="009C4EB3">
        <w:rPr>
          <w:rFonts w:ascii="Times New Roman" w:hAnsi="Times New Roman" w:cs="Times New Roman"/>
          <w:color w:val="000000"/>
        </w:rPr>
        <w:t>P</w:t>
      </w:r>
      <w:r w:rsidRPr="00807BAB">
        <w:rPr>
          <w:rFonts w:ascii="Times New Roman" w:hAnsi="Times New Roman" w:cs="Times New Roman"/>
          <w:color w:val="000000"/>
        </w:rPr>
        <w:t xml:space="preserve">rotection </w:t>
      </w:r>
      <w:r w:rsidR="009C4EB3">
        <w:rPr>
          <w:rFonts w:ascii="Times New Roman" w:hAnsi="Times New Roman" w:cs="Times New Roman"/>
          <w:color w:val="000000"/>
        </w:rPr>
        <w:t>L</w:t>
      </w:r>
      <w:r w:rsidRPr="00807BAB">
        <w:rPr>
          <w:rFonts w:ascii="Times New Roman" w:hAnsi="Times New Roman" w:cs="Times New Roman"/>
          <w:color w:val="000000"/>
        </w:rPr>
        <w:t xml:space="preserve">egislation for the </w:t>
      </w:r>
      <w:r w:rsidR="009C4EB3">
        <w:rPr>
          <w:rFonts w:ascii="Times New Roman" w:hAnsi="Times New Roman" w:cs="Times New Roman"/>
          <w:color w:val="000000"/>
        </w:rPr>
        <w:t>Y</w:t>
      </w:r>
      <w:r w:rsidRPr="00807BAB">
        <w:rPr>
          <w:rFonts w:ascii="Times New Roman" w:hAnsi="Times New Roman" w:cs="Times New Roman"/>
          <w:color w:val="000000"/>
        </w:rPr>
        <w:t xml:space="preserve">outh </w:t>
      </w:r>
      <w:r w:rsidR="009C4EB3">
        <w:rPr>
          <w:rFonts w:ascii="Times New Roman" w:hAnsi="Times New Roman" w:cs="Times New Roman"/>
          <w:color w:val="000000"/>
        </w:rPr>
        <w:t>L</w:t>
      </w:r>
      <w:r w:rsidRPr="00807BAB">
        <w:rPr>
          <w:rFonts w:ascii="Times New Roman" w:hAnsi="Times New Roman" w:cs="Times New Roman"/>
          <w:color w:val="000000"/>
        </w:rPr>
        <w:t xml:space="preserve">abour </w:t>
      </w:r>
      <w:r w:rsidR="009C4EB3">
        <w:rPr>
          <w:rFonts w:ascii="Times New Roman" w:hAnsi="Times New Roman" w:cs="Times New Roman"/>
          <w:color w:val="000000"/>
        </w:rPr>
        <w:t>M</w:t>
      </w:r>
      <w:r w:rsidRPr="00807BAB">
        <w:rPr>
          <w:rFonts w:ascii="Times New Roman" w:hAnsi="Times New Roman" w:cs="Times New Roman"/>
          <w:color w:val="000000"/>
        </w:rPr>
        <w:t>arket’, Working Paper 144</w:t>
      </w:r>
      <w:r w:rsidR="009C4EB3">
        <w:rPr>
          <w:rFonts w:ascii="Times New Roman" w:hAnsi="Times New Roman" w:cs="Times New Roman"/>
          <w:color w:val="000000"/>
        </w:rPr>
        <w:t xml:space="preserve"> (</w:t>
      </w:r>
      <w:r w:rsidRPr="00807BAB">
        <w:rPr>
          <w:rFonts w:ascii="Times New Roman" w:hAnsi="Times New Roman" w:cs="Times New Roman"/>
          <w:color w:val="000000"/>
        </w:rPr>
        <w:t>Mannheimer Zentrum für Europäische Sozialforschung, University of Mannheim</w:t>
      </w:r>
      <w:r w:rsidR="009C4EB3">
        <w:rPr>
          <w:rFonts w:ascii="Times New Roman" w:hAnsi="Times New Roman" w:cs="Times New Roman"/>
          <w:color w:val="000000"/>
        </w:rPr>
        <w:t>)</w:t>
      </w:r>
      <w:r w:rsidRPr="00807BAB">
        <w:rPr>
          <w:rFonts w:ascii="Times New Roman" w:hAnsi="Times New Roman" w:cs="Times New Roman"/>
          <w:color w:val="000000"/>
        </w:rPr>
        <w:t>.</w:t>
      </w:r>
    </w:p>
    <w:p w14:paraId="6F8B81BA" w14:textId="77777777" w:rsidR="00F93FAF" w:rsidRDefault="00F93FAF" w:rsidP="00D67EC8">
      <w:pPr>
        <w:spacing w:line="480" w:lineRule="auto"/>
        <w:rPr>
          <w:rFonts w:ascii="Times New Roman" w:hAnsi="Times New Roman" w:cs="Times New Roman"/>
        </w:rPr>
      </w:pPr>
    </w:p>
    <w:p w14:paraId="627E1BD7" w14:textId="6ED82283" w:rsidR="00926719" w:rsidRPr="006E1CB1" w:rsidRDefault="00926719" w:rsidP="00D67EC8">
      <w:pPr>
        <w:spacing w:line="480" w:lineRule="auto"/>
        <w:rPr>
          <w:rFonts w:ascii="Times New Roman" w:hAnsi="Times New Roman" w:cs="Times New Roman"/>
        </w:rPr>
      </w:pPr>
      <w:r w:rsidRPr="006E1CB1">
        <w:rPr>
          <w:rFonts w:ascii="Times New Roman" w:hAnsi="Times New Roman" w:cs="Times New Roman"/>
        </w:rPr>
        <w:t>Nolan, P. (1994)</w:t>
      </w:r>
      <w:r w:rsidR="009C4EB3">
        <w:rPr>
          <w:rFonts w:ascii="Times New Roman" w:hAnsi="Times New Roman" w:cs="Times New Roman"/>
        </w:rPr>
        <w:t>,</w:t>
      </w:r>
      <w:r w:rsidRPr="006E1CB1">
        <w:rPr>
          <w:rFonts w:ascii="Times New Roman" w:hAnsi="Times New Roman" w:cs="Times New Roman"/>
        </w:rPr>
        <w:t xml:space="preserve"> ‘Labour </w:t>
      </w:r>
      <w:r w:rsidR="009C4EB3">
        <w:rPr>
          <w:rFonts w:ascii="Times New Roman" w:hAnsi="Times New Roman" w:cs="Times New Roman"/>
        </w:rPr>
        <w:t>M</w:t>
      </w:r>
      <w:r w:rsidRPr="006E1CB1">
        <w:rPr>
          <w:rFonts w:ascii="Times New Roman" w:hAnsi="Times New Roman" w:cs="Times New Roman"/>
        </w:rPr>
        <w:t xml:space="preserve">arket </w:t>
      </w:r>
      <w:r w:rsidR="009C4EB3">
        <w:rPr>
          <w:rFonts w:ascii="Times New Roman" w:hAnsi="Times New Roman" w:cs="Times New Roman"/>
        </w:rPr>
        <w:t>I</w:t>
      </w:r>
      <w:r w:rsidRPr="006E1CB1">
        <w:rPr>
          <w:rFonts w:ascii="Times New Roman" w:hAnsi="Times New Roman" w:cs="Times New Roman"/>
        </w:rPr>
        <w:t xml:space="preserve">nstitutions, </w:t>
      </w:r>
      <w:r w:rsidR="009C4EB3">
        <w:rPr>
          <w:rFonts w:ascii="Times New Roman" w:hAnsi="Times New Roman" w:cs="Times New Roman"/>
        </w:rPr>
        <w:t>I</w:t>
      </w:r>
      <w:r w:rsidRPr="006E1CB1">
        <w:rPr>
          <w:rFonts w:ascii="Times New Roman" w:hAnsi="Times New Roman" w:cs="Times New Roman"/>
        </w:rPr>
        <w:t xml:space="preserve">ndustrial </w:t>
      </w:r>
      <w:r w:rsidR="009C4EB3">
        <w:rPr>
          <w:rFonts w:ascii="Times New Roman" w:hAnsi="Times New Roman" w:cs="Times New Roman"/>
        </w:rPr>
        <w:t>R</w:t>
      </w:r>
      <w:r w:rsidRPr="006E1CB1">
        <w:rPr>
          <w:rFonts w:ascii="Times New Roman" w:hAnsi="Times New Roman" w:cs="Times New Roman"/>
        </w:rPr>
        <w:t xml:space="preserve">estructuring and </w:t>
      </w:r>
      <w:r w:rsidR="009C4EB3">
        <w:rPr>
          <w:rFonts w:ascii="Times New Roman" w:hAnsi="Times New Roman" w:cs="Times New Roman"/>
        </w:rPr>
        <w:t>U</w:t>
      </w:r>
      <w:r w:rsidRPr="006E1CB1">
        <w:rPr>
          <w:rFonts w:ascii="Times New Roman" w:hAnsi="Times New Roman" w:cs="Times New Roman"/>
        </w:rPr>
        <w:t>nemployment in Europe’, in Grieve-Smith, J. and Michie, J. (ed)</w:t>
      </w:r>
      <w:r w:rsidR="009C4EB3">
        <w:rPr>
          <w:rFonts w:ascii="Times New Roman" w:hAnsi="Times New Roman" w:cs="Times New Roman"/>
        </w:rPr>
        <w:t>,</w:t>
      </w:r>
      <w:r w:rsidRPr="006E1CB1">
        <w:rPr>
          <w:rFonts w:ascii="Times New Roman" w:hAnsi="Times New Roman" w:cs="Times New Roman"/>
        </w:rPr>
        <w:t xml:space="preserve"> </w:t>
      </w:r>
      <w:r w:rsidRPr="006E1CB1">
        <w:rPr>
          <w:rFonts w:ascii="Times New Roman" w:hAnsi="Times New Roman" w:cs="Times New Roman"/>
          <w:i/>
        </w:rPr>
        <w:t>Unemployment in Europe: Policies for Growth</w:t>
      </w:r>
      <w:r w:rsidRPr="006E1CB1">
        <w:rPr>
          <w:rFonts w:ascii="Times New Roman" w:hAnsi="Times New Roman" w:cs="Times New Roman"/>
        </w:rPr>
        <w:t xml:space="preserve"> </w:t>
      </w:r>
      <w:r w:rsidR="009C4EB3">
        <w:rPr>
          <w:rFonts w:ascii="Times New Roman" w:hAnsi="Times New Roman" w:cs="Times New Roman"/>
        </w:rPr>
        <w:t>(</w:t>
      </w:r>
      <w:r w:rsidRPr="006E1CB1">
        <w:rPr>
          <w:rFonts w:ascii="Times New Roman" w:hAnsi="Times New Roman" w:cs="Times New Roman"/>
        </w:rPr>
        <w:t>London</w:t>
      </w:r>
      <w:r w:rsidR="009C4EB3">
        <w:rPr>
          <w:rFonts w:ascii="Times New Roman" w:hAnsi="Times New Roman" w:cs="Times New Roman"/>
        </w:rPr>
        <w:t>,</w:t>
      </w:r>
      <w:r w:rsidRPr="006E1CB1">
        <w:rPr>
          <w:rFonts w:ascii="Times New Roman" w:hAnsi="Times New Roman" w:cs="Times New Roman"/>
        </w:rPr>
        <w:t xml:space="preserve"> Academic Press</w:t>
      </w:r>
      <w:r w:rsidR="009C4EB3">
        <w:rPr>
          <w:rFonts w:ascii="Times New Roman" w:hAnsi="Times New Roman" w:cs="Times New Roman"/>
        </w:rPr>
        <w:t>)</w:t>
      </w:r>
      <w:r w:rsidRPr="006E1CB1">
        <w:rPr>
          <w:rFonts w:ascii="Times New Roman" w:hAnsi="Times New Roman" w:cs="Times New Roman"/>
        </w:rPr>
        <w:t>.</w:t>
      </w:r>
    </w:p>
    <w:p w14:paraId="6056ADF9" w14:textId="4182517B" w:rsidR="007216E7" w:rsidRDefault="00673DB0" w:rsidP="00D67EC8">
      <w:pPr>
        <w:autoSpaceDE w:val="0"/>
        <w:autoSpaceDN w:val="0"/>
        <w:adjustRightInd w:val="0"/>
        <w:spacing w:after="0" w:afterAutospacing="0" w:line="480" w:lineRule="auto"/>
        <w:rPr>
          <w:rFonts w:ascii="Times New Roman" w:hAnsi="Times New Roman" w:cs="Times New Roman"/>
          <w:color w:val="000000"/>
        </w:rPr>
      </w:pPr>
      <w:r w:rsidRPr="00807BAB">
        <w:rPr>
          <w:rFonts w:ascii="Times New Roman" w:hAnsi="Times New Roman" w:cs="Times New Roman"/>
          <w:color w:val="000000"/>
        </w:rPr>
        <w:t xml:space="preserve">OECD (1994) </w:t>
      </w:r>
      <w:r w:rsidR="009C4EB3">
        <w:rPr>
          <w:rFonts w:ascii="Times New Roman" w:hAnsi="Times New Roman" w:cs="Times New Roman"/>
          <w:color w:val="000000"/>
        </w:rPr>
        <w:t>,</w:t>
      </w:r>
      <w:r w:rsidRPr="00807BAB">
        <w:rPr>
          <w:rFonts w:ascii="Times New Roman" w:hAnsi="Times New Roman" w:cs="Times New Roman"/>
          <w:i/>
          <w:color w:val="000000"/>
        </w:rPr>
        <w:t>Job Study: Facts, Analysis, Strategies</w:t>
      </w:r>
      <w:r w:rsidRPr="00807BAB">
        <w:rPr>
          <w:rFonts w:ascii="Times New Roman" w:hAnsi="Times New Roman" w:cs="Times New Roman"/>
          <w:color w:val="000000"/>
        </w:rPr>
        <w:t xml:space="preserve"> </w:t>
      </w:r>
      <w:r w:rsidR="009C4EB3">
        <w:rPr>
          <w:rFonts w:ascii="Times New Roman" w:hAnsi="Times New Roman" w:cs="Times New Roman"/>
          <w:color w:val="000000"/>
        </w:rPr>
        <w:t>(</w:t>
      </w:r>
      <w:r w:rsidRPr="00807BAB">
        <w:rPr>
          <w:rFonts w:ascii="Times New Roman" w:hAnsi="Times New Roman" w:cs="Times New Roman"/>
          <w:color w:val="000000"/>
        </w:rPr>
        <w:t>Paris</w:t>
      </w:r>
      <w:r w:rsidR="009C4EB3">
        <w:rPr>
          <w:rFonts w:ascii="Times New Roman" w:hAnsi="Times New Roman" w:cs="Times New Roman"/>
          <w:color w:val="000000"/>
        </w:rPr>
        <w:t>,</w:t>
      </w:r>
      <w:r w:rsidRPr="00807BAB">
        <w:rPr>
          <w:rFonts w:ascii="Times New Roman" w:hAnsi="Times New Roman" w:cs="Times New Roman"/>
          <w:color w:val="000000"/>
        </w:rPr>
        <w:t xml:space="preserve"> OECD</w:t>
      </w:r>
      <w:r w:rsidR="009C4EB3">
        <w:rPr>
          <w:rFonts w:ascii="Times New Roman" w:hAnsi="Times New Roman" w:cs="Times New Roman"/>
          <w:color w:val="000000"/>
        </w:rPr>
        <w:t>)</w:t>
      </w:r>
    </w:p>
    <w:p w14:paraId="27733CD2" w14:textId="77777777" w:rsidR="007216E7" w:rsidRDefault="007216E7" w:rsidP="00D67EC8">
      <w:pPr>
        <w:autoSpaceDE w:val="0"/>
        <w:autoSpaceDN w:val="0"/>
        <w:adjustRightInd w:val="0"/>
        <w:spacing w:after="0" w:afterAutospacing="0" w:line="480" w:lineRule="auto"/>
        <w:rPr>
          <w:rFonts w:ascii="Times New Roman" w:hAnsi="Times New Roman" w:cs="Times New Roman"/>
          <w:color w:val="000000"/>
        </w:rPr>
      </w:pPr>
    </w:p>
    <w:p w14:paraId="7033D93B" w14:textId="69989B39" w:rsidR="007216E7" w:rsidRPr="00F16B5B" w:rsidRDefault="007216E7" w:rsidP="00D67EC8">
      <w:pPr>
        <w:autoSpaceDE w:val="0"/>
        <w:autoSpaceDN w:val="0"/>
        <w:adjustRightInd w:val="0"/>
        <w:spacing w:after="0" w:afterAutospacing="0" w:line="480" w:lineRule="auto"/>
        <w:rPr>
          <w:rFonts w:ascii="Times New Roman" w:hAnsi="Times New Roman" w:cs="Times New Roman"/>
        </w:rPr>
      </w:pPr>
      <w:r w:rsidRPr="001C1F82">
        <w:rPr>
          <w:rFonts w:ascii="Times New Roman" w:hAnsi="Times New Roman"/>
        </w:rPr>
        <w:t>OECD (2009)</w:t>
      </w:r>
      <w:r w:rsidR="009C4EB3">
        <w:rPr>
          <w:rFonts w:ascii="Times New Roman" w:hAnsi="Times New Roman"/>
        </w:rPr>
        <w:t>,</w:t>
      </w:r>
      <w:r w:rsidRPr="001C1F82">
        <w:rPr>
          <w:rFonts w:ascii="Times New Roman" w:hAnsi="Times New Roman"/>
        </w:rPr>
        <w:t xml:space="preserve"> </w:t>
      </w:r>
      <w:r w:rsidRPr="001C1F82">
        <w:rPr>
          <w:rFonts w:ascii="Times New Roman" w:hAnsi="Times New Roman"/>
          <w:i/>
        </w:rPr>
        <w:t>Employment Outlook – How Does Spain Compare?</w:t>
      </w:r>
      <w:r w:rsidRPr="001C1F82">
        <w:rPr>
          <w:rFonts w:ascii="Times New Roman" w:hAnsi="Times New Roman"/>
        </w:rPr>
        <w:t xml:space="preserve"> </w:t>
      </w:r>
      <w:hyperlink r:id="rId14" w:history="1">
        <w:r w:rsidR="00F16B5B" w:rsidRPr="00F16B5B">
          <w:rPr>
            <w:rStyle w:val="Hyperlink"/>
            <w:rFonts w:ascii="Times New Roman" w:hAnsi="Times New Roman" w:cs="Times New Roman"/>
          </w:rPr>
          <w:t>http://www.oecd.org/dataoecd/62/35/43707074.pdf Accessed 25th March 2010</w:t>
        </w:r>
      </w:hyperlink>
      <w:r w:rsidRPr="00F16B5B">
        <w:rPr>
          <w:rFonts w:ascii="Times New Roman" w:hAnsi="Times New Roman" w:cs="Times New Roman"/>
        </w:rPr>
        <w:t>.</w:t>
      </w:r>
    </w:p>
    <w:p w14:paraId="12CE59A1" w14:textId="77777777" w:rsidR="00F16B5B" w:rsidRPr="00F16B5B" w:rsidRDefault="00F16B5B" w:rsidP="00D67EC8">
      <w:pPr>
        <w:autoSpaceDE w:val="0"/>
        <w:autoSpaceDN w:val="0"/>
        <w:adjustRightInd w:val="0"/>
        <w:spacing w:after="0" w:afterAutospacing="0" w:line="480" w:lineRule="auto"/>
        <w:rPr>
          <w:rFonts w:ascii="Times New Roman" w:hAnsi="Times New Roman" w:cs="Times New Roman"/>
        </w:rPr>
      </w:pPr>
    </w:p>
    <w:p w14:paraId="705B6BE2" w14:textId="545B8703" w:rsidR="00F16B5B" w:rsidRPr="00F16B5B" w:rsidRDefault="00F16B5B" w:rsidP="00D67EC8">
      <w:pPr>
        <w:pStyle w:val="Bibliography"/>
        <w:spacing w:line="480" w:lineRule="auto"/>
        <w:rPr>
          <w:rFonts w:ascii="Times New Roman" w:hAnsi="Times New Roman" w:cs="Times New Roman"/>
        </w:rPr>
      </w:pPr>
      <w:r w:rsidRPr="00F16B5B">
        <w:rPr>
          <w:rFonts w:ascii="Times New Roman" w:hAnsi="Times New Roman" w:cs="Times New Roman"/>
        </w:rPr>
        <w:t>OECD (2010)</w:t>
      </w:r>
      <w:r w:rsidR="009C4EB3">
        <w:rPr>
          <w:rFonts w:ascii="Times New Roman" w:hAnsi="Times New Roman" w:cs="Times New Roman"/>
        </w:rPr>
        <w:t>,</w:t>
      </w:r>
      <w:r w:rsidRPr="00F16B5B">
        <w:rPr>
          <w:rFonts w:ascii="Times New Roman" w:hAnsi="Times New Roman" w:cs="Times New Roman"/>
        </w:rPr>
        <w:t xml:space="preserve"> </w:t>
      </w:r>
      <w:r w:rsidRPr="00F16B5B">
        <w:rPr>
          <w:rFonts w:ascii="Times New Roman" w:hAnsi="Times New Roman" w:cs="Times New Roman"/>
          <w:i/>
        </w:rPr>
        <w:t>Economic Outlook 2010</w:t>
      </w:r>
      <w:r w:rsidRPr="00F16B5B">
        <w:rPr>
          <w:rFonts w:ascii="Times New Roman" w:hAnsi="Times New Roman" w:cs="Times New Roman"/>
        </w:rPr>
        <w:t xml:space="preserve">, Vol 2010/2 </w:t>
      </w:r>
      <w:r w:rsidR="009C4EB3">
        <w:rPr>
          <w:rFonts w:ascii="Times New Roman" w:hAnsi="Times New Roman" w:cs="Times New Roman"/>
        </w:rPr>
        <w:t>(</w:t>
      </w:r>
      <w:r w:rsidRPr="00F16B5B">
        <w:rPr>
          <w:rFonts w:ascii="Times New Roman" w:hAnsi="Times New Roman" w:cs="Times New Roman"/>
        </w:rPr>
        <w:t>Paris</w:t>
      </w:r>
      <w:r w:rsidR="009C4EB3">
        <w:rPr>
          <w:rFonts w:ascii="Times New Roman" w:hAnsi="Times New Roman" w:cs="Times New Roman"/>
        </w:rPr>
        <w:t>,</w:t>
      </w:r>
      <w:r w:rsidRPr="00F16B5B">
        <w:rPr>
          <w:rFonts w:ascii="Times New Roman" w:hAnsi="Times New Roman" w:cs="Times New Roman"/>
        </w:rPr>
        <w:t xml:space="preserve"> OECD</w:t>
      </w:r>
      <w:r w:rsidR="009C4EB3">
        <w:rPr>
          <w:rFonts w:ascii="Times New Roman" w:hAnsi="Times New Roman" w:cs="Times New Roman"/>
        </w:rPr>
        <w:t>)</w:t>
      </w:r>
      <w:r w:rsidRPr="00F16B5B">
        <w:rPr>
          <w:rFonts w:ascii="Times New Roman" w:hAnsi="Times New Roman" w:cs="Times New Roman"/>
        </w:rPr>
        <w:t>.</w:t>
      </w:r>
    </w:p>
    <w:p w14:paraId="531F924D" w14:textId="20273684" w:rsidR="00F16B5B" w:rsidRDefault="00F16B5B" w:rsidP="00D67EC8">
      <w:pPr>
        <w:autoSpaceDE w:val="0"/>
        <w:autoSpaceDN w:val="0"/>
        <w:adjustRightInd w:val="0"/>
        <w:spacing w:after="0" w:afterAutospacing="0" w:line="480" w:lineRule="auto"/>
        <w:rPr>
          <w:rFonts w:ascii="Times New Roman" w:hAnsi="Times New Roman" w:cs="Times New Roman"/>
        </w:rPr>
      </w:pPr>
      <w:r w:rsidRPr="00F16B5B">
        <w:rPr>
          <w:rFonts w:ascii="Times New Roman" w:hAnsi="Times New Roman" w:cs="Times New Roman"/>
        </w:rPr>
        <w:t xml:space="preserve">OECD (2011) </w:t>
      </w:r>
      <w:r w:rsidRPr="00F16B5B">
        <w:rPr>
          <w:rFonts w:ascii="Times New Roman" w:hAnsi="Times New Roman" w:cs="Times New Roman"/>
          <w:i/>
        </w:rPr>
        <w:t>Economic Outlook 2011</w:t>
      </w:r>
      <w:r w:rsidRPr="00F16B5B">
        <w:rPr>
          <w:rFonts w:ascii="Times New Roman" w:hAnsi="Times New Roman" w:cs="Times New Roman"/>
        </w:rPr>
        <w:t xml:space="preserve">, Vol. 2011/2 </w:t>
      </w:r>
      <w:r w:rsidR="009C4EB3">
        <w:rPr>
          <w:rFonts w:ascii="Times New Roman" w:hAnsi="Times New Roman" w:cs="Times New Roman"/>
        </w:rPr>
        <w:t>(OECD</w:t>
      </w:r>
      <w:r w:rsidR="00F527E6">
        <w:rPr>
          <w:rFonts w:ascii="Times New Roman" w:hAnsi="Times New Roman" w:cs="Times New Roman"/>
        </w:rPr>
        <w:t>,</w:t>
      </w:r>
      <w:r w:rsidRPr="00F16B5B">
        <w:rPr>
          <w:rFonts w:ascii="Times New Roman" w:hAnsi="Times New Roman" w:cs="Times New Roman"/>
        </w:rPr>
        <w:t xml:space="preserve"> Paris</w:t>
      </w:r>
      <w:r w:rsidR="009C4EB3">
        <w:rPr>
          <w:rFonts w:ascii="Times New Roman" w:hAnsi="Times New Roman" w:cs="Times New Roman"/>
        </w:rPr>
        <w:t>)</w:t>
      </w:r>
      <w:r w:rsidRPr="00F16B5B">
        <w:rPr>
          <w:rFonts w:ascii="Times New Roman" w:hAnsi="Times New Roman" w:cs="Times New Roman"/>
        </w:rPr>
        <w:t>.</w:t>
      </w:r>
    </w:p>
    <w:p w14:paraId="43B7C9B7" w14:textId="77777777" w:rsidR="00F16B5B" w:rsidRPr="00F16B5B" w:rsidRDefault="00F16B5B" w:rsidP="00D67EC8">
      <w:pPr>
        <w:autoSpaceDE w:val="0"/>
        <w:autoSpaceDN w:val="0"/>
        <w:adjustRightInd w:val="0"/>
        <w:spacing w:after="0" w:afterAutospacing="0" w:line="480" w:lineRule="auto"/>
        <w:rPr>
          <w:rFonts w:ascii="Times New Roman" w:hAnsi="Times New Roman" w:cs="Times New Roman"/>
        </w:rPr>
      </w:pPr>
    </w:p>
    <w:p w14:paraId="45BEEFBA" w14:textId="6EE0F18C" w:rsidR="00F16B5B" w:rsidRPr="00F16B5B" w:rsidRDefault="00F16B5B" w:rsidP="00D67EC8">
      <w:pPr>
        <w:pStyle w:val="Bibliography"/>
        <w:spacing w:line="480" w:lineRule="auto"/>
        <w:rPr>
          <w:rFonts w:ascii="Times New Roman" w:hAnsi="Times New Roman" w:cs="Times New Roman"/>
        </w:rPr>
      </w:pPr>
      <w:r w:rsidRPr="00F16B5B">
        <w:rPr>
          <w:rFonts w:ascii="Times New Roman" w:hAnsi="Times New Roman" w:cs="Times New Roman"/>
        </w:rPr>
        <w:t>OECD (2011b)</w:t>
      </w:r>
      <w:r w:rsidR="009C4EB3">
        <w:rPr>
          <w:rFonts w:ascii="Times New Roman" w:hAnsi="Times New Roman" w:cs="Times New Roman"/>
        </w:rPr>
        <w:t>,</w:t>
      </w:r>
      <w:r w:rsidRPr="00F16B5B">
        <w:rPr>
          <w:rFonts w:ascii="Times New Roman" w:hAnsi="Times New Roman" w:cs="Times New Roman"/>
        </w:rPr>
        <w:t xml:space="preserve"> </w:t>
      </w:r>
      <w:r w:rsidRPr="00F16B5B">
        <w:rPr>
          <w:rFonts w:ascii="Times New Roman" w:hAnsi="Times New Roman" w:cs="Times New Roman"/>
          <w:i/>
        </w:rPr>
        <w:t>Employment Outlook 2011</w:t>
      </w:r>
      <w:r w:rsidRPr="00F16B5B">
        <w:rPr>
          <w:rFonts w:ascii="Times New Roman" w:hAnsi="Times New Roman" w:cs="Times New Roman"/>
        </w:rPr>
        <w:t xml:space="preserve"> </w:t>
      </w:r>
      <w:r w:rsidR="009C4EB3">
        <w:rPr>
          <w:rFonts w:ascii="Times New Roman" w:hAnsi="Times New Roman" w:cs="Times New Roman"/>
        </w:rPr>
        <w:t>(</w:t>
      </w:r>
      <w:r w:rsidRPr="00F16B5B">
        <w:rPr>
          <w:rFonts w:ascii="Times New Roman" w:hAnsi="Times New Roman" w:cs="Times New Roman"/>
        </w:rPr>
        <w:t>Paris</w:t>
      </w:r>
      <w:r w:rsidR="009C4EB3">
        <w:rPr>
          <w:rFonts w:ascii="Times New Roman" w:hAnsi="Times New Roman" w:cs="Times New Roman"/>
        </w:rPr>
        <w:t>,</w:t>
      </w:r>
      <w:r w:rsidRPr="00F16B5B">
        <w:rPr>
          <w:rFonts w:ascii="Times New Roman" w:hAnsi="Times New Roman" w:cs="Times New Roman"/>
        </w:rPr>
        <w:t xml:space="preserve"> OECD</w:t>
      </w:r>
      <w:r w:rsidR="009C4EB3">
        <w:rPr>
          <w:rFonts w:ascii="Times New Roman" w:hAnsi="Times New Roman" w:cs="Times New Roman"/>
        </w:rPr>
        <w:t>)</w:t>
      </w:r>
      <w:r w:rsidRPr="00F16B5B">
        <w:rPr>
          <w:rFonts w:ascii="Times New Roman" w:hAnsi="Times New Roman" w:cs="Times New Roman"/>
        </w:rPr>
        <w:t>.</w:t>
      </w:r>
    </w:p>
    <w:p w14:paraId="14B7FD81" w14:textId="28737902" w:rsidR="00E13E23" w:rsidRDefault="00673DB0" w:rsidP="00D67EC8">
      <w:pPr>
        <w:autoSpaceDE w:val="0"/>
        <w:autoSpaceDN w:val="0"/>
        <w:adjustRightInd w:val="0"/>
        <w:spacing w:after="0" w:afterAutospacing="0" w:line="480" w:lineRule="auto"/>
        <w:rPr>
          <w:rFonts w:ascii="Times New Roman" w:hAnsi="Times New Roman" w:cs="Times New Roman"/>
          <w:color w:val="000000"/>
        </w:rPr>
      </w:pPr>
      <w:r w:rsidRPr="00F16B5B">
        <w:rPr>
          <w:rFonts w:ascii="Times New Roman" w:hAnsi="Times New Roman" w:cs="Times New Roman"/>
          <w:color w:val="000000"/>
        </w:rPr>
        <w:t>Oesch D (2010)</w:t>
      </w:r>
      <w:r w:rsidR="009C4EB3">
        <w:rPr>
          <w:rFonts w:ascii="Times New Roman" w:hAnsi="Times New Roman" w:cs="Times New Roman"/>
          <w:color w:val="000000"/>
        </w:rPr>
        <w:t>,</w:t>
      </w:r>
      <w:r w:rsidRPr="00F16B5B">
        <w:rPr>
          <w:rFonts w:ascii="Times New Roman" w:hAnsi="Times New Roman" w:cs="Times New Roman"/>
          <w:color w:val="000000"/>
        </w:rPr>
        <w:t xml:space="preserve"> </w:t>
      </w:r>
      <w:r w:rsidR="00116BEC" w:rsidRPr="00F16B5B">
        <w:rPr>
          <w:rFonts w:ascii="Times New Roman" w:hAnsi="Times New Roman" w:cs="Times New Roman"/>
          <w:color w:val="000000"/>
        </w:rPr>
        <w:t>‘</w:t>
      </w:r>
      <w:r w:rsidRPr="00F16B5B">
        <w:rPr>
          <w:rFonts w:ascii="Times New Roman" w:hAnsi="Times New Roman" w:cs="Times New Roman"/>
          <w:color w:val="000000"/>
        </w:rPr>
        <w:t xml:space="preserve">What </w:t>
      </w:r>
      <w:r w:rsidR="009C4EB3">
        <w:rPr>
          <w:rFonts w:ascii="Times New Roman" w:hAnsi="Times New Roman" w:cs="Times New Roman"/>
          <w:color w:val="000000"/>
        </w:rPr>
        <w:t>E</w:t>
      </w:r>
      <w:r w:rsidRPr="00F16B5B">
        <w:rPr>
          <w:rFonts w:ascii="Times New Roman" w:hAnsi="Times New Roman" w:cs="Times New Roman"/>
          <w:color w:val="000000"/>
        </w:rPr>
        <w:t xml:space="preserve">xplains </w:t>
      </w:r>
      <w:r w:rsidR="009C4EB3">
        <w:rPr>
          <w:rFonts w:ascii="Times New Roman" w:hAnsi="Times New Roman" w:cs="Times New Roman"/>
          <w:color w:val="000000"/>
        </w:rPr>
        <w:t>H</w:t>
      </w:r>
      <w:r w:rsidRPr="00F16B5B">
        <w:rPr>
          <w:rFonts w:ascii="Times New Roman" w:hAnsi="Times New Roman" w:cs="Times New Roman"/>
          <w:color w:val="000000"/>
        </w:rPr>
        <w:t xml:space="preserve">igh </w:t>
      </w:r>
      <w:r w:rsidR="009C4EB3">
        <w:rPr>
          <w:rFonts w:ascii="Times New Roman" w:hAnsi="Times New Roman" w:cs="Times New Roman"/>
          <w:color w:val="000000"/>
        </w:rPr>
        <w:t>U</w:t>
      </w:r>
      <w:r w:rsidRPr="00F16B5B">
        <w:rPr>
          <w:rFonts w:ascii="Times New Roman" w:hAnsi="Times New Roman" w:cs="Times New Roman"/>
          <w:color w:val="000000"/>
        </w:rPr>
        <w:t xml:space="preserve">nemployment </w:t>
      </w:r>
      <w:r w:rsidR="009C4EB3">
        <w:rPr>
          <w:rFonts w:ascii="Times New Roman" w:hAnsi="Times New Roman" w:cs="Times New Roman"/>
          <w:color w:val="000000"/>
        </w:rPr>
        <w:t>A</w:t>
      </w:r>
      <w:r w:rsidRPr="00F16B5B">
        <w:rPr>
          <w:rFonts w:ascii="Times New Roman" w:hAnsi="Times New Roman" w:cs="Times New Roman"/>
          <w:color w:val="000000"/>
        </w:rPr>
        <w:t xml:space="preserve">mong </w:t>
      </w:r>
      <w:r w:rsidR="009C4EB3">
        <w:rPr>
          <w:rFonts w:ascii="Times New Roman" w:hAnsi="Times New Roman" w:cs="Times New Roman"/>
          <w:color w:val="000000"/>
        </w:rPr>
        <w:t>L</w:t>
      </w:r>
      <w:r w:rsidRPr="00F16B5B">
        <w:rPr>
          <w:rFonts w:ascii="Times New Roman" w:hAnsi="Times New Roman" w:cs="Times New Roman"/>
          <w:color w:val="000000"/>
        </w:rPr>
        <w:t>ow-</w:t>
      </w:r>
      <w:r w:rsidR="009C4EB3">
        <w:rPr>
          <w:rFonts w:ascii="Times New Roman" w:hAnsi="Times New Roman" w:cs="Times New Roman"/>
          <w:color w:val="000000"/>
        </w:rPr>
        <w:t>S</w:t>
      </w:r>
      <w:r w:rsidRPr="00F16B5B">
        <w:rPr>
          <w:rFonts w:ascii="Times New Roman" w:hAnsi="Times New Roman" w:cs="Times New Roman"/>
          <w:color w:val="000000"/>
        </w:rPr>
        <w:t xml:space="preserve">killed </w:t>
      </w:r>
      <w:r w:rsidR="009C4EB3">
        <w:rPr>
          <w:rFonts w:ascii="Times New Roman" w:hAnsi="Times New Roman" w:cs="Times New Roman"/>
          <w:color w:val="000000"/>
        </w:rPr>
        <w:t>W</w:t>
      </w:r>
      <w:r w:rsidRPr="00F16B5B">
        <w:rPr>
          <w:rFonts w:ascii="Times New Roman" w:hAnsi="Times New Roman" w:cs="Times New Roman"/>
          <w:color w:val="000000"/>
        </w:rPr>
        <w:t xml:space="preserve">orkers? Evidence from 21 </w:t>
      </w:r>
      <w:r w:rsidRPr="00807BAB">
        <w:rPr>
          <w:rFonts w:ascii="Times New Roman" w:hAnsi="Times New Roman" w:cs="Times New Roman"/>
          <w:color w:val="000000"/>
        </w:rPr>
        <w:t xml:space="preserve">OECD </w:t>
      </w:r>
      <w:r w:rsidR="009C4EB3">
        <w:rPr>
          <w:rFonts w:ascii="Times New Roman" w:hAnsi="Times New Roman" w:cs="Times New Roman"/>
          <w:color w:val="000000"/>
        </w:rPr>
        <w:t>C</w:t>
      </w:r>
      <w:r w:rsidRPr="00807BAB">
        <w:rPr>
          <w:rFonts w:ascii="Times New Roman" w:hAnsi="Times New Roman" w:cs="Times New Roman"/>
          <w:color w:val="000000"/>
        </w:rPr>
        <w:t>ountries</w:t>
      </w:r>
      <w:r w:rsidR="00116BEC" w:rsidRPr="00807BAB">
        <w:rPr>
          <w:rFonts w:ascii="Times New Roman" w:hAnsi="Times New Roman" w:cs="Times New Roman"/>
          <w:color w:val="000000"/>
        </w:rPr>
        <w:t>’</w:t>
      </w:r>
      <w:r w:rsidRPr="00807BAB">
        <w:rPr>
          <w:rFonts w:ascii="Times New Roman" w:hAnsi="Times New Roman" w:cs="Times New Roman"/>
          <w:color w:val="000000"/>
        </w:rPr>
        <w:t xml:space="preserve">. </w:t>
      </w:r>
      <w:r w:rsidRPr="00807BAB">
        <w:rPr>
          <w:rFonts w:ascii="Times New Roman" w:hAnsi="Times New Roman" w:cs="Times New Roman"/>
          <w:i/>
          <w:color w:val="000000"/>
        </w:rPr>
        <w:t>European Journal of Industrial Relations</w:t>
      </w:r>
      <w:r w:rsidRPr="00807BAB">
        <w:rPr>
          <w:rFonts w:ascii="Times New Roman" w:hAnsi="Times New Roman" w:cs="Times New Roman"/>
          <w:color w:val="000000"/>
        </w:rPr>
        <w:t xml:space="preserve"> 16(1): 39-55. </w:t>
      </w:r>
    </w:p>
    <w:p w14:paraId="705AE0B6" w14:textId="77777777" w:rsidR="00135167" w:rsidRDefault="00135167" w:rsidP="00D67EC8">
      <w:pPr>
        <w:autoSpaceDE w:val="0"/>
        <w:autoSpaceDN w:val="0"/>
        <w:adjustRightInd w:val="0"/>
        <w:spacing w:after="0" w:afterAutospacing="0" w:line="480" w:lineRule="auto"/>
        <w:rPr>
          <w:rFonts w:ascii="Times New Roman" w:hAnsi="Times New Roman" w:cs="Times New Roman"/>
          <w:color w:val="000000"/>
        </w:rPr>
      </w:pPr>
    </w:p>
    <w:p w14:paraId="2AF76BE0" w14:textId="00011472" w:rsidR="0011177C" w:rsidRPr="00B87827" w:rsidRDefault="0011177C" w:rsidP="00D67EC8">
      <w:pPr>
        <w:pStyle w:val="BodyText3"/>
        <w:spacing w:after="0" w:line="480" w:lineRule="auto"/>
        <w:jc w:val="both"/>
        <w:rPr>
          <w:rFonts w:ascii="Times New Roman" w:hAnsi="Times New Roman" w:cs="Times New Roman"/>
          <w:sz w:val="22"/>
          <w:szCs w:val="22"/>
          <w:lang w:val="en-CA"/>
        </w:rPr>
      </w:pPr>
      <w:r w:rsidRPr="00B87827">
        <w:rPr>
          <w:rFonts w:ascii="Times New Roman" w:hAnsi="Times New Roman" w:cs="Times New Roman"/>
          <w:sz w:val="22"/>
          <w:szCs w:val="22"/>
          <w:lang w:val="en-CA"/>
        </w:rPr>
        <w:t>Ohlsson, H</w:t>
      </w:r>
      <w:r>
        <w:rPr>
          <w:rFonts w:ascii="Times New Roman" w:hAnsi="Times New Roman" w:cs="Times New Roman"/>
          <w:sz w:val="22"/>
          <w:szCs w:val="22"/>
          <w:lang w:val="en-CA"/>
        </w:rPr>
        <w:t xml:space="preserve">. </w:t>
      </w:r>
      <w:r w:rsidRPr="00B87827">
        <w:rPr>
          <w:rFonts w:ascii="Times New Roman" w:hAnsi="Times New Roman" w:cs="Times New Roman"/>
          <w:sz w:val="22"/>
          <w:szCs w:val="22"/>
          <w:lang w:val="en-CA"/>
        </w:rPr>
        <w:t>and Storrie</w:t>
      </w:r>
      <w:r>
        <w:rPr>
          <w:rFonts w:ascii="Times New Roman" w:hAnsi="Times New Roman" w:cs="Times New Roman"/>
          <w:sz w:val="22"/>
          <w:szCs w:val="22"/>
          <w:lang w:val="en-CA"/>
        </w:rPr>
        <w:t>.</w:t>
      </w:r>
      <w:r w:rsidRPr="00B87827">
        <w:rPr>
          <w:rFonts w:ascii="Times New Roman" w:hAnsi="Times New Roman" w:cs="Times New Roman"/>
          <w:sz w:val="22"/>
          <w:szCs w:val="22"/>
          <w:lang w:val="en-CA"/>
        </w:rPr>
        <w:t xml:space="preserve"> D</w:t>
      </w:r>
      <w:r w:rsidR="00F527E6">
        <w:rPr>
          <w:rFonts w:ascii="Times New Roman" w:hAnsi="Times New Roman" w:cs="Times New Roman"/>
          <w:sz w:val="22"/>
          <w:szCs w:val="22"/>
          <w:lang w:val="en-CA"/>
        </w:rPr>
        <w:t>,</w:t>
      </w:r>
      <w:r>
        <w:rPr>
          <w:rFonts w:ascii="Times New Roman" w:hAnsi="Times New Roman" w:cs="Times New Roman"/>
          <w:sz w:val="22"/>
          <w:szCs w:val="22"/>
          <w:lang w:val="en-CA"/>
        </w:rPr>
        <w:t xml:space="preserve"> (2007) </w:t>
      </w:r>
      <w:r w:rsidRPr="00B87827">
        <w:rPr>
          <w:rFonts w:ascii="Times New Roman" w:hAnsi="Times New Roman" w:cs="Times New Roman"/>
          <w:i/>
          <w:sz w:val="22"/>
          <w:szCs w:val="22"/>
          <w:lang w:val="en-CA"/>
        </w:rPr>
        <w:t>’Long-</w:t>
      </w:r>
      <w:r w:rsidR="00F527E6">
        <w:rPr>
          <w:rFonts w:ascii="Times New Roman" w:hAnsi="Times New Roman" w:cs="Times New Roman"/>
          <w:i/>
          <w:sz w:val="22"/>
          <w:szCs w:val="22"/>
          <w:lang w:val="en-CA"/>
        </w:rPr>
        <w:t>T</w:t>
      </w:r>
      <w:r w:rsidRPr="00B87827">
        <w:rPr>
          <w:rFonts w:ascii="Times New Roman" w:hAnsi="Times New Roman" w:cs="Times New Roman"/>
          <w:i/>
          <w:sz w:val="22"/>
          <w:szCs w:val="22"/>
          <w:lang w:val="en-CA"/>
        </w:rPr>
        <w:t xml:space="preserve">erm </w:t>
      </w:r>
      <w:r w:rsidR="00F527E6">
        <w:rPr>
          <w:rFonts w:ascii="Times New Roman" w:hAnsi="Times New Roman" w:cs="Times New Roman"/>
          <w:i/>
          <w:sz w:val="22"/>
          <w:szCs w:val="22"/>
          <w:lang w:val="en-CA"/>
        </w:rPr>
        <w:t>E</w:t>
      </w:r>
      <w:r w:rsidRPr="00B87827">
        <w:rPr>
          <w:rFonts w:ascii="Times New Roman" w:hAnsi="Times New Roman" w:cs="Times New Roman"/>
          <w:i/>
          <w:sz w:val="22"/>
          <w:szCs w:val="22"/>
          <w:lang w:val="en-CA"/>
        </w:rPr>
        <w:t xml:space="preserve">ffects of </w:t>
      </w:r>
      <w:r w:rsidR="00F527E6">
        <w:rPr>
          <w:rFonts w:ascii="Times New Roman" w:hAnsi="Times New Roman" w:cs="Times New Roman"/>
          <w:i/>
          <w:sz w:val="22"/>
          <w:szCs w:val="22"/>
          <w:lang w:val="en-CA"/>
        </w:rPr>
        <w:t>P</w:t>
      </w:r>
      <w:r w:rsidRPr="00B87827">
        <w:rPr>
          <w:rFonts w:ascii="Times New Roman" w:hAnsi="Times New Roman" w:cs="Times New Roman"/>
          <w:i/>
          <w:sz w:val="22"/>
          <w:szCs w:val="22"/>
          <w:lang w:val="en-CA"/>
        </w:rPr>
        <w:t xml:space="preserve">ublic </w:t>
      </w:r>
      <w:r w:rsidR="00F527E6">
        <w:rPr>
          <w:rFonts w:ascii="Times New Roman" w:hAnsi="Times New Roman" w:cs="Times New Roman"/>
          <w:i/>
          <w:sz w:val="22"/>
          <w:szCs w:val="22"/>
          <w:lang w:val="en-CA"/>
        </w:rPr>
        <w:t>P</w:t>
      </w:r>
      <w:r w:rsidRPr="00B87827">
        <w:rPr>
          <w:rFonts w:ascii="Times New Roman" w:hAnsi="Times New Roman" w:cs="Times New Roman"/>
          <w:i/>
          <w:sz w:val="22"/>
          <w:szCs w:val="22"/>
          <w:lang w:val="en-CA"/>
        </w:rPr>
        <w:t xml:space="preserve">olicy for </w:t>
      </w:r>
      <w:r w:rsidR="00F527E6">
        <w:rPr>
          <w:rFonts w:ascii="Times New Roman" w:hAnsi="Times New Roman" w:cs="Times New Roman"/>
          <w:i/>
          <w:sz w:val="22"/>
          <w:szCs w:val="22"/>
          <w:lang w:val="en-CA"/>
        </w:rPr>
        <w:t>D</w:t>
      </w:r>
      <w:r w:rsidRPr="00B87827">
        <w:rPr>
          <w:rFonts w:ascii="Times New Roman" w:hAnsi="Times New Roman" w:cs="Times New Roman"/>
          <w:i/>
          <w:sz w:val="22"/>
          <w:szCs w:val="22"/>
          <w:lang w:val="en-CA"/>
        </w:rPr>
        <w:t xml:space="preserve">isplaced </w:t>
      </w:r>
      <w:r w:rsidR="00F527E6">
        <w:rPr>
          <w:rFonts w:ascii="Times New Roman" w:hAnsi="Times New Roman" w:cs="Times New Roman"/>
          <w:i/>
          <w:sz w:val="22"/>
          <w:szCs w:val="22"/>
          <w:lang w:val="en-CA"/>
        </w:rPr>
        <w:t>W</w:t>
      </w:r>
      <w:r w:rsidRPr="00B87827">
        <w:rPr>
          <w:rFonts w:ascii="Times New Roman" w:hAnsi="Times New Roman" w:cs="Times New Roman"/>
          <w:i/>
          <w:sz w:val="22"/>
          <w:szCs w:val="22"/>
          <w:lang w:val="en-CA"/>
        </w:rPr>
        <w:t xml:space="preserve">orkers in Sweden – </w:t>
      </w:r>
      <w:r w:rsidR="00F527E6">
        <w:rPr>
          <w:rFonts w:ascii="Times New Roman" w:hAnsi="Times New Roman" w:cs="Times New Roman"/>
          <w:i/>
          <w:sz w:val="22"/>
          <w:szCs w:val="22"/>
          <w:lang w:val="en-CA"/>
        </w:rPr>
        <w:t>S</w:t>
      </w:r>
      <w:r w:rsidRPr="00B87827">
        <w:rPr>
          <w:rFonts w:ascii="Times New Roman" w:hAnsi="Times New Roman" w:cs="Times New Roman"/>
          <w:i/>
          <w:sz w:val="22"/>
          <w:szCs w:val="22"/>
          <w:lang w:val="en-CA"/>
        </w:rPr>
        <w:t xml:space="preserve">hipyard </w:t>
      </w:r>
      <w:r w:rsidR="00F527E6">
        <w:rPr>
          <w:rFonts w:ascii="Times New Roman" w:hAnsi="Times New Roman" w:cs="Times New Roman"/>
          <w:i/>
          <w:sz w:val="22"/>
          <w:szCs w:val="22"/>
          <w:lang w:val="en-CA"/>
        </w:rPr>
        <w:t>W</w:t>
      </w:r>
      <w:r w:rsidRPr="00B87827">
        <w:rPr>
          <w:rFonts w:ascii="Times New Roman" w:hAnsi="Times New Roman" w:cs="Times New Roman"/>
          <w:i/>
          <w:sz w:val="22"/>
          <w:szCs w:val="22"/>
          <w:lang w:val="en-CA"/>
        </w:rPr>
        <w:t xml:space="preserve">orkers in the West and </w:t>
      </w:r>
      <w:r w:rsidR="00F527E6">
        <w:rPr>
          <w:rFonts w:ascii="Times New Roman" w:hAnsi="Times New Roman" w:cs="Times New Roman"/>
          <w:i/>
          <w:sz w:val="22"/>
          <w:szCs w:val="22"/>
          <w:lang w:val="en-CA"/>
        </w:rPr>
        <w:t>M</w:t>
      </w:r>
      <w:r w:rsidRPr="00B87827">
        <w:rPr>
          <w:rFonts w:ascii="Times New Roman" w:hAnsi="Times New Roman" w:cs="Times New Roman"/>
          <w:i/>
          <w:sz w:val="22"/>
          <w:szCs w:val="22"/>
          <w:lang w:val="en-CA"/>
        </w:rPr>
        <w:t>iners in the North’</w:t>
      </w:r>
      <w:r w:rsidRPr="00B87827">
        <w:rPr>
          <w:rFonts w:ascii="Times New Roman" w:hAnsi="Times New Roman" w:cs="Times New Roman"/>
          <w:sz w:val="22"/>
          <w:szCs w:val="22"/>
          <w:lang w:val="en-CA"/>
        </w:rPr>
        <w:t>, Working paper</w:t>
      </w:r>
      <w:r>
        <w:rPr>
          <w:rFonts w:ascii="Times New Roman" w:hAnsi="Times New Roman" w:cs="Times New Roman"/>
          <w:sz w:val="22"/>
          <w:szCs w:val="22"/>
          <w:lang w:val="en-CA"/>
        </w:rPr>
        <w:t xml:space="preserve"> 2007</w:t>
      </w:r>
      <w:r w:rsidR="00F527E6">
        <w:rPr>
          <w:rFonts w:ascii="Times New Roman" w:hAnsi="Times New Roman" w:cs="Times New Roman"/>
          <w:sz w:val="22"/>
          <w:szCs w:val="22"/>
          <w:lang w:val="en-CA"/>
        </w:rPr>
        <w:t>,</w:t>
      </w:r>
      <w:r>
        <w:rPr>
          <w:rFonts w:ascii="Times New Roman" w:hAnsi="Times New Roman" w:cs="Times New Roman"/>
          <w:sz w:val="22"/>
          <w:szCs w:val="22"/>
          <w:lang w:val="en-CA"/>
        </w:rPr>
        <w:t xml:space="preserve"> 19</w:t>
      </w:r>
      <w:r w:rsidR="00F527E6">
        <w:rPr>
          <w:rFonts w:ascii="Times New Roman" w:hAnsi="Times New Roman" w:cs="Times New Roman"/>
          <w:sz w:val="22"/>
          <w:szCs w:val="22"/>
          <w:lang w:val="en-CA"/>
        </w:rPr>
        <w:t xml:space="preserve"> (</w:t>
      </w:r>
      <w:r w:rsidRPr="00B87827">
        <w:rPr>
          <w:rFonts w:ascii="Times New Roman" w:hAnsi="Times New Roman" w:cs="Times New Roman"/>
          <w:sz w:val="22"/>
          <w:szCs w:val="22"/>
          <w:lang w:val="en-CA"/>
        </w:rPr>
        <w:t>Uppsala University, Department</w:t>
      </w:r>
      <w:r w:rsidR="00F527E6">
        <w:rPr>
          <w:rFonts w:ascii="Times New Roman" w:hAnsi="Times New Roman" w:cs="Times New Roman"/>
          <w:sz w:val="22"/>
          <w:szCs w:val="22"/>
          <w:lang w:val="en-CA"/>
        </w:rPr>
        <w:t xml:space="preserve"> of Economics).</w:t>
      </w:r>
    </w:p>
    <w:p w14:paraId="70F2444B" w14:textId="77777777" w:rsidR="0011177C" w:rsidRPr="00B87827" w:rsidRDefault="0011177C" w:rsidP="00D67EC8">
      <w:pPr>
        <w:pStyle w:val="BodyText3"/>
        <w:spacing w:after="0" w:line="480" w:lineRule="auto"/>
        <w:jc w:val="both"/>
        <w:rPr>
          <w:rFonts w:ascii="Times New Roman" w:hAnsi="Times New Roman" w:cs="Times New Roman"/>
          <w:sz w:val="22"/>
          <w:szCs w:val="22"/>
        </w:rPr>
      </w:pPr>
    </w:p>
    <w:p w14:paraId="531E5647" w14:textId="4AF5D8EC" w:rsidR="001144F2" w:rsidRDefault="00135167" w:rsidP="00D67EC8">
      <w:pPr>
        <w:autoSpaceDE w:val="0"/>
        <w:autoSpaceDN w:val="0"/>
        <w:adjustRightInd w:val="0"/>
        <w:spacing w:after="0" w:afterAutospacing="0" w:line="480" w:lineRule="auto"/>
        <w:rPr>
          <w:rFonts w:ascii="Times New Roman" w:hAnsi="Times New Roman" w:cs="Times New Roman"/>
          <w:color w:val="000000"/>
        </w:rPr>
      </w:pPr>
      <w:r>
        <w:rPr>
          <w:rFonts w:ascii="Times New Roman" w:hAnsi="Times New Roman" w:cs="Times New Roman"/>
          <w:color w:val="000000"/>
        </w:rPr>
        <w:t>Peck, J. (2010)</w:t>
      </w:r>
      <w:r w:rsidR="00F527E6">
        <w:rPr>
          <w:rFonts w:ascii="Times New Roman" w:hAnsi="Times New Roman" w:cs="Times New Roman"/>
          <w:color w:val="000000"/>
        </w:rPr>
        <w:t>,</w:t>
      </w:r>
      <w:r>
        <w:rPr>
          <w:rFonts w:ascii="Times New Roman" w:hAnsi="Times New Roman" w:cs="Times New Roman"/>
          <w:color w:val="000000"/>
        </w:rPr>
        <w:t xml:space="preserve"> </w:t>
      </w:r>
      <w:r w:rsidRPr="00135167">
        <w:rPr>
          <w:rFonts w:ascii="Times New Roman" w:hAnsi="Times New Roman" w:cs="Times New Roman"/>
          <w:i/>
          <w:color w:val="000000"/>
        </w:rPr>
        <w:t>Constructions of Neo-Liberal Reason</w:t>
      </w:r>
      <w:r>
        <w:rPr>
          <w:rFonts w:ascii="Times New Roman" w:hAnsi="Times New Roman" w:cs="Times New Roman"/>
          <w:color w:val="000000"/>
        </w:rPr>
        <w:t xml:space="preserve"> </w:t>
      </w:r>
      <w:r w:rsidR="00F527E6">
        <w:rPr>
          <w:rFonts w:ascii="Times New Roman" w:hAnsi="Times New Roman" w:cs="Times New Roman"/>
          <w:color w:val="000000"/>
        </w:rPr>
        <w:t>(</w:t>
      </w:r>
      <w:r>
        <w:rPr>
          <w:rFonts w:ascii="Times New Roman" w:hAnsi="Times New Roman" w:cs="Times New Roman"/>
          <w:color w:val="000000"/>
        </w:rPr>
        <w:t>Oxford: OUP</w:t>
      </w:r>
      <w:r w:rsidR="00F527E6">
        <w:rPr>
          <w:rFonts w:ascii="Times New Roman" w:hAnsi="Times New Roman" w:cs="Times New Roman"/>
          <w:color w:val="000000"/>
        </w:rPr>
        <w:t>)</w:t>
      </w:r>
    </w:p>
    <w:p w14:paraId="4345B39B" w14:textId="77777777" w:rsidR="001144F2" w:rsidRDefault="001144F2" w:rsidP="00D67EC8">
      <w:pPr>
        <w:autoSpaceDE w:val="0"/>
        <w:autoSpaceDN w:val="0"/>
        <w:adjustRightInd w:val="0"/>
        <w:spacing w:after="0" w:afterAutospacing="0" w:line="480" w:lineRule="auto"/>
        <w:rPr>
          <w:rFonts w:ascii="Times New Roman" w:hAnsi="Times New Roman" w:cs="Times New Roman"/>
          <w:color w:val="000000"/>
        </w:rPr>
      </w:pPr>
    </w:p>
    <w:p w14:paraId="3F02FA57" w14:textId="12CC7E6D" w:rsidR="0011177C" w:rsidRDefault="0011177C" w:rsidP="00D67EC8">
      <w:pPr>
        <w:autoSpaceDE w:val="0"/>
        <w:autoSpaceDN w:val="0"/>
        <w:adjustRightInd w:val="0"/>
        <w:spacing w:after="0" w:afterAutospacing="0" w:line="480" w:lineRule="auto"/>
        <w:rPr>
          <w:rFonts w:ascii="Times New Roman" w:hAnsi="Times New Roman" w:cs="Times New Roman"/>
        </w:rPr>
      </w:pPr>
      <w:r>
        <w:rPr>
          <w:rFonts w:ascii="Times New Roman" w:hAnsi="Times New Roman" w:cs="Times New Roman"/>
        </w:rPr>
        <w:t>Peck, J. and Theodore, N. (2000)</w:t>
      </w:r>
      <w:r w:rsidR="00F527E6">
        <w:rPr>
          <w:rFonts w:ascii="Times New Roman" w:hAnsi="Times New Roman" w:cs="Times New Roman"/>
        </w:rPr>
        <w:t>,</w:t>
      </w:r>
      <w:r>
        <w:rPr>
          <w:rFonts w:ascii="Times New Roman" w:hAnsi="Times New Roman" w:cs="Times New Roman"/>
        </w:rPr>
        <w:t xml:space="preserve"> ‘Beyond “</w:t>
      </w:r>
      <w:r w:rsidR="00F527E6">
        <w:rPr>
          <w:rFonts w:ascii="Times New Roman" w:hAnsi="Times New Roman" w:cs="Times New Roman"/>
        </w:rPr>
        <w:t>E</w:t>
      </w:r>
      <w:r>
        <w:rPr>
          <w:rFonts w:ascii="Times New Roman" w:hAnsi="Times New Roman" w:cs="Times New Roman"/>
        </w:rPr>
        <w:t xml:space="preserve">mployability”’, </w:t>
      </w:r>
      <w:r w:rsidRPr="007007F9">
        <w:rPr>
          <w:rFonts w:ascii="Times New Roman" w:hAnsi="Times New Roman" w:cs="Times New Roman"/>
          <w:i/>
        </w:rPr>
        <w:t>Cambridge Journal of Economics</w:t>
      </w:r>
      <w:r>
        <w:rPr>
          <w:rFonts w:ascii="Times New Roman" w:hAnsi="Times New Roman" w:cs="Times New Roman"/>
        </w:rPr>
        <w:t>, 24</w:t>
      </w:r>
      <w:r w:rsidR="00F527E6">
        <w:rPr>
          <w:rFonts w:ascii="Times New Roman" w:hAnsi="Times New Roman" w:cs="Times New Roman"/>
        </w:rPr>
        <w:t>,</w:t>
      </w:r>
      <w:r>
        <w:rPr>
          <w:rFonts w:ascii="Times New Roman" w:hAnsi="Times New Roman" w:cs="Times New Roman"/>
        </w:rPr>
        <w:t xml:space="preserve"> 729-749.</w:t>
      </w:r>
    </w:p>
    <w:p w14:paraId="7184FF20" w14:textId="77777777" w:rsidR="00E13E23" w:rsidRPr="00807BAB" w:rsidRDefault="00E13E23" w:rsidP="00D67EC8">
      <w:pPr>
        <w:autoSpaceDE w:val="0"/>
        <w:autoSpaceDN w:val="0"/>
        <w:adjustRightInd w:val="0"/>
        <w:spacing w:after="0" w:afterAutospacing="0" w:line="480" w:lineRule="auto"/>
        <w:rPr>
          <w:rFonts w:ascii="Times New Roman" w:hAnsi="Times New Roman" w:cs="Times New Roman"/>
          <w:color w:val="000000"/>
        </w:rPr>
      </w:pPr>
    </w:p>
    <w:p w14:paraId="37D4E193" w14:textId="3FA58B93" w:rsidR="001144F2" w:rsidRDefault="00673DB0" w:rsidP="00D67EC8">
      <w:pPr>
        <w:autoSpaceDE w:val="0"/>
        <w:autoSpaceDN w:val="0"/>
        <w:adjustRightInd w:val="0"/>
        <w:spacing w:after="0" w:afterAutospacing="0" w:line="480" w:lineRule="auto"/>
        <w:rPr>
          <w:rFonts w:ascii="Times New Roman" w:hAnsi="Times New Roman" w:cs="Times New Roman"/>
        </w:rPr>
      </w:pPr>
      <w:r w:rsidRPr="00807BAB">
        <w:rPr>
          <w:rFonts w:ascii="Times New Roman" w:hAnsi="Times New Roman" w:cs="Times New Roman"/>
        </w:rPr>
        <w:t>Quiggin, J. (2010)</w:t>
      </w:r>
      <w:r w:rsidR="00F527E6">
        <w:rPr>
          <w:rFonts w:ascii="Times New Roman" w:hAnsi="Times New Roman" w:cs="Times New Roman"/>
        </w:rPr>
        <w:t>,</w:t>
      </w:r>
      <w:r w:rsidRPr="00807BAB">
        <w:rPr>
          <w:rFonts w:ascii="Times New Roman" w:hAnsi="Times New Roman" w:cs="Times New Roman"/>
        </w:rPr>
        <w:t xml:space="preserve"> </w:t>
      </w:r>
      <w:r w:rsidRPr="00807BAB">
        <w:rPr>
          <w:rFonts w:ascii="Times New Roman" w:hAnsi="Times New Roman" w:cs="Times New Roman"/>
          <w:i/>
        </w:rPr>
        <w:t>Zombie Economics: How Dead Ideas Still Walk Among Us</w:t>
      </w:r>
      <w:r w:rsidRPr="00807BAB">
        <w:rPr>
          <w:rFonts w:ascii="Times New Roman" w:hAnsi="Times New Roman" w:cs="Times New Roman"/>
        </w:rPr>
        <w:t xml:space="preserve"> </w:t>
      </w:r>
      <w:r w:rsidR="00F527E6">
        <w:rPr>
          <w:rFonts w:ascii="Times New Roman" w:hAnsi="Times New Roman" w:cs="Times New Roman"/>
        </w:rPr>
        <w:t>(</w:t>
      </w:r>
      <w:r w:rsidRPr="00807BAB">
        <w:rPr>
          <w:rFonts w:ascii="Times New Roman" w:hAnsi="Times New Roman" w:cs="Times New Roman"/>
        </w:rPr>
        <w:t>Princeton</w:t>
      </w:r>
      <w:r w:rsidR="00F527E6">
        <w:rPr>
          <w:rFonts w:ascii="Times New Roman" w:hAnsi="Times New Roman" w:cs="Times New Roman"/>
        </w:rPr>
        <w:t>,</w:t>
      </w:r>
      <w:r w:rsidRPr="00807BAB">
        <w:rPr>
          <w:rFonts w:ascii="Times New Roman" w:hAnsi="Times New Roman" w:cs="Times New Roman"/>
        </w:rPr>
        <w:t xml:space="preserve"> Princeton University Press</w:t>
      </w:r>
      <w:r w:rsidR="00F527E6">
        <w:rPr>
          <w:rFonts w:ascii="Times New Roman" w:hAnsi="Times New Roman" w:cs="Times New Roman"/>
        </w:rPr>
        <w:t>)</w:t>
      </w:r>
      <w:r w:rsidRPr="00807BAB">
        <w:rPr>
          <w:rFonts w:ascii="Times New Roman" w:hAnsi="Times New Roman" w:cs="Times New Roman"/>
        </w:rPr>
        <w:t>.</w:t>
      </w:r>
    </w:p>
    <w:p w14:paraId="01B495DB" w14:textId="77777777" w:rsidR="001144F2" w:rsidRDefault="001144F2" w:rsidP="00D67EC8">
      <w:pPr>
        <w:autoSpaceDE w:val="0"/>
        <w:autoSpaceDN w:val="0"/>
        <w:adjustRightInd w:val="0"/>
        <w:spacing w:after="0" w:afterAutospacing="0" w:line="480" w:lineRule="auto"/>
        <w:rPr>
          <w:rFonts w:ascii="Times New Roman" w:hAnsi="Times New Roman" w:cs="Times New Roman"/>
        </w:rPr>
      </w:pPr>
    </w:p>
    <w:p w14:paraId="47E64F59" w14:textId="021195CB" w:rsidR="00E13E23" w:rsidRDefault="00673DB0" w:rsidP="00D67EC8">
      <w:pPr>
        <w:autoSpaceDE w:val="0"/>
        <w:autoSpaceDN w:val="0"/>
        <w:adjustRightInd w:val="0"/>
        <w:spacing w:after="0" w:afterAutospacing="0" w:line="480" w:lineRule="auto"/>
        <w:rPr>
          <w:rFonts w:ascii="Times New Roman" w:hAnsi="Times New Roman" w:cs="Times New Roman"/>
          <w:color w:val="000000"/>
        </w:rPr>
      </w:pPr>
      <w:r w:rsidRPr="00807BAB">
        <w:rPr>
          <w:rFonts w:ascii="Times New Roman" w:hAnsi="Times New Roman" w:cs="Times New Roman"/>
          <w:color w:val="000000"/>
        </w:rPr>
        <w:t>St Paul</w:t>
      </w:r>
      <w:r w:rsidR="00F527E6">
        <w:rPr>
          <w:rFonts w:ascii="Times New Roman" w:hAnsi="Times New Roman" w:cs="Times New Roman"/>
          <w:color w:val="000000"/>
        </w:rPr>
        <w:t>,</w:t>
      </w:r>
      <w:r w:rsidRPr="00807BAB">
        <w:rPr>
          <w:rFonts w:ascii="Times New Roman" w:hAnsi="Times New Roman" w:cs="Times New Roman"/>
          <w:color w:val="000000"/>
        </w:rPr>
        <w:t xml:space="preserve"> G</w:t>
      </w:r>
      <w:r w:rsidR="00F527E6">
        <w:rPr>
          <w:rFonts w:ascii="Times New Roman" w:hAnsi="Times New Roman" w:cs="Times New Roman"/>
          <w:color w:val="000000"/>
        </w:rPr>
        <w:t>.</w:t>
      </w:r>
      <w:r w:rsidRPr="00807BAB">
        <w:rPr>
          <w:rFonts w:ascii="Times New Roman" w:hAnsi="Times New Roman" w:cs="Times New Roman"/>
          <w:color w:val="000000"/>
        </w:rPr>
        <w:t xml:space="preserve"> (2004)</w:t>
      </w:r>
      <w:r w:rsidR="00F527E6">
        <w:rPr>
          <w:rFonts w:ascii="Times New Roman" w:hAnsi="Times New Roman" w:cs="Times New Roman"/>
          <w:color w:val="000000"/>
        </w:rPr>
        <w:t>,</w:t>
      </w:r>
      <w:r w:rsidRPr="00807BAB">
        <w:rPr>
          <w:rFonts w:ascii="Times New Roman" w:hAnsi="Times New Roman" w:cs="Times New Roman"/>
          <w:color w:val="000000"/>
        </w:rPr>
        <w:t xml:space="preserve"> </w:t>
      </w:r>
      <w:r w:rsidR="00AB22FB" w:rsidRPr="00807BAB">
        <w:rPr>
          <w:rFonts w:ascii="Times New Roman" w:hAnsi="Times New Roman" w:cs="Times New Roman"/>
          <w:color w:val="000000"/>
        </w:rPr>
        <w:t>‘</w:t>
      </w:r>
      <w:r w:rsidRPr="00807BAB">
        <w:rPr>
          <w:rFonts w:ascii="Times New Roman" w:hAnsi="Times New Roman" w:cs="Times New Roman"/>
          <w:color w:val="000000"/>
        </w:rPr>
        <w:t xml:space="preserve">Why are European </w:t>
      </w:r>
      <w:r w:rsidR="00F527E6">
        <w:rPr>
          <w:rFonts w:ascii="Times New Roman" w:hAnsi="Times New Roman" w:cs="Times New Roman"/>
          <w:color w:val="000000"/>
        </w:rPr>
        <w:t>C</w:t>
      </w:r>
      <w:r w:rsidRPr="00807BAB">
        <w:rPr>
          <w:rFonts w:ascii="Times New Roman" w:hAnsi="Times New Roman" w:cs="Times New Roman"/>
          <w:color w:val="000000"/>
        </w:rPr>
        <w:t xml:space="preserve">ountries </w:t>
      </w:r>
      <w:r w:rsidR="00F527E6">
        <w:rPr>
          <w:rFonts w:ascii="Times New Roman" w:hAnsi="Times New Roman" w:cs="Times New Roman"/>
          <w:color w:val="000000"/>
        </w:rPr>
        <w:t>D</w:t>
      </w:r>
      <w:r w:rsidRPr="00807BAB">
        <w:rPr>
          <w:rFonts w:ascii="Times New Roman" w:hAnsi="Times New Roman" w:cs="Times New Roman"/>
          <w:color w:val="000000"/>
        </w:rPr>
        <w:t xml:space="preserve">iverging in their </w:t>
      </w:r>
      <w:r w:rsidR="00F527E6">
        <w:rPr>
          <w:rFonts w:ascii="Times New Roman" w:hAnsi="Times New Roman" w:cs="Times New Roman"/>
          <w:color w:val="000000"/>
        </w:rPr>
        <w:t>U</w:t>
      </w:r>
      <w:r w:rsidRPr="00807BAB">
        <w:rPr>
          <w:rFonts w:ascii="Times New Roman" w:hAnsi="Times New Roman" w:cs="Times New Roman"/>
          <w:color w:val="000000"/>
        </w:rPr>
        <w:t xml:space="preserve">nemployment </w:t>
      </w:r>
      <w:r w:rsidR="00F527E6">
        <w:rPr>
          <w:rFonts w:ascii="Times New Roman" w:hAnsi="Times New Roman" w:cs="Times New Roman"/>
          <w:color w:val="000000"/>
        </w:rPr>
        <w:t>E</w:t>
      </w:r>
      <w:r w:rsidRPr="00807BAB">
        <w:rPr>
          <w:rFonts w:ascii="Times New Roman" w:hAnsi="Times New Roman" w:cs="Times New Roman"/>
          <w:color w:val="000000"/>
        </w:rPr>
        <w:t>xperience?</w:t>
      </w:r>
      <w:r w:rsidR="00AB22FB" w:rsidRPr="00807BAB">
        <w:rPr>
          <w:rFonts w:ascii="Times New Roman" w:hAnsi="Times New Roman" w:cs="Times New Roman"/>
          <w:color w:val="000000"/>
        </w:rPr>
        <w:t>’,</w:t>
      </w:r>
      <w:r w:rsidRPr="00807BAB">
        <w:rPr>
          <w:rFonts w:ascii="Times New Roman" w:hAnsi="Times New Roman" w:cs="Times New Roman"/>
          <w:color w:val="000000"/>
        </w:rPr>
        <w:t xml:space="preserve"> </w:t>
      </w:r>
      <w:r w:rsidRPr="00807BAB">
        <w:rPr>
          <w:rFonts w:ascii="Times New Roman" w:hAnsi="Times New Roman" w:cs="Times New Roman"/>
          <w:i/>
          <w:color w:val="000000"/>
        </w:rPr>
        <w:t>Journal of Economic Perspectives</w:t>
      </w:r>
      <w:r w:rsidR="00F527E6">
        <w:rPr>
          <w:rFonts w:ascii="Times New Roman" w:hAnsi="Times New Roman" w:cs="Times New Roman"/>
          <w:i/>
          <w:color w:val="000000"/>
        </w:rPr>
        <w:t>,</w:t>
      </w:r>
      <w:r w:rsidRPr="00807BAB">
        <w:rPr>
          <w:rFonts w:ascii="Times New Roman" w:hAnsi="Times New Roman" w:cs="Times New Roman"/>
          <w:color w:val="000000"/>
        </w:rPr>
        <w:t xml:space="preserve"> 18</w:t>
      </w:r>
      <w:r w:rsidR="00F527E6">
        <w:rPr>
          <w:rFonts w:ascii="Times New Roman" w:hAnsi="Times New Roman" w:cs="Times New Roman"/>
          <w:color w:val="000000"/>
        </w:rPr>
        <w:t xml:space="preserve">, </w:t>
      </w:r>
      <w:r w:rsidRPr="00807BAB">
        <w:rPr>
          <w:rFonts w:ascii="Times New Roman" w:hAnsi="Times New Roman" w:cs="Times New Roman"/>
          <w:color w:val="000000"/>
        </w:rPr>
        <w:t>4</w:t>
      </w:r>
      <w:r w:rsidR="00F527E6">
        <w:rPr>
          <w:rFonts w:ascii="Times New Roman" w:hAnsi="Times New Roman" w:cs="Times New Roman"/>
          <w:color w:val="000000"/>
        </w:rPr>
        <w:t>,</w:t>
      </w:r>
      <w:r w:rsidRPr="00807BAB">
        <w:rPr>
          <w:rFonts w:ascii="Times New Roman" w:hAnsi="Times New Roman" w:cs="Times New Roman"/>
          <w:color w:val="000000"/>
        </w:rPr>
        <w:t xml:space="preserve"> 49-68.</w:t>
      </w:r>
    </w:p>
    <w:p w14:paraId="5E035363" w14:textId="77777777" w:rsidR="00B01CE6" w:rsidRDefault="00B01CE6" w:rsidP="00D67EC8">
      <w:pPr>
        <w:autoSpaceDE w:val="0"/>
        <w:autoSpaceDN w:val="0"/>
        <w:adjustRightInd w:val="0"/>
        <w:spacing w:after="0" w:afterAutospacing="0" w:line="480" w:lineRule="auto"/>
        <w:rPr>
          <w:rFonts w:ascii="Times New Roman" w:hAnsi="Times New Roman" w:cs="Times New Roman"/>
          <w:color w:val="000000"/>
        </w:rPr>
      </w:pPr>
    </w:p>
    <w:p w14:paraId="40A2EC62" w14:textId="665493AB" w:rsidR="00B01CE6" w:rsidRPr="00807BAB" w:rsidRDefault="00B01CE6" w:rsidP="00D67EC8">
      <w:pPr>
        <w:autoSpaceDE w:val="0"/>
        <w:autoSpaceDN w:val="0"/>
        <w:adjustRightInd w:val="0"/>
        <w:spacing w:after="0" w:afterAutospacing="0" w:line="480" w:lineRule="auto"/>
        <w:rPr>
          <w:rFonts w:ascii="Times New Roman" w:hAnsi="Times New Roman" w:cs="Times New Roman"/>
          <w:color w:val="000000"/>
        </w:rPr>
      </w:pPr>
      <w:r>
        <w:rPr>
          <w:rFonts w:ascii="Times New Roman" w:hAnsi="Times New Roman" w:cs="Times New Roman"/>
          <w:color w:val="000000"/>
        </w:rPr>
        <w:t>Schömann, I. (2014)</w:t>
      </w:r>
      <w:r w:rsidR="00F527E6">
        <w:rPr>
          <w:rFonts w:ascii="Times New Roman" w:hAnsi="Times New Roman" w:cs="Times New Roman"/>
          <w:color w:val="000000"/>
        </w:rPr>
        <w:t>,</w:t>
      </w:r>
      <w:r>
        <w:rPr>
          <w:rFonts w:ascii="Times New Roman" w:hAnsi="Times New Roman" w:cs="Times New Roman"/>
          <w:color w:val="000000"/>
        </w:rPr>
        <w:t xml:space="preserve"> ‘Labour </w:t>
      </w:r>
      <w:r w:rsidR="00F527E6">
        <w:rPr>
          <w:rFonts w:ascii="Times New Roman" w:hAnsi="Times New Roman" w:cs="Times New Roman"/>
          <w:color w:val="000000"/>
        </w:rPr>
        <w:t>L</w:t>
      </w:r>
      <w:r>
        <w:rPr>
          <w:rFonts w:ascii="Times New Roman" w:hAnsi="Times New Roman" w:cs="Times New Roman"/>
          <w:color w:val="000000"/>
        </w:rPr>
        <w:t xml:space="preserve">aw </w:t>
      </w:r>
      <w:r w:rsidR="00F527E6">
        <w:rPr>
          <w:rFonts w:ascii="Times New Roman" w:hAnsi="Times New Roman" w:cs="Times New Roman"/>
          <w:color w:val="000000"/>
        </w:rPr>
        <w:t>R</w:t>
      </w:r>
      <w:r>
        <w:rPr>
          <w:rFonts w:ascii="Times New Roman" w:hAnsi="Times New Roman" w:cs="Times New Roman"/>
          <w:color w:val="000000"/>
        </w:rPr>
        <w:t xml:space="preserve">eforms in Europe: </w:t>
      </w:r>
      <w:r w:rsidR="00F527E6">
        <w:rPr>
          <w:rFonts w:ascii="Times New Roman" w:hAnsi="Times New Roman" w:cs="Times New Roman"/>
          <w:color w:val="000000"/>
        </w:rPr>
        <w:t>A</w:t>
      </w:r>
      <w:r>
        <w:rPr>
          <w:rFonts w:ascii="Times New Roman" w:hAnsi="Times New Roman" w:cs="Times New Roman"/>
          <w:color w:val="000000"/>
        </w:rPr>
        <w:t xml:space="preserve">djusting </w:t>
      </w:r>
      <w:r w:rsidR="00F527E6">
        <w:rPr>
          <w:rFonts w:ascii="Times New Roman" w:hAnsi="Times New Roman" w:cs="Times New Roman"/>
          <w:color w:val="000000"/>
        </w:rPr>
        <w:t>E</w:t>
      </w:r>
      <w:r>
        <w:rPr>
          <w:rFonts w:ascii="Times New Roman" w:hAnsi="Times New Roman" w:cs="Times New Roman"/>
          <w:color w:val="000000"/>
        </w:rPr>
        <w:t xml:space="preserve">mployment </w:t>
      </w:r>
      <w:r w:rsidR="00F527E6">
        <w:rPr>
          <w:rFonts w:ascii="Times New Roman" w:hAnsi="Times New Roman" w:cs="Times New Roman"/>
          <w:color w:val="000000"/>
        </w:rPr>
        <w:t>P</w:t>
      </w:r>
      <w:r>
        <w:rPr>
          <w:rFonts w:ascii="Times New Roman" w:hAnsi="Times New Roman" w:cs="Times New Roman"/>
          <w:color w:val="000000"/>
        </w:rPr>
        <w:t xml:space="preserve">rotection </w:t>
      </w:r>
      <w:r w:rsidR="00F527E6">
        <w:rPr>
          <w:rFonts w:ascii="Times New Roman" w:hAnsi="Times New Roman" w:cs="Times New Roman"/>
          <w:color w:val="000000"/>
        </w:rPr>
        <w:t>L</w:t>
      </w:r>
      <w:r>
        <w:rPr>
          <w:rFonts w:ascii="Times New Roman" w:hAnsi="Times New Roman" w:cs="Times New Roman"/>
          <w:color w:val="000000"/>
        </w:rPr>
        <w:t xml:space="preserve">egislation for the </w:t>
      </w:r>
      <w:r w:rsidR="00F527E6">
        <w:rPr>
          <w:rFonts w:ascii="Times New Roman" w:hAnsi="Times New Roman" w:cs="Times New Roman"/>
          <w:color w:val="000000"/>
        </w:rPr>
        <w:t>W</w:t>
      </w:r>
      <w:r>
        <w:rPr>
          <w:rFonts w:ascii="Times New Roman" w:hAnsi="Times New Roman" w:cs="Times New Roman"/>
          <w:color w:val="000000"/>
        </w:rPr>
        <w:t>orse’, Working Paper 2014.02</w:t>
      </w:r>
      <w:r w:rsidR="00F527E6">
        <w:rPr>
          <w:rFonts w:ascii="Times New Roman" w:hAnsi="Times New Roman" w:cs="Times New Roman"/>
          <w:color w:val="000000"/>
        </w:rPr>
        <w:t xml:space="preserve"> (</w:t>
      </w:r>
      <w:r>
        <w:rPr>
          <w:rFonts w:ascii="Times New Roman" w:hAnsi="Times New Roman" w:cs="Times New Roman"/>
          <w:color w:val="000000"/>
        </w:rPr>
        <w:t>Brussels</w:t>
      </w:r>
      <w:r w:rsidR="00F527E6">
        <w:rPr>
          <w:rFonts w:ascii="Times New Roman" w:hAnsi="Times New Roman" w:cs="Times New Roman"/>
          <w:color w:val="000000"/>
        </w:rPr>
        <w:t>,</w:t>
      </w:r>
      <w:r>
        <w:rPr>
          <w:rFonts w:ascii="Times New Roman" w:hAnsi="Times New Roman" w:cs="Times New Roman"/>
          <w:color w:val="000000"/>
        </w:rPr>
        <w:t xml:space="preserve"> European Trade Union Institute</w:t>
      </w:r>
      <w:r w:rsidR="00F527E6">
        <w:rPr>
          <w:rFonts w:ascii="Times New Roman" w:hAnsi="Times New Roman" w:cs="Times New Roman"/>
          <w:color w:val="000000"/>
        </w:rPr>
        <w:t>)</w:t>
      </w:r>
      <w:r>
        <w:rPr>
          <w:rFonts w:ascii="Times New Roman" w:hAnsi="Times New Roman" w:cs="Times New Roman"/>
          <w:color w:val="000000"/>
        </w:rPr>
        <w:t>.</w:t>
      </w:r>
    </w:p>
    <w:p w14:paraId="274C5EC7" w14:textId="4C3EBB19" w:rsidR="00F81C79" w:rsidRPr="00F81C79" w:rsidRDefault="00F81C79" w:rsidP="00F81C79">
      <w:pPr>
        <w:pStyle w:val="NormalWeb"/>
        <w:ind w:left="480" w:hanging="480"/>
      </w:pPr>
      <w:r w:rsidRPr="00B712C2">
        <w:rPr>
          <w:sz w:val="22"/>
          <w:szCs w:val="22"/>
        </w:rPr>
        <w:t xml:space="preserve">Schweiger, C. (2014) </w:t>
      </w:r>
      <w:r w:rsidRPr="00B712C2">
        <w:rPr>
          <w:i/>
          <w:sz w:val="22"/>
          <w:szCs w:val="22"/>
        </w:rPr>
        <w:t>The EU and the Global Financial Crisis</w:t>
      </w:r>
      <w:r w:rsidRPr="00B712C2">
        <w:rPr>
          <w:sz w:val="22"/>
          <w:szCs w:val="22"/>
        </w:rPr>
        <w:t xml:space="preserve"> </w:t>
      </w:r>
      <w:r>
        <w:rPr>
          <w:sz w:val="22"/>
          <w:szCs w:val="22"/>
        </w:rPr>
        <w:t>(</w:t>
      </w:r>
      <w:r w:rsidRPr="00B712C2">
        <w:rPr>
          <w:sz w:val="22"/>
          <w:szCs w:val="22"/>
        </w:rPr>
        <w:t>Cheltenham: Edward Elgar</w:t>
      </w:r>
      <w:r>
        <w:rPr>
          <w:sz w:val="22"/>
          <w:szCs w:val="22"/>
        </w:rPr>
        <w:t>)</w:t>
      </w:r>
    </w:p>
    <w:p w14:paraId="284ECF63" w14:textId="77777777" w:rsidR="00F81C79" w:rsidRDefault="00F81C79" w:rsidP="00D67EC8">
      <w:pPr>
        <w:autoSpaceDE w:val="0"/>
        <w:autoSpaceDN w:val="0"/>
        <w:adjustRightInd w:val="0"/>
        <w:spacing w:after="0" w:afterAutospacing="0" w:line="480" w:lineRule="auto"/>
        <w:rPr>
          <w:rFonts w:ascii="Times New Roman" w:hAnsi="Times New Roman" w:cs="Times New Roman"/>
          <w:color w:val="000000"/>
        </w:rPr>
      </w:pPr>
    </w:p>
    <w:p w14:paraId="46E5FDBD" w14:textId="77AC2D57" w:rsidR="00E13E23" w:rsidRPr="00807BAB" w:rsidRDefault="00673DB0" w:rsidP="00D67EC8">
      <w:pPr>
        <w:autoSpaceDE w:val="0"/>
        <w:autoSpaceDN w:val="0"/>
        <w:adjustRightInd w:val="0"/>
        <w:spacing w:after="0" w:afterAutospacing="0" w:line="480" w:lineRule="auto"/>
        <w:rPr>
          <w:rFonts w:ascii="Times New Roman" w:hAnsi="Times New Roman" w:cs="Times New Roman"/>
          <w:color w:val="000000"/>
        </w:rPr>
      </w:pPr>
      <w:r w:rsidRPr="00807BAB">
        <w:rPr>
          <w:rFonts w:ascii="Times New Roman" w:hAnsi="Times New Roman" w:cs="Times New Roman"/>
          <w:color w:val="000000"/>
        </w:rPr>
        <w:t>Siebert</w:t>
      </w:r>
      <w:r w:rsidR="00F527E6">
        <w:rPr>
          <w:rFonts w:ascii="Times New Roman" w:hAnsi="Times New Roman" w:cs="Times New Roman"/>
          <w:color w:val="000000"/>
        </w:rPr>
        <w:t>,</w:t>
      </w:r>
      <w:r w:rsidRPr="00807BAB">
        <w:rPr>
          <w:rFonts w:ascii="Times New Roman" w:hAnsi="Times New Roman" w:cs="Times New Roman"/>
          <w:color w:val="000000"/>
        </w:rPr>
        <w:t xml:space="preserve"> H</w:t>
      </w:r>
      <w:r w:rsidR="00F527E6">
        <w:rPr>
          <w:rFonts w:ascii="Times New Roman" w:hAnsi="Times New Roman" w:cs="Times New Roman"/>
          <w:color w:val="000000"/>
        </w:rPr>
        <w:t>.</w:t>
      </w:r>
      <w:r w:rsidRPr="00807BAB">
        <w:rPr>
          <w:rFonts w:ascii="Times New Roman" w:hAnsi="Times New Roman" w:cs="Times New Roman"/>
          <w:color w:val="000000"/>
        </w:rPr>
        <w:t xml:space="preserve"> (1997)</w:t>
      </w:r>
      <w:r w:rsidR="00F527E6">
        <w:rPr>
          <w:rFonts w:ascii="Times New Roman" w:hAnsi="Times New Roman" w:cs="Times New Roman"/>
          <w:color w:val="000000"/>
        </w:rPr>
        <w:t>,</w:t>
      </w:r>
      <w:r w:rsidRPr="00807BAB">
        <w:rPr>
          <w:rFonts w:ascii="Times New Roman" w:hAnsi="Times New Roman" w:cs="Times New Roman"/>
          <w:color w:val="000000"/>
        </w:rPr>
        <w:t xml:space="preserve"> </w:t>
      </w:r>
      <w:r w:rsidR="00116BEC" w:rsidRPr="00807BAB">
        <w:rPr>
          <w:rFonts w:ascii="Times New Roman" w:hAnsi="Times New Roman" w:cs="Times New Roman"/>
          <w:color w:val="000000"/>
        </w:rPr>
        <w:t>‘</w:t>
      </w:r>
      <w:r w:rsidRPr="00807BAB">
        <w:rPr>
          <w:rFonts w:ascii="Times New Roman" w:hAnsi="Times New Roman" w:cs="Times New Roman"/>
          <w:color w:val="000000"/>
        </w:rPr>
        <w:t xml:space="preserve">Labour </w:t>
      </w:r>
      <w:r w:rsidR="00F527E6">
        <w:rPr>
          <w:rFonts w:ascii="Times New Roman" w:hAnsi="Times New Roman" w:cs="Times New Roman"/>
          <w:color w:val="000000"/>
        </w:rPr>
        <w:t>M</w:t>
      </w:r>
      <w:r w:rsidRPr="00807BAB">
        <w:rPr>
          <w:rFonts w:ascii="Times New Roman" w:hAnsi="Times New Roman" w:cs="Times New Roman"/>
          <w:color w:val="000000"/>
        </w:rPr>
        <w:t xml:space="preserve">arket </w:t>
      </w:r>
      <w:r w:rsidR="00F527E6">
        <w:rPr>
          <w:rFonts w:ascii="Times New Roman" w:hAnsi="Times New Roman" w:cs="Times New Roman"/>
          <w:color w:val="000000"/>
        </w:rPr>
        <w:t>R</w:t>
      </w:r>
      <w:r w:rsidRPr="00807BAB">
        <w:rPr>
          <w:rFonts w:ascii="Times New Roman" w:hAnsi="Times New Roman" w:cs="Times New Roman"/>
          <w:color w:val="000000"/>
        </w:rPr>
        <w:t xml:space="preserve">igidities: At the </w:t>
      </w:r>
      <w:r w:rsidR="00F527E6">
        <w:rPr>
          <w:rFonts w:ascii="Times New Roman" w:hAnsi="Times New Roman" w:cs="Times New Roman"/>
          <w:color w:val="000000"/>
        </w:rPr>
        <w:t>R</w:t>
      </w:r>
      <w:r w:rsidRPr="00807BAB">
        <w:rPr>
          <w:rFonts w:ascii="Times New Roman" w:hAnsi="Times New Roman" w:cs="Times New Roman"/>
          <w:color w:val="000000"/>
        </w:rPr>
        <w:t xml:space="preserve">oot of </w:t>
      </w:r>
      <w:r w:rsidR="00F527E6">
        <w:rPr>
          <w:rFonts w:ascii="Times New Roman" w:hAnsi="Times New Roman" w:cs="Times New Roman"/>
          <w:color w:val="000000"/>
        </w:rPr>
        <w:t>U</w:t>
      </w:r>
      <w:r w:rsidRPr="00807BAB">
        <w:rPr>
          <w:rFonts w:ascii="Times New Roman" w:hAnsi="Times New Roman" w:cs="Times New Roman"/>
          <w:color w:val="000000"/>
        </w:rPr>
        <w:t>nemployment in Europe</w:t>
      </w:r>
      <w:r w:rsidR="00116BEC" w:rsidRPr="00807BAB">
        <w:rPr>
          <w:rFonts w:ascii="Times New Roman" w:hAnsi="Times New Roman" w:cs="Times New Roman"/>
          <w:color w:val="000000"/>
        </w:rPr>
        <w:t>’</w:t>
      </w:r>
      <w:r w:rsidR="00F527E6">
        <w:rPr>
          <w:rFonts w:ascii="Times New Roman" w:hAnsi="Times New Roman" w:cs="Times New Roman"/>
          <w:color w:val="000000"/>
        </w:rPr>
        <w:t>,</w:t>
      </w:r>
      <w:r w:rsidRPr="00807BAB">
        <w:rPr>
          <w:rFonts w:ascii="Times New Roman" w:hAnsi="Times New Roman" w:cs="Times New Roman"/>
          <w:color w:val="000000"/>
        </w:rPr>
        <w:t xml:space="preserve"> </w:t>
      </w:r>
      <w:r w:rsidRPr="00807BAB">
        <w:rPr>
          <w:rFonts w:ascii="Times New Roman" w:hAnsi="Times New Roman" w:cs="Times New Roman"/>
          <w:i/>
          <w:color w:val="000000"/>
        </w:rPr>
        <w:t>Journal of Economic Perspectives</w:t>
      </w:r>
      <w:r w:rsidR="00F527E6">
        <w:rPr>
          <w:rFonts w:ascii="Times New Roman" w:hAnsi="Times New Roman" w:cs="Times New Roman"/>
          <w:i/>
          <w:color w:val="000000"/>
        </w:rPr>
        <w:t>,</w:t>
      </w:r>
      <w:r w:rsidRPr="00807BAB">
        <w:rPr>
          <w:rFonts w:ascii="Times New Roman" w:hAnsi="Times New Roman" w:cs="Times New Roman"/>
          <w:color w:val="000000"/>
        </w:rPr>
        <w:t xml:space="preserve"> 11</w:t>
      </w:r>
      <w:r w:rsidR="00F527E6">
        <w:rPr>
          <w:rFonts w:ascii="Times New Roman" w:hAnsi="Times New Roman" w:cs="Times New Roman"/>
          <w:color w:val="000000"/>
        </w:rPr>
        <w:t xml:space="preserve">, </w:t>
      </w:r>
      <w:r w:rsidRPr="00807BAB">
        <w:rPr>
          <w:rFonts w:ascii="Times New Roman" w:hAnsi="Times New Roman" w:cs="Times New Roman"/>
          <w:color w:val="000000"/>
        </w:rPr>
        <w:t>3</w:t>
      </w:r>
      <w:r w:rsidR="00F527E6">
        <w:rPr>
          <w:rFonts w:ascii="Times New Roman" w:hAnsi="Times New Roman" w:cs="Times New Roman"/>
          <w:color w:val="000000"/>
        </w:rPr>
        <w:t>,</w:t>
      </w:r>
      <w:r w:rsidRPr="00807BAB">
        <w:rPr>
          <w:rFonts w:ascii="Times New Roman" w:hAnsi="Times New Roman" w:cs="Times New Roman"/>
          <w:color w:val="000000"/>
        </w:rPr>
        <w:t xml:space="preserve"> 37-55.</w:t>
      </w:r>
    </w:p>
    <w:p w14:paraId="004414E7" w14:textId="77777777" w:rsidR="00E13E23" w:rsidRPr="00807BAB" w:rsidRDefault="00E13E23" w:rsidP="00D67EC8">
      <w:pPr>
        <w:autoSpaceDE w:val="0"/>
        <w:autoSpaceDN w:val="0"/>
        <w:adjustRightInd w:val="0"/>
        <w:spacing w:after="0" w:afterAutospacing="0" w:line="480" w:lineRule="auto"/>
        <w:rPr>
          <w:rFonts w:ascii="Times New Roman" w:hAnsi="Times New Roman" w:cs="Times New Roman"/>
          <w:color w:val="000000"/>
        </w:rPr>
      </w:pPr>
    </w:p>
    <w:p w14:paraId="064D6CEB" w14:textId="5D793ACC" w:rsidR="0011177C" w:rsidRDefault="00673DB0" w:rsidP="00D67EC8">
      <w:pPr>
        <w:autoSpaceDE w:val="0"/>
        <w:autoSpaceDN w:val="0"/>
        <w:adjustRightInd w:val="0"/>
        <w:spacing w:after="0" w:afterAutospacing="0" w:line="480" w:lineRule="auto"/>
        <w:rPr>
          <w:rFonts w:ascii="Times New Roman" w:hAnsi="Times New Roman" w:cs="Times New Roman"/>
          <w:color w:val="000000"/>
        </w:rPr>
      </w:pPr>
      <w:r w:rsidRPr="00807BAB">
        <w:rPr>
          <w:rFonts w:ascii="Times New Roman" w:hAnsi="Times New Roman" w:cs="Times New Roman"/>
          <w:color w:val="000000"/>
        </w:rPr>
        <w:t>Storm</w:t>
      </w:r>
      <w:r w:rsidR="00F527E6">
        <w:rPr>
          <w:rFonts w:ascii="Times New Roman" w:hAnsi="Times New Roman" w:cs="Times New Roman"/>
          <w:color w:val="000000"/>
        </w:rPr>
        <w:t>,</w:t>
      </w:r>
      <w:r w:rsidRPr="00807BAB">
        <w:rPr>
          <w:rFonts w:ascii="Times New Roman" w:hAnsi="Times New Roman" w:cs="Times New Roman"/>
          <w:color w:val="000000"/>
        </w:rPr>
        <w:t xml:space="preserve"> S</w:t>
      </w:r>
      <w:r w:rsidR="00F527E6">
        <w:rPr>
          <w:rFonts w:ascii="Times New Roman" w:hAnsi="Times New Roman" w:cs="Times New Roman"/>
          <w:color w:val="000000"/>
        </w:rPr>
        <w:t>.</w:t>
      </w:r>
      <w:r w:rsidRPr="00807BAB">
        <w:rPr>
          <w:rFonts w:ascii="Times New Roman" w:hAnsi="Times New Roman" w:cs="Times New Roman"/>
          <w:color w:val="000000"/>
        </w:rPr>
        <w:t xml:space="preserve"> and Naastepad</w:t>
      </w:r>
      <w:r w:rsidR="00F527E6">
        <w:rPr>
          <w:rFonts w:ascii="Times New Roman" w:hAnsi="Times New Roman" w:cs="Times New Roman"/>
          <w:color w:val="000000"/>
        </w:rPr>
        <w:t>,</w:t>
      </w:r>
      <w:r w:rsidRPr="00807BAB">
        <w:rPr>
          <w:rFonts w:ascii="Times New Roman" w:hAnsi="Times New Roman" w:cs="Times New Roman"/>
          <w:color w:val="000000"/>
        </w:rPr>
        <w:t xml:space="preserve"> C </w:t>
      </w:r>
      <w:r w:rsidR="00F527E6">
        <w:rPr>
          <w:rFonts w:ascii="Times New Roman" w:hAnsi="Times New Roman" w:cs="Times New Roman"/>
          <w:color w:val="000000"/>
        </w:rPr>
        <w:t>.</w:t>
      </w:r>
      <w:r w:rsidRPr="00807BAB">
        <w:rPr>
          <w:rFonts w:ascii="Times New Roman" w:hAnsi="Times New Roman" w:cs="Times New Roman"/>
          <w:color w:val="000000"/>
        </w:rPr>
        <w:t>W</w:t>
      </w:r>
      <w:r w:rsidR="00F527E6">
        <w:rPr>
          <w:rFonts w:ascii="Times New Roman" w:hAnsi="Times New Roman" w:cs="Times New Roman"/>
          <w:color w:val="000000"/>
        </w:rPr>
        <w:t>.</w:t>
      </w:r>
      <w:r w:rsidRPr="00807BAB">
        <w:rPr>
          <w:rFonts w:ascii="Times New Roman" w:hAnsi="Times New Roman" w:cs="Times New Roman"/>
          <w:color w:val="000000"/>
        </w:rPr>
        <w:t xml:space="preserve"> M</w:t>
      </w:r>
      <w:r w:rsidR="00F527E6">
        <w:rPr>
          <w:rFonts w:ascii="Times New Roman" w:hAnsi="Times New Roman" w:cs="Times New Roman"/>
          <w:color w:val="000000"/>
        </w:rPr>
        <w:t>.</w:t>
      </w:r>
      <w:r w:rsidRPr="00807BAB">
        <w:rPr>
          <w:rFonts w:ascii="Times New Roman" w:hAnsi="Times New Roman" w:cs="Times New Roman"/>
          <w:color w:val="000000"/>
        </w:rPr>
        <w:t xml:space="preserve"> (2009)</w:t>
      </w:r>
      <w:r w:rsidR="00F527E6">
        <w:rPr>
          <w:rFonts w:ascii="Times New Roman" w:hAnsi="Times New Roman" w:cs="Times New Roman"/>
          <w:color w:val="000000"/>
        </w:rPr>
        <w:t>,</w:t>
      </w:r>
      <w:r w:rsidRPr="00807BAB">
        <w:rPr>
          <w:rFonts w:ascii="Times New Roman" w:hAnsi="Times New Roman" w:cs="Times New Roman"/>
          <w:color w:val="000000"/>
        </w:rPr>
        <w:t xml:space="preserve"> </w:t>
      </w:r>
      <w:r w:rsidR="00116BEC" w:rsidRPr="00807BAB">
        <w:rPr>
          <w:rFonts w:ascii="Times New Roman" w:hAnsi="Times New Roman" w:cs="Times New Roman"/>
          <w:color w:val="000000"/>
        </w:rPr>
        <w:t>‘</w:t>
      </w:r>
      <w:r w:rsidRPr="00807BAB">
        <w:rPr>
          <w:rFonts w:ascii="Times New Roman" w:hAnsi="Times New Roman" w:cs="Times New Roman"/>
          <w:color w:val="000000"/>
        </w:rPr>
        <w:t xml:space="preserve">Labour </w:t>
      </w:r>
      <w:r w:rsidR="00F527E6">
        <w:rPr>
          <w:rFonts w:ascii="Times New Roman" w:hAnsi="Times New Roman" w:cs="Times New Roman"/>
          <w:color w:val="000000"/>
        </w:rPr>
        <w:t>M</w:t>
      </w:r>
      <w:r w:rsidRPr="00807BAB">
        <w:rPr>
          <w:rFonts w:ascii="Times New Roman" w:hAnsi="Times New Roman" w:cs="Times New Roman"/>
          <w:color w:val="000000"/>
        </w:rPr>
        <w:t xml:space="preserve">arket </w:t>
      </w:r>
      <w:r w:rsidR="00F527E6">
        <w:rPr>
          <w:rFonts w:ascii="Times New Roman" w:hAnsi="Times New Roman" w:cs="Times New Roman"/>
          <w:color w:val="000000"/>
        </w:rPr>
        <w:t>R</w:t>
      </w:r>
      <w:r w:rsidRPr="00807BAB">
        <w:rPr>
          <w:rFonts w:ascii="Times New Roman" w:hAnsi="Times New Roman" w:cs="Times New Roman"/>
          <w:color w:val="000000"/>
        </w:rPr>
        <w:t xml:space="preserve">egulation and </w:t>
      </w:r>
      <w:r w:rsidR="00F527E6">
        <w:rPr>
          <w:rFonts w:ascii="Times New Roman" w:hAnsi="Times New Roman" w:cs="Times New Roman"/>
          <w:color w:val="000000"/>
        </w:rPr>
        <w:t>P</w:t>
      </w:r>
      <w:r w:rsidRPr="00807BAB">
        <w:rPr>
          <w:rFonts w:ascii="Times New Roman" w:hAnsi="Times New Roman" w:cs="Times New Roman"/>
          <w:color w:val="000000"/>
        </w:rPr>
        <w:t xml:space="preserve">roductivity </w:t>
      </w:r>
      <w:r w:rsidR="00F527E6">
        <w:rPr>
          <w:rFonts w:ascii="Times New Roman" w:hAnsi="Times New Roman" w:cs="Times New Roman"/>
          <w:color w:val="000000"/>
        </w:rPr>
        <w:t>G</w:t>
      </w:r>
      <w:r w:rsidRPr="00807BAB">
        <w:rPr>
          <w:rFonts w:ascii="Times New Roman" w:hAnsi="Times New Roman" w:cs="Times New Roman"/>
          <w:color w:val="000000"/>
        </w:rPr>
        <w:t xml:space="preserve">rowth: </w:t>
      </w:r>
      <w:r w:rsidR="00F527E6">
        <w:rPr>
          <w:rFonts w:ascii="Times New Roman" w:hAnsi="Times New Roman" w:cs="Times New Roman"/>
          <w:color w:val="000000"/>
        </w:rPr>
        <w:t>E</w:t>
      </w:r>
      <w:r w:rsidRPr="00807BAB">
        <w:rPr>
          <w:rFonts w:ascii="Times New Roman" w:hAnsi="Times New Roman" w:cs="Times New Roman"/>
          <w:color w:val="000000"/>
        </w:rPr>
        <w:t xml:space="preserve">vidence for </w:t>
      </w:r>
      <w:r w:rsidR="00F527E6">
        <w:rPr>
          <w:rFonts w:ascii="Times New Roman" w:hAnsi="Times New Roman" w:cs="Times New Roman"/>
          <w:color w:val="000000"/>
        </w:rPr>
        <w:t>T</w:t>
      </w:r>
      <w:r w:rsidRPr="00807BAB">
        <w:rPr>
          <w:rFonts w:ascii="Times New Roman" w:hAnsi="Times New Roman" w:cs="Times New Roman"/>
          <w:color w:val="000000"/>
        </w:rPr>
        <w:t>wenty OECD countries (1984-2004)</w:t>
      </w:r>
      <w:r w:rsidR="00F527E6">
        <w:rPr>
          <w:rFonts w:ascii="Times New Roman" w:hAnsi="Times New Roman" w:cs="Times New Roman"/>
          <w:color w:val="000000"/>
        </w:rPr>
        <w:t xml:space="preserve">’, </w:t>
      </w:r>
      <w:r w:rsidRPr="00807BAB">
        <w:rPr>
          <w:rFonts w:ascii="Times New Roman" w:hAnsi="Times New Roman" w:cs="Times New Roman"/>
          <w:i/>
          <w:color w:val="000000"/>
        </w:rPr>
        <w:t>Industrial Relations</w:t>
      </w:r>
      <w:r w:rsidR="00F527E6">
        <w:rPr>
          <w:rFonts w:ascii="Times New Roman" w:hAnsi="Times New Roman" w:cs="Times New Roman"/>
          <w:i/>
          <w:color w:val="000000"/>
        </w:rPr>
        <w:t>,</w:t>
      </w:r>
      <w:r w:rsidRPr="00807BAB">
        <w:rPr>
          <w:rFonts w:ascii="Times New Roman" w:hAnsi="Times New Roman" w:cs="Times New Roman"/>
          <w:color w:val="000000"/>
        </w:rPr>
        <w:t xml:space="preserve"> 48</w:t>
      </w:r>
      <w:r w:rsidR="00F527E6">
        <w:rPr>
          <w:rFonts w:ascii="Times New Roman" w:hAnsi="Times New Roman" w:cs="Times New Roman"/>
          <w:color w:val="000000"/>
        </w:rPr>
        <w:t xml:space="preserve">, </w:t>
      </w:r>
      <w:r w:rsidRPr="00807BAB">
        <w:rPr>
          <w:rFonts w:ascii="Times New Roman" w:hAnsi="Times New Roman" w:cs="Times New Roman"/>
          <w:color w:val="000000"/>
        </w:rPr>
        <w:t>4</w:t>
      </w:r>
      <w:r w:rsidR="00F527E6">
        <w:rPr>
          <w:rFonts w:ascii="Times New Roman" w:hAnsi="Times New Roman" w:cs="Times New Roman"/>
          <w:color w:val="000000"/>
        </w:rPr>
        <w:t>,</w:t>
      </w:r>
      <w:r w:rsidRPr="00807BAB">
        <w:rPr>
          <w:rFonts w:ascii="Times New Roman" w:hAnsi="Times New Roman" w:cs="Times New Roman"/>
          <w:color w:val="000000"/>
        </w:rPr>
        <w:t xml:space="preserve"> 629-654</w:t>
      </w:r>
      <w:r w:rsidR="00325E2C" w:rsidRPr="00807BAB">
        <w:rPr>
          <w:rFonts w:ascii="Times New Roman" w:hAnsi="Times New Roman" w:cs="Times New Roman"/>
          <w:color w:val="000000"/>
        </w:rPr>
        <w:t>.</w:t>
      </w:r>
    </w:p>
    <w:p w14:paraId="45813F67" w14:textId="77777777" w:rsidR="0011177C" w:rsidRDefault="0011177C" w:rsidP="00D67EC8">
      <w:pPr>
        <w:autoSpaceDE w:val="0"/>
        <w:autoSpaceDN w:val="0"/>
        <w:adjustRightInd w:val="0"/>
        <w:spacing w:after="0" w:afterAutospacing="0" w:line="480" w:lineRule="auto"/>
        <w:rPr>
          <w:rFonts w:ascii="Times New Roman" w:hAnsi="Times New Roman" w:cs="Times New Roman"/>
          <w:color w:val="000000"/>
        </w:rPr>
      </w:pPr>
    </w:p>
    <w:p w14:paraId="4252501C" w14:textId="4B19E203" w:rsidR="00D10295" w:rsidRPr="00152DED" w:rsidRDefault="00D10295" w:rsidP="00D67EC8">
      <w:pPr>
        <w:autoSpaceDE w:val="0"/>
        <w:autoSpaceDN w:val="0"/>
        <w:adjustRightInd w:val="0"/>
        <w:spacing w:after="0" w:afterAutospacing="0" w:line="480" w:lineRule="auto"/>
        <w:rPr>
          <w:rFonts w:ascii="Times New Roman" w:hAnsi="Times New Roman" w:cs="Times New Roman"/>
          <w:color w:val="000000"/>
        </w:rPr>
      </w:pPr>
      <w:r w:rsidRPr="00807BAB">
        <w:rPr>
          <w:rFonts w:ascii="Times New Roman" w:hAnsi="Times New Roman" w:cs="Times New Roman"/>
          <w:color w:val="000000"/>
        </w:rPr>
        <w:t xml:space="preserve">Supiot, A. (2012) </w:t>
      </w:r>
      <w:r w:rsidRPr="00807BAB">
        <w:rPr>
          <w:rFonts w:ascii="Times New Roman" w:hAnsi="Times New Roman" w:cs="Times New Roman"/>
          <w:i/>
          <w:color w:val="000000"/>
        </w:rPr>
        <w:t>The Spirit of Philadelphia: Social Justice vs. the Total Market</w:t>
      </w:r>
      <w:r w:rsidR="00F527E6">
        <w:rPr>
          <w:rFonts w:ascii="Times New Roman" w:hAnsi="Times New Roman" w:cs="Times New Roman"/>
          <w:i/>
          <w:color w:val="000000"/>
        </w:rPr>
        <w:t xml:space="preserve"> </w:t>
      </w:r>
      <w:r w:rsidRPr="00807BAB">
        <w:rPr>
          <w:rFonts w:ascii="Times New Roman" w:hAnsi="Times New Roman" w:cs="Times New Roman"/>
          <w:color w:val="000000"/>
        </w:rPr>
        <w:t xml:space="preserve"> </w:t>
      </w:r>
      <w:r w:rsidR="00F527E6">
        <w:rPr>
          <w:rFonts w:ascii="Times New Roman" w:hAnsi="Times New Roman" w:cs="Times New Roman"/>
          <w:color w:val="000000"/>
        </w:rPr>
        <w:t>(</w:t>
      </w:r>
      <w:r w:rsidRPr="00807BAB">
        <w:rPr>
          <w:rFonts w:ascii="Times New Roman" w:hAnsi="Times New Roman" w:cs="Times New Roman"/>
          <w:color w:val="000000"/>
        </w:rPr>
        <w:t>London: Ve</w:t>
      </w:r>
      <w:r w:rsidRPr="00152DED">
        <w:rPr>
          <w:rFonts w:ascii="Times New Roman" w:hAnsi="Times New Roman" w:cs="Times New Roman"/>
          <w:color w:val="000000"/>
        </w:rPr>
        <w:t>rso</w:t>
      </w:r>
      <w:r w:rsidR="00F527E6">
        <w:rPr>
          <w:rFonts w:ascii="Times New Roman" w:hAnsi="Times New Roman" w:cs="Times New Roman"/>
          <w:color w:val="000000"/>
        </w:rPr>
        <w:t>)</w:t>
      </w:r>
      <w:r w:rsidRPr="00152DED">
        <w:rPr>
          <w:rFonts w:ascii="Times New Roman" w:hAnsi="Times New Roman" w:cs="Times New Roman"/>
          <w:color w:val="000000"/>
        </w:rPr>
        <w:t>.</w:t>
      </w:r>
    </w:p>
    <w:p w14:paraId="38690DA0" w14:textId="07BC55AB" w:rsidR="00F81C79" w:rsidRDefault="00F81C79" w:rsidP="00B712C2">
      <w:pPr>
        <w:pStyle w:val="NormalWeb"/>
        <w:spacing w:line="360" w:lineRule="auto"/>
      </w:pPr>
      <w:r>
        <w:t xml:space="preserve">Tangian, A. (2010) </w:t>
      </w:r>
      <w:r>
        <w:rPr>
          <w:i/>
        </w:rPr>
        <w:t>Not for Bad Weather: Macroanalysis of Flexicurity with Regard to the Crisis</w:t>
      </w:r>
      <w:r>
        <w:t>. ETUI Working Paper 2010/06 (Brussels: ETUI).</w:t>
      </w:r>
    </w:p>
    <w:p w14:paraId="7544A353" w14:textId="289260D1" w:rsidR="00152DED" w:rsidRPr="00152DED" w:rsidRDefault="00152DED" w:rsidP="00D67EC8">
      <w:pPr>
        <w:autoSpaceDE w:val="0"/>
        <w:autoSpaceDN w:val="0"/>
        <w:adjustRightInd w:val="0"/>
        <w:spacing w:after="0" w:afterAutospacing="0" w:line="480" w:lineRule="auto"/>
        <w:rPr>
          <w:rFonts w:ascii="Times New Roman" w:hAnsi="Times New Roman" w:cs="Times New Roman"/>
          <w:color w:val="000000"/>
        </w:rPr>
      </w:pPr>
      <w:r w:rsidRPr="00152DED">
        <w:rPr>
          <w:rFonts w:ascii="Times New Roman" w:hAnsi="Times New Roman" w:cs="Times New Roman"/>
          <w:color w:val="000000"/>
        </w:rPr>
        <w:t>Vega, M-L (2013)</w:t>
      </w:r>
      <w:r w:rsidR="00F527E6">
        <w:rPr>
          <w:rFonts w:ascii="Times New Roman" w:hAnsi="Times New Roman" w:cs="Times New Roman"/>
          <w:color w:val="000000"/>
        </w:rPr>
        <w:t>,</w:t>
      </w:r>
      <w:r w:rsidRPr="00152DED">
        <w:rPr>
          <w:rFonts w:ascii="Times New Roman" w:hAnsi="Times New Roman" w:cs="Times New Roman"/>
          <w:color w:val="000000"/>
        </w:rPr>
        <w:t xml:space="preserve"> ‘Labour </w:t>
      </w:r>
      <w:r w:rsidR="00F527E6">
        <w:rPr>
          <w:rFonts w:ascii="Times New Roman" w:hAnsi="Times New Roman" w:cs="Times New Roman"/>
          <w:color w:val="000000"/>
        </w:rPr>
        <w:t>I</w:t>
      </w:r>
      <w:r w:rsidRPr="00152DED">
        <w:rPr>
          <w:rFonts w:ascii="Times New Roman" w:hAnsi="Times New Roman" w:cs="Times New Roman"/>
          <w:color w:val="000000"/>
        </w:rPr>
        <w:t xml:space="preserve">nspection </w:t>
      </w:r>
      <w:r w:rsidR="00F527E6">
        <w:rPr>
          <w:rFonts w:ascii="Times New Roman" w:hAnsi="Times New Roman" w:cs="Times New Roman"/>
          <w:color w:val="000000"/>
        </w:rPr>
        <w:t>S</w:t>
      </w:r>
      <w:r w:rsidRPr="00152DED">
        <w:rPr>
          <w:rFonts w:ascii="Times New Roman" w:hAnsi="Times New Roman" w:cs="Times New Roman"/>
          <w:color w:val="000000"/>
        </w:rPr>
        <w:t xml:space="preserve">ystems: </w:t>
      </w:r>
      <w:r w:rsidR="00F527E6">
        <w:rPr>
          <w:rFonts w:ascii="Times New Roman" w:hAnsi="Times New Roman" w:cs="Times New Roman"/>
          <w:color w:val="000000"/>
        </w:rPr>
        <w:t>S</w:t>
      </w:r>
      <w:r w:rsidRPr="00152DED">
        <w:rPr>
          <w:rFonts w:ascii="Times New Roman" w:hAnsi="Times New Roman" w:cs="Times New Roman"/>
          <w:color w:val="000000"/>
        </w:rPr>
        <w:t xml:space="preserve">trengthening </w:t>
      </w:r>
      <w:r w:rsidR="00F527E6">
        <w:rPr>
          <w:rFonts w:ascii="Times New Roman" w:hAnsi="Times New Roman" w:cs="Times New Roman"/>
          <w:color w:val="000000"/>
        </w:rPr>
        <w:t>E</w:t>
      </w:r>
      <w:r w:rsidRPr="00152DED">
        <w:rPr>
          <w:rFonts w:ascii="Times New Roman" w:hAnsi="Times New Roman" w:cs="Times New Roman"/>
          <w:color w:val="000000"/>
        </w:rPr>
        <w:t xml:space="preserve">nforcement in </w:t>
      </w:r>
      <w:r w:rsidR="00F527E6">
        <w:rPr>
          <w:rFonts w:ascii="Times New Roman" w:hAnsi="Times New Roman" w:cs="Times New Roman"/>
          <w:color w:val="000000"/>
        </w:rPr>
        <w:t>T</w:t>
      </w:r>
      <w:r w:rsidRPr="00152DED">
        <w:rPr>
          <w:rFonts w:ascii="Times New Roman" w:hAnsi="Times New Roman" w:cs="Times New Roman"/>
          <w:color w:val="000000"/>
        </w:rPr>
        <w:t xml:space="preserve">imes of </w:t>
      </w:r>
      <w:r w:rsidR="00F527E6">
        <w:rPr>
          <w:rFonts w:ascii="Times New Roman" w:hAnsi="Times New Roman" w:cs="Times New Roman"/>
          <w:color w:val="000000"/>
        </w:rPr>
        <w:t>C</w:t>
      </w:r>
      <w:r w:rsidRPr="00152DED">
        <w:rPr>
          <w:rFonts w:ascii="Times New Roman" w:hAnsi="Times New Roman" w:cs="Times New Roman"/>
          <w:color w:val="000000"/>
        </w:rPr>
        <w:t xml:space="preserve">risis’, </w:t>
      </w:r>
      <w:r w:rsidRPr="00152DED">
        <w:rPr>
          <w:rFonts w:ascii="Times New Roman" w:hAnsi="Times New Roman" w:cs="Times New Roman"/>
        </w:rPr>
        <w:t xml:space="preserve">in </w:t>
      </w:r>
      <w:r w:rsidR="00F527E6">
        <w:rPr>
          <w:rFonts w:ascii="Times New Roman" w:hAnsi="Times New Roman" w:cs="Times New Roman"/>
        </w:rPr>
        <w:t xml:space="preserve">J. </w:t>
      </w:r>
      <w:r w:rsidRPr="00152DED">
        <w:rPr>
          <w:rFonts w:ascii="Times New Roman" w:hAnsi="Times New Roman" w:cs="Times New Roman"/>
        </w:rPr>
        <w:t xml:space="preserve">Heyes and </w:t>
      </w:r>
      <w:r w:rsidR="00F527E6">
        <w:rPr>
          <w:rFonts w:ascii="Times New Roman" w:hAnsi="Times New Roman" w:cs="Times New Roman"/>
        </w:rPr>
        <w:t xml:space="preserve">L. </w:t>
      </w:r>
      <w:r w:rsidRPr="00152DED">
        <w:rPr>
          <w:rFonts w:ascii="Times New Roman" w:hAnsi="Times New Roman" w:cs="Times New Roman"/>
        </w:rPr>
        <w:t>Rychly, L. (</w:t>
      </w:r>
      <w:r w:rsidR="00F527E6">
        <w:rPr>
          <w:rFonts w:ascii="Times New Roman" w:hAnsi="Times New Roman" w:cs="Times New Roman"/>
        </w:rPr>
        <w:t>e</w:t>
      </w:r>
      <w:r w:rsidRPr="00152DED">
        <w:rPr>
          <w:rFonts w:ascii="Times New Roman" w:hAnsi="Times New Roman" w:cs="Times New Roman"/>
        </w:rPr>
        <w:t>ds.)</w:t>
      </w:r>
      <w:r w:rsidR="00F527E6">
        <w:rPr>
          <w:rFonts w:ascii="Times New Roman" w:hAnsi="Times New Roman" w:cs="Times New Roman"/>
        </w:rPr>
        <w:t>,</w:t>
      </w:r>
      <w:r w:rsidRPr="00152DED">
        <w:rPr>
          <w:rFonts w:ascii="Times New Roman" w:hAnsi="Times New Roman" w:cs="Times New Roman"/>
        </w:rPr>
        <w:t xml:space="preserve"> </w:t>
      </w:r>
      <w:r w:rsidRPr="00152DED">
        <w:rPr>
          <w:rFonts w:ascii="Times New Roman" w:hAnsi="Times New Roman" w:cs="Times New Roman"/>
          <w:i/>
        </w:rPr>
        <w:t>Labour Administration in Uncertain Times</w:t>
      </w:r>
      <w:r w:rsidR="00F527E6">
        <w:rPr>
          <w:rFonts w:ascii="Times New Roman" w:hAnsi="Times New Roman" w:cs="Times New Roman"/>
          <w:i/>
        </w:rPr>
        <w:t>, (</w:t>
      </w:r>
      <w:r w:rsidRPr="00152DED">
        <w:rPr>
          <w:rFonts w:ascii="Times New Roman" w:hAnsi="Times New Roman" w:cs="Times New Roman"/>
        </w:rPr>
        <w:t>Edward Elgar/ILO</w:t>
      </w:r>
      <w:r w:rsidR="00F527E6">
        <w:rPr>
          <w:rFonts w:ascii="Times New Roman" w:hAnsi="Times New Roman" w:cs="Times New Roman"/>
        </w:rPr>
        <w:t>)</w:t>
      </w:r>
    </w:p>
    <w:p w14:paraId="6AD81D5B" w14:textId="77777777" w:rsidR="00E13E23" w:rsidRPr="00152DED" w:rsidRDefault="00E13E23" w:rsidP="00D67EC8">
      <w:pPr>
        <w:autoSpaceDE w:val="0"/>
        <w:autoSpaceDN w:val="0"/>
        <w:adjustRightInd w:val="0"/>
        <w:spacing w:after="0" w:afterAutospacing="0" w:line="480" w:lineRule="auto"/>
        <w:rPr>
          <w:rFonts w:ascii="Times New Roman" w:hAnsi="Times New Roman" w:cs="Times New Roman"/>
          <w:color w:val="000000"/>
        </w:rPr>
      </w:pPr>
    </w:p>
    <w:p w14:paraId="7FEB2E6E" w14:textId="1298F211" w:rsidR="00325E2C" w:rsidRPr="00807BAB" w:rsidRDefault="00325E2C" w:rsidP="00D67EC8">
      <w:pPr>
        <w:autoSpaceDE w:val="0"/>
        <w:autoSpaceDN w:val="0"/>
        <w:adjustRightInd w:val="0"/>
        <w:spacing w:after="0" w:afterAutospacing="0" w:line="480" w:lineRule="auto"/>
        <w:rPr>
          <w:rFonts w:ascii="Times New Roman" w:hAnsi="Times New Roman" w:cs="Times New Roman"/>
          <w:lang w:val="fr-FR"/>
        </w:rPr>
      </w:pPr>
      <w:r w:rsidRPr="00807BAB">
        <w:rPr>
          <w:rFonts w:ascii="Times New Roman" w:hAnsi="Times New Roman" w:cs="Times New Roman"/>
          <w:lang w:val="fr-FR"/>
        </w:rPr>
        <w:t>Venn, D. (2009)</w:t>
      </w:r>
      <w:r w:rsidR="00F527E6">
        <w:rPr>
          <w:rFonts w:ascii="Times New Roman" w:hAnsi="Times New Roman" w:cs="Times New Roman"/>
          <w:lang w:val="fr-FR"/>
        </w:rPr>
        <w:t>,</w:t>
      </w:r>
      <w:r w:rsidRPr="00807BAB">
        <w:rPr>
          <w:rFonts w:ascii="Times New Roman" w:hAnsi="Times New Roman" w:cs="Times New Roman"/>
          <w:lang w:val="fr-FR"/>
        </w:rPr>
        <w:t xml:space="preserve"> </w:t>
      </w:r>
      <w:r w:rsidRPr="00807BAB">
        <w:rPr>
          <w:rFonts w:ascii="Times New Roman" w:hAnsi="Times New Roman" w:cs="Times New Roman"/>
          <w:i/>
          <w:lang w:val="fr-FR"/>
        </w:rPr>
        <w:t>Legislation, Collective Bargaining and Enforcement : Updating the OECD Employment Protection Indicators</w:t>
      </w:r>
      <w:r w:rsidRPr="00807BAB">
        <w:rPr>
          <w:rFonts w:ascii="Times New Roman" w:hAnsi="Times New Roman" w:cs="Times New Roman"/>
          <w:lang w:val="fr-FR"/>
        </w:rPr>
        <w:t>. www.oeced.org/els/workingpapers.</w:t>
      </w:r>
    </w:p>
    <w:p w14:paraId="1BA87326" w14:textId="68F9842C" w:rsidR="00F527E6" w:rsidRPr="00807BAB" w:rsidRDefault="00F527E6" w:rsidP="00B712C2">
      <w:pPr>
        <w:spacing w:line="480" w:lineRule="auto"/>
        <w:rPr>
          <w:rFonts w:ascii="Times New Roman" w:eastAsia="Times New Roman" w:hAnsi="Times New Roman" w:cs="Times New Roman"/>
          <w:b/>
          <w:bCs/>
          <w:lang w:eastAsia="en-GB"/>
        </w:rPr>
      </w:pPr>
      <w:r>
        <w:rPr>
          <w:rFonts w:ascii="Times New Roman" w:hAnsi="Times New Roman" w:cs="Times New Roman"/>
        </w:rPr>
        <w:br w:type="column"/>
      </w:r>
      <w:r w:rsidRPr="00807BAB">
        <w:rPr>
          <w:rFonts w:ascii="Times New Roman" w:eastAsia="Times New Roman" w:hAnsi="Times New Roman" w:cs="Times New Roman"/>
          <w:b/>
          <w:bCs/>
          <w:lang w:eastAsia="en-GB"/>
        </w:rPr>
        <w:lastRenderedPageBreak/>
        <w:t xml:space="preserve">Figure 1: Employment rate changes in the EU, q32008-q3-2009 </w:t>
      </w:r>
    </w:p>
    <w:p w14:paraId="28562949" w14:textId="77777777" w:rsidR="00F527E6" w:rsidRPr="00807BAB" w:rsidRDefault="00F527E6" w:rsidP="00D67EC8">
      <w:pPr>
        <w:spacing w:line="276" w:lineRule="auto"/>
        <w:rPr>
          <w:rFonts w:ascii="Times New Roman" w:hAnsi="Times New Roman" w:cs="Times New Roman"/>
          <w:b/>
        </w:rPr>
      </w:pPr>
      <w:r w:rsidRPr="00807BAB">
        <w:rPr>
          <w:rFonts w:ascii="Times New Roman" w:hAnsi="Times New Roman" w:cs="Times New Roman"/>
          <w:noProof/>
          <w:lang w:eastAsia="en-GB"/>
        </w:rPr>
        <w:drawing>
          <wp:inline distT="0" distB="0" distL="0" distR="0" wp14:anchorId="0C7A9D01" wp14:editId="56E5EDC7">
            <wp:extent cx="5731510" cy="3932082"/>
            <wp:effectExtent l="0" t="0" r="2540" b="0"/>
            <wp:docPr id="1" name="Picture 7"/>
            <wp:cNvGraphicFramePr/>
            <a:graphic xmlns:a="http://schemas.openxmlformats.org/drawingml/2006/main">
              <a:graphicData uri="http://schemas.openxmlformats.org/drawingml/2006/picture">
                <pic:pic xmlns:pic="http://schemas.openxmlformats.org/drawingml/2006/picture">
                  <pic:nvPicPr>
                    <pic:cNvPr id="1" name="Picture 7"/>
                    <pic:cNvPicPr/>
                  </pic:nvPicPr>
                  <pic:blipFill>
                    <a:blip r:embed="rId15" cstate="print"/>
                    <a:srcRect/>
                    <a:stretch>
                      <a:fillRect/>
                    </a:stretch>
                  </pic:blipFill>
                  <pic:spPr bwMode="auto">
                    <a:xfrm>
                      <a:off x="0" y="0"/>
                      <a:ext cx="5731510" cy="3932082"/>
                    </a:xfrm>
                    <a:prstGeom prst="rect">
                      <a:avLst/>
                    </a:prstGeom>
                    <a:noFill/>
                    <a:ln w="9525">
                      <a:noFill/>
                      <a:miter lim="800000"/>
                      <a:headEnd/>
                      <a:tailEnd/>
                    </a:ln>
                  </pic:spPr>
                </pic:pic>
              </a:graphicData>
            </a:graphic>
          </wp:inline>
        </w:drawing>
      </w:r>
    </w:p>
    <w:p w14:paraId="61C2E4B5" w14:textId="47506A9E" w:rsidR="00D67EC8" w:rsidRPr="00807BAB" w:rsidRDefault="00D67EC8" w:rsidP="00D67EC8">
      <w:pPr>
        <w:autoSpaceDE w:val="0"/>
        <w:autoSpaceDN w:val="0"/>
        <w:adjustRightInd w:val="0"/>
        <w:spacing w:after="0" w:afterAutospacing="0" w:line="276" w:lineRule="auto"/>
        <w:rPr>
          <w:rFonts w:ascii="Times New Roman" w:hAnsi="Times New Roman" w:cs="Times New Roman"/>
          <w:b/>
        </w:rPr>
      </w:pPr>
      <w:r>
        <w:rPr>
          <w:rFonts w:ascii="Times New Roman" w:hAnsi="Times New Roman" w:cs="Times New Roman"/>
        </w:rPr>
        <w:t>Source: authors’ calculation, based on Eurostat and OECD data</w:t>
      </w:r>
      <w:r w:rsidR="00D17E17">
        <w:rPr>
          <w:rFonts w:ascii="Times New Roman" w:hAnsi="Times New Roman" w:cs="Times New Roman"/>
        </w:rPr>
        <w:t>. OECD EPL scores are not available for non-OECD countries, so Figure 1 includes only those EU countries that are also members of the OECD.</w:t>
      </w:r>
      <w:r w:rsidR="00F527E6">
        <w:rPr>
          <w:rFonts w:ascii="Times New Roman" w:hAnsi="Times New Roman" w:cs="Times New Roman"/>
        </w:rPr>
        <w:br w:type="column"/>
      </w:r>
      <w:r>
        <w:rPr>
          <w:rFonts w:ascii="Times New Roman" w:hAnsi="Times New Roman" w:cs="Times New Roman"/>
          <w:b/>
        </w:rPr>
        <w:lastRenderedPageBreak/>
        <w:t xml:space="preserve">Figure 2. </w:t>
      </w:r>
      <w:r w:rsidRPr="00807BAB">
        <w:rPr>
          <w:rFonts w:ascii="Times New Roman" w:hAnsi="Times New Roman" w:cs="Times New Roman"/>
          <w:b/>
        </w:rPr>
        <w:t>Quarterly changes in long-term youth unemployment</w:t>
      </w:r>
      <w:r>
        <w:rPr>
          <w:rFonts w:ascii="Times New Roman" w:hAnsi="Times New Roman" w:cs="Times New Roman"/>
          <w:b/>
        </w:rPr>
        <w:t>, 2008-2013</w:t>
      </w:r>
    </w:p>
    <w:p w14:paraId="0CCCDF48" w14:textId="77777777" w:rsidR="00D67EC8" w:rsidRPr="00807BAB" w:rsidRDefault="00D67EC8" w:rsidP="00D67EC8">
      <w:pPr>
        <w:autoSpaceDE w:val="0"/>
        <w:autoSpaceDN w:val="0"/>
        <w:adjustRightInd w:val="0"/>
        <w:spacing w:after="0" w:afterAutospacing="0" w:line="276" w:lineRule="auto"/>
        <w:rPr>
          <w:rFonts w:ascii="Times New Roman" w:hAnsi="Times New Roman" w:cs="Times New Roman"/>
        </w:rPr>
      </w:pPr>
    </w:p>
    <w:p w14:paraId="667172C9" w14:textId="3107F0A3" w:rsidR="00D63976" w:rsidRDefault="00D63976" w:rsidP="00D67EC8">
      <w:pPr>
        <w:autoSpaceDE w:val="0"/>
        <w:autoSpaceDN w:val="0"/>
        <w:adjustRightInd w:val="0"/>
        <w:spacing w:after="0" w:afterAutospacing="0" w:line="276" w:lineRule="auto"/>
        <w:rPr>
          <w:rFonts w:ascii="Times New Roman" w:hAnsi="Times New Roman" w:cs="Times New Roman"/>
        </w:rPr>
      </w:pPr>
      <w:r>
        <w:rPr>
          <w:noProof/>
          <w:lang w:eastAsia="en-GB"/>
        </w:rPr>
        <w:drawing>
          <wp:inline distT="0" distB="0" distL="0" distR="0" wp14:anchorId="18A762D3" wp14:editId="270C857F">
            <wp:extent cx="6391275" cy="544830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94D743E" w14:textId="77777777" w:rsidR="00D63976" w:rsidRDefault="00D63976" w:rsidP="00D67EC8">
      <w:pPr>
        <w:autoSpaceDE w:val="0"/>
        <w:autoSpaceDN w:val="0"/>
        <w:adjustRightInd w:val="0"/>
        <w:spacing w:after="0" w:afterAutospacing="0" w:line="276" w:lineRule="auto"/>
        <w:rPr>
          <w:rFonts w:ascii="Times New Roman" w:hAnsi="Times New Roman" w:cs="Times New Roman"/>
        </w:rPr>
      </w:pPr>
    </w:p>
    <w:p w14:paraId="356DEF6C" w14:textId="214C41E3" w:rsidR="00D67EC8" w:rsidRPr="00807BAB" w:rsidRDefault="00D67EC8" w:rsidP="00D67EC8">
      <w:pPr>
        <w:autoSpaceDE w:val="0"/>
        <w:autoSpaceDN w:val="0"/>
        <w:adjustRightInd w:val="0"/>
        <w:spacing w:after="0" w:afterAutospacing="0" w:line="276" w:lineRule="auto"/>
        <w:rPr>
          <w:rFonts w:ascii="Times New Roman" w:hAnsi="Times New Roman" w:cs="Times New Roman"/>
        </w:rPr>
      </w:pPr>
      <w:r>
        <w:rPr>
          <w:rFonts w:ascii="Times New Roman" w:hAnsi="Times New Roman" w:cs="Times New Roman"/>
        </w:rPr>
        <w:t>Source: Eurostat</w:t>
      </w:r>
      <w:r w:rsidR="00983379">
        <w:rPr>
          <w:rFonts w:ascii="Times New Roman" w:hAnsi="Times New Roman" w:cs="Times New Roman"/>
        </w:rPr>
        <w:t xml:space="preserve"> [</w:t>
      </w:r>
      <w:r w:rsidR="00983379" w:rsidRPr="00983379">
        <w:rPr>
          <w:rFonts w:ascii="Times New Roman" w:hAnsi="Times New Roman" w:cs="Times New Roman"/>
        </w:rPr>
        <w:t>lfsq_upgal]</w:t>
      </w:r>
    </w:p>
    <w:p w14:paraId="7C613442" w14:textId="4DDFD0E5" w:rsidR="00325E2C" w:rsidRPr="00807BAB" w:rsidRDefault="00325E2C" w:rsidP="00CA35A1">
      <w:pPr>
        <w:spacing w:line="276" w:lineRule="auto"/>
        <w:rPr>
          <w:rFonts w:ascii="Times New Roman" w:hAnsi="Times New Roman" w:cs="Times New Roman"/>
        </w:rPr>
      </w:pPr>
    </w:p>
    <w:p w14:paraId="24A2888C" w14:textId="77777777" w:rsidR="00D67EC8" w:rsidRDefault="008F7BA0" w:rsidP="00D67EC8">
      <w:pPr>
        <w:autoSpaceDE w:val="0"/>
        <w:autoSpaceDN w:val="0"/>
        <w:adjustRightInd w:val="0"/>
        <w:spacing w:after="0" w:afterAutospacing="0" w:line="276" w:lineRule="auto"/>
        <w:rPr>
          <w:rFonts w:ascii="Times New Roman" w:hAnsi="Times New Roman" w:cs="Times New Roman"/>
          <w:b/>
        </w:rPr>
      </w:pPr>
      <w:r>
        <w:rPr>
          <w:rFonts w:ascii="Times New Roman" w:hAnsi="Times New Roman" w:cs="Times New Roman"/>
          <w:b/>
        </w:rPr>
        <w:br w:type="column"/>
      </w:r>
      <w:r w:rsidR="00D67EC8">
        <w:rPr>
          <w:rFonts w:ascii="Times New Roman" w:hAnsi="Times New Roman" w:cs="Times New Roman"/>
          <w:b/>
        </w:rPr>
        <w:lastRenderedPageBreak/>
        <w:t xml:space="preserve">Figure 3. </w:t>
      </w:r>
      <w:r w:rsidR="00D67EC8" w:rsidRPr="00807BAB">
        <w:rPr>
          <w:rFonts w:ascii="Times New Roman" w:hAnsi="Times New Roman" w:cs="Times New Roman"/>
          <w:b/>
        </w:rPr>
        <w:t>Quarterly changes in long-term unemployment for workers aged 25-64 years</w:t>
      </w:r>
      <w:r w:rsidR="00D67EC8">
        <w:rPr>
          <w:rFonts w:ascii="Times New Roman" w:hAnsi="Times New Roman" w:cs="Times New Roman"/>
          <w:b/>
        </w:rPr>
        <w:t>, 2008-13</w:t>
      </w:r>
    </w:p>
    <w:p w14:paraId="0A5D1FA1" w14:textId="77777777" w:rsidR="00D67EC8" w:rsidRDefault="00D67EC8" w:rsidP="00D67EC8">
      <w:pPr>
        <w:autoSpaceDE w:val="0"/>
        <w:autoSpaceDN w:val="0"/>
        <w:adjustRightInd w:val="0"/>
        <w:spacing w:after="0" w:afterAutospacing="0" w:line="276" w:lineRule="auto"/>
        <w:rPr>
          <w:rFonts w:ascii="Times New Roman" w:hAnsi="Times New Roman" w:cs="Times New Roman"/>
          <w:b/>
        </w:rPr>
      </w:pPr>
    </w:p>
    <w:p w14:paraId="1F36CA12" w14:textId="2DB570AD" w:rsidR="00D63976" w:rsidRDefault="00D63976" w:rsidP="00D67EC8">
      <w:pPr>
        <w:autoSpaceDE w:val="0"/>
        <w:autoSpaceDN w:val="0"/>
        <w:adjustRightInd w:val="0"/>
        <w:spacing w:after="0" w:afterAutospacing="0" w:line="276" w:lineRule="auto"/>
        <w:rPr>
          <w:rFonts w:ascii="Times New Roman" w:hAnsi="Times New Roman" w:cs="Times New Roman"/>
          <w:b/>
        </w:rPr>
      </w:pPr>
      <w:r>
        <w:rPr>
          <w:noProof/>
          <w:lang w:eastAsia="en-GB"/>
        </w:rPr>
        <w:drawing>
          <wp:inline distT="0" distB="0" distL="0" distR="0" wp14:anchorId="24B06947" wp14:editId="5D14509B">
            <wp:extent cx="5731510" cy="3748405"/>
            <wp:effectExtent l="0" t="0" r="2540" b="444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48A7132" w14:textId="77777777" w:rsidR="00D63976" w:rsidRDefault="00D63976" w:rsidP="00D67EC8">
      <w:pPr>
        <w:autoSpaceDE w:val="0"/>
        <w:autoSpaceDN w:val="0"/>
        <w:adjustRightInd w:val="0"/>
        <w:spacing w:after="0" w:afterAutospacing="0" w:line="276" w:lineRule="auto"/>
        <w:rPr>
          <w:rFonts w:ascii="Times New Roman" w:hAnsi="Times New Roman" w:cs="Times New Roman"/>
          <w:b/>
        </w:rPr>
      </w:pPr>
    </w:p>
    <w:p w14:paraId="74ADDED6" w14:textId="150F2535" w:rsidR="00D67EC8" w:rsidRPr="00D67EC8" w:rsidRDefault="00D67EC8" w:rsidP="00D67EC8">
      <w:pPr>
        <w:autoSpaceDE w:val="0"/>
        <w:autoSpaceDN w:val="0"/>
        <w:adjustRightInd w:val="0"/>
        <w:spacing w:after="0" w:afterAutospacing="0" w:line="276" w:lineRule="auto"/>
        <w:rPr>
          <w:rFonts w:ascii="Times New Roman" w:hAnsi="Times New Roman" w:cs="Times New Roman"/>
        </w:rPr>
      </w:pPr>
      <w:r w:rsidRPr="00D67EC8">
        <w:rPr>
          <w:rFonts w:ascii="Times New Roman" w:hAnsi="Times New Roman" w:cs="Times New Roman"/>
        </w:rPr>
        <w:t>Source: Eurostat</w:t>
      </w:r>
      <w:r w:rsidR="00983379">
        <w:rPr>
          <w:rFonts w:ascii="Times New Roman" w:hAnsi="Times New Roman" w:cs="Times New Roman"/>
        </w:rPr>
        <w:t xml:space="preserve"> </w:t>
      </w:r>
      <w:r w:rsidR="00983379" w:rsidRPr="00983379">
        <w:rPr>
          <w:rFonts w:ascii="Times New Roman" w:hAnsi="Times New Roman" w:cs="Times New Roman"/>
        </w:rPr>
        <w:t xml:space="preserve"> [lfsq_upgal]</w:t>
      </w:r>
    </w:p>
    <w:p w14:paraId="5E474027" w14:textId="77777777" w:rsidR="00D67EC8" w:rsidRPr="00754E2E" w:rsidRDefault="00D67EC8" w:rsidP="00D67EC8">
      <w:pPr>
        <w:autoSpaceDE w:val="0"/>
        <w:autoSpaceDN w:val="0"/>
        <w:adjustRightInd w:val="0"/>
        <w:spacing w:after="0" w:afterAutospacing="0" w:line="276" w:lineRule="auto"/>
        <w:rPr>
          <w:rFonts w:ascii="Times New Roman" w:hAnsi="Times New Roman" w:cs="Times New Roman"/>
          <w:b/>
        </w:rPr>
      </w:pPr>
      <w:r>
        <w:rPr>
          <w:rFonts w:ascii="Times New Roman" w:hAnsi="Times New Roman" w:cs="Times New Roman"/>
          <w:b/>
        </w:rPr>
        <w:br w:type="column"/>
      </w:r>
      <w:r w:rsidRPr="00754E2E">
        <w:rPr>
          <w:rFonts w:ascii="Times New Roman" w:hAnsi="Times New Roman" w:cs="Times New Roman"/>
          <w:b/>
        </w:rPr>
        <w:lastRenderedPageBreak/>
        <w:t>Figure 4. Temporary employment as a proportion of total employment</w:t>
      </w:r>
    </w:p>
    <w:p w14:paraId="6E74FE84" w14:textId="20060734" w:rsidR="00D67EC8" w:rsidRDefault="00D67EC8" w:rsidP="00D67EC8">
      <w:pPr>
        <w:autoSpaceDE w:val="0"/>
        <w:autoSpaceDN w:val="0"/>
        <w:adjustRightInd w:val="0"/>
        <w:spacing w:after="0" w:afterAutospacing="0" w:line="276" w:lineRule="auto"/>
        <w:rPr>
          <w:rFonts w:ascii="Times New Roman" w:hAnsi="Times New Roman" w:cs="Times New Roman"/>
        </w:rPr>
      </w:pPr>
    </w:p>
    <w:p w14:paraId="195512CE" w14:textId="4B21281C" w:rsidR="00D67EC8" w:rsidRDefault="00D63976" w:rsidP="00D67EC8">
      <w:pPr>
        <w:autoSpaceDE w:val="0"/>
        <w:autoSpaceDN w:val="0"/>
        <w:adjustRightInd w:val="0"/>
        <w:spacing w:after="0" w:afterAutospacing="0" w:line="276" w:lineRule="auto"/>
        <w:rPr>
          <w:rFonts w:ascii="Times New Roman" w:hAnsi="Times New Roman" w:cs="Times New Roman"/>
        </w:rPr>
      </w:pPr>
      <w:r>
        <w:rPr>
          <w:noProof/>
          <w:lang w:eastAsia="en-GB"/>
        </w:rPr>
        <w:drawing>
          <wp:inline distT="0" distB="0" distL="0" distR="0" wp14:anchorId="520C9403" wp14:editId="6CBD2FC8">
            <wp:extent cx="5731510" cy="3748405"/>
            <wp:effectExtent l="0" t="0" r="2540" b="444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78C36D1" w14:textId="77777777" w:rsidR="00D63976" w:rsidRDefault="00D63976" w:rsidP="00D67EC8">
      <w:pPr>
        <w:autoSpaceDE w:val="0"/>
        <w:autoSpaceDN w:val="0"/>
        <w:adjustRightInd w:val="0"/>
        <w:spacing w:after="0" w:afterAutospacing="0" w:line="276" w:lineRule="auto"/>
        <w:rPr>
          <w:rFonts w:ascii="Times New Roman" w:hAnsi="Times New Roman" w:cs="Times New Roman"/>
        </w:rPr>
      </w:pPr>
    </w:p>
    <w:p w14:paraId="5D8D1B5D" w14:textId="0B174AA1" w:rsidR="00D67EC8" w:rsidRDefault="00D67EC8" w:rsidP="00D67EC8">
      <w:pPr>
        <w:autoSpaceDE w:val="0"/>
        <w:autoSpaceDN w:val="0"/>
        <w:adjustRightInd w:val="0"/>
        <w:spacing w:after="0" w:afterAutospacing="0" w:line="276" w:lineRule="auto"/>
        <w:rPr>
          <w:rFonts w:ascii="Times New Roman" w:hAnsi="Times New Roman" w:cs="Times New Roman"/>
          <w:b/>
        </w:rPr>
      </w:pPr>
      <w:r w:rsidRPr="00B712C2">
        <w:rPr>
          <w:rFonts w:ascii="Times New Roman" w:hAnsi="Times New Roman" w:cs="Times New Roman"/>
          <w:sz w:val="20"/>
          <w:szCs w:val="20"/>
        </w:rPr>
        <w:t>Source: Eurostat</w:t>
      </w:r>
      <w:r w:rsidR="00E70729" w:rsidRPr="00B712C2">
        <w:rPr>
          <w:sz w:val="20"/>
          <w:szCs w:val="20"/>
        </w:rPr>
        <w:t xml:space="preserve"> [</w:t>
      </w:r>
      <w:r w:rsidR="00E70729" w:rsidRPr="00B712C2">
        <w:rPr>
          <w:rFonts w:ascii="Times New Roman" w:hAnsi="Times New Roman" w:cs="Times New Roman"/>
          <w:sz w:val="20"/>
          <w:szCs w:val="20"/>
        </w:rPr>
        <w:t>lfsq_etpga]. Complete time series data for Estonia are not available.</w:t>
      </w:r>
      <w:r w:rsidRPr="00B712C2">
        <w:rPr>
          <w:rFonts w:ascii="Times New Roman" w:hAnsi="Times New Roman" w:cs="Times New Roman"/>
          <w:b/>
          <w:sz w:val="20"/>
          <w:szCs w:val="20"/>
        </w:rPr>
        <w:br w:type="column"/>
      </w:r>
      <w:r>
        <w:rPr>
          <w:rFonts w:ascii="Times New Roman" w:hAnsi="Times New Roman" w:cs="Times New Roman"/>
          <w:b/>
        </w:rPr>
        <w:lastRenderedPageBreak/>
        <w:t>Figure 5: Net replacement rates, including housing benefit and social assistance</w:t>
      </w:r>
    </w:p>
    <w:p w14:paraId="30DEECB1" w14:textId="77777777" w:rsidR="00D63976" w:rsidRDefault="00D63976" w:rsidP="00D67EC8">
      <w:pPr>
        <w:autoSpaceDE w:val="0"/>
        <w:autoSpaceDN w:val="0"/>
        <w:adjustRightInd w:val="0"/>
        <w:spacing w:after="0" w:afterAutospacing="0" w:line="276" w:lineRule="auto"/>
        <w:rPr>
          <w:rFonts w:ascii="Times New Roman" w:hAnsi="Times New Roman" w:cs="Times New Roman"/>
          <w:b/>
        </w:rPr>
      </w:pPr>
    </w:p>
    <w:p w14:paraId="732AFE77" w14:textId="3B4C5EE1" w:rsidR="00D63976" w:rsidRDefault="00107D2F" w:rsidP="00D67EC8">
      <w:pPr>
        <w:autoSpaceDE w:val="0"/>
        <w:autoSpaceDN w:val="0"/>
        <w:adjustRightInd w:val="0"/>
        <w:spacing w:after="0" w:afterAutospacing="0" w:line="276" w:lineRule="auto"/>
        <w:rPr>
          <w:rFonts w:ascii="Times New Roman" w:hAnsi="Times New Roman" w:cs="Times New Roman"/>
          <w:b/>
        </w:rPr>
      </w:pPr>
      <w:r>
        <w:rPr>
          <w:noProof/>
          <w:lang w:eastAsia="en-GB"/>
        </w:rPr>
        <w:drawing>
          <wp:inline distT="0" distB="0" distL="0" distR="0" wp14:anchorId="7BE0BDCB" wp14:editId="58890459">
            <wp:extent cx="5731510" cy="3745865"/>
            <wp:effectExtent l="0" t="0" r="2540" b="698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37115F6" w14:textId="77777777" w:rsidR="00D63976" w:rsidRDefault="00D63976" w:rsidP="00D67EC8">
      <w:pPr>
        <w:autoSpaceDE w:val="0"/>
        <w:autoSpaceDN w:val="0"/>
        <w:adjustRightInd w:val="0"/>
        <w:spacing w:after="0" w:afterAutospacing="0" w:line="276" w:lineRule="auto"/>
        <w:rPr>
          <w:rFonts w:ascii="Times New Roman" w:hAnsi="Times New Roman" w:cs="Times New Roman"/>
          <w:b/>
        </w:rPr>
      </w:pPr>
    </w:p>
    <w:p w14:paraId="3599CAD7" w14:textId="77777777" w:rsidR="00D67EC8" w:rsidRPr="00FF6029" w:rsidRDefault="00D67EC8" w:rsidP="00D67EC8">
      <w:pPr>
        <w:spacing w:after="0" w:afterAutospacing="0"/>
        <w:rPr>
          <w:rFonts w:ascii="Times New Roman" w:eastAsia="Times New Roman" w:hAnsi="Times New Roman" w:cs="Times New Roman"/>
          <w:sz w:val="18"/>
          <w:szCs w:val="18"/>
          <w:lang w:eastAsia="en-GB"/>
        </w:rPr>
      </w:pPr>
      <w:r w:rsidRPr="00B712C2">
        <w:rPr>
          <w:rFonts w:ascii="Times New Roman" w:eastAsia="Times New Roman" w:hAnsi="Times New Roman" w:cs="Times New Roman"/>
          <w:sz w:val="20"/>
          <w:szCs w:val="20"/>
          <w:lang w:eastAsia="en-GB"/>
        </w:rPr>
        <w:t>Source: OECD. The NRR summary measure is defined as the average of the net unemployment benefit (including SA and cash housing assistance) replacement rates for two earnings levels, three family situations and 60 months of unemployment</w:t>
      </w:r>
      <w:r w:rsidRPr="00A347EC">
        <w:rPr>
          <w:rFonts w:ascii="Times New Roman" w:eastAsia="Times New Roman" w:hAnsi="Times New Roman" w:cs="Times New Roman"/>
          <w:sz w:val="18"/>
          <w:szCs w:val="18"/>
          <w:lang w:eastAsia="en-GB"/>
        </w:rPr>
        <w:t>.</w:t>
      </w:r>
    </w:p>
    <w:p w14:paraId="68075765" w14:textId="77777777" w:rsidR="00D67EC8" w:rsidRDefault="00D67EC8" w:rsidP="00D67EC8">
      <w:pPr>
        <w:spacing w:line="276" w:lineRule="auto"/>
        <w:rPr>
          <w:rFonts w:ascii="Times New Roman" w:hAnsi="Times New Roman" w:cs="Times New Roman"/>
          <w:b/>
        </w:rPr>
      </w:pPr>
    </w:p>
    <w:p w14:paraId="018D88D8" w14:textId="78C483B8" w:rsidR="00D67EC8" w:rsidRDefault="00D67EC8" w:rsidP="00D67EC8">
      <w:pPr>
        <w:autoSpaceDE w:val="0"/>
        <w:autoSpaceDN w:val="0"/>
        <w:adjustRightInd w:val="0"/>
        <w:spacing w:after="0" w:afterAutospacing="0" w:line="276" w:lineRule="auto"/>
        <w:rPr>
          <w:rFonts w:ascii="Times New Roman" w:hAnsi="Times New Roman" w:cs="Times New Roman"/>
          <w:b/>
        </w:rPr>
      </w:pPr>
      <w:r>
        <w:rPr>
          <w:rFonts w:ascii="Times New Roman" w:hAnsi="Times New Roman" w:cs="Times New Roman"/>
          <w:b/>
        </w:rPr>
        <w:br w:type="column"/>
      </w:r>
      <w:r>
        <w:rPr>
          <w:rFonts w:ascii="Times New Roman" w:hAnsi="Times New Roman" w:cs="Times New Roman"/>
          <w:b/>
        </w:rPr>
        <w:lastRenderedPageBreak/>
        <w:t xml:space="preserve">Figure 6: Expenditure on active labour market measures </w:t>
      </w:r>
    </w:p>
    <w:p w14:paraId="2DC765A4" w14:textId="77777777" w:rsidR="00D67EC8" w:rsidRDefault="00D67EC8" w:rsidP="00D67EC8">
      <w:pPr>
        <w:autoSpaceDE w:val="0"/>
        <w:autoSpaceDN w:val="0"/>
        <w:adjustRightInd w:val="0"/>
        <w:spacing w:after="0" w:afterAutospacing="0" w:line="276" w:lineRule="auto"/>
        <w:rPr>
          <w:rFonts w:ascii="Times New Roman" w:hAnsi="Times New Roman" w:cs="Times New Roman"/>
          <w:b/>
        </w:rPr>
      </w:pPr>
    </w:p>
    <w:p w14:paraId="1DECD609" w14:textId="31FEEBCB" w:rsidR="00D63976" w:rsidRDefault="00F01C1B" w:rsidP="00D67EC8">
      <w:pPr>
        <w:autoSpaceDE w:val="0"/>
        <w:autoSpaceDN w:val="0"/>
        <w:adjustRightInd w:val="0"/>
        <w:spacing w:after="0" w:afterAutospacing="0" w:line="276" w:lineRule="auto"/>
        <w:rPr>
          <w:rFonts w:ascii="Times New Roman" w:hAnsi="Times New Roman" w:cs="Times New Roman"/>
          <w:b/>
        </w:rPr>
      </w:pPr>
      <w:r>
        <w:rPr>
          <w:noProof/>
          <w:lang w:eastAsia="en-GB"/>
        </w:rPr>
        <w:drawing>
          <wp:inline distT="0" distB="0" distL="0" distR="0" wp14:anchorId="1BA8AA82" wp14:editId="1CDD217C">
            <wp:extent cx="5731510" cy="3745865"/>
            <wp:effectExtent l="0" t="0" r="2540" b="698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8768DA1" w14:textId="77777777" w:rsidR="00D63976" w:rsidRDefault="00D63976" w:rsidP="00D67EC8">
      <w:pPr>
        <w:autoSpaceDE w:val="0"/>
        <w:autoSpaceDN w:val="0"/>
        <w:adjustRightInd w:val="0"/>
        <w:spacing w:after="0" w:afterAutospacing="0" w:line="276" w:lineRule="auto"/>
        <w:rPr>
          <w:rFonts w:ascii="Times New Roman" w:hAnsi="Times New Roman" w:cs="Times New Roman"/>
          <w:b/>
        </w:rPr>
      </w:pPr>
    </w:p>
    <w:p w14:paraId="70BE027C" w14:textId="190472C9" w:rsidR="00D67EC8" w:rsidRDefault="00D67EC8" w:rsidP="00D67EC8">
      <w:pPr>
        <w:autoSpaceDE w:val="0"/>
        <w:autoSpaceDN w:val="0"/>
        <w:adjustRightInd w:val="0"/>
        <w:spacing w:after="0" w:afterAutospacing="0" w:line="276" w:lineRule="auto"/>
        <w:rPr>
          <w:rFonts w:ascii="Times New Roman" w:hAnsi="Times New Roman" w:cs="Times New Roman"/>
        </w:rPr>
      </w:pPr>
      <w:r w:rsidRPr="00D67EC8">
        <w:rPr>
          <w:rFonts w:ascii="Times New Roman" w:hAnsi="Times New Roman" w:cs="Times New Roman"/>
          <w:sz w:val="20"/>
          <w:szCs w:val="20"/>
        </w:rPr>
        <w:t>Source: Eurostat</w:t>
      </w:r>
      <w:r w:rsidRPr="00D67EC8">
        <w:rPr>
          <w:sz w:val="20"/>
          <w:szCs w:val="20"/>
        </w:rPr>
        <w:t xml:space="preserve"> </w:t>
      </w:r>
      <w:r w:rsidR="00F01C1B" w:rsidRPr="00F01C1B">
        <w:rPr>
          <w:rFonts w:ascii="Times New Roman" w:hAnsi="Times New Roman" w:cs="Times New Roman"/>
          <w:sz w:val="20"/>
          <w:szCs w:val="20"/>
        </w:rPr>
        <w:t>[lmp_expsumm]</w:t>
      </w:r>
      <w:r w:rsidR="00F01C1B">
        <w:rPr>
          <w:rFonts w:ascii="Times New Roman" w:hAnsi="Times New Roman" w:cs="Times New Roman"/>
          <w:sz w:val="20"/>
          <w:szCs w:val="20"/>
        </w:rPr>
        <w:t xml:space="preserve">. </w:t>
      </w:r>
      <w:r w:rsidRPr="00D67EC8">
        <w:rPr>
          <w:rFonts w:ascii="Times New Roman" w:hAnsi="Times New Roman" w:cs="Times New Roman"/>
          <w:sz w:val="20"/>
          <w:szCs w:val="20"/>
        </w:rPr>
        <w:t xml:space="preserve">Includes categories 2-7. Expenditure is measured in terms of </w:t>
      </w:r>
      <w:r w:rsidR="00F01C1B">
        <w:rPr>
          <w:rFonts w:ascii="Times New Roman" w:hAnsi="Times New Roman" w:cs="Times New Roman"/>
          <w:sz w:val="20"/>
          <w:szCs w:val="20"/>
        </w:rPr>
        <w:t>percentage of GDP</w:t>
      </w:r>
      <w:r w:rsidRPr="00D67EC8">
        <w:rPr>
          <w:rFonts w:ascii="Times New Roman" w:hAnsi="Times New Roman" w:cs="Times New Roman"/>
          <w:sz w:val="20"/>
          <w:szCs w:val="20"/>
        </w:rPr>
        <w:t xml:space="preserve">. </w:t>
      </w:r>
      <w:r>
        <w:rPr>
          <w:rFonts w:ascii="Times New Roman" w:hAnsi="Times New Roman" w:cs="Times New Roman"/>
          <w:sz w:val="20"/>
          <w:szCs w:val="20"/>
        </w:rPr>
        <w:t>Complete t</w:t>
      </w:r>
      <w:r w:rsidRPr="00D67EC8">
        <w:rPr>
          <w:rFonts w:ascii="Times New Roman" w:hAnsi="Times New Roman" w:cs="Times New Roman"/>
          <w:sz w:val="20"/>
          <w:szCs w:val="20"/>
        </w:rPr>
        <w:t xml:space="preserve">ime series data for </w:t>
      </w:r>
      <w:r>
        <w:rPr>
          <w:rFonts w:ascii="Times New Roman" w:hAnsi="Times New Roman" w:cs="Times New Roman"/>
          <w:sz w:val="20"/>
          <w:szCs w:val="20"/>
        </w:rPr>
        <w:t xml:space="preserve">the </w:t>
      </w:r>
      <w:r w:rsidRPr="00D67EC8">
        <w:rPr>
          <w:rFonts w:ascii="Times New Roman" w:hAnsi="Times New Roman" w:cs="Times New Roman"/>
          <w:sz w:val="20"/>
          <w:szCs w:val="20"/>
        </w:rPr>
        <w:t>UK and Greece are unavailable</w:t>
      </w:r>
      <w:r w:rsidR="00E70729">
        <w:rPr>
          <w:rFonts w:ascii="Times New Roman" w:hAnsi="Times New Roman" w:cs="Times New Roman"/>
          <w:sz w:val="20"/>
          <w:szCs w:val="20"/>
        </w:rPr>
        <w:t xml:space="preserve"> and they are therefore excluded</w:t>
      </w:r>
      <w:r>
        <w:rPr>
          <w:rFonts w:ascii="Times New Roman" w:hAnsi="Times New Roman" w:cs="Times New Roman"/>
        </w:rPr>
        <w:t>.</w:t>
      </w:r>
    </w:p>
    <w:p w14:paraId="4C661789" w14:textId="77777777" w:rsidR="00D67EC8" w:rsidRDefault="00D67EC8" w:rsidP="00F527E6">
      <w:pPr>
        <w:spacing w:line="276" w:lineRule="auto"/>
        <w:rPr>
          <w:rFonts w:ascii="Times New Roman" w:hAnsi="Times New Roman" w:cs="Times New Roman"/>
          <w:b/>
        </w:rPr>
        <w:sectPr w:rsidR="00D67EC8" w:rsidSect="00D67EC8">
          <w:footerReference w:type="default" r:id="rId21"/>
          <w:pgSz w:w="11906" w:h="16838"/>
          <w:pgMar w:top="1440" w:right="1440" w:bottom="1440" w:left="1440" w:header="709" w:footer="709" w:gutter="0"/>
          <w:cols w:space="708"/>
          <w:docGrid w:linePitch="360"/>
        </w:sectPr>
      </w:pPr>
      <w:r>
        <w:rPr>
          <w:rFonts w:ascii="Times New Roman" w:hAnsi="Times New Roman" w:cs="Times New Roman"/>
          <w:b/>
        </w:rPr>
        <w:br w:type="column"/>
      </w:r>
    </w:p>
    <w:p w14:paraId="3E782E43" w14:textId="2D0FA628" w:rsidR="00F527E6" w:rsidRPr="00807BAB" w:rsidRDefault="00F527E6" w:rsidP="00F527E6">
      <w:pPr>
        <w:spacing w:line="276" w:lineRule="auto"/>
        <w:rPr>
          <w:rFonts w:ascii="Times New Roman" w:eastAsia="Times New Roman" w:hAnsi="Times New Roman" w:cs="Times New Roman"/>
          <w:b/>
          <w:lang w:eastAsia="en-GB"/>
        </w:rPr>
      </w:pPr>
      <w:r w:rsidRPr="00B736FF">
        <w:rPr>
          <w:rFonts w:ascii="Times New Roman" w:hAnsi="Times New Roman" w:cs="Times New Roman"/>
          <w:b/>
        </w:rPr>
        <w:lastRenderedPageBreak/>
        <w:t>T</w:t>
      </w:r>
      <w:r w:rsidRPr="00807BAB">
        <w:rPr>
          <w:rFonts w:ascii="Times New Roman" w:eastAsia="Times New Roman" w:hAnsi="Times New Roman" w:cs="Times New Roman"/>
          <w:b/>
          <w:lang w:eastAsia="en-GB"/>
        </w:rPr>
        <w:t>able 1. OECD measures of EPL, 2008-2013 compared</w:t>
      </w:r>
    </w:p>
    <w:p w14:paraId="70B9C671" w14:textId="121E552B" w:rsidR="00F527E6" w:rsidRPr="008F7BA0" w:rsidRDefault="00F527E6" w:rsidP="00B712C2">
      <w:pPr>
        <w:rPr>
          <w:rFonts w:ascii="Times New Roman" w:eastAsia="Times New Roman" w:hAnsi="Times New Roman" w:cs="Times New Roman"/>
          <w:sz w:val="20"/>
          <w:szCs w:val="20"/>
          <w:lang w:eastAsia="en-GB"/>
        </w:rPr>
      </w:pPr>
      <w:r w:rsidRPr="00807BAB">
        <w:rPr>
          <w:rFonts w:ascii="Times New Roman" w:eastAsia="Times New Roman" w:hAnsi="Times New Roman" w:cs="Times New Roman"/>
          <w:lang w:eastAsia="en-GB"/>
        </w:rPr>
        <w:t>__________________________</w:t>
      </w:r>
      <w:r w:rsidR="008F7BA0">
        <w:rPr>
          <w:rFonts w:ascii="Times New Roman" w:eastAsia="Times New Roman" w:hAnsi="Times New Roman" w:cs="Times New Roman"/>
          <w:lang w:eastAsia="en-GB"/>
        </w:rPr>
        <w:t>___</w:t>
      </w:r>
      <w:r w:rsidRPr="00807BAB">
        <w:rPr>
          <w:rFonts w:ascii="Times New Roman" w:eastAsia="Times New Roman" w:hAnsi="Times New Roman" w:cs="Times New Roman"/>
          <w:lang w:eastAsia="en-GB"/>
        </w:rPr>
        <w:t>___</w:t>
      </w:r>
      <w:r w:rsidR="008F7BA0">
        <w:rPr>
          <w:rFonts w:ascii="Times New Roman" w:eastAsia="Times New Roman" w:hAnsi="Times New Roman" w:cs="Times New Roman"/>
          <w:lang w:eastAsia="en-GB"/>
        </w:rPr>
        <w:t>____________</w:t>
      </w:r>
      <w:r w:rsidR="003E1FDD">
        <w:rPr>
          <w:rFonts w:ascii="Times New Roman" w:eastAsia="Times New Roman" w:hAnsi="Times New Roman" w:cs="Times New Roman"/>
          <w:lang w:eastAsia="en-GB"/>
        </w:rPr>
        <w:t>__________________________</w:t>
      </w:r>
      <w:r w:rsidR="00435E79">
        <w:rPr>
          <w:rFonts w:ascii="Times New Roman" w:eastAsia="Times New Roman" w:hAnsi="Times New Roman" w:cs="Times New Roman"/>
          <w:lang w:eastAsia="en-GB"/>
        </w:rPr>
        <w:t>_____________</w:t>
      </w:r>
      <w:r w:rsidR="00435E79">
        <w:rPr>
          <w:rFonts w:ascii="Times New Roman" w:eastAsia="Times New Roman" w:hAnsi="Times New Roman" w:cs="Times New Roman"/>
          <w:lang w:eastAsia="en-GB"/>
        </w:rPr>
        <w:tab/>
      </w:r>
      <w:r w:rsidR="00435E79">
        <w:rPr>
          <w:rFonts w:ascii="Times New Roman" w:eastAsia="Times New Roman" w:hAnsi="Times New Roman" w:cs="Times New Roman"/>
          <w:lang w:eastAsia="en-GB"/>
        </w:rPr>
        <w:tab/>
      </w:r>
      <w:r w:rsidR="001153CA">
        <w:rPr>
          <w:rFonts w:ascii="Times New Roman" w:eastAsia="Times New Roman" w:hAnsi="Times New Roman" w:cs="Times New Roman"/>
          <w:lang w:eastAsia="en-GB"/>
        </w:rPr>
        <w:tab/>
      </w:r>
      <w:r w:rsidR="001153CA">
        <w:rPr>
          <w:rFonts w:ascii="Times New Roman" w:eastAsia="Times New Roman" w:hAnsi="Times New Roman" w:cs="Times New Roman"/>
          <w:lang w:eastAsia="en-GB"/>
        </w:rPr>
        <w:tab/>
      </w:r>
      <w:r w:rsidR="009758C6">
        <w:rPr>
          <w:rFonts w:ascii="Times New Roman" w:eastAsia="Times New Roman" w:hAnsi="Times New Roman" w:cs="Times New Roman"/>
          <w:lang w:eastAsia="en-GB"/>
        </w:rPr>
        <w:tab/>
      </w:r>
      <w:r w:rsidR="009758C6">
        <w:rPr>
          <w:rFonts w:ascii="Times New Roman" w:eastAsia="Times New Roman" w:hAnsi="Times New Roman" w:cs="Times New Roman"/>
          <w:lang w:eastAsia="en-GB"/>
        </w:rPr>
        <w:tab/>
      </w:r>
      <w:r w:rsidR="009758C6">
        <w:rPr>
          <w:rFonts w:ascii="Times New Roman" w:eastAsia="Times New Roman" w:hAnsi="Times New Roman" w:cs="Times New Roman"/>
          <w:lang w:eastAsia="en-GB"/>
        </w:rPr>
        <w:tab/>
      </w:r>
      <w:r w:rsidR="009758C6">
        <w:rPr>
          <w:rFonts w:ascii="Times New Roman" w:eastAsia="Times New Roman" w:hAnsi="Times New Roman" w:cs="Times New Roman"/>
          <w:lang w:eastAsia="en-GB"/>
        </w:rPr>
        <w:tab/>
      </w:r>
      <w:r w:rsidR="009758C6">
        <w:rPr>
          <w:rFonts w:ascii="Times New Roman" w:eastAsia="Times New Roman" w:hAnsi="Times New Roman" w:cs="Times New Roman"/>
          <w:lang w:eastAsia="en-GB"/>
        </w:rPr>
        <w:tab/>
      </w:r>
      <w:r w:rsidR="009758C6">
        <w:rPr>
          <w:rFonts w:ascii="Times New Roman" w:eastAsia="Times New Roman" w:hAnsi="Times New Roman" w:cs="Times New Roman"/>
          <w:lang w:eastAsia="en-GB"/>
        </w:rPr>
        <w:tab/>
      </w:r>
      <w:r w:rsidR="009758C6">
        <w:rPr>
          <w:rFonts w:ascii="Times New Roman" w:eastAsia="Times New Roman" w:hAnsi="Times New Roman" w:cs="Times New Roman"/>
          <w:lang w:eastAsia="en-GB"/>
        </w:rPr>
        <w:tab/>
      </w:r>
      <w:r w:rsidRPr="008F7BA0">
        <w:rPr>
          <w:rFonts w:ascii="Times New Roman" w:eastAsia="Times New Roman" w:hAnsi="Times New Roman" w:cs="Times New Roman"/>
          <w:sz w:val="20"/>
          <w:szCs w:val="20"/>
          <w:lang w:eastAsia="en-GB"/>
        </w:rPr>
        <w:t>EPRC_V3</w:t>
      </w:r>
      <w:r w:rsidR="008F7BA0" w:rsidRPr="008F7BA0">
        <w:rPr>
          <w:rFonts w:ascii="Times New Roman" w:eastAsia="Times New Roman" w:hAnsi="Times New Roman" w:cs="Times New Roman"/>
          <w:sz w:val="20"/>
          <w:szCs w:val="20"/>
          <w:lang w:eastAsia="en-GB"/>
        </w:rPr>
        <w:tab/>
      </w:r>
      <w:r w:rsidR="008F7BA0" w:rsidRPr="008F7BA0">
        <w:rPr>
          <w:rFonts w:ascii="Times New Roman" w:eastAsia="Times New Roman" w:hAnsi="Times New Roman" w:cs="Times New Roman"/>
          <w:sz w:val="20"/>
          <w:szCs w:val="20"/>
          <w:lang w:eastAsia="en-GB"/>
        </w:rPr>
        <w:tab/>
      </w:r>
      <w:r w:rsidR="005074A9">
        <w:rPr>
          <w:rFonts w:ascii="Times New Roman" w:eastAsia="Times New Roman" w:hAnsi="Times New Roman" w:cs="Times New Roman"/>
          <w:sz w:val="20"/>
          <w:szCs w:val="20"/>
          <w:lang w:eastAsia="en-GB"/>
        </w:rPr>
        <w:t xml:space="preserve">Increase in UNM </w:t>
      </w:r>
      <w:r w:rsidR="00435E79">
        <w:rPr>
          <w:rFonts w:ascii="Times New Roman" w:eastAsia="Times New Roman" w:hAnsi="Times New Roman" w:cs="Times New Roman"/>
          <w:sz w:val="20"/>
          <w:szCs w:val="20"/>
          <w:lang w:eastAsia="en-GB"/>
        </w:rPr>
        <w:t>since 2008</w:t>
      </w:r>
      <w:r w:rsidR="00DC2499">
        <w:rPr>
          <w:rFonts w:ascii="Times New Roman" w:eastAsia="Times New Roman" w:hAnsi="Times New Roman" w:cs="Times New Roman"/>
          <w:sz w:val="20"/>
          <w:szCs w:val="20"/>
          <w:lang w:eastAsia="en-GB"/>
        </w:rPr>
        <w:t>*</w:t>
      </w:r>
    </w:p>
    <w:p w14:paraId="035FCD70" w14:textId="38D00E94" w:rsidR="001153CA" w:rsidRDefault="00F527E6" w:rsidP="00B712C2">
      <w:pPr>
        <w:ind w:left="2160" w:firstLine="720"/>
        <w:rPr>
          <w:rFonts w:ascii="Times New Roman" w:eastAsia="Times New Roman" w:hAnsi="Times New Roman" w:cs="Times New Roman"/>
          <w:sz w:val="20"/>
          <w:szCs w:val="20"/>
          <w:lang w:eastAsia="en-GB"/>
        </w:rPr>
      </w:pPr>
      <w:r w:rsidRPr="008F7BA0">
        <w:rPr>
          <w:rFonts w:ascii="Times New Roman" w:eastAsia="Times New Roman" w:hAnsi="Times New Roman" w:cs="Times New Roman"/>
          <w:sz w:val="20"/>
          <w:szCs w:val="20"/>
          <w:lang w:eastAsia="en-GB"/>
        </w:rPr>
        <w:t>2008</w:t>
      </w:r>
      <w:r w:rsidRPr="008F7BA0">
        <w:rPr>
          <w:rFonts w:ascii="Times New Roman" w:eastAsia="Times New Roman" w:hAnsi="Times New Roman" w:cs="Times New Roman"/>
          <w:sz w:val="20"/>
          <w:szCs w:val="20"/>
          <w:lang w:eastAsia="en-GB"/>
        </w:rPr>
        <w:tab/>
        <w:t>2013</w:t>
      </w:r>
      <w:r w:rsidR="008F7BA0" w:rsidRPr="008F7BA0">
        <w:rPr>
          <w:rFonts w:ascii="Times New Roman" w:eastAsia="Times New Roman" w:hAnsi="Times New Roman" w:cs="Times New Roman"/>
          <w:sz w:val="20"/>
          <w:szCs w:val="20"/>
          <w:lang w:eastAsia="en-GB"/>
        </w:rPr>
        <w:tab/>
      </w:r>
      <w:r w:rsidR="008F7BA0" w:rsidRPr="008F7BA0">
        <w:rPr>
          <w:rFonts w:ascii="Times New Roman" w:eastAsia="Times New Roman" w:hAnsi="Times New Roman" w:cs="Times New Roman"/>
          <w:sz w:val="20"/>
          <w:szCs w:val="20"/>
          <w:lang w:eastAsia="en-GB"/>
        </w:rPr>
        <w:tab/>
      </w:r>
      <w:r w:rsidR="00DC2499">
        <w:rPr>
          <w:rFonts w:ascii="Times New Roman" w:eastAsia="Times New Roman" w:hAnsi="Times New Roman" w:cs="Times New Roman"/>
          <w:sz w:val="20"/>
          <w:szCs w:val="20"/>
          <w:lang w:eastAsia="en-GB"/>
        </w:rPr>
        <w:tab/>
      </w:r>
    </w:p>
    <w:p w14:paraId="64D75046" w14:textId="022CFD21" w:rsidR="00D2174C" w:rsidRPr="00B712C2" w:rsidRDefault="00D2174C" w:rsidP="008F7BA0">
      <w:pPr>
        <w:spacing w:after="0" w:afterAutospacing="0"/>
        <w:rPr>
          <w:rFonts w:ascii="Times New Roman" w:eastAsia="Times New Roman" w:hAnsi="Times New Roman" w:cs="Times New Roman"/>
          <w:sz w:val="20"/>
          <w:szCs w:val="20"/>
          <w:u w:val="single"/>
          <w:lang w:eastAsia="en-GB"/>
        </w:rPr>
      </w:pPr>
      <w:r w:rsidRPr="00B712C2">
        <w:rPr>
          <w:rFonts w:ascii="Times New Roman" w:eastAsia="Times New Roman" w:hAnsi="Times New Roman" w:cs="Times New Roman"/>
          <w:sz w:val="20"/>
          <w:szCs w:val="20"/>
          <w:u w:val="single"/>
          <w:lang w:eastAsia="en-GB"/>
        </w:rPr>
        <w:t xml:space="preserve">Countries receiving </w:t>
      </w:r>
      <w:r w:rsidR="00683345">
        <w:rPr>
          <w:rFonts w:ascii="Times New Roman" w:eastAsia="Times New Roman" w:hAnsi="Times New Roman" w:cs="Times New Roman"/>
          <w:sz w:val="20"/>
          <w:szCs w:val="20"/>
          <w:u w:val="single"/>
          <w:lang w:eastAsia="en-GB"/>
        </w:rPr>
        <w:t xml:space="preserve">financial </w:t>
      </w:r>
      <w:r w:rsidRPr="00B712C2">
        <w:rPr>
          <w:rFonts w:ascii="Times New Roman" w:eastAsia="Times New Roman" w:hAnsi="Times New Roman" w:cs="Times New Roman"/>
          <w:sz w:val="20"/>
          <w:szCs w:val="20"/>
          <w:u w:val="single"/>
          <w:lang w:eastAsia="en-GB"/>
        </w:rPr>
        <w:t>as</w:t>
      </w:r>
      <w:r>
        <w:rPr>
          <w:rFonts w:ascii="Times New Roman" w:eastAsia="Times New Roman" w:hAnsi="Times New Roman" w:cs="Times New Roman"/>
          <w:sz w:val="20"/>
          <w:szCs w:val="20"/>
          <w:u w:val="single"/>
          <w:lang w:eastAsia="en-GB"/>
        </w:rPr>
        <w:t>si</w:t>
      </w:r>
      <w:r w:rsidRPr="00B712C2">
        <w:rPr>
          <w:rFonts w:ascii="Times New Roman" w:eastAsia="Times New Roman" w:hAnsi="Times New Roman" w:cs="Times New Roman"/>
          <w:sz w:val="20"/>
          <w:szCs w:val="20"/>
          <w:u w:val="single"/>
          <w:lang w:eastAsia="en-GB"/>
        </w:rPr>
        <w:t>st</w:t>
      </w:r>
      <w:r>
        <w:rPr>
          <w:rFonts w:ascii="Times New Roman" w:eastAsia="Times New Roman" w:hAnsi="Times New Roman" w:cs="Times New Roman"/>
          <w:sz w:val="20"/>
          <w:szCs w:val="20"/>
          <w:u w:val="single"/>
          <w:lang w:eastAsia="en-GB"/>
        </w:rPr>
        <w:t>a</w:t>
      </w:r>
      <w:r w:rsidRPr="00B712C2">
        <w:rPr>
          <w:rFonts w:ascii="Times New Roman" w:eastAsia="Times New Roman" w:hAnsi="Times New Roman" w:cs="Times New Roman"/>
          <w:sz w:val="20"/>
          <w:szCs w:val="20"/>
          <w:u w:val="single"/>
          <w:lang w:eastAsia="en-GB"/>
        </w:rPr>
        <w:t>nce</w:t>
      </w:r>
    </w:p>
    <w:p w14:paraId="4F329C8B" w14:textId="77777777" w:rsidR="00D2174C" w:rsidRDefault="00D2174C" w:rsidP="008F7BA0">
      <w:pPr>
        <w:spacing w:after="0" w:afterAutospacing="0"/>
        <w:rPr>
          <w:rFonts w:ascii="Times New Roman" w:eastAsia="Times New Roman" w:hAnsi="Times New Roman" w:cs="Times New Roman"/>
          <w:sz w:val="20"/>
          <w:szCs w:val="20"/>
          <w:lang w:eastAsia="en-GB"/>
        </w:rPr>
      </w:pPr>
    </w:p>
    <w:p w14:paraId="5A8D9229" w14:textId="6D351EE9" w:rsidR="00D2174C" w:rsidRPr="008F7BA0" w:rsidRDefault="00D2174C" w:rsidP="00D2174C">
      <w:pPr>
        <w:spacing w:after="0" w:afterAutospacing="0"/>
        <w:rPr>
          <w:rFonts w:ascii="Times New Roman" w:eastAsia="Times New Roman" w:hAnsi="Times New Roman" w:cs="Times New Roman"/>
          <w:sz w:val="20"/>
          <w:szCs w:val="20"/>
          <w:lang w:eastAsia="en-GB"/>
        </w:rPr>
      </w:pPr>
      <w:r w:rsidRPr="008F7BA0">
        <w:rPr>
          <w:rFonts w:ascii="Times New Roman" w:eastAsia="Times New Roman" w:hAnsi="Times New Roman" w:cs="Times New Roman"/>
          <w:sz w:val="20"/>
          <w:szCs w:val="20"/>
          <w:lang w:eastAsia="en-GB"/>
        </w:rPr>
        <w:t>Hungary</w:t>
      </w:r>
      <w:r w:rsidRPr="008F7BA0">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2.265</w:t>
      </w:r>
      <w:r w:rsidRPr="008F7BA0">
        <w:rPr>
          <w:rFonts w:ascii="Times New Roman" w:eastAsia="Times New Roman" w:hAnsi="Times New Roman" w:cs="Times New Roman"/>
          <w:sz w:val="20"/>
          <w:szCs w:val="20"/>
          <w:lang w:eastAsia="en-GB"/>
        </w:rPr>
        <w:tab/>
        <w:t>2.074</w:t>
      </w:r>
      <w:r w:rsidRPr="008F7BA0">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3.3</w:t>
      </w:r>
    </w:p>
    <w:p w14:paraId="042D18FF" w14:textId="30F47568" w:rsidR="00D2174C" w:rsidRPr="008F7BA0" w:rsidRDefault="00D2174C" w:rsidP="00D2174C">
      <w:pPr>
        <w:spacing w:after="0" w:afterAutospacing="0"/>
        <w:rPr>
          <w:rFonts w:ascii="Times New Roman" w:eastAsia="Times New Roman" w:hAnsi="Times New Roman" w:cs="Times New Roman"/>
          <w:sz w:val="20"/>
          <w:szCs w:val="20"/>
          <w:lang w:eastAsia="en-GB"/>
        </w:rPr>
      </w:pPr>
      <w:r w:rsidRPr="008F7BA0">
        <w:rPr>
          <w:rFonts w:ascii="Times New Roman" w:eastAsia="Times New Roman" w:hAnsi="Times New Roman" w:cs="Times New Roman"/>
          <w:sz w:val="20"/>
          <w:szCs w:val="20"/>
          <w:lang w:eastAsia="en-GB"/>
        </w:rPr>
        <w:t>Ireland</w:t>
      </w:r>
      <w:r w:rsidRPr="008F7BA0">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1.978</w:t>
      </w:r>
      <w:r w:rsidRPr="008F7BA0">
        <w:rPr>
          <w:rFonts w:ascii="Times New Roman" w:eastAsia="Times New Roman" w:hAnsi="Times New Roman" w:cs="Times New Roman"/>
          <w:sz w:val="20"/>
          <w:szCs w:val="20"/>
          <w:lang w:eastAsia="en-GB"/>
        </w:rPr>
        <w:tab/>
        <w:t>2.069</w:t>
      </w:r>
      <w:r w:rsidRPr="008F7BA0">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8.9</w:t>
      </w:r>
    </w:p>
    <w:p w14:paraId="5124A9E7" w14:textId="2D48D63F" w:rsidR="00D2174C" w:rsidRPr="008F7BA0" w:rsidRDefault="00D2174C" w:rsidP="00D2174C">
      <w:pPr>
        <w:spacing w:after="0" w:afterAutospacing="0"/>
        <w:rPr>
          <w:rFonts w:ascii="Times New Roman" w:eastAsia="Times New Roman" w:hAnsi="Times New Roman" w:cs="Times New Roman"/>
          <w:sz w:val="20"/>
          <w:szCs w:val="20"/>
          <w:lang w:eastAsia="en-GB"/>
        </w:rPr>
      </w:pPr>
      <w:r w:rsidRPr="008F7BA0">
        <w:rPr>
          <w:rFonts w:ascii="Times New Roman" w:eastAsia="Times New Roman" w:hAnsi="Times New Roman" w:cs="Times New Roman"/>
          <w:sz w:val="20"/>
          <w:szCs w:val="20"/>
          <w:lang w:eastAsia="en-GB"/>
        </w:rPr>
        <w:t>Italy</w:t>
      </w:r>
      <w:r w:rsidRPr="008F7BA0">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3.032</w:t>
      </w:r>
      <w:r w:rsidRPr="008F7BA0">
        <w:rPr>
          <w:rFonts w:ascii="Times New Roman" w:eastAsia="Times New Roman" w:hAnsi="Times New Roman" w:cs="Times New Roman"/>
          <w:sz w:val="20"/>
          <w:szCs w:val="20"/>
          <w:lang w:eastAsia="en-GB"/>
        </w:rPr>
        <w:tab/>
        <w:t>2.794</w:t>
      </w:r>
      <w:r w:rsidRPr="008F7BA0">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5.6</w:t>
      </w:r>
    </w:p>
    <w:p w14:paraId="0696F6C3" w14:textId="5E5002F4" w:rsidR="00D2174C" w:rsidRPr="008F7BA0" w:rsidRDefault="00D2174C" w:rsidP="00D2174C">
      <w:pPr>
        <w:spacing w:after="0" w:afterAutospacing="0"/>
        <w:rPr>
          <w:rFonts w:ascii="Times New Roman" w:eastAsia="Times New Roman" w:hAnsi="Times New Roman" w:cs="Times New Roman"/>
          <w:sz w:val="20"/>
          <w:szCs w:val="20"/>
          <w:lang w:eastAsia="en-GB"/>
        </w:rPr>
      </w:pPr>
      <w:r w:rsidRPr="008F7BA0">
        <w:rPr>
          <w:rFonts w:ascii="Times New Roman" w:eastAsia="Times New Roman" w:hAnsi="Times New Roman" w:cs="Times New Roman"/>
          <w:sz w:val="20"/>
          <w:szCs w:val="20"/>
          <w:lang w:eastAsia="en-GB"/>
        </w:rPr>
        <w:t>Greece</w:t>
      </w:r>
      <w:r w:rsidRPr="008F7BA0">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2.85</w:t>
      </w:r>
      <w:r w:rsidRPr="008F7BA0">
        <w:rPr>
          <w:rFonts w:ascii="Times New Roman" w:eastAsia="Times New Roman" w:hAnsi="Times New Roman" w:cs="Times New Roman"/>
          <w:sz w:val="20"/>
          <w:szCs w:val="20"/>
          <w:lang w:eastAsia="en-GB"/>
        </w:rPr>
        <w:tab/>
        <w:t>2.41</w:t>
      </w:r>
      <w:r w:rsidRPr="008F7BA0">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19.8</w:t>
      </w:r>
    </w:p>
    <w:p w14:paraId="58BAA6F7" w14:textId="3E8E4333" w:rsidR="00D2174C" w:rsidRPr="008F7BA0" w:rsidRDefault="00D2174C" w:rsidP="00D2174C">
      <w:pPr>
        <w:spacing w:after="0" w:afterAutospacing="0"/>
        <w:rPr>
          <w:rFonts w:ascii="Times New Roman" w:eastAsia="Times New Roman" w:hAnsi="Times New Roman" w:cs="Times New Roman"/>
          <w:sz w:val="20"/>
          <w:szCs w:val="20"/>
          <w:lang w:eastAsia="en-GB"/>
        </w:rPr>
      </w:pPr>
      <w:r w:rsidRPr="008F7BA0">
        <w:rPr>
          <w:rFonts w:ascii="Times New Roman" w:eastAsia="Times New Roman" w:hAnsi="Times New Roman" w:cs="Times New Roman"/>
          <w:sz w:val="20"/>
          <w:szCs w:val="20"/>
          <w:lang w:eastAsia="en-GB"/>
        </w:rPr>
        <w:t>Portugal</w:t>
      </w:r>
      <w:r w:rsidRPr="008F7BA0">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3.512</w:t>
      </w:r>
      <w:r w:rsidRPr="008F7BA0">
        <w:rPr>
          <w:rFonts w:ascii="Times New Roman" w:eastAsia="Times New Roman" w:hAnsi="Times New Roman" w:cs="Times New Roman"/>
          <w:sz w:val="20"/>
          <w:szCs w:val="20"/>
          <w:lang w:eastAsia="en-GB"/>
        </w:rPr>
        <w:tab/>
        <w:t>2.685</w:t>
      </w:r>
      <w:r w:rsidRPr="008F7BA0">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9</w:t>
      </w:r>
    </w:p>
    <w:p w14:paraId="4A58E413" w14:textId="72B4DF54" w:rsidR="00D2174C" w:rsidRPr="008F7BA0" w:rsidRDefault="00D2174C" w:rsidP="00D2174C">
      <w:pPr>
        <w:spacing w:after="0" w:afterAutospacing="0"/>
        <w:rPr>
          <w:rFonts w:ascii="Times New Roman" w:eastAsia="Times New Roman" w:hAnsi="Times New Roman" w:cs="Times New Roman"/>
          <w:sz w:val="20"/>
          <w:szCs w:val="20"/>
          <w:lang w:eastAsia="en-GB"/>
        </w:rPr>
      </w:pPr>
      <w:r w:rsidRPr="008F7BA0">
        <w:rPr>
          <w:rFonts w:ascii="Times New Roman" w:eastAsia="Times New Roman" w:hAnsi="Times New Roman" w:cs="Times New Roman"/>
          <w:sz w:val="20"/>
          <w:szCs w:val="20"/>
          <w:lang w:eastAsia="en-GB"/>
        </w:rPr>
        <w:t>Spain</w:t>
      </w:r>
      <w:r w:rsidRPr="008F7BA0">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2.66</w:t>
      </w:r>
      <w:r w:rsidRPr="008F7BA0">
        <w:rPr>
          <w:rFonts w:ascii="Times New Roman" w:eastAsia="Times New Roman" w:hAnsi="Times New Roman" w:cs="Times New Roman"/>
          <w:sz w:val="20"/>
          <w:szCs w:val="20"/>
          <w:lang w:eastAsia="en-GB"/>
        </w:rPr>
        <w:tab/>
        <w:t>2.284</w:t>
      </w:r>
      <w:r w:rsidRPr="008F7BA0">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14.9</w:t>
      </w:r>
    </w:p>
    <w:p w14:paraId="332F8444" w14:textId="77777777" w:rsidR="00D2174C" w:rsidRDefault="00D2174C" w:rsidP="008F7BA0">
      <w:pPr>
        <w:spacing w:after="0" w:afterAutospacing="0"/>
        <w:rPr>
          <w:rFonts w:ascii="Times New Roman" w:eastAsia="Times New Roman" w:hAnsi="Times New Roman" w:cs="Times New Roman"/>
          <w:sz w:val="20"/>
          <w:szCs w:val="20"/>
          <w:lang w:eastAsia="en-GB"/>
        </w:rPr>
      </w:pPr>
    </w:p>
    <w:p w14:paraId="40F201B0" w14:textId="77777777" w:rsidR="00D2174C" w:rsidRDefault="00D2174C" w:rsidP="008F7BA0">
      <w:pPr>
        <w:spacing w:after="0" w:afterAutospacing="0"/>
        <w:rPr>
          <w:rFonts w:ascii="Times New Roman" w:eastAsia="Times New Roman" w:hAnsi="Times New Roman" w:cs="Times New Roman"/>
          <w:sz w:val="20"/>
          <w:szCs w:val="20"/>
          <w:lang w:eastAsia="en-GB"/>
        </w:rPr>
      </w:pPr>
    </w:p>
    <w:p w14:paraId="1F37A6BD" w14:textId="12F79E94" w:rsidR="00D2174C" w:rsidRPr="00B712C2" w:rsidRDefault="00D2174C" w:rsidP="008F7BA0">
      <w:pPr>
        <w:spacing w:after="0" w:afterAutospacing="0"/>
        <w:rPr>
          <w:rFonts w:ascii="Times New Roman" w:eastAsia="Times New Roman" w:hAnsi="Times New Roman" w:cs="Times New Roman"/>
          <w:sz w:val="20"/>
          <w:szCs w:val="20"/>
          <w:u w:val="single"/>
          <w:lang w:eastAsia="en-GB"/>
        </w:rPr>
      </w:pPr>
      <w:r w:rsidRPr="00B712C2">
        <w:rPr>
          <w:rFonts w:ascii="Times New Roman" w:eastAsia="Times New Roman" w:hAnsi="Times New Roman" w:cs="Times New Roman"/>
          <w:sz w:val="20"/>
          <w:szCs w:val="20"/>
          <w:u w:val="single"/>
          <w:lang w:eastAsia="en-GB"/>
        </w:rPr>
        <w:t xml:space="preserve">Countries not receiving </w:t>
      </w:r>
      <w:r w:rsidR="00683345">
        <w:rPr>
          <w:rFonts w:ascii="Times New Roman" w:eastAsia="Times New Roman" w:hAnsi="Times New Roman" w:cs="Times New Roman"/>
          <w:sz w:val="20"/>
          <w:szCs w:val="20"/>
          <w:u w:val="single"/>
          <w:lang w:eastAsia="en-GB"/>
        </w:rPr>
        <w:t xml:space="preserve">financial </w:t>
      </w:r>
      <w:r w:rsidRPr="00B712C2">
        <w:rPr>
          <w:rFonts w:ascii="Times New Roman" w:eastAsia="Times New Roman" w:hAnsi="Times New Roman" w:cs="Times New Roman"/>
          <w:sz w:val="20"/>
          <w:szCs w:val="20"/>
          <w:u w:val="single"/>
          <w:lang w:eastAsia="en-GB"/>
        </w:rPr>
        <w:t>assistance</w:t>
      </w:r>
    </w:p>
    <w:p w14:paraId="3504666B" w14:textId="77777777" w:rsidR="00D2174C" w:rsidRDefault="00D2174C" w:rsidP="008F7BA0">
      <w:pPr>
        <w:spacing w:after="0" w:afterAutospacing="0"/>
        <w:rPr>
          <w:rFonts w:ascii="Times New Roman" w:eastAsia="Times New Roman" w:hAnsi="Times New Roman" w:cs="Times New Roman"/>
          <w:sz w:val="20"/>
          <w:szCs w:val="20"/>
          <w:lang w:eastAsia="en-GB"/>
        </w:rPr>
      </w:pPr>
    </w:p>
    <w:p w14:paraId="1F0A4ECA" w14:textId="5C226D7B" w:rsidR="00F527E6" w:rsidRPr="008F7BA0" w:rsidRDefault="008F7BA0" w:rsidP="008F7BA0">
      <w:pPr>
        <w:spacing w:after="0" w:afterAutospacing="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Austria</w:t>
      </w:r>
      <w:r>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00F527E6" w:rsidRPr="008F7BA0">
        <w:rPr>
          <w:rFonts w:ascii="Times New Roman" w:eastAsia="Times New Roman" w:hAnsi="Times New Roman" w:cs="Times New Roman"/>
          <w:sz w:val="20"/>
          <w:szCs w:val="20"/>
          <w:lang w:eastAsia="en-GB"/>
        </w:rPr>
        <w:t>2.442</w:t>
      </w:r>
      <w:r w:rsidR="00F527E6" w:rsidRPr="008F7BA0">
        <w:rPr>
          <w:rFonts w:ascii="Times New Roman" w:eastAsia="Times New Roman" w:hAnsi="Times New Roman" w:cs="Times New Roman"/>
          <w:sz w:val="20"/>
          <w:szCs w:val="20"/>
          <w:lang w:eastAsia="en-GB"/>
        </w:rPr>
        <w:tab/>
        <w:t>2.442</w:t>
      </w:r>
      <w:r w:rsidRPr="008F7BA0">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ab/>
      </w:r>
      <w:r w:rsidR="00435E79">
        <w:rPr>
          <w:rFonts w:ascii="Times New Roman" w:eastAsia="Times New Roman" w:hAnsi="Times New Roman" w:cs="Times New Roman"/>
          <w:sz w:val="20"/>
          <w:szCs w:val="20"/>
          <w:lang w:eastAsia="en-GB"/>
        </w:rPr>
        <w:t>1.1</w:t>
      </w:r>
    </w:p>
    <w:p w14:paraId="697D652F" w14:textId="4221B8D0" w:rsidR="00F527E6" w:rsidRPr="008F7BA0" w:rsidRDefault="00F527E6" w:rsidP="008F7BA0">
      <w:pPr>
        <w:spacing w:after="0" w:afterAutospacing="0"/>
        <w:rPr>
          <w:rFonts w:ascii="Times New Roman" w:eastAsia="Times New Roman" w:hAnsi="Times New Roman" w:cs="Times New Roman"/>
          <w:sz w:val="20"/>
          <w:szCs w:val="20"/>
          <w:lang w:eastAsia="en-GB"/>
        </w:rPr>
      </w:pPr>
      <w:r w:rsidRPr="008F7BA0">
        <w:rPr>
          <w:rFonts w:ascii="Times New Roman" w:eastAsia="Times New Roman" w:hAnsi="Times New Roman" w:cs="Times New Roman"/>
          <w:sz w:val="20"/>
          <w:szCs w:val="20"/>
          <w:lang w:eastAsia="en-GB"/>
        </w:rPr>
        <w:t>Belgium</w:t>
      </w:r>
      <w:r w:rsidRPr="008F7BA0">
        <w:rPr>
          <w:rFonts w:ascii="Times New Roman" w:eastAsia="Times New Roman" w:hAnsi="Times New Roman" w:cs="Times New Roman"/>
          <w:sz w:val="20"/>
          <w:szCs w:val="20"/>
          <w:lang w:eastAsia="en-GB"/>
        </w:rPr>
        <w:tab/>
      </w:r>
      <w:r w:rsidR="008F7BA0" w:rsidRPr="008F7BA0">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2.947</w:t>
      </w:r>
      <w:r w:rsidR="008F7BA0" w:rsidRPr="008F7BA0">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2.947</w:t>
      </w:r>
      <w:r w:rsidR="008F7BA0" w:rsidRPr="008F7BA0">
        <w:rPr>
          <w:rFonts w:ascii="Times New Roman" w:eastAsia="Times New Roman" w:hAnsi="Times New Roman" w:cs="Times New Roman"/>
          <w:sz w:val="20"/>
          <w:szCs w:val="20"/>
          <w:lang w:eastAsia="en-GB"/>
        </w:rPr>
        <w:tab/>
      </w:r>
      <w:r w:rsidR="008F7BA0" w:rsidRPr="008F7BA0">
        <w:rPr>
          <w:rFonts w:ascii="Times New Roman" w:eastAsia="Times New Roman" w:hAnsi="Times New Roman" w:cs="Times New Roman"/>
          <w:sz w:val="20"/>
          <w:szCs w:val="20"/>
          <w:lang w:eastAsia="en-GB"/>
        </w:rPr>
        <w:tab/>
      </w:r>
      <w:r w:rsidR="00435E79">
        <w:rPr>
          <w:rFonts w:ascii="Times New Roman" w:eastAsia="Times New Roman" w:hAnsi="Times New Roman" w:cs="Times New Roman"/>
          <w:sz w:val="20"/>
          <w:szCs w:val="20"/>
          <w:lang w:eastAsia="en-GB"/>
        </w:rPr>
        <w:t>1.5</w:t>
      </w:r>
    </w:p>
    <w:p w14:paraId="66767967" w14:textId="55896146" w:rsidR="00D2174C" w:rsidRPr="008F7BA0" w:rsidRDefault="00D2174C" w:rsidP="00D2174C">
      <w:pPr>
        <w:spacing w:after="0" w:afterAutospacing="0"/>
        <w:rPr>
          <w:rFonts w:ascii="Times New Roman" w:eastAsia="Times New Roman" w:hAnsi="Times New Roman" w:cs="Times New Roman"/>
          <w:sz w:val="20"/>
          <w:szCs w:val="20"/>
          <w:lang w:eastAsia="en-GB"/>
        </w:rPr>
      </w:pPr>
      <w:r w:rsidRPr="008F7BA0">
        <w:rPr>
          <w:rFonts w:ascii="Times New Roman" w:eastAsia="Times New Roman" w:hAnsi="Times New Roman" w:cs="Times New Roman"/>
          <w:sz w:val="20"/>
          <w:szCs w:val="20"/>
          <w:lang w:eastAsia="en-GB"/>
        </w:rPr>
        <w:t>Czech Republic</w:t>
      </w:r>
      <w:r w:rsidRPr="008F7BA0">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2.751</w:t>
      </w:r>
      <w:r w:rsidRPr="008F7BA0">
        <w:rPr>
          <w:rFonts w:ascii="Times New Roman" w:eastAsia="Times New Roman" w:hAnsi="Times New Roman" w:cs="Times New Roman"/>
          <w:sz w:val="20"/>
          <w:szCs w:val="20"/>
          <w:lang w:eastAsia="en-GB"/>
        </w:rPr>
        <w:tab/>
        <w:t>2.66</w:t>
      </w:r>
      <w:r w:rsidRPr="008F7BA0">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3</w:t>
      </w:r>
    </w:p>
    <w:p w14:paraId="075E5F95" w14:textId="1265A069" w:rsidR="00D2174C" w:rsidRPr="008F7BA0" w:rsidRDefault="00D2174C" w:rsidP="00D2174C">
      <w:pPr>
        <w:spacing w:after="0" w:afterAutospacing="0"/>
        <w:rPr>
          <w:rFonts w:ascii="Times New Roman" w:eastAsia="Times New Roman" w:hAnsi="Times New Roman" w:cs="Times New Roman"/>
          <w:sz w:val="20"/>
          <w:szCs w:val="20"/>
          <w:lang w:eastAsia="en-GB"/>
        </w:rPr>
      </w:pPr>
      <w:r w:rsidRPr="008F7BA0">
        <w:rPr>
          <w:rFonts w:ascii="Times New Roman" w:eastAsia="Times New Roman" w:hAnsi="Times New Roman" w:cs="Times New Roman"/>
          <w:sz w:val="20"/>
          <w:szCs w:val="20"/>
          <w:lang w:eastAsia="en-GB"/>
        </w:rPr>
        <w:t>Denmark</w:t>
      </w:r>
      <w:r w:rsidRPr="008F7BA0">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2.275</w:t>
      </w:r>
      <w:r w:rsidRPr="008F7BA0">
        <w:rPr>
          <w:rFonts w:ascii="Times New Roman" w:eastAsia="Times New Roman" w:hAnsi="Times New Roman" w:cs="Times New Roman"/>
          <w:sz w:val="20"/>
          <w:szCs w:val="20"/>
          <w:lang w:eastAsia="en-GB"/>
        </w:rPr>
        <w:tab/>
        <w:t>2.32</w:t>
      </w:r>
      <w:r w:rsidRPr="008F7BA0">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4.2</w:t>
      </w:r>
    </w:p>
    <w:p w14:paraId="2F994D36" w14:textId="5FC797C9" w:rsidR="00D2174C" w:rsidRPr="008F7BA0" w:rsidRDefault="00D2174C" w:rsidP="00D2174C">
      <w:pPr>
        <w:spacing w:after="0" w:afterAutospacing="0"/>
        <w:rPr>
          <w:rFonts w:ascii="Times New Roman" w:eastAsia="Times New Roman" w:hAnsi="Times New Roman" w:cs="Times New Roman"/>
          <w:sz w:val="20"/>
          <w:szCs w:val="20"/>
          <w:lang w:eastAsia="en-GB"/>
        </w:rPr>
      </w:pPr>
      <w:r w:rsidRPr="008F7BA0">
        <w:rPr>
          <w:rFonts w:ascii="Times New Roman" w:eastAsia="Times New Roman" w:hAnsi="Times New Roman" w:cs="Times New Roman"/>
          <w:sz w:val="20"/>
          <w:szCs w:val="20"/>
          <w:lang w:eastAsia="en-GB"/>
        </w:rPr>
        <w:t>Estonia</w:t>
      </w:r>
      <w:r w:rsidRPr="008F7BA0">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2.328</w:t>
      </w:r>
      <w:r w:rsidRPr="008F7BA0">
        <w:rPr>
          <w:rFonts w:ascii="Times New Roman" w:eastAsia="Times New Roman" w:hAnsi="Times New Roman" w:cs="Times New Roman"/>
          <w:sz w:val="20"/>
          <w:szCs w:val="20"/>
          <w:lang w:eastAsia="en-GB"/>
        </w:rPr>
        <w:tab/>
        <w:t>2.066</w:t>
      </w:r>
      <w:r w:rsidRPr="008F7BA0">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8.3</w:t>
      </w:r>
    </w:p>
    <w:p w14:paraId="5417AEE9" w14:textId="0716EA57" w:rsidR="00D2174C" w:rsidRPr="008F7BA0" w:rsidRDefault="00D2174C" w:rsidP="00D2174C">
      <w:pPr>
        <w:spacing w:after="0" w:afterAutospacing="0"/>
        <w:rPr>
          <w:rFonts w:ascii="Times New Roman" w:eastAsia="Times New Roman" w:hAnsi="Times New Roman" w:cs="Times New Roman"/>
          <w:sz w:val="20"/>
          <w:szCs w:val="20"/>
          <w:lang w:eastAsia="en-GB"/>
        </w:rPr>
      </w:pPr>
      <w:r w:rsidRPr="008F7BA0">
        <w:rPr>
          <w:rFonts w:ascii="Times New Roman" w:eastAsia="Times New Roman" w:hAnsi="Times New Roman" w:cs="Times New Roman"/>
          <w:sz w:val="20"/>
          <w:szCs w:val="20"/>
          <w:lang w:eastAsia="en-GB"/>
        </w:rPr>
        <w:t>Finland</w:t>
      </w:r>
      <w:r w:rsidRPr="008F7BA0">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2.167</w:t>
      </w:r>
      <w:r w:rsidRPr="008F7BA0">
        <w:rPr>
          <w:rFonts w:ascii="Times New Roman" w:eastAsia="Times New Roman" w:hAnsi="Times New Roman" w:cs="Times New Roman"/>
          <w:sz w:val="20"/>
          <w:szCs w:val="20"/>
          <w:lang w:eastAsia="en-GB"/>
        </w:rPr>
        <w:tab/>
        <w:t>2.167</w:t>
      </w:r>
      <w:r w:rsidRPr="008F7BA0">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2.1</w:t>
      </w:r>
    </w:p>
    <w:p w14:paraId="0A9FB90F" w14:textId="76A5AD6E" w:rsidR="00F527E6" w:rsidRPr="008F7BA0" w:rsidRDefault="00F527E6" w:rsidP="008F7BA0">
      <w:pPr>
        <w:spacing w:after="0" w:afterAutospacing="0"/>
        <w:rPr>
          <w:rFonts w:ascii="Times New Roman" w:eastAsia="Times New Roman" w:hAnsi="Times New Roman" w:cs="Times New Roman"/>
          <w:sz w:val="20"/>
          <w:szCs w:val="20"/>
          <w:lang w:eastAsia="en-GB"/>
        </w:rPr>
      </w:pPr>
      <w:r w:rsidRPr="008F7BA0">
        <w:rPr>
          <w:rFonts w:ascii="Times New Roman" w:eastAsia="Times New Roman" w:hAnsi="Times New Roman" w:cs="Times New Roman"/>
          <w:sz w:val="20"/>
          <w:szCs w:val="20"/>
          <w:lang w:eastAsia="en-GB"/>
        </w:rPr>
        <w:t>France</w:t>
      </w:r>
      <w:r w:rsidRPr="008F7BA0">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2.87</w:t>
      </w:r>
      <w:r w:rsidRPr="008F7BA0">
        <w:rPr>
          <w:rFonts w:ascii="Times New Roman" w:eastAsia="Times New Roman" w:hAnsi="Times New Roman" w:cs="Times New Roman"/>
          <w:sz w:val="20"/>
          <w:szCs w:val="20"/>
          <w:lang w:eastAsia="en-GB"/>
        </w:rPr>
        <w:tab/>
        <w:t>2.823</w:t>
      </w:r>
      <w:r w:rsidR="008F7BA0" w:rsidRPr="008F7BA0">
        <w:rPr>
          <w:rFonts w:ascii="Times New Roman" w:eastAsia="Times New Roman" w:hAnsi="Times New Roman" w:cs="Times New Roman"/>
          <w:sz w:val="20"/>
          <w:szCs w:val="20"/>
          <w:lang w:eastAsia="en-GB"/>
        </w:rPr>
        <w:tab/>
      </w:r>
      <w:r w:rsidR="008F7BA0" w:rsidRPr="008F7BA0">
        <w:rPr>
          <w:rFonts w:ascii="Times New Roman" w:eastAsia="Times New Roman" w:hAnsi="Times New Roman" w:cs="Times New Roman"/>
          <w:sz w:val="20"/>
          <w:szCs w:val="20"/>
          <w:lang w:eastAsia="en-GB"/>
        </w:rPr>
        <w:tab/>
      </w:r>
      <w:r w:rsidR="00435E79">
        <w:rPr>
          <w:rFonts w:ascii="Times New Roman" w:eastAsia="Times New Roman" w:hAnsi="Times New Roman" w:cs="Times New Roman"/>
          <w:sz w:val="20"/>
          <w:szCs w:val="20"/>
          <w:lang w:eastAsia="en-GB"/>
        </w:rPr>
        <w:t>2.5</w:t>
      </w:r>
    </w:p>
    <w:p w14:paraId="2C8B2707" w14:textId="5E3BDDD1" w:rsidR="00F527E6" w:rsidRPr="008F7BA0" w:rsidRDefault="00F527E6" w:rsidP="008F7BA0">
      <w:pPr>
        <w:spacing w:after="0" w:afterAutospacing="0"/>
        <w:rPr>
          <w:rFonts w:ascii="Times New Roman" w:eastAsia="Times New Roman" w:hAnsi="Times New Roman" w:cs="Times New Roman"/>
          <w:sz w:val="20"/>
          <w:szCs w:val="20"/>
          <w:lang w:eastAsia="en-GB"/>
        </w:rPr>
      </w:pPr>
      <w:r w:rsidRPr="008F7BA0">
        <w:rPr>
          <w:rFonts w:ascii="Times New Roman" w:eastAsia="Times New Roman" w:hAnsi="Times New Roman" w:cs="Times New Roman"/>
          <w:sz w:val="20"/>
          <w:szCs w:val="20"/>
          <w:lang w:eastAsia="en-GB"/>
        </w:rPr>
        <w:t>Germany</w:t>
      </w:r>
      <w:r w:rsidRPr="008F7BA0">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2.978</w:t>
      </w:r>
      <w:r w:rsidRPr="008F7BA0">
        <w:rPr>
          <w:rFonts w:ascii="Times New Roman" w:eastAsia="Times New Roman" w:hAnsi="Times New Roman" w:cs="Times New Roman"/>
          <w:sz w:val="20"/>
          <w:szCs w:val="20"/>
          <w:lang w:eastAsia="en-GB"/>
        </w:rPr>
        <w:tab/>
        <w:t>2.978</w:t>
      </w:r>
      <w:r w:rsidR="008F7BA0" w:rsidRPr="008F7BA0">
        <w:rPr>
          <w:rFonts w:ascii="Times New Roman" w:eastAsia="Times New Roman" w:hAnsi="Times New Roman" w:cs="Times New Roman"/>
          <w:sz w:val="20"/>
          <w:szCs w:val="20"/>
          <w:lang w:eastAsia="en-GB"/>
        </w:rPr>
        <w:tab/>
      </w:r>
      <w:r w:rsidR="008F7BA0" w:rsidRPr="008F7BA0">
        <w:rPr>
          <w:rFonts w:ascii="Times New Roman" w:eastAsia="Times New Roman" w:hAnsi="Times New Roman" w:cs="Times New Roman"/>
          <w:sz w:val="20"/>
          <w:szCs w:val="20"/>
          <w:lang w:eastAsia="en-GB"/>
        </w:rPr>
        <w:tab/>
      </w:r>
      <w:r w:rsidR="00435E79">
        <w:rPr>
          <w:rFonts w:ascii="Times New Roman" w:eastAsia="Times New Roman" w:hAnsi="Times New Roman" w:cs="Times New Roman"/>
          <w:sz w:val="20"/>
          <w:szCs w:val="20"/>
          <w:lang w:eastAsia="en-GB"/>
        </w:rPr>
        <w:t>0.3</w:t>
      </w:r>
    </w:p>
    <w:p w14:paraId="71650252" w14:textId="1E2E0D6F" w:rsidR="00F527E6" w:rsidRPr="008F7BA0" w:rsidRDefault="00F527E6" w:rsidP="008F7BA0">
      <w:pPr>
        <w:spacing w:after="0" w:afterAutospacing="0"/>
        <w:rPr>
          <w:rFonts w:ascii="Times New Roman" w:eastAsia="Times New Roman" w:hAnsi="Times New Roman" w:cs="Times New Roman"/>
          <w:sz w:val="20"/>
          <w:szCs w:val="20"/>
          <w:lang w:eastAsia="en-GB"/>
        </w:rPr>
      </w:pPr>
      <w:r w:rsidRPr="008F7BA0">
        <w:rPr>
          <w:rFonts w:ascii="Times New Roman" w:eastAsia="Times New Roman" w:hAnsi="Times New Roman" w:cs="Times New Roman"/>
          <w:sz w:val="20"/>
          <w:szCs w:val="20"/>
          <w:lang w:eastAsia="en-GB"/>
        </w:rPr>
        <w:t>Netherlands</w:t>
      </w:r>
      <w:r w:rsidRPr="008F7BA0">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2.93</w:t>
      </w:r>
      <w:r w:rsidRPr="008F7BA0">
        <w:rPr>
          <w:rFonts w:ascii="Times New Roman" w:eastAsia="Times New Roman" w:hAnsi="Times New Roman" w:cs="Times New Roman"/>
          <w:sz w:val="20"/>
          <w:szCs w:val="20"/>
          <w:lang w:eastAsia="en-GB"/>
        </w:rPr>
        <w:tab/>
        <w:t>2.938</w:t>
      </w:r>
      <w:r w:rsidR="008F7BA0" w:rsidRPr="008F7BA0">
        <w:rPr>
          <w:rFonts w:ascii="Times New Roman" w:eastAsia="Times New Roman" w:hAnsi="Times New Roman" w:cs="Times New Roman"/>
          <w:sz w:val="20"/>
          <w:szCs w:val="20"/>
          <w:lang w:eastAsia="en-GB"/>
        </w:rPr>
        <w:tab/>
      </w:r>
      <w:r w:rsidR="008F7BA0" w:rsidRPr="008F7BA0">
        <w:rPr>
          <w:rFonts w:ascii="Times New Roman" w:eastAsia="Times New Roman" w:hAnsi="Times New Roman" w:cs="Times New Roman"/>
          <w:sz w:val="20"/>
          <w:szCs w:val="20"/>
          <w:lang w:eastAsia="en-GB"/>
        </w:rPr>
        <w:tab/>
      </w:r>
      <w:r w:rsidR="00435E79">
        <w:rPr>
          <w:rFonts w:ascii="Times New Roman" w:eastAsia="Times New Roman" w:hAnsi="Times New Roman" w:cs="Times New Roman"/>
          <w:sz w:val="20"/>
          <w:szCs w:val="20"/>
          <w:lang w:eastAsia="en-GB"/>
        </w:rPr>
        <w:t>4</w:t>
      </w:r>
    </w:p>
    <w:p w14:paraId="4B16E844" w14:textId="357D3146" w:rsidR="00F527E6" w:rsidRPr="008F7BA0" w:rsidRDefault="00F527E6" w:rsidP="008F7BA0">
      <w:pPr>
        <w:spacing w:after="0" w:afterAutospacing="0"/>
        <w:rPr>
          <w:rFonts w:ascii="Times New Roman" w:eastAsia="Times New Roman" w:hAnsi="Times New Roman" w:cs="Times New Roman"/>
          <w:sz w:val="20"/>
          <w:szCs w:val="20"/>
          <w:lang w:eastAsia="en-GB"/>
        </w:rPr>
      </w:pPr>
      <w:r w:rsidRPr="008F7BA0">
        <w:rPr>
          <w:rFonts w:ascii="Times New Roman" w:eastAsia="Times New Roman" w:hAnsi="Times New Roman" w:cs="Times New Roman"/>
          <w:sz w:val="20"/>
          <w:szCs w:val="20"/>
          <w:lang w:eastAsia="en-GB"/>
        </w:rPr>
        <w:t>Luxembourg</w:t>
      </w:r>
      <w:r w:rsidRPr="008F7BA0">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2.725</w:t>
      </w:r>
      <w:r w:rsidRPr="008F7BA0">
        <w:rPr>
          <w:rFonts w:ascii="Times New Roman" w:eastAsia="Times New Roman" w:hAnsi="Times New Roman" w:cs="Times New Roman"/>
          <w:sz w:val="20"/>
          <w:szCs w:val="20"/>
          <w:lang w:eastAsia="en-GB"/>
        </w:rPr>
        <w:tab/>
        <w:t>2.735</w:t>
      </w:r>
      <w:r w:rsidR="008F7BA0" w:rsidRPr="008F7BA0">
        <w:rPr>
          <w:rFonts w:ascii="Times New Roman" w:eastAsia="Times New Roman" w:hAnsi="Times New Roman" w:cs="Times New Roman"/>
          <w:sz w:val="20"/>
          <w:szCs w:val="20"/>
          <w:lang w:eastAsia="en-GB"/>
        </w:rPr>
        <w:tab/>
      </w:r>
      <w:r w:rsidR="008F7BA0" w:rsidRPr="008F7BA0">
        <w:rPr>
          <w:rFonts w:ascii="Times New Roman" w:eastAsia="Times New Roman" w:hAnsi="Times New Roman" w:cs="Times New Roman"/>
          <w:sz w:val="20"/>
          <w:szCs w:val="20"/>
          <w:lang w:eastAsia="en-GB"/>
        </w:rPr>
        <w:tab/>
      </w:r>
      <w:r w:rsidR="00435E79">
        <w:rPr>
          <w:rFonts w:ascii="Times New Roman" w:eastAsia="Times New Roman" w:hAnsi="Times New Roman" w:cs="Times New Roman"/>
          <w:sz w:val="20"/>
          <w:szCs w:val="20"/>
          <w:lang w:eastAsia="en-GB"/>
        </w:rPr>
        <w:t>0.8</w:t>
      </w:r>
    </w:p>
    <w:p w14:paraId="60115323" w14:textId="01ED3D4A" w:rsidR="00F527E6" w:rsidRPr="008F7BA0" w:rsidRDefault="00F527E6" w:rsidP="008F7BA0">
      <w:pPr>
        <w:spacing w:after="0" w:afterAutospacing="0"/>
        <w:rPr>
          <w:rFonts w:ascii="Times New Roman" w:eastAsia="Times New Roman" w:hAnsi="Times New Roman" w:cs="Times New Roman"/>
          <w:sz w:val="20"/>
          <w:szCs w:val="20"/>
          <w:lang w:eastAsia="en-GB"/>
        </w:rPr>
      </w:pPr>
      <w:r w:rsidRPr="008F7BA0">
        <w:rPr>
          <w:rFonts w:ascii="Times New Roman" w:eastAsia="Times New Roman" w:hAnsi="Times New Roman" w:cs="Times New Roman"/>
          <w:sz w:val="20"/>
          <w:szCs w:val="20"/>
          <w:lang w:eastAsia="en-GB"/>
        </w:rPr>
        <w:t>Poland</w:t>
      </w:r>
      <w:r w:rsidRPr="008F7BA0">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2.391</w:t>
      </w:r>
      <w:r w:rsidRPr="008F7BA0">
        <w:rPr>
          <w:rFonts w:ascii="Times New Roman" w:eastAsia="Times New Roman" w:hAnsi="Times New Roman" w:cs="Times New Roman"/>
          <w:sz w:val="20"/>
          <w:szCs w:val="20"/>
          <w:lang w:eastAsia="en-GB"/>
        </w:rPr>
        <w:tab/>
        <w:t>2.391</w:t>
      </w:r>
      <w:r w:rsidR="008F7BA0" w:rsidRPr="008F7BA0">
        <w:rPr>
          <w:rFonts w:ascii="Times New Roman" w:eastAsia="Times New Roman" w:hAnsi="Times New Roman" w:cs="Times New Roman"/>
          <w:sz w:val="20"/>
          <w:szCs w:val="20"/>
          <w:lang w:eastAsia="en-GB"/>
        </w:rPr>
        <w:tab/>
      </w:r>
      <w:r w:rsidR="008F7BA0" w:rsidRPr="008F7BA0">
        <w:rPr>
          <w:rFonts w:ascii="Times New Roman" w:eastAsia="Times New Roman" w:hAnsi="Times New Roman" w:cs="Times New Roman"/>
          <w:sz w:val="20"/>
          <w:szCs w:val="20"/>
          <w:lang w:eastAsia="en-GB"/>
        </w:rPr>
        <w:tab/>
      </w:r>
      <w:r w:rsidR="00435E79">
        <w:rPr>
          <w:rFonts w:ascii="Times New Roman" w:eastAsia="Times New Roman" w:hAnsi="Times New Roman" w:cs="Times New Roman"/>
          <w:sz w:val="20"/>
          <w:szCs w:val="20"/>
          <w:lang w:eastAsia="en-GB"/>
        </w:rPr>
        <w:t>3.3</w:t>
      </w:r>
    </w:p>
    <w:p w14:paraId="13AF55E3" w14:textId="010B4D00" w:rsidR="00F527E6" w:rsidRPr="008F7BA0" w:rsidRDefault="00F527E6" w:rsidP="008F7BA0">
      <w:pPr>
        <w:spacing w:after="0" w:afterAutospacing="0"/>
        <w:rPr>
          <w:rFonts w:ascii="Times New Roman" w:eastAsia="Times New Roman" w:hAnsi="Times New Roman" w:cs="Times New Roman"/>
          <w:sz w:val="20"/>
          <w:szCs w:val="20"/>
          <w:lang w:eastAsia="en-GB"/>
        </w:rPr>
      </w:pPr>
      <w:r w:rsidRPr="008F7BA0">
        <w:rPr>
          <w:rFonts w:ascii="Times New Roman" w:eastAsia="Times New Roman" w:hAnsi="Times New Roman" w:cs="Times New Roman"/>
          <w:sz w:val="20"/>
          <w:szCs w:val="20"/>
          <w:lang w:eastAsia="en-GB"/>
        </w:rPr>
        <w:t>Slovak</w:t>
      </w:r>
      <w:r w:rsidR="005A1D0D">
        <w:rPr>
          <w:rFonts w:ascii="Times New Roman" w:eastAsia="Times New Roman" w:hAnsi="Times New Roman" w:cs="Times New Roman"/>
          <w:sz w:val="20"/>
          <w:szCs w:val="20"/>
          <w:lang w:eastAsia="en-GB"/>
        </w:rPr>
        <w:t xml:space="preserve"> Republic</w:t>
      </w:r>
      <w:r w:rsidRPr="008F7BA0">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2.635</w:t>
      </w:r>
      <w:r w:rsidRPr="008F7BA0">
        <w:rPr>
          <w:rFonts w:ascii="Times New Roman" w:eastAsia="Times New Roman" w:hAnsi="Times New Roman" w:cs="Times New Roman"/>
          <w:sz w:val="20"/>
          <w:szCs w:val="20"/>
          <w:lang w:eastAsia="en-GB"/>
        </w:rPr>
        <w:tab/>
        <w:t>2.256</w:t>
      </w:r>
      <w:r w:rsidR="008F7BA0" w:rsidRPr="008F7BA0">
        <w:rPr>
          <w:rFonts w:ascii="Times New Roman" w:eastAsia="Times New Roman" w:hAnsi="Times New Roman" w:cs="Times New Roman"/>
          <w:sz w:val="20"/>
          <w:szCs w:val="20"/>
          <w:lang w:eastAsia="en-GB"/>
        </w:rPr>
        <w:tab/>
      </w:r>
      <w:r w:rsidR="008F7BA0" w:rsidRPr="008F7BA0">
        <w:rPr>
          <w:rFonts w:ascii="Times New Roman" w:eastAsia="Times New Roman" w:hAnsi="Times New Roman" w:cs="Times New Roman"/>
          <w:sz w:val="20"/>
          <w:szCs w:val="20"/>
          <w:lang w:eastAsia="en-GB"/>
        </w:rPr>
        <w:tab/>
      </w:r>
      <w:r w:rsidR="00435E79">
        <w:rPr>
          <w:rFonts w:ascii="Times New Roman" w:eastAsia="Times New Roman" w:hAnsi="Times New Roman" w:cs="Times New Roman"/>
          <w:sz w:val="20"/>
          <w:szCs w:val="20"/>
          <w:lang w:eastAsia="en-GB"/>
        </w:rPr>
        <w:t>4.9</w:t>
      </w:r>
    </w:p>
    <w:p w14:paraId="487E95B8" w14:textId="6C385C90" w:rsidR="00F527E6" w:rsidRPr="008F7BA0" w:rsidRDefault="00F527E6" w:rsidP="008F7BA0">
      <w:pPr>
        <w:spacing w:after="0" w:afterAutospacing="0"/>
        <w:rPr>
          <w:rFonts w:ascii="Times New Roman" w:eastAsia="Times New Roman" w:hAnsi="Times New Roman" w:cs="Times New Roman"/>
          <w:sz w:val="20"/>
          <w:szCs w:val="20"/>
          <w:lang w:eastAsia="en-GB"/>
        </w:rPr>
      </w:pPr>
      <w:r w:rsidRPr="008F7BA0">
        <w:rPr>
          <w:rFonts w:ascii="Times New Roman" w:eastAsia="Times New Roman" w:hAnsi="Times New Roman" w:cs="Times New Roman"/>
          <w:sz w:val="20"/>
          <w:szCs w:val="20"/>
          <w:lang w:eastAsia="en-GB"/>
        </w:rPr>
        <w:t>Slovenia</w:t>
      </w:r>
      <w:r w:rsidRPr="008F7BA0">
        <w:rPr>
          <w:rFonts w:ascii="Times New Roman" w:eastAsia="Times New Roman" w:hAnsi="Times New Roman" w:cs="Times New Roman"/>
          <w:sz w:val="20"/>
          <w:szCs w:val="20"/>
          <w:lang w:eastAsia="en-GB"/>
        </w:rPr>
        <w:tab/>
      </w:r>
      <w:r w:rsidR="008F7BA0" w:rsidRPr="008F7BA0">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2.703</w:t>
      </w:r>
      <w:r w:rsidRPr="008F7BA0">
        <w:rPr>
          <w:rFonts w:ascii="Times New Roman" w:eastAsia="Times New Roman" w:hAnsi="Times New Roman" w:cs="Times New Roman"/>
          <w:sz w:val="20"/>
          <w:szCs w:val="20"/>
          <w:lang w:eastAsia="en-GB"/>
        </w:rPr>
        <w:tab/>
        <w:t>2.387</w:t>
      </w:r>
      <w:r w:rsidR="008F7BA0" w:rsidRPr="008F7BA0">
        <w:rPr>
          <w:rFonts w:ascii="Times New Roman" w:eastAsia="Times New Roman" w:hAnsi="Times New Roman" w:cs="Times New Roman"/>
          <w:sz w:val="20"/>
          <w:szCs w:val="20"/>
          <w:lang w:eastAsia="en-GB"/>
        </w:rPr>
        <w:tab/>
      </w:r>
      <w:r w:rsidR="008F7BA0" w:rsidRPr="008F7BA0">
        <w:rPr>
          <w:rFonts w:ascii="Times New Roman" w:eastAsia="Times New Roman" w:hAnsi="Times New Roman" w:cs="Times New Roman"/>
          <w:sz w:val="20"/>
          <w:szCs w:val="20"/>
          <w:lang w:eastAsia="en-GB"/>
        </w:rPr>
        <w:tab/>
      </w:r>
      <w:r w:rsidR="00435E79">
        <w:rPr>
          <w:rFonts w:ascii="Times New Roman" w:eastAsia="Times New Roman" w:hAnsi="Times New Roman" w:cs="Times New Roman"/>
          <w:sz w:val="20"/>
          <w:szCs w:val="20"/>
          <w:lang w:eastAsia="en-GB"/>
        </w:rPr>
        <w:t>5.8</w:t>
      </w:r>
    </w:p>
    <w:p w14:paraId="6198B646" w14:textId="11EFE14F" w:rsidR="00F527E6" w:rsidRPr="008F7BA0" w:rsidRDefault="00F527E6">
      <w:pPr>
        <w:spacing w:after="0" w:afterAutospacing="0"/>
        <w:rPr>
          <w:rFonts w:ascii="Times New Roman" w:eastAsia="Times New Roman" w:hAnsi="Times New Roman" w:cs="Times New Roman"/>
          <w:sz w:val="20"/>
          <w:szCs w:val="20"/>
          <w:lang w:eastAsia="en-GB"/>
        </w:rPr>
      </w:pPr>
      <w:r w:rsidRPr="008F7BA0">
        <w:rPr>
          <w:rFonts w:ascii="Times New Roman" w:eastAsia="Times New Roman" w:hAnsi="Times New Roman" w:cs="Times New Roman"/>
          <w:sz w:val="20"/>
          <w:szCs w:val="20"/>
          <w:lang w:eastAsia="en-GB"/>
        </w:rPr>
        <w:t>Sweden</w:t>
      </w:r>
      <w:r w:rsidRPr="008F7BA0">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2.517</w:t>
      </w:r>
      <w:r w:rsidRPr="008F7BA0">
        <w:rPr>
          <w:rFonts w:ascii="Times New Roman" w:eastAsia="Times New Roman" w:hAnsi="Times New Roman" w:cs="Times New Roman"/>
          <w:sz w:val="20"/>
          <w:szCs w:val="20"/>
          <w:lang w:eastAsia="en-GB"/>
        </w:rPr>
        <w:tab/>
        <w:t>2.517</w:t>
      </w:r>
      <w:r w:rsidR="008F7BA0" w:rsidRPr="008F7BA0">
        <w:rPr>
          <w:rFonts w:ascii="Times New Roman" w:eastAsia="Times New Roman" w:hAnsi="Times New Roman" w:cs="Times New Roman"/>
          <w:sz w:val="20"/>
          <w:szCs w:val="20"/>
          <w:lang w:eastAsia="en-GB"/>
        </w:rPr>
        <w:tab/>
      </w:r>
      <w:r w:rsidR="008F7BA0" w:rsidRPr="008F7BA0">
        <w:rPr>
          <w:rFonts w:ascii="Times New Roman" w:eastAsia="Times New Roman" w:hAnsi="Times New Roman" w:cs="Times New Roman"/>
          <w:sz w:val="20"/>
          <w:szCs w:val="20"/>
          <w:lang w:eastAsia="en-GB"/>
        </w:rPr>
        <w:tab/>
      </w:r>
      <w:r w:rsidR="00435E79">
        <w:rPr>
          <w:rFonts w:ascii="Times New Roman" w:eastAsia="Times New Roman" w:hAnsi="Times New Roman" w:cs="Times New Roman"/>
          <w:sz w:val="20"/>
          <w:szCs w:val="20"/>
          <w:lang w:eastAsia="en-GB"/>
        </w:rPr>
        <w:t>2.2</w:t>
      </w:r>
      <w:r w:rsidRPr="008F7BA0">
        <w:rPr>
          <w:rFonts w:ascii="Times New Roman" w:eastAsia="Times New Roman" w:hAnsi="Times New Roman" w:cs="Times New Roman"/>
          <w:sz w:val="20"/>
          <w:szCs w:val="20"/>
          <w:lang w:eastAsia="en-GB"/>
        </w:rPr>
        <w:br/>
        <w:t>UK</w:t>
      </w:r>
      <w:r w:rsidRPr="008F7BA0">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001153CA">
        <w:rPr>
          <w:rFonts w:ascii="Times New Roman" w:eastAsia="Times New Roman" w:hAnsi="Times New Roman" w:cs="Times New Roman"/>
          <w:sz w:val="20"/>
          <w:szCs w:val="20"/>
          <w:lang w:eastAsia="en-GB"/>
        </w:rPr>
        <w:tab/>
      </w:r>
      <w:r w:rsidRPr="008F7BA0">
        <w:rPr>
          <w:rFonts w:ascii="Times New Roman" w:eastAsia="Times New Roman" w:hAnsi="Times New Roman" w:cs="Times New Roman"/>
          <w:sz w:val="20"/>
          <w:szCs w:val="20"/>
          <w:lang w:eastAsia="en-GB"/>
        </w:rPr>
        <w:t>1.713</w:t>
      </w:r>
      <w:r w:rsidRPr="008F7BA0">
        <w:rPr>
          <w:rFonts w:ascii="Times New Roman" w:eastAsia="Times New Roman" w:hAnsi="Times New Roman" w:cs="Times New Roman"/>
          <w:sz w:val="20"/>
          <w:szCs w:val="20"/>
          <w:lang w:eastAsia="en-GB"/>
        </w:rPr>
        <w:tab/>
        <w:t>1.546</w:t>
      </w:r>
      <w:r w:rsidR="008F7BA0" w:rsidRPr="008F7BA0">
        <w:rPr>
          <w:rFonts w:ascii="Times New Roman" w:eastAsia="Times New Roman" w:hAnsi="Times New Roman" w:cs="Times New Roman"/>
          <w:sz w:val="20"/>
          <w:szCs w:val="20"/>
          <w:lang w:eastAsia="en-GB"/>
        </w:rPr>
        <w:tab/>
      </w:r>
      <w:r w:rsidR="008F7BA0" w:rsidRPr="008F7BA0">
        <w:rPr>
          <w:rFonts w:ascii="Times New Roman" w:eastAsia="Times New Roman" w:hAnsi="Times New Roman" w:cs="Times New Roman"/>
          <w:sz w:val="20"/>
          <w:szCs w:val="20"/>
          <w:lang w:eastAsia="en-GB"/>
        </w:rPr>
        <w:tab/>
      </w:r>
      <w:r w:rsidR="00435E79">
        <w:rPr>
          <w:rFonts w:ascii="Times New Roman" w:eastAsia="Times New Roman" w:hAnsi="Times New Roman" w:cs="Times New Roman"/>
          <w:sz w:val="20"/>
          <w:szCs w:val="20"/>
          <w:lang w:eastAsia="en-GB"/>
        </w:rPr>
        <w:t>2.5</w:t>
      </w:r>
    </w:p>
    <w:p w14:paraId="3A957CD6" w14:textId="3AA35317" w:rsidR="00F527E6" w:rsidRPr="00807BAB" w:rsidRDefault="00F527E6" w:rsidP="00F527E6">
      <w:pPr>
        <w:rPr>
          <w:rFonts w:ascii="Times New Roman" w:eastAsia="Times New Roman" w:hAnsi="Times New Roman" w:cs="Times New Roman"/>
          <w:lang w:eastAsia="en-GB"/>
        </w:rPr>
      </w:pPr>
      <w:r w:rsidRPr="00807BAB">
        <w:rPr>
          <w:rFonts w:ascii="Times New Roman" w:eastAsia="Times New Roman" w:hAnsi="Times New Roman" w:cs="Times New Roman"/>
          <w:lang w:eastAsia="en-GB"/>
        </w:rPr>
        <w:t>____________________________</w:t>
      </w:r>
      <w:r w:rsidR="008F7BA0">
        <w:rPr>
          <w:rFonts w:ascii="Times New Roman" w:eastAsia="Times New Roman" w:hAnsi="Times New Roman" w:cs="Times New Roman"/>
          <w:lang w:eastAsia="en-GB"/>
        </w:rPr>
        <w:t>__________________________</w:t>
      </w:r>
      <w:r w:rsidR="003E1FDD">
        <w:rPr>
          <w:rFonts w:ascii="Times New Roman" w:eastAsia="Times New Roman" w:hAnsi="Times New Roman" w:cs="Times New Roman"/>
          <w:lang w:eastAsia="en-GB"/>
        </w:rPr>
        <w:t>____________</w:t>
      </w:r>
      <w:r w:rsidR="00DC2499">
        <w:rPr>
          <w:rFonts w:ascii="Times New Roman" w:eastAsia="Times New Roman" w:hAnsi="Times New Roman" w:cs="Times New Roman"/>
          <w:lang w:eastAsia="en-GB"/>
        </w:rPr>
        <w:t>___</w:t>
      </w:r>
      <w:r w:rsidR="003E1FDD">
        <w:rPr>
          <w:rFonts w:ascii="Times New Roman" w:eastAsia="Times New Roman" w:hAnsi="Times New Roman" w:cs="Times New Roman"/>
          <w:lang w:eastAsia="en-GB"/>
        </w:rPr>
        <w:t>____________</w:t>
      </w:r>
      <w:r w:rsidR="008F7BA0">
        <w:rPr>
          <w:rFonts w:ascii="Times New Roman" w:eastAsia="Times New Roman" w:hAnsi="Times New Roman" w:cs="Times New Roman"/>
          <w:lang w:eastAsia="en-GB"/>
        </w:rPr>
        <w:t>____</w:t>
      </w:r>
    </w:p>
    <w:p w14:paraId="13E2FCAE" w14:textId="64E26CD2" w:rsidR="00F527E6" w:rsidRPr="008F7BA0" w:rsidRDefault="00F527E6" w:rsidP="00F527E6">
      <w:pPr>
        <w:rPr>
          <w:rFonts w:ascii="Times New Roman" w:eastAsia="Times New Roman" w:hAnsi="Times New Roman" w:cs="Times New Roman"/>
          <w:lang w:eastAsia="en-GB"/>
        </w:rPr>
      </w:pPr>
      <w:r w:rsidRPr="00807BAB">
        <w:rPr>
          <w:rFonts w:ascii="Times New Roman" w:eastAsia="Times New Roman" w:hAnsi="Times New Roman" w:cs="Times New Roman"/>
          <w:lang w:eastAsia="en-GB"/>
        </w:rPr>
        <w:lastRenderedPageBreak/>
        <w:t xml:space="preserve">EPRC_V3 is the weighted sum of sub-indicators concerning the regulations for individual dismissals </w:t>
      </w:r>
      <w:r w:rsidRPr="008F7BA0">
        <w:rPr>
          <w:rFonts w:ascii="Times New Roman" w:eastAsia="Times New Roman" w:hAnsi="Times New Roman" w:cs="Times New Roman"/>
          <w:lang w:eastAsia="en-GB"/>
        </w:rPr>
        <w:t>and additional provisions for collective dismissals. It incorporates 13 data items.</w:t>
      </w:r>
      <w:r w:rsidR="008F7BA0" w:rsidRPr="008F7BA0">
        <w:rPr>
          <w:rFonts w:ascii="Times New Roman" w:eastAsia="Times New Roman" w:hAnsi="Times New Roman" w:cs="Times New Roman"/>
          <w:lang w:eastAsia="en-GB"/>
        </w:rPr>
        <w:t xml:space="preserve"> EPT_V3 </w:t>
      </w:r>
      <w:r w:rsidR="008F7BA0" w:rsidRPr="008F7BA0">
        <w:rPr>
          <w:rFonts w:ascii="Times New Roman" w:hAnsi="Times New Roman" w:cs="Times New Roman"/>
        </w:rPr>
        <w:t>measures the strictness of regulation on the use of fixed-term term and temporary work agency contracts and contains 8 items.</w:t>
      </w:r>
      <w:r w:rsidR="00DC2499">
        <w:rPr>
          <w:rFonts w:ascii="Times New Roman" w:hAnsi="Times New Roman" w:cs="Times New Roman"/>
        </w:rPr>
        <w:t xml:space="preserve"> </w:t>
      </w:r>
    </w:p>
    <w:p w14:paraId="09610164" w14:textId="68C27A79" w:rsidR="00435E79" w:rsidRDefault="00DC2499" w:rsidP="00F527E6">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w:t>
      </w:r>
      <w:r w:rsidR="00435E79">
        <w:rPr>
          <w:rFonts w:ascii="Times New Roman" w:eastAsia="Times New Roman" w:hAnsi="Times New Roman" w:cs="Times New Roman"/>
          <w:lang w:eastAsia="en-GB"/>
        </w:rPr>
        <w:t>Unemployment rate among those aged 15-64 years [lfsa_urgn]</w:t>
      </w:r>
      <w:r>
        <w:rPr>
          <w:rFonts w:ascii="Times New Roman" w:eastAsia="Times New Roman" w:hAnsi="Times New Roman" w:cs="Times New Roman"/>
          <w:lang w:eastAsia="en-GB"/>
        </w:rPr>
        <w:t xml:space="preserve">.  Increase is measured from 2008 to peak.   </w:t>
      </w:r>
    </w:p>
    <w:p w14:paraId="37A19680" w14:textId="59509CC8" w:rsidR="004149FA" w:rsidRDefault="004149FA" w:rsidP="00F527E6">
      <w:pPr>
        <w:rPr>
          <w:rFonts w:ascii="Times New Roman" w:eastAsia="Times New Roman" w:hAnsi="Times New Roman" w:cs="Times New Roman"/>
          <w:lang w:eastAsia="en-GB"/>
        </w:rPr>
        <w:sectPr w:rsidR="004149FA" w:rsidSect="00D67EC8">
          <w:pgSz w:w="16838" w:h="11906" w:orient="landscape"/>
          <w:pgMar w:top="1440" w:right="1440" w:bottom="1440" w:left="1440" w:header="709" w:footer="709" w:gutter="0"/>
          <w:cols w:space="708"/>
          <w:docGrid w:linePitch="360"/>
        </w:sectPr>
      </w:pPr>
      <w:r>
        <w:rPr>
          <w:rFonts w:ascii="Times New Roman" w:eastAsia="Times New Roman" w:hAnsi="Times New Roman" w:cs="Times New Roman"/>
          <w:lang w:eastAsia="en-GB"/>
        </w:rPr>
        <w:t>Non-OECD countries, for which there are no OECD EPL scores, are not included in the Table.</w:t>
      </w:r>
    </w:p>
    <w:p w14:paraId="06045803" w14:textId="03A1B5CB" w:rsidR="00F527E6" w:rsidRPr="00807BAB" w:rsidRDefault="00F527E6" w:rsidP="00F527E6">
      <w:pPr>
        <w:rPr>
          <w:rFonts w:ascii="Times New Roman" w:eastAsia="Times New Roman" w:hAnsi="Times New Roman" w:cs="Times New Roman"/>
          <w:lang w:eastAsia="en-GB"/>
        </w:rPr>
      </w:pPr>
    </w:p>
    <w:p w14:paraId="381EC362" w14:textId="77777777" w:rsidR="00A74119" w:rsidRPr="00807BAB" w:rsidRDefault="00A74119" w:rsidP="00CA35A1">
      <w:pPr>
        <w:spacing w:line="276" w:lineRule="auto"/>
        <w:rPr>
          <w:rFonts w:ascii="Times New Roman" w:hAnsi="Times New Roman" w:cs="Times New Roman"/>
        </w:rPr>
      </w:pPr>
    </w:p>
    <w:sectPr w:rsidR="00A74119" w:rsidRPr="00807BAB" w:rsidSect="008F7B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D25A5" w14:textId="77777777" w:rsidR="00525E54" w:rsidRDefault="00525E54" w:rsidP="002F2F00">
      <w:pPr>
        <w:spacing w:after="0"/>
      </w:pPr>
      <w:r>
        <w:separator/>
      </w:r>
    </w:p>
  </w:endnote>
  <w:endnote w:type="continuationSeparator" w:id="0">
    <w:p w14:paraId="1A720448" w14:textId="77777777" w:rsidR="00525E54" w:rsidRDefault="00525E54" w:rsidP="002F2F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546301"/>
      <w:docPartObj>
        <w:docPartGallery w:val="Page Numbers (Bottom of Page)"/>
        <w:docPartUnique/>
      </w:docPartObj>
    </w:sdtPr>
    <w:sdtEndPr>
      <w:rPr>
        <w:noProof/>
      </w:rPr>
    </w:sdtEndPr>
    <w:sdtContent>
      <w:p w14:paraId="43DB91CC" w14:textId="7BBE1A48" w:rsidR="009C4EB3" w:rsidRDefault="009C4EB3">
        <w:pPr>
          <w:pStyle w:val="Footer"/>
          <w:jc w:val="center"/>
        </w:pPr>
        <w:r>
          <w:fldChar w:fldCharType="begin"/>
        </w:r>
        <w:r>
          <w:instrText xml:space="preserve"> PAGE   \* MERGEFORMAT </w:instrText>
        </w:r>
        <w:r>
          <w:fldChar w:fldCharType="separate"/>
        </w:r>
        <w:r w:rsidR="00B712C2">
          <w:rPr>
            <w:noProof/>
          </w:rPr>
          <w:t>18</w:t>
        </w:r>
        <w:r>
          <w:rPr>
            <w:noProof/>
          </w:rPr>
          <w:fldChar w:fldCharType="end"/>
        </w:r>
      </w:p>
    </w:sdtContent>
  </w:sdt>
  <w:p w14:paraId="4DFCF660" w14:textId="77777777" w:rsidR="009C4EB3" w:rsidRDefault="009C4E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01CDE" w14:textId="77777777" w:rsidR="00525E54" w:rsidRDefault="00525E54" w:rsidP="002F2F00">
      <w:pPr>
        <w:spacing w:after="0"/>
      </w:pPr>
      <w:r>
        <w:separator/>
      </w:r>
    </w:p>
  </w:footnote>
  <w:footnote w:type="continuationSeparator" w:id="0">
    <w:p w14:paraId="21AB0C75" w14:textId="77777777" w:rsidR="00525E54" w:rsidRDefault="00525E54" w:rsidP="002F2F00">
      <w:pPr>
        <w:spacing w:after="0"/>
      </w:pPr>
      <w:r>
        <w:continuationSeparator/>
      </w:r>
    </w:p>
  </w:footnote>
  <w:footnote w:id="1">
    <w:p w14:paraId="031E240E" w14:textId="22AAF931" w:rsidR="009C4EB3" w:rsidRPr="00240A94" w:rsidRDefault="009C4EB3">
      <w:pPr>
        <w:pStyle w:val="FootnoteText"/>
        <w:rPr>
          <w:rFonts w:ascii="Times New Roman" w:hAnsi="Times New Roman" w:cs="Times New Roman"/>
        </w:rPr>
      </w:pPr>
      <w:r w:rsidRPr="00240A94">
        <w:rPr>
          <w:rStyle w:val="FootnoteReference"/>
          <w:rFonts w:ascii="Times New Roman" w:hAnsi="Times New Roman" w:cs="Times New Roman"/>
        </w:rPr>
        <w:footnoteRef/>
      </w:r>
      <w:r w:rsidRPr="00240A94">
        <w:rPr>
          <w:rFonts w:ascii="Times New Roman" w:hAnsi="Times New Roman" w:cs="Times New Roman"/>
        </w:rPr>
        <w:t xml:space="preserve"> Estonia is excluded from Fig 2 because of gaps in the quarterly data</w:t>
      </w:r>
    </w:p>
  </w:footnote>
  <w:footnote w:id="2">
    <w:p w14:paraId="4A2E24F4" w14:textId="3237FD5A" w:rsidR="0096273D" w:rsidRDefault="0096273D">
      <w:pPr>
        <w:pStyle w:val="FootnoteText"/>
      </w:pPr>
      <w:r>
        <w:rPr>
          <w:rStyle w:val="FootnoteReference"/>
        </w:rPr>
        <w:footnoteRef/>
      </w:r>
      <w:r>
        <w:t xml:space="preserve"> </w:t>
      </w:r>
      <w:r w:rsidRPr="0096273D">
        <w:t>http://juncker.epp.eu/my-priorities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14590"/>
    <w:multiLevelType w:val="hybridMultilevel"/>
    <w:tmpl w:val="E5E2B9D2"/>
    <w:lvl w:ilvl="0" w:tplc="4748F628">
      <w:start w:val="1"/>
      <w:numFmt w:val="bullet"/>
      <w:lvlText w:val=""/>
      <w:lvlJc w:val="left"/>
      <w:pPr>
        <w:tabs>
          <w:tab w:val="num" w:pos="720"/>
        </w:tabs>
        <w:ind w:left="720" w:hanging="360"/>
      </w:pPr>
      <w:rPr>
        <w:rFonts w:ascii="Wingdings 3" w:hAnsi="Wingdings 3" w:hint="default"/>
      </w:rPr>
    </w:lvl>
    <w:lvl w:ilvl="1" w:tplc="E4D8B14E" w:tentative="1">
      <w:start w:val="1"/>
      <w:numFmt w:val="bullet"/>
      <w:lvlText w:val=""/>
      <w:lvlJc w:val="left"/>
      <w:pPr>
        <w:tabs>
          <w:tab w:val="num" w:pos="1440"/>
        </w:tabs>
        <w:ind w:left="1440" w:hanging="360"/>
      </w:pPr>
      <w:rPr>
        <w:rFonts w:ascii="Wingdings 3" w:hAnsi="Wingdings 3" w:hint="default"/>
      </w:rPr>
    </w:lvl>
    <w:lvl w:ilvl="2" w:tplc="8626E18C" w:tentative="1">
      <w:start w:val="1"/>
      <w:numFmt w:val="bullet"/>
      <w:lvlText w:val=""/>
      <w:lvlJc w:val="left"/>
      <w:pPr>
        <w:tabs>
          <w:tab w:val="num" w:pos="2160"/>
        </w:tabs>
        <w:ind w:left="2160" w:hanging="360"/>
      </w:pPr>
      <w:rPr>
        <w:rFonts w:ascii="Wingdings 3" w:hAnsi="Wingdings 3" w:hint="default"/>
      </w:rPr>
    </w:lvl>
    <w:lvl w:ilvl="3" w:tplc="64C69444" w:tentative="1">
      <w:start w:val="1"/>
      <w:numFmt w:val="bullet"/>
      <w:lvlText w:val=""/>
      <w:lvlJc w:val="left"/>
      <w:pPr>
        <w:tabs>
          <w:tab w:val="num" w:pos="2880"/>
        </w:tabs>
        <w:ind w:left="2880" w:hanging="360"/>
      </w:pPr>
      <w:rPr>
        <w:rFonts w:ascii="Wingdings 3" w:hAnsi="Wingdings 3" w:hint="default"/>
      </w:rPr>
    </w:lvl>
    <w:lvl w:ilvl="4" w:tplc="7BDAD048" w:tentative="1">
      <w:start w:val="1"/>
      <w:numFmt w:val="bullet"/>
      <w:lvlText w:val=""/>
      <w:lvlJc w:val="left"/>
      <w:pPr>
        <w:tabs>
          <w:tab w:val="num" w:pos="3600"/>
        </w:tabs>
        <w:ind w:left="3600" w:hanging="360"/>
      </w:pPr>
      <w:rPr>
        <w:rFonts w:ascii="Wingdings 3" w:hAnsi="Wingdings 3" w:hint="default"/>
      </w:rPr>
    </w:lvl>
    <w:lvl w:ilvl="5" w:tplc="F5C0573A" w:tentative="1">
      <w:start w:val="1"/>
      <w:numFmt w:val="bullet"/>
      <w:lvlText w:val=""/>
      <w:lvlJc w:val="left"/>
      <w:pPr>
        <w:tabs>
          <w:tab w:val="num" w:pos="4320"/>
        </w:tabs>
        <w:ind w:left="4320" w:hanging="360"/>
      </w:pPr>
      <w:rPr>
        <w:rFonts w:ascii="Wingdings 3" w:hAnsi="Wingdings 3" w:hint="default"/>
      </w:rPr>
    </w:lvl>
    <w:lvl w:ilvl="6" w:tplc="AC56D69C" w:tentative="1">
      <w:start w:val="1"/>
      <w:numFmt w:val="bullet"/>
      <w:lvlText w:val=""/>
      <w:lvlJc w:val="left"/>
      <w:pPr>
        <w:tabs>
          <w:tab w:val="num" w:pos="5040"/>
        </w:tabs>
        <w:ind w:left="5040" w:hanging="360"/>
      </w:pPr>
      <w:rPr>
        <w:rFonts w:ascii="Wingdings 3" w:hAnsi="Wingdings 3" w:hint="default"/>
      </w:rPr>
    </w:lvl>
    <w:lvl w:ilvl="7" w:tplc="9D7E51C0" w:tentative="1">
      <w:start w:val="1"/>
      <w:numFmt w:val="bullet"/>
      <w:lvlText w:val=""/>
      <w:lvlJc w:val="left"/>
      <w:pPr>
        <w:tabs>
          <w:tab w:val="num" w:pos="5760"/>
        </w:tabs>
        <w:ind w:left="5760" w:hanging="360"/>
      </w:pPr>
      <w:rPr>
        <w:rFonts w:ascii="Wingdings 3" w:hAnsi="Wingdings 3" w:hint="default"/>
      </w:rPr>
    </w:lvl>
    <w:lvl w:ilvl="8" w:tplc="9E7EBD80" w:tentative="1">
      <w:start w:val="1"/>
      <w:numFmt w:val="bullet"/>
      <w:lvlText w:val=""/>
      <w:lvlJc w:val="left"/>
      <w:pPr>
        <w:tabs>
          <w:tab w:val="num" w:pos="6480"/>
        </w:tabs>
        <w:ind w:left="6480" w:hanging="360"/>
      </w:pPr>
      <w:rPr>
        <w:rFonts w:ascii="Wingdings 3" w:hAnsi="Wingdings 3" w:hint="default"/>
      </w:rPr>
    </w:lvl>
  </w:abstractNum>
  <w:abstractNum w:abstractNumId="1">
    <w:nsid w:val="0B207616"/>
    <w:multiLevelType w:val="hybridMultilevel"/>
    <w:tmpl w:val="6B2253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552E5B"/>
    <w:multiLevelType w:val="multilevel"/>
    <w:tmpl w:val="1522239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nsid w:val="1F3152A3"/>
    <w:multiLevelType w:val="hybridMultilevel"/>
    <w:tmpl w:val="2848D86E"/>
    <w:lvl w:ilvl="0" w:tplc="F93070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160097"/>
    <w:multiLevelType w:val="hybridMultilevel"/>
    <w:tmpl w:val="7F208400"/>
    <w:lvl w:ilvl="0" w:tplc="5EE053B4">
      <w:start w:val="1"/>
      <w:numFmt w:val="bullet"/>
      <w:lvlText w:val=""/>
      <w:lvlJc w:val="left"/>
      <w:pPr>
        <w:tabs>
          <w:tab w:val="num" w:pos="720"/>
        </w:tabs>
        <w:ind w:left="720" w:hanging="360"/>
      </w:pPr>
      <w:rPr>
        <w:rFonts w:ascii="Wingdings 3" w:hAnsi="Wingdings 3" w:hint="default"/>
      </w:rPr>
    </w:lvl>
    <w:lvl w:ilvl="1" w:tplc="83BC685A" w:tentative="1">
      <w:start w:val="1"/>
      <w:numFmt w:val="bullet"/>
      <w:lvlText w:val=""/>
      <w:lvlJc w:val="left"/>
      <w:pPr>
        <w:tabs>
          <w:tab w:val="num" w:pos="1440"/>
        </w:tabs>
        <w:ind w:left="1440" w:hanging="360"/>
      </w:pPr>
      <w:rPr>
        <w:rFonts w:ascii="Wingdings 3" w:hAnsi="Wingdings 3" w:hint="default"/>
      </w:rPr>
    </w:lvl>
    <w:lvl w:ilvl="2" w:tplc="C7BC240C" w:tentative="1">
      <w:start w:val="1"/>
      <w:numFmt w:val="bullet"/>
      <w:lvlText w:val=""/>
      <w:lvlJc w:val="left"/>
      <w:pPr>
        <w:tabs>
          <w:tab w:val="num" w:pos="2160"/>
        </w:tabs>
        <w:ind w:left="2160" w:hanging="360"/>
      </w:pPr>
      <w:rPr>
        <w:rFonts w:ascii="Wingdings 3" w:hAnsi="Wingdings 3" w:hint="default"/>
      </w:rPr>
    </w:lvl>
    <w:lvl w:ilvl="3" w:tplc="271A708E" w:tentative="1">
      <w:start w:val="1"/>
      <w:numFmt w:val="bullet"/>
      <w:lvlText w:val=""/>
      <w:lvlJc w:val="left"/>
      <w:pPr>
        <w:tabs>
          <w:tab w:val="num" w:pos="2880"/>
        </w:tabs>
        <w:ind w:left="2880" w:hanging="360"/>
      </w:pPr>
      <w:rPr>
        <w:rFonts w:ascii="Wingdings 3" w:hAnsi="Wingdings 3" w:hint="default"/>
      </w:rPr>
    </w:lvl>
    <w:lvl w:ilvl="4" w:tplc="747AF64E" w:tentative="1">
      <w:start w:val="1"/>
      <w:numFmt w:val="bullet"/>
      <w:lvlText w:val=""/>
      <w:lvlJc w:val="left"/>
      <w:pPr>
        <w:tabs>
          <w:tab w:val="num" w:pos="3600"/>
        </w:tabs>
        <w:ind w:left="3600" w:hanging="360"/>
      </w:pPr>
      <w:rPr>
        <w:rFonts w:ascii="Wingdings 3" w:hAnsi="Wingdings 3" w:hint="default"/>
      </w:rPr>
    </w:lvl>
    <w:lvl w:ilvl="5" w:tplc="D2EAD5D8" w:tentative="1">
      <w:start w:val="1"/>
      <w:numFmt w:val="bullet"/>
      <w:lvlText w:val=""/>
      <w:lvlJc w:val="left"/>
      <w:pPr>
        <w:tabs>
          <w:tab w:val="num" w:pos="4320"/>
        </w:tabs>
        <w:ind w:left="4320" w:hanging="360"/>
      </w:pPr>
      <w:rPr>
        <w:rFonts w:ascii="Wingdings 3" w:hAnsi="Wingdings 3" w:hint="default"/>
      </w:rPr>
    </w:lvl>
    <w:lvl w:ilvl="6" w:tplc="52D2D514" w:tentative="1">
      <w:start w:val="1"/>
      <w:numFmt w:val="bullet"/>
      <w:lvlText w:val=""/>
      <w:lvlJc w:val="left"/>
      <w:pPr>
        <w:tabs>
          <w:tab w:val="num" w:pos="5040"/>
        </w:tabs>
        <w:ind w:left="5040" w:hanging="360"/>
      </w:pPr>
      <w:rPr>
        <w:rFonts w:ascii="Wingdings 3" w:hAnsi="Wingdings 3" w:hint="default"/>
      </w:rPr>
    </w:lvl>
    <w:lvl w:ilvl="7" w:tplc="16BA61AE" w:tentative="1">
      <w:start w:val="1"/>
      <w:numFmt w:val="bullet"/>
      <w:lvlText w:val=""/>
      <w:lvlJc w:val="left"/>
      <w:pPr>
        <w:tabs>
          <w:tab w:val="num" w:pos="5760"/>
        </w:tabs>
        <w:ind w:left="5760" w:hanging="360"/>
      </w:pPr>
      <w:rPr>
        <w:rFonts w:ascii="Wingdings 3" w:hAnsi="Wingdings 3" w:hint="default"/>
      </w:rPr>
    </w:lvl>
    <w:lvl w:ilvl="8" w:tplc="C9D0C8F0" w:tentative="1">
      <w:start w:val="1"/>
      <w:numFmt w:val="bullet"/>
      <w:lvlText w:val=""/>
      <w:lvlJc w:val="left"/>
      <w:pPr>
        <w:tabs>
          <w:tab w:val="num" w:pos="6480"/>
        </w:tabs>
        <w:ind w:left="6480" w:hanging="360"/>
      </w:pPr>
      <w:rPr>
        <w:rFonts w:ascii="Wingdings 3" w:hAnsi="Wingdings 3" w:hint="default"/>
      </w:rPr>
    </w:lvl>
  </w:abstractNum>
  <w:abstractNum w:abstractNumId="5">
    <w:nsid w:val="26165A8F"/>
    <w:multiLevelType w:val="hybridMultilevel"/>
    <w:tmpl w:val="2848D86E"/>
    <w:lvl w:ilvl="0" w:tplc="F93070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06132D"/>
    <w:multiLevelType w:val="hybridMultilevel"/>
    <w:tmpl w:val="BB565496"/>
    <w:lvl w:ilvl="0" w:tplc="65AC0F0E">
      <w:start w:val="1"/>
      <w:numFmt w:val="bullet"/>
      <w:lvlText w:val=""/>
      <w:lvlJc w:val="left"/>
      <w:pPr>
        <w:tabs>
          <w:tab w:val="num" w:pos="720"/>
        </w:tabs>
        <w:ind w:left="720" w:hanging="360"/>
      </w:pPr>
      <w:rPr>
        <w:rFonts w:ascii="Wingdings 3" w:hAnsi="Wingdings 3" w:hint="default"/>
      </w:rPr>
    </w:lvl>
    <w:lvl w:ilvl="1" w:tplc="C94AC01A" w:tentative="1">
      <w:start w:val="1"/>
      <w:numFmt w:val="bullet"/>
      <w:lvlText w:val=""/>
      <w:lvlJc w:val="left"/>
      <w:pPr>
        <w:tabs>
          <w:tab w:val="num" w:pos="1440"/>
        </w:tabs>
        <w:ind w:left="1440" w:hanging="360"/>
      </w:pPr>
      <w:rPr>
        <w:rFonts w:ascii="Wingdings 3" w:hAnsi="Wingdings 3" w:hint="default"/>
      </w:rPr>
    </w:lvl>
    <w:lvl w:ilvl="2" w:tplc="41A6E630" w:tentative="1">
      <w:start w:val="1"/>
      <w:numFmt w:val="bullet"/>
      <w:lvlText w:val=""/>
      <w:lvlJc w:val="left"/>
      <w:pPr>
        <w:tabs>
          <w:tab w:val="num" w:pos="2160"/>
        </w:tabs>
        <w:ind w:left="2160" w:hanging="360"/>
      </w:pPr>
      <w:rPr>
        <w:rFonts w:ascii="Wingdings 3" w:hAnsi="Wingdings 3" w:hint="default"/>
      </w:rPr>
    </w:lvl>
    <w:lvl w:ilvl="3" w:tplc="5A3E4F9E" w:tentative="1">
      <w:start w:val="1"/>
      <w:numFmt w:val="bullet"/>
      <w:lvlText w:val=""/>
      <w:lvlJc w:val="left"/>
      <w:pPr>
        <w:tabs>
          <w:tab w:val="num" w:pos="2880"/>
        </w:tabs>
        <w:ind w:left="2880" w:hanging="360"/>
      </w:pPr>
      <w:rPr>
        <w:rFonts w:ascii="Wingdings 3" w:hAnsi="Wingdings 3" w:hint="default"/>
      </w:rPr>
    </w:lvl>
    <w:lvl w:ilvl="4" w:tplc="BD5CFA9A" w:tentative="1">
      <w:start w:val="1"/>
      <w:numFmt w:val="bullet"/>
      <w:lvlText w:val=""/>
      <w:lvlJc w:val="left"/>
      <w:pPr>
        <w:tabs>
          <w:tab w:val="num" w:pos="3600"/>
        </w:tabs>
        <w:ind w:left="3600" w:hanging="360"/>
      </w:pPr>
      <w:rPr>
        <w:rFonts w:ascii="Wingdings 3" w:hAnsi="Wingdings 3" w:hint="default"/>
      </w:rPr>
    </w:lvl>
    <w:lvl w:ilvl="5" w:tplc="A56A7A10" w:tentative="1">
      <w:start w:val="1"/>
      <w:numFmt w:val="bullet"/>
      <w:lvlText w:val=""/>
      <w:lvlJc w:val="left"/>
      <w:pPr>
        <w:tabs>
          <w:tab w:val="num" w:pos="4320"/>
        </w:tabs>
        <w:ind w:left="4320" w:hanging="360"/>
      </w:pPr>
      <w:rPr>
        <w:rFonts w:ascii="Wingdings 3" w:hAnsi="Wingdings 3" w:hint="default"/>
      </w:rPr>
    </w:lvl>
    <w:lvl w:ilvl="6" w:tplc="29F274F0" w:tentative="1">
      <w:start w:val="1"/>
      <w:numFmt w:val="bullet"/>
      <w:lvlText w:val=""/>
      <w:lvlJc w:val="left"/>
      <w:pPr>
        <w:tabs>
          <w:tab w:val="num" w:pos="5040"/>
        </w:tabs>
        <w:ind w:left="5040" w:hanging="360"/>
      </w:pPr>
      <w:rPr>
        <w:rFonts w:ascii="Wingdings 3" w:hAnsi="Wingdings 3" w:hint="default"/>
      </w:rPr>
    </w:lvl>
    <w:lvl w:ilvl="7" w:tplc="AD16B3B0" w:tentative="1">
      <w:start w:val="1"/>
      <w:numFmt w:val="bullet"/>
      <w:lvlText w:val=""/>
      <w:lvlJc w:val="left"/>
      <w:pPr>
        <w:tabs>
          <w:tab w:val="num" w:pos="5760"/>
        </w:tabs>
        <w:ind w:left="5760" w:hanging="360"/>
      </w:pPr>
      <w:rPr>
        <w:rFonts w:ascii="Wingdings 3" w:hAnsi="Wingdings 3" w:hint="default"/>
      </w:rPr>
    </w:lvl>
    <w:lvl w:ilvl="8" w:tplc="13F04640" w:tentative="1">
      <w:start w:val="1"/>
      <w:numFmt w:val="bullet"/>
      <w:lvlText w:val=""/>
      <w:lvlJc w:val="left"/>
      <w:pPr>
        <w:tabs>
          <w:tab w:val="num" w:pos="6480"/>
        </w:tabs>
        <w:ind w:left="6480" w:hanging="360"/>
      </w:pPr>
      <w:rPr>
        <w:rFonts w:ascii="Wingdings 3" w:hAnsi="Wingdings 3" w:hint="default"/>
      </w:rPr>
    </w:lvl>
  </w:abstractNum>
  <w:abstractNum w:abstractNumId="7">
    <w:nsid w:val="29C93E44"/>
    <w:multiLevelType w:val="hybridMultilevel"/>
    <w:tmpl w:val="11762C1C"/>
    <w:lvl w:ilvl="0" w:tplc="B058C6EE">
      <w:start w:val="1"/>
      <w:numFmt w:val="bullet"/>
      <w:lvlText w:val=""/>
      <w:lvlJc w:val="left"/>
      <w:pPr>
        <w:tabs>
          <w:tab w:val="num" w:pos="720"/>
        </w:tabs>
        <w:ind w:left="720" w:hanging="360"/>
      </w:pPr>
      <w:rPr>
        <w:rFonts w:ascii="Wingdings 3" w:hAnsi="Wingdings 3" w:hint="default"/>
      </w:rPr>
    </w:lvl>
    <w:lvl w:ilvl="1" w:tplc="3C76F6F2" w:tentative="1">
      <w:start w:val="1"/>
      <w:numFmt w:val="bullet"/>
      <w:lvlText w:val=""/>
      <w:lvlJc w:val="left"/>
      <w:pPr>
        <w:tabs>
          <w:tab w:val="num" w:pos="1440"/>
        </w:tabs>
        <w:ind w:left="1440" w:hanging="360"/>
      </w:pPr>
      <w:rPr>
        <w:rFonts w:ascii="Wingdings 3" w:hAnsi="Wingdings 3" w:hint="default"/>
      </w:rPr>
    </w:lvl>
    <w:lvl w:ilvl="2" w:tplc="51CE9F52" w:tentative="1">
      <w:start w:val="1"/>
      <w:numFmt w:val="bullet"/>
      <w:lvlText w:val=""/>
      <w:lvlJc w:val="left"/>
      <w:pPr>
        <w:tabs>
          <w:tab w:val="num" w:pos="2160"/>
        </w:tabs>
        <w:ind w:left="2160" w:hanging="360"/>
      </w:pPr>
      <w:rPr>
        <w:rFonts w:ascii="Wingdings 3" w:hAnsi="Wingdings 3" w:hint="default"/>
      </w:rPr>
    </w:lvl>
    <w:lvl w:ilvl="3" w:tplc="A588CF80" w:tentative="1">
      <w:start w:val="1"/>
      <w:numFmt w:val="bullet"/>
      <w:lvlText w:val=""/>
      <w:lvlJc w:val="left"/>
      <w:pPr>
        <w:tabs>
          <w:tab w:val="num" w:pos="2880"/>
        </w:tabs>
        <w:ind w:left="2880" w:hanging="360"/>
      </w:pPr>
      <w:rPr>
        <w:rFonts w:ascii="Wingdings 3" w:hAnsi="Wingdings 3" w:hint="default"/>
      </w:rPr>
    </w:lvl>
    <w:lvl w:ilvl="4" w:tplc="F57E6FA8" w:tentative="1">
      <w:start w:val="1"/>
      <w:numFmt w:val="bullet"/>
      <w:lvlText w:val=""/>
      <w:lvlJc w:val="left"/>
      <w:pPr>
        <w:tabs>
          <w:tab w:val="num" w:pos="3600"/>
        </w:tabs>
        <w:ind w:left="3600" w:hanging="360"/>
      </w:pPr>
      <w:rPr>
        <w:rFonts w:ascii="Wingdings 3" w:hAnsi="Wingdings 3" w:hint="default"/>
      </w:rPr>
    </w:lvl>
    <w:lvl w:ilvl="5" w:tplc="04AE0946" w:tentative="1">
      <w:start w:val="1"/>
      <w:numFmt w:val="bullet"/>
      <w:lvlText w:val=""/>
      <w:lvlJc w:val="left"/>
      <w:pPr>
        <w:tabs>
          <w:tab w:val="num" w:pos="4320"/>
        </w:tabs>
        <w:ind w:left="4320" w:hanging="360"/>
      </w:pPr>
      <w:rPr>
        <w:rFonts w:ascii="Wingdings 3" w:hAnsi="Wingdings 3" w:hint="default"/>
      </w:rPr>
    </w:lvl>
    <w:lvl w:ilvl="6" w:tplc="31D8B5A6" w:tentative="1">
      <w:start w:val="1"/>
      <w:numFmt w:val="bullet"/>
      <w:lvlText w:val=""/>
      <w:lvlJc w:val="left"/>
      <w:pPr>
        <w:tabs>
          <w:tab w:val="num" w:pos="5040"/>
        </w:tabs>
        <w:ind w:left="5040" w:hanging="360"/>
      </w:pPr>
      <w:rPr>
        <w:rFonts w:ascii="Wingdings 3" w:hAnsi="Wingdings 3" w:hint="default"/>
      </w:rPr>
    </w:lvl>
    <w:lvl w:ilvl="7" w:tplc="56B86524" w:tentative="1">
      <w:start w:val="1"/>
      <w:numFmt w:val="bullet"/>
      <w:lvlText w:val=""/>
      <w:lvlJc w:val="left"/>
      <w:pPr>
        <w:tabs>
          <w:tab w:val="num" w:pos="5760"/>
        </w:tabs>
        <w:ind w:left="5760" w:hanging="360"/>
      </w:pPr>
      <w:rPr>
        <w:rFonts w:ascii="Wingdings 3" w:hAnsi="Wingdings 3" w:hint="default"/>
      </w:rPr>
    </w:lvl>
    <w:lvl w:ilvl="8" w:tplc="AB0EE368" w:tentative="1">
      <w:start w:val="1"/>
      <w:numFmt w:val="bullet"/>
      <w:lvlText w:val=""/>
      <w:lvlJc w:val="left"/>
      <w:pPr>
        <w:tabs>
          <w:tab w:val="num" w:pos="6480"/>
        </w:tabs>
        <w:ind w:left="6480" w:hanging="360"/>
      </w:pPr>
      <w:rPr>
        <w:rFonts w:ascii="Wingdings 3" w:hAnsi="Wingdings 3" w:hint="default"/>
      </w:rPr>
    </w:lvl>
  </w:abstractNum>
  <w:abstractNum w:abstractNumId="8">
    <w:nsid w:val="3DAC1FFC"/>
    <w:multiLevelType w:val="multilevel"/>
    <w:tmpl w:val="9FFC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1FF2555"/>
    <w:multiLevelType w:val="hybridMultilevel"/>
    <w:tmpl w:val="C6903372"/>
    <w:lvl w:ilvl="0" w:tplc="FB3A90BE">
      <w:start w:val="1"/>
      <w:numFmt w:val="bullet"/>
      <w:lvlText w:val="•"/>
      <w:lvlJc w:val="left"/>
      <w:pPr>
        <w:tabs>
          <w:tab w:val="num" w:pos="720"/>
        </w:tabs>
        <w:ind w:left="720" w:hanging="360"/>
      </w:pPr>
      <w:rPr>
        <w:rFonts w:ascii="Arial" w:hAnsi="Arial" w:hint="default"/>
      </w:rPr>
    </w:lvl>
    <w:lvl w:ilvl="1" w:tplc="345C2898" w:tentative="1">
      <w:start w:val="1"/>
      <w:numFmt w:val="bullet"/>
      <w:lvlText w:val="•"/>
      <w:lvlJc w:val="left"/>
      <w:pPr>
        <w:tabs>
          <w:tab w:val="num" w:pos="1440"/>
        </w:tabs>
        <w:ind w:left="1440" w:hanging="360"/>
      </w:pPr>
      <w:rPr>
        <w:rFonts w:ascii="Arial" w:hAnsi="Arial" w:hint="default"/>
      </w:rPr>
    </w:lvl>
    <w:lvl w:ilvl="2" w:tplc="B56A3066" w:tentative="1">
      <w:start w:val="1"/>
      <w:numFmt w:val="bullet"/>
      <w:lvlText w:val="•"/>
      <w:lvlJc w:val="left"/>
      <w:pPr>
        <w:tabs>
          <w:tab w:val="num" w:pos="2160"/>
        </w:tabs>
        <w:ind w:left="2160" w:hanging="360"/>
      </w:pPr>
      <w:rPr>
        <w:rFonts w:ascii="Arial" w:hAnsi="Arial" w:hint="default"/>
      </w:rPr>
    </w:lvl>
    <w:lvl w:ilvl="3" w:tplc="23942C40" w:tentative="1">
      <w:start w:val="1"/>
      <w:numFmt w:val="bullet"/>
      <w:lvlText w:val="•"/>
      <w:lvlJc w:val="left"/>
      <w:pPr>
        <w:tabs>
          <w:tab w:val="num" w:pos="2880"/>
        </w:tabs>
        <w:ind w:left="2880" w:hanging="360"/>
      </w:pPr>
      <w:rPr>
        <w:rFonts w:ascii="Arial" w:hAnsi="Arial" w:hint="default"/>
      </w:rPr>
    </w:lvl>
    <w:lvl w:ilvl="4" w:tplc="0634579A" w:tentative="1">
      <w:start w:val="1"/>
      <w:numFmt w:val="bullet"/>
      <w:lvlText w:val="•"/>
      <w:lvlJc w:val="left"/>
      <w:pPr>
        <w:tabs>
          <w:tab w:val="num" w:pos="3600"/>
        </w:tabs>
        <w:ind w:left="3600" w:hanging="360"/>
      </w:pPr>
      <w:rPr>
        <w:rFonts w:ascii="Arial" w:hAnsi="Arial" w:hint="default"/>
      </w:rPr>
    </w:lvl>
    <w:lvl w:ilvl="5" w:tplc="189670A2" w:tentative="1">
      <w:start w:val="1"/>
      <w:numFmt w:val="bullet"/>
      <w:lvlText w:val="•"/>
      <w:lvlJc w:val="left"/>
      <w:pPr>
        <w:tabs>
          <w:tab w:val="num" w:pos="4320"/>
        </w:tabs>
        <w:ind w:left="4320" w:hanging="360"/>
      </w:pPr>
      <w:rPr>
        <w:rFonts w:ascii="Arial" w:hAnsi="Arial" w:hint="default"/>
      </w:rPr>
    </w:lvl>
    <w:lvl w:ilvl="6" w:tplc="5D564056" w:tentative="1">
      <w:start w:val="1"/>
      <w:numFmt w:val="bullet"/>
      <w:lvlText w:val="•"/>
      <w:lvlJc w:val="left"/>
      <w:pPr>
        <w:tabs>
          <w:tab w:val="num" w:pos="5040"/>
        </w:tabs>
        <w:ind w:left="5040" w:hanging="360"/>
      </w:pPr>
      <w:rPr>
        <w:rFonts w:ascii="Arial" w:hAnsi="Arial" w:hint="default"/>
      </w:rPr>
    </w:lvl>
    <w:lvl w:ilvl="7" w:tplc="95848384" w:tentative="1">
      <w:start w:val="1"/>
      <w:numFmt w:val="bullet"/>
      <w:lvlText w:val="•"/>
      <w:lvlJc w:val="left"/>
      <w:pPr>
        <w:tabs>
          <w:tab w:val="num" w:pos="5760"/>
        </w:tabs>
        <w:ind w:left="5760" w:hanging="360"/>
      </w:pPr>
      <w:rPr>
        <w:rFonts w:ascii="Arial" w:hAnsi="Arial" w:hint="default"/>
      </w:rPr>
    </w:lvl>
    <w:lvl w:ilvl="8" w:tplc="D72C734C" w:tentative="1">
      <w:start w:val="1"/>
      <w:numFmt w:val="bullet"/>
      <w:lvlText w:val="•"/>
      <w:lvlJc w:val="left"/>
      <w:pPr>
        <w:tabs>
          <w:tab w:val="num" w:pos="6480"/>
        </w:tabs>
        <w:ind w:left="6480" w:hanging="360"/>
      </w:pPr>
      <w:rPr>
        <w:rFonts w:ascii="Arial" w:hAnsi="Arial" w:hint="default"/>
      </w:rPr>
    </w:lvl>
  </w:abstractNum>
  <w:abstractNum w:abstractNumId="10">
    <w:nsid w:val="54EC2C0E"/>
    <w:multiLevelType w:val="hybridMultilevel"/>
    <w:tmpl w:val="2848D86E"/>
    <w:lvl w:ilvl="0" w:tplc="F93070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76B7B60"/>
    <w:multiLevelType w:val="multilevel"/>
    <w:tmpl w:val="EC5E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FC27151"/>
    <w:multiLevelType w:val="hybridMultilevel"/>
    <w:tmpl w:val="21563DF8"/>
    <w:lvl w:ilvl="0" w:tplc="BC56C27C">
      <w:start w:val="1"/>
      <w:numFmt w:val="bullet"/>
      <w:lvlText w:val=""/>
      <w:lvlJc w:val="left"/>
      <w:pPr>
        <w:tabs>
          <w:tab w:val="num" w:pos="720"/>
        </w:tabs>
        <w:ind w:left="720" w:hanging="360"/>
      </w:pPr>
      <w:rPr>
        <w:rFonts w:ascii="Wingdings 3" w:hAnsi="Wingdings 3" w:hint="default"/>
      </w:rPr>
    </w:lvl>
    <w:lvl w:ilvl="1" w:tplc="80C69824" w:tentative="1">
      <w:start w:val="1"/>
      <w:numFmt w:val="bullet"/>
      <w:lvlText w:val=""/>
      <w:lvlJc w:val="left"/>
      <w:pPr>
        <w:tabs>
          <w:tab w:val="num" w:pos="1440"/>
        </w:tabs>
        <w:ind w:left="1440" w:hanging="360"/>
      </w:pPr>
      <w:rPr>
        <w:rFonts w:ascii="Wingdings 3" w:hAnsi="Wingdings 3" w:hint="default"/>
      </w:rPr>
    </w:lvl>
    <w:lvl w:ilvl="2" w:tplc="1DEE77F6" w:tentative="1">
      <w:start w:val="1"/>
      <w:numFmt w:val="bullet"/>
      <w:lvlText w:val=""/>
      <w:lvlJc w:val="left"/>
      <w:pPr>
        <w:tabs>
          <w:tab w:val="num" w:pos="2160"/>
        </w:tabs>
        <w:ind w:left="2160" w:hanging="360"/>
      </w:pPr>
      <w:rPr>
        <w:rFonts w:ascii="Wingdings 3" w:hAnsi="Wingdings 3" w:hint="default"/>
      </w:rPr>
    </w:lvl>
    <w:lvl w:ilvl="3" w:tplc="A224BFAE" w:tentative="1">
      <w:start w:val="1"/>
      <w:numFmt w:val="bullet"/>
      <w:lvlText w:val=""/>
      <w:lvlJc w:val="left"/>
      <w:pPr>
        <w:tabs>
          <w:tab w:val="num" w:pos="2880"/>
        </w:tabs>
        <w:ind w:left="2880" w:hanging="360"/>
      </w:pPr>
      <w:rPr>
        <w:rFonts w:ascii="Wingdings 3" w:hAnsi="Wingdings 3" w:hint="default"/>
      </w:rPr>
    </w:lvl>
    <w:lvl w:ilvl="4" w:tplc="17E02A4A" w:tentative="1">
      <w:start w:val="1"/>
      <w:numFmt w:val="bullet"/>
      <w:lvlText w:val=""/>
      <w:lvlJc w:val="left"/>
      <w:pPr>
        <w:tabs>
          <w:tab w:val="num" w:pos="3600"/>
        </w:tabs>
        <w:ind w:left="3600" w:hanging="360"/>
      </w:pPr>
      <w:rPr>
        <w:rFonts w:ascii="Wingdings 3" w:hAnsi="Wingdings 3" w:hint="default"/>
      </w:rPr>
    </w:lvl>
    <w:lvl w:ilvl="5" w:tplc="B9D49BCC" w:tentative="1">
      <w:start w:val="1"/>
      <w:numFmt w:val="bullet"/>
      <w:lvlText w:val=""/>
      <w:lvlJc w:val="left"/>
      <w:pPr>
        <w:tabs>
          <w:tab w:val="num" w:pos="4320"/>
        </w:tabs>
        <w:ind w:left="4320" w:hanging="360"/>
      </w:pPr>
      <w:rPr>
        <w:rFonts w:ascii="Wingdings 3" w:hAnsi="Wingdings 3" w:hint="default"/>
      </w:rPr>
    </w:lvl>
    <w:lvl w:ilvl="6" w:tplc="73D2A630" w:tentative="1">
      <w:start w:val="1"/>
      <w:numFmt w:val="bullet"/>
      <w:lvlText w:val=""/>
      <w:lvlJc w:val="left"/>
      <w:pPr>
        <w:tabs>
          <w:tab w:val="num" w:pos="5040"/>
        </w:tabs>
        <w:ind w:left="5040" w:hanging="360"/>
      </w:pPr>
      <w:rPr>
        <w:rFonts w:ascii="Wingdings 3" w:hAnsi="Wingdings 3" w:hint="default"/>
      </w:rPr>
    </w:lvl>
    <w:lvl w:ilvl="7" w:tplc="EA9853E8" w:tentative="1">
      <w:start w:val="1"/>
      <w:numFmt w:val="bullet"/>
      <w:lvlText w:val=""/>
      <w:lvlJc w:val="left"/>
      <w:pPr>
        <w:tabs>
          <w:tab w:val="num" w:pos="5760"/>
        </w:tabs>
        <w:ind w:left="5760" w:hanging="360"/>
      </w:pPr>
      <w:rPr>
        <w:rFonts w:ascii="Wingdings 3" w:hAnsi="Wingdings 3" w:hint="default"/>
      </w:rPr>
    </w:lvl>
    <w:lvl w:ilvl="8" w:tplc="3C4C9810" w:tentative="1">
      <w:start w:val="1"/>
      <w:numFmt w:val="bullet"/>
      <w:lvlText w:val=""/>
      <w:lvlJc w:val="left"/>
      <w:pPr>
        <w:tabs>
          <w:tab w:val="num" w:pos="6480"/>
        </w:tabs>
        <w:ind w:left="6480" w:hanging="360"/>
      </w:pPr>
      <w:rPr>
        <w:rFonts w:ascii="Wingdings 3" w:hAnsi="Wingdings 3" w:hint="default"/>
      </w:rPr>
    </w:lvl>
  </w:abstractNum>
  <w:abstractNum w:abstractNumId="13">
    <w:nsid w:val="650B2536"/>
    <w:multiLevelType w:val="hybridMultilevel"/>
    <w:tmpl w:val="847C176A"/>
    <w:lvl w:ilvl="0" w:tplc="B7A4BA9C">
      <w:start w:val="1"/>
      <w:numFmt w:val="bullet"/>
      <w:lvlText w:val=""/>
      <w:lvlJc w:val="left"/>
      <w:pPr>
        <w:tabs>
          <w:tab w:val="num" w:pos="720"/>
        </w:tabs>
        <w:ind w:left="720" w:hanging="360"/>
      </w:pPr>
      <w:rPr>
        <w:rFonts w:ascii="Wingdings 3" w:hAnsi="Wingdings 3" w:hint="default"/>
      </w:rPr>
    </w:lvl>
    <w:lvl w:ilvl="1" w:tplc="91B2D138" w:tentative="1">
      <w:start w:val="1"/>
      <w:numFmt w:val="bullet"/>
      <w:lvlText w:val=""/>
      <w:lvlJc w:val="left"/>
      <w:pPr>
        <w:tabs>
          <w:tab w:val="num" w:pos="1440"/>
        </w:tabs>
        <w:ind w:left="1440" w:hanging="360"/>
      </w:pPr>
      <w:rPr>
        <w:rFonts w:ascii="Wingdings 3" w:hAnsi="Wingdings 3" w:hint="default"/>
      </w:rPr>
    </w:lvl>
    <w:lvl w:ilvl="2" w:tplc="DF880D02" w:tentative="1">
      <w:start w:val="1"/>
      <w:numFmt w:val="bullet"/>
      <w:lvlText w:val=""/>
      <w:lvlJc w:val="left"/>
      <w:pPr>
        <w:tabs>
          <w:tab w:val="num" w:pos="2160"/>
        </w:tabs>
        <w:ind w:left="2160" w:hanging="360"/>
      </w:pPr>
      <w:rPr>
        <w:rFonts w:ascii="Wingdings 3" w:hAnsi="Wingdings 3" w:hint="default"/>
      </w:rPr>
    </w:lvl>
    <w:lvl w:ilvl="3" w:tplc="53FC6456" w:tentative="1">
      <w:start w:val="1"/>
      <w:numFmt w:val="bullet"/>
      <w:lvlText w:val=""/>
      <w:lvlJc w:val="left"/>
      <w:pPr>
        <w:tabs>
          <w:tab w:val="num" w:pos="2880"/>
        </w:tabs>
        <w:ind w:left="2880" w:hanging="360"/>
      </w:pPr>
      <w:rPr>
        <w:rFonts w:ascii="Wingdings 3" w:hAnsi="Wingdings 3" w:hint="default"/>
      </w:rPr>
    </w:lvl>
    <w:lvl w:ilvl="4" w:tplc="ABAECCF8" w:tentative="1">
      <w:start w:val="1"/>
      <w:numFmt w:val="bullet"/>
      <w:lvlText w:val=""/>
      <w:lvlJc w:val="left"/>
      <w:pPr>
        <w:tabs>
          <w:tab w:val="num" w:pos="3600"/>
        </w:tabs>
        <w:ind w:left="3600" w:hanging="360"/>
      </w:pPr>
      <w:rPr>
        <w:rFonts w:ascii="Wingdings 3" w:hAnsi="Wingdings 3" w:hint="default"/>
      </w:rPr>
    </w:lvl>
    <w:lvl w:ilvl="5" w:tplc="BFD856E0" w:tentative="1">
      <w:start w:val="1"/>
      <w:numFmt w:val="bullet"/>
      <w:lvlText w:val=""/>
      <w:lvlJc w:val="left"/>
      <w:pPr>
        <w:tabs>
          <w:tab w:val="num" w:pos="4320"/>
        </w:tabs>
        <w:ind w:left="4320" w:hanging="360"/>
      </w:pPr>
      <w:rPr>
        <w:rFonts w:ascii="Wingdings 3" w:hAnsi="Wingdings 3" w:hint="default"/>
      </w:rPr>
    </w:lvl>
    <w:lvl w:ilvl="6" w:tplc="57FA91F4" w:tentative="1">
      <w:start w:val="1"/>
      <w:numFmt w:val="bullet"/>
      <w:lvlText w:val=""/>
      <w:lvlJc w:val="left"/>
      <w:pPr>
        <w:tabs>
          <w:tab w:val="num" w:pos="5040"/>
        </w:tabs>
        <w:ind w:left="5040" w:hanging="360"/>
      </w:pPr>
      <w:rPr>
        <w:rFonts w:ascii="Wingdings 3" w:hAnsi="Wingdings 3" w:hint="default"/>
      </w:rPr>
    </w:lvl>
    <w:lvl w:ilvl="7" w:tplc="CECABD80" w:tentative="1">
      <w:start w:val="1"/>
      <w:numFmt w:val="bullet"/>
      <w:lvlText w:val=""/>
      <w:lvlJc w:val="left"/>
      <w:pPr>
        <w:tabs>
          <w:tab w:val="num" w:pos="5760"/>
        </w:tabs>
        <w:ind w:left="5760" w:hanging="360"/>
      </w:pPr>
      <w:rPr>
        <w:rFonts w:ascii="Wingdings 3" w:hAnsi="Wingdings 3" w:hint="default"/>
      </w:rPr>
    </w:lvl>
    <w:lvl w:ilvl="8" w:tplc="5538A2FE" w:tentative="1">
      <w:start w:val="1"/>
      <w:numFmt w:val="bullet"/>
      <w:lvlText w:val=""/>
      <w:lvlJc w:val="left"/>
      <w:pPr>
        <w:tabs>
          <w:tab w:val="num" w:pos="6480"/>
        </w:tabs>
        <w:ind w:left="6480" w:hanging="360"/>
      </w:pPr>
      <w:rPr>
        <w:rFonts w:ascii="Wingdings 3" w:hAnsi="Wingdings 3" w:hint="default"/>
      </w:rPr>
    </w:lvl>
  </w:abstractNum>
  <w:abstractNum w:abstractNumId="14">
    <w:nsid w:val="78CE4732"/>
    <w:multiLevelType w:val="multilevel"/>
    <w:tmpl w:val="0CD82D3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nsid w:val="7B1B1F23"/>
    <w:multiLevelType w:val="hybridMultilevel"/>
    <w:tmpl w:val="140C6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BD144F4"/>
    <w:multiLevelType w:val="multilevel"/>
    <w:tmpl w:val="2A34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C951D9"/>
    <w:multiLevelType w:val="hybridMultilevel"/>
    <w:tmpl w:val="849E3A7A"/>
    <w:lvl w:ilvl="0" w:tplc="D92CED3C">
      <w:start w:val="1"/>
      <w:numFmt w:val="bullet"/>
      <w:lvlText w:val=""/>
      <w:lvlJc w:val="left"/>
      <w:pPr>
        <w:tabs>
          <w:tab w:val="num" w:pos="720"/>
        </w:tabs>
        <w:ind w:left="720" w:hanging="360"/>
      </w:pPr>
      <w:rPr>
        <w:rFonts w:ascii="Wingdings 3" w:hAnsi="Wingdings 3" w:hint="default"/>
      </w:rPr>
    </w:lvl>
    <w:lvl w:ilvl="1" w:tplc="AAFADE26" w:tentative="1">
      <w:start w:val="1"/>
      <w:numFmt w:val="bullet"/>
      <w:lvlText w:val=""/>
      <w:lvlJc w:val="left"/>
      <w:pPr>
        <w:tabs>
          <w:tab w:val="num" w:pos="1440"/>
        </w:tabs>
        <w:ind w:left="1440" w:hanging="360"/>
      </w:pPr>
      <w:rPr>
        <w:rFonts w:ascii="Wingdings 3" w:hAnsi="Wingdings 3" w:hint="default"/>
      </w:rPr>
    </w:lvl>
    <w:lvl w:ilvl="2" w:tplc="E812AA8E" w:tentative="1">
      <w:start w:val="1"/>
      <w:numFmt w:val="bullet"/>
      <w:lvlText w:val=""/>
      <w:lvlJc w:val="left"/>
      <w:pPr>
        <w:tabs>
          <w:tab w:val="num" w:pos="2160"/>
        </w:tabs>
        <w:ind w:left="2160" w:hanging="360"/>
      </w:pPr>
      <w:rPr>
        <w:rFonts w:ascii="Wingdings 3" w:hAnsi="Wingdings 3" w:hint="default"/>
      </w:rPr>
    </w:lvl>
    <w:lvl w:ilvl="3" w:tplc="7BD4D866" w:tentative="1">
      <w:start w:val="1"/>
      <w:numFmt w:val="bullet"/>
      <w:lvlText w:val=""/>
      <w:lvlJc w:val="left"/>
      <w:pPr>
        <w:tabs>
          <w:tab w:val="num" w:pos="2880"/>
        </w:tabs>
        <w:ind w:left="2880" w:hanging="360"/>
      </w:pPr>
      <w:rPr>
        <w:rFonts w:ascii="Wingdings 3" w:hAnsi="Wingdings 3" w:hint="default"/>
      </w:rPr>
    </w:lvl>
    <w:lvl w:ilvl="4" w:tplc="391C66C2" w:tentative="1">
      <w:start w:val="1"/>
      <w:numFmt w:val="bullet"/>
      <w:lvlText w:val=""/>
      <w:lvlJc w:val="left"/>
      <w:pPr>
        <w:tabs>
          <w:tab w:val="num" w:pos="3600"/>
        </w:tabs>
        <w:ind w:left="3600" w:hanging="360"/>
      </w:pPr>
      <w:rPr>
        <w:rFonts w:ascii="Wingdings 3" w:hAnsi="Wingdings 3" w:hint="default"/>
      </w:rPr>
    </w:lvl>
    <w:lvl w:ilvl="5" w:tplc="985EB7B8" w:tentative="1">
      <w:start w:val="1"/>
      <w:numFmt w:val="bullet"/>
      <w:lvlText w:val=""/>
      <w:lvlJc w:val="left"/>
      <w:pPr>
        <w:tabs>
          <w:tab w:val="num" w:pos="4320"/>
        </w:tabs>
        <w:ind w:left="4320" w:hanging="360"/>
      </w:pPr>
      <w:rPr>
        <w:rFonts w:ascii="Wingdings 3" w:hAnsi="Wingdings 3" w:hint="default"/>
      </w:rPr>
    </w:lvl>
    <w:lvl w:ilvl="6" w:tplc="7B72216C" w:tentative="1">
      <w:start w:val="1"/>
      <w:numFmt w:val="bullet"/>
      <w:lvlText w:val=""/>
      <w:lvlJc w:val="left"/>
      <w:pPr>
        <w:tabs>
          <w:tab w:val="num" w:pos="5040"/>
        </w:tabs>
        <w:ind w:left="5040" w:hanging="360"/>
      </w:pPr>
      <w:rPr>
        <w:rFonts w:ascii="Wingdings 3" w:hAnsi="Wingdings 3" w:hint="default"/>
      </w:rPr>
    </w:lvl>
    <w:lvl w:ilvl="7" w:tplc="A6C0B2BA" w:tentative="1">
      <w:start w:val="1"/>
      <w:numFmt w:val="bullet"/>
      <w:lvlText w:val=""/>
      <w:lvlJc w:val="left"/>
      <w:pPr>
        <w:tabs>
          <w:tab w:val="num" w:pos="5760"/>
        </w:tabs>
        <w:ind w:left="5760" w:hanging="360"/>
      </w:pPr>
      <w:rPr>
        <w:rFonts w:ascii="Wingdings 3" w:hAnsi="Wingdings 3" w:hint="default"/>
      </w:rPr>
    </w:lvl>
    <w:lvl w:ilvl="8" w:tplc="131C73B0"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15"/>
  </w:num>
  <w:num w:numId="3">
    <w:abstractNumId w:val="4"/>
  </w:num>
  <w:num w:numId="4">
    <w:abstractNumId w:val="12"/>
  </w:num>
  <w:num w:numId="5">
    <w:abstractNumId w:val="7"/>
  </w:num>
  <w:num w:numId="6">
    <w:abstractNumId w:val="13"/>
  </w:num>
  <w:num w:numId="7">
    <w:abstractNumId w:val="17"/>
  </w:num>
  <w:num w:numId="8">
    <w:abstractNumId w:val="6"/>
  </w:num>
  <w:num w:numId="9">
    <w:abstractNumId w:val="0"/>
  </w:num>
  <w:num w:numId="10">
    <w:abstractNumId w:val="9"/>
  </w:num>
  <w:num w:numId="11">
    <w:abstractNumId w:val="10"/>
  </w:num>
  <w:num w:numId="12">
    <w:abstractNumId w:val="5"/>
  </w:num>
  <w:num w:numId="13">
    <w:abstractNumId w:val="16"/>
  </w:num>
  <w:num w:numId="14">
    <w:abstractNumId w:val="8"/>
  </w:num>
  <w:num w:numId="15">
    <w:abstractNumId w:val="11"/>
  </w:num>
  <w:num w:numId="16">
    <w:abstractNumId w:val="2"/>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7E"/>
    <w:rsid w:val="00003552"/>
    <w:rsid w:val="00003721"/>
    <w:rsid w:val="000066AF"/>
    <w:rsid w:val="00006B64"/>
    <w:rsid w:val="0001749C"/>
    <w:rsid w:val="00022255"/>
    <w:rsid w:val="000252C8"/>
    <w:rsid w:val="00030B1F"/>
    <w:rsid w:val="00035171"/>
    <w:rsid w:val="0004195C"/>
    <w:rsid w:val="00044DBC"/>
    <w:rsid w:val="00054BC5"/>
    <w:rsid w:val="00056E8B"/>
    <w:rsid w:val="00057C99"/>
    <w:rsid w:val="00061875"/>
    <w:rsid w:val="0006576A"/>
    <w:rsid w:val="00070690"/>
    <w:rsid w:val="00071D80"/>
    <w:rsid w:val="00073FB6"/>
    <w:rsid w:val="0007408F"/>
    <w:rsid w:val="00082F50"/>
    <w:rsid w:val="000931A9"/>
    <w:rsid w:val="00093D08"/>
    <w:rsid w:val="00095FBB"/>
    <w:rsid w:val="000B04FD"/>
    <w:rsid w:val="000B7A31"/>
    <w:rsid w:val="000C0705"/>
    <w:rsid w:val="000C16CC"/>
    <w:rsid w:val="000C1E9C"/>
    <w:rsid w:val="000D4022"/>
    <w:rsid w:val="000E4341"/>
    <w:rsid w:val="000F0E7D"/>
    <w:rsid w:val="000F38A7"/>
    <w:rsid w:val="001076D0"/>
    <w:rsid w:val="00107D2F"/>
    <w:rsid w:val="0011177C"/>
    <w:rsid w:val="0011290D"/>
    <w:rsid w:val="001144F2"/>
    <w:rsid w:val="001153CA"/>
    <w:rsid w:val="00116BEC"/>
    <w:rsid w:val="00117556"/>
    <w:rsid w:val="001251F8"/>
    <w:rsid w:val="00135167"/>
    <w:rsid w:val="0014457E"/>
    <w:rsid w:val="00152DED"/>
    <w:rsid w:val="00161D36"/>
    <w:rsid w:val="0016259B"/>
    <w:rsid w:val="00165BBA"/>
    <w:rsid w:val="00166D8A"/>
    <w:rsid w:val="00173C63"/>
    <w:rsid w:val="00174256"/>
    <w:rsid w:val="0017602E"/>
    <w:rsid w:val="00180EF3"/>
    <w:rsid w:val="00181270"/>
    <w:rsid w:val="00185F77"/>
    <w:rsid w:val="0018629B"/>
    <w:rsid w:val="001A1279"/>
    <w:rsid w:val="001B1288"/>
    <w:rsid w:val="001B20CE"/>
    <w:rsid w:val="001B3E1D"/>
    <w:rsid w:val="001B66D0"/>
    <w:rsid w:val="001C5FAD"/>
    <w:rsid w:val="001C7D16"/>
    <w:rsid w:val="001D6C5F"/>
    <w:rsid w:val="001D6DD4"/>
    <w:rsid w:val="001E353A"/>
    <w:rsid w:val="001E749C"/>
    <w:rsid w:val="00203586"/>
    <w:rsid w:val="00205388"/>
    <w:rsid w:val="0020655F"/>
    <w:rsid w:val="0022028D"/>
    <w:rsid w:val="00221136"/>
    <w:rsid w:val="0022306F"/>
    <w:rsid w:val="00233DA3"/>
    <w:rsid w:val="00236009"/>
    <w:rsid w:val="00240A94"/>
    <w:rsid w:val="002506C3"/>
    <w:rsid w:val="002518AE"/>
    <w:rsid w:val="00252048"/>
    <w:rsid w:val="0026108E"/>
    <w:rsid w:val="002620B3"/>
    <w:rsid w:val="002661D2"/>
    <w:rsid w:val="00266E0C"/>
    <w:rsid w:val="00271CD4"/>
    <w:rsid w:val="00272527"/>
    <w:rsid w:val="002822E7"/>
    <w:rsid w:val="00294EC1"/>
    <w:rsid w:val="002A5ED5"/>
    <w:rsid w:val="002B49EB"/>
    <w:rsid w:val="002C11CF"/>
    <w:rsid w:val="002C5EBF"/>
    <w:rsid w:val="002D3D11"/>
    <w:rsid w:val="002E3502"/>
    <w:rsid w:val="002E62BF"/>
    <w:rsid w:val="002F1942"/>
    <w:rsid w:val="002F2F00"/>
    <w:rsid w:val="003013E7"/>
    <w:rsid w:val="003019EE"/>
    <w:rsid w:val="00307CB0"/>
    <w:rsid w:val="00313ED7"/>
    <w:rsid w:val="00320276"/>
    <w:rsid w:val="00321535"/>
    <w:rsid w:val="0032342C"/>
    <w:rsid w:val="00325B22"/>
    <w:rsid w:val="00325E2C"/>
    <w:rsid w:val="003317A7"/>
    <w:rsid w:val="00332FD3"/>
    <w:rsid w:val="00337EF4"/>
    <w:rsid w:val="00342D88"/>
    <w:rsid w:val="003649D0"/>
    <w:rsid w:val="00374741"/>
    <w:rsid w:val="0038432D"/>
    <w:rsid w:val="003870EA"/>
    <w:rsid w:val="00390008"/>
    <w:rsid w:val="003A1844"/>
    <w:rsid w:val="003A735E"/>
    <w:rsid w:val="003D01CE"/>
    <w:rsid w:val="003D1B42"/>
    <w:rsid w:val="003D1B7C"/>
    <w:rsid w:val="003D23BA"/>
    <w:rsid w:val="003D5445"/>
    <w:rsid w:val="003E1866"/>
    <w:rsid w:val="003E1FDD"/>
    <w:rsid w:val="003E5395"/>
    <w:rsid w:val="003F1243"/>
    <w:rsid w:val="003F796F"/>
    <w:rsid w:val="00410085"/>
    <w:rsid w:val="00411FD1"/>
    <w:rsid w:val="004149FA"/>
    <w:rsid w:val="00416C44"/>
    <w:rsid w:val="00423374"/>
    <w:rsid w:val="00423DFD"/>
    <w:rsid w:val="00424BCB"/>
    <w:rsid w:val="00425A04"/>
    <w:rsid w:val="0043481D"/>
    <w:rsid w:val="00434F6D"/>
    <w:rsid w:val="00435E79"/>
    <w:rsid w:val="00456215"/>
    <w:rsid w:val="0046660B"/>
    <w:rsid w:val="0047182D"/>
    <w:rsid w:val="0048194A"/>
    <w:rsid w:val="00484568"/>
    <w:rsid w:val="00491CA1"/>
    <w:rsid w:val="004A4AE1"/>
    <w:rsid w:val="004B16B7"/>
    <w:rsid w:val="004B428E"/>
    <w:rsid w:val="004B5131"/>
    <w:rsid w:val="004D7839"/>
    <w:rsid w:val="004E1023"/>
    <w:rsid w:val="004E2E70"/>
    <w:rsid w:val="004E3E91"/>
    <w:rsid w:val="004E4A40"/>
    <w:rsid w:val="004F7EA3"/>
    <w:rsid w:val="00502144"/>
    <w:rsid w:val="005074A9"/>
    <w:rsid w:val="005162CB"/>
    <w:rsid w:val="00516BC1"/>
    <w:rsid w:val="00525CCB"/>
    <w:rsid w:val="00525E54"/>
    <w:rsid w:val="00526527"/>
    <w:rsid w:val="005332CF"/>
    <w:rsid w:val="00540634"/>
    <w:rsid w:val="0054502F"/>
    <w:rsid w:val="00545941"/>
    <w:rsid w:val="00550B71"/>
    <w:rsid w:val="005526D2"/>
    <w:rsid w:val="005763AE"/>
    <w:rsid w:val="00577DA7"/>
    <w:rsid w:val="0058287B"/>
    <w:rsid w:val="005947EB"/>
    <w:rsid w:val="00594E19"/>
    <w:rsid w:val="0059580D"/>
    <w:rsid w:val="00597FE8"/>
    <w:rsid w:val="005A1D0D"/>
    <w:rsid w:val="005B37D6"/>
    <w:rsid w:val="005B5D0A"/>
    <w:rsid w:val="005D01EE"/>
    <w:rsid w:val="005D20BE"/>
    <w:rsid w:val="005D53F2"/>
    <w:rsid w:val="005D61F2"/>
    <w:rsid w:val="005E2FA0"/>
    <w:rsid w:val="005F20A5"/>
    <w:rsid w:val="005F234D"/>
    <w:rsid w:val="005F2F67"/>
    <w:rsid w:val="00601CEB"/>
    <w:rsid w:val="006121BB"/>
    <w:rsid w:val="00622B54"/>
    <w:rsid w:val="006404FC"/>
    <w:rsid w:val="00640893"/>
    <w:rsid w:val="00642CC1"/>
    <w:rsid w:val="006535DC"/>
    <w:rsid w:val="00656389"/>
    <w:rsid w:val="00664F9A"/>
    <w:rsid w:val="006670CB"/>
    <w:rsid w:val="00667B29"/>
    <w:rsid w:val="006727A8"/>
    <w:rsid w:val="00673DB0"/>
    <w:rsid w:val="00680C02"/>
    <w:rsid w:val="00683345"/>
    <w:rsid w:val="00687951"/>
    <w:rsid w:val="006A27A9"/>
    <w:rsid w:val="006B6C5B"/>
    <w:rsid w:val="006C1734"/>
    <w:rsid w:val="006C2ACB"/>
    <w:rsid w:val="006C67FD"/>
    <w:rsid w:val="006D0836"/>
    <w:rsid w:val="006E1ECF"/>
    <w:rsid w:val="006E307D"/>
    <w:rsid w:val="006E5C70"/>
    <w:rsid w:val="006E6F2C"/>
    <w:rsid w:val="006F747E"/>
    <w:rsid w:val="007216E7"/>
    <w:rsid w:val="00723A85"/>
    <w:rsid w:val="00726652"/>
    <w:rsid w:val="00726C31"/>
    <w:rsid w:val="00745F13"/>
    <w:rsid w:val="00747C22"/>
    <w:rsid w:val="00751816"/>
    <w:rsid w:val="00752B94"/>
    <w:rsid w:val="00754E2E"/>
    <w:rsid w:val="00756D12"/>
    <w:rsid w:val="00761637"/>
    <w:rsid w:val="00773383"/>
    <w:rsid w:val="007739AF"/>
    <w:rsid w:val="007808E0"/>
    <w:rsid w:val="00782D64"/>
    <w:rsid w:val="00787C9A"/>
    <w:rsid w:val="0079091E"/>
    <w:rsid w:val="00792477"/>
    <w:rsid w:val="00792755"/>
    <w:rsid w:val="00792CC1"/>
    <w:rsid w:val="007965EC"/>
    <w:rsid w:val="007970F4"/>
    <w:rsid w:val="007972E5"/>
    <w:rsid w:val="00797F70"/>
    <w:rsid w:val="007B3C1B"/>
    <w:rsid w:val="007B53E6"/>
    <w:rsid w:val="007B70E6"/>
    <w:rsid w:val="007C2D4D"/>
    <w:rsid w:val="007C33F7"/>
    <w:rsid w:val="007C555D"/>
    <w:rsid w:val="007E7350"/>
    <w:rsid w:val="00801DDD"/>
    <w:rsid w:val="008030D7"/>
    <w:rsid w:val="00807321"/>
    <w:rsid w:val="00807488"/>
    <w:rsid w:val="00807BAB"/>
    <w:rsid w:val="008116C0"/>
    <w:rsid w:val="00814D17"/>
    <w:rsid w:val="00825048"/>
    <w:rsid w:val="00831F93"/>
    <w:rsid w:val="00836038"/>
    <w:rsid w:val="00841AF1"/>
    <w:rsid w:val="008440DF"/>
    <w:rsid w:val="00847AB4"/>
    <w:rsid w:val="00852BC4"/>
    <w:rsid w:val="008531F6"/>
    <w:rsid w:val="008638A8"/>
    <w:rsid w:val="00874BC6"/>
    <w:rsid w:val="0087771C"/>
    <w:rsid w:val="008802AF"/>
    <w:rsid w:val="00881414"/>
    <w:rsid w:val="00881D1A"/>
    <w:rsid w:val="008836AA"/>
    <w:rsid w:val="0088419A"/>
    <w:rsid w:val="0089047D"/>
    <w:rsid w:val="008916B2"/>
    <w:rsid w:val="008924D7"/>
    <w:rsid w:val="0089777B"/>
    <w:rsid w:val="008A1798"/>
    <w:rsid w:val="008A4DCB"/>
    <w:rsid w:val="008B188F"/>
    <w:rsid w:val="008B1C9A"/>
    <w:rsid w:val="008C6D41"/>
    <w:rsid w:val="008E2E24"/>
    <w:rsid w:val="008E2E92"/>
    <w:rsid w:val="008E315B"/>
    <w:rsid w:val="008E40AF"/>
    <w:rsid w:val="008E4515"/>
    <w:rsid w:val="008F613B"/>
    <w:rsid w:val="008F7BA0"/>
    <w:rsid w:val="009036F2"/>
    <w:rsid w:val="00910EF5"/>
    <w:rsid w:val="00912DC9"/>
    <w:rsid w:val="009133E6"/>
    <w:rsid w:val="00913C87"/>
    <w:rsid w:val="0092267D"/>
    <w:rsid w:val="009242BC"/>
    <w:rsid w:val="00926508"/>
    <w:rsid w:val="00926719"/>
    <w:rsid w:val="00936204"/>
    <w:rsid w:val="009367BB"/>
    <w:rsid w:val="00937D40"/>
    <w:rsid w:val="00942666"/>
    <w:rsid w:val="009528C3"/>
    <w:rsid w:val="009534C4"/>
    <w:rsid w:val="00957B6E"/>
    <w:rsid w:val="00960E5C"/>
    <w:rsid w:val="0096273D"/>
    <w:rsid w:val="00962DF7"/>
    <w:rsid w:val="0097115A"/>
    <w:rsid w:val="00974D19"/>
    <w:rsid w:val="009758C6"/>
    <w:rsid w:val="009769C9"/>
    <w:rsid w:val="00983379"/>
    <w:rsid w:val="009836EC"/>
    <w:rsid w:val="009A3370"/>
    <w:rsid w:val="009C03CF"/>
    <w:rsid w:val="009C4EB3"/>
    <w:rsid w:val="009C561E"/>
    <w:rsid w:val="009C7257"/>
    <w:rsid w:val="009D001D"/>
    <w:rsid w:val="009D0478"/>
    <w:rsid w:val="009D57B7"/>
    <w:rsid w:val="009E4CF4"/>
    <w:rsid w:val="009F17B7"/>
    <w:rsid w:val="009F22A3"/>
    <w:rsid w:val="009F7185"/>
    <w:rsid w:val="00A02EC1"/>
    <w:rsid w:val="00A05977"/>
    <w:rsid w:val="00A1151E"/>
    <w:rsid w:val="00A232C1"/>
    <w:rsid w:val="00A245B7"/>
    <w:rsid w:val="00A27B82"/>
    <w:rsid w:val="00A347EC"/>
    <w:rsid w:val="00A35D93"/>
    <w:rsid w:val="00A511D4"/>
    <w:rsid w:val="00A607C5"/>
    <w:rsid w:val="00A60A53"/>
    <w:rsid w:val="00A66789"/>
    <w:rsid w:val="00A73123"/>
    <w:rsid w:val="00A732BE"/>
    <w:rsid w:val="00A74119"/>
    <w:rsid w:val="00A74B31"/>
    <w:rsid w:val="00A76B05"/>
    <w:rsid w:val="00A77D2C"/>
    <w:rsid w:val="00A83F0D"/>
    <w:rsid w:val="00A84116"/>
    <w:rsid w:val="00A85E18"/>
    <w:rsid w:val="00A866FB"/>
    <w:rsid w:val="00A93091"/>
    <w:rsid w:val="00A94D4D"/>
    <w:rsid w:val="00AA1FF8"/>
    <w:rsid w:val="00AA263F"/>
    <w:rsid w:val="00AA2B2F"/>
    <w:rsid w:val="00AA3BF0"/>
    <w:rsid w:val="00AA66AC"/>
    <w:rsid w:val="00AA7ABE"/>
    <w:rsid w:val="00AB0694"/>
    <w:rsid w:val="00AB1032"/>
    <w:rsid w:val="00AB169D"/>
    <w:rsid w:val="00AB1DF1"/>
    <w:rsid w:val="00AB22FB"/>
    <w:rsid w:val="00AB557B"/>
    <w:rsid w:val="00AC0236"/>
    <w:rsid w:val="00AC1379"/>
    <w:rsid w:val="00AD0A80"/>
    <w:rsid w:val="00AD30CF"/>
    <w:rsid w:val="00AE00B4"/>
    <w:rsid w:val="00AE00F4"/>
    <w:rsid w:val="00AE0354"/>
    <w:rsid w:val="00AE4D97"/>
    <w:rsid w:val="00AE609A"/>
    <w:rsid w:val="00AF66B3"/>
    <w:rsid w:val="00B01CE6"/>
    <w:rsid w:val="00B021F2"/>
    <w:rsid w:val="00B03A5B"/>
    <w:rsid w:val="00B058A4"/>
    <w:rsid w:val="00B05DC5"/>
    <w:rsid w:val="00B1649C"/>
    <w:rsid w:val="00B212E5"/>
    <w:rsid w:val="00B22112"/>
    <w:rsid w:val="00B32E04"/>
    <w:rsid w:val="00B32EF2"/>
    <w:rsid w:val="00B362C3"/>
    <w:rsid w:val="00B402F1"/>
    <w:rsid w:val="00B404BF"/>
    <w:rsid w:val="00B437B1"/>
    <w:rsid w:val="00B44FBA"/>
    <w:rsid w:val="00B5388B"/>
    <w:rsid w:val="00B573DC"/>
    <w:rsid w:val="00B57ED2"/>
    <w:rsid w:val="00B7010F"/>
    <w:rsid w:val="00B712B2"/>
    <w:rsid w:val="00B712C2"/>
    <w:rsid w:val="00B736FF"/>
    <w:rsid w:val="00B81887"/>
    <w:rsid w:val="00B81E3B"/>
    <w:rsid w:val="00B954ED"/>
    <w:rsid w:val="00BA17EF"/>
    <w:rsid w:val="00BA5A78"/>
    <w:rsid w:val="00BA6E29"/>
    <w:rsid w:val="00BB0D53"/>
    <w:rsid w:val="00BB52B4"/>
    <w:rsid w:val="00BB6640"/>
    <w:rsid w:val="00BB6ECA"/>
    <w:rsid w:val="00BB7FA2"/>
    <w:rsid w:val="00BC13E4"/>
    <w:rsid w:val="00BC3309"/>
    <w:rsid w:val="00BC3823"/>
    <w:rsid w:val="00BC5623"/>
    <w:rsid w:val="00BD2073"/>
    <w:rsid w:val="00BD4F2D"/>
    <w:rsid w:val="00BE1A0A"/>
    <w:rsid w:val="00BE1B24"/>
    <w:rsid w:val="00BE4028"/>
    <w:rsid w:val="00BE6C8E"/>
    <w:rsid w:val="00BE6E3B"/>
    <w:rsid w:val="00BF78BE"/>
    <w:rsid w:val="00C137D9"/>
    <w:rsid w:val="00C14B57"/>
    <w:rsid w:val="00C466BC"/>
    <w:rsid w:val="00C5405D"/>
    <w:rsid w:val="00C5614A"/>
    <w:rsid w:val="00C77704"/>
    <w:rsid w:val="00C77D72"/>
    <w:rsid w:val="00C83A45"/>
    <w:rsid w:val="00C85077"/>
    <w:rsid w:val="00C902FA"/>
    <w:rsid w:val="00C922EB"/>
    <w:rsid w:val="00C930D8"/>
    <w:rsid w:val="00C93C15"/>
    <w:rsid w:val="00C9637E"/>
    <w:rsid w:val="00CA328F"/>
    <w:rsid w:val="00CA35A1"/>
    <w:rsid w:val="00CA61F2"/>
    <w:rsid w:val="00CB2502"/>
    <w:rsid w:val="00CB4224"/>
    <w:rsid w:val="00CB4F09"/>
    <w:rsid w:val="00CC2870"/>
    <w:rsid w:val="00CC6328"/>
    <w:rsid w:val="00CC7E09"/>
    <w:rsid w:val="00CD2713"/>
    <w:rsid w:val="00CD304F"/>
    <w:rsid w:val="00CD7945"/>
    <w:rsid w:val="00CE2062"/>
    <w:rsid w:val="00CE3966"/>
    <w:rsid w:val="00CE7D39"/>
    <w:rsid w:val="00CF2ADD"/>
    <w:rsid w:val="00D015B0"/>
    <w:rsid w:val="00D038B0"/>
    <w:rsid w:val="00D10295"/>
    <w:rsid w:val="00D104DF"/>
    <w:rsid w:val="00D17E17"/>
    <w:rsid w:val="00D17FD8"/>
    <w:rsid w:val="00D2174C"/>
    <w:rsid w:val="00D23F14"/>
    <w:rsid w:val="00D25038"/>
    <w:rsid w:val="00D34C36"/>
    <w:rsid w:val="00D35473"/>
    <w:rsid w:val="00D533DB"/>
    <w:rsid w:val="00D53D2E"/>
    <w:rsid w:val="00D54F9B"/>
    <w:rsid w:val="00D560D1"/>
    <w:rsid w:val="00D5758C"/>
    <w:rsid w:val="00D61638"/>
    <w:rsid w:val="00D63976"/>
    <w:rsid w:val="00D662F9"/>
    <w:rsid w:val="00D67ABB"/>
    <w:rsid w:val="00D67BFC"/>
    <w:rsid w:val="00D67EC8"/>
    <w:rsid w:val="00D81C9D"/>
    <w:rsid w:val="00D86942"/>
    <w:rsid w:val="00D87B4F"/>
    <w:rsid w:val="00D87E0D"/>
    <w:rsid w:val="00D9106D"/>
    <w:rsid w:val="00DA394F"/>
    <w:rsid w:val="00DA40E7"/>
    <w:rsid w:val="00DB09C1"/>
    <w:rsid w:val="00DB68A7"/>
    <w:rsid w:val="00DC2499"/>
    <w:rsid w:val="00DC25C7"/>
    <w:rsid w:val="00DD5713"/>
    <w:rsid w:val="00DF2E71"/>
    <w:rsid w:val="00DF4C07"/>
    <w:rsid w:val="00DF7FA4"/>
    <w:rsid w:val="00E02BDD"/>
    <w:rsid w:val="00E13E23"/>
    <w:rsid w:val="00E14BDB"/>
    <w:rsid w:val="00E21793"/>
    <w:rsid w:val="00E24D28"/>
    <w:rsid w:val="00E34586"/>
    <w:rsid w:val="00E35C93"/>
    <w:rsid w:val="00E40A83"/>
    <w:rsid w:val="00E41EC2"/>
    <w:rsid w:val="00E43991"/>
    <w:rsid w:val="00E52F52"/>
    <w:rsid w:val="00E53E2C"/>
    <w:rsid w:val="00E53EC7"/>
    <w:rsid w:val="00E56CB2"/>
    <w:rsid w:val="00E65D5A"/>
    <w:rsid w:val="00E70729"/>
    <w:rsid w:val="00E72344"/>
    <w:rsid w:val="00E803D5"/>
    <w:rsid w:val="00E86EAD"/>
    <w:rsid w:val="00E87378"/>
    <w:rsid w:val="00EA4758"/>
    <w:rsid w:val="00EB118C"/>
    <w:rsid w:val="00EC2C62"/>
    <w:rsid w:val="00EC75B4"/>
    <w:rsid w:val="00ED05D8"/>
    <w:rsid w:val="00ED3A5F"/>
    <w:rsid w:val="00ED7450"/>
    <w:rsid w:val="00EE24E9"/>
    <w:rsid w:val="00EE3827"/>
    <w:rsid w:val="00EF07EB"/>
    <w:rsid w:val="00EF6C0D"/>
    <w:rsid w:val="00F01C1B"/>
    <w:rsid w:val="00F01DF6"/>
    <w:rsid w:val="00F02D99"/>
    <w:rsid w:val="00F12791"/>
    <w:rsid w:val="00F13368"/>
    <w:rsid w:val="00F16B5B"/>
    <w:rsid w:val="00F335E1"/>
    <w:rsid w:val="00F33A06"/>
    <w:rsid w:val="00F35628"/>
    <w:rsid w:val="00F42184"/>
    <w:rsid w:val="00F50B3A"/>
    <w:rsid w:val="00F527E6"/>
    <w:rsid w:val="00F53ECB"/>
    <w:rsid w:val="00F56E3F"/>
    <w:rsid w:val="00F747C7"/>
    <w:rsid w:val="00F75379"/>
    <w:rsid w:val="00F807E4"/>
    <w:rsid w:val="00F81C79"/>
    <w:rsid w:val="00F82160"/>
    <w:rsid w:val="00F84BFF"/>
    <w:rsid w:val="00F918C1"/>
    <w:rsid w:val="00F9273F"/>
    <w:rsid w:val="00F93FAF"/>
    <w:rsid w:val="00F97547"/>
    <w:rsid w:val="00FA2363"/>
    <w:rsid w:val="00FA2D7C"/>
    <w:rsid w:val="00FB5CB2"/>
    <w:rsid w:val="00FB68B3"/>
    <w:rsid w:val="00FD4E4E"/>
    <w:rsid w:val="00FE4A49"/>
    <w:rsid w:val="00FE6728"/>
    <w:rsid w:val="00FE76FB"/>
    <w:rsid w:val="00FF2A3D"/>
    <w:rsid w:val="00FF6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12BD"/>
  <w15:docId w15:val="{212E5354-420F-4582-900B-4414D10F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3E4"/>
  </w:style>
  <w:style w:type="paragraph" w:styleId="Heading2">
    <w:name w:val="heading 2"/>
    <w:basedOn w:val="Normal"/>
    <w:next w:val="Normal"/>
    <w:link w:val="Heading2Char"/>
    <w:uiPriority w:val="9"/>
    <w:semiHidden/>
    <w:unhideWhenUsed/>
    <w:qFormat/>
    <w:rsid w:val="00BE6E3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A35A1"/>
    <w:pPr>
      <w:keepNext/>
      <w:spacing w:before="360" w:after="240" w:afterAutospacing="0" w:line="360" w:lineRule="auto"/>
      <w:jc w:val="left"/>
      <w:outlineLvl w:val="2"/>
    </w:pPr>
    <w:rPr>
      <w:rFonts w:ascii="Arial" w:eastAsia="Times New Roman" w:hAnsi="Arial" w:cs="Arial"/>
      <w:b/>
      <w:i/>
      <w:kern w:val="32"/>
      <w:sz w:val="24"/>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57E"/>
    <w:pPr>
      <w:ind w:left="720"/>
      <w:contextualSpacing/>
    </w:pPr>
  </w:style>
  <w:style w:type="paragraph" w:styleId="NormalWeb">
    <w:name w:val="Normal (Web)"/>
    <w:basedOn w:val="Normal"/>
    <w:unhideWhenUsed/>
    <w:rsid w:val="00BC13E4"/>
    <w:pPr>
      <w:spacing w:before="100" w:beforeAutospacing="1"/>
      <w:jc w:val="left"/>
    </w:pPr>
    <w:rPr>
      <w:rFonts w:ascii="Times New Roman" w:eastAsia="Times New Roman" w:hAnsi="Times New Roman" w:cs="Times New Roman"/>
      <w:sz w:val="24"/>
      <w:szCs w:val="24"/>
      <w:lang w:eastAsia="en-GB"/>
    </w:rPr>
  </w:style>
  <w:style w:type="character" w:customStyle="1" w:styleId="googqs-tidbit">
    <w:name w:val="goog_qs-tidbit"/>
    <w:basedOn w:val="DefaultParagraphFont"/>
    <w:rsid w:val="00BC13E4"/>
  </w:style>
  <w:style w:type="character" w:styleId="Strong">
    <w:name w:val="Strong"/>
    <w:basedOn w:val="DefaultParagraphFont"/>
    <w:uiPriority w:val="22"/>
    <w:qFormat/>
    <w:rsid w:val="00BC13E4"/>
    <w:rPr>
      <w:b/>
      <w:bCs/>
    </w:rPr>
  </w:style>
  <w:style w:type="character" w:styleId="CommentReference">
    <w:name w:val="annotation reference"/>
    <w:basedOn w:val="DefaultParagraphFont"/>
    <w:uiPriority w:val="99"/>
    <w:semiHidden/>
    <w:unhideWhenUsed/>
    <w:rsid w:val="00D67ABB"/>
    <w:rPr>
      <w:sz w:val="16"/>
      <w:szCs w:val="16"/>
    </w:rPr>
  </w:style>
  <w:style w:type="paragraph" w:styleId="CommentText">
    <w:name w:val="annotation text"/>
    <w:basedOn w:val="Normal"/>
    <w:link w:val="CommentTextChar"/>
    <w:uiPriority w:val="99"/>
    <w:semiHidden/>
    <w:unhideWhenUsed/>
    <w:rsid w:val="00D67ABB"/>
    <w:rPr>
      <w:sz w:val="20"/>
      <w:szCs w:val="20"/>
    </w:rPr>
  </w:style>
  <w:style w:type="character" w:customStyle="1" w:styleId="CommentTextChar">
    <w:name w:val="Comment Text Char"/>
    <w:basedOn w:val="DefaultParagraphFont"/>
    <w:link w:val="CommentText"/>
    <w:uiPriority w:val="99"/>
    <w:semiHidden/>
    <w:rsid w:val="00D67ABB"/>
    <w:rPr>
      <w:sz w:val="20"/>
      <w:szCs w:val="20"/>
    </w:rPr>
  </w:style>
  <w:style w:type="paragraph" w:styleId="CommentSubject">
    <w:name w:val="annotation subject"/>
    <w:basedOn w:val="CommentText"/>
    <w:next w:val="CommentText"/>
    <w:link w:val="CommentSubjectChar"/>
    <w:uiPriority w:val="99"/>
    <w:semiHidden/>
    <w:unhideWhenUsed/>
    <w:rsid w:val="00D67ABB"/>
    <w:rPr>
      <w:b/>
      <w:bCs/>
    </w:rPr>
  </w:style>
  <w:style w:type="character" w:customStyle="1" w:styleId="CommentSubjectChar">
    <w:name w:val="Comment Subject Char"/>
    <w:basedOn w:val="CommentTextChar"/>
    <w:link w:val="CommentSubject"/>
    <w:uiPriority w:val="99"/>
    <w:semiHidden/>
    <w:rsid w:val="00D67ABB"/>
    <w:rPr>
      <w:b/>
      <w:bCs/>
      <w:sz w:val="20"/>
      <w:szCs w:val="20"/>
    </w:rPr>
  </w:style>
  <w:style w:type="paragraph" w:styleId="BalloonText">
    <w:name w:val="Balloon Text"/>
    <w:basedOn w:val="Normal"/>
    <w:link w:val="BalloonTextChar"/>
    <w:uiPriority w:val="99"/>
    <w:semiHidden/>
    <w:unhideWhenUsed/>
    <w:rsid w:val="00D67A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BB"/>
    <w:rPr>
      <w:rFonts w:ascii="Tahoma" w:hAnsi="Tahoma" w:cs="Tahoma"/>
      <w:sz w:val="16"/>
      <w:szCs w:val="16"/>
    </w:rPr>
  </w:style>
  <w:style w:type="paragraph" w:styleId="FootnoteText">
    <w:name w:val="footnote text"/>
    <w:aliases w:val="Schriftart: 9 pt,Schriftart: 10 pt,Schriftart: 8 pt,WB-Fußnotentext,fn,Footnotes,Footnote ak,Footnote,Footnote Text Char1,Footnote Text Char Char,Footnote Text Char1 Char Char,Footnote Text Char Char Char Char"/>
    <w:basedOn w:val="Normal"/>
    <w:link w:val="FootnoteTextChar"/>
    <w:semiHidden/>
    <w:unhideWhenUsed/>
    <w:rsid w:val="002F2F00"/>
    <w:pPr>
      <w:spacing w:after="0"/>
    </w:pPr>
    <w:rPr>
      <w:sz w:val="20"/>
      <w:szCs w:val="20"/>
    </w:rPr>
  </w:style>
  <w:style w:type="character" w:customStyle="1" w:styleId="FootnoteTextChar">
    <w:name w:val="Footnote Text Char"/>
    <w:aliases w:val="Schriftart: 9 pt Char,Schriftart: 10 pt Char,Schriftart: 8 pt Char,WB-Fußnotentext Char,fn Char,Footnotes Char,Footnote ak Char,Footnote Char,Footnote Text Char1 Char,Footnote Text Char Char Char,Footnote Text Char1 Char Char Char"/>
    <w:basedOn w:val="DefaultParagraphFont"/>
    <w:link w:val="FootnoteText"/>
    <w:uiPriority w:val="99"/>
    <w:semiHidden/>
    <w:rsid w:val="002F2F00"/>
    <w:rPr>
      <w:sz w:val="20"/>
      <w:szCs w:val="20"/>
    </w:rPr>
  </w:style>
  <w:style w:type="character" w:styleId="FootnoteReference">
    <w:name w:val="footnote reference"/>
    <w:basedOn w:val="DefaultParagraphFont"/>
    <w:semiHidden/>
    <w:unhideWhenUsed/>
    <w:rsid w:val="002F2F00"/>
    <w:rPr>
      <w:vertAlign w:val="superscript"/>
    </w:rPr>
  </w:style>
  <w:style w:type="paragraph" w:customStyle="1" w:styleId="Default">
    <w:name w:val="Default"/>
    <w:rsid w:val="00A74119"/>
    <w:pPr>
      <w:autoSpaceDE w:val="0"/>
      <w:autoSpaceDN w:val="0"/>
      <w:adjustRightInd w:val="0"/>
      <w:spacing w:after="0" w:afterAutospacing="0"/>
      <w:jc w:val="left"/>
    </w:pPr>
    <w:rPr>
      <w:rFonts w:ascii="Arial" w:hAnsi="Arial" w:cs="Arial"/>
      <w:color w:val="000000"/>
      <w:sz w:val="24"/>
      <w:szCs w:val="24"/>
    </w:rPr>
  </w:style>
  <w:style w:type="character" w:styleId="Hyperlink">
    <w:name w:val="Hyperlink"/>
    <w:basedOn w:val="DefaultParagraphFont"/>
    <w:uiPriority w:val="99"/>
    <w:unhideWhenUsed/>
    <w:rsid w:val="00A74119"/>
    <w:rPr>
      <w:color w:val="0000FF" w:themeColor="hyperlink"/>
      <w:u w:val="single"/>
    </w:rPr>
  </w:style>
  <w:style w:type="character" w:styleId="Emphasis">
    <w:name w:val="Emphasis"/>
    <w:basedOn w:val="DefaultParagraphFont"/>
    <w:uiPriority w:val="20"/>
    <w:qFormat/>
    <w:rsid w:val="00C5614A"/>
    <w:rPr>
      <w:i/>
      <w:iCs/>
    </w:rPr>
  </w:style>
  <w:style w:type="paragraph" w:styleId="EndnoteText">
    <w:name w:val="endnote text"/>
    <w:basedOn w:val="Normal"/>
    <w:link w:val="EndnoteTextChar"/>
    <w:uiPriority w:val="99"/>
    <w:semiHidden/>
    <w:unhideWhenUsed/>
    <w:rsid w:val="00BB52B4"/>
    <w:pPr>
      <w:spacing w:after="0"/>
    </w:pPr>
    <w:rPr>
      <w:sz w:val="20"/>
      <w:szCs w:val="20"/>
    </w:rPr>
  </w:style>
  <w:style w:type="character" w:customStyle="1" w:styleId="EndnoteTextChar">
    <w:name w:val="Endnote Text Char"/>
    <w:basedOn w:val="DefaultParagraphFont"/>
    <w:link w:val="EndnoteText"/>
    <w:uiPriority w:val="99"/>
    <w:semiHidden/>
    <w:rsid w:val="00BB52B4"/>
    <w:rPr>
      <w:sz w:val="20"/>
      <w:szCs w:val="20"/>
    </w:rPr>
  </w:style>
  <w:style w:type="character" w:styleId="EndnoteReference">
    <w:name w:val="endnote reference"/>
    <w:basedOn w:val="DefaultParagraphFont"/>
    <w:uiPriority w:val="99"/>
    <w:semiHidden/>
    <w:unhideWhenUsed/>
    <w:rsid w:val="00BB52B4"/>
    <w:rPr>
      <w:vertAlign w:val="superscript"/>
    </w:rPr>
  </w:style>
  <w:style w:type="character" w:customStyle="1" w:styleId="BodytextChar">
    <w:name w:val="Body text Char"/>
    <w:link w:val="BodyText1"/>
    <w:rsid w:val="009F7185"/>
    <w:rPr>
      <w:color w:val="000000"/>
      <w:sz w:val="24"/>
      <w:szCs w:val="24"/>
      <w:lang w:val="en-US"/>
    </w:rPr>
  </w:style>
  <w:style w:type="paragraph" w:customStyle="1" w:styleId="BodyText1">
    <w:name w:val="Body Text1"/>
    <w:basedOn w:val="Normal"/>
    <w:link w:val="BodytextChar"/>
    <w:rsid w:val="009F7185"/>
    <w:pPr>
      <w:spacing w:before="240" w:after="240" w:afterAutospacing="0" w:line="360" w:lineRule="auto"/>
      <w:jc w:val="left"/>
    </w:pPr>
    <w:rPr>
      <w:color w:val="000000"/>
      <w:sz w:val="24"/>
      <w:szCs w:val="24"/>
      <w:lang w:val="en-US"/>
    </w:rPr>
  </w:style>
  <w:style w:type="character" w:customStyle="1" w:styleId="Heading3Char">
    <w:name w:val="Heading 3 Char"/>
    <w:basedOn w:val="DefaultParagraphFont"/>
    <w:link w:val="Heading3"/>
    <w:rsid w:val="00CA35A1"/>
    <w:rPr>
      <w:rFonts w:ascii="Arial" w:eastAsia="Times New Roman" w:hAnsi="Arial" w:cs="Arial"/>
      <w:b/>
      <w:i/>
      <w:kern w:val="32"/>
      <w:sz w:val="24"/>
      <w:szCs w:val="26"/>
      <w:lang w:bidi="en-US"/>
    </w:rPr>
  </w:style>
  <w:style w:type="paragraph" w:customStyle="1" w:styleId="extractedquote">
    <w:name w:val="extracted quote"/>
    <w:basedOn w:val="Normal"/>
    <w:rsid w:val="00CA35A1"/>
    <w:pPr>
      <w:spacing w:before="240" w:after="240" w:afterAutospacing="0" w:line="360" w:lineRule="auto"/>
      <w:ind w:left="720"/>
    </w:pPr>
    <w:rPr>
      <w:rFonts w:ascii="Times New Roman" w:eastAsia="Calibri" w:hAnsi="Times New Roman" w:cs="Times New Roman"/>
      <w:szCs w:val="24"/>
      <w:lang w:val="en-US" w:bidi="en-US"/>
    </w:rPr>
  </w:style>
  <w:style w:type="paragraph" w:styleId="Header">
    <w:name w:val="header"/>
    <w:basedOn w:val="Normal"/>
    <w:link w:val="HeaderChar"/>
    <w:uiPriority w:val="99"/>
    <w:unhideWhenUsed/>
    <w:rsid w:val="00EC75B4"/>
    <w:pPr>
      <w:tabs>
        <w:tab w:val="center" w:pos="4513"/>
        <w:tab w:val="right" w:pos="9026"/>
      </w:tabs>
      <w:spacing w:after="0"/>
    </w:pPr>
  </w:style>
  <w:style w:type="character" w:customStyle="1" w:styleId="HeaderChar">
    <w:name w:val="Header Char"/>
    <w:basedOn w:val="DefaultParagraphFont"/>
    <w:link w:val="Header"/>
    <w:uiPriority w:val="99"/>
    <w:rsid w:val="00EC75B4"/>
  </w:style>
  <w:style w:type="paragraph" w:styleId="Footer">
    <w:name w:val="footer"/>
    <w:basedOn w:val="Normal"/>
    <w:link w:val="FooterChar"/>
    <w:uiPriority w:val="99"/>
    <w:unhideWhenUsed/>
    <w:rsid w:val="00EC75B4"/>
    <w:pPr>
      <w:tabs>
        <w:tab w:val="center" w:pos="4513"/>
        <w:tab w:val="right" w:pos="9026"/>
      </w:tabs>
      <w:spacing w:after="0"/>
    </w:pPr>
  </w:style>
  <w:style w:type="character" w:customStyle="1" w:styleId="FooterChar">
    <w:name w:val="Footer Char"/>
    <w:basedOn w:val="DefaultParagraphFont"/>
    <w:link w:val="Footer"/>
    <w:uiPriority w:val="99"/>
    <w:rsid w:val="00EC75B4"/>
  </w:style>
  <w:style w:type="character" w:customStyle="1" w:styleId="Heading2Char">
    <w:name w:val="Heading 2 Char"/>
    <w:basedOn w:val="DefaultParagraphFont"/>
    <w:link w:val="Heading2"/>
    <w:uiPriority w:val="9"/>
    <w:semiHidden/>
    <w:rsid w:val="00BE6E3B"/>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3D1B7C"/>
  </w:style>
  <w:style w:type="paragraph" w:styleId="BodyText2">
    <w:name w:val="Body Text 2"/>
    <w:basedOn w:val="Normal"/>
    <w:link w:val="BodyText2Char"/>
    <w:rsid w:val="000F38A7"/>
    <w:pPr>
      <w:spacing w:after="0" w:afterAutospacing="0"/>
    </w:pPr>
    <w:rPr>
      <w:rFonts w:ascii="Times New Roman" w:eastAsia="Times New Roman" w:hAnsi="Times New Roman" w:cs="Times New Roman"/>
    </w:rPr>
  </w:style>
  <w:style w:type="character" w:customStyle="1" w:styleId="BodyText2Char">
    <w:name w:val="Body Text 2 Char"/>
    <w:basedOn w:val="DefaultParagraphFont"/>
    <w:link w:val="BodyText2"/>
    <w:rsid w:val="000F38A7"/>
    <w:rPr>
      <w:rFonts w:ascii="Times New Roman" w:eastAsia="Times New Roman" w:hAnsi="Times New Roman" w:cs="Times New Roman"/>
    </w:rPr>
  </w:style>
  <w:style w:type="paragraph" w:styleId="BodyText3">
    <w:name w:val="Body Text 3"/>
    <w:basedOn w:val="Normal"/>
    <w:link w:val="BodyText3Char"/>
    <w:uiPriority w:val="99"/>
    <w:semiHidden/>
    <w:unhideWhenUsed/>
    <w:rsid w:val="0011177C"/>
    <w:pPr>
      <w:spacing w:after="120" w:afterAutospacing="0" w:line="276" w:lineRule="auto"/>
      <w:jc w:val="left"/>
    </w:pPr>
    <w:rPr>
      <w:sz w:val="16"/>
      <w:szCs w:val="16"/>
    </w:rPr>
  </w:style>
  <w:style w:type="character" w:customStyle="1" w:styleId="BodyText3Char">
    <w:name w:val="Body Text 3 Char"/>
    <w:basedOn w:val="DefaultParagraphFont"/>
    <w:link w:val="BodyText3"/>
    <w:uiPriority w:val="99"/>
    <w:semiHidden/>
    <w:rsid w:val="0011177C"/>
    <w:rPr>
      <w:sz w:val="16"/>
      <w:szCs w:val="16"/>
    </w:rPr>
  </w:style>
  <w:style w:type="paragraph" w:styleId="Bibliography">
    <w:name w:val="Bibliography"/>
    <w:basedOn w:val="Normal"/>
    <w:next w:val="Normal"/>
    <w:uiPriority w:val="37"/>
    <w:semiHidden/>
    <w:unhideWhenUsed/>
    <w:rsid w:val="00F16B5B"/>
  </w:style>
  <w:style w:type="paragraph" w:styleId="Revision">
    <w:name w:val="Revision"/>
    <w:hidden/>
    <w:uiPriority w:val="99"/>
    <w:semiHidden/>
    <w:rsid w:val="00F12791"/>
    <w:pPr>
      <w:spacing w:after="0" w:afterAutospacing="0"/>
      <w:jc w:val="left"/>
    </w:pPr>
  </w:style>
  <w:style w:type="character" w:customStyle="1" w:styleId="cit-vol2">
    <w:name w:val="cit-vol2"/>
    <w:basedOn w:val="DefaultParagraphFont"/>
    <w:rsid w:val="00CE3966"/>
  </w:style>
  <w:style w:type="character" w:customStyle="1" w:styleId="cit-sep2">
    <w:name w:val="cit-sep2"/>
    <w:basedOn w:val="DefaultParagraphFont"/>
    <w:rsid w:val="00CE3966"/>
  </w:style>
  <w:style w:type="character" w:customStyle="1" w:styleId="cit-first-page">
    <w:name w:val="cit-first-page"/>
    <w:basedOn w:val="DefaultParagraphFont"/>
    <w:rsid w:val="00CE3966"/>
  </w:style>
  <w:style w:type="character" w:customStyle="1" w:styleId="cit-last-page2">
    <w:name w:val="cit-last-page2"/>
    <w:basedOn w:val="DefaultParagraphFont"/>
    <w:rsid w:val="00CE3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3499">
      <w:bodyDiv w:val="1"/>
      <w:marLeft w:val="0"/>
      <w:marRight w:val="0"/>
      <w:marTop w:val="0"/>
      <w:marBottom w:val="0"/>
      <w:divBdr>
        <w:top w:val="none" w:sz="0" w:space="0" w:color="auto"/>
        <w:left w:val="none" w:sz="0" w:space="0" w:color="auto"/>
        <w:bottom w:val="none" w:sz="0" w:space="0" w:color="auto"/>
        <w:right w:val="none" w:sz="0" w:space="0" w:color="auto"/>
      </w:divBdr>
      <w:divsChild>
        <w:div w:id="1338382665">
          <w:marLeft w:val="0"/>
          <w:marRight w:val="0"/>
          <w:marTop w:val="0"/>
          <w:marBottom w:val="0"/>
          <w:divBdr>
            <w:top w:val="none" w:sz="0" w:space="0" w:color="auto"/>
            <w:left w:val="none" w:sz="0" w:space="0" w:color="auto"/>
            <w:bottom w:val="single" w:sz="6" w:space="23" w:color="C8C8C8"/>
            <w:right w:val="none" w:sz="0" w:space="0" w:color="auto"/>
          </w:divBdr>
          <w:divsChild>
            <w:div w:id="2077849337">
              <w:marLeft w:val="0"/>
              <w:marRight w:val="0"/>
              <w:marTop w:val="0"/>
              <w:marBottom w:val="0"/>
              <w:divBdr>
                <w:top w:val="none" w:sz="0" w:space="0" w:color="auto"/>
                <w:left w:val="none" w:sz="0" w:space="0" w:color="auto"/>
                <w:bottom w:val="none" w:sz="0" w:space="0" w:color="auto"/>
                <w:right w:val="none" w:sz="0" w:space="0" w:color="auto"/>
              </w:divBdr>
              <w:divsChild>
                <w:div w:id="1703361490">
                  <w:marLeft w:val="0"/>
                  <w:marRight w:val="0"/>
                  <w:marTop w:val="0"/>
                  <w:marBottom w:val="0"/>
                  <w:divBdr>
                    <w:top w:val="none" w:sz="0" w:space="0" w:color="auto"/>
                    <w:left w:val="none" w:sz="0" w:space="0" w:color="auto"/>
                    <w:bottom w:val="none" w:sz="0" w:space="0" w:color="auto"/>
                    <w:right w:val="none" w:sz="0" w:space="0" w:color="auto"/>
                  </w:divBdr>
                  <w:divsChild>
                    <w:div w:id="2009402925">
                      <w:marLeft w:val="0"/>
                      <w:marRight w:val="0"/>
                      <w:marTop w:val="0"/>
                      <w:marBottom w:val="0"/>
                      <w:divBdr>
                        <w:top w:val="none" w:sz="0" w:space="0" w:color="auto"/>
                        <w:left w:val="none" w:sz="0" w:space="0" w:color="auto"/>
                        <w:bottom w:val="none" w:sz="0" w:space="0" w:color="auto"/>
                        <w:right w:val="none" w:sz="0" w:space="0" w:color="auto"/>
                      </w:divBdr>
                      <w:divsChild>
                        <w:div w:id="66874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31568">
      <w:bodyDiv w:val="1"/>
      <w:marLeft w:val="0"/>
      <w:marRight w:val="0"/>
      <w:marTop w:val="0"/>
      <w:marBottom w:val="0"/>
      <w:divBdr>
        <w:top w:val="none" w:sz="0" w:space="0" w:color="auto"/>
        <w:left w:val="none" w:sz="0" w:space="0" w:color="auto"/>
        <w:bottom w:val="none" w:sz="0" w:space="0" w:color="auto"/>
        <w:right w:val="none" w:sz="0" w:space="0" w:color="auto"/>
      </w:divBdr>
      <w:divsChild>
        <w:div w:id="1412510964">
          <w:marLeft w:val="0"/>
          <w:marRight w:val="0"/>
          <w:marTop w:val="0"/>
          <w:marBottom w:val="0"/>
          <w:divBdr>
            <w:top w:val="none" w:sz="0" w:space="0" w:color="auto"/>
            <w:left w:val="none" w:sz="0" w:space="0" w:color="auto"/>
            <w:bottom w:val="none" w:sz="0" w:space="0" w:color="auto"/>
            <w:right w:val="none" w:sz="0" w:space="0" w:color="auto"/>
          </w:divBdr>
          <w:divsChild>
            <w:div w:id="1048456204">
              <w:marLeft w:val="0"/>
              <w:marRight w:val="0"/>
              <w:marTop w:val="0"/>
              <w:marBottom w:val="0"/>
              <w:divBdr>
                <w:top w:val="none" w:sz="0" w:space="0" w:color="auto"/>
                <w:left w:val="none" w:sz="0" w:space="0" w:color="auto"/>
                <w:bottom w:val="none" w:sz="0" w:space="0" w:color="auto"/>
                <w:right w:val="none" w:sz="0" w:space="0" w:color="auto"/>
              </w:divBdr>
              <w:divsChild>
                <w:div w:id="306478794">
                  <w:marLeft w:val="0"/>
                  <w:marRight w:val="0"/>
                  <w:marTop w:val="0"/>
                  <w:marBottom w:val="0"/>
                  <w:divBdr>
                    <w:top w:val="none" w:sz="0" w:space="0" w:color="auto"/>
                    <w:left w:val="none" w:sz="0" w:space="0" w:color="auto"/>
                    <w:bottom w:val="none" w:sz="0" w:space="0" w:color="auto"/>
                    <w:right w:val="none" w:sz="0" w:space="0" w:color="auto"/>
                  </w:divBdr>
                  <w:divsChild>
                    <w:div w:id="886262906">
                      <w:marLeft w:val="0"/>
                      <w:marRight w:val="0"/>
                      <w:marTop w:val="0"/>
                      <w:marBottom w:val="0"/>
                      <w:divBdr>
                        <w:top w:val="none" w:sz="0" w:space="0" w:color="auto"/>
                        <w:left w:val="none" w:sz="0" w:space="0" w:color="auto"/>
                        <w:bottom w:val="none" w:sz="0" w:space="0" w:color="auto"/>
                        <w:right w:val="none" w:sz="0" w:space="0" w:color="auto"/>
                      </w:divBdr>
                      <w:divsChild>
                        <w:div w:id="355541636">
                          <w:marLeft w:val="0"/>
                          <w:marRight w:val="0"/>
                          <w:marTop w:val="0"/>
                          <w:marBottom w:val="0"/>
                          <w:divBdr>
                            <w:top w:val="none" w:sz="0" w:space="0" w:color="auto"/>
                            <w:left w:val="none" w:sz="0" w:space="0" w:color="auto"/>
                            <w:bottom w:val="none" w:sz="0" w:space="0" w:color="auto"/>
                            <w:right w:val="none" w:sz="0" w:space="0" w:color="auto"/>
                          </w:divBdr>
                          <w:divsChild>
                            <w:div w:id="1795949592">
                              <w:marLeft w:val="0"/>
                              <w:marRight w:val="0"/>
                              <w:marTop w:val="0"/>
                              <w:marBottom w:val="0"/>
                              <w:divBdr>
                                <w:top w:val="none" w:sz="0" w:space="0" w:color="auto"/>
                                <w:left w:val="none" w:sz="0" w:space="0" w:color="auto"/>
                                <w:bottom w:val="none" w:sz="0" w:space="0" w:color="auto"/>
                                <w:right w:val="none" w:sz="0" w:space="0" w:color="auto"/>
                              </w:divBdr>
                              <w:divsChild>
                                <w:div w:id="344479499">
                                  <w:marLeft w:val="0"/>
                                  <w:marRight w:val="0"/>
                                  <w:marTop w:val="0"/>
                                  <w:marBottom w:val="0"/>
                                  <w:divBdr>
                                    <w:top w:val="none" w:sz="0" w:space="0" w:color="auto"/>
                                    <w:left w:val="none" w:sz="0" w:space="0" w:color="auto"/>
                                    <w:bottom w:val="none" w:sz="0" w:space="0" w:color="auto"/>
                                    <w:right w:val="none" w:sz="0" w:space="0" w:color="auto"/>
                                  </w:divBdr>
                                  <w:divsChild>
                                    <w:div w:id="918563753">
                                      <w:marLeft w:val="0"/>
                                      <w:marRight w:val="0"/>
                                      <w:marTop w:val="0"/>
                                      <w:marBottom w:val="0"/>
                                      <w:divBdr>
                                        <w:top w:val="none" w:sz="0" w:space="0" w:color="auto"/>
                                        <w:left w:val="none" w:sz="0" w:space="0" w:color="auto"/>
                                        <w:bottom w:val="none" w:sz="0" w:space="0" w:color="auto"/>
                                        <w:right w:val="none" w:sz="0" w:space="0" w:color="auto"/>
                                      </w:divBdr>
                                      <w:divsChild>
                                        <w:div w:id="1967270719">
                                          <w:marLeft w:val="0"/>
                                          <w:marRight w:val="0"/>
                                          <w:marTop w:val="0"/>
                                          <w:marBottom w:val="0"/>
                                          <w:divBdr>
                                            <w:top w:val="none" w:sz="0" w:space="0" w:color="auto"/>
                                            <w:left w:val="none" w:sz="0" w:space="0" w:color="auto"/>
                                            <w:bottom w:val="none" w:sz="0" w:space="0" w:color="auto"/>
                                            <w:right w:val="none" w:sz="0" w:space="0" w:color="auto"/>
                                          </w:divBdr>
                                          <w:divsChild>
                                            <w:div w:id="1879276869">
                                              <w:marLeft w:val="0"/>
                                              <w:marRight w:val="0"/>
                                              <w:marTop w:val="0"/>
                                              <w:marBottom w:val="0"/>
                                              <w:divBdr>
                                                <w:top w:val="single" w:sz="12" w:space="2" w:color="FFFFCC"/>
                                                <w:left w:val="single" w:sz="12" w:space="2" w:color="FFFFCC"/>
                                                <w:bottom w:val="single" w:sz="12" w:space="2" w:color="FFFFCC"/>
                                                <w:right w:val="single" w:sz="12" w:space="0" w:color="FFFFCC"/>
                                              </w:divBdr>
                                              <w:divsChild>
                                                <w:div w:id="843667879">
                                                  <w:marLeft w:val="0"/>
                                                  <w:marRight w:val="0"/>
                                                  <w:marTop w:val="0"/>
                                                  <w:marBottom w:val="0"/>
                                                  <w:divBdr>
                                                    <w:top w:val="none" w:sz="0" w:space="0" w:color="auto"/>
                                                    <w:left w:val="none" w:sz="0" w:space="0" w:color="auto"/>
                                                    <w:bottom w:val="none" w:sz="0" w:space="0" w:color="auto"/>
                                                    <w:right w:val="none" w:sz="0" w:space="0" w:color="auto"/>
                                                  </w:divBdr>
                                                  <w:divsChild>
                                                    <w:div w:id="678311611">
                                                      <w:marLeft w:val="0"/>
                                                      <w:marRight w:val="0"/>
                                                      <w:marTop w:val="0"/>
                                                      <w:marBottom w:val="0"/>
                                                      <w:divBdr>
                                                        <w:top w:val="none" w:sz="0" w:space="0" w:color="auto"/>
                                                        <w:left w:val="none" w:sz="0" w:space="0" w:color="auto"/>
                                                        <w:bottom w:val="none" w:sz="0" w:space="0" w:color="auto"/>
                                                        <w:right w:val="none" w:sz="0" w:space="0" w:color="auto"/>
                                                      </w:divBdr>
                                                      <w:divsChild>
                                                        <w:div w:id="136993085">
                                                          <w:marLeft w:val="0"/>
                                                          <w:marRight w:val="0"/>
                                                          <w:marTop w:val="0"/>
                                                          <w:marBottom w:val="0"/>
                                                          <w:divBdr>
                                                            <w:top w:val="none" w:sz="0" w:space="0" w:color="auto"/>
                                                            <w:left w:val="none" w:sz="0" w:space="0" w:color="auto"/>
                                                            <w:bottom w:val="none" w:sz="0" w:space="0" w:color="auto"/>
                                                            <w:right w:val="none" w:sz="0" w:space="0" w:color="auto"/>
                                                          </w:divBdr>
                                                          <w:divsChild>
                                                            <w:div w:id="307443509">
                                                              <w:marLeft w:val="0"/>
                                                              <w:marRight w:val="0"/>
                                                              <w:marTop w:val="0"/>
                                                              <w:marBottom w:val="0"/>
                                                              <w:divBdr>
                                                                <w:top w:val="none" w:sz="0" w:space="0" w:color="auto"/>
                                                                <w:left w:val="none" w:sz="0" w:space="0" w:color="auto"/>
                                                                <w:bottom w:val="none" w:sz="0" w:space="0" w:color="auto"/>
                                                                <w:right w:val="none" w:sz="0" w:space="0" w:color="auto"/>
                                                              </w:divBdr>
                                                              <w:divsChild>
                                                                <w:div w:id="1735736151">
                                                                  <w:marLeft w:val="0"/>
                                                                  <w:marRight w:val="0"/>
                                                                  <w:marTop w:val="0"/>
                                                                  <w:marBottom w:val="0"/>
                                                                  <w:divBdr>
                                                                    <w:top w:val="none" w:sz="0" w:space="0" w:color="auto"/>
                                                                    <w:left w:val="none" w:sz="0" w:space="0" w:color="auto"/>
                                                                    <w:bottom w:val="none" w:sz="0" w:space="0" w:color="auto"/>
                                                                    <w:right w:val="none" w:sz="0" w:space="0" w:color="auto"/>
                                                                  </w:divBdr>
                                                                  <w:divsChild>
                                                                    <w:div w:id="1905140314">
                                                                      <w:marLeft w:val="0"/>
                                                                      <w:marRight w:val="0"/>
                                                                      <w:marTop w:val="0"/>
                                                                      <w:marBottom w:val="0"/>
                                                                      <w:divBdr>
                                                                        <w:top w:val="none" w:sz="0" w:space="0" w:color="auto"/>
                                                                        <w:left w:val="none" w:sz="0" w:space="0" w:color="auto"/>
                                                                        <w:bottom w:val="none" w:sz="0" w:space="0" w:color="auto"/>
                                                                        <w:right w:val="none" w:sz="0" w:space="0" w:color="auto"/>
                                                                      </w:divBdr>
                                                                      <w:divsChild>
                                                                        <w:div w:id="1785029108">
                                                                          <w:marLeft w:val="0"/>
                                                                          <w:marRight w:val="0"/>
                                                                          <w:marTop w:val="0"/>
                                                                          <w:marBottom w:val="0"/>
                                                                          <w:divBdr>
                                                                            <w:top w:val="none" w:sz="0" w:space="0" w:color="auto"/>
                                                                            <w:left w:val="none" w:sz="0" w:space="0" w:color="auto"/>
                                                                            <w:bottom w:val="none" w:sz="0" w:space="0" w:color="auto"/>
                                                                            <w:right w:val="none" w:sz="0" w:space="0" w:color="auto"/>
                                                                          </w:divBdr>
                                                                          <w:divsChild>
                                                                            <w:div w:id="1596090671">
                                                                              <w:marLeft w:val="0"/>
                                                                              <w:marRight w:val="0"/>
                                                                              <w:marTop w:val="0"/>
                                                                              <w:marBottom w:val="0"/>
                                                                              <w:divBdr>
                                                                                <w:top w:val="none" w:sz="0" w:space="0" w:color="auto"/>
                                                                                <w:left w:val="none" w:sz="0" w:space="0" w:color="auto"/>
                                                                                <w:bottom w:val="none" w:sz="0" w:space="0" w:color="auto"/>
                                                                                <w:right w:val="none" w:sz="0" w:space="0" w:color="auto"/>
                                                                              </w:divBdr>
                                                                              <w:divsChild>
                                                                                <w:div w:id="1892374967">
                                                                                  <w:marLeft w:val="0"/>
                                                                                  <w:marRight w:val="0"/>
                                                                                  <w:marTop w:val="0"/>
                                                                                  <w:marBottom w:val="0"/>
                                                                                  <w:divBdr>
                                                                                    <w:top w:val="none" w:sz="0" w:space="0" w:color="auto"/>
                                                                                    <w:left w:val="none" w:sz="0" w:space="0" w:color="auto"/>
                                                                                    <w:bottom w:val="none" w:sz="0" w:space="0" w:color="auto"/>
                                                                                    <w:right w:val="none" w:sz="0" w:space="0" w:color="auto"/>
                                                                                  </w:divBdr>
                                                                                  <w:divsChild>
                                                                                    <w:div w:id="537084745">
                                                                                      <w:marLeft w:val="0"/>
                                                                                      <w:marRight w:val="0"/>
                                                                                      <w:marTop w:val="0"/>
                                                                                      <w:marBottom w:val="0"/>
                                                                                      <w:divBdr>
                                                                                        <w:top w:val="none" w:sz="0" w:space="0" w:color="auto"/>
                                                                                        <w:left w:val="none" w:sz="0" w:space="0" w:color="auto"/>
                                                                                        <w:bottom w:val="none" w:sz="0" w:space="0" w:color="auto"/>
                                                                                        <w:right w:val="none" w:sz="0" w:space="0" w:color="auto"/>
                                                                                      </w:divBdr>
                                                                                      <w:divsChild>
                                                                                        <w:div w:id="1230579469">
                                                                                          <w:marLeft w:val="0"/>
                                                                                          <w:marRight w:val="120"/>
                                                                                          <w:marTop w:val="0"/>
                                                                                          <w:marBottom w:val="150"/>
                                                                                          <w:divBdr>
                                                                                            <w:top w:val="single" w:sz="2" w:space="0" w:color="EFEFEF"/>
                                                                                            <w:left w:val="single" w:sz="6" w:space="0" w:color="EFEFEF"/>
                                                                                            <w:bottom w:val="single" w:sz="6" w:space="0" w:color="E2E2E2"/>
                                                                                            <w:right w:val="single" w:sz="6" w:space="0" w:color="EFEFEF"/>
                                                                                          </w:divBdr>
                                                                                          <w:divsChild>
                                                                                            <w:div w:id="370233281">
                                                                                              <w:marLeft w:val="0"/>
                                                                                              <w:marRight w:val="0"/>
                                                                                              <w:marTop w:val="0"/>
                                                                                              <w:marBottom w:val="0"/>
                                                                                              <w:divBdr>
                                                                                                <w:top w:val="none" w:sz="0" w:space="0" w:color="auto"/>
                                                                                                <w:left w:val="none" w:sz="0" w:space="0" w:color="auto"/>
                                                                                                <w:bottom w:val="none" w:sz="0" w:space="0" w:color="auto"/>
                                                                                                <w:right w:val="none" w:sz="0" w:space="0" w:color="auto"/>
                                                                                              </w:divBdr>
                                                                                              <w:divsChild>
                                                                                                <w:div w:id="1160930532">
                                                                                                  <w:marLeft w:val="0"/>
                                                                                                  <w:marRight w:val="0"/>
                                                                                                  <w:marTop w:val="0"/>
                                                                                                  <w:marBottom w:val="0"/>
                                                                                                  <w:divBdr>
                                                                                                    <w:top w:val="none" w:sz="0" w:space="0" w:color="auto"/>
                                                                                                    <w:left w:val="none" w:sz="0" w:space="0" w:color="auto"/>
                                                                                                    <w:bottom w:val="none" w:sz="0" w:space="0" w:color="auto"/>
                                                                                                    <w:right w:val="none" w:sz="0" w:space="0" w:color="auto"/>
                                                                                                  </w:divBdr>
                                                                                                  <w:divsChild>
                                                                                                    <w:div w:id="1686057469">
                                                                                                      <w:marLeft w:val="0"/>
                                                                                                      <w:marRight w:val="0"/>
                                                                                                      <w:marTop w:val="0"/>
                                                                                                      <w:marBottom w:val="0"/>
                                                                                                      <w:divBdr>
                                                                                                        <w:top w:val="none" w:sz="0" w:space="0" w:color="auto"/>
                                                                                                        <w:left w:val="none" w:sz="0" w:space="0" w:color="auto"/>
                                                                                                        <w:bottom w:val="none" w:sz="0" w:space="0" w:color="auto"/>
                                                                                                        <w:right w:val="none" w:sz="0" w:space="0" w:color="auto"/>
                                                                                                      </w:divBdr>
                                                                                                      <w:divsChild>
                                                                                                        <w:div w:id="441267990">
                                                                                                          <w:marLeft w:val="0"/>
                                                                                                          <w:marRight w:val="0"/>
                                                                                                          <w:marTop w:val="0"/>
                                                                                                          <w:marBottom w:val="0"/>
                                                                                                          <w:divBdr>
                                                                                                            <w:top w:val="none" w:sz="0" w:space="0" w:color="auto"/>
                                                                                                            <w:left w:val="none" w:sz="0" w:space="0" w:color="auto"/>
                                                                                                            <w:bottom w:val="none" w:sz="0" w:space="0" w:color="auto"/>
                                                                                                            <w:right w:val="none" w:sz="0" w:space="0" w:color="auto"/>
                                                                                                          </w:divBdr>
                                                                                                          <w:divsChild>
                                                                                                            <w:div w:id="247740137">
                                                                                                              <w:marLeft w:val="0"/>
                                                                                                              <w:marRight w:val="0"/>
                                                                                                              <w:marTop w:val="0"/>
                                                                                                              <w:marBottom w:val="0"/>
                                                                                                              <w:divBdr>
                                                                                                                <w:top w:val="single" w:sz="2" w:space="4" w:color="D8D8D8"/>
                                                                                                                <w:left w:val="single" w:sz="2" w:space="0" w:color="D8D8D8"/>
                                                                                                                <w:bottom w:val="single" w:sz="2" w:space="4" w:color="D8D8D8"/>
                                                                                                                <w:right w:val="single" w:sz="2" w:space="0" w:color="D8D8D8"/>
                                                                                                              </w:divBdr>
                                                                                                              <w:divsChild>
                                                                                                                <w:div w:id="1637643422">
                                                                                                                  <w:marLeft w:val="225"/>
                                                                                                                  <w:marRight w:val="225"/>
                                                                                                                  <w:marTop w:val="75"/>
                                                                                                                  <w:marBottom w:val="75"/>
                                                                                                                  <w:divBdr>
                                                                                                                    <w:top w:val="none" w:sz="0" w:space="0" w:color="auto"/>
                                                                                                                    <w:left w:val="none" w:sz="0" w:space="0" w:color="auto"/>
                                                                                                                    <w:bottom w:val="none" w:sz="0" w:space="0" w:color="auto"/>
                                                                                                                    <w:right w:val="none" w:sz="0" w:space="0" w:color="auto"/>
                                                                                                                  </w:divBdr>
                                                                                                                  <w:divsChild>
                                                                                                                    <w:div w:id="1648320748">
                                                                                                                      <w:marLeft w:val="0"/>
                                                                                                                      <w:marRight w:val="0"/>
                                                                                                                      <w:marTop w:val="0"/>
                                                                                                                      <w:marBottom w:val="0"/>
                                                                                                                      <w:divBdr>
                                                                                                                        <w:top w:val="single" w:sz="6" w:space="0" w:color="auto"/>
                                                                                                                        <w:left w:val="single" w:sz="6" w:space="0" w:color="auto"/>
                                                                                                                        <w:bottom w:val="single" w:sz="6" w:space="0" w:color="auto"/>
                                                                                                                        <w:right w:val="single" w:sz="6" w:space="0" w:color="auto"/>
                                                                                                                      </w:divBdr>
                                                                                                                      <w:divsChild>
                                                                                                                        <w:div w:id="197592097">
                                                                                                                          <w:marLeft w:val="0"/>
                                                                                                                          <w:marRight w:val="0"/>
                                                                                                                          <w:marTop w:val="0"/>
                                                                                                                          <w:marBottom w:val="0"/>
                                                                                                                          <w:divBdr>
                                                                                                                            <w:top w:val="none" w:sz="0" w:space="0" w:color="auto"/>
                                                                                                                            <w:left w:val="none" w:sz="0" w:space="0" w:color="auto"/>
                                                                                                                            <w:bottom w:val="none" w:sz="0" w:space="0" w:color="auto"/>
                                                                                                                            <w:right w:val="none" w:sz="0" w:space="0" w:color="auto"/>
                                                                                                                          </w:divBdr>
                                                                                                                          <w:divsChild>
                                                                                                                            <w:div w:id="20386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91711">
      <w:bodyDiv w:val="1"/>
      <w:marLeft w:val="0"/>
      <w:marRight w:val="0"/>
      <w:marTop w:val="0"/>
      <w:marBottom w:val="0"/>
      <w:divBdr>
        <w:top w:val="none" w:sz="0" w:space="0" w:color="auto"/>
        <w:left w:val="none" w:sz="0" w:space="0" w:color="auto"/>
        <w:bottom w:val="none" w:sz="0" w:space="0" w:color="auto"/>
        <w:right w:val="none" w:sz="0" w:space="0" w:color="auto"/>
      </w:divBdr>
      <w:divsChild>
        <w:div w:id="769742957">
          <w:marLeft w:val="432"/>
          <w:marRight w:val="0"/>
          <w:marTop w:val="120"/>
          <w:marBottom w:val="0"/>
          <w:divBdr>
            <w:top w:val="none" w:sz="0" w:space="0" w:color="auto"/>
            <w:left w:val="none" w:sz="0" w:space="0" w:color="auto"/>
            <w:bottom w:val="none" w:sz="0" w:space="0" w:color="auto"/>
            <w:right w:val="none" w:sz="0" w:space="0" w:color="auto"/>
          </w:divBdr>
        </w:div>
        <w:div w:id="1957834430">
          <w:marLeft w:val="432"/>
          <w:marRight w:val="0"/>
          <w:marTop w:val="120"/>
          <w:marBottom w:val="0"/>
          <w:divBdr>
            <w:top w:val="none" w:sz="0" w:space="0" w:color="auto"/>
            <w:left w:val="none" w:sz="0" w:space="0" w:color="auto"/>
            <w:bottom w:val="none" w:sz="0" w:space="0" w:color="auto"/>
            <w:right w:val="none" w:sz="0" w:space="0" w:color="auto"/>
          </w:divBdr>
        </w:div>
        <w:div w:id="842279708">
          <w:marLeft w:val="432"/>
          <w:marRight w:val="0"/>
          <w:marTop w:val="120"/>
          <w:marBottom w:val="0"/>
          <w:divBdr>
            <w:top w:val="none" w:sz="0" w:space="0" w:color="auto"/>
            <w:left w:val="none" w:sz="0" w:space="0" w:color="auto"/>
            <w:bottom w:val="none" w:sz="0" w:space="0" w:color="auto"/>
            <w:right w:val="none" w:sz="0" w:space="0" w:color="auto"/>
          </w:divBdr>
        </w:div>
        <w:div w:id="1460343166">
          <w:marLeft w:val="432"/>
          <w:marRight w:val="0"/>
          <w:marTop w:val="120"/>
          <w:marBottom w:val="0"/>
          <w:divBdr>
            <w:top w:val="none" w:sz="0" w:space="0" w:color="auto"/>
            <w:left w:val="none" w:sz="0" w:space="0" w:color="auto"/>
            <w:bottom w:val="none" w:sz="0" w:space="0" w:color="auto"/>
            <w:right w:val="none" w:sz="0" w:space="0" w:color="auto"/>
          </w:divBdr>
        </w:div>
        <w:div w:id="576134063">
          <w:marLeft w:val="432"/>
          <w:marRight w:val="0"/>
          <w:marTop w:val="120"/>
          <w:marBottom w:val="0"/>
          <w:divBdr>
            <w:top w:val="none" w:sz="0" w:space="0" w:color="auto"/>
            <w:left w:val="none" w:sz="0" w:space="0" w:color="auto"/>
            <w:bottom w:val="none" w:sz="0" w:space="0" w:color="auto"/>
            <w:right w:val="none" w:sz="0" w:space="0" w:color="auto"/>
          </w:divBdr>
        </w:div>
      </w:divsChild>
    </w:div>
    <w:div w:id="373116046">
      <w:bodyDiv w:val="1"/>
      <w:marLeft w:val="0"/>
      <w:marRight w:val="0"/>
      <w:marTop w:val="0"/>
      <w:marBottom w:val="0"/>
      <w:divBdr>
        <w:top w:val="none" w:sz="0" w:space="0" w:color="auto"/>
        <w:left w:val="none" w:sz="0" w:space="0" w:color="auto"/>
        <w:bottom w:val="none" w:sz="0" w:space="0" w:color="auto"/>
        <w:right w:val="none" w:sz="0" w:space="0" w:color="auto"/>
      </w:divBdr>
      <w:divsChild>
        <w:div w:id="34038354">
          <w:marLeft w:val="0"/>
          <w:marRight w:val="0"/>
          <w:marTop w:val="0"/>
          <w:marBottom w:val="0"/>
          <w:divBdr>
            <w:top w:val="none" w:sz="0" w:space="0" w:color="auto"/>
            <w:left w:val="none" w:sz="0" w:space="0" w:color="auto"/>
            <w:bottom w:val="none" w:sz="0" w:space="0" w:color="auto"/>
            <w:right w:val="none" w:sz="0" w:space="0" w:color="auto"/>
          </w:divBdr>
          <w:divsChild>
            <w:div w:id="20055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43769">
      <w:bodyDiv w:val="1"/>
      <w:marLeft w:val="0"/>
      <w:marRight w:val="0"/>
      <w:marTop w:val="0"/>
      <w:marBottom w:val="0"/>
      <w:divBdr>
        <w:top w:val="none" w:sz="0" w:space="0" w:color="auto"/>
        <w:left w:val="none" w:sz="0" w:space="0" w:color="auto"/>
        <w:bottom w:val="none" w:sz="0" w:space="0" w:color="auto"/>
        <w:right w:val="none" w:sz="0" w:space="0" w:color="auto"/>
      </w:divBdr>
      <w:divsChild>
        <w:div w:id="1729986403">
          <w:marLeft w:val="0"/>
          <w:marRight w:val="0"/>
          <w:marTop w:val="0"/>
          <w:marBottom w:val="0"/>
          <w:divBdr>
            <w:top w:val="none" w:sz="0" w:space="0" w:color="auto"/>
            <w:left w:val="none" w:sz="0" w:space="0" w:color="auto"/>
            <w:bottom w:val="single" w:sz="6" w:space="23" w:color="C8C8C8"/>
            <w:right w:val="none" w:sz="0" w:space="0" w:color="auto"/>
          </w:divBdr>
          <w:divsChild>
            <w:div w:id="462847364">
              <w:marLeft w:val="0"/>
              <w:marRight w:val="0"/>
              <w:marTop w:val="0"/>
              <w:marBottom w:val="0"/>
              <w:divBdr>
                <w:top w:val="none" w:sz="0" w:space="0" w:color="auto"/>
                <w:left w:val="none" w:sz="0" w:space="0" w:color="auto"/>
                <w:bottom w:val="none" w:sz="0" w:space="0" w:color="auto"/>
                <w:right w:val="none" w:sz="0" w:space="0" w:color="auto"/>
              </w:divBdr>
              <w:divsChild>
                <w:div w:id="1705136454">
                  <w:marLeft w:val="0"/>
                  <w:marRight w:val="0"/>
                  <w:marTop w:val="0"/>
                  <w:marBottom w:val="0"/>
                  <w:divBdr>
                    <w:top w:val="none" w:sz="0" w:space="0" w:color="auto"/>
                    <w:left w:val="none" w:sz="0" w:space="0" w:color="auto"/>
                    <w:bottom w:val="none" w:sz="0" w:space="0" w:color="auto"/>
                    <w:right w:val="none" w:sz="0" w:space="0" w:color="auto"/>
                  </w:divBdr>
                  <w:divsChild>
                    <w:div w:id="1047100454">
                      <w:marLeft w:val="0"/>
                      <w:marRight w:val="0"/>
                      <w:marTop w:val="0"/>
                      <w:marBottom w:val="0"/>
                      <w:divBdr>
                        <w:top w:val="none" w:sz="0" w:space="0" w:color="auto"/>
                        <w:left w:val="none" w:sz="0" w:space="0" w:color="auto"/>
                        <w:bottom w:val="none" w:sz="0" w:space="0" w:color="auto"/>
                        <w:right w:val="none" w:sz="0" w:space="0" w:color="auto"/>
                      </w:divBdr>
                      <w:divsChild>
                        <w:div w:id="1965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349583">
      <w:bodyDiv w:val="1"/>
      <w:marLeft w:val="0"/>
      <w:marRight w:val="0"/>
      <w:marTop w:val="0"/>
      <w:marBottom w:val="0"/>
      <w:divBdr>
        <w:top w:val="none" w:sz="0" w:space="0" w:color="auto"/>
        <w:left w:val="none" w:sz="0" w:space="0" w:color="auto"/>
        <w:bottom w:val="none" w:sz="0" w:space="0" w:color="auto"/>
        <w:right w:val="none" w:sz="0" w:space="0" w:color="auto"/>
      </w:divBdr>
      <w:divsChild>
        <w:div w:id="34696834">
          <w:marLeft w:val="0"/>
          <w:marRight w:val="0"/>
          <w:marTop w:val="0"/>
          <w:marBottom w:val="0"/>
          <w:divBdr>
            <w:top w:val="none" w:sz="0" w:space="0" w:color="auto"/>
            <w:left w:val="none" w:sz="0" w:space="0" w:color="auto"/>
            <w:bottom w:val="single" w:sz="6" w:space="23" w:color="C8C8C8"/>
            <w:right w:val="none" w:sz="0" w:space="0" w:color="auto"/>
          </w:divBdr>
          <w:divsChild>
            <w:div w:id="1263613188">
              <w:marLeft w:val="0"/>
              <w:marRight w:val="0"/>
              <w:marTop w:val="0"/>
              <w:marBottom w:val="0"/>
              <w:divBdr>
                <w:top w:val="none" w:sz="0" w:space="0" w:color="auto"/>
                <w:left w:val="none" w:sz="0" w:space="0" w:color="auto"/>
                <w:bottom w:val="none" w:sz="0" w:space="0" w:color="auto"/>
                <w:right w:val="none" w:sz="0" w:space="0" w:color="auto"/>
              </w:divBdr>
              <w:divsChild>
                <w:div w:id="1134710748">
                  <w:marLeft w:val="0"/>
                  <w:marRight w:val="0"/>
                  <w:marTop w:val="0"/>
                  <w:marBottom w:val="0"/>
                  <w:divBdr>
                    <w:top w:val="none" w:sz="0" w:space="0" w:color="auto"/>
                    <w:left w:val="none" w:sz="0" w:space="0" w:color="auto"/>
                    <w:bottom w:val="none" w:sz="0" w:space="0" w:color="auto"/>
                    <w:right w:val="none" w:sz="0" w:space="0" w:color="auto"/>
                  </w:divBdr>
                  <w:divsChild>
                    <w:div w:id="674958322">
                      <w:marLeft w:val="0"/>
                      <w:marRight w:val="0"/>
                      <w:marTop w:val="0"/>
                      <w:marBottom w:val="0"/>
                      <w:divBdr>
                        <w:top w:val="none" w:sz="0" w:space="0" w:color="auto"/>
                        <w:left w:val="none" w:sz="0" w:space="0" w:color="auto"/>
                        <w:bottom w:val="none" w:sz="0" w:space="0" w:color="auto"/>
                        <w:right w:val="none" w:sz="0" w:space="0" w:color="auto"/>
                      </w:divBdr>
                      <w:divsChild>
                        <w:div w:id="8951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268053">
      <w:bodyDiv w:val="1"/>
      <w:marLeft w:val="0"/>
      <w:marRight w:val="0"/>
      <w:marTop w:val="0"/>
      <w:marBottom w:val="0"/>
      <w:divBdr>
        <w:top w:val="none" w:sz="0" w:space="0" w:color="auto"/>
        <w:left w:val="none" w:sz="0" w:space="0" w:color="auto"/>
        <w:bottom w:val="none" w:sz="0" w:space="0" w:color="auto"/>
        <w:right w:val="none" w:sz="0" w:space="0" w:color="auto"/>
      </w:divBdr>
      <w:divsChild>
        <w:div w:id="1467626974">
          <w:marLeft w:val="0"/>
          <w:marRight w:val="0"/>
          <w:marTop w:val="0"/>
          <w:marBottom w:val="0"/>
          <w:divBdr>
            <w:top w:val="none" w:sz="0" w:space="0" w:color="auto"/>
            <w:left w:val="none" w:sz="0" w:space="0" w:color="auto"/>
            <w:bottom w:val="single" w:sz="6" w:space="23" w:color="C8C8C8"/>
            <w:right w:val="none" w:sz="0" w:space="0" w:color="auto"/>
          </w:divBdr>
          <w:divsChild>
            <w:div w:id="1865364903">
              <w:marLeft w:val="0"/>
              <w:marRight w:val="0"/>
              <w:marTop w:val="0"/>
              <w:marBottom w:val="0"/>
              <w:divBdr>
                <w:top w:val="none" w:sz="0" w:space="0" w:color="auto"/>
                <w:left w:val="none" w:sz="0" w:space="0" w:color="auto"/>
                <w:bottom w:val="none" w:sz="0" w:space="0" w:color="auto"/>
                <w:right w:val="none" w:sz="0" w:space="0" w:color="auto"/>
              </w:divBdr>
              <w:divsChild>
                <w:div w:id="777718908">
                  <w:marLeft w:val="0"/>
                  <w:marRight w:val="0"/>
                  <w:marTop w:val="0"/>
                  <w:marBottom w:val="0"/>
                  <w:divBdr>
                    <w:top w:val="none" w:sz="0" w:space="0" w:color="auto"/>
                    <w:left w:val="none" w:sz="0" w:space="0" w:color="auto"/>
                    <w:bottom w:val="none" w:sz="0" w:space="0" w:color="auto"/>
                    <w:right w:val="none" w:sz="0" w:space="0" w:color="auto"/>
                  </w:divBdr>
                  <w:divsChild>
                    <w:div w:id="2143496856">
                      <w:marLeft w:val="0"/>
                      <w:marRight w:val="0"/>
                      <w:marTop w:val="0"/>
                      <w:marBottom w:val="0"/>
                      <w:divBdr>
                        <w:top w:val="none" w:sz="0" w:space="0" w:color="auto"/>
                        <w:left w:val="none" w:sz="0" w:space="0" w:color="auto"/>
                        <w:bottom w:val="none" w:sz="0" w:space="0" w:color="auto"/>
                        <w:right w:val="none" w:sz="0" w:space="0" w:color="auto"/>
                      </w:divBdr>
                      <w:divsChild>
                        <w:div w:id="129185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658778">
      <w:bodyDiv w:val="1"/>
      <w:marLeft w:val="0"/>
      <w:marRight w:val="0"/>
      <w:marTop w:val="0"/>
      <w:marBottom w:val="0"/>
      <w:divBdr>
        <w:top w:val="none" w:sz="0" w:space="0" w:color="auto"/>
        <w:left w:val="none" w:sz="0" w:space="0" w:color="auto"/>
        <w:bottom w:val="none" w:sz="0" w:space="0" w:color="auto"/>
        <w:right w:val="none" w:sz="0" w:space="0" w:color="auto"/>
      </w:divBdr>
      <w:divsChild>
        <w:div w:id="1888949874">
          <w:marLeft w:val="0"/>
          <w:marRight w:val="0"/>
          <w:marTop w:val="0"/>
          <w:marBottom w:val="0"/>
          <w:divBdr>
            <w:top w:val="none" w:sz="0" w:space="0" w:color="auto"/>
            <w:left w:val="none" w:sz="0" w:space="0" w:color="auto"/>
            <w:bottom w:val="single" w:sz="6" w:space="23" w:color="C8C8C8"/>
            <w:right w:val="none" w:sz="0" w:space="0" w:color="auto"/>
          </w:divBdr>
          <w:divsChild>
            <w:div w:id="417557971">
              <w:marLeft w:val="0"/>
              <w:marRight w:val="0"/>
              <w:marTop w:val="0"/>
              <w:marBottom w:val="0"/>
              <w:divBdr>
                <w:top w:val="none" w:sz="0" w:space="0" w:color="auto"/>
                <w:left w:val="none" w:sz="0" w:space="0" w:color="auto"/>
                <w:bottom w:val="none" w:sz="0" w:space="0" w:color="auto"/>
                <w:right w:val="none" w:sz="0" w:space="0" w:color="auto"/>
              </w:divBdr>
              <w:divsChild>
                <w:div w:id="120417105">
                  <w:marLeft w:val="0"/>
                  <w:marRight w:val="0"/>
                  <w:marTop w:val="0"/>
                  <w:marBottom w:val="0"/>
                  <w:divBdr>
                    <w:top w:val="none" w:sz="0" w:space="0" w:color="auto"/>
                    <w:left w:val="none" w:sz="0" w:space="0" w:color="auto"/>
                    <w:bottom w:val="none" w:sz="0" w:space="0" w:color="auto"/>
                    <w:right w:val="none" w:sz="0" w:space="0" w:color="auto"/>
                  </w:divBdr>
                  <w:divsChild>
                    <w:div w:id="873032782">
                      <w:marLeft w:val="0"/>
                      <w:marRight w:val="0"/>
                      <w:marTop w:val="0"/>
                      <w:marBottom w:val="0"/>
                      <w:divBdr>
                        <w:top w:val="none" w:sz="0" w:space="0" w:color="auto"/>
                        <w:left w:val="none" w:sz="0" w:space="0" w:color="auto"/>
                        <w:bottom w:val="none" w:sz="0" w:space="0" w:color="auto"/>
                        <w:right w:val="none" w:sz="0" w:space="0" w:color="auto"/>
                      </w:divBdr>
                      <w:divsChild>
                        <w:div w:id="17219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6572">
      <w:bodyDiv w:val="1"/>
      <w:marLeft w:val="0"/>
      <w:marRight w:val="0"/>
      <w:marTop w:val="0"/>
      <w:marBottom w:val="0"/>
      <w:divBdr>
        <w:top w:val="none" w:sz="0" w:space="0" w:color="auto"/>
        <w:left w:val="none" w:sz="0" w:space="0" w:color="auto"/>
        <w:bottom w:val="none" w:sz="0" w:space="0" w:color="auto"/>
        <w:right w:val="none" w:sz="0" w:space="0" w:color="auto"/>
      </w:divBdr>
    </w:div>
    <w:div w:id="841435035">
      <w:bodyDiv w:val="1"/>
      <w:marLeft w:val="0"/>
      <w:marRight w:val="0"/>
      <w:marTop w:val="0"/>
      <w:marBottom w:val="0"/>
      <w:divBdr>
        <w:top w:val="none" w:sz="0" w:space="0" w:color="auto"/>
        <w:left w:val="none" w:sz="0" w:space="0" w:color="auto"/>
        <w:bottom w:val="none" w:sz="0" w:space="0" w:color="auto"/>
        <w:right w:val="none" w:sz="0" w:space="0" w:color="auto"/>
      </w:divBdr>
    </w:div>
    <w:div w:id="880749386">
      <w:bodyDiv w:val="1"/>
      <w:marLeft w:val="0"/>
      <w:marRight w:val="0"/>
      <w:marTop w:val="0"/>
      <w:marBottom w:val="0"/>
      <w:divBdr>
        <w:top w:val="none" w:sz="0" w:space="0" w:color="auto"/>
        <w:left w:val="none" w:sz="0" w:space="0" w:color="auto"/>
        <w:bottom w:val="none" w:sz="0" w:space="0" w:color="auto"/>
        <w:right w:val="none" w:sz="0" w:space="0" w:color="auto"/>
      </w:divBdr>
      <w:divsChild>
        <w:div w:id="1488092881">
          <w:marLeft w:val="0"/>
          <w:marRight w:val="0"/>
          <w:marTop w:val="0"/>
          <w:marBottom w:val="0"/>
          <w:divBdr>
            <w:top w:val="none" w:sz="0" w:space="0" w:color="auto"/>
            <w:left w:val="none" w:sz="0" w:space="0" w:color="auto"/>
            <w:bottom w:val="single" w:sz="6" w:space="23" w:color="C8C8C8"/>
            <w:right w:val="none" w:sz="0" w:space="0" w:color="auto"/>
          </w:divBdr>
          <w:divsChild>
            <w:div w:id="533614496">
              <w:marLeft w:val="0"/>
              <w:marRight w:val="0"/>
              <w:marTop w:val="0"/>
              <w:marBottom w:val="0"/>
              <w:divBdr>
                <w:top w:val="none" w:sz="0" w:space="0" w:color="auto"/>
                <w:left w:val="none" w:sz="0" w:space="0" w:color="auto"/>
                <w:bottom w:val="none" w:sz="0" w:space="0" w:color="auto"/>
                <w:right w:val="none" w:sz="0" w:space="0" w:color="auto"/>
              </w:divBdr>
              <w:divsChild>
                <w:div w:id="2140872590">
                  <w:marLeft w:val="0"/>
                  <w:marRight w:val="0"/>
                  <w:marTop w:val="0"/>
                  <w:marBottom w:val="0"/>
                  <w:divBdr>
                    <w:top w:val="none" w:sz="0" w:space="0" w:color="auto"/>
                    <w:left w:val="none" w:sz="0" w:space="0" w:color="auto"/>
                    <w:bottom w:val="none" w:sz="0" w:space="0" w:color="auto"/>
                    <w:right w:val="none" w:sz="0" w:space="0" w:color="auto"/>
                  </w:divBdr>
                  <w:divsChild>
                    <w:div w:id="923345429">
                      <w:marLeft w:val="0"/>
                      <w:marRight w:val="0"/>
                      <w:marTop w:val="0"/>
                      <w:marBottom w:val="0"/>
                      <w:divBdr>
                        <w:top w:val="none" w:sz="0" w:space="0" w:color="auto"/>
                        <w:left w:val="none" w:sz="0" w:space="0" w:color="auto"/>
                        <w:bottom w:val="none" w:sz="0" w:space="0" w:color="auto"/>
                        <w:right w:val="none" w:sz="0" w:space="0" w:color="auto"/>
                      </w:divBdr>
                      <w:divsChild>
                        <w:div w:id="3413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710066">
      <w:bodyDiv w:val="1"/>
      <w:marLeft w:val="0"/>
      <w:marRight w:val="0"/>
      <w:marTop w:val="0"/>
      <w:marBottom w:val="0"/>
      <w:divBdr>
        <w:top w:val="none" w:sz="0" w:space="0" w:color="auto"/>
        <w:left w:val="none" w:sz="0" w:space="0" w:color="auto"/>
        <w:bottom w:val="none" w:sz="0" w:space="0" w:color="auto"/>
        <w:right w:val="none" w:sz="0" w:space="0" w:color="auto"/>
      </w:divBdr>
      <w:divsChild>
        <w:div w:id="1609770509">
          <w:marLeft w:val="432"/>
          <w:marRight w:val="0"/>
          <w:marTop w:val="120"/>
          <w:marBottom w:val="0"/>
          <w:divBdr>
            <w:top w:val="none" w:sz="0" w:space="0" w:color="auto"/>
            <w:left w:val="none" w:sz="0" w:space="0" w:color="auto"/>
            <w:bottom w:val="none" w:sz="0" w:space="0" w:color="auto"/>
            <w:right w:val="none" w:sz="0" w:space="0" w:color="auto"/>
          </w:divBdr>
        </w:div>
        <w:div w:id="1157375822">
          <w:marLeft w:val="432"/>
          <w:marRight w:val="0"/>
          <w:marTop w:val="120"/>
          <w:marBottom w:val="0"/>
          <w:divBdr>
            <w:top w:val="none" w:sz="0" w:space="0" w:color="auto"/>
            <w:left w:val="none" w:sz="0" w:space="0" w:color="auto"/>
            <w:bottom w:val="none" w:sz="0" w:space="0" w:color="auto"/>
            <w:right w:val="none" w:sz="0" w:space="0" w:color="auto"/>
          </w:divBdr>
        </w:div>
        <w:div w:id="1833597871">
          <w:marLeft w:val="432"/>
          <w:marRight w:val="0"/>
          <w:marTop w:val="120"/>
          <w:marBottom w:val="0"/>
          <w:divBdr>
            <w:top w:val="none" w:sz="0" w:space="0" w:color="auto"/>
            <w:left w:val="none" w:sz="0" w:space="0" w:color="auto"/>
            <w:bottom w:val="none" w:sz="0" w:space="0" w:color="auto"/>
            <w:right w:val="none" w:sz="0" w:space="0" w:color="auto"/>
          </w:divBdr>
        </w:div>
        <w:div w:id="471139165">
          <w:marLeft w:val="432"/>
          <w:marRight w:val="0"/>
          <w:marTop w:val="120"/>
          <w:marBottom w:val="0"/>
          <w:divBdr>
            <w:top w:val="none" w:sz="0" w:space="0" w:color="auto"/>
            <w:left w:val="none" w:sz="0" w:space="0" w:color="auto"/>
            <w:bottom w:val="none" w:sz="0" w:space="0" w:color="auto"/>
            <w:right w:val="none" w:sz="0" w:space="0" w:color="auto"/>
          </w:divBdr>
        </w:div>
        <w:div w:id="11615768">
          <w:marLeft w:val="432"/>
          <w:marRight w:val="0"/>
          <w:marTop w:val="120"/>
          <w:marBottom w:val="0"/>
          <w:divBdr>
            <w:top w:val="none" w:sz="0" w:space="0" w:color="auto"/>
            <w:left w:val="none" w:sz="0" w:space="0" w:color="auto"/>
            <w:bottom w:val="none" w:sz="0" w:space="0" w:color="auto"/>
            <w:right w:val="none" w:sz="0" w:space="0" w:color="auto"/>
          </w:divBdr>
        </w:div>
        <w:div w:id="657076482">
          <w:marLeft w:val="432"/>
          <w:marRight w:val="0"/>
          <w:marTop w:val="120"/>
          <w:marBottom w:val="0"/>
          <w:divBdr>
            <w:top w:val="none" w:sz="0" w:space="0" w:color="auto"/>
            <w:left w:val="none" w:sz="0" w:space="0" w:color="auto"/>
            <w:bottom w:val="none" w:sz="0" w:space="0" w:color="auto"/>
            <w:right w:val="none" w:sz="0" w:space="0" w:color="auto"/>
          </w:divBdr>
        </w:div>
      </w:divsChild>
    </w:div>
    <w:div w:id="938760125">
      <w:bodyDiv w:val="1"/>
      <w:marLeft w:val="0"/>
      <w:marRight w:val="0"/>
      <w:marTop w:val="0"/>
      <w:marBottom w:val="0"/>
      <w:divBdr>
        <w:top w:val="none" w:sz="0" w:space="0" w:color="auto"/>
        <w:left w:val="none" w:sz="0" w:space="0" w:color="auto"/>
        <w:bottom w:val="none" w:sz="0" w:space="0" w:color="auto"/>
        <w:right w:val="none" w:sz="0" w:space="0" w:color="auto"/>
      </w:divBdr>
      <w:divsChild>
        <w:div w:id="375735766">
          <w:marLeft w:val="0"/>
          <w:marRight w:val="0"/>
          <w:marTop w:val="0"/>
          <w:marBottom w:val="0"/>
          <w:divBdr>
            <w:top w:val="none" w:sz="0" w:space="0" w:color="auto"/>
            <w:left w:val="none" w:sz="0" w:space="0" w:color="auto"/>
            <w:bottom w:val="single" w:sz="6" w:space="23" w:color="C8C8C8"/>
            <w:right w:val="none" w:sz="0" w:space="0" w:color="auto"/>
          </w:divBdr>
          <w:divsChild>
            <w:div w:id="1765300961">
              <w:marLeft w:val="0"/>
              <w:marRight w:val="0"/>
              <w:marTop w:val="0"/>
              <w:marBottom w:val="0"/>
              <w:divBdr>
                <w:top w:val="none" w:sz="0" w:space="0" w:color="auto"/>
                <w:left w:val="none" w:sz="0" w:space="0" w:color="auto"/>
                <w:bottom w:val="none" w:sz="0" w:space="0" w:color="auto"/>
                <w:right w:val="none" w:sz="0" w:space="0" w:color="auto"/>
              </w:divBdr>
              <w:divsChild>
                <w:div w:id="606081758">
                  <w:marLeft w:val="0"/>
                  <w:marRight w:val="0"/>
                  <w:marTop w:val="0"/>
                  <w:marBottom w:val="0"/>
                  <w:divBdr>
                    <w:top w:val="none" w:sz="0" w:space="0" w:color="auto"/>
                    <w:left w:val="none" w:sz="0" w:space="0" w:color="auto"/>
                    <w:bottom w:val="none" w:sz="0" w:space="0" w:color="auto"/>
                    <w:right w:val="none" w:sz="0" w:space="0" w:color="auto"/>
                  </w:divBdr>
                  <w:divsChild>
                    <w:div w:id="678964151">
                      <w:marLeft w:val="0"/>
                      <w:marRight w:val="0"/>
                      <w:marTop w:val="0"/>
                      <w:marBottom w:val="0"/>
                      <w:divBdr>
                        <w:top w:val="none" w:sz="0" w:space="0" w:color="auto"/>
                        <w:left w:val="none" w:sz="0" w:space="0" w:color="auto"/>
                        <w:bottom w:val="none" w:sz="0" w:space="0" w:color="auto"/>
                        <w:right w:val="none" w:sz="0" w:space="0" w:color="auto"/>
                      </w:divBdr>
                      <w:divsChild>
                        <w:div w:id="10297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136140">
      <w:bodyDiv w:val="1"/>
      <w:marLeft w:val="0"/>
      <w:marRight w:val="0"/>
      <w:marTop w:val="0"/>
      <w:marBottom w:val="0"/>
      <w:divBdr>
        <w:top w:val="none" w:sz="0" w:space="0" w:color="auto"/>
        <w:left w:val="none" w:sz="0" w:space="0" w:color="auto"/>
        <w:bottom w:val="none" w:sz="0" w:space="0" w:color="auto"/>
        <w:right w:val="none" w:sz="0" w:space="0" w:color="auto"/>
      </w:divBdr>
      <w:divsChild>
        <w:div w:id="226235207">
          <w:marLeft w:val="432"/>
          <w:marRight w:val="0"/>
          <w:marTop w:val="120"/>
          <w:marBottom w:val="0"/>
          <w:divBdr>
            <w:top w:val="none" w:sz="0" w:space="0" w:color="auto"/>
            <w:left w:val="none" w:sz="0" w:space="0" w:color="auto"/>
            <w:bottom w:val="none" w:sz="0" w:space="0" w:color="auto"/>
            <w:right w:val="none" w:sz="0" w:space="0" w:color="auto"/>
          </w:divBdr>
        </w:div>
        <w:div w:id="659163162">
          <w:marLeft w:val="432"/>
          <w:marRight w:val="0"/>
          <w:marTop w:val="120"/>
          <w:marBottom w:val="0"/>
          <w:divBdr>
            <w:top w:val="none" w:sz="0" w:space="0" w:color="auto"/>
            <w:left w:val="none" w:sz="0" w:space="0" w:color="auto"/>
            <w:bottom w:val="none" w:sz="0" w:space="0" w:color="auto"/>
            <w:right w:val="none" w:sz="0" w:space="0" w:color="auto"/>
          </w:divBdr>
        </w:div>
        <w:div w:id="1786846955">
          <w:marLeft w:val="432"/>
          <w:marRight w:val="0"/>
          <w:marTop w:val="120"/>
          <w:marBottom w:val="0"/>
          <w:divBdr>
            <w:top w:val="none" w:sz="0" w:space="0" w:color="auto"/>
            <w:left w:val="none" w:sz="0" w:space="0" w:color="auto"/>
            <w:bottom w:val="none" w:sz="0" w:space="0" w:color="auto"/>
            <w:right w:val="none" w:sz="0" w:space="0" w:color="auto"/>
          </w:divBdr>
        </w:div>
        <w:div w:id="1060137138">
          <w:marLeft w:val="432"/>
          <w:marRight w:val="0"/>
          <w:marTop w:val="120"/>
          <w:marBottom w:val="0"/>
          <w:divBdr>
            <w:top w:val="none" w:sz="0" w:space="0" w:color="auto"/>
            <w:left w:val="none" w:sz="0" w:space="0" w:color="auto"/>
            <w:bottom w:val="none" w:sz="0" w:space="0" w:color="auto"/>
            <w:right w:val="none" w:sz="0" w:space="0" w:color="auto"/>
          </w:divBdr>
        </w:div>
        <w:div w:id="337773660">
          <w:marLeft w:val="432"/>
          <w:marRight w:val="0"/>
          <w:marTop w:val="120"/>
          <w:marBottom w:val="0"/>
          <w:divBdr>
            <w:top w:val="none" w:sz="0" w:space="0" w:color="auto"/>
            <w:left w:val="none" w:sz="0" w:space="0" w:color="auto"/>
            <w:bottom w:val="none" w:sz="0" w:space="0" w:color="auto"/>
            <w:right w:val="none" w:sz="0" w:space="0" w:color="auto"/>
          </w:divBdr>
        </w:div>
      </w:divsChild>
    </w:div>
    <w:div w:id="1027680649">
      <w:bodyDiv w:val="1"/>
      <w:marLeft w:val="0"/>
      <w:marRight w:val="0"/>
      <w:marTop w:val="0"/>
      <w:marBottom w:val="0"/>
      <w:divBdr>
        <w:top w:val="none" w:sz="0" w:space="0" w:color="auto"/>
        <w:left w:val="none" w:sz="0" w:space="0" w:color="auto"/>
        <w:bottom w:val="none" w:sz="0" w:space="0" w:color="auto"/>
        <w:right w:val="none" w:sz="0" w:space="0" w:color="auto"/>
      </w:divBdr>
    </w:div>
    <w:div w:id="1046180301">
      <w:bodyDiv w:val="1"/>
      <w:marLeft w:val="0"/>
      <w:marRight w:val="0"/>
      <w:marTop w:val="0"/>
      <w:marBottom w:val="0"/>
      <w:divBdr>
        <w:top w:val="none" w:sz="0" w:space="0" w:color="auto"/>
        <w:left w:val="none" w:sz="0" w:space="0" w:color="auto"/>
        <w:bottom w:val="none" w:sz="0" w:space="0" w:color="auto"/>
        <w:right w:val="none" w:sz="0" w:space="0" w:color="auto"/>
      </w:divBdr>
      <w:divsChild>
        <w:div w:id="1887833661">
          <w:marLeft w:val="0"/>
          <w:marRight w:val="0"/>
          <w:marTop w:val="0"/>
          <w:marBottom w:val="0"/>
          <w:divBdr>
            <w:top w:val="none" w:sz="0" w:space="0" w:color="auto"/>
            <w:left w:val="none" w:sz="0" w:space="0" w:color="auto"/>
            <w:bottom w:val="single" w:sz="6" w:space="23" w:color="C8C8C8"/>
            <w:right w:val="none" w:sz="0" w:space="0" w:color="auto"/>
          </w:divBdr>
          <w:divsChild>
            <w:div w:id="1467625121">
              <w:marLeft w:val="0"/>
              <w:marRight w:val="0"/>
              <w:marTop w:val="0"/>
              <w:marBottom w:val="0"/>
              <w:divBdr>
                <w:top w:val="none" w:sz="0" w:space="0" w:color="auto"/>
                <w:left w:val="none" w:sz="0" w:space="0" w:color="auto"/>
                <w:bottom w:val="none" w:sz="0" w:space="0" w:color="auto"/>
                <w:right w:val="none" w:sz="0" w:space="0" w:color="auto"/>
              </w:divBdr>
              <w:divsChild>
                <w:div w:id="321084171">
                  <w:marLeft w:val="0"/>
                  <w:marRight w:val="0"/>
                  <w:marTop w:val="0"/>
                  <w:marBottom w:val="0"/>
                  <w:divBdr>
                    <w:top w:val="none" w:sz="0" w:space="0" w:color="auto"/>
                    <w:left w:val="none" w:sz="0" w:space="0" w:color="auto"/>
                    <w:bottom w:val="none" w:sz="0" w:space="0" w:color="auto"/>
                    <w:right w:val="none" w:sz="0" w:space="0" w:color="auto"/>
                  </w:divBdr>
                  <w:divsChild>
                    <w:div w:id="787702214">
                      <w:marLeft w:val="0"/>
                      <w:marRight w:val="0"/>
                      <w:marTop w:val="0"/>
                      <w:marBottom w:val="0"/>
                      <w:divBdr>
                        <w:top w:val="none" w:sz="0" w:space="0" w:color="auto"/>
                        <w:left w:val="none" w:sz="0" w:space="0" w:color="auto"/>
                        <w:bottom w:val="none" w:sz="0" w:space="0" w:color="auto"/>
                        <w:right w:val="none" w:sz="0" w:space="0" w:color="auto"/>
                      </w:divBdr>
                      <w:divsChild>
                        <w:div w:id="671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839816">
      <w:bodyDiv w:val="1"/>
      <w:marLeft w:val="0"/>
      <w:marRight w:val="0"/>
      <w:marTop w:val="0"/>
      <w:marBottom w:val="0"/>
      <w:divBdr>
        <w:top w:val="none" w:sz="0" w:space="0" w:color="auto"/>
        <w:left w:val="none" w:sz="0" w:space="0" w:color="auto"/>
        <w:bottom w:val="none" w:sz="0" w:space="0" w:color="auto"/>
        <w:right w:val="none" w:sz="0" w:space="0" w:color="auto"/>
      </w:divBdr>
      <w:divsChild>
        <w:div w:id="997460098">
          <w:marLeft w:val="432"/>
          <w:marRight w:val="0"/>
          <w:marTop w:val="120"/>
          <w:marBottom w:val="0"/>
          <w:divBdr>
            <w:top w:val="none" w:sz="0" w:space="0" w:color="auto"/>
            <w:left w:val="none" w:sz="0" w:space="0" w:color="auto"/>
            <w:bottom w:val="none" w:sz="0" w:space="0" w:color="auto"/>
            <w:right w:val="none" w:sz="0" w:space="0" w:color="auto"/>
          </w:divBdr>
        </w:div>
        <w:div w:id="1650742025">
          <w:marLeft w:val="432"/>
          <w:marRight w:val="0"/>
          <w:marTop w:val="120"/>
          <w:marBottom w:val="0"/>
          <w:divBdr>
            <w:top w:val="none" w:sz="0" w:space="0" w:color="auto"/>
            <w:left w:val="none" w:sz="0" w:space="0" w:color="auto"/>
            <w:bottom w:val="none" w:sz="0" w:space="0" w:color="auto"/>
            <w:right w:val="none" w:sz="0" w:space="0" w:color="auto"/>
          </w:divBdr>
        </w:div>
        <w:div w:id="686322646">
          <w:marLeft w:val="432"/>
          <w:marRight w:val="0"/>
          <w:marTop w:val="120"/>
          <w:marBottom w:val="0"/>
          <w:divBdr>
            <w:top w:val="none" w:sz="0" w:space="0" w:color="auto"/>
            <w:left w:val="none" w:sz="0" w:space="0" w:color="auto"/>
            <w:bottom w:val="none" w:sz="0" w:space="0" w:color="auto"/>
            <w:right w:val="none" w:sz="0" w:space="0" w:color="auto"/>
          </w:divBdr>
        </w:div>
        <w:div w:id="2047873770">
          <w:marLeft w:val="432"/>
          <w:marRight w:val="0"/>
          <w:marTop w:val="120"/>
          <w:marBottom w:val="0"/>
          <w:divBdr>
            <w:top w:val="none" w:sz="0" w:space="0" w:color="auto"/>
            <w:left w:val="none" w:sz="0" w:space="0" w:color="auto"/>
            <w:bottom w:val="none" w:sz="0" w:space="0" w:color="auto"/>
            <w:right w:val="none" w:sz="0" w:space="0" w:color="auto"/>
          </w:divBdr>
        </w:div>
        <w:div w:id="510336592">
          <w:marLeft w:val="432"/>
          <w:marRight w:val="0"/>
          <w:marTop w:val="120"/>
          <w:marBottom w:val="0"/>
          <w:divBdr>
            <w:top w:val="none" w:sz="0" w:space="0" w:color="auto"/>
            <w:left w:val="none" w:sz="0" w:space="0" w:color="auto"/>
            <w:bottom w:val="none" w:sz="0" w:space="0" w:color="auto"/>
            <w:right w:val="none" w:sz="0" w:space="0" w:color="auto"/>
          </w:divBdr>
        </w:div>
        <w:div w:id="2063746078">
          <w:marLeft w:val="432"/>
          <w:marRight w:val="0"/>
          <w:marTop w:val="120"/>
          <w:marBottom w:val="0"/>
          <w:divBdr>
            <w:top w:val="none" w:sz="0" w:space="0" w:color="auto"/>
            <w:left w:val="none" w:sz="0" w:space="0" w:color="auto"/>
            <w:bottom w:val="none" w:sz="0" w:space="0" w:color="auto"/>
            <w:right w:val="none" w:sz="0" w:space="0" w:color="auto"/>
          </w:divBdr>
        </w:div>
      </w:divsChild>
    </w:div>
    <w:div w:id="1336148194">
      <w:bodyDiv w:val="1"/>
      <w:marLeft w:val="0"/>
      <w:marRight w:val="0"/>
      <w:marTop w:val="0"/>
      <w:marBottom w:val="0"/>
      <w:divBdr>
        <w:top w:val="none" w:sz="0" w:space="0" w:color="auto"/>
        <w:left w:val="none" w:sz="0" w:space="0" w:color="auto"/>
        <w:bottom w:val="none" w:sz="0" w:space="0" w:color="auto"/>
        <w:right w:val="none" w:sz="0" w:space="0" w:color="auto"/>
      </w:divBdr>
      <w:divsChild>
        <w:div w:id="942688297">
          <w:marLeft w:val="432"/>
          <w:marRight w:val="0"/>
          <w:marTop w:val="120"/>
          <w:marBottom w:val="0"/>
          <w:divBdr>
            <w:top w:val="none" w:sz="0" w:space="0" w:color="auto"/>
            <w:left w:val="none" w:sz="0" w:space="0" w:color="auto"/>
            <w:bottom w:val="none" w:sz="0" w:space="0" w:color="auto"/>
            <w:right w:val="none" w:sz="0" w:space="0" w:color="auto"/>
          </w:divBdr>
        </w:div>
        <w:div w:id="2099523804">
          <w:marLeft w:val="432"/>
          <w:marRight w:val="0"/>
          <w:marTop w:val="120"/>
          <w:marBottom w:val="0"/>
          <w:divBdr>
            <w:top w:val="none" w:sz="0" w:space="0" w:color="auto"/>
            <w:left w:val="none" w:sz="0" w:space="0" w:color="auto"/>
            <w:bottom w:val="none" w:sz="0" w:space="0" w:color="auto"/>
            <w:right w:val="none" w:sz="0" w:space="0" w:color="auto"/>
          </w:divBdr>
        </w:div>
        <w:div w:id="2042896920">
          <w:marLeft w:val="432"/>
          <w:marRight w:val="0"/>
          <w:marTop w:val="120"/>
          <w:marBottom w:val="0"/>
          <w:divBdr>
            <w:top w:val="none" w:sz="0" w:space="0" w:color="auto"/>
            <w:left w:val="none" w:sz="0" w:space="0" w:color="auto"/>
            <w:bottom w:val="none" w:sz="0" w:space="0" w:color="auto"/>
            <w:right w:val="none" w:sz="0" w:space="0" w:color="auto"/>
          </w:divBdr>
        </w:div>
        <w:div w:id="67919642">
          <w:marLeft w:val="432"/>
          <w:marRight w:val="0"/>
          <w:marTop w:val="120"/>
          <w:marBottom w:val="0"/>
          <w:divBdr>
            <w:top w:val="none" w:sz="0" w:space="0" w:color="auto"/>
            <w:left w:val="none" w:sz="0" w:space="0" w:color="auto"/>
            <w:bottom w:val="none" w:sz="0" w:space="0" w:color="auto"/>
            <w:right w:val="none" w:sz="0" w:space="0" w:color="auto"/>
          </w:divBdr>
        </w:div>
        <w:div w:id="347678591">
          <w:marLeft w:val="432"/>
          <w:marRight w:val="0"/>
          <w:marTop w:val="120"/>
          <w:marBottom w:val="0"/>
          <w:divBdr>
            <w:top w:val="none" w:sz="0" w:space="0" w:color="auto"/>
            <w:left w:val="none" w:sz="0" w:space="0" w:color="auto"/>
            <w:bottom w:val="none" w:sz="0" w:space="0" w:color="auto"/>
            <w:right w:val="none" w:sz="0" w:space="0" w:color="auto"/>
          </w:divBdr>
        </w:div>
      </w:divsChild>
    </w:div>
    <w:div w:id="1381586482">
      <w:bodyDiv w:val="1"/>
      <w:marLeft w:val="0"/>
      <w:marRight w:val="0"/>
      <w:marTop w:val="0"/>
      <w:marBottom w:val="0"/>
      <w:divBdr>
        <w:top w:val="none" w:sz="0" w:space="0" w:color="auto"/>
        <w:left w:val="none" w:sz="0" w:space="0" w:color="auto"/>
        <w:bottom w:val="none" w:sz="0" w:space="0" w:color="auto"/>
        <w:right w:val="none" w:sz="0" w:space="0" w:color="auto"/>
      </w:divBdr>
      <w:divsChild>
        <w:div w:id="761342711">
          <w:marLeft w:val="0"/>
          <w:marRight w:val="0"/>
          <w:marTop w:val="0"/>
          <w:marBottom w:val="0"/>
          <w:divBdr>
            <w:top w:val="none" w:sz="0" w:space="0" w:color="auto"/>
            <w:left w:val="none" w:sz="0" w:space="0" w:color="auto"/>
            <w:bottom w:val="single" w:sz="6" w:space="23" w:color="C8C8C8"/>
            <w:right w:val="none" w:sz="0" w:space="0" w:color="auto"/>
          </w:divBdr>
          <w:divsChild>
            <w:div w:id="983899446">
              <w:marLeft w:val="0"/>
              <w:marRight w:val="0"/>
              <w:marTop w:val="0"/>
              <w:marBottom w:val="0"/>
              <w:divBdr>
                <w:top w:val="none" w:sz="0" w:space="0" w:color="auto"/>
                <w:left w:val="none" w:sz="0" w:space="0" w:color="auto"/>
                <w:bottom w:val="none" w:sz="0" w:space="0" w:color="auto"/>
                <w:right w:val="none" w:sz="0" w:space="0" w:color="auto"/>
              </w:divBdr>
              <w:divsChild>
                <w:div w:id="1220744662">
                  <w:marLeft w:val="0"/>
                  <w:marRight w:val="0"/>
                  <w:marTop w:val="0"/>
                  <w:marBottom w:val="0"/>
                  <w:divBdr>
                    <w:top w:val="none" w:sz="0" w:space="0" w:color="auto"/>
                    <w:left w:val="none" w:sz="0" w:space="0" w:color="auto"/>
                    <w:bottom w:val="none" w:sz="0" w:space="0" w:color="auto"/>
                    <w:right w:val="none" w:sz="0" w:space="0" w:color="auto"/>
                  </w:divBdr>
                  <w:divsChild>
                    <w:div w:id="672493821">
                      <w:marLeft w:val="0"/>
                      <w:marRight w:val="0"/>
                      <w:marTop w:val="0"/>
                      <w:marBottom w:val="0"/>
                      <w:divBdr>
                        <w:top w:val="none" w:sz="0" w:space="0" w:color="auto"/>
                        <w:left w:val="none" w:sz="0" w:space="0" w:color="auto"/>
                        <w:bottom w:val="none" w:sz="0" w:space="0" w:color="auto"/>
                        <w:right w:val="none" w:sz="0" w:space="0" w:color="auto"/>
                      </w:divBdr>
                      <w:divsChild>
                        <w:div w:id="2282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4402">
      <w:bodyDiv w:val="1"/>
      <w:marLeft w:val="0"/>
      <w:marRight w:val="0"/>
      <w:marTop w:val="0"/>
      <w:marBottom w:val="0"/>
      <w:divBdr>
        <w:top w:val="none" w:sz="0" w:space="0" w:color="auto"/>
        <w:left w:val="none" w:sz="0" w:space="0" w:color="auto"/>
        <w:bottom w:val="none" w:sz="0" w:space="0" w:color="auto"/>
        <w:right w:val="none" w:sz="0" w:space="0" w:color="auto"/>
      </w:divBdr>
      <w:divsChild>
        <w:div w:id="1521776864">
          <w:marLeft w:val="0"/>
          <w:marRight w:val="0"/>
          <w:marTop w:val="0"/>
          <w:marBottom w:val="0"/>
          <w:divBdr>
            <w:top w:val="none" w:sz="0" w:space="0" w:color="auto"/>
            <w:left w:val="none" w:sz="0" w:space="0" w:color="auto"/>
            <w:bottom w:val="single" w:sz="6" w:space="23" w:color="C8C8C8"/>
            <w:right w:val="none" w:sz="0" w:space="0" w:color="auto"/>
          </w:divBdr>
          <w:divsChild>
            <w:div w:id="1625573533">
              <w:marLeft w:val="0"/>
              <w:marRight w:val="0"/>
              <w:marTop w:val="0"/>
              <w:marBottom w:val="0"/>
              <w:divBdr>
                <w:top w:val="none" w:sz="0" w:space="0" w:color="auto"/>
                <w:left w:val="none" w:sz="0" w:space="0" w:color="auto"/>
                <w:bottom w:val="none" w:sz="0" w:space="0" w:color="auto"/>
                <w:right w:val="none" w:sz="0" w:space="0" w:color="auto"/>
              </w:divBdr>
              <w:divsChild>
                <w:div w:id="1060863087">
                  <w:marLeft w:val="0"/>
                  <w:marRight w:val="0"/>
                  <w:marTop w:val="0"/>
                  <w:marBottom w:val="0"/>
                  <w:divBdr>
                    <w:top w:val="none" w:sz="0" w:space="0" w:color="auto"/>
                    <w:left w:val="none" w:sz="0" w:space="0" w:color="auto"/>
                    <w:bottom w:val="none" w:sz="0" w:space="0" w:color="auto"/>
                    <w:right w:val="none" w:sz="0" w:space="0" w:color="auto"/>
                  </w:divBdr>
                  <w:divsChild>
                    <w:div w:id="166218278">
                      <w:marLeft w:val="0"/>
                      <w:marRight w:val="0"/>
                      <w:marTop w:val="0"/>
                      <w:marBottom w:val="0"/>
                      <w:divBdr>
                        <w:top w:val="none" w:sz="0" w:space="0" w:color="auto"/>
                        <w:left w:val="none" w:sz="0" w:space="0" w:color="auto"/>
                        <w:bottom w:val="none" w:sz="0" w:space="0" w:color="auto"/>
                        <w:right w:val="none" w:sz="0" w:space="0" w:color="auto"/>
                      </w:divBdr>
                      <w:divsChild>
                        <w:div w:id="13638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305729">
      <w:bodyDiv w:val="1"/>
      <w:marLeft w:val="0"/>
      <w:marRight w:val="0"/>
      <w:marTop w:val="0"/>
      <w:marBottom w:val="0"/>
      <w:divBdr>
        <w:top w:val="none" w:sz="0" w:space="0" w:color="auto"/>
        <w:left w:val="none" w:sz="0" w:space="0" w:color="auto"/>
        <w:bottom w:val="none" w:sz="0" w:space="0" w:color="auto"/>
        <w:right w:val="none" w:sz="0" w:space="0" w:color="auto"/>
      </w:divBdr>
      <w:divsChild>
        <w:div w:id="1400324637">
          <w:marLeft w:val="0"/>
          <w:marRight w:val="0"/>
          <w:marTop w:val="0"/>
          <w:marBottom w:val="0"/>
          <w:divBdr>
            <w:top w:val="none" w:sz="0" w:space="0" w:color="auto"/>
            <w:left w:val="none" w:sz="0" w:space="0" w:color="auto"/>
            <w:bottom w:val="single" w:sz="6" w:space="23" w:color="C8C8C8"/>
            <w:right w:val="none" w:sz="0" w:space="0" w:color="auto"/>
          </w:divBdr>
          <w:divsChild>
            <w:div w:id="1445925167">
              <w:marLeft w:val="0"/>
              <w:marRight w:val="0"/>
              <w:marTop w:val="0"/>
              <w:marBottom w:val="0"/>
              <w:divBdr>
                <w:top w:val="none" w:sz="0" w:space="0" w:color="auto"/>
                <w:left w:val="none" w:sz="0" w:space="0" w:color="auto"/>
                <w:bottom w:val="none" w:sz="0" w:space="0" w:color="auto"/>
                <w:right w:val="none" w:sz="0" w:space="0" w:color="auto"/>
              </w:divBdr>
              <w:divsChild>
                <w:div w:id="1591696986">
                  <w:marLeft w:val="0"/>
                  <w:marRight w:val="0"/>
                  <w:marTop w:val="0"/>
                  <w:marBottom w:val="0"/>
                  <w:divBdr>
                    <w:top w:val="none" w:sz="0" w:space="0" w:color="auto"/>
                    <w:left w:val="none" w:sz="0" w:space="0" w:color="auto"/>
                    <w:bottom w:val="none" w:sz="0" w:space="0" w:color="auto"/>
                    <w:right w:val="none" w:sz="0" w:space="0" w:color="auto"/>
                  </w:divBdr>
                  <w:divsChild>
                    <w:div w:id="860514907">
                      <w:marLeft w:val="0"/>
                      <w:marRight w:val="0"/>
                      <w:marTop w:val="0"/>
                      <w:marBottom w:val="0"/>
                      <w:divBdr>
                        <w:top w:val="none" w:sz="0" w:space="0" w:color="auto"/>
                        <w:left w:val="none" w:sz="0" w:space="0" w:color="auto"/>
                        <w:bottom w:val="none" w:sz="0" w:space="0" w:color="auto"/>
                        <w:right w:val="none" w:sz="0" w:space="0" w:color="auto"/>
                      </w:divBdr>
                      <w:divsChild>
                        <w:div w:id="18245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522176">
      <w:bodyDiv w:val="1"/>
      <w:marLeft w:val="0"/>
      <w:marRight w:val="0"/>
      <w:marTop w:val="0"/>
      <w:marBottom w:val="0"/>
      <w:divBdr>
        <w:top w:val="none" w:sz="0" w:space="0" w:color="auto"/>
        <w:left w:val="none" w:sz="0" w:space="0" w:color="auto"/>
        <w:bottom w:val="none" w:sz="0" w:space="0" w:color="auto"/>
        <w:right w:val="none" w:sz="0" w:space="0" w:color="auto"/>
      </w:divBdr>
      <w:divsChild>
        <w:div w:id="721321354">
          <w:marLeft w:val="432"/>
          <w:marRight w:val="0"/>
          <w:marTop w:val="120"/>
          <w:marBottom w:val="0"/>
          <w:divBdr>
            <w:top w:val="none" w:sz="0" w:space="0" w:color="auto"/>
            <w:left w:val="none" w:sz="0" w:space="0" w:color="auto"/>
            <w:bottom w:val="none" w:sz="0" w:space="0" w:color="auto"/>
            <w:right w:val="none" w:sz="0" w:space="0" w:color="auto"/>
          </w:divBdr>
        </w:div>
        <w:div w:id="962544519">
          <w:marLeft w:val="432"/>
          <w:marRight w:val="0"/>
          <w:marTop w:val="120"/>
          <w:marBottom w:val="0"/>
          <w:divBdr>
            <w:top w:val="none" w:sz="0" w:space="0" w:color="auto"/>
            <w:left w:val="none" w:sz="0" w:space="0" w:color="auto"/>
            <w:bottom w:val="none" w:sz="0" w:space="0" w:color="auto"/>
            <w:right w:val="none" w:sz="0" w:space="0" w:color="auto"/>
          </w:divBdr>
        </w:div>
        <w:div w:id="552892650">
          <w:marLeft w:val="432"/>
          <w:marRight w:val="0"/>
          <w:marTop w:val="120"/>
          <w:marBottom w:val="0"/>
          <w:divBdr>
            <w:top w:val="none" w:sz="0" w:space="0" w:color="auto"/>
            <w:left w:val="none" w:sz="0" w:space="0" w:color="auto"/>
            <w:bottom w:val="none" w:sz="0" w:space="0" w:color="auto"/>
            <w:right w:val="none" w:sz="0" w:space="0" w:color="auto"/>
          </w:divBdr>
        </w:div>
        <w:div w:id="1204053451">
          <w:marLeft w:val="432"/>
          <w:marRight w:val="0"/>
          <w:marTop w:val="120"/>
          <w:marBottom w:val="0"/>
          <w:divBdr>
            <w:top w:val="none" w:sz="0" w:space="0" w:color="auto"/>
            <w:left w:val="none" w:sz="0" w:space="0" w:color="auto"/>
            <w:bottom w:val="none" w:sz="0" w:space="0" w:color="auto"/>
            <w:right w:val="none" w:sz="0" w:space="0" w:color="auto"/>
          </w:divBdr>
        </w:div>
        <w:div w:id="971058512">
          <w:marLeft w:val="432"/>
          <w:marRight w:val="0"/>
          <w:marTop w:val="120"/>
          <w:marBottom w:val="0"/>
          <w:divBdr>
            <w:top w:val="none" w:sz="0" w:space="0" w:color="auto"/>
            <w:left w:val="none" w:sz="0" w:space="0" w:color="auto"/>
            <w:bottom w:val="none" w:sz="0" w:space="0" w:color="auto"/>
            <w:right w:val="none" w:sz="0" w:space="0" w:color="auto"/>
          </w:divBdr>
        </w:div>
      </w:divsChild>
    </w:div>
    <w:div w:id="1678457342">
      <w:bodyDiv w:val="1"/>
      <w:marLeft w:val="0"/>
      <w:marRight w:val="0"/>
      <w:marTop w:val="0"/>
      <w:marBottom w:val="0"/>
      <w:divBdr>
        <w:top w:val="none" w:sz="0" w:space="0" w:color="auto"/>
        <w:left w:val="none" w:sz="0" w:space="0" w:color="auto"/>
        <w:bottom w:val="none" w:sz="0" w:space="0" w:color="auto"/>
        <w:right w:val="none" w:sz="0" w:space="0" w:color="auto"/>
      </w:divBdr>
      <w:divsChild>
        <w:div w:id="930813396">
          <w:marLeft w:val="0"/>
          <w:marRight w:val="0"/>
          <w:marTop w:val="0"/>
          <w:marBottom w:val="0"/>
          <w:divBdr>
            <w:top w:val="none" w:sz="0" w:space="0" w:color="auto"/>
            <w:left w:val="none" w:sz="0" w:space="0" w:color="auto"/>
            <w:bottom w:val="single" w:sz="6" w:space="23" w:color="C8C8C8"/>
            <w:right w:val="none" w:sz="0" w:space="0" w:color="auto"/>
          </w:divBdr>
          <w:divsChild>
            <w:div w:id="1084912709">
              <w:marLeft w:val="0"/>
              <w:marRight w:val="0"/>
              <w:marTop w:val="0"/>
              <w:marBottom w:val="0"/>
              <w:divBdr>
                <w:top w:val="none" w:sz="0" w:space="0" w:color="auto"/>
                <w:left w:val="none" w:sz="0" w:space="0" w:color="auto"/>
                <w:bottom w:val="none" w:sz="0" w:space="0" w:color="auto"/>
                <w:right w:val="none" w:sz="0" w:space="0" w:color="auto"/>
              </w:divBdr>
              <w:divsChild>
                <w:div w:id="952900678">
                  <w:marLeft w:val="0"/>
                  <w:marRight w:val="0"/>
                  <w:marTop w:val="0"/>
                  <w:marBottom w:val="0"/>
                  <w:divBdr>
                    <w:top w:val="none" w:sz="0" w:space="0" w:color="auto"/>
                    <w:left w:val="none" w:sz="0" w:space="0" w:color="auto"/>
                    <w:bottom w:val="none" w:sz="0" w:space="0" w:color="auto"/>
                    <w:right w:val="none" w:sz="0" w:space="0" w:color="auto"/>
                  </w:divBdr>
                  <w:divsChild>
                    <w:div w:id="1565022072">
                      <w:marLeft w:val="0"/>
                      <w:marRight w:val="0"/>
                      <w:marTop w:val="0"/>
                      <w:marBottom w:val="0"/>
                      <w:divBdr>
                        <w:top w:val="none" w:sz="0" w:space="0" w:color="auto"/>
                        <w:left w:val="none" w:sz="0" w:space="0" w:color="auto"/>
                        <w:bottom w:val="none" w:sz="0" w:space="0" w:color="auto"/>
                        <w:right w:val="none" w:sz="0" w:space="0" w:color="auto"/>
                      </w:divBdr>
                      <w:divsChild>
                        <w:div w:id="3484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427832">
      <w:bodyDiv w:val="1"/>
      <w:marLeft w:val="0"/>
      <w:marRight w:val="0"/>
      <w:marTop w:val="0"/>
      <w:marBottom w:val="0"/>
      <w:divBdr>
        <w:top w:val="none" w:sz="0" w:space="0" w:color="auto"/>
        <w:left w:val="none" w:sz="0" w:space="0" w:color="auto"/>
        <w:bottom w:val="none" w:sz="0" w:space="0" w:color="auto"/>
        <w:right w:val="none" w:sz="0" w:space="0" w:color="auto"/>
      </w:divBdr>
      <w:divsChild>
        <w:div w:id="1517573112">
          <w:marLeft w:val="0"/>
          <w:marRight w:val="0"/>
          <w:marTop w:val="0"/>
          <w:marBottom w:val="0"/>
          <w:divBdr>
            <w:top w:val="none" w:sz="0" w:space="0" w:color="auto"/>
            <w:left w:val="none" w:sz="0" w:space="0" w:color="auto"/>
            <w:bottom w:val="single" w:sz="6" w:space="23" w:color="C8C8C8"/>
            <w:right w:val="none" w:sz="0" w:space="0" w:color="auto"/>
          </w:divBdr>
          <w:divsChild>
            <w:div w:id="1175847635">
              <w:marLeft w:val="0"/>
              <w:marRight w:val="0"/>
              <w:marTop w:val="0"/>
              <w:marBottom w:val="0"/>
              <w:divBdr>
                <w:top w:val="none" w:sz="0" w:space="0" w:color="auto"/>
                <w:left w:val="none" w:sz="0" w:space="0" w:color="auto"/>
                <w:bottom w:val="none" w:sz="0" w:space="0" w:color="auto"/>
                <w:right w:val="none" w:sz="0" w:space="0" w:color="auto"/>
              </w:divBdr>
              <w:divsChild>
                <w:div w:id="1725713892">
                  <w:marLeft w:val="0"/>
                  <w:marRight w:val="0"/>
                  <w:marTop w:val="0"/>
                  <w:marBottom w:val="0"/>
                  <w:divBdr>
                    <w:top w:val="none" w:sz="0" w:space="0" w:color="auto"/>
                    <w:left w:val="none" w:sz="0" w:space="0" w:color="auto"/>
                    <w:bottom w:val="none" w:sz="0" w:space="0" w:color="auto"/>
                    <w:right w:val="none" w:sz="0" w:space="0" w:color="auto"/>
                  </w:divBdr>
                  <w:divsChild>
                    <w:div w:id="595747866">
                      <w:marLeft w:val="0"/>
                      <w:marRight w:val="0"/>
                      <w:marTop w:val="0"/>
                      <w:marBottom w:val="0"/>
                      <w:divBdr>
                        <w:top w:val="none" w:sz="0" w:space="0" w:color="auto"/>
                        <w:left w:val="none" w:sz="0" w:space="0" w:color="auto"/>
                        <w:bottom w:val="none" w:sz="0" w:space="0" w:color="auto"/>
                        <w:right w:val="none" w:sz="0" w:space="0" w:color="auto"/>
                      </w:divBdr>
                      <w:divsChild>
                        <w:div w:id="23948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957965">
      <w:bodyDiv w:val="1"/>
      <w:marLeft w:val="0"/>
      <w:marRight w:val="0"/>
      <w:marTop w:val="0"/>
      <w:marBottom w:val="0"/>
      <w:divBdr>
        <w:top w:val="none" w:sz="0" w:space="0" w:color="auto"/>
        <w:left w:val="none" w:sz="0" w:space="0" w:color="auto"/>
        <w:bottom w:val="none" w:sz="0" w:space="0" w:color="auto"/>
        <w:right w:val="none" w:sz="0" w:space="0" w:color="auto"/>
      </w:divBdr>
      <w:divsChild>
        <w:div w:id="1197353509">
          <w:marLeft w:val="432"/>
          <w:marRight w:val="0"/>
          <w:marTop w:val="120"/>
          <w:marBottom w:val="0"/>
          <w:divBdr>
            <w:top w:val="none" w:sz="0" w:space="0" w:color="auto"/>
            <w:left w:val="none" w:sz="0" w:space="0" w:color="auto"/>
            <w:bottom w:val="none" w:sz="0" w:space="0" w:color="auto"/>
            <w:right w:val="none" w:sz="0" w:space="0" w:color="auto"/>
          </w:divBdr>
        </w:div>
        <w:div w:id="1822229820">
          <w:marLeft w:val="432"/>
          <w:marRight w:val="0"/>
          <w:marTop w:val="120"/>
          <w:marBottom w:val="0"/>
          <w:divBdr>
            <w:top w:val="none" w:sz="0" w:space="0" w:color="auto"/>
            <w:left w:val="none" w:sz="0" w:space="0" w:color="auto"/>
            <w:bottom w:val="none" w:sz="0" w:space="0" w:color="auto"/>
            <w:right w:val="none" w:sz="0" w:space="0" w:color="auto"/>
          </w:divBdr>
        </w:div>
        <w:div w:id="1326282299">
          <w:marLeft w:val="432"/>
          <w:marRight w:val="0"/>
          <w:marTop w:val="120"/>
          <w:marBottom w:val="0"/>
          <w:divBdr>
            <w:top w:val="none" w:sz="0" w:space="0" w:color="auto"/>
            <w:left w:val="none" w:sz="0" w:space="0" w:color="auto"/>
            <w:bottom w:val="none" w:sz="0" w:space="0" w:color="auto"/>
            <w:right w:val="none" w:sz="0" w:space="0" w:color="auto"/>
          </w:divBdr>
        </w:div>
      </w:divsChild>
    </w:div>
    <w:div w:id="1713455217">
      <w:bodyDiv w:val="1"/>
      <w:marLeft w:val="0"/>
      <w:marRight w:val="0"/>
      <w:marTop w:val="0"/>
      <w:marBottom w:val="0"/>
      <w:divBdr>
        <w:top w:val="none" w:sz="0" w:space="0" w:color="auto"/>
        <w:left w:val="none" w:sz="0" w:space="0" w:color="auto"/>
        <w:bottom w:val="none" w:sz="0" w:space="0" w:color="auto"/>
        <w:right w:val="none" w:sz="0" w:space="0" w:color="auto"/>
      </w:divBdr>
      <w:divsChild>
        <w:div w:id="2109737070">
          <w:marLeft w:val="0"/>
          <w:marRight w:val="0"/>
          <w:marTop w:val="0"/>
          <w:marBottom w:val="0"/>
          <w:divBdr>
            <w:top w:val="none" w:sz="0" w:space="0" w:color="auto"/>
            <w:left w:val="none" w:sz="0" w:space="0" w:color="auto"/>
            <w:bottom w:val="single" w:sz="6" w:space="23" w:color="C8C8C8"/>
            <w:right w:val="none" w:sz="0" w:space="0" w:color="auto"/>
          </w:divBdr>
          <w:divsChild>
            <w:div w:id="2076973308">
              <w:marLeft w:val="0"/>
              <w:marRight w:val="0"/>
              <w:marTop w:val="0"/>
              <w:marBottom w:val="0"/>
              <w:divBdr>
                <w:top w:val="none" w:sz="0" w:space="0" w:color="auto"/>
                <w:left w:val="none" w:sz="0" w:space="0" w:color="auto"/>
                <w:bottom w:val="none" w:sz="0" w:space="0" w:color="auto"/>
                <w:right w:val="none" w:sz="0" w:space="0" w:color="auto"/>
              </w:divBdr>
              <w:divsChild>
                <w:div w:id="702940230">
                  <w:marLeft w:val="0"/>
                  <w:marRight w:val="0"/>
                  <w:marTop w:val="0"/>
                  <w:marBottom w:val="0"/>
                  <w:divBdr>
                    <w:top w:val="none" w:sz="0" w:space="0" w:color="auto"/>
                    <w:left w:val="none" w:sz="0" w:space="0" w:color="auto"/>
                    <w:bottom w:val="none" w:sz="0" w:space="0" w:color="auto"/>
                    <w:right w:val="none" w:sz="0" w:space="0" w:color="auto"/>
                  </w:divBdr>
                  <w:divsChild>
                    <w:div w:id="441342396">
                      <w:marLeft w:val="0"/>
                      <w:marRight w:val="0"/>
                      <w:marTop w:val="0"/>
                      <w:marBottom w:val="0"/>
                      <w:divBdr>
                        <w:top w:val="none" w:sz="0" w:space="0" w:color="auto"/>
                        <w:left w:val="none" w:sz="0" w:space="0" w:color="auto"/>
                        <w:bottom w:val="none" w:sz="0" w:space="0" w:color="auto"/>
                        <w:right w:val="none" w:sz="0" w:space="0" w:color="auto"/>
                      </w:divBdr>
                      <w:divsChild>
                        <w:div w:id="6111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67561">
      <w:bodyDiv w:val="1"/>
      <w:marLeft w:val="0"/>
      <w:marRight w:val="0"/>
      <w:marTop w:val="0"/>
      <w:marBottom w:val="0"/>
      <w:divBdr>
        <w:top w:val="none" w:sz="0" w:space="0" w:color="auto"/>
        <w:left w:val="none" w:sz="0" w:space="0" w:color="auto"/>
        <w:bottom w:val="none" w:sz="0" w:space="0" w:color="auto"/>
        <w:right w:val="none" w:sz="0" w:space="0" w:color="auto"/>
      </w:divBdr>
    </w:div>
    <w:div w:id="1767848411">
      <w:bodyDiv w:val="1"/>
      <w:marLeft w:val="0"/>
      <w:marRight w:val="0"/>
      <w:marTop w:val="0"/>
      <w:marBottom w:val="0"/>
      <w:divBdr>
        <w:top w:val="none" w:sz="0" w:space="0" w:color="auto"/>
        <w:left w:val="none" w:sz="0" w:space="0" w:color="auto"/>
        <w:bottom w:val="none" w:sz="0" w:space="0" w:color="auto"/>
        <w:right w:val="none" w:sz="0" w:space="0" w:color="auto"/>
      </w:divBdr>
      <w:divsChild>
        <w:div w:id="1635208385">
          <w:marLeft w:val="547"/>
          <w:marRight w:val="0"/>
          <w:marTop w:val="91"/>
          <w:marBottom w:val="0"/>
          <w:divBdr>
            <w:top w:val="none" w:sz="0" w:space="0" w:color="auto"/>
            <w:left w:val="none" w:sz="0" w:space="0" w:color="auto"/>
            <w:bottom w:val="none" w:sz="0" w:space="0" w:color="auto"/>
            <w:right w:val="none" w:sz="0" w:space="0" w:color="auto"/>
          </w:divBdr>
        </w:div>
        <w:div w:id="901252181">
          <w:marLeft w:val="547"/>
          <w:marRight w:val="0"/>
          <w:marTop w:val="91"/>
          <w:marBottom w:val="0"/>
          <w:divBdr>
            <w:top w:val="none" w:sz="0" w:space="0" w:color="auto"/>
            <w:left w:val="none" w:sz="0" w:space="0" w:color="auto"/>
            <w:bottom w:val="none" w:sz="0" w:space="0" w:color="auto"/>
            <w:right w:val="none" w:sz="0" w:space="0" w:color="auto"/>
          </w:divBdr>
        </w:div>
        <w:div w:id="900990068">
          <w:marLeft w:val="547"/>
          <w:marRight w:val="0"/>
          <w:marTop w:val="91"/>
          <w:marBottom w:val="0"/>
          <w:divBdr>
            <w:top w:val="none" w:sz="0" w:space="0" w:color="auto"/>
            <w:left w:val="none" w:sz="0" w:space="0" w:color="auto"/>
            <w:bottom w:val="none" w:sz="0" w:space="0" w:color="auto"/>
            <w:right w:val="none" w:sz="0" w:space="0" w:color="auto"/>
          </w:divBdr>
        </w:div>
        <w:div w:id="1520042891">
          <w:marLeft w:val="547"/>
          <w:marRight w:val="0"/>
          <w:marTop w:val="91"/>
          <w:marBottom w:val="0"/>
          <w:divBdr>
            <w:top w:val="none" w:sz="0" w:space="0" w:color="auto"/>
            <w:left w:val="none" w:sz="0" w:space="0" w:color="auto"/>
            <w:bottom w:val="none" w:sz="0" w:space="0" w:color="auto"/>
            <w:right w:val="none" w:sz="0" w:space="0" w:color="auto"/>
          </w:divBdr>
        </w:div>
      </w:divsChild>
    </w:div>
    <w:div w:id="1841659061">
      <w:bodyDiv w:val="1"/>
      <w:marLeft w:val="0"/>
      <w:marRight w:val="0"/>
      <w:marTop w:val="0"/>
      <w:marBottom w:val="0"/>
      <w:divBdr>
        <w:top w:val="none" w:sz="0" w:space="0" w:color="auto"/>
        <w:left w:val="none" w:sz="0" w:space="0" w:color="auto"/>
        <w:bottom w:val="none" w:sz="0" w:space="0" w:color="auto"/>
        <w:right w:val="none" w:sz="0" w:space="0" w:color="auto"/>
      </w:divBdr>
      <w:divsChild>
        <w:div w:id="1683896143">
          <w:marLeft w:val="0"/>
          <w:marRight w:val="0"/>
          <w:marTop w:val="0"/>
          <w:marBottom w:val="0"/>
          <w:divBdr>
            <w:top w:val="none" w:sz="0" w:space="0" w:color="auto"/>
            <w:left w:val="none" w:sz="0" w:space="0" w:color="auto"/>
            <w:bottom w:val="single" w:sz="6" w:space="23" w:color="C8C8C8"/>
            <w:right w:val="none" w:sz="0" w:space="0" w:color="auto"/>
          </w:divBdr>
          <w:divsChild>
            <w:div w:id="1201434511">
              <w:marLeft w:val="0"/>
              <w:marRight w:val="0"/>
              <w:marTop w:val="0"/>
              <w:marBottom w:val="0"/>
              <w:divBdr>
                <w:top w:val="none" w:sz="0" w:space="0" w:color="auto"/>
                <w:left w:val="none" w:sz="0" w:space="0" w:color="auto"/>
                <w:bottom w:val="none" w:sz="0" w:space="0" w:color="auto"/>
                <w:right w:val="none" w:sz="0" w:space="0" w:color="auto"/>
              </w:divBdr>
              <w:divsChild>
                <w:div w:id="460658044">
                  <w:marLeft w:val="0"/>
                  <w:marRight w:val="0"/>
                  <w:marTop w:val="0"/>
                  <w:marBottom w:val="0"/>
                  <w:divBdr>
                    <w:top w:val="none" w:sz="0" w:space="0" w:color="auto"/>
                    <w:left w:val="none" w:sz="0" w:space="0" w:color="auto"/>
                    <w:bottom w:val="none" w:sz="0" w:space="0" w:color="auto"/>
                    <w:right w:val="none" w:sz="0" w:space="0" w:color="auto"/>
                  </w:divBdr>
                  <w:divsChild>
                    <w:div w:id="1770543057">
                      <w:marLeft w:val="0"/>
                      <w:marRight w:val="0"/>
                      <w:marTop w:val="0"/>
                      <w:marBottom w:val="0"/>
                      <w:divBdr>
                        <w:top w:val="none" w:sz="0" w:space="0" w:color="auto"/>
                        <w:left w:val="none" w:sz="0" w:space="0" w:color="auto"/>
                        <w:bottom w:val="none" w:sz="0" w:space="0" w:color="auto"/>
                        <w:right w:val="none" w:sz="0" w:space="0" w:color="auto"/>
                      </w:divBdr>
                      <w:divsChild>
                        <w:div w:id="3781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031641">
      <w:bodyDiv w:val="1"/>
      <w:marLeft w:val="0"/>
      <w:marRight w:val="0"/>
      <w:marTop w:val="0"/>
      <w:marBottom w:val="0"/>
      <w:divBdr>
        <w:top w:val="none" w:sz="0" w:space="0" w:color="auto"/>
        <w:left w:val="none" w:sz="0" w:space="0" w:color="auto"/>
        <w:bottom w:val="none" w:sz="0" w:space="0" w:color="auto"/>
        <w:right w:val="none" w:sz="0" w:space="0" w:color="auto"/>
      </w:divBdr>
      <w:divsChild>
        <w:div w:id="1174340648">
          <w:marLeft w:val="0"/>
          <w:marRight w:val="0"/>
          <w:marTop w:val="0"/>
          <w:marBottom w:val="0"/>
          <w:divBdr>
            <w:top w:val="none" w:sz="0" w:space="0" w:color="auto"/>
            <w:left w:val="none" w:sz="0" w:space="0" w:color="auto"/>
            <w:bottom w:val="single" w:sz="6" w:space="23" w:color="C8C8C8"/>
            <w:right w:val="none" w:sz="0" w:space="0" w:color="auto"/>
          </w:divBdr>
          <w:divsChild>
            <w:div w:id="431511750">
              <w:marLeft w:val="0"/>
              <w:marRight w:val="0"/>
              <w:marTop w:val="0"/>
              <w:marBottom w:val="0"/>
              <w:divBdr>
                <w:top w:val="none" w:sz="0" w:space="0" w:color="auto"/>
                <w:left w:val="none" w:sz="0" w:space="0" w:color="auto"/>
                <w:bottom w:val="none" w:sz="0" w:space="0" w:color="auto"/>
                <w:right w:val="none" w:sz="0" w:space="0" w:color="auto"/>
              </w:divBdr>
              <w:divsChild>
                <w:div w:id="1380587319">
                  <w:marLeft w:val="0"/>
                  <w:marRight w:val="0"/>
                  <w:marTop w:val="0"/>
                  <w:marBottom w:val="0"/>
                  <w:divBdr>
                    <w:top w:val="none" w:sz="0" w:space="0" w:color="auto"/>
                    <w:left w:val="none" w:sz="0" w:space="0" w:color="auto"/>
                    <w:bottom w:val="none" w:sz="0" w:space="0" w:color="auto"/>
                    <w:right w:val="none" w:sz="0" w:space="0" w:color="auto"/>
                  </w:divBdr>
                  <w:divsChild>
                    <w:div w:id="1902591903">
                      <w:marLeft w:val="0"/>
                      <w:marRight w:val="0"/>
                      <w:marTop w:val="0"/>
                      <w:marBottom w:val="0"/>
                      <w:divBdr>
                        <w:top w:val="none" w:sz="0" w:space="0" w:color="auto"/>
                        <w:left w:val="none" w:sz="0" w:space="0" w:color="auto"/>
                        <w:bottom w:val="none" w:sz="0" w:space="0" w:color="auto"/>
                        <w:right w:val="none" w:sz="0" w:space="0" w:color="auto"/>
                      </w:divBdr>
                      <w:divsChild>
                        <w:div w:id="7944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416335">
      <w:bodyDiv w:val="1"/>
      <w:marLeft w:val="0"/>
      <w:marRight w:val="0"/>
      <w:marTop w:val="0"/>
      <w:marBottom w:val="0"/>
      <w:divBdr>
        <w:top w:val="none" w:sz="0" w:space="0" w:color="auto"/>
        <w:left w:val="none" w:sz="0" w:space="0" w:color="auto"/>
        <w:bottom w:val="none" w:sz="0" w:space="0" w:color="auto"/>
        <w:right w:val="none" w:sz="0" w:space="0" w:color="auto"/>
      </w:divBdr>
      <w:divsChild>
        <w:div w:id="573128641">
          <w:marLeft w:val="0"/>
          <w:marRight w:val="0"/>
          <w:marTop w:val="0"/>
          <w:marBottom w:val="0"/>
          <w:divBdr>
            <w:top w:val="none" w:sz="0" w:space="0" w:color="auto"/>
            <w:left w:val="none" w:sz="0" w:space="0" w:color="auto"/>
            <w:bottom w:val="single" w:sz="6" w:space="23" w:color="C8C8C8"/>
            <w:right w:val="none" w:sz="0" w:space="0" w:color="auto"/>
          </w:divBdr>
          <w:divsChild>
            <w:div w:id="1520897232">
              <w:marLeft w:val="0"/>
              <w:marRight w:val="0"/>
              <w:marTop w:val="0"/>
              <w:marBottom w:val="0"/>
              <w:divBdr>
                <w:top w:val="none" w:sz="0" w:space="0" w:color="auto"/>
                <w:left w:val="none" w:sz="0" w:space="0" w:color="auto"/>
                <w:bottom w:val="none" w:sz="0" w:space="0" w:color="auto"/>
                <w:right w:val="none" w:sz="0" w:space="0" w:color="auto"/>
              </w:divBdr>
              <w:divsChild>
                <w:div w:id="1721786881">
                  <w:marLeft w:val="0"/>
                  <w:marRight w:val="0"/>
                  <w:marTop w:val="0"/>
                  <w:marBottom w:val="0"/>
                  <w:divBdr>
                    <w:top w:val="none" w:sz="0" w:space="0" w:color="auto"/>
                    <w:left w:val="none" w:sz="0" w:space="0" w:color="auto"/>
                    <w:bottom w:val="none" w:sz="0" w:space="0" w:color="auto"/>
                    <w:right w:val="none" w:sz="0" w:space="0" w:color="auto"/>
                  </w:divBdr>
                  <w:divsChild>
                    <w:div w:id="162479004">
                      <w:marLeft w:val="0"/>
                      <w:marRight w:val="0"/>
                      <w:marTop w:val="0"/>
                      <w:marBottom w:val="0"/>
                      <w:divBdr>
                        <w:top w:val="none" w:sz="0" w:space="0" w:color="auto"/>
                        <w:left w:val="none" w:sz="0" w:space="0" w:color="auto"/>
                        <w:bottom w:val="none" w:sz="0" w:space="0" w:color="auto"/>
                        <w:right w:val="none" w:sz="0" w:space="0" w:color="auto"/>
                      </w:divBdr>
                      <w:divsChild>
                        <w:div w:id="5915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eas.repec.org/p/oec/ecoaaa/486-en.html" TargetMode="External"/><Relationship Id="rId13" Type="http://schemas.openxmlformats.org/officeDocument/2006/relationships/hyperlink" Target="http://www.etuc.org/a/8747" TargetMode="Externa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register.consilium.europa.eu/pdf/en/11/st07/st07396.en11.pdf"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regulators-code"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news.bis.gov.uk/imagelibrary/downloadmedia.ashx?MediaDetailsID=5551"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ideas.repec.org/s/oec/ecoaaa.html" TargetMode="External"/><Relationship Id="rId14" Type="http://schemas.openxmlformats.org/officeDocument/2006/relationships/hyperlink" Target="http://www.oecd.org/dataoecd/62/35/43707074.pdf%20Accessed%2025th%20March%202010"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ason\Documents\Employment%20protection\paper%20with%20Nicola\youth%20long%20term%20UNM%20quarterly.xls"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Jason\Documents\Employment%20protection\paper%20with%20Nicola\NRRs.xlsx" TargetMode="Externa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3414176244469339E-2"/>
          <c:y val="2.296296174538234E-2"/>
          <c:w val="0.94293319521603292"/>
          <c:h val="0.77044182792414384"/>
        </c:manualLayout>
      </c:layout>
      <c:lineChart>
        <c:grouping val="standard"/>
        <c:varyColors val="0"/>
        <c:ser>
          <c:idx val="0"/>
          <c:order val="0"/>
          <c:tx>
            <c:strRef>
              <c:f>Data!$A$153</c:f>
              <c:strCache>
                <c:ptCount val="1"/>
                <c:pt idx="0">
                  <c:v>Czech Republic</c:v>
                </c:pt>
              </c:strCache>
            </c:strRef>
          </c:tx>
          <c:spPr>
            <a:ln w="44450" cap="rnd" cmpd="thinThick">
              <a:solidFill>
                <a:schemeClr val="tx1"/>
              </a:solidFill>
              <a:prstDash val="solid"/>
              <a:bevel/>
            </a:ln>
            <a:effectLst/>
          </c:spPr>
          <c:marker>
            <c:symbol val="none"/>
          </c:marker>
          <c:cat>
            <c:strRef>
              <c:f>Data!$B$152:$Y$152</c:f>
              <c:strCache>
                <c:ptCount val="24"/>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strCache>
            </c:strRef>
          </c:cat>
          <c:val>
            <c:numRef>
              <c:f>Data!$B$153:$Y$153</c:f>
              <c:numCache>
                <c:formatCode>#,##0.0</c:formatCode>
                <c:ptCount val="24"/>
                <c:pt idx="0">
                  <c:v>31.3</c:v>
                </c:pt>
                <c:pt idx="1">
                  <c:v>32</c:v>
                </c:pt>
                <c:pt idx="2">
                  <c:v>30.3</c:v>
                </c:pt>
                <c:pt idx="3">
                  <c:v>31.3</c:v>
                </c:pt>
                <c:pt idx="4">
                  <c:v>24</c:v>
                </c:pt>
                <c:pt idx="5">
                  <c:v>16.7</c:v>
                </c:pt>
                <c:pt idx="6">
                  <c:v>17.600000000000001</c:v>
                </c:pt>
                <c:pt idx="7">
                  <c:v>21.4</c:v>
                </c:pt>
                <c:pt idx="8">
                  <c:v>29.6</c:v>
                </c:pt>
                <c:pt idx="9">
                  <c:v>32.200000000000003</c:v>
                </c:pt>
                <c:pt idx="10">
                  <c:v>29.8</c:v>
                </c:pt>
                <c:pt idx="11">
                  <c:v>35.4</c:v>
                </c:pt>
                <c:pt idx="12">
                  <c:v>30.4</c:v>
                </c:pt>
                <c:pt idx="13">
                  <c:v>27.6</c:v>
                </c:pt>
                <c:pt idx="14">
                  <c:v>27.6</c:v>
                </c:pt>
                <c:pt idx="15">
                  <c:v>31.4</c:v>
                </c:pt>
                <c:pt idx="16">
                  <c:v>34.299999999999997</c:v>
                </c:pt>
                <c:pt idx="17">
                  <c:v>35.799999999999997</c:v>
                </c:pt>
                <c:pt idx="18">
                  <c:v>30.6</c:v>
                </c:pt>
                <c:pt idx="19">
                  <c:v>33.200000000000003</c:v>
                </c:pt>
                <c:pt idx="20">
                  <c:v>34.9</c:v>
                </c:pt>
                <c:pt idx="21">
                  <c:v>32.4</c:v>
                </c:pt>
                <c:pt idx="22">
                  <c:v>28.7</c:v>
                </c:pt>
                <c:pt idx="23">
                  <c:v>34.9</c:v>
                </c:pt>
              </c:numCache>
            </c:numRef>
          </c:val>
          <c:smooth val="0"/>
        </c:ser>
        <c:ser>
          <c:idx val="1"/>
          <c:order val="1"/>
          <c:tx>
            <c:strRef>
              <c:f>Data!$A$154</c:f>
              <c:strCache>
                <c:ptCount val="1"/>
                <c:pt idx="0">
                  <c:v>Greece</c:v>
                </c:pt>
              </c:strCache>
            </c:strRef>
          </c:tx>
          <c:spPr>
            <a:ln w="28575" cap="rnd">
              <a:solidFill>
                <a:schemeClr val="tx1"/>
              </a:solidFill>
              <a:prstDash val="dash"/>
              <a:round/>
            </a:ln>
            <a:effectLst/>
          </c:spPr>
          <c:marker>
            <c:symbol val="none"/>
          </c:marker>
          <c:cat>
            <c:strRef>
              <c:f>Data!$B$152:$Y$152</c:f>
              <c:strCache>
                <c:ptCount val="24"/>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strCache>
            </c:strRef>
          </c:cat>
          <c:val>
            <c:numRef>
              <c:f>Data!$B$154:$Y$154</c:f>
              <c:numCache>
                <c:formatCode>#,##0.0</c:formatCode>
                <c:ptCount val="24"/>
                <c:pt idx="0">
                  <c:v>34.799999999999997</c:v>
                </c:pt>
                <c:pt idx="1">
                  <c:v>38.700000000000003</c:v>
                </c:pt>
                <c:pt idx="2">
                  <c:v>37.1</c:v>
                </c:pt>
                <c:pt idx="3">
                  <c:v>33.9</c:v>
                </c:pt>
                <c:pt idx="4">
                  <c:v>31.3</c:v>
                </c:pt>
                <c:pt idx="5">
                  <c:v>30.6</c:v>
                </c:pt>
                <c:pt idx="6">
                  <c:v>30.1</c:v>
                </c:pt>
                <c:pt idx="7">
                  <c:v>32</c:v>
                </c:pt>
                <c:pt idx="8">
                  <c:v>34.200000000000003</c:v>
                </c:pt>
                <c:pt idx="9">
                  <c:v>36.200000000000003</c:v>
                </c:pt>
                <c:pt idx="10">
                  <c:v>35.200000000000003</c:v>
                </c:pt>
                <c:pt idx="11">
                  <c:v>36.799999999999997</c:v>
                </c:pt>
                <c:pt idx="12">
                  <c:v>38.5</c:v>
                </c:pt>
                <c:pt idx="13">
                  <c:v>41.6</c:v>
                </c:pt>
                <c:pt idx="14">
                  <c:v>44.6</c:v>
                </c:pt>
                <c:pt idx="15">
                  <c:v>44.3</c:v>
                </c:pt>
                <c:pt idx="16">
                  <c:v>47.6</c:v>
                </c:pt>
                <c:pt idx="17">
                  <c:v>48.7</c:v>
                </c:pt>
                <c:pt idx="18">
                  <c:v>48.3</c:v>
                </c:pt>
                <c:pt idx="19">
                  <c:v>51.3</c:v>
                </c:pt>
                <c:pt idx="20">
                  <c:v>50.8</c:v>
                </c:pt>
                <c:pt idx="21">
                  <c:v>49.4</c:v>
                </c:pt>
                <c:pt idx="22">
                  <c:v>53.6</c:v>
                </c:pt>
                <c:pt idx="23">
                  <c:v>55.5</c:v>
                </c:pt>
              </c:numCache>
            </c:numRef>
          </c:val>
          <c:smooth val="0"/>
        </c:ser>
        <c:ser>
          <c:idx val="2"/>
          <c:order val="2"/>
          <c:tx>
            <c:strRef>
              <c:f>Data!$A$155</c:f>
              <c:strCache>
                <c:ptCount val="1"/>
                <c:pt idx="0">
                  <c:v>Spain</c:v>
                </c:pt>
              </c:strCache>
            </c:strRef>
          </c:tx>
          <c:spPr>
            <a:ln w="28575" cap="rnd">
              <a:solidFill>
                <a:schemeClr val="bg1">
                  <a:lumMod val="50000"/>
                </a:schemeClr>
              </a:solidFill>
              <a:round/>
            </a:ln>
            <a:effectLst/>
          </c:spPr>
          <c:marker>
            <c:symbol val="none"/>
          </c:marker>
          <c:cat>
            <c:strRef>
              <c:f>Data!$B$152:$Y$152</c:f>
              <c:strCache>
                <c:ptCount val="24"/>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strCache>
            </c:strRef>
          </c:cat>
          <c:val>
            <c:numRef>
              <c:f>Data!$B$155:$Y$155</c:f>
              <c:numCache>
                <c:formatCode>#,##0.0</c:formatCode>
                <c:ptCount val="24"/>
                <c:pt idx="0">
                  <c:v>10.8</c:v>
                </c:pt>
                <c:pt idx="1">
                  <c:v>8.5</c:v>
                </c:pt>
                <c:pt idx="2">
                  <c:v>10.1</c:v>
                </c:pt>
                <c:pt idx="3">
                  <c:v>11.9</c:v>
                </c:pt>
                <c:pt idx="4">
                  <c:v>14.3</c:v>
                </c:pt>
                <c:pt idx="5">
                  <c:v>17.100000000000001</c:v>
                </c:pt>
                <c:pt idx="6">
                  <c:v>17.7</c:v>
                </c:pt>
                <c:pt idx="7">
                  <c:v>23.4</c:v>
                </c:pt>
                <c:pt idx="8">
                  <c:v>27.5</c:v>
                </c:pt>
                <c:pt idx="9">
                  <c:v>29.5</c:v>
                </c:pt>
                <c:pt idx="10">
                  <c:v>28.6</c:v>
                </c:pt>
                <c:pt idx="11">
                  <c:v>31.4</c:v>
                </c:pt>
                <c:pt idx="12">
                  <c:v>32.5</c:v>
                </c:pt>
                <c:pt idx="13">
                  <c:v>30.7</c:v>
                </c:pt>
                <c:pt idx="14">
                  <c:v>32.200000000000003</c:v>
                </c:pt>
                <c:pt idx="15">
                  <c:v>34.299999999999997</c:v>
                </c:pt>
                <c:pt idx="16">
                  <c:v>35.4</c:v>
                </c:pt>
                <c:pt idx="17">
                  <c:v>34.6</c:v>
                </c:pt>
                <c:pt idx="18">
                  <c:v>34.4</c:v>
                </c:pt>
                <c:pt idx="19">
                  <c:v>38.200000000000003</c:v>
                </c:pt>
                <c:pt idx="20">
                  <c:v>39.299999999999997</c:v>
                </c:pt>
                <c:pt idx="21">
                  <c:v>39.299999999999997</c:v>
                </c:pt>
                <c:pt idx="22">
                  <c:v>37.9</c:v>
                </c:pt>
                <c:pt idx="23">
                  <c:v>40.9</c:v>
                </c:pt>
              </c:numCache>
            </c:numRef>
          </c:val>
          <c:smooth val="0"/>
        </c:ser>
        <c:ser>
          <c:idx val="3"/>
          <c:order val="3"/>
          <c:tx>
            <c:strRef>
              <c:f>Data!$A$156</c:f>
              <c:strCache>
                <c:ptCount val="1"/>
                <c:pt idx="0">
                  <c:v>France</c:v>
                </c:pt>
              </c:strCache>
            </c:strRef>
          </c:tx>
          <c:spPr>
            <a:ln w="34925" cap="rnd" cmpd="dbl">
              <a:solidFill>
                <a:schemeClr val="tx1"/>
              </a:solidFill>
              <a:prstDash val="solid"/>
              <a:round/>
            </a:ln>
            <a:effectLst/>
          </c:spPr>
          <c:marker>
            <c:symbol val="none"/>
          </c:marker>
          <c:cat>
            <c:strRef>
              <c:f>Data!$B$152:$Y$152</c:f>
              <c:strCache>
                <c:ptCount val="24"/>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strCache>
            </c:strRef>
          </c:cat>
          <c:val>
            <c:numRef>
              <c:f>Data!$B$156:$Y$156</c:f>
              <c:numCache>
                <c:formatCode>#,##0.0</c:formatCode>
                <c:ptCount val="24"/>
                <c:pt idx="0">
                  <c:v>24.9</c:v>
                </c:pt>
                <c:pt idx="1">
                  <c:v>29.4</c:v>
                </c:pt>
                <c:pt idx="2">
                  <c:v>23.4</c:v>
                </c:pt>
                <c:pt idx="3">
                  <c:v>20.7</c:v>
                </c:pt>
                <c:pt idx="4">
                  <c:v>22.7</c:v>
                </c:pt>
                <c:pt idx="5">
                  <c:v>23.5</c:v>
                </c:pt>
                <c:pt idx="6">
                  <c:v>28.6</c:v>
                </c:pt>
                <c:pt idx="7">
                  <c:v>27.7</c:v>
                </c:pt>
                <c:pt idx="8">
                  <c:v>27.4</c:v>
                </c:pt>
                <c:pt idx="9">
                  <c:v>32.4</c:v>
                </c:pt>
                <c:pt idx="10">
                  <c:v>31.2</c:v>
                </c:pt>
                <c:pt idx="11">
                  <c:v>28.7</c:v>
                </c:pt>
                <c:pt idx="12">
                  <c:v>27</c:v>
                </c:pt>
                <c:pt idx="13">
                  <c:v>28.8</c:v>
                </c:pt>
                <c:pt idx="14">
                  <c:v>29.4</c:v>
                </c:pt>
                <c:pt idx="15">
                  <c:v>28</c:v>
                </c:pt>
                <c:pt idx="16">
                  <c:v>28.7</c:v>
                </c:pt>
                <c:pt idx="17">
                  <c:v>30.1</c:v>
                </c:pt>
                <c:pt idx="18">
                  <c:v>28.5</c:v>
                </c:pt>
                <c:pt idx="19">
                  <c:v>26.6</c:v>
                </c:pt>
                <c:pt idx="20">
                  <c:v>25.7</c:v>
                </c:pt>
                <c:pt idx="21">
                  <c:v>29.9</c:v>
                </c:pt>
                <c:pt idx="22">
                  <c:v>27.3</c:v>
                </c:pt>
                <c:pt idx="23">
                  <c:v>26.5</c:v>
                </c:pt>
              </c:numCache>
            </c:numRef>
          </c:val>
          <c:smooth val="0"/>
        </c:ser>
        <c:ser>
          <c:idx val="4"/>
          <c:order val="4"/>
          <c:tx>
            <c:strRef>
              <c:f>Data!$A$157</c:f>
              <c:strCache>
                <c:ptCount val="1"/>
                <c:pt idx="0">
                  <c:v>Italy</c:v>
                </c:pt>
              </c:strCache>
            </c:strRef>
          </c:tx>
          <c:spPr>
            <a:ln w="28575" cap="rnd">
              <a:solidFill>
                <a:schemeClr val="tx1"/>
              </a:solidFill>
              <a:prstDash val="sysDot"/>
              <a:round/>
            </a:ln>
            <a:effectLst/>
          </c:spPr>
          <c:marker>
            <c:symbol val="none"/>
          </c:marker>
          <c:cat>
            <c:strRef>
              <c:f>Data!$B$152:$Y$152</c:f>
              <c:strCache>
                <c:ptCount val="24"/>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strCache>
            </c:strRef>
          </c:cat>
          <c:val>
            <c:numRef>
              <c:f>Data!$B$157:$Y$157</c:f>
              <c:numCache>
                <c:formatCode>#,##0.0</c:formatCode>
                <c:ptCount val="24"/>
                <c:pt idx="0">
                  <c:v>38</c:v>
                </c:pt>
                <c:pt idx="1">
                  <c:v>42.1</c:v>
                </c:pt>
                <c:pt idx="2">
                  <c:v>38.9</c:v>
                </c:pt>
                <c:pt idx="3">
                  <c:v>34.5</c:v>
                </c:pt>
                <c:pt idx="4">
                  <c:v>36.700000000000003</c:v>
                </c:pt>
                <c:pt idx="5">
                  <c:v>41.2</c:v>
                </c:pt>
                <c:pt idx="6">
                  <c:v>42.7</c:v>
                </c:pt>
                <c:pt idx="7">
                  <c:v>40.1</c:v>
                </c:pt>
                <c:pt idx="8">
                  <c:v>41.4</c:v>
                </c:pt>
                <c:pt idx="9">
                  <c:v>46.2</c:v>
                </c:pt>
                <c:pt idx="10">
                  <c:v>47.9</c:v>
                </c:pt>
                <c:pt idx="11">
                  <c:v>43.1</c:v>
                </c:pt>
                <c:pt idx="12">
                  <c:v>43.8</c:v>
                </c:pt>
                <c:pt idx="13">
                  <c:v>51.8</c:v>
                </c:pt>
                <c:pt idx="14">
                  <c:v>48.6</c:v>
                </c:pt>
                <c:pt idx="15">
                  <c:v>47.6</c:v>
                </c:pt>
                <c:pt idx="16">
                  <c:v>45.6</c:v>
                </c:pt>
                <c:pt idx="17">
                  <c:v>53.7</c:v>
                </c:pt>
                <c:pt idx="18">
                  <c:v>50.2</c:v>
                </c:pt>
                <c:pt idx="19">
                  <c:v>49.7</c:v>
                </c:pt>
                <c:pt idx="20">
                  <c:v>49.6</c:v>
                </c:pt>
                <c:pt idx="21">
                  <c:v>53.1</c:v>
                </c:pt>
                <c:pt idx="22">
                  <c:v>56</c:v>
                </c:pt>
                <c:pt idx="23">
                  <c:v>54.6</c:v>
                </c:pt>
              </c:numCache>
            </c:numRef>
          </c:val>
          <c:smooth val="0"/>
        </c:ser>
        <c:ser>
          <c:idx val="5"/>
          <c:order val="5"/>
          <c:tx>
            <c:strRef>
              <c:f>Data!$A$158</c:f>
              <c:strCache>
                <c:ptCount val="1"/>
                <c:pt idx="0">
                  <c:v>Hungary</c:v>
                </c:pt>
              </c:strCache>
            </c:strRef>
          </c:tx>
          <c:spPr>
            <a:ln w="28575" cap="rnd">
              <a:solidFill>
                <a:schemeClr val="tx1"/>
              </a:solidFill>
              <a:prstDash val="dashDot"/>
              <a:round/>
            </a:ln>
            <a:effectLst/>
          </c:spPr>
          <c:marker>
            <c:symbol val="none"/>
          </c:marker>
          <c:cat>
            <c:strRef>
              <c:f>Data!$B$152:$Y$152</c:f>
              <c:strCache>
                <c:ptCount val="24"/>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strCache>
            </c:strRef>
          </c:cat>
          <c:val>
            <c:numRef>
              <c:f>Data!$B$158:$Y$158</c:f>
              <c:numCache>
                <c:formatCode>#,##0.0</c:formatCode>
                <c:ptCount val="24"/>
                <c:pt idx="0">
                  <c:v>30.4</c:v>
                </c:pt>
                <c:pt idx="1">
                  <c:v>35.9</c:v>
                </c:pt>
                <c:pt idx="2">
                  <c:v>32.5</c:v>
                </c:pt>
                <c:pt idx="3">
                  <c:v>30.3</c:v>
                </c:pt>
                <c:pt idx="4">
                  <c:v>27.2</c:v>
                </c:pt>
                <c:pt idx="5">
                  <c:v>27</c:v>
                </c:pt>
                <c:pt idx="6">
                  <c:v>30.5</c:v>
                </c:pt>
                <c:pt idx="7">
                  <c:v>34</c:v>
                </c:pt>
                <c:pt idx="8">
                  <c:v>35.5</c:v>
                </c:pt>
                <c:pt idx="9">
                  <c:v>38.9</c:v>
                </c:pt>
                <c:pt idx="10">
                  <c:v>42.9</c:v>
                </c:pt>
                <c:pt idx="11">
                  <c:v>39.6</c:v>
                </c:pt>
                <c:pt idx="12">
                  <c:v>35.5</c:v>
                </c:pt>
                <c:pt idx="13">
                  <c:v>38.4</c:v>
                </c:pt>
                <c:pt idx="14">
                  <c:v>34.799999999999997</c:v>
                </c:pt>
                <c:pt idx="15">
                  <c:v>35.299999999999997</c:v>
                </c:pt>
                <c:pt idx="16">
                  <c:v>30.3</c:v>
                </c:pt>
                <c:pt idx="17">
                  <c:v>32.5</c:v>
                </c:pt>
                <c:pt idx="18">
                  <c:v>30.2</c:v>
                </c:pt>
                <c:pt idx="19">
                  <c:v>32.1</c:v>
                </c:pt>
                <c:pt idx="20">
                  <c:v>28.3</c:v>
                </c:pt>
                <c:pt idx="21">
                  <c:v>30.1</c:v>
                </c:pt>
                <c:pt idx="22">
                  <c:v>35.799999999999997</c:v>
                </c:pt>
                <c:pt idx="23">
                  <c:v>38.4</c:v>
                </c:pt>
              </c:numCache>
            </c:numRef>
          </c:val>
          <c:smooth val="0"/>
        </c:ser>
        <c:ser>
          <c:idx val="6"/>
          <c:order val="6"/>
          <c:tx>
            <c:strRef>
              <c:f>Data!$A$159</c:f>
              <c:strCache>
                <c:ptCount val="1"/>
                <c:pt idx="0">
                  <c:v>Portugal</c:v>
                </c:pt>
              </c:strCache>
            </c:strRef>
          </c:tx>
          <c:spPr>
            <a:ln w="28575" cap="rnd" cmpd="dbl">
              <a:solidFill>
                <a:schemeClr val="bg1">
                  <a:lumMod val="50000"/>
                </a:schemeClr>
              </a:solidFill>
              <a:round/>
            </a:ln>
            <a:effectLst/>
          </c:spPr>
          <c:marker>
            <c:symbol val="none"/>
          </c:marker>
          <c:cat>
            <c:strRef>
              <c:f>Data!$B$152:$Y$152</c:f>
              <c:strCache>
                <c:ptCount val="24"/>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strCache>
            </c:strRef>
          </c:cat>
          <c:val>
            <c:numRef>
              <c:f>Data!$B$159:$Y$159</c:f>
              <c:numCache>
                <c:formatCode>#,##0.0</c:formatCode>
                <c:ptCount val="24"/>
                <c:pt idx="0">
                  <c:v>25.2</c:v>
                </c:pt>
                <c:pt idx="1">
                  <c:v>28.2</c:v>
                </c:pt>
                <c:pt idx="2">
                  <c:v>24.9</c:v>
                </c:pt>
                <c:pt idx="3">
                  <c:v>24.3</c:v>
                </c:pt>
                <c:pt idx="4">
                  <c:v>25.1</c:v>
                </c:pt>
                <c:pt idx="5">
                  <c:v>26.6</c:v>
                </c:pt>
                <c:pt idx="6">
                  <c:v>25.5</c:v>
                </c:pt>
                <c:pt idx="7">
                  <c:v>29.9</c:v>
                </c:pt>
                <c:pt idx="8">
                  <c:v>28.9</c:v>
                </c:pt>
                <c:pt idx="9">
                  <c:v>31</c:v>
                </c:pt>
                <c:pt idx="10">
                  <c:v>32.799999999999997</c:v>
                </c:pt>
                <c:pt idx="11">
                  <c:v>29.4</c:v>
                </c:pt>
                <c:pt idx="12">
                  <c:v>24</c:v>
                </c:pt>
                <c:pt idx="13">
                  <c:v>28.4</c:v>
                </c:pt>
                <c:pt idx="14">
                  <c:v>25.4</c:v>
                </c:pt>
                <c:pt idx="15">
                  <c:v>28</c:v>
                </c:pt>
                <c:pt idx="16">
                  <c:v>27.8</c:v>
                </c:pt>
                <c:pt idx="17">
                  <c:v>27.7</c:v>
                </c:pt>
                <c:pt idx="18">
                  <c:v>34.4</c:v>
                </c:pt>
                <c:pt idx="19">
                  <c:v>32.799999999999997</c:v>
                </c:pt>
                <c:pt idx="20">
                  <c:v>33.700000000000003</c:v>
                </c:pt>
                <c:pt idx="21">
                  <c:v>36</c:v>
                </c:pt>
                <c:pt idx="22">
                  <c:v>38.9</c:v>
                </c:pt>
                <c:pt idx="23">
                  <c:v>38.1</c:v>
                </c:pt>
              </c:numCache>
            </c:numRef>
          </c:val>
          <c:smooth val="0"/>
        </c:ser>
        <c:ser>
          <c:idx val="7"/>
          <c:order val="7"/>
          <c:tx>
            <c:strRef>
              <c:f>Data!$A$160</c:f>
              <c:strCache>
                <c:ptCount val="1"/>
                <c:pt idx="0">
                  <c:v>Slovenia</c:v>
                </c:pt>
              </c:strCache>
            </c:strRef>
          </c:tx>
          <c:spPr>
            <a:ln w="28575" cap="rnd">
              <a:solidFill>
                <a:schemeClr val="bg1">
                  <a:lumMod val="50000"/>
                </a:schemeClr>
              </a:solidFill>
              <a:prstDash val="sysDash"/>
              <a:round/>
            </a:ln>
            <a:effectLst/>
          </c:spPr>
          <c:marker>
            <c:symbol val="none"/>
          </c:marker>
          <c:cat>
            <c:strRef>
              <c:f>Data!$B$152:$Y$152</c:f>
              <c:strCache>
                <c:ptCount val="24"/>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strCache>
            </c:strRef>
          </c:cat>
          <c:val>
            <c:numRef>
              <c:f>Data!$B$160:$Y$160</c:f>
              <c:numCache>
                <c:formatCode>#,##0.0</c:formatCode>
                <c:ptCount val="24"/>
                <c:pt idx="0">
                  <c:v>23</c:v>
                </c:pt>
                <c:pt idx="1">
                  <c:v>26</c:v>
                </c:pt>
                <c:pt idx="2">
                  <c:v>18.7</c:v>
                </c:pt>
                <c:pt idx="3">
                  <c:v>13.7</c:v>
                </c:pt>
                <c:pt idx="4">
                  <c:v>21.3</c:v>
                </c:pt>
                <c:pt idx="5">
                  <c:v>25.3</c:v>
                </c:pt>
                <c:pt idx="6">
                  <c:v>17.3</c:v>
                </c:pt>
                <c:pt idx="7">
                  <c:v>18.3</c:v>
                </c:pt>
                <c:pt idx="8">
                  <c:v>28.6</c:v>
                </c:pt>
                <c:pt idx="9">
                  <c:v>36.4</c:v>
                </c:pt>
                <c:pt idx="10">
                  <c:v>38.6</c:v>
                </c:pt>
                <c:pt idx="11">
                  <c:v>31.8</c:v>
                </c:pt>
                <c:pt idx="12">
                  <c:v>40.799999999999997</c:v>
                </c:pt>
                <c:pt idx="13">
                  <c:v>28</c:v>
                </c:pt>
                <c:pt idx="14">
                  <c:v>35</c:v>
                </c:pt>
                <c:pt idx="15">
                  <c:v>35.1</c:v>
                </c:pt>
                <c:pt idx="16">
                  <c:v>29.6</c:v>
                </c:pt>
                <c:pt idx="17">
                  <c:v>37.1</c:v>
                </c:pt>
                <c:pt idx="18">
                  <c:v>32.5</c:v>
                </c:pt>
                <c:pt idx="19">
                  <c:v>30.7</c:v>
                </c:pt>
                <c:pt idx="20">
                  <c:v>40.4</c:v>
                </c:pt>
                <c:pt idx="21">
                  <c:v>37.200000000000003</c:v>
                </c:pt>
                <c:pt idx="22">
                  <c:v>38.200000000000003</c:v>
                </c:pt>
                <c:pt idx="23">
                  <c:v>42.7</c:v>
                </c:pt>
              </c:numCache>
            </c:numRef>
          </c:val>
          <c:smooth val="0"/>
        </c:ser>
        <c:ser>
          <c:idx val="8"/>
          <c:order val="8"/>
          <c:tx>
            <c:strRef>
              <c:f>Data!$A$161</c:f>
              <c:strCache>
                <c:ptCount val="1"/>
                <c:pt idx="0">
                  <c:v>Slovakia</c:v>
                </c:pt>
              </c:strCache>
            </c:strRef>
          </c:tx>
          <c:spPr>
            <a:ln w="28575" cap="rnd">
              <a:solidFill>
                <a:schemeClr val="tx1"/>
              </a:solidFill>
              <a:round/>
            </a:ln>
            <a:effectLst/>
          </c:spPr>
          <c:marker>
            <c:symbol val="none"/>
          </c:marker>
          <c:cat>
            <c:strRef>
              <c:f>Data!$B$152:$Y$152</c:f>
              <c:strCache>
                <c:ptCount val="24"/>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strCache>
            </c:strRef>
          </c:cat>
          <c:val>
            <c:numRef>
              <c:f>Data!$B$161:$Y$161</c:f>
              <c:numCache>
                <c:formatCode>#,##0.0</c:formatCode>
                <c:ptCount val="24"/>
                <c:pt idx="0">
                  <c:v>58.6</c:v>
                </c:pt>
                <c:pt idx="1">
                  <c:v>58.8</c:v>
                </c:pt>
                <c:pt idx="2">
                  <c:v>45.5</c:v>
                </c:pt>
                <c:pt idx="3">
                  <c:v>47.6</c:v>
                </c:pt>
                <c:pt idx="4">
                  <c:v>40.9</c:v>
                </c:pt>
                <c:pt idx="5">
                  <c:v>39.5</c:v>
                </c:pt>
                <c:pt idx="6">
                  <c:v>40.1</c:v>
                </c:pt>
                <c:pt idx="7">
                  <c:v>46.1</c:v>
                </c:pt>
                <c:pt idx="8">
                  <c:v>51</c:v>
                </c:pt>
                <c:pt idx="9">
                  <c:v>55.4</c:v>
                </c:pt>
                <c:pt idx="10">
                  <c:v>55.8</c:v>
                </c:pt>
                <c:pt idx="11">
                  <c:v>56.8</c:v>
                </c:pt>
                <c:pt idx="12">
                  <c:v>56.5</c:v>
                </c:pt>
                <c:pt idx="13">
                  <c:v>53.7</c:v>
                </c:pt>
                <c:pt idx="14">
                  <c:v>50.5</c:v>
                </c:pt>
                <c:pt idx="15">
                  <c:v>56.7</c:v>
                </c:pt>
                <c:pt idx="16">
                  <c:v>52.7</c:v>
                </c:pt>
                <c:pt idx="17">
                  <c:v>57.8</c:v>
                </c:pt>
                <c:pt idx="18">
                  <c:v>55.6</c:v>
                </c:pt>
                <c:pt idx="19">
                  <c:v>58.9</c:v>
                </c:pt>
                <c:pt idx="20">
                  <c:v>62.3</c:v>
                </c:pt>
                <c:pt idx="21">
                  <c:v>64.3</c:v>
                </c:pt>
                <c:pt idx="22">
                  <c:v>60</c:v>
                </c:pt>
                <c:pt idx="23">
                  <c:v>58.8</c:v>
                </c:pt>
              </c:numCache>
            </c:numRef>
          </c:val>
          <c:smooth val="0"/>
        </c:ser>
        <c:ser>
          <c:idx val="9"/>
          <c:order val="9"/>
          <c:tx>
            <c:strRef>
              <c:f>Data!$A$162</c:f>
              <c:strCache>
                <c:ptCount val="1"/>
                <c:pt idx="0">
                  <c:v>United Kingdom</c:v>
                </c:pt>
              </c:strCache>
            </c:strRef>
          </c:tx>
          <c:spPr>
            <a:ln w="28575" cap="rnd">
              <a:solidFill>
                <a:schemeClr val="tx1"/>
              </a:solidFill>
              <a:prstDash val="lgDashDotDot"/>
              <a:round/>
            </a:ln>
            <a:effectLst/>
          </c:spPr>
          <c:marker>
            <c:symbol val="none"/>
          </c:marker>
          <c:cat>
            <c:strRef>
              <c:f>Data!$B$152:$Y$152</c:f>
              <c:strCache>
                <c:ptCount val="24"/>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strCache>
            </c:strRef>
          </c:cat>
          <c:val>
            <c:numRef>
              <c:f>Data!$B$162:$Y$162</c:f>
              <c:numCache>
                <c:formatCode>#,##0.0</c:formatCode>
                <c:ptCount val="24"/>
                <c:pt idx="0">
                  <c:v>17</c:v>
                </c:pt>
                <c:pt idx="1">
                  <c:v>17.5</c:v>
                </c:pt>
                <c:pt idx="2">
                  <c:v>14.6</c:v>
                </c:pt>
                <c:pt idx="3">
                  <c:v>15.5</c:v>
                </c:pt>
                <c:pt idx="4">
                  <c:v>16.7</c:v>
                </c:pt>
                <c:pt idx="5">
                  <c:v>18.7</c:v>
                </c:pt>
                <c:pt idx="6">
                  <c:v>19.600000000000001</c:v>
                </c:pt>
                <c:pt idx="7">
                  <c:v>20.9</c:v>
                </c:pt>
                <c:pt idx="8">
                  <c:v>23.5</c:v>
                </c:pt>
                <c:pt idx="9">
                  <c:v>23.7</c:v>
                </c:pt>
                <c:pt idx="10">
                  <c:v>22.8</c:v>
                </c:pt>
                <c:pt idx="11">
                  <c:v>25</c:v>
                </c:pt>
                <c:pt idx="12">
                  <c:v>24.9</c:v>
                </c:pt>
                <c:pt idx="13">
                  <c:v>25.2</c:v>
                </c:pt>
                <c:pt idx="14">
                  <c:v>24.1</c:v>
                </c:pt>
                <c:pt idx="15">
                  <c:v>24.5</c:v>
                </c:pt>
                <c:pt idx="16">
                  <c:v>27</c:v>
                </c:pt>
                <c:pt idx="17">
                  <c:v>27.8</c:v>
                </c:pt>
                <c:pt idx="18">
                  <c:v>26.3</c:v>
                </c:pt>
                <c:pt idx="19">
                  <c:v>28.8</c:v>
                </c:pt>
                <c:pt idx="20">
                  <c:v>29.9</c:v>
                </c:pt>
                <c:pt idx="21">
                  <c:v>29.9</c:v>
                </c:pt>
                <c:pt idx="22">
                  <c:v>27.6</c:v>
                </c:pt>
                <c:pt idx="23">
                  <c:v>28.6</c:v>
                </c:pt>
              </c:numCache>
            </c:numRef>
          </c:val>
          <c:smooth val="0"/>
        </c:ser>
        <c:dLbls>
          <c:showLegendKey val="0"/>
          <c:showVal val="0"/>
          <c:showCatName val="0"/>
          <c:showSerName val="0"/>
          <c:showPercent val="0"/>
          <c:showBubbleSize val="0"/>
        </c:dLbls>
        <c:smooth val="0"/>
        <c:axId val="401766184"/>
        <c:axId val="401766576"/>
      </c:lineChart>
      <c:catAx>
        <c:axId val="401766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766576"/>
        <c:crosses val="autoZero"/>
        <c:auto val="1"/>
        <c:lblAlgn val="ctr"/>
        <c:lblOffset val="100"/>
        <c:noMultiLvlLbl val="0"/>
      </c:catAx>
      <c:valAx>
        <c:axId val="4017665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766184"/>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Data!$A$154</c:f>
              <c:strCache>
                <c:ptCount val="1"/>
                <c:pt idx="0">
                  <c:v>Czech Republic</c:v>
                </c:pt>
              </c:strCache>
            </c:strRef>
          </c:tx>
          <c:spPr>
            <a:ln w="44450" cap="rnd" cmpd="thinThick">
              <a:solidFill>
                <a:schemeClr val="tx1"/>
              </a:solidFill>
              <a:prstDash val="solid"/>
              <a:round/>
            </a:ln>
            <a:effectLst/>
          </c:spPr>
          <c:marker>
            <c:symbol val="none"/>
          </c:marker>
          <c:cat>
            <c:strRef>
              <c:f>Data!$B$153:$Y$153</c:f>
              <c:strCache>
                <c:ptCount val="24"/>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strCache>
            </c:strRef>
          </c:cat>
          <c:val>
            <c:numRef>
              <c:f>Data!$B$154:$Y$154</c:f>
              <c:numCache>
                <c:formatCode>#,##0.0</c:formatCode>
                <c:ptCount val="24"/>
                <c:pt idx="0">
                  <c:v>54.8</c:v>
                </c:pt>
                <c:pt idx="1">
                  <c:v>54.8</c:v>
                </c:pt>
                <c:pt idx="2">
                  <c:v>53.1</c:v>
                </c:pt>
                <c:pt idx="3">
                  <c:v>50.5</c:v>
                </c:pt>
                <c:pt idx="4">
                  <c:v>37</c:v>
                </c:pt>
                <c:pt idx="5">
                  <c:v>31.3</c:v>
                </c:pt>
                <c:pt idx="6">
                  <c:v>30.9</c:v>
                </c:pt>
                <c:pt idx="7">
                  <c:v>32</c:v>
                </c:pt>
                <c:pt idx="8">
                  <c:v>37.200000000000003</c:v>
                </c:pt>
                <c:pt idx="9">
                  <c:v>43.8</c:v>
                </c:pt>
                <c:pt idx="10">
                  <c:v>46.6</c:v>
                </c:pt>
                <c:pt idx="11">
                  <c:v>46.3</c:v>
                </c:pt>
                <c:pt idx="12">
                  <c:v>42.1</c:v>
                </c:pt>
                <c:pt idx="13">
                  <c:v>41.9</c:v>
                </c:pt>
                <c:pt idx="14">
                  <c:v>43.8</c:v>
                </c:pt>
                <c:pt idx="15">
                  <c:v>45.9</c:v>
                </c:pt>
                <c:pt idx="16">
                  <c:v>45.3</c:v>
                </c:pt>
                <c:pt idx="17">
                  <c:v>46.6</c:v>
                </c:pt>
                <c:pt idx="18">
                  <c:v>46.6</c:v>
                </c:pt>
                <c:pt idx="19">
                  <c:v>45.3</c:v>
                </c:pt>
                <c:pt idx="20">
                  <c:v>45</c:v>
                </c:pt>
                <c:pt idx="21">
                  <c:v>46.9</c:v>
                </c:pt>
                <c:pt idx="22">
                  <c:v>47.5</c:v>
                </c:pt>
                <c:pt idx="23">
                  <c:v>44</c:v>
                </c:pt>
              </c:numCache>
            </c:numRef>
          </c:val>
          <c:smooth val="0"/>
        </c:ser>
        <c:ser>
          <c:idx val="1"/>
          <c:order val="1"/>
          <c:tx>
            <c:strRef>
              <c:f>Data!$A$155</c:f>
              <c:strCache>
                <c:ptCount val="1"/>
                <c:pt idx="0">
                  <c:v>Greece</c:v>
                </c:pt>
              </c:strCache>
            </c:strRef>
          </c:tx>
          <c:spPr>
            <a:ln w="28575" cap="rnd">
              <a:solidFill>
                <a:schemeClr val="tx1"/>
              </a:solidFill>
              <a:prstDash val="dash"/>
              <a:round/>
            </a:ln>
            <a:effectLst/>
          </c:spPr>
          <c:marker>
            <c:symbol val="none"/>
          </c:marker>
          <c:cat>
            <c:strRef>
              <c:f>Data!$B$153:$Y$153</c:f>
              <c:strCache>
                <c:ptCount val="24"/>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strCache>
            </c:strRef>
          </c:cat>
          <c:val>
            <c:numRef>
              <c:f>Data!$B$155:$Y$155</c:f>
              <c:numCache>
                <c:formatCode>#,##0.0</c:formatCode>
                <c:ptCount val="24"/>
                <c:pt idx="0">
                  <c:v>49.1</c:v>
                </c:pt>
                <c:pt idx="1">
                  <c:v>52.2</c:v>
                </c:pt>
                <c:pt idx="2">
                  <c:v>53.3</c:v>
                </c:pt>
                <c:pt idx="3">
                  <c:v>47.5</c:v>
                </c:pt>
                <c:pt idx="4">
                  <c:v>41.5</c:v>
                </c:pt>
                <c:pt idx="5">
                  <c:v>43.8</c:v>
                </c:pt>
                <c:pt idx="6">
                  <c:v>43.6</c:v>
                </c:pt>
                <c:pt idx="7">
                  <c:v>43.4</c:v>
                </c:pt>
                <c:pt idx="8">
                  <c:v>44.4</c:v>
                </c:pt>
                <c:pt idx="9">
                  <c:v>47.3</c:v>
                </c:pt>
                <c:pt idx="10">
                  <c:v>48.4</c:v>
                </c:pt>
                <c:pt idx="11">
                  <c:v>47.7</c:v>
                </c:pt>
                <c:pt idx="12">
                  <c:v>46</c:v>
                </c:pt>
                <c:pt idx="13">
                  <c:v>50.6</c:v>
                </c:pt>
                <c:pt idx="14">
                  <c:v>52.2</c:v>
                </c:pt>
                <c:pt idx="15">
                  <c:v>53.9</c:v>
                </c:pt>
                <c:pt idx="16">
                  <c:v>56</c:v>
                </c:pt>
                <c:pt idx="17">
                  <c:v>58.7</c:v>
                </c:pt>
                <c:pt idx="18">
                  <c:v>62.7</c:v>
                </c:pt>
                <c:pt idx="19">
                  <c:v>65.900000000000006</c:v>
                </c:pt>
                <c:pt idx="20">
                  <c:v>66</c:v>
                </c:pt>
                <c:pt idx="21">
                  <c:v>67.8</c:v>
                </c:pt>
                <c:pt idx="22">
                  <c:v>71.900000000000006</c:v>
                </c:pt>
                <c:pt idx="23">
                  <c:v>73.099999999999994</c:v>
                </c:pt>
              </c:numCache>
            </c:numRef>
          </c:val>
          <c:smooth val="0"/>
        </c:ser>
        <c:ser>
          <c:idx val="2"/>
          <c:order val="2"/>
          <c:tx>
            <c:strRef>
              <c:f>Data!$A$156</c:f>
              <c:strCache>
                <c:ptCount val="1"/>
                <c:pt idx="0">
                  <c:v>Spain</c:v>
                </c:pt>
              </c:strCache>
            </c:strRef>
          </c:tx>
          <c:spPr>
            <a:ln w="28575" cap="rnd">
              <a:solidFill>
                <a:schemeClr val="bg1">
                  <a:lumMod val="50000"/>
                </a:schemeClr>
              </a:solidFill>
              <a:round/>
            </a:ln>
            <a:effectLst/>
          </c:spPr>
          <c:marker>
            <c:symbol val="none"/>
          </c:marker>
          <c:cat>
            <c:strRef>
              <c:f>Data!$B$153:$Y$153</c:f>
              <c:strCache>
                <c:ptCount val="24"/>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strCache>
            </c:strRef>
          </c:cat>
          <c:val>
            <c:numRef>
              <c:f>Data!$B$156:$Y$156</c:f>
              <c:numCache>
                <c:formatCode>#,##0.0</c:formatCode>
                <c:ptCount val="24"/>
                <c:pt idx="0">
                  <c:v>21.1</c:v>
                </c:pt>
                <c:pt idx="1">
                  <c:v>20.5</c:v>
                </c:pt>
                <c:pt idx="2">
                  <c:v>19.5</c:v>
                </c:pt>
                <c:pt idx="3">
                  <c:v>19.399999999999999</c:v>
                </c:pt>
                <c:pt idx="4">
                  <c:v>20.3</c:v>
                </c:pt>
                <c:pt idx="5">
                  <c:v>22.6</c:v>
                </c:pt>
                <c:pt idx="6">
                  <c:v>26.5</c:v>
                </c:pt>
                <c:pt idx="7">
                  <c:v>30.7</c:v>
                </c:pt>
                <c:pt idx="8">
                  <c:v>33.9</c:v>
                </c:pt>
                <c:pt idx="9">
                  <c:v>37.4</c:v>
                </c:pt>
                <c:pt idx="10">
                  <c:v>39.4</c:v>
                </c:pt>
                <c:pt idx="11">
                  <c:v>42</c:v>
                </c:pt>
                <c:pt idx="12">
                  <c:v>42.2</c:v>
                </c:pt>
                <c:pt idx="13">
                  <c:v>43.2</c:v>
                </c:pt>
                <c:pt idx="14">
                  <c:v>43.6</c:v>
                </c:pt>
                <c:pt idx="15">
                  <c:v>45.1</c:v>
                </c:pt>
                <c:pt idx="16">
                  <c:v>43.4</c:v>
                </c:pt>
                <c:pt idx="17">
                  <c:v>45.9</c:v>
                </c:pt>
                <c:pt idx="18">
                  <c:v>46.6</c:v>
                </c:pt>
                <c:pt idx="19">
                  <c:v>48.6</c:v>
                </c:pt>
                <c:pt idx="20">
                  <c:v>48.5</c:v>
                </c:pt>
                <c:pt idx="21">
                  <c:v>51.1</c:v>
                </c:pt>
                <c:pt idx="22">
                  <c:v>52.8</c:v>
                </c:pt>
                <c:pt idx="23">
                  <c:v>54.2</c:v>
                </c:pt>
              </c:numCache>
            </c:numRef>
          </c:val>
          <c:smooth val="0"/>
        </c:ser>
        <c:ser>
          <c:idx val="3"/>
          <c:order val="3"/>
          <c:tx>
            <c:strRef>
              <c:f>Data!$A$157</c:f>
              <c:strCache>
                <c:ptCount val="1"/>
                <c:pt idx="0">
                  <c:v>France</c:v>
                </c:pt>
              </c:strCache>
            </c:strRef>
          </c:tx>
          <c:spPr>
            <a:ln w="34925" cap="rnd" cmpd="dbl">
              <a:solidFill>
                <a:schemeClr val="tx1"/>
              </a:solidFill>
              <a:prstDash val="solid"/>
              <a:round/>
            </a:ln>
            <a:effectLst/>
          </c:spPr>
          <c:marker>
            <c:symbol val="none"/>
          </c:marker>
          <c:cat>
            <c:strRef>
              <c:f>Data!$B$153:$Y$153</c:f>
              <c:strCache>
                <c:ptCount val="24"/>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strCache>
            </c:strRef>
          </c:cat>
          <c:val>
            <c:numRef>
              <c:f>Data!$B$157:$Y$157</c:f>
              <c:numCache>
                <c:formatCode>#,##0.0</c:formatCode>
                <c:ptCount val="24"/>
                <c:pt idx="0">
                  <c:v>44.4</c:v>
                </c:pt>
                <c:pt idx="1">
                  <c:v>43.7</c:v>
                </c:pt>
                <c:pt idx="2">
                  <c:v>41.2</c:v>
                </c:pt>
                <c:pt idx="3">
                  <c:v>38.299999999999997</c:v>
                </c:pt>
                <c:pt idx="4">
                  <c:v>35.4</c:v>
                </c:pt>
                <c:pt idx="5">
                  <c:v>39.1</c:v>
                </c:pt>
                <c:pt idx="6">
                  <c:v>39.6</c:v>
                </c:pt>
                <c:pt idx="7">
                  <c:v>39.799999999999997</c:v>
                </c:pt>
                <c:pt idx="8">
                  <c:v>42</c:v>
                </c:pt>
                <c:pt idx="9">
                  <c:v>43.5</c:v>
                </c:pt>
                <c:pt idx="10">
                  <c:v>45.7</c:v>
                </c:pt>
                <c:pt idx="11">
                  <c:v>43.4</c:v>
                </c:pt>
                <c:pt idx="12">
                  <c:v>44.8</c:v>
                </c:pt>
                <c:pt idx="13">
                  <c:v>45.6</c:v>
                </c:pt>
                <c:pt idx="14">
                  <c:v>46.3</c:v>
                </c:pt>
                <c:pt idx="15">
                  <c:v>45.5</c:v>
                </c:pt>
                <c:pt idx="16">
                  <c:v>42.7</c:v>
                </c:pt>
                <c:pt idx="17">
                  <c:v>44.2</c:v>
                </c:pt>
                <c:pt idx="18">
                  <c:v>45</c:v>
                </c:pt>
                <c:pt idx="19">
                  <c:v>43.8</c:v>
                </c:pt>
                <c:pt idx="20">
                  <c:v>41.5</c:v>
                </c:pt>
                <c:pt idx="21">
                  <c:v>43.9</c:v>
                </c:pt>
                <c:pt idx="22">
                  <c:v>45.2</c:v>
                </c:pt>
                <c:pt idx="23">
                  <c:v>46.4</c:v>
                </c:pt>
              </c:numCache>
            </c:numRef>
          </c:val>
          <c:smooth val="0"/>
        </c:ser>
        <c:ser>
          <c:idx val="4"/>
          <c:order val="4"/>
          <c:tx>
            <c:strRef>
              <c:f>Data!$A$158</c:f>
              <c:strCache>
                <c:ptCount val="1"/>
                <c:pt idx="0">
                  <c:v>Italy</c:v>
                </c:pt>
              </c:strCache>
            </c:strRef>
          </c:tx>
          <c:spPr>
            <a:ln w="28575" cap="rnd">
              <a:solidFill>
                <a:schemeClr val="tx1"/>
              </a:solidFill>
              <a:prstDash val="sysDot"/>
              <a:round/>
            </a:ln>
            <a:effectLst/>
          </c:spPr>
          <c:marker>
            <c:symbol val="none"/>
          </c:marker>
          <c:cat>
            <c:strRef>
              <c:f>Data!$B$153:$Y$153</c:f>
              <c:strCache>
                <c:ptCount val="24"/>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strCache>
            </c:strRef>
          </c:cat>
          <c:val>
            <c:numRef>
              <c:f>Data!$B$158:$Y$158</c:f>
              <c:numCache>
                <c:formatCode>#,##0.0</c:formatCode>
                <c:ptCount val="24"/>
                <c:pt idx="0">
                  <c:v>47.5</c:v>
                </c:pt>
                <c:pt idx="1">
                  <c:v>49</c:v>
                </c:pt>
                <c:pt idx="2">
                  <c:v>48.1</c:v>
                </c:pt>
                <c:pt idx="3">
                  <c:v>46.8</c:v>
                </c:pt>
                <c:pt idx="4">
                  <c:v>42.1</c:v>
                </c:pt>
                <c:pt idx="5">
                  <c:v>46.7</c:v>
                </c:pt>
                <c:pt idx="6">
                  <c:v>46</c:v>
                </c:pt>
                <c:pt idx="7">
                  <c:v>47.9</c:v>
                </c:pt>
                <c:pt idx="8">
                  <c:v>47.6</c:v>
                </c:pt>
                <c:pt idx="9">
                  <c:v>49.5</c:v>
                </c:pt>
                <c:pt idx="10">
                  <c:v>51.3</c:v>
                </c:pt>
                <c:pt idx="11">
                  <c:v>50.4</c:v>
                </c:pt>
                <c:pt idx="12">
                  <c:v>51.8</c:v>
                </c:pt>
                <c:pt idx="13">
                  <c:v>54.1</c:v>
                </c:pt>
                <c:pt idx="14">
                  <c:v>54.5</c:v>
                </c:pt>
                <c:pt idx="15">
                  <c:v>52.2</c:v>
                </c:pt>
                <c:pt idx="16">
                  <c:v>49.7</c:v>
                </c:pt>
                <c:pt idx="17">
                  <c:v>53.7</c:v>
                </c:pt>
                <c:pt idx="18">
                  <c:v>55.2</c:v>
                </c:pt>
                <c:pt idx="19">
                  <c:v>56.9</c:v>
                </c:pt>
                <c:pt idx="20">
                  <c:v>56.7</c:v>
                </c:pt>
                <c:pt idx="21">
                  <c:v>57.1</c:v>
                </c:pt>
                <c:pt idx="22">
                  <c:v>58</c:v>
                </c:pt>
                <c:pt idx="23">
                  <c:v>59.7</c:v>
                </c:pt>
              </c:numCache>
            </c:numRef>
          </c:val>
          <c:smooth val="0"/>
        </c:ser>
        <c:ser>
          <c:idx val="5"/>
          <c:order val="5"/>
          <c:tx>
            <c:strRef>
              <c:f>Data!$A$159</c:f>
              <c:strCache>
                <c:ptCount val="1"/>
                <c:pt idx="0">
                  <c:v>Hungary</c:v>
                </c:pt>
              </c:strCache>
            </c:strRef>
          </c:tx>
          <c:spPr>
            <a:ln w="28575" cap="rnd">
              <a:solidFill>
                <a:schemeClr val="tx1"/>
              </a:solidFill>
              <a:prstDash val="dashDot"/>
              <a:round/>
            </a:ln>
            <a:effectLst/>
          </c:spPr>
          <c:marker>
            <c:symbol val="none"/>
          </c:marker>
          <c:cat>
            <c:strRef>
              <c:f>Data!$B$153:$Y$153</c:f>
              <c:strCache>
                <c:ptCount val="24"/>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strCache>
            </c:strRef>
          </c:cat>
          <c:val>
            <c:numRef>
              <c:f>Data!$B$159:$Y$159</c:f>
              <c:numCache>
                <c:formatCode>#,##0.0</c:formatCode>
                <c:ptCount val="24"/>
                <c:pt idx="0">
                  <c:v>46.1</c:v>
                </c:pt>
                <c:pt idx="1">
                  <c:v>50.1</c:v>
                </c:pt>
                <c:pt idx="2">
                  <c:v>51.8</c:v>
                </c:pt>
                <c:pt idx="3">
                  <c:v>50.9</c:v>
                </c:pt>
                <c:pt idx="4">
                  <c:v>44.1</c:v>
                </c:pt>
                <c:pt idx="5">
                  <c:v>44.1</c:v>
                </c:pt>
                <c:pt idx="6">
                  <c:v>43.3</c:v>
                </c:pt>
                <c:pt idx="7">
                  <c:v>45.5</c:v>
                </c:pt>
                <c:pt idx="8">
                  <c:v>45.2</c:v>
                </c:pt>
                <c:pt idx="9">
                  <c:v>51.6</c:v>
                </c:pt>
                <c:pt idx="10">
                  <c:v>54.5</c:v>
                </c:pt>
                <c:pt idx="11">
                  <c:v>54.5</c:v>
                </c:pt>
                <c:pt idx="12">
                  <c:v>50.5</c:v>
                </c:pt>
                <c:pt idx="13">
                  <c:v>51.6</c:v>
                </c:pt>
                <c:pt idx="14">
                  <c:v>50.9</c:v>
                </c:pt>
                <c:pt idx="15">
                  <c:v>48</c:v>
                </c:pt>
                <c:pt idx="16">
                  <c:v>44.9</c:v>
                </c:pt>
                <c:pt idx="17">
                  <c:v>47.9</c:v>
                </c:pt>
                <c:pt idx="18">
                  <c:v>49</c:v>
                </c:pt>
                <c:pt idx="19">
                  <c:v>50.7</c:v>
                </c:pt>
                <c:pt idx="20">
                  <c:v>46.2</c:v>
                </c:pt>
                <c:pt idx="21">
                  <c:v>50.8</c:v>
                </c:pt>
                <c:pt idx="22">
                  <c:v>56.4</c:v>
                </c:pt>
                <c:pt idx="23">
                  <c:v>57.1</c:v>
                </c:pt>
              </c:numCache>
            </c:numRef>
          </c:val>
          <c:smooth val="0"/>
        </c:ser>
        <c:ser>
          <c:idx val="6"/>
          <c:order val="6"/>
          <c:tx>
            <c:strRef>
              <c:f>Data!$A$160</c:f>
              <c:strCache>
                <c:ptCount val="1"/>
                <c:pt idx="0">
                  <c:v>Portugal</c:v>
                </c:pt>
              </c:strCache>
            </c:strRef>
          </c:tx>
          <c:spPr>
            <a:ln w="28575" cap="rnd" cmpd="dbl">
              <a:solidFill>
                <a:schemeClr val="bg1">
                  <a:lumMod val="50000"/>
                </a:schemeClr>
              </a:solidFill>
              <a:round/>
            </a:ln>
            <a:effectLst/>
          </c:spPr>
          <c:marker>
            <c:symbol val="none"/>
          </c:marker>
          <c:cat>
            <c:strRef>
              <c:f>Data!$B$153:$Y$153</c:f>
              <c:strCache>
                <c:ptCount val="24"/>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strCache>
            </c:strRef>
          </c:cat>
          <c:val>
            <c:numRef>
              <c:f>Data!$B$160:$Y$160</c:f>
              <c:numCache>
                <c:formatCode>#,##0.0</c:formatCode>
                <c:ptCount val="24"/>
                <c:pt idx="0">
                  <c:v>56.1</c:v>
                </c:pt>
                <c:pt idx="1">
                  <c:v>52.5</c:v>
                </c:pt>
                <c:pt idx="2">
                  <c:v>52.4</c:v>
                </c:pt>
                <c:pt idx="3">
                  <c:v>49.8</c:v>
                </c:pt>
                <c:pt idx="4">
                  <c:v>44.3</c:v>
                </c:pt>
                <c:pt idx="5">
                  <c:v>47.1</c:v>
                </c:pt>
                <c:pt idx="6">
                  <c:v>47.9</c:v>
                </c:pt>
                <c:pt idx="7">
                  <c:v>51.7</c:v>
                </c:pt>
                <c:pt idx="8">
                  <c:v>54.2</c:v>
                </c:pt>
                <c:pt idx="9">
                  <c:v>56.6</c:v>
                </c:pt>
                <c:pt idx="10">
                  <c:v>58</c:v>
                </c:pt>
                <c:pt idx="11">
                  <c:v>56.7</c:v>
                </c:pt>
                <c:pt idx="12">
                  <c:v>53.7</c:v>
                </c:pt>
                <c:pt idx="13">
                  <c:v>55.3</c:v>
                </c:pt>
                <c:pt idx="14">
                  <c:v>51.8</c:v>
                </c:pt>
                <c:pt idx="15">
                  <c:v>51.8</c:v>
                </c:pt>
                <c:pt idx="16">
                  <c:v>49.3</c:v>
                </c:pt>
                <c:pt idx="17">
                  <c:v>52.1</c:v>
                </c:pt>
                <c:pt idx="18">
                  <c:v>53.9</c:v>
                </c:pt>
                <c:pt idx="19">
                  <c:v>55.1</c:v>
                </c:pt>
                <c:pt idx="20">
                  <c:v>56.8</c:v>
                </c:pt>
                <c:pt idx="21">
                  <c:v>59.8</c:v>
                </c:pt>
                <c:pt idx="22">
                  <c:v>63</c:v>
                </c:pt>
                <c:pt idx="23">
                  <c:v>61.8</c:v>
                </c:pt>
              </c:numCache>
            </c:numRef>
          </c:val>
          <c:smooth val="0"/>
        </c:ser>
        <c:ser>
          <c:idx val="7"/>
          <c:order val="7"/>
          <c:tx>
            <c:strRef>
              <c:f>Data!$A$161</c:f>
              <c:strCache>
                <c:ptCount val="1"/>
                <c:pt idx="0">
                  <c:v>Slovenia</c:v>
                </c:pt>
              </c:strCache>
            </c:strRef>
          </c:tx>
          <c:spPr>
            <a:ln w="28575" cap="rnd">
              <a:solidFill>
                <a:schemeClr val="bg1">
                  <a:lumMod val="50000"/>
                </a:schemeClr>
              </a:solidFill>
              <a:prstDash val="dash"/>
              <a:round/>
            </a:ln>
            <a:effectLst/>
          </c:spPr>
          <c:marker>
            <c:symbol val="none"/>
          </c:marker>
          <c:cat>
            <c:strRef>
              <c:f>Data!$B$153:$Y$153</c:f>
              <c:strCache>
                <c:ptCount val="24"/>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strCache>
            </c:strRef>
          </c:cat>
          <c:val>
            <c:numRef>
              <c:f>Data!$B$161:$Y$161</c:f>
              <c:numCache>
                <c:formatCode>#,##0.0</c:formatCode>
                <c:ptCount val="24"/>
                <c:pt idx="0">
                  <c:v>48.5</c:v>
                </c:pt>
                <c:pt idx="1">
                  <c:v>51.6</c:v>
                </c:pt>
                <c:pt idx="2">
                  <c:v>46.5</c:v>
                </c:pt>
                <c:pt idx="3">
                  <c:v>51.7</c:v>
                </c:pt>
                <c:pt idx="4">
                  <c:v>38.9</c:v>
                </c:pt>
                <c:pt idx="5">
                  <c:v>31.7</c:v>
                </c:pt>
                <c:pt idx="6">
                  <c:v>30.7</c:v>
                </c:pt>
                <c:pt idx="7">
                  <c:v>31.5</c:v>
                </c:pt>
                <c:pt idx="8">
                  <c:v>37.299999999999997</c:v>
                </c:pt>
                <c:pt idx="9">
                  <c:v>46.7</c:v>
                </c:pt>
                <c:pt idx="10">
                  <c:v>48.2</c:v>
                </c:pt>
                <c:pt idx="11">
                  <c:v>49.3</c:v>
                </c:pt>
                <c:pt idx="12">
                  <c:v>45.1</c:v>
                </c:pt>
                <c:pt idx="13">
                  <c:v>47.7</c:v>
                </c:pt>
                <c:pt idx="14">
                  <c:v>43.9</c:v>
                </c:pt>
                <c:pt idx="15">
                  <c:v>47.1</c:v>
                </c:pt>
                <c:pt idx="16">
                  <c:v>47.5</c:v>
                </c:pt>
                <c:pt idx="17">
                  <c:v>49.9</c:v>
                </c:pt>
                <c:pt idx="18">
                  <c:v>53.9</c:v>
                </c:pt>
                <c:pt idx="19">
                  <c:v>53.4</c:v>
                </c:pt>
                <c:pt idx="20">
                  <c:v>48</c:v>
                </c:pt>
                <c:pt idx="21">
                  <c:v>52.1</c:v>
                </c:pt>
                <c:pt idx="22">
                  <c:v>54.7</c:v>
                </c:pt>
                <c:pt idx="23">
                  <c:v>58.3</c:v>
                </c:pt>
              </c:numCache>
            </c:numRef>
          </c:val>
          <c:smooth val="0"/>
        </c:ser>
        <c:ser>
          <c:idx val="8"/>
          <c:order val="8"/>
          <c:tx>
            <c:strRef>
              <c:f>Data!$A$162</c:f>
              <c:strCache>
                <c:ptCount val="1"/>
                <c:pt idx="0">
                  <c:v>Slovakia</c:v>
                </c:pt>
              </c:strCache>
            </c:strRef>
          </c:tx>
          <c:spPr>
            <a:ln w="28575" cap="rnd">
              <a:solidFill>
                <a:schemeClr val="tx1"/>
              </a:solidFill>
              <a:round/>
            </a:ln>
            <a:effectLst/>
          </c:spPr>
          <c:marker>
            <c:symbol val="none"/>
          </c:marker>
          <c:cat>
            <c:strRef>
              <c:f>Data!$B$153:$Y$153</c:f>
              <c:strCache>
                <c:ptCount val="24"/>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strCache>
            </c:strRef>
          </c:cat>
          <c:val>
            <c:numRef>
              <c:f>Data!$B$162:$Y$162</c:f>
              <c:numCache>
                <c:formatCode>#,##0.0</c:formatCode>
                <c:ptCount val="24"/>
                <c:pt idx="0">
                  <c:v>77.5</c:v>
                </c:pt>
                <c:pt idx="1">
                  <c:v>76.099999999999994</c:v>
                </c:pt>
                <c:pt idx="2">
                  <c:v>71.2</c:v>
                </c:pt>
                <c:pt idx="3">
                  <c:v>69.2</c:v>
                </c:pt>
                <c:pt idx="4">
                  <c:v>62</c:v>
                </c:pt>
                <c:pt idx="5">
                  <c:v>55.4</c:v>
                </c:pt>
                <c:pt idx="6">
                  <c:v>56</c:v>
                </c:pt>
                <c:pt idx="7">
                  <c:v>56.4</c:v>
                </c:pt>
                <c:pt idx="8">
                  <c:v>60</c:v>
                </c:pt>
                <c:pt idx="9">
                  <c:v>65.5</c:v>
                </c:pt>
                <c:pt idx="10">
                  <c:v>69.8</c:v>
                </c:pt>
                <c:pt idx="11">
                  <c:v>71.599999999999994</c:v>
                </c:pt>
                <c:pt idx="12">
                  <c:v>71.900000000000006</c:v>
                </c:pt>
                <c:pt idx="13">
                  <c:v>72.900000000000006</c:v>
                </c:pt>
                <c:pt idx="14">
                  <c:v>70.2</c:v>
                </c:pt>
                <c:pt idx="15">
                  <c:v>70.8</c:v>
                </c:pt>
                <c:pt idx="16">
                  <c:v>69.8</c:v>
                </c:pt>
                <c:pt idx="17">
                  <c:v>68.400000000000006</c:v>
                </c:pt>
                <c:pt idx="18">
                  <c:v>70.599999999999994</c:v>
                </c:pt>
                <c:pt idx="19">
                  <c:v>71.099999999999994</c:v>
                </c:pt>
                <c:pt idx="20">
                  <c:v>69.2</c:v>
                </c:pt>
                <c:pt idx="21">
                  <c:v>72.2</c:v>
                </c:pt>
                <c:pt idx="22">
                  <c:v>72.900000000000006</c:v>
                </c:pt>
                <c:pt idx="23">
                  <c:v>75</c:v>
                </c:pt>
              </c:numCache>
            </c:numRef>
          </c:val>
          <c:smooth val="0"/>
        </c:ser>
        <c:ser>
          <c:idx val="9"/>
          <c:order val="9"/>
          <c:tx>
            <c:strRef>
              <c:f>Data!$A$163</c:f>
              <c:strCache>
                <c:ptCount val="1"/>
                <c:pt idx="0">
                  <c:v>United Kingdom</c:v>
                </c:pt>
              </c:strCache>
            </c:strRef>
          </c:tx>
          <c:spPr>
            <a:ln w="28575" cap="rnd">
              <a:solidFill>
                <a:schemeClr val="tx1"/>
              </a:solidFill>
              <a:prstDash val="lgDashDotDot"/>
              <a:round/>
            </a:ln>
            <a:effectLst/>
          </c:spPr>
          <c:marker>
            <c:symbol val="none"/>
          </c:marker>
          <c:cat>
            <c:strRef>
              <c:f>Data!$B$153:$Y$153</c:f>
              <c:strCache>
                <c:ptCount val="24"/>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strCache>
            </c:strRef>
          </c:cat>
          <c:val>
            <c:numRef>
              <c:f>Data!$B$163:$Y$163</c:f>
              <c:numCache>
                <c:formatCode>#,##0.0</c:formatCode>
                <c:ptCount val="24"/>
                <c:pt idx="0">
                  <c:v>29.9</c:v>
                </c:pt>
                <c:pt idx="1">
                  <c:v>30.9</c:v>
                </c:pt>
                <c:pt idx="2">
                  <c:v>30.3</c:v>
                </c:pt>
                <c:pt idx="3">
                  <c:v>28.6</c:v>
                </c:pt>
                <c:pt idx="4">
                  <c:v>26.4</c:v>
                </c:pt>
                <c:pt idx="5">
                  <c:v>25.1</c:v>
                </c:pt>
                <c:pt idx="6">
                  <c:v>28.2</c:v>
                </c:pt>
                <c:pt idx="7">
                  <c:v>31.3</c:v>
                </c:pt>
                <c:pt idx="8">
                  <c:v>34.700000000000003</c:v>
                </c:pt>
                <c:pt idx="9">
                  <c:v>38.4</c:v>
                </c:pt>
                <c:pt idx="10">
                  <c:v>38.799999999999997</c:v>
                </c:pt>
                <c:pt idx="11">
                  <c:v>39.700000000000003</c:v>
                </c:pt>
                <c:pt idx="12">
                  <c:v>40.4</c:v>
                </c:pt>
                <c:pt idx="13">
                  <c:v>39</c:v>
                </c:pt>
                <c:pt idx="14">
                  <c:v>38</c:v>
                </c:pt>
                <c:pt idx="15">
                  <c:v>38.200000000000003</c:v>
                </c:pt>
                <c:pt idx="16">
                  <c:v>38.1</c:v>
                </c:pt>
                <c:pt idx="17">
                  <c:v>39.6</c:v>
                </c:pt>
                <c:pt idx="18">
                  <c:v>40</c:v>
                </c:pt>
                <c:pt idx="19">
                  <c:v>39.6</c:v>
                </c:pt>
                <c:pt idx="20">
                  <c:v>39.6</c:v>
                </c:pt>
                <c:pt idx="21">
                  <c:v>41.7</c:v>
                </c:pt>
                <c:pt idx="22">
                  <c:v>40.5</c:v>
                </c:pt>
                <c:pt idx="23">
                  <c:v>41.7</c:v>
                </c:pt>
              </c:numCache>
            </c:numRef>
          </c:val>
          <c:smooth val="0"/>
        </c:ser>
        <c:ser>
          <c:idx val="10"/>
          <c:order val="10"/>
          <c:tx>
            <c:strRef>
              <c:f>Data!$A$164</c:f>
              <c:strCache>
                <c:ptCount val="1"/>
                <c:pt idx="0">
                  <c:v>Estonia</c:v>
                </c:pt>
              </c:strCache>
            </c:strRef>
          </c:tx>
          <c:spPr>
            <a:ln w="28575" cap="rnd" cmpd="thinThick">
              <a:solidFill>
                <a:schemeClr val="bg1">
                  <a:lumMod val="65000"/>
                </a:schemeClr>
              </a:solidFill>
              <a:prstDash val="sysDot"/>
              <a:round/>
            </a:ln>
            <a:effectLst/>
          </c:spPr>
          <c:marker>
            <c:symbol val="none"/>
          </c:marker>
          <c:cat>
            <c:strRef>
              <c:f>Data!$B$153:$Y$153</c:f>
              <c:strCache>
                <c:ptCount val="24"/>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strCache>
            </c:strRef>
          </c:cat>
          <c:val>
            <c:numRef>
              <c:f>Data!$B$164:$Y$164</c:f>
              <c:numCache>
                <c:formatCode>#,##0.0</c:formatCode>
                <c:ptCount val="24"/>
                <c:pt idx="0">
                  <c:v>37.4</c:v>
                </c:pt>
                <c:pt idx="1">
                  <c:v>35.4</c:v>
                </c:pt>
                <c:pt idx="2">
                  <c:v>32.200000000000003</c:v>
                </c:pt>
                <c:pt idx="3">
                  <c:v>28.2</c:v>
                </c:pt>
                <c:pt idx="4">
                  <c:v>26.3</c:v>
                </c:pt>
                <c:pt idx="5">
                  <c:v>26.3</c:v>
                </c:pt>
                <c:pt idx="6">
                  <c:v>25.4</c:v>
                </c:pt>
                <c:pt idx="7">
                  <c:v>31.9</c:v>
                </c:pt>
                <c:pt idx="8">
                  <c:v>37.299999999999997</c:v>
                </c:pt>
                <c:pt idx="9">
                  <c:v>49.4</c:v>
                </c:pt>
                <c:pt idx="10">
                  <c:v>55.5</c:v>
                </c:pt>
                <c:pt idx="11">
                  <c:v>48.7</c:v>
                </c:pt>
                <c:pt idx="12">
                  <c:v>58</c:v>
                </c:pt>
                <c:pt idx="13">
                  <c:v>62.5</c:v>
                </c:pt>
                <c:pt idx="14">
                  <c:v>63.4</c:v>
                </c:pt>
                <c:pt idx="15">
                  <c:v>62.3</c:v>
                </c:pt>
                <c:pt idx="16">
                  <c:v>66.900000000000006</c:v>
                </c:pt>
                <c:pt idx="17">
                  <c:v>60.8</c:v>
                </c:pt>
                <c:pt idx="18">
                  <c:v>58.7</c:v>
                </c:pt>
                <c:pt idx="19">
                  <c:v>56.7</c:v>
                </c:pt>
                <c:pt idx="20">
                  <c:v>49.8</c:v>
                </c:pt>
                <c:pt idx="21">
                  <c:v>50.4</c:v>
                </c:pt>
                <c:pt idx="22">
                  <c:v>46.2</c:v>
                </c:pt>
                <c:pt idx="23">
                  <c:v>40.4</c:v>
                </c:pt>
              </c:numCache>
            </c:numRef>
          </c:val>
          <c:smooth val="0"/>
        </c:ser>
        <c:dLbls>
          <c:showLegendKey val="0"/>
          <c:showVal val="0"/>
          <c:showCatName val="0"/>
          <c:showSerName val="0"/>
          <c:showPercent val="0"/>
          <c:showBubbleSize val="0"/>
        </c:dLbls>
        <c:smooth val="0"/>
        <c:axId val="401681328"/>
        <c:axId val="401682112"/>
      </c:lineChart>
      <c:catAx>
        <c:axId val="401681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682112"/>
        <c:crosses val="autoZero"/>
        <c:auto val="1"/>
        <c:lblAlgn val="ctr"/>
        <c:lblOffset val="100"/>
        <c:noMultiLvlLbl val="0"/>
      </c:catAx>
      <c:valAx>
        <c:axId val="4016821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681328"/>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Data!$A$153</c:f>
              <c:strCache>
                <c:ptCount val="1"/>
                <c:pt idx="0">
                  <c:v>Czech Republic</c:v>
                </c:pt>
              </c:strCache>
            </c:strRef>
          </c:tx>
          <c:spPr>
            <a:ln w="44450" cap="rnd" cmpd="thinThick">
              <a:solidFill>
                <a:schemeClr val="tx1"/>
              </a:solidFill>
              <a:prstDash val="solid"/>
              <a:round/>
            </a:ln>
            <a:effectLst/>
          </c:spPr>
          <c:marker>
            <c:symbol val="none"/>
          </c:marker>
          <c:cat>
            <c:strRef>
              <c:f>Data!$B$152:$Y$152</c:f>
              <c:strCache>
                <c:ptCount val="24"/>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strCache>
            </c:strRef>
          </c:cat>
          <c:val>
            <c:numRef>
              <c:f>Data!$B$153:$Y$153</c:f>
              <c:numCache>
                <c:formatCode>#,##0.0</c:formatCode>
                <c:ptCount val="24"/>
                <c:pt idx="0">
                  <c:v>6.9</c:v>
                </c:pt>
                <c:pt idx="1">
                  <c:v>7.4</c:v>
                </c:pt>
                <c:pt idx="2">
                  <c:v>7.5</c:v>
                </c:pt>
                <c:pt idx="3">
                  <c:v>7.1</c:v>
                </c:pt>
                <c:pt idx="4">
                  <c:v>6.9</c:v>
                </c:pt>
                <c:pt idx="5">
                  <c:v>7.4</c:v>
                </c:pt>
                <c:pt idx="6">
                  <c:v>7.8</c:v>
                </c:pt>
                <c:pt idx="7">
                  <c:v>8.1</c:v>
                </c:pt>
                <c:pt idx="8">
                  <c:v>7.5</c:v>
                </c:pt>
                <c:pt idx="9">
                  <c:v>8.1999999999999993</c:v>
                </c:pt>
                <c:pt idx="10">
                  <c:v>8.5</c:v>
                </c:pt>
                <c:pt idx="11">
                  <c:v>8.3000000000000007</c:v>
                </c:pt>
                <c:pt idx="12">
                  <c:v>7.5</c:v>
                </c:pt>
                <c:pt idx="13">
                  <c:v>8</c:v>
                </c:pt>
                <c:pt idx="14">
                  <c:v>8.3000000000000007</c:v>
                </c:pt>
                <c:pt idx="15">
                  <c:v>8</c:v>
                </c:pt>
                <c:pt idx="16">
                  <c:v>7.4</c:v>
                </c:pt>
                <c:pt idx="17">
                  <c:v>8.3000000000000007</c:v>
                </c:pt>
                <c:pt idx="18">
                  <c:v>8.9</c:v>
                </c:pt>
                <c:pt idx="19">
                  <c:v>8.6999999999999993</c:v>
                </c:pt>
                <c:pt idx="20">
                  <c:v>8.1</c:v>
                </c:pt>
                <c:pt idx="21">
                  <c:v>9.1999999999999993</c:v>
                </c:pt>
                <c:pt idx="22">
                  <c:v>9.6</c:v>
                </c:pt>
                <c:pt idx="23">
                  <c:v>9.5</c:v>
                </c:pt>
              </c:numCache>
            </c:numRef>
          </c:val>
          <c:smooth val="0"/>
        </c:ser>
        <c:ser>
          <c:idx val="1"/>
          <c:order val="1"/>
          <c:tx>
            <c:strRef>
              <c:f>Data!$A$154</c:f>
              <c:strCache>
                <c:ptCount val="1"/>
                <c:pt idx="0">
                  <c:v>Ireland</c:v>
                </c:pt>
              </c:strCache>
            </c:strRef>
          </c:tx>
          <c:spPr>
            <a:ln w="28575" cap="rnd" cmpd="tri">
              <a:solidFill>
                <a:schemeClr val="bg1">
                  <a:lumMod val="75000"/>
                </a:schemeClr>
              </a:solidFill>
              <a:round/>
            </a:ln>
            <a:effectLst/>
          </c:spPr>
          <c:marker>
            <c:symbol val="none"/>
          </c:marker>
          <c:cat>
            <c:strRef>
              <c:f>Data!$B$152:$Y$152</c:f>
              <c:strCache>
                <c:ptCount val="24"/>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strCache>
            </c:strRef>
          </c:cat>
          <c:val>
            <c:numRef>
              <c:f>Data!$B$154:$Y$154</c:f>
              <c:numCache>
                <c:formatCode>#,##0.0</c:formatCode>
                <c:ptCount val="24"/>
                <c:pt idx="0">
                  <c:v>8</c:v>
                </c:pt>
                <c:pt idx="1">
                  <c:v>8</c:v>
                </c:pt>
                <c:pt idx="2">
                  <c:v>9.3000000000000007</c:v>
                </c:pt>
                <c:pt idx="3">
                  <c:v>8.1999999999999993</c:v>
                </c:pt>
                <c:pt idx="4">
                  <c:v>8.1999999999999993</c:v>
                </c:pt>
                <c:pt idx="5">
                  <c:v>8.4</c:v>
                </c:pt>
                <c:pt idx="6">
                  <c:v>9.5</c:v>
                </c:pt>
                <c:pt idx="7">
                  <c:v>9</c:v>
                </c:pt>
                <c:pt idx="8">
                  <c:v>8.9</c:v>
                </c:pt>
                <c:pt idx="9">
                  <c:v>9.5</c:v>
                </c:pt>
                <c:pt idx="10">
                  <c:v>10.4</c:v>
                </c:pt>
                <c:pt idx="11">
                  <c:v>9.5</c:v>
                </c:pt>
                <c:pt idx="12">
                  <c:v>9.8000000000000007</c:v>
                </c:pt>
                <c:pt idx="13">
                  <c:v>10.4</c:v>
                </c:pt>
                <c:pt idx="14">
                  <c:v>10.5</c:v>
                </c:pt>
                <c:pt idx="15">
                  <c:v>10.1</c:v>
                </c:pt>
                <c:pt idx="16">
                  <c:v>10.4</c:v>
                </c:pt>
                <c:pt idx="17">
                  <c:v>10.3</c:v>
                </c:pt>
                <c:pt idx="18">
                  <c:v>10.3</c:v>
                </c:pt>
                <c:pt idx="19">
                  <c:v>9.6</c:v>
                </c:pt>
                <c:pt idx="20">
                  <c:v>9.6</c:v>
                </c:pt>
                <c:pt idx="21">
                  <c:v>10</c:v>
                </c:pt>
                <c:pt idx="22">
                  <c:v>10.4</c:v>
                </c:pt>
                <c:pt idx="23">
                  <c:v>9.9</c:v>
                </c:pt>
              </c:numCache>
            </c:numRef>
          </c:val>
          <c:smooth val="0"/>
        </c:ser>
        <c:ser>
          <c:idx val="2"/>
          <c:order val="2"/>
          <c:tx>
            <c:strRef>
              <c:f>Data!$A$155</c:f>
              <c:strCache>
                <c:ptCount val="1"/>
                <c:pt idx="0">
                  <c:v>Greece</c:v>
                </c:pt>
              </c:strCache>
            </c:strRef>
          </c:tx>
          <c:spPr>
            <a:ln w="28575" cap="rnd">
              <a:solidFill>
                <a:schemeClr val="tx1"/>
              </a:solidFill>
              <a:prstDash val="dash"/>
              <a:round/>
            </a:ln>
            <a:effectLst/>
          </c:spPr>
          <c:marker>
            <c:symbol val="none"/>
          </c:marker>
          <c:cat>
            <c:strRef>
              <c:f>Data!$B$152:$Y$152</c:f>
              <c:strCache>
                <c:ptCount val="24"/>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strCache>
            </c:strRef>
          </c:cat>
          <c:val>
            <c:numRef>
              <c:f>Data!$B$155:$Y$155</c:f>
              <c:numCache>
                <c:formatCode>#,##0.0</c:formatCode>
                <c:ptCount val="24"/>
                <c:pt idx="0">
                  <c:v>10.3</c:v>
                </c:pt>
                <c:pt idx="1">
                  <c:v>11.6</c:v>
                </c:pt>
                <c:pt idx="2">
                  <c:v>12.2</c:v>
                </c:pt>
                <c:pt idx="3">
                  <c:v>11.8</c:v>
                </c:pt>
                <c:pt idx="4">
                  <c:v>11.3</c:v>
                </c:pt>
                <c:pt idx="5">
                  <c:v>12.2</c:v>
                </c:pt>
                <c:pt idx="6">
                  <c:v>12.7</c:v>
                </c:pt>
                <c:pt idx="7">
                  <c:v>12.2</c:v>
                </c:pt>
                <c:pt idx="8">
                  <c:v>11.5</c:v>
                </c:pt>
                <c:pt idx="9">
                  <c:v>12.8</c:v>
                </c:pt>
                <c:pt idx="10">
                  <c:v>13.1</c:v>
                </c:pt>
                <c:pt idx="11">
                  <c:v>12.3</c:v>
                </c:pt>
                <c:pt idx="12">
                  <c:v>11.3</c:v>
                </c:pt>
                <c:pt idx="13">
                  <c:v>11.9</c:v>
                </c:pt>
                <c:pt idx="14">
                  <c:v>12.3</c:v>
                </c:pt>
                <c:pt idx="15">
                  <c:v>10.8</c:v>
                </c:pt>
                <c:pt idx="16">
                  <c:v>9.6999999999999993</c:v>
                </c:pt>
                <c:pt idx="17">
                  <c:v>9.9</c:v>
                </c:pt>
                <c:pt idx="18">
                  <c:v>10.6</c:v>
                </c:pt>
                <c:pt idx="19">
                  <c:v>9.8000000000000007</c:v>
                </c:pt>
                <c:pt idx="20">
                  <c:v>9</c:v>
                </c:pt>
                <c:pt idx="21">
                  <c:v>9.9</c:v>
                </c:pt>
                <c:pt idx="22">
                  <c:v>11.1</c:v>
                </c:pt>
                <c:pt idx="23">
                  <c:v>10</c:v>
                </c:pt>
              </c:numCache>
            </c:numRef>
          </c:val>
          <c:smooth val="0"/>
        </c:ser>
        <c:ser>
          <c:idx val="3"/>
          <c:order val="3"/>
          <c:tx>
            <c:strRef>
              <c:f>Data!$A$156</c:f>
              <c:strCache>
                <c:ptCount val="1"/>
                <c:pt idx="0">
                  <c:v>Spain</c:v>
                </c:pt>
              </c:strCache>
            </c:strRef>
          </c:tx>
          <c:spPr>
            <a:ln w="28575" cap="rnd">
              <a:solidFill>
                <a:schemeClr val="bg1">
                  <a:lumMod val="50000"/>
                </a:schemeClr>
              </a:solidFill>
              <a:round/>
            </a:ln>
            <a:effectLst/>
          </c:spPr>
          <c:marker>
            <c:symbol val="none"/>
          </c:marker>
          <c:cat>
            <c:strRef>
              <c:f>Data!$B$152:$Y$152</c:f>
              <c:strCache>
                <c:ptCount val="24"/>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strCache>
            </c:strRef>
          </c:cat>
          <c:val>
            <c:numRef>
              <c:f>Data!$B$156:$Y$156</c:f>
              <c:numCache>
                <c:formatCode>#,##0.0</c:formatCode>
                <c:ptCount val="24"/>
                <c:pt idx="0">
                  <c:v>30.2</c:v>
                </c:pt>
                <c:pt idx="1">
                  <c:v>29.4</c:v>
                </c:pt>
                <c:pt idx="2">
                  <c:v>29.6</c:v>
                </c:pt>
                <c:pt idx="3">
                  <c:v>28</c:v>
                </c:pt>
                <c:pt idx="4">
                  <c:v>25.5</c:v>
                </c:pt>
                <c:pt idx="5">
                  <c:v>25.3</c:v>
                </c:pt>
                <c:pt idx="6">
                  <c:v>25.9</c:v>
                </c:pt>
                <c:pt idx="7">
                  <c:v>25.1</c:v>
                </c:pt>
                <c:pt idx="8">
                  <c:v>24.4</c:v>
                </c:pt>
                <c:pt idx="9">
                  <c:v>24.9</c:v>
                </c:pt>
                <c:pt idx="10">
                  <c:v>25.6</c:v>
                </c:pt>
                <c:pt idx="11">
                  <c:v>24.9</c:v>
                </c:pt>
                <c:pt idx="12">
                  <c:v>24.8</c:v>
                </c:pt>
                <c:pt idx="13">
                  <c:v>25.6</c:v>
                </c:pt>
                <c:pt idx="14">
                  <c:v>26.1</c:v>
                </c:pt>
                <c:pt idx="15">
                  <c:v>25</c:v>
                </c:pt>
                <c:pt idx="16">
                  <c:v>23.8</c:v>
                </c:pt>
                <c:pt idx="17">
                  <c:v>23.7</c:v>
                </c:pt>
                <c:pt idx="18">
                  <c:v>24.1</c:v>
                </c:pt>
                <c:pt idx="19">
                  <c:v>23</c:v>
                </c:pt>
                <c:pt idx="20">
                  <c:v>22.1</c:v>
                </c:pt>
                <c:pt idx="21">
                  <c:v>23.1</c:v>
                </c:pt>
                <c:pt idx="22">
                  <c:v>24.4</c:v>
                </c:pt>
                <c:pt idx="23">
                  <c:v>24</c:v>
                </c:pt>
              </c:numCache>
            </c:numRef>
          </c:val>
          <c:smooth val="0"/>
        </c:ser>
        <c:ser>
          <c:idx val="4"/>
          <c:order val="4"/>
          <c:tx>
            <c:strRef>
              <c:f>Data!$A$157</c:f>
              <c:strCache>
                <c:ptCount val="1"/>
                <c:pt idx="0">
                  <c:v>France</c:v>
                </c:pt>
              </c:strCache>
            </c:strRef>
          </c:tx>
          <c:spPr>
            <a:ln w="34925" cap="rnd" cmpd="dbl">
              <a:solidFill>
                <a:schemeClr val="tx1"/>
              </a:solidFill>
              <a:prstDash val="solid"/>
              <a:round/>
            </a:ln>
            <a:effectLst/>
          </c:spPr>
          <c:marker>
            <c:symbol val="none"/>
          </c:marker>
          <c:cat>
            <c:strRef>
              <c:f>Data!$B$152:$Y$152</c:f>
              <c:strCache>
                <c:ptCount val="24"/>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strCache>
            </c:strRef>
          </c:cat>
          <c:val>
            <c:numRef>
              <c:f>Data!$B$157:$Y$157</c:f>
              <c:numCache>
                <c:formatCode>#,##0.0</c:formatCode>
                <c:ptCount val="24"/>
                <c:pt idx="0">
                  <c:v>14.8</c:v>
                </c:pt>
                <c:pt idx="1">
                  <c:v>15</c:v>
                </c:pt>
                <c:pt idx="2">
                  <c:v>15.2</c:v>
                </c:pt>
                <c:pt idx="3">
                  <c:v>14.3</c:v>
                </c:pt>
                <c:pt idx="4">
                  <c:v>13.8</c:v>
                </c:pt>
                <c:pt idx="5">
                  <c:v>14.3</c:v>
                </c:pt>
                <c:pt idx="6">
                  <c:v>15</c:v>
                </c:pt>
                <c:pt idx="7">
                  <c:v>14</c:v>
                </c:pt>
                <c:pt idx="8">
                  <c:v>14.1</c:v>
                </c:pt>
                <c:pt idx="9">
                  <c:v>15.1</c:v>
                </c:pt>
                <c:pt idx="10">
                  <c:v>15.6</c:v>
                </c:pt>
                <c:pt idx="11">
                  <c:v>14.8</c:v>
                </c:pt>
                <c:pt idx="12">
                  <c:v>14.4</c:v>
                </c:pt>
                <c:pt idx="13">
                  <c:v>15.3</c:v>
                </c:pt>
                <c:pt idx="14">
                  <c:v>15.8</c:v>
                </c:pt>
                <c:pt idx="15">
                  <c:v>14.9</c:v>
                </c:pt>
                <c:pt idx="16">
                  <c:v>14.5</c:v>
                </c:pt>
                <c:pt idx="17">
                  <c:v>15.2</c:v>
                </c:pt>
                <c:pt idx="18">
                  <c:v>15.6</c:v>
                </c:pt>
                <c:pt idx="19">
                  <c:v>14.9</c:v>
                </c:pt>
                <c:pt idx="20">
                  <c:v>15</c:v>
                </c:pt>
                <c:pt idx="21">
                  <c:v>16.399999999999999</c:v>
                </c:pt>
                <c:pt idx="22">
                  <c:v>17.8</c:v>
                </c:pt>
                <c:pt idx="23">
                  <c:v>16.399999999999999</c:v>
                </c:pt>
              </c:numCache>
            </c:numRef>
          </c:val>
          <c:smooth val="0"/>
        </c:ser>
        <c:ser>
          <c:idx val="5"/>
          <c:order val="5"/>
          <c:tx>
            <c:strRef>
              <c:f>Data!$A$158</c:f>
              <c:strCache>
                <c:ptCount val="1"/>
                <c:pt idx="0">
                  <c:v>Italy</c:v>
                </c:pt>
              </c:strCache>
            </c:strRef>
          </c:tx>
          <c:spPr>
            <a:ln w="28575" cap="rnd">
              <a:solidFill>
                <a:schemeClr val="tx1"/>
              </a:solidFill>
              <a:prstDash val="sysDot"/>
              <a:round/>
            </a:ln>
            <a:effectLst/>
          </c:spPr>
          <c:marker>
            <c:symbol val="none"/>
          </c:marker>
          <c:cat>
            <c:strRef>
              <c:f>Data!$B$152:$Y$152</c:f>
              <c:strCache>
                <c:ptCount val="24"/>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strCache>
            </c:strRef>
          </c:cat>
          <c:val>
            <c:numRef>
              <c:f>Data!$B$158:$Y$158</c:f>
              <c:numCache>
                <c:formatCode>#,##0.0</c:formatCode>
                <c:ptCount val="24"/>
                <c:pt idx="0">
                  <c:v>12.8</c:v>
                </c:pt>
                <c:pt idx="1">
                  <c:v>13.9</c:v>
                </c:pt>
                <c:pt idx="2">
                  <c:v>13.6</c:v>
                </c:pt>
                <c:pt idx="3">
                  <c:v>12.9</c:v>
                </c:pt>
                <c:pt idx="4">
                  <c:v>11.8</c:v>
                </c:pt>
                <c:pt idx="5">
                  <c:v>12.8</c:v>
                </c:pt>
                <c:pt idx="6">
                  <c:v>12.6</c:v>
                </c:pt>
                <c:pt idx="7">
                  <c:v>12.6</c:v>
                </c:pt>
                <c:pt idx="8">
                  <c:v>12.1</c:v>
                </c:pt>
                <c:pt idx="9">
                  <c:v>12.9</c:v>
                </c:pt>
                <c:pt idx="10">
                  <c:v>12.9</c:v>
                </c:pt>
                <c:pt idx="11">
                  <c:v>13.2</c:v>
                </c:pt>
                <c:pt idx="12">
                  <c:v>12.5</c:v>
                </c:pt>
                <c:pt idx="13">
                  <c:v>13.7</c:v>
                </c:pt>
                <c:pt idx="14">
                  <c:v>13.6</c:v>
                </c:pt>
                <c:pt idx="15">
                  <c:v>13.6</c:v>
                </c:pt>
                <c:pt idx="16">
                  <c:v>13.1</c:v>
                </c:pt>
                <c:pt idx="17">
                  <c:v>14.2</c:v>
                </c:pt>
                <c:pt idx="18">
                  <c:v>14.2</c:v>
                </c:pt>
                <c:pt idx="19">
                  <c:v>13.7</c:v>
                </c:pt>
                <c:pt idx="20">
                  <c:v>12.8</c:v>
                </c:pt>
                <c:pt idx="21">
                  <c:v>13.5</c:v>
                </c:pt>
                <c:pt idx="22">
                  <c:v>13.4</c:v>
                </c:pt>
                <c:pt idx="23">
                  <c:v>13.1</c:v>
                </c:pt>
              </c:numCache>
            </c:numRef>
          </c:val>
          <c:smooth val="0"/>
        </c:ser>
        <c:ser>
          <c:idx val="6"/>
          <c:order val="6"/>
          <c:tx>
            <c:strRef>
              <c:f>Data!$A$159</c:f>
              <c:strCache>
                <c:ptCount val="1"/>
                <c:pt idx="0">
                  <c:v>Hungary</c:v>
                </c:pt>
              </c:strCache>
            </c:strRef>
          </c:tx>
          <c:spPr>
            <a:ln w="28575" cap="rnd">
              <a:solidFill>
                <a:schemeClr val="tx1"/>
              </a:solidFill>
              <a:prstDash val="dashDot"/>
              <a:round/>
            </a:ln>
            <a:effectLst/>
          </c:spPr>
          <c:marker>
            <c:symbol val="none"/>
          </c:marker>
          <c:cat>
            <c:strRef>
              <c:f>Data!$B$152:$Y$152</c:f>
              <c:strCache>
                <c:ptCount val="24"/>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strCache>
            </c:strRef>
          </c:cat>
          <c:val>
            <c:numRef>
              <c:f>Data!$B$159:$Y$159</c:f>
              <c:numCache>
                <c:formatCode>#,##0.0</c:formatCode>
                <c:ptCount val="24"/>
                <c:pt idx="0">
                  <c:v>7.1</c:v>
                </c:pt>
                <c:pt idx="1">
                  <c:v>7.8</c:v>
                </c:pt>
                <c:pt idx="2">
                  <c:v>8.1999999999999993</c:v>
                </c:pt>
                <c:pt idx="3">
                  <c:v>8.1999999999999993</c:v>
                </c:pt>
                <c:pt idx="4">
                  <c:v>7.1</c:v>
                </c:pt>
                <c:pt idx="5">
                  <c:v>8.1999999999999993</c:v>
                </c:pt>
                <c:pt idx="6">
                  <c:v>9.1</c:v>
                </c:pt>
                <c:pt idx="7">
                  <c:v>9.3000000000000007</c:v>
                </c:pt>
                <c:pt idx="8">
                  <c:v>8.6</c:v>
                </c:pt>
                <c:pt idx="9">
                  <c:v>9.6999999999999993</c:v>
                </c:pt>
                <c:pt idx="10">
                  <c:v>10.3</c:v>
                </c:pt>
                <c:pt idx="11">
                  <c:v>9.8000000000000007</c:v>
                </c:pt>
                <c:pt idx="12">
                  <c:v>8</c:v>
                </c:pt>
                <c:pt idx="13">
                  <c:v>9.1999999999999993</c:v>
                </c:pt>
                <c:pt idx="14">
                  <c:v>9.6999999999999993</c:v>
                </c:pt>
                <c:pt idx="15">
                  <c:v>8.8000000000000007</c:v>
                </c:pt>
                <c:pt idx="16">
                  <c:v>8</c:v>
                </c:pt>
                <c:pt idx="17">
                  <c:v>9.6</c:v>
                </c:pt>
                <c:pt idx="18">
                  <c:v>10.199999999999999</c:v>
                </c:pt>
                <c:pt idx="19">
                  <c:v>9.9</c:v>
                </c:pt>
                <c:pt idx="20">
                  <c:v>8.5</c:v>
                </c:pt>
                <c:pt idx="21">
                  <c:v>11.2</c:v>
                </c:pt>
                <c:pt idx="22">
                  <c:v>11.6</c:v>
                </c:pt>
                <c:pt idx="23">
                  <c:v>11.8</c:v>
                </c:pt>
              </c:numCache>
            </c:numRef>
          </c:val>
          <c:smooth val="0"/>
        </c:ser>
        <c:ser>
          <c:idx val="7"/>
          <c:order val="7"/>
          <c:tx>
            <c:strRef>
              <c:f>Data!$A$160</c:f>
              <c:strCache>
                <c:ptCount val="1"/>
                <c:pt idx="0">
                  <c:v>Portugal</c:v>
                </c:pt>
              </c:strCache>
            </c:strRef>
          </c:tx>
          <c:spPr>
            <a:ln w="28575" cap="rnd" cmpd="dbl">
              <a:solidFill>
                <a:schemeClr val="bg1">
                  <a:lumMod val="50000"/>
                </a:schemeClr>
              </a:solidFill>
              <a:round/>
            </a:ln>
            <a:effectLst/>
          </c:spPr>
          <c:marker>
            <c:symbol val="none"/>
          </c:marker>
          <c:cat>
            <c:strRef>
              <c:f>Data!$B$152:$Y$152</c:f>
              <c:strCache>
                <c:ptCount val="24"/>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strCache>
            </c:strRef>
          </c:cat>
          <c:val>
            <c:numRef>
              <c:f>Data!$B$160:$Y$160</c:f>
              <c:numCache>
                <c:formatCode>#,##0.0</c:formatCode>
                <c:ptCount val="24"/>
                <c:pt idx="0">
                  <c:v>23</c:v>
                </c:pt>
                <c:pt idx="1">
                  <c:v>23.3</c:v>
                </c:pt>
                <c:pt idx="2">
                  <c:v>22.9</c:v>
                </c:pt>
                <c:pt idx="3">
                  <c:v>22.3</c:v>
                </c:pt>
                <c:pt idx="4">
                  <c:v>21.6</c:v>
                </c:pt>
                <c:pt idx="5">
                  <c:v>21.7</c:v>
                </c:pt>
                <c:pt idx="6">
                  <c:v>22</c:v>
                </c:pt>
                <c:pt idx="7">
                  <c:v>22.7</c:v>
                </c:pt>
                <c:pt idx="8">
                  <c:v>23.2</c:v>
                </c:pt>
                <c:pt idx="9">
                  <c:v>23</c:v>
                </c:pt>
                <c:pt idx="10">
                  <c:v>23.2</c:v>
                </c:pt>
                <c:pt idx="11">
                  <c:v>22.6</c:v>
                </c:pt>
                <c:pt idx="12">
                  <c:v>22.1</c:v>
                </c:pt>
                <c:pt idx="13">
                  <c:v>22.8</c:v>
                </c:pt>
                <c:pt idx="14">
                  <c:v>22.7</c:v>
                </c:pt>
                <c:pt idx="15">
                  <c:v>21.2</c:v>
                </c:pt>
                <c:pt idx="16">
                  <c:v>20.100000000000001</c:v>
                </c:pt>
                <c:pt idx="17">
                  <c:v>21</c:v>
                </c:pt>
                <c:pt idx="18">
                  <c:v>21.3</c:v>
                </c:pt>
                <c:pt idx="19">
                  <c:v>20.399999999999999</c:v>
                </c:pt>
                <c:pt idx="20">
                  <c:v>21.1</c:v>
                </c:pt>
                <c:pt idx="21">
                  <c:v>21.8</c:v>
                </c:pt>
                <c:pt idx="22">
                  <c:v>21.7</c:v>
                </c:pt>
                <c:pt idx="23">
                  <c:v>21.2</c:v>
                </c:pt>
              </c:numCache>
            </c:numRef>
          </c:val>
          <c:smooth val="0"/>
        </c:ser>
        <c:ser>
          <c:idx val="8"/>
          <c:order val="8"/>
          <c:tx>
            <c:strRef>
              <c:f>Data!$A$161</c:f>
              <c:strCache>
                <c:ptCount val="1"/>
                <c:pt idx="0">
                  <c:v>Slovenia</c:v>
                </c:pt>
              </c:strCache>
            </c:strRef>
          </c:tx>
          <c:spPr>
            <a:ln w="28575" cap="rnd">
              <a:solidFill>
                <a:schemeClr val="bg1">
                  <a:lumMod val="50000"/>
                </a:schemeClr>
              </a:solidFill>
              <a:prstDash val="dash"/>
              <a:round/>
            </a:ln>
            <a:effectLst/>
          </c:spPr>
          <c:marker>
            <c:symbol val="none"/>
          </c:marker>
          <c:cat>
            <c:strRef>
              <c:f>Data!$B$152:$Y$152</c:f>
              <c:strCache>
                <c:ptCount val="24"/>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strCache>
            </c:strRef>
          </c:cat>
          <c:val>
            <c:numRef>
              <c:f>Data!$B$161:$Y$161</c:f>
              <c:numCache>
                <c:formatCode>#,##0.0</c:formatCode>
                <c:ptCount val="24"/>
                <c:pt idx="0">
                  <c:v>16.899999999999999</c:v>
                </c:pt>
                <c:pt idx="1">
                  <c:v>16.899999999999999</c:v>
                </c:pt>
                <c:pt idx="2">
                  <c:v>18.5</c:v>
                </c:pt>
                <c:pt idx="3">
                  <c:v>16.8</c:v>
                </c:pt>
                <c:pt idx="4">
                  <c:v>14</c:v>
                </c:pt>
                <c:pt idx="5">
                  <c:v>16.399999999999999</c:v>
                </c:pt>
                <c:pt idx="6">
                  <c:v>17.399999999999999</c:v>
                </c:pt>
                <c:pt idx="7">
                  <c:v>17</c:v>
                </c:pt>
                <c:pt idx="8">
                  <c:v>16.7</c:v>
                </c:pt>
                <c:pt idx="9">
                  <c:v>17.7</c:v>
                </c:pt>
                <c:pt idx="10">
                  <c:v>17.600000000000001</c:v>
                </c:pt>
                <c:pt idx="11">
                  <c:v>16.5</c:v>
                </c:pt>
                <c:pt idx="12">
                  <c:v>16</c:v>
                </c:pt>
                <c:pt idx="13">
                  <c:v>17.5</c:v>
                </c:pt>
                <c:pt idx="14">
                  <c:v>19.100000000000001</c:v>
                </c:pt>
                <c:pt idx="15">
                  <c:v>19.2</c:v>
                </c:pt>
                <c:pt idx="16">
                  <c:v>18</c:v>
                </c:pt>
                <c:pt idx="17">
                  <c:v>16.7</c:v>
                </c:pt>
                <c:pt idx="18">
                  <c:v>16.8</c:v>
                </c:pt>
                <c:pt idx="19">
                  <c:v>16.5</c:v>
                </c:pt>
                <c:pt idx="20">
                  <c:v>16.100000000000001</c:v>
                </c:pt>
                <c:pt idx="21">
                  <c:v>15.4</c:v>
                </c:pt>
                <c:pt idx="22">
                  <c:v>17.899999999999999</c:v>
                </c:pt>
                <c:pt idx="23">
                  <c:v>15.8</c:v>
                </c:pt>
              </c:numCache>
            </c:numRef>
          </c:val>
          <c:smooth val="0"/>
        </c:ser>
        <c:ser>
          <c:idx val="9"/>
          <c:order val="9"/>
          <c:tx>
            <c:strRef>
              <c:f>Data!$A$162</c:f>
              <c:strCache>
                <c:ptCount val="1"/>
                <c:pt idx="0">
                  <c:v>Slovakia</c:v>
                </c:pt>
              </c:strCache>
            </c:strRef>
          </c:tx>
          <c:spPr>
            <a:ln w="28575" cap="rnd">
              <a:solidFill>
                <a:schemeClr val="tx1"/>
              </a:solidFill>
              <a:round/>
            </a:ln>
            <a:effectLst/>
          </c:spPr>
          <c:marker>
            <c:symbol val="none"/>
          </c:marker>
          <c:cat>
            <c:strRef>
              <c:f>Data!$B$152:$Y$152</c:f>
              <c:strCache>
                <c:ptCount val="24"/>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strCache>
            </c:strRef>
          </c:cat>
          <c:val>
            <c:numRef>
              <c:f>Data!$B$162:$Y$162</c:f>
              <c:numCache>
                <c:formatCode>#,##0.0</c:formatCode>
                <c:ptCount val="24"/>
                <c:pt idx="0">
                  <c:v>4</c:v>
                </c:pt>
                <c:pt idx="1">
                  <c:v>4</c:v>
                </c:pt>
                <c:pt idx="2">
                  <c:v>5.3</c:v>
                </c:pt>
                <c:pt idx="3">
                  <c:v>4.8</c:v>
                </c:pt>
                <c:pt idx="4">
                  <c:v>3.9</c:v>
                </c:pt>
                <c:pt idx="5">
                  <c:v>4.0999999999999996</c:v>
                </c:pt>
                <c:pt idx="6">
                  <c:v>4.7</c:v>
                </c:pt>
                <c:pt idx="7">
                  <c:v>4.5</c:v>
                </c:pt>
                <c:pt idx="8">
                  <c:v>4.4000000000000004</c:v>
                </c:pt>
                <c:pt idx="9">
                  <c:v>5.7</c:v>
                </c:pt>
                <c:pt idx="10">
                  <c:v>6.5</c:v>
                </c:pt>
                <c:pt idx="11">
                  <c:v>6</c:v>
                </c:pt>
                <c:pt idx="12">
                  <c:v>6</c:v>
                </c:pt>
                <c:pt idx="13">
                  <c:v>6.7</c:v>
                </c:pt>
                <c:pt idx="14">
                  <c:v>6.5</c:v>
                </c:pt>
                <c:pt idx="15">
                  <c:v>6.9</c:v>
                </c:pt>
                <c:pt idx="16">
                  <c:v>6.9</c:v>
                </c:pt>
                <c:pt idx="17">
                  <c:v>6.9</c:v>
                </c:pt>
                <c:pt idx="18">
                  <c:v>6.8</c:v>
                </c:pt>
                <c:pt idx="19">
                  <c:v>6.3</c:v>
                </c:pt>
                <c:pt idx="20">
                  <c:v>6.6</c:v>
                </c:pt>
                <c:pt idx="21">
                  <c:v>7</c:v>
                </c:pt>
                <c:pt idx="22">
                  <c:v>7</c:v>
                </c:pt>
                <c:pt idx="23">
                  <c:v>6.7</c:v>
                </c:pt>
              </c:numCache>
            </c:numRef>
          </c:val>
          <c:smooth val="0"/>
        </c:ser>
        <c:ser>
          <c:idx val="10"/>
          <c:order val="10"/>
          <c:tx>
            <c:strRef>
              <c:f>Data!$A$163</c:f>
              <c:strCache>
                <c:ptCount val="1"/>
                <c:pt idx="0">
                  <c:v>United Kingdom</c:v>
                </c:pt>
              </c:strCache>
            </c:strRef>
          </c:tx>
          <c:spPr>
            <a:ln w="28575" cap="rnd">
              <a:solidFill>
                <a:schemeClr val="tx1"/>
              </a:solidFill>
              <a:prstDash val="lgDashDotDot"/>
              <a:round/>
            </a:ln>
            <a:effectLst/>
          </c:spPr>
          <c:marker>
            <c:symbol val="none"/>
          </c:marker>
          <c:cat>
            <c:strRef>
              <c:f>Data!$B$152:$Y$152</c:f>
              <c:strCache>
                <c:ptCount val="24"/>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strCache>
            </c:strRef>
          </c:cat>
          <c:val>
            <c:numRef>
              <c:f>Data!$B$163:$Y$163</c:f>
              <c:numCache>
                <c:formatCode>#,##0.0</c:formatCode>
                <c:ptCount val="24"/>
                <c:pt idx="0">
                  <c:v>5.2</c:v>
                </c:pt>
                <c:pt idx="1">
                  <c:v>5.2</c:v>
                </c:pt>
                <c:pt idx="2">
                  <c:v>5.3</c:v>
                </c:pt>
                <c:pt idx="3">
                  <c:v>5.4</c:v>
                </c:pt>
                <c:pt idx="4">
                  <c:v>5.2</c:v>
                </c:pt>
                <c:pt idx="5">
                  <c:v>5.4</c:v>
                </c:pt>
                <c:pt idx="6">
                  <c:v>5.6</c:v>
                </c:pt>
                <c:pt idx="7">
                  <c:v>5.7</c:v>
                </c:pt>
                <c:pt idx="8">
                  <c:v>5.5</c:v>
                </c:pt>
                <c:pt idx="9">
                  <c:v>6.1</c:v>
                </c:pt>
                <c:pt idx="10">
                  <c:v>6.2</c:v>
                </c:pt>
                <c:pt idx="11">
                  <c:v>6</c:v>
                </c:pt>
                <c:pt idx="12">
                  <c:v>5.9</c:v>
                </c:pt>
                <c:pt idx="13">
                  <c:v>6.1</c:v>
                </c:pt>
                <c:pt idx="14">
                  <c:v>6</c:v>
                </c:pt>
                <c:pt idx="15">
                  <c:v>6.1</c:v>
                </c:pt>
                <c:pt idx="16">
                  <c:v>5.9</c:v>
                </c:pt>
                <c:pt idx="17">
                  <c:v>6.1</c:v>
                </c:pt>
                <c:pt idx="18">
                  <c:v>6.3</c:v>
                </c:pt>
                <c:pt idx="19">
                  <c:v>6.4</c:v>
                </c:pt>
                <c:pt idx="20">
                  <c:v>5.9</c:v>
                </c:pt>
                <c:pt idx="21">
                  <c:v>5.9</c:v>
                </c:pt>
                <c:pt idx="22">
                  <c:v>6.1</c:v>
                </c:pt>
                <c:pt idx="23">
                  <c:v>6.3</c:v>
                </c:pt>
              </c:numCache>
            </c:numRef>
          </c:val>
          <c:smooth val="0"/>
        </c:ser>
        <c:dLbls>
          <c:showLegendKey val="0"/>
          <c:showVal val="0"/>
          <c:showCatName val="0"/>
          <c:showSerName val="0"/>
          <c:showPercent val="0"/>
          <c:showBubbleSize val="0"/>
        </c:dLbls>
        <c:smooth val="0"/>
        <c:axId val="400270056"/>
        <c:axId val="400274760"/>
      </c:lineChart>
      <c:catAx>
        <c:axId val="400270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274760"/>
        <c:crosses val="autoZero"/>
        <c:auto val="1"/>
        <c:lblAlgn val="ctr"/>
        <c:lblOffset val="100"/>
        <c:noMultiLvlLbl val="0"/>
      </c:catAx>
      <c:valAx>
        <c:axId val="4002747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270056"/>
        <c:crosses val="autoZero"/>
        <c:crossBetween val="between"/>
      </c:valAx>
      <c:spPr>
        <a:noFill/>
        <a:ln>
          <a:solidFill>
            <a:schemeClr val="bg1">
              <a:lumMod val="5000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Sheet1!$G$4</c:f>
              <c:strCache>
                <c:ptCount val="1"/>
                <c:pt idx="0">
                  <c:v>Czech Republic</c:v>
                </c:pt>
              </c:strCache>
            </c:strRef>
          </c:tx>
          <c:spPr>
            <a:ln w="44450" cap="rnd" cmpd="thinThick">
              <a:solidFill>
                <a:schemeClr val="tx1"/>
              </a:solidFill>
              <a:round/>
            </a:ln>
            <a:effectLst/>
          </c:spPr>
          <c:marker>
            <c:symbol val="none"/>
          </c:marker>
          <c:cat>
            <c:numRef>
              <c:f>Sheet1!$H$3:$O$3</c:f>
              <c:numCache>
                <c:formatCode>General</c:formatCode>
                <c:ptCount val="8"/>
                <c:pt idx="0">
                  <c:v>2005</c:v>
                </c:pt>
                <c:pt idx="1">
                  <c:v>2006</c:v>
                </c:pt>
                <c:pt idx="2">
                  <c:v>2007</c:v>
                </c:pt>
                <c:pt idx="3">
                  <c:v>2008</c:v>
                </c:pt>
                <c:pt idx="4">
                  <c:v>2009</c:v>
                </c:pt>
                <c:pt idx="5">
                  <c:v>2010</c:v>
                </c:pt>
                <c:pt idx="6">
                  <c:v>2011</c:v>
                </c:pt>
                <c:pt idx="7">
                  <c:v>2012</c:v>
                </c:pt>
              </c:numCache>
            </c:numRef>
          </c:cat>
          <c:val>
            <c:numRef>
              <c:f>Sheet1!$H$4:$O$4</c:f>
              <c:numCache>
                <c:formatCode>0</c:formatCode>
                <c:ptCount val="8"/>
                <c:pt idx="0">
                  <c:v>50.462108496176668</c:v>
                </c:pt>
                <c:pt idx="1">
                  <c:v>48.459681202300317</c:v>
                </c:pt>
                <c:pt idx="2">
                  <c:v>50.2895104094084</c:v>
                </c:pt>
                <c:pt idx="3">
                  <c:v>49.886165018025473</c:v>
                </c:pt>
                <c:pt idx="4">
                  <c:v>50.182342618024997</c:v>
                </c:pt>
                <c:pt idx="5">
                  <c:v>51.194588928449051</c:v>
                </c:pt>
                <c:pt idx="6">
                  <c:v>51.448558056295688</c:v>
                </c:pt>
                <c:pt idx="7">
                  <c:v>52.164128031062084</c:v>
                </c:pt>
              </c:numCache>
            </c:numRef>
          </c:val>
          <c:smooth val="0"/>
        </c:ser>
        <c:ser>
          <c:idx val="1"/>
          <c:order val="1"/>
          <c:tx>
            <c:strRef>
              <c:f>Sheet1!$G$5</c:f>
              <c:strCache>
                <c:ptCount val="1"/>
                <c:pt idx="0">
                  <c:v>Estonia</c:v>
                </c:pt>
              </c:strCache>
            </c:strRef>
          </c:tx>
          <c:spPr>
            <a:ln w="28575" cap="rnd">
              <a:solidFill>
                <a:schemeClr val="tx1"/>
              </a:solidFill>
              <a:prstDash val="lgDash"/>
              <a:round/>
            </a:ln>
            <a:effectLst/>
          </c:spPr>
          <c:marker>
            <c:symbol val="none"/>
          </c:marker>
          <c:cat>
            <c:numRef>
              <c:f>Sheet1!$H$3:$O$3</c:f>
              <c:numCache>
                <c:formatCode>General</c:formatCode>
                <c:ptCount val="8"/>
                <c:pt idx="0">
                  <c:v>2005</c:v>
                </c:pt>
                <c:pt idx="1">
                  <c:v>2006</c:v>
                </c:pt>
                <c:pt idx="2">
                  <c:v>2007</c:v>
                </c:pt>
                <c:pt idx="3">
                  <c:v>2008</c:v>
                </c:pt>
                <c:pt idx="4">
                  <c:v>2009</c:v>
                </c:pt>
                <c:pt idx="5">
                  <c:v>2010</c:v>
                </c:pt>
                <c:pt idx="6">
                  <c:v>2011</c:v>
                </c:pt>
                <c:pt idx="7">
                  <c:v>2012</c:v>
                </c:pt>
              </c:numCache>
            </c:numRef>
          </c:cat>
          <c:val>
            <c:numRef>
              <c:f>Sheet1!$H$5:$O$5</c:f>
              <c:numCache>
                <c:formatCode>0</c:formatCode>
                <c:ptCount val="8"/>
                <c:pt idx="0">
                  <c:v>42.642254946843018</c:v>
                </c:pt>
                <c:pt idx="1">
                  <c:v>38.588721564222908</c:v>
                </c:pt>
                <c:pt idx="2">
                  <c:v>38.13117669142995</c:v>
                </c:pt>
                <c:pt idx="3">
                  <c:v>37.809697541016668</c:v>
                </c:pt>
                <c:pt idx="4">
                  <c:v>39.836041811201355</c:v>
                </c:pt>
                <c:pt idx="5">
                  <c:v>41.467446707539949</c:v>
                </c:pt>
                <c:pt idx="6">
                  <c:v>41.768879164862909</c:v>
                </c:pt>
                <c:pt idx="7">
                  <c:v>41.773327349336846</c:v>
                </c:pt>
              </c:numCache>
            </c:numRef>
          </c:val>
          <c:smooth val="0"/>
        </c:ser>
        <c:ser>
          <c:idx val="2"/>
          <c:order val="2"/>
          <c:tx>
            <c:strRef>
              <c:f>Sheet1!$G$6</c:f>
              <c:strCache>
                <c:ptCount val="1"/>
                <c:pt idx="0">
                  <c:v>France</c:v>
                </c:pt>
              </c:strCache>
            </c:strRef>
          </c:tx>
          <c:spPr>
            <a:ln w="34925" cap="rnd" cmpd="dbl">
              <a:solidFill>
                <a:schemeClr val="tx1"/>
              </a:solidFill>
              <a:round/>
            </a:ln>
            <a:effectLst/>
          </c:spPr>
          <c:marker>
            <c:symbol val="none"/>
          </c:marker>
          <c:cat>
            <c:numRef>
              <c:f>Sheet1!$H$3:$O$3</c:f>
              <c:numCache>
                <c:formatCode>General</c:formatCode>
                <c:ptCount val="8"/>
                <c:pt idx="0">
                  <c:v>2005</c:v>
                </c:pt>
                <c:pt idx="1">
                  <c:v>2006</c:v>
                </c:pt>
                <c:pt idx="2">
                  <c:v>2007</c:v>
                </c:pt>
                <c:pt idx="3">
                  <c:v>2008</c:v>
                </c:pt>
                <c:pt idx="4">
                  <c:v>2009</c:v>
                </c:pt>
                <c:pt idx="5">
                  <c:v>2010</c:v>
                </c:pt>
                <c:pt idx="6">
                  <c:v>2011</c:v>
                </c:pt>
                <c:pt idx="7">
                  <c:v>2012</c:v>
                </c:pt>
              </c:numCache>
            </c:numRef>
          </c:cat>
          <c:val>
            <c:numRef>
              <c:f>Sheet1!$H$6:$O$6</c:f>
              <c:numCache>
                <c:formatCode>0</c:formatCode>
                <c:ptCount val="8"/>
                <c:pt idx="0">
                  <c:v>58.147198051114216</c:v>
                </c:pt>
                <c:pt idx="1">
                  <c:v>57.528329997733216</c:v>
                </c:pt>
                <c:pt idx="2">
                  <c:v>56.896643613291772</c:v>
                </c:pt>
                <c:pt idx="3">
                  <c:v>56.754983917723045</c:v>
                </c:pt>
                <c:pt idx="4">
                  <c:v>57.326144029050596</c:v>
                </c:pt>
                <c:pt idx="5">
                  <c:v>57.269188541904015</c:v>
                </c:pt>
                <c:pt idx="6">
                  <c:v>57.071286106020359</c:v>
                </c:pt>
                <c:pt idx="7">
                  <c:v>56.872539944365407</c:v>
                </c:pt>
              </c:numCache>
            </c:numRef>
          </c:val>
          <c:smooth val="0"/>
        </c:ser>
        <c:ser>
          <c:idx val="3"/>
          <c:order val="3"/>
          <c:tx>
            <c:strRef>
              <c:f>Sheet1!$G$7</c:f>
              <c:strCache>
                <c:ptCount val="1"/>
                <c:pt idx="0">
                  <c:v>Greece</c:v>
                </c:pt>
              </c:strCache>
            </c:strRef>
          </c:tx>
          <c:spPr>
            <a:ln w="28575" cap="rnd">
              <a:solidFill>
                <a:schemeClr val="tx1"/>
              </a:solidFill>
              <a:prstDash val="dash"/>
              <a:round/>
            </a:ln>
            <a:effectLst/>
          </c:spPr>
          <c:marker>
            <c:symbol val="none"/>
          </c:marker>
          <c:cat>
            <c:numRef>
              <c:f>Sheet1!$H$3:$O$3</c:f>
              <c:numCache>
                <c:formatCode>General</c:formatCode>
                <c:ptCount val="8"/>
                <c:pt idx="0">
                  <c:v>2005</c:v>
                </c:pt>
                <c:pt idx="1">
                  <c:v>2006</c:v>
                </c:pt>
                <c:pt idx="2">
                  <c:v>2007</c:v>
                </c:pt>
                <c:pt idx="3">
                  <c:v>2008</c:v>
                </c:pt>
                <c:pt idx="4">
                  <c:v>2009</c:v>
                </c:pt>
                <c:pt idx="5">
                  <c:v>2010</c:v>
                </c:pt>
                <c:pt idx="6">
                  <c:v>2011</c:v>
                </c:pt>
                <c:pt idx="7">
                  <c:v>2012</c:v>
                </c:pt>
              </c:numCache>
            </c:numRef>
          </c:cat>
          <c:val>
            <c:numRef>
              <c:f>Sheet1!$H$7:$O$7</c:f>
              <c:numCache>
                <c:formatCode>0</c:formatCode>
                <c:ptCount val="8"/>
                <c:pt idx="0">
                  <c:v>26.053940924935127</c:v>
                </c:pt>
                <c:pt idx="1">
                  <c:v>26.648933102106813</c:v>
                </c:pt>
                <c:pt idx="2">
                  <c:v>27.156020300012052</c:v>
                </c:pt>
                <c:pt idx="3">
                  <c:v>27.831880178013176</c:v>
                </c:pt>
                <c:pt idx="4">
                  <c:v>28.0789842457657</c:v>
                </c:pt>
                <c:pt idx="5">
                  <c:v>21.766818445012884</c:v>
                </c:pt>
                <c:pt idx="6">
                  <c:v>22.472666876290141</c:v>
                </c:pt>
                <c:pt idx="7">
                  <c:v>21.362504799593498</c:v>
                </c:pt>
              </c:numCache>
            </c:numRef>
          </c:val>
          <c:smooth val="0"/>
        </c:ser>
        <c:ser>
          <c:idx val="4"/>
          <c:order val="4"/>
          <c:tx>
            <c:strRef>
              <c:f>Sheet1!$G$8</c:f>
              <c:strCache>
                <c:ptCount val="1"/>
                <c:pt idx="0">
                  <c:v>Hungary</c:v>
                </c:pt>
              </c:strCache>
            </c:strRef>
          </c:tx>
          <c:spPr>
            <a:ln w="28575" cap="rnd">
              <a:solidFill>
                <a:schemeClr val="tx1"/>
              </a:solidFill>
              <a:prstDash val="dashDot"/>
              <a:round/>
            </a:ln>
            <a:effectLst/>
          </c:spPr>
          <c:marker>
            <c:symbol val="none"/>
          </c:marker>
          <c:cat>
            <c:numRef>
              <c:f>Sheet1!$H$3:$O$3</c:f>
              <c:numCache>
                <c:formatCode>General</c:formatCode>
                <c:ptCount val="8"/>
                <c:pt idx="0">
                  <c:v>2005</c:v>
                </c:pt>
                <c:pt idx="1">
                  <c:v>2006</c:v>
                </c:pt>
                <c:pt idx="2">
                  <c:v>2007</c:v>
                </c:pt>
                <c:pt idx="3">
                  <c:v>2008</c:v>
                </c:pt>
                <c:pt idx="4">
                  <c:v>2009</c:v>
                </c:pt>
                <c:pt idx="5">
                  <c:v>2010</c:v>
                </c:pt>
                <c:pt idx="6">
                  <c:v>2011</c:v>
                </c:pt>
                <c:pt idx="7">
                  <c:v>2012</c:v>
                </c:pt>
              </c:numCache>
            </c:numRef>
          </c:cat>
          <c:val>
            <c:numRef>
              <c:f>Sheet1!$H$8:$O$8</c:f>
              <c:numCache>
                <c:formatCode>0</c:formatCode>
                <c:ptCount val="8"/>
                <c:pt idx="0">
                  <c:v>41.34321481150625</c:v>
                </c:pt>
                <c:pt idx="1">
                  <c:v>45.065572250414455</c:v>
                </c:pt>
                <c:pt idx="2">
                  <c:v>45.580228679851814</c:v>
                </c:pt>
                <c:pt idx="3">
                  <c:v>44.536108793698716</c:v>
                </c:pt>
                <c:pt idx="4">
                  <c:v>46.652150636833781</c:v>
                </c:pt>
                <c:pt idx="5">
                  <c:v>38.199186924075164</c:v>
                </c:pt>
                <c:pt idx="6">
                  <c:v>38.23386618435822</c:v>
                </c:pt>
                <c:pt idx="7">
                  <c:v>31.986484179245185</c:v>
                </c:pt>
              </c:numCache>
            </c:numRef>
          </c:val>
          <c:smooth val="0"/>
        </c:ser>
        <c:ser>
          <c:idx val="5"/>
          <c:order val="5"/>
          <c:tx>
            <c:strRef>
              <c:f>Sheet1!$G$9</c:f>
              <c:strCache>
                <c:ptCount val="1"/>
                <c:pt idx="0">
                  <c:v>Portugal</c:v>
                </c:pt>
              </c:strCache>
            </c:strRef>
          </c:tx>
          <c:spPr>
            <a:ln w="28575" cap="rnd" cmpd="dbl">
              <a:solidFill>
                <a:schemeClr val="bg1">
                  <a:lumMod val="65000"/>
                </a:schemeClr>
              </a:solidFill>
              <a:round/>
            </a:ln>
            <a:effectLst/>
          </c:spPr>
          <c:marker>
            <c:symbol val="none"/>
          </c:marker>
          <c:cat>
            <c:numRef>
              <c:f>Sheet1!$H$3:$O$3</c:f>
              <c:numCache>
                <c:formatCode>General</c:formatCode>
                <c:ptCount val="8"/>
                <c:pt idx="0">
                  <c:v>2005</c:v>
                </c:pt>
                <c:pt idx="1">
                  <c:v>2006</c:v>
                </c:pt>
                <c:pt idx="2">
                  <c:v>2007</c:v>
                </c:pt>
                <c:pt idx="3">
                  <c:v>2008</c:v>
                </c:pt>
                <c:pt idx="4">
                  <c:v>2009</c:v>
                </c:pt>
                <c:pt idx="5">
                  <c:v>2010</c:v>
                </c:pt>
                <c:pt idx="6">
                  <c:v>2011</c:v>
                </c:pt>
                <c:pt idx="7">
                  <c:v>2012</c:v>
                </c:pt>
              </c:numCache>
            </c:numRef>
          </c:cat>
          <c:val>
            <c:numRef>
              <c:f>Sheet1!$H$9:$O$9</c:f>
              <c:numCache>
                <c:formatCode>0</c:formatCode>
                <c:ptCount val="8"/>
                <c:pt idx="0">
                  <c:v>56.586065986272857</c:v>
                </c:pt>
                <c:pt idx="1">
                  <c:v>56.195835715245387</c:v>
                </c:pt>
                <c:pt idx="2">
                  <c:v>59.694839030353677</c:v>
                </c:pt>
                <c:pt idx="3">
                  <c:v>59.742269719481065</c:v>
                </c:pt>
                <c:pt idx="4">
                  <c:v>60.088235655943777</c:v>
                </c:pt>
                <c:pt idx="5">
                  <c:v>58.276305095608485</c:v>
                </c:pt>
                <c:pt idx="6">
                  <c:v>58.285097629285431</c:v>
                </c:pt>
                <c:pt idx="7">
                  <c:v>50.062240056431527</c:v>
                </c:pt>
              </c:numCache>
            </c:numRef>
          </c:val>
          <c:smooth val="0"/>
        </c:ser>
        <c:ser>
          <c:idx val="6"/>
          <c:order val="6"/>
          <c:tx>
            <c:strRef>
              <c:f>Sheet1!$G$10</c:f>
              <c:strCache>
                <c:ptCount val="1"/>
                <c:pt idx="0">
                  <c:v>Slovak Republic</c:v>
                </c:pt>
              </c:strCache>
            </c:strRef>
          </c:tx>
          <c:spPr>
            <a:ln w="28575" cap="rnd">
              <a:solidFill>
                <a:schemeClr val="tx1"/>
              </a:solidFill>
              <a:round/>
            </a:ln>
            <a:effectLst/>
          </c:spPr>
          <c:marker>
            <c:symbol val="none"/>
          </c:marker>
          <c:cat>
            <c:numRef>
              <c:f>Sheet1!$H$3:$O$3</c:f>
              <c:numCache>
                <c:formatCode>General</c:formatCode>
                <c:ptCount val="8"/>
                <c:pt idx="0">
                  <c:v>2005</c:v>
                </c:pt>
                <c:pt idx="1">
                  <c:v>2006</c:v>
                </c:pt>
                <c:pt idx="2">
                  <c:v>2007</c:v>
                </c:pt>
                <c:pt idx="3">
                  <c:v>2008</c:v>
                </c:pt>
                <c:pt idx="4">
                  <c:v>2009</c:v>
                </c:pt>
                <c:pt idx="5">
                  <c:v>2010</c:v>
                </c:pt>
                <c:pt idx="6">
                  <c:v>2011</c:v>
                </c:pt>
                <c:pt idx="7">
                  <c:v>2012</c:v>
                </c:pt>
              </c:numCache>
            </c:numRef>
          </c:cat>
          <c:val>
            <c:numRef>
              <c:f>Sheet1!$H$10:$O$10</c:f>
              <c:numCache>
                <c:formatCode>0</c:formatCode>
                <c:ptCount val="8"/>
                <c:pt idx="0">
                  <c:v>39.196561781162693</c:v>
                </c:pt>
                <c:pt idx="1">
                  <c:v>40.292387786518894</c:v>
                </c:pt>
                <c:pt idx="2">
                  <c:v>40.13182929126274</c:v>
                </c:pt>
                <c:pt idx="3">
                  <c:v>39.024013305388813</c:v>
                </c:pt>
                <c:pt idx="4">
                  <c:v>39.657171373651629</c:v>
                </c:pt>
                <c:pt idx="5">
                  <c:v>39.207240370992878</c:v>
                </c:pt>
                <c:pt idx="6">
                  <c:v>39.34880549045954</c:v>
                </c:pt>
                <c:pt idx="7">
                  <c:v>38.94783249303682</c:v>
                </c:pt>
              </c:numCache>
            </c:numRef>
          </c:val>
          <c:smooth val="0"/>
        </c:ser>
        <c:ser>
          <c:idx val="7"/>
          <c:order val="7"/>
          <c:tx>
            <c:strRef>
              <c:f>Sheet1!$G$11</c:f>
              <c:strCache>
                <c:ptCount val="1"/>
                <c:pt idx="0">
                  <c:v>Slovenia</c:v>
                </c:pt>
              </c:strCache>
            </c:strRef>
          </c:tx>
          <c:spPr>
            <a:ln w="28575" cap="rnd">
              <a:solidFill>
                <a:schemeClr val="bg1">
                  <a:lumMod val="65000"/>
                </a:schemeClr>
              </a:solidFill>
              <a:prstDash val="sysDash"/>
              <a:round/>
            </a:ln>
            <a:effectLst/>
          </c:spPr>
          <c:marker>
            <c:symbol val="none"/>
          </c:marker>
          <c:cat>
            <c:numRef>
              <c:f>Sheet1!$H$3:$O$3</c:f>
              <c:numCache>
                <c:formatCode>General</c:formatCode>
                <c:ptCount val="8"/>
                <c:pt idx="0">
                  <c:v>2005</c:v>
                </c:pt>
                <c:pt idx="1">
                  <c:v>2006</c:v>
                </c:pt>
                <c:pt idx="2">
                  <c:v>2007</c:v>
                </c:pt>
                <c:pt idx="3">
                  <c:v>2008</c:v>
                </c:pt>
                <c:pt idx="4">
                  <c:v>2009</c:v>
                </c:pt>
                <c:pt idx="5">
                  <c:v>2010</c:v>
                </c:pt>
                <c:pt idx="6">
                  <c:v>2011</c:v>
                </c:pt>
                <c:pt idx="7">
                  <c:v>2012</c:v>
                </c:pt>
              </c:numCache>
            </c:numRef>
          </c:cat>
          <c:val>
            <c:numRef>
              <c:f>Sheet1!$H$11:$O$11</c:f>
              <c:numCache>
                <c:formatCode>0</c:formatCode>
                <c:ptCount val="8"/>
                <c:pt idx="0">
                  <c:v>56.360864523792664</c:v>
                </c:pt>
                <c:pt idx="1">
                  <c:v>56.174332264463764</c:v>
                </c:pt>
                <c:pt idx="2">
                  <c:v>54.458964245733469</c:v>
                </c:pt>
                <c:pt idx="3">
                  <c:v>54.141038700101127</c:v>
                </c:pt>
                <c:pt idx="4">
                  <c:v>54.091426100150386</c:v>
                </c:pt>
                <c:pt idx="5">
                  <c:v>52.727881657377573</c:v>
                </c:pt>
                <c:pt idx="6">
                  <c:v>52.229263534209935</c:v>
                </c:pt>
                <c:pt idx="7">
                  <c:v>53.222515860919181</c:v>
                </c:pt>
              </c:numCache>
            </c:numRef>
          </c:val>
          <c:smooth val="0"/>
        </c:ser>
        <c:ser>
          <c:idx val="8"/>
          <c:order val="8"/>
          <c:tx>
            <c:strRef>
              <c:f>Sheet1!$G$12</c:f>
              <c:strCache>
                <c:ptCount val="1"/>
                <c:pt idx="0">
                  <c:v>Spain</c:v>
                </c:pt>
              </c:strCache>
            </c:strRef>
          </c:tx>
          <c:spPr>
            <a:ln w="28575" cap="rnd">
              <a:solidFill>
                <a:schemeClr val="bg1">
                  <a:lumMod val="65000"/>
                </a:schemeClr>
              </a:solidFill>
              <a:round/>
            </a:ln>
            <a:effectLst/>
          </c:spPr>
          <c:marker>
            <c:symbol val="none"/>
          </c:marker>
          <c:cat>
            <c:numRef>
              <c:f>Sheet1!$H$3:$O$3</c:f>
              <c:numCache>
                <c:formatCode>General</c:formatCode>
                <c:ptCount val="8"/>
                <c:pt idx="0">
                  <c:v>2005</c:v>
                </c:pt>
                <c:pt idx="1">
                  <c:v>2006</c:v>
                </c:pt>
                <c:pt idx="2">
                  <c:v>2007</c:v>
                </c:pt>
                <c:pt idx="3">
                  <c:v>2008</c:v>
                </c:pt>
                <c:pt idx="4">
                  <c:v>2009</c:v>
                </c:pt>
                <c:pt idx="5">
                  <c:v>2010</c:v>
                </c:pt>
                <c:pt idx="6">
                  <c:v>2011</c:v>
                </c:pt>
                <c:pt idx="7">
                  <c:v>2012</c:v>
                </c:pt>
              </c:numCache>
            </c:numRef>
          </c:cat>
          <c:val>
            <c:numRef>
              <c:f>Sheet1!$H$12:$O$12</c:f>
              <c:numCache>
                <c:formatCode>0</c:formatCode>
                <c:ptCount val="8"/>
                <c:pt idx="0">
                  <c:v>50.225668064102592</c:v>
                </c:pt>
                <c:pt idx="1">
                  <c:v>50.288612605187168</c:v>
                </c:pt>
                <c:pt idx="2">
                  <c:v>50.629379630002482</c:v>
                </c:pt>
                <c:pt idx="3">
                  <c:v>49.769714042048008</c:v>
                </c:pt>
                <c:pt idx="4">
                  <c:v>49.762090084261615</c:v>
                </c:pt>
                <c:pt idx="5">
                  <c:v>50.302796826569597</c:v>
                </c:pt>
                <c:pt idx="6">
                  <c:v>49.734906799740585</c:v>
                </c:pt>
                <c:pt idx="7">
                  <c:v>49.632956032869096</c:v>
                </c:pt>
              </c:numCache>
            </c:numRef>
          </c:val>
          <c:smooth val="0"/>
        </c:ser>
        <c:ser>
          <c:idx val="9"/>
          <c:order val="9"/>
          <c:tx>
            <c:strRef>
              <c:f>Sheet1!$G$13</c:f>
              <c:strCache>
                <c:ptCount val="1"/>
                <c:pt idx="0">
                  <c:v>United Kingdom</c:v>
                </c:pt>
              </c:strCache>
            </c:strRef>
          </c:tx>
          <c:spPr>
            <a:ln w="28575" cap="rnd">
              <a:solidFill>
                <a:schemeClr val="tx1"/>
              </a:solidFill>
              <a:prstDash val="lgDashDotDot"/>
              <a:round/>
            </a:ln>
            <a:effectLst/>
          </c:spPr>
          <c:marker>
            <c:symbol val="none"/>
          </c:marker>
          <c:cat>
            <c:numRef>
              <c:f>Sheet1!$H$3:$O$3</c:f>
              <c:numCache>
                <c:formatCode>General</c:formatCode>
                <c:ptCount val="8"/>
                <c:pt idx="0">
                  <c:v>2005</c:v>
                </c:pt>
                <c:pt idx="1">
                  <c:v>2006</c:v>
                </c:pt>
                <c:pt idx="2">
                  <c:v>2007</c:v>
                </c:pt>
                <c:pt idx="3">
                  <c:v>2008</c:v>
                </c:pt>
                <c:pt idx="4">
                  <c:v>2009</c:v>
                </c:pt>
                <c:pt idx="5">
                  <c:v>2010</c:v>
                </c:pt>
                <c:pt idx="6">
                  <c:v>2011</c:v>
                </c:pt>
                <c:pt idx="7">
                  <c:v>2012</c:v>
                </c:pt>
              </c:numCache>
            </c:numRef>
          </c:cat>
          <c:val>
            <c:numRef>
              <c:f>Sheet1!$H$13:$O$13</c:f>
              <c:numCache>
                <c:formatCode>0</c:formatCode>
                <c:ptCount val="8"/>
                <c:pt idx="0">
                  <c:v>51.363619445164879</c:v>
                </c:pt>
                <c:pt idx="1">
                  <c:v>51.201620241240661</c:v>
                </c:pt>
                <c:pt idx="2">
                  <c:v>50.916779066752113</c:v>
                </c:pt>
                <c:pt idx="3">
                  <c:v>49.309970926684535</c:v>
                </c:pt>
                <c:pt idx="4">
                  <c:v>49.899957539563275</c:v>
                </c:pt>
                <c:pt idx="5">
                  <c:v>49.315503711864203</c:v>
                </c:pt>
                <c:pt idx="6">
                  <c:v>50.507698536694946</c:v>
                </c:pt>
                <c:pt idx="7">
                  <c:v>50.254127466494737</c:v>
                </c:pt>
              </c:numCache>
            </c:numRef>
          </c:val>
          <c:smooth val="0"/>
        </c:ser>
        <c:ser>
          <c:idx val="10"/>
          <c:order val="10"/>
          <c:tx>
            <c:strRef>
              <c:f>Sheet1!$G$14</c:f>
              <c:strCache>
                <c:ptCount val="1"/>
                <c:pt idx="0">
                  <c:v>Italy</c:v>
                </c:pt>
              </c:strCache>
            </c:strRef>
          </c:tx>
          <c:spPr>
            <a:ln w="28575" cap="rnd">
              <a:solidFill>
                <a:schemeClr val="tx1"/>
              </a:solidFill>
              <a:prstDash val="sysDot"/>
              <a:round/>
            </a:ln>
            <a:effectLst/>
          </c:spPr>
          <c:marker>
            <c:symbol val="none"/>
          </c:marker>
          <c:cat>
            <c:numRef>
              <c:f>Sheet1!$H$3:$O$3</c:f>
              <c:numCache>
                <c:formatCode>General</c:formatCode>
                <c:ptCount val="8"/>
                <c:pt idx="0">
                  <c:v>2005</c:v>
                </c:pt>
                <c:pt idx="1">
                  <c:v>2006</c:v>
                </c:pt>
                <c:pt idx="2">
                  <c:v>2007</c:v>
                </c:pt>
                <c:pt idx="3">
                  <c:v>2008</c:v>
                </c:pt>
                <c:pt idx="4">
                  <c:v>2009</c:v>
                </c:pt>
                <c:pt idx="5">
                  <c:v>2010</c:v>
                </c:pt>
                <c:pt idx="6">
                  <c:v>2011</c:v>
                </c:pt>
                <c:pt idx="7">
                  <c:v>2012</c:v>
                </c:pt>
              </c:numCache>
            </c:numRef>
          </c:cat>
          <c:val>
            <c:numRef>
              <c:f>Sheet1!$H$14:$O$14</c:f>
              <c:numCache>
                <c:formatCode>0</c:formatCode>
                <c:ptCount val="8"/>
                <c:pt idx="0">
                  <c:v>22.686354711734566</c:v>
                </c:pt>
                <c:pt idx="1">
                  <c:v>22.648291027309664</c:v>
                </c:pt>
                <c:pt idx="2">
                  <c:v>22.683272540153311</c:v>
                </c:pt>
                <c:pt idx="3">
                  <c:v>23.894783588145202</c:v>
                </c:pt>
                <c:pt idx="4">
                  <c:v>24.733024323698427</c:v>
                </c:pt>
                <c:pt idx="5">
                  <c:v>23.762633901534453</c:v>
                </c:pt>
                <c:pt idx="6">
                  <c:v>23.645541360614946</c:v>
                </c:pt>
                <c:pt idx="7">
                  <c:v>23.747206086698707</c:v>
                </c:pt>
              </c:numCache>
            </c:numRef>
          </c:val>
          <c:smooth val="0"/>
        </c:ser>
        <c:dLbls>
          <c:showLegendKey val="0"/>
          <c:showVal val="0"/>
          <c:showCatName val="0"/>
          <c:showSerName val="0"/>
          <c:showPercent val="0"/>
          <c:showBubbleSize val="0"/>
        </c:dLbls>
        <c:smooth val="0"/>
        <c:axId val="400269272"/>
        <c:axId val="400271232"/>
      </c:lineChart>
      <c:catAx>
        <c:axId val="400269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271232"/>
        <c:crosses val="autoZero"/>
        <c:auto val="1"/>
        <c:lblAlgn val="ctr"/>
        <c:lblOffset val="100"/>
        <c:noMultiLvlLbl val="0"/>
      </c:catAx>
      <c:valAx>
        <c:axId val="400271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269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Data!$A$48</c:f>
              <c:strCache>
                <c:ptCount val="1"/>
                <c:pt idx="0">
                  <c:v>Ireland</c:v>
                </c:pt>
              </c:strCache>
            </c:strRef>
          </c:tx>
          <c:spPr>
            <a:ln w="28575" cap="rnd" cmpd="thickThin">
              <a:solidFill>
                <a:schemeClr val="bg1">
                  <a:lumMod val="75000"/>
                </a:schemeClr>
              </a:solidFill>
              <a:round/>
            </a:ln>
            <a:effectLst/>
          </c:spPr>
          <c:marker>
            <c:symbol val="none"/>
          </c:marker>
          <c:cat>
            <c:strRef>
              <c:f>Data!$B$47:$H$47</c:f>
              <c:strCache>
                <c:ptCount val="7"/>
                <c:pt idx="0">
                  <c:v>2005</c:v>
                </c:pt>
                <c:pt idx="1">
                  <c:v>2006</c:v>
                </c:pt>
                <c:pt idx="2">
                  <c:v>2007</c:v>
                </c:pt>
                <c:pt idx="3">
                  <c:v>2008</c:v>
                </c:pt>
                <c:pt idx="4">
                  <c:v>2009</c:v>
                </c:pt>
                <c:pt idx="5">
                  <c:v>2010</c:v>
                </c:pt>
                <c:pt idx="6">
                  <c:v>2011</c:v>
                </c:pt>
              </c:strCache>
            </c:strRef>
          </c:cat>
          <c:val>
            <c:numRef>
              <c:f>Data!$B$48:$H$48</c:f>
              <c:numCache>
                <c:formatCode>#,##0.000</c:formatCode>
                <c:ptCount val="7"/>
                <c:pt idx="0">
                  <c:v>0.48699999999999999</c:v>
                </c:pt>
                <c:pt idx="1">
                  <c:v>0.46700000000000003</c:v>
                </c:pt>
                <c:pt idx="2">
                  <c:v>0.48499999999999999</c:v>
                </c:pt>
                <c:pt idx="3">
                  <c:v>0.54500000000000004</c:v>
                </c:pt>
                <c:pt idx="4">
                  <c:v>0.64200000000000002</c:v>
                </c:pt>
                <c:pt idx="5">
                  <c:v>0.72599999999999998</c:v>
                </c:pt>
                <c:pt idx="6">
                  <c:v>0.71399999999999997</c:v>
                </c:pt>
              </c:numCache>
            </c:numRef>
          </c:val>
          <c:smooth val="0"/>
        </c:ser>
        <c:ser>
          <c:idx val="1"/>
          <c:order val="1"/>
          <c:tx>
            <c:strRef>
              <c:f>Data!$A$49</c:f>
              <c:strCache>
                <c:ptCount val="1"/>
                <c:pt idx="0">
                  <c:v>Czech Republic</c:v>
                </c:pt>
              </c:strCache>
            </c:strRef>
          </c:tx>
          <c:spPr>
            <a:ln w="44450" cap="rnd" cmpd="thinThick">
              <a:solidFill>
                <a:schemeClr val="tx1"/>
              </a:solidFill>
              <a:round/>
            </a:ln>
            <a:effectLst/>
          </c:spPr>
          <c:marker>
            <c:symbol val="none"/>
          </c:marker>
          <c:cat>
            <c:strRef>
              <c:f>Data!$B$47:$H$47</c:f>
              <c:strCache>
                <c:ptCount val="7"/>
                <c:pt idx="0">
                  <c:v>2005</c:v>
                </c:pt>
                <c:pt idx="1">
                  <c:v>2006</c:v>
                </c:pt>
                <c:pt idx="2">
                  <c:v>2007</c:v>
                </c:pt>
                <c:pt idx="3">
                  <c:v>2008</c:v>
                </c:pt>
                <c:pt idx="4">
                  <c:v>2009</c:v>
                </c:pt>
                <c:pt idx="5">
                  <c:v>2010</c:v>
                </c:pt>
                <c:pt idx="6">
                  <c:v>2011</c:v>
                </c:pt>
              </c:strCache>
            </c:strRef>
          </c:cat>
          <c:val>
            <c:numRef>
              <c:f>Data!$B$49:$H$49</c:f>
              <c:numCache>
                <c:formatCode>#,##0.000</c:formatCode>
                <c:ptCount val="7"/>
                <c:pt idx="0">
                  <c:v>0.11700000000000001</c:v>
                </c:pt>
                <c:pt idx="1">
                  <c:v>0.125</c:v>
                </c:pt>
                <c:pt idx="2">
                  <c:v>0.121</c:v>
                </c:pt>
                <c:pt idx="3">
                  <c:v>0.114</c:v>
                </c:pt>
                <c:pt idx="4">
                  <c:v>0.16</c:v>
                </c:pt>
                <c:pt idx="5">
                  <c:v>0.22</c:v>
                </c:pt>
                <c:pt idx="6">
                  <c:v>0.17799999999999999</c:v>
                </c:pt>
              </c:numCache>
            </c:numRef>
          </c:val>
          <c:smooth val="0"/>
        </c:ser>
        <c:ser>
          <c:idx val="2"/>
          <c:order val="2"/>
          <c:tx>
            <c:strRef>
              <c:f>Data!$A$50</c:f>
              <c:strCache>
                <c:ptCount val="1"/>
                <c:pt idx="0">
                  <c:v>Estonia</c:v>
                </c:pt>
              </c:strCache>
            </c:strRef>
          </c:tx>
          <c:spPr>
            <a:ln w="28575" cap="rnd">
              <a:solidFill>
                <a:schemeClr val="bg1">
                  <a:lumMod val="65000"/>
                </a:schemeClr>
              </a:solidFill>
              <a:prstDash val="sysDot"/>
              <a:round/>
            </a:ln>
            <a:effectLst/>
          </c:spPr>
          <c:marker>
            <c:symbol val="none"/>
          </c:marker>
          <c:cat>
            <c:strRef>
              <c:f>Data!$B$47:$H$47</c:f>
              <c:strCache>
                <c:ptCount val="7"/>
                <c:pt idx="0">
                  <c:v>2005</c:v>
                </c:pt>
                <c:pt idx="1">
                  <c:v>2006</c:v>
                </c:pt>
                <c:pt idx="2">
                  <c:v>2007</c:v>
                </c:pt>
                <c:pt idx="3">
                  <c:v>2008</c:v>
                </c:pt>
                <c:pt idx="4">
                  <c:v>2009</c:v>
                </c:pt>
                <c:pt idx="5">
                  <c:v>2010</c:v>
                </c:pt>
                <c:pt idx="6">
                  <c:v>2011</c:v>
                </c:pt>
              </c:strCache>
            </c:strRef>
          </c:cat>
          <c:val>
            <c:numRef>
              <c:f>Data!$B$50:$H$50</c:f>
              <c:numCache>
                <c:formatCode>#,##0.000</c:formatCode>
                <c:ptCount val="7"/>
                <c:pt idx="0">
                  <c:v>4.7E-2</c:v>
                </c:pt>
                <c:pt idx="1">
                  <c:v>4.9000000000000002E-2</c:v>
                </c:pt>
                <c:pt idx="2">
                  <c:v>2.7E-2</c:v>
                </c:pt>
                <c:pt idx="3">
                  <c:v>3.5000000000000003E-2</c:v>
                </c:pt>
                <c:pt idx="4">
                  <c:v>0.14799999999999999</c:v>
                </c:pt>
                <c:pt idx="5">
                  <c:v>0.14399999999999999</c:v>
                </c:pt>
                <c:pt idx="6">
                  <c:v>0.14599999999999999</c:v>
                </c:pt>
              </c:numCache>
            </c:numRef>
          </c:val>
          <c:smooth val="0"/>
        </c:ser>
        <c:ser>
          <c:idx val="3"/>
          <c:order val="3"/>
          <c:tx>
            <c:strRef>
              <c:f>Data!$A$51</c:f>
              <c:strCache>
                <c:ptCount val="1"/>
                <c:pt idx="0">
                  <c:v>Spain</c:v>
                </c:pt>
              </c:strCache>
            </c:strRef>
          </c:tx>
          <c:spPr>
            <a:ln w="28575" cap="rnd">
              <a:solidFill>
                <a:schemeClr val="bg1">
                  <a:lumMod val="50000"/>
                </a:schemeClr>
              </a:solidFill>
              <a:round/>
            </a:ln>
            <a:effectLst/>
          </c:spPr>
          <c:marker>
            <c:symbol val="none"/>
          </c:marker>
          <c:cat>
            <c:strRef>
              <c:f>Data!$B$47:$H$47</c:f>
              <c:strCache>
                <c:ptCount val="7"/>
                <c:pt idx="0">
                  <c:v>2005</c:v>
                </c:pt>
                <c:pt idx="1">
                  <c:v>2006</c:v>
                </c:pt>
                <c:pt idx="2">
                  <c:v>2007</c:v>
                </c:pt>
                <c:pt idx="3">
                  <c:v>2008</c:v>
                </c:pt>
                <c:pt idx="4">
                  <c:v>2009</c:v>
                </c:pt>
                <c:pt idx="5">
                  <c:v>2010</c:v>
                </c:pt>
                <c:pt idx="6">
                  <c:v>2011</c:v>
                </c:pt>
              </c:strCache>
            </c:strRef>
          </c:cat>
          <c:val>
            <c:numRef>
              <c:f>Data!$B$51:$H$51</c:f>
              <c:numCache>
                <c:formatCode>#,##0.000</c:formatCode>
                <c:ptCount val="7"/>
                <c:pt idx="0">
                  <c:v>0.58199999999999996</c:v>
                </c:pt>
                <c:pt idx="1">
                  <c:v>0.626</c:v>
                </c:pt>
                <c:pt idx="2">
                  <c:v>0.627</c:v>
                </c:pt>
                <c:pt idx="3">
                  <c:v>0.60499999999999998</c:v>
                </c:pt>
                <c:pt idx="4">
                  <c:v>0.65700000000000003</c:v>
                </c:pt>
                <c:pt idx="5">
                  <c:v>0.73</c:v>
                </c:pt>
                <c:pt idx="6">
                  <c:v>0.70799999999999996</c:v>
                </c:pt>
              </c:numCache>
            </c:numRef>
          </c:val>
          <c:smooth val="0"/>
        </c:ser>
        <c:ser>
          <c:idx val="4"/>
          <c:order val="4"/>
          <c:tx>
            <c:strRef>
              <c:f>Data!$A$52</c:f>
              <c:strCache>
                <c:ptCount val="1"/>
                <c:pt idx="0">
                  <c:v>France</c:v>
                </c:pt>
              </c:strCache>
            </c:strRef>
          </c:tx>
          <c:spPr>
            <a:ln w="34925" cap="rnd" cmpd="dbl">
              <a:solidFill>
                <a:schemeClr val="tx1"/>
              </a:solidFill>
              <a:round/>
            </a:ln>
            <a:effectLst/>
          </c:spPr>
          <c:marker>
            <c:symbol val="none"/>
          </c:marker>
          <c:cat>
            <c:strRef>
              <c:f>Data!$B$47:$H$47</c:f>
              <c:strCache>
                <c:ptCount val="7"/>
                <c:pt idx="0">
                  <c:v>2005</c:v>
                </c:pt>
                <c:pt idx="1">
                  <c:v>2006</c:v>
                </c:pt>
                <c:pt idx="2">
                  <c:v>2007</c:v>
                </c:pt>
                <c:pt idx="3">
                  <c:v>2008</c:v>
                </c:pt>
                <c:pt idx="4">
                  <c:v>2009</c:v>
                </c:pt>
                <c:pt idx="5">
                  <c:v>2010</c:v>
                </c:pt>
                <c:pt idx="6">
                  <c:v>2011</c:v>
                </c:pt>
              </c:strCache>
            </c:strRef>
          </c:cat>
          <c:val>
            <c:numRef>
              <c:f>Data!$B$52:$H$52</c:f>
              <c:numCache>
                <c:formatCode>#,##0.000</c:formatCode>
                <c:ptCount val="7"/>
                <c:pt idx="0">
                  <c:v>0.66500000000000004</c:v>
                </c:pt>
                <c:pt idx="1">
                  <c:v>0.68799999999999994</c:v>
                </c:pt>
                <c:pt idx="2">
                  <c:v>0.71799999999999997</c:v>
                </c:pt>
                <c:pt idx="3">
                  <c:v>0.64200000000000002</c:v>
                </c:pt>
                <c:pt idx="4">
                  <c:v>0.73</c:v>
                </c:pt>
                <c:pt idx="5">
                  <c:v>0.83</c:v>
                </c:pt>
                <c:pt idx="6">
                  <c:v>0.67300000000000004</c:v>
                </c:pt>
              </c:numCache>
            </c:numRef>
          </c:val>
          <c:smooth val="0"/>
        </c:ser>
        <c:ser>
          <c:idx val="5"/>
          <c:order val="5"/>
          <c:tx>
            <c:strRef>
              <c:f>Data!$A$53</c:f>
              <c:strCache>
                <c:ptCount val="1"/>
                <c:pt idx="0">
                  <c:v>Italy</c:v>
                </c:pt>
              </c:strCache>
            </c:strRef>
          </c:tx>
          <c:spPr>
            <a:ln w="28575" cap="rnd">
              <a:solidFill>
                <a:schemeClr val="tx1"/>
              </a:solidFill>
              <a:prstDash val="sysDot"/>
              <a:round/>
            </a:ln>
            <a:effectLst/>
          </c:spPr>
          <c:marker>
            <c:symbol val="none"/>
          </c:marker>
          <c:cat>
            <c:strRef>
              <c:f>Data!$B$47:$H$47</c:f>
              <c:strCache>
                <c:ptCount val="7"/>
                <c:pt idx="0">
                  <c:v>2005</c:v>
                </c:pt>
                <c:pt idx="1">
                  <c:v>2006</c:v>
                </c:pt>
                <c:pt idx="2">
                  <c:v>2007</c:v>
                </c:pt>
                <c:pt idx="3">
                  <c:v>2008</c:v>
                </c:pt>
                <c:pt idx="4">
                  <c:v>2009</c:v>
                </c:pt>
                <c:pt idx="5">
                  <c:v>2010</c:v>
                </c:pt>
                <c:pt idx="6">
                  <c:v>2011</c:v>
                </c:pt>
              </c:strCache>
            </c:strRef>
          </c:cat>
          <c:val>
            <c:numRef>
              <c:f>Data!$B$53:$H$53</c:f>
              <c:numCache>
                <c:formatCode>#,##0.000</c:formatCode>
                <c:ptCount val="7"/>
                <c:pt idx="0">
                  <c:v>0.47499999999999998</c:v>
                </c:pt>
                <c:pt idx="1">
                  <c:v>0.41699999999999998</c:v>
                </c:pt>
                <c:pt idx="2">
                  <c:v>0.373</c:v>
                </c:pt>
                <c:pt idx="3">
                  <c:v>0.376</c:v>
                </c:pt>
                <c:pt idx="4">
                  <c:v>0.36299999999999999</c:v>
                </c:pt>
                <c:pt idx="5">
                  <c:v>0.32200000000000001</c:v>
                </c:pt>
                <c:pt idx="6">
                  <c:v>0.312</c:v>
                </c:pt>
              </c:numCache>
            </c:numRef>
          </c:val>
          <c:smooth val="0"/>
        </c:ser>
        <c:ser>
          <c:idx val="6"/>
          <c:order val="6"/>
          <c:tx>
            <c:strRef>
              <c:f>Data!$A$54</c:f>
              <c:strCache>
                <c:ptCount val="1"/>
                <c:pt idx="0">
                  <c:v>Hungary</c:v>
                </c:pt>
              </c:strCache>
            </c:strRef>
          </c:tx>
          <c:spPr>
            <a:ln w="28575" cap="rnd">
              <a:solidFill>
                <a:schemeClr val="tx1"/>
              </a:solidFill>
              <a:prstDash val="dashDot"/>
              <a:round/>
            </a:ln>
            <a:effectLst/>
          </c:spPr>
          <c:marker>
            <c:symbol val="none"/>
          </c:marker>
          <c:cat>
            <c:strRef>
              <c:f>Data!$B$47:$H$47</c:f>
              <c:strCache>
                <c:ptCount val="7"/>
                <c:pt idx="0">
                  <c:v>2005</c:v>
                </c:pt>
                <c:pt idx="1">
                  <c:v>2006</c:v>
                </c:pt>
                <c:pt idx="2">
                  <c:v>2007</c:v>
                </c:pt>
                <c:pt idx="3">
                  <c:v>2008</c:v>
                </c:pt>
                <c:pt idx="4">
                  <c:v>2009</c:v>
                </c:pt>
                <c:pt idx="5">
                  <c:v>2010</c:v>
                </c:pt>
                <c:pt idx="6">
                  <c:v>2011</c:v>
                </c:pt>
              </c:strCache>
            </c:strRef>
          </c:cat>
          <c:val>
            <c:numRef>
              <c:f>Data!$B$54:$H$54</c:f>
              <c:numCache>
                <c:formatCode>#,##0.000</c:formatCode>
                <c:ptCount val="7"/>
                <c:pt idx="0">
                  <c:v>0.23499999999999999</c:v>
                </c:pt>
                <c:pt idx="1">
                  <c:v>0.253</c:v>
                </c:pt>
                <c:pt idx="2">
                  <c:v>0.26700000000000002</c:v>
                </c:pt>
                <c:pt idx="3">
                  <c:v>0.26400000000000001</c:v>
                </c:pt>
                <c:pt idx="4">
                  <c:v>0.39100000000000001</c:v>
                </c:pt>
                <c:pt idx="5">
                  <c:v>0.55300000000000005</c:v>
                </c:pt>
                <c:pt idx="6">
                  <c:v>0.35</c:v>
                </c:pt>
              </c:numCache>
            </c:numRef>
          </c:val>
          <c:smooth val="0"/>
        </c:ser>
        <c:ser>
          <c:idx val="7"/>
          <c:order val="7"/>
          <c:tx>
            <c:strRef>
              <c:f>Data!$A$55</c:f>
              <c:strCache>
                <c:ptCount val="1"/>
                <c:pt idx="0">
                  <c:v>Portugal</c:v>
                </c:pt>
              </c:strCache>
            </c:strRef>
          </c:tx>
          <c:spPr>
            <a:ln w="28575" cap="rnd" cmpd="dbl">
              <a:solidFill>
                <a:schemeClr val="bg1">
                  <a:lumMod val="50000"/>
                </a:schemeClr>
              </a:solidFill>
              <a:round/>
            </a:ln>
            <a:effectLst/>
          </c:spPr>
          <c:marker>
            <c:symbol val="none"/>
          </c:marker>
          <c:cat>
            <c:strRef>
              <c:f>Data!$B$47:$H$47</c:f>
              <c:strCache>
                <c:ptCount val="7"/>
                <c:pt idx="0">
                  <c:v>2005</c:v>
                </c:pt>
                <c:pt idx="1">
                  <c:v>2006</c:v>
                </c:pt>
                <c:pt idx="2">
                  <c:v>2007</c:v>
                </c:pt>
                <c:pt idx="3">
                  <c:v>2008</c:v>
                </c:pt>
                <c:pt idx="4">
                  <c:v>2009</c:v>
                </c:pt>
                <c:pt idx="5">
                  <c:v>2010</c:v>
                </c:pt>
                <c:pt idx="6">
                  <c:v>2011</c:v>
                </c:pt>
              </c:strCache>
            </c:strRef>
          </c:cat>
          <c:val>
            <c:numRef>
              <c:f>Data!$B$55:$H$55</c:f>
              <c:numCache>
                <c:formatCode>#,##0.000</c:formatCode>
                <c:ptCount val="7"/>
                <c:pt idx="0">
                  <c:v>0.499</c:v>
                </c:pt>
                <c:pt idx="1">
                  <c:v>0.44</c:v>
                </c:pt>
                <c:pt idx="2">
                  <c:v>0.372</c:v>
                </c:pt>
                <c:pt idx="3">
                  <c:v>0.40699999999999997</c:v>
                </c:pt>
                <c:pt idx="4">
                  <c:v>0.63</c:v>
                </c:pt>
                <c:pt idx="5">
                  <c:v>0.57899999999999996</c:v>
                </c:pt>
                <c:pt idx="6">
                  <c:v>0.45800000000000002</c:v>
                </c:pt>
              </c:numCache>
            </c:numRef>
          </c:val>
          <c:smooth val="0"/>
        </c:ser>
        <c:ser>
          <c:idx val="8"/>
          <c:order val="8"/>
          <c:tx>
            <c:strRef>
              <c:f>Data!$A$56</c:f>
              <c:strCache>
                <c:ptCount val="1"/>
                <c:pt idx="0">
                  <c:v>Slovenia</c:v>
                </c:pt>
              </c:strCache>
            </c:strRef>
          </c:tx>
          <c:spPr>
            <a:ln w="28575" cap="rnd">
              <a:solidFill>
                <a:schemeClr val="bg1">
                  <a:lumMod val="50000"/>
                </a:schemeClr>
              </a:solidFill>
              <a:prstDash val="sysDash"/>
              <a:round/>
            </a:ln>
            <a:effectLst/>
          </c:spPr>
          <c:marker>
            <c:symbol val="none"/>
          </c:marker>
          <c:cat>
            <c:strRef>
              <c:f>Data!$B$47:$H$47</c:f>
              <c:strCache>
                <c:ptCount val="7"/>
                <c:pt idx="0">
                  <c:v>2005</c:v>
                </c:pt>
                <c:pt idx="1">
                  <c:v>2006</c:v>
                </c:pt>
                <c:pt idx="2">
                  <c:v>2007</c:v>
                </c:pt>
                <c:pt idx="3">
                  <c:v>2008</c:v>
                </c:pt>
                <c:pt idx="4">
                  <c:v>2009</c:v>
                </c:pt>
                <c:pt idx="5">
                  <c:v>2010</c:v>
                </c:pt>
                <c:pt idx="6">
                  <c:v>2011</c:v>
                </c:pt>
              </c:strCache>
            </c:strRef>
          </c:cat>
          <c:val>
            <c:numRef>
              <c:f>Data!$B$56:$H$56</c:f>
              <c:numCache>
                <c:formatCode>#,##0.000</c:formatCode>
                <c:ptCount val="7"/>
                <c:pt idx="0">
                  <c:v>0.19500000000000001</c:v>
                </c:pt>
                <c:pt idx="1">
                  <c:v>0.17499999999999999</c:v>
                </c:pt>
                <c:pt idx="2">
                  <c:v>0.111</c:v>
                </c:pt>
                <c:pt idx="3">
                  <c:v>9.2999999999999999E-2</c:v>
                </c:pt>
                <c:pt idx="4">
                  <c:v>0.249</c:v>
                </c:pt>
                <c:pt idx="5">
                  <c:v>0.4</c:v>
                </c:pt>
                <c:pt idx="6">
                  <c:v>0.252</c:v>
                </c:pt>
              </c:numCache>
            </c:numRef>
          </c:val>
          <c:smooth val="0"/>
        </c:ser>
        <c:ser>
          <c:idx val="9"/>
          <c:order val="9"/>
          <c:tx>
            <c:strRef>
              <c:f>Data!$A$57</c:f>
              <c:strCache>
                <c:ptCount val="1"/>
                <c:pt idx="0">
                  <c:v>Slovakia</c:v>
                </c:pt>
              </c:strCache>
            </c:strRef>
          </c:tx>
          <c:spPr>
            <a:ln w="28575" cap="rnd">
              <a:solidFill>
                <a:schemeClr val="tx1"/>
              </a:solidFill>
              <a:round/>
            </a:ln>
            <a:effectLst/>
          </c:spPr>
          <c:marker>
            <c:symbol val="none"/>
          </c:marker>
          <c:cat>
            <c:strRef>
              <c:f>Data!$B$47:$H$47</c:f>
              <c:strCache>
                <c:ptCount val="7"/>
                <c:pt idx="0">
                  <c:v>2005</c:v>
                </c:pt>
                <c:pt idx="1">
                  <c:v>2006</c:v>
                </c:pt>
                <c:pt idx="2">
                  <c:v>2007</c:v>
                </c:pt>
                <c:pt idx="3">
                  <c:v>2008</c:v>
                </c:pt>
                <c:pt idx="4">
                  <c:v>2009</c:v>
                </c:pt>
                <c:pt idx="5">
                  <c:v>2010</c:v>
                </c:pt>
                <c:pt idx="6">
                  <c:v>2011</c:v>
                </c:pt>
              </c:strCache>
            </c:strRef>
          </c:cat>
          <c:val>
            <c:numRef>
              <c:f>Data!$B$57:$H$57</c:f>
              <c:numCache>
                <c:formatCode>#,##0.000</c:formatCode>
                <c:ptCount val="7"/>
                <c:pt idx="0">
                  <c:v>0.16800000000000001</c:v>
                </c:pt>
                <c:pt idx="1">
                  <c:v>0.14299999999999999</c:v>
                </c:pt>
                <c:pt idx="2">
                  <c:v>0.11700000000000001</c:v>
                </c:pt>
                <c:pt idx="3">
                  <c:v>0.15</c:v>
                </c:pt>
                <c:pt idx="4">
                  <c:v>0.151</c:v>
                </c:pt>
                <c:pt idx="5">
                  <c:v>0.23200000000000001</c:v>
                </c:pt>
                <c:pt idx="6">
                  <c:v>0.223</c:v>
                </c:pt>
              </c:numCache>
            </c:numRef>
          </c:val>
          <c:smooth val="0"/>
        </c:ser>
        <c:dLbls>
          <c:showLegendKey val="0"/>
          <c:showVal val="0"/>
          <c:showCatName val="0"/>
          <c:showSerName val="0"/>
          <c:showPercent val="0"/>
          <c:showBubbleSize val="0"/>
        </c:dLbls>
        <c:smooth val="0"/>
        <c:axId val="400272408"/>
        <c:axId val="400263000"/>
      </c:lineChart>
      <c:catAx>
        <c:axId val="400272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263000"/>
        <c:crosses val="autoZero"/>
        <c:auto val="1"/>
        <c:lblAlgn val="ctr"/>
        <c:lblOffset val="100"/>
        <c:noMultiLvlLbl val="0"/>
      </c:catAx>
      <c:valAx>
        <c:axId val="400263000"/>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272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00592-C102-4A4A-99B6-6563AA42B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8328</Words>
  <Characters>47472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55689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Jason Heyes</cp:lastModifiedBy>
  <cp:revision>3</cp:revision>
  <cp:lastPrinted>2014-03-05T16:37:00Z</cp:lastPrinted>
  <dcterms:created xsi:type="dcterms:W3CDTF">2014-12-22T13:36:00Z</dcterms:created>
  <dcterms:modified xsi:type="dcterms:W3CDTF">2014-12-22T13:36:00Z</dcterms:modified>
</cp:coreProperties>
</file>