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75" w:rsidRDefault="00330374" w:rsidP="006E28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Supplementary </w:t>
      </w:r>
      <w:r w:rsidR="006E2875">
        <w:rPr>
          <w:rFonts w:ascii="Times New Roman" w:hAnsi="Times New Roman" w:cs="Times New Roman"/>
          <w:b/>
          <w:sz w:val="28"/>
          <w:szCs w:val="28"/>
        </w:rPr>
        <w:t>Online Material</w:t>
      </w:r>
    </w:p>
    <w:p w:rsidR="006E2875" w:rsidRPr="0071151C" w:rsidRDefault="006E2875" w:rsidP="006E28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KCl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extraction of inorganic nitrogen (initial substrate values)</w:t>
      </w:r>
    </w:p>
    <w:p w:rsidR="006E2875" w:rsidRDefault="006E2875" w:rsidP="006E2875">
      <w:pPr>
        <w:autoSpaceDE w:val="0"/>
        <w:autoSpaceDN w:val="0"/>
        <w:adjustRightInd w:val="0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63F6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C763F6">
        <w:rPr>
          <w:rFonts w:ascii="Times New Roman" w:hAnsi="Times New Roman" w:cs="Times New Roman"/>
          <w:sz w:val="24"/>
          <w:szCs w:val="24"/>
        </w:rPr>
        <w:t xml:space="preserve"> analysis of green roof substrates proved to be problematic due to the heterogeneous nature of green roof substrate and high content of brick which is difficult to sub-sample representatively at the small weights required for standard </w:t>
      </w:r>
      <w:proofErr w:type="spellStart"/>
      <w:r w:rsidRPr="00C763F6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C763F6">
        <w:rPr>
          <w:rFonts w:ascii="Times New Roman" w:hAnsi="Times New Roman" w:cs="Times New Roman"/>
          <w:sz w:val="24"/>
          <w:szCs w:val="24"/>
        </w:rPr>
        <w:t xml:space="preserve"> extraction. This may be a major cause of the high data variance</w:t>
      </w:r>
      <w:r>
        <w:rPr>
          <w:rFonts w:ascii="Times New Roman" w:hAnsi="Times New Roman" w:cs="Times New Roman"/>
          <w:sz w:val="24"/>
          <w:szCs w:val="24"/>
        </w:rPr>
        <w:t>. However some patterns emerged, with green waste substrates containing higher amounts of total oxidised nitrogen (TON – which will be mainly nitrate) compared to bark substrates</w:t>
      </w:r>
      <w:r w:rsidR="0090481E">
        <w:rPr>
          <w:rFonts w:ascii="Times New Roman" w:hAnsi="Times New Roman" w:cs="Times New Roman"/>
          <w:sz w:val="24"/>
          <w:szCs w:val="24"/>
        </w:rPr>
        <w:t xml:space="preserve"> (Table 5)</w:t>
      </w:r>
      <w:r>
        <w:rPr>
          <w:rFonts w:ascii="Times New Roman" w:hAnsi="Times New Roman" w:cs="Times New Roman"/>
          <w:sz w:val="24"/>
          <w:szCs w:val="24"/>
        </w:rPr>
        <w:t>. This pattern is less clear for ammonium which showed very low levels for all substrates apart from those containing only large brick and no swell gel</w:t>
      </w:r>
      <w:r w:rsidR="0090481E">
        <w:rPr>
          <w:rFonts w:ascii="Times New Roman" w:hAnsi="Times New Roman" w:cs="Times New Roman"/>
          <w:sz w:val="24"/>
          <w:szCs w:val="24"/>
        </w:rPr>
        <w:t xml:space="preserve"> (Table 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875" w:rsidRPr="00C763F6" w:rsidRDefault="006E2875" w:rsidP="006E287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</w:p>
    <w:p w:rsidR="002519B2" w:rsidRPr="0090481E" w:rsidRDefault="002519B2" w:rsidP="002519B2">
      <w:pPr>
        <w:pStyle w:val="Caption"/>
        <w:keepNext/>
        <w:rPr>
          <w:b w:val="0"/>
          <w:color w:val="000000" w:themeColor="text1"/>
          <w:sz w:val="20"/>
          <w:szCs w:val="20"/>
        </w:rPr>
      </w:pPr>
      <w:r w:rsidRPr="002519B2">
        <w:rPr>
          <w:color w:val="000000" w:themeColor="text1"/>
          <w:sz w:val="20"/>
          <w:szCs w:val="20"/>
        </w:rPr>
        <w:t xml:space="preserve">Table 5- </w:t>
      </w:r>
      <w:proofErr w:type="spellStart"/>
      <w:r w:rsidRPr="0090481E">
        <w:rPr>
          <w:b w:val="0"/>
          <w:color w:val="000000" w:themeColor="text1"/>
          <w:sz w:val="20"/>
          <w:szCs w:val="20"/>
        </w:rPr>
        <w:t>KCl</w:t>
      </w:r>
      <w:proofErr w:type="spellEnd"/>
      <w:r w:rsidRPr="0090481E">
        <w:rPr>
          <w:b w:val="0"/>
          <w:color w:val="000000" w:themeColor="text1"/>
          <w:sz w:val="20"/>
          <w:szCs w:val="20"/>
        </w:rPr>
        <w:t xml:space="preserve"> extraction values of each substrate at the beginning of the trial before </w:t>
      </w:r>
      <w:r w:rsidRPr="0090481E">
        <w:rPr>
          <w:b w:val="0"/>
          <w:i/>
          <w:color w:val="000000" w:themeColor="text1"/>
          <w:sz w:val="20"/>
          <w:szCs w:val="20"/>
        </w:rPr>
        <w:t xml:space="preserve">Lolium </w:t>
      </w:r>
      <w:r w:rsidRPr="0090481E">
        <w:rPr>
          <w:b w:val="0"/>
          <w:color w:val="000000" w:themeColor="text1"/>
          <w:sz w:val="20"/>
          <w:szCs w:val="20"/>
        </w:rPr>
        <w:t xml:space="preserve">growth. </w:t>
      </w:r>
      <w:r w:rsidR="0090481E" w:rsidRPr="0090481E">
        <w:rPr>
          <w:b w:val="0"/>
          <w:color w:val="000000" w:themeColor="text1"/>
          <w:sz w:val="20"/>
          <w:szCs w:val="20"/>
        </w:rPr>
        <w:t>TON and ammonium amounts are given as mg</w:t>
      </w:r>
      <w:r w:rsidR="0090481E" w:rsidRPr="0090481E">
        <w:rPr>
          <w:b w:val="0"/>
          <w:color w:val="000000" w:themeColor="text1"/>
          <w:sz w:val="20"/>
          <w:szCs w:val="20"/>
          <w:vertAlign w:val="superscript"/>
        </w:rPr>
        <w:t>-1</w:t>
      </w:r>
      <w:r w:rsidR="0090481E" w:rsidRPr="0090481E">
        <w:rPr>
          <w:b w:val="0"/>
          <w:color w:val="000000" w:themeColor="text1"/>
          <w:sz w:val="20"/>
          <w:szCs w:val="20"/>
        </w:rPr>
        <w:t xml:space="preserve"> g dry substrate. </w:t>
      </w:r>
      <w:r w:rsidRPr="0090481E">
        <w:rPr>
          <w:b w:val="0"/>
          <w:color w:val="000000" w:themeColor="text1"/>
          <w:sz w:val="20"/>
          <w:szCs w:val="20"/>
        </w:rPr>
        <w:t>Abbreviations for each substrate component are as follows, SG= Presence of SwellGel, GW= green waste.</w:t>
      </w:r>
    </w:p>
    <w:tbl>
      <w:tblPr>
        <w:tblStyle w:val="TableGrid"/>
        <w:tblW w:w="9073" w:type="dxa"/>
        <w:tblInd w:w="-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47"/>
        <w:gridCol w:w="1731"/>
        <w:gridCol w:w="1732"/>
        <w:gridCol w:w="1731"/>
        <w:gridCol w:w="1732"/>
      </w:tblGrid>
      <w:tr w:rsidR="006E2875" w:rsidRPr="00146CC6" w:rsidTr="00240602">
        <w:trPr>
          <w:trHeight w:val="654"/>
        </w:trPr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</w:tcPr>
          <w:p w:rsidR="006E2875" w:rsidRPr="00867954" w:rsidRDefault="006E2875" w:rsidP="00240602">
            <w:pPr>
              <w:rPr>
                <w:sz w:val="20"/>
                <w:szCs w:val="20"/>
              </w:rPr>
            </w:pPr>
            <w:bookmarkStart w:id="0" w:name="OLE_LINK1"/>
            <w:r w:rsidRPr="00867954">
              <w:rPr>
                <w:sz w:val="20"/>
                <w:szCs w:val="20"/>
              </w:rPr>
              <w:t>Substrate Type &amp; Mix</w:t>
            </w:r>
          </w:p>
          <w:p w:rsidR="006E2875" w:rsidRPr="00867954" w:rsidRDefault="006E2875" w:rsidP="00240602">
            <w:pPr>
              <w:rPr>
                <w:sz w:val="20"/>
                <w:szCs w:val="20"/>
              </w:rPr>
            </w:pPr>
          </w:p>
          <w:p w:rsidR="006E2875" w:rsidRPr="00867954" w:rsidRDefault="006E2875" w:rsidP="00240602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6E2875" w:rsidRPr="00867954" w:rsidRDefault="006E2875" w:rsidP="00240602">
            <w:pPr>
              <w:jc w:val="center"/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Initial TON ±SE</w:t>
            </w:r>
          </w:p>
          <w:p w:rsidR="006E2875" w:rsidRPr="00867954" w:rsidRDefault="006E2875" w:rsidP="00240602">
            <w:pPr>
              <w:jc w:val="center"/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80mm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E2875" w:rsidRPr="00867954" w:rsidRDefault="006E2875" w:rsidP="00240602">
            <w:pPr>
              <w:jc w:val="center"/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Initial TON ±SE</w:t>
            </w:r>
          </w:p>
          <w:p w:rsidR="006E2875" w:rsidRPr="00867954" w:rsidRDefault="006E2875" w:rsidP="00240602">
            <w:pPr>
              <w:jc w:val="center"/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120mm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6E2875" w:rsidRPr="00867954" w:rsidRDefault="006E2875" w:rsidP="00240602">
            <w:pPr>
              <w:jc w:val="center"/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Initial Ammonium ±SE</w:t>
            </w:r>
          </w:p>
          <w:p w:rsidR="006E2875" w:rsidRPr="00867954" w:rsidRDefault="006E2875" w:rsidP="00240602">
            <w:pPr>
              <w:jc w:val="center"/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80mm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6E2875" w:rsidRPr="00867954" w:rsidRDefault="006E2875" w:rsidP="00240602">
            <w:pPr>
              <w:jc w:val="center"/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Initial Ammonium ±SE</w:t>
            </w:r>
          </w:p>
          <w:p w:rsidR="006E2875" w:rsidRPr="00867954" w:rsidRDefault="006E2875" w:rsidP="00240602">
            <w:pPr>
              <w:jc w:val="center"/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120mm</w:t>
            </w:r>
          </w:p>
        </w:tc>
      </w:tr>
      <w:tr w:rsidR="006E2875" w:rsidRPr="00146CC6" w:rsidTr="00240602">
        <w:tc>
          <w:tcPr>
            <w:tcW w:w="2147" w:type="dxa"/>
            <w:tcBorders>
              <w:top w:val="single" w:sz="4" w:space="0" w:color="auto"/>
            </w:tcBorders>
          </w:tcPr>
          <w:p w:rsidR="006E2875" w:rsidRPr="00867954" w:rsidRDefault="006E2875" w:rsidP="00240602">
            <w:pPr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1-SG, Small Brick, Bark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0.010 (0.0025)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0.012</w:t>
            </w: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(0.0037)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0.0026</w:t>
            </w: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(0.0012)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6E2875" w:rsidRPr="00146CC6" w:rsidTr="00240602">
        <w:tc>
          <w:tcPr>
            <w:tcW w:w="2147" w:type="dxa"/>
          </w:tcPr>
          <w:p w:rsidR="006E2875" w:rsidRPr="00867954" w:rsidRDefault="006E2875" w:rsidP="00240602">
            <w:pPr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2-SG, Small Brick, GW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0.011 (0.0026)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0.014</w:t>
            </w: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(0.0029)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0.0014</w:t>
            </w: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(0.0007)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0.0003 (0.0007)</w:t>
            </w:r>
          </w:p>
        </w:tc>
      </w:tr>
      <w:tr w:rsidR="006E2875" w:rsidRPr="00146CC6" w:rsidTr="00240602">
        <w:tc>
          <w:tcPr>
            <w:tcW w:w="2147" w:type="dxa"/>
          </w:tcPr>
          <w:p w:rsidR="006E2875" w:rsidRPr="00867954" w:rsidRDefault="006E2875" w:rsidP="00240602">
            <w:pPr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3-SG,Large Brick, Bark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0.003 (0.0008)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0.0036 (0.0009)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0.00022 (0.0006)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0.0006 (0.0008)</w:t>
            </w:r>
          </w:p>
        </w:tc>
      </w:tr>
      <w:tr w:rsidR="006E2875" w:rsidRPr="00146CC6" w:rsidTr="00240602">
        <w:tc>
          <w:tcPr>
            <w:tcW w:w="2147" w:type="dxa"/>
          </w:tcPr>
          <w:p w:rsidR="006E2875" w:rsidRPr="00867954" w:rsidRDefault="006E2875" w:rsidP="00240602">
            <w:pPr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4-SG,Large Brick, GW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0.006 (0.0022)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0.0066 (0.0017)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0.0018</w:t>
            </w: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(0.0005)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6E2875" w:rsidRPr="00146CC6" w:rsidTr="00240602">
        <w:tc>
          <w:tcPr>
            <w:tcW w:w="2147" w:type="dxa"/>
          </w:tcPr>
          <w:p w:rsidR="006E2875" w:rsidRPr="00867954" w:rsidRDefault="006E2875" w:rsidP="00240602">
            <w:pPr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5-Small Brick, Bark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0.006 (0.0013)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0.0083 (0.0011)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0.0017</w:t>
            </w: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(0.0005)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0.0024 (0.0015)</w:t>
            </w:r>
          </w:p>
        </w:tc>
      </w:tr>
      <w:tr w:rsidR="006E2875" w:rsidRPr="00146CC6" w:rsidTr="00240602">
        <w:tc>
          <w:tcPr>
            <w:tcW w:w="2147" w:type="dxa"/>
          </w:tcPr>
          <w:p w:rsidR="006E2875" w:rsidRPr="00867954" w:rsidRDefault="006E2875" w:rsidP="00240602">
            <w:pPr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6-Small Brick, GW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0.008 (0.0018)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0.0076 (0.0015)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0.0012</w:t>
            </w: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(0.0004)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6E2875" w:rsidRPr="00146CC6" w:rsidTr="00240602">
        <w:tc>
          <w:tcPr>
            <w:tcW w:w="2147" w:type="dxa"/>
          </w:tcPr>
          <w:p w:rsidR="006E2875" w:rsidRPr="00867954" w:rsidRDefault="006E2875" w:rsidP="00240602">
            <w:pPr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7-Large Brick, Bark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0.003 (0.0005)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0.0028 (0.0003)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0.0069</w:t>
            </w: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(0.002)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0.0095 (0.0023)</w:t>
            </w:r>
          </w:p>
        </w:tc>
      </w:tr>
      <w:tr w:rsidR="006E2875" w:rsidRPr="00146CC6" w:rsidTr="00240602">
        <w:tc>
          <w:tcPr>
            <w:tcW w:w="2147" w:type="dxa"/>
          </w:tcPr>
          <w:p w:rsidR="006E2875" w:rsidRPr="00867954" w:rsidRDefault="006E2875" w:rsidP="00240602">
            <w:pPr>
              <w:rPr>
                <w:sz w:val="20"/>
                <w:szCs w:val="20"/>
              </w:rPr>
            </w:pPr>
            <w:r w:rsidRPr="00867954">
              <w:rPr>
                <w:sz w:val="20"/>
                <w:szCs w:val="20"/>
              </w:rPr>
              <w:t>8-Large Brick, GW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0.005 (0.0010)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0.0042 (0.0013)</w:t>
            </w:r>
          </w:p>
        </w:tc>
        <w:tc>
          <w:tcPr>
            <w:tcW w:w="1731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0.011</w:t>
            </w: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(0.0015)</w:t>
            </w:r>
          </w:p>
        </w:tc>
        <w:tc>
          <w:tcPr>
            <w:tcW w:w="1732" w:type="dxa"/>
            <w:vAlign w:val="bottom"/>
          </w:tcPr>
          <w:p w:rsidR="006E2875" w:rsidRPr="00146CC6" w:rsidRDefault="006E2875" w:rsidP="0024060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146C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0.0063 (0.0032)</w:t>
            </w:r>
          </w:p>
        </w:tc>
      </w:tr>
      <w:bookmarkEnd w:id="0"/>
    </w:tbl>
    <w:p w:rsidR="006E2875" w:rsidRDefault="006E2875" w:rsidP="006E2875">
      <w:pPr>
        <w:pStyle w:val="Bibliography"/>
      </w:pPr>
    </w:p>
    <w:p w:rsidR="00416CD4" w:rsidRDefault="00416CD4"/>
    <w:sectPr w:rsidR="00416CD4" w:rsidSect="00C91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E2875"/>
    <w:rsid w:val="002519B2"/>
    <w:rsid w:val="00330374"/>
    <w:rsid w:val="00416CD4"/>
    <w:rsid w:val="006E2875"/>
    <w:rsid w:val="0077751B"/>
    <w:rsid w:val="008D1449"/>
    <w:rsid w:val="0090481E"/>
    <w:rsid w:val="00A966CC"/>
    <w:rsid w:val="00B30CEA"/>
    <w:rsid w:val="00C9156D"/>
    <w:rsid w:val="00DB0817"/>
    <w:rsid w:val="00E10D9C"/>
    <w:rsid w:val="00F5365E"/>
    <w:rsid w:val="00FF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6E2875"/>
    <w:pPr>
      <w:spacing w:after="0" w:line="240" w:lineRule="auto"/>
      <w:ind w:left="720" w:hanging="720"/>
    </w:pPr>
  </w:style>
  <w:style w:type="paragraph" w:styleId="Caption">
    <w:name w:val="caption"/>
    <w:basedOn w:val="Normal"/>
    <w:next w:val="Normal"/>
    <w:uiPriority w:val="35"/>
    <w:unhideWhenUsed/>
    <w:qFormat/>
    <w:rsid w:val="002519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natoche</dc:creator>
  <cp:lastModifiedBy>Tom </cp:lastModifiedBy>
  <cp:revision>6</cp:revision>
  <dcterms:created xsi:type="dcterms:W3CDTF">2013-07-02T12:59:00Z</dcterms:created>
  <dcterms:modified xsi:type="dcterms:W3CDTF">2013-10-30T17:15:00Z</dcterms:modified>
</cp:coreProperties>
</file>