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8A" w:rsidRDefault="00B43195">
      <w:pPr>
        <w:rPr>
          <w:b/>
          <w:sz w:val="28"/>
          <w:szCs w:val="28"/>
        </w:rPr>
      </w:pPr>
      <w:r w:rsidRPr="00AD5AE4">
        <w:rPr>
          <w:b/>
          <w:sz w:val="28"/>
          <w:szCs w:val="28"/>
        </w:rPr>
        <w:t>Open Access Report: University of Sheffield</w:t>
      </w:r>
      <w:r w:rsidR="009918F1">
        <w:rPr>
          <w:b/>
          <w:sz w:val="28"/>
          <w:szCs w:val="28"/>
        </w:rPr>
        <w:t>,</w:t>
      </w:r>
      <w:r w:rsidRPr="00AD5AE4">
        <w:rPr>
          <w:b/>
          <w:sz w:val="28"/>
          <w:szCs w:val="28"/>
        </w:rPr>
        <w:t xml:space="preserve"> September 2014</w:t>
      </w:r>
    </w:p>
    <w:p w:rsidR="00F90520" w:rsidRPr="00F90520" w:rsidRDefault="00F90520">
      <w:r w:rsidRPr="00F90520">
        <w:t>Carmen O’Dell</w:t>
      </w:r>
      <w:r w:rsidR="009918F1">
        <w:t>,</w:t>
      </w:r>
      <w:bookmarkStart w:id="0" w:name="_GoBack"/>
      <w:bookmarkEnd w:id="0"/>
      <w:r w:rsidRPr="00F90520">
        <w:t xml:space="preserve"> Open Access Coordinator</w:t>
      </w:r>
    </w:p>
    <w:p w:rsidR="00B43195" w:rsidRDefault="00B43195"/>
    <w:p w:rsidR="00B43195" w:rsidRPr="00F90520" w:rsidRDefault="00B43195">
      <w:pPr>
        <w:rPr>
          <w:b/>
          <w:sz w:val="24"/>
          <w:szCs w:val="24"/>
        </w:rPr>
      </w:pPr>
      <w:r w:rsidRPr="00F90520">
        <w:rPr>
          <w:b/>
          <w:sz w:val="24"/>
          <w:szCs w:val="24"/>
        </w:rPr>
        <w:t xml:space="preserve">Financial Accountability </w:t>
      </w:r>
    </w:p>
    <w:p w:rsidR="00B43195" w:rsidRPr="005826BE" w:rsidRDefault="00B43195" w:rsidP="00B43195">
      <w:pPr>
        <w:pStyle w:val="ListParagraph"/>
        <w:numPr>
          <w:ilvl w:val="0"/>
          <w:numId w:val="1"/>
        </w:numPr>
        <w:rPr>
          <w:b/>
        </w:rPr>
      </w:pPr>
      <w:r w:rsidRPr="005826BE">
        <w:rPr>
          <w:b/>
        </w:rPr>
        <w:t>Expenditure by Publisher</w:t>
      </w:r>
    </w:p>
    <w:tbl>
      <w:tblPr>
        <w:tblStyle w:val="TableGrid"/>
        <w:tblW w:w="0" w:type="auto"/>
        <w:tblLook w:val="04A0" w:firstRow="1" w:lastRow="0" w:firstColumn="1" w:lastColumn="0" w:noHBand="0" w:noVBand="1"/>
      </w:tblPr>
      <w:tblGrid>
        <w:gridCol w:w="2640"/>
        <w:gridCol w:w="1320"/>
        <w:gridCol w:w="960"/>
      </w:tblGrid>
      <w:tr w:rsidR="00621577" w:rsidRPr="00621577" w:rsidTr="00621577">
        <w:trPr>
          <w:trHeight w:val="510"/>
        </w:trPr>
        <w:tc>
          <w:tcPr>
            <w:tcW w:w="2640" w:type="dxa"/>
            <w:hideMark/>
          </w:tcPr>
          <w:p w:rsidR="00621577" w:rsidRPr="00621577" w:rsidRDefault="00621577">
            <w:pPr>
              <w:rPr>
                <w:b/>
                <w:bCs/>
              </w:rPr>
            </w:pPr>
            <w:r w:rsidRPr="00621577">
              <w:rPr>
                <w:b/>
                <w:bCs/>
              </w:rPr>
              <w:t>Publisher</w:t>
            </w:r>
          </w:p>
        </w:tc>
        <w:tc>
          <w:tcPr>
            <w:tcW w:w="1320" w:type="dxa"/>
            <w:hideMark/>
          </w:tcPr>
          <w:p w:rsidR="00621577" w:rsidRPr="00621577" w:rsidRDefault="00621577" w:rsidP="00621577">
            <w:pPr>
              <w:rPr>
                <w:b/>
                <w:bCs/>
              </w:rPr>
            </w:pPr>
            <w:r w:rsidRPr="00621577">
              <w:rPr>
                <w:b/>
                <w:bCs/>
              </w:rPr>
              <w:t>Cost GBP (incl. VAT)</w:t>
            </w:r>
          </w:p>
        </w:tc>
        <w:tc>
          <w:tcPr>
            <w:tcW w:w="960" w:type="dxa"/>
            <w:hideMark/>
          </w:tcPr>
          <w:p w:rsidR="00621577" w:rsidRPr="00621577" w:rsidRDefault="00621577" w:rsidP="00621577">
            <w:pPr>
              <w:rPr>
                <w:b/>
                <w:bCs/>
              </w:rPr>
            </w:pPr>
            <w:r w:rsidRPr="00621577">
              <w:rPr>
                <w:b/>
                <w:bCs/>
              </w:rPr>
              <w:t>No</w:t>
            </w:r>
            <w:r>
              <w:rPr>
                <w:b/>
                <w:bCs/>
              </w:rPr>
              <w:t>.</w:t>
            </w:r>
            <w:r w:rsidRPr="00621577">
              <w:rPr>
                <w:b/>
                <w:bCs/>
              </w:rPr>
              <w:t xml:space="preserve"> APCs</w:t>
            </w:r>
          </w:p>
        </w:tc>
      </w:tr>
      <w:tr w:rsidR="00621577" w:rsidRPr="00621577" w:rsidTr="00621577">
        <w:trPr>
          <w:trHeight w:val="255"/>
        </w:trPr>
        <w:tc>
          <w:tcPr>
            <w:tcW w:w="2640" w:type="dxa"/>
            <w:hideMark/>
          </w:tcPr>
          <w:p w:rsidR="00621577" w:rsidRPr="00621577" w:rsidRDefault="00621577">
            <w:r w:rsidRPr="00621577">
              <w:t>ACM</w:t>
            </w:r>
          </w:p>
        </w:tc>
        <w:tc>
          <w:tcPr>
            <w:tcW w:w="1320" w:type="dxa"/>
            <w:hideMark/>
          </w:tcPr>
          <w:p w:rsidR="00621577" w:rsidRPr="00621577" w:rsidRDefault="00621577" w:rsidP="00621577">
            <w:pPr>
              <w:jc w:val="center"/>
            </w:pPr>
            <w:r w:rsidRPr="00621577">
              <w:t>2636</w:t>
            </w:r>
          </w:p>
        </w:tc>
        <w:tc>
          <w:tcPr>
            <w:tcW w:w="960" w:type="dxa"/>
            <w:hideMark/>
          </w:tcPr>
          <w:p w:rsidR="00621577" w:rsidRPr="00621577" w:rsidRDefault="00621577" w:rsidP="00621577">
            <w:pPr>
              <w:jc w:val="center"/>
            </w:pPr>
            <w:r w:rsidRPr="00621577">
              <w:t>3</w:t>
            </w:r>
          </w:p>
        </w:tc>
      </w:tr>
      <w:tr w:rsidR="00621577" w:rsidRPr="00621577" w:rsidTr="00621577">
        <w:trPr>
          <w:trHeight w:val="255"/>
        </w:trPr>
        <w:tc>
          <w:tcPr>
            <w:tcW w:w="2640" w:type="dxa"/>
            <w:hideMark/>
          </w:tcPr>
          <w:p w:rsidR="00621577" w:rsidRPr="00621577" w:rsidRDefault="00621577">
            <w:r w:rsidRPr="00621577">
              <w:t>ACS</w:t>
            </w:r>
          </w:p>
        </w:tc>
        <w:tc>
          <w:tcPr>
            <w:tcW w:w="1320" w:type="dxa"/>
            <w:hideMark/>
          </w:tcPr>
          <w:p w:rsidR="00621577" w:rsidRPr="00621577" w:rsidRDefault="00621577" w:rsidP="00621577">
            <w:pPr>
              <w:jc w:val="center"/>
            </w:pPr>
            <w:r w:rsidRPr="00621577">
              <w:t>28935</w:t>
            </w:r>
          </w:p>
        </w:tc>
        <w:tc>
          <w:tcPr>
            <w:tcW w:w="960" w:type="dxa"/>
            <w:hideMark/>
          </w:tcPr>
          <w:p w:rsidR="00621577" w:rsidRPr="00621577" w:rsidRDefault="00621577" w:rsidP="00621577">
            <w:pPr>
              <w:jc w:val="center"/>
            </w:pPr>
            <w:r w:rsidRPr="00621577">
              <w:t>20</w:t>
            </w:r>
          </w:p>
        </w:tc>
      </w:tr>
      <w:tr w:rsidR="00621577" w:rsidRPr="00621577" w:rsidTr="00621577">
        <w:trPr>
          <w:trHeight w:val="255"/>
        </w:trPr>
        <w:tc>
          <w:tcPr>
            <w:tcW w:w="2640" w:type="dxa"/>
            <w:hideMark/>
          </w:tcPr>
          <w:p w:rsidR="00621577" w:rsidRPr="00621577" w:rsidRDefault="00621577">
            <w:r w:rsidRPr="00621577">
              <w:t>AMS</w:t>
            </w:r>
          </w:p>
        </w:tc>
        <w:tc>
          <w:tcPr>
            <w:tcW w:w="1320" w:type="dxa"/>
            <w:hideMark/>
          </w:tcPr>
          <w:p w:rsidR="00621577" w:rsidRPr="00621577" w:rsidRDefault="00621577" w:rsidP="00621577">
            <w:pPr>
              <w:jc w:val="center"/>
            </w:pPr>
            <w:r w:rsidRPr="00621577">
              <w:t>460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AIP</w:t>
            </w:r>
          </w:p>
        </w:tc>
        <w:tc>
          <w:tcPr>
            <w:tcW w:w="1320" w:type="dxa"/>
            <w:hideMark/>
          </w:tcPr>
          <w:p w:rsidR="00621577" w:rsidRPr="00621577" w:rsidRDefault="00621577" w:rsidP="00621577">
            <w:pPr>
              <w:jc w:val="center"/>
            </w:pPr>
            <w:r w:rsidRPr="00621577">
              <w:t>2642</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proofErr w:type="spellStart"/>
            <w:r w:rsidRPr="00621577">
              <w:t>Am.Soc.Microbiologists</w:t>
            </w:r>
            <w:proofErr w:type="spellEnd"/>
          </w:p>
        </w:tc>
        <w:tc>
          <w:tcPr>
            <w:tcW w:w="1320" w:type="dxa"/>
            <w:hideMark/>
          </w:tcPr>
          <w:p w:rsidR="00621577" w:rsidRPr="00621577" w:rsidRDefault="00621577" w:rsidP="00621577">
            <w:pPr>
              <w:jc w:val="center"/>
            </w:pPr>
            <w:r w:rsidRPr="00621577">
              <w:t>4655</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r w:rsidRPr="00621577">
              <w:t>ASBMB</w:t>
            </w:r>
          </w:p>
        </w:tc>
        <w:tc>
          <w:tcPr>
            <w:tcW w:w="1320" w:type="dxa"/>
            <w:hideMark/>
          </w:tcPr>
          <w:p w:rsidR="00621577" w:rsidRPr="00621577" w:rsidRDefault="00621577" w:rsidP="00621577">
            <w:pPr>
              <w:jc w:val="center"/>
            </w:pPr>
            <w:r w:rsidRPr="00621577">
              <w:t>3460</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r w:rsidRPr="00621577">
              <w:t>BMC</w:t>
            </w:r>
          </w:p>
        </w:tc>
        <w:tc>
          <w:tcPr>
            <w:tcW w:w="1320" w:type="dxa"/>
            <w:hideMark/>
          </w:tcPr>
          <w:p w:rsidR="00621577" w:rsidRPr="00621577" w:rsidRDefault="00621577" w:rsidP="00621577">
            <w:pPr>
              <w:jc w:val="center"/>
            </w:pPr>
            <w:r w:rsidRPr="00621577">
              <w:t>5120</w:t>
            </w:r>
          </w:p>
        </w:tc>
        <w:tc>
          <w:tcPr>
            <w:tcW w:w="960" w:type="dxa"/>
            <w:hideMark/>
          </w:tcPr>
          <w:p w:rsidR="00621577" w:rsidRPr="00621577" w:rsidRDefault="00621577" w:rsidP="00621577">
            <w:pPr>
              <w:jc w:val="center"/>
            </w:pPr>
            <w:r w:rsidRPr="00621577">
              <w:t>4</w:t>
            </w:r>
          </w:p>
        </w:tc>
      </w:tr>
      <w:tr w:rsidR="00621577" w:rsidRPr="00621577" w:rsidTr="00621577">
        <w:trPr>
          <w:trHeight w:val="255"/>
        </w:trPr>
        <w:tc>
          <w:tcPr>
            <w:tcW w:w="2640" w:type="dxa"/>
            <w:hideMark/>
          </w:tcPr>
          <w:p w:rsidR="00621577" w:rsidRPr="00621577" w:rsidRDefault="00621577">
            <w:r w:rsidRPr="00621577">
              <w:t>BMJ</w:t>
            </w:r>
          </w:p>
        </w:tc>
        <w:tc>
          <w:tcPr>
            <w:tcW w:w="1320" w:type="dxa"/>
            <w:hideMark/>
          </w:tcPr>
          <w:p w:rsidR="00621577" w:rsidRPr="00621577" w:rsidRDefault="00621577" w:rsidP="00621577">
            <w:pPr>
              <w:jc w:val="center"/>
            </w:pPr>
            <w:r w:rsidRPr="00621577">
              <w:t>2910</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r w:rsidRPr="00621577">
              <w:t>Company of Biologists</w:t>
            </w:r>
          </w:p>
        </w:tc>
        <w:tc>
          <w:tcPr>
            <w:tcW w:w="1320" w:type="dxa"/>
            <w:hideMark/>
          </w:tcPr>
          <w:p w:rsidR="00621577" w:rsidRPr="00621577" w:rsidRDefault="00621577" w:rsidP="00621577">
            <w:pPr>
              <w:jc w:val="center"/>
            </w:pPr>
            <w:r w:rsidRPr="00621577">
              <w:t>2400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Copernicus Publishing</w:t>
            </w:r>
          </w:p>
        </w:tc>
        <w:tc>
          <w:tcPr>
            <w:tcW w:w="1320" w:type="dxa"/>
            <w:hideMark/>
          </w:tcPr>
          <w:p w:rsidR="00621577" w:rsidRPr="00621577" w:rsidRDefault="00621577" w:rsidP="00621577">
            <w:pPr>
              <w:jc w:val="center"/>
            </w:pPr>
            <w:r w:rsidRPr="00621577">
              <w:t>2197</w:t>
            </w:r>
          </w:p>
        </w:tc>
        <w:tc>
          <w:tcPr>
            <w:tcW w:w="960" w:type="dxa"/>
            <w:hideMark/>
          </w:tcPr>
          <w:p w:rsidR="00621577" w:rsidRPr="00621577" w:rsidRDefault="00621577" w:rsidP="00621577">
            <w:pPr>
              <w:jc w:val="center"/>
            </w:pPr>
            <w:r w:rsidRPr="00621577">
              <w:t>7</w:t>
            </w:r>
          </w:p>
        </w:tc>
      </w:tr>
      <w:tr w:rsidR="00621577" w:rsidRPr="00621577" w:rsidTr="00621577">
        <w:trPr>
          <w:trHeight w:val="255"/>
        </w:trPr>
        <w:tc>
          <w:tcPr>
            <w:tcW w:w="2640" w:type="dxa"/>
            <w:hideMark/>
          </w:tcPr>
          <w:p w:rsidR="00621577" w:rsidRPr="00621577" w:rsidRDefault="00621577">
            <w:r w:rsidRPr="00621577">
              <w:t>Elsevier</w:t>
            </w:r>
          </w:p>
        </w:tc>
        <w:tc>
          <w:tcPr>
            <w:tcW w:w="1320" w:type="dxa"/>
            <w:hideMark/>
          </w:tcPr>
          <w:p w:rsidR="00621577" w:rsidRPr="00621577" w:rsidRDefault="00621577" w:rsidP="00621577">
            <w:pPr>
              <w:jc w:val="center"/>
            </w:pPr>
            <w:r w:rsidRPr="00621577">
              <w:t>68222</w:t>
            </w:r>
          </w:p>
        </w:tc>
        <w:tc>
          <w:tcPr>
            <w:tcW w:w="960" w:type="dxa"/>
            <w:hideMark/>
          </w:tcPr>
          <w:p w:rsidR="00621577" w:rsidRPr="00621577" w:rsidRDefault="00621577" w:rsidP="00621577">
            <w:pPr>
              <w:jc w:val="center"/>
            </w:pPr>
            <w:r w:rsidRPr="00621577">
              <w:t>37</w:t>
            </w:r>
          </w:p>
        </w:tc>
      </w:tr>
      <w:tr w:rsidR="00621577" w:rsidRPr="00621577" w:rsidTr="00621577">
        <w:trPr>
          <w:trHeight w:val="255"/>
        </w:trPr>
        <w:tc>
          <w:tcPr>
            <w:tcW w:w="2640" w:type="dxa"/>
            <w:hideMark/>
          </w:tcPr>
          <w:p w:rsidR="00621577" w:rsidRPr="00621577" w:rsidRDefault="00621577">
            <w:r w:rsidRPr="00621577">
              <w:t>Emerald</w:t>
            </w:r>
          </w:p>
        </w:tc>
        <w:tc>
          <w:tcPr>
            <w:tcW w:w="1320" w:type="dxa"/>
            <w:hideMark/>
          </w:tcPr>
          <w:p w:rsidR="00621577" w:rsidRPr="00621577" w:rsidRDefault="00621577" w:rsidP="00621577">
            <w:pPr>
              <w:jc w:val="center"/>
            </w:pPr>
            <w:r w:rsidRPr="00621577">
              <w:t>1194</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FASEB</w:t>
            </w:r>
          </w:p>
        </w:tc>
        <w:tc>
          <w:tcPr>
            <w:tcW w:w="1320" w:type="dxa"/>
            <w:hideMark/>
          </w:tcPr>
          <w:p w:rsidR="00621577" w:rsidRPr="00621577" w:rsidRDefault="00621577" w:rsidP="00621577">
            <w:pPr>
              <w:jc w:val="center"/>
            </w:pPr>
            <w:r w:rsidRPr="00621577">
              <w:t>1534</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Frontiers Open Access</w:t>
            </w:r>
          </w:p>
        </w:tc>
        <w:tc>
          <w:tcPr>
            <w:tcW w:w="1320" w:type="dxa"/>
            <w:hideMark/>
          </w:tcPr>
          <w:p w:rsidR="00621577" w:rsidRPr="00621577" w:rsidRDefault="00621577" w:rsidP="00621577">
            <w:pPr>
              <w:jc w:val="center"/>
            </w:pPr>
            <w:r w:rsidRPr="00621577">
              <w:t>1270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ICE Publishing</w:t>
            </w:r>
          </w:p>
        </w:tc>
        <w:tc>
          <w:tcPr>
            <w:tcW w:w="1320" w:type="dxa"/>
            <w:hideMark/>
          </w:tcPr>
          <w:p w:rsidR="00621577" w:rsidRPr="00621577" w:rsidRDefault="00621577" w:rsidP="00621577">
            <w:pPr>
              <w:jc w:val="center"/>
            </w:pPr>
            <w:r w:rsidRPr="00621577">
              <w:t>1536</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IEEE</w:t>
            </w:r>
          </w:p>
        </w:tc>
        <w:tc>
          <w:tcPr>
            <w:tcW w:w="1320" w:type="dxa"/>
            <w:hideMark/>
          </w:tcPr>
          <w:p w:rsidR="00621577" w:rsidRPr="00621577" w:rsidRDefault="00621577" w:rsidP="00621577">
            <w:pPr>
              <w:jc w:val="center"/>
            </w:pPr>
            <w:r w:rsidRPr="00621577">
              <w:t>4939</w:t>
            </w:r>
          </w:p>
        </w:tc>
        <w:tc>
          <w:tcPr>
            <w:tcW w:w="960" w:type="dxa"/>
            <w:hideMark/>
          </w:tcPr>
          <w:p w:rsidR="00621577" w:rsidRPr="00621577" w:rsidRDefault="00621577" w:rsidP="00621577">
            <w:pPr>
              <w:jc w:val="center"/>
            </w:pPr>
            <w:r w:rsidRPr="00621577">
              <w:t>5</w:t>
            </w:r>
          </w:p>
        </w:tc>
      </w:tr>
      <w:tr w:rsidR="00621577" w:rsidRPr="00621577" w:rsidTr="00621577">
        <w:trPr>
          <w:trHeight w:val="255"/>
        </w:trPr>
        <w:tc>
          <w:tcPr>
            <w:tcW w:w="2640" w:type="dxa"/>
            <w:hideMark/>
          </w:tcPr>
          <w:p w:rsidR="00621577" w:rsidRPr="00621577" w:rsidRDefault="00621577">
            <w:proofErr w:type="spellStart"/>
            <w:r w:rsidRPr="00621577">
              <w:t>Interscience</w:t>
            </w:r>
            <w:proofErr w:type="spellEnd"/>
            <w:r w:rsidRPr="00621577">
              <w:t xml:space="preserve"> Publishers*</w:t>
            </w:r>
          </w:p>
        </w:tc>
        <w:tc>
          <w:tcPr>
            <w:tcW w:w="1320" w:type="dxa"/>
            <w:hideMark/>
          </w:tcPr>
          <w:p w:rsidR="00621577" w:rsidRPr="00621577" w:rsidRDefault="00621577" w:rsidP="00621577">
            <w:pPr>
              <w:jc w:val="center"/>
            </w:pPr>
            <w:r w:rsidRPr="00621577">
              <w:t>1825</w:t>
            </w:r>
          </w:p>
        </w:tc>
        <w:tc>
          <w:tcPr>
            <w:tcW w:w="960" w:type="dxa"/>
            <w:hideMark/>
          </w:tcPr>
          <w:p w:rsidR="00621577" w:rsidRPr="00621577" w:rsidRDefault="00621577" w:rsidP="00621577">
            <w:pPr>
              <w:jc w:val="center"/>
            </w:pPr>
            <w:r w:rsidRPr="00621577">
              <w:t>1</w:t>
            </w:r>
          </w:p>
        </w:tc>
      </w:tr>
      <w:tr w:rsidR="00621577" w:rsidRPr="00621577" w:rsidTr="00621577">
        <w:trPr>
          <w:trHeight w:val="510"/>
        </w:trPr>
        <w:tc>
          <w:tcPr>
            <w:tcW w:w="2640" w:type="dxa"/>
            <w:hideMark/>
          </w:tcPr>
          <w:p w:rsidR="00621577" w:rsidRPr="00621577" w:rsidRDefault="00621577">
            <w:proofErr w:type="spellStart"/>
            <w:r w:rsidRPr="00621577">
              <w:t>Int.Soc</w:t>
            </w:r>
            <w:proofErr w:type="spellEnd"/>
            <w:r w:rsidRPr="00621577">
              <w:t xml:space="preserve">. </w:t>
            </w:r>
            <w:proofErr w:type="spellStart"/>
            <w:r w:rsidRPr="00621577">
              <w:t>Labor</w:t>
            </w:r>
            <w:proofErr w:type="spellEnd"/>
            <w:r w:rsidRPr="00621577">
              <w:t xml:space="preserve"> Law and Social Security</w:t>
            </w:r>
          </w:p>
        </w:tc>
        <w:tc>
          <w:tcPr>
            <w:tcW w:w="1320" w:type="dxa"/>
            <w:hideMark/>
          </w:tcPr>
          <w:p w:rsidR="00621577" w:rsidRPr="00621577" w:rsidRDefault="00621577" w:rsidP="00621577">
            <w:pPr>
              <w:jc w:val="center"/>
            </w:pPr>
            <w:r w:rsidRPr="00621577">
              <w:t>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proofErr w:type="spellStart"/>
            <w:r w:rsidRPr="00621577">
              <w:t>Int.Union</w:t>
            </w:r>
            <w:proofErr w:type="spellEnd"/>
            <w:r w:rsidRPr="00621577">
              <w:t xml:space="preserve"> </w:t>
            </w:r>
            <w:proofErr w:type="spellStart"/>
            <w:r w:rsidRPr="00621577">
              <w:t>Crystollagraphy</w:t>
            </w:r>
            <w:proofErr w:type="spellEnd"/>
          </w:p>
        </w:tc>
        <w:tc>
          <w:tcPr>
            <w:tcW w:w="1320" w:type="dxa"/>
            <w:hideMark/>
          </w:tcPr>
          <w:p w:rsidR="00621577" w:rsidRPr="00621577" w:rsidRDefault="00621577" w:rsidP="00621577">
            <w:pPr>
              <w:jc w:val="center"/>
            </w:pPr>
            <w:r w:rsidRPr="00621577">
              <w:t>736</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IWA Publishing</w:t>
            </w:r>
          </w:p>
        </w:tc>
        <w:tc>
          <w:tcPr>
            <w:tcW w:w="1320" w:type="dxa"/>
            <w:hideMark/>
          </w:tcPr>
          <w:p w:rsidR="00621577" w:rsidRPr="00621577" w:rsidRDefault="00621577" w:rsidP="00621577">
            <w:pPr>
              <w:jc w:val="center"/>
            </w:pPr>
            <w:r w:rsidRPr="00621577">
              <w:t>2040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proofErr w:type="spellStart"/>
            <w:r w:rsidRPr="00621577">
              <w:t>Landes</w:t>
            </w:r>
            <w:proofErr w:type="spellEnd"/>
            <w:r w:rsidRPr="00621577">
              <w:t xml:space="preserve"> Bioscience</w:t>
            </w:r>
          </w:p>
        </w:tc>
        <w:tc>
          <w:tcPr>
            <w:tcW w:w="1320" w:type="dxa"/>
            <w:hideMark/>
          </w:tcPr>
          <w:p w:rsidR="00621577" w:rsidRPr="00621577" w:rsidRDefault="00621577" w:rsidP="00621577">
            <w:pPr>
              <w:jc w:val="center"/>
            </w:pPr>
            <w:r w:rsidRPr="00621577">
              <w:t>936</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LMS</w:t>
            </w:r>
          </w:p>
        </w:tc>
        <w:tc>
          <w:tcPr>
            <w:tcW w:w="1320" w:type="dxa"/>
            <w:hideMark/>
          </w:tcPr>
          <w:p w:rsidR="00621577" w:rsidRPr="00621577" w:rsidRDefault="00621577" w:rsidP="00621577">
            <w:pPr>
              <w:jc w:val="center"/>
            </w:pPr>
            <w:r w:rsidRPr="00621577">
              <w:t>4620</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r w:rsidRPr="00621577">
              <w:t xml:space="preserve">Mary Ann </w:t>
            </w:r>
            <w:proofErr w:type="spellStart"/>
            <w:r w:rsidRPr="00621577">
              <w:t>Liebert</w:t>
            </w:r>
            <w:proofErr w:type="spellEnd"/>
            <w:r w:rsidRPr="00621577">
              <w:t>*</w:t>
            </w:r>
          </w:p>
        </w:tc>
        <w:tc>
          <w:tcPr>
            <w:tcW w:w="1320" w:type="dxa"/>
            <w:hideMark/>
          </w:tcPr>
          <w:p w:rsidR="00621577" w:rsidRPr="00621577" w:rsidRDefault="00621577" w:rsidP="00621577">
            <w:pPr>
              <w:jc w:val="center"/>
            </w:pPr>
            <w:r w:rsidRPr="00621577">
              <w:t>1785</w:t>
            </w:r>
          </w:p>
        </w:tc>
        <w:tc>
          <w:tcPr>
            <w:tcW w:w="960" w:type="dxa"/>
            <w:hideMark/>
          </w:tcPr>
          <w:p w:rsidR="00621577" w:rsidRPr="00621577" w:rsidRDefault="00621577" w:rsidP="00621577">
            <w:pPr>
              <w:jc w:val="center"/>
            </w:pPr>
            <w:r w:rsidRPr="00621577">
              <w:t>1</w:t>
            </w:r>
          </w:p>
        </w:tc>
      </w:tr>
      <w:tr w:rsidR="00621577" w:rsidRPr="00621577" w:rsidTr="00621577">
        <w:trPr>
          <w:trHeight w:val="510"/>
        </w:trPr>
        <w:tc>
          <w:tcPr>
            <w:tcW w:w="2640" w:type="dxa"/>
            <w:hideMark/>
          </w:tcPr>
          <w:p w:rsidR="00621577" w:rsidRPr="00621577" w:rsidRDefault="00621577">
            <w:r w:rsidRPr="00621577">
              <w:t>National Academy of Sciences</w:t>
            </w:r>
          </w:p>
        </w:tc>
        <w:tc>
          <w:tcPr>
            <w:tcW w:w="1320" w:type="dxa"/>
            <w:hideMark/>
          </w:tcPr>
          <w:p w:rsidR="00621577" w:rsidRPr="00621577" w:rsidRDefault="00621577" w:rsidP="00621577">
            <w:pPr>
              <w:jc w:val="center"/>
            </w:pPr>
            <w:r w:rsidRPr="00621577">
              <w:t>1412</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Nature</w:t>
            </w:r>
          </w:p>
        </w:tc>
        <w:tc>
          <w:tcPr>
            <w:tcW w:w="1320" w:type="dxa"/>
            <w:hideMark/>
          </w:tcPr>
          <w:p w:rsidR="00621577" w:rsidRPr="00621577" w:rsidRDefault="00621577" w:rsidP="00621577">
            <w:pPr>
              <w:jc w:val="center"/>
            </w:pPr>
            <w:r w:rsidRPr="00621577">
              <w:t>18852</w:t>
            </w:r>
          </w:p>
        </w:tc>
        <w:tc>
          <w:tcPr>
            <w:tcW w:w="960" w:type="dxa"/>
            <w:hideMark/>
          </w:tcPr>
          <w:p w:rsidR="00621577" w:rsidRPr="00621577" w:rsidRDefault="00621577" w:rsidP="00621577">
            <w:pPr>
              <w:jc w:val="center"/>
            </w:pPr>
            <w:r w:rsidRPr="00621577">
              <w:t>8</w:t>
            </w:r>
          </w:p>
        </w:tc>
      </w:tr>
      <w:tr w:rsidR="00621577" w:rsidRPr="00621577" w:rsidTr="00621577">
        <w:trPr>
          <w:trHeight w:val="255"/>
        </w:trPr>
        <w:tc>
          <w:tcPr>
            <w:tcW w:w="2640" w:type="dxa"/>
            <w:hideMark/>
          </w:tcPr>
          <w:p w:rsidR="00621577" w:rsidRPr="00621577" w:rsidRDefault="00621577">
            <w:r w:rsidRPr="00621577">
              <w:t>OMICS Publishing</w:t>
            </w:r>
          </w:p>
        </w:tc>
        <w:tc>
          <w:tcPr>
            <w:tcW w:w="1320" w:type="dxa"/>
            <w:hideMark/>
          </w:tcPr>
          <w:p w:rsidR="00621577" w:rsidRPr="00621577" w:rsidRDefault="00621577" w:rsidP="00621577">
            <w:pPr>
              <w:jc w:val="center"/>
            </w:pPr>
            <w:r w:rsidRPr="00621577">
              <w:t>1189</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r w:rsidRPr="00621577">
              <w:t>Optical Society of America*</w:t>
            </w:r>
          </w:p>
        </w:tc>
        <w:tc>
          <w:tcPr>
            <w:tcW w:w="1320" w:type="dxa"/>
            <w:hideMark/>
          </w:tcPr>
          <w:p w:rsidR="00621577" w:rsidRPr="00621577" w:rsidRDefault="00621577" w:rsidP="00621577">
            <w:pPr>
              <w:jc w:val="center"/>
            </w:pPr>
            <w:r w:rsidRPr="00621577">
              <w:t>1123</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OUP</w:t>
            </w:r>
          </w:p>
        </w:tc>
        <w:tc>
          <w:tcPr>
            <w:tcW w:w="1320" w:type="dxa"/>
            <w:hideMark/>
          </w:tcPr>
          <w:p w:rsidR="00621577" w:rsidRPr="00621577" w:rsidRDefault="00621577" w:rsidP="00621577">
            <w:pPr>
              <w:jc w:val="center"/>
            </w:pPr>
            <w:r w:rsidRPr="00621577">
              <w:t>12042</w:t>
            </w:r>
          </w:p>
        </w:tc>
        <w:tc>
          <w:tcPr>
            <w:tcW w:w="960" w:type="dxa"/>
            <w:hideMark/>
          </w:tcPr>
          <w:p w:rsidR="00621577" w:rsidRPr="00621577" w:rsidRDefault="00621577" w:rsidP="00621577">
            <w:pPr>
              <w:jc w:val="center"/>
            </w:pPr>
            <w:r w:rsidRPr="00621577">
              <w:t>8</w:t>
            </w:r>
          </w:p>
        </w:tc>
      </w:tr>
      <w:tr w:rsidR="00621577" w:rsidRPr="00621577" w:rsidTr="00621577">
        <w:trPr>
          <w:trHeight w:val="255"/>
        </w:trPr>
        <w:tc>
          <w:tcPr>
            <w:tcW w:w="2640" w:type="dxa"/>
            <w:hideMark/>
          </w:tcPr>
          <w:p w:rsidR="00621577" w:rsidRPr="00621577" w:rsidRDefault="00621577">
            <w:r w:rsidRPr="00621577">
              <w:t>PLOS</w:t>
            </w:r>
          </w:p>
        </w:tc>
        <w:tc>
          <w:tcPr>
            <w:tcW w:w="1320" w:type="dxa"/>
            <w:hideMark/>
          </w:tcPr>
          <w:p w:rsidR="00621577" w:rsidRPr="00621577" w:rsidRDefault="00621577" w:rsidP="00621577">
            <w:pPr>
              <w:jc w:val="center"/>
            </w:pPr>
            <w:r w:rsidRPr="00621577">
              <w:t>13124</w:t>
            </w:r>
          </w:p>
        </w:tc>
        <w:tc>
          <w:tcPr>
            <w:tcW w:w="960" w:type="dxa"/>
            <w:hideMark/>
          </w:tcPr>
          <w:p w:rsidR="00621577" w:rsidRPr="00621577" w:rsidRDefault="00621577" w:rsidP="00621577">
            <w:pPr>
              <w:jc w:val="center"/>
            </w:pPr>
            <w:r w:rsidRPr="00621577">
              <w:t>14</w:t>
            </w:r>
          </w:p>
        </w:tc>
      </w:tr>
      <w:tr w:rsidR="00621577" w:rsidRPr="00621577" w:rsidTr="00621577">
        <w:trPr>
          <w:trHeight w:val="255"/>
        </w:trPr>
        <w:tc>
          <w:tcPr>
            <w:tcW w:w="2640" w:type="dxa"/>
            <w:hideMark/>
          </w:tcPr>
          <w:p w:rsidR="00621577" w:rsidRPr="00621577" w:rsidRDefault="00621577">
            <w:r w:rsidRPr="00621577">
              <w:t>Portland Press</w:t>
            </w:r>
          </w:p>
        </w:tc>
        <w:tc>
          <w:tcPr>
            <w:tcW w:w="1320" w:type="dxa"/>
            <w:hideMark/>
          </w:tcPr>
          <w:p w:rsidR="00621577" w:rsidRPr="00621577" w:rsidRDefault="00621577" w:rsidP="00621577">
            <w:pPr>
              <w:jc w:val="center"/>
            </w:pPr>
            <w:r w:rsidRPr="00621577">
              <w:t>1800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Research Media LTD</w:t>
            </w:r>
          </w:p>
        </w:tc>
        <w:tc>
          <w:tcPr>
            <w:tcW w:w="1320" w:type="dxa"/>
            <w:hideMark/>
          </w:tcPr>
          <w:p w:rsidR="00621577" w:rsidRPr="00621577" w:rsidRDefault="00621577" w:rsidP="00621577">
            <w:pPr>
              <w:jc w:val="center"/>
            </w:pPr>
            <w:r w:rsidRPr="00621577">
              <w:t>2700</w:t>
            </w:r>
          </w:p>
        </w:tc>
        <w:tc>
          <w:tcPr>
            <w:tcW w:w="960" w:type="dxa"/>
            <w:hideMark/>
          </w:tcPr>
          <w:p w:rsidR="00621577" w:rsidRPr="00621577" w:rsidRDefault="00621577" w:rsidP="00621577">
            <w:pPr>
              <w:jc w:val="center"/>
            </w:pPr>
            <w:r w:rsidRPr="00621577">
              <w:t>1</w:t>
            </w:r>
          </w:p>
        </w:tc>
      </w:tr>
      <w:tr w:rsidR="00621577" w:rsidRPr="00621577" w:rsidTr="00621577">
        <w:trPr>
          <w:trHeight w:val="510"/>
        </w:trPr>
        <w:tc>
          <w:tcPr>
            <w:tcW w:w="2640" w:type="dxa"/>
            <w:hideMark/>
          </w:tcPr>
          <w:p w:rsidR="00621577" w:rsidRPr="00621577" w:rsidRDefault="00621577">
            <w:r w:rsidRPr="00621577">
              <w:t>Royal College of Psychiatrists</w:t>
            </w:r>
          </w:p>
        </w:tc>
        <w:tc>
          <w:tcPr>
            <w:tcW w:w="1320" w:type="dxa"/>
            <w:hideMark/>
          </w:tcPr>
          <w:p w:rsidR="00621577" w:rsidRPr="00621577" w:rsidRDefault="00621577" w:rsidP="00621577">
            <w:pPr>
              <w:jc w:val="center"/>
            </w:pPr>
            <w:r w:rsidRPr="00621577">
              <w:t>3000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Royal Society</w:t>
            </w:r>
          </w:p>
        </w:tc>
        <w:tc>
          <w:tcPr>
            <w:tcW w:w="1320" w:type="dxa"/>
            <w:hideMark/>
          </w:tcPr>
          <w:p w:rsidR="00621577" w:rsidRPr="00621577" w:rsidRDefault="00621577" w:rsidP="00621577">
            <w:pPr>
              <w:jc w:val="center"/>
            </w:pPr>
            <w:r w:rsidRPr="00621577">
              <w:t>16260</w:t>
            </w:r>
          </w:p>
        </w:tc>
        <w:tc>
          <w:tcPr>
            <w:tcW w:w="960" w:type="dxa"/>
            <w:hideMark/>
          </w:tcPr>
          <w:p w:rsidR="00621577" w:rsidRPr="00621577" w:rsidRDefault="00621577" w:rsidP="00621577">
            <w:pPr>
              <w:jc w:val="center"/>
            </w:pPr>
            <w:r w:rsidRPr="00621577">
              <w:t>12</w:t>
            </w:r>
          </w:p>
        </w:tc>
      </w:tr>
      <w:tr w:rsidR="00621577" w:rsidRPr="00621577" w:rsidTr="00621577">
        <w:trPr>
          <w:trHeight w:val="255"/>
        </w:trPr>
        <w:tc>
          <w:tcPr>
            <w:tcW w:w="2640" w:type="dxa"/>
            <w:hideMark/>
          </w:tcPr>
          <w:p w:rsidR="00621577" w:rsidRPr="00621577" w:rsidRDefault="00621577">
            <w:r w:rsidRPr="00621577">
              <w:t>RSC</w:t>
            </w:r>
          </w:p>
        </w:tc>
        <w:tc>
          <w:tcPr>
            <w:tcW w:w="1320" w:type="dxa"/>
            <w:hideMark/>
          </w:tcPr>
          <w:p w:rsidR="00621577" w:rsidRPr="00621577" w:rsidRDefault="00621577" w:rsidP="00621577">
            <w:pPr>
              <w:jc w:val="center"/>
            </w:pPr>
            <w:r w:rsidRPr="00621577">
              <w:t>31200</w:t>
            </w:r>
          </w:p>
        </w:tc>
        <w:tc>
          <w:tcPr>
            <w:tcW w:w="960" w:type="dxa"/>
            <w:hideMark/>
          </w:tcPr>
          <w:p w:rsidR="00621577" w:rsidRPr="00621577" w:rsidRDefault="00621577" w:rsidP="00621577">
            <w:pPr>
              <w:jc w:val="center"/>
            </w:pPr>
            <w:r w:rsidRPr="00621577">
              <w:t>26</w:t>
            </w:r>
          </w:p>
        </w:tc>
      </w:tr>
      <w:tr w:rsidR="00621577" w:rsidRPr="00621577" w:rsidTr="00621577">
        <w:trPr>
          <w:trHeight w:val="255"/>
        </w:trPr>
        <w:tc>
          <w:tcPr>
            <w:tcW w:w="2640" w:type="dxa"/>
            <w:hideMark/>
          </w:tcPr>
          <w:p w:rsidR="00621577" w:rsidRPr="00621577" w:rsidRDefault="00621577">
            <w:r w:rsidRPr="00621577">
              <w:lastRenderedPageBreak/>
              <w:t>Sage</w:t>
            </w:r>
          </w:p>
        </w:tc>
        <w:tc>
          <w:tcPr>
            <w:tcW w:w="1320" w:type="dxa"/>
            <w:hideMark/>
          </w:tcPr>
          <w:p w:rsidR="00621577" w:rsidRPr="00621577" w:rsidRDefault="00621577" w:rsidP="00621577">
            <w:pPr>
              <w:jc w:val="center"/>
            </w:pPr>
            <w:r w:rsidRPr="00621577">
              <w:t>200</w:t>
            </w:r>
          </w:p>
        </w:tc>
        <w:tc>
          <w:tcPr>
            <w:tcW w:w="960" w:type="dxa"/>
            <w:hideMark/>
          </w:tcPr>
          <w:p w:rsidR="00621577" w:rsidRPr="00621577" w:rsidRDefault="00621577" w:rsidP="00621577">
            <w:pPr>
              <w:jc w:val="center"/>
            </w:pPr>
            <w:r w:rsidRPr="00621577">
              <w:t>1</w:t>
            </w:r>
          </w:p>
        </w:tc>
      </w:tr>
      <w:tr w:rsidR="00621577" w:rsidRPr="00621577" w:rsidTr="00621577">
        <w:trPr>
          <w:trHeight w:val="510"/>
        </w:trPr>
        <w:tc>
          <w:tcPr>
            <w:tcW w:w="2640" w:type="dxa"/>
            <w:hideMark/>
          </w:tcPr>
          <w:p w:rsidR="00621577" w:rsidRPr="00621577" w:rsidRDefault="00621577">
            <w:r w:rsidRPr="00621577">
              <w:t>Society for General Microbiology</w:t>
            </w:r>
          </w:p>
        </w:tc>
        <w:tc>
          <w:tcPr>
            <w:tcW w:w="1320" w:type="dxa"/>
            <w:hideMark/>
          </w:tcPr>
          <w:p w:rsidR="00621577" w:rsidRPr="00621577" w:rsidRDefault="00621577" w:rsidP="00621577">
            <w:pPr>
              <w:jc w:val="center"/>
            </w:pPr>
            <w:r w:rsidRPr="00621577">
              <w:t>3255</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r w:rsidRPr="00621577">
              <w:t>SPIE</w:t>
            </w:r>
          </w:p>
        </w:tc>
        <w:tc>
          <w:tcPr>
            <w:tcW w:w="1320" w:type="dxa"/>
            <w:hideMark/>
          </w:tcPr>
          <w:p w:rsidR="00621577" w:rsidRPr="00621577" w:rsidRDefault="00621577" w:rsidP="00621577">
            <w:pPr>
              <w:jc w:val="center"/>
            </w:pPr>
            <w:r w:rsidRPr="00621577">
              <w:t>1718</w:t>
            </w:r>
          </w:p>
        </w:tc>
        <w:tc>
          <w:tcPr>
            <w:tcW w:w="960" w:type="dxa"/>
            <w:hideMark/>
          </w:tcPr>
          <w:p w:rsidR="00621577" w:rsidRPr="00621577" w:rsidRDefault="00621577" w:rsidP="00621577">
            <w:pPr>
              <w:jc w:val="center"/>
            </w:pPr>
            <w:r w:rsidRPr="00621577">
              <w:t>2</w:t>
            </w:r>
          </w:p>
        </w:tc>
      </w:tr>
      <w:tr w:rsidR="00621577" w:rsidRPr="00621577" w:rsidTr="00621577">
        <w:trPr>
          <w:trHeight w:val="255"/>
        </w:trPr>
        <w:tc>
          <w:tcPr>
            <w:tcW w:w="2640" w:type="dxa"/>
            <w:hideMark/>
          </w:tcPr>
          <w:p w:rsidR="00621577" w:rsidRPr="00621577" w:rsidRDefault="00621577">
            <w:r w:rsidRPr="00621577">
              <w:t>Springer</w:t>
            </w:r>
          </w:p>
        </w:tc>
        <w:tc>
          <w:tcPr>
            <w:tcW w:w="1320" w:type="dxa"/>
            <w:hideMark/>
          </w:tcPr>
          <w:p w:rsidR="00621577" w:rsidRPr="00621577" w:rsidRDefault="00621577" w:rsidP="00621577">
            <w:pPr>
              <w:jc w:val="center"/>
            </w:pPr>
            <w:r w:rsidRPr="00621577">
              <w:t>8295</w:t>
            </w:r>
          </w:p>
        </w:tc>
        <w:tc>
          <w:tcPr>
            <w:tcW w:w="960" w:type="dxa"/>
            <w:hideMark/>
          </w:tcPr>
          <w:p w:rsidR="00621577" w:rsidRPr="00621577" w:rsidRDefault="00621577" w:rsidP="00621577">
            <w:pPr>
              <w:jc w:val="center"/>
            </w:pPr>
            <w:r w:rsidRPr="00621577">
              <w:t>5</w:t>
            </w:r>
          </w:p>
        </w:tc>
      </w:tr>
      <w:tr w:rsidR="00621577" w:rsidRPr="00621577" w:rsidTr="00621577">
        <w:trPr>
          <w:trHeight w:val="255"/>
        </w:trPr>
        <w:tc>
          <w:tcPr>
            <w:tcW w:w="2640" w:type="dxa"/>
            <w:hideMark/>
          </w:tcPr>
          <w:p w:rsidR="00621577" w:rsidRPr="00621577" w:rsidRDefault="00621577">
            <w:r w:rsidRPr="00621577">
              <w:t>T&amp;F</w:t>
            </w:r>
          </w:p>
        </w:tc>
        <w:tc>
          <w:tcPr>
            <w:tcW w:w="1320" w:type="dxa"/>
            <w:hideMark/>
          </w:tcPr>
          <w:p w:rsidR="00621577" w:rsidRPr="00621577" w:rsidRDefault="00621577" w:rsidP="00621577">
            <w:pPr>
              <w:jc w:val="center"/>
            </w:pPr>
            <w:r w:rsidRPr="00621577">
              <w:t>14590</w:t>
            </w:r>
          </w:p>
        </w:tc>
        <w:tc>
          <w:tcPr>
            <w:tcW w:w="960" w:type="dxa"/>
            <w:hideMark/>
          </w:tcPr>
          <w:p w:rsidR="00621577" w:rsidRPr="00621577" w:rsidRDefault="00621577" w:rsidP="00621577">
            <w:pPr>
              <w:jc w:val="center"/>
            </w:pPr>
            <w:r w:rsidRPr="00621577">
              <w:t>8</w:t>
            </w:r>
          </w:p>
        </w:tc>
      </w:tr>
      <w:tr w:rsidR="00621577" w:rsidRPr="00621577" w:rsidTr="00621577">
        <w:trPr>
          <w:trHeight w:val="255"/>
        </w:trPr>
        <w:tc>
          <w:tcPr>
            <w:tcW w:w="2640" w:type="dxa"/>
            <w:hideMark/>
          </w:tcPr>
          <w:p w:rsidR="00621577" w:rsidRPr="00621577" w:rsidRDefault="00621577">
            <w:r w:rsidRPr="00621577">
              <w:t>OSA</w:t>
            </w:r>
          </w:p>
        </w:tc>
        <w:tc>
          <w:tcPr>
            <w:tcW w:w="1320" w:type="dxa"/>
            <w:hideMark/>
          </w:tcPr>
          <w:p w:rsidR="00621577" w:rsidRPr="00621577" w:rsidRDefault="00621577" w:rsidP="00621577">
            <w:pPr>
              <w:jc w:val="center"/>
            </w:pPr>
            <w:r w:rsidRPr="00621577">
              <w:t>850</w:t>
            </w:r>
          </w:p>
        </w:tc>
        <w:tc>
          <w:tcPr>
            <w:tcW w:w="960" w:type="dxa"/>
            <w:hideMark/>
          </w:tcPr>
          <w:p w:rsidR="00621577" w:rsidRPr="00621577" w:rsidRDefault="00621577" w:rsidP="00621577">
            <w:pPr>
              <w:jc w:val="center"/>
            </w:pPr>
            <w:r w:rsidRPr="00621577">
              <w:t>1</w:t>
            </w:r>
          </w:p>
        </w:tc>
      </w:tr>
      <w:tr w:rsidR="00621577" w:rsidRPr="00621577" w:rsidTr="00621577">
        <w:trPr>
          <w:trHeight w:val="255"/>
        </w:trPr>
        <w:tc>
          <w:tcPr>
            <w:tcW w:w="2640" w:type="dxa"/>
            <w:hideMark/>
          </w:tcPr>
          <w:p w:rsidR="00621577" w:rsidRPr="00621577" w:rsidRDefault="00621577">
            <w:r w:rsidRPr="00621577">
              <w:t>Wiley</w:t>
            </w:r>
          </w:p>
        </w:tc>
        <w:tc>
          <w:tcPr>
            <w:tcW w:w="1320" w:type="dxa"/>
            <w:hideMark/>
          </w:tcPr>
          <w:p w:rsidR="00621577" w:rsidRPr="00621577" w:rsidRDefault="00621577" w:rsidP="00621577">
            <w:pPr>
              <w:jc w:val="center"/>
            </w:pPr>
            <w:r w:rsidRPr="00621577">
              <w:t>101908</w:t>
            </w:r>
          </w:p>
        </w:tc>
        <w:tc>
          <w:tcPr>
            <w:tcW w:w="960" w:type="dxa"/>
            <w:hideMark/>
          </w:tcPr>
          <w:p w:rsidR="00621577" w:rsidRPr="00621577" w:rsidRDefault="00621577" w:rsidP="00621577">
            <w:pPr>
              <w:jc w:val="center"/>
            </w:pPr>
            <w:r w:rsidRPr="00621577">
              <w:t>60</w:t>
            </w:r>
          </w:p>
        </w:tc>
      </w:tr>
      <w:tr w:rsidR="00621577" w:rsidRPr="00621577" w:rsidTr="00621577">
        <w:trPr>
          <w:trHeight w:val="255"/>
        </w:trPr>
        <w:tc>
          <w:tcPr>
            <w:tcW w:w="2640" w:type="dxa"/>
            <w:hideMark/>
          </w:tcPr>
          <w:p w:rsidR="00621577" w:rsidRPr="00621577" w:rsidRDefault="00621577">
            <w:pPr>
              <w:rPr>
                <w:b/>
              </w:rPr>
            </w:pPr>
            <w:r w:rsidRPr="00621577">
              <w:rPr>
                <w:b/>
              </w:rPr>
              <w:t>TOTAL</w:t>
            </w:r>
          </w:p>
        </w:tc>
        <w:tc>
          <w:tcPr>
            <w:tcW w:w="1320" w:type="dxa"/>
            <w:hideMark/>
          </w:tcPr>
          <w:p w:rsidR="00621577" w:rsidRPr="00621577" w:rsidRDefault="00621577" w:rsidP="00621577">
            <w:pPr>
              <w:jc w:val="center"/>
              <w:rPr>
                <w:b/>
              </w:rPr>
            </w:pPr>
            <w:r w:rsidRPr="00621577">
              <w:rPr>
                <w:b/>
              </w:rPr>
              <w:t>379570</w:t>
            </w:r>
          </w:p>
        </w:tc>
        <w:tc>
          <w:tcPr>
            <w:tcW w:w="960" w:type="dxa"/>
            <w:hideMark/>
          </w:tcPr>
          <w:p w:rsidR="00621577" w:rsidRPr="00621577" w:rsidRDefault="00621577" w:rsidP="00621577">
            <w:pPr>
              <w:jc w:val="center"/>
              <w:rPr>
                <w:b/>
              </w:rPr>
            </w:pPr>
            <w:r w:rsidRPr="00621577">
              <w:rPr>
                <w:b/>
              </w:rPr>
              <w:t>252</w:t>
            </w:r>
          </w:p>
        </w:tc>
      </w:tr>
    </w:tbl>
    <w:p w:rsidR="00621577" w:rsidRDefault="00621577" w:rsidP="00704EE9">
      <w:r>
        <w:t>*Publishers who refused to provide Open Access under a CC-BY licence</w:t>
      </w:r>
    </w:p>
    <w:p w:rsidR="00621577" w:rsidRDefault="00621577" w:rsidP="00704EE9"/>
    <w:p w:rsidR="00704EE9" w:rsidRPr="005826BE" w:rsidRDefault="00621577" w:rsidP="00621577">
      <w:pPr>
        <w:pStyle w:val="ListParagraph"/>
        <w:numPr>
          <w:ilvl w:val="0"/>
          <w:numId w:val="1"/>
        </w:numPr>
        <w:rPr>
          <w:b/>
        </w:rPr>
      </w:pPr>
      <w:r w:rsidRPr="005826BE">
        <w:rPr>
          <w:b/>
        </w:rPr>
        <w:t>Other Expenditure Analysis</w:t>
      </w:r>
    </w:p>
    <w:tbl>
      <w:tblPr>
        <w:tblStyle w:val="TableGrid"/>
        <w:tblW w:w="0" w:type="auto"/>
        <w:tblLook w:val="04A0" w:firstRow="1" w:lastRow="0" w:firstColumn="1" w:lastColumn="0" w:noHBand="0" w:noVBand="1"/>
      </w:tblPr>
      <w:tblGrid>
        <w:gridCol w:w="2360"/>
        <w:gridCol w:w="1292"/>
        <w:gridCol w:w="4328"/>
      </w:tblGrid>
      <w:tr w:rsidR="00C50083" w:rsidRPr="00C50083" w:rsidTr="000C7D77">
        <w:trPr>
          <w:trHeight w:val="510"/>
        </w:trPr>
        <w:tc>
          <w:tcPr>
            <w:tcW w:w="2360" w:type="dxa"/>
            <w:hideMark/>
          </w:tcPr>
          <w:p w:rsidR="00C50083" w:rsidRPr="00C50083" w:rsidRDefault="00C50083">
            <w:pPr>
              <w:rPr>
                <w:b/>
                <w:bCs/>
              </w:rPr>
            </w:pPr>
            <w:r w:rsidRPr="00C50083">
              <w:rPr>
                <w:b/>
                <w:bCs/>
              </w:rPr>
              <w:t>Other Expenditure 01/04/2013 - 31/07/2014</w:t>
            </w:r>
          </w:p>
        </w:tc>
        <w:tc>
          <w:tcPr>
            <w:tcW w:w="1292" w:type="dxa"/>
            <w:hideMark/>
          </w:tcPr>
          <w:p w:rsidR="00C50083" w:rsidRPr="00C50083" w:rsidRDefault="00C50083" w:rsidP="000C7D77">
            <w:pPr>
              <w:jc w:val="center"/>
              <w:rPr>
                <w:b/>
                <w:bCs/>
              </w:rPr>
            </w:pPr>
            <w:r w:rsidRPr="00C50083">
              <w:rPr>
                <w:b/>
                <w:bCs/>
              </w:rPr>
              <w:t>£</w:t>
            </w:r>
          </w:p>
        </w:tc>
        <w:tc>
          <w:tcPr>
            <w:tcW w:w="4328" w:type="dxa"/>
            <w:hideMark/>
          </w:tcPr>
          <w:p w:rsidR="00C50083" w:rsidRPr="00C50083" w:rsidRDefault="00C50083">
            <w:pPr>
              <w:rPr>
                <w:b/>
                <w:bCs/>
              </w:rPr>
            </w:pPr>
            <w:r w:rsidRPr="00C50083">
              <w:rPr>
                <w:b/>
                <w:bCs/>
              </w:rPr>
              <w:t>Description</w:t>
            </w:r>
          </w:p>
        </w:tc>
      </w:tr>
      <w:tr w:rsidR="00C50083" w:rsidRPr="00C50083" w:rsidTr="000C7D77">
        <w:trPr>
          <w:trHeight w:val="285"/>
        </w:trPr>
        <w:tc>
          <w:tcPr>
            <w:tcW w:w="2360" w:type="dxa"/>
            <w:hideMark/>
          </w:tcPr>
          <w:p w:rsidR="00C50083" w:rsidRPr="00C50083" w:rsidRDefault="00C50083">
            <w:r w:rsidRPr="00C50083">
              <w:t>Staff Costs</w:t>
            </w:r>
          </w:p>
        </w:tc>
        <w:tc>
          <w:tcPr>
            <w:tcW w:w="1292" w:type="dxa"/>
            <w:hideMark/>
          </w:tcPr>
          <w:p w:rsidR="00C50083" w:rsidRPr="00C50083" w:rsidRDefault="00C50083" w:rsidP="000C7D77">
            <w:pPr>
              <w:jc w:val="center"/>
            </w:pPr>
            <w:r w:rsidRPr="00C50083">
              <w:t>44</w:t>
            </w:r>
            <w:r w:rsidR="000C7D77">
              <w:t xml:space="preserve"> </w:t>
            </w:r>
            <w:r w:rsidRPr="00C50083">
              <w:t>000</w:t>
            </w:r>
          </w:p>
        </w:tc>
        <w:tc>
          <w:tcPr>
            <w:tcW w:w="4328" w:type="dxa"/>
            <w:hideMark/>
          </w:tcPr>
          <w:p w:rsidR="00C50083" w:rsidRPr="00C50083" w:rsidRDefault="00C50083">
            <w:r w:rsidRPr="00C50083">
              <w:t xml:space="preserve">0.75FTE OA Coordinator role; </w:t>
            </w:r>
            <w:r w:rsidR="000C7D77">
              <w:t xml:space="preserve"> </w:t>
            </w:r>
            <w:r w:rsidRPr="00C50083">
              <w:t>1FTE OA assistant</w:t>
            </w:r>
          </w:p>
        </w:tc>
      </w:tr>
      <w:tr w:rsidR="00C50083" w:rsidRPr="00C50083" w:rsidTr="000C7D77">
        <w:trPr>
          <w:trHeight w:val="510"/>
        </w:trPr>
        <w:tc>
          <w:tcPr>
            <w:tcW w:w="2360" w:type="dxa"/>
            <w:hideMark/>
          </w:tcPr>
          <w:p w:rsidR="00C50083" w:rsidRPr="00C50083" w:rsidRDefault="00C50083">
            <w:r w:rsidRPr="00C50083">
              <w:t>Infrastructure</w:t>
            </w:r>
          </w:p>
        </w:tc>
        <w:tc>
          <w:tcPr>
            <w:tcW w:w="1292" w:type="dxa"/>
            <w:hideMark/>
          </w:tcPr>
          <w:p w:rsidR="00C50083" w:rsidRPr="00C50083" w:rsidRDefault="00C50083" w:rsidP="000C7D77">
            <w:pPr>
              <w:jc w:val="center"/>
            </w:pPr>
            <w:r w:rsidRPr="00C50083">
              <w:t>9</w:t>
            </w:r>
            <w:r w:rsidR="000C7D77">
              <w:t xml:space="preserve"> </w:t>
            </w:r>
            <w:r w:rsidRPr="00C50083">
              <w:t>000</w:t>
            </w:r>
          </w:p>
        </w:tc>
        <w:tc>
          <w:tcPr>
            <w:tcW w:w="4328" w:type="dxa"/>
            <w:hideMark/>
          </w:tcPr>
          <w:p w:rsidR="00C50083" w:rsidRPr="00C50083" w:rsidRDefault="00C50083">
            <w:proofErr w:type="spellStart"/>
            <w:r w:rsidRPr="00C50083">
              <w:t>Symplectic</w:t>
            </w:r>
            <w:proofErr w:type="spellEnd"/>
            <w:r w:rsidRPr="00C50083">
              <w:t xml:space="preserve"> User Licence (links the university publications software to our repository)</w:t>
            </w:r>
          </w:p>
        </w:tc>
      </w:tr>
      <w:tr w:rsidR="00C50083" w:rsidRPr="00C50083" w:rsidTr="000C7D77">
        <w:trPr>
          <w:trHeight w:val="765"/>
        </w:trPr>
        <w:tc>
          <w:tcPr>
            <w:tcW w:w="2360" w:type="dxa"/>
            <w:hideMark/>
          </w:tcPr>
          <w:p w:rsidR="00C50083" w:rsidRPr="00C50083" w:rsidRDefault="00C50083">
            <w:r w:rsidRPr="00C50083">
              <w:t>Publishers (pre-payment schemes and membership schemes)</w:t>
            </w:r>
          </w:p>
        </w:tc>
        <w:tc>
          <w:tcPr>
            <w:tcW w:w="1292" w:type="dxa"/>
            <w:hideMark/>
          </w:tcPr>
          <w:p w:rsidR="00C50083" w:rsidRPr="00C50083" w:rsidRDefault="00C50083" w:rsidP="000C7D77">
            <w:pPr>
              <w:jc w:val="center"/>
            </w:pPr>
            <w:r w:rsidRPr="00C50083">
              <w:t>105</w:t>
            </w:r>
            <w:r w:rsidR="000C7D77">
              <w:t xml:space="preserve"> </w:t>
            </w:r>
            <w:r w:rsidRPr="00C50083">
              <w:t>000</w:t>
            </w:r>
          </w:p>
        </w:tc>
        <w:tc>
          <w:tcPr>
            <w:tcW w:w="4328" w:type="dxa"/>
            <w:hideMark/>
          </w:tcPr>
          <w:p w:rsidR="00C50083" w:rsidRPr="00C50083" w:rsidRDefault="00C50083">
            <w:r w:rsidRPr="00C50083">
              <w:t xml:space="preserve">Wiley pre-payment top-up £100K April 2014; Royal Society 1 </w:t>
            </w:r>
            <w:proofErr w:type="spellStart"/>
            <w:r w:rsidRPr="00C50083">
              <w:t>Yr</w:t>
            </w:r>
            <w:proofErr w:type="spellEnd"/>
            <w:r w:rsidRPr="00C50083">
              <w:t xml:space="preserve"> Membership (entitles all authors to 25% discount on APCs) </w:t>
            </w:r>
          </w:p>
        </w:tc>
      </w:tr>
      <w:tr w:rsidR="00C50083" w:rsidRPr="00C50083" w:rsidTr="000C7D77">
        <w:trPr>
          <w:trHeight w:val="255"/>
        </w:trPr>
        <w:tc>
          <w:tcPr>
            <w:tcW w:w="2360" w:type="dxa"/>
            <w:hideMark/>
          </w:tcPr>
          <w:p w:rsidR="00C50083" w:rsidRPr="000C7D77" w:rsidRDefault="00C50083">
            <w:pPr>
              <w:rPr>
                <w:b/>
              </w:rPr>
            </w:pPr>
            <w:r w:rsidRPr="000C7D77">
              <w:rPr>
                <w:b/>
              </w:rPr>
              <w:t>TOTAL</w:t>
            </w:r>
          </w:p>
        </w:tc>
        <w:tc>
          <w:tcPr>
            <w:tcW w:w="1292" w:type="dxa"/>
            <w:hideMark/>
          </w:tcPr>
          <w:p w:rsidR="00C50083" w:rsidRPr="000C7D77" w:rsidRDefault="00C50083" w:rsidP="000C7D77">
            <w:pPr>
              <w:jc w:val="center"/>
              <w:rPr>
                <w:b/>
              </w:rPr>
            </w:pPr>
            <w:r w:rsidRPr="000C7D77">
              <w:rPr>
                <w:b/>
              </w:rPr>
              <w:t>158</w:t>
            </w:r>
            <w:r w:rsidR="000C7D77">
              <w:rPr>
                <w:b/>
              </w:rPr>
              <w:t xml:space="preserve"> </w:t>
            </w:r>
            <w:r w:rsidRPr="000C7D77">
              <w:rPr>
                <w:b/>
              </w:rPr>
              <w:t>000</w:t>
            </w:r>
          </w:p>
        </w:tc>
        <w:tc>
          <w:tcPr>
            <w:tcW w:w="4328" w:type="dxa"/>
            <w:hideMark/>
          </w:tcPr>
          <w:p w:rsidR="00C50083" w:rsidRPr="000C7D77" w:rsidRDefault="00C50083">
            <w:pPr>
              <w:rPr>
                <w:b/>
              </w:rPr>
            </w:pPr>
          </w:p>
        </w:tc>
      </w:tr>
    </w:tbl>
    <w:p w:rsidR="00C50083" w:rsidRDefault="00C50083" w:rsidP="00C50083"/>
    <w:tbl>
      <w:tblPr>
        <w:tblStyle w:val="TableGrid"/>
        <w:tblW w:w="0" w:type="auto"/>
        <w:tblLook w:val="04A0" w:firstRow="1" w:lastRow="0" w:firstColumn="1" w:lastColumn="0" w:noHBand="0" w:noVBand="1"/>
      </w:tblPr>
      <w:tblGrid>
        <w:gridCol w:w="2360"/>
        <w:gridCol w:w="1292"/>
      </w:tblGrid>
      <w:tr w:rsidR="000C7D77" w:rsidRPr="000C7D77" w:rsidTr="000C7D77">
        <w:trPr>
          <w:trHeight w:val="255"/>
        </w:trPr>
        <w:tc>
          <w:tcPr>
            <w:tcW w:w="2360" w:type="dxa"/>
            <w:hideMark/>
          </w:tcPr>
          <w:p w:rsidR="000C7D77" w:rsidRPr="000C7D77" w:rsidRDefault="000C7D77">
            <w:pPr>
              <w:rPr>
                <w:b/>
                <w:bCs/>
              </w:rPr>
            </w:pPr>
            <w:r w:rsidRPr="000C7D77">
              <w:rPr>
                <w:b/>
                <w:bCs/>
              </w:rPr>
              <w:t>TOTAL SPEND</w:t>
            </w:r>
          </w:p>
        </w:tc>
        <w:tc>
          <w:tcPr>
            <w:tcW w:w="1292" w:type="dxa"/>
            <w:hideMark/>
          </w:tcPr>
          <w:p w:rsidR="000C7D77" w:rsidRPr="000C7D77" w:rsidRDefault="000C7D77" w:rsidP="000C7D77">
            <w:pPr>
              <w:jc w:val="center"/>
              <w:rPr>
                <w:b/>
                <w:bCs/>
              </w:rPr>
            </w:pPr>
            <w:r w:rsidRPr="000C7D77">
              <w:rPr>
                <w:b/>
                <w:bCs/>
              </w:rPr>
              <w:t>£</w:t>
            </w:r>
          </w:p>
        </w:tc>
      </w:tr>
      <w:tr w:rsidR="000C7D77" w:rsidRPr="000C7D77" w:rsidTr="000C7D77">
        <w:trPr>
          <w:trHeight w:val="510"/>
        </w:trPr>
        <w:tc>
          <w:tcPr>
            <w:tcW w:w="2360" w:type="dxa"/>
            <w:hideMark/>
          </w:tcPr>
          <w:p w:rsidR="000C7D77" w:rsidRPr="000C7D77" w:rsidRDefault="000C7D77">
            <w:proofErr w:type="spellStart"/>
            <w:r w:rsidRPr="000C7D77">
              <w:t>UoS</w:t>
            </w:r>
            <w:proofErr w:type="spellEnd"/>
            <w:r w:rsidRPr="000C7D77">
              <w:t xml:space="preserve"> Block Grant 2013-2014</w:t>
            </w:r>
          </w:p>
        </w:tc>
        <w:tc>
          <w:tcPr>
            <w:tcW w:w="1292" w:type="dxa"/>
            <w:hideMark/>
          </w:tcPr>
          <w:p w:rsidR="000C7D77" w:rsidRPr="000C7D77" w:rsidRDefault="000C7D77" w:rsidP="000C7D77">
            <w:pPr>
              <w:jc w:val="center"/>
            </w:pPr>
            <w:r w:rsidRPr="000C7D77">
              <w:t>490</w:t>
            </w:r>
            <w:r>
              <w:t xml:space="preserve"> </w:t>
            </w:r>
            <w:r w:rsidRPr="000C7D77">
              <w:t>000</w:t>
            </w:r>
          </w:p>
        </w:tc>
      </w:tr>
      <w:tr w:rsidR="000C7D77" w:rsidRPr="000C7D77" w:rsidTr="000C7D77">
        <w:trPr>
          <w:trHeight w:val="255"/>
        </w:trPr>
        <w:tc>
          <w:tcPr>
            <w:tcW w:w="2360" w:type="dxa"/>
            <w:hideMark/>
          </w:tcPr>
          <w:p w:rsidR="000C7D77" w:rsidRPr="000C7D77" w:rsidRDefault="000C7D77">
            <w:r w:rsidRPr="000C7D77">
              <w:t>APC payments</w:t>
            </w:r>
          </w:p>
        </w:tc>
        <w:tc>
          <w:tcPr>
            <w:tcW w:w="1292" w:type="dxa"/>
            <w:hideMark/>
          </w:tcPr>
          <w:p w:rsidR="000C7D77" w:rsidRPr="000C7D77" w:rsidRDefault="000C7D77" w:rsidP="000C7D77">
            <w:pPr>
              <w:jc w:val="center"/>
            </w:pPr>
            <w:r w:rsidRPr="000C7D77">
              <w:t>-380</w:t>
            </w:r>
            <w:r>
              <w:t xml:space="preserve"> </w:t>
            </w:r>
            <w:r w:rsidRPr="000C7D77">
              <w:t>000</w:t>
            </w:r>
          </w:p>
        </w:tc>
      </w:tr>
      <w:tr w:rsidR="000C7D77" w:rsidRPr="000C7D77" w:rsidTr="000C7D77">
        <w:trPr>
          <w:trHeight w:val="255"/>
        </w:trPr>
        <w:tc>
          <w:tcPr>
            <w:tcW w:w="2360" w:type="dxa"/>
            <w:hideMark/>
          </w:tcPr>
          <w:p w:rsidR="000C7D77" w:rsidRPr="000C7D77" w:rsidRDefault="000C7D77">
            <w:r w:rsidRPr="000C7D77">
              <w:t>Other expenditure</w:t>
            </w:r>
          </w:p>
        </w:tc>
        <w:tc>
          <w:tcPr>
            <w:tcW w:w="1292" w:type="dxa"/>
            <w:hideMark/>
          </w:tcPr>
          <w:p w:rsidR="000C7D77" w:rsidRPr="000C7D77" w:rsidRDefault="000C7D77" w:rsidP="000C7D77">
            <w:pPr>
              <w:jc w:val="center"/>
            </w:pPr>
            <w:r w:rsidRPr="000C7D77">
              <w:t>-158</w:t>
            </w:r>
            <w:r>
              <w:t xml:space="preserve"> </w:t>
            </w:r>
            <w:r w:rsidRPr="000C7D77">
              <w:t>000</w:t>
            </w:r>
          </w:p>
        </w:tc>
      </w:tr>
      <w:tr w:rsidR="000C7D77" w:rsidRPr="000C7D77" w:rsidTr="000C7D77">
        <w:trPr>
          <w:trHeight w:val="255"/>
        </w:trPr>
        <w:tc>
          <w:tcPr>
            <w:tcW w:w="2360" w:type="dxa"/>
            <w:hideMark/>
          </w:tcPr>
          <w:p w:rsidR="000C7D77" w:rsidRPr="000C7D77" w:rsidRDefault="000C7D77">
            <w:pPr>
              <w:rPr>
                <w:b/>
                <w:bCs/>
              </w:rPr>
            </w:pPr>
            <w:r w:rsidRPr="000C7D77">
              <w:rPr>
                <w:b/>
                <w:bCs/>
              </w:rPr>
              <w:t>BALANCE</w:t>
            </w:r>
          </w:p>
        </w:tc>
        <w:tc>
          <w:tcPr>
            <w:tcW w:w="1292" w:type="dxa"/>
            <w:hideMark/>
          </w:tcPr>
          <w:p w:rsidR="000C7D77" w:rsidRPr="000C7D77" w:rsidRDefault="000C7D77" w:rsidP="000C7D77">
            <w:pPr>
              <w:jc w:val="center"/>
              <w:rPr>
                <w:b/>
                <w:bCs/>
              </w:rPr>
            </w:pPr>
            <w:r w:rsidRPr="000C7D77">
              <w:rPr>
                <w:b/>
                <w:bCs/>
              </w:rPr>
              <w:t>-48</w:t>
            </w:r>
            <w:r>
              <w:rPr>
                <w:b/>
                <w:bCs/>
              </w:rPr>
              <w:t xml:space="preserve"> </w:t>
            </w:r>
            <w:r w:rsidRPr="000C7D77">
              <w:rPr>
                <w:b/>
                <w:bCs/>
              </w:rPr>
              <w:t>000</w:t>
            </w:r>
          </w:p>
        </w:tc>
      </w:tr>
    </w:tbl>
    <w:p w:rsidR="000C7D77" w:rsidRDefault="000C7D77" w:rsidP="000C7D77"/>
    <w:p w:rsidR="000C7D77" w:rsidRDefault="000C7D77" w:rsidP="000C7D77">
      <w:r>
        <w:t xml:space="preserve">Our </w:t>
      </w:r>
      <w:proofErr w:type="gramStart"/>
      <w:r>
        <w:t>total spend</w:t>
      </w:r>
      <w:proofErr w:type="gramEnd"/>
      <w:r>
        <w:t xml:space="preserve"> on OA related activity during the period April 2013 to July 2014 is greater than our RCUK allocation of £490K.  This is because although we have spent £380K on 252 individual APCs, some of the actual payments were deducted from pre-payment schemes set up with BIS money.  </w:t>
      </w:r>
    </w:p>
    <w:p w:rsidR="000C7D77" w:rsidRDefault="000C7D77" w:rsidP="00C50083"/>
    <w:p w:rsidR="00BB7785" w:rsidRPr="005826BE" w:rsidRDefault="00BB7785" w:rsidP="00C50083">
      <w:pPr>
        <w:rPr>
          <w:b/>
          <w:sz w:val="24"/>
          <w:szCs w:val="24"/>
        </w:rPr>
      </w:pPr>
      <w:r w:rsidRPr="005826BE">
        <w:rPr>
          <w:b/>
          <w:sz w:val="24"/>
          <w:szCs w:val="24"/>
        </w:rPr>
        <w:t>Policy Compliance</w:t>
      </w:r>
    </w:p>
    <w:p w:rsidR="00BB7785" w:rsidRPr="00672D3E" w:rsidRDefault="00BB7785" w:rsidP="00BB7785">
      <w:pPr>
        <w:pStyle w:val="ListParagraph"/>
        <w:numPr>
          <w:ilvl w:val="0"/>
          <w:numId w:val="2"/>
        </w:numPr>
        <w:rPr>
          <w:b/>
        </w:rPr>
      </w:pPr>
      <w:r w:rsidRPr="00672D3E">
        <w:rPr>
          <w:b/>
        </w:rPr>
        <w:t xml:space="preserve">Total number of  RCUK funded papers published April 2013- July 2014 </w:t>
      </w:r>
    </w:p>
    <w:p w:rsidR="00BB7785" w:rsidRDefault="00BB7785" w:rsidP="00BB7785">
      <w:pPr>
        <w:pStyle w:val="ListParagraph"/>
        <w:ind w:left="1080"/>
      </w:pPr>
      <w:r>
        <w:t>Our existing publication/research systems do not capture funder data and correlate it with article metadata and OA status</w:t>
      </w:r>
      <w:r w:rsidR="00672D3E">
        <w:t>. Therefore</w:t>
      </w:r>
      <w:r>
        <w:t xml:space="preserve"> we are</w:t>
      </w:r>
      <w:r w:rsidR="00672D3E">
        <w:t xml:space="preserve"> currently</w:t>
      </w:r>
      <w:r>
        <w:t xml:space="preserve"> unable to say how many</w:t>
      </w:r>
      <w:r w:rsidR="00672D3E">
        <w:t xml:space="preserve"> peer-reviewed papers arising from research council funded research have been published by researchers from the University of Sheffield.  We are awaiting a systems </w:t>
      </w:r>
      <w:r w:rsidR="00672D3E">
        <w:lastRenderedPageBreak/>
        <w:t>update which should allow us to link our grants information to our publications software (</w:t>
      </w:r>
      <w:proofErr w:type="spellStart"/>
      <w:r w:rsidR="00672D3E">
        <w:t>Symplectic</w:t>
      </w:r>
      <w:proofErr w:type="spellEnd"/>
      <w:r w:rsidR="00672D3E">
        <w:t>).</w:t>
      </w:r>
    </w:p>
    <w:p w:rsidR="00672D3E" w:rsidRDefault="00672D3E" w:rsidP="00BB7785">
      <w:pPr>
        <w:pStyle w:val="ListParagraph"/>
        <w:ind w:left="1080"/>
      </w:pPr>
    </w:p>
    <w:p w:rsidR="00672D3E" w:rsidRPr="005826BE" w:rsidRDefault="00672D3E" w:rsidP="00672D3E">
      <w:pPr>
        <w:pStyle w:val="ListParagraph"/>
        <w:numPr>
          <w:ilvl w:val="0"/>
          <w:numId w:val="2"/>
        </w:numPr>
        <w:rPr>
          <w:b/>
        </w:rPr>
      </w:pPr>
      <w:r w:rsidRPr="005826BE">
        <w:rPr>
          <w:b/>
        </w:rPr>
        <w:t>Compliance</w:t>
      </w:r>
    </w:p>
    <w:p w:rsidR="00922C61" w:rsidRDefault="00922C61" w:rsidP="00922C61">
      <w:pPr>
        <w:pStyle w:val="ListParagraph"/>
        <w:numPr>
          <w:ilvl w:val="0"/>
          <w:numId w:val="3"/>
        </w:numPr>
      </w:pPr>
      <w:r>
        <w:t>Number of art</w:t>
      </w:r>
      <w:r w:rsidR="009F4E2F">
        <w:t>icles made open access via the g</w:t>
      </w:r>
      <w:r>
        <w:t>old route</w:t>
      </w:r>
    </w:p>
    <w:p w:rsidR="00672D3E" w:rsidRDefault="005826BE" w:rsidP="00922C61">
      <w:pPr>
        <w:pStyle w:val="ListParagraph"/>
        <w:ind w:left="1440"/>
      </w:pPr>
      <w:r>
        <w:t>We have paid for 252</w:t>
      </w:r>
      <w:r w:rsidR="00672D3E">
        <w:t xml:space="preserve"> articles to be made open access via the Gold route with a CC-BY licence</w:t>
      </w:r>
      <w:r>
        <w:t xml:space="preserve"> between April 2013 and 31</w:t>
      </w:r>
      <w:r w:rsidRPr="005826BE">
        <w:rPr>
          <w:vertAlign w:val="superscript"/>
        </w:rPr>
        <w:t>st</w:t>
      </w:r>
      <w:r>
        <w:t xml:space="preserve"> of July 2014</w:t>
      </w:r>
      <w:r w:rsidR="00672D3E">
        <w:t xml:space="preserve">. </w:t>
      </w:r>
      <w:r w:rsidR="00CC3C44">
        <w:t xml:space="preserve">  </w:t>
      </w:r>
      <w:r w:rsidR="00922C61">
        <w:t xml:space="preserve">When staff time allows we </w:t>
      </w:r>
      <w:r w:rsidR="00CC3C44">
        <w:t>check that the articles have been made open access with the correct licence.  In March of this year a check found that 20% of articles had not been made open access as requested (and paid for).  Most of these were rectified reasonably swiftly by the publishers concerned.</w:t>
      </w:r>
    </w:p>
    <w:p w:rsidR="00CC3C44" w:rsidRDefault="00CC3C44" w:rsidP="00672D3E">
      <w:pPr>
        <w:pStyle w:val="ListParagraph"/>
        <w:ind w:left="1080"/>
      </w:pPr>
    </w:p>
    <w:p w:rsidR="00CC3C44" w:rsidRDefault="00CC3C44" w:rsidP="00922C61">
      <w:pPr>
        <w:pStyle w:val="ListParagraph"/>
        <w:ind w:left="1440"/>
      </w:pPr>
      <w:r>
        <w:t>At the same time we also checked the copyright and licensing statements on 103 papers for which we have paid an APC</w:t>
      </w:r>
      <w:r w:rsidR="00922C61">
        <w:t>. We</w:t>
      </w:r>
      <w:r>
        <w:t xml:space="preserve"> found only about 60% of the articles had the correct CC-BY licence clearly visible on the article PDF.   In some cases, discussion with the journal/publisher revealed that they were actually CC-BY but that wasn’t easily identifiable from the journal webpage/PDF.   Some of the others were errors but </w:t>
      </w:r>
      <w:r w:rsidR="00922C61">
        <w:t xml:space="preserve">some </w:t>
      </w:r>
      <w:r>
        <w:t>publishers were reluctant to alter the PDFs claiming it was either too difficult or ‘unethical’ to subsequently alter a published PDF.  In a few cases we discovered the publishers simply refuse to use the CC-BY licence</w:t>
      </w:r>
      <w:r w:rsidR="00922C61">
        <w:t xml:space="preserve"> (at the time we asked).  These are indicated with an asterisk in the table listing APCs paid by </w:t>
      </w:r>
      <w:proofErr w:type="gramStart"/>
      <w:r w:rsidR="00922C61">
        <w:t>publishers .</w:t>
      </w:r>
      <w:proofErr w:type="gramEnd"/>
      <w:r w:rsidR="00922C61">
        <w:t xml:space="preserve"> We now refuse requests from authors to use the block grant to pay for open access in these publications. </w:t>
      </w:r>
    </w:p>
    <w:p w:rsidR="009F4E2F" w:rsidRDefault="009F4E2F" w:rsidP="00922C61">
      <w:pPr>
        <w:pStyle w:val="ListParagraph"/>
        <w:ind w:left="1440"/>
      </w:pPr>
    </w:p>
    <w:p w:rsidR="009F4E2F" w:rsidRDefault="009F4E2F" w:rsidP="009F4E2F">
      <w:pPr>
        <w:pStyle w:val="ListParagraph"/>
        <w:numPr>
          <w:ilvl w:val="0"/>
          <w:numId w:val="3"/>
        </w:numPr>
      </w:pPr>
      <w:r>
        <w:t>Number of articles made open access via the green route</w:t>
      </w:r>
    </w:p>
    <w:p w:rsidR="009F4E2F" w:rsidRDefault="009F4E2F" w:rsidP="009F4E2F">
      <w:pPr>
        <w:pStyle w:val="ListParagraph"/>
        <w:ind w:left="1440"/>
      </w:pPr>
      <w:r>
        <w:t xml:space="preserve">The majority of authors who are using the green route to make their articles open access do so of their own volition and without involving the open access team.  When depositing articles in our repository WRRO, they </w:t>
      </w:r>
      <w:r w:rsidR="005826BE">
        <w:t xml:space="preserve">do </w:t>
      </w:r>
      <w:r>
        <w:t xml:space="preserve">not </w:t>
      </w:r>
      <w:r w:rsidR="005826BE">
        <w:t>usually</w:t>
      </w:r>
      <w:r>
        <w:t xml:space="preserve"> include information about funding in the metadata. Additionally many of them are using other repositories such as </w:t>
      </w:r>
      <w:proofErr w:type="spellStart"/>
      <w:r>
        <w:t>ArXiv</w:t>
      </w:r>
      <w:proofErr w:type="spellEnd"/>
      <w:r>
        <w:t xml:space="preserve">, PubMed etc. This means we currently do not know how many RCUK funded articles have been made open access by the green route.  We have been contacted by 6 people who have tried to make articles open access via the green route but due to the length of the publisher embargo </w:t>
      </w:r>
      <w:proofErr w:type="gramStart"/>
      <w:r>
        <w:t>period ,</w:t>
      </w:r>
      <w:proofErr w:type="gramEnd"/>
      <w:r>
        <w:t xml:space="preserve"> these would not be RCUK compliant.</w:t>
      </w:r>
      <w:r w:rsidR="005826BE">
        <w:t xml:space="preserve">  </w:t>
      </w:r>
    </w:p>
    <w:p w:rsidR="006F7054" w:rsidRDefault="006F7054" w:rsidP="009F4E2F">
      <w:pPr>
        <w:pStyle w:val="ListParagraph"/>
        <w:ind w:left="1440"/>
      </w:pPr>
    </w:p>
    <w:p w:rsidR="006F7054" w:rsidRDefault="006F7054" w:rsidP="006F7054">
      <w:pPr>
        <w:pStyle w:val="ListParagraph"/>
        <w:numPr>
          <w:ilvl w:val="0"/>
          <w:numId w:val="3"/>
        </w:numPr>
      </w:pPr>
      <w:r>
        <w:t>Overall Compliance rate</w:t>
      </w:r>
    </w:p>
    <w:p w:rsidR="006F7054" w:rsidRDefault="006F7054" w:rsidP="006F7054">
      <w:pPr>
        <w:pStyle w:val="ListParagraph"/>
        <w:ind w:left="1440"/>
      </w:pPr>
      <w:r>
        <w:t>As we do n</w:t>
      </w:r>
      <w:r w:rsidR="005826BE">
        <w:t>ot know</w:t>
      </w:r>
      <w:r>
        <w:t xml:space="preserve"> how many RCUK funded papers have been published by University of Sheffield authors it is not possible to give an exact figure for our compliance rate.  Therefore we have attempted to estimate it using data from Web of Knowledge and Scopus as described below:</w:t>
      </w:r>
    </w:p>
    <w:p w:rsidR="006F7054" w:rsidRDefault="006F7054" w:rsidP="006F7054">
      <w:pPr>
        <w:pStyle w:val="ListParagraph"/>
        <w:ind w:left="1440"/>
      </w:pPr>
    </w:p>
    <w:p w:rsidR="006F7054" w:rsidRDefault="006F7054" w:rsidP="006F7054">
      <w:pPr>
        <w:pStyle w:val="ListParagraph"/>
        <w:ind w:left="1440"/>
      </w:pPr>
      <w:r>
        <w:t>Sample 1:</w:t>
      </w:r>
    </w:p>
    <w:p w:rsidR="006F7054" w:rsidRDefault="006F7054" w:rsidP="006F7054">
      <w:pPr>
        <w:pStyle w:val="ListParagraph"/>
        <w:ind w:left="1440"/>
        <w:rPr>
          <w:rFonts w:eastAsia="Times New Roman" w:cs="Arial"/>
          <w:color w:val="000000"/>
          <w:lang w:eastAsia="en-GB"/>
        </w:rPr>
      </w:pPr>
      <w:r w:rsidRPr="006F7054">
        <w:rPr>
          <w:rFonts w:eastAsia="Times New Roman" w:cs="Arial"/>
          <w:color w:val="000000"/>
          <w:lang w:eastAsia="en-GB"/>
        </w:rPr>
        <w:t xml:space="preserve">A search in </w:t>
      </w:r>
      <w:proofErr w:type="spellStart"/>
      <w:r w:rsidRPr="006F7054">
        <w:rPr>
          <w:rFonts w:eastAsia="Times New Roman" w:cs="Arial"/>
          <w:color w:val="000000"/>
          <w:lang w:eastAsia="en-GB"/>
        </w:rPr>
        <w:t>WoS</w:t>
      </w:r>
      <w:proofErr w:type="spellEnd"/>
      <w:r w:rsidRPr="006F7054">
        <w:rPr>
          <w:rFonts w:eastAsia="Times New Roman" w:cs="Arial"/>
          <w:color w:val="000000"/>
          <w:lang w:eastAsia="en-GB"/>
        </w:rPr>
        <w:t xml:space="preserve"> Core Collection for organisation</w:t>
      </w:r>
      <w:r>
        <w:rPr>
          <w:rFonts w:eastAsia="Times New Roman" w:cs="Arial"/>
          <w:color w:val="000000"/>
          <w:lang w:eastAsia="en-GB"/>
        </w:rPr>
        <w:t>=</w:t>
      </w:r>
      <w:r w:rsidRPr="006F7054">
        <w:rPr>
          <w:rFonts w:eastAsia="Times New Roman" w:cs="Arial"/>
          <w:color w:val="000000"/>
          <w:lang w:eastAsia="en-GB"/>
        </w:rPr>
        <w:t xml:space="preserve"> University of Sheffield and any RCUK funder acknowledgement </w:t>
      </w:r>
      <w:r>
        <w:rPr>
          <w:rFonts w:eastAsia="Times New Roman" w:cs="Arial"/>
          <w:color w:val="000000"/>
          <w:lang w:eastAsia="en-GB"/>
        </w:rPr>
        <w:t xml:space="preserve">with year of </w:t>
      </w:r>
      <w:proofErr w:type="gramStart"/>
      <w:r>
        <w:rPr>
          <w:rFonts w:eastAsia="Times New Roman" w:cs="Arial"/>
          <w:color w:val="000000"/>
          <w:lang w:eastAsia="en-GB"/>
        </w:rPr>
        <w:t>publication  2013</w:t>
      </w:r>
      <w:proofErr w:type="gramEnd"/>
      <w:r>
        <w:rPr>
          <w:rFonts w:eastAsia="Times New Roman" w:cs="Arial"/>
          <w:color w:val="000000"/>
          <w:lang w:eastAsia="en-GB"/>
        </w:rPr>
        <w:t xml:space="preserve"> – 2014,</w:t>
      </w:r>
      <w:r w:rsidR="005826BE">
        <w:rPr>
          <w:rFonts w:eastAsia="Times New Roman" w:cs="Arial"/>
          <w:color w:val="000000"/>
          <w:lang w:eastAsia="en-GB"/>
        </w:rPr>
        <w:t xml:space="preserve"> </w:t>
      </w:r>
      <w:r w:rsidRPr="006F7054">
        <w:rPr>
          <w:rFonts w:eastAsia="Times New Roman" w:cs="Arial"/>
          <w:color w:val="000000"/>
          <w:lang w:eastAsia="en-GB"/>
        </w:rPr>
        <w:t xml:space="preserve">returned over 700 records. </w:t>
      </w:r>
      <w:r w:rsidR="005826BE">
        <w:rPr>
          <w:rFonts w:eastAsia="Times New Roman" w:cs="Arial"/>
          <w:color w:val="000000"/>
          <w:lang w:eastAsia="en-GB"/>
        </w:rPr>
        <w:t xml:space="preserve"> </w:t>
      </w:r>
      <w:r w:rsidRPr="006F7054">
        <w:rPr>
          <w:rFonts w:eastAsia="Times New Roman" w:cs="Arial"/>
          <w:color w:val="000000"/>
          <w:lang w:eastAsia="en-GB"/>
        </w:rPr>
        <w:t xml:space="preserve">70 papers were chosen at random and checked for their open access </w:t>
      </w:r>
      <w:r w:rsidRPr="006F7054">
        <w:rPr>
          <w:rFonts w:eastAsia="Times New Roman" w:cs="Arial"/>
          <w:color w:val="000000"/>
          <w:lang w:eastAsia="en-GB"/>
        </w:rPr>
        <w:lastRenderedPageBreak/>
        <w:t>status.  </w:t>
      </w:r>
      <w:r>
        <w:rPr>
          <w:rFonts w:eastAsia="Times New Roman" w:cs="Arial"/>
          <w:color w:val="000000"/>
          <w:lang w:eastAsia="en-GB"/>
        </w:rPr>
        <w:t xml:space="preserve"> It was found that 33 were open access (27 gold, 6 green) giving a compliance rate of 47%.</w:t>
      </w:r>
    </w:p>
    <w:p w:rsidR="006F7054" w:rsidRDefault="006F7054" w:rsidP="006F7054">
      <w:pPr>
        <w:pStyle w:val="ListParagraph"/>
        <w:ind w:left="1440"/>
        <w:rPr>
          <w:rFonts w:eastAsia="Times New Roman" w:cs="Arial"/>
          <w:color w:val="000000"/>
          <w:lang w:eastAsia="en-GB"/>
        </w:rPr>
      </w:pPr>
    </w:p>
    <w:p w:rsidR="006F7054" w:rsidRDefault="00173CD0" w:rsidP="006F7054">
      <w:pPr>
        <w:pStyle w:val="ListParagraph"/>
        <w:ind w:left="1440"/>
        <w:rPr>
          <w:rFonts w:eastAsia="Times New Roman" w:cs="Arial"/>
          <w:color w:val="000000"/>
          <w:lang w:eastAsia="en-GB"/>
        </w:rPr>
      </w:pPr>
      <w:r>
        <w:rPr>
          <w:rFonts w:eastAsia="Times New Roman" w:cs="Arial"/>
          <w:color w:val="000000"/>
          <w:lang w:eastAsia="en-GB"/>
        </w:rPr>
        <w:t>Sample 2:</w:t>
      </w:r>
    </w:p>
    <w:p w:rsidR="00173CD0" w:rsidRDefault="00173CD0" w:rsidP="006F7054">
      <w:pPr>
        <w:pStyle w:val="ListParagraph"/>
        <w:ind w:left="1440"/>
        <w:rPr>
          <w:rFonts w:eastAsia="Times New Roman" w:cs="Arial"/>
          <w:color w:val="000000"/>
          <w:lang w:eastAsia="en-GB"/>
        </w:rPr>
      </w:pPr>
      <w:r>
        <w:rPr>
          <w:rFonts w:eastAsia="Times New Roman" w:cs="Arial"/>
          <w:color w:val="000000"/>
          <w:lang w:eastAsia="en-GB"/>
        </w:rPr>
        <w:t xml:space="preserve">This search was repeated but only for articles published in 2014. 128 articles were identified that had a </w:t>
      </w:r>
      <w:r w:rsidR="005826BE">
        <w:rPr>
          <w:rFonts w:eastAsia="Times New Roman" w:cs="Arial"/>
          <w:color w:val="000000"/>
          <w:lang w:eastAsia="en-GB"/>
        </w:rPr>
        <w:t xml:space="preserve">University of </w:t>
      </w:r>
      <w:r>
        <w:rPr>
          <w:rFonts w:eastAsia="Times New Roman" w:cs="Arial"/>
          <w:color w:val="000000"/>
          <w:lang w:eastAsia="en-GB"/>
        </w:rPr>
        <w:t xml:space="preserve">Sheffield RCUK funded researcher who was either the corresponding author and/or the principle author. Of these, 62 were open access giving a compliance rate of 48%. </w:t>
      </w:r>
    </w:p>
    <w:p w:rsidR="005826BE" w:rsidRDefault="00173CD0" w:rsidP="006F7054">
      <w:pPr>
        <w:spacing w:after="0" w:line="240" w:lineRule="auto"/>
        <w:ind w:left="1440"/>
        <w:rPr>
          <w:rFonts w:eastAsia="Times New Roman" w:cs="Times New Roman"/>
          <w:lang w:eastAsia="en-GB"/>
        </w:rPr>
      </w:pPr>
      <w:r>
        <w:rPr>
          <w:rFonts w:eastAsia="Times New Roman" w:cs="Times New Roman"/>
          <w:lang w:eastAsia="en-GB"/>
        </w:rPr>
        <w:t>A similar check was carried out on records from Scopus and this gave a compliance rate of 49%.</w:t>
      </w:r>
    </w:p>
    <w:p w:rsidR="005826BE" w:rsidRDefault="005826BE" w:rsidP="006F7054">
      <w:pPr>
        <w:spacing w:after="0" w:line="240" w:lineRule="auto"/>
        <w:ind w:left="1440"/>
        <w:rPr>
          <w:rFonts w:eastAsia="Times New Roman" w:cs="Times New Roman"/>
          <w:lang w:eastAsia="en-GB"/>
        </w:rPr>
      </w:pPr>
    </w:p>
    <w:p w:rsidR="00173CD0" w:rsidRDefault="00173CD0" w:rsidP="006F7054">
      <w:pPr>
        <w:spacing w:after="0" w:line="240" w:lineRule="auto"/>
        <w:ind w:left="1440"/>
        <w:rPr>
          <w:rFonts w:eastAsia="Times New Roman" w:cs="Times New Roman"/>
          <w:lang w:eastAsia="en-GB"/>
        </w:rPr>
      </w:pPr>
      <w:r>
        <w:rPr>
          <w:rFonts w:eastAsia="Times New Roman" w:cs="Times New Roman"/>
          <w:lang w:eastAsia="en-GB"/>
        </w:rPr>
        <w:t>As these figures are so similar but are based on slightly different data sets they should be seen as a reasonable estimate of our compliance.</w:t>
      </w:r>
    </w:p>
    <w:p w:rsidR="00173CD0" w:rsidRDefault="00173CD0" w:rsidP="006F7054">
      <w:pPr>
        <w:spacing w:after="0" w:line="240" w:lineRule="auto"/>
        <w:ind w:left="1440"/>
        <w:rPr>
          <w:rFonts w:eastAsia="Times New Roman" w:cs="Times New Roman"/>
          <w:lang w:eastAsia="en-GB"/>
        </w:rPr>
      </w:pPr>
    </w:p>
    <w:p w:rsidR="006F7054" w:rsidRDefault="006F7054" w:rsidP="006F7054">
      <w:pPr>
        <w:pStyle w:val="ListParagraph"/>
        <w:ind w:left="1440"/>
      </w:pPr>
    </w:p>
    <w:p w:rsidR="006F7054" w:rsidRDefault="006F7054" w:rsidP="006F7054">
      <w:pPr>
        <w:pStyle w:val="ListParagraph"/>
        <w:ind w:left="1440"/>
      </w:pPr>
    </w:p>
    <w:p w:rsidR="006F7054" w:rsidRDefault="006F7054" w:rsidP="009F4E2F">
      <w:pPr>
        <w:pStyle w:val="ListParagraph"/>
        <w:ind w:left="1440"/>
      </w:pPr>
    </w:p>
    <w:p w:rsidR="006F7054" w:rsidRDefault="006F7054" w:rsidP="009F4E2F">
      <w:pPr>
        <w:pStyle w:val="ListParagraph"/>
        <w:ind w:left="1440"/>
      </w:pPr>
    </w:p>
    <w:p w:rsidR="009F4E2F" w:rsidRDefault="009F4E2F" w:rsidP="009F4E2F"/>
    <w:p w:rsidR="00922C61" w:rsidRDefault="00922C61" w:rsidP="00922C61">
      <w:pPr>
        <w:pStyle w:val="ListParagraph"/>
        <w:ind w:left="1440"/>
      </w:pPr>
    </w:p>
    <w:p w:rsidR="00922C61" w:rsidRDefault="00922C61" w:rsidP="00922C61">
      <w:pPr>
        <w:pStyle w:val="ListParagraph"/>
        <w:ind w:left="1440"/>
      </w:pPr>
    </w:p>
    <w:p w:rsidR="00922C61" w:rsidRDefault="00922C61" w:rsidP="00922C61">
      <w:pPr>
        <w:pStyle w:val="ListParagraph"/>
      </w:pPr>
    </w:p>
    <w:p w:rsidR="00922C61" w:rsidRDefault="00922C61" w:rsidP="00672D3E">
      <w:pPr>
        <w:pStyle w:val="ListParagraph"/>
        <w:ind w:left="1080"/>
      </w:pPr>
    </w:p>
    <w:p w:rsidR="00922C61" w:rsidRDefault="00922C61" w:rsidP="00672D3E">
      <w:pPr>
        <w:pStyle w:val="ListParagraph"/>
        <w:ind w:left="1080"/>
      </w:pPr>
    </w:p>
    <w:p w:rsidR="00CC3C44" w:rsidRDefault="00CC3C44" w:rsidP="00672D3E">
      <w:pPr>
        <w:pStyle w:val="ListParagraph"/>
        <w:ind w:left="1080"/>
      </w:pPr>
    </w:p>
    <w:sectPr w:rsidR="00CC3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45B5"/>
    <w:multiLevelType w:val="hybridMultilevel"/>
    <w:tmpl w:val="C24A2D2E"/>
    <w:lvl w:ilvl="0" w:tplc="CE16E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A85626"/>
    <w:multiLevelType w:val="hybridMultilevel"/>
    <w:tmpl w:val="F2E01918"/>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4E31C60"/>
    <w:multiLevelType w:val="hybridMultilevel"/>
    <w:tmpl w:val="19540BE2"/>
    <w:lvl w:ilvl="0" w:tplc="1706A7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95"/>
    <w:rsid w:val="000C7D77"/>
    <w:rsid w:val="00173CD0"/>
    <w:rsid w:val="00306D89"/>
    <w:rsid w:val="004B1F8D"/>
    <w:rsid w:val="005826BE"/>
    <w:rsid w:val="00621577"/>
    <w:rsid w:val="00672D3E"/>
    <w:rsid w:val="006F7054"/>
    <w:rsid w:val="00704EE9"/>
    <w:rsid w:val="007D758A"/>
    <w:rsid w:val="008B6C98"/>
    <w:rsid w:val="00922C61"/>
    <w:rsid w:val="009918F1"/>
    <w:rsid w:val="009F4E2F"/>
    <w:rsid w:val="00AD5AE4"/>
    <w:rsid w:val="00B43195"/>
    <w:rsid w:val="00BB7785"/>
    <w:rsid w:val="00C50083"/>
    <w:rsid w:val="00CC3C44"/>
    <w:rsid w:val="00F9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195"/>
    <w:pPr>
      <w:ind w:left="720"/>
      <w:contextualSpacing/>
    </w:pPr>
  </w:style>
  <w:style w:type="table" w:styleId="TableGrid">
    <w:name w:val="Table Grid"/>
    <w:basedOn w:val="TableNormal"/>
    <w:uiPriority w:val="59"/>
    <w:rsid w:val="00AD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0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195"/>
    <w:pPr>
      <w:ind w:left="720"/>
      <w:contextualSpacing/>
    </w:pPr>
  </w:style>
  <w:style w:type="table" w:styleId="TableGrid">
    <w:name w:val="Table Grid"/>
    <w:basedOn w:val="TableNormal"/>
    <w:uiPriority w:val="59"/>
    <w:rsid w:val="00AD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0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60210">
      <w:bodyDiv w:val="1"/>
      <w:marLeft w:val="0"/>
      <w:marRight w:val="0"/>
      <w:marTop w:val="0"/>
      <w:marBottom w:val="0"/>
      <w:divBdr>
        <w:top w:val="none" w:sz="0" w:space="0" w:color="auto"/>
        <w:left w:val="none" w:sz="0" w:space="0" w:color="auto"/>
        <w:bottom w:val="none" w:sz="0" w:space="0" w:color="auto"/>
        <w:right w:val="none" w:sz="0" w:space="0" w:color="auto"/>
      </w:divBdr>
    </w:div>
    <w:div w:id="346178177">
      <w:bodyDiv w:val="1"/>
      <w:marLeft w:val="0"/>
      <w:marRight w:val="0"/>
      <w:marTop w:val="0"/>
      <w:marBottom w:val="0"/>
      <w:divBdr>
        <w:top w:val="none" w:sz="0" w:space="0" w:color="auto"/>
        <w:left w:val="none" w:sz="0" w:space="0" w:color="auto"/>
        <w:bottom w:val="none" w:sz="0" w:space="0" w:color="auto"/>
        <w:right w:val="none" w:sz="0" w:space="0" w:color="auto"/>
      </w:divBdr>
    </w:div>
    <w:div w:id="636255265">
      <w:bodyDiv w:val="1"/>
      <w:marLeft w:val="0"/>
      <w:marRight w:val="0"/>
      <w:marTop w:val="0"/>
      <w:marBottom w:val="0"/>
      <w:divBdr>
        <w:top w:val="none" w:sz="0" w:space="0" w:color="auto"/>
        <w:left w:val="none" w:sz="0" w:space="0" w:color="auto"/>
        <w:bottom w:val="none" w:sz="0" w:space="0" w:color="auto"/>
        <w:right w:val="none" w:sz="0" w:space="0" w:color="auto"/>
      </w:divBdr>
    </w:div>
    <w:div w:id="643394886">
      <w:bodyDiv w:val="1"/>
      <w:marLeft w:val="0"/>
      <w:marRight w:val="0"/>
      <w:marTop w:val="0"/>
      <w:marBottom w:val="0"/>
      <w:divBdr>
        <w:top w:val="none" w:sz="0" w:space="0" w:color="auto"/>
        <w:left w:val="none" w:sz="0" w:space="0" w:color="auto"/>
        <w:bottom w:val="none" w:sz="0" w:space="0" w:color="auto"/>
        <w:right w:val="none" w:sz="0" w:space="0" w:color="auto"/>
      </w:divBdr>
    </w:div>
    <w:div w:id="771976905">
      <w:bodyDiv w:val="1"/>
      <w:marLeft w:val="0"/>
      <w:marRight w:val="0"/>
      <w:marTop w:val="0"/>
      <w:marBottom w:val="0"/>
      <w:divBdr>
        <w:top w:val="none" w:sz="0" w:space="0" w:color="auto"/>
        <w:left w:val="none" w:sz="0" w:space="0" w:color="auto"/>
        <w:bottom w:val="none" w:sz="0" w:space="0" w:color="auto"/>
        <w:right w:val="none" w:sz="0" w:space="0" w:color="auto"/>
      </w:divBdr>
    </w:div>
    <w:div w:id="1051080635">
      <w:bodyDiv w:val="1"/>
      <w:marLeft w:val="0"/>
      <w:marRight w:val="0"/>
      <w:marTop w:val="0"/>
      <w:marBottom w:val="0"/>
      <w:divBdr>
        <w:top w:val="none" w:sz="0" w:space="0" w:color="auto"/>
        <w:left w:val="none" w:sz="0" w:space="0" w:color="auto"/>
        <w:bottom w:val="none" w:sz="0" w:space="0" w:color="auto"/>
        <w:right w:val="none" w:sz="0" w:space="0" w:color="auto"/>
      </w:divBdr>
    </w:div>
    <w:div w:id="1527060880">
      <w:bodyDiv w:val="1"/>
      <w:marLeft w:val="0"/>
      <w:marRight w:val="0"/>
      <w:marTop w:val="0"/>
      <w:marBottom w:val="0"/>
      <w:divBdr>
        <w:top w:val="none" w:sz="0" w:space="0" w:color="auto"/>
        <w:left w:val="none" w:sz="0" w:space="0" w:color="auto"/>
        <w:bottom w:val="none" w:sz="0" w:space="0" w:color="auto"/>
        <w:right w:val="none" w:sz="0" w:space="0" w:color="auto"/>
      </w:divBdr>
    </w:div>
    <w:div w:id="1581014337">
      <w:bodyDiv w:val="1"/>
      <w:marLeft w:val="0"/>
      <w:marRight w:val="0"/>
      <w:marTop w:val="0"/>
      <w:marBottom w:val="0"/>
      <w:divBdr>
        <w:top w:val="none" w:sz="0" w:space="0" w:color="auto"/>
        <w:left w:val="none" w:sz="0" w:space="0" w:color="auto"/>
        <w:bottom w:val="none" w:sz="0" w:space="0" w:color="auto"/>
        <w:right w:val="none" w:sz="0" w:space="0" w:color="auto"/>
      </w:divBdr>
    </w:div>
    <w:div w:id="19297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2014-09-16T10:46:00Z</dcterms:created>
  <dcterms:modified xsi:type="dcterms:W3CDTF">2014-09-16T10:46:00Z</dcterms:modified>
</cp:coreProperties>
</file>