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E60" w:rsidRPr="00DA04F8" w:rsidRDefault="00852E60" w:rsidP="00852E60">
      <w:pPr>
        <w:tabs>
          <w:tab w:val="left" w:pos="7938"/>
        </w:tabs>
        <w:spacing w:after="120" w:line="360" w:lineRule="auto"/>
        <w:ind w:left="-1134" w:right="-56"/>
        <w:rPr>
          <w:b/>
          <w:sz w:val="28"/>
          <w:szCs w:val="28"/>
          <w:lang w:val="en-GB"/>
        </w:rPr>
      </w:pPr>
      <w:r>
        <w:rPr>
          <w:b/>
          <w:sz w:val="28"/>
          <w:szCs w:val="28"/>
          <w:lang w:val="en-GB"/>
        </w:rPr>
        <w:t xml:space="preserve">The </w:t>
      </w:r>
      <w:r w:rsidRPr="00105B0D">
        <w:rPr>
          <w:b/>
          <w:sz w:val="28"/>
          <w:szCs w:val="28"/>
          <w:lang w:val="en-GB"/>
        </w:rPr>
        <w:t>IMAGE studio: A</w:t>
      </w:r>
      <w:r w:rsidRPr="00DA04F8">
        <w:rPr>
          <w:b/>
          <w:sz w:val="28"/>
          <w:szCs w:val="28"/>
          <w:lang w:val="en-GB"/>
        </w:rPr>
        <w:t xml:space="preserve"> tool for internal migration analysis and m</w:t>
      </w:r>
      <w:bookmarkStart w:id="0" w:name="_GoBack"/>
      <w:bookmarkEnd w:id="0"/>
      <w:r w:rsidRPr="00DA04F8">
        <w:rPr>
          <w:b/>
          <w:sz w:val="28"/>
          <w:szCs w:val="28"/>
          <w:lang w:val="en-GB"/>
        </w:rPr>
        <w:t>odelling</w:t>
      </w:r>
    </w:p>
    <w:p w:rsidR="00852E60" w:rsidRPr="00294074" w:rsidRDefault="00294074" w:rsidP="00852E60">
      <w:pPr>
        <w:pStyle w:val="CM9"/>
        <w:tabs>
          <w:tab w:val="left" w:pos="7938"/>
        </w:tabs>
        <w:spacing w:after="120" w:line="360" w:lineRule="auto"/>
        <w:ind w:left="-1134"/>
        <w:jc w:val="both"/>
        <w:rPr>
          <w:rFonts w:ascii="Times New Roman" w:hAnsi="Times New Roman" w:cs="Times New Roman"/>
          <w:b/>
          <w:sz w:val="32"/>
          <w:szCs w:val="32"/>
          <w:vertAlign w:val="superscript"/>
          <w:lang w:val="en-GB"/>
        </w:rPr>
      </w:pPr>
      <w:r w:rsidRPr="00294074">
        <w:rPr>
          <w:rFonts w:ascii="Times New Roman" w:hAnsi="Times New Roman" w:cs="Times New Roman"/>
          <w:b/>
          <w:sz w:val="32"/>
          <w:szCs w:val="32"/>
          <w:vertAlign w:val="superscript"/>
          <w:lang w:val="en-GB"/>
        </w:rPr>
        <w:t>John Stillwell, Konstantinos Daras, Martin Bell and Nik Lomax</w:t>
      </w:r>
    </w:p>
    <w:p w:rsidR="0053777D" w:rsidRDefault="00FC03E6" w:rsidP="00DA19D2">
      <w:pPr>
        <w:tabs>
          <w:tab w:val="left" w:pos="7938"/>
        </w:tabs>
        <w:spacing w:after="120" w:line="360" w:lineRule="auto"/>
        <w:ind w:left="-1134"/>
        <w:jc w:val="both"/>
        <w:rPr>
          <w:sz w:val="22"/>
          <w:szCs w:val="22"/>
          <w:lang w:val="en-GB"/>
        </w:rPr>
      </w:pPr>
      <w:r w:rsidRPr="00105B0D">
        <w:rPr>
          <w:b/>
          <w:sz w:val="22"/>
          <w:szCs w:val="22"/>
          <w:lang w:val="en-GB"/>
        </w:rPr>
        <w:t>Abstract</w:t>
      </w:r>
      <w:r w:rsidR="00040843">
        <w:rPr>
          <w:b/>
          <w:sz w:val="22"/>
          <w:szCs w:val="22"/>
          <w:lang w:val="en-GB"/>
        </w:rPr>
        <w:t xml:space="preserve"> </w:t>
      </w:r>
      <w:r w:rsidRPr="00DA04F8">
        <w:rPr>
          <w:sz w:val="22"/>
          <w:szCs w:val="22"/>
          <w:lang w:val="en-GB"/>
        </w:rPr>
        <w:t>Th</w:t>
      </w:r>
      <w:r w:rsidRPr="00105B0D">
        <w:rPr>
          <w:sz w:val="22"/>
          <w:szCs w:val="22"/>
          <w:lang w:val="en-GB"/>
        </w:rPr>
        <w:t xml:space="preserve">is </w:t>
      </w:r>
      <w:r w:rsidR="009D2CAF">
        <w:rPr>
          <w:sz w:val="22"/>
          <w:szCs w:val="22"/>
          <w:lang w:val="en-GB"/>
        </w:rPr>
        <w:t>paper</w:t>
      </w:r>
      <w:r w:rsidRPr="00DA04F8">
        <w:rPr>
          <w:sz w:val="22"/>
          <w:szCs w:val="22"/>
          <w:lang w:val="en-GB"/>
        </w:rPr>
        <w:t xml:space="preserve"> presents a </w:t>
      </w:r>
      <w:r w:rsidR="009D2CAF">
        <w:rPr>
          <w:sz w:val="22"/>
          <w:szCs w:val="22"/>
          <w:lang w:val="en-GB"/>
        </w:rPr>
        <w:t>‘</w:t>
      </w:r>
      <w:r w:rsidRPr="00DA04F8">
        <w:rPr>
          <w:sz w:val="22"/>
          <w:szCs w:val="22"/>
          <w:lang w:val="en-GB"/>
        </w:rPr>
        <w:t>studio</w:t>
      </w:r>
      <w:r w:rsidR="009D2CAF">
        <w:rPr>
          <w:sz w:val="22"/>
          <w:szCs w:val="22"/>
          <w:lang w:val="en-GB"/>
        </w:rPr>
        <w:t>’</w:t>
      </w:r>
      <w:r w:rsidRPr="00DA04F8">
        <w:rPr>
          <w:sz w:val="22"/>
          <w:szCs w:val="22"/>
          <w:lang w:val="en-GB"/>
        </w:rPr>
        <w:t xml:space="preserve"> that facilitate</w:t>
      </w:r>
      <w:r w:rsidR="004A455A">
        <w:rPr>
          <w:sz w:val="22"/>
          <w:szCs w:val="22"/>
          <w:lang w:val="en-GB"/>
        </w:rPr>
        <w:t>s</w:t>
      </w:r>
      <w:r w:rsidRPr="00DA04F8">
        <w:rPr>
          <w:sz w:val="22"/>
          <w:szCs w:val="22"/>
          <w:lang w:val="en-GB"/>
        </w:rPr>
        <w:t xml:space="preserve"> the </w:t>
      </w:r>
      <w:r w:rsidR="00336BF9">
        <w:rPr>
          <w:sz w:val="22"/>
          <w:szCs w:val="22"/>
          <w:lang w:val="en-GB"/>
        </w:rPr>
        <w:t xml:space="preserve">spatial </w:t>
      </w:r>
      <w:r w:rsidRPr="00DA04F8">
        <w:rPr>
          <w:sz w:val="22"/>
          <w:szCs w:val="22"/>
          <w:lang w:val="en-GB"/>
        </w:rPr>
        <w:t xml:space="preserve">analysis and modelling of internal migration in any country, dependent upon the provision of an origin-destination matrix of </w:t>
      </w:r>
      <w:r w:rsidR="00685F85">
        <w:rPr>
          <w:sz w:val="22"/>
          <w:szCs w:val="22"/>
          <w:lang w:val="en-GB"/>
        </w:rPr>
        <w:t xml:space="preserve">migration </w:t>
      </w:r>
      <w:r w:rsidRPr="00DA04F8">
        <w:rPr>
          <w:sz w:val="22"/>
          <w:szCs w:val="22"/>
          <w:lang w:val="en-GB"/>
        </w:rPr>
        <w:t xml:space="preserve">flows between </w:t>
      </w:r>
      <w:r w:rsidR="002524B3">
        <w:rPr>
          <w:sz w:val="22"/>
          <w:szCs w:val="22"/>
          <w:lang w:val="en-GB"/>
        </w:rPr>
        <w:t xml:space="preserve">a set of </w:t>
      </w:r>
      <w:r w:rsidRPr="00DA04F8">
        <w:rPr>
          <w:sz w:val="22"/>
          <w:szCs w:val="22"/>
          <w:lang w:val="en-GB"/>
        </w:rPr>
        <w:t>basic spatial units</w:t>
      </w:r>
      <w:r w:rsidR="00396737">
        <w:rPr>
          <w:sz w:val="22"/>
          <w:szCs w:val="22"/>
          <w:lang w:val="en-GB"/>
        </w:rPr>
        <w:t xml:space="preserve"> plus corresponding populations at risk and </w:t>
      </w:r>
      <w:r w:rsidRPr="00DA04F8">
        <w:rPr>
          <w:sz w:val="22"/>
          <w:szCs w:val="22"/>
          <w:lang w:val="en-GB"/>
        </w:rPr>
        <w:t xml:space="preserve">digital boundaries. </w:t>
      </w:r>
      <w:r w:rsidR="002524B3">
        <w:rPr>
          <w:sz w:val="22"/>
          <w:szCs w:val="22"/>
          <w:lang w:val="en-GB"/>
        </w:rPr>
        <w:t>Migration analysts undertaking comparative analysis of internal migration in different countries are confronted with problem that each country has a unique set of sub-national regions.</w:t>
      </w:r>
      <w:r w:rsidR="00040843">
        <w:rPr>
          <w:sz w:val="22"/>
          <w:szCs w:val="22"/>
          <w:lang w:val="en-GB"/>
        </w:rPr>
        <w:t xml:space="preserve"> </w:t>
      </w:r>
      <w:r w:rsidR="001E35CA">
        <w:rPr>
          <w:sz w:val="22"/>
          <w:szCs w:val="22"/>
          <w:lang w:val="en-GB"/>
        </w:rPr>
        <w:t>In this paper, we</w:t>
      </w:r>
      <w:r w:rsidR="002524B3">
        <w:rPr>
          <w:sz w:val="22"/>
          <w:szCs w:val="22"/>
          <w:lang w:val="en-GB"/>
        </w:rPr>
        <w:t xml:space="preserve"> outline the various features of the studio and show how its aggregation and modelling functions have been used to produce substantive results that confront the MAUP challenge. </w:t>
      </w:r>
      <w:r w:rsidR="0053777D">
        <w:rPr>
          <w:sz w:val="22"/>
          <w:szCs w:val="22"/>
          <w:lang w:val="en-GB"/>
        </w:rPr>
        <w:t>R</w:t>
      </w:r>
      <w:r w:rsidR="002524B3">
        <w:rPr>
          <w:sz w:val="22"/>
          <w:szCs w:val="22"/>
          <w:lang w:val="en-GB"/>
        </w:rPr>
        <w:t xml:space="preserve">esults </w:t>
      </w:r>
      <w:r w:rsidR="0053777D">
        <w:rPr>
          <w:sz w:val="22"/>
          <w:szCs w:val="22"/>
          <w:lang w:val="en-GB"/>
        </w:rPr>
        <w:t xml:space="preserve">show varying systematic trends in the </w:t>
      </w:r>
      <w:r w:rsidR="002524B3">
        <w:rPr>
          <w:sz w:val="22"/>
          <w:szCs w:val="22"/>
          <w:lang w:val="en-GB"/>
        </w:rPr>
        <w:t xml:space="preserve">scale </w:t>
      </w:r>
      <w:r w:rsidR="0053777D">
        <w:rPr>
          <w:sz w:val="22"/>
          <w:szCs w:val="22"/>
          <w:lang w:val="en-GB"/>
        </w:rPr>
        <w:t xml:space="preserve">and </w:t>
      </w:r>
      <w:r w:rsidR="00EC61F3">
        <w:rPr>
          <w:sz w:val="22"/>
          <w:szCs w:val="22"/>
          <w:lang w:val="en-GB"/>
        </w:rPr>
        <w:t>zonation</w:t>
      </w:r>
      <w:r w:rsidR="0053777D">
        <w:rPr>
          <w:sz w:val="22"/>
          <w:szCs w:val="22"/>
          <w:lang w:val="en-GB"/>
        </w:rPr>
        <w:t xml:space="preserve"> </w:t>
      </w:r>
      <w:r w:rsidR="002524B3">
        <w:rPr>
          <w:sz w:val="22"/>
          <w:szCs w:val="22"/>
          <w:lang w:val="en-GB"/>
        </w:rPr>
        <w:t>effect</w:t>
      </w:r>
      <w:r w:rsidR="0053777D">
        <w:rPr>
          <w:sz w:val="22"/>
          <w:szCs w:val="22"/>
          <w:lang w:val="en-GB"/>
        </w:rPr>
        <w:t xml:space="preserve">s of the frictional effect of distance on migration and on the mean distance moved in a selection of </w:t>
      </w:r>
      <w:r w:rsidR="00046D89">
        <w:rPr>
          <w:sz w:val="22"/>
          <w:szCs w:val="22"/>
          <w:lang w:val="en-GB"/>
        </w:rPr>
        <w:t xml:space="preserve">northern </w:t>
      </w:r>
      <w:r w:rsidR="00396737">
        <w:rPr>
          <w:sz w:val="22"/>
          <w:szCs w:val="22"/>
          <w:lang w:val="en-GB"/>
        </w:rPr>
        <w:t xml:space="preserve">European </w:t>
      </w:r>
      <w:r w:rsidR="0053777D">
        <w:rPr>
          <w:sz w:val="22"/>
          <w:szCs w:val="22"/>
          <w:lang w:val="en-GB"/>
        </w:rPr>
        <w:t>countries.</w:t>
      </w:r>
    </w:p>
    <w:p w:rsidR="00DA19D2" w:rsidRDefault="00DA19D2" w:rsidP="00DA19D2">
      <w:pPr>
        <w:tabs>
          <w:tab w:val="left" w:pos="7938"/>
        </w:tabs>
        <w:spacing w:after="120" w:line="360" w:lineRule="auto"/>
        <w:ind w:hanging="1134"/>
        <w:rPr>
          <w:b/>
          <w:sz w:val="22"/>
          <w:szCs w:val="22"/>
          <w:lang w:val="en-GB"/>
        </w:rPr>
      </w:pPr>
    </w:p>
    <w:p w:rsidR="00DA19D2" w:rsidRDefault="00E07083" w:rsidP="00DA19D2">
      <w:pPr>
        <w:tabs>
          <w:tab w:val="left" w:pos="7938"/>
        </w:tabs>
        <w:spacing w:after="120" w:line="360" w:lineRule="auto"/>
        <w:ind w:left="-1134"/>
        <w:jc w:val="both"/>
        <w:rPr>
          <w:b/>
          <w:lang w:val="en-GB"/>
        </w:rPr>
      </w:pPr>
      <w:r w:rsidRPr="00E07083">
        <w:rPr>
          <w:b/>
          <w:lang w:val="en-GB"/>
        </w:rPr>
        <w:t>Introduction</w:t>
      </w:r>
    </w:p>
    <w:p w:rsidR="00534648" w:rsidRDefault="00CC7F5B" w:rsidP="00DA19D2">
      <w:pPr>
        <w:tabs>
          <w:tab w:val="left" w:pos="7938"/>
        </w:tabs>
        <w:spacing w:after="120" w:line="360" w:lineRule="auto"/>
        <w:ind w:left="-1134"/>
        <w:jc w:val="both"/>
        <w:rPr>
          <w:sz w:val="22"/>
          <w:szCs w:val="22"/>
          <w:lang w:val="en-GB"/>
        </w:rPr>
      </w:pPr>
      <w:r>
        <w:rPr>
          <w:sz w:val="22"/>
          <w:szCs w:val="22"/>
          <w:lang w:val="en-GB"/>
        </w:rPr>
        <w:t>Population redistribution through i</w:t>
      </w:r>
      <w:r w:rsidR="00FC03E6" w:rsidRPr="00DA04F8">
        <w:rPr>
          <w:sz w:val="22"/>
          <w:szCs w:val="22"/>
          <w:lang w:val="en-GB"/>
        </w:rPr>
        <w:t>nternal migration is an important and ubiquitous global phenomenon</w:t>
      </w:r>
      <w:r w:rsidR="00A65013">
        <w:rPr>
          <w:sz w:val="22"/>
          <w:szCs w:val="22"/>
          <w:lang w:val="en-GB"/>
        </w:rPr>
        <w:t xml:space="preserve"> (</w:t>
      </w:r>
      <w:proofErr w:type="spellStart"/>
      <w:r w:rsidR="007A54F6">
        <w:rPr>
          <w:sz w:val="22"/>
          <w:szCs w:val="22"/>
          <w:lang w:val="en-GB"/>
        </w:rPr>
        <w:t>Todaro</w:t>
      </w:r>
      <w:proofErr w:type="spellEnd"/>
      <w:r w:rsidR="007A54F6">
        <w:rPr>
          <w:sz w:val="22"/>
          <w:szCs w:val="22"/>
          <w:lang w:val="en-GB"/>
        </w:rPr>
        <w:t xml:space="preserve">, 1988; Greenwood, 1993; Rees </w:t>
      </w:r>
      <w:r w:rsidR="007A54F6" w:rsidRPr="007A54F6">
        <w:rPr>
          <w:i/>
          <w:sz w:val="22"/>
          <w:szCs w:val="22"/>
          <w:lang w:val="en-GB"/>
        </w:rPr>
        <w:t xml:space="preserve">et al., </w:t>
      </w:r>
      <w:r w:rsidR="007A54F6">
        <w:rPr>
          <w:sz w:val="22"/>
          <w:szCs w:val="22"/>
          <w:lang w:val="en-GB"/>
        </w:rPr>
        <w:t>1996)</w:t>
      </w:r>
      <w:r>
        <w:rPr>
          <w:sz w:val="22"/>
          <w:szCs w:val="22"/>
          <w:lang w:val="en-GB"/>
        </w:rPr>
        <w:t>. It is a process that may</w:t>
      </w:r>
      <w:r w:rsidR="00CA597C">
        <w:rPr>
          <w:sz w:val="22"/>
          <w:szCs w:val="22"/>
          <w:lang w:val="en-GB"/>
        </w:rPr>
        <w:t xml:space="preserve"> involv</w:t>
      </w:r>
      <w:r>
        <w:rPr>
          <w:sz w:val="22"/>
          <w:szCs w:val="22"/>
          <w:lang w:val="en-GB"/>
        </w:rPr>
        <w:t>e</w:t>
      </w:r>
      <w:r w:rsidR="00CA597C">
        <w:rPr>
          <w:sz w:val="22"/>
          <w:szCs w:val="22"/>
          <w:lang w:val="en-GB"/>
        </w:rPr>
        <w:t xml:space="preserve"> large numbers of people</w:t>
      </w:r>
      <w:r>
        <w:rPr>
          <w:sz w:val="22"/>
          <w:szCs w:val="22"/>
          <w:lang w:val="en-GB"/>
        </w:rPr>
        <w:t xml:space="preserve"> and generate significant changes in the demographic profiles of both origin and receiving </w:t>
      </w:r>
      <w:proofErr w:type="spellStart"/>
      <w:r>
        <w:rPr>
          <w:sz w:val="22"/>
          <w:szCs w:val="22"/>
          <w:lang w:val="en-GB"/>
        </w:rPr>
        <w:t>regions.</w:t>
      </w:r>
      <w:r w:rsidR="00534648">
        <w:rPr>
          <w:sz w:val="22"/>
          <w:szCs w:val="22"/>
          <w:lang w:val="en-GB"/>
        </w:rPr>
        <w:t>In</w:t>
      </w:r>
      <w:proofErr w:type="spellEnd"/>
      <w:r w:rsidR="00534648">
        <w:rPr>
          <w:sz w:val="22"/>
          <w:szCs w:val="22"/>
          <w:lang w:val="en-GB"/>
        </w:rPr>
        <w:t xml:space="preserve"> most countries of the world, this movement takes place on a voluntary basis as individuals and families seek new residential locations to suit their specific requirements.  In the United Kingdom (UK), for example, o</w:t>
      </w:r>
      <w:r w:rsidR="00952BBE">
        <w:rPr>
          <w:sz w:val="22"/>
          <w:szCs w:val="22"/>
          <w:lang w:val="en-GB"/>
        </w:rPr>
        <w:t>ver 6.2 million people or 10% of the population changed their place of usual residence in the 1</w:t>
      </w:r>
      <w:r w:rsidR="00534648">
        <w:rPr>
          <w:sz w:val="22"/>
          <w:szCs w:val="22"/>
          <w:lang w:val="en-GB"/>
        </w:rPr>
        <w:t>2 months before the 2001 Census</w:t>
      </w:r>
      <w:r w:rsidR="00B65819">
        <w:rPr>
          <w:sz w:val="22"/>
          <w:szCs w:val="22"/>
          <w:lang w:val="en-GB"/>
        </w:rPr>
        <w:t xml:space="preserve"> (Stillwell </w:t>
      </w:r>
      <w:r w:rsidR="00B65819" w:rsidRPr="00B65819">
        <w:rPr>
          <w:i/>
          <w:sz w:val="22"/>
          <w:szCs w:val="22"/>
          <w:lang w:val="en-GB"/>
        </w:rPr>
        <w:t>et al.,</w:t>
      </w:r>
      <w:r w:rsidR="00B65819">
        <w:rPr>
          <w:sz w:val="22"/>
          <w:szCs w:val="22"/>
          <w:lang w:val="en-GB"/>
        </w:rPr>
        <w:t xml:space="preserve"> 2010)</w:t>
      </w:r>
      <w:r w:rsidR="00534648">
        <w:rPr>
          <w:sz w:val="22"/>
          <w:szCs w:val="22"/>
          <w:lang w:val="en-GB"/>
        </w:rPr>
        <w:t>.</w:t>
      </w:r>
      <w:r w:rsidR="007C5BBD">
        <w:rPr>
          <w:sz w:val="22"/>
          <w:szCs w:val="22"/>
          <w:lang w:val="en-GB"/>
        </w:rPr>
        <w:t xml:space="preserve"> These movements are </w:t>
      </w:r>
      <w:r w:rsidR="00DB4027">
        <w:rPr>
          <w:sz w:val="22"/>
          <w:szCs w:val="22"/>
          <w:lang w:val="en-GB"/>
        </w:rPr>
        <w:t xml:space="preserve">usually </w:t>
      </w:r>
      <w:r w:rsidR="007C5BBD">
        <w:rPr>
          <w:sz w:val="22"/>
          <w:szCs w:val="22"/>
          <w:lang w:val="en-GB"/>
        </w:rPr>
        <w:t>selective with respect to a range of demographic and socio-economic variables associated with the migrants themselves and characteristics of the origin and destination areas</w:t>
      </w:r>
      <w:r w:rsidR="0049570A">
        <w:rPr>
          <w:sz w:val="22"/>
          <w:szCs w:val="22"/>
          <w:lang w:val="en-GB"/>
        </w:rPr>
        <w:t xml:space="preserve"> between which they move</w:t>
      </w:r>
      <w:r w:rsidR="00DB4027">
        <w:rPr>
          <w:sz w:val="22"/>
          <w:szCs w:val="22"/>
          <w:lang w:val="en-GB"/>
        </w:rPr>
        <w:t xml:space="preserve"> (Champion </w:t>
      </w:r>
      <w:r w:rsidR="00DB4027" w:rsidRPr="00DB4027">
        <w:rPr>
          <w:i/>
          <w:sz w:val="22"/>
          <w:szCs w:val="22"/>
          <w:lang w:val="en-GB"/>
        </w:rPr>
        <w:t>et al.,</w:t>
      </w:r>
      <w:r w:rsidR="00DB4027">
        <w:rPr>
          <w:sz w:val="22"/>
          <w:szCs w:val="22"/>
          <w:lang w:val="en-GB"/>
        </w:rPr>
        <w:t xml:space="preserve"> 1998)</w:t>
      </w:r>
      <w:r w:rsidR="007C5BBD">
        <w:rPr>
          <w:sz w:val="22"/>
          <w:szCs w:val="22"/>
          <w:lang w:val="en-GB"/>
        </w:rPr>
        <w:t xml:space="preserve">. </w:t>
      </w:r>
      <w:r w:rsidR="00396737">
        <w:rPr>
          <w:sz w:val="22"/>
          <w:szCs w:val="22"/>
          <w:lang w:val="en-GB"/>
        </w:rPr>
        <w:t>Of course, i</w:t>
      </w:r>
      <w:r w:rsidR="00534648">
        <w:rPr>
          <w:sz w:val="22"/>
          <w:szCs w:val="22"/>
          <w:lang w:val="en-GB"/>
        </w:rPr>
        <w:t>n some parts of the world, torn apart by war, famine or political uncertainty, forced internal migration takes place creating populations of displaced persons usually requiring humanitarian assistance from external agencies</w:t>
      </w:r>
      <w:r w:rsidR="00A65013">
        <w:rPr>
          <w:sz w:val="22"/>
          <w:szCs w:val="22"/>
          <w:lang w:val="en-GB"/>
        </w:rPr>
        <w:t xml:space="preserve"> (</w:t>
      </w:r>
      <w:r w:rsidR="007A54F6">
        <w:rPr>
          <w:sz w:val="22"/>
          <w:szCs w:val="22"/>
          <w:lang w:val="en-GB"/>
        </w:rPr>
        <w:t xml:space="preserve">Hampton, 1998; </w:t>
      </w:r>
      <w:r w:rsidR="00A65013">
        <w:rPr>
          <w:sz w:val="22"/>
          <w:szCs w:val="22"/>
          <w:lang w:val="en-GB"/>
        </w:rPr>
        <w:t>Norwegian Refugee Council, 2007)</w:t>
      </w:r>
      <w:r w:rsidR="002E4D03">
        <w:rPr>
          <w:sz w:val="22"/>
          <w:szCs w:val="22"/>
          <w:lang w:val="en-GB"/>
        </w:rPr>
        <w:t>, sometimes on a massive scale</w:t>
      </w:r>
      <w:r w:rsidR="00534648">
        <w:rPr>
          <w:sz w:val="22"/>
          <w:szCs w:val="22"/>
          <w:lang w:val="en-GB"/>
        </w:rPr>
        <w:t xml:space="preserve">. </w:t>
      </w:r>
    </w:p>
    <w:p w:rsidR="00396737" w:rsidRDefault="00534648" w:rsidP="00460C61">
      <w:pPr>
        <w:tabs>
          <w:tab w:val="left" w:pos="7938"/>
        </w:tabs>
        <w:spacing w:after="120" w:line="360" w:lineRule="auto"/>
        <w:ind w:left="-1134"/>
        <w:jc w:val="both"/>
        <w:rPr>
          <w:sz w:val="22"/>
          <w:szCs w:val="22"/>
          <w:lang w:val="en-GB"/>
        </w:rPr>
      </w:pPr>
      <w:r>
        <w:rPr>
          <w:sz w:val="22"/>
          <w:szCs w:val="22"/>
          <w:lang w:val="en-GB"/>
        </w:rPr>
        <w:t>S</w:t>
      </w:r>
      <w:r w:rsidR="005201D4">
        <w:rPr>
          <w:sz w:val="22"/>
          <w:szCs w:val="22"/>
          <w:lang w:val="en-GB"/>
        </w:rPr>
        <w:t xml:space="preserve">tatistics </w:t>
      </w:r>
      <w:r>
        <w:rPr>
          <w:sz w:val="22"/>
          <w:szCs w:val="22"/>
          <w:lang w:val="en-GB"/>
        </w:rPr>
        <w:t xml:space="preserve">on voluntary internal migration </w:t>
      </w:r>
      <w:r w:rsidR="005201D4">
        <w:rPr>
          <w:sz w:val="22"/>
          <w:szCs w:val="22"/>
          <w:lang w:val="en-GB"/>
        </w:rPr>
        <w:t xml:space="preserve">are collected using different instruments (censuses, surveys and administrative sources) in different countries </w:t>
      </w:r>
      <w:r w:rsidR="00194AC0">
        <w:rPr>
          <w:sz w:val="22"/>
          <w:szCs w:val="22"/>
          <w:lang w:val="en-GB"/>
        </w:rPr>
        <w:t xml:space="preserve">(Nam </w:t>
      </w:r>
      <w:r w:rsidR="00194AC0" w:rsidRPr="00E96829">
        <w:rPr>
          <w:i/>
          <w:sz w:val="22"/>
          <w:szCs w:val="22"/>
          <w:lang w:val="en-GB"/>
        </w:rPr>
        <w:t>et al.,</w:t>
      </w:r>
      <w:r w:rsidR="00194AC0">
        <w:rPr>
          <w:sz w:val="22"/>
          <w:szCs w:val="22"/>
          <w:lang w:val="en-GB"/>
        </w:rPr>
        <w:t xml:space="preserve"> 1990</w:t>
      </w:r>
      <w:r w:rsidR="005201D4">
        <w:rPr>
          <w:sz w:val="22"/>
          <w:szCs w:val="22"/>
          <w:lang w:val="en-GB"/>
        </w:rPr>
        <w:t>) and th</w:t>
      </w:r>
      <w:r w:rsidR="00194AC0">
        <w:rPr>
          <w:sz w:val="22"/>
          <w:szCs w:val="22"/>
          <w:lang w:val="en-GB"/>
        </w:rPr>
        <w:t>ere</w:t>
      </w:r>
      <w:r w:rsidR="005201D4">
        <w:rPr>
          <w:sz w:val="22"/>
          <w:szCs w:val="22"/>
          <w:lang w:val="en-GB"/>
        </w:rPr>
        <w:t xml:space="preserve"> are </w:t>
      </w:r>
      <w:r w:rsidR="00194AC0">
        <w:rPr>
          <w:sz w:val="22"/>
          <w:szCs w:val="22"/>
          <w:lang w:val="en-GB"/>
        </w:rPr>
        <w:t xml:space="preserve">important </w:t>
      </w:r>
      <w:r w:rsidR="005201D4">
        <w:rPr>
          <w:sz w:val="22"/>
          <w:szCs w:val="22"/>
          <w:lang w:val="en-GB"/>
        </w:rPr>
        <w:t>conceptual</w:t>
      </w:r>
      <w:r w:rsidR="0049570A">
        <w:rPr>
          <w:sz w:val="22"/>
          <w:szCs w:val="22"/>
          <w:lang w:val="en-GB"/>
        </w:rPr>
        <w:t xml:space="preserve">, </w:t>
      </w:r>
      <w:r w:rsidR="005201D4">
        <w:rPr>
          <w:sz w:val="22"/>
          <w:szCs w:val="22"/>
          <w:lang w:val="en-GB"/>
        </w:rPr>
        <w:t xml:space="preserve">definitional </w:t>
      </w:r>
      <w:r w:rsidR="0049570A">
        <w:rPr>
          <w:sz w:val="22"/>
          <w:szCs w:val="22"/>
          <w:lang w:val="en-GB"/>
        </w:rPr>
        <w:t xml:space="preserve">and measurement </w:t>
      </w:r>
      <w:r w:rsidR="00194AC0">
        <w:rPr>
          <w:sz w:val="22"/>
          <w:szCs w:val="22"/>
          <w:lang w:val="en-GB"/>
        </w:rPr>
        <w:t xml:space="preserve">issues </w:t>
      </w:r>
      <w:r w:rsidR="007C5BBD">
        <w:rPr>
          <w:sz w:val="22"/>
          <w:szCs w:val="22"/>
          <w:lang w:val="en-GB"/>
        </w:rPr>
        <w:t xml:space="preserve">associated with internal migration </w:t>
      </w:r>
      <w:r w:rsidR="00194AC0">
        <w:rPr>
          <w:sz w:val="22"/>
          <w:szCs w:val="22"/>
          <w:lang w:val="en-GB"/>
        </w:rPr>
        <w:t xml:space="preserve">(Rees, 1977) that need to be understood before </w:t>
      </w:r>
      <w:r w:rsidR="00E96829">
        <w:rPr>
          <w:sz w:val="22"/>
          <w:szCs w:val="22"/>
          <w:lang w:val="en-GB"/>
        </w:rPr>
        <w:t xml:space="preserve">migration </w:t>
      </w:r>
      <w:r w:rsidR="00194AC0">
        <w:rPr>
          <w:sz w:val="22"/>
          <w:szCs w:val="22"/>
          <w:lang w:val="en-GB"/>
        </w:rPr>
        <w:t xml:space="preserve">data can be </w:t>
      </w:r>
      <w:r w:rsidR="00E96829">
        <w:rPr>
          <w:sz w:val="22"/>
          <w:szCs w:val="22"/>
          <w:lang w:val="en-GB"/>
        </w:rPr>
        <w:t>analysed an</w:t>
      </w:r>
      <w:r w:rsidR="0049570A">
        <w:rPr>
          <w:sz w:val="22"/>
          <w:szCs w:val="22"/>
          <w:lang w:val="en-GB"/>
        </w:rPr>
        <w:t>d</w:t>
      </w:r>
      <w:r w:rsidR="00E96829">
        <w:rPr>
          <w:sz w:val="22"/>
          <w:szCs w:val="22"/>
          <w:lang w:val="en-GB"/>
        </w:rPr>
        <w:t xml:space="preserve"> interpreted. Unlike population stock data, migration data typically involve counts of flows between regions that have been defined for administrative or statistical reasons and supplied in matrix format or as pairwise flows</w:t>
      </w:r>
      <w:r w:rsidR="009C53B3">
        <w:rPr>
          <w:sz w:val="22"/>
          <w:szCs w:val="22"/>
          <w:lang w:val="en-GB"/>
        </w:rPr>
        <w:t xml:space="preserve">. </w:t>
      </w:r>
      <w:r w:rsidR="0049570A">
        <w:rPr>
          <w:sz w:val="22"/>
          <w:szCs w:val="22"/>
          <w:lang w:val="en-GB"/>
        </w:rPr>
        <w:t>Whilst m</w:t>
      </w:r>
      <w:r w:rsidR="009C53B3">
        <w:rPr>
          <w:sz w:val="22"/>
          <w:szCs w:val="22"/>
          <w:lang w:val="en-GB"/>
        </w:rPr>
        <w:t>igration researchers use these data sets to compute a variety of analytical measures</w:t>
      </w:r>
      <w:r w:rsidR="001265B3">
        <w:rPr>
          <w:sz w:val="22"/>
          <w:szCs w:val="22"/>
          <w:lang w:val="en-GB"/>
        </w:rPr>
        <w:t xml:space="preserve"> as reviewed by Stillwell and Harland (2010)</w:t>
      </w:r>
      <w:r w:rsidR="004029EE">
        <w:rPr>
          <w:sz w:val="22"/>
          <w:szCs w:val="22"/>
          <w:lang w:val="en-GB"/>
        </w:rPr>
        <w:t>,</w:t>
      </w:r>
      <w:r w:rsidR="001265B3">
        <w:rPr>
          <w:sz w:val="22"/>
          <w:szCs w:val="22"/>
          <w:lang w:val="en-GB"/>
        </w:rPr>
        <w:t xml:space="preserve"> it is apparent that there is a</w:t>
      </w:r>
      <w:r w:rsidR="009C53B3">
        <w:rPr>
          <w:sz w:val="22"/>
          <w:szCs w:val="22"/>
          <w:lang w:val="en-GB"/>
        </w:rPr>
        <w:t xml:space="preserve"> lack of software designed </w:t>
      </w:r>
      <w:r w:rsidR="004029EE">
        <w:rPr>
          <w:sz w:val="22"/>
          <w:szCs w:val="22"/>
          <w:lang w:val="en-GB"/>
        </w:rPr>
        <w:t xml:space="preserve">specifically for </w:t>
      </w:r>
      <w:r w:rsidR="004029EE">
        <w:rPr>
          <w:sz w:val="22"/>
          <w:szCs w:val="22"/>
          <w:lang w:val="en-GB"/>
        </w:rPr>
        <w:lastRenderedPageBreak/>
        <w:t>the computation of</w:t>
      </w:r>
      <w:r w:rsidR="00DB4027">
        <w:rPr>
          <w:sz w:val="22"/>
          <w:szCs w:val="22"/>
          <w:lang w:val="en-GB"/>
        </w:rPr>
        <w:t xml:space="preserve"> the full range of</w:t>
      </w:r>
      <w:r w:rsidR="004029EE">
        <w:rPr>
          <w:sz w:val="22"/>
          <w:szCs w:val="22"/>
          <w:lang w:val="en-GB"/>
        </w:rPr>
        <w:t xml:space="preserve"> migration indicators (such as rates and efficiencies), indices (such as connectivity or inequality) and</w:t>
      </w:r>
      <w:r w:rsidR="00040843">
        <w:rPr>
          <w:sz w:val="22"/>
          <w:szCs w:val="22"/>
          <w:lang w:val="en-GB"/>
        </w:rPr>
        <w:t xml:space="preserve"> </w:t>
      </w:r>
      <w:r w:rsidR="004029EE">
        <w:rPr>
          <w:sz w:val="22"/>
          <w:szCs w:val="22"/>
          <w:lang w:val="en-GB"/>
        </w:rPr>
        <w:t xml:space="preserve">distance (such as mean distance travelled or the frictional effect of distance). </w:t>
      </w:r>
      <w:r w:rsidR="002E4D03">
        <w:rPr>
          <w:sz w:val="22"/>
          <w:szCs w:val="22"/>
          <w:lang w:val="en-GB"/>
        </w:rPr>
        <w:t xml:space="preserve">Migration indicators are valuable tools that </w:t>
      </w:r>
      <w:r w:rsidR="00F9084D">
        <w:rPr>
          <w:sz w:val="22"/>
          <w:szCs w:val="22"/>
          <w:lang w:val="en-GB"/>
        </w:rPr>
        <w:t xml:space="preserve">research </w:t>
      </w:r>
      <w:r w:rsidR="002E4D03">
        <w:rPr>
          <w:sz w:val="22"/>
          <w:szCs w:val="22"/>
          <w:lang w:val="en-GB"/>
        </w:rPr>
        <w:t xml:space="preserve">analysts can utilise to assist in understanding migration behaviour but policymakers </w:t>
      </w:r>
      <w:r w:rsidR="00F9084D">
        <w:rPr>
          <w:sz w:val="22"/>
          <w:szCs w:val="22"/>
          <w:lang w:val="en-GB"/>
        </w:rPr>
        <w:t xml:space="preserve">may also find these measures useful. Those </w:t>
      </w:r>
      <w:r w:rsidR="000F6A00">
        <w:rPr>
          <w:sz w:val="22"/>
          <w:szCs w:val="22"/>
          <w:lang w:val="en-GB"/>
        </w:rPr>
        <w:t>with remits for housing or service provision</w:t>
      </w:r>
      <w:r w:rsidR="00F9084D">
        <w:rPr>
          <w:sz w:val="22"/>
          <w:szCs w:val="22"/>
          <w:lang w:val="en-GB"/>
        </w:rPr>
        <w:t xml:space="preserve"> in local government, for example,</w:t>
      </w:r>
      <w:r w:rsidR="000F6A00">
        <w:rPr>
          <w:sz w:val="22"/>
          <w:szCs w:val="22"/>
          <w:lang w:val="en-GB"/>
        </w:rPr>
        <w:t xml:space="preserve"> and planning practitioners whose focus is on the future demographic development of </w:t>
      </w:r>
      <w:r w:rsidR="00F9084D">
        <w:rPr>
          <w:sz w:val="22"/>
          <w:szCs w:val="22"/>
          <w:lang w:val="en-GB"/>
        </w:rPr>
        <w:t xml:space="preserve">their </w:t>
      </w:r>
      <w:r w:rsidR="000F6A00">
        <w:rPr>
          <w:sz w:val="22"/>
          <w:szCs w:val="22"/>
          <w:lang w:val="en-GB"/>
        </w:rPr>
        <w:t>towns and cities or rural areas</w:t>
      </w:r>
      <w:r w:rsidR="00F9084D">
        <w:rPr>
          <w:sz w:val="22"/>
          <w:szCs w:val="22"/>
          <w:lang w:val="en-GB"/>
        </w:rPr>
        <w:t>, will derive</w:t>
      </w:r>
      <w:r w:rsidR="00040843">
        <w:rPr>
          <w:sz w:val="22"/>
          <w:szCs w:val="22"/>
          <w:lang w:val="en-GB"/>
        </w:rPr>
        <w:t xml:space="preserve"> </w:t>
      </w:r>
      <w:r w:rsidR="00F9084D">
        <w:rPr>
          <w:sz w:val="22"/>
          <w:szCs w:val="22"/>
          <w:lang w:val="en-GB"/>
        </w:rPr>
        <w:t xml:space="preserve">benefits from measures that can be used to monitor the intensities of out-migration from and in-migration to different </w:t>
      </w:r>
      <w:r w:rsidR="000F6A00">
        <w:rPr>
          <w:sz w:val="22"/>
          <w:szCs w:val="22"/>
          <w:lang w:val="en-GB"/>
        </w:rPr>
        <w:t>localities</w:t>
      </w:r>
      <w:r w:rsidR="00F9084D">
        <w:rPr>
          <w:sz w:val="22"/>
          <w:szCs w:val="22"/>
          <w:lang w:val="en-GB"/>
        </w:rPr>
        <w:t xml:space="preserve"> within their jurisdictions as well as measures of the net impact of migration on the resident population. </w:t>
      </w:r>
      <w:r w:rsidR="004029EE">
        <w:rPr>
          <w:sz w:val="22"/>
          <w:szCs w:val="22"/>
          <w:lang w:val="en-GB"/>
        </w:rPr>
        <w:t>This paper introduces the IMAGE studio which has been designed for exactly t</w:t>
      </w:r>
      <w:r w:rsidR="00587BBD">
        <w:rPr>
          <w:sz w:val="22"/>
          <w:szCs w:val="22"/>
          <w:lang w:val="en-GB"/>
        </w:rPr>
        <w:t>h</w:t>
      </w:r>
      <w:r w:rsidR="004029EE">
        <w:rPr>
          <w:sz w:val="22"/>
          <w:szCs w:val="22"/>
          <w:lang w:val="en-GB"/>
        </w:rPr>
        <w:t xml:space="preserve">is purpose – to enable a researcher </w:t>
      </w:r>
      <w:r w:rsidR="00F9084D">
        <w:rPr>
          <w:sz w:val="22"/>
          <w:szCs w:val="22"/>
          <w:lang w:val="en-GB"/>
        </w:rPr>
        <w:t xml:space="preserve">or a policy maker </w:t>
      </w:r>
      <w:r w:rsidR="004029EE">
        <w:rPr>
          <w:sz w:val="22"/>
          <w:szCs w:val="22"/>
          <w:lang w:val="en-GB"/>
        </w:rPr>
        <w:t xml:space="preserve">to compute a series of local (regional) </w:t>
      </w:r>
      <w:r w:rsidR="00587BBD">
        <w:rPr>
          <w:sz w:val="22"/>
          <w:szCs w:val="22"/>
          <w:lang w:val="en-GB"/>
        </w:rPr>
        <w:t xml:space="preserve">and global (aggregate) </w:t>
      </w:r>
      <w:r w:rsidR="004029EE">
        <w:rPr>
          <w:sz w:val="22"/>
          <w:szCs w:val="22"/>
          <w:lang w:val="en-GB"/>
        </w:rPr>
        <w:t xml:space="preserve">migration indicators based on </w:t>
      </w:r>
      <w:r w:rsidR="00587BBD">
        <w:rPr>
          <w:sz w:val="22"/>
          <w:szCs w:val="22"/>
          <w:lang w:val="en-GB"/>
        </w:rPr>
        <w:t>a matrix of migration flows for a set of Basic Spatial Units (BSUs), the populations at risk (PAR) for these BSUs and a set of boundaries of the BSUs that correspond to the attribute data.</w:t>
      </w:r>
    </w:p>
    <w:p w:rsidR="00460C61" w:rsidRDefault="0049570A" w:rsidP="00460C61">
      <w:pPr>
        <w:tabs>
          <w:tab w:val="left" w:pos="7938"/>
        </w:tabs>
        <w:spacing w:after="120" w:line="360" w:lineRule="auto"/>
        <w:ind w:left="-1134"/>
        <w:jc w:val="both"/>
        <w:rPr>
          <w:color w:val="000000" w:themeColor="text1"/>
          <w:sz w:val="22"/>
          <w:szCs w:val="22"/>
          <w:lang w:val="en-US"/>
        </w:rPr>
      </w:pPr>
      <w:r>
        <w:rPr>
          <w:sz w:val="22"/>
          <w:szCs w:val="22"/>
          <w:lang w:val="en-GB"/>
        </w:rPr>
        <w:t>However, the studio has also been designed to enable the user to explore the effects of the Modifiable Areal Unit problem (MAUP)</w:t>
      </w:r>
      <w:r w:rsidR="00633B4D">
        <w:rPr>
          <w:sz w:val="22"/>
          <w:szCs w:val="22"/>
          <w:lang w:val="en-GB"/>
        </w:rPr>
        <w:t>,</w:t>
      </w:r>
      <w:r>
        <w:rPr>
          <w:sz w:val="22"/>
          <w:szCs w:val="22"/>
          <w:lang w:val="en-GB"/>
        </w:rPr>
        <w:t xml:space="preserve"> described </w:t>
      </w:r>
      <w:r w:rsidR="00633B4D">
        <w:rPr>
          <w:sz w:val="22"/>
          <w:szCs w:val="22"/>
          <w:lang w:val="en-GB"/>
        </w:rPr>
        <w:t xml:space="preserve">in detail </w:t>
      </w:r>
      <w:r>
        <w:rPr>
          <w:sz w:val="22"/>
          <w:szCs w:val="22"/>
          <w:lang w:val="en-GB"/>
        </w:rPr>
        <w:t xml:space="preserve">by </w:t>
      </w:r>
      <w:proofErr w:type="spellStart"/>
      <w:r>
        <w:rPr>
          <w:sz w:val="22"/>
          <w:szCs w:val="22"/>
          <w:lang w:val="en-GB"/>
        </w:rPr>
        <w:t>Openshaw</w:t>
      </w:r>
      <w:proofErr w:type="spellEnd"/>
      <w:r>
        <w:rPr>
          <w:sz w:val="22"/>
          <w:szCs w:val="22"/>
          <w:lang w:val="en-GB"/>
        </w:rPr>
        <w:t xml:space="preserve"> (1984)</w:t>
      </w:r>
      <w:r w:rsidR="00633B4D">
        <w:rPr>
          <w:sz w:val="22"/>
          <w:szCs w:val="22"/>
          <w:lang w:val="en-GB"/>
        </w:rPr>
        <w:t>,</w:t>
      </w:r>
      <w:r w:rsidR="00040843">
        <w:rPr>
          <w:sz w:val="22"/>
          <w:szCs w:val="22"/>
          <w:lang w:val="en-GB"/>
        </w:rPr>
        <w:t xml:space="preserve"> </w:t>
      </w:r>
      <w:r w:rsidRPr="00DA04F8">
        <w:rPr>
          <w:sz w:val="22"/>
          <w:szCs w:val="22"/>
          <w:lang w:val="en-GB"/>
        </w:rPr>
        <w:t xml:space="preserve">whose components include the </w:t>
      </w:r>
      <w:r w:rsidRPr="00DA04F8">
        <w:rPr>
          <w:i/>
          <w:sz w:val="22"/>
          <w:szCs w:val="22"/>
          <w:lang w:val="en-GB"/>
        </w:rPr>
        <w:t>scale effect</w:t>
      </w:r>
      <w:r w:rsidRPr="00DA04F8">
        <w:rPr>
          <w:sz w:val="22"/>
          <w:szCs w:val="22"/>
          <w:lang w:val="en-GB"/>
        </w:rPr>
        <w:t xml:space="preserve"> or the </w:t>
      </w:r>
      <w:r w:rsidRPr="00105B0D">
        <w:rPr>
          <w:color w:val="000000" w:themeColor="text1"/>
          <w:sz w:val="22"/>
          <w:szCs w:val="22"/>
          <w:lang w:val="en-US"/>
        </w:rPr>
        <w:t xml:space="preserve">variation in results obtained when data for one set of </w:t>
      </w:r>
      <w:r>
        <w:rPr>
          <w:color w:val="000000" w:themeColor="text1"/>
          <w:sz w:val="22"/>
          <w:szCs w:val="22"/>
          <w:lang w:val="en-US"/>
        </w:rPr>
        <w:t>BSUs</w:t>
      </w:r>
      <w:r w:rsidRPr="00105B0D">
        <w:rPr>
          <w:color w:val="000000" w:themeColor="text1"/>
          <w:sz w:val="22"/>
          <w:szCs w:val="22"/>
          <w:lang w:val="en-US"/>
        </w:rPr>
        <w:t xml:space="preserve"> is aggregated into larger </w:t>
      </w:r>
      <w:r>
        <w:rPr>
          <w:color w:val="000000" w:themeColor="text1"/>
          <w:sz w:val="22"/>
          <w:szCs w:val="22"/>
          <w:lang w:val="en-US"/>
        </w:rPr>
        <w:t xml:space="preserve">aggregate </w:t>
      </w:r>
      <w:r w:rsidRPr="00105B0D">
        <w:rPr>
          <w:color w:val="000000" w:themeColor="text1"/>
          <w:sz w:val="22"/>
          <w:szCs w:val="22"/>
          <w:lang w:val="en-US"/>
        </w:rPr>
        <w:t xml:space="preserve">spatial </w:t>
      </w:r>
      <w:r>
        <w:rPr>
          <w:color w:val="000000" w:themeColor="text1"/>
          <w:sz w:val="22"/>
          <w:szCs w:val="22"/>
          <w:lang w:val="en-US"/>
        </w:rPr>
        <w:t xml:space="preserve">regions (ASRs), </w:t>
      </w:r>
      <w:r w:rsidRPr="00105B0D">
        <w:rPr>
          <w:color w:val="000000" w:themeColor="text1"/>
          <w:sz w:val="22"/>
          <w:szCs w:val="22"/>
          <w:lang w:val="en-US"/>
        </w:rPr>
        <w:t xml:space="preserve">and the </w:t>
      </w:r>
      <w:r>
        <w:rPr>
          <w:i/>
          <w:color w:val="000000" w:themeColor="text1"/>
          <w:sz w:val="22"/>
          <w:szCs w:val="22"/>
          <w:lang w:val="en-US"/>
        </w:rPr>
        <w:t xml:space="preserve">zonation </w:t>
      </w:r>
      <w:r w:rsidRPr="00105B0D">
        <w:rPr>
          <w:i/>
          <w:color w:val="000000" w:themeColor="text1"/>
          <w:sz w:val="22"/>
          <w:szCs w:val="22"/>
          <w:lang w:val="en-US"/>
        </w:rPr>
        <w:t>effect</w:t>
      </w:r>
      <w:r w:rsidRPr="00105B0D">
        <w:rPr>
          <w:color w:val="000000" w:themeColor="text1"/>
          <w:sz w:val="22"/>
          <w:szCs w:val="22"/>
          <w:lang w:val="en-US"/>
        </w:rPr>
        <w:t xml:space="preserve"> or the variation in results obtained from different ways of subdividing geographical space at the same scale</w:t>
      </w:r>
      <w:r>
        <w:rPr>
          <w:color w:val="000000" w:themeColor="text1"/>
          <w:sz w:val="22"/>
          <w:szCs w:val="22"/>
          <w:lang w:val="en-US"/>
        </w:rPr>
        <w:t xml:space="preserve">. The scale effect is identified by observing the change in an indicator or model parameter when the </w:t>
      </w:r>
      <w:r w:rsidRPr="00105B0D">
        <w:rPr>
          <w:color w:val="000000" w:themeColor="text1"/>
          <w:sz w:val="22"/>
          <w:szCs w:val="22"/>
          <w:lang w:val="en-US"/>
        </w:rPr>
        <w:t xml:space="preserve">number of </w:t>
      </w:r>
      <w:r>
        <w:rPr>
          <w:color w:val="000000" w:themeColor="text1"/>
          <w:sz w:val="22"/>
          <w:szCs w:val="22"/>
          <w:lang w:val="en-US"/>
        </w:rPr>
        <w:t>regions</w:t>
      </w:r>
      <w:r w:rsidRPr="00105B0D">
        <w:rPr>
          <w:color w:val="000000" w:themeColor="text1"/>
          <w:sz w:val="22"/>
          <w:szCs w:val="22"/>
          <w:lang w:val="en-US"/>
        </w:rPr>
        <w:t xml:space="preserve"> changes, where</w:t>
      </w:r>
      <w:r>
        <w:rPr>
          <w:color w:val="000000" w:themeColor="text1"/>
          <w:sz w:val="22"/>
          <w:szCs w:val="22"/>
          <w:lang w:val="en-US"/>
        </w:rPr>
        <w:t>as</w:t>
      </w:r>
      <w:r w:rsidRPr="00105B0D">
        <w:rPr>
          <w:color w:val="000000" w:themeColor="text1"/>
          <w:sz w:val="22"/>
          <w:szCs w:val="22"/>
          <w:lang w:val="en-US"/>
        </w:rPr>
        <w:t xml:space="preserve"> the </w:t>
      </w:r>
      <w:r w:rsidR="00EC61F3">
        <w:rPr>
          <w:color w:val="000000" w:themeColor="text1"/>
          <w:sz w:val="22"/>
          <w:szCs w:val="22"/>
          <w:lang w:val="en-US"/>
        </w:rPr>
        <w:t>zonation</w:t>
      </w:r>
      <w:r>
        <w:rPr>
          <w:color w:val="000000" w:themeColor="text1"/>
          <w:sz w:val="22"/>
          <w:szCs w:val="22"/>
          <w:lang w:val="en-US"/>
        </w:rPr>
        <w:t xml:space="preserve"> effect is identified by observing the indicator change when the number of regions</w:t>
      </w:r>
      <w:r w:rsidRPr="00105B0D">
        <w:rPr>
          <w:color w:val="000000" w:themeColor="text1"/>
          <w:sz w:val="22"/>
          <w:szCs w:val="22"/>
          <w:lang w:val="en-US"/>
        </w:rPr>
        <w:t xml:space="preserve"> remains the same</w:t>
      </w:r>
      <w:r>
        <w:rPr>
          <w:color w:val="000000" w:themeColor="text1"/>
          <w:sz w:val="22"/>
          <w:szCs w:val="22"/>
          <w:lang w:val="en-US"/>
        </w:rPr>
        <w:t xml:space="preserve"> but the</w:t>
      </w:r>
      <w:r w:rsidR="00633B4D">
        <w:rPr>
          <w:color w:val="000000" w:themeColor="text1"/>
          <w:sz w:val="22"/>
          <w:szCs w:val="22"/>
          <w:lang w:val="en-US"/>
        </w:rPr>
        <w:t xml:space="preserve"> regions</w:t>
      </w:r>
      <w:r>
        <w:rPr>
          <w:color w:val="000000" w:themeColor="text1"/>
          <w:sz w:val="22"/>
          <w:szCs w:val="22"/>
          <w:lang w:val="en-US"/>
        </w:rPr>
        <w:t xml:space="preserve"> are configured differently</w:t>
      </w:r>
      <w:r w:rsidRPr="00105B0D">
        <w:rPr>
          <w:color w:val="000000" w:themeColor="text1"/>
          <w:sz w:val="22"/>
          <w:szCs w:val="22"/>
          <w:lang w:val="en-US"/>
        </w:rPr>
        <w:t>.</w:t>
      </w:r>
      <w:r>
        <w:rPr>
          <w:color w:val="000000" w:themeColor="text1"/>
          <w:sz w:val="22"/>
          <w:szCs w:val="22"/>
          <w:lang w:val="en-US"/>
        </w:rPr>
        <w:t xml:space="preserve">  The MAUP is </w:t>
      </w:r>
      <w:r w:rsidR="00972262">
        <w:rPr>
          <w:color w:val="000000" w:themeColor="text1"/>
          <w:sz w:val="22"/>
          <w:szCs w:val="22"/>
          <w:lang w:val="en-US"/>
        </w:rPr>
        <w:t xml:space="preserve">at the core of </w:t>
      </w:r>
      <w:r w:rsidR="002150B7">
        <w:rPr>
          <w:sz w:val="22"/>
          <w:szCs w:val="22"/>
          <w:lang w:val="en-GB"/>
        </w:rPr>
        <w:t>comparison</w:t>
      </w:r>
      <w:r>
        <w:rPr>
          <w:sz w:val="22"/>
          <w:szCs w:val="22"/>
          <w:lang w:val="en-GB"/>
        </w:rPr>
        <w:t>s</w:t>
      </w:r>
      <w:r w:rsidR="002150B7">
        <w:rPr>
          <w:sz w:val="22"/>
          <w:szCs w:val="22"/>
          <w:lang w:val="en-GB"/>
        </w:rPr>
        <w:t xml:space="preserve"> of </w:t>
      </w:r>
      <w:r w:rsidR="00685F85">
        <w:rPr>
          <w:sz w:val="22"/>
          <w:szCs w:val="22"/>
          <w:lang w:val="en-GB"/>
        </w:rPr>
        <w:t xml:space="preserve">internal </w:t>
      </w:r>
      <w:r w:rsidR="00FC03E6" w:rsidRPr="00DA04F8">
        <w:rPr>
          <w:sz w:val="22"/>
          <w:szCs w:val="22"/>
          <w:lang w:val="en-GB"/>
        </w:rPr>
        <w:t xml:space="preserve">migration propensities and geographical </w:t>
      </w:r>
      <w:r w:rsidR="00584E48">
        <w:rPr>
          <w:sz w:val="22"/>
          <w:szCs w:val="22"/>
          <w:lang w:val="en-GB"/>
        </w:rPr>
        <w:t xml:space="preserve">flow </w:t>
      </w:r>
      <w:r w:rsidR="00FC03E6" w:rsidRPr="00DA04F8">
        <w:rPr>
          <w:sz w:val="22"/>
          <w:szCs w:val="22"/>
          <w:lang w:val="en-GB"/>
        </w:rPr>
        <w:t>patterns in different countries</w:t>
      </w:r>
      <w:r w:rsidR="00633B4D">
        <w:rPr>
          <w:sz w:val="22"/>
          <w:szCs w:val="22"/>
          <w:lang w:val="en-GB"/>
        </w:rPr>
        <w:t xml:space="preserve"> because</w:t>
      </w:r>
      <w:r w:rsidR="00BF12DC">
        <w:rPr>
          <w:sz w:val="22"/>
          <w:szCs w:val="22"/>
          <w:lang w:val="en-GB"/>
        </w:rPr>
        <w:t xml:space="preserve"> each country has its own </w:t>
      </w:r>
      <w:r w:rsidR="00633B4D">
        <w:rPr>
          <w:sz w:val="22"/>
          <w:szCs w:val="22"/>
          <w:lang w:val="en-GB"/>
        </w:rPr>
        <w:t>hiera</w:t>
      </w:r>
      <w:r w:rsidR="00972262">
        <w:rPr>
          <w:sz w:val="22"/>
          <w:szCs w:val="22"/>
          <w:lang w:val="en-GB"/>
        </w:rPr>
        <w:t>r</w:t>
      </w:r>
      <w:r w:rsidR="00633B4D">
        <w:rPr>
          <w:sz w:val="22"/>
          <w:szCs w:val="22"/>
          <w:lang w:val="en-GB"/>
        </w:rPr>
        <w:t>chy</w:t>
      </w:r>
      <w:r w:rsidR="00FC03E6" w:rsidRPr="00DA04F8">
        <w:rPr>
          <w:sz w:val="22"/>
          <w:szCs w:val="22"/>
          <w:lang w:val="en-GB"/>
        </w:rPr>
        <w:t xml:space="preserve"> of spatial units used by governments </w:t>
      </w:r>
      <w:r w:rsidR="00685F85">
        <w:rPr>
          <w:sz w:val="22"/>
          <w:szCs w:val="22"/>
          <w:lang w:val="en-GB"/>
        </w:rPr>
        <w:t xml:space="preserve">or </w:t>
      </w:r>
      <w:r w:rsidR="00FC03E6" w:rsidRPr="00DA04F8">
        <w:rPr>
          <w:sz w:val="22"/>
          <w:szCs w:val="22"/>
          <w:lang w:val="en-GB"/>
        </w:rPr>
        <w:t xml:space="preserve">agencies to </w:t>
      </w:r>
      <w:proofErr w:type="gramStart"/>
      <w:r w:rsidR="00FC03E6" w:rsidRPr="00DA04F8">
        <w:rPr>
          <w:sz w:val="22"/>
          <w:szCs w:val="22"/>
          <w:lang w:val="en-GB"/>
        </w:rPr>
        <w:t>collect,</w:t>
      </w:r>
      <w:proofErr w:type="gramEnd"/>
      <w:r w:rsidR="00FC03E6" w:rsidRPr="00DA04F8">
        <w:rPr>
          <w:sz w:val="22"/>
          <w:szCs w:val="22"/>
          <w:lang w:val="en-GB"/>
        </w:rPr>
        <w:t xml:space="preserve"> analyse and disseminate migration data for research or planning purposes.  Whilst it is possible to use data on total migration to compute national propensities </w:t>
      </w:r>
      <w:r w:rsidR="00685F85">
        <w:rPr>
          <w:sz w:val="22"/>
          <w:szCs w:val="22"/>
          <w:lang w:val="en-GB"/>
        </w:rPr>
        <w:t xml:space="preserve">and age-sex </w:t>
      </w:r>
      <w:r w:rsidR="009D2CAF">
        <w:rPr>
          <w:sz w:val="22"/>
          <w:szCs w:val="22"/>
          <w:lang w:val="en-GB"/>
        </w:rPr>
        <w:t xml:space="preserve">migration </w:t>
      </w:r>
      <w:r w:rsidR="00685F85">
        <w:rPr>
          <w:sz w:val="22"/>
          <w:szCs w:val="22"/>
          <w:lang w:val="en-GB"/>
        </w:rPr>
        <w:t xml:space="preserve">schedules </w:t>
      </w:r>
      <w:r w:rsidR="00FC03E6" w:rsidRPr="00DA04F8">
        <w:rPr>
          <w:sz w:val="22"/>
          <w:szCs w:val="22"/>
          <w:lang w:val="en-GB"/>
        </w:rPr>
        <w:t xml:space="preserve">for individual countries which can be compared legitimately </w:t>
      </w:r>
      <w:r w:rsidR="00685F85">
        <w:rPr>
          <w:sz w:val="22"/>
          <w:szCs w:val="22"/>
          <w:lang w:val="en-GB"/>
        </w:rPr>
        <w:t>with other</w:t>
      </w:r>
      <w:r w:rsidR="00FC03E6" w:rsidRPr="00DA04F8">
        <w:rPr>
          <w:sz w:val="22"/>
          <w:szCs w:val="22"/>
          <w:lang w:val="en-GB"/>
        </w:rPr>
        <w:t xml:space="preserve"> countries</w:t>
      </w:r>
      <w:r w:rsidR="00713469">
        <w:rPr>
          <w:sz w:val="22"/>
          <w:szCs w:val="22"/>
          <w:lang w:val="en-GB"/>
        </w:rPr>
        <w:t xml:space="preserve"> (e.g. Rogers and Castro, 1978</w:t>
      </w:r>
      <w:r w:rsidR="00972262">
        <w:rPr>
          <w:sz w:val="22"/>
          <w:szCs w:val="22"/>
          <w:lang w:val="en-GB"/>
        </w:rPr>
        <w:t>; Bernard and Bell, 2012</w:t>
      </w:r>
      <w:r w:rsidR="00713469">
        <w:rPr>
          <w:sz w:val="22"/>
          <w:szCs w:val="22"/>
          <w:lang w:val="en-GB"/>
        </w:rPr>
        <w:t>)</w:t>
      </w:r>
      <w:r w:rsidR="00FC03E6" w:rsidRPr="00DA04F8">
        <w:rPr>
          <w:sz w:val="22"/>
          <w:szCs w:val="22"/>
          <w:lang w:val="en-GB"/>
        </w:rPr>
        <w:t>, any comparison of sub-national movements between (and within) geographical areas is obfuscated by the different shape</w:t>
      </w:r>
      <w:r w:rsidR="002150B7">
        <w:rPr>
          <w:sz w:val="22"/>
          <w:szCs w:val="22"/>
          <w:lang w:val="en-GB"/>
        </w:rPr>
        <w:t>,</w:t>
      </w:r>
      <w:r w:rsidR="00FC03E6" w:rsidRPr="00DA04F8">
        <w:rPr>
          <w:sz w:val="22"/>
          <w:szCs w:val="22"/>
          <w:lang w:val="en-GB"/>
        </w:rPr>
        <w:t xml:space="preserve"> size</w:t>
      </w:r>
      <w:r w:rsidR="002150B7">
        <w:rPr>
          <w:sz w:val="22"/>
          <w:szCs w:val="22"/>
          <w:lang w:val="en-GB"/>
        </w:rPr>
        <w:t xml:space="preserve"> and number</w:t>
      </w:r>
      <w:r w:rsidR="00FC03E6" w:rsidRPr="00DA04F8">
        <w:rPr>
          <w:sz w:val="22"/>
          <w:szCs w:val="22"/>
          <w:lang w:val="en-GB"/>
        </w:rPr>
        <w:t xml:space="preserve"> of </w:t>
      </w:r>
      <w:r w:rsidR="002150B7" w:rsidRPr="00DA04F8">
        <w:rPr>
          <w:sz w:val="22"/>
          <w:szCs w:val="22"/>
          <w:lang w:val="en-GB"/>
        </w:rPr>
        <w:t xml:space="preserve">census </w:t>
      </w:r>
      <w:r w:rsidR="002150B7">
        <w:rPr>
          <w:sz w:val="22"/>
          <w:szCs w:val="22"/>
          <w:lang w:val="en-GB"/>
        </w:rPr>
        <w:t>or</w:t>
      </w:r>
      <w:r w:rsidR="00FC03E6" w:rsidRPr="00DA04F8">
        <w:rPr>
          <w:sz w:val="22"/>
          <w:szCs w:val="22"/>
          <w:lang w:val="en-GB"/>
        </w:rPr>
        <w:t xml:space="preserve"> administrative </w:t>
      </w:r>
      <w:r w:rsidR="002150B7">
        <w:rPr>
          <w:sz w:val="22"/>
          <w:szCs w:val="22"/>
          <w:lang w:val="en-GB"/>
        </w:rPr>
        <w:t>s</w:t>
      </w:r>
      <w:r w:rsidR="00FC03E6" w:rsidRPr="00DA04F8">
        <w:rPr>
          <w:sz w:val="22"/>
          <w:szCs w:val="22"/>
          <w:lang w:val="en-GB"/>
        </w:rPr>
        <w:t xml:space="preserve">patial units that are used for counting migration flows. </w:t>
      </w:r>
    </w:p>
    <w:p w:rsidR="00BF12DC" w:rsidRDefault="00713469" w:rsidP="00B00A51">
      <w:pPr>
        <w:tabs>
          <w:tab w:val="left" w:pos="7938"/>
        </w:tabs>
        <w:spacing w:after="120" w:line="360" w:lineRule="auto"/>
        <w:ind w:left="-1134"/>
        <w:jc w:val="both"/>
        <w:rPr>
          <w:sz w:val="22"/>
          <w:szCs w:val="22"/>
          <w:lang w:val="en-GB"/>
        </w:rPr>
      </w:pPr>
      <w:r>
        <w:rPr>
          <w:sz w:val="22"/>
          <w:szCs w:val="22"/>
          <w:lang w:val="en-GB"/>
        </w:rPr>
        <w:t xml:space="preserve">Thus, </w:t>
      </w:r>
      <w:r w:rsidR="00584E48">
        <w:rPr>
          <w:sz w:val="22"/>
          <w:szCs w:val="22"/>
          <w:lang w:val="en-GB"/>
        </w:rPr>
        <w:t xml:space="preserve">the </w:t>
      </w:r>
      <w:r>
        <w:rPr>
          <w:sz w:val="22"/>
          <w:szCs w:val="22"/>
          <w:lang w:val="en-GB"/>
        </w:rPr>
        <w:t xml:space="preserve">IMAGE studio </w:t>
      </w:r>
      <w:r w:rsidR="00BF12DC">
        <w:rPr>
          <w:sz w:val="22"/>
          <w:szCs w:val="22"/>
          <w:lang w:val="en-GB"/>
        </w:rPr>
        <w:t>has been developed</w:t>
      </w:r>
      <w:r w:rsidR="00F54694">
        <w:rPr>
          <w:sz w:val="22"/>
          <w:szCs w:val="22"/>
          <w:lang w:val="en-GB"/>
        </w:rPr>
        <w:t xml:space="preserve"> to</w:t>
      </w:r>
      <w:r w:rsidR="00040843">
        <w:rPr>
          <w:sz w:val="22"/>
          <w:szCs w:val="22"/>
          <w:lang w:val="en-GB"/>
        </w:rPr>
        <w:t xml:space="preserve"> </w:t>
      </w:r>
      <w:r w:rsidR="009D2CAF">
        <w:rPr>
          <w:sz w:val="22"/>
          <w:szCs w:val="22"/>
          <w:lang w:val="en-GB"/>
        </w:rPr>
        <w:t>accommodate a methodological</w:t>
      </w:r>
      <w:r w:rsidRPr="00DA04F8">
        <w:rPr>
          <w:sz w:val="22"/>
          <w:szCs w:val="22"/>
          <w:lang w:val="en-GB"/>
        </w:rPr>
        <w:t xml:space="preserve"> response to the MAUP challenge for comparative analysis of internal migration</w:t>
      </w:r>
      <w:r w:rsidR="00700BE8">
        <w:rPr>
          <w:sz w:val="22"/>
          <w:szCs w:val="22"/>
          <w:lang w:val="en-GB"/>
        </w:rPr>
        <w:t xml:space="preserve">; a tool has been developed </w:t>
      </w:r>
      <w:r w:rsidRPr="00DA04F8">
        <w:rPr>
          <w:sz w:val="22"/>
          <w:szCs w:val="22"/>
          <w:lang w:val="en-GB"/>
        </w:rPr>
        <w:t>that generates a series of indicators that relate to spatial patterns of migration patterns for a set of BSUs and aggregations thereof</w:t>
      </w:r>
      <w:r w:rsidR="009D2CAF">
        <w:rPr>
          <w:sz w:val="22"/>
          <w:szCs w:val="22"/>
          <w:lang w:val="en-GB"/>
        </w:rPr>
        <w:t xml:space="preserve"> into ASRs</w:t>
      </w:r>
      <w:r>
        <w:rPr>
          <w:sz w:val="22"/>
          <w:szCs w:val="22"/>
          <w:lang w:val="en-GB"/>
        </w:rPr>
        <w:t>.</w:t>
      </w:r>
      <w:r w:rsidR="00BF12DC">
        <w:rPr>
          <w:sz w:val="22"/>
          <w:szCs w:val="22"/>
          <w:lang w:val="en-GB"/>
        </w:rPr>
        <w:t xml:space="preserve"> In this paper, </w:t>
      </w:r>
      <w:r w:rsidR="00FC03E6" w:rsidRPr="00DA04F8">
        <w:rPr>
          <w:sz w:val="22"/>
          <w:szCs w:val="22"/>
          <w:lang w:val="en-GB"/>
        </w:rPr>
        <w:t xml:space="preserve">our aim is to </w:t>
      </w:r>
      <w:r w:rsidR="00700BE8">
        <w:rPr>
          <w:sz w:val="22"/>
          <w:szCs w:val="22"/>
          <w:lang w:val="en-GB"/>
        </w:rPr>
        <w:t>explain the structure of the studio and demonstrate how it has been used t</w:t>
      </w:r>
      <w:r w:rsidR="00FC03E6" w:rsidRPr="00DA04F8">
        <w:rPr>
          <w:sz w:val="22"/>
          <w:szCs w:val="22"/>
          <w:lang w:val="en-GB"/>
        </w:rPr>
        <w:t xml:space="preserve">o explore the </w:t>
      </w:r>
      <w:r>
        <w:rPr>
          <w:sz w:val="22"/>
          <w:szCs w:val="22"/>
          <w:lang w:val="en-GB"/>
        </w:rPr>
        <w:t xml:space="preserve">sensitivity of the distance decay </w:t>
      </w:r>
      <w:r w:rsidR="00FC03E6" w:rsidRPr="00DA04F8">
        <w:rPr>
          <w:sz w:val="22"/>
          <w:szCs w:val="22"/>
          <w:lang w:val="en-GB"/>
        </w:rPr>
        <w:t xml:space="preserve">parameter </w:t>
      </w:r>
      <w:r>
        <w:rPr>
          <w:sz w:val="22"/>
          <w:szCs w:val="22"/>
          <w:lang w:val="en-GB"/>
        </w:rPr>
        <w:t xml:space="preserve">of a doubly constrained spatial interaction </w:t>
      </w:r>
      <w:r w:rsidRPr="00DA04F8">
        <w:rPr>
          <w:sz w:val="22"/>
          <w:szCs w:val="22"/>
          <w:lang w:val="en-GB"/>
        </w:rPr>
        <w:t xml:space="preserve">model </w:t>
      </w:r>
      <w:r>
        <w:rPr>
          <w:sz w:val="22"/>
          <w:szCs w:val="22"/>
          <w:lang w:val="en-GB"/>
        </w:rPr>
        <w:t xml:space="preserve">to </w:t>
      </w:r>
      <w:r w:rsidR="00FC03E6" w:rsidRPr="00DA04F8">
        <w:rPr>
          <w:sz w:val="22"/>
          <w:szCs w:val="22"/>
          <w:lang w:val="en-GB"/>
        </w:rPr>
        <w:t>change</w:t>
      </w:r>
      <w:r>
        <w:rPr>
          <w:sz w:val="22"/>
          <w:szCs w:val="22"/>
          <w:lang w:val="en-GB"/>
        </w:rPr>
        <w:t>s</w:t>
      </w:r>
      <w:r w:rsidR="00040843">
        <w:rPr>
          <w:sz w:val="22"/>
          <w:szCs w:val="22"/>
          <w:lang w:val="en-GB"/>
        </w:rPr>
        <w:t xml:space="preserve"> </w:t>
      </w:r>
      <w:r>
        <w:rPr>
          <w:sz w:val="22"/>
          <w:szCs w:val="22"/>
          <w:lang w:val="en-GB"/>
        </w:rPr>
        <w:t xml:space="preserve">in geography </w:t>
      </w:r>
      <w:r w:rsidR="00FC03E6" w:rsidRPr="00DA04F8">
        <w:rPr>
          <w:sz w:val="22"/>
          <w:szCs w:val="22"/>
          <w:lang w:val="en-GB"/>
        </w:rPr>
        <w:t>when we aggregate BSUs into larger regions in a stepwise manner</w:t>
      </w:r>
      <w:r w:rsidR="00584E48">
        <w:rPr>
          <w:sz w:val="22"/>
          <w:szCs w:val="22"/>
          <w:lang w:val="en-GB"/>
        </w:rPr>
        <w:t xml:space="preserve"> and when we fit the same model to migration flows </w:t>
      </w:r>
      <w:r w:rsidR="008B5F02">
        <w:rPr>
          <w:sz w:val="22"/>
          <w:szCs w:val="22"/>
          <w:lang w:val="en-GB"/>
        </w:rPr>
        <w:t xml:space="preserve">for different </w:t>
      </w:r>
      <w:r w:rsidR="008B5F02">
        <w:rPr>
          <w:sz w:val="22"/>
          <w:szCs w:val="22"/>
          <w:lang w:val="en-GB"/>
        </w:rPr>
        <w:lastRenderedPageBreak/>
        <w:t>configurations of the same number of aggregated regions</w:t>
      </w:r>
      <w:r w:rsidR="00FC03E6" w:rsidRPr="00DA04F8">
        <w:rPr>
          <w:sz w:val="22"/>
          <w:szCs w:val="22"/>
          <w:lang w:val="en-GB"/>
        </w:rPr>
        <w:t xml:space="preserve">. </w:t>
      </w:r>
      <w:r w:rsidR="00B00A51">
        <w:rPr>
          <w:sz w:val="22"/>
          <w:szCs w:val="22"/>
          <w:lang w:val="en-GB"/>
        </w:rPr>
        <w:t xml:space="preserve">So, the </w:t>
      </w:r>
      <w:r w:rsidR="00460C61">
        <w:rPr>
          <w:sz w:val="22"/>
          <w:szCs w:val="22"/>
          <w:lang w:val="en-GB"/>
        </w:rPr>
        <w:t xml:space="preserve">key </w:t>
      </w:r>
      <w:r w:rsidR="00B00A51">
        <w:rPr>
          <w:sz w:val="22"/>
          <w:szCs w:val="22"/>
          <w:lang w:val="en-GB"/>
        </w:rPr>
        <w:t xml:space="preserve">research question that underlies the analysis </w:t>
      </w:r>
      <w:r w:rsidR="00B00A51" w:rsidRPr="00460C61">
        <w:rPr>
          <w:sz w:val="22"/>
          <w:szCs w:val="22"/>
          <w:lang w:val="en-GB"/>
        </w:rPr>
        <w:t>is</w:t>
      </w:r>
      <w:r w:rsidR="00460C61">
        <w:rPr>
          <w:sz w:val="22"/>
          <w:szCs w:val="22"/>
          <w:lang w:val="en-GB"/>
        </w:rPr>
        <w:t xml:space="preserve"> as follows: w</w:t>
      </w:r>
      <w:r w:rsidR="00E07083" w:rsidRPr="00E07083">
        <w:rPr>
          <w:sz w:val="22"/>
          <w:szCs w:val="22"/>
          <w:lang w:val="en-GB"/>
        </w:rPr>
        <w:t xml:space="preserve">hat happens to the </w:t>
      </w:r>
      <w:r w:rsidR="00460C61">
        <w:rPr>
          <w:sz w:val="22"/>
          <w:szCs w:val="22"/>
          <w:lang w:val="en-GB"/>
        </w:rPr>
        <w:t>mean distance of migration a</w:t>
      </w:r>
      <w:r w:rsidR="00E07083" w:rsidRPr="00E07083">
        <w:rPr>
          <w:sz w:val="22"/>
          <w:szCs w:val="22"/>
          <w:lang w:val="en-GB"/>
        </w:rPr>
        <w:t xml:space="preserve">nd </w:t>
      </w:r>
      <w:r w:rsidR="00460C61" w:rsidRPr="00460C61">
        <w:rPr>
          <w:iCs/>
          <w:sz w:val="22"/>
          <w:szCs w:val="22"/>
          <w:lang w:val="en-GB"/>
        </w:rPr>
        <w:t>distance decay</w:t>
      </w:r>
      <w:r w:rsidR="00E07083" w:rsidRPr="00E07083">
        <w:rPr>
          <w:sz w:val="22"/>
          <w:szCs w:val="22"/>
          <w:lang w:val="en-GB"/>
        </w:rPr>
        <w:t xml:space="preserve"> parameter when we aggregate a set of BSUs in steps of </w:t>
      </w:r>
      <w:r w:rsidR="00E07083" w:rsidRPr="00E07083">
        <w:rPr>
          <w:i/>
          <w:iCs/>
          <w:sz w:val="22"/>
          <w:szCs w:val="22"/>
          <w:lang w:val="en-GB"/>
        </w:rPr>
        <w:t>x</w:t>
      </w:r>
      <w:r w:rsidR="00E07083" w:rsidRPr="00E07083">
        <w:rPr>
          <w:sz w:val="22"/>
          <w:szCs w:val="22"/>
          <w:lang w:val="en-GB"/>
        </w:rPr>
        <w:t xml:space="preserve"> and fit the model </w:t>
      </w:r>
      <w:proofErr w:type="spellStart"/>
      <w:r w:rsidR="00E07083" w:rsidRPr="00E07083">
        <w:rPr>
          <w:sz w:val="22"/>
          <w:szCs w:val="22"/>
          <w:lang w:val="en-GB"/>
        </w:rPr>
        <w:t xml:space="preserve">to </w:t>
      </w:r>
      <w:r w:rsidR="00E07083" w:rsidRPr="00396737">
        <w:rPr>
          <w:i/>
          <w:sz w:val="22"/>
          <w:szCs w:val="22"/>
          <w:lang w:val="en-GB"/>
        </w:rPr>
        <w:t>y</w:t>
      </w:r>
      <w:proofErr w:type="spellEnd"/>
      <w:r w:rsidR="00E07083" w:rsidRPr="00E07083">
        <w:rPr>
          <w:sz w:val="22"/>
          <w:szCs w:val="22"/>
          <w:lang w:val="en-GB"/>
        </w:rPr>
        <w:t xml:space="preserve"> configurations (</w:t>
      </w:r>
      <w:proofErr w:type="spellStart"/>
      <w:r w:rsidR="00E07083" w:rsidRPr="00E07083">
        <w:rPr>
          <w:sz w:val="22"/>
          <w:szCs w:val="22"/>
          <w:lang w:val="en-GB"/>
        </w:rPr>
        <w:t>zonations</w:t>
      </w:r>
      <w:proofErr w:type="spellEnd"/>
      <w:r w:rsidR="00E07083" w:rsidRPr="00E07083">
        <w:rPr>
          <w:sz w:val="22"/>
          <w:szCs w:val="22"/>
          <w:lang w:val="en-GB"/>
        </w:rPr>
        <w:t>) of ASRs at each step (scale)?</w:t>
      </w:r>
      <w:r w:rsidR="00EC61F3">
        <w:rPr>
          <w:sz w:val="22"/>
          <w:szCs w:val="22"/>
          <w:lang w:val="en-GB"/>
        </w:rPr>
        <w:t xml:space="preserve"> </w:t>
      </w:r>
      <w:r w:rsidR="00BF12DC">
        <w:rPr>
          <w:sz w:val="22"/>
          <w:szCs w:val="22"/>
          <w:lang w:val="en-GB"/>
        </w:rPr>
        <w:t xml:space="preserve">We identify scale and </w:t>
      </w:r>
      <w:r w:rsidR="00EC61F3">
        <w:rPr>
          <w:sz w:val="22"/>
          <w:szCs w:val="22"/>
          <w:lang w:val="en-GB"/>
        </w:rPr>
        <w:t>zonation</w:t>
      </w:r>
      <w:r w:rsidR="00BF12DC">
        <w:rPr>
          <w:sz w:val="22"/>
          <w:szCs w:val="22"/>
          <w:lang w:val="en-GB"/>
        </w:rPr>
        <w:t xml:space="preserve"> effects using census and </w:t>
      </w:r>
      <w:r w:rsidR="008868A0">
        <w:rPr>
          <w:sz w:val="22"/>
          <w:szCs w:val="22"/>
          <w:lang w:val="en-GB"/>
        </w:rPr>
        <w:t>registration migration</w:t>
      </w:r>
      <w:r w:rsidR="00BF12DC">
        <w:rPr>
          <w:sz w:val="22"/>
          <w:szCs w:val="22"/>
          <w:lang w:val="en-GB"/>
        </w:rPr>
        <w:t xml:space="preserve"> data for the United Kingdom (UK) and then make comparisons </w:t>
      </w:r>
      <w:r w:rsidR="00700BE8">
        <w:rPr>
          <w:sz w:val="22"/>
          <w:szCs w:val="22"/>
          <w:lang w:val="en-GB"/>
        </w:rPr>
        <w:t>of</w:t>
      </w:r>
      <w:r w:rsidR="008868A0">
        <w:rPr>
          <w:sz w:val="22"/>
          <w:szCs w:val="22"/>
          <w:lang w:val="en-GB"/>
        </w:rPr>
        <w:t xml:space="preserve"> the same effects in </w:t>
      </w:r>
      <w:r w:rsidR="00700BE8">
        <w:rPr>
          <w:sz w:val="22"/>
          <w:szCs w:val="22"/>
          <w:lang w:val="en-GB"/>
        </w:rPr>
        <w:t xml:space="preserve">the UK with </w:t>
      </w:r>
      <w:r w:rsidR="008868A0">
        <w:rPr>
          <w:sz w:val="22"/>
          <w:szCs w:val="22"/>
          <w:lang w:val="en-GB"/>
        </w:rPr>
        <w:t>three other northern European countries</w:t>
      </w:r>
      <w:r w:rsidR="00700BE8">
        <w:rPr>
          <w:sz w:val="22"/>
          <w:szCs w:val="22"/>
          <w:lang w:val="en-GB"/>
        </w:rPr>
        <w:t>.</w:t>
      </w:r>
    </w:p>
    <w:p w:rsidR="00CA597C" w:rsidRDefault="008868A0" w:rsidP="00462936">
      <w:pPr>
        <w:tabs>
          <w:tab w:val="left" w:pos="7938"/>
        </w:tabs>
        <w:spacing w:after="120" w:line="360" w:lineRule="auto"/>
        <w:ind w:left="-1134"/>
        <w:jc w:val="both"/>
        <w:rPr>
          <w:sz w:val="22"/>
          <w:szCs w:val="22"/>
          <w:lang w:val="en-GB"/>
        </w:rPr>
      </w:pPr>
      <w:r>
        <w:rPr>
          <w:sz w:val="22"/>
          <w:szCs w:val="22"/>
          <w:lang w:val="en-GB"/>
        </w:rPr>
        <w:t xml:space="preserve">The paper begins with a brief discussion of </w:t>
      </w:r>
      <w:r w:rsidR="00FC03E6" w:rsidRPr="001450B8">
        <w:rPr>
          <w:sz w:val="22"/>
          <w:szCs w:val="22"/>
          <w:lang w:val="en-GB"/>
        </w:rPr>
        <w:t>the sources and types of internal migration data that can be used</w:t>
      </w:r>
      <w:r w:rsidR="00713469" w:rsidRPr="001450B8">
        <w:rPr>
          <w:sz w:val="22"/>
          <w:szCs w:val="22"/>
          <w:lang w:val="en-GB"/>
        </w:rPr>
        <w:t xml:space="preserve"> in the system</w:t>
      </w:r>
      <w:r>
        <w:rPr>
          <w:sz w:val="22"/>
          <w:szCs w:val="22"/>
          <w:lang w:val="en-GB"/>
        </w:rPr>
        <w:t xml:space="preserve"> before </w:t>
      </w:r>
      <w:r w:rsidR="00FC03E6" w:rsidRPr="001450B8">
        <w:rPr>
          <w:sz w:val="22"/>
          <w:szCs w:val="22"/>
          <w:lang w:val="en-GB"/>
        </w:rPr>
        <w:t>explain</w:t>
      </w:r>
      <w:r>
        <w:rPr>
          <w:sz w:val="22"/>
          <w:szCs w:val="22"/>
          <w:lang w:val="en-GB"/>
        </w:rPr>
        <w:t>ing</w:t>
      </w:r>
      <w:r w:rsidR="00FC03E6" w:rsidRPr="001450B8">
        <w:rPr>
          <w:sz w:val="22"/>
          <w:szCs w:val="22"/>
          <w:lang w:val="en-GB"/>
        </w:rPr>
        <w:t xml:space="preserve"> the </w:t>
      </w:r>
      <w:r>
        <w:rPr>
          <w:sz w:val="22"/>
          <w:szCs w:val="22"/>
          <w:lang w:val="en-GB"/>
        </w:rPr>
        <w:t xml:space="preserve">structural framework of the studio and its four sub-systems. Different sections of the paper </w:t>
      </w:r>
      <w:r w:rsidR="00FC03E6" w:rsidRPr="001450B8">
        <w:rPr>
          <w:sz w:val="22"/>
          <w:szCs w:val="22"/>
          <w:lang w:val="en-GB"/>
        </w:rPr>
        <w:t xml:space="preserve">outline </w:t>
      </w:r>
      <w:r>
        <w:rPr>
          <w:sz w:val="22"/>
          <w:szCs w:val="22"/>
          <w:lang w:val="en-GB"/>
        </w:rPr>
        <w:t xml:space="preserve">the data preparation requirements, the </w:t>
      </w:r>
      <w:r w:rsidR="00713469" w:rsidRPr="001450B8">
        <w:rPr>
          <w:sz w:val="22"/>
          <w:szCs w:val="22"/>
          <w:lang w:val="en-GB"/>
        </w:rPr>
        <w:t>two alternative spatial</w:t>
      </w:r>
      <w:r w:rsidR="00FC03E6" w:rsidRPr="001450B8">
        <w:rPr>
          <w:sz w:val="22"/>
          <w:szCs w:val="22"/>
          <w:lang w:val="en-GB"/>
        </w:rPr>
        <w:t xml:space="preserve"> aggregation routines</w:t>
      </w:r>
      <w:r>
        <w:rPr>
          <w:sz w:val="22"/>
          <w:szCs w:val="22"/>
          <w:lang w:val="en-GB"/>
        </w:rPr>
        <w:t>, the sets of</w:t>
      </w:r>
      <w:r w:rsidR="00040843">
        <w:rPr>
          <w:sz w:val="22"/>
          <w:szCs w:val="22"/>
          <w:lang w:val="en-GB"/>
        </w:rPr>
        <w:t xml:space="preserve"> </w:t>
      </w:r>
      <w:r w:rsidR="00B37283">
        <w:rPr>
          <w:sz w:val="22"/>
          <w:szCs w:val="22"/>
          <w:lang w:val="en-GB"/>
        </w:rPr>
        <w:t>migration indicators</w:t>
      </w:r>
      <w:r w:rsidR="00F33388">
        <w:rPr>
          <w:sz w:val="22"/>
          <w:szCs w:val="22"/>
          <w:lang w:val="en-GB"/>
        </w:rPr>
        <w:t xml:space="preserve">, </w:t>
      </w:r>
      <w:r>
        <w:rPr>
          <w:sz w:val="22"/>
          <w:szCs w:val="22"/>
          <w:lang w:val="en-GB"/>
        </w:rPr>
        <w:t xml:space="preserve">and the </w:t>
      </w:r>
      <w:r w:rsidR="00FC03E6" w:rsidRPr="001450B8">
        <w:rPr>
          <w:sz w:val="22"/>
          <w:szCs w:val="22"/>
          <w:lang w:val="en-GB"/>
        </w:rPr>
        <w:t>spatial interaction modelling component</w:t>
      </w:r>
      <w:r w:rsidR="00972262">
        <w:rPr>
          <w:sz w:val="22"/>
          <w:szCs w:val="22"/>
          <w:lang w:val="en-GB"/>
        </w:rPr>
        <w:t>. S</w:t>
      </w:r>
      <w:r>
        <w:rPr>
          <w:sz w:val="22"/>
          <w:szCs w:val="22"/>
          <w:lang w:val="en-GB"/>
        </w:rPr>
        <w:t xml:space="preserve">creenshots of the interface </w:t>
      </w:r>
      <w:r w:rsidR="00462936">
        <w:rPr>
          <w:sz w:val="22"/>
          <w:szCs w:val="22"/>
          <w:lang w:val="en-GB"/>
        </w:rPr>
        <w:t xml:space="preserve">are used </w:t>
      </w:r>
      <w:r>
        <w:rPr>
          <w:sz w:val="22"/>
          <w:szCs w:val="22"/>
          <w:lang w:val="en-GB"/>
        </w:rPr>
        <w:t>to exemplify the functionality</w:t>
      </w:r>
      <w:r w:rsidR="00462936">
        <w:rPr>
          <w:sz w:val="22"/>
          <w:szCs w:val="22"/>
          <w:lang w:val="en-GB"/>
        </w:rPr>
        <w:t xml:space="preserve"> of each sub-</w:t>
      </w:r>
      <w:proofErr w:type="spellStart"/>
      <w:r w:rsidR="00462936">
        <w:rPr>
          <w:sz w:val="22"/>
          <w:szCs w:val="22"/>
          <w:lang w:val="en-GB"/>
        </w:rPr>
        <w:t>system.</w:t>
      </w:r>
      <w:r>
        <w:rPr>
          <w:sz w:val="22"/>
          <w:szCs w:val="22"/>
          <w:lang w:val="en-GB"/>
        </w:rPr>
        <w:t>The</w:t>
      </w:r>
      <w:proofErr w:type="spellEnd"/>
      <w:r>
        <w:rPr>
          <w:sz w:val="22"/>
          <w:szCs w:val="22"/>
          <w:lang w:val="en-GB"/>
        </w:rPr>
        <w:t xml:space="preserve"> remainder of the paper </w:t>
      </w:r>
      <w:r w:rsidR="00462936">
        <w:rPr>
          <w:sz w:val="22"/>
          <w:szCs w:val="22"/>
          <w:lang w:val="en-GB"/>
        </w:rPr>
        <w:t xml:space="preserve">reports on how </w:t>
      </w:r>
      <w:r>
        <w:rPr>
          <w:sz w:val="22"/>
          <w:szCs w:val="22"/>
          <w:lang w:val="en-GB"/>
        </w:rPr>
        <w:t xml:space="preserve">mean distances of migration and distance decay parameters </w:t>
      </w:r>
      <w:r w:rsidR="00462936">
        <w:rPr>
          <w:sz w:val="22"/>
          <w:szCs w:val="22"/>
          <w:lang w:val="en-GB"/>
        </w:rPr>
        <w:t>for different data sets in the U</w:t>
      </w:r>
      <w:r w:rsidR="00FC03E6" w:rsidRPr="001450B8">
        <w:rPr>
          <w:sz w:val="22"/>
          <w:szCs w:val="22"/>
          <w:lang w:val="en-GB"/>
        </w:rPr>
        <w:t xml:space="preserve">K </w:t>
      </w:r>
      <w:r w:rsidR="00462936">
        <w:rPr>
          <w:sz w:val="22"/>
          <w:szCs w:val="22"/>
          <w:lang w:val="en-GB"/>
        </w:rPr>
        <w:t xml:space="preserve">vary by spatial scale and zone configuration and how these indicators compare with similar sets of indicators for Germany, Sweden and </w:t>
      </w:r>
      <w:r w:rsidR="00237452">
        <w:rPr>
          <w:sz w:val="22"/>
          <w:szCs w:val="22"/>
          <w:lang w:val="en-GB"/>
        </w:rPr>
        <w:t>Finland</w:t>
      </w:r>
      <w:r w:rsidR="00FC03E6" w:rsidRPr="001450B8">
        <w:rPr>
          <w:sz w:val="22"/>
          <w:szCs w:val="22"/>
          <w:lang w:val="en-GB"/>
        </w:rPr>
        <w:t>.</w:t>
      </w:r>
      <w:r w:rsidR="00040843">
        <w:rPr>
          <w:sz w:val="22"/>
          <w:szCs w:val="22"/>
          <w:lang w:val="en-GB"/>
        </w:rPr>
        <w:t xml:space="preserve"> </w:t>
      </w:r>
      <w:r w:rsidR="00462936">
        <w:rPr>
          <w:sz w:val="22"/>
          <w:szCs w:val="22"/>
          <w:lang w:val="en-GB"/>
        </w:rPr>
        <w:t xml:space="preserve">A final section provides some conclusions and suggestions for future </w:t>
      </w:r>
      <w:r w:rsidR="00A8413D">
        <w:rPr>
          <w:sz w:val="22"/>
          <w:szCs w:val="22"/>
          <w:lang w:val="en-GB"/>
        </w:rPr>
        <w:t>development of the studio</w:t>
      </w:r>
      <w:r w:rsidR="00462936">
        <w:rPr>
          <w:sz w:val="22"/>
          <w:szCs w:val="22"/>
          <w:lang w:val="en-GB"/>
        </w:rPr>
        <w:t>.</w:t>
      </w:r>
    </w:p>
    <w:p w:rsidR="00462936" w:rsidRDefault="00462936" w:rsidP="00462936">
      <w:pPr>
        <w:tabs>
          <w:tab w:val="left" w:pos="7938"/>
        </w:tabs>
        <w:spacing w:after="120" w:line="360" w:lineRule="auto"/>
        <w:ind w:left="-1134"/>
        <w:jc w:val="both"/>
        <w:rPr>
          <w:b/>
          <w:lang w:val="en-GB"/>
        </w:rPr>
      </w:pPr>
    </w:p>
    <w:p w:rsidR="00FC03E6" w:rsidRPr="00CA597C" w:rsidRDefault="00CA597C" w:rsidP="00DA19D2">
      <w:pPr>
        <w:tabs>
          <w:tab w:val="left" w:pos="7938"/>
        </w:tabs>
        <w:spacing w:after="120" w:line="360" w:lineRule="auto"/>
        <w:ind w:left="-1134"/>
        <w:rPr>
          <w:b/>
          <w:lang w:val="en-GB"/>
        </w:rPr>
      </w:pPr>
      <w:r>
        <w:rPr>
          <w:b/>
          <w:lang w:val="en-GB"/>
        </w:rPr>
        <w:t>I</w:t>
      </w:r>
      <w:r w:rsidR="00E07083" w:rsidRPr="00E07083">
        <w:rPr>
          <w:b/>
          <w:lang w:val="en-GB"/>
        </w:rPr>
        <w:t>nternal migration data</w:t>
      </w:r>
      <w:r>
        <w:rPr>
          <w:b/>
          <w:lang w:val="en-GB"/>
        </w:rPr>
        <w:t>: definitions and sources</w:t>
      </w:r>
    </w:p>
    <w:p w:rsidR="00CA597C" w:rsidRDefault="00CA597C" w:rsidP="00DA19D2">
      <w:pPr>
        <w:tabs>
          <w:tab w:val="left" w:pos="7938"/>
        </w:tabs>
        <w:spacing w:after="120" w:line="360" w:lineRule="auto"/>
        <w:ind w:left="-1134"/>
        <w:jc w:val="both"/>
        <w:rPr>
          <w:sz w:val="22"/>
          <w:szCs w:val="22"/>
          <w:lang w:val="en-GB"/>
        </w:rPr>
      </w:pPr>
      <w:r>
        <w:rPr>
          <w:sz w:val="22"/>
          <w:szCs w:val="22"/>
          <w:lang w:val="en-GB"/>
        </w:rPr>
        <w:t>What constitutes internal migration is</w:t>
      </w:r>
      <w:r w:rsidR="00040843">
        <w:rPr>
          <w:sz w:val="22"/>
          <w:szCs w:val="22"/>
          <w:lang w:val="en-GB"/>
        </w:rPr>
        <w:t xml:space="preserve"> </w:t>
      </w:r>
      <w:r>
        <w:rPr>
          <w:sz w:val="22"/>
          <w:szCs w:val="22"/>
          <w:lang w:val="en-GB"/>
        </w:rPr>
        <w:t xml:space="preserve">a matter of </w:t>
      </w:r>
      <w:r w:rsidR="00462936">
        <w:rPr>
          <w:sz w:val="22"/>
          <w:szCs w:val="22"/>
          <w:lang w:val="en-GB"/>
        </w:rPr>
        <w:t xml:space="preserve">some academic </w:t>
      </w:r>
      <w:r>
        <w:rPr>
          <w:sz w:val="22"/>
          <w:szCs w:val="22"/>
          <w:lang w:val="en-GB"/>
        </w:rPr>
        <w:t xml:space="preserve">debate. </w:t>
      </w:r>
      <w:r w:rsidRPr="00DA04F8">
        <w:rPr>
          <w:sz w:val="22"/>
          <w:szCs w:val="22"/>
          <w:lang w:val="en-GB"/>
        </w:rPr>
        <w:t xml:space="preserve">There is </w:t>
      </w:r>
      <w:r>
        <w:rPr>
          <w:sz w:val="22"/>
          <w:szCs w:val="22"/>
          <w:lang w:val="en-GB"/>
        </w:rPr>
        <w:t>ongoing discussion</w:t>
      </w:r>
      <w:r w:rsidRPr="00DA04F8">
        <w:rPr>
          <w:sz w:val="22"/>
          <w:szCs w:val="22"/>
          <w:lang w:val="en-GB"/>
        </w:rPr>
        <w:t xml:space="preserve"> about the definition of internal migration </w:t>
      </w:r>
      <w:proofErr w:type="spellStart"/>
      <w:proofErr w:type="gramStart"/>
      <w:r w:rsidRPr="00DA04F8">
        <w:rPr>
          <w:i/>
          <w:sz w:val="22"/>
          <w:szCs w:val="22"/>
          <w:lang w:val="en-GB"/>
        </w:rPr>
        <w:t>vis</w:t>
      </w:r>
      <w:proofErr w:type="spellEnd"/>
      <w:proofErr w:type="gramEnd"/>
      <w:r w:rsidRPr="00DA04F8">
        <w:rPr>
          <w:i/>
          <w:sz w:val="22"/>
          <w:szCs w:val="22"/>
          <w:lang w:val="en-GB"/>
        </w:rPr>
        <w:t xml:space="preserve"> à </w:t>
      </w:r>
      <w:proofErr w:type="spellStart"/>
      <w:r w:rsidRPr="00DA04F8">
        <w:rPr>
          <w:i/>
          <w:sz w:val="22"/>
          <w:szCs w:val="22"/>
          <w:lang w:val="en-GB"/>
        </w:rPr>
        <w:t>vis</w:t>
      </w:r>
      <w:proofErr w:type="spellEnd"/>
      <w:r w:rsidR="00040843">
        <w:rPr>
          <w:i/>
          <w:sz w:val="22"/>
          <w:szCs w:val="22"/>
          <w:lang w:val="en-GB"/>
        </w:rPr>
        <w:t xml:space="preserve"> </w:t>
      </w:r>
      <w:r w:rsidRPr="00DA04F8">
        <w:rPr>
          <w:sz w:val="22"/>
          <w:szCs w:val="22"/>
          <w:lang w:val="en-GB"/>
        </w:rPr>
        <w:t xml:space="preserve">residential mobility with the former generally taking place over longer distances </w:t>
      </w:r>
      <w:r>
        <w:rPr>
          <w:sz w:val="22"/>
          <w:szCs w:val="22"/>
          <w:lang w:val="en-GB"/>
        </w:rPr>
        <w:t xml:space="preserve">and across administrative boundaries </w:t>
      </w:r>
      <w:r w:rsidRPr="00DA04F8">
        <w:rPr>
          <w:sz w:val="22"/>
          <w:szCs w:val="22"/>
          <w:lang w:val="en-GB"/>
        </w:rPr>
        <w:t xml:space="preserve">and the latter involving </w:t>
      </w:r>
      <w:r>
        <w:rPr>
          <w:sz w:val="22"/>
          <w:szCs w:val="22"/>
          <w:lang w:val="en-GB"/>
        </w:rPr>
        <w:t>shorter</w:t>
      </w:r>
      <w:r w:rsidR="0082290F">
        <w:rPr>
          <w:sz w:val="22"/>
          <w:szCs w:val="22"/>
          <w:lang w:val="en-GB"/>
        </w:rPr>
        <w:t>-</w:t>
      </w:r>
      <w:r>
        <w:rPr>
          <w:sz w:val="22"/>
          <w:szCs w:val="22"/>
          <w:lang w:val="en-GB"/>
        </w:rPr>
        <w:t>distance movements within administrative areas</w:t>
      </w:r>
      <w:r w:rsidR="00237452">
        <w:rPr>
          <w:sz w:val="22"/>
          <w:szCs w:val="22"/>
          <w:lang w:val="en-GB"/>
        </w:rPr>
        <w:t xml:space="preserve"> (Long, 1988)</w:t>
      </w:r>
      <w:r w:rsidRPr="00DA04F8">
        <w:rPr>
          <w:sz w:val="22"/>
          <w:szCs w:val="22"/>
          <w:lang w:val="en-GB"/>
        </w:rPr>
        <w:t>.</w:t>
      </w:r>
      <w:r>
        <w:rPr>
          <w:sz w:val="22"/>
          <w:szCs w:val="22"/>
          <w:lang w:val="en-GB"/>
        </w:rPr>
        <w:t xml:space="preserve"> Likewise, there may be instances when flows between countries, considered to be international by some, are regarded as internal by others. One example of the latter is migration within the United Kingdom (UK)</w:t>
      </w:r>
      <w:r w:rsidR="00237452">
        <w:rPr>
          <w:sz w:val="22"/>
          <w:szCs w:val="22"/>
          <w:lang w:val="en-GB"/>
        </w:rPr>
        <w:t xml:space="preserve"> which </w:t>
      </w:r>
      <w:r>
        <w:rPr>
          <w:sz w:val="22"/>
          <w:szCs w:val="22"/>
          <w:lang w:val="en-GB"/>
        </w:rPr>
        <w:t>take</w:t>
      </w:r>
      <w:r w:rsidR="00237452">
        <w:rPr>
          <w:sz w:val="22"/>
          <w:szCs w:val="22"/>
          <w:lang w:val="en-GB"/>
        </w:rPr>
        <w:t>s</w:t>
      </w:r>
      <w:r>
        <w:rPr>
          <w:sz w:val="22"/>
          <w:szCs w:val="22"/>
          <w:lang w:val="en-GB"/>
        </w:rPr>
        <w:t xml:space="preserve"> place between the four countries of England, Wales, Scotland and Northern Ireland</w:t>
      </w:r>
      <w:r w:rsidR="0082290F">
        <w:rPr>
          <w:sz w:val="22"/>
          <w:szCs w:val="22"/>
          <w:lang w:val="en-GB"/>
        </w:rPr>
        <w:t xml:space="preserve"> and </w:t>
      </w:r>
      <w:r w:rsidR="00237452">
        <w:rPr>
          <w:sz w:val="22"/>
          <w:szCs w:val="22"/>
          <w:lang w:val="en-GB"/>
        </w:rPr>
        <w:t xml:space="preserve">is </w:t>
      </w:r>
      <w:r w:rsidR="0082290F">
        <w:rPr>
          <w:sz w:val="22"/>
          <w:szCs w:val="22"/>
          <w:lang w:val="en-GB"/>
        </w:rPr>
        <w:t xml:space="preserve">captured by independent </w:t>
      </w:r>
      <w:r w:rsidR="00474A34">
        <w:rPr>
          <w:sz w:val="22"/>
          <w:szCs w:val="22"/>
          <w:lang w:val="en-GB"/>
        </w:rPr>
        <w:t xml:space="preserve">but harmonised </w:t>
      </w:r>
      <w:r w:rsidR="0082290F">
        <w:rPr>
          <w:sz w:val="22"/>
          <w:szCs w:val="22"/>
          <w:lang w:val="en-GB"/>
        </w:rPr>
        <w:t>censuses carried out by each of the three national statistics agencies: the Office for National Statistics (ONS) for England and Wales, the National Records of Scotland (NRS) and the Northern Ireland Statistics and Research Agency (NISRA)</w:t>
      </w:r>
      <w:r>
        <w:rPr>
          <w:sz w:val="22"/>
          <w:szCs w:val="22"/>
          <w:lang w:val="en-GB"/>
        </w:rPr>
        <w:t xml:space="preserve">.The censuses </w:t>
      </w:r>
      <w:r w:rsidR="00474A34">
        <w:rPr>
          <w:sz w:val="22"/>
          <w:szCs w:val="22"/>
          <w:lang w:val="en-GB"/>
        </w:rPr>
        <w:t>in each country all</w:t>
      </w:r>
      <w:r>
        <w:rPr>
          <w:sz w:val="22"/>
          <w:szCs w:val="22"/>
          <w:lang w:val="en-GB"/>
        </w:rPr>
        <w:t xml:space="preserve"> measure </w:t>
      </w:r>
      <w:r w:rsidRPr="00DA04F8">
        <w:rPr>
          <w:sz w:val="22"/>
          <w:szCs w:val="22"/>
          <w:lang w:val="en-GB"/>
        </w:rPr>
        <w:t xml:space="preserve">internal migration </w:t>
      </w:r>
      <w:r>
        <w:rPr>
          <w:sz w:val="22"/>
          <w:szCs w:val="22"/>
          <w:lang w:val="en-GB"/>
        </w:rPr>
        <w:t>as</w:t>
      </w:r>
      <w:r w:rsidRPr="00DA04F8">
        <w:rPr>
          <w:sz w:val="22"/>
          <w:szCs w:val="22"/>
          <w:lang w:val="en-GB"/>
        </w:rPr>
        <w:t xml:space="preserve"> anyone moving </w:t>
      </w:r>
      <w:r>
        <w:rPr>
          <w:sz w:val="22"/>
          <w:szCs w:val="22"/>
          <w:lang w:val="en-GB"/>
        </w:rPr>
        <w:t xml:space="preserve">from one </w:t>
      </w:r>
      <w:r w:rsidRPr="00DA04F8">
        <w:rPr>
          <w:sz w:val="22"/>
          <w:szCs w:val="22"/>
          <w:lang w:val="en-GB"/>
        </w:rPr>
        <w:t>usual residence</w:t>
      </w:r>
      <w:r>
        <w:rPr>
          <w:sz w:val="22"/>
          <w:szCs w:val="22"/>
          <w:lang w:val="en-GB"/>
        </w:rPr>
        <w:t xml:space="preserve"> to another in the 12 months before the census</w:t>
      </w:r>
      <w:r w:rsidRPr="00DA04F8">
        <w:rPr>
          <w:sz w:val="22"/>
          <w:szCs w:val="22"/>
          <w:lang w:val="en-GB"/>
        </w:rPr>
        <w:t>, whatever their motivation or the distance involved in their move</w:t>
      </w:r>
      <w:r w:rsidR="0084468C">
        <w:rPr>
          <w:sz w:val="22"/>
          <w:szCs w:val="22"/>
          <w:lang w:val="en-GB"/>
        </w:rPr>
        <w:t>. T</w:t>
      </w:r>
      <w:r w:rsidR="00474A34">
        <w:rPr>
          <w:sz w:val="22"/>
          <w:szCs w:val="22"/>
          <w:lang w:val="en-GB"/>
        </w:rPr>
        <w:t xml:space="preserve">he responsibility for providing a UK-wide set of </w:t>
      </w:r>
      <w:r w:rsidR="0084468C">
        <w:rPr>
          <w:sz w:val="22"/>
          <w:szCs w:val="22"/>
          <w:lang w:val="en-GB"/>
        </w:rPr>
        <w:t xml:space="preserve">‘internal’ </w:t>
      </w:r>
      <w:r w:rsidR="00474A34">
        <w:rPr>
          <w:sz w:val="22"/>
          <w:szCs w:val="22"/>
          <w:lang w:val="en-GB"/>
        </w:rPr>
        <w:t xml:space="preserve">migration data lies with the ONS who publish </w:t>
      </w:r>
      <w:r w:rsidR="0084468C">
        <w:rPr>
          <w:sz w:val="22"/>
          <w:szCs w:val="22"/>
          <w:lang w:val="en-GB"/>
        </w:rPr>
        <w:t xml:space="preserve">origin-destination </w:t>
      </w:r>
      <w:r w:rsidR="00474A34">
        <w:rPr>
          <w:sz w:val="22"/>
          <w:szCs w:val="22"/>
          <w:lang w:val="en-GB"/>
        </w:rPr>
        <w:t xml:space="preserve">migration </w:t>
      </w:r>
      <w:r w:rsidR="0084468C">
        <w:rPr>
          <w:sz w:val="22"/>
          <w:szCs w:val="22"/>
          <w:lang w:val="en-GB"/>
        </w:rPr>
        <w:t xml:space="preserve">flow </w:t>
      </w:r>
      <w:r w:rsidR="00474A34">
        <w:rPr>
          <w:sz w:val="22"/>
          <w:szCs w:val="22"/>
          <w:lang w:val="en-GB"/>
        </w:rPr>
        <w:t xml:space="preserve">matrices </w:t>
      </w:r>
      <w:r w:rsidR="0084468C">
        <w:rPr>
          <w:sz w:val="22"/>
          <w:szCs w:val="22"/>
          <w:lang w:val="en-GB"/>
        </w:rPr>
        <w:t>as Special Migration Statistics (SMS) at three spatial scales: districts, wards and output areas</w:t>
      </w:r>
      <w:r>
        <w:rPr>
          <w:sz w:val="22"/>
          <w:szCs w:val="22"/>
          <w:lang w:val="en-GB"/>
        </w:rPr>
        <w:t xml:space="preserve">. </w:t>
      </w:r>
    </w:p>
    <w:p w:rsidR="00FC03E6" w:rsidRPr="00657467" w:rsidRDefault="00FC03E6" w:rsidP="00DA19D2">
      <w:pPr>
        <w:tabs>
          <w:tab w:val="left" w:pos="7938"/>
        </w:tabs>
        <w:spacing w:after="120" w:line="360" w:lineRule="auto"/>
        <w:ind w:left="-1134"/>
        <w:jc w:val="both"/>
        <w:rPr>
          <w:sz w:val="22"/>
          <w:szCs w:val="22"/>
          <w:lang w:val="en-GB"/>
        </w:rPr>
      </w:pPr>
      <w:r w:rsidRPr="00DA04F8">
        <w:rPr>
          <w:sz w:val="22"/>
          <w:szCs w:val="22"/>
          <w:lang w:val="en-GB"/>
        </w:rPr>
        <w:t xml:space="preserve">Internal migration data are collected in countries around the world using various different collection instruments that fall into three main categories: censuses, surveys and administrative sources (or what are often referred to as registers). Some countries collect migration data using more than one type of </w:t>
      </w:r>
      <w:r w:rsidRPr="00DA04F8">
        <w:rPr>
          <w:sz w:val="22"/>
          <w:szCs w:val="22"/>
          <w:lang w:val="en-GB"/>
        </w:rPr>
        <w:lastRenderedPageBreak/>
        <w:t xml:space="preserve">instrument; </w:t>
      </w:r>
      <w:r w:rsidR="00194904">
        <w:rPr>
          <w:sz w:val="22"/>
          <w:szCs w:val="22"/>
          <w:lang w:val="en-GB"/>
        </w:rPr>
        <w:t xml:space="preserve">in </w:t>
      </w:r>
      <w:r w:rsidRPr="00DA04F8">
        <w:rPr>
          <w:sz w:val="22"/>
          <w:szCs w:val="22"/>
          <w:lang w:val="en-GB"/>
        </w:rPr>
        <w:t xml:space="preserve">England </w:t>
      </w:r>
      <w:r w:rsidR="00194904">
        <w:rPr>
          <w:sz w:val="22"/>
          <w:szCs w:val="22"/>
          <w:lang w:val="en-GB"/>
        </w:rPr>
        <w:t>&amp; Wales, for</w:t>
      </w:r>
      <w:r w:rsidRPr="00DA04F8">
        <w:rPr>
          <w:sz w:val="22"/>
          <w:szCs w:val="22"/>
          <w:lang w:val="en-GB"/>
        </w:rPr>
        <w:t xml:space="preserve"> example</w:t>
      </w:r>
      <w:r w:rsidR="00194904">
        <w:rPr>
          <w:sz w:val="22"/>
          <w:szCs w:val="22"/>
          <w:lang w:val="en-GB"/>
        </w:rPr>
        <w:t xml:space="preserve">, </w:t>
      </w:r>
      <w:r w:rsidRPr="00DA04F8">
        <w:rPr>
          <w:sz w:val="22"/>
          <w:szCs w:val="22"/>
          <w:lang w:val="en-GB"/>
        </w:rPr>
        <w:t xml:space="preserve">ONS retains a migration question in its decadal census but estimates migration </w:t>
      </w:r>
      <w:r w:rsidR="0084468C">
        <w:rPr>
          <w:sz w:val="22"/>
          <w:szCs w:val="22"/>
          <w:lang w:val="en-GB"/>
        </w:rPr>
        <w:t xml:space="preserve">on an annual basis between censuses </w:t>
      </w:r>
      <w:r w:rsidRPr="00DA04F8">
        <w:rPr>
          <w:sz w:val="22"/>
          <w:szCs w:val="22"/>
          <w:lang w:val="en-GB"/>
        </w:rPr>
        <w:t>by comparing the addresses of National Health Service (NHS) patient registers from one year to the next, and also draws on the Labour Force Survey (LFS) for samples of data on migrants whose behaviour is linked to the labour market.</w:t>
      </w:r>
      <w:r w:rsidR="00040843">
        <w:rPr>
          <w:sz w:val="22"/>
          <w:szCs w:val="22"/>
          <w:lang w:val="en-GB"/>
        </w:rPr>
        <w:t xml:space="preserve"> </w:t>
      </w:r>
      <w:r w:rsidRPr="00DA04F8">
        <w:rPr>
          <w:sz w:val="22"/>
          <w:szCs w:val="22"/>
          <w:lang w:val="en-GB"/>
        </w:rPr>
        <w:t xml:space="preserve">Moreover, the </w:t>
      </w:r>
      <w:r w:rsidR="00657467">
        <w:rPr>
          <w:sz w:val="22"/>
          <w:szCs w:val="22"/>
          <w:lang w:val="en-GB"/>
        </w:rPr>
        <w:t>concept</w:t>
      </w:r>
      <w:r w:rsidRPr="00DA04F8">
        <w:rPr>
          <w:sz w:val="22"/>
          <w:szCs w:val="22"/>
          <w:lang w:val="en-GB"/>
        </w:rPr>
        <w:t xml:space="preserve"> of migration varies considerably between sources</w:t>
      </w:r>
      <w:r w:rsidR="00657467">
        <w:rPr>
          <w:sz w:val="22"/>
          <w:szCs w:val="22"/>
          <w:lang w:val="en-GB"/>
        </w:rPr>
        <w:t xml:space="preserve"> in different countries and between </w:t>
      </w:r>
      <w:r w:rsidRPr="00DA04F8">
        <w:rPr>
          <w:sz w:val="22"/>
          <w:szCs w:val="22"/>
          <w:lang w:val="en-GB"/>
        </w:rPr>
        <w:t xml:space="preserve">censuses </w:t>
      </w:r>
      <w:r w:rsidR="00657467">
        <w:rPr>
          <w:sz w:val="22"/>
          <w:szCs w:val="22"/>
          <w:lang w:val="en-GB"/>
        </w:rPr>
        <w:t xml:space="preserve">across the world </w:t>
      </w:r>
      <w:r w:rsidRPr="00DA04F8">
        <w:rPr>
          <w:sz w:val="22"/>
          <w:szCs w:val="22"/>
          <w:lang w:val="en-GB"/>
        </w:rPr>
        <w:t>depending upon the time period within which the flows are recorded. Thus, we can distinguish lifetime migration (where only birthplace is captured in the census</w:t>
      </w:r>
      <w:r w:rsidR="00657467">
        <w:rPr>
          <w:sz w:val="22"/>
          <w:szCs w:val="22"/>
          <w:lang w:val="en-GB"/>
        </w:rPr>
        <w:t xml:space="preserve"> along with place of usual residence at the census</w:t>
      </w:r>
      <w:r w:rsidRPr="00DA04F8">
        <w:rPr>
          <w:sz w:val="22"/>
          <w:szCs w:val="22"/>
          <w:lang w:val="en-GB"/>
        </w:rPr>
        <w:t xml:space="preserve">) from migration </w:t>
      </w:r>
      <w:r w:rsidR="00657467">
        <w:rPr>
          <w:sz w:val="22"/>
          <w:szCs w:val="22"/>
          <w:lang w:val="en-GB"/>
        </w:rPr>
        <w:t xml:space="preserve">in a prescribed period </w:t>
      </w:r>
      <w:r w:rsidRPr="00DA04F8">
        <w:rPr>
          <w:sz w:val="22"/>
          <w:szCs w:val="22"/>
          <w:lang w:val="en-GB"/>
        </w:rPr>
        <w:t>(</w:t>
      </w:r>
      <w:r w:rsidR="00657467">
        <w:rPr>
          <w:sz w:val="22"/>
          <w:szCs w:val="22"/>
          <w:lang w:val="en-GB"/>
        </w:rPr>
        <w:t xml:space="preserve">e.g. </w:t>
      </w:r>
      <w:r w:rsidRPr="00DA04F8">
        <w:rPr>
          <w:sz w:val="22"/>
          <w:szCs w:val="22"/>
          <w:lang w:val="en-GB"/>
        </w:rPr>
        <w:t xml:space="preserve">place of usual residence </w:t>
      </w:r>
      <w:r w:rsidR="00237452">
        <w:rPr>
          <w:sz w:val="22"/>
          <w:szCs w:val="22"/>
          <w:lang w:val="en-GB"/>
        </w:rPr>
        <w:t>one or five</w:t>
      </w:r>
      <w:r w:rsidRPr="00DA04F8">
        <w:rPr>
          <w:sz w:val="22"/>
          <w:szCs w:val="22"/>
          <w:lang w:val="en-GB"/>
        </w:rPr>
        <w:t xml:space="preserve"> years before the census</w:t>
      </w:r>
      <w:r w:rsidR="00657467">
        <w:rPr>
          <w:sz w:val="22"/>
          <w:szCs w:val="22"/>
          <w:lang w:val="en-GB"/>
        </w:rPr>
        <w:t xml:space="preserve"> is recorded</w:t>
      </w:r>
      <w:r w:rsidRPr="00DA04F8">
        <w:rPr>
          <w:sz w:val="22"/>
          <w:szCs w:val="22"/>
          <w:lang w:val="en-GB"/>
        </w:rPr>
        <w:t xml:space="preserve">) or last migration (place of residence prior to the latest move, regardless of when it took place).  </w:t>
      </w:r>
      <w:r w:rsidR="00AD27C9">
        <w:rPr>
          <w:sz w:val="22"/>
          <w:szCs w:val="22"/>
          <w:lang w:val="en-GB"/>
        </w:rPr>
        <w:t>The IMAGE</w:t>
      </w:r>
      <w:r w:rsidRPr="00DA04F8">
        <w:rPr>
          <w:sz w:val="22"/>
          <w:szCs w:val="22"/>
          <w:lang w:val="en-GB"/>
        </w:rPr>
        <w:t xml:space="preserve"> inventory of global migration data has been created as part of the </w:t>
      </w:r>
      <w:r w:rsidRPr="00DA04F8">
        <w:rPr>
          <w:i/>
          <w:sz w:val="22"/>
          <w:szCs w:val="22"/>
          <w:lang w:val="en-GB"/>
        </w:rPr>
        <w:t xml:space="preserve">Internal Migration Around the </w:t>
      </w:r>
      <w:proofErr w:type="spellStart"/>
      <w:r w:rsidRPr="00DA04F8">
        <w:rPr>
          <w:i/>
          <w:sz w:val="22"/>
          <w:szCs w:val="22"/>
          <w:lang w:val="en-GB"/>
        </w:rPr>
        <w:t>GlobE</w:t>
      </w:r>
      <w:proofErr w:type="spellEnd"/>
      <w:r w:rsidRPr="00DA04F8">
        <w:rPr>
          <w:sz w:val="22"/>
          <w:szCs w:val="22"/>
          <w:lang w:val="en-GB"/>
        </w:rPr>
        <w:t xml:space="preserve"> (IMAGE) project</w:t>
      </w:r>
      <w:r w:rsidR="007D530F">
        <w:rPr>
          <w:rStyle w:val="FootnoteReference"/>
          <w:sz w:val="22"/>
          <w:szCs w:val="22"/>
          <w:lang w:val="en-GB"/>
        </w:rPr>
        <w:footnoteReference w:id="1"/>
      </w:r>
      <w:r w:rsidRPr="00DA04F8">
        <w:rPr>
          <w:sz w:val="22"/>
          <w:szCs w:val="22"/>
          <w:lang w:val="en-GB"/>
        </w:rPr>
        <w:t xml:space="preserve"> and a discussion of the methods used to collect internal migration data, the types of data collected, the intervals over which migration is measured and the spatial frameworks employed to collect internal migration data is found in Bell </w:t>
      </w:r>
      <w:r w:rsidRPr="00DA04F8">
        <w:rPr>
          <w:i/>
          <w:sz w:val="22"/>
          <w:szCs w:val="22"/>
          <w:lang w:val="en-GB"/>
        </w:rPr>
        <w:t>et al.</w:t>
      </w:r>
      <w:r w:rsidRPr="00DA04F8">
        <w:rPr>
          <w:sz w:val="22"/>
          <w:szCs w:val="22"/>
          <w:lang w:val="en-GB"/>
        </w:rPr>
        <w:t xml:space="preserve"> (</w:t>
      </w:r>
      <w:r w:rsidR="00F27248">
        <w:rPr>
          <w:sz w:val="22"/>
          <w:szCs w:val="22"/>
          <w:lang w:val="en-GB"/>
        </w:rPr>
        <w:t>in press</w:t>
      </w:r>
      <w:r w:rsidRPr="00DA04F8">
        <w:rPr>
          <w:sz w:val="22"/>
          <w:szCs w:val="22"/>
          <w:lang w:val="en-GB"/>
        </w:rPr>
        <w:t>).</w:t>
      </w:r>
      <w:r w:rsidR="00F54694">
        <w:rPr>
          <w:sz w:val="22"/>
          <w:szCs w:val="22"/>
          <w:lang w:val="en-GB"/>
        </w:rPr>
        <w:t xml:space="preserve"> An IMAGE repository</w:t>
      </w:r>
      <w:r w:rsidR="00EC61F3">
        <w:rPr>
          <w:sz w:val="22"/>
          <w:szCs w:val="22"/>
          <w:lang w:val="en-GB"/>
        </w:rPr>
        <w:t xml:space="preserve"> </w:t>
      </w:r>
      <w:r w:rsidR="00237452">
        <w:rPr>
          <w:sz w:val="22"/>
          <w:szCs w:val="22"/>
          <w:lang w:val="en-GB"/>
        </w:rPr>
        <w:t>has been constructed</w:t>
      </w:r>
      <w:r w:rsidR="0011618F">
        <w:rPr>
          <w:sz w:val="22"/>
          <w:szCs w:val="22"/>
          <w:lang w:val="en-GB"/>
        </w:rPr>
        <w:t xml:space="preserve"> which</w:t>
      </w:r>
      <w:r w:rsidR="00EC61F3">
        <w:rPr>
          <w:sz w:val="22"/>
          <w:szCs w:val="22"/>
          <w:lang w:val="en-GB"/>
        </w:rPr>
        <w:t xml:space="preserve"> </w:t>
      </w:r>
      <w:r w:rsidR="00657467">
        <w:rPr>
          <w:sz w:val="22"/>
          <w:szCs w:val="22"/>
          <w:lang w:val="en-GB"/>
        </w:rPr>
        <w:t>contain</w:t>
      </w:r>
      <w:r w:rsidR="00237452">
        <w:rPr>
          <w:sz w:val="22"/>
          <w:szCs w:val="22"/>
          <w:lang w:val="en-GB"/>
        </w:rPr>
        <w:t>s</w:t>
      </w:r>
      <w:r w:rsidR="00657467">
        <w:rPr>
          <w:sz w:val="22"/>
          <w:szCs w:val="22"/>
          <w:lang w:val="en-GB"/>
        </w:rPr>
        <w:t xml:space="preserve"> sets of migration </w:t>
      </w:r>
      <w:r w:rsidR="00CD7AF4">
        <w:rPr>
          <w:sz w:val="22"/>
          <w:szCs w:val="22"/>
          <w:lang w:val="en-GB"/>
        </w:rPr>
        <w:t xml:space="preserve">flows </w:t>
      </w:r>
      <w:r w:rsidR="00657467">
        <w:rPr>
          <w:sz w:val="22"/>
          <w:szCs w:val="22"/>
          <w:lang w:val="en-GB"/>
        </w:rPr>
        <w:t xml:space="preserve">and </w:t>
      </w:r>
      <w:r w:rsidR="00CD7AF4">
        <w:rPr>
          <w:sz w:val="22"/>
          <w:szCs w:val="22"/>
          <w:lang w:val="en-GB"/>
        </w:rPr>
        <w:t>r</w:t>
      </w:r>
      <w:r w:rsidR="00657467">
        <w:rPr>
          <w:sz w:val="22"/>
          <w:szCs w:val="22"/>
          <w:lang w:val="en-GB"/>
        </w:rPr>
        <w:t>elated data collected wherever possible for countries across the world.</w:t>
      </w:r>
    </w:p>
    <w:p w:rsidR="00FC03E6" w:rsidRDefault="00FC03E6" w:rsidP="00DA19D2">
      <w:pPr>
        <w:tabs>
          <w:tab w:val="left" w:pos="7938"/>
        </w:tabs>
        <w:spacing w:after="120" w:line="360" w:lineRule="auto"/>
        <w:ind w:left="-1134"/>
        <w:jc w:val="both"/>
        <w:rPr>
          <w:sz w:val="22"/>
          <w:szCs w:val="22"/>
          <w:lang w:val="en-GB"/>
        </w:rPr>
      </w:pPr>
      <w:r w:rsidRPr="00DA04F8">
        <w:rPr>
          <w:sz w:val="22"/>
          <w:szCs w:val="22"/>
          <w:lang w:val="en-GB"/>
        </w:rPr>
        <w:t xml:space="preserve">In this </w:t>
      </w:r>
      <w:r w:rsidR="00CD7AF4">
        <w:rPr>
          <w:sz w:val="22"/>
          <w:szCs w:val="22"/>
          <w:lang w:val="en-GB"/>
        </w:rPr>
        <w:t>paper,</w:t>
      </w:r>
      <w:r w:rsidRPr="00DA04F8">
        <w:rPr>
          <w:sz w:val="22"/>
          <w:szCs w:val="22"/>
          <w:lang w:val="en-GB"/>
        </w:rPr>
        <w:t xml:space="preserve"> we use </w:t>
      </w:r>
      <w:r w:rsidR="009D4BD2">
        <w:rPr>
          <w:sz w:val="22"/>
          <w:szCs w:val="22"/>
          <w:lang w:val="en-GB"/>
        </w:rPr>
        <w:t xml:space="preserve">sets of </w:t>
      </w:r>
      <w:r w:rsidR="008B5F02">
        <w:rPr>
          <w:sz w:val="22"/>
          <w:szCs w:val="22"/>
          <w:lang w:val="en-GB"/>
        </w:rPr>
        <w:t>migration flows</w:t>
      </w:r>
      <w:r w:rsidR="009D4BD2">
        <w:rPr>
          <w:sz w:val="22"/>
          <w:szCs w:val="22"/>
          <w:lang w:val="en-GB"/>
        </w:rPr>
        <w:t xml:space="preserve"> for</w:t>
      </w:r>
      <w:r w:rsidR="00AD27C9">
        <w:rPr>
          <w:sz w:val="22"/>
          <w:szCs w:val="22"/>
          <w:lang w:val="en-GB"/>
        </w:rPr>
        <w:t xml:space="preserve"> the </w:t>
      </w:r>
      <w:r w:rsidRPr="00DA04F8">
        <w:rPr>
          <w:sz w:val="22"/>
          <w:szCs w:val="22"/>
          <w:lang w:val="en-GB"/>
        </w:rPr>
        <w:t>UK</w:t>
      </w:r>
      <w:r w:rsidR="00AD27C9">
        <w:rPr>
          <w:sz w:val="22"/>
          <w:szCs w:val="22"/>
          <w:lang w:val="en-GB"/>
        </w:rPr>
        <w:t xml:space="preserve">, Germany, Sweden and </w:t>
      </w:r>
      <w:proofErr w:type="gramStart"/>
      <w:r w:rsidR="00237452">
        <w:rPr>
          <w:sz w:val="22"/>
          <w:szCs w:val="22"/>
          <w:lang w:val="en-GB"/>
        </w:rPr>
        <w:t>Finland</w:t>
      </w:r>
      <w:r w:rsidR="00EC61F3">
        <w:rPr>
          <w:sz w:val="22"/>
          <w:szCs w:val="22"/>
          <w:lang w:val="en-GB"/>
        </w:rPr>
        <w:t xml:space="preserve">  from</w:t>
      </w:r>
      <w:proofErr w:type="gramEnd"/>
      <w:r w:rsidR="00EC61F3">
        <w:rPr>
          <w:sz w:val="22"/>
          <w:szCs w:val="22"/>
          <w:lang w:val="en-GB"/>
        </w:rPr>
        <w:t xml:space="preserve"> the</w:t>
      </w:r>
      <w:r w:rsidR="00B66584">
        <w:rPr>
          <w:sz w:val="22"/>
          <w:szCs w:val="22"/>
          <w:lang w:val="en-GB"/>
        </w:rPr>
        <w:t xml:space="preserve"> </w:t>
      </w:r>
      <w:r w:rsidRPr="00DA04F8">
        <w:rPr>
          <w:sz w:val="22"/>
          <w:szCs w:val="22"/>
          <w:lang w:val="en-GB"/>
        </w:rPr>
        <w:t xml:space="preserve">to illustrate results from the </w:t>
      </w:r>
      <w:r w:rsidR="008B5F02">
        <w:rPr>
          <w:sz w:val="22"/>
          <w:szCs w:val="22"/>
          <w:lang w:val="en-GB"/>
        </w:rPr>
        <w:t>studio as</w:t>
      </w:r>
      <w:r w:rsidRPr="00DA04F8">
        <w:rPr>
          <w:sz w:val="22"/>
          <w:szCs w:val="22"/>
          <w:lang w:val="en-GB"/>
        </w:rPr>
        <w:t xml:space="preserve"> described in the next section.</w:t>
      </w:r>
      <w:r w:rsidR="00A435F3">
        <w:rPr>
          <w:sz w:val="22"/>
          <w:szCs w:val="22"/>
          <w:lang w:val="en-GB"/>
        </w:rPr>
        <w:t xml:space="preserve"> </w:t>
      </w:r>
      <w:r w:rsidR="00AD27C9">
        <w:rPr>
          <w:sz w:val="22"/>
          <w:szCs w:val="22"/>
          <w:lang w:val="en-GB"/>
        </w:rPr>
        <w:t>Three UK migration matrices are used</w:t>
      </w:r>
      <w:r w:rsidR="00AD76CB">
        <w:rPr>
          <w:sz w:val="22"/>
          <w:szCs w:val="22"/>
          <w:lang w:val="en-GB"/>
        </w:rPr>
        <w:t xml:space="preserve"> as indicated in Table 1</w:t>
      </w:r>
      <w:r w:rsidR="00AD27C9">
        <w:rPr>
          <w:sz w:val="22"/>
          <w:szCs w:val="22"/>
          <w:lang w:val="en-GB"/>
        </w:rPr>
        <w:t>: the</w:t>
      </w:r>
      <w:r w:rsidR="00D87CEF">
        <w:rPr>
          <w:sz w:val="22"/>
          <w:szCs w:val="22"/>
          <w:lang w:val="en-GB"/>
        </w:rPr>
        <w:t xml:space="preserve"> first </w:t>
      </w:r>
      <w:r w:rsidR="008B5F02">
        <w:rPr>
          <w:sz w:val="22"/>
          <w:szCs w:val="22"/>
          <w:lang w:val="en-GB"/>
        </w:rPr>
        <w:t>is a matrix of t</w:t>
      </w:r>
      <w:r w:rsidR="004F3061">
        <w:rPr>
          <w:sz w:val="22"/>
          <w:szCs w:val="22"/>
          <w:lang w:val="en-GB"/>
        </w:rPr>
        <w:t xml:space="preserve">he flows </w:t>
      </w:r>
      <w:r w:rsidR="008B5F02" w:rsidRPr="00DA04F8">
        <w:rPr>
          <w:sz w:val="22"/>
          <w:szCs w:val="22"/>
          <w:lang w:val="en-GB"/>
        </w:rPr>
        <w:t xml:space="preserve">between 406 local authority districts (LADs) </w:t>
      </w:r>
      <w:r w:rsidR="008B5F02">
        <w:rPr>
          <w:sz w:val="22"/>
          <w:szCs w:val="22"/>
          <w:lang w:val="en-GB"/>
        </w:rPr>
        <w:t>in</w:t>
      </w:r>
      <w:r w:rsidR="008B5F02" w:rsidRPr="00DA04F8">
        <w:rPr>
          <w:sz w:val="22"/>
          <w:szCs w:val="22"/>
          <w:lang w:val="en-GB"/>
        </w:rPr>
        <w:t xml:space="preserve"> the UK</w:t>
      </w:r>
      <w:r w:rsidR="00A435F3">
        <w:rPr>
          <w:sz w:val="22"/>
          <w:szCs w:val="22"/>
          <w:lang w:val="en-GB"/>
        </w:rPr>
        <w:t xml:space="preserve"> </w:t>
      </w:r>
      <w:r w:rsidR="00D87CEF">
        <w:rPr>
          <w:sz w:val="22"/>
          <w:szCs w:val="22"/>
          <w:lang w:val="en-GB"/>
        </w:rPr>
        <w:t xml:space="preserve">for the 12 month period prior to the 2001 Census; the second </w:t>
      </w:r>
      <w:r w:rsidR="009D4BD2">
        <w:rPr>
          <w:sz w:val="22"/>
          <w:szCs w:val="22"/>
          <w:lang w:val="en-GB"/>
        </w:rPr>
        <w:t>and third</w:t>
      </w:r>
      <w:r w:rsidR="008B5F02">
        <w:rPr>
          <w:sz w:val="22"/>
          <w:szCs w:val="22"/>
          <w:lang w:val="en-GB"/>
        </w:rPr>
        <w:t xml:space="preserve"> data sets are matrices </w:t>
      </w:r>
      <w:r w:rsidR="004F3061">
        <w:rPr>
          <w:sz w:val="22"/>
          <w:szCs w:val="22"/>
          <w:lang w:val="en-GB"/>
        </w:rPr>
        <w:t>contain</w:t>
      </w:r>
      <w:r w:rsidR="008B5F02">
        <w:rPr>
          <w:sz w:val="22"/>
          <w:szCs w:val="22"/>
          <w:lang w:val="en-GB"/>
        </w:rPr>
        <w:t>ing</w:t>
      </w:r>
      <w:r w:rsidR="004F3061">
        <w:rPr>
          <w:sz w:val="22"/>
          <w:szCs w:val="22"/>
          <w:lang w:val="en-GB"/>
        </w:rPr>
        <w:t xml:space="preserve"> flows for the </w:t>
      </w:r>
      <w:r w:rsidR="008B5F02">
        <w:rPr>
          <w:sz w:val="22"/>
          <w:szCs w:val="22"/>
          <w:lang w:val="en-GB"/>
        </w:rPr>
        <w:t xml:space="preserve">12 month </w:t>
      </w:r>
      <w:r w:rsidR="004F3061">
        <w:rPr>
          <w:sz w:val="22"/>
          <w:szCs w:val="22"/>
          <w:lang w:val="en-GB"/>
        </w:rPr>
        <w:t>period</w:t>
      </w:r>
      <w:r w:rsidR="00375307">
        <w:rPr>
          <w:sz w:val="22"/>
          <w:szCs w:val="22"/>
          <w:lang w:val="en-GB"/>
        </w:rPr>
        <w:t>s</w:t>
      </w:r>
      <w:r w:rsidR="00A435F3">
        <w:rPr>
          <w:sz w:val="22"/>
          <w:szCs w:val="22"/>
          <w:lang w:val="en-GB"/>
        </w:rPr>
        <w:t xml:space="preserve"> </w:t>
      </w:r>
      <w:r w:rsidR="008B5F02">
        <w:rPr>
          <w:sz w:val="22"/>
          <w:szCs w:val="22"/>
          <w:lang w:val="en-GB"/>
        </w:rPr>
        <w:t xml:space="preserve">from </w:t>
      </w:r>
      <w:r w:rsidR="009D4BD2">
        <w:rPr>
          <w:sz w:val="22"/>
          <w:szCs w:val="22"/>
          <w:lang w:val="en-GB"/>
        </w:rPr>
        <w:t>mid-</w:t>
      </w:r>
      <w:r w:rsidR="008B5F02">
        <w:rPr>
          <w:sz w:val="22"/>
          <w:szCs w:val="22"/>
          <w:lang w:val="en-GB"/>
        </w:rPr>
        <w:t xml:space="preserve">year </w:t>
      </w:r>
      <w:r w:rsidR="009D4BD2">
        <w:rPr>
          <w:sz w:val="22"/>
          <w:szCs w:val="22"/>
          <w:lang w:val="en-GB"/>
        </w:rPr>
        <w:t>2001</w:t>
      </w:r>
      <w:r w:rsidR="00375307">
        <w:rPr>
          <w:sz w:val="22"/>
          <w:szCs w:val="22"/>
          <w:lang w:val="en-GB"/>
        </w:rPr>
        <w:t xml:space="preserve"> to mid-year 20</w:t>
      </w:r>
      <w:r w:rsidR="006C1828">
        <w:rPr>
          <w:sz w:val="22"/>
          <w:szCs w:val="22"/>
          <w:lang w:val="en-GB"/>
        </w:rPr>
        <w:t>02</w:t>
      </w:r>
      <w:r w:rsidR="009D4BD2">
        <w:rPr>
          <w:sz w:val="22"/>
          <w:szCs w:val="22"/>
          <w:lang w:val="en-GB"/>
        </w:rPr>
        <w:t xml:space="preserve"> and </w:t>
      </w:r>
      <w:r w:rsidR="00615703">
        <w:rPr>
          <w:sz w:val="22"/>
          <w:szCs w:val="22"/>
          <w:lang w:val="en-GB"/>
        </w:rPr>
        <w:t>mid-</w:t>
      </w:r>
      <w:r w:rsidR="008B5F02">
        <w:rPr>
          <w:sz w:val="22"/>
          <w:szCs w:val="22"/>
          <w:lang w:val="en-GB"/>
        </w:rPr>
        <w:t xml:space="preserve">year </w:t>
      </w:r>
      <w:r w:rsidR="004F3061">
        <w:rPr>
          <w:sz w:val="22"/>
          <w:szCs w:val="22"/>
          <w:lang w:val="en-GB"/>
        </w:rPr>
        <w:t>2009</w:t>
      </w:r>
      <w:r w:rsidR="009D4BD2">
        <w:rPr>
          <w:sz w:val="22"/>
          <w:szCs w:val="22"/>
          <w:lang w:val="en-GB"/>
        </w:rPr>
        <w:t>-</w:t>
      </w:r>
      <w:r w:rsidR="004F3061">
        <w:rPr>
          <w:sz w:val="22"/>
          <w:szCs w:val="22"/>
          <w:lang w:val="en-GB"/>
        </w:rPr>
        <w:t>1</w:t>
      </w:r>
      <w:r w:rsidRPr="00DA04F8">
        <w:rPr>
          <w:sz w:val="22"/>
          <w:szCs w:val="22"/>
          <w:lang w:val="en-GB"/>
        </w:rPr>
        <w:t xml:space="preserve">0 </w:t>
      </w:r>
      <w:r w:rsidR="009D4BD2">
        <w:rPr>
          <w:sz w:val="22"/>
          <w:szCs w:val="22"/>
          <w:lang w:val="en-GB"/>
        </w:rPr>
        <w:t xml:space="preserve">respectively, </w:t>
      </w:r>
      <w:r w:rsidR="00615703">
        <w:rPr>
          <w:sz w:val="22"/>
          <w:szCs w:val="22"/>
          <w:lang w:val="en-GB"/>
        </w:rPr>
        <w:t xml:space="preserve">which have been extracted </w:t>
      </w:r>
      <w:r w:rsidRPr="00DA04F8">
        <w:rPr>
          <w:sz w:val="22"/>
          <w:szCs w:val="22"/>
          <w:lang w:val="en-GB"/>
        </w:rPr>
        <w:t>from a time series of migration flow</w:t>
      </w:r>
      <w:r w:rsidR="00615703">
        <w:rPr>
          <w:sz w:val="22"/>
          <w:szCs w:val="22"/>
          <w:lang w:val="en-GB"/>
        </w:rPr>
        <w:t>s</w:t>
      </w:r>
      <w:r w:rsidR="00AD27C9">
        <w:rPr>
          <w:sz w:val="22"/>
          <w:szCs w:val="22"/>
          <w:lang w:val="en-GB"/>
        </w:rPr>
        <w:t xml:space="preserve"> for the UK estimated using data from administrative sources in each of the home countries(</w:t>
      </w:r>
      <w:r w:rsidR="008B5F02" w:rsidRPr="00DA04F8">
        <w:rPr>
          <w:sz w:val="22"/>
          <w:szCs w:val="22"/>
          <w:lang w:val="en-GB"/>
        </w:rPr>
        <w:t xml:space="preserve">Lomax </w:t>
      </w:r>
      <w:r w:rsidR="008B5F02" w:rsidRPr="00DA04F8">
        <w:rPr>
          <w:i/>
          <w:sz w:val="22"/>
          <w:szCs w:val="22"/>
          <w:lang w:val="en-GB"/>
        </w:rPr>
        <w:t>et al.</w:t>
      </w:r>
      <w:r w:rsidR="00AD27C9">
        <w:rPr>
          <w:i/>
          <w:sz w:val="22"/>
          <w:szCs w:val="22"/>
          <w:lang w:val="en-GB"/>
        </w:rPr>
        <w:t xml:space="preserve">, </w:t>
      </w:r>
      <w:r w:rsidR="008B5F02" w:rsidRPr="00DA04F8">
        <w:rPr>
          <w:sz w:val="22"/>
          <w:szCs w:val="22"/>
          <w:lang w:val="en-GB"/>
        </w:rPr>
        <w:t>201</w:t>
      </w:r>
      <w:r w:rsidR="00AD27C9">
        <w:rPr>
          <w:sz w:val="22"/>
          <w:szCs w:val="22"/>
          <w:lang w:val="en-GB"/>
        </w:rPr>
        <w:t>3</w:t>
      </w:r>
      <w:r w:rsidR="008B5F02" w:rsidRPr="00DA04F8">
        <w:rPr>
          <w:sz w:val="22"/>
          <w:szCs w:val="22"/>
          <w:lang w:val="en-GB"/>
        </w:rPr>
        <w:t>)</w:t>
      </w:r>
      <w:r w:rsidR="00805D6F">
        <w:rPr>
          <w:sz w:val="22"/>
          <w:szCs w:val="22"/>
          <w:lang w:val="en-GB"/>
        </w:rPr>
        <w:t>. The BSU configuration is exactly the same in each of the UK data sets</w:t>
      </w:r>
      <w:r w:rsidR="00AD27C9">
        <w:rPr>
          <w:sz w:val="22"/>
          <w:szCs w:val="22"/>
          <w:lang w:val="en-GB"/>
        </w:rPr>
        <w:t xml:space="preserve">. </w:t>
      </w:r>
      <w:r w:rsidR="0051793A">
        <w:rPr>
          <w:sz w:val="22"/>
          <w:szCs w:val="22"/>
          <w:lang w:val="en-GB"/>
        </w:rPr>
        <w:t>Since e</w:t>
      </w:r>
      <w:r w:rsidR="00AD27C9">
        <w:rPr>
          <w:sz w:val="22"/>
          <w:szCs w:val="22"/>
          <w:lang w:val="en-GB"/>
        </w:rPr>
        <w:t>ach of the th</w:t>
      </w:r>
      <w:r w:rsidR="008B5F02" w:rsidRPr="00DA04F8">
        <w:rPr>
          <w:sz w:val="22"/>
          <w:szCs w:val="22"/>
          <w:lang w:val="en-GB"/>
        </w:rPr>
        <w:t xml:space="preserve">ree </w:t>
      </w:r>
      <w:r w:rsidR="008B5F02">
        <w:rPr>
          <w:sz w:val="22"/>
          <w:szCs w:val="22"/>
          <w:lang w:val="en-GB"/>
        </w:rPr>
        <w:t>national statistical</w:t>
      </w:r>
      <w:r w:rsidR="008B5F02" w:rsidRPr="00DA04F8">
        <w:rPr>
          <w:sz w:val="22"/>
          <w:szCs w:val="22"/>
          <w:lang w:val="en-GB"/>
        </w:rPr>
        <w:t xml:space="preserve"> agencies estimates migration within its respective country for inter-</w:t>
      </w:r>
      <w:proofErr w:type="spellStart"/>
      <w:r w:rsidR="008B5F02" w:rsidRPr="00DA04F8">
        <w:rPr>
          <w:sz w:val="22"/>
          <w:szCs w:val="22"/>
          <w:lang w:val="en-GB"/>
        </w:rPr>
        <w:t>censal</w:t>
      </w:r>
      <w:proofErr w:type="spellEnd"/>
      <w:r w:rsidR="008B5F02" w:rsidRPr="00DA04F8">
        <w:rPr>
          <w:sz w:val="22"/>
          <w:szCs w:val="22"/>
          <w:lang w:val="en-GB"/>
        </w:rPr>
        <w:t xml:space="preserve"> years</w:t>
      </w:r>
      <w:r w:rsidR="0051793A">
        <w:rPr>
          <w:sz w:val="22"/>
          <w:szCs w:val="22"/>
          <w:lang w:val="en-GB"/>
        </w:rPr>
        <w:t>, o</w:t>
      </w:r>
      <w:r w:rsidR="008B5F02">
        <w:rPr>
          <w:sz w:val="22"/>
          <w:szCs w:val="22"/>
          <w:lang w:val="en-GB"/>
        </w:rPr>
        <w:t xml:space="preserve">ne </w:t>
      </w:r>
      <w:r w:rsidR="004A3AC0">
        <w:rPr>
          <w:sz w:val="22"/>
          <w:szCs w:val="22"/>
          <w:lang w:val="en-GB"/>
        </w:rPr>
        <w:t>consequence</w:t>
      </w:r>
      <w:r w:rsidR="008B5F02">
        <w:rPr>
          <w:sz w:val="22"/>
          <w:szCs w:val="22"/>
          <w:lang w:val="en-GB"/>
        </w:rPr>
        <w:t xml:space="preserve"> of this division of labour is </w:t>
      </w:r>
      <w:r w:rsidR="004A3AC0">
        <w:rPr>
          <w:sz w:val="22"/>
          <w:szCs w:val="22"/>
          <w:lang w:val="en-GB"/>
        </w:rPr>
        <w:t xml:space="preserve">that </w:t>
      </w:r>
      <w:r w:rsidR="008B5F02">
        <w:rPr>
          <w:sz w:val="22"/>
          <w:szCs w:val="22"/>
          <w:lang w:val="en-GB"/>
        </w:rPr>
        <w:t>no single agency compiles a full set of sub</w:t>
      </w:r>
      <w:r w:rsidR="00987507">
        <w:rPr>
          <w:sz w:val="22"/>
          <w:szCs w:val="22"/>
          <w:lang w:val="en-GB"/>
        </w:rPr>
        <w:t>-</w:t>
      </w:r>
      <w:r w:rsidR="008B5F02">
        <w:rPr>
          <w:sz w:val="22"/>
          <w:szCs w:val="22"/>
          <w:lang w:val="en-GB"/>
        </w:rPr>
        <w:t>national migration flows between LADs in the UK</w:t>
      </w:r>
      <w:r w:rsidR="004A3AC0">
        <w:rPr>
          <w:sz w:val="22"/>
          <w:szCs w:val="22"/>
          <w:lang w:val="en-GB"/>
        </w:rPr>
        <w:t xml:space="preserve">. Thus, whilst administrative sources provide reasonably reliable data on internal flows between LADs in their respective countries, </w:t>
      </w:r>
      <w:r w:rsidR="008B5F02">
        <w:rPr>
          <w:sz w:val="22"/>
          <w:szCs w:val="22"/>
          <w:lang w:val="en-GB"/>
        </w:rPr>
        <w:t>migration flows between LADs that cross the borders of England &amp; Wales, Scotland and Northern Ireland are missing</w:t>
      </w:r>
      <w:r w:rsidR="004A3AC0">
        <w:rPr>
          <w:sz w:val="22"/>
          <w:szCs w:val="22"/>
          <w:lang w:val="en-GB"/>
        </w:rPr>
        <w:t xml:space="preserve"> and need to be estimated from data on ‘internal international’ flows within the UK in order to generate a full matrix of internal migration in the UK equivalent to that available from the census. </w:t>
      </w:r>
      <w:r w:rsidRPr="00DA04F8">
        <w:rPr>
          <w:sz w:val="22"/>
          <w:szCs w:val="22"/>
          <w:lang w:val="en-GB"/>
        </w:rPr>
        <w:t xml:space="preserve">The LADs can be regarded as the BSUs that are input to the aggregation and the modelling and analysis </w:t>
      </w:r>
      <w:proofErr w:type="spellStart"/>
      <w:r w:rsidRPr="00DA04F8">
        <w:rPr>
          <w:sz w:val="22"/>
          <w:szCs w:val="22"/>
          <w:lang w:val="en-GB"/>
        </w:rPr>
        <w:t>system</w:t>
      </w:r>
      <w:r w:rsidR="00615703">
        <w:rPr>
          <w:sz w:val="22"/>
          <w:szCs w:val="22"/>
          <w:lang w:val="en-GB"/>
        </w:rPr>
        <w:t>at</w:t>
      </w:r>
      <w:proofErr w:type="spellEnd"/>
      <w:r w:rsidR="00615703">
        <w:rPr>
          <w:sz w:val="22"/>
          <w:szCs w:val="22"/>
          <w:lang w:val="en-GB"/>
        </w:rPr>
        <w:t xml:space="preserve"> the outset</w:t>
      </w:r>
      <w:r w:rsidRPr="00DA04F8">
        <w:rPr>
          <w:sz w:val="22"/>
          <w:szCs w:val="22"/>
          <w:lang w:val="en-GB"/>
        </w:rPr>
        <w:t xml:space="preserve">.  </w:t>
      </w:r>
    </w:p>
    <w:p w:rsidR="007218DC" w:rsidRDefault="007218DC" w:rsidP="00DA19D2">
      <w:pPr>
        <w:tabs>
          <w:tab w:val="left" w:pos="7938"/>
        </w:tabs>
        <w:spacing w:after="120" w:line="360" w:lineRule="auto"/>
        <w:ind w:left="-1134"/>
        <w:jc w:val="both"/>
        <w:rPr>
          <w:b/>
          <w:sz w:val="22"/>
          <w:szCs w:val="22"/>
          <w:lang w:val="en-GB"/>
        </w:rPr>
      </w:pPr>
    </w:p>
    <w:p w:rsidR="00AD76CB" w:rsidRDefault="00AD76CB" w:rsidP="00DA19D2">
      <w:pPr>
        <w:tabs>
          <w:tab w:val="left" w:pos="7938"/>
        </w:tabs>
        <w:spacing w:after="120" w:line="360" w:lineRule="auto"/>
        <w:ind w:left="-1134"/>
        <w:jc w:val="both"/>
        <w:rPr>
          <w:sz w:val="22"/>
          <w:szCs w:val="22"/>
          <w:lang w:val="en-GB"/>
        </w:rPr>
      </w:pPr>
      <w:r w:rsidRPr="00AD76CB">
        <w:rPr>
          <w:b/>
          <w:sz w:val="22"/>
          <w:szCs w:val="22"/>
          <w:lang w:val="en-GB"/>
        </w:rPr>
        <w:lastRenderedPageBreak/>
        <w:t xml:space="preserve">Table </w:t>
      </w:r>
      <w:proofErr w:type="gramStart"/>
      <w:r w:rsidRPr="00AD76CB">
        <w:rPr>
          <w:b/>
          <w:sz w:val="22"/>
          <w:szCs w:val="22"/>
          <w:lang w:val="en-GB"/>
        </w:rPr>
        <w:t>1</w:t>
      </w:r>
      <w:r>
        <w:rPr>
          <w:sz w:val="22"/>
          <w:szCs w:val="22"/>
          <w:lang w:val="en-GB"/>
        </w:rPr>
        <w:t xml:space="preserve">  Characteristics</w:t>
      </w:r>
      <w:proofErr w:type="gramEnd"/>
      <w:r>
        <w:rPr>
          <w:sz w:val="22"/>
          <w:szCs w:val="22"/>
          <w:lang w:val="en-GB"/>
        </w:rPr>
        <w:t xml:space="preserve"> of selected data sets</w:t>
      </w:r>
      <w:r w:rsidR="00F27248">
        <w:rPr>
          <w:sz w:val="22"/>
          <w:szCs w:val="22"/>
          <w:lang w:val="en-GB"/>
        </w:rPr>
        <w:t xml:space="preserve"> for the </w:t>
      </w:r>
      <w:r w:rsidR="003D179F">
        <w:rPr>
          <w:sz w:val="22"/>
          <w:szCs w:val="22"/>
          <w:lang w:val="en-GB"/>
        </w:rPr>
        <w:t>BSUs</w:t>
      </w:r>
      <w:r w:rsidR="00F27248">
        <w:rPr>
          <w:sz w:val="22"/>
          <w:szCs w:val="22"/>
          <w:lang w:val="en-GB"/>
        </w:rPr>
        <w:t xml:space="preserve"> in four selected countries</w:t>
      </w:r>
    </w:p>
    <w:tbl>
      <w:tblPr>
        <w:tblpPr w:leftFromText="180" w:rightFromText="180" w:vertAnchor="text" w:horzAnchor="margin" w:tblpXSpec="right" w:tblpY="218"/>
        <w:tblW w:w="8816" w:type="dxa"/>
        <w:tblLook w:val="04A0" w:firstRow="1" w:lastRow="0" w:firstColumn="1" w:lastColumn="0" w:noHBand="0" w:noVBand="1"/>
      </w:tblPr>
      <w:tblGrid>
        <w:gridCol w:w="1735"/>
        <w:gridCol w:w="709"/>
        <w:gridCol w:w="851"/>
        <w:gridCol w:w="567"/>
        <w:gridCol w:w="718"/>
        <w:gridCol w:w="699"/>
        <w:gridCol w:w="709"/>
        <w:gridCol w:w="1134"/>
        <w:gridCol w:w="807"/>
        <w:gridCol w:w="981"/>
      </w:tblGrid>
      <w:tr w:rsidR="00AD76CB" w:rsidTr="00AB4F1B">
        <w:trPr>
          <w:trHeight w:val="300"/>
        </w:trPr>
        <w:tc>
          <w:tcPr>
            <w:tcW w:w="1735" w:type="dxa"/>
            <w:vMerge w:val="restart"/>
            <w:tcBorders>
              <w:top w:val="single" w:sz="4" w:space="0" w:color="auto"/>
              <w:left w:val="nil"/>
              <w:bottom w:val="single" w:sz="4" w:space="0" w:color="000000"/>
              <w:right w:val="nil"/>
            </w:tcBorders>
            <w:shd w:val="clear" w:color="000000" w:fill="BFBFBF"/>
            <w:noWrap/>
            <w:vAlign w:val="center"/>
            <w:hideMark/>
          </w:tcPr>
          <w:p w:rsidR="00AD76CB" w:rsidRDefault="00AD76CB" w:rsidP="00AB4F1B">
            <w:pPr>
              <w:ind w:left="-709" w:firstLine="709"/>
              <w:jc w:val="center"/>
              <w:rPr>
                <w:rFonts w:ascii="Calibri" w:hAnsi="Calibri"/>
                <w:b/>
                <w:bCs/>
                <w:color w:val="000000"/>
                <w:sz w:val="18"/>
                <w:szCs w:val="18"/>
              </w:rPr>
            </w:pPr>
            <w:r>
              <w:rPr>
                <w:rFonts w:ascii="Calibri" w:hAnsi="Calibri"/>
                <w:b/>
                <w:bCs/>
                <w:color w:val="000000"/>
                <w:sz w:val="18"/>
                <w:szCs w:val="18"/>
              </w:rPr>
              <w:t>Country</w:t>
            </w:r>
          </w:p>
        </w:tc>
        <w:tc>
          <w:tcPr>
            <w:tcW w:w="709" w:type="dxa"/>
            <w:vMerge w:val="restart"/>
            <w:tcBorders>
              <w:top w:val="single" w:sz="4" w:space="0" w:color="auto"/>
              <w:left w:val="nil"/>
              <w:bottom w:val="single" w:sz="4" w:space="0" w:color="000000"/>
              <w:right w:val="nil"/>
            </w:tcBorders>
            <w:shd w:val="clear" w:color="000000" w:fill="BFBFBF"/>
            <w:noWrap/>
            <w:vAlign w:val="center"/>
            <w:hideMark/>
          </w:tcPr>
          <w:p w:rsidR="00AD76CB" w:rsidRDefault="00AD76CB" w:rsidP="00AD76CB">
            <w:pPr>
              <w:jc w:val="center"/>
              <w:rPr>
                <w:rFonts w:ascii="Calibri" w:hAnsi="Calibri"/>
                <w:b/>
                <w:bCs/>
                <w:color w:val="000000"/>
                <w:sz w:val="18"/>
                <w:szCs w:val="18"/>
              </w:rPr>
            </w:pPr>
            <w:r>
              <w:rPr>
                <w:rFonts w:ascii="Calibri" w:hAnsi="Calibri"/>
                <w:b/>
                <w:bCs/>
                <w:color w:val="000000"/>
                <w:sz w:val="18"/>
                <w:szCs w:val="18"/>
              </w:rPr>
              <w:t>Year</w:t>
            </w:r>
          </w:p>
        </w:tc>
        <w:tc>
          <w:tcPr>
            <w:tcW w:w="851" w:type="dxa"/>
            <w:vMerge w:val="restart"/>
            <w:tcBorders>
              <w:top w:val="single" w:sz="4" w:space="0" w:color="auto"/>
              <w:left w:val="nil"/>
              <w:bottom w:val="single" w:sz="4" w:space="0" w:color="000000"/>
              <w:right w:val="nil"/>
            </w:tcBorders>
            <w:shd w:val="clear" w:color="000000" w:fill="BFBFBF"/>
            <w:vAlign w:val="center"/>
            <w:hideMark/>
          </w:tcPr>
          <w:p w:rsidR="00AD76CB" w:rsidRDefault="00AD76CB" w:rsidP="00AD76CB">
            <w:pPr>
              <w:jc w:val="center"/>
              <w:rPr>
                <w:rFonts w:ascii="Calibri" w:hAnsi="Calibri"/>
                <w:b/>
                <w:bCs/>
                <w:color w:val="000000"/>
                <w:sz w:val="18"/>
                <w:szCs w:val="18"/>
              </w:rPr>
            </w:pPr>
            <w:r>
              <w:rPr>
                <w:rFonts w:ascii="Calibri" w:hAnsi="Calibri"/>
                <w:b/>
                <w:bCs/>
                <w:color w:val="000000"/>
                <w:sz w:val="18"/>
                <w:szCs w:val="18"/>
              </w:rPr>
              <w:t>Number of BSUs</w:t>
            </w:r>
          </w:p>
        </w:tc>
        <w:tc>
          <w:tcPr>
            <w:tcW w:w="2693" w:type="dxa"/>
            <w:gridSpan w:val="4"/>
            <w:tcBorders>
              <w:top w:val="single" w:sz="4" w:space="0" w:color="auto"/>
              <w:left w:val="nil"/>
              <w:bottom w:val="single" w:sz="4" w:space="0" w:color="auto"/>
              <w:right w:val="nil"/>
            </w:tcBorders>
            <w:shd w:val="clear" w:color="000000" w:fill="BFBFBF"/>
            <w:vAlign w:val="center"/>
            <w:hideMark/>
          </w:tcPr>
          <w:p w:rsidR="00AD76CB" w:rsidRDefault="00AD76CB" w:rsidP="00AD76CB">
            <w:pPr>
              <w:jc w:val="center"/>
              <w:rPr>
                <w:rFonts w:ascii="Calibri" w:hAnsi="Calibri"/>
                <w:b/>
                <w:bCs/>
                <w:color w:val="000000"/>
                <w:sz w:val="18"/>
                <w:szCs w:val="18"/>
              </w:rPr>
            </w:pPr>
            <w:r>
              <w:rPr>
                <w:rFonts w:ascii="Calibri" w:hAnsi="Calibri"/>
                <w:b/>
                <w:bCs/>
                <w:color w:val="000000"/>
                <w:sz w:val="18"/>
                <w:szCs w:val="18"/>
              </w:rPr>
              <w:t>Area (km</w:t>
            </w:r>
            <w:r>
              <w:rPr>
                <w:rFonts w:ascii="Calibri" w:hAnsi="Calibri"/>
                <w:b/>
                <w:bCs/>
                <w:color w:val="000000"/>
                <w:sz w:val="18"/>
                <w:szCs w:val="18"/>
                <w:vertAlign w:val="superscript"/>
              </w:rPr>
              <w:t>2</w:t>
            </w:r>
            <w:r>
              <w:rPr>
                <w:rFonts w:ascii="Calibri" w:hAnsi="Calibri"/>
                <w:b/>
                <w:bCs/>
                <w:color w:val="000000"/>
                <w:sz w:val="18"/>
                <w:szCs w:val="18"/>
              </w:rPr>
              <w:t>)</w:t>
            </w:r>
          </w:p>
        </w:tc>
        <w:tc>
          <w:tcPr>
            <w:tcW w:w="1134" w:type="dxa"/>
            <w:vMerge w:val="restart"/>
            <w:tcBorders>
              <w:top w:val="single" w:sz="4" w:space="0" w:color="auto"/>
              <w:left w:val="nil"/>
              <w:bottom w:val="single" w:sz="4" w:space="0" w:color="000000"/>
              <w:right w:val="nil"/>
            </w:tcBorders>
            <w:shd w:val="clear" w:color="000000" w:fill="BFBFBF"/>
            <w:vAlign w:val="center"/>
            <w:hideMark/>
          </w:tcPr>
          <w:p w:rsidR="00AD76CB" w:rsidRDefault="00AD76CB" w:rsidP="00AD76CB">
            <w:pPr>
              <w:jc w:val="center"/>
              <w:rPr>
                <w:rFonts w:ascii="Calibri" w:hAnsi="Calibri"/>
                <w:b/>
                <w:bCs/>
                <w:color w:val="000000"/>
                <w:sz w:val="18"/>
                <w:szCs w:val="18"/>
              </w:rPr>
            </w:pPr>
            <w:r>
              <w:rPr>
                <w:rFonts w:ascii="Calibri" w:hAnsi="Calibri"/>
                <w:b/>
                <w:bCs/>
                <w:color w:val="000000"/>
                <w:sz w:val="18"/>
                <w:szCs w:val="18"/>
              </w:rPr>
              <w:t>Total Population</w:t>
            </w:r>
          </w:p>
        </w:tc>
        <w:tc>
          <w:tcPr>
            <w:tcW w:w="807" w:type="dxa"/>
            <w:vMerge w:val="restart"/>
            <w:tcBorders>
              <w:top w:val="single" w:sz="4" w:space="0" w:color="auto"/>
              <w:left w:val="nil"/>
              <w:bottom w:val="single" w:sz="4" w:space="0" w:color="000000"/>
              <w:right w:val="nil"/>
            </w:tcBorders>
            <w:shd w:val="clear" w:color="000000" w:fill="BFBFBF"/>
            <w:vAlign w:val="center"/>
            <w:hideMark/>
          </w:tcPr>
          <w:p w:rsidR="00AD76CB" w:rsidRDefault="00AD76CB" w:rsidP="00AD76CB">
            <w:pPr>
              <w:jc w:val="center"/>
              <w:rPr>
                <w:rFonts w:ascii="Calibri" w:hAnsi="Calibri"/>
                <w:b/>
                <w:bCs/>
                <w:color w:val="000000"/>
                <w:sz w:val="18"/>
                <w:szCs w:val="18"/>
              </w:rPr>
            </w:pPr>
            <w:r>
              <w:rPr>
                <w:rFonts w:ascii="Calibri" w:hAnsi="Calibri"/>
                <w:b/>
                <w:bCs/>
                <w:color w:val="000000"/>
                <w:sz w:val="18"/>
                <w:szCs w:val="18"/>
              </w:rPr>
              <w:t>Pop. Density</w:t>
            </w:r>
          </w:p>
        </w:tc>
        <w:tc>
          <w:tcPr>
            <w:tcW w:w="887" w:type="dxa"/>
            <w:vMerge w:val="restart"/>
            <w:tcBorders>
              <w:top w:val="single" w:sz="4" w:space="0" w:color="auto"/>
              <w:left w:val="nil"/>
              <w:bottom w:val="single" w:sz="4" w:space="0" w:color="000000"/>
              <w:right w:val="nil"/>
            </w:tcBorders>
            <w:shd w:val="clear" w:color="000000" w:fill="BFBFBF"/>
            <w:vAlign w:val="center"/>
            <w:hideMark/>
          </w:tcPr>
          <w:p w:rsidR="00AD76CB" w:rsidRDefault="00AD76CB" w:rsidP="00AD76CB">
            <w:pPr>
              <w:jc w:val="center"/>
              <w:rPr>
                <w:rFonts w:ascii="Calibri" w:hAnsi="Calibri"/>
                <w:b/>
                <w:bCs/>
                <w:color w:val="000000"/>
                <w:sz w:val="18"/>
                <w:szCs w:val="18"/>
              </w:rPr>
            </w:pPr>
            <w:r>
              <w:rPr>
                <w:rFonts w:ascii="Calibri" w:hAnsi="Calibri"/>
                <w:b/>
                <w:bCs/>
                <w:color w:val="000000"/>
                <w:sz w:val="18"/>
                <w:szCs w:val="18"/>
              </w:rPr>
              <w:t>Total Migrants</w:t>
            </w:r>
          </w:p>
        </w:tc>
      </w:tr>
      <w:tr w:rsidR="00AD76CB" w:rsidTr="00AB4F1B">
        <w:trPr>
          <w:trHeight w:val="300"/>
        </w:trPr>
        <w:tc>
          <w:tcPr>
            <w:tcW w:w="1735" w:type="dxa"/>
            <w:vMerge/>
            <w:tcBorders>
              <w:top w:val="single" w:sz="4" w:space="0" w:color="auto"/>
              <w:left w:val="nil"/>
              <w:bottom w:val="single" w:sz="4" w:space="0" w:color="000000"/>
              <w:right w:val="nil"/>
            </w:tcBorders>
            <w:vAlign w:val="center"/>
            <w:hideMark/>
          </w:tcPr>
          <w:p w:rsidR="00AD76CB" w:rsidRDefault="00AD76CB" w:rsidP="00AD76CB">
            <w:pPr>
              <w:rPr>
                <w:rFonts w:ascii="Calibri" w:hAnsi="Calibri"/>
                <w:b/>
                <w:bCs/>
                <w:color w:val="000000"/>
                <w:sz w:val="18"/>
                <w:szCs w:val="18"/>
              </w:rPr>
            </w:pPr>
          </w:p>
        </w:tc>
        <w:tc>
          <w:tcPr>
            <w:tcW w:w="709" w:type="dxa"/>
            <w:vMerge/>
            <w:tcBorders>
              <w:top w:val="single" w:sz="4" w:space="0" w:color="auto"/>
              <w:left w:val="nil"/>
              <w:bottom w:val="single" w:sz="4" w:space="0" w:color="000000"/>
              <w:right w:val="nil"/>
            </w:tcBorders>
            <w:vAlign w:val="center"/>
            <w:hideMark/>
          </w:tcPr>
          <w:p w:rsidR="00AD76CB" w:rsidRDefault="00AD76CB" w:rsidP="00AD76CB">
            <w:pPr>
              <w:rPr>
                <w:rFonts w:ascii="Calibri" w:hAnsi="Calibri"/>
                <w:b/>
                <w:bCs/>
                <w:color w:val="000000"/>
                <w:sz w:val="18"/>
                <w:szCs w:val="18"/>
              </w:rPr>
            </w:pPr>
          </w:p>
        </w:tc>
        <w:tc>
          <w:tcPr>
            <w:tcW w:w="851" w:type="dxa"/>
            <w:vMerge/>
            <w:tcBorders>
              <w:top w:val="single" w:sz="4" w:space="0" w:color="auto"/>
              <w:left w:val="nil"/>
              <w:bottom w:val="single" w:sz="4" w:space="0" w:color="000000"/>
              <w:right w:val="nil"/>
            </w:tcBorders>
            <w:vAlign w:val="center"/>
            <w:hideMark/>
          </w:tcPr>
          <w:p w:rsidR="00AD76CB" w:rsidRDefault="00AD76CB" w:rsidP="00AD76CB">
            <w:pPr>
              <w:rPr>
                <w:rFonts w:ascii="Calibri" w:hAnsi="Calibri"/>
                <w:b/>
                <w:bCs/>
                <w:color w:val="000000"/>
                <w:sz w:val="18"/>
                <w:szCs w:val="18"/>
              </w:rPr>
            </w:pPr>
          </w:p>
        </w:tc>
        <w:tc>
          <w:tcPr>
            <w:tcW w:w="567" w:type="dxa"/>
            <w:tcBorders>
              <w:top w:val="nil"/>
              <w:left w:val="nil"/>
              <w:bottom w:val="single" w:sz="4" w:space="0" w:color="auto"/>
              <w:right w:val="nil"/>
            </w:tcBorders>
            <w:shd w:val="clear" w:color="000000" w:fill="BFBFBF"/>
            <w:vAlign w:val="center"/>
            <w:hideMark/>
          </w:tcPr>
          <w:p w:rsidR="00AD76CB" w:rsidRDefault="00AD76CB" w:rsidP="00AD76CB">
            <w:pPr>
              <w:jc w:val="center"/>
              <w:rPr>
                <w:rFonts w:ascii="Calibri" w:hAnsi="Calibri"/>
                <w:b/>
                <w:bCs/>
                <w:color w:val="000000"/>
                <w:sz w:val="18"/>
                <w:szCs w:val="18"/>
              </w:rPr>
            </w:pPr>
            <w:r>
              <w:rPr>
                <w:rFonts w:ascii="Calibri" w:hAnsi="Calibri"/>
                <w:b/>
                <w:bCs/>
                <w:color w:val="000000"/>
                <w:sz w:val="18"/>
                <w:szCs w:val="18"/>
              </w:rPr>
              <w:t>Min</w:t>
            </w:r>
          </w:p>
        </w:tc>
        <w:tc>
          <w:tcPr>
            <w:tcW w:w="718" w:type="dxa"/>
            <w:tcBorders>
              <w:top w:val="nil"/>
              <w:left w:val="nil"/>
              <w:bottom w:val="single" w:sz="4" w:space="0" w:color="auto"/>
              <w:right w:val="nil"/>
            </w:tcBorders>
            <w:shd w:val="clear" w:color="000000" w:fill="BFBFBF"/>
            <w:vAlign w:val="center"/>
            <w:hideMark/>
          </w:tcPr>
          <w:p w:rsidR="00AD76CB" w:rsidRDefault="00AD76CB" w:rsidP="00AD76CB">
            <w:pPr>
              <w:jc w:val="center"/>
              <w:rPr>
                <w:rFonts w:ascii="Calibri" w:hAnsi="Calibri"/>
                <w:b/>
                <w:bCs/>
                <w:color w:val="000000"/>
                <w:sz w:val="18"/>
                <w:szCs w:val="18"/>
              </w:rPr>
            </w:pPr>
            <w:r>
              <w:rPr>
                <w:rFonts w:ascii="Calibri" w:hAnsi="Calibri"/>
                <w:b/>
                <w:bCs/>
                <w:color w:val="000000"/>
                <w:sz w:val="18"/>
                <w:szCs w:val="18"/>
              </w:rPr>
              <w:t>Max</w:t>
            </w:r>
          </w:p>
        </w:tc>
        <w:tc>
          <w:tcPr>
            <w:tcW w:w="699" w:type="dxa"/>
            <w:tcBorders>
              <w:top w:val="nil"/>
              <w:left w:val="nil"/>
              <w:bottom w:val="single" w:sz="4" w:space="0" w:color="auto"/>
              <w:right w:val="nil"/>
            </w:tcBorders>
            <w:shd w:val="clear" w:color="000000" w:fill="BFBFBF"/>
            <w:vAlign w:val="center"/>
            <w:hideMark/>
          </w:tcPr>
          <w:p w:rsidR="00AD76CB" w:rsidRDefault="00AD76CB" w:rsidP="00AD76CB">
            <w:pPr>
              <w:jc w:val="center"/>
              <w:rPr>
                <w:rFonts w:ascii="Calibri" w:hAnsi="Calibri"/>
                <w:b/>
                <w:bCs/>
                <w:color w:val="000000"/>
                <w:sz w:val="18"/>
                <w:szCs w:val="18"/>
              </w:rPr>
            </w:pPr>
            <w:r>
              <w:rPr>
                <w:rFonts w:ascii="Calibri" w:hAnsi="Calibri"/>
                <w:b/>
                <w:bCs/>
                <w:color w:val="000000"/>
                <w:sz w:val="18"/>
                <w:szCs w:val="18"/>
              </w:rPr>
              <w:t>Mean</w:t>
            </w:r>
          </w:p>
        </w:tc>
        <w:tc>
          <w:tcPr>
            <w:tcW w:w="709" w:type="dxa"/>
            <w:tcBorders>
              <w:top w:val="nil"/>
              <w:left w:val="nil"/>
              <w:bottom w:val="single" w:sz="4" w:space="0" w:color="auto"/>
              <w:right w:val="nil"/>
            </w:tcBorders>
            <w:shd w:val="clear" w:color="000000" w:fill="BFBFBF"/>
            <w:vAlign w:val="center"/>
            <w:hideMark/>
          </w:tcPr>
          <w:p w:rsidR="00AD76CB" w:rsidRDefault="00AD76CB" w:rsidP="00AD76CB">
            <w:pPr>
              <w:jc w:val="center"/>
              <w:rPr>
                <w:rFonts w:ascii="Calibri" w:hAnsi="Calibri"/>
                <w:b/>
                <w:bCs/>
                <w:color w:val="000000"/>
                <w:sz w:val="18"/>
                <w:szCs w:val="18"/>
              </w:rPr>
            </w:pPr>
            <w:r>
              <w:rPr>
                <w:rFonts w:ascii="Calibri" w:hAnsi="Calibri"/>
                <w:b/>
                <w:bCs/>
                <w:color w:val="000000"/>
                <w:sz w:val="18"/>
                <w:szCs w:val="18"/>
              </w:rPr>
              <w:t>SD</w:t>
            </w:r>
          </w:p>
        </w:tc>
        <w:tc>
          <w:tcPr>
            <w:tcW w:w="1134" w:type="dxa"/>
            <w:vMerge/>
            <w:tcBorders>
              <w:top w:val="single" w:sz="4" w:space="0" w:color="auto"/>
              <w:left w:val="nil"/>
              <w:bottom w:val="single" w:sz="4" w:space="0" w:color="000000"/>
              <w:right w:val="nil"/>
            </w:tcBorders>
            <w:vAlign w:val="center"/>
            <w:hideMark/>
          </w:tcPr>
          <w:p w:rsidR="00AD76CB" w:rsidRDefault="00AD76CB" w:rsidP="00AD76CB">
            <w:pPr>
              <w:rPr>
                <w:rFonts w:ascii="Calibri" w:hAnsi="Calibri"/>
                <w:b/>
                <w:bCs/>
                <w:color w:val="000000"/>
                <w:sz w:val="18"/>
                <w:szCs w:val="18"/>
              </w:rPr>
            </w:pPr>
          </w:p>
        </w:tc>
        <w:tc>
          <w:tcPr>
            <w:tcW w:w="807" w:type="dxa"/>
            <w:vMerge/>
            <w:tcBorders>
              <w:top w:val="single" w:sz="4" w:space="0" w:color="auto"/>
              <w:left w:val="nil"/>
              <w:bottom w:val="single" w:sz="4" w:space="0" w:color="000000"/>
              <w:right w:val="nil"/>
            </w:tcBorders>
            <w:vAlign w:val="center"/>
            <w:hideMark/>
          </w:tcPr>
          <w:p w:rsidR="00AD76CB" w:rsidRDefault="00AD76CB" w:rsidP="00AD76CB">
            <w:pPr>
              <w:rPr>
                <w:rFonts w:ascii="Calibri" w:hAnsi="Calibri"/>
                <w:b/>
                <w:bCs/>
                <w:color w:val="000000"/>
                <w:sz w:val="18"/>
                <w:szCs w:val="18"/>
              </w:rPr>
            </w:pPr>
          </w:p>
        </w:tc>
        <w:tc>
          <w:tcPr>
            <w:tcW w:w="887" w:type="dxa"/>
            <w:vMerge/>
            <w:tcBorders>
              <w:top w:val="single" w:sz="4" w:space="0" w:color="auto"/>
              <w:left w:val="nil"/>
              <w:bottom w:val="single" w:sz="4" w:space="0" w:color="000000"/>
              <w:right w:val="nil"/>
            </w:tcBorders>
            <w:vAlign w:val="center"/>
            <w:hideMark/>
          </w:tcPr>
          <w:p w:rsidR="00AD76CB" w:rsidRDefault="00AD76CB" w:rsidP="00AD76CB">
            <w:pPr>
              <w:rPr>
                <w:rFonts w:ascii="Calibri" w:hAnsi="Calibri"/>
                <w:b/>
                <w:bCs/>
                <w:color w:val="000000"/>
                <w:sz w:val="18"/>
                <w:szCs w:val="18"/>
              </w:rPr>
            </w:pPr>
          </w:p>
        </w:tc>
      </w:tr>
      <w:tr w:rsidR="00AD76CB" w:rsidTr="00AB4F1B">
        <w:trPr>
          <w:trHeight w:val="300"/>
        </w:trPr>
        <w:tc>
          <w:tcPr>
            <w:tcW w:w="1735" w:type="dxa"/>
            <w:tcBorders>
              <w:top w:val="single" w:sz="4" w:space="0" w:color="auto"/>
              <w:left w:val="nil"/>
              <w:bottom w:val="single" w:sz="4" w:space="0" w:color="auto"/>
              <w:right w:val="nil"/>
            </w:tcBorders>
            <w:shd w:val="clear" w:color="000000" w:fill="F2F2F2"/>
            <w:noWrap/>
            <w:vAlign w:val="center"/>
            <w:hideMark/>
          </w:tcPr>
          <w:p w:rsidR="00AD76CB" w:rsidRPr="00BE5356" w:rsidRDefault="00AD76CB" w:rsidP="00AD76CB">
            <w:pPr>
              <w:rPr>
                <w:rFonts w:ascii="Calibri" w:hAnsi="Calibri"/>
                <w:color w:val="000000"/>
                <w:sz w:val="18"/>
                <w:szCs w:val="18"/>
                <w:lang w:val="en-GB"/>
              </w:rPr>
            </w:pPr>
            <w:r>
              <w:rPr>
                <w:rFonts w:ascii="Calibri" w:hAnsi="Calibri"/>
                <w:color w:val="000000"/>
                <w:sz w:val="18"/>
                <w:szCs w:val="18"/>
              </w:rPr>
              <w:t>UK</w:t>
            </w:r>
          </w:p>
        </w:tc>
        <w:tc>
          <w:tcPr>
            <w:tcW w:w="709"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center"/>
              <w:rPr>
                <w:rFonts w:ascii="Calibri" w:hAnsi="Calibri"/>
                <w:color w:val="000000"/>
                <w:sz w:val="18"/>
                <w:szCs w:val="18"/>
              </w:rPr>
            </w:pPr>
            <w:r>
              <w:rPr>
                <w:rFonts w:ascii="Calibri" w:hAnsi="Calibri"/>
                <w:color w:val="000000"/>
                <w:sz w:val="18"/>
                <w:szCs w:val="18"/>
              </w:rPr>
              <w:t>2001</w:t>
            </w:r>
          </w:p>
        </w:tc>
        <w:tc>
          <w:tcPr>
            <w:tcW w:w="851"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center"/>
              <w:rPr>
                <w:rFonts w:ascii="Calibri" w:hAnsi="Calibri"/>
                <w:color w:val="000000"/>
                <w:sz w:val="18"/>
                <w:szCs w:val="18"/>
              </w:rPr>
            </w:pPr>
            <w:r>
              <w:rPr>
                <w:rFonts w:ascii="Calibri" w:hAnsi="Calibri"/>
                <w:color w:val="000000"/>
                <w:sz w:val="18"/>
                <w:szCs w:val="18"/>
              </w:rPr>
              <w:t>406</w:t>
            </w:r>
          </w:p>
        </w:tc>
        <w:tc>
          <w:tcPr>
            <w:tcW w:w="567"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3</w:t>
            </w:r>
          </w:p>
        </w:tc>
        <w:tc>
          <w:tcPr>
            <w:tcW w:w="718"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26,484</w:t>
            </w:r>
          </w:p>
        </w:tc>
        <w:tc>
          <w:tcPr>
            <w:tcW w:w="699"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612</w:t>
            </w:r>
          </w:p>
        </w:tc>
        <w:tc>
          <w:tcPr>
            <w:tcW w:w="709"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1,567</w:t>
            </w:r>
          </w:p>
        </w:tc>
        <w:tc>
          <w:tcPr>
            <w:tcW w:w="1134"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58,836,694</w:t>
            </w:r>
          </w:p>
        </w:tc>
        <w:tc>
          <w:tcPr>
            <w:tcW w:w="807"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236.7</w:t>
            </w:r>
          </w:p>
        </w:tc>
        <w:tc>
          <w:tcPr>
            <w:tcW w:w="887"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2,484,029</w:t>
            </w:r>
          </w:p>
        </w:tc>
      </w:tr>
      <w:tr w:rsidR="00AD76CB" w:rsidTr="00AB4F1B">
        <w:trPr>
          <w:trHeight w:val="300"/>
        </w:trPr>
        <w:tc>
          <w:tcPr>
            <w:tcW w:w="1735" w:type="dxa"/>
            <w:tcBorders>
              <w:top w:val="nil"/>
              <w:left w:val="nil"/>
              <w:bottom w:val="nil"/>
              <w:right w:val="nil"/>
            </w:tcBorders>
            <w:shd w:val="clear" w:color="000000" w:fill="FFFFFF"/>
            <w:noWrap/>
            <w:vAlign w:val="center"/>
            <w:hideMark/>
          </w:tcPr>
          <w:p w:rsidR="00AD76CB" w:rsidRDefault="00AD76CB" w:rsidP="00AD76CB">
            <w:pPr>
              <w:rPr>
                <w:rFonts w:ascii="Calibri" w:hAnsi="Calibri"/>
                <w:color w:val="000000"/>
                <w:sz w:val="18"/>
                <w:szCs w:val="18"/>
              </w:rPr>
            </w:pPr>
            <w:r>
              <w:rPr>
                <w:rFonts w:ascii="Calibri" w:hAnsi="Calibri"/>
                <w:color w:val="000000"/>
                <w:sz w:val="18"/>
                <w:szCs w:val="18"/>
              </w:rPr>
              <w:t>UK Est</w:t>
            </w:r>
          </w:p>
        </w:tc>
        <w:tc>
          <w:tcPr>
            <w:tcW w:w="709" w:type="dxa"/>
            <w:tcBorders>
              <w:top w:val="nil"/>
              <w:left w:val="nil"/>
              <w:bottom w:val="nil"/>
              <w:right w:val="nil"/>
            </w:tcBorders>
            <w:shd w:val="clear" w:color="000000" w:fill="FFFFFF"/>
            <w:noWrap/>
            <w:vAlign w:val="center"/>
            <w:hideMark/>
          </w:tcPr>
          <w:p w:rsidR="00AD76CB" w:rsidRDefault="00AD76CB" w:rsidP="00AD76CB">
            <w:pPr>
              <w:jc w:val="center"/>
              <w:rPr>
                <w:rFonts w:ascii="Calibri" w:hAnsi="Calibri"/>
                <w:color w:val="000000"/>
                <w:sz w:val="18"/>
                <w:szCs w:val="18"/>
              </w:rPr>
            </w:pPr>
            <w:r>
              <w:rPr>
                <w:rFonts w:ascii="Calibri" w:hAnsi="Calibri"/>
                <w:color w:val="000000"/>
                <w:sz w:val="18"/>
                <w:szCs w:val="18"/>
              </w:rPr>
              <w:t>2002</w:t>
            </w:r>
          </w:p>
        </w:tc>
        <w:tc>
          <w:tcPr>
            <w:tcW w:w="851" w:type="dxa"/>
            <w:tcBorders>
              <w:top w:val="nil"/>
              <w:left w:val="nil"/>
              <w:bottom w:val="nil"/>
              <w:right w:val="nil"/>
            </w:tcBorders>
            <w:shd w:val="clear" w:color="000000" w:fill="FFFFFF"/>
            <w:noWrap/>
            <w:vAlign w:val="center"/>
            <w:hideMark/>
          </w:tcPr>
          <w:p w:rsidR="00AD76CB" w:rsidRDefault="00AD76CB" w:rsidP="00AD76CB">
            <w:pPr>
              <w:jc w:val="center"/>
              <w:rPr>
                <w:rFonts w:ascii="Calibri" w:hAnsi="Calibri"/>
                <w:color w:val="000000"/>
                <w:sz w:val="18"/>
                <w:szCs w:val="18"/>
              </w:rPr>
            </w:pPr>
            <w:r>
              <w:rPr>
                <w:rFonts w:ascii="Calibri" w:hAnsi="Calibri"/>
                <w:color w:val="000000"/>
                <w:sz w:val="18"/>
                <w:szCs w:val="18"/>
              </w:rPr>
              <w:t>406</w:t>
            </w:r>
          </w:p>
        </w:tc>
        <w:tc>
          <w:tcPr>
            <w:tcW w:w="567" w:type="dxa"/>
            <w:tcBorders>
              <w:top w:val="nil"/>
              <w:left w:val="nil"/>
              <w:bottom w:val="nil"/>
              <w:right w:val="nil"/>
            </w:tcBorders>
            <w:shd w:val="clear" w:color="000000" w:fill="FFFFFF"/>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3</w:t>
            </w:r>
          </w:p>
        </w:tc>
        <w:tc>
          <w:tcPr>
            <w:tcW w:w="718" w:type="dxa"/>
            <w:tcBorders>
              <w:top w:val="nil"/>
              <w:left w:val="nil"/>
              <w:bottom w:val="nil"/>
              <w:right w:val="nil"/>
            </w:tcBorders>
            <w:shd w:val="clear" w:color="000000" w:fill="FFFFFF"/>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26,484</w:t>
            </w:r>
          </w:p>
        </w:tc>
        <w:tc>
          <w:tcPr>
            <w:tcW w:w="699" w:type="dxa"/>
            <w:tcBorders>
              <w:top w:val="nil"/>
              <w:left w:val="nil"/>
              <w:bottom w:val="nil"/>
              <w:right w:val="nil"/>
            </w:tcBorders>
            <w:shd w:val="clear" w:color="000000" w:fill="FFFFFF"/>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612</w:t>
            </w:r>
          </w:p>
        </w:tc>
        <w:tc>
          <w:tcPr>
            <w:tcW w:w="709" w:type="dxa"/>
            <w:tcBorders>
              <w:top w:val="nil"/>
              <w:left w:val="nil"/>
              <w:bottom w:val="nil"/>
              <w:right w:val="nil"/>
            </w:tcBorders>
            <w:shd w:val="clear" w:color="000000" w:fill="FFFFFF"/>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1,567</w:t>
            </w:r>
          </w:p>
        </w:tc>
        <w:tc>
          <w:tcPr>
            <w:tcW w:w="1134" w:type="dxa"/>
            <w:tcBorders>
              <w:top w:val="nil"/>
              <w:left w:val="nil"/>
              <w:bottom w:val="nil"/>
              <w:right w:val="nil"/>
            </w:tcBorders>
            <w:shd w:val="clear" w:color="000000" w:fill="FFFFFF"/>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59,319,100</w:t>
            </w:r>
          </w:p>
        </w:tc>
        <w:tc>
          <w:tcPr>
            <w:tcW w:w="807" w:type="dxa"/>
            <w:tcBorders>
              <w:top w:val="nil"/>
              <w:left w:val="nil"/>
              <w:bottom w:val="nil"/>
              <w:right w:val="nil"/>
            </w:tcBorders>
            <w:shd w:val="clear" w:color="000000" w:fill="FFFFFF"/>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238.64</w:t>
            </w:r>
          </w:p>
        </w:tc>
        <w:tc>
          <w:tcPr>
            <w:tcW w:w="887" w:type="dxa"/>
            <w:tcBorders>
              <w:top w:val="nil"/>
              <w:left w:val="nil"/>
              <w:bottom w:val="nil"/>
              <w:right w:val="nil"/>
            </w:tcBorders>
            <w:shd w:val="clear" w:color="000000" w:fill="FFFFFF"/>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2,863,644</w:t>
            </w:r>
          </w:p>
        </w:tc>
      </w:tr>
      <w:tr w:rsidR="00AD76CB" w:rsidTr="00AB4F1B">
        <w:trPr>
          <w:trHeight w:val="300"/>
        </w:trPr>
        <w:tc>
          <w:tcPr>
            <w:tcW w:w="1735"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rPr>
                <w:rFonts w:ascii="Calibri" w:hAnsi="Calibri"/>
                <w:color w:val="000000"/>
                <w:sz w:val="18"/>
                <w:szCs w:val="18"/>
              </w:rPr>
            </w:pPr>
            <w:r>
              <w:rPr>
                <w:rFonts w:ascii="Calibri" w:hAnsi="Calibri"/>
                <w:color w:val="000000"/>
                <w:sz w:val="18"/>
                <w:szCs w:val="18"/>
              </w:rPr>
              <w:t>UK Est</w:t>
            </w:r>
          </w:p>
        </w:tc>
        <w:tc>
          <w:tcPr>
            <w:tcW w:w="709"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center"/>
              <w:rPr>
                <w:rFonts w:ascii="Calibri" w:hAnsi="Calibri"/>
                <w:color w:val="000000"/>
                <w:sz w:val="18"/>
                <w:szCs w:val="18"/>
              </w:rPr>
            </w:pPr>
            <w:r>
              <w:rPr>
                <w:rFonts w:ascii="Calibri" w:hAnsi="Calibri"/>
                <w:color w:val="000000"/>
                <w:sz w:val="18"/>
                <w:szCs w:val="18"/>
              </w:rPr>
              <w:t>2010</w:t>
            </w:r>
          </w:p>
        </w:tc>
        <w:tc>
          <w:tcPr>
            <w:tcW w:w="851"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center"/>
              <w:rPr>
                <w:rFonts w:ascii="Calibri" w:hAnsi="Calibri"/>
                <w:color w:val="000000"/>
                <w:sz w:val="18"/>
                <w:szCs w:val="18"/>
              </w:rPr>
            </w:pPr>
            <w:r>
              <w:rPr>
                <w:rFonts w:ascii="Calibri" w:hAnsi="Calibri"/>
                <w:color w:val="000000"/>
                <w:sz w:val="18"/>
                <w:szCs w:val="18"/>
              </w:rPr>
              <w:t>406</w:t>
            </w:r>
          </w:p>
        </w:tc>
        <w:tc>
          <w:tcPr>
            <w:tcW w:w="567"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3</w:t>
            </w:r>
          </w:p>
        </w:tc>
        <w:tc>
          <w:tcPr>
            <w:tcW w:w="718"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26,484</w:t>
            </w:r>
          </w:p>
        </w:tc>
        <w:tc>
          <w:tcPr>
            <w:tcW w:w="699"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612</w:t>
            </w:r>
          </w:p>
        </w:tc>
        <w:tc>
          <w:tcPr>
            <w:tcW w:w="709"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1,567</w:t>
            </w:r>
          </w:p>
        </w:tc>
        <w:tc>
          <w:tcPr>
            <w:tcW w:w="1134"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62,262,500</w:t>
            </w:r>
          </w:p>
        </w:tc>
        <w:tc>
          <w:tcPr>
            <w:tcW w:w="807"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250.48</w:t>
            </w:r>
          </w:p>
        </w:tc>
        <w:tc>
          <w:tcPr>
            <w:tcW w:w="887" w:type="dxa"/>
            <w:tcBorders>
              <w:top w:val="single" w:sz="4" w:space="0" w:color="auto"/>
              <w:left w:val="nil"/>
              <w:bottom w:val="single" w:sz="4" w:space="0" w:color="auto"/>
              <w:right w:val="nil"/>
            </w:tcBorders>
            <w:shd w:val="clear" w:color="000000" w:fill="F2F2F2"/>
            <w:noWrap/>
            <w:vAlign w:val="center"/>
            <w:hideMark/>
          </w:tcPr>
          <w:p w:rsidR="00AD76CB" w:rsidRDefault="00AD76CB" w:rsidP="00AD76CB">
            <w:pPr>
              <w:jc w:val="right"/>
              <w:rPr>
                <w:rFonts w:ascii="Calibri" w:hAnsi="Calibri"/>
                <w:color w:val="000000"/>
                <w:sz w:val="18"/>
                <w:szCs w:val="18"/>
              </w:rPr>
            </w:pPr>
            <w:r>
              <w:rPr>
                <w:rFonts w:ascii="Calibri" w:hAnsi="Calibri"/>
                <w:color w:val="000000"/>
                <w:sz w:val="18"/>
                <w:szCs w:val="18"/>
              </w:rPr>
              <w:t>2,870,440</w:t>
            </w:r>
            <w:r>
              <w:rPr>
                <w:rFonts w:ascii="Calibri" w:hAnsi="Calibri"/>
                <w:color w:val="000000"/>
                <w:sz w:val="16"/>
                <w:szCs w:val="16"/>
              </w:rPr>
              <w:t> </w:t>
            </w:r>
          </w:p>
        </w:tc>
      </w:tr>
      <w:tr w:rsidR="00AD76CB" w:rsidTr="00AB4F1B">
        <w:trPr>
          <w:trHeight w:val="300"/>
        </w:trPr>
        <w:tc>
          <w:tcPr>
            <w:tcW w:w="1735" w:type="dxa"/>
            <w:tcBorders>
              <w:top w:val="single" w:sz="4" w:space="0" w:color="auto"/>
              <w:left w:val="nil"/>
              <w:bottom w:val="single" w:sz="4" w:space="0" w:color="auto"/>
              <w:right w:val="nil"/>
            </w:tcBorders>
            <w:shd w:val="clear" w:color="000000" w:fill="F2F2F2"/>
            <w:noWrap/>
            <w:vAlign w:val="center"/>
          </w:tcPr>
          <w:p w:rsidR="00AD76CB" w:rsidRDefault="00AD76CB" w:rsidP="00AD76CB">
            <w:pPr>
              <w:rPr>
                <w:rFonts w:ascii="Calibri" w:hAnsi="Calibri"/>
                <w:color w:val="000000"/>
                <w:sz w:val="18"/>
                <w:szCs w:val="18"/>
              </w:rPr>
            </w:pPr>
            <w:r>
              <w:rPr>
                <w:rFonts w:ascii="Calibri" w:hAnsi="Calibri"/>
                <w:color w:val="000000"/>
                <w:sz w:val="18"/>
                <w:szCs w:val="18"/>
              </w:rPr>
              <w:t>Germany</w:t>
            </w:r>
          </w:p>
        </w:tc>
        <w:tc>
          <w:tcPr>
            <w:tcW w:w="709"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center"/>
              <w:rPr>
                <w:rFonts w:ascii="Calibri" w:hAnsi="Calibri"/>
                <w:color w:val="000000"/>
                <w:sz w:val="18"/>
                <w:szCs w:val="18"/>
              </w:rPr>
            </w:pPr>
            <w:r>
              <w:rPr>
                <w:rFonts w:ascii="Calibri" w:hAnsi="Calibri"/>
                <w:color w:val="000000"/>
                <w:sz w:val="18"/>
                <w:szCs w:val="18"/>
              </w:rPr>
              <w:t>2009</w:t>
            </w:r>
          </w:p>
        </w:tc>
        <w:tc>
          <w:tcPr>
            <w:tcW w:w="851"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center"/>
              <w:rPr>
                <w:rFonts w:ascii="Calibri" w:hAnsi="Calibri"/>
                <w:color w:val="000000"/>
                <w:sz w:val="18"/>
                <w:szCs w:val="18"/>
              </w:rPr>
            </w:pPr>
            <w:r>
              <w:rPr>
                <w:rFonts w:ascii="Calibri" w:hAnsi="Calibri"/>
                <w:color w:val="000000"/>
                <w:sz w:val="18"/>
                <w:szCs w:val="18"/>
              </w:rPr>
              <w:t>412</w:t>
            </w:r>
          </w:p>
        </w:tc>
        <w:tc>
          <w:tcPr>
            <w:tcW w:w="567"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27</w:t>
            </w:r>
          </w:p>
        </w:tc>
        <w:tc>
          <w:tcPr>
            <w:tcW w:w="718"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3,068</w:t>
            </w:r>
          </w:p>
        </w:tc>
        <w:tc>
          <w:tcPr>
            <w:tcW w:w="699"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866</w:t>
            </w:r>
          </w:p>
        </w:tc>
        <w:tc>
          <w:tcPr>
            <w:tcW w:w="709"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635</w:t>
            </w:r>
          </w:p>
        </w:tc>
        <w:tc>
          <w:tcPr>
            <w:tcW w:w="1134"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81,902,416</w:t>
            </w:r>
          </w:p>
        </w:tc>
        <w:tc>
          <w:tcPr>
            <w:tcW w:w="807"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229.52</w:t>
            </w:r>
          </w:p>
        </w:tc>
        <w:tc>
          <w:tcPr>
            <w:tcW w:w="887"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2,568,234</w:t>
            </w:r>
          </w:p>
        </w:tc>
      </w:tr>
      <w:tr w:rsidR="00AD76CB" w:rsidTr="00AB4F1B">
        <w:trPr>
          <w:trHeight w:val="300"/>
        </w:trPr>
        <w:tc>
          <w:tcPr>
            <w:tcW w:w="1735" w:type="dxa"/>
            <w:tcBorders>
              <w:top w:val="single" w:sz="4" w:space="0" w:color="auto"/>
              <w:left w:val="nil"/>
              <w:bottom w:val="single" w:sz="4" w:space="0" w:color="auto"/>
              <w:right w:val="nil"/>
            </w:tcBorders>
            <w:shd w:val="clear" w:color="000000" w:fill="F2F2F2"/>
            <w:noWrap/>
            <w:vAlign w:val="center"/>
          </w:tcPr>
          <w:p w:rsidR="00AD76CB" w:rsidRPr="00AD76CB" w:rsidRDefault="00AD76CB" w:rsidP="00AD76CB">
            <w:pPr>
              <w:rPr>
                <w:rFonts w:ascii="Calibri" w:hAnsi="Calibri"/>
                <w:color w:val="000000"/>
                <w:sz w:val="18"/>
                <w:szCs w:val="18"/>
                <w:lang w:val="en-GB"/>
              </w:rPr>
            </w:pPr>
            <w:r>
              <w:rPr>
                <w:rFonts w:ascii="Calibri" w:hAnsi="Calibri"/>
                <w:color w:val="000000"/>
                <w:sz w:val="18"/>
                <w:szCs w:val="18"/>
                <w:lang w:val="en-GB"/>
              </w:rPr>
              <w:t>Sweden</w:t>
            </w:r>
          </w:p>
        </w:tc>
        <w:tc>
          <w:tcPr>
            <w:tcW w:w="709"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center"/>
              <w:rPr>
                <w:rFonts w:ascii="Calibri" w:hAnsi="Calibri"/>
                <w:color w:val="000000"/>
                <w:sz w:val="18"/>
                <w:szCs w:val="18"/>
              </w:rPr>
            </w:pPr>
            <w:r>
              <w:rPr>
                <w:rFonts w:ascii="Calibri" w:hAnsi="Calibri"/>
                <w:color w:val="000000"/>
                <w:sz w:val="18"/>
                <w:szCs w:val="18"/>
              </w:rPr>
              <w:t>2008</w:t>
            </w:r>
          </w:p>
        </w:tc>
        <w:tc>
          <w:tcPr>
            <w:tcW w:w="851"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center"/>
              <w:rPr>
                <w:rFonts w:ascii="Calibri" w:hAnsi="Calibri"/>
                <w:color w:val="000000"/>
                <w:sz w:val="18"/>
                <w:szCs w:val="18"/>
              </w:rPr>
            </w:pPr>
            <w:r>
              <w:rPr>
                <w:rFonts w:ascii="Calibri" w:hAnsi="Calibri"/>
                <w:color w:val="000000"/>
                <w:sz w:val="18"/>
                <w:szCs w:val="18"/>
              </w:rPr>
              <w:t>290</w:t>
            </w:r>
          </w:p>
        </w:tc>
        <w:tc>
          <w:tcPr>
            <w:tcW w:w="567"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7</w:t>
            </w:r>
          </w:p>
        </w:tc>
        <w:tc>
          <w:tcPr>
            <w:tcW w:w="718"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17,320</w:t>
            </w:r>
          </w:p>
        </w:tc>
        <w:tc>
          <w:tcPr>
            <w:tcW w:w="699"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1,163</w:t>
            </w:r>
          </w:p>
        </w:tc>
        <w:tc>
          <w:tcPr>
            <w:tcW w:w="709"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1,643</w:t>
            </w:r>
          </w:p>
        </w:tc>
        <w:tc>
          <w:tcPr>
            <w:tcW w:w="1134"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5,388,351</w:t>
            </w:r>
          </w:p>
        </w:tc>
        <w:tc>
          <w:tcPr>
            <w:tcW w:w="807"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13.79</w:t>
            </w:r>
          </w:p>
        </w:tc>
        <w:tc>
          <w:tcPr>
            <w:tcW w:w="887"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281,537</w:t>
            </w:r>
          </w:p>
        </w:tc>
      </w:tr>
      <w:tr w:rsidR="00AD76CB" w:rsidTr="00AB4F1B">
        <w:trPr>
          <w:trHeight w:val="300"/>
        </w:trPr>
        <w:tc>
          <w:tcPr>
            <w:tcW w:w="1735" w:type="dxa"/>
            <w:tcBorders>
              <w:top w:val="single" w:sz="4" w:space="0" w:color="auto"/>
              <w:left w:val="nil"/>
              <w:bottom w:val="single" w:sz="4" w:space="0" w:color="auto"/>
              <w:right w:val="nil"/>
            </w:tcBorders>
            <w:shd w:val="clear" w:color="000000" w:fill="F2F2F2"/>
            <w:noWrap/>
            <w:vAlign w:val="center"/>
          </w:tcPr>
          <w:p w:rsidR="00AD76CB" w:rsidRPr="00AD76CB" w:rsidRDefault="00AD76CB" w:rsidP="00AD76CB">
            <w:pPr>
              <w:rPr>
                <w:rFonts w:ascii="Calibri" w:hAnsi="Calibri"/>
                <w:color w:val="000000"/>
                <w:sz w:val="18"/>
                <w:szCs w:val="18"/>
                <w:lang w:val="en-GB"/>
              </w:rPr>
            </w:pPr>
            <w:r>
              <w:rPr>
                <w:rFonts w:ascii="Calibri" w:hAnsi="Calibri"/>
                <w:color w:val="000000"/>
                <w:sz w:val="18"/>
                <w:szCs w:val="18"/>
                <w:lang w:val="en-GB"/>
              </w:rPr>
              <w:t>Finland</w:t>
            </w:r>
          </w:p>
        </w:tc>
        <w:tc>
          <w:tcPr>
            <w:tcW w:w="709"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center"/>
              <w:rPr>
                <w:rFonts w:ascii="Calibri" w:hAnsi="Calibri"/>
                <w:color w:val="000000"/>
                <w:sz w:val="18"/>
                <w:szCs w:val="18"/>
              </w:rPr>
            </w:pPr>
            <w:r>
              <w:rPr>
                <w:rFonts w:ascii="Calibri" w:hAnsi="Calibri"/>
                <w:color w:val="000000"/>
                <w:sz w:val="18"/>
                <w:szCs w:val="18"/>
              </w:rPr>
              <w:t>2011</w:t>
            </w:r>
          </w:p>
        </w:tc>
        <w:tc>
          <w:tcPr>
            <w:tcW w:w="851"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center"/>
              <w:rPr>
                <w:rFonts w:ascii="Calibri" w:hAnsi="Calibri"/>
                <w:color w:val="000000"/>
                <w:sz w:val="18"/>
                <w:szCs w:val="18"/>
              </w:rPr>
            </w:pPr>
            <w:r>
              <w:rPr>
                <w:rFonts w:ascii="Calibri" w:hAnsi="Calibri"/>
                <w:color w:val="000000"/>
                <w:sz w:val="18"/>
                <w:szCs w:val="18"/>
              </w:rPr>
              <w:t>336</w:t>
            </w:r>
          </w:p>
        </w:tc>
        <w:tc>
          <w:tcPr>
            <w:tcW w:w="567"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6</w:t>
            </w:r>
          </w:p>
        </w:tc>
        <w:tc>
          <w:tcPr>
            <w:tcW w:w="718"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20,510</w:t>
            </w:r>
          </w:p>
        </w:tc>
        <w:tc>
          <w:tcPr>
            <w:tcW w:w="699"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1,507</w:t>
            </w:r>
          </w:p>
        </w:tc>
        <w:tc>
          <w:tcPr>
            <w:tcW w:w="709"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2,646</w:t>
            </w:r>
          </w:p>
        </w:tc>
        <w:tc>
          <w:tcPr>
            <w:tcW w:w="1134"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9,219,706</w:t>
            </w:r>
          </w:p>
        </w:tc>
        <w:tc>
          <w:tcPr>
            <w:tcW w:w="807"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21.09</w:t>
            </w:r>
          </w:p>
        </w:tc>
        <w:tc>
          <w:tcPr>
            <w:tcW w:w="887" w:type="dxa"/>
            <w:tcBorders>
              <w:top w:val="single" w:sz="4" w:space="0" w:color="auto"/>
              <w:left w:val="nil"/>
              <w:bottom w:val="single" w:sz="4" w:space="0" w:color="auto"/>
              <w:right w:val="nil"/>
            </w:tcBorders>
            <w:shd w:val="clear" w:color="000000" w:fill="F2F2F2"/>
            <w:noWrap/>
            <w:vAlign w:val="center"/>
          </w:tcPr>
          <w:p w:rsidR="00AD76CB" w:rsidRDefault="00AD76CB" w:rsidP="00AD76CB">
            <w:pPr>
              <w:jc w:val="right"/>
              <w:rPr>
                <w:rFonts w:ascii="Calibri" w:hAnsi="Calibri"/>
                <w:color w:val="000000"/>
                <w:sz w:val="18"/>
                <w:szCs w:val="18"/>
              </w:rPr>
            </w:pPr>
            <w:r>
              <w:rPr>
                <w:rFonts w:ascii="Calibri" w:hAnsi="Calibri"/>
                <w:color w:val="000000"/>
                <w:sz w:val="18"/>
                <w:szCs w:val="18"/>
              </w:rPr>
              <w:t>352,913</w:t>
            </w:r>
          </w:p>
        </w:tc>
      </w:tr>
    </w:tbl>
    <w:p w:rsidR="00AD76CB" w:rsidRDefault="00AD76CB" w:rsidP="00DA19D2">
      <w:pPr>
        <w:tabs>
          <w:tab w:val="left" w:pos="7938"/>
        </w:tabs>
        <w:spacing w:after="120" w:line="360" w:lineRule="auto"/>
        <w:ind w:left="-1134"/>
        <w:jc w:val="both"/>
        <w:rPr>
          <w:sz w:val="22"/>
          <w:szCs w:val="22"/>
          <w:lang w:val="en-GB"/>
        </w:rPr>
      </w:pPr>
    </w:p>
    <w:p w:rsidR="0051793A" w:rsidRDefault="0051793A" w:rsidP="00DA19D2">
      <w:pPr>
        <w:tabs>
          <w:tab w:val="left" w:pos="7938"/>
        </w:tabs>
        <w:spacing w:after="120" w:line="360" w:lineRule="auto"/>
        <w:ind w:left="-1134"/>
        <w:jc w:val="both"/>
        <w:rPr>
          <w:sz w:val="22"/>
          <w:szCs w:val="22"/>
          <w:lang w:val="en-GB"/>
        </w:rPr>
      </w:pPr>
      <w:r>
        <w:rPr>
          <w:sz w:val="22"/>
          <w:szCs w:val="22"/>
          <w:lang w:val="en-GB"/>
        </w:rPr>
        <w:t xml:space="preserve">The migration data </w:t>
      </w:r>
      <w:r w:rsidR="00732658">
        <w:rPr>
          <w:sz w:val="22"/>
          <w:szCs w:val="22"/>
          <w:lang w:val="en-GB"/>
        </w:rPr>
        <w:t>that</w:t>
      </w:r>
      <w:r w:rsidR="00EC61F3">
        <w:rPr>
          <w:sz w:val="22"/>
          <w:szCs w:val="22"/>
          <w:lang w:val="en-GB"/>
        </w:rPr>
        <w:t xml:space="preserve"> were</w:t>
      </w:r>
      <w:r w:rsidR="00732658">
        <w:rPr>
          <w:sz w:val="22"/>
          <w:szCs w:val="22"/>
          <w:lang w:val="en-GB"/>
        </w:rPr>
        <w:t xml:space="preserve"> </w:t>
      </w:r>
      <w:r w:rsidR="00805D6F">
        <w:rPr>
          <w:sz w:val="22"/>
          <w:szCs w:val="22"/>
          <w:lang w:val="en-GB"/>
        </w:rPr>
        <w:t>used</w:t>
      </w:r>
      <w:r w:rsidR="00732658">
        <w:rPr>
          <w:sz w:val="22"/>
          <w:szCs w:val="22"/>
          <w:lang w:val="en-GB"/>
        </w:rPr>
        <w:t xml:space="preserve"> for the three other countries</w:t>
      </w:r>
      <w:r w:rsidR="00A435F3">
        <w:rPr>
          <w:sz w:val="22"/>
          <w:szCs w:val="22"/>
          <w:lang w:val="en-GB"/>
        </w:rPr>
        <w:t xml:space="preserve"> </w:t>
      </w:r>
      <w:r w:rsidR="00375307">
        <w:rPr>
          <w:sz w:val="22"/>
          <w:szCs w:val="22"/>
          <w:lang w:val="en-GB"/>
        </w:rPr>
        <w:t xml:space="preserve">are all register-based and </w:t>
      </w:r>
      <w:r w:rsidR="00732658">
        <w:rPr>
          <w:sz w:val="22"/>
          <w:szCs w:val="22"/>
          <w:lang w:val="en-GB"/>
        </w:rPr>
        <w:t xml:space="preserve">refer to annual periods at the end of the first decade of the twenty-first century.  The data for Germany are flows between 412 </w:t>
      </w:r>
      <w:proofErr w:type="spellStart"/>
      <w:r w:rsidR="00732658">
        <w:rPr>
          <w:sz w:val="22"/>
          <w:szCs w:val="22"/>
          <w:lang w:val="en-GB"/>
        </w:rPr>
        <w:t>kreise</w:t>
      </w:r>
      <w:proofErr w:type="spellEnd"/>
      <w:r w:rsidR="00732658">
        <w:rPr>
          <w:sz w:val="22"/>
          <w:szCs w:val="22"/>
          <w:lang w:val="en-GB"/>
        </w:rPr>
        <w:t xml:space="preserve"> in 200</w:t>
      </w:r>
      <w:r w:rsidR="00232270">
        <w:rPr>
          <w:sz w:val="22"/>
          <w:szCs w:val="22"/>
          <w:lang w:val="en-GB"/>
        </w:rPr>
        <w:t>9</w:t>
      </w:r>
      <w:r w:rsidR="00732658">
        <w:rPr>
          <w:sz w:val="22"/>
          <w:szCs w:val="22"/>
          <w:lang w:val="en-GB"/>
        </w:rPr>
        <w:t xml:space="preserve">; the Swedish data are flows between 290 </w:t>
      </w:r>
      <w:proofErr w:type="spellStart"/>
      <w:r w:rsidR="00732658">
        <w:rPr>
          <w:sz w:val="22"/>
          <w:szCs w:val="22"/>
          <w:lang w:val="en-GB"/>
        </w:rPr>
        <w:t>kommun</w:t>
      </w:r>
      <w:proofErr w:type="spellEnd"/>
      <w:r w:rsidR="00732658">
        <w:rPr>
          <w:sz w:val="22"/>
          <w:szCs w:val="22"/>
          <w:lang w:val="en-GB"/>
        </w:rPr>
        <w:t xml:space="preserve"> during 20</w:t>
      </w:r>
      <w:r w:rsidR="00232270">
        <w:rPr>
          <w:sz w:val="22"/>
          <w:szCs w:val="22"/>
          <w:lang w:val="en-GB"/>
        </w:rPr>
        <w:t>08</w:t>
      </w:r>
      <w:r w:rsidR="00732658">
        <w:rPr>
          <w:sz w:val="22"/>
          <w:szCs w:val="22"/>
          <w:lang w:val="en-GB"/>
        </w:rPr>
        <w:t xml:space="preserve"> and the data for Finland are flows between 336 </w:t>
      </w:r>
      <w:proofErr w:type="spellStart"/>
      <w:r w:rsidR="00732658">
        <w:rPr>
          <w:sz w:val="22"/>
          <w:szCs w:val="22"/>
          <w:lang w:val="en-GB"/>
        </w:rPr>
        <w:t>kunta</w:t>
      </w:r>
      <w:proofErr w:type="spellEnd"/>
      <w:r w:rsidR="00732658">
        <w:rPr>
          <w:sz w:val="22"/>
          <w:szCs w:val="22"/>
          <w:lang w:val="en-GB"/>
        </w:rPr>
        <w:t xml:space="preserve"> in 2011</w:t>
      </w:r>
      <w:r w:rsidR="00232270">
        <w:rPr>
          <w:sz w:val="22"/>
          <w:szCs w:val="22"/>
          <w:lang w:val="en-GB"/>
        </w:rPr>
        <w:t xml:space="preserve">.  </w:t>
      </w:r>
    </w:p>
    <w:p w:rsidR="00104C03" w:rsidRDefault="00104C03" w:rsidP="00DA19D2">
      <w:pPr>
        <w:pStyle w:val="ListParagraph"/>
        <w:tabs>
          <w:tab w:val="left" w:pos="7938"/>
        </w:tabs>
        <w:spacing w:after="120" w:line="360" w:lineRule="auto"/>
        <w:ind w:left="-1134"/>
        <w:rPr>
          <w:rFonts w:ascii="Times New Roman" w:hAnsi="Times New Roman" w:cs="Times New Roman"/>
          <w:b/>
          <w:sz w:val="24"/>
          <w:szCs w:val="24"/>
        </w:rPr>
      </w:pPr>
    </w:p>
    <w:p w:rsidR="00FC03E6" w:rsidRPr="00CC00FF" w:rsidRDefault="00CC00FF" w:rsidP="00DA19D2">
      <w:pPr>
        <w:pStyle w:val="ListParagraph"/>
        <w:tabs>
          <w:tab w:val="left" w:pos="7938"/>
        </w:tabs>
        <w:spacing w:after="120" w:line="360" w:lineRule="auto"/>
        <w:ind w:left="-1134"/>
        <w:rPr>
          <w:rFonts w:ascii="Times New Roman" w:hAnsi="Times New Roman" w:cs="Times New Roman"/>
          <w:b/>
          <w:sz w:val="24"/>
          <w:szCs w:val="24"/>
        </w:rPr>
      </w:pPr>
      <w:r>
        <w:rPr>
          <w:rFonts w:ascii="Times New Roman" w:hAnsi="Times New Roman" w:cs="Times New Roman"/>
          <w:b/>
          <w:sz w:val="24"/>
          <w:szCs w:val="24"/>
        </w:rPr>
        <w:t>IMAGE studio: s</w:t>
      </w:r>
      <w:r w:rsidR="00FC03E6" w:rsidRPr="00CC00FF">
        <w:rPr>
          <w:rFonts w:ascii="Times New Roman" w:hAnsi="Times New Roman" w:cs="Times New Roman"/>
          <w:b/>
          <w:sz w:val="24"/>
          <w:szCs w:val="24"/>
        </w:rPr>
        <w:t>ystem framework</w:t>
      </w:r>
    </w:p>
    <w:p w:rsidR="00B64F71" w:rsidRDefault="00FC03E6" w:rsidP="00DA19D2">
      <w:pPr>
        <w:tabs>
          <w:tab w:val="left" w:pos="7938"/>
        </w:tabs>
        <w:spacing w:after="120" w:line="360" w:lineRule="auto"/>
        <w:ind w:left="-1134"/>
        <w:jc w:val="both"/>
        <w:rPr>
          <w:sz w:val="22"/>
          <w:szCs w:val="22"/>
          <w:lang w:val="en-GB"/>
        </w:rPr>
      </w:pPr>
      <w:r w:rsidRPr="00DA04F8">
        <w:rPr>
          <w:sz w:val="22"/>
          <w:szCs w:val="22"/>
          <w:lang w:val="en-GB"/>
        </w:rPr>
        <w:t xml:space="preserve">Whilst gathering internal migration datasets for each country </w:t>
      </w:r>
      <w:r w:rsidR="00232270">
        <w:rPr>
          <w:sz w:val="22"/>
          <w:szCs w:val="22"/>
          <w:lang w:val="en-GB"/>
        </w:rPr>
        <w:t>across</w:t>
      </w:r>
      <w:r w:rsidRPr="00DA04F8">
        <w:rPr>
          <w:sz w:val="22"/>
          <w:szCs w:val="22"/>
          <w:lang w:val="en-GB"/>
        </w:rPr>
        <w:t xml:space="preserve"> over the world </w:t>
      </w:r>
      <w:r w:rsidR="0051793A">
        <w:rPr>
          <w:sz w:val="22"/>
          <w:szCs w:val="22"/>
          <w:lang w:val="en-GB"/>
        </w:rPr>
        <w:t>has been a</w:t>
      </w:r>
      <w:r w:rsidR="007D530F">
        <w:rPr>
          <w:sz w:val="22"/>
          <w:szCs w:val="22"/>
          <w:lang w:val="en-GB"/>
        </w:rPr>
        <w:t xml:space="preserve"> difficult </w:t>
      </w:r>
      <w:proofErr w:type="spellStart"/>
      <w:r w:rsidR="007D530F">
        <w:rPr>
          <w:sz w:val="22"/>
          <w:szCs w:val="22"/>
          <w:lang w:val="en-GB"/>
        </w:rPr>
        <w:t>andtime</w:t>
      </w:r>
      <w:proofErr w:type="spellEnd"/>
      <w:r w:rsidR="007D530F">
        <w:rPr>
          <w:sz w:val="22"/>
          <w:szCs w:val="22"/>
          <w:lang w:val="en-GB"/>
        </w:rPr>
        <w:t>-consuming</w:t>
      </w:r>
      <w:r w:rsidRPr="00DA04F8">
        <w:rPr>
          <w:sz w:val="22"/>
          <w:szCs w:val="22"/>
          <w:lang w:val="en-GB"/>
        </w:rPr>
        <w:t xml:space="preserve"> process</w:t>
      </w:r>
      <w:r w:rsidR="007D530F">
        <w:rPr>
          <w:sz w:val="22"/>
          <w:szCs w:val="22"/>
          <w:lang w:val="en-GB"/>
        </w:rPr>
        <w:t xml:space="preserve"> in itself</w:t>
      </w:r>
      <w:r w:rsidRPr="00DA04F8">
        <w:rPr>
          <w:sz w:val="22"/>
          <w:szCs w:val="22"/>
          <w:lang w:val="en-GB"/>
        </w:rPr>
        <w:t xml:space="preserve">, it is essential to identify and select a methodological approach for analysing the datasets that have been collected in the IMAGE repository. To achieve a robust and flexible environment, the implementation of a unified framework is </w:t>
      </w:r>
      <w:r w:rsidR="007D530F">
        <w:rPr>
          <w:sz w:val="22"/>
          <w:szCs w:val="22"/>
          <w:lang w:val="en-GB"/>
        </w:rPr>
        <w:t>considered essential</w:t>
      </w:r>
      <w:r w:rsidRPr="00DA04F8">
        <w:rPr>
          <w:sz w:val="22"/>
          <w:szCs w:val="22"/>
          <w:lang w:val="en-GB"/>
        </w:rPr>
        <w:t xml:space="preserve">. Thus, the IMAGE studio has been designed to be </w:t>
      </w:r>
      <w:r w:rsidR="007D530F">
        <w:rPr>
          <w:sz w:val="22"/>
          <w:szCs w:val="22"/>
          <w:lang w:val="en-GB"/>
        </w:rPr>
        <w:t xml:space="preserve">used with data </w:t>
      </w:r>
      <w:r w:rsidRPr="00DA04F8">
        <w:rPr>
          <w:sz w:val="22"/>
          <w:szCs w:val="22"/>
          <w:lang w:val="en-GB"/>
        </w:rPr>
        <w:t>for each country</w:t>
      </w:r>
      <w:r w:rsidR="007D530F">
        <w:rPr>
          <w:sz w:val="22"/>
          <w:szCs w:val="22"/>
          <w:lang w:val="en-GB"/>
        </w:rPr>
        <w:t>,</w:t>
      </w:r>
      <w:r w:rsidRPr="00DA04F8">
        <w:rPr>
          <w:sz w:val="22"/>
          <w:szCs w:val="22"/>
          <w:lang w:val="en-GB"/>
        </w:rPr>
        <w:t xml:space="preserve"> targeting special data characteristics and providing required tasks of data analysis and normalisation. </w:t>
      </w:r>
      <w:r w:rsidR="00B8483D">
        <w:rPr>
          <w:sz w:val="22"/>
          <w:szCs w:val="22"/>
          <w:lang w:val="en-GB"/>
        </w:rPr>
        <w:t>The process of normalisation</w:t>
      </w:r>
      <w:r w:rsidR="009F6B29">
        <w:rPr>
          <w:sz w:val="22"/>
          <w:szCs w:val="22"/>
          <w:lang w:val="en-GB"/>
        </w:rPr>
        <w:t xml:space="preserve"> introduced here</w:t>
      </w:r>
      <w:r w:rsidR="00B8483D">
        <w:rPr>
          <w:sz w:val="22"/>
          <w:szCs w:val="22"/>
          <w:lang w:val="en-GB"/>
        </w:rPr>
        <w:t xml:space="preserve"> is not related to the statistical normalisation of data values but to efficiently organising data by eliminating redundan</w:t>
      </w:r>
      <w:r w:rsidR="00B64F71">
        <w:rPr>
          <w:sz w:val="22"/>
          <w:szCs w:val="22"/>
          <w:lang w:val="en-GB"/>
        </w:rPr>
        <w:t>cy</w:t>
      </w:r>
      <w:r w:rsidR="00B8483D">
        <w:rPr>
          <w:sz w:val="22"/>
          <w:szCs w:val="22"/>
          <w:lang w:val="en-GB"/>
        </w:rPr>
        <w:t xml:space="preserve"> and ensuring data dependencies. Both goals reduce the amount of space the data consume and ensure that data </w:t>
      </w:r>
      <w:r w:rsidR="00B64F71">
        <w:rPr>
          <w:sz w:val="22"/>
          <w:szCs w:val="22"/>
          <w:lang w:val="en-GB"/>
        </w:rPr>
        <w:t>are</w:t>
      </w:r>
      <w:r w:rsidR="00B8483D">
        <w:rPr>
          <w:sz w:val="22"/>
          <w:szCs w:val="22"/>
          <w:lang w:val="en-GB"/>
        </w:rPr>
        <w:t xml:space="preserve"> stored</w:t>
      </w:r>
      <w:r w:rsidR="00A435F3">
        <w:rPr>
          <w:sz w:val="22"/>
          <w:szCs w:val="22"/>
          <w:lang w:val="en-GB"/>
        </w:rPr>
        <w:t xml:space="preserve"> </w:t>
      </w:r>
      <w:r w:rsidR="00B64F71">
        <w:rPr>
          <w:sz w:val="22"/>
          <w:szCs w:val="22"/>
          <w:lang w:val="en-GB"/>
        </w:rPr>
        <w:t>logically</w:t>
      </w:r>
      <w:r w:rsidR="00B8483D">
        <w:rPr>
          <w:sz w:val="22"/>
          <w:szCs w:val="22"/>
          <w:lang w:val="en-GB"/>
        </w:rPr>
        <w:t xml:space="preserve">. </w:t>
      </w:r>
    </w:p>
    <w:p w:rsidR="00987507" w:rsidRDefault="00FC03E6" w:rsidP="00DA19D2">
      <w:pPr>
        <w:tabs>
          <w:tab w:val="left" w:pos="7938"/>
        </w:tabs>
        <w:spacing w:after="120" w:line="360" w:lineRule="auto"/>
        <w:ind w:left="-1134"/>
        <w:jc w:val="both"/>
        <w:rPr>
          <w:sz w:val="22"/>
          <w:szCs w:val="22"/>
          <w:lang w:val="en-GB"/>
        </w:rPr>
      </w:pPr>
      <w:r w:rsidRPr="00DA04F8">
        <w:rPr>
          <w:sz w:val="22"/>
          <w:szCs w:val="22"/>
          <w:lang w:val="en-GB"/>
        </w:rPr>
        <w:t xml:space="preserve">The IMAGE </w:t>
      </w:r>
      <w:r w:rsidR="002959C4">
        <w:rPr>
          <w:sz w:val="22"/>
          <w:szCs w:val="22"/>
          <w:lang w:val="en-GB"/>
        </w:rPr>
        <w:t>studio</w:t>
      </w:r>
      <w:r w:rsidR="00A435F3">
        <w:rPr>
          <w:sz w:val="22"/>
          <w:szCs w:val="22"/>
          <w:lang w:val="en-GB"/>
        </w:rPr>
        <w:t xml:space="preserve"> </w:t>
      </w:r>
      <w:r w:rsidRPr="002959C4">
        <w:rPr>
          <w:sz w:val="22"/>
          <w:szCs w:val="22"/>
          <w:lang w:val="en-GB"/>
        </w:rPr>
        <w:t xml:space="preserve">is organized as a set of </w:t>
      </w:r>
      <w:r w:rsidR="004A3AC0">
        <w:rPr>
          <w:sz w:val="22"/>
          <w:szCs w:val="22"/>
          <w:lang w:val="en-GB"/>
        </w:rPr>
        <w:t xml:space="preserve">linked </w:t>
      </w:r>
      <w:proofErr w:type="gramStart"/>
      <w:r w:rsidR="00232270">
        <w:rPr>
          <w:sz w:val="22"/>
          <w:szCs w:val="22"/>
          <w:lang w:val="en-GB"/>
        </w:rPr>
        <w:t>sub</w:t>
      </w:r>
      <w:r w:rsidRPr="002959C4">
        <w:rPr>
          <w:sz w:val="22"/>
          <w:szCs w:val="22"/>
          <w:lang w:val="en-GB"/>
        </w:rPr>
        <w:t>systems</w:t>
      </w:r>
      <w:r w:rsidR="00247123" w:rsidRPr="002959C4">
        <w:rPr>
          <w:sz w:val="22"/>
          <w:szCs w:val="22"/>
          <w:lang w:val="en-GB"/>
        </w:rPr>
        <w:t>(</w:t>
      </w:r>
      <w:proofErr w:type="gramEnd"/>
      <w:r w:rsidR="00247123" w:rsidRPr="002959C4">
        <w:rPr>
          <w:sz w:val="22"/>
          <w:szCs w:val="22"/>
          <w:lang w:val="en-GB"/>
        </w:rPr>
        <w:t>Figure 1)</w:t>
      </w:r>
      <w:r w:rsidRPr="002959C4">
        <w:rPr>
          <w:sz w:val="22"/>
          <w:szCs w:val="22"/>
          <w:lang w:val="en-GB"/>
        </w:rPr>
        <w:t>: (</w:t>
      </w:r>
      <w:proofErr w:type="spellStart"/>
      <w:r w:rsidRPr="002959C4">
        <w:rPr>
          <w:sz w:val="22"/>
          <w:szCs w:val="22"/>
          <w:lang w:val="en-GB"/>
        </w:rPr>
        <w:t>i</w:t>
      </w:r>
      <w:proofErr w:type="spellEnd"/>
      <w:r w:rsidRPr="002959C4">
        <w:rPr>
          <w:sz w:val="22"/>
          <w:szCs w:val="22"/>
          <w:lang w:val="en-GB"/>
        </w:rPr>
        <w:t xml:space="preserve">) the data preparation </w:t>
      </w:r>
      <w:r w:rsidR="00232270">
        <w:rPr>
          <w:sz w:val="22"/>
          <w:szCs w:val="22"/>
          <w:lang w:val="en-GB"/>
        </w:rPr>
        <w:t>sub</w:t>
      </w:r>
      <w:r w:rsidRPr="002959C4">
        <w:rPr>
          <w:sz w:val="22"/>
          <w:szCs w:val="22"/>
          <w:lang w:val="en-GB"/>
        </w:rPr>
        <w:t>system, (ii) the spatial aggregation</w:t>
      </w:r>
      <w:r w:rsidR="00EC61F3">
        <w:rPr>
          <w:sz w:val="22"/>
          <w:szCs w:val="22"/>
          <w:lang w:val="en-GB"/>
        </w:rPr>
        <w:t xml:space="preserve"> </w:t>
      </w:r>
      <w:r w:rsidR="00232270">
        <w:rPr>
          <w:sz w:val="22"/>
          <w:szCs w:val="22"/>
          <w:lang w:val="en-GB"/>
        </w:rPr>
        <w:t>sub</w:t>
      </w:r>
      <w:r w:rsidR="007D530F">
        <w:rPr>
          <w:sz w:val="22"/>
          <w:szCs w:val="22"/>
          <w:lang w:val="en-GB"/>
        </w:rPr>
        <w:t>system</w:t>
      </w:r>
      <w:r w:rsidR="006C1828">
        <w:rPr>
          <w:sz w:val="22"/>
          <w:szCs w:val="22"/>
          <w:lang w:val="en-GB"/>
        </w:rPr>
        <w:t xml:space="preserve">, (iii) the </w:t>
      </w:r>
      <w:r w:rsidR="00F80767">
        <w:rPr>
          <w:sz w:val="22"/>
          <w:szCs w:val="22"/>
          <w:lang w:val="en-GB"/>
        </w:rPr>
        <w:t xml:space="preserve">internal </w:t>
      </w:r>
      <w:r w:rsidR="006C1828">
        <w:rPr>
          <w:sz w:val="22"/>
          <w:szCs w:val="22"/>
          <w:lang w:val="en-GB"/>
        </w:rPr>
        <w:t xml:space="preserve">migration indicators </w:t>
      </w:r>
      <w:r w:rsidR="00232270">
        <w:rPr>
          <w:sz w:val="22"/>
          <w:szCs w:val="22"/>
          <w:lang w:val="en-GB"/>
        </w:rPr>
        <w:t>sub</w:t>
      </w:r>
      <w:r w:rsidRPr="002959C4">
        <w:rPr>
          <w:sz w:val="22"/>
          <w:szCs w:val="22"/>
          <w:lang w:val="en-GB"/>
        </w:rPr>
        <w:t>system</w:t>
      </w:r>
      <w:r w:rsidR="006C1828">
        <w:rPr>
          <w:sz w:val="22"/>
          <w:szCs w:val="22"/>
          <w:lang w:val="en-GB"/>
        </w:rPr>
        <w:t>,</w:t>
      </w:r>
      <w:r w:rsidRPr="002959C4">
        <w:rPr>
          <w:sz w:val="22"/>
          <w:szCs w:val="22"/>
          <w:lang w:val="en-GB"/>
        </w:rPr>
        <w:t xml:space="preserve"> and (i</w:t>
      </w:r>
      <w:r w:rsidR="006C1828">
        <w:rPr>
          <w:sz w:val="22"/>
          <w:szCs w:val="22"/>
          <w:lang w:val="en-GB"/>
        </w:rPr>
        <w:t xml:space="preserve">v) </w:t>
      </w:r>
      <w:r w:rsidRPr="002959C4">
        <w:rPr>
          <w:sz w:val="22"/>
          <w:szCs w:val="22"/>
          <w:lang w:val="en-GB"/>
        </w:rPr>
        <w:t xml:space="preserve">the spatial interaction modelling </w:t>
      </w:r>
      <w:r w:rsidR="00232270">
        <w:rPr>
          <w:sz w:val="22"/>
          <w:szCs w:val="22"/>
          <w:lang w:val="en-GB"/>
        </w:rPr>
        <w:t>sub</w:t>
      </w:r>
      <w:r w:rsidRPr="002959C4">
        <w:rPr>
          <w:sz w:val="22"/>
          <w:szCs w:val="22"/>
          <w:lang w:val="en-GB"/>
        </w:rPr>
        <w:t xml:space="preserve">system. Each </w:t>
      </w:r>
      <w:r w:rsidR="00232270">
        <w:rPr>
          <w:sz w:val="22"/>
          <w:szCs w:val="22"/>
          <w:lang w:val="en-GB"/>
        </w:rPr>
        <w:t>sub</w:t>
      </w:r>
      <w:r w:rsidRPr="002959C4">
        <w:rPr>
          <w:sz w:val="22"/>
          <w:szCs w:val="22"/>
          <w:lang w:val="en-GB"/>
        </w:rPr>
        <w:t>system is autonomous, supporting standardised input and output data in addition to the required tasks.</w:t>
      </w:r>
    </w:p>
    <w:p w:rsidR="002E1F3B" w:rsidRDefault="002E1F3B" w:rsidP="00DA19D2">
      <w:pPr>
        <w:tabs>
          <w:tab w:val="left" w:pos="7938"/>
        </w:tabs>
        <w:spacing w:after="120" w:line="360" w:lineRule="auto"/>
        <w:ind w:left="-1134"/>
        <w:jc w:val="center"/>
        <w:rPr>
          <w:b/>
          <w:sz w:val="20"/>
          <w:szCs w:val="20"/>
          <w:lang w:val="en-GB"/>
        </w:rPr>
      </w:pPr>
    </w:p>
    <w:p w:rsidR="00987507" w:rsidRPr="00345474" w:rsidRDefault="00987507" w:rsidP="00DA19D2">
      <w:pPr>
        <w:tabs>
          <w:tab w:val="left" w:pos="7938"/>
        </w:tabs>
        <w:spacing w:after="120" w:line="360" w:lineRule="auto"/>
        <w:ind w:left="-1134"/>
        <w:jc w:val="center"/>
        <w:rPr>
          <w:sz w:val="20"/>
          <w:szCs w:val="20"/>
          <w:lang w:val="en-GB"/>
        </w:rPr>
      </w:pPr>
      <w:r w:rsidRPr="00345474">
        <w:rPr>
          <w:b/>
          <w:sz w:val="20"/>
          <w:szCs w:val="20"/>
          <w:lang w:val="en-GB"/>
        </w:rPr>
        <w:t>Fig.1</w:t>
      </w:r>
      <w:r w:rsidRPr="00345474">
        <w:rPr>
          <w:sz w:val="20"/>
          <w:szCs w:val="20"/>
          <w:lang w:val="en-GB"/>
        </w:rPr>
        <w:t xml:space="preserve"> System diagram of the IMAGE studio</w:t>
      </w:r>
    </w:p>
    <w:p w:rsidR="002E1F3B" w:rsidRDefault="002E1F3B" w:rsidP="0053777D">
      <w:pPr>
        <w:pStyle w:val="ListParagraph"/>
        <w:tabs>
          <w:tab w:val="left" w:pos="7938"/>
        </w:tabs>
        <w:spacing w:after="120" w:line="360" w:lineRule="auto"/>
        <w:ind w:left="-1134"/>
        <w:jc w:val="both"/>
        <w:rPr>
          <w:rFonts w:ascii="Times New Roman" w:hAnsi="Times New Roman" w:cs="Times New Roman"/>
        </w:rPr>
      </w:pPr>
    </w:p>
    <w:p w:rsidR="00945BB0" w:rsidRDefault="00247123" w:rsidP="0053777D">
      <w:pPr>
        <w:pStyle w:val="ListParagraph"/>
        <w:tabs>
          <w:tab w:val="left" w:pos="7938"/>
        </w:tabs>
        <w:spacing w:after="120" w:line="360" w:lineRule="auto"/>
        <w:ind w:left="-1134"/>
        <w:jc w:val="both"/>
        <w:rPr>
          <w:rFonts w:ascii="Times New Roman" w:hAnsi="Times New Roman" w:cs="Times New Roman"/>
        </w:rPr>
      </w:pPr>
      <w:r w:rsidRPr="002959C4">
        <w:rPr>
          <w:rFonts w:ascii="Times New Roman" w:hAnsi="Times New Roman" w:cs="Times New Roman"/>
        </w:rPr>
        <w:t>The IMAGE studio is currently designed to pr</w:t>
      </w:r>
      <w:r w:rsidR="004A3AC0">
        <w:rPr>
          <w:rFonts w:ascii="Times New Roman" w:hAnsi="Times New Roman" w:cs="Times New Roman"/>
        </w:rPr>
        <w:t>epare</w:t>
      </w:r>
      <w:r w:rsidR="008F50DE">
        <w:rPr>
          <w:rFonts w:ascii="Times New Roman" w:hAnsi="Times New Roman" w:cs="Times New Roman"/>
        </w:rPr>
        <w:t>, aggregate</w:t>
      </w:r>
      <w:r w:rsidRPr="002959C4">
        <w:rPr>
          <w:rFonts w:ascii="Times New Roman" w:hAnsi="Times New Roman" w:cs="Times New Roman"/>
        </w:rPr>
        <w:t xml:space="preserve"> and analyse data relating to one country at a time. The initial </w:t>
      </w:r>
      <w:r w:rsidR="00232270">
        <w:rPr>
          <w:rFonts w:ascii="Times New Roman" w:hAnsi="Times New Roman" w:cs="Times New Roman"/>
        </w:rPr>
        <w:t>sub</w:t>
      </w:r>
      <w:r w:rsidRPr="002959C4">
        <w:rPr>
          <w:rFonts w:ascii="Times New Roman" w:hAnsi="Times New Roman" w:cs="Times New Roman"/>
        </w:rPr>
        <w:t>system is responsible for data preparation. It is necessary that the raw data for the country selected, such as the migration matrices</w:t>
      </w:r>
      <w:r w:rsidR="00CC00FF">
        <w:rPr>
          <w:rFonts w:ascii="Times New Roman" w:hAnsi="Times New Roman" w:cs="Times New Roman"/>
        </w:rPr>
        <w:t xml:space="preserve">, </w:t>
      </w:r>
      <w:r w:rsidRPr="002959C4">
        <w:rPr>
          <w:rFonts w:ascii="Times New Roman" w:hAnsi="Times New Roman" w:cs="Times New Roman"/>
        </w:rPr>
        <w:t xml:space="preserve">the populations </w:t>
      </w:r>
      <w:r w:rsidR="00CC00FF">
        <w:rPr>
          <w:rFonts w:ascii="Times New Roman" w:hAnsi="Times New Roman" w:cs="Times New Roman"/>
        </w:rPr>
        <w:t xml:space="preserve">and </w:t>
      </w:r>
      <w:r w:rsidR="00CC00FF" w:rsidRPr="002959C4">
        <w:rPr>
          <w:rFonts w:ascii="Times New Roman" w:hAnsi="Times New Roman" w:cs="Times New Roman"/>
        </w:rPr>
        <w:t xml:space="preserve">the BSU boundaries, </w:t>
      </w:r>
      <w:r w:rsidRPr="002959C4">
        <w:rPr>
          <w:rFonts w:ascii="Times New Roman" w:hAnsi="Times New Roman" w:cs="Times New Roman"/>
        </w:rPr>
        <w:lastRenderedPageBreak/>
        <w:t xml:space="preserve">are transformed into normalized data sets for feeding the other </w:t>
      </w:r>
      <w:r w:rsidR="00232270">
        <w:rPr>
          <w:rFonts w:ascii="Times New Roman" w:hAnsi="Times New Roman" w:cs="Times New Roman"/>
        </w:rPr>
        <w:t>sub</w:t>
      </w:r>
      <w:r w:rsidRPr="002959C4">
        <w:rPr>
          <w:rFonts w:ascii="Times New Roman" w:hAnsi="Times New Roman" w:cs="Times New Roman"/>
        </w:rPr>
        <w:t>systems. The raw data in</w:t>
      </w:r>
      <w:r w:rsidR="009E2156">
        <w:rPr>
          <w:rFonts w:ascii="Times New Roman" w:hAnsi="Times New Roman" w:cs="Times New Roman"/>
        </w:rPr>
        <w:t>put to</w:t>
      </w:r>
      <w:r w:rsidRPr="002959C4">
        <w:rPr>
          <w:rFonts w:ascii="Times New Roman" w:hAnsi="Times New Roman" w:cs="Times New Roman"/>
        </w:rPr>
        <w:t xml:space="preserve"> the IMAGE </w:t>
      </w:r>
      <w:r w:rsidR="002959C4" w:rsidRPr="002959C4">
        <w:rPr>
          <w:rFonts w:ascii="Times New Roman" w:hAnsi="Times New Roman" w:cs="Times New Roman"/>
        </w:rPr>
        <w:t>studio</w:t>
      </w:r>
      <w:r w:rsidRPr="00105B0D">
        <w:rPr>
          <w:rFonts w:ascii="Times New Roman" w:hAnsi="Times New Roman" w:cs="Times New Roman"/>
        </w:rPr>
        <w:t xml:space="preserve"> include geographic and tabular data. The geographic </w:t>
      </w:r>
      <w:r>
        <w:rPr>
          <w:rFonts w:ascii="Times New Roman" w:hAnsi="Times New Roman" w:cs="Times New Roman"/>
        </w:rPr>
        <w:t xml:space="preserve">boundary </w:t>
      </w:r>
      <w:r w:rsidRPr="00105B0D">
        <w:rPr>
          <w:rFonts w:ascii="Times New Roman" w:hAnsi="Times New Roman" w:cs="Times New Roman"/>
        </w:rPr>
        <w:t xml:space="preserve">data are usually </w:t>
      </w:r>
      <w:r w:rsidR="00232270">
        <w:rPr>
          <w:rFonts w:ascii="Times New Roman" w:hAnsi="Times New Roman" w:cs="Times New Roman"/>
        </w:rPr>
        <w:t xml:space="preserve">available </w:t>
      </w:r>
      <w:r w:rsidRPr="00105B0D">
        <w:rPr>
          <w:rFonts w:ascii="Times New Roman" w:hAnsi="Times New Roman" w:cs="Times New Roman"/>
        </w:rPr>
        <w:t xml:space="preserve">either in the WGS84 projection system (geodetic projection) or in a national projection system (planar projection) of the country concerned whilst the tabular migration data are comma delimited origin-destination </w:t>
      </w:r>
      <w:r w:rsidR="00232270">
        <w:rPr>
          <w:rFonts w:ascii="Times New Roman" w:hAnsi="Times New Roman" w:cs="Times New Roman"/>
        </w:rPr>
        <w:t xml:space="preserve">migration </w:t>
      </w:r>
      <w:r w:rsidRPr="00105B0D">
        <w:rPr>
          <w:rFonts w:ascii="Times New Roman" w:hAnsi="Times New Roman" w:cs="Times New Roman"/>
        </w:rPr>
        <w:t>matrices or pair</w:t>
      </w:r>
      <w:r w:rsidR="00232270">
        <w:rPr>
          <w:rFonts w:ascii="Times New Roman" w:hAnsi="Times New Roman" w:cs="Times New Roman"/>
        </w:rPr>
        <w:t xml:space="preserve">wise </w:t>
      </w:r>
      <w:r w:rsidRPr="00105B0D">
        <w:rPr>
          <w:rFonts w:ascii="Times New Roman" w:hAnsi="Times New Roman" w:cs="Times New Roman"/>
        </w:rPr>
        <w:t>migration flows</w:t>
      </w:r>
      <w:r w:rsidR="009E2156">
        <w:rPr>
          <w:rFonts w:ascii="Times New Roman" w:hAnsi="Times New Roman" w:cs="Times New Roman"/>
        </w:rPr>
        <w:t xml:space="preserve"> and vectors of populations</w:t>
      </w:r>
      <w:r w:rsidRPr="00105B0D">
        <w:rPr>
          <w:rFonts w:ascii="Times New Roman" w:hAnsi="Times New Roman" w:cs="Times New Roman"/>
        </w:rPr>
        <w:t xml:space="preserve">. The </w:t>
      </w:r>
      <w:r w:rsidR="008B6940">
        <w:rPr>
          <w:rFonts w:ascii="Times New Roman" w:hAnsi="Times New Roman" w:cs="Times New Roman"/>
        </w:rPr>
        <w:t xml:space="preserve">normalisation </w:t>
      </w:r>
      <w:r w:rsidRPr="00105B0D">
        <w:rPr>
          <w:rFonts w:ascii="Times New Roman" w:hAnsi="Times New Roman" w:cs="Times New Roman"/>
        </w:rPr>
        <w:t xml:space="preserve">of these data sets is achieved by the </w:t>
      </w:r>
      <w:r w:rsidR="002959C4">
        <w:rPr>
          <w:rFonts w:ascii="Times New Roman" w:hAnsi="Times New Roman" w:cs="Times New Roman"/>
        </w:rPr>
        <w:t>system</w:t>
      </w:r>
      <w:r w:rsidRPr="002959C4">
        <w:rPr>
          <w:rFonts w:ascii="Times New Roman" w:hAnsi="Times New Roman" w:cs="Times New Roman"/>
        </w:rPr>
        <w:t xml:space="preserve"> that provides the environment to load, convert and export the data. </w:t>
      </w:r>
    </w:p>
    <w:p w:rsidR="0053777D" w:rsidRDefault="0053777D" w:rsidP="00DA19D2">
      <w:pPr>
        <w:pStyle w:val="ListParagraph"/>
        <w:tabs>
          <w:tab w:val="left" w:pos="7938"/>
        </w:tabs>
        <w:spacing w:after="120" w:line="360" w:lineRule="auto"/>
        <w:ind w:left="-1134"/>
        <w:jc w:val="both"/>
        <w:rPr>
          <w:rFonts w:ascii="Times New Roman" w:hAnsi="Times New Roman" w:cs="Times New Roman"/>
        </w:rPr>
      </w:pPr>
    </w:p>
    <w:p w:rsidR="004C2812" w:rsidRDefault="004C2812" w:rsidP="00DA19D2">
      <w:pPr>
        <w:pStyle w:val="ListParagraph"/>
        <w:tabs>
          <w:tab w:val="left" w:pos="7938"/>
        </w:tabs>
        <w:spacing w:after="120" w:line="360" w:lineRule="auto"/>
        <w:ind w:left="-1134"/>
        <w:jc w:val="both"/>
        <w:rPr>
          <w:rFonts w:ascii="Times New Roman" w:hAnsi="Times New Roman" w:cs="Times New Roman"/>
        </w:rPr>
      </w:pPr>
      <w:r>
        <w:rPr>
          <w:rFonts w:ascii="Times New Roman" w:hAnsi="Times New Roman" w:cs="Times New Roman"/>
        </w:rPr>
        <w:t xml:space="preserve">In order to </w:t>
      </w:r>
      <w:r w:rsidR="00B64F71">
        <w:rPr>
          <w:rFonts w:ascii="Times New Roman" w:hAnsi="Times New Roman" w:cs="Times New Roman"/>
        </w:rPr>
        <w:t>use</w:t>
      </w:r>
      <w:r>
        <w:rPr>
          <w:rFonts w:ascii="Times New Roman" w:hAnsi="Times New Roman" w:cs="Times New Roman"/>
        </w:rPr>
        <w:t xml:space="preserve"> the IMAGE studio </w:t>
      </w:r>
      <w:r w:rsidR="00B64F71">
        <w:rPr>
          <w:rFonts w:ascii="Times New Roman" w:hAnsi="Times New Roman" w:cs="Times New Roman"/>
        </w:rPr>
        <w:t>for spatial</w:t>
      </w:r>
      <w:r>
        <w:rPr>
          <w:rFonts w:ascii="Times New Roman" w:hAnsi="Times New Roman" w:cs="Times New Roman"/>
        </w:rPr>
        <w:t xml:space="preserve"> aggregation</w:t>
      </w:r>
      <w:r w:rsidR="00B64F71">
        <w:rPr>
          <w:rFonts w:ascii="Times New Roman" w:hAnsi="Times New Roman" w:cs="Times New Roman"/>
        </w:rPr>
        <w:t xml:space="preserve">, </w:t>
      </w:r>
      <w:r w:rsidR="009F6B29">
        <w:rPr>
          <w:rFonts w:ascii="Times New Roman" w:hAnsi="Times New Roman" w:cs="Times New Roman"/>
        </w:rPr>
        <w:t xml:space="preserve">the construction of </w:t>
      </w:r>
      <w:r w:rsidR="00945BB0">
        <w:rPr>
          <w:rFonts w:ascii="Times New Roman" w:hAnsi="Times New Roman" w:cs="Times New Roman"/>
        </w:rPr>
        <w:t xml:space="preserve">area </w:t>
      </w:r>
      <w:r w:rsidR="009F6B29">
        <w:rPr>
          <w:rFonts w:ascii="Times New Roman" w:hAnsi="Times New Roman" w:cs="Times New Roman"/>
        </w:rPr>
        <w:t>contiguity data deriving from the BSUs</w:t>
      </w:r>
      <w:r w:rsidR="00585D74">
        <w:rPr>
          <w:rFonts w:ascii="Times New Roman" w:hAnsi="Times New Roman" w:cs="Times New Roman"/>
        </w:rPr>
        <w:t xml:space="preserve"> is </w:t>
      </w:r>
      <w:r w:rsidR="0011618F">
        <w:rPr>
          <w:rFonts w:ascii="Times New Roman" w:hAnsi="Times New Roman" w:cs="Times New Roman"/>
        </w:rPr>
        <w:t xml:space="preserve">required. </w:t>
      </w:r>
      <w:r>
        <w:rPr>
          <w:rFonts w:ascii="Times New Roman" w:hAnsi="Times New Roman" w:cs="Times New Roman"/>
        </w:rPr>
        <w:t xml:space="preserve">The system </w:t>
      </w:r>
      <w:r w:rsidR="004D6A35">
        <w:rPr>
          <w:rFonts w:ascii="Times New Roman" w:hAnsi="Times New Roman" w:cs="Times New Roman"/>
        </w:rPr>
        <w:t xml:space="preserve">uses the boundaries of </w:t>
      </w:r>
      <w:r w:rsidR="00945BB0">
        <w:rPr>
          <w:rFonts w:ascii="Times New Roman" w:hAnsi="Times New Roman" w:cs="Times New Roman"/>
        </w:rPr>
        <w:t xml:space="preserve">the </w:t>
      </w:r>
      <w:r w:rsidR="004D6A35">
        <w:rPr>
          <w:rFonts w:ascii="Times New Roman" w:hAnsi="Times New Roman" w:cs="Times New Roman"/>
        </w:rPr>
        <w:t xml:space="preserve">BSUs to identify adjacencies and creates a graph representation of all BSUs, where a node </w:t>
      </w:r>
      <w:r w:rsidR="00CC4D87">
        <w:rPr>
          <w:rFonts w:ascii="Times New Roman" w:hAnsi="Times New Roman" w:cs="Times New Roman"/>
        </w:rPr>
        <w:t xml:space="preserve">refers to a BSU and an edge </w:t>
      </w:r>
      <w:r w:rsidR="00993D9A">
        <w:rPr>
          <w:rFonts w:ascii="Times New Roman" w:hAnsi="Times New Roman" w:cs="Times New Roman"/>
        </w:rPr>
        <w:t>refers to</w:t>
      </w:r>
      <w:r w:rsidR="00CC4D87">
        <w:rPr>
          <w:rFonts w:ascii="Times New Roman" w:hAnsi="Times New Roman" w:cs="Times New Roman"/>
        </w:rPr>
        <w:t xml:space="preserve"> the existence of adjacency between two BSUs. This process is performed automatically producing a pairwise output file.</w:t>
      </w:r>
      <w:r w:rsidR="00945BB0">
        <w:rPr>
          <w:rFonts w:ascii="Times New Roman" w:hAnsi="Times New Roman" w:cs="Times New Roman"/>
        </w:rPr>
        <w:t xml:space="preserve"> This approach is appropriate when the boundaries of BSUs are contiguous with one another.</w:t>
      </w:r>
      <w:r w:rsidR="00552BA6">
        <w:rPr>
          <w:rFonts w:ascii="Times New Roman" w:hAnsi="Times New Roman" w:cs="Times New Roman"/>
        </w:rPr>
        <w:t xml:space="preserve"> However, there are cases such as islands</w:t>
      </w:r>
      <w:r w:rsidR="00B64F71">
        <w:rPr>
          <w:rFonts w:ascii="Times New Roman" w:hAnsi="Times New Roman" w:cs="Times New Roman"/>
        </w:rPr>
        <w:t>,</w:t>
      </w:r>
      <w:r w:rsidR="00552BA6">
        <w:rPr>
          <w:rFonts w:ascii="Times New Roman" w:hAnsi="Times New Roman" w:cs="Times New Roman"/>
        </w:rPr>
        <w:t xml:space="preserve"> e.g. Isle of Wight in England</w:t>
      </w:r>
      <w:r w:rsidR="00B64F71">
        <w:rPr>
          <w:rFonts w:ascii="Times New Roman" w:hAnsi="Times New Roman" w:cs="Times New Roman"/>
        </w:rPr>
        <w:t>,</w:t>
      </w:r>
      <w:r w:rsidR="00552BA6">
        <w:rPr>
          <w:rFonts w:ascii="Times New Roman" w:hAnsi="Times New Roman" w:cs="Times New Roman"/>
        </w:rPr>
        <w:t xml:space="preserve"> where the adjacency is not available between the BSUs. </w:t>
      </w:r>
      <w:r w:rsidR="009C78EB">
        <w:rPr>
          <w:rFonts w:ascii="Times New Roman" w:hAnsi="Times New Roman" w:cs="Times New Roman"/>
        </w:rPr>
        <w:t>This type of problems needs</w:t>
      </w:r>
      <w:r w:rsidR="00552BA6">
        <w:rPr>
          <w:rFonts w:ascii="Times New Roman" w:hAnsi="Times New Roman" w:cs="Times New Roman"/>
        </w:rPr>
        <w:t xml:space="preserve"> to be tackled</w:t>
      </w:r>
      <w:r w:rsidR="00585D74">
        <w:rPr>
          <w:rFonts w:ascii="Times New Roman" w:hAnsi="Times New Roman" w:cs="Times New Roman"/>
        </w:rPr>
        <w:t xml:space="preserve"> for </w:t>
      </w:r>
      <w:r w:rsidR="009F6B29">
        <w:rPr>
          <w:rFonts w:ascii="Times New Roman" w:hAnsi="Times New Roman" w:cs="Times New Roman"/>
        </w:rPr>
        <w:t xml:space="preserve">a </w:t>
      </w:r>
      <w:r w:rsidR="00585D74">
        <w:rPr>
          <w:rFonts w:ascii="Times New Roman" w:hAnsi="Times New Roman" w:cs="Times New Roman"/>
        </w:rPr>
        <w:t>complete graph representation of BSUs by adding</w:t>
      </w:r>
      <w:r w:rsidR="00A435F3">
        <w:rPr>
          <w:rFonts w:ascii="Times New Roman" w:hAnsi="Times New Roman" w:cs="Times New Roman"/>
        </w:rPr>
        <w:t xml:space="preserve"> </w:t>
      </w:r>
      <w:r w:rsidR="00B64F71">
        <w:rPr>
          <w:rFonts w:ascii="Times New Roman" w:hAnsi="Times New Roman" w:cs="Times New Roman"/>
        </w:rPr>
        <w:t>(</w:t>
      </w:r>
      <w:r w:rsidR="009F6B29">
        <w:rPr>
          <w:rFonts w:ascii="Times New Roman" w:hAnsi="Times New Roman" w:cs="Times New Roman"/>
        </w:rPr>
        <w:t>manually</w:t>
      </w:r>
      <w:r w:rsidR="00B64F71">
        <w:rPr>
          <w:rFonts w:ascii="Times New Roman" w:hAnsi="Times New Roman" w:cs="Times New Roman"/>
        </w:rPr>
        <w:t>)</w:t>
      </w:r>
      <w:r w:rsidR="00A435F3">
        <w:rPr>
          <w:rFonts w:ascii="Times New Roman" w:hAnsi="Times New Roman" w:cs="Times New Roman"/>
        </w:rPr>
        <w:t xml:space="preserve"> </w:t>
      </w:r>
      <w:r w:rsidR="00945BB0">
        <w:rPr>
          <w:rFonts w:ascii="Times New Roman" w:hAnsi="Times New Roman" w:cs="Times New Roman"/>
        </w:rPr>
        <w:t xml:space="preserve">adjacent </w:t>
      </w:r>
      <w:r w:rsidR="009F6B29">
        <w:rPr>
          <w:rFonts w:ascii="Times New Roman" w:hAnsi="Times New Roman" w:cs="Times New Roman"/>
        </w:rPr>
        <w:t xml:space="preserve">pair </w:t>
      </w:r>
      <w:r w:rsidR="00552BA6">
        <w:rPr>
          <w:rFonts w:ascii="Times New Roman" w:hAnsi="Times New Roman" w:cs="Times New Roman"/>
        </w:rPr>
        <w:t xml:space="preserve">entries </w:t>
      </w:r>
      <w:r w:rsidR="00585D74">
        <w:rPr>
          <w:rFonts w:ascii="Times New Roman" w:hAnsi="Times New Roman" w:cs="Times New Roman"/>
        </w:rPr>
        <w:t>in</w:t>
      </w:r>
      <w:r w:rsidR="00552BA6">
        <w:rPr>
          <w:rFonts w:ascii="Times New Roman" w:hAnsi="Times New Roman" w:cs="Times New Roman"/>
        </w:rPr>
        <w:t xml:space="preserve"> the output file.  </w:t>
      </w:r>
      <w:r w:rsidR="00945BB0">
        <w:rPr>
          <w:rFonts w:ascii="Times New Roman" w:hAnsi="Times New Roman" w:cs="Times New Roman"/>
        </w:rPr>
        <w:t xml:space="preserve">We have used ferry routes and nearest neighbours to establish the </w:t>
      </w:r>
      <w:r w:rsidR="007F2E21">
        <w:rPr>
          <w:rFonts w:ascii="Times New Roman" w:hAnsi="Times New Roman" w:cs="Times New Roman"/>
        </w:rPr>
        <w:t>contiguities between mainland and island BSUs.</w:t>
      </w:r>
    </w:p>
    <w:p w:rsidR="00FE7E5A" w:rsidRPr="00FE7E5A" w:rsidRDefault="00FC03E6" w:rsidP="00DA19D2">
      <w:pPr>
        <w:tabs>
          <w:tab w:val="left" w:pos="7938"/>
        </w:tabs>
        <w:spacing w:after="120" w:line="360" w:lineRule="auto"/>
        <w:ind w:left="-1134"/>
        <w:jc w:val="both"/>
        <w:rPr>
          <w:sz w:val="22"/>
          <w:szCs w:val="22"/>
          <w:lang w:val="en-GB"/>
        </w:rPr>
      </w:pPr>
      <w:r w:rsidRPr="002959C4">
        <w:rPr>
          <w:sz w:val="22"/>
          <w:szCs w:val="22"/>
          <w:lang w:val="en-GB"/>
        </w:rPr>
        <w:t xml:space="preserve">The second system shown in Figure 1 constructs the spatial aggregations at different scales and with various compositions of BSUs in a stepwise manner. It </w:t>
      </w:r>
      <w:r w:rsidRPr="00B64F71">
        <w:rPr>
          <w:sz w:val="22"/>
          <w:szCs w:val="22"/>
          <w:lang w:val="en-GB"/>
        </w:rPr>
        <w:t xml:space="preserve">involves the implementation of an aggregation algorithm that is fed with normalised data from the data preparation </w:t>
      </w:r>
      <w:r w:rsidR="007F2E21">
        <w:rPr>
          <w:sz w:val="22"/>
          <w:szCs w:val="22"/>
          <w:lang w:val="en-GB"/>
        </w:rPr>
        <w:t>sub</w:t>
      </w:r>
      <w:r w:rsidRPr="00B64F71">
        <w:rPr>
          <w:sz w:val="22"/>
          <w:szCs w:val="22"/>
          <w:lang w:val="en-GB"/>
        </w:rPr>
        <w:t>system and produces aggregated information such as contiguities, flow matrices and populations for each new</w:t>
      </w:r>
      <w:r w:rsidR="00717D78" w:rsidRPr="00B64F71">
        <w:rPr>
          <w:sz w:val="22"/>
          <w:szCs w:val="22"/>
          <w:lang w:val="en-GB"/>
        </w:rPr>
        <w:t>ly</w:t>
      </w:r>
      <w:r w:rsidRPr="00B64F71">
        <w:rPr>
          <w:sz w:val="22"/>
          <w:szCs w:val="22"/>
          <w:lang w:val="en-GB"/>
        </w:rPr>
        <w:t xml:space="preserve"> created aggregation. </w:t>
      </w:r>
      <w:r w:rsidR="00E07083" w:rsidRPr="00E07083">
        <w:rPr>
          <w:sz w:val="22"/>
          <w:szCs w:val="22"/>
          <w:lang w:val="en-GB"/>
        </w:rPr>
        <w:t xml:space="preserve">The third </w:t>
      </w:r>
      <w:r w:rsidR="007F2E21">
        <w:rPr>
          <w:sz w:val="22"/>
          <w:szCs w:val="22"/>
          <w:lang w:val="en-GB"/>
        </w:rPr>
        <w:t>sub</w:t>
      </w:r>
      <w:r w:rsidR="00E07083" w:rsidRPr="00E07083">
        <w:rPr>
          <w:sz w:val="22"/>
          <w:szCs w:val="22"/>
          <w:lang w:val="en-GB"/>
        </w:rPr>
        <w:t>system computes global (</w:t>
      </w:r>
      <w:proofErr w:type="spellStart"/>
      <w:r w:rsidR="00E07083" w:rsidRPr="00E07083">
        <w:rPr>
          <w:sz w:val="22"/>
          <w:szCs w:val="22"/>
          <w:lang w:val="en-GB"/>
        </w:rPr>
        <w:t>systemwide</w:t>
      </w:r>
      <w:proofErr w:type="spellEnd"/>
      <w:r w:rsidR="00E07083" w:rsidRPr="00E07083">
        <w:rPr>
          <w:sz w:val="22"/>
          <w:szCs w:val="22"/>
          <w:lang w:val="en-GB"/>
        </w:rPr>
        <w:t xml:space="preserve">) and local (area-specific) internal migration indicators for every spatial aggregation and also </w:t>
      </w:r>
      <w:r w:rsidR="007F2E21">
        <w:rPr>
          <w:sz w:val="22"/>
          <w:szCs w:val="22"/>
          <w:lang w:val="en-GB"/>
        </w:rPr>
        <w:t>calculates</w:t>
      </w:r>
      <w:r w:rsidR="00E07083" w:rsidRPr="00E07083">
        <w:rPr>
          <w:sz w:val="22"/>
          <w:szCs w:val="22"/>
          <w:lang w:val="en-GB"/>
        </w:rPr>
        <w:t xml:space="preserve"> the descriptive statistics for each set of migration indicators with different ASR configurations. The indicators include those suggested by Bell </w:t>
      </w:r>
      <w:r w:rsidR="00E07083" w:rsidRPr="00E07083">
        <w:rPr>
          <w:i/>
          <w:sz w:val="22"/>
          <w:szCs w:val="22"/>
          <w:lang w:val="en-GB"/>
        </w:rPr>
        <w:t>et al.</w:t>
      </w:r>
      <w:r w:rsidR="00E07083" w:rsidRPr="00E07083">
        <w:rPr>
          <w:sz w:val="22"/>
          <w:szCs w:val="22"/>
          <w:lang w:val="en-GB"/>
        </w:rPr>
        <w:t xml:space="preserve"> (2002) as being suitable for comparing migration in different countries</w:t>
      </w:r>
      <w:r w:rsidR="00CC00FF">
        <w:rPr>
          <w:sz w:val="22"/>
          <w:szCs w:val="22"/>
          <w:lang w:val="en-GB"/>
        </w:rPr>
        <w:t xml:space="preserve">. </w:t>
      </w:r>
      <w:r w:rsidR="00CE3A75">
        <w:rPr>
          <w:sz w:val="22"/>
          <w:szCs w:val="22"/>
          <w:lang w:val="en-GB"/>
        </w:rPr>
        <w:t xml:space="preserve">Finally, the fourth </w:t>
      </w:r>
      <w:r w:rsidR="007F2E21">
        <w:rPr>
          <w:sz w:val="22"/>
          <w:szCs w:val="22"/>
          <w:lang w:val="en-GB"/>
        </w:rPr>
        <w:t>sub</w:t>
      </w:r>
      <w:r w:rsidR="002959C4" w:rsidRPr="002959C4">
        <w:rPr>
          <w:sz w:val="22"/>
          <w:szCs w:val="22"/>
          <w:lang w:val="en-GB"/>
        </w:rPr>
        <w:t>s</w:t>
      </w:r>
      <w:r w:rsidR="00CC00FF">
        <w:rPr>
          <w:sz w:val="22"/>
          <w:szCs w:val="22"/>
          <w:lang w:val="en-GB"/>
        </w:rPr>
        <w:t>yste</w:t>
      </w:r>
      <w:r w:rsidRPr="002959C4">
        <w:rPr>
          <w:sz w:val="22"/>
          <w:szCs w:val="22"/>
          <w:lang w:val="en-GB"/>
        </w:rPr>
        <w:t>m</w:t>
      </w:r>
      <w:r w:rsidR="00A435F3">
        <w:rPr>
          <w:sz w:val="22"/>
          <w:szCs w:val="22"/>
          <w:lang w:val="en-GB"/>
        </w:rPr>
        <w:t xml:space="preserve"> </w:t>
      </w:r>
      <w:r w:rsidR="00CC00FF">
        <w:rPr>
          <w:sz w:val="22"/>
          <w:szCs w:val="22"/>
          <w:lang w:val="en-GB"/>
        </w:rPr>
        <w:t>enables the calibration of</w:t>
      </w:r>
      <w:r w:rsidRPr="00DA04F8">
        <w:rPr>
          <w:sz w:val="22"/>
          <w:szCs w:val="22"/>
          <w:lang w:val="en-GB"/>
        </w:rPr>
        <w:t xml:space="preserve"> a doubl</w:t>
      </w:r>
      <w:r w:rsidR="008B53CB">
        <w:rPr>
          <w:sz w:val="22"/>
          <w:szCs w:val="22"/>
          <w:lang w:val="en-GB"/>
        </w:rPr>
        <w:t>y</w:t>
      </w:r>
      <w:r w:rsidRPr="00DA04F8">
        <w:rPr>
          <w:sz w:val="22"/>
          <w:szCs w:val="22"/>
          <w:lang w:val="en-GB"/>
        </w:rPr>
        <w:t xml:space="preserve"> constrained spatial interaction model (SIM) </w:t>
      </w:r>
      <w:r w:rsidR="001B6E3B">
        <w:rPr>
          <w:sz w:val="22"/>
          <w:szCs w:val="22"/>
          <w:lang w:val="en-GB"/>
        </w:rPr>
        <w:t xml:space="preserve">either for the migration flows for the initial set of BSUs or for the migration flows for each </w:t>
      </w:r>
      <w:r w:rsidR="008B53CB">
        <w:rPr>
          <w:sz w:val="22"/>
          <w:szCs w:val="22"/>
          <w:lang w:val="en-GB"/>
        </w:rPr>
        <w:t>set of ASRs</w:t>
      </w:r>
      <w:r w:rsidRPr="00DA04F8">
        <w:rPr>
          <w:sz w:val="22"/>
          <w:szCs w:val="22"/>
          <w:lang w:val="en-GB"/>
        </w:rPr>
        <w:t xml:space="preserve">. </w:t>
      </w:r>
      <w:r w:rsidR="001B6E3B">
        <w:rPr>
          <w:sz w:val="22"/>
          <w:szCs w:val="22"/>
          <w:lang w:val="en-GB"/>
        </w:rPr>
        <w:t xml:space="preserve">The </w:t>
      </w:r>
      <w:r w:rsidR="007F2E21">
        <w:rPr>
          <w:sz w:val="22"/>
          <w:szCs w:val="22"/>
          <w:lang w:val="en-GB"/>
        </w:rPr>
        <w:t>sub</w:t>
      </w:r>
      <w:r w:rsidR="008F50DE">
        <w:rPr>
          <w:sz w:val="22"/>
          <w:szCs w:val="22"/>
          <w:lang w:val="en-GB"/>
        </w:rPr>
        <w:t>s</w:t>
      </w:r>
      <w:r w:rsidR="001B6E3B">
        <w:rPr>
          <w:sz w:val="22"/>
          <w:szCs w:val="22"/>
          <w:lang w:val="en-GB"/>
        </w:rPr>
        <w:t>ystem makes use of a</w:t>
      </w:r>
      <w:r w:rsidRPr="00DA04F8">
        <w:rPr>
          <w:sz w:val="22"/>
          <w:szCs w:val="22"/>
          <w:lang w:val="en-GB"/>
        </w:rPr>
        <w:t xml:space="preserve"> modelling </w:t>
      </w:r>
      <w:r w:rsidR="007F2E21">
        <w:rPr>
          <w:sz w:val="22"/>
          <w:szCs w:val="22"/>
          <w:lang w:val="en-GB"/>
        </w:rPr>
        <w:t xml:space="preserve">code </w:t>
      </w:r>
      <w:r w:rsidRPr="00DA04F8">
        <w:rPr>
          <w:sz w:val="22"/>
          <w:szCs w:val="22"/>
          <w:lang w:val="en-GB"/>
        </w:rPr>
        <w:t xml:space="preserve">called ASPIC (ARC </w:t>
      </w:r>
      <w:proofErr w:type="spellStart"/>
      <w:r w:rsidRPr="00DA04F8">
        <w:rPr>
          <w:sz w:val="22"/>
          <w:szCs w:val="22"/>
          <w:lang w:val="en-GB"/>
        </w:rPr>
        <w:t>SPatial</w:t>
      </w:r>
      <w:proofErr w:type="spellEnd"/>
      <w:r w:rsidRPr="00DA04F8">
        <w:rPr>
          <w:sz w:val="22"/>
          <w:szCs w:val="22"/>
          <w:lang w:val="en-GB"/>
        </w:rPr>
        <w:t xml:space="preserve"> Interaction Collection) </w:t>
      </w:r>
      <w:r w:rsidR="001B6E3B">
        <w:rPr>
          <w:sz w:val="22"/>
          <w:szCs w:val="22"/>
          <w:lang w:val="en-GB"/>
        </w:rPr>
        <w:t xml:space="preserve">which has been </w:t>
      </w:r>
      <w:r w:rsidRPr="00DA04F8">
        <w:rPr>
          <w:sz w:val="22"/>
          <w:szCs w:val="22"/>
          <w:lang w:val="en-GB"/>
        </w:rPr>
        <w:t>written in FORTRAN</w:t>
      </w:r>
      <w:r w:rsidR="00F16FC4">
        <w:rPr>
          <w:sz w:val="22"/>
          <w:szCs w:val="22"/>
          <w:lang w:val="en-GB"/>
        </w:rPr>
        <w:t xml:space="preserve">(see acknowledgements) </w:t>
      </w:r>
      <w:r w:rsidR="008F50DE">
        <w:rPr>
          <w:sz w:val="22"/>
          <w:szCs w:val="22"/>
          <w:lang w:val="en-GB"/>
        </w:rPr>
        <w:t xml:space="preserve">which it </w:t>
      </w:r>
      <w:r w:rsidR="001B6E3B">
        <w:rPr>
          <w:sz w:val="22"/>
          <w:szCs w:val="22"/>
          <w:lang w:val="en-GB"/>
        </w:rPr>
        <w:t xml:space="preserve">provides with a </w:t>
      </w:r>
      <w:r w:rsidRPr="00DA04F8">
        <w:rPr>
          <w:sz w:val="22"/>
          <w:szCs w:val="22"/>
          <w:lang w:val="en-GB"/>
        </w:rPr>
        <w:t xml:space="preserve">configuration file with all the relevant information about the source of the data files in the hard disk </w:t>
      </w:r>
      <w:r w:rsidR="001B6E3B">
        <w:rPr>
          <w:sz w:val="22"/>
          <w:szCs w:val="22"/>
          <w:lang w:val="en-GB"/>
        </w:rPr>
        <w:t xml:space="preserve">and </w:t>
      </w:r>
      <w:r w:rsidRPr="00DA04F8">
        <w:rPr>
          <w:sz w:val="22"/>
          <w:szCs w:val="22"/>
          <w:lang w:val="en-GB"/>
        </w:rPr>
        <w:t>allow</w:t>
      </w:r>
      <w:r w:rsidR="001B6E3B">
        <w:rPr>
          <w:sz w:val="22"/>
          <w:szCs w:val="22"/>
          <w:lang w:val="en-GB"/>
        </w:rPr>
        <w:t>s</w:t>
      </w:r>
      <w:r w:rsidRPr="00DA04F8">
        <w:rPr>
          <w:sz w:val="22"/>
          <w:szCs w:val="22"/>
          <w:lang w:val="en-GB"/>
        </w:rPr>
        <w:t xml:space="preserve"> the user to set the required parameters for executing the SIM model. The </w:t>
      </w:r>
      <w:r w:rsidRPr="002959C4">
        <w:rPr>
          <w:sz w:val="22"/>
          <w:szCs w:val="22"/>
          <w:lang w:val="en-GB"/>
        </w:rPr>
        <w:t>system</w:t>
      </w:r>
      <w:r w:rsidRPr="00DA04F8">
        <w:rPr>
          <w:sz w:val="22"/>
          <w:szCs w:val="22"/>
          <w:lang w:val="en-GB"/>
        </w:rPr>
        <w:t xml:space="preserve"> uses output data from the spatial aggregation process and for each aggregation produces a document with the results of each SIM analysis as well as averaged model statistics and goodness of fit measures. </w:t>
      </w:r>
    </w:p>
    <w:p w:rsidR="00717D78" w:rsidRDefault="00585D74" w:rsidP="00DA19D2">
      <w:pPr>
        <w:pStyle w:val="ListParagraph"/>
        <w:tabs>
          <w:tab w:val="left" w:pos="7938"/>
        </w:tabs>
        <w:spacing w:after="120" w:line="360" w:lineRule="auto"/>
        <w:ind w:left="-1134"/>
        <w:jc w:val="both"/>
        <w:rPr>
          <w:b/>
        </w:rPr>
      </w:pPr>
      <w:r>
        <w:rPr>
          <w:rFonts w:ascii="Times New Roman" w:hAnsi="Times New Roman" w:cs="Times New Roman"/>
        </w:rPr>
        <w:lastRenderedPageBreak/>
        <w:t>In general</w:t>
      </w:r>
      <w:r w:rsidR="00C03BB3">
        <w:rPr>
          <w:rFonts w:ascii="Times New Roman" w:hAnsi="Times New Roman" w:cs="Times New Roman"/>
        </w:rPr>
        <w:t>, all</w:t>
      </w:r>
      <w:r w:rsidR="00205793" w:rsidRPr="00105B0D">
        <w:rPr>
          <w:rFonts w:ascii="Times New Roman" w:hAnsi="Times New Roman" w:cs="Times New Roman"/>
        </w:rPr>
        <w:t xml:space="preserve"> the</w:t>
      </w:r>
      <w:r w:rsidR="00C03BB3">
        <w:rPr>
          <w:rFonts w:ascii="Times New Roman" w:hAnsi="Times New Roman" w:cs="Times New Roman"/>
        </w:rPr>
        <w:t xml:space="preserve"> spatial operations </w:t>
      </w:r>
      <w:r w:rsidR="00B64F71">
        <w:rPr>
          <w:rFonts w:ascii="Times New Roman" w:hAnsi="Times New Roman" w:cs="Times New Roman"/>
        </w:rPr>
        <w:t>(</w:t>
      </w:r>
      <w:r w:rsidR="00C03BB3">
        <w:rPr>
          <w:rFonts w:ascii="Times New Roman" w:hAnsi="Times New Roman" w:cs="Times New Roman"/>
        </w:rPr>
        <w:t xml:space="preserve">such as </w:t>
      </w:r>
      <w:r w:rsidR="00993D9A">
        <w:rPr>
          <w:rFonts w:ascii="Times New Roman" w:hAnsi="Times New Roman" w:cs="Times New Roman"/>
        </w:rPr>
        <w:t>adjacency</w:t>
      </w:r>
      <w:r w:rsidR="00B64F71">
        <w:rPr>
          <w:rFonts w:ascii="Times New Roman" w:hAnsi="Times New Roman" w:cs="Times New Roman"/>
        </w:rPr>
        <w:t xml:space="preserve"> and</w:t>
      </w:r>
      <w:r w:rsidR="00C03BB3">
        <w:rPr>
          <w:rFonts w:ascii="Times New Roman" w:hAnsi="Times New Roman" w:cs="Times New Roman"/>
        </w:rPr>
        <w:t xml:space="preserve"> retrieval of polygon centroids</w:t>
      </w:r>
      <w:r w:rsidR="00B64F71">
        <w:rPr>
          <w:rFonts w:ascii="Times New Roman" w:hAnsi="Times New Roman" w:cs="Times New Roman"/>
        </w:rPr>
        <w:t>)</w:t>
      </w:r>
      <w:r w:rsidR="00C03BB3">
        <w:rPr>
          <w:rFonts w:ascii="Times New Roman" w:hAnsi="Times New Roman" w:cs="Times New Roman"/>
        </w:rPr>
        <w:t xml:space="preserve"> are delivered by </w:t>
      </w:r>
      <w:r w:rsidR="00205793" w:rsidRPr="00105B0D">
        <w:rPr>
          <w:rFonts w:ascii="Times New Roman" w:hAnsi="Times New Roman" w:cs="Times New Roman"/>
        </w:rPr>
        <w:t>mak</w:t>
      </w:r>
      <w:r w:rsidR="00C03BB3">
        <w:rPr>
          <w:rFonts w:ascii="Times New Roman" w:hAnsi="Times New Roman" w:cs="Times New Roman"/>
        </w:rPr>
        <w:t>ing</w:t>
      </w:r>
      <w:r w:rsidR="00205793" w:rsidRPr="00105B0D">
        <w:rPr>
          <w:rFonts w:ascii="Times New Roman" w:hAnsi="Times New Roman" w:cs="Times New Roman"/>
        </w:rPr>
        <w:t xml:space="preserve"> use of the </w:t>
      </w:r>
      <w:proofErr w:type="spellStart"/>
      <w:r w:rsidR="00205793" w:rsidRPr="00105B0D">
        <w:rPr>
          <w:rFonts w:ascii="Times New Roman" w:hAnsi="Times New Roman" w:cs="Times New Roman"/>
        </w:rPr>
        <w:t>SharpMap</w:t>
      </w:r>
      <w:proofErr w:type="spellEnd"/>
      <w:r w:rsidR="00205793" w:rsidRPr="00105B0D">
        <w:rPr>
          <w:rFonts w:ascii="Times New Roman" w:hAnsi="Times New Roman" w:cs="Times New Roman"/>
        </w:rPr>
        <w:t xml:space="preserve"> and Net Topology Suite (NTS) libraries</w:t>
      </w:r>
      <w:r w:rsidR="00FC2DA4">
        <w:rPr>
          <w:rStyle w:val="FootnoteReference"/>
          <w:rFonts w:ascii="Times New Roman" w:hAnsi="Times New Roman" w:cs="Times New Roman"/>
        </w:rPr>
        <w:footnoteReference w:id="2"/>
      </w:r>
      <w:r w:rsidR="00205793" w:rsidRPr="00105B0D">
        <w:rPr>
          <w:rFonts w:ascii="Times New Roman" w:hAnsi="Times New Roman" w:cs="Times New Roman"/>
        </w:rPr>
        <w:t xml:space="preserve">. The NTS provides a group of methods that deliver topological functionality in geographical data while the </w:t>
      </w:r>
      <w:proofErr w:type="spellStart"/>
      <w:r w:rsidR="00205793" w:rsidRPr="00105B0D">
        <w:rPr>
          <w:rFonts w:ascii="Times New Roman" w:hAnsi="Times New Roman" w:cs="Times New Roman"/>
        </w:rPr>
        <w:t>SharpMap</w:t>
      </w:r>
      <w:proofErr w:type="spellEnd"/>
      <w:r w:rsidR="00205793" w:rsidRPr="00105B0D">
        <w:rPr>
          <w:rFonts w:ascii="Times New Roman" w:hAnsi="Times New Roman" w:cs="Times New Roman"/>
        </w:rPr>
        <w:t xml:space="preserve"> library handles the user interface. Both libraries are developed according to the simple feature specifications by Open Geospatial Consortium (OGC) and </w:t>
      </w:r>
      <w:r w:rsidR="00C03BB3">
        <w:rPr>
          <w:rFonts w:ascii="Times New Roman" w:hAnsi="Times New Roman" w:cs="Times New Roman"/>
        </w:rPr>
        <w:t xml:space="preserve">they are </w:t>
      </w:r>
      <w:r w:rsidR="00205793" w:rsidRPr="00105B0D">
        <w:rPr>
          <w:rFonts w:ascii="Times New Roman" w:hAnsi="Times New Roman" w:cs="Times New Roman"/>
        </w:rPr>
        <w:t>open source accessed.</w:t>
      </w:r>
      <w:r w:rsidR="00CC00FF">
        <w:rPr>
          <w:rFonts w:ascii="Times New Roman" w:hAnsi="Times New Roman" w:cs="Times New Roman"/>
        </w:rPr>
        <w:t xml:space="preserve"> Further details of each </w:t>
      </w:r>
      <w:r w:rsidR="007F2E21">
        <w:rPr>
          <w:rFonts w:ascii="Times New Roman" w:hAnsi="Times New Roman" w:cs="Times New Roman"/>
        </w:rPr>
        <w:t>sub</w:t>
      </w:r>
      <w:r w:rsidR="00CC00FF">
        <w:rPr>
          <w:rFonts w:ascii="Times New Roman" w:hAnsi="Times New Roman" w:cs="Times New Roman"/>
        </w:rPr>
        <w:t>system are now provided in the following four sections of the paper</w:t>
      </w:r>
      <w:r w:rsidR="007F2E21">
        <w:rPr>
          <w:rFonts w:ascii="Times New Roman" w:hAnsi="Times New Roman" w:cs="Times New Roman"/>
        </w:rPr>
        <w:t xml:space="preserve"> together with screen shots of the user interfaces to each subsystem</w:t>
      </w:r>
      <w:r w:rsidR="00CC00FF">
        <w:rPr>
          <w:rFonts w:ascii="Times New Roman" w:hAnsi="Times New Roman" w:cs="Times New Roman"/>
        </w:rPr>
        <w:t>.</w:t>
      </w:r>
    </w:p>
    <w:p w:rsidR="006D21D2" w:rsidRDefault="006D21D2" w:rsidP="00DA19D2">
      <w:pPr>
        <w:tabs>
          <w:tab w:val="left" w:pos="7938"/>
        </w:tabs>
        <w:spacing w:after="120" w:line="360" w:lineRule="auto"/>
        <w:ind w:left="-1134"/>
        <w:rPr>
          <w:b/>
          <w:lang w:val="en-GB"/>
        </w:rPr>
      </w:pPr>
    </w:p>
    <w:p w:rsidR="00717D78" w:rsidRPr="009F52B9" w:rsidRDefault="00E07083" w:rsidP="00DA19D2">
      <w:pPr>
        <w:tabs>
          <w:tab w:val="left" w:pos="7938"/>
        </w:tabs>
        <w:spacing w:after="120" w:line="360" w:lineRule="auto"/>
        <w:ind w:left="-1134"/>
        <w:rPr>
          <w:b/>
          <w:lang w:val="en-GB"/>
        </w:rPr>
      </w:pPr>
      <w:r w:rsidRPr="00E07083">
        <w:rPr>
          <w:b/>
          <w:lang w:val="en-GB"/>
        </w:rPr>
        <w:t>Data Preparation</w:t>
      </w:r>
    </w:p>
    <w:p w:rsidR="0043280A" w:rsidRPr="009F6B29" w:rsidRDefault="00205793" w:rsidP="00DA19D2">
      <w:pPr>
        <w:tabs>
          <w:tab w:val="left" w:pos="7938"/>
        </w:tabs>
        <w:spacing w:after="120" w:line="360" w:lineRule="auto"/>
        <w:ind w:left="-1134"/>
        <w:jc w:val="both"/>
        <w:rPr>
          <w:sz w:val="22"/>
          <w:szCs w:val="22"/>
          <w:lang w:val="en-GB"/>
        </w:rPr>
      </w:pPr>
      <w:r w:rsidRPr="009F6B29">
        <w:rPr>
          <w:sz w:val="22"/>
          <w:szCs w:val="22"/>
          <w:lang w:val="en-GB"/>
        </w:rPr>
        <w:t xml:space="preserve">Once the IMAGE studio is running the user will observe </w:t>
      </w:r>
      <w:r w:rsidR="00FB0747" w:rsidRPr="005D6456">
        <w:rPr>
          <w:sz w:val="22"/>
          <w:szCs w:val="22"/>
          <w:lang w:val="en-GB"/>
        </w:rPr>
        <w:t>tabs along</w:t>
      </w:r>
      <w:r w:rsidRPr="009F6B29">
        <w:rPr>
          <w:sz w:val="22"/>
          <w:szCs w:val="22"/>
          <w:lang w:val="en-GB"/>
        </w:rPr>
        <w:t xml:space="preserve"> the top of the </w:t>
      </w:r>
      <w:r w:rsidR="00DE4750">
        <w:rPr>
          <w:sz w:val="22"/>
          <w:szCs w:val="22"/>
          <w:lang w:val="en-GB"/>
        </w:rPr>
        <w:t xml:space="preserve">graphical </w:t>
      </w:r>
      <w:r w:rsidRPr="009F6B29">
        <w:rPr>
          <w:sz w:val="22"/>
          <w:szCs w:val="22"/>
          <w:lang w:val="en-GB"/>
        </w:rPr>
        <w:t xml:space="preserve">user interface representing each of the </w:t>
      </w:r>
      <w:r w:rsidR="007F2E21">
        <w:rPr>
          <w:sz w:val="22"/>
          <w:szCs w:val="22"/>
          <w:lang w:val="en-GB"/>
        </w:rPr>
        <w:t>sub</w:t>
      </w:r>
      <w:r w:rsidRPr="009F6B29">
        <w:rPr>
          <w:sz w:val="22"/>
          <w:szCs w:val="22"/>
          <w:lang w:val="en-GB"/>
        </w:rPr>
        <w:t xml:space="preserve">system components. Figure 2 is a screenshot of the data preparation </w:t>
      </w:r>
      <w:r w:rsidR="0006050D">
        <w:rPr>
          <w:sz w:val="22"/>
          <w:szCs w:val="22"/>
          <w:lang w:val="en-GB"/>
        </w:rPr>
        <w:t>sub</w:t>
      </w:r>
      <w:r w:rsidRPr="009F6B29">
        <w:rPr>
          <w:sz w:val="22"/>
          <w:szCs w:val="22"/>
          <w:lang w:val="en-GB"/>
        </w:rPr>
        <w:t>system interface</w:t>
      </w:r>
      <w:r w:rsidR="007F2E21">
        <w:rPr>
          <w:sz w:val="22"/>
          <w:szCs w:val="22"/>
          <w:lang w:val="en-GB"/>
        </w:rPr>
        <w:t>.</w:t>
      </w:r>
      <w:r w:rsidRPr="009F6B29">
        <w:rPr>
          <w:sz w:val="22"/>
          <w:szCs w:val="22"/>
          <w:lang w:val="en-GB"/>
        </w:rPr>
        <w:t xml:space="preserve"> On the left side of the window, </w:t>
      </w:r>
      <w:r w:rsidR="00311696" w:rsidRPr="009F6B29">
        <w:rPr>
          <w:sz w:val="22"/>
          <w:szCs w:val="22"/>
          <w:lang w:val="en-GB"/>
        </w:rPr>
        <w:t xml:space="preserve">a </w:t>
      </w:r>
      <w:r w:rsidRPr="009F6B29">
        <w:rPr>
          <w:sz w:val="22"/>
          <w:szCs w:val="22"/>
          <w:lang w:val="en-GB"/>
        </w:rPr>
        <w:t xml:space="preserve">user can </w:t>
      </w:r>
      <w:r w:rsidR="00691ED3" w:rsidRPr="009F6B29">
        <w:rPr>
          <w:sz w:val="22"/>
          <w:szCs w:val="22"/>
          <w:lang w:val="en-GB"/>
        </w:rPr>
        <w:t xml:space="preserve">load </w:t>
      </w:r>
      <w:r w:rsidR="00F360C8" w:rsidRPr="00F360C8">
        <w:rPr>
          <w:sz w:val="22"/>
          <w:szCs w:val="22"/>
          <w:lang w:val="en-GB"/>
        </w:rPr>
        <w:t>an</w:t>
      </w:r>
      <w:r w:rsidR="00A435F3">
        <w:rPr>
          <w:sz w:val="22"/>
          <w:szCs w:val="22"/>
          <w:lang w:val="en-GB"/>
        </w:rPr>
        <w:t xml:space="preserve"> </w:t>
      </w:r>
      <w:r w:rsidR="00311696" w:rsidRPr="009F6B29">
        <w:rPr>
          <w:sz w:val="22"/>
          <w:szCs w:val="22"/>
          <w:lang w:val="en-GB"/>
        </w:rPr>
        <w:t xml:space="preserve">ESRI </w:t>
      </w:r>
      <w:proofErr w:type="spellStart"/>
      <w:r w:rsidR="00691ED3" w:rsidRPr="009F6B29">
        <w:rPr>
          <w:sz w:val="22"/>
          <w:szCs w:val="22"/>
          <w:lang w:val="en-GB"/>
        </w:rPr>
        <w:t>shapefile</w:t>
      </w:r>
      <w:proofErr w:type="spellEnd"/>
      <w:r w:rsidR="00691ED3" w:rsidRPr="009F6B29">
        <w:rPr>
          <w:sz w:val="22"/>
          <w:szCs w:val="22"/>
          <w:lang w:val="en-GB"/>
        </w:rPr>
        <w:t xml:space="preserve"> and immediately </w:t>
      </w:r>
      <w:r w:rsidR="00311696" w:rsidRPr="009F6B29">
        <w:rPr>
          <w:sz w:val="22"/>
          <w:szCs w:val="22"/>
          <w:lang w:val="en-GB"/>
        </w:rPr>
        <w:t xml:space="preserve">on the right side </w:t>
      </w:r>
      <w:r w:rsidR="00691ED3" w:rsidRPr="009F6B29">
        <w:rPr>
          <w:sz w:val="22"/>
          <w:szCs w:val="22"/>
          <w:lang w:val="en-GB"/>
        </w:rPr>
        <w:t xml:space="preserve">the system draws </w:t>
      </w:r>
      <w:r w:rsidR="00311696" w:rsidRPr="009F6B29">
        <w:rPr>
          <w:sz w:val="22"/>
          <w:szCs w:val="22"/>
          <w:lang w:val="en-GB"/>
        </w:rPr>
        <w:t xml:space="preserve">the </w:t>
      </w:r>
      <w:r w:rsidR="00F360C8">
        <w:rPr>
          <w:sz w:val="22"/>
          <w:szCs w:val="22"/>
          <w:lang w:val="en-GB"/>
        </w:rPr>
        <w:t xml:space="preserve">geographical </w:t>
      </w:r>
      <w:r w:rsidR="00691ED3" w:rsidRPr="009F6B29">
        <w:rPr>
          <w:sz w:val="22"/>
          <w:szCs w:val="22"/>
          <w:lang w:val="en-GB"/>
        </w:rPr>
        <w:t>boundaries</w:t>
      </w:r>
      <w:r w:rsidR="00311696" w:rsidRPr="009F6B29">
        <w:rPr>
          <w:sz w:val="22"/>
          <w:szCs w:val="22"/>
          <w:lang w:val="en-GB"/>
        </w:rPr>
        <w:t xml:space="preserve"> of </w:t>
      </w:r>
      <w:r w:rsidR="00A73AA1">
        <w:rPr>
          <w:sz w:val="22"/>
          <w:szCs w:val="22"/>
          <w:lang w:val="en-GB"/>
        </w:rPr>
        <w:t xml:space="preserve">the </w:t>
      </w:r>
      <w:proofErr w:type="spellStart"/>
      <w:r w:rsidR="00311696" w:rsidRPr="009F6B29">
        <w:rPr>
          <w:sz w:val="22"/>
          <w:szCs w:val="22"/>
          <w:lang w:val="en-GB"/>
        </w:rPr>
        <w:t>shapefile</w:t>
      </w:r>
      <w:proofErr w:type="spellEnd"/>
      <w:r w:rsidR="00A73AA1">
        <w:rPr>
          <w:sz w:val="22"/>
          <w:szCs w:val="22"/>
          <w:lang w:val="en-GB"/>
        </w:rPr>
        <w:t xml:space="preserve">, in this case the </w:t>
      </w:r>
      <w:r w:rsidR="00A73AA1" w:rsidRPr="009F6B29">
        <w:rPr>
          <w:sz w:val="22"/>
          <w:szCs w:val="22"/>
          <w:lang w:val="en-GB"/>
        </w:rPr>
        <w:t>406 LADs that constitute the UK</w:t>
      </w:r>
      <w:r w:rsidR="00311696" w:rsidRPr="009F6B29">
        <w:rPr>
          <w:sz w:val="22"/>
          <w:szCs w:val="22"/>
          <w:lang w:val="en-GB"/>
        </w:rPr>
        <w:t>.</w:t>
      </w:r>
      <w:r w:rsidR="00691ED3" w:rsidRPr="009F6B29">
        <w:rPr>
          <w:sz w:val="22"/>
          <w:szCs w:val="22"/>
          <w:lang w:val="en-GB"/>
        </w:rPr>
        <w:t xml:space="preserve"> The studio automatically retrieves the projection system </w:t>
      </w:r>
      <w:r w:rsidR="00311696" w:rsidRPr="009F6B29">
        <w:rPr>
          <w:sz w:val="22"/>
          <w:szCs w:val="22"/>
          <w:lang w:val="en-GB"/>
        </w:rPr>
        <w:t>from the</w:t>
      </w:r>
      <w:r w:rsidR="00691ED3" w:rsidRPr="009F6B29">
        <w:rPr>
          <w:sz w:val="22"/>
          <w:szCs w:val="22"/>
          <w:lang w:val="en-GB"/>
        </w:rPr>
        <w:t xml:space="preserve"> loaded geometries</w:t>
      </w:r>
      <w:r w:rsidR="007B6B9C">
        <w:rPr>
          <w:sz w:val="22"/>
          <w:szCs w:val="22"/>
          <w:lang w:val="en-GB"/>
        </w:rPr>
        <w:t>,</w:t>
      </w:r>
      <w:r w:rsidR="00691ED3" w:rsidRPr="009F6B29">
        <w:rPr>
          <w:sz w:val="22"/>
          <w:szCs w:val="22"/>
          <w:lang w:val="en-GB"/>
        </w:rPr>
        <w:t xml:space="preserve"> informs the user </w:t>
      </w:r>
      <w:r w:rsidR="00A73AA1">
        <w:rPr>
          <w:sz w:val="22"/>
          <w:szCs w:val="22"/>
          <w:lang w:val="en-GB"/>
        </w:rPr>
        <w:t>what it is</w:t>
      </w:r>
      <w:r w:rsidR="007B6B9C">
        <w:rPr>
          <w:sz w:val="22"/>
          <w:szCs w:val="22"/>
          <w:lang w:val="en-GB"/>
        </w:rPr>
        <w:t xml:space="preserve"> and subsequently uses it to </w:t>
      </w:r>
      <w:r w:rsidR="00311696" w:rsidRPr="009F6B29">
        <w:rPr>
          <w:sz w:val="22"/>
          <w:szCs w:val="22"/>
          <w:lang w:val="en-GB"/>
        </w:rPr>
        <w:t xml:space="preserve">calculate </w:t>
      </w:r>
      <w:r w:rsidR="007F2E21" w:rsidRPr="009F6B29">
        <w:rPr>
          <w:sz w:val="22"/>
          <w:szCs w:val="22"/>
          <w:lang w:val="en-GB"/>
        </w:rPr>
        <w:t xml:space="preserve">the area of each BSU </w:t>
      </w:r>
      <w:r w:rsidR="007F2E21">
        <w:rPr>
          <w:sz w:val="22"/>
          <w:szCs w:val="22"/>
          <w:lang w:val="en-GB"/>
        </w:rPr>
        <w:t xml:space="preserve">and </w:t>
      </w:r>
      <w:r w:rsidR="00311696" w:rsidRPr="009F6B29">
        <w:rPr>
          <w:sz w:val="22"/>
          <w:szCs w:val="22"/>
          <w:lang w:val="en-GB"/>
        </w:rPr>
        <w:t xml:space="preserve">distances </w:t>
      </w:r>
      <w:r w:rsidR="0043280A" w:rsidRPr="009F6B29">
        <w:rPr>
          <w:sz w:val="22"/>
          <w:szCs w:val="22"/>
          <w:lang w:val="en-GB"/>
        </w:rPr>
        <w:t xml:space="preserve">between BSUs. </w:t>
      </w:r>
      <w:r w:rsidR="00F360C8">
        <w:rPr>
          <w:sz w:val="22"/>
          <w:szCs w:val="22"/>
          <w:lang w:val="en-GB"/>
        </w:rPr>
        <w:t xml:space="preserve">These measures are crucial for calculating the migration indicators </w:t>
      </w:r>
      <w:r w:rsidR="00955E17">
        <w:rPr>
          <w:sz w:val="22"/>
          <w:szCs w:val="22"/>
          <w:lang w:val="en-GB"/>
        </w:rPr>
        <w:t>relat</w:t>
      </w:r>
      <w:r w:rsidR="007F2E21">
        <w:rPr>
          <w:sz w:val="22"/>
          <w:szCs w:val="22"/>
          <w:lang w:val="en-GB"/>
        </w:rPr>
        <w:t>ing</w:t>
      </w:r>
      <w:r w:rsidR="00955E17">
        <w:rPr>
          <w:sz w:val="22"/>
          <w:szCs w:val="22"/>
          <w:lang w:val="en-GB"/>
        </w:rPr>
        <w:t xml:space="preserve"> to </w:t>
      </w:r>
      <w:r w:rsidR="007F2E21">
        <w:rPr>
          <w:sz w:val="22"/>
          <w:szCs w:val="22"/>
          <w:lang w:val="en-GB"/>
        </w:rPr>
        <w:t xml:space="preserve">BSU </w:t>
      </w:r>
      <w:r w:rsidR="00955E17">
        <w:rPr>
          <w:sz w:val="22"/>
          <w:szCs w:val="22"/>
          <w:lang w:val="en-GB"/>
        </w:rPr>
        <w:t xml:space="preserve">area </w:t>
      </w:r>
      <w:r w:rsidR="007F2E21">
        <w:rPr>
          <w:sz w:val="22"/>
          <w:szCs w:val="22"/>
          <w:lang w:val="en-GB"/>
        </w:rPr>
        <w:t>and inter-BSU distance</w:t>
      </w:r>
      <w:r w:rsidR="0006050D">
        <w:rPr>
          <w:sz w:val="22"/>
          <w:szCs w:val="22"/>
          <w:lang w:val="en-GB"/>
        </w:rPr>
        <w:t>s</w:t>
      </w:r>
      <w:r w:rsidR="00A435F3">
        <w:rPr>
          <w:sz w:val="22"/>
          <w:szCs w:val="22"/>
          <w:lang w:val="en-GB"/>
        </w:rPr>
        <w:t xml:space="preserve"> </w:t>
      </w:r>
      <w:r w:rsidR="00F360C8">
        <w:rPr>
          <w:sz w:val="22"/>
          <w:szCs w:val="22"/>
          <w:lang w:val="en-GB"/>
        </w:rPr>
        <w:t xml:space="preserve">as well as </w:t>
      </w:r>
      <w:r w:rsidR="007B6B9C">
        <w:rPr>
          <w:sz w:val="22"/>
          <w:szCs w:val="22"/>
          <w:lang w:val="en-GB"/>
        </w:rPr>
        <w:t xml:space="preserve">being </w:t>
      </w:r>
      <w:r w:rsidR="00F360C8">
        <w:rPr>
          <w:sz w:val="22"/>
          <w:szCs w:val="22"/>
          <w:lang w:val="en-GB"/>
        </w:rPr>
        <w:t xml:space="preserve">used by the spatial interaction model to calculate the </w:t>
      </w:r>
      <w:r w:rsidR="007B6B9C">
        <w:rPr>
          <w:sz w:val="22"/>
          <w:szCs w:val="22"/>
          <w:lang w:val="en-GB"/>
        </w:rPr>
        <w:t xml:space="preserve">distance </w:t>
      </w:r>
      <w:r w:rsidR="00F360C8">
        <w:rPr>
          <w:sz w:val="22"/>
          <w:szCs w:val="22"/>
          <w:lang w:val="en-GB"/>
        </w:rPr>
        <w:t>decay parameter.</w:t>
      </w:r>
    </w:p>
    <w:p w:rsidR="00205793" w:rsidRPr="00A73AA1" w:rsidRDefault="00205793" w:rsidP="0006050D">
      <w:pPr>
        <w:tabs>
          <w:tab w:val="left" w:pos="7938"/>
        </w:tabs>
        <w:spacing w:after="120" w:line="360" w:lineRule="auto"/>
        <w:ind w:left="-1134"/>
        <w:jc w:val="center"/>
        <w:rPr>
          <w:lang w:val="en-GB"/>
        </w:rPr>
      </w:pPr>
    </w:p>
    <w:p w:rsidR="00205793" w:rsidRPr="00DE4750" w:rsidRDefault="00205793" w:rsidP="00DA19D2">
      <w:pPr>
        <w:pStyle w:val="ListParagraph"/>
        <w:tabs>
          <w:tab w:val="left" w:pos="7938"/>
        </w:tabs>
        <w:spacing w:after="120" w:line="360" w:lineRule="auto"/>
        <w:ind w:left="-1134"/>
        <w:jc w:val="center"/>
        <w:rPr>
          <w:rFonts w:ascii="Times New Roman" w:hAnsi="Times New Roman" w:cs="Times New Roman"/>
        </w:rPr>
      </w:pPr>
      <w:r w:rsidRPr="00DE4750">
        <w:rPr>
          <w:rFonts w:ascii="Times New Roman" w:hAnsi="Times New Roman" w:cs="Times New Roman"/>
          <w:b/>
        </w:rPr>
        <w:t>Fig. 2</w:t>
      </w:r>
      <w:r w:rsidR="002E1F3B">
        <w:rPr>
          <w:rFonts w:ascii="Times New Roman" w:hAnsi="Times New Roman" w:cs="Times New Roman"/>
          <w:b/>
        </w:rPr>
        <w:t xml:space="preserve"> </w:t>
      </w:r>
      <w:r w:rsidR="00DB4027" w:rsidRPr="007F2E21">
        <w:rPr>
          <w:rFonts w:ascii="Times New Roman" w:hAnsi="Times New Roman" w:cs="Times New Roman"/>
          <w:sz w:val="20"/>
          <w:szCs w:val="20"/>
        </w:rPr>
        <w:t xml:space="preserve">The </w:t>
      </w:r>
      <w:r w:rsidR="007F2E21">
        <w:rPr>
          <w:rFonts w:ascii="Times New Roman" w:hAnsi="Times New Roman" w:cs="Times New Roman"/>
          <w:sz w:val="20"/>
          <w:szCs w:val="20"/>
        </w:rPr>
        <w:t>d</w:t>
      </w:r>
      <w:r w:rsidR="00DB4027" w:rsidRPr="007F2E21">
        <w:rPr>
          <w:rFonts w:ascii="Times New Roman" w:hAnsi="Times New Roman" w:cs="Times New Roman"/>
          <w:sz w:val="20"/>
          <w:szCs w:val="20"/>
        </w:rPr>
        <w:t xml:space="preserve">ata preparation </w:t>
      </w:r>
      <w:r w:rsidR="0006050D" w:rsidRPr="007F2E21">
        <w:rPr>
          <w:rFonts w:ascii="Times New Roman" w:hAnsi="Times New Roman" w:cs="Times New Roman"/>
          <w:sz w:val="20"/>
          <w:szCs w:val="20"/>
        </w:rPr>
        <w:t xml:space="preserve">interface </w:t>
      </w:r>
      <w:r w:rsidR="00DB4027" w:rsidRPr="007F2E21">
        <w:rPr>
          <w:rFonts w:ascii="Times New Roman" w:hAnsi="Times New Roman" w:cs="Times New Roman"/>
          <w:sz w:val="20"/>
          <w:szCs w:val="20"/>
        </w:rPr>
        <w:t xml:space="preserve">after loading the </w:t>
      </w:r>
      <w:proofErr w:type="spellStart"/>
      <w:r w:rsidR="00DB4027" w:rsidRPr="007F2E21">
        <w:rPr>
          <w:rFonts w:ascii="Times New Roman" w:hAnsi="Times New Roman" w:cs="Times New Roman"/>
          <w:sz w:val="20"/>
          <w:szCs w:val="20"/>
        </w:rPr>
        <w:t>shapefile</w:t>
      </w:r>
      <w:proofErr w:type="spellEnd"/>
    </w:p>
    <w:p w:rsidR="00205793" w:rsidRDefault="00205793" w:rsidP="00DA19D2">
      <w:pPr>
        <w:pStyle w:val="ListParagraph"/>
        <w:tabs>
          <w:tab w:val="left" w:pos="7938"/>
        </w:tabs>
        <w:spacing w:after="120" w:line="360" w:lineRule="auto"/>
        <w:ind w:left="-1134"/>
        <w:jc w:val="both"/>
        <w:rPr>
          <w:rFonts w:ascii="Times New Roman" w:hAnsi="Times New Roman" w:cs="Times New Roman"/>
        </w:rPr>
      </w:pPr>
    </w:p>
    <w:p w:rsidR="00A73AA1" w:rsidRDefault="00A73AA1" w:rsidP="00DA19D2">
      <w:pPr>
        <w:tabs>
          <w:tab w:val="left" w:pos="7938"/>
        </w:tabs>
        <w:spacing w:after="120" w:line="360" w:lineRule="auto"/>
        <w:ind w:left="-1134"/>
        <w:jc w:val="both"/>
        <w:rPr>
          <w:sz w:val="22"/>
          <w:szCs w:val="22"/>
          <w:lang w:val="en-GB"/>
        </w:rPr>
      </w:pPr>
      <w:r w:rsidRPr="009F6B29">
        <w:rPr>
          <w:sz w:val="22"/>
          <w:szCs w:val="22"/>
          <w:lang w:val="en-GB"/>
        </w:rPr>
        <w:t xml:space="preserve">When the </w:t>
      </w:r>
      <w:proofErr w:type="spellStart"/>
      <w:r w:rsidRPr="009F6B29">
        <w:rPr>
          <w:sz w:val="22"/>
          <w:szCs w:val="22"/>
          <w:lang w:val="en-GB"/>
        </w:rPr>
        <w:t>shapefile</w:t>
      </w:r>
      <w:proofErr w:type="spellEnd"/>
      <w:r w:rsidRPr="009F6B29">
        <w:rPr>
          <w:sz w:val="22"/>
          <w:szCs w:val="22"/>
          <w:lang w:val="en-GB"/>
        </w:rPr>
        <w:t xml:space="preserve"> is loaded, three data output options are enabled: </w:t>
      </w:r>
      <w:r w:rsidR="007B6B9C">
        <w:rPr>
          <w:sz w:val="22"/>
          <w:szCs w:val="22"/>
          <w:lang w:val="en-GB"/>
        </w:rPr>
        <w:t>(</w:t>
      </w:r>
      <w:proofErr w:type="spellStart"/>
      <w:r w:rsidR="007B6B9C">
        <w:rPr>
          <w:sz w:val="22"/>
          <w:szCs w:val="22"/>
          <w:lang w:val="en-GB"/>
        </w:rPr>
        <w:t>i</w:t>
      </w:r>
      <w:proofErr w:type="spellEnd"/>
      <w:r w:rsidRPr="009F6B29">
        <w:rPr>
          <w:sz w:val="22"/>
          <w:szCs w:val="22"/>
          <w:lang w:val="en-GB"/>
        </w:rPr>
        <w:t>) the contiguit</w:t>
      </w:r>
      <w:r w:rsidR="007B6B9C">
        <w:rPr>
          <w:sz w:val="22"/>
          <w:szCs w:val="22"/>
          <w:lang w:val="en-GB"/>
        </w:rPr>
        <w:t>ies</w:t>
      </w:r>
      <w:r w:rsidRPr="009F6B29">
        <w:rPr>
          <w:sz w:val="22"/>
          <w:szCs w:val="22"/>
          <w:lang w:val="en-GB"/>
        </w:rPr>
        <w:t xml:space="preserve">, </w:t>
      </w:r>
      <w:r w:rsidR="007B6B9C">
        <w:rPr>
          <w:sz w:val="22"/>
          <w:szCs w:val="22"/>
          <w:lang w:val="en-GB"/>
        </w:rPr>
        <w:t>(ii</w:t>
      </w:r>
      <w:r w:rsidRPr="009F6B29">
        <w:rPr>
          <w:sz w:val="22"/>
          <w:szCs w:val="22"/>
          <w:lang w:val="en-GB"/>
        </w:rPr>
        <w:t xml:space="preserve">) the centroids and </w:t>
      </w:r>
      <w:r w:rsidR="007B6B9C">
        <w:rPr>
          <w:sz w:val="22"/>
          <w:szCs w:val="22"/>
          <w:lang w:val="en-GB"/>
        </w:rPr>
        <w:t>(iii</w:t>
      </w:r>
      <w:r w:rsidRPr="009F6B29">
        <w:rPr>
          <w:sz w:val="22"/>
          <w:szCs w:val="22"/>
          <w:lang w:val="en-GB"/>
        </w:rPr>
        <w:t xml:space="preserve">) the pairwise migration flows. The contiguity </w:t>
      </w:r>
      <w:r>
        <w:rPr>
          <w:sz w:val="22"/>
          <w:szCs w:val="22"/>
          <w:lang w:val="en-GB"/>
        </w:rPr>
        <w:t>option</w:t>
      </w:r>
      <w:r w:rsidRPr="009F6B29">
        <w:rPr>
          <w:sz w:val="22"/>
          <w:szCs w:val="22"/>
          <w:lang w:val="en-GB"/>
        </w:rPr>
        <w:t xml:space="preserve"> creates a pairwise file </w:t>
      </w:r>
      <w:r w:rsidR="0006050D">
        <w:rPr>
          <w:sz w:val="22"/>
          <w:szCs w:val="22"/>
          <w:lang w:val="en-GB"/>
        </w:rPr>
        <w:t>in which</w:t>
      </w:r>
      <w:r w:rsidRPr="009F6B29">
        <w:rPr>
          <w:sz w:val="22"/>
          <w:szCs w:val="22"/>
          <w:lang w:val="en-GB"/>
        </w:rPr>
        <w:t xml:space="preserve"> pairs of BSUs (recorded as comma delimited text) represent the existing adjacencies of boundaries.</w:t>
      </w:r>
      <w:r w:rsidR="00EC61F3">
        <w:rPr>
          <w:sz w:val="22"/>
          <w:szCs w:val="22"/>
          <w:lang w:val="en-GB"/>
        </w:rPr>
        <w:t xml:space="preserve"> </w:t>
      </w:r>
      <w:r w:rsidRPr="009F6B29">
        <w:rPr>
          <w:sz w:val="22"/>
          <w:szCs w:val="22"/>
          <w:lang w:val="en-GB"/>
        </w:rPr>
        <w:t>The</w:t>
      </w:r>
      <w:r w:rsidR="00EC61F3">
        <w:rPr>
          <w:sz w:val="22"/>
          <w:szCs w:val="22"/>
          <w:lang w:val="en-GB"/>
        </w:rPr>
        <w:t xml:space="preserve"> </w:t>
      </w:r>
      <w:r>
        <w:rPr>
          <w:sz w:val="22"/>
          <w:szCs w:val="22"/>
          <w:lang w:val="en-GB"/>
        </w:rPr>
        <w:t>option</w:t>
      </w:r>
      <w:r w:rsidR="00EC61F3">
        <w:rPr>
          <w:sz w:val="22"/>
          <w:szCs w:val="22"/>
          <w:lang w:val="en-GB"/>
        </w:rPr>
        <w:t xml:space="preserve"> </w:t>
      </w:r>
      <w:r>
        <w:rPr>
          <w:sz w:val="22"/>
          <w:szCs w:val="22"/>
          <w:lang w:val="en-GB"/>
        </w:rPr>
        <w:t xml:space="preserve">extracts the </w:t>
      </w:r>
      <w:r w:rsidR="00EC61F3">
        <w:rPr>
          <w:sz w:val="22"/>
          <w:szCs w:val="22"/>
          <w:lang w:val="en-GB"/>
        </w:rPr>
        <w:t xml:space="preserve">geometric </w:t>
      </w:r>
      <w:r>
        <w:rPr>
          <w:sz w:val="22"/>
          <w:szCs w:val="22"/>
          <w:lang w:val="en-GB"/>
        </w:rPr>
        <w:t>centroids and area</w:t>
      </w:r>
      <w:r w:rsidR="007F2E21">
        <w:rPr>
          <w:sz w:val="22"/>
          <w:szCs w:val="22"/>
          <w:lang w:val="en-GB"/>
        </w:rPr>
        <w:t>s</w:t>
      </w:r>
      <w:r>
        <w:rPr>
          <w:sz w:val="22"/>
          <w:szCs w:val="22"/>
          <w:lang w:val="en-GB"/>
        </w:rPr>
        <w:t xml:space="preserve"> from each BSU while the pairwise flows option converts the comma delimited </w:t>
      </w:r>
      <w:r w:rsidR="0006050D">
        <w:rPr>
          <w:sz w:val="22"/>
          <w:szCs w:val="22"/>
          <w:lang w:val="en-GB"/>
        </w:rPr>
        <w:t xml:space="preserve">migration </w:t>
      </w:r>
      <w:r>
        <w:rPr>
          <w:sz w:val="22"/>
          <w:szCs w:val="22"/>
          <w:lang w:val="en-GB"/>
        </w:rPr>
        <w:t xml:space="preserve">flow matrix </w:t>
      </w:r>
      <w:r w:rsidR="0006050D">
        <w:rPr>
          <w:sz w:val="22"/>
          <w:szCs w:val="22"/>
          <w:lang w:val="en-GB"/>
        </w:rPr>
        <w:t>in</w:t>
      </w:r>
      <w:r>
        <w:rPr>
          <w:sz w:val="22"/>
          <w:szCs w:val="22"/>
          <w:lang w:val="en-GB"/>
        </w:rPr>
        <w:t xml:space="preserve">to a pairwise flow file. An important system parameter is the selection of the ‘Identifier Field’. This field holds the unique number </w:t>
      </w:r>
      <w:r w:rsidR="007B6B9C">
        <w:rPr>
          <w:sz w:val="22"/>
          <w:szCs w:val="22"/>
          <w:lang w:val="en-GB"/>
        </w:rPr>
        <w:t xml:space="preserve">for </w:t>
      </w:r>
      <w:r>
        <w:rPr>
          <w:sz w:val="22"/>
          <w:szCs w:val="22"/>
          <w:lang w:val="en-GB"/>
        </w:rPr>
        <w:t>each BSU and</w:t>
      </w:r>
      <w:r w:rsidR="007F2E21">
        <w:rPr>
          <w:sz w:val="22"/>
          <w:szCs w:val="22"/>
          <w:lang w:val="en-GB"/>
        </w:rPr>
        <w:t>,</w:t>
      </w:r>
      <w:r>
        <w:rPr>
          <w:sz w:val="22"/>
          <w:szCs w:val="22"/>
          <w:lang w:val="en-GB"/>
        </w:rPr>
        <w:t xml:space="preserve"> by using this unique number</w:t>
      </w:r>
      <w:r w:rsidR="007F2E21">
        <w:rPr>
          <w:sz w:val="22"/>
          <w:szCs w:val="22"/>
          <w:lang w:val="en-GB"/>
        </w:rPr>
        <w:t>,</w:t>
      </w:r>
      <w:r>
        <w:rPr>
          <w:sz w:val="22"/>
          <w:szCs w:val="22"/>
          <w:lang w:val="en-GB"/>
        </w:rPr>
        <w:t xml:space="preserve"> the correct association between the BSUs and the migration </w:t>
      </w:r>
      <w:proofErr w:type="spellStart"/>
      <w:r>
        <w:rPr>
          <w:sz w:val="22"/>
          <w:szCs w:val="22"/>
          <w:lang w:val="en-GB"/>
        </w:rPr>
        <w:t>flows</w:t>
      </w:r>
      <w:r w:rsidR="007B6B9C">
        <w:rPr>
          <w:sz w:val="22"/>
          <w:szCs w:val="22"/>
          <w:lang w:val="en-GB"/>
        </w:rPr>
        <w:t>is</w:t>
      </w:r>
      <w:proofErr w:type="spellEnd"/>
      <w:r w:rsidR="007B6B9C">
        <w:rPr>
          <w:sz w:val="22"/>
          <w:szCs w:val="22"/>
          <w:lang w:val="en-GB"/>
        </w:rPr>
        <w:t xml:space="preserve"> </w:t>
      </w:r>
      <w:proofErr w:type="spellStart"/>
      <w:r w:rsidR="007B6B9C">
        <w:rPr>
          <w:sz w:val="22"/>
          <w:szCs w:val="22"/>
          <w:lang w:val="en-GB"/>
        </w:rPr>
        <w:t>secured</w:t>
      </w:r>
      <w:r>
        <w:rPr>
          <w:sz w:val="22"/>
          <w:szCs w:val="22"/>
          <w:lang w:val="en-GB"/>
        </w:rPr>
        <w:t>.The</w:t>
      </w:r>
      <w:proofErr w:type="spellEnd"/>
      <w:r>
        <w:rPr>
          <w:sz w:val="22"/>
          <w:szCs w:val="22"/>
          <w:lang w:val="en-GB"/>
        </w:rPr>
        <w:t xml:space="preserve"> three output files are vital inputs for the other </w:t>
      </w:r>
      <w:r w:rsidR="002B441F">
        <w:rPr>
          <w:sz w:val="22"/>
          <w:szCs w:val="22"/>
          <w:lang w:val="en-GB"/>
        </w:rPr>
        <w:t>sub</w:t>
      </w:r>
      <w:r>
        <w:rPr>
          <w:sz w:val="22"/>
          <w:szCs w:val="22"/>
          <w:lang w:val="en-GB"/>
        </w:rPr>
        <w:t xml:space="preserve">systems of </w:t>
      </w:r>
      <w:r w:rsidR="007B6B9C">
        <w:rPr>
          <w:sz w:val="22"/>
          <w:szCs w:val="22"/>
          <w:lang w:val="en-GB"/>
        </w:rPr>
        <w:t xml:space="preserve">the </w:t>
      </w:r>
      <w:r>
        <w:rPr>
          <w:sz w:val="22"/>
          <w:szCs w:val="22"/>
          <w:lang w:val="en-GB"/>
        </w:rPr>
        <w:t xml:space="preserve">IMAGE studio </w:t>
      </w:r>
      <w:r w:rsidR="007B6B9C">
        <w:rPr>
          <w:sz w:val="22"/>
          <w:szCs w:val="22"/>
          <w:lang w:val="en-GB"/>
        </w:rPr>
        <w:t xml:space="preserve">and </w:t>
      </w:r>
      <w:r>
        <w:rPr>
          <w:sz w:val="22"/>
          <w:szCs w:val="22"/>
          <w:lang w:val="en-GB"/>
        </w:rPr>
        <w:t xml:space="preserve">therefore are stored </w:t>
      </w:r>
      <w:r w:rsidR="007B6B9C">
        <w:rPr>
          <w:sz w:val="22"/>
          <w:szCs w:val="22"/>
          <w:lang w:val="en-GB"/>
        </w:rPr>
        <w:t>for subsequent reuse</w:t>
      </w:r>
      <w:r>
        <w:rPr>
          <w:sz w:val="22"/>
          <w:szCs w:val="22"/>
          <w:lang w:val="en-GB"/>
        </w:rPr>
        <w:t>.</w:t>
      </w:r>
    </w:p>
    <w:p w:rsidR="00345474" w:rsidRPr="009F6B29" w:rsidRDefault="00345474" w:rsidP="00DA19D2">
      <w:pPr>
        <w:tabs>
          <w:tab w:val="left" w:pos="7938"/>
        </w:tabs>
        <w:spacing w:after="120" w:line="360" w:lineRule="auto"/>
        <w:ind w:left="-1134"/>
        <w:jc w:val="both"/>
        <w:rPr>
          <w:sz w:val="22"/>
          <w:szCs w:val="22"/>
          <w:lang w:val="en-GB"/>
        </w:rPr>
      </w:pPr>
    </w:p>
    <w:p w:rsidR="002E1F3B" w:rsidRDefault="002E1F3B" w:rsidP="00DA19D2">
      <w:pPr>
        <w:tabs>
          <w:tab w:val="left" w:pos="7938"/>
        </w:tabs>
        <w:spacing w:after="120" w:line="360" w:lineRule="auto"/>
        <w:ind w:left="-1134"/>
        <w:jc w:val="both"/>
        <w:rPr>
          <w:b/>
          <w:lang w:val="en-GB"/>
        </w:rPr>
      </w:pPr>
    </w:p>
    <w:p w:rsidR="00FC03E6" w:rsidRPr="006535EF" w:rsidRDefault="00FC03E6" w:rsidP="00DA19D2">
      <w:pPr>
        <w:tabs>
          <w:tab w:val="left" w:pos="7938"/>
        </w:tabs>
        <w:spacing w:after="120" w:line="360" w:lineRule="auto"/>
        <w:ind w:left="-1134"/>
        <w:jc w:val="both"/>
        <w:rPr>
          <w:b/>
          <w:lang w:val="en-GB"/>
        </w:rPr>
      </w:pPr>
      <w:r w:rsidRPr="006535EF">
        <w:rPr>
          <w:b/>
          <w:lang w:val="en-GB"/>
        </w:rPr>
        <w:lastRenderedPageBreak/>
        <w:t>Spatial and attribute aggregation methods</w:t>
      </w:r>
    </w:p>
    <w:p w:rsidR="00FC03E6" w:rsidRPr="00DA04F8" w:rsidRDefault="00FC03E6" w:rsidP="00DA19D2">
      <w:pPr>
        <w:tabs>
          <w:tab w:val="left" w:pos="7938"/>
        </w:tabs>
        <w:spacing w:after="120" w:line="360" w:lineRule="auto"/>
        <w:ind w:left="-1134"/>
        <w:jc w:val="both"/>
        <w:rPr>
          <w:sz w:val="22"/>
          <w:szCs w:val="22"/>
          <w:lang w:val="en-GB"/>
        </w:rPr>
      </w:pPr>
      <w:r w:rsidRPr="00DA04F8">
        <w:rPr>
          <w:sz w:val="22"/>
          <w:szCs w:val="22"/>
          <w:lang w:val="en-GB"/>
        </w:rPr>
        <w:t xml:space="preserve">One of the most important parts of any combinatorial optimisation method is the initial aggregation of BSUs. The IMAGE system contains two different aggregation algorithms for generating </w:t>
      </w:r>
      <w:r w:rsidR="00973B6A" w:rsidRPr="00973B6A">
        <w:rPr>
          <w:i/>
          <w:sz w:val="22"/>
          <w:szCs w:val="22"/>
          <w:lang w:val="en-GB"/>
        </w:rPr>
        <w:t>‘</w:t>
      </w:r>
      <w:r w:rsidRPr="00973B6A">
        <w:rPr>
          <w:i/>
          <w:sz w:val="22"/>
          <w:szCs w:val="22"/>
          <w:lang w:val="en-GB"/>
        </w:rPr>
        <w:t>N</w:t>
      </w:r>
      <w:r w:rsidR="00973B6A" w:rsidRPr="00973B6A">
        <w:rPr>
          <w:i/>
          <w:sz w:val="22"/>
          <w:szCs w:val="22"/>
          <w:lang w:val="en-GB"/>
        </w:rPr>
        <w:t>’</w:t>
      </w:r>
      <w:r w:rsidRPr="00DA04F8">
        <w:rPr>
          <w:sz w:val="22"/>
          <w:szCs w:val="22"/>
          <w:lang w:val="en-GB"/>
        </w:rPr>
        <w:t xml:space="preserve"> contiguous </w:t>
      </w:r>
      <w:r w:rsidR="00F65C0F">
        <w:rPr>
          <w:sz w:val="22"/>
          <w:szCs w:val="22"/>
          <w:lang w:val="en-GB"/>
        </w:rPr>
        <w:t xml:space="preserve">aggregate statistical </w:t>
      </w:r>
      <w:r w:rsidR="00543233">
        <w:rPr>
          <w:sz w:val="22"/>
          <w:szCs w:val="22"/>
          <w:lang w:val="en-GB"/>
        </w:rPr>
        <w:t xml:space="preserve">regions </w:t>
      </w:r>
      <w:r w:rsidR="00F65C0F">
        <w:rPr>
          <w:sz w:val="22"/>
          <w:szCs w:val="22"/>
          <w:lang w:val="en-GB"/>
        </w:rPr>
        <w:t xml:space="preserve">(ASRs) </w:t>
      </w:r>
      <w:r w:rsidRPr="00DA04F8">
        <w:rPr>
          <w:sz w:val="22"/>
          <w:szCs w:val="22"/>
          <w:lang w:val="en-GB"/>
        </w:rPr>
        <w:t xml:space="preserve">from </w:t>
      </w:r>
      <w:r w:rsidR="00973B6A" w:rsidRPr="00973B6A">
        <w:rPr>
          <w:i/>
          <w:sz w:val="22"/>
          <w:szCs w:val="22"/>
          <w:lang w:val="en-GB"/>
        </w:rPr>
        <w:t>‘</w:t>
      </w:r>
      <w:r w:rsidRPr="00DA04F8">
        <w:rPr>
          <w:i/>
          <w:sz w:val="22"/>
          <w:szCs w:val="22"/>
          <w:lang w:val="en-GB"/>
        </w:rPr>
        <w:t>M</w:t>
      </w:r>
      <w:r w:rsidR="00973B6A">
        <w:rPr>
          <w:i/>
          <w:sz w:val="22"/>
          <w:szCs w:val="22"/>
          <w:lang w:val="en-GB"/>
        </w:rPr>
        <w:t>’</w:t>
      </w:r>
      <w:r w:rsidRPr="00DA04F8">
        <w:rPr>
          <w:sz w:val="22"/>
          <w:szCs w:val="22"/>
          <w:lang w:val="en-GB"/>
        </w:rPr>
        <w:t>BSUs. These two approaches are the Initial Random Aggregation (IRA) and the IRA-wave algorithm. The original IRA algorithm</w:t>
      </w:r>
      <w:r w:rsidR="007B6B9C">
        <w:rPr>
          <w:sz w:val="22"/>
          <w:szCs w:val="22"/>
          <w:lang w:val="en-GB"/>
        </w:rPr>
        <w:t>,</w:t>
      </w:r>
      <w:r w:rsidRPr="00DA04F8">
        <w:rPr>
          <w:sz w:val="22"/>
          <w:szCs w:val="22"/>
          <w:lang w:val="en-GB"/>
        </w:rPr>
        <w:t xml:space="preserve"> developed by </w:t>
      </w:r>
      <w:proofErr w:type="spellStart"/>
      <w:r w:rsidRPr="00DA04F8">
        <w:rPr>
          <w:sz w:val="22"/>
          <w:szCs w:val="22"/>
          <w:lang w:val="en-GB"/>
        </w:rPr>
        <w:t>Openshaw</w:t>
      </w:r>
      <w:proofErr w:type="spellEnd"/>
      <w:r w:rsidRPr="00DA04F8">
        <w:rPr>
          <w:sz w:val="22"/>
          <w:szCs w:val="22"/>
          <w:lang w:val="en-GB"/>
        </w:rPr>
        <w:t xml:space="preserve"> (1977)</w:t>
      </w:r>
      <w:r w:rsidR="007B6B9C">
        <w:rPr>
          <w:sz w:val="22"/>
          <w:szCs w:val="22"/>
          <w:lang w:val="en-GB"/>
        </w:rPr>
        <w:t>,</w:t>
      </w:r>
      <w:r w:rsidRPr="00DA04F8">
        <w:rPr>
          <w:sz w:val="22"/>
          <w:szCs w:val="22"/>
          <w:lang w:val="en-GB"/>
        </w:rPr>
        <w:t xml:space="preserve"> provides a high degree of randomisation to ensure that the resulting aggregations are different during the iterations. In the IMAGE </w:t>
      </w:r>
      <w:r w:rsidR="008F50DE">
        <w:rPr>
          <w:sz w:val="22"/>
          <w:szCs w:val="22"/>
          <w:lang w:val="en-GB"/>
        </w:rPr>
        <w:t>studio</w:t>
      </w:r>
      <w:r w:rsidRPr="00DA04F8">
        <w:rPr>
          <w:sz w:val="22"/>
          <w:szCs w:val="22"/>
          <w:lang w:val="en-GB"/>
        </w:rPr>
        <w:t xml:space="preserve">, the algorithm </w:t>
      </w:r>
      <w:r w:rsidR="00051199">
        <w:rPr>
          <w:sz w:val="22"/>
          <w:szCs w:val="22"/>
          <w:lang w:val="en-GB"/>
        </w:rPr>
        <w:t>follows</w:t>
      </w:r>
      <w:r w:rsidR="00A435F3">
        <w:rPr>
          <w:sz w:val="22"/>
          <w:szCs w:val="22"/>
          <w:lang w:val="en-GB"/>
        </w:rPr>
        <w:t xml:space="preserve"> </w:t>
      </w:r>
      <w:proofErr w:type="spellStart"/>
      <w:r w:rsidRPr="00DA04F8">
        <w:rPr>
          <w:sz w:val="22"/>
          <w:szCs w:val="22"/>
          <w:lang w:val="en-GB"/>
        </w:rPr>
        <w:t>Openshaw’sFortran</w:t>
      </w:r>
      <w:proofErr w:type="spellEnd"/>
      <w:r w:rsidRPr="00DA04F8">
        <w:rPr>
          <w:sz w:val="22"/>
          <w:szCs w:val="22"/>
          <w:lang w:val="en-GB"/>
        </w:rPr>
        <w:t xml:space="preserve"> subroutine but it has been implemented with object-oriented principles. The advantage of this approach is the use of objects instead of matrices which avoids the sustained sequential processes and results in much quicker random aggregation (Daras, 2006). </w:t>
      </w:r>
      <w:r w:rsidR="00F3303D">
        <w:rPr>
          <w:sz w:val="22"/>
          <w:szCs w:val="22"/>
          <w:lang w:val="en-GB"/>
        </w:rPr>
        <w:t xml:space="preserve">Detailed </w:t>
      </w:r>
      <w:proofErr w:type="gramStart"/>
      <w:r w:rsidR="00F3303D">
        <w:rPr>
          <w:sz w:val="22"/>
          <w:szCs w:val="22"/>
          <w:lang w:val="en-GB"/>
        </w:rPr>
        <w:t>explanation of these methods are</w:t>
      </w:r>
      <w:proofErr w:type="gramEnd"/>
      <w:r w:rsidR="00F3303D">
        <w:rPr>
          <w:sz w:val="22"/>
          <w:szCs w:val="22"/>
          <w:lang w:val="en-GB"/>
        </w:rPr>
        <w:t xml:space="preserve"> available elsewhere (Daras 2014, Daras et al. submitted).</w:t>
      </w:r>
    </w:p>
    <w:p w:rsidR="00543233" w:rsidRDefault="00FC03E6" w:rsidP="00DA19D2">
      <w:pPr>
        <w:tabs>
          <w:tab w:val="left" w:pos="7938"/>
        </w:tabs>
        <w:spacing w:after="120" w:line="360" w:lineRule="auto"/>
        <w:ind w:left="-1134"/>
        <w:jc w:val="both"/>
        <w:rPr>
          <w:sz w:val="22"/>
          <w:szCs w:val="22"/>
          <w:lang w:val="en-GB"/>
        </w:rPr>
      </w:pPr>
      <w:r w:rsidRPr="00DA04F8">
        <w:rPr>
          <w:sz w:val="22"/>
          <w:szCs w:val="22"/>
          <w:lang w:val="en-GB"/>
        </w:rPr>
        <w:t>An alternative algorithm for aggregating BSUs is the IRA-wave algorithm</w:t>
      </w:r>
      <w:r w:rsidR="008F50DE">
        <w:rPr>
          <w:sz w:val="22"/>
          <w:szCs w:val="22"/>
          <w:lang w:val="en-GB"/>
        </w:rPr>
        <w:t xml:space="preserve"> which is </w:t>
      </w:r>
      <w:r w:rsidRPr="00DA04F8">
        <w:rPr>
          <w:sz w:val="22"/>
          <w:szCs w:val="22"/>
          <w:lang w:val="en-GB"/>
        </w:rPr>
        <w:t xml:space="preserve">a hybrid version of the original IRA algorithm with strong influences from the mechanics of the breadth-first search (BFS) algorithm. The first step of the algorithm is to select </w:t>
      </w:r>
      <w:r w:rsidRPr="00973B6A">
        <w:rPr>
          <w:i/>
          <w:sz w:val="22"/>
          <w:szCs w:val="22"/>
          <w:lang w:val="en-GB"/>
        </w:rPr>
        <w:t>‘N’</w:t>
      </w:r>
      <w:r w:rsidRPr="00DA04F8">
        <w:rPr>
          <w:sz w:val="22"/>
          <w:szCs w:val="22"/>
          <w:lang w:val="en-GB"/>
        </w:rPr>
        <w:t xml:space="preserve"> BSUs randomly and assign each one to an empty </w:t>
      </w:r>
      <w:r w:rsidRPr="00DA04F8">
        <w:rPr>
          <w:i/>
          <w:sz w:val="22"/>
          <w:szCs w:val="22"/>
          <w:lang w:val="en-GB"/>
        </w:rPr>
        <w:t>N</w:t>
      </w:r>
      <w:r w:rsidR="00A74CFC">
        <w:rPr>
          <w:i/>
          <w:sz w:val="22"/>
          <w:szCs w:val="22"/>
          <w:lang w:val="en-GB"/>
        </w:rPr>
        <w:t xml:space="preserve"> </w:t>
      </w:r>
      <w:r w:rsidR="004D10E1">
        <w:rPr>
          <w:sz w:val="22"/>
          <w:szCs w:val="22"/>
          <w:lang w:val="en-GB"/>
        </w:rPr>
        <w:t>ASR</w:t>
      </w:r>
      <w:r w:rsidRPr="00DA04F8">
        <w:rPr>
          <w:sz w:val="22"/>
          <w:szCs w:val="22"/>
          <w:lang w:val="en-GB"/>
        </w:rPr>
        <w:t xml:space="preserve">. Using an iterative process until all the BSUs have been allocated to the </w:t>
      </w:r>
      <w:r w:rsidRPr="008F50DE">
        <w:rPr>
          <w:i/>
          <w:sz w:val="22"/>
          <w:szCs w:val="22"/>
          <w:lang w:val="en-GB"/>
        </w:rPr>
        <w:t>N</w:t>
      </w:r>
      <w:r w:rsidR="004D10E1">
        <w:rPr>
          <w:sz w:val="22"/>
          <w:szCs w:val="22"/>
          <w:lang w:val="en-GB"/>
        </w:rPr>
        <w:t>ASR</w:t>
      </w:r>
      <w:r w:rsidRPr="00DA04F8">
        <w:rPr>
          <w:sz w:val="22"/>
          <w:szCs w:val="22"/>
          <w:lang w:val="en-GB"/>
        </w:rPr>
        <w:t xml:space="preserve">s, the algorithm identifies the adjusted areas of each </w:t>
      </w:r>
      <w:r w:rsidR="004D10E1">
        <w:rPr>
          <w:sz w:val="22"/>
          <w:szCs w:val="22"/>
          <w:lang w:val="en-GB"/>
        </w:rPr>
        <w:t>ASR</w:t>
      </w:r>
      <w:r w:rsidR="0006050D">
        <w:rPr>
          <w:sz w:val="22"/>
          <w:szCs w:val="22"/>
          <w:lang w:val="en-GB"/>
        </w:rPr>
        <w:t>,</w:t>
      </w:r>
      <w:r w:rsidRPr="00DA04F8">
        <w:rPr>
          <w:sz w:val="22"/>
          <w:szCs w:val="22"/>
          <w:lang w:val="en-GB"/>
        </w:rPr>
        <w:t xml:space="preserve"> targeting only the BSUs without an assigned </w:t>
      </w:r>
      <w:r w:rsidR="004D10E1">
        <w:rPr>
          <w:sz w:val="22"/>
          <w:szCs w:val="22"/>
          <w:lang w:val="en-GB"/>
        </w:rPr>
        <w:t>ASR</w:t>
      </w:r>
      <w:r w:rsidR="0006050D">
        <w:rPr>
          <w:sz w:val="22"/>
          <w:szCs w:val="22"/>
          <w:lang w:val="en-GB"/>
        </w:rPr>
        <w:t>,</w:t>
      </w:r>
      <w:r w:rsidRPr="00DA04F8">
        <w:rPr>
          <w:sz w:val="22"/>
          <w:szCs w:val="22"/>
          <w:lang w:val="en-GB"/>
        </w:rPr>
        <w:t xml:space="preserve"> and adds them to each </w:t>
      </w:r>
      <w:r w:rsidR="004D10E1">
        <w:rPr>
          <w:sz w:val="22"/>
          <w:szCs w:val="22"/>
          <w:lang w:val="en-GB"/>
        </w:rPr>
        <w:t>ASR</w:t>
      </w:r>
      <w:r w:rsidRPr="00DA04F8">
        <w:rPr>
          <w:sz w:val="22"/>
          <w:szCs w:val="22"/>
          <w:lang w:val="en-GB"/>
        </w:rPr>
        <w:t xml:space="preserve"> respectively.  One advantage of the IRA-wave algorithm versus the initial IRA algorithm is the swiftness for producing a large number of initial aggregations. Moreover, the IRA-wave provides well-shaped </w:t>
      </w:r>
      <w:r w:rsidR="008B53CB">
        <w:rPr>
          <w:sz w:val="22"/>
          <w:szCs w:val="22"/>
          <w:lang w:val="en-GB"/>
        </w:rPr>
        <w:t>ASR</w:t>
      </w:r>
      <w:r w:rsidRPr="00DA04F8">
        <w:rPr>
          <w:sz w:val="22"/>
          <w:szCs w:val="22"/>
          <w:lang w:val="en-GB"/>
        </w:rPr>
        <w:t xml:space="preserve">s in comparison to the </w:t>
      </w:r>
      <w:r w:rsidR="00411934">
        <w:rPr>
          <w:sz w:val="22"/>
          <w:szCs w:val="22"/>
          <w:lang w:val="en-GB"/>
        </w:rPr>
        <w:t xml:space="preserve">irregular </w:t>
      </w:r>
      <w:r w:rsidRPr="00DA04F8">
        <w:rPr>
          <w:sz w:val="22"/>
          <w:szCs w:val="22"/>
          <w:lang w:val="en-GB"/>
        </w:rPr>
        <w:t>shapes of the IRA algorithm.</w:t>
      </w:r>
      <w:r w:rsidR="00A74CFC">
        <w:rPr>
          <w:sz w:val="22"/>
          <w:szCs w:val="22"/>
          <w:lang w:val="en-GB"/>
        </w:rPr>
        <w:t xml:space="preserve"> However, there is no objective function involved and therefore the ASRs can be of any size and population. </w:t>
      </w:r>
      <w:r w:rsidRPr="00DA04F8">
        <w:rPr>
          <w:sz w:val="22"/>
          <w:szCs w:val="22"/>
          <w:lang w:val="en-GB"/>
        </w:rPr>
        <w:t xml:space="preserve">It is also </w:t>
      </w:r>
      <w:r w:rsidR="008B53CB">
        <w:rPr>
          <w:sz w:val="22"/>
          <w:szCs w:val="22"/>
          <w:lang w:val="en-GB"/>
        </w:rPr>
        <w:t xml:space="preserve">important to </w:t>
      </w:r>
      <w:r w:rsidR="00411934">
        <w:rPr>
          <w:sz w:val="22"/>
          <w:szCs w:val="22"/>
          <w:lang w:val="en-GB"/>
        </w:rPr>
        <w:t xml:space="preserve">note </w:t>
      </w:r>
      <w:r w:rsidR="00411934" w:rsidRPr="00DA04F8">
        <w:rPr>
          <w:sz w:val="22"/>
          <w:szCs w:val="22"/>
          <w:lang w:val="en-GB"/>
        </w:rPr>
        <w:t>that</w:t>
      </w:r>
      <w:r w:rsidRPr="00DA04F8">
        <w:rPr>
          <w:sz w:val="22"/>
          <w:szCs w:val="22"/>
          <w:lang w:val="en-GB"/>
        </w:rPr>
        <w:t xml:space="preserve"> the IRA-wave’s randomness is limited only at the initial level where the algorithm randomly selects </w:t>
      </w:r>
      <w:r w:rsidRPr="00DA04F8">
        <w:rPr>
          <w:i/>
          <w:sz w:val="22"/>
          <w:szCs w:val="22"/>
          <w:lang w:val="en-GB"/>
        </w:rPr>
        <w:t>N</w:t>
      </w:r>
      <w:r w:rsidRPr="00DA04F8">
        <w:rPr>
          <w:sz w:val="22"/>
          <w:szCs w:val="22"/>
          <w:lang w:val="en-GB"/>
        </w:rPr>
        <w:t xml:space="preserve"> BSUs and assigns </w:t>
      </w:r>
      <w:r w:rsidR="008F50DE">
        <w:rPr>
          <w:sz w:val="22"/>
          <w:szCs w:val="22"/>
          <w:lang w:val="en-GB"/>
        </w:rPr>
        <w:t>o</w:t>
      </w:r>
      <w:r w:rsidRPr="00DA04F8">
        <w:rPr>
          <w:sz w:val="22"/>
          <w:szCs w:val="22"/>
          <w:lang w:val="en-GB"/>
        </w:rPr>
        <w:t xml:space="preserve">ne </w:t>
      </w:r>
      <w:r w:rsidR="008F50DE">
        <w:rPr>
          <w:sz w:val="22"/>
          <w:szCs w:val="22"/>
          <w:lang w:val="en-GB"/>
        </w:rPr>
        <w:t>to</w:t>
      </w:r>
      <w:r w:rsidRPr="00DA04F8">
        <w:rPr>
          <w:sz w:val="22"/>
          <w:szCs w:val="22"/>
          <w:lang w:val="en-GB"/>
        </w:rPr>
        <w:t xml:space="preserve"> each </w:t>
      </w:r>
      <w:r w:rsidR="008B53CB">
        <w:rPr>
          <w:sz w:val="22"/>
          <w:szCs w:val="22"/>
          <w:lang w:val="en-GB"/>
        </w:rPr>
        <w:t>ASR</w:t>
      </w:r>
      <w:r w:rsidRPr="00DA04F8">
        <w:rPr>
          <w:sz w:val="22"/>
          <w:szCs w:val="22"/>
          <w:lang w:val="en-GB"/>
        </w:rPr>
        <w:t xml:space="preserve">. The IMAGE </w:t>
      </w:r>
      <w:r w:rsidR="006470A6">
        <w:rPr>
          <w:sz w:val="22"/>
          <w:szCs w:val="22"/>
          <w:lang w:val="en-GB"/>
        </w:rPr>
        <w:t>studio</w:t>
      </w:r>
      <w:r w:rsidRPr="00DA04F8">
        <w:rPr>
          <w:sz w:val="22"/>
          <w:szCs w:val="22"/>
          <w:lang w:val="en-GB"/>
        </w:rPr>
        <w:t xml:space="preserve"> supports both algorithms for experimentation on different degrees of randomness and also allows the user the choice of modelling the initial system of flows or performing </w:t>
      </w:r>
      <w:r w:rsidR="008F50DE">
        <w:rPr>
          <w:sz w:val="22"/>
          <w:szCs w:val="22"/>
          <w:lang w:val="en-GB"/>
        </w:rPr>
        <w:t>either</w:t>
      </w:r>
      <w:r w:rsidR="00A74CFC">
        <w:rPr>
          <w:sz w:val="22"/>
          <w:szCs w:val="22"/>
          <w:lang w:val="en-GB"/>
        </w:rPr>
        <w:t xml:space="preserve"> </w:t>
      </w:r>
      <w:r w:rsidR="0006050D">
        <w:rPr>
          <w:sz w:val="22"/>
          <w:szCs w:val="22"/>
          <w:lang w:val="en-GB"/>
        </w:rPr>
        <w:t xml:space="preserve">a </w:t>
      </w:r>
      <w:r w:rsidRPr="00DA04F8">
        <w:rPr>
          <w:sz w:val="22"/>
          <w:szCs w:val="22"/>
          <w:lang w:val="en-GB"/>
        </w:rPr>
        <w:t xml:space="preserve">single </w:t>
      </w:r>
      <w:r w:rsidR="0006050D">
        <w:rPr>
          <w:sz w:val="22"/>
          <w:szCs w:val="22"/>
          <w:lang w:val="en-GB"/>
        </w:rPr>
        <w:t xml:space="preserve">aggregation </w:t>
      </w:r>
      <w:r w:rsidRPr="00DA04F8">
        <w:rPr>
          <w:sz w:val="22"/>
          <w:szCs w:val="22"/>
          <w:lang w:val="en-GB"/>
        </w:rPr>
        <w:t xml:space="preserve">or multiple aggregations of the BSUs. </w:t>
      </w:r>
    </w:p>
    <w:p w:rsidR="00543233" w:rsidRDefault="00EB5986" w:rsidP="00DA19D2">
      <w:pPr>
        <w:tabs>
          <w:tab w:val="left" w:pos="7938"/>
        </w:tabs>
        <w:spacing w:after="120" w:line="360" w:lineRule="auto"/>
        <w:ind w:left="-1134"/>
        <w:jc w:val="both"/>
        <w:rPr>
          <w:sz w:val="22"/>
          <w:szCs w:val="22"/>
          <w:lang w:val="en-GB"/>
        </w:rPr>
      </w:pPr>
      <w:r>
        <w:rPr>
          <w:sz w:val="22"/>
          <w:szCs w:val="22"/>
          <w:lang w:val="en-GB"/>
        </w:rPr>
        <w:t xml:space="preserve">The single aggregation option simply requires the user to select one scale (number of ASRs) and to specify the number of configurations at that scale. </w:t>
      </w:r>
      <w:r w:rsidR="00543233" w:rsidRPr="00DA04F8">
        <w:rPr>
          <w:sz w:val="22"/>
          <w:szCs w:val="22"/>
          <w:lang w:val="en-GB"/>
        </w:rPr>
        <w:t>Figure 3 shows a screenshot of a multiple aggregation run</w:t>
      </w:r>
      <w:r w:rsidR="00543233">
        <w:rPr>
          <w:sz w:val="22"/>
          <w:szCs w:val="22"/>
          <w:lang w:val="en-GB"/>
        </w:rPr>
        <w:t xml:space="preserve">. </w:t>
      </w:r>
      <w:r w:rsidR="00543233" w:rsidRPr="00DA04F8">
        <w:rPr>
          <w:sz w:val="22"/>
          <w:szCs w:val="22"/>
          <w:lang w:val="en-GB"/>
        </w:rPr>
        <w:t xml:space="preserve">On the left side of the </w:t>
      </w:r>
      <w:r w:rsidR="00543233">
        <w:rPr>
          <w:sz w:val="22"/>
          <w:szCs w:val="22"/>
          <w:lang w:val="en-GB"/>
        </w:rPr>
        <w:t>interface</w:t>
      </w:r>
      <w:r w:rsidR="00543233" w:rsidRPr="00DA04F8">
        <w:rPr>
          <w:sz w:val="22"/>
          <w:szCs w:val="22"/>
          <w:lang w:val="en-GB"/>
        </w:rPr>
        <w:t xml:space="preserve">, the user </w:t>
      </w:r>
      <w:r w:rsidR="00C51ABA">
        <w:rPr>
          <w:sz w:val="22"/>
          <w:szCs w:val="22"/>
          <w:lang w:val="en-GB"/>
        </w:rPr>
        <w:t xml:space="preserve">loads the </w:t>
      </w:r>
      <w:r w:rsidR="00946ED3">
        <w:rPr>
          <w:sz w:val="22"/>
          <w:szCs w:val="22"/>
          <w:lang w:val="en-GB"/>
        </w:rPr>
        <w:t xml:space="preserve">contiguity file and </w:t>
      </w:r>
      <w:r w:rsidR="00543233" w:rsidRPr="00DA04F8">
        <w:rPr>
          <w:sz w:val="22"/>
          <w:szCs w:val="22"/>
          <w:lang w:val="en-GB"/>
        </w:rPr>
        <w:t>sets a series of aggregation parameters such as the type of initial random aggregation required (e.g. IRA-wave), the scale step (e.g. 10) and the number of iterations (e.g. 10</w:t>
      </w:r>
      <w:r w:rsidR="00047AD8">
        <w:rPr>
          <w:sz w:val="22"/>
          <w:szCs w:val="22"/>
          <w:lang w:val="en-GB"/>
        </w:rPr>
        <w:t>0</w:t>
      </w:r>
      <w:r w:rsidR="00543233" w:rsidRPr="00DA04F8">
        <w:rPr>
          <w:sz w:val="22"/>
          <w:szCs w:val="22"/>
          <w:lang w:val="en-GB"/>
        </w:rPr>
        <w:t xml:space="preserve">) </w:t>
      </w:r>
      <w:r>
        <w:rPr>
          <w:sz w:val="22"/>
          <w:szCs w:val="22"/>
          <w:lang w:val="en-GB"/>
        </w:rPr>
        <w:t xml:space="preserve">that </w:t>
      </w:r>
      <w:r w:rsidR="00543233" w:rsidRPr="00DA04F8">
        <w:rPr>
          <w:sz w:val="22"/>
          <w:szCs w:val="22"/>
          <w:lang w:val="en-GB"/>
        </w:rPr>
        <w:t xml:space="preserve">the system will execute </w:t>
      </w:r>
      <w:r w:rsidR="007B6B9C">
        <w:rPr>
          <w:sz w:val="22"/>
          <w:szCs w:val="22"/>
          <w:lang w:val="en-GB"/>
        </w:rPr>
        <w:t>at each step</w:t>
      </w:r>
      <w:r w:rsidR="00543233" w:rsidRPr="00DA04F8">
        <w:rPr>
          <w:sz w:val="22"/>
          <w:szCs w:val="22"/>
          <w:lang w:val="en-GB"/>
        </w:rPr>
        <w:t>.</w:t>
      </w:r>
      <w:r w:rsidR="00946ED3">
        <w:rPr>
          <w:sz w:val="22"/>
          <w:szCs w:val="22"/>
          <w:lang w:val="en-GB"/>
        </w:rPr>
        <w:t xml:space="preserve"> The aggregation process always start</w:t>
      </w:r>
      <w:r w:rsidR="00F54694">
        <w:rPr>
          <w:sz w:val="22"/>
          <w:szCs w:val="22"/>
          <w:lang w:val="en-GB"/>
        </w:rPr>
        <w:t>s</w:t>
      </w:r>
      <w:r w:rsidR="00946ED3">
        <w:rPr>
          <w:sz w:val="22"/>
          <w:szCs w:val="22"/>
          <w:lang w:val="en-GB"/>
        </w:rPr>
        <w:t xml:space="preserve"> at a scale of 2 ASRs and according to the scale step introduced by the user, </w:t>
      </w:r>
      <w:r w:rsidR="006F627B">
        <w:rPr>
          <w:sz w:val="22"/>
          <w:szCs w:val="22"/>
          <w:lang w:val="en-GB"/>
        </w:rPr>
        <w:t xml:space="preserve">increases </w:t>
      </w:r>
      <w:r w:rsidR="006F627B" w:rsidRPr="00DA04F8">
        <w:rPr>
          <w:sz w:val="22"/>
          <w:szCs w:val="22"/>
          <w:lang w:val="en-GB"/>
        </w:rPr>
        <w:t>in a stepwise manner</w:t>
      </w:r>
      <w:r w:rsidR="006F627B">
        <w:rPr>
          <w:sz w:val="22"/>
          <w:szCs w:val="22"/>
          <w:lang w:val="en-GB"/>
        </w:rPr>
        <w:t xml:space="preserve"> until the number of ASRs become equal or </w:t>
      </w:r>
      <w:r w:rsidR="00FE34CD">
        <w:rPr>
          <w:sz w:val="22"/>
          <w:szCs w:val="22"/>
          <w:lang w:val="en-GB"/>
        </w:rPr>
        <w:t>exceed</w:t>
      </w:r>
      <w:r w:rsidR="006F627B">
        <w:rPr>
          <w:sz w:val="22"/>
          <w:szCs w:val="22"/>
          <w:lang w:val="en-GB"/>
        </w:rPr>
        <w:t xml:space="preserve"> the number of BSUs. </w:t>
      </w:r>
      <w:r w:rsidR="000B2B7A">
        <w:rPr>
          <w:sz w:val="22"/>
          <w:szCs w:val="22"/>
          <w:lang w:val="en-GB"/>
        </w:rPr>
        <w:t>In addition</w:t>
      </w:r>
      <w:r w:rsidR="007B6B9C">
        <w:rPr>
          <w:sz w:val="22"/>
          <w:szCs w:val="22"/>
          <w:lang w:val="en-GB"/>
        </w:rPr>
        <w:t>,</w:t>
      </w:r>
      <w:r w:rsidR="000B2B7A">
        <w:rPr>
          <w:sz w:val="22"/>
          <w:szCs w:val="22"/>
          <w:lang w:val="en-GB"/>
        </w:rPr>
        <w:t xml:space="preserve"> the user </w:t>
      </w:r>
      <w:r w:rsidR="00180ADA">
        <w:rPr>
          <w:sz w:val="22"/>
          <w:szCs w:val="22"/>
          <w:lang w:val="en-GB"/>
        </w:rPr>
        <w:t>can change the first and last scales for targeting a specific range of scales. T</w:t>
      </w:r>
      <w:r w:rsidR="00FE34CD">
        <w:rPr>
          <w:sz w:val="22"/>
          <w:szCs w:val="22"/>
          <w:lang w:val="en-GB"/>
        </w:rPr>
        <w:t xml:space="preserve">he selected </w:t>
      </w:r>
      <w:r w:rsidR="00047AD8">
        <w:rPr>
          <w:sz w:val="22"/>
          <w:szCs w:val="22"/>
          <w:lang w:val="en-GB"/>
        </w:rPr>
        <w:t>IRA</w:t>
      </w:r>
      <w:r w:rsidR="00180ADA">
        <w:rPr>
          <w:sz w:val="22"/>
          <w:szCs w:val="22"/>
          <w:lang w:val="en-GB"/>
        </w:rPr>
        <w:t xml:space="preserve"> process </w:t>
      </w:r>
      <w:r w:rsidR="007B6B9C">
        <w:rPr>
          <w:sz w:val="22"/>
          <w:szCs w:val="22"/>
          <w:lang w:val="en-GB"/>
        </w:rPr>
        <w:t xml:space="preserve">is </w:t>
      </w:r>
      <w:r w:rsidR="00180ADA">
        <w:rPr>
          <w:sz w:val="22"/>
          <w:szCs w:val="22"/>
          <w:lang w:val="en-GB"/>
        </w:rPr>
        <w:t xml:space="preserve">repeated for </w:t>
      </w:r>
      <w:r w:rsidR="007B6B9C">
        <w:rPr>
          <w:sz w:val="22"/>
          <w:szCs w:val="22"/>
          <w:lang w:val="en-GB"/>
        </w:rPr>
        <w:t xml:space="preserve">the required </w:t>
      </w:r>
      <w:r w:rsidR="00180ADA">
        <w:rPr>
          <w:sz w:val="22"/>
          <w:szCs w:val="22"/>
          <w:lang w:val="en-GB"/>
        </w:rPr>
        <w:t>number of iterations per scale and the result</w:t>
      </w:r>
      <w:r w:rsidR="007B6B9C">
        <w:rPr>
          <w:sz w:val="22"/>
          <w:szCs w:val="22"/>
          <w:lang w:val="en-GB"/>
        </w:rPr>
        <w:t>ing</w:t>
      </w:r>
      <w:r w:rsidR="00180ADA">
        <w:rPr>
          <w:sz w:val="22"/>
          <w:szCs w:val="22"/>
          <w:lang w:val="en-GB"/>
        </w:rPr>
        <w:t xml:space="preserve"> aggregations</w:t>
      </w:r>
      <w:r w:rsidR="007B6B9C">
        <w:rPr>
          <w:sz w:val="22"/>
          <w:szCs w:val="22"/>
          <w:lang w:val="en-GB"/>
        </w:rPr>
        <w:t xml:space="preserve"> are written</w:t>
      </w:r>
      <w:r w:rsidR="00180ADA">
        <w:rPr>
          <w:sz w:val="22"/>
          <w:szCs w:val="22"/>
          <w:lang w:val="en-GB"/>
        </w:rPr>
        <w:t xml:space="preserve"> to the storage device. Each scale is represented in the storage device as a directory and within each directory the system stores a series of files (equal to the </w:t>
      </w:r>
      <w:r w:rsidR="00180ADA">
        <w:rPr>
          <w:sz w:val="22"/>
          <w:szCs w:val="22"/>
          <w:lang w:val="en-GB"/>
        </w:rPr>
        <w:lastRenderedPageBreak/>
        <w:t xml:space="preserve">number of iterations) that record the </w:t>
      </w:r>
      <w:r w:rsidR="005F3E0F">
        <w:rPr>
          <w:sz w:val="22"/>
          <w:szCs w:val="22"/>
          <w:lang w:val="en-GB"/>
        </w:rPr>
        <w:t>association</w:t>
      </w:r>
      <w:r w:rsidR="00180ADA">
        <w:rPr>
          <w:sz w:val="22"/>
          <w:szCs w:val="22"/>
          <w:lang w:val="en-GB"/>
        </w:rPr>
        <w:t xml:space="preserve"> of BSU</w:t>
      </w:r>
      <w:r w:rsidR="005F3E0F">
        <w:rPr>
          <w:sz w:val="22"/>
          <w:szCs w:val="22"/>
          <w:lang w:val="en-GB"/>
        </w:rPr>
        <w:t>s</w:t>
      </w:r>
      <w:r w:rsidR="00A74CFC">
        <w:rPr>
          <w:sz w:val="22"/>
          <w:szCs w:val="22"/>
          <w:lang w:val="en-GB"/>
        </w:rPr>
        <w:t xml:space="preserve"> </w:t>
      </w:r>
      <w:r w:rsidR="005F3E0F">
        <w:rPr>
          <w:sz w:val="22"/>
          <w:szCs w:val="22"/>
          <w:lang w:val="en-GB"/>
        </w:rPr>
        <w:t>and</w:t>
      </w:r>
      <w:r w:rsidR="00180ADA">
        <w:rPr>
          <w:sz w:val="22"/>
          <w:szCs w:val="22"/>
          <w:lang w:val="en-GB"/>
        </w:rPr>
        <w:t xml:space="preserve"> ASRs</w:t>
      </w:r>
      <w:r w:rsidR="005F3E0F">
        <w:rPr>
          <w:sz w:val="22"/>
          <w:szCs w:val="22"/>
          <w:lang w:val="en-GB"/>
        </w:rPr>
        <w:t>.</w:t>
      </w:r>
      <w:r w:rsidR="00A74CFC">
        <w:rPr>
          <w:sz w:val="22"/>
          <w:szCs w:val="22"/>
          <w:lang w:val="en-GB"/>
        </w:rPr>
        <w:t xml:space="preserve"> </w:t>
      </w:r>
      <w:r w:rsidR="007B6B9C">
        <w:rPr>
          <w:sz w:val="22"/>
          <w:szCs w:val="22"/>
          <w:lang w:val="en-GB"/>
        </w:rPr>
        <w:t>As shown on</w:t>
      </w:r>
      <w:r w:rsidR="00A74CFC">
        <w:rPr>
          <w:sz w:val="22"/>
          <w:szCs w:val="22"/>
          <w:lang w:val="en-GB"/>
        </w:rPr>
        <w:t xml:space="preserve"> </w:t>
      </w:r>
      <w:r w:rsidR="005F3E0F">
        <w:rPr>
          <w:sz w:val="22"/>
          <w:szCs w:val="22"/>
          <w:lang w:val="en-GB"/>
        </w:rPr>
        <w:t>the right side of the interface</w:t>
      </w:r>
      <w:r w:rsidR="007B6B9C">
        <w:rPr>
          <w:sz w:val="22"/>
          <w:szCs w:val="22"/>
          <w:lang w:val="en-GB"/>
        </w:rPr>
        <w:t xml:space="preserve"> in Figure 3,</w:t>
      </w:r>
      <w:r w:rsidR="005F3E0F">
        <w:rPr>
          <w:sz w:val="22"/>
          <w:szCs w:val="22"/>
          <w:lang w:val="en-GB"/>
        </w:rPr>
        <w:t xml:space="preserve"> the system reports the archived progress as well as possible errors that </w:t>
      </w:r>
      <w:r w:rsidR="00A515C6">
        <w:rPr>
          <w:sz w:val="22"/>
          <w:szCs w:val="22"/>
          <w:lang w:val="en-GB"/>
        </w:rPr>
        <w:t>occur and prevent completion.</w:t>
      </w:r>
      <w:r w:rsidR="00A74CFC">
        <w:rPr>
          <w:sz w:val="22"/>
          <w:szCs w:val="22"/>
          <w:lang w:val="en-GB"/>
        </w:rPr>
        <w:t xml:space="preserve"> This process of directory and file creation is rather cumbersome, but it does mean that all the data created is stored and can be accessed</w:t>
      </w:r>
      <w:r w:rsidR="00FA5740">
        <w:rPr>
          <w:sz w:val="22"/>
          <w:szCs w:val="22"/>
          <w:lang w:val="en-GB"/>
        </w:rPr>
        <w:t xml:space="preserve"> so that any configuration of ASRs can be mapped.</w:t>
      </w:r>
    </w:p>
    <w:p w:rsidR="005F3E0F" w:rsidRDefault="005F3E0F" w:rsidP="00DA19D2">
      <w:pPr>
        <w:tabs>
          <w:tab w:val="left" w:pos="7938"/>
        </w:tabs>
        <w:spacing w:after="120" w:line="360" w:lineRule="auto"/>
        <w:ind w:left="-1134"/>
        <w:jc w:val="both"/>
        <w:rPr>
          <w:sz w:val="22"/>
          <w:szCs w:val="22"/>
          <w:lang w:val="en-GB"/>
        </w:rPr>
      </w:pPr>
    </w:p>
    <w:p w:rsidR="00FC03E6" w:rsidRDefault="00FC03E6" w:rsidP="00DA19D2">
      <w:pPr>
        <w:tabs>
          <w:tab w:val="left" w:pos="7938"/>
        </w:tabs>
        <w:spacing w:after="120" w:line="360" w:lineRule="auto"/>
        <w:ind w:left="-1134"/>
        <w:jc w:val="center"/>
        <w:rPr>
          <w:sz w:val="20"/>
          <w:szCs w:val="20"/>
          <w:lang w:val="en-GB"/>
        </w:rPr>
      </w:pPr>
      <w:r w:rsidRPr="00345474">
        <w:rPr>
          <w:b/>
          <w:sz w:val="20"/>
          <w:szCs w:val="20"/>
          <w:lang w:val="en-GB"/>
        </w:rPr>
        <w:t>Fig</w:t>
      </w:r>
      <w:r w:rsidR="001B6E3B" w:rsidRPr="00345474">
        <w:rPr>
          <w:b/>
          <w:sz w:val="20"/>
          <w:szCs w:val="20"/>
          <w:lang w:val="en-GB"/>
        </w:rPr>
        <w:t>.</w:t>
      </w:r>
      <w:r w:rsidRPr="00345474">
        <w:rPr>
          <w:b/>
          <w:sz w:val="20"/>
          <w:szCs w:val="20"/>
          <w:lang w:val="en-GB"/>
        </w:rPr>
        <w:t xml:space="preserve"> 3</w:t>
      </w:r>
      <w:r w:rsidR="00345474" w:rsidRPr="00345474">
        <w:rPr>
          <w:sz w:val="20"/>
          <w:szCs w:val="20"/>
          <w:lang w:val="en-GB"/>
        </w:rPr>
        <w:t xml:space="preserve"> The spatial</w:t>
      </w:r>
      <w:r w:rsidRPr="00345474">
        <w:rPr>
          <w:sz w:val="20"/>
          <w:szCs w:val="20"/>
          <w:lang w:val="en-GB"/>
        </w:rPr>
        <w:t xml:space="preserve"> aggregation interface</w:t>
      </w:r>
      <w:r w:rsidR="00AE60E6" w:rsidRPr="00345474">
        <w:rPr>
          <w:sz w:val="20"/>
          <w:szCs w:val="20"/>
          <w:lang w:val="en-GB"/>
        </w:rPr>
        <w:t xml:space="preserve">: </w:t>
      </w:r>
      <w:r w:rsidR="00345474" w:rsidRPr="00345474">
        <w:rPr>
          <w:sz w:val="20"/>
          <w:szCs w:val="20"/>
          <w:lang w:val="en-GB"/>
        </w:rPr>
        <w:t>c</w:t>
      </w:r>
      <w:r w:rsidR="00AE60E6" w:rsidRPr="00345474">
        <w:rPr>
          <w:sz w:val="20"/>
          <w:szCs w:val="20"/>
          <w:lang w:val="en-GB"/>
        </w:rPr>
        <w:t>reate new regions</w:t>
      </w:r>
    </w:p>
    <w:p w:rsidR="00345474" w:rsidRPr="00345474" w:rsidRDefault="00345474" w:rsidP="00DA19D2">
      <w:pPr>
        <w:tabs>
          <w:tab w:val="left" w:pos="7938"/>
        </w:tabs>
        <w:spacing w:after="120" w:line="360" w:lineRule="auto"/>
        <w:ind w:left="-1134"/>
        <w:jc w:val="center"/>
        <w:rPr>
          <w:sz w:val="20"/>
          <w:szCs w:val="20"/>
          <w:lang w:val="en-GB"/>
        </w:rPr>
      </w:pPr>
    </w:p>
    <w:p w:rsidR="004C41DB" w:rsidRPr="007272FE" w:rsidRDefault="005F3E0F" w:rsidP="00DA19D2">
      <w:pPr>
        <w:tabs>
          <w:tab w:val="left" w:pos="7938"/>
        </w:tabs>
        <w:spacing w:after="120" w:line="360" w:lineRule="auto"/>
        <w:ind w:left="-1134"/>
        <w:jc w:val="both"/>
        <w:rPr>
          <w:sz w:val="22"/>
          <w:szCs w:val="22"/>
          <w:lang w:val="en-GB"/>
        </w:rPr>
      </w:pPr>
      <w:r>
        <w:rPr>
          <w:sz w:val="22"/>
          <w:szCs w:val="22"/>
          <w:lang w:val="en-GB"/>
        </w:rPr>
        <w:t xml:space="preserve">The next step of spatial aggregation </w:t>
      </w:r>
      <w:r w:rsidR="00001C0D">
        <w:rPr>
          <w:sz w:val="22"/>
          <w:szCs w:val="22"/>
          <w:lang w:val="en-GB"/>
        </w:rPr>
        <w:t>process is to</w:t>
      </w:r>
      <w:r w:rsidRPr="005F3E0F">
        <w:rPr>
          <w:sz w:val="22"/>
          <w:szCs w:val="22"/>
          <w:lang w:val="en-GB"/>
        </w:rPr>
        <w:t xml:space="preserve"> generate aggregated outputs of flows, distances, centroids</w:t>
      </w:r>
      <w:r w:rsidR="00013881">
        <w:rPr>
          <w:sz w:val="22"/>
          <w:szCs w:val="22"/>
          <w:lang w:val="en-GB"/>
        </w:rPr>
        <w:t>/area</w:t>
      </w:r>
      <w:r w:rsidR="00A515C6">
        <w:rPr>
          <w:sz w:val="22"/>
          <w:szCs w:val="22"/>
          <w:lang w:val="en-GB"/>
        </w:rPr>
        <w:t>s</w:t>
      </w:r>
      <w:r w:rsidRPr="005F3E0F">
        <w:rPr>
          <w:sz w:val="22"/>
          <w:szCs w:val="22"/>
          <w:lang w:val="en-GB"/>
        </w:rPr>
        <w:t xml:space="preserve"> and populations at the level of each aggregation by selecting the ‘update existing regions’ interface</w:t>
      </w:r>
      <w:r w:rsidR="00001C0D">
        <w:rPr>
          <w:sz w:val="22"/>
          <w:szCs w:val="22"/>
          <w:lang w:val="en-GB"/>
        </w:rPr>
        <w:t xml:space="preserve"> (Figure 4)</w:t>
      </w:r>
      <w:r w:rsidRPr="005F3E0F">
        <w:rPr>
          <w:sz w:val="22"/>
          <w:szCs w:val="22"/>
          <w:lang w:val="en-GB"/>
        </w:rPr>
        <w:t>.</w:t>
      </w:r>
      <w:r w:rsidR="00FA5740">
        <w:rPr>
          <w:sz w:val="22"/>
          <w:szCs w:val="22"/>
          <w:lang w:val="en-GB"/>
        </w:rPr>
        <w:t xml:space="preserve"> </w:t>
      </w:r>
      <w:r w:rsidR="004C41DB">
        <w:rPr>
          <w:sz w:val="22"/>
          <w:szCs w:val="22"/>
          <w:lang w:val="en-US"/>
        </w:rPr>
        <w:t>T</w:t>
      </w:r>
      <w:r w:rsidR="004C41DB">
        <w:rPr>
          <w:sz w:val="22"/>
          <w:szCs w:val="22"/>
          <w:lang w:val="en-GB"/>
        </w:rPr>
        <w:t xml:space="preserve">he aggregated outputs are used </w:t>
      </w:r>
      <w:r w:rsidR="00EB5986">
        <w:rPr>
          <w:sz w:val="22"/>
          <w:szCs w:val="22"/>
          <w:lang w:val="en-GB"/>
        </w:rPr>
        <w:t>for</w:t>
      </w:r>
      <w:r w:rsidR="004C41DB">
        <w:rPr>
          <w:sz w:val="22"/>
          <w:szCs w:val="22"/>
          <w:lang w:val="en-GB"/>
        </w:rPr>
        <w:t xml:space="preserve"> the internal migration indicators and spatial interaction model systems as input data. </w:t>
      </w:r>
      <w:r w:rsidR="004C41DB" w:rsidRPr="00DA04F8">
        <w:rPr>
          <w:sz w:val="22"/>
          <w:szCs w:val="22"/>
          <w:lang w:val="en-GB"/>
        </w:rPr>
        <w:t xml:space="preserve">The aggregated flows </w:t>
      </w:r>
      <w:r w:rsidR="004C41DB">
        <w:rPr>
          <w:sz w:val="22"/>
          <w:szCs w:val="22"/>
          <w:lang w:val="en-GB"/>
        </w:rPr>
        <w:t>between</w:t>
      </w:r>
      <w:r w:rsidR="004C41DB" w:rsidRPr="00DA04F8">
        <w:rPr>
          <w:sz w:val="22"/>
          <w:szCs w:val="22"/>
          <w:lang w:val="en-GB"/>
        </w:rPr>
        <w:t xml:space="preserve"> the new </w:t>
      </w:r>
      <w:r w:rsidR="004C41DB">
        <w:rPr>
          <w:sz w:val="22"/>
          <w:szCs w:val="22"/>
          <w:lang w:val="en-GB"/>
        </w:rPr>
        <w:t>ASRs</w:t>
      </w:r>
      <w:r w:rsidR="004C41DB" w:rsidRPr="00DA04F8">
        <w:rPr>
          <w:sz w:val="22"/>
          <w:szCs w:val="22"/>
          <w:lang w:val="en-GB"/>
        </w:rPr>
        <w:t xml:space="preserve"> are calculated by summarising the flows </w:t>
      </w:r>
      <w:r w:rsidR="004C41DB">
        <w:rPr>
          <w:sz w:val="22"/>
          <w:szCs w:val="22"/>
          <w:lang w:val="en-GB"/>
        </w:rPr>
        <w:t xml:space="preserve">from the initial </w:t>
      </w:r>
      <w:r w:rsidR="004C41DB" w:rsidRPr="00DA04F8">
        <w:rPr>
          <w:sz w:val="22"/>
          <w:szCs w:val="22"/>
          <w:lang w:val="en-GB"/>
        </w:rPr>
        <w:t xml:space="preserve">BSUs that </w:t>
      </w:r>
      <w:r w:rsidR="004C41DB">
        <w:rPr>
          <w:sz w:val="22"/>
          <w:szCs w:val="22"/>
          <w:lang w:val="en-GB"/>
        </w:rPr>
        <w:t>constitute</w:t>
      </w:r>
      <w:r w:rsidR="004C41DB" w:rsidRPr="00DA04F8">
        <w:rPr>
          <w:sz w:val="22"/>
          <w:szCs w:val="22"/>
          <w:lang w:val="en-GB"/>
        </w:rPr>
        <w:t xml:space="preserve"> an origin </w:t>
      </w:r>
      <w:r w:rsidR="004C41DB">
        <w:rPr>
          <w:sz w:val="22"/>
          <w:szCs w:val="22"/>
          <w:lang w:val="en-GB"/>
        </w:rPr>
        <w:t>ASR</w:t>
      </w:r>
      <w:r w:rsidR="004C41DB" w:rsidRPr="00DA04F8">
        <w:rPr>
          <w:sz w:val="22"/>
          <w:szCs w:val="22"/>
          <w:lang w:val="en-GB"/>
        </w:rPr>
        <w:t xml:space="preserve"> to the </w:t>
      </w:r>
      <w:r w:rsidR="004C41DB">
        <w:rPr>
          <w:sz w:val="22"/>
          <w:szCs w:val="22"/>
          <w:lang w:val="en-GB"/>
        </w:rPr>
        <w:t xml:space="preserve">initial </w:t>
      </w:r>
      <w:r w:rsidR="004C41DB" w:rsidRPr="00DA04F8">
        <w:rPr>
          <w:sz w:val="22"/>
          <w:szCs w:val="22"/>
          <w:lang w:val="en-GB"/>
        </w:rPr>
        <w:t xml:space="preserve">BSUs </w:t>
      </w:r>
      <w:r w:rsidR="004C41DB">
        <w:rPr>
          <w:sz w:val="22"/>
          <w:szCs w:val="22"/>
          <w:lang w:val="en-GB"/>
        </w:rPr>
        <w:t xml:space="preserve">that comprise a </w:t>
      </w:r>
      <w:r w:rsidR="004C41DB" w:rsidRPr="00DA04F8">
        <w:rPr>
          <w:sz w:val="22"/>
          <w:szCs w:val="22"/>
          <w:lang w:val="en-GB"/>
        </w:rPr>
        <w:t xml:space="preserve">destination </w:t>
      </w:r>
      <w:r w:rsidR="004C41DB">
        <w:rPr>
          <w:sz w:val="22"/>
          <w:szCs w:val="22"/>
          <w:lang w:val="en-GB"/>
        </w:rPr>
        <w:t>ASR</w:t>
      </w:r>
      <w:r w:rsidR="004C41DB" w:rsidRPr="00DA04F8">
        <w:rPr>
          <w:sz w:val="22"/>
          <w:szCs w:val="22"/>
          <w:lang w:val="en-GB"/>
        </w:rPr>
        <w:t xml:space="preserve"> and th</w:t>
      </w:r>
      <w:r w:rsidR="004C41DB">
        <w:rPr>
          <w:sz w:val="22"/>
          <w:szCs w:val="22"/>
          <w:lang w:val="en-GB"/>
        </w:rPr>
        <w:t>ese are</w:t>
      </w:r>
      <w:r w:rsidR="004C41DB" w:rsidRPr="00DA04F8">
        <w:rPr>
          <w:sz w:val="22"/>
          <w:szCs w:val="22"/>
          <w:lang w:val="en-GB"/>
        </w:rPr>
        <w:t xml:space="preserve"> calculated for all pairs of </w:t>
      </w:r>
      <w:r w:rsidR="004C41DB">
        <w:rPr>
          <w:sz w:val="22"/>
          <w:szCs w:val="22"/>
          <w:lang w:val="en-GB"/>
        </w:rPr>
        <w:t>ASR</w:t>
      </w:r>
      <w:r w:rsidR="004C41DB" w:rsidRPr="00DA04F8">
        <w:rPr>
          <w:sz w:val="22"/>
          <w:szCs w:val="22"/>
          <w:lang w:val="en-GB"/>
        </w:rPr>
        <w:t xml:space="preserve">s. </w:t>
      </w:r>
      <w:r w:rsidR="00EB5986">
        <w:rPr>
          <w:sz w:val="22"/>
          <w:szCs w:val="22"/>
          <w:lang w:val="en-GB"/>
        </w:rPr>
        <w:t>T</w:t>
      </w:r>
      <w:r w:rsidR="004C41DB" w:rsidRPr="00DA04F8">
        <w:rPr>
          <w:sz w:val="22"/>
          <w:szCs w:val="22"/>
          <w:lang w:val="en-GB"/>
        </w:rPr>
        <w:t xml:space="preserve">he flows between the BSUs within a new </w:t>
      </w:r>
      <w:r w:rsidR="004C41DB">
        <w:rPr>
          <w:sz w:val="22"/>
          <w:szCs w:val="22"/>
          <w:lang w:val="en-GB"/>
        </w:rPr>
        <w:t>ASR</w:t>
      </w:r>
      <w:r w:rsidR="004C41DB" w:rsidRPr="00DA04F8">
        <w:rPr>
          <w:sz w:val="22"/>
          <w:szCs w:val="22"/>
          <w:lang w:val="en-GB"/>
        </w:rPr>
        <w:t xml:space="preserve"> are considered as an intra-region flow</w:t>
      </w:r>
      <w:r w:rsidR="004C41DB">
        <w:rPr>
          <w:sz w:val="22"/>
          <w:szCs w:val="22"/>
          <w:lang w:val="en-GB"/>
        </w:rPr>
        <w:t xml:space="preserve"> and are excluded from the analysis</w:t>
      </w:r>
      <w:r w:rsidR="00EB5986">
        <w:rPr>
          <w:sz w:val="22"/>
          <w:szCs w:val="22"/>
          <w:lang w:val="en-GB"/>
        </w:rPr>
        <w:t xml:space="preserve"> so the volume of </w:t>
      </w:r>
      <w:r w:rsidR="00FA5740">
        <w:rPr>
          <w:sz w:val="22"/>
          <w:szCs w:val="22"/>
          <w:lang w:val="en-GB"/>
        </w:rPr>
        <w:t xml:space="preserve">inter-ASR </w:t>
      </w:r>
      <w:r w:rsidR="00EB5986">
        <w:rPr>
          <w:sz w:val="22"/>
          <w:szCs w:val="22"/>
          <w:lang w:val="en-GB"/>
        </w:rPr>
        <w:t xml:space="preserve">migration retained in the system </w:t>
      </w:r>
      <w:r w:rsidR="00FA5740">
        <w:rPr>
          <w:sz w:val="22"/>
          <w:szCs w:val="22"/>
          <w:lang w:val="en-GB"/>
        </w:rPr>
        <w:t>de</w:t>
      </w:r>
      <w:r w:rsidR="00EB5986">
        <w:rPr>
          <w:sz w:val="22"/>
          <w:szCs w:val="22"/>
          <w:lang w:val="en-GB"/>
        </w:rPr>
        <w:t>creases with each scale step as the ASRs reduce in size</w:t>
      </w:r>
      <w:r w:rsidR="004C41DB" w:rsidRPr="00DA04F8">
        <w:rPr>
          <w:sz w:val="22"/>
          <w:szCs w:val="22"/>
          <w:lang w:val="en-GB"/>
        </w:rPr>
        <w:t xml:space="preserve">. </w:t>
      </w:r>
      <w:r w:rsidR="00FA5740" w:rsidRPr="00FA5740">
        <w:rPr>
          <w:sz w:val="22"/>
          <w:szCs w:val="22"/>
          <w:lang w:val="en-GB" w:eastAsia="en-GB"/>
        </w:rPr>
        <w:t>A summary of the percentage of flows which are internal</w:t>
      </w:r>
      <w:r w:rsidR="00FA5740">
        <w:rPr>
          <w:sz w:val="22"/>
          <w:szCs w:val="22"/>
          <w:lang w:val="en-GB" w:eastAsia="en-GB"/>
        </w:rPr>
        <w:t xml:space="preserve"> will be provided. </w:t>
      </w:r>
      <w:r w:rsidR="004C41DB" w:rsidRPr="00DA04F8">
        <w:rPr>
          <w:sz w:val="22"/>
          <w:szCs w:val="22"/>
          <w:lang w:val="en-GB"/>
        </w:rPr>
        <w:t>In the case where the original BSUs include intra-</w:t>
      </w:r>
      <w:r w:rsidR="004C41DB">
        <w:rPr>
          <w:sz w:val="22"/>
          <w:szCs w:val="22"/>
          <w:lang w:val="en-GB"/>
        </w:rPr>
        <w:t>BSU</w:t>
      </w:r>
      <w:r w:rsidR="004C41DB" w:rsidRPr="00DA04F8">
        <w:rPr>
          <w:sz w:val="22"/>
          <w:szCs w:val="22"/>
          <w:lang w:val="en-GB"/>
        </w:rPr>
        <w:t xml:space="preserve"> flows</w:t>
      </w:r>
      <w:r w:rsidR="00FA5740">
        <w:rPr>
          <w:sz w:val="22"/>
          <w:szCs w:val="22"/>
          <w:lang w:val="en-GB"/>
        </w:rPr>
        <w:t>,</w:t>
      </w:r>
      <w:r w:rsidR="004C41DB" w:rsidRPr="00DA04F8">
        <w:rPr>
          <w:sz w:val="22"/>
          <w:szCs w:val="22"/>
          <w:lang w:val="en-GB"/>
        </w:rPr>
        <w:t xml:space="preserve"> then the system summarises the intra-</w:t>
      </w:r>
      <w:r w:rsidR="004C41DB">
        <w:rPr>
          <w:sz w:val="22"/>
          <w:szCs w:val="22"/>
          <w:lang w:val="en-GB"/>
        </w:rPr>
        <w:t>BSU</w:t>
      </w:r>
      <w:r w:rsidR="004C41DB" w:rsidRPr="00DA04F8">
        <w:rPr>
          <w:sz w:val="22"/>
          <w:szCs w:val="22"/>
          <w:lang w:val="en-GB"/>
        </w:rPr>
        <w:t xml:space="preserve"> flows </w:t>
      </w:r>
      <w:r w:rsidR="00FA5740">
        <w:rPr>
          <w:sz w:val="22"/>
          <w:szCs w:val="22"/>
          <w:lang w:val="en-GB"/>
        </w:rPr>
        <w:t>for</w:t>
      </w:r>
      <w:r w:rsidR="004C41DB" w:rsidRPr="00DA04F8">
        <w:rPr>
          <w:sz w:val="22"/>
          <w:szCs w:val="22"/>
          <w:lang w:val="en-GB"/>
        </w:rPr>
        <w:t xml:space="preserve"> BSUs </w:t>
      </w:r>
      <w:r w:rsidR="00FA5740">
        <w:rPr>
          <w:sz w:val="22"/>
          <w:szCs w:val="22"/>
          <w:lang w:val="en-GB"/>
        </w:rPr>
        <w:t>contained</w:t>
      </w:r>
      <w:r w:rsidR="004C41DB" w:rsidRPr="00DA04F8">
        <w:rPr>
          <w:sz w:val="22"/>
          <w:szCs w:val="22"/>
          <w:lang w:val="en-GB"/>
        </w:rPr>
        <w:t xml:space="preserve"> in the </w:t>
      </w:r>
      <w:r w:rsidR="004C41DB">
        <w:rPr>
          <w:sz w:val="22"/>
          <w:szCs w:val="22"/>
          <w:lang w:val="en-GB"/>
        </w:rPr>
        <w:t>ASR</w:t>
      </w:r>
      <w:r w:rsidR="004C41DB" w:rsidRPr="00DA04F8">
        <w:rPr>
          <w:sz w:val="22"/>
          <w:szCs w:val="22"/>
          <w:lang w:val="en-GB"/>
        </w:rPr>
        <w:t xml:space="preserve"> and</w:t>
      </w:r>
      <w:r w:rsidR="004C41DB">
        <w:rPr>
          <w:sz w:val="22"/>
          <w:szCs w:val="22"/>
          <w:lang w:val="en-GB"/>
        </w:rPr>
        <w:t>,</w:t>
      </w:r>
      <w:r w:rsidR="004C41DB" w:rsidRPr="00DA04F8">
        <w:rPr>
          <w:sz w:val="22"/>
          <w:szCs w:val="22"/>
          <w:lang w:val="en-GB"/>
        </w:rPr>
        <w:t xml:space="preserve"> at a second stage</w:t>
      </w:r>
      <w:r w:rsidR="004C41DB">
        <w:rPr>
          <w:sz w:val="22"/>
          <w:szCs w:val="22"/>
          <w:lang w:val="en-GB"/>
        </w:rPr>
        <w:t>,</w:t>
      </w:r>
      <w:r w:rsidR="004C41DB" w:rsidRPr="00DA04F8">
        <w:rPr>
          <w:sz w:val="22"/>
          <w:szCs w:val="22"/>
          <w:lang w:val="en-GB"/>
        </w:rPr>
        <w:t xml:space="preserve"> summarises all the flows between the BSUs within the </w:t>
      </w:r>
      <w:r w:rsidR="004C41DB">
        <w:rPr>
          <w:sz w:val="22"/>
          <w:szCs w:val="22"/>
          <w:lang w:val="en-GB"/>
        </w:rPr>
        <w:t>ASR</w:t>
      </w:r>
      <w:r w:rsidR="004C41DB" w:rsidRPr="00DA04F8">
        <w:rPr>
          <w:sz w:val="22"/>
          <w:szCs w:val="22"/>
          <w:lang w:val="en-GB"/>
        </w:rPr>
        <w:t xml:space="preserve">.  </w:t>
      </w:r>
      <w:r w:rsidR="004C41DB">
        <w:rPr>
          <w:sz w:val="22"/>
          <w:szCs w:val="22"/>
          <w:lang w:val="en-GB"/>
        </w:rPr>
        <w:t>The user has the choice to include or exclude intra-BSU and intra-ASR flows</w:t>
      </w:r>
      <w:r w:rsidR="004C41DB" w:rsidRPr="00FA5740">
        <w:rPr>
          <w:sz w:val="22"/>
          <w:szCs w:val="22"/>
          <w:lang w:val="en-GB"/>
        </w:rPr>
        <w:t>.</w:t>
      </w:r>
      <w:r w:rsidR="00FA5740" w:rsidRPr="00FA5740">
        <w:rPr>
          <w:rFonts w:asciiTheme="minorHAnsi" w:hAnsiTheme="minorHAnsi"/>
          <w:sz w:val="22"/>
          <w:szCs w:val="22"/>
          <w:lang w:val="en-GB" w:eastAsia="en-GB"/>
        </w:rPr>
        <w:t xml:space="preserve"> </w:t>
      </w:r>
    </w:p>
    <w:p w:rsidR="00AE60E6" w:rsidRDefault="00AE60E6" w:rsidP="00DA19D2">
      <w:pPr>
        <w:tabs>
          <w:tab w:val="left" w:pos="7938"/>
        </w:tabs>
        <w:spacing w:after="120" w:line="360" w:lineRule="auto"/>
        <w:ind w:left="-1134"/>
        <w:jc w:val="center"/>
        <w:rPr>
          <w:sz w:val="22"/>
          <w:szCs w:val="22"/>
          <w:lang w:val="en-GB"/>
        </w:rPr>
      </w:pPr>
    </w:p>
    <w:p w:rsidR="00345474" w:rsidRPr="00345474" w:rsidRDefault="00AE60E6" w:rsidP="00DA19D2">
      <w:pPr>
        <w:tabs>
          <w:tab w:val="left" w:pos="7938"/>
        </w:tabs>
        <w:spacing w:after="120" w:line="360" w:lineRule="auto"/>
        <w:ind w:left="-1134"/>
        <w:jc w:val="center"/>
        <w:rPr>
          <w:sz w:val="20"/>
          <w:szCs w:val="20"/>
          <w:lang w:val="en-GB"/>
        </w:rPr>
      </w:pPr>
      <w:r w:rsidRPr="00345474">
        <w:rPr>
          <w:b/>
          <w:sz w:val="20"/>
          <w:szCs w:val="20"/>
          <w:lang w:val="en-GB"/>
        </w:rPr>
        <w:t xml:space="preserve">Fig. </w:t>
      </w:r>
      <w:r w:rsidR="00001C0D" w:rsidRPr="00345474">
        <w:rPr>
          <w:b/>
          <w:sz w:val="20"/>
          <w:szCs w:val="20"/>
          <w:lang w:val="en-GB"/>
        </w:rPr>
        <w:t>4</w:t>
      </w:r>
      <w:r w:rsidRPr="00345474">
        <w:rPr>
          <w:sz w:val="20"/>
          <w:szCs w:val="20"/>
          <w:lang w:val="en-GB"/>
        </w:rPr>
        <w:t xml:space="preserve"> The </w:t>
      </w:r>
      <w:r w:rsidR="00345474" w:rsidRPr="00345474">
        <w:rPr>
          <w:sz w:val="20"/>
          <w:szCs w:val="20"/>
          <w:lang w:val="en-GB"/>
        </w:rPr>
        <w:t>spatial</w:t>
      </w:r>
      <w:r w:rsidRPr="00345474">
        <w:rPr>
          <w:sz w:val="20"/>
          <w:szCs w:val="20"/>
          <w:lang w:val="en-GB"/>
        </w:rPr>
        <w:t xml:space="preserve"> aggregation interface: </w:t>
      </w:r>
      <w:r w:rsidR="00345474" w:rsidRPr="00345474">
        <w:rPr>
          <w:sz w:val="20"/>
          <w:szCs w:val="20"/>
          <w:lang w:val="en-GB"/>
        </w:rPr>
        <w:t>u</w:t>
      </w:r>
      <w:r w:rsidRPr="00345474">
        <w:rPr>
          <w:sz w:val="20"/>
          <w:szCs w:val="20"/>
          <w:lang w:val="en-GB"/>
        </w:rPr>
        <w:t>pdate existing regions</w:t>
      </w:r>
    </w:p>
    <w:p w:rsidR="00AE60E6" w:rsidRPr="00DA04F8" w:rsidRDefault="00AE60E6" w:rsidP="00DA19D2">
      <w:pPr>
        <w:tabs>
          <w:tab w:val="left" w:pos="7938"/>
        </w:tabs>
        <w:spacing w:after="120" w:line="360" w:lineRule="auto"/>
        <w:ind w:left="-1134"/>
        <w:jc w:val="center"/>
        <w:rPr>
          <w:sz w:val="22"/>
          <w:szCs w:val="22"/>
          <w:lang w:val="en-GB"/>
        </w:rPr>
      </w:pPr>
    </w:p>
    <w:p w:rsidR="004C41DB" w:rsidRDefault="004C41DB" w:rsidP="00DA19D2">
      <w:pPr>
        <w:pStyle w:val="ListParagraph"/>
        <w:tabs>
          <w:tab w:val="left" w:pos="7938"/>
        </w:tabs>
        <w:spacing w:after="120" w:line="360" w:lineRule="auto"/>
        <w:ind w:left="-1134"/>
        <w:jc w:val="both"/>
        <w:rPr>
          <w:rFonts w:ascii="Times New Roman" w:hAnsi="Times New Roman" w:cs="Times New Roman"/>
        </w:rPr>
      </w:pPr>
      <w:r w:rsidRPr="00105B0D">
        <w:rPr>
          <w:rFonts w:ascii="Times New Roman" w:hAnsi="Times New Roman" w:cs="Times New Roman"/>
        </w:rPr>
        <w:t>The distances between BSUs</w:t>
      </w:r>
      <w:r w:rsidR="00345474">
        <w:rPr>
          <w:rFonts w:ascii="Times New Roman" w:hAnsi="Times New Roman" w:cs="Times New Roman"/>
        </w:rPr>
        <w:t xml:space="preserve"> </w:t>
      </w:r>
      <w:proofErr w:type="spellStart"/>
      <w:r w:rsidR="00345474">
        <w:rPr>
          <w:rFonts w:ascii="Times New Roman" w:hAnsi="Times New Roman" w:cs="Times New Roman"/>
        </w:rPr>
        <w:t>are</w:t>
      </w:r>
      <w:r w:rsidR="00013881">
        <w:rPr>
          <w:rFonts w:ascii="Times New Roman" w:hAnsi="Times New Roman" w:cs="Times New Roman"/>
        </w:rPr>
        <w:t>calculated</w:t>
      </w:r>
      <w:proofErr w:type="spellEnd"/>
      <w:r w:rsidR="00013881">
        <w:rPr>
          <w:rFonts w:ascii="Times New Roman" w:hAnsi="Times New Roman" w:cs="Times New Roman"/>
        </w:rPr>
        <w:t xml:space="preserve"> </w:t>
      </w:r>
      <w:r w:rsidRPr="00105B0D">
        <w:rPr>
          <w:rFonts w:ascii="Times New Roman" w:hAnsi="Times New Roman" w:cs="Times New Roman"/>
        </w:rPr>
        <w:t>by using the Pythagorean formula for Cartesian systems:</w:t>
      </w:r>
    </w:p>
    <w:p w:rsidR="00345474" w:rsidRPr="00105B0D" w:rsidRDefault="00345474" w:rsidP="00DA19D2">
      <w:pPr>
        <w:pStyle w:val="ListParagraph"/>
        <w:tabs>
          <w:tab w:val="left" w:pos="7938"/>
        </w:tabs>
        <w:spacing w:after="120" w:line="360" w:lineRule="auto"/>
        <w:ind w:left="-1134"/>
        <w:jc w:val="both"/>
        <w:rPr>
          <w:rFonts w:ascii="Times New Roman" w:hAnsi="Times New Roman" w:cs="Times New Roman"/>
        </w:rPr>
      </w:pPr>
    </w:p>
    <w:p w:rsidR="004C41DB" w:rsidRDefault="008710B3" w:rsidP="00345474">
      <w:pPr>
        <w:pStyle w:val="ListParagraph"/>
        <w:tabs>
          <w:tab w:val="left" w:pos="7938"/>
        </w:tabs>
        <w:spacing w:after="120" w:line="360" w:lineRule="auto"/>
        <w:ind w:left="-1134"/>
        <w:jc w:val="center"/>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 xml:space="preserve">                        d</m:t>
            </m:r>
          </m:e>
          <m:sub>
            <m:r>
              <w:rPr>
                <w:rFonts w:ascii="Cambria Math" w:hAnsi="Cambria Math" w:cs="Times New Roman"/>
              </w:rPr>
              <m:t>ij</m:t>
            </m:r>
          </m:sub>
        </m:sSub>
        <m:r>
          <w:rPr>
            <w:rFonts w:ascii="Cambria Math" w:hAnsi="Times New Roman" w:cs="Times New Roman"/>
          </w:rPr>
          <m:t>=</m:t>
        </m:r>
        <m:rad>
          <m:radPr>
            <m:degHide m:val="1"/>
            <m:ctrlPr>
              <w:rPr>
                <w:rFonts w:ascii="Cambria Math" w:hAnsi="Times New Roman" w:cs="Times New Roman"/>
                <w:i/>
              </w:rPr>
            </m:ctrlPr>
          </m:radPr>
          <m:deg/>
          <m:e>
            <m:sSup>
              <m:sSupPr>
                <m:ctrlPr>
                  <w:rPr>
                    <w:rFonts w:ascii="Cambria Math" w:hAnsi="Times New Roman" w:cs="Times New Roman"/>
                    <w:i/>
                  </w:rPr>
                </m:ctrlPr>
              </m:sSupPr>
              <m:e>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x</m:t>
                    </m:r>
                  </m:e>
                  <m:sub>
                    <m:r>
                      <w:rPr>
                        <w:rFonts w:ascii="Cambria Math" w:hAnsi="Cambria Math" w:cs="Times New Roman"/>
                      </w:rPr>
                      <m:t>j</m:t>
                    </m:r>
                  </m:sub>
                </m:sSub>
                <m:r>
                  <w:rPr>
                    <w:rFonts w:ascii="Cambria Math" w:hAnsi="Cambria Math" w:cs="Times New Roman"/>
                  </w:rPr>
                  <m:t>-</m:t>
                </m:r>
                <m:sSub>
                  <m:sSubPr>
                    <m:ctrlPr>
                      <w:rPr>
                        <w:rFonts w:ascii="Cambria Math" w:hAnsi="Times New Roman"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Times New Roman" w:cs="Times New Roman"/>
                  </w:rPr>
                  <m:t>)</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y</m:t>
                    </m:r>
                  </m:e>
                  <m:sub>
                    <m:r>
                      <w:rPr>
                        <w:rFonts w:ascii="Cambria Math" w:hAnsi="Cambria Math" w:cs="Times New Roman"/>
                      </w:rPr>
                      <m:t>j</m:t>
                    </m:r>
                  </m:sub>
                </m:sSub>
                <m:r>
                  <w:rPr>
                    <w:rFonts w:ascii="Cambria Math" w:hAnsi="Cambria Math" w:cs="Times New Roman"/>
                  </w:rPr>
                  <m:t>-</m:t>
                </m:r>
                <m:sSub>
                  <m:sSubPr>
                    <m:ctrlPr>
                      <w:rPr>
                        <w:rFonts w:ascii="Cambria Math" w:hAnsi="Times New Roman"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Times New Roman" w:cs="Times New Roman"/>
                  </w:rPr>
                  <m:t>)</m:t>
                </m:r>
              </m:e>
              <m:sup>
                <m:r>
                  <w:rPr>
                    <w:rFonts w:ascii="Cambria Math" w:hAnsi="Times New Roman" w:cs="Times New Roman"/>
                  </w:rPr>
                  <m:t>2</m:t>
                </m:r>
              </m:sup>
            </m:sSup>
          </m:e>
        </m:rad>
      </m:oMath>
      <w:r w:rsidR="004C41DB">
        <w:rPr>
          <w:rFonts w:ascii="Times New Roman" w:eastAsiaTheme="minorEastAsia" w:hAnsi="Times New Roman" w:cs="Times New Roman"/>
        </w:rPr>
        <w:t xml:space="preserve">                                                            (1)</w:t>
      </w:r>
    </w:p>
    <w:p w:rsidR="00345474" w:rsidRPr="00105B0D" w:rsidRDefault="00345474" w:rsidP="00345474">
      <w:pPr>
        <w:pStyle w:val="ListParagraph"/>
        <w:tabs>
          <w:tab w:val="left" w:pos="7938"/>
        </w:tabs>
        <w:spacing w:after="120" w:line="360" w:lineRule="auto"/>
        <w:ind w:left="-1134"/>
        <w:jc w:val="center"/>
        <w:rPr>
          <w:rFonts w:ascii="Times New Roman" w:hAnsi="Times New Roman" w:cs="Times New Roman"/>
        </w:rPr>
      </w:pPr>
    </w:p>
    <w:p w:rsidR="004C41DB" w:rsidRDefault="004C41DB" w:rsidP="00DA19D2">
      <w:pPr>
        <w:pStyle w:val="ListParagraph"/>
        <w:tabs>
          <w:tab w:val="left" w:pos="7938"/>
        </w:tabs>
        <w:spacing w:after="120" w:line="360" w:lineRule="auto"/>
        <w:ind w:left="-1134"/>
        <w:jc w:val="both"/>
        <w:rPr>
          <w:rFonts w:ascii="Times New Roman" w:hAnsi="Times New Roman" w:cs="Times New Roman"/>
        </w:rPr>
      </w:pPr>
      <w:r w:rsidRPr="00105B0D">
        <w:rPr>
          <w:rFonts w:ascii="Times New Roman" w:hAnsi="Times New Roman" w:cs="Times New Roman"/>
        </w:rPr>
        <w:t xml:space="preserve">where </w:t>
      </w:r>
      <w:r w:rsidRPr="00105B0D">
        <w:rPr>
          <w:rFonts w:ascii="Times New Roman" w:hAnsi="Times New Roman" w:cs="Times New Roman"/>
          <w:i/>
        </w:rPr>
        <w:t>d</w:t>
      </w:r>
      <w:r w:rsidRPr="00105B0D">
        <w:rPr>
          <w:rFonts w:ascii="Times New Roman" w:hAnsi="Times New Roman" w:cs="Times New Roman"/>
        </w:rPr>
        <w:t xml:space="preserve"> is the distance between the two points </w:t>
      </w:r>
      <w:proofErr w:type="spellStart"/>
      <w:r w:rsidRPr="00105B0D">
        <w:rPr>
          <w:rFonts w:ascii="Times New Roman" w:hAnsi="Times New Roman" w:cs="Times New Roman"/>
          <w:i/>
        </w:rPr>
        <w:t>i</w:t>
      </w:r>
      <w:proofErr w:type="spellEnd"/>
      <w:r w:rsidRPr="00105B0D">
        <w:rPr>
          <w:rFonts w:ascii="Times New Roman" w:hAnsi="Times New Roman" w:cs="Times New Roman"/>
        </w:rPr>
        <w:t xml:space="preserve"> and </w:t>
      </w:r>
      <w:r w:rsidRPr="00105B0D">
        <w:rPr>
          <w:rFonts w:ascii="Times New Roman" w:hAnsi="Times New Roman" w:cs="Times New Roman"/>
          <w:i/>
        </w:rPr>
        <w:t>j</w:t>
      </w:r>
      <w:r w:rsidRPr="00105B0D">
        <w:rPr>
          <w:rFonts w:ascii="Times New Roman" w:hAnsi="Times New Roman" w:cs="Times New Roman"/>
        </w:rPr>
        <w:t xml:space="preserve">, and </w:t>
      </w:r>
      <m:oMath>
        <m:sSub>
          <m:sSubPr>
            <m:ctrlPr>
              <w:rPr>
                <w:rFonts w:ascii="Cambria Math" w:hAnsi="Times New Roman" w:cs="Times New Roman"/>
                <w:i/>
              </w:rPr>
            </m:ctrlPr>
          </m:sSubPr>
          <m:e>
            <m:r>
              <w:rPr>
                <w:rFonts w:ascii="Cambria Math" w:hAnsi="Cambria Math" w:cs="Times New Roman"/>
              </w:rPr>
              <m:t>x</m:t>
            </m:r>
          </m:e>
          <m:sub>
            <m:r>
              <w:rPr>
                <w:rFonts w:ascii="Cambria Math" w:hAnsi="Cambria Math" w:cs="Times New Roman"/>
              </w:rPr>
              <m:t>i</m:t>
            </m:r>
          </m:sub>
        </m:sSub>
      </m:oMath>
      <w:r w:rsidRPr="00105B0D">
        <w:rPr>
          <w:rFonts w:ascii="Times New Roman"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x</m:t>
            </m:r>
          </m:e>
          <m:sub>
            <m:r>
              <w:rPr>
                <w:rFonts w:ascii="Cambria Math" w:hAnsi="Cambria Math" w:cs="Times New Roman"/>
              </w:rPr>
              <m:t>j</m:t>
            </m:r>
          </m:sub>
        </m:sSub>
      </m:oMath>
      <w:r w:rsidRPr="00105B0D">
        <w:rPr>
          <w:rFonts w:ascii="Times New Roman"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y</m:t>
            </m:r>
          </m:e>
          <m:sub>
            <m:r>
              <w:rPr>
                <w:rFonts w:ascii="Cambria Math" w:hAnsi="Cambria Math" w:cs="Times New Roman"/>
              </w:rPr>
              <m:t>i</m:t>
            </m:r>
          </m:sub>
        </m:sSub>
      </m:oMath>
      <w:r w:rsidRPr="00105B0D">
        <w:rPr>
          <w:rFonts w:ascii="Times New Roman"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y</m:t>
            </m:r>
          </m:e>
          <m:sub>
            <m:r>
              <w:rPr>
                <w:rFonts w:ascii="Cambria Math" w:hAnsi="Cambria Math" w:cs="Times New Roman"/>
              </w:rPr>
              <m:t>j</m:t>
            </m:r>
          </m:sub>
        </m:sSub>
      </m:oMath>
      <w:r w:rsidRPr="00105B0D">
        <w:rPr>
          <w:rFonts w:ascii="Times New Roman" w:hAnsi="Times New Roman" w:cs="Times New Roman"/>
        </w:rPr>
        <w:t xml:space="preserve"> are the Cartesian coordinates of points </w:t>
      </w:r>
      <w:proofErr w:type="spellStart"/>
      <w:r w:rsidRPr="00105B0D">
        <w:rPr>
          <w:rFonts w:ascii="Times New Roman" w:hAnsi="Times New Roman" w:cs="Times New Roman"/>
          <w:i/>
        </w:rPr>
        <w:t>i</w:t>
      </w:r>
      <w:proofErr w:type="spellEnd"/>
      <w:r w:rsidRPr="00105B0D">
        <w:rPr>
          <w:rFonts w:ascii="Times New Roman" w:hAnsi="Times New Roman" w:cs="Times New Roman"/>
        </w:rPr>
        <w:t xml:space="preserve"> and </w:t>
      </w:r>
      <w:r w:rsidRPr="00105B0D">
        <w:rPr>
          <w:rFonts w:ascii="Times New Roman" w:hAnsi="Times New Roman" w:cs="Times New Roman"/>
          <w:i/>
        </w:rPr>
        <w:t>j</w:t>
      </w:r>
      <w:r w:rsidR="002E1F3B">
        <w:rPr>
          <w:rFonts w:ascii="Times New Roman" w:hAnsi="Times New Roman" w:cs="Times New Roman"/>
          <w:i/>
        </w:rPr>
        <w:t xml:space="preserve"> </w:t>
      </w:r>
      <w:r w:rsidRPr="00247123">
        <w:rPr>
          <w:rFonts w:ascii="Times New Roman" w:hAnsi="Times New Roman" w:cs="Times New Roman"/>
        </w:rPr>
        <w:t>respectively</w:t>
      </w:r>
      <w:r w:rsidRPr="00105B0D">
        <w:rPr>
          <w:rFonts w:ascii="Times New Roman" w:hAnsi="Times New Roman" w:cs="Times New Roman"/>
          <w:i/>
        </w:rPr>
        <w:t xml:space="preserve">, </w:t>
      </w:r>
      <w:r w:rsidRPr="00105B0D">
        <w:rPr>
          <w:rFonts w:ascii="Times New Roman" w:hAnsi="Times New Roman" w:cs="Times New Roman"/>
        </w:rPr>
        <w:t xml:space="preserve">or by using the </w:t>
      </w:r>
      <w:proofErr w:type="spellStart"/>
      <w:r w:rsidRPr="00105B0D">
        <w:rPr>
          <w:rFonts w:ascii="Times New Roman" w:hAnsi="Times New Roman" w:cs="Times New Roman"/>
        </w:rPr>
        <w:t>Haversine</w:t>
      </w:r>
      <w:proofErr w:type="spellEnd"/>
      <w:r w:rsidRPr="00105B0D">
        <w:rPr>
          <w:rFonts w:ascii="Times New Roman" w:hAnsi="Times New Roman" w:cs="Times New Roman"/>
        </w:rPr>
        <w:t xml:space="preserve"> formula for </w:t>
      </w:r>
      <w:r>
        <w:rPr>
          <w:rFonts w:ascii="Times New Roman" w:hAnsi="Times New Roman" w:cs="Times New Roman"/>
        </w:rPr>
        <w:t>g</w:t>
      </w:r>
      <w:r w:rsidRPr="00105B0D">
        <w:rPr>
          <w:rFonts w:ascii="Times New Roman" w:hAnsi="Times New Roman" w:cs="Times New Roman"/>
        </w:rPr>
        <w:t>eodetic systems:</w:t>
      </w:r>
    </w:p>
    <w:p w:rsidR="00345474" w:rsidRPr="00105B0D" w:rsidRDefault="00345474" w:rsidP="00DA19D2">
      <w:pPr>
        <w:pStyle w:val="ListParagraph"/>
        <w:tabs>
          <w:tab w:val="left" w:pos="7938"/>
        </w:tabs>
        <w:spacing w:after="120" w:line="360" w:lineRule="auto"/>
        <w:ind w:left="-1134"/>
        <w:jc w:val="both"/>
        <w:rPr>
          <w:rFonts w:ascii="Times New Roman" w:hAnsi="Times New Roman" w:cs="Times New Roman"/>
        </w:rPr>
      </w:pPr>
    </w:p>
    <w:p w:rsidR="004C41DB" w:rsidRDefault="008710B3" w:rsidP="00345474">
      <w:pPr>
        <w:pStyle w:val="ListParagraph"/>
        <w:tabs>
          <w:tab w:val="left" w:pos="7938"/>
        </w:tabs>
        <w:spacing w:after="120" w:line="360" w:lineRule="auto"/>
        <w:ind w:left="-1134"/>
        <w:jc w:val="center"/>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d</m:t>
            </m:r>
          </m:e>
          <m:sub>
            <m:r>
              <w:rPr>
                <w:rFonts w:ascii="Cambria Math" w:hAnsi="Cambria Math" w:cs="Times New Roman"/>
              </w:rPr>
              <m:t>ij</m:t>
            </m:r>
          </m:sub>
        </m:sSub>
        <m:r>
          <w:rPr>
            <w:rFonts w:ascii="Cambria Math" w:hAnsi="Times New Roman" w:cs="Times New Roman"/>
          </w:rPr>
          <m:t>=2</m:t>
        </m:r>
        <m:r>
          <w:rPr>
            <w:rFonts w:ascii="Cambria Math" w:hAnsi="Cambria Math" w:cs="Times New Roman"/>
          </w:rPr>
          <m:t>rarcsin</m:t>
        </m:r>
        <m:d>
          <m:dPr>
            <m:ctrlPr>
              <w:rPr>
                <w:rFonts w:ascii="Cambria Math" w:hAnsi="Times New Roman" w:cs="Times New Roman"/>
                <w:i/>
              </w:rPr>
            </m:ctrlPr>
          </m:dPr>
          <m:e>
            <m:rad>
              <m:radPr>
                <m:degHide m:val="1"/>
                <m:ctrlPr>
                  <w:rPr>
                    <w:rFonts w:ascii="Cambria Math" w:hAnsi="Times New Roman" w:cs="Times New Roman"/>
                    <w:i/>
                  </w:rPr>
                </m:ctrlPr>
              </m:radPr>
              <m:deg/>
              <m:e>
                <m:sSup>
                  <m:sSupPr>
                    <m:ctrlPr>
                      <w:rPr>
                        <w:rFonts w:ascii="Cambria Math" w:hAnsi="Times New Roman" w:cs="Times New Roman"/>
                        <w:i/>
                      </w:rPr>
                    </m:ctrlPr>
                  </m:sSupPr>
                  <m:e>
                    <m:r>
                      <w:rPr>
                        <w:rFonts w:ascii="Cambria Math" w:hAnsi="Cambria Math" w:cs="Times New Roman"/>
                      </w:rPr>
                      <m:t>sin</m:t>
                    </m:r>
                  </m:e>
                  <m:sup>
                    <m:r>
                      <w:rPr>
                        <w:rFonts w:ascii="Cambria Math" w:hAnsi="Times New Roman" w:cs="Times New Roman"/>
                      </w:rPr>
                      <m:t>2</m:t>
                    </m:r>
                  </m:sup>
                </m:sSup>
                <m:d>
                  <m:dPr>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φ</m:t>
                            </m:r>
                          </m:e>
                          <m:sub>
                            <m:r>
                              <w:rPr>
                                <w:rFonts w:ascii="Cambria Math" w:hAnsi="Cambria Math" w:cs="Times New Roman"/>
                              </w:rPr>
                              <m:t>j</m:t>
                            </m:r>
                          </m:sub>
                        </m:sSub>
                        <m:r>
                          <w:rPr>
                            <w:rFonts w:ascii="Cambria Math" w:hAnsi="Cambria Math" w:cs="Times New Roman"/>
                          </w:rPr>
                          <m:t>-</m:t>
                        </m:r>
                        <m:sSub>
                          <m:sSubPr>
                            <m:ctrlPr>
                              <w:rPr>
                                <w:rFonts w:ascii="Cambria Math" w:hAnsi="Times New Roman" w:cs="Times New Roman"/>
                                <w:i/>
                              </w:rPr>
                            </m:ctrlPr>
                          </m:sSubPr>
                          <m:e>
                            <m:r>
                              <w:rPr>
                                <w:rFonts w:ascii="Cambria Math" w:hAnsi="Cambria Math" w:cs="Times New Roman"/>
                              </w:rPr>
                              <m:t>φ</m:t>
                            </m:r>
                          </m:e>
                          <m:sub>
                            <m:r>
                              <w:rPr>
                                <w:rFonts w:ascii="Cambria Math" w:hAnsi="Cambria Math" w:cs="Times New Roman"/>
                              </w:rPr>
                              <m:t>i</m:t>
                            </m:r>
                          </m:sub>
                        </m:sSub>
                      </m:num>
                      <m:den>
                        <m:r>
                          <w:rPr>
                            <w:rFonts w:ascii="Cambria Math" w:hAnsi="Times New Roman" w:cs="Times New Roman"/>
                          </w:rPr>
                          <m:t>2</m:t>
                        </m:r>
                      </m:den>
                    </m:f>
                  </m:e>
                </m:d>
                <m:r>
                  <w:rPr>
                    <w:rFonts w:ascii="Cambria Math" w:hAnsi="Times New Roman" w:cs="Times New Roman"/>
                  </w:rPr>
                  <m:t>+</m:t>
                </m:r>
                <m:r>
                  <w:rPr>
                    <w:rFonts w:ascii="Cambria Math" w:hAnsi="Cambria Math" w:cs="Times New Roman"/>
                  </w:rPr>
                  <m:t>cos</m:t>
                </m:r>
                <m:d>
                  <m:dPr>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φ</m:t>
                        </m:r>
                      </m:e>
                      <m:sub>
                        <m:r>
                          <w:rPr>
                            <w:rFonts w:ascii="Cambria Math" w:hAnsi="Cambria Math" w:cs="Times New Roman"/>
                          </w:rPr>
                          <m:t>i</m:t>
                        </m:r>
                      </m:sub>
                    </m:sSub>
                  </m:e>
                </m:d>
                <m:r>
                  <w:rPr>
                    <w:rFonts w:ascii="Cambria Math" w:hAnsi="Cambria Math" w:cs="Times New Roman"/>
                  </w:rPr>
                  <m:t>cos</m:t>
                </m:r>
                <m:d>
                  <m:dPr>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φ</m:t>
                        </m:r>
                      </m:e>
                      <m:sub>
                        <m:r>
                          <w:rPr>
                            <w:rFonts w:ascii="Cambria Math" w:hAnsi="Cambria Math" w:cs="Times New Roman"/>
                          </w:rPr>
                          <m:t>j</m:t>
                        </m:r>
                      </m:sub>
                    </m:sSub>
                  </m:e>
                </m:d>
                <m:sSup>
                  <m:sSupPr>
                    <m:ctrlPr>
                      <w:rPr>
                        <w:rFonts w:ascii="Cambria Math" w:hAnsi="Times New Roman" w:cs="Times New Roman"/>
                        <w:i/>
                      </w:rPr>
                    </m:ctrlPr>
                  </m:sSupPr>
                  <m:e>
                    <m:r>
                      <w:rPr>
                        <w:rFonts w:ascii="Cambria Math" w:hAnsi="Cambria Math" w:cs="Times New Roman"/>
                      </w:rPr>
                      <m:t>sin</m:t>
                    </m:r>
                  </m:e>
                  <m:sup>
                    <m:r>
                      <w:rPr>
                        <w:rFonts w:ascii="Cambria Math" w:hAnsi="Times New Roman" w:cs="Times New Roman"/>
                      </w:rPr>
                      <m:t>2</m:t>
                    </m:r>
                  </m:sup>
                </m:sSup>
                <m:d>
                  <m:dPr>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rPr>
                              <m:t>j</m:t>
                            </m:r>
                          </m:sub>
                        </m:sSub>
                        <m:r>
                          <w:rPr>
                            <w:rFonts w:ascii="Cambria Math" w:hAnsi="Cambria Math" w:cs="Times New Roman"/>
                          </w:rPr>
                          <m:t>-</m:t>
                        </m:r>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rPr>
                              <m:t>i</m:t>
                            </m:r>
                          </m:sub>
                        </m:sSub>
                      </m:num>
                      <m:den>
                        <m:r>
                          <w:rPr>
                            <w:rFonts w:ascii="Cambria Math" w:hAnsi="Times New Roman" w:cs="Times New Roman"/>
                          </w:rPr>
                          <m:t>2</m:t>
                        </m:r>
                      </m:den>
                    </m:f>
                  </m:e>
                </m:d>
              </m:e>
            </m:rad>
          </m:e>
        </m:d>
        <m:r>
          <w:rPr>
            <w:rFonts w:ascii="Cambria Math" w:hAnsi="Times New Roman" w:cs="Times New Roman"/>
          </w:rPr>
          <m:t xml:space="preserve">                                          </m:t>
        </m:r>
      </m:oMath>
      <w:r w:rsidR="004C41DB">
        <w:rPr>
          <w:rFonts w:ascii="Times New Roman" w:eastAsiaTheme="minorEastAsia" w:hAnsi="Times New Roman" w:cs="Times New Roman"/>
        </w:rPr>
        <w:t>(2)</w:t>
      </w:r>
    </w:p>
    <w:p w:rsidR="00345474" w:rsidRDefault="00345474" w:rsidP="00345474">
      <w:pPr>
        <w:pStyle w:val="ListParagraph"/>
        <w:tabs>
          <w:tab w:val="left" w:pos="7938"/>
        </w:tabs>
        <w:spacing w:after="120" w:line="360" w:lineRule="auto"/>
        <w:ind w:left="-1134"/>
        <w:jc w:val="center"/>
        <w:rPr>
          <w:rFonts w:ascii="Times New Roman" w:hAnsi="Times New Roman" w:cs="Times New Roman"/>
        </w:rPr>
      </w:pPr>
    </w:p>
    <w:p w:rsidR="004C41DB" w:rsidRDefault="00A435F3" w:rsidP="00DA19D2">
      <w:pPr>
        <w:pStyle w:val="ListParagraph"/>
        <w:tabs>
          <w:tab w:val="left" w:pos="7938"/>
        </w:tabs>
        <w:spacing w:after="120" w:line="360" w:lineRule="auto"/>
        <w:ind w:left="-1134"/>
        <w:jc w:val="both"/>
      </w:pPr>
      <w:proofErr w:type="gramStart"/>
      <w:r>
        <w:rPr>
          <w:rFonts w:ascii="Times New Roman" w:hAnsi="Times New Roman" w:cs="Times New Roman"/>
        </w:rPr>
        <w:lastRenderedPageBreak/>
        <w:t>w</w:t>
      </w:r>
      <w:r w:rsidR="004C41DB" w:rsidRPr="00105B0D">
        <w:rPr>
          <w:rFonts w:ascii="Times New Roman" w:hAnsi="Times New Roman" w:cs="Times New Roman"/>
        </w:rPr>
        <w:t>here</w:t>
      </w:r>
      <w:proofErr w:type="gramEnd"/>
      <w:r>
        <w:rPr>
          <w:rFonts w:ascii="Times New Roman" w:hAnsi="Times New Roman" w:cs="Times New Roman"/>
        </w:rPr>
        <w:t xml:space="preserve"> </w:t>
      </w:r>
      <w:r w:rsidR="004C41DB" w:rsidRPr="00105B0D">
        <w:rPr>
          <w:rFonts w:ascii="Times New Roman" w:hAnsi="Times New Roman" w:cs="Times New Roman"/>
          <w:i/>
        </w:rPr>
        <w:t>d</w:t>
      </w:r>
      <w:r w:rsidR="004C41DB" w:rsidRPr="00105B0D">
        <w:rPr>
          <w:rFonts w:ascii="Times New Roman" w:hAnsi="Times New Roman" w:cs="Times New Roman"/>
        </w:rPr>
        <w:t xml:space="preserve"> is the distance between the two points </w:t>
      </w:r>
      <w:proofErr w:type="spellStart"/>
      <w:r w:rsidR="004C41DB" w:rsidRPr="00105B0D">
        <w:rPr>
          <w:rFonts w:ascii="Times New Roman" w:hAnsi="Times New Roman" w:cs="Times New Roman"/>
          <w:i/>
        </w:rPr>
        <w:t>i</w:t>
      </w:r>
      <w:proofErr w:type="spellEnd"/>
      <w:r w:rsidR="004C41DB" w:rsidRPr="00105B0D">
        <w:rPr>
          <w:rFonts w:ascii="Times New Roman" w:hAnsi="Times New Roman" w:cs="Times New Roman"/>
        </w:rPr>
        <w:t xml:space="preserve"> and </w:t>
      </w:r>
      <w:r w:rsidR="004C41DB" w:rsidRPr="00105B0D">
        <w:rPr>
          <w:rFonts w:ascii="Times New Roman" w:hAnsi="Times New Roman" w:cs="Times New Roman"/>
          <w:i/>
        </w:rPr>
        <w:t>j</w:t>
      </w:r>
      <w:r w:rsidR="004C41DB" w:rsidRPr="00105B0D">
        <w:rPr>
          <w:rFonts w:ascii="Times New Roman" w:hAnsi="Times New Roman" w:cs="Times New Roman"/>
        </w:rPr>
        <w:t xml:space="preserve">, </w:t>
      </w:r>
      <w:r w:rsidR="004C41DB" w:rsidRPr="00105B0D">
        <w:rPr>
          <w:rFonts w:ascii="Times New Roman" w:hAnsi="Times New Roman" w:cs="Times New Roman"/>
          <w:i/>
        </w:rPr>
        <w:t>r</w:t>
      </w:r>
      <w:r w:rsidR="004C41DB" w:rsidRPr="00105B0D">
        <w:rPr>
          <w:rFonts w:ascii="Times New Roman" w:hAnsi="Times New Roman" w:cs="Times New Roman"/>
        </w:rPr>
        <w:t xml:space="preserve"> is the radius of the Earth (treating </w:t>
      </w:r>
      <w:r w:rsidR="004C41DB">
        <w:rPr>
          <w:rFonts w:ascii="Times New Roman" w:hAnsi="Times New Roman" w:cs="Times New Roman"/>
        </w:rPr>
        <w:t xml:space="preserve">the </w:t>
      </w:r>
      <w:r w:rsidR="004C41DB" w:rsidRPr="00105B0D">
        <w:rPr>
          <w:rFonts w:ascii="Times New Roman" w:hAnsi="Times New Roman" w:cs="Times New Roman"/>
        </w:rPr>
        <w:t xml:space="preserve">Earth as a sphere), </w:t>
      </w:r>
      <m:oMath>
        <m:sSub>
          <m:sSubPr>
            <m:ctrlPr>
              <w:rPr>
                <w:rFonts w:ascii="Cambria Math" w:hAnsi="Times New Roman" w:cs="Times New Roman"/>
                <w:i/>
              </w:rPr>
            </m:ctrlPr>
          </m:sSubPr>
          <m:e>
            <m:r>
              <w:rPr>
                <w:rFonts w:ascii="Cambria Math" w:hAnsi="Cambria Math" w:cs="Times New Roman"/>
              </w:rPr>
              <m:t>φ</m:t>
            </m:r>
          </m:e>
          <m:sub>
            <m:r>
              <w:rPr>
                <w:rFonts w:ascii="Cambria Math" w:hAnsi="Cambria Math" w:cs="Times New Roman"/>
              </w:rPr>
              <m:t>i</m:t>
            </m:r>
          </m:sub>
        </m:sSub>
      </m:oMath>
      <w:r w:rsidR="004C41DB" w:rsidRPr="00105B0D">
        <w:rPr>
          <w:rFonts w:ascii="Times New Roman" w:hAnsi="Times New Roman" w:cs="Times New Roman"/>
        </w:rPr>
        <w:t xml:space="preserve"> is the latitude of point </w:t>
      </w:r>
      <w:proofErr w:type="spellStart"/>
      <w:r w:rsidR="004C41DB" w:rsidRPr="00105B0D">
        <w:rPr>
          <w:rFonts w:ascii="Times New Roman" w:hAnsi="Times New Roman" w:cs="Times New Roman"/>
          <w:i/>
        </w:rPr>
        <w:t>i</w:t>
      </w:r>
      <w:proofErr w:type="spellEnd"/>
      <w:r w:rsidR="004C41DB" w:rsidRPr="00105B0D">
        <w:rPr>
          <w:rFonts w:ascii="Times New Roman" w:hAnsi="Times New Roman" w:cs="Times New Roman"/>
        </w:rPr>
        <w:t xml:space="preserve"> and </w:t>
      </w:r>
      <m:oMath>
        <m:sSub>
          <m:sSubPr>
            <m:ctrlPr>
              <w:rPr>
                <w:rFonts w:ascii="Cambria Math" w:hAnsi="Times New Roman" w:cs="Times New Roman"/>
                <w:i/>
              </w:rPr>
            </m:ctrlPr>
          </m:sSubPr>
          <m:e>
            <m:r>
              <w:rPr>
                <w:rFonts w:ascii="Cambria Math" w:hAnsi="Cambria Math" w:cs="Times New Roman"/>
              </w:rPr>
              <m:t>φ</m:t>
            </m:r>
          </m:e>
          <m:sub>
            <m:r>
              <w:rPr>
                <w:rFonts w:ascii="Cambria Math" w:hAnsi="Cambria Math" w:cs="Times New Roman"/>
              </w:rPr>
              <m:t>j</m:t>
            </m:r>
          </m:sub>
        </m:sSub>
      </m:oMath>
      <w:r w:rsidR="004C41DB" w:rsidRPr="00105B0D">
        <w:rPr>
          <w:rFonts w:ascii="Times New Roman" w:hAnsi="Times New Roman" w:cs="Times New Roman"/>
        </w:rPr>
        <w:t xml:space="preserve">is the latitude of point </w:t>
      </w:r>
      <w:r w:rsidR="004C41DB" w:rsidRPr="00105B0D">
        <w:rPr>
          <w:rFonts w:ascii="Times New Roman" w:hAnsi="Times New Roman" w:cs="Times New Roman"/>
          <w:i/>
        </w:rPr>
        <w:t xml:space="preserve">j, </w:t>
      </w:r>
      <w:r w:rsidR="004C41DB" w:rsidRPr="00105B0D">
        <w:rPr>
          <w:rFonts w:ascii="Times New Roman" w:hAnsi="Times New Roman" w:cs="Times New Roman"/>
        </w:rPr>
        <w:t xml:space="preserve">and </w:t>
      </w:r>
      <m:oMath>
        <m:sSub>
          <m:sSubPr>
            <m:ctrlPr>
              <w:rPr>
                <w:rFonts w:ascii="Cambria Math" w:hAnsi="Times New Roman" w:cs="Times New Roman"/>
                <w:i/>
              </w:rPr>
            </m:ctrlPr>
          </m:sSubPr>
          <m:e>
            <m:r>
              <w:rPr>
                <w:rFonts w:ascii="Cambria Math" w:hAnsi="Cambria Math" w:cs="Times New Roman"/>
                <w:lang w:val="el-GR"/>
              </w:rPr>
              <m:t>λ</m:t>
            </m:r>
          </m:e>
          <m:sub>
            <m:r>
              <w:rPr>
                <w:rFonts w:ascii="Cambria Math" w:hAnsi="Cambria Math" w:cs="Times New Roman"/>
              </w:rPr>
              <m:t>i</m:t>
            </m:r>
          </m:sub>
        </m:sSub>
      </m:oMath>
      <w:r w:rsidR="004C41DB" w:rsidRPr="00105B0D">
        <w:rPr>
          <w:rFonts w:ascii="Times New Roman" w:hAnsi="Times New Roman" w:cs="Times New Roman"/>
        </w:rPr>
        <w:t xml:space="preserve"> is the longitude of point </w:t>
      </w:r>
      <w:proofErr w:type="spellStart"/>
      <w:r w:rsidR="004C41DB" w:rsidRPr="00105B0D">
        <w:rPr>
          <w:rFonts w:ascii="Times New Roman" w:hAnsi="Times New Roman" w:cs="Times New Roman"/>
          <w:i/>
        </w:rPr>
        <w:t>i</w:t>
      </w:r>
      <w:proofErr w:type="spellEnd"/>
      <w:r w:rsidR="004C41DB" w:rsidRPr="00105B0D">
        <w:rPr>
          <w:rFonts w:ascii="Times New Roman" w:hAnsi="Times New Roman" w:cs="Times New Roman"/>
        </w:rPr>
        <w:t xml:space="preserve"> and </w:t>
      </w:r>
      <m:oMath>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rPr>
              <m:t>j</m:t>
            </m:r>
          </m:sub>
        </m:sSub>
      </m:oMath>
      <w:r w:rsidR="004C41DB" w:rsidRPr="00105B0D">
        <w:rPr>
          <w:rFonts w:ascii="Times New Roman" w:hAnsi="Times New Roman" w:cs="Times New Roman"/>
        </w:rPr>
        <w:t xml:space="preserve"> is the longitude of point </w:t>
      </w:r>
      <w:r w:rsidR="004C41DB" w:rsidRPr="00105B0D">
        <w:rPr>
          <w:rFonts w:ascii="Times New Roman" w:hAnsi="Times New Roman" w:cs="Times New Roman"/>
          <w:i/>
        </w:rPr>
        <w:t>j.</w:t>
      </w:r>
    </w:p>
    <w:p w:rsidR="00F65C0F" w:rsidRDefault="00F65C0F" w:rsidP="00DA19D2">
      <w:pPr>
        <w:tabs>
          <w:tab w:val="left" w:pos="7938"/>
        </w:tabs>
        <w:spacing w:after="120" w:line="360" w:lineRule="auto"/>
        <w:ind w:left="-1134"/>
        <w:jc w:val="both"/>
        <w:rPr>
          <w:sz w:val="22"/>
          <w:szCs w:val="22"/>
          <w:lang w:val="en-GB"/>
        </w:rPr>
      </w:pPr>
      <w:r>
        <w:rPr>
          <w:sz w:val="22"/>
          <w:szCs w:val="22"/>
          <w:lang w:val="en-GB"/>
        </w:rPr>
        <w:t>T</w:t>
      </w:r>
      <w:r w:rsidRPr="00DA04F8">
        <w:rPr>
          <w:sz w:val="22"/>
          <w:szCs w:val="22"/>
          <w:lang w:val="en-GB"/>
        </w:rPr>
        <w:t xml:space="preserve">he </w:t>
      </w:r>
      <w:r>
        <w:rPr>
          <w:sz w:val="22"/>
          <w:szCs w:val="22"/>
          <w:lang w:val="en-GB"/>
        </w:rPr>
        <w:t xml:space="preserve">distances between ASRs that constitute each new aggregation are estimated on the basis of the initial distances between the BSUs. Each distance between a pair of regions is calculated as the mean of BSU distances between both ASRs. The </w:t>
      </w:r>
      <w:r w:rsidRPr="00D002D0">
        <w:rPr>
          <w:sz w:val="22"/>
          <w:szCs w:val="22"/>
          <w:lang w:val="en-GB"/>
        </w:rPr>
        <w:t xml:space="preserve">formula for computing </w:t>
      </w:r>
      <w:r>
        <w:rPr>
          <w:sz w:val="22"/>
          <w:szCs w:val="22"/>
          <w:lang w:val="en-GB"/>
        </w:rPr>
        <w:t xml:space="preserve">the distance </w:t>
      </w:r>
      <m:oMath>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d</m:t>
            </m:r>
          </m:e>
          <m:sub>
            <m:r>
              <w:rPr>
                <w:rFonts w:ascii="Cambria Math" w:hAnsi="Cambria Math"/>
                <w:color w:val="000000" w:themeColor="text1"/>
                <w:sz w:val="22"/>
                <w:szCs w:val="22"/>
                <w:lang w:val="en-GB"/>
              </w:rPr>
              <m:t>AB</m:t>
            </m:r>
          </m:sub>
        </m:sSub>
      </m:oMath>
      <w:r>
        <w:rPr>
          <w:sz w:val="22"/>
          <w:szCs w:val="22"/>
          <w:lang w:val="en-GB"/>
        </w:rPr>
        <w:t xml:space="preserve">between ASRs </w:t>
      </w:r>
      <w:r w:rsidRPr="00973B6A">
        <w:rPr>
          <w:i/>
          <w:sz w:val="22"/>
          <w:szCs w:val="22"/>
          <w:lang w:val="en-GB"/>
        </w:rPr>
        <w:t>A</w:t>
      </w:r>
      <w:r>
        <w:rPr>
          <w:sz w:val="22"/>
          <w:szCs w:val="22"/>
          <w:lang w:val="en-GB"/>
        </w:rPr>
        <w:t xml:space="preserve"> and </w:t>
      </w:r>
      <w:r w:rsidRPr="00973B6A">
        <w:rPr>
          <w:i/>
          <w:sz w:val="22"/>
          <w:szCs w:val="22"/>
          <w:lang w:val="en-GB"/>
        </w:rPr>
        <w:t>B</w:t>
      </w:r>
      <w:r w:rsidR="002E1F3B">
        <w:rPr>
          <w:i/>
          <w:sz w:val="22"/>
          <w:szCs w:val="22"/>
          <w:lang w:val="en-GB"/>
        </w:rPr>
        <w:t xml:space="preserve"> </w:t>
      </w:r>
      <w:r w:rsidRPr="00D002D0">
        <w:rPr>
          <w:sz w:val="22"/>
          <w:szCs w:val="22"/>
          <w:lang w:val="en-GB"/>
        </w:rPr>
        <w:t>is:</w:t>
      </w:r>
    </w:p>
    <w:p w:rsidR="00F65C0F" w:rsidRPr="00BB3E6B" w:rsidRDefault="008710B3" w:rsidP="00345474">
      <w:pPr>
        <w:tabs>
          <w:tab w:val="left" w:pos="7938"/>
        </w:tabs>
        <w:spacing w:after="120" w:line="360" w:lineRule="auto"/>
        <w:ind w:left="-1134"/>
        <w:jc w:val="center"/>
        <w:rPr>
          <w:rFonts w:eastAsiaTheme="minorEastAsia"/>
          <w:sz w:val="22"/>
          <w:szCs w:val="22"/>
          <w:lang w:val="en-GB" w:eastAsia="en-US"/>
        </w:rPr>
      </w:pPr>
      <m:oMath>
        <m:sSub>
          <m:sSubPr>
            <m:ctrlPr>
              <w:rPr>
                <w:rFonts w:ascii="Cambria Math" w:hAnsi="Cambria Math"/>
                <w:i/>
                <w:color w:val="000000" w:themeColor="text1"/>
                <w:lang w:val="en-GB"/>
              </w:rPr>
            </m:ctrlPr>
          </m:sSubPr>
          <m:e>
            <m:r>
              <w:rPr>
                <w:rFonts w:ascii="Cambria Math" w:hAnsi="Cambria Math"/>
                <w:color w:val="000000" w:themeColor="text1"/>
                <w:lang w:val="en-GB"/>
              </w:rPr>
              <m:t>d</m:t>
            </m:r>
          </m:e>
          <m:sub>
            <m:r>
              <w:rPr>
                <w:rFonts w:ascii="Cambria Math" w:hAnsi="Cambria Math"/>
                <w:color w:val="000000" w:themeColor="text1"/>
                <w:lang w:val="en-GB"/>
              </w:rPr>
              <m:t>AB</m:t>
            </m:r>
          </m:sub>
        </m:sSub>
        <m:r>
          <w:rPr>
            <w:rFonts w:ascii="Cambria Math" w:hAnsi="Cambria Math"/>
            <w:color w:val="000000" w:themeColor="text1"/>
            <w:lang w:val="en-GB"/>
          </w:rPr>
          <m:t>=</m:t>
        </m:r>
        <m:f>
          <m:fPr>
            <m:ctrlPr>
              <w:rPr>
                <w:rFonts w:ascii="Cambria Math" w:hAnsi="Cambria Math"/>
                <w:i/>
                <w:color w:val="000000" w:themeColor="text1"/>
                <w:lang w:val="en-GB"/>
              </w:rPr>
            </m:ctrlPr>
          </m:fPr>
          <m:num>
            <m:nary>
              <m:naryPr>
                <m:chr m:val="∑"/>
                <m:limLoc m:val="undOvr"/>
                <m:supHide m:val="1"/>
                <m:ctrlPr>
                  <w:rPr>
                    <w:rFonts w:ascii="Cambria Math" w:hAnsi="Cambria Math"/>
                    <w:i/>
                    <w:color w:val="000000" w:themeColor="text1"/>
                    <w:lang w:val="en-GB"/>
                  </w:rPr>
                </m:ctrlPr>
              </m:naryPr>
              <m:sub>
                <m:r>
                  <w:rPr>
                    <w:rFonts w:ascii="Cambria Math" w:hAnsi="Cambria Math"/>
                    <w:color w:val="000000" w:themeColor="text1"/>
                    <w:lang w:val="en-GB"/>
                  </w:rPr>
                  <m:t>i∈A</m:t>
                </m:r>
              </m:sub>
              <m:sup/>
              <m:e>
                <m:f>
                  <m:fPr>
                    <m:ctrlPr>
                      <w:rPr>
                        <w:rFonts w:ascii="Cambria Math" w:hAnsi="Cambria Math"/>
                        <w:i/>
                        <w:color w:val="000000" w:themeColor="text1"/>
                        <w:lang w:val="en-GB"/>
                      </w:rPr>
                    </m:ctrlPr>
                  </m:fPr>
                  <m:num>
                    <m:nary>
                      <m:naryPr>
                        <m:chr m:val="∑"/>
                        <m:limLoc m:val="undOvr"/>
                        <m:supHide m:val="1"/>
                        <m:ctrlPr>
                          <w:rPr>
                            <w:rFonts w:ascii="Cambria Math" w:hAnsi="Cambria Math"/>
                            <w:i/>
                            <w:color w:val="000000" w:themeColor="text1"/>
                            <w:lang w:val="en-GB"/>
                          </w:rPr>
                        </m:ctrlPr>
                      </m:naryPr>
                      <m:sub>
                        <m:r>
                          <w:rPr>
                            <w:rFonts w:ascii="Cambria Math" w:hAnsi="Cambria Math"/>
                            <w:color w:val="000000" w:themeColor="text1"/>
                            <w:lang w:val="en-GB"/>
                          </w:rPr>
                          <m:t>j∈B</m:t>
                        </m:r>
                      </m:sub>
                      <m:sup/>
                      <m:e>
                        <m:sSub>
                          <m:sSubPr>
                            <m:ctrlPr>
                              <w:rPr>
                                <w:rFonts w:ascii="Cambria Math" w:hAnsi="Cambria Math"/>
                                <w:i/>
                                <w:color w:val="000000" w:themeColor="text1"/>
                                <w:lang w:val="en-GB"/>
                              </w:rPr>
                            </m:ctrlPr>
                          </m:sSubPr>
                          <m:e>
                            <m:r>
                              <w:rPr>
                                <w:rFonts w:ascii="Cambria Math" w:hAnsi="Cambria Math"/>
                                <w:color w:val="000000" w:themeColor="text1"/>
                                <w:lang w:val="en-GB"/>
                              </w:rPr>
                              <m:t>d</m:t>
                            </m:r>
                          </m:e>
                          <m:sub>
                            <m:r>
                              <w:rPr>
                                <w:rFonts w:ascii="Cambria Math" w:hAnsi="Cambria Math"/>
                                <w:color w:val="000000" w:themeColor="text1"/>
                                <w:lang w:val="en-GB"/>
                              </w:rPr>
                              <m:t>ij</m:t>
                            </m:r>
                          </m:sub>
                        </m:sSub>
                      </m:e>
                    </m:nary>
                  </m:num>
                  <m:den>
                    <m:r>
                      <w:rPr>
                        <w:rFonts w:ascii="Cambria Math" w:hAnsi="Cambria Math"/>
                        <w:color w:val="000000" w:themeColor="text1"/>
                        <w:lang w:val="en-GB"/>
                      </w:rPr>
                      <m:t>m</m:t>
                    </m:r>
                  </m:den>
                </m:f>
              </m:e>
            </m:nary>
          </m:num>
          <m:den>
            <m:r>
              <w:rPr>
                <w:rFonts w:ascii="Cambria Math" w:hAnsi="Cambria Math"/>
                <w:color w:val="000000" w:themeColor="text1"/>
                <w:lang w:val="en-GB"/>
              </w:rPr>
              <m:t>n</m:t>
            </m:r>
          </m:den>
        </m:f>
        <m:r>
          <w:rPr>
            <w:rFonts w:ascii="Cambria Math" w:hAnsi="Cambria Math"/>
            <w:color w:val="000000" w:themeColor="text1"/>
            <w:lang w:val="en-GB"/>
          </w:rPr>
          <m:t xml:space="preserve">                                                                                      </m:t>
        </m:r>
      </m:oMath>
      <w:r w:rsidR="00F65C0F" w:rsidRPr="00BB3E6B">
        <w:rPr>
          <w:rFonts w:eastAsiaTheme="minorEastAsia"/>
          <w:sz w:val="22"/>
          <w:szCs w:val="22"/>
          <w:lang w:val="en-GB" w:eastAsia="en-US"/>
        </w:rPr>
        <w:t>(</w:t>
      </w:r>
      <w:r w:rsidR="00F65C0F">
        <w:rPr>
          <w:rFonts w:eastAsiaTheme="minorEastAsia"/>
          <w:sz w:val="22"/>
          <w:szCs w:val="22"/>
          <w:lang w:val="en-GB" w:eastAsia="en-US"/>
        </w:rPr>
        <w:t>3</w:t>
      </w:r>
      <w:r w:rsidR="00F65C0F" w:rsidRPr="00BB3E6B">
        <w:rPr>
          <w:rFonts w:eastAsiaTheme="minorEastAsia"/>
          <w:sz w:val="22"/>
          <w:szCs w:val="22"/>
          <w:lang w:val="en-GB" w:eastAsia="en-US"/>
        </w:rPr>
        <w:t>)</w:t>
      </w:r>
    </w:p>
    <w:p w:rsidR="00F65C0F" w:rsidRDefault="00F65C0F" w:rsidP="00DA19D2">
      <w:pPr>
        <w:tabs>
          <w:tab w:val="left" w:pos="7938"/>
        </w:tabs>
        <w:spacing w:after="120" w:line="360" w:lineRule="auto"/>
        <w:ind w:left="-1134"/>
        <w:jc w:val="both"/>
        <w:rPr>
          <w:color w:val="000000" w:themeColor="text1"/>
          <w:sz w:val="22"/>
          <w:szCs w:val="22"/>
          <w:lang w:val="en-GB"/>
        </w:rPr>
      </w:pPr>
    </w:p>
    <w:p w:rsidR="00F65C0F" w:rsidRDefault="00F65C0F" w:rsidP="00DA19D2">
      <w:pPr>
        <w:pStyle w:val="ListParagraph"/>
        <w:tabs>
          <w:tab w:val="left" w:pos="7938"/>
        </w:tabs>
        <w:spacing w:after="120" w:line="360" w:lineRule="auto"/>
        <w:ind w:left="-1134"/>
        <w:jc w:val="both"/>
        <w:rPr>
          <w:rFonts w:ascii="Times New Roman" w:hAnsi="Times New Roman" w:cs="Times New Roman"/>
          <w:i/>
        </w:rPr>
      </w:pPr>
      <w:r w:rsidRPr="00105B0D">
        <w:rPr>
          <w:rFonts w:ascii="Times New Roman" w:hAnsi="Times New Roman" w:cs="Times New Roman"/>
        </w:rPr>
        <w:t xml:space="preserve">where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AB</m:t>
            </m:r>
          </m:sub>
        </m:sSub>
      </m:oMath>
      <w:r w:rsidRPr="00105B0D">
        <w:rPr>
          <w:rFonts w:ascii="Times New Roman" w:hAnsi="Times New Roman" w:cs="Times New Roman"/>
        </w:rPr>
        <w:t xml:space="preserve"> is the distance between the </w:t>
      </w:r>
      <w:r>
        <w:rPr>
          <w:rFonts w:ascii="Times New Roman" w:hAnsi="Times New Roman" w:cs="Times New Roman"/>
        </w:rPr>
        <w:t xml:space="preserve">ASR </w:t>
      </w:r>
      <w:r w:rsidRPr="00D002D0">
        <w:rPr>
          <w:rFonts w:ascii="Times New Roman" w:hAnsi="Times New Roman" w:cs="Times New Roman"/>
          <w:i/>
        </w:rPr>
        <w:t>A</w:t>
      </w:r>
      <w:r w:rsidRPr="00105B0D">
        <w:rPr>
          <w:rFonts w:ascii="Times New Roman" w:hAnsi="Times New Roman" w:cs="Times New Roman"/>
        </w:rPr>
        <w:t xml:space="preserve"> and </w:t>
      </w:r>
      <w:r w:rsidR="00051199">
        <w:rPr>
          <w:rFonts w:ascii="Times New Roman" w:hAnsi="Times New Roman" w:cs="Times New Roman"/>
        </w:rPr>
        <w:t xml:space="preserve">ASR </w:t>
      </w:r>
      <w:r w:rsidRPr="00D002D0">
        <w:rPr>
          <w:rFonts w:ascii="Times New Roman" w:hAnsi="Times New Roman" w:cs="Times New Roman"/>
          <w:i/>
        </w:rPr>
        <w:t>B</w:t>
      </w:r>
      <w:r w:rsidRPr="00105B0D">
        <w:rPr>
          <w:rFonts w:ascii="Times New Roman" w:hAnsi="Times New Roman" w:cs="Times New Roman"/>
        </w:rPr>
        <w:t xml:space="preserve">, </w:t>
      </w:r>
      <w:proofErr w:type="spellStart"/>
      <w:r w:rsidRPr="00D002D0">
        <w:rPr>
          <w:rFonts w:ascii="Times New Roman" w:hAnsi="Times New Roman" w:cs="Times New Roman"/>
          <w:i/>
        </w:rPr>
        <w:t>i</w:t>
      </w:r>
      <w:proofErr w:type="spellEnd"/>
      <w:r>
        <w:rPr>
          <w:rFonts w:ascii="Times New Roman" w:hAnsi="Times New Roman" w:cs="Times New Roman"/>
        </w:rPr>
        <w:t xml:space="preserve"> is the BSU member of </w:t>
      </w:r>
      <w:r w:rsidR="00051199">
        <w:rPr>
          <w:rFonts w:ascii="Times New Roman" w:hAnsi="Times New Roman" w:cs="Times New Roman"/>
        </w:rPr>
        <w:t>ASR</w:t>
      </w:r>
      <w:r w:rsidRPr="00D002D0">
        <w:rPr>
          <w:rFonts w:ascii="Times New Roman" w:hAnsi="Times New Roman" w:cs="Times New Roman"/>
          <w:i/>
        </w:rPr>
        <w:t>A</w:t>
      </w:r>
      <w:r>
        <w:rPr>
          <w:rFonts w:ascii="Times New Roman" w:hAnsi="Times New Roman" w:cs="Times New Roman"/>
        </w:rPr>
        <w:t xml:space="preserve">, </w:t>
      </w:r>
      <w:r w:rsidRPr="00D002D0">
        <w:rPr>
          <w:rFonts w:ascii="Times New Roman" w:hAnsi="Times New Roman" w:cs="Times New Roman"/>
          <w:i/>
        </w:rPr>
        <w:t>j</w:t>
      </w:r>
      <w:r>
        <w:rPr>
          <w:rFonts w:ascii="Times New Roman" w:hAnsi="Times New Roman" w:cs="Times New Roman"/>
        </w:rPr>
        <w:t xml:space="preserve"> is the BSU member of ASR </w:t>
      </w:r>
      <w:r w:rsidRPr="00D002D0">
        <w:rPr>
          <w:rFonts w:ascii="Times New Roman" w:hAnsi="Times New Roman" w:cs="Times New Roman"/>
          <w:i/>
        </w:rPr>
        <w:t>B</w:t>
      </w:r>
      <w:r w:rsidRPr="00BB3E6B">
        <w:rPr>
          <w:rFonts w:ascii="Times New Roman" w:hAnsi="Times New Roman" w:cs="Times New Roman"/>
        </w:rPr>
        <w:t>and</w:t>
      </w:r>
      <w:r>
        <w:rPr>
          <w:rFonts w:ascii="Times New Roman" w:hAnsi="Times New Roman" w:cs="Times New Roman"/>
          <w:i/>
        </w:rPr>
        <w:t xml:space="preserve"> n, m </w:t>
      </w:r>
      <w:r>
        <w:rPr>
          <w:rFonts w:ascii="Times New Roman" w:hAnsi="Times New Roman" w:cs="Times New Roman"/>
        </w:rPr>
        <w:t xml:space="preserve">are the number </w:t>
      </w:r>
      <w:r w:rsidRPr="002959C4">
        <w:rPr>
          <w:rFonts w:ascii="Times New Roman" w:hAnsi="Times New Roman" w:cs="Times New Roman"/>
        </w:rPr>
        <w:t xml:space="preserve">of BSUs </w:t>
      </w:r>
      <w:r>
        <w:rPr>
          <w:rFonts w:ascii="Times New Roman" w:hAnsi="Times New Roman" w:cs="Times New Roman"/>
        </w:rPr>
        <w:t>in</w:t>
      </w:r>
      <w:r w:rsidR="002E1F3B">
        <w:rPr>
          <w:rFonts w:ascii="Times New Roman" w:hAnsi="Times New Roman" w:cs="Times New Roman"/>
        </w:rPr>
        <w:t xml:space="preserve"> </w:t>
      </w:r>
      <w:r>
        <w:rPr>
          <w:rFonts w:ascii="Times New Roman" w:hAnsi="Times New Roman" w:cs="Times New Roman"/>
        </w:rPr>
        <w:t>ASR</w:t>
      </w:r>
      <w:r w:rsidRPr="002959C4">
        <w:rPr>
          <w:rFonts w:ascii="Times New Roman" w:hAnsi="Times New Roman" w:cs="Times New Roman"/>
        </w:rPr>
        <w:t xml:space="preserve">s </w:t>
      </w:r>
      <w:r w:rsidRPr="002959C4">
        <w:rPr>
          <w:rFonts w:ascii="Times New Roman" w:hAnsi="Times New Roman" w:cs="Times New Roman"/>
          <w:i/>
        </w:rPr>
        <w:t>A</w:t>
      </w:r>
      <w:r w:rsidRPr="002959C4">
        <w:rPr>
          <w:rFonts w:ascii="Times New Roman" w:hAnsi="Times New Roman" w:cs="Times New Roman"/>
        </w:rPr>
        <w:t xml:space="preserve"> and </w:t>
      </w:r>
      <w:r w:rsidRPr="002959C4">
        <w:rPr>
          <w:rFonts w:ascii="Times New Roman" w:hAnsi="Times New Roman" w:cs="Times New Roman"/>
          <w:i/>
        </w:rPr>
        <w:t>B</w:t>
      </w:r>
      <w:r w:rsidRPr="002959C4">
        <w:rPr>
          <w:rFonts w:ascii="Times New Roman" w:hAnsi="Times New Roman" w:cs="Times New Roman"/>
        </w:rPr>
        <w:t xml:space="preserve"> respectively</w:t>
      </w:r>
      <w:r w:rsidRPr="002959C4">
        <w:rPr>
          <w:rFonts w:ascii="Times New Roman" w:hAnsi="Times New Roman" w:cs="Times New Roman"/>
          <w:i/>
        </w:rPr>
        <w:t xml:space="preserve">. </w:t>
      </w:r>
    </w:p>
    <w:p w:rsidR="006D21D2" w:rsidRDefault="006D21D2" w:rsidP="00DA19D2">
      <w:pPr>
        <w:tabs>
          <w:tab w:val="left" w:pos="7938"/>
        </w:tabs>
        <w:spacing w:after="120" w:line="360" w:lineRule="auto"/>
        <w:ind w:left="-1134"/>
        <w:rPr>
          <w:b/>
          <w:lang w:val="en-GB"/>
        </w:rPr>
      </w:pPr>
    </w:p>
    <w:p w:rsidR="00F14EEC" w:rsidRPr="006535EF" w:rsidRDefault="00F14EEC" w:rsidP="00DA19D2">
      <w:pPr>
        <w:tabs>
          <w:tab w:val="left" w:pos="7938"/>
        </w:tabs>
        <w:spacing w:after="120" w:line="360" w:lineRule="auto"/>
        <w:ind w:left="-1134"/>
        <w:rPr>
          <w:b/>
          <w:lang w:val="en-GB"/>
        </w:rPr>
      </w:pPr>
      <w:r w:rsidRPr="006535EF">
        <w:rPr>
          <w:b/>
          <w:lang w:val="en-GB"/>
        </w:rPr>
        <w:t xml:space="preserve">Internal migration indicators </w:t>
      </w:r>
    </w:p>
    <w:p w:rsidR="00F65C0F" w:rsidRDefault="00F65C0F" w:rsidP="00DA19D2">
      <w:pPr>
        <w:tabs>
          <w:tab w:val="left" w:pos="7938"/>
        </w:tabs>
        <w:spacing w:after="120" w:line="360" w:lineRule="auto"/>
        <w:ind w:left="-1134"/>
        <w:jc w:val="both"/>
        <w:rPr>
          <w:sz w:val="22"/>
          <w:szCs w:val="22"/>
          <w:lang w:val="en-GB"/>
        </w:rPr>
      </w:pPr>
      <w:r>
        <w:rPr>
          <w:sz w:val="22"/>
          <w:szCs w:val="22"/>
          <w:lang w:val="en-GB"/>
        </w:rPr>
        <w:t xml:space="preserve">The third </w:t>
      </w:r>
      <w:r w:rsidR="00345474">
        <w:rPr>
          <w:sz w:val="22"/>
          <w:szCs w:val="22"/>
          <w:lang w:val="en-GB"/>
        </w:rPr>
        <w:t>sub</w:t>
      </w:r>
      <w:r>
        <w:rPr>
          <w:sz w:val="22"/>
          <w:szCs w:val="22"/>
          <w:lang w:val="en-GB"/>
        </w:rPr>
        <w:t>s</w:t>
      </w:r>
      <w:r w:rsidRPr="00F65C0F">
        <w:rPr>
          <w:sz w:val="22"/>
          <w:szCs w:val="22"/>
          <w:lang w:val="en-GB"/>
        </w:rPr>
        <w:t xml:space="preserve">ystem </w:t>
      </w:r>
      <w:r>
        <w:rPr>
          <w:sz w:val="22"/>
          <w:szCs w:val="22"/>
          <w:lang w:val="en-GB"/>
        </w:rPr>
        <w:t xml:space="preserve">interface (Figure </w:t>
      </w:r>
      <w:r w:rsidR="00001C0D">
        <w:rPr>
          <w:sz w:val="22"/>
          <w:szCs w:val="22"/>
          <w:lang w:val="en-GB"/>
        </w:rPr>
        <w:t>5</w:t>
      </w:r>
      <w:r>
        <w:rPr>
          <w:sz w:val="22"/>
          <w:szCs w:val="22"/>
          <w:lang w:val="en-GB"/>
        </w:rPr>
        <w:t xml:space="preserve">), enables the user to compute a selection of </w:t>
      </w:r>
      <w:r w:rsidR="006E7999">
        <w:rPr>
          <w:sz w:val="22"/>
          <w:szCs w:val="22"/>
          <w:lang w:val="en-GB"/>
        </w:rPr>
        <w:t xml:space="preserve">17 </w:t>
      </w:r>
      <w:r>
        <w:rPr>
          <w:sz w:val="22"/>
          <w:szCs w:val="22"/>
          <w:lang w:val="en-GB"/>
        </w:rPr>
        <w:t xml:space="preserve">global or </w:t>
      </w:r>
      <w:r w:rsidR="006E7999">
        <w:rPr>
          <w:sz w:val="22"/>
          <w:szCs w:val="22"/>
          <w:lang w:val="en-GB"/>
        </w:rPr>
        <w:t xml:space="preserve">29 </w:t>
      </w:r>
      <w:r>
        <w:rPr>
          <w:sz w:val="22"/>
          <w:szCs w:val="22"/>
          <w:lang w:val="en-GB"/>
        </w:rPr>
        <w:t>local migration or population indicators</w:t>
      </w:r>
      <w:r w:rsidR="00007F76">
        <w:rPr>
          <w:sz w:val="22"/>
          <w:szCs w:val="22"/>
          <w:lang w:val="en-GB"/>
        </w:rPr>
        <w:t xml:space="preserve"> for either the system of BSUs or each of the systems of ASRs that are generated by the aggregation routine</w:t>
      </w:r>
      <w:r>
        <w:rPr>
          <w:sz w:val="22"/>
          <w:szCs w:val="22"/>
          <w:lang w:val="en-GB"/>
        </w:rPr>
        <w:t>.</w:t>
      </w:r>
    </w:p>
    <w:p w:rsidR="00F14EEC" w:rsidRDefault="00F14EEC" w:rsidP="00DA19D2">
      <w:pPr>
        <w:tabs>
          <w:tab w:val="left" w:pos="7938"/>
        </w:tabs>
        <w:spacing w:after="120" w:line="360" w:lineRule="auto"/>
        <w:ind w:left="-1134"/>
        <w:jc w:val="both"/>
        <w:rPr>
          <w:b/>
          <w:sz w:val="22"/>
          <w:szCs w:val="22"/>
          <w:lang w:val="en-GB"/>
        </w:rPr>
      </w:pPr>
    </w:p>
    <w:p w:rsidR="0080588E" w:rsidRDefault="0080588E" w:rsidP="00DA19D2">
      <w:pPr>
        <w:tabs>
          <w:tab w:val="left" w:pos="7938"/>
        </w:tabs>
        <w:spacing w:after="120" w:line="360" w:lineRule="auto"/>
        <w:ind w:left="-1134"/>
        <w:jc w:val="center"/>
        <w:rPr>
          <w:sz w:val="20"/>
          <w:szCs w:val="20"/>
          <w:lang w:val="en-GB"/>
        </w:rPr>
      </w:pPr>
      <w:r w:rsidRPr="00345474">
        <w:rPr>
          <w:b/>
          <w:sz w:val="20"/>
          <w:szCs w:val="20"/>
          <w:lang w:val="en-GB"/>
        </w:rPr>
        <w:t xml:space="preserve">Fig. </w:t>
      </w:r>
      <w:r w:rsidR="00001C0D" w:rsidRPr="00345474">
        <w:rPr>
          <w:b/>
          <w:sz w:val="20"/>
          <w:szCs w:val="20"/>
          <w:lang w:val="en-GB"/>
        </w:rPr>
        <w:t>5</w:t>
      </w:r>
      <w:r w:rsidRPr="00345474">
        <w:rPr>
          <w:sz w:val="20"/>
          <w:szCs w:val="20"/>
          <w:lang w:val="en-GB"/>
        </w:rPr>
        <w:t xml:space="preserve"> The </w:t>
      </w:r>
      <w:r w:rsidR="00345474">
        <w:rPr>
          <w:sz w:val="20"/>
          <w:szCs w:val="20"/>
          <w:lang w:val="en-GB"/>
        </w:rPr>
        <w:t xml:space="preserve">global </w:t>
      </w:r>
      <w:r w:rsidRPr="00345474">
        <w:rPr>
          <w:sz w:val="20"/>
          <w:szCs w:val="20"/>
          <w:lang w:val="en-GB"/>
        </w:rPr>
        <w:t xml:space="preserve">internal migration indicators interface </w:t>
      </w:r>
    </w:p>
    <w:p w:rsidR="00345474" w:rsidRPr="00345474" w:rsidRDefault="00345474" w:rsidP="00DA19D2">
      <w:pPr>
        <w:tabs>
          <w:tab w:val="left" w:pos="7938"/>
        </w:tabs>
        <w:spacing w:after="120" w:line="360" w:lineRule="auto"/>
        <w:ind w:left="-1134"/>
        <w:jc w:val="center"/>
        <w:rPr>
          <w:sz w:val="20"/>
          <w:szCs w:val="20"/>
          <w:lang w:val="en-GB"/>
        </w:rPr>
      </w:pPr>
    </w:p>
    <w:p w:rsidR="00A87B31" w:rsidRDefault="00385448" w:rsidP="00DA19D2">
      <w:pPr>
        <w:tabs>
          <w:tab w:val="left" w:pos="7938"/>
        </w:tabs>
        <w:spacing w:after="120" w:line="360" w:lineRule="auto"/>
        <w:ind w:left="-1134"/>
        <w:jc w:val="both"/>
        <w:rPr>
          <w:color w:val="000000" w:themeColor="text1"/>
          <w:sz w:val="22"/>
          <w:szCs w:val="22"/>
          <w:lang w:val="en-GB"/>
        </w:rPr>
      </w:pPr>
      <w:r>
        <w:rPr>
          <w:color w:val="000000" w:themeColor="text1"/>
          <w:sz w:val="22"/>
          <w:szCs w:val="22"/>
          <w:lang w:val="en-GB"/>
        </w:rPr>
        <w:t>T</w:t>
      </w:r>
      <w:r w:rsidR="00007F76">
        <w:rPr>
          <w:color w:val="000000" w:themeColor="text1"/>
          <w:sz w:val="22"/>
          <w:szCs w:val="22"/>
          <w:lang w:val="en-GB"/>
        </w:rPr>
        <w:t xml:space="preserve">he </w:t>
      </w:r>
      <w:r>
        <w:rPr>
          <w:color w:val="000000" w:themeColor="text1"/>
          <w:sz w:val="22"/>
          <w:szCs w:val="22"/>
          <w:lang w:val="en-GB"/>
        </w:rPr>
        <w:t xml:space="preserve">global or </w:t>
      </w:r>
      <w:r w:rsidR="00007F76">
        <w:rPr>
          <w:color w:val="000000" w:themeColor="text1"/>
          <w:sz w:val="22"/>
          <w:szCs w:val="22"/>
          <w:lang w:val="en-GB"/>
        </w:rPr>
        <w:t xml:space="preserve">system-wide population </w:t>
      </w:r>
      <w:r w:rsidR="006535EF">
        <w:rPr>
          <w:color w:val="000000" w:themeColor="text1"/>
          <w:sz w:val="22"/>
          <w:szCs w:val="22"/>
          <w:lang w:val="en-GB"/>
        </w:rPr>
        <w:t xml:space="preserve">count </w:t>
      </w:r>
      <w:r w:rsidR="00007F76">
        <w:rPr>
          <w:color w:val="000000" w:themeColor="text1"/>
          <w:sz w:val="22"/>
          <w:szCs w:val="22"/>
          <w:lang w:val="en-GB"/>
        </w:rPr>
        <w:t xml:space="preserve">and population density </w:t>
      </w:r>
      <w:r w:rsidR="006E7999">
        <w:rPr>
          <w:color w:val="000000" w:themeColor="text1"/>
          <w:sz w:val="22"/>
          <w:szCs w:val="22"/>
          <w:lang w:val="en-GB"/>
        </w:rPr>
        <w:t xml:space="preserve">indicators </w:t>
      </w:r>
      <w:r w:rsidR="00007F76">
        <w:rPr>
          <w:color w:val="000000" w:themeColor="text1"/>
          <w:sz w:val="22"/>
          <w:szCs w:val="22"/>
          <w:lang w:val="en-GB"/>
        </w:rPr>
        <w:t xml:space="preserve">will remain the same regardless of whether the zone system is the BSUs or any one specific set of ASRs. However, </w:t>
      </w:r>
      <w:r w:rsidR="00264E62">
        <w:rPr>
          <w:color w:val="000000" w:themeColor="text1"/>
          <w:sz w:val="22"/>
          <w:szCs w:val="22"/>
          <w:lang w:val="en-GB"/>
        </w:rPr>
        <w:t>the values of the</w:t>
      </w:r>
      <w:r w:rsidR="00007F76">
        <w:rPr>
          <w:color w:val="000000" w:themeColor="text1"/>
          <w:sz w:val="22"/>
          <w:szCs w:val="22"/>
          <w:lang w:val="en-GB"/>
        </w:rPr>
        <w:t xml:space="preserve"> migration indicators will </w:t>
      </w:r>
      <w:r w:rsidR="00264E62">
        <w:rPr>
          <w:color w:val="000000" w:themeColor="text1"/>
          <w:sz w:val="22"/>
          <w:szCs w:val="22"/>
          <w:lang w:val="en-GB"/>
        </w:rPr>
        <w:t>change from the initial values for the BSUs</w:t>
      </w:r>
      <w:r w:rsidR="002E1F3B">
        <w:rPr>
          <w:color w:val="000000" w:themeColor="text1"/>
          <w:sz w:val="22"/>
          <w:szCs w:val="22"/>
          <w:lang w:val="en-GB"/>
        </w:rPr>
        <w:t xml:space="preserve"> </w:t>
      </w:r>
      <w:r w:rsidR="00264E62">
        <w:rPr>
          <w:color w:val="000000" w:themeColor="text1"/>
          <w:sz w:val="22"/>
          <w:szCs w:val="22"/>
          <w:lang w:val="en-GB"/>
        </w:rPr>
        <w:t xml:space="preserve">as each new set of ASRs </w:t>
      </w:r>
      <w:r w:rsidR="0057358F">
        <w:rPr>
          <w:color w:val="000000" w:themeColor="text1"/>
          <w:sz w:val="22"/>
          <w:szCs w:val="22"/>
          <w:lang w:val="en-GB"/>
        </w:rPr>
        <w:t>is</w:t>
      </w:r>
      <w:r w:rsidR="00264E62">
        <w:rPr>
          <w:color w:val="000000" w:themeColor="text1"/>
          <w:sz w:val="22"/>
          <w:szCs w:val="22"/>
          <w:lang w:val="en-GB"/>
        </w:rPr>
        <w:t xml:space="preserve"> generated.  If the</w:t>
      </w:r>
      <w:r w:rsidR="00E03D55">
        <w:rPr>
          <w:color w:val="000000" w:themeColor="text1"/>
          <w:sz w:val="22"/>
          <w:szCs w:val="22"/>
          <w:lang w:val="en-GB"/>
        </w:rPr>
        <w:t xml:space="preserve"> initial system contained 50 </w:t>
      </w:r>
      <w:r w:rsidR="00264E62">
        <w:rPr>
          <w:color w:val="000000" w:themeColor="text1"/>
          <w:sz w:val="22"/>
          <w:szCs w:val="22"/>
          <w:lang w:val="en-GB"/>
        </w:rPr>
        <w:t xml:space="preserve">BSUs and the user decided to choose </w:t>
      </w:r>
      <w:r w:rsidR="00E03D55">
        <w:rPr>
          <w:color w:val="000000" w:themeColor="text1"/>
          <w:sz w:val="22"/>
          <w:szCs w:val="22"/>
          <w:lang w:val="en-GB"/>
        </w:rPr>
        <w:t>to aggregate in steps of 10 with 100</w:t>
      </w:r>
      <w:r w:rsidR="00264E62">
        <w:rPr>
          <w:color w:val="000000" w:themeColor="text1"/>
          <w:sz w:val="22"/>
          <w:szCs w:val="22"/>
          <w:lang w:val="en-GB"/>
        </w:rPr>
        <w:t xml:space="preserve"> iterations </w:t>
      </w:r>
      <w:r w:rsidR="00E03D55">
        <w:rPr>
          <w:color w:val="000000" w:themeColor="text1"/>
          <w:sz w:val="22"/>
          <w:szCs w:val="22"/>
          <w:lang w:val="en-GB"/>
        </w:rPr>
        <w:t>at each step</w:t>
      </w:r>
      <w:r w:rsidR="00264E62">
        <w:rPr>
          <w:color w:val="000000" w:themeColor="text1"/>
          <w:sz w:val="22"/>
          <w:szCs w:val="22"/>
          <w:lang w:val="en-GB"/>
        </w:rPr>
        <w:t xml:space="preserve">, then this would produce </w:t>
      </w:r>
      <w:r w:rsidR="00E03D55">
        <w:rPr>
          <w:color w:val="000000" w:themeColor="text1"/>
          <w:sz w:val="22"/>
          <w:szCs w:val="22"/>
          <w:lang w:val="en-GB"/>
        </w:rPr>
        <w:t>5</w:t>
      </w:r>
      <w:r w:rsidR="00264E62">
        <w:rPr>
          <w:color w:val="000000" w:themeColor="text1"/>
          <w:sz w:val="22"/>
          <w:szCs w:val="22"/>
          <w:lang w:val="en-GB"/>
        </w:rPr>
        <w:t>0</w:t>
      </w:r>
      <w:r w:rsidR="00E03D55">
        <w:rPr>
          <w:color w:val="000000" w:themeColor="text1"/>
          <w:sz w:val="22"/>
          <w:szCs w:val="22"/>
          <w:lang w:val="en-GB"/>
        </w:rPr>
        <w:t xml:space="preserve">0 values of each of the indicators. </w:t>
      </w:r>
      <w:r>
        <w:rPr>
          <w:color w:val="000000" w:themeColor="text1"/>
          <w:sz w:val="22"/>
          <w:szCs w:val="22"/>
          <w:lang w:val="en-GB"/>
        </w:rPr>
        <w:t>The set of g</w:t>
      </w:r>
      <w:r w:rsidR="006E7999">
        <w:rPr>
          <w:color w:val="000000" w:themeColor="text1"/>
          <w:sz w:val="22"/>
          <w:szCs w:val="22"/>
          <w:lang w:val="en-GB"/>
        </w:rPr>
        <w:t>lobal i</w:t>
      </w:r>
      <w:r w:rsidR="00E03D55">
        <w:rPr>
          <w:color w:val="000000" w:themeColor="text1"/>
          <w:sz w:val="22"/>
          <w:szCs w:val="22"/>
          <w:lang w:val="en-GB"/>
        </w:rPr>
        <w:t xml:space="preserve">ndicators </w:t>
      </w:r>
      <w:r w:rsidR="00013881">
        <w:rPr>
          <w:color w:val="000000" w:themeColor="text1"/>
          <w:sz w:val="22"/>
          <w:szCs w:val="22"/>
          <w:lang w:val="en-GB"/>
        </w:rPr>
        <w:t>include</w:t>
      </w:r>
      <w:r>
        <w:rPr>
          <w:color w:val="000000" w:themeColor="text1"/>
          <w:sz w:val="22"/>
          <w:szCs w:val="22"/>
          <w:lang w:val="en-GB"/>
        </w:rPr>
        <w:t>s</w:t>
      </w:r>
      <w:r w:rsidR="00013881">
        <w:rPr>
          <w:color w:val="000000" w:themeColor="text1"/>
          <w:sz w:val="22"/>
          <w:szCs w:val="22"/>
          <w:lang w:val="en-GB"/>
        </w:rPr>
        <w:t xml:space="preserve"> basic</w:t>
      </w:r>
      <w:r w:rsidR="00E03D55">
        <w:rPr>
          <w:color w:val="000000" w:themeColor="text1"/>
          <w:sz w:val="22"/>
          <w:szCs w:val="22"/>
          <w:lang w:val="en-GB"/>
        </w:rPr>
        <w:t xml:space="preserve"> descriptive counts: total flows and the mean, median, maximum and minimum values in the cells of the matrix.  The </w:t>
      </w:r>
      <w:r>
        <w:rPr>
          <w:color w:val="000000" w:themeColor="text1"/>
          <w:sz w:val="22"/>
          <w:szCs w:val="22"/>
          <w:lang w:val="en-GB"/>
        </w:rPr>
        <w:t xml:space="preserve">global </w:t>
      </w:r>
      <w:r w:rsidR="00E03D55">
        <w:rPr>
          <w:color w:val="000000" w:themeColor="text1"/>
          <w:sz w:val="22"/>
          <w:szCs w:val="22"/>
          <w:lang w:val="en-GB"/>
        </w:rPr>
        <w:t xml:space="preserve">migration intensity is defined as a rate of migration by dividing the total number of migrants by the total population (at risk). The aggregate net migration is the sum of the absolute values of net migration across each set of spatial units and this is divided by the total migrants to give the aggregate net rate or by </w:t>
      </w:r>
      <w:r w:rsidR="00E07F01">
        <w:rPr>
          <w:color w:val="000000" w:themeColor="text1"/>
          <w:sz w:val="22"/>
          <w:szCs w:val="22"/>
          <w:lang w:val="en-GB"/>
        </w:rPr>
        <w:t xml:space="preserve">twice </w:t>
      </w:r>
      <w:proofErr w:type="spellStart"/>
      <w:r w:rsidR="00E07F01">
        <w:rPr>
          <w:color w:val="000000" w:themeColor="text1"/>
          <w:sz w:val="22"/>
          <w:szCs w:val="22"/>
          <w:lang w:val="en-GB"/>
        </w:rPr>
        <w:t>thetotal</w:t>
      </w:r>
      <w:proofErr w:type="spellEnd"/>
      <w:r w:rsidR="00E07F01">
        <w:rPr>
          <w:color w:val="000000" w:themeColor="text1"/>
          <w:sz w:val="22"/>
          <w:szCs w:val="22"/>
          <w:lang w:val="en-GB"/>
        </w:rPr>
        <w:t xml:space="preserve"> number of migrants to give the migration efficiency</w:t>
      </w:r>
      <w:r w:rsidR="008A738B">
        <w:rPr>
          <w:color w:val="000000" w:themeColor="text1"/>
          <w:sz w:val="22"/>
          <w:szCs w:val="22"/>
          <w:lang w:val="en-GB"/>
        </w:rPr>
        <w:t xml:space="preserve"> or effectiveness</w:t>
      </w:r>
      <w:r w:rsidR="00E07F01">
        <w:rPr>
          <w:color w:val="000000" w:themeColor="text1"/>
          <w:sz w:val="22"/>
          <w:szCs w:val="22"/>
          <w:lang w:val="en-GB"/>
        </w:rPr>
        <w:t xml:space="preserve">. The latter provides an indication of the importance of net migration in redistributing the population, as used by Stillwell </w:t>
      </w:r>
      <w:r w:rsidR="00E07F01" w:rsidRPr="00E07F01">
        <w:rPr>
          <w:i/>
          <w:color w:val="000000" w:themeColor="text1"/>
          <w:sz w:val="22"/>
          <w:szCs w:val="22"/>
          <w:lang w:val="en-GB"/>
        </w:rPr>
        <w:t>et al.</w:t>
      </w:r>
      <w:r w:rsidR="00E07F01">
        <w:rPr>
          <w:color w:val="000000" w:themeColor="text1"/>
          <w:sz w:val="22"/>
          <w:szCs w:val="22"/>
          <w:lang w:val="en-GB"/>
        </w:rPr>
        <w:t xml:space="preserve"> (2000) </w:t>
      </w:r>
      <w:r w:rsidR="008A738B">
        <w:rPr>
          <w:color w:val="000000" w:themeColor="text1"/>
          <w:sz w:val="22"/>
          <w:szCs w:val="22"/>
          <w:lang w:val="en-GB"/>
        </w:rPr>
        <w:t>when</w:t>
      </w:r>
      <w:r w:rsidR="00E07F01">
        <w:rPr>
          <w:color w:val="000000" w:themeColor="text1"/>
          <w:sz w:val="22"/>
          <w:szCs w:val="22"/>
          <w:lang w:val="en-GB"/>
        </w:rPr>
        <w:t xml:space="preserve"> comparing </w:t>
      </w:r>
      <w:r w:rsidR="008A738B">
        <w:rPr>
          <w:color w:val="000000" w:themeColor="text1"/>
          <w:sz w:val="22"/>
          <w:szCs w:val="22"/>
          <w:lang w:val="en-GB"/>
        </w:rPr>
        <w:t xml:space="preserve">internal </w:t>
      </w:r>
      <w:r w:rsidR="00E07F01">
        <w:rPr>
          <w:color w:val="000000" w:themeColor="text1"/>
          <w:sz w:val="22"/>
          <w:szCs w:val="22"/>
          <w:lang w:val="en-GB"/>
        </w:rPr>
        <w:t xml:space="preserve">migration in Australia and </w:t>
      </w:r>
      <w:r w:rsidR="008A738B">
        <w:rPr>
          <w:color w:val="000000" w:themeColor="text1"/>
          <w:sz w:val="22"/>
          <w:szCs w:val="22"/>
          <w:lang w:val="en-GB"/>
        </w:rPr>
        <w:t>in Britain.</w:t>
      </w:r>
    </w:p>
    <w:p w:rsidR="00E07F01" w:rsidRDefault="00385448" w:rsidP="00DA19D2">
      <w:pPr>
        <w:tabs>
          <w:tab w:val="left" w:pos="7938"/>
        </w:tabs>
        <w:spacing w:after="120" w:line="360" w:lineRule="auto"/>
        <w:ind w:left="-1134"/>
        <w:jc w:val="both"/>
        <w:rPr>
          <w:sz w:val="22"/>
          <w:szCs w:val="22"/>
          <w:lang w:val="en-GB"/>
        </w:rPr>
      </w:pPr>
      <w:r>
        <w:rPr>
          <w:sz w:val="22"/>
          <w:szCs w:val="22"/>
          <w:lang w:val="en-GB"/>
        </w:rPr>
        <w:lastRenderedPageBreak/>
        <w:t>There are two i</w:t>
      </w:r>
      <w:r w:rsidR="00E07F01">
        <w:rPr>
          <w:sz w:val="22"/>
          <w:szCs w:val="22"/>
          <w:lang w:val="en-GB"/>
        </w:rPr>
        <w:t xml:space="preserve">ndicators </w:t>
      </w:r>
      <w:r>
        <w:rPr>
          <w:sz w:val="22"/>
          <w:szCs w:val="22"/>
          <w:lang w:val="en-GB"/>
        </w:rPr>
        <w:t xml:space="preserve">available to </w:t>
      </w:r>
      <w:r w:rsidR="00E07F01">
        <w:rPr>
          <w:sz w:val="22"/>
          <w:szCs w:val="22"/>
          <w:lang w:val="en-GB"/>
        </w:rPr>
        <w:t>quantify how far migrants are travelling</w:t>
      </w:r>
      <w:r>
        <w:rPr>
          <w:sz w:val="22"/>
          <w:szCs w:val="22"/>
          <w:lang w:val="en-GB"/>
        </w:rPr>
        <w:t>–</w:t>
      </w:r>
      <w:r w:rsidR="008A738B">
        <w:rPr>
          <w:sz w:val="22"/>
          <w:szCs w:val="22"/>
          <w:lang w:val="en-GB"/>
        </w:rPr>
        <w:t xml:space="preserve"> the mean and median </w:t>
      </w:r>
      <w:r>
        <w:rPr>
          <w:sz w:val="22"/>
          <w:szCs w:val="22"/>
          <w:lang w:val="en-GB"/>
        </w:rPr>
        <w:t>migration distance</w:t>
      </w:r>
      <w:r w:rsidR="008A738B">
        <w:rPr>
          <w:sz w:val="22"/>
          <w:szCs w:val="22"/>
          <w:lang w:val="en-GB"/>
        </w:rPr>
        <w:t xml:space="preserve"> respectively</w:t>
      </w:r>
      <w:r>
        <w:rPr>
          <w:sz w:val="22"/>
          <w:szCs w:val="22"/>
          <w:lang w:val="en-GB"/>
        </w:rPr>
        <w:t xml:space="preserve"> –</w:t>
      </w:r>
      <w:r w:rsidR="008A738B">
        <w:rPr>
          <w:sz w:val="22"/>
          <w:szCs w:val="22"/>
          <w:lang w:val="en-GB"/>
        </w:rPr>
        <w:t xml:space="preserve"> and the coefficient of variation provides information about the dispersion of values of migration flows around the mean. The </w:t>
      </w:r>
      <w:r>
        <w:rPr>
          <w:sz w:val="22"/>
          <w:szCs w:val="22"/>
          <w:lang w:val="en-GB"/>
        </w:rPr>
        <w:t xml:space="preserve">global </w:t>
      </w:r>
      <w:r w:rsidR="00667FF9">
        <w:rPr>
          <w:sz w:val="22"/>
          <w:szCs w:val="22"/>
          <w:lang w:val="en-GB"/>
        </w:rPr>
        <w:t xml:space="preserve">index of connectivity is a simple measure of the proportion of spatial units that are connected by a migration </w:t>
      </w:r>
      <w:r w:rsidR="00001C0D">
        <w:rPr>
          <w:sz w:val="22"/>
          <w:szCs w:val="22"/>
          <w:lang w:val="en-GB"/>
        </w:rPr>
        <w:t>flow involving</w:t>
      </w:r>
      <w:r w:rsidR="00667FF9">
        <w:rPr>
          <w:sz w:val="22"/>
          <w:szCs w:val="22"/>
          <w:lang w:val="en-GB"/>
        </w:rPr>
        <w:t xml:space="preserve"> one or more persons, whereas the global index of migration inequality</w:t>
      </w:r>
      <w:r w:rsidR="002E1F3B">
        <w:rPr>
          <w:sz w:val="22"/>
          <w:szCs w:val="22"/>
          <w:lang w:val="en-GB"/>
        </w:rPr>
        <w:t xml:space="preserve"> </w:t>
      </w:r>
      <w:r w:rsidR="00667FF9">
        <w:rPr>
          <w:sz w:val="22"/>
          <w:szCs w:val="22"/>
          <w:lang w:val="en-GB"/>
        </w:rPr>
        <w:t xml:space="preserve">is a measure of the difference between the observed flows in the migration matrix and </w:t>
      </w:r>
      <w:r w:rsidR="002610E5">
        <w:rPr>
          <w:sz w:val="22"/>
          <w:szCs w:val="22"/>
          <w:lang w:val="en-GB"/>
        </w:rPr>
        <w:t xml:space="preserve">the </w:t>
      </w:r>
      <w:r w:rsidR="00667FF9">
        <w:rPr>
          <w:sz w:val="22"/>
          <w:szCs w:val="22"/>
          <w:lang w:val="en-GB"/>
        </w:rPr>
        <w:t xml:space="preserve">expected distribution that </w:t>
      </w:r>
      <w:r w:rsidR="002610E5">
        <w:rPr>
          <w:sz w:val="22"/>
          <w:szCs w:val="22"/>
          <w:lang w:val="en-GB"/>
        </w:rPr>
        <w:t xml:space="preserve">assumes </w:t>
      </w:r>
      <w:r w:rsidR="00BE67EF">
        <w:rPr>
          <w:sz w:val="22"/>
          <w:szCs w:val="22"/>
          <w:lang w:val="en-GB"/>
        </w:rPr>
        <w:t>all flows</w:t>
      </w:r>
      <w:r w:rsidR="00667FF9">
        <w:rPr>
          <w:sz w:val="22"/>
          <w:szCs w:val="22"/>
          <w:lang w:val="en-GB"/>
        </w:rPr>
        <w:t xml:space="preserve"> in the matrix are </w:t>
      </w:r>
      <w:r w:rsidR="002610E5">
        <w:rPr>
          <w:sz w:val="22"/>
          <w:szCs w:val="22"/>
          <w:lang w:val="en-GB"/>
        </w:rPr>
        <w:t xml:space="preserve">of </w:t>
      </w:r>
      <w:r w:rsidR="00667FF9">
        <w:rPr>
          <w:sz w:val="22"/>
          <w:szCs w:val="22"/>
          <w:lang w:val="en-GB"/>
        </w:rPr>
        <w:t>the same magnitude.</w:t>
      </w:r>
      <w:r w:rsidR="002E1F3B">
        <w:rPr>
          <w:sz w:val="22"/>
          <w:szCs w:val="22"/>
          <w:lang w:val="en-GB"/>
        </w:rPr>
        <w:t xml:space="preserve"> </w:t>
      </w:r>
      <w:r>
        <w:rPr>
          <w:sz w:val="22"/>
          <w:szCs w:val="22"/>
          <w:lang w:val="en-GB"/>
        </w:rPr>
        <w:t>Finally, t</w:t>
      </w:r>
      <w:r w:rsidR="002B25FC">
        <w:rPr>
          <w:sz w:val="22"/>
          <w:szCs w:val="22"/>
          <w:lang w:val="en-GB"/>
        </w:rPr>
        <w:t xml:space="preserve">he </w:t>
      </w:r>
      <w:proofErr w:type="spellStart"/>
      <w:r w:rsidR="002B25FC">
        <w:rPr>
          <w:sz w:val="22"/>
          <w:szCs w:val="22"/>
          <w:lang w:val="en-GB"/>
        </w:rPr>
        <w:t>Theil</w:t>
      </w:r>
      <w:proofErr w:type="spellEnd"/>
      <w:r w:rsidR="002B25FC">
        <w:rPr>
          <w:sz w:val="22"/>
          <w:szCs w:val="22"/>
          <w:lang w:val="en-GB"/>
        </w:rPr>
        <w:t xml:space="preserve"> index is </w:t>
      </w:r>
      <w:r w:rsidR="00E96B31">
        <w:rPr>
          <w:sz w:val="22"/>
          <w:szCs w:val="22"/>
          <w:lang w:val="en-GB"/>
        </w:rPr>
        <w:t xml:space="preserve">a </w:t>
      </w:r>
      <w:r w:rsidR="002B25FC">
        <w:rPr>
          <w:sz w:val="22"/>
          <w:szCs w:val="22"/>
          <w:lang w:val="en-GB"/>
        </w:rPr>
        <w:t xml:space="preserve">measure of </w:t>
      </w:r>
      <w:r w:rsidR="00E96B31" w:rsidRPr="00E96B31">
        <w:rPr>
          <w:sz w:val="22"/>
          <w:szCs w:val="22"/>
          <w:lang w:val="en-GB"/>
        </w:rPr>
        <w:t>concentration</w:t>
      </w:r>
      <w:r w:rsidR="002E1F3B">
        <w:rPr>
          <w:sz w:val="22"/>
          <w:szCs w:val="22"/>
          <w:lang w:val="en-GB"/>
        </w:rPr>
        <w:t xml:space="preserve"> </w:t>
      </w:r>
      <w:r w:rsidR="00E96B31" w:rsidRPr="00A515C6">
        <w:rPr>
          <w:sz w:val="22"/>
          <w:szCs w:val="22"/>
          <w:lang w:val="en-GB"/>
        </w:rPr>
        <w:t>and involves a comparison of each interregional flow (</w:t>
      </w:r>
      <w:proofErr w:type="spellStart"/>
      <w:r w:rsidR="00E96B31" w:rsidRPr="00A515C6">
        <w:rPr>
          <w:i/>
          <w:sz w:val="22"/>
          <w:szCs w:val="22"/>
          <w:lang w:val="en-GB"/>
        </w:rPr>
        <w:t>M</w:t>
      </w:r>
      <w:r w:rsidR="00E96B31" w:rsidRPr="00A515C6">
        <w:rPr>
          <w:i/>
          <w:sz w:val="22"/>
          <w:szCs w:val="22"/>
          <w:vertAlign w:val="subscript"/>
          <w:lang w:val="en-GB"/>
        </w:rPr>
        <w:t>ij</w:t>
      </w:r>
      <w:proofErr w:type="spellEnd"/>
      <w:r w:rsidR="00E96B31" w:rsidRPr="00A515C6">
        <w:rPr>
          <w:sz w:val="22"/>
          <w:szCs w:val="22"/>
          <w:lang w:val="en-GB"/>
        </w:rPr>
        <w:t>) with every other flow (</w:t>
      </w:r>
      <w:proofErr w:type="spellStart"/>
      <w:r w:rsidR="00E96B31" w:rsidRPr="00A515C6">
        <w:rPr>
          <w:i/>
          <w:sz w:val="22"/>
          <w:szCs w:val="22"/>
          <w:lang w:val="en-GB"/>
        </w:rPr>
        <w:t>M</w:t>
      </w:r>
      <w:r w:rsidR="00E96B31" w:rsidRPr="00A515C6">
        <w:rPr>
          <w:i/>
          <w:sz w:val="22"/>
          <w:szCs w:val="22"/>
          <w:vertAlign w:val="subscript"/>
          <w:lang w:val="en-GB"/>
        </w:rPr>
        <w:t>kl</w:t>
      </w:r>
      <w:proofErr w:type="spellEnd"/>
      <w:r w:rsidR="00E96B31" w:rsidRPr="00A515C6">
        <w:rPr>
          <w:sz w:val="22"/>
          <w:szCs w:val="22"/>
          <w:lang w:val="en-GB"/>
        </w:rPr>
        <w:t>) in a matrix of inter</w:t>
      </w:r>
      <w:r w:rsidR="00A515C6" w:rsidRPr="00A515C6">
        <w:rPr>
          <w:sz w:val="22"/>
          <w:szCs w:val="22"/>
          <w:lang w:val="en-GB"/>
        </w:rPr>
        <w:t>-</w:t>
      </w:r>
      <w:r w:rsidR="00E96B31" w:rsidRPr="00A515C6">
        <w:rPr>
          <w:sz w:val="22"/>
          <w:szCs w:val="22"/>
          <w:lang w:val="en-GB"/>
        </w:rPr>
        <w:t>regional migration (Plane and Mulligan</w:t>
      </w:r>
      <w:proofErr w:type="gramStart"/>
      <w:r w:rsidR="00E96B31" w:rsidRPr="00A515C6">
        <w:rPr>
          <w:sz w:val="22"/>
          <w:szCs w:val="22"/>
          <w:lang w:val="en-GB"/>
        </w:rPr>
        <w:t>,1997</w:t>
      </w:r>
      <w:proofErr w:type="gramEnd"/>
      <w:r w:rsidR="00E96B31" w:rsidRPr="00A515C6">
        <w:rPr>
          <w:sz w:val="22"/>
          <w:szCs w:val="22"/>
          <w:lang w:val="en-GB"/>
        </w:rPr>
        <w:t xml:space="preserve">). </w:t>
      </w:r>
      <w:r w:rsidR="00FB6EE8" w:rsidRPr="00A515C6">
        <w:rPr>
          <w:sz w:val="22"/>
          <w:szCs w:val="22"/>
          <w:lang w:val="en-GB"/>
        </w:rPr>
        <w:t>Although</w:t>
      </w:r>
      <w:r w:rsidR="00FB6EE8">
        <w:rPr>
          <w:sz w:val="22"/>
          <w:szCs w:val="22"/>
          <w:lang w:val="en-GB"/>
        </w:rPr>
        <w:t xml:space="preserve"> the values of each indicator are stored in the system for each ASR set, </w:t>
      </w:r>
      <w:r w:rsidR="001561F0">
        <w:rPr>
          <w:sz w:val="22"/>
          <w:szCs w:val="22"/>
          <w:lang w:val="en-GB"/>
        </w:rPr>
        <w:t xml:space="preserve">an </w:t>
      </w:r>
      <w:r w:rsidR="00FB6EE8">
        <w:rPr>
          <w:sz w:val="22"/>
          <w:szCs w:val="22"/>
          <w:lang w:val="en-GB"/>
        </w:rPr>
        <w:t>average value</w:t>
      </w:r>
      <w:r w:rsidR="001561F0">
        <w:rPr>
          <w:sz w:val="22"/>
          <w:szCs w:val="22"/>
          <w:lang w:val="en-GB"/>
        </w:rPr>
        <w:t xml:space="preserve"> of all the iterations</w:t>
      </w:r>
      <w:r w:rsidR="00FB6EE8">
        <w:rPr>
          <w:sz w:val="22"/>
          <w:szCs w:val="22"/>
          <w:lang w:val="en-GB"/>
        </w:rPr>
        <w:t xml:space="preserve"> at each step will be used for analysis in order to reduce the volume of data.  </w:t>
      </w:r>
    </w:p>
    <w:p w:rsidR="00156E5F" w:rsidRDefault="00147FE8" w:rsidP="00DA19D2">
      <w:pPr>
        <w:tabs>
          <w:tab w:val="left" w:pos="7938"/>
        </w:tabs>
        <w:spacing w:after="120" w:line="360" w:lineRule="auto"/>
        <w:ind w:left="-1134"/>
        <w:jc w:val="both"/>
        <w:rPr>
          <w:sz w:val="22"/>
          <w:szCs w:val="22"/>
          <w:lang w:val="en-GB"/>
        </w:rPr>
      </w:pPr>
      <w:r>
        <w:rPr>
          <w:sz w:val="22"/>
          <w:szCs w:val="22"/>
          <w:lang w:val="en-GB"/>
        </w:rPr>
        <w:t>Th</w:t>
      </w:r>
      <w:r w:rsidR="00F04166">
        <w:rPr>
          <w:sz w:val="22"/>
          <w:szCs w:val="22"/>
          <w:lang w:val="en-GB"/>
        </w:rPr>
        <w:t xml:space="preserve">e global indicators </w:t>
      </w:r>
      <w:r>
        <w:rPr>
          <w:sz w:val="22"/>
          <w:szCs w:val="22"/>
          <w:lang w:val="en-GB"/>
        </w:rPr>
        <w:t>reported in Table 1 indicate some of the variation in the population and migration characteristics</w:t>
      </w:r>
      <w:r w:rsidR="002E1F3B">
        <w:rPr>
          <w:sz w:val="22"/>
          <w:szCs w:val="22"/>
          <w:lang w:val="en-GB"/>
        </w:rPr>
        <w:t xml:space="preserve"> </w:t>
      </w:r>
      <w:r>
        <w:rPr>
          <w:sz w:val="22"/>
          <w:szCs w:val="22"/>
          <w:lang w:val="en-GB"/>
        </w:rPr>
        <w:t>of the four selected countries.  The population sizes range from nearly 82 million in Germany to almost 5.4 million in Finland whilst the population densities are over 200 persons per sq km in the UK and Germany but under 20 persons per sq km in Sweden and Finland</w:t>
      </w:r>
      <w:r w:rsidR="00D05798">
        <w:rPr>
          <w:sz w:val="22"/>
          <w:szCs w:val="22"/>
          <w:lang w:val="en-GB"/>
        </w:rPr>
        <w:t xml:space="preserve">. Whilst the total number of migrants also reflect the size of the populations, the migration intensities at the respective spatial scales defined by the BSUs suggests that migration rates are highest in Sweden and lowest in Germany although the global intensities range only from 3.1 to 5.2 per 100 persons. </w:t>
      </w:r>
    </w:p>
    <w:p w:rsidR="00F04166" w:rsidRDefault="00F04166" w:rsidP="00DA19D2">
      <w:pPr>
        <w:tabs>
          <w:tab w:val="left" w:pos="7938"/>
        </w:tabs>
        <w:spacing w:after="120" w:line="360" w:lineRule="auto"/>
        <w:ind w:left="-1134"/>
        <w:jc w:val="both"/>
        <w:rPr>
          <w:sz w:val="22"/>
          <w:szCs w:val="22"/>
          <w:lang w:val="en-GB"/>
        </w:rPr>
      </w:pPr>
      <w:r w:rsidRPr="00F04166">
        <w:rPr>
          <w:b/>
          <w:sz w:val="22"/>
          <w:szCs w:val="22"/>
          <w:lang w:val="en-GB"/>
        </w:rPr>
        <w:t>Table 1</w:t>
      </w:r>
      <w:r>
        <w:rPr>
          <w:sz w:val="22"/>
          <w:szCs w:val="22"/>
          <w:lang w:val="en-GB"/>
        </w:rPr>
        <w:t xml:space="preserve"> Global migration indicators</w:t>
      </w:r>
    </w:p>
    <w:tbl>
      <w:tblPr>
        <w:tblW w:w="8610" w:type="dxa"/>
        <w:tblInd w:w="-1026" w:type="dxa"/>
        <w:tblLook w:val="04A0" w:firstRow="1" w:lastRow="0" w:firstColumn="1" w:lastColumn="0" w:noHBand="0" w:noVBand="1"/>
      </w:tblPr>
      <w:tblGrid>
        <w:gridCol w:w="419"/>
        <w:gridCol w:w="3125"/>
        <w:gridCol w:w="1235"/>
        <w:gridCol w:w="1250"/>
        <w:gridCol w:w="1288"/>
        <w:gridCol w:w="1293"/>
      </w:tblGrid>
      <w:tr w:rsidR="00F41E63" w:rsidTr="00F41E63">
        <w:trPr>
          <w:trHeight w:val="300"/>
        </w:trPr>
        <w:tc>
          <w:tcPr>
            <w:tcW w:w="419" w:type="dxa"/>
            <w:vMerge w:val="restart"/>
            <w:tcBorders>
              <w:top w:val="single" w:sz="12" w:space="0" w:color="auto"/>
              <w:left w:val="nil"/>
              <w:bottom w:val="single" w:sz="12" w:space="0" w:color="000000"/>
              <w:right w:val="nil"/>
            </w:tcBorders>
            <w:shd w:val="clear" w:color="000000" w:fill="D9D9D9"/>
            <w:vAlign w:val="center"/>
            <w:hideMark/>
          </w:tcPr>
          <w:p w:rsidR="00F41E63" w:rsidRDefault="00F41E63">
            <w:pPr>
              <w:jc w:val="center"/>
              <w:rPr>
                <w:rFonts w:ascii="Calibri" w:hAnsi="Calibri"/>
                <w:b/>
                <w:bCs/>
                <w:color w:val="000000"/>
                <w:sz w:val="20"/>
                <w:szCs w:val="20"/>
              </w:rPr>
            </w:pPr>
            <w:r>
              <w:rPr>
                <w:rFonts w:ascii="Calibri" w:hAnsi="Calibri"/>
                <w:b/>
                <w:bCs/>
                <w:color w:val="000000"/>
                <w:sz w:val="20"/>
                <w:szCs w:val="20"/>
              </w:rPr>
              <w:t> </w:t>
            </w:r>
          </w:p>
        </w:tc>
        <w:tc>
          <w:tcPr>
            <w:tcW w:w="3125" w:type="dxa"/>
            <w:vMerge w:val="restart"/>
            <w:tcBorders>
              <w:top w:val="single" w:sz="12" w:space="0" w:color="auto"/>
              <w:left w:val="nil"/>
              <w:bottom w:val="single" w:sz="4" w:space="0" w:color="000000"/>
              <w:right w:val="nil"/>
            </w:tcBorders>
            <w:shd w:val="clear" w:color="000000" w:fill="D9D9D9"/>
            <w:vAlign w:val="center"/>
            <w:hideMark/>
          </w:tcPr>
          <w:p w:rsidR="00F41E63" w:rsidRDefault="00F41E63" w:rsidP="00F41E63">
            <w:pPr>
              <w:rPr>
                <w:rFonts w:ascii="Calibri" w:hAnsi="Calibri"/>
                <w:b/>
                <w:bCs/>
                <w:color w:val="000000"/>
                <w:sz w:val="20"/>
                <w:szCs w:val="20"/>
              </w:rPr>
            </w:pPr>
            <w:r>
              <w:rPr>
                <w:rFonts w:ascii="Calibri" w:hAnsi="Calibri"/>
                <w:b/>
                <w:bCs/>
                <w:color w:val="000000"/>
                <w:sz w:val="20"/>
                <w:szCs w:val="20"/>
              </w:rPr>
              <w:t>Global information</w:t>
            </w:r>
          </w:p>
        </w:tc>
        <w:tc>
          <w:tcPr>
            <w:tcW w:w="5066" w:type="dxa"/>
            <w:gridSpan w:val="4"/>
            <w:tcBorders>
              <w:top w:val="single" w:sz="12" w:space="0" w:color="auto"/>
              <w:left w:val="nil"/>
              <w:bottom w:val="nil"/>
              <w:right w:val="nil"/>
            </w:tcBorders>
            <w:shd w:val="clear" w:color="000000" w:fill="D9D9D9"/>
            <w:vAlign w:val="center"/>
            <w:hideMark/>
          </w:tcPr>
          <w:p w:rsidR="00F41E63" w:rsidRDefault="00F41E63">
            <w:pPr>
              <w:jc w:val="center"/>
              <w:rPr>
                <w:rFonts w:ascii="Calibri" w:hAnsi="Calibri"/>
                <w:b/>
                <w:bCs/>
                <w:color w:val="000000"/>
                <w:sz w:val="20"/>
                <w:szCs w:val="20"/>
              </w:rPr>
            </w:pPr>
            <w:r>
              <w:rPr>
                <w:rFonts w:ascii="Calibri" w:hAnsi="Calibri"/>
                <w:b/>
                <w:bCs/>
                <w:color w:val="000000"/>
                <w:sz w:val="20"/>
                <w:szCs w:val="20"/>
              </w:rPr>
              <w:t>Indicator for</w:t>
            </w:r>
          </w:p>
        </w:tc>
      </w:tr>
      <w:tr w:rsidR="00F41E63" w:rsidTr="00F41E63">
        <w:trPr>
          <w:trHeight w:val="300"/>
        </w:trPr>
        <w:tc>
          <w:tcPr>
            <w:tcW w:w="419" w:type="dxa"/>
            <w:vMerge/>
            <w:tcBorders>
              <w:top w:val="single" w:sz="4" w:space="0" w:color="000000"/>
              <w:left w:val="nil"/>
              <w:bottom w:val="single" w:sz="12" w:space="0" w:color="000000"/>
              <w:right w:val="nil"/>
            </w:tcBorders>
            <w:vAlign w:val="center"/>
            <w:hideMark/>
          </w:tcPr>
          <w:p w:rsidR="00F41E63" w:rsidRDefault="00F41E63">
            <w:pPr>
              <w:rPr>
                <w:rFonts w:ascii="Calibri" w:hAnsi="Calibri"/>
                <w:b/>
                <w:bCs/>
                <w:color w:val="000000"/>
                <w:sz w:val="20"/>
                <w:szCs w:val="20"/>
              </w:rPr>
            </w:pPr>
          </w:p>
        </w:tc>
        <w:tc>
          <w:tcPr>
            <w:tcW w:w="3125" w:type="dxa"/>
            <w:vMerge/>
            <w:tcBorders>
              <w:top w:val="single" w:sz="4" w:space="0" w:color="auto"/>
              <w:left w:val="nil"/>
              <w:bottom w:val="single" w:sz="12" w:space="0" w:color="auto"/>
              <w:right w:val="nil"/>
            </w:tcBorders>
            <w:vAlign w:val="center"/>
            <w:hideMark/>
          </w:tcPr>
          <w:p w:rsidR="00F41E63" w:rsidRDefault="00F41E63">
            <w:pPr>
              <w:rPr>
                <w:rFonts w:ascii="Calibri" w:hAnsi="Calibri"/>
                <w:b/>
                <w:bCs/>
                <w:color w:val="000000"/>
                <w:sz w:val="20"/>
                <w:szCs w:val="20"/>
              </w:rPr>
            </w:pPr>
          </w:p>
        </w:tc>
        <w:tc>
          <w:tcPr>
            <w:tcW w:w="1235" w:type="dxa"/>
            <w:tcBorders>
              <w:top w:val="single" w:sz="4" w:space="0" w:color="auto"/>
              <w:left w:val="nil"/>
              <w:bottom w:val="single" w:sz="12" w:space="0" w:color="auto"/>
              <w:right w:val="nil"/>
            </w:tcBorders>
            <w:shd w:val="clear" w:color="000000" w:fill="D9D9D9"/>
            <w:vAlign w:val="center"/>
            <w:hideMark/>
          </w:tcPr>
          <w:p w:rsidR="00F41E63" w:rsidRDefault="00F41E63">
            <w:pPr>
              <w:jc w:val="center"/>
              <w:rPr>
                <w:rFonts w:ascii="Calibri" w:hAnsi="Calibri"/>
                <w:b/>
                <w:bCs/>
                <w:color w:val="000000"/>
                <w:sz w:val="20"/>
                <w:szCs w:val="20"/>
              </w:rPr>
            </w:pPr>
            <w:r>
              <w:rPr>
                <w:rFonts w:ascii="Calibri" w:hAnsi="Calibri"/>
                <w:b/>
                <w:bCs/>
                <w:color w:val="000000"/>
                <w:sz w:val="20"/>
                <w:szCs w:val="20"/>
              </w:rPr>
              <w:t xml:space="preserve"> UK </w:t>
            </w:r>
          </w:p>
        </w:tc>
        <w:tc>
          <w:tcPr>
            <w:tcW w:w="1250" w:type="dxa"/>
            <w:tcBorders>
              <w:top w:val="single" w:sz="4" w:space="0" w:color="auto"/>
              <w:left w:val="nil"/>
              <w:bottom w:val="single" w:sz="12" w:space="0" w:color="auto"/>
              <w:right w:val="nil"/>
            </w:tcBorders>
            <w:shd w:val="clear" w:color="000000" w:fill="D9D9D9"/>
            <w:vAlign w:val="center"/>
            <w:hideMark/>
          </w:tcPr>
          <w:p w:rsidR="00F41E63" w:rsidRDefault="00F41E63">
            <w:pPr>
              <w:jc w:val="center"/>
              <w:rPr>
                <w:rFonts w:ascii="Calibri" w:hAnsi="Calibri"/>
                <w:b/>
                <w:bCs/>
                <w:color w:val="000000"/>
                <w:sz w:val="20"/>
                <w:szCs w:val="20"/>
              </w:rPr>
            </w:pPr>
            <w:r>
              <w:rPr>
                <w:rFonts w:ascii="Calibri" w:hAnsi="Calibri"/>
                <w:b/>
                <w:bCs/>
                <w:color w:val="000000"/>
                <w:sz w:val="20"/>
                <w:szCs w:val="20"/>
              </w:rPr>
              <w:t>Sweden</w:t>
            </w:r>
          </w:p>
        </w:tc>
        <w:tc>
          <w:tcPr>
            <w:tcW w:w="1288" w:type="dxa"/>
            <w:tcBorders>
              <w:top w:val="single" w:sz="4" w:space="0" w:color="auto"/>
              <w:left w:val="nil"/>
              <w:bottom w:val="single" w:sz="12" w:space="0" w:color="auto"/>
              <w:right w:val="nil"/>
            </w:tcBorders>
            <w:shd w:val="clear" w:color="000000" w:fill="D9D9D9"/>
            <w:vAlign w:val="center"/>
            <w:hideMark/>
          </w:tcPr>
          <w:p w:rsidR="00F41E63" w:rsidRDefault="00F41E63">
            <w:pPr>
              <w:jc w:val="center"/>
              <w:rPr>
                <w:rFonts w:ascii="Calibri" w:hAnsi="Calibri"/>
                <w:b/>
                <w:bCs/>
                <w:color w:val="000000"/>
                <w:sz w:val="20"/>
                <w:szCs w:val="20"/>
              </w:rPr>
            </w:pPr>
            <w:r>
              <w:rPr>
                <w:rFonts w:ascii="Calibri" w:hAnsi="Calibri"/>
                <w:b/>
                <w:bCs/>
                <w:color w:val="000000"/>
                <w:sz w:val="20"/>
                <w:szCs w:val="20"/>
              </w:rPr>
              <w:t>Finland</w:t>
            </w:r>
          </w:p>
        </w:tc>
        <w:tc>
          <w:tcPr>
            <w:tcW w:w="1293" w:type="dxa"/>
            <w:tcBorders>
              <w:top w:val="single" w:sz="4" w:space="0" w:color="auto"/>
              <w:left w:val="nil"/>
              <w:bottom w:val="single" w:sz="12" w:space="0" w:color="auto"/>
              <w:right w:val="nil"/>
            </w:tcBorders>
            <w:shd w:val="clear" w:color="000000" w:fill="D9D9D9"/>
            <w:vAlign w:val="center"/>
            <w:hideMark/>
          </w:tcPr>
          <w:p w:rsidR="00F41E63" w:rsidRDefault="00F41E63">
            <w:pPr>
              <w:jc w:val="center"/>
              <w:rPr>
                <w:rFonts w:ascii="Calibri" w:hAnsi="Calibri"/>
                <w:b/>
                <w:bCs/>
                <w:color w:val="000000"/>
                <w:sz w:val="20"/>
                <w:szCs w:val="20"/>
              </w:rPr>
            </w:pPr>
            <w:r>
              <w:rPr>
                <w:rFonts w:ascii="Calibri" w:hAnsi="Calibri"/>
                <w:b/>
                <w:bCs/>
                <w:color w:val="000000"/>
                <w:sz w:val="20"/>
                <w:szCs w:val="20"/>
              </w:rPr>
              <w:t>Germany</w:t>
            </w:r>
          </w:p>
        </w:tc>
      </w:tr>
      <w:tr w:rsidR="00F41E63" w:rsidTr="00F41E63">
        <w:trPr>
          <w:trHeight w:val="300"/>
        </w:trPr>
        <w:tc>
          <w:tcPr>
            <w:tcW w:w="419" w:type="dxa"/>
            <w:tcBorders>
              <w:top w:val="single" w:sz="12" w:space="0" w:color="000000"/>
              <w:left w:val="nil"/>
              <w:bottom w:val="nil"/>
              <w:right w:val="nil"/>
            </w:tcBorders>
            <w:shd w:val="clear" w:color="000000" w:fill="F2F2F2"/>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1</w:t>
            </w:r>
          </w:p>
        </w:tc>
        <w:tc>
          <w:tcPr>
            <w:tcW w:w="3125" w:type="dxa"/>
            <w:tcBorders>
              <w:top w:val="single" w:sz="12" w:space="0" w:color="auto"/>
              <w:left w:val="nil"/>
              <w:bottom w:val="nil"/>
              <w:right w:val="nil"/>
            </w:tcBorders>
            <w:shd w:val="clear" w:color="000000" w:fill="F2F2F2"/>
            <w:vAlign w:val="center"/>
            <w:hideMark/>
          </w:tcPr>
          <w:p w:rsidR="00F41E63" w:rsidRDefault="00F41E63">
            <w:pPr>
              <w:rPr>
                <w:rFonts w:ascii="Calibri" w:hAnsi="Calibri"/>
                <w:color w:val="000000"/>
                <w:sz w:val="20"/>
                <w:szCs w:val="20"/>
              </w:rPr>
            </w:pPr>
            <w:r>
              <w:rPr>
                <w:rFonts w:ascii="Calibri" w:hAnsi="Calibri"/>
                <w:color w:val="000000"/>
                <w:sz w:val="20"/>
                <w:szCs w:val="20"/>
              </w:rPr>
              <w:t>Total population</w:t>
            </w:r>
          </w:p>
        </w:tc>
        <w:tc>
          <w:tcPr>
            <w:tcW w:w="1235" w:type="dxa"/>
            <w:tcBorders>
              <w:top w:val="single" w:sz="12" w:space="0" w:color="auto"/>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62,262,500</w:t>
            </w:r>
          </w:p>
        </w:tc>
        <w:tc>
          <w:tcPr>
            <w:tcW w:w="1250" w:type="dxa"/>
            <w:tcBorders>
              <w:top w:val="single" w:sz="12" w:space="0" w:color="auto"/>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9,219,706</w:t>
            </w:r>
          </w:p>
        </w:tc>
        <w:tc>
          <w:tcPr>
            <w:tcW w:w="1288" w:type="dxa"/>
            <w:tcBorders>
              <w:top w:val="single" w:sz="12" w:space="0" w:color="auto"/>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5,388,351</w:t>
            </w:r>
          </w:p>
        </w:tc>
        <w:tc>
          <w:tcPr>
            <w:tcW w:w="1293" w:type="dxa"/>
            <w:tcBorders>
              <w:top w:val="single" w:sz="12" w:space="0" w:color="auto"/>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81,902,416</w:t>
            </w:r>
          </w:p>
        </w:tc>
      </w:tr>
      <w:tr w:rsidR="00F41E63" w:rsidTr="00F41E63">
        <w:trPr>
          <w:trHeight w:val="300"/>
        </w:trPr>
        <w:tc>
          <w:tcPr>
            <w:tcW w:w="419"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2</w:t>
            </w:r>
          </w:p>
        </w:tc>
        <w:tc>
          <w:tcPr>
            <w:tcW w:w="3125"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color w:val="000000"/>
                <w:sz w:val="20"/>
                <w:szCs w:val="20"/>
              </w:rPr>
            </w:pPr>
            <w:r>
              <w:rPr>
                <w:rFonts w:ascii="Calibri" w:hAnsi="Calibri"/>
                <w:color w:val="000000"/>
                <w:sz w:val="20"/>
                <w:szCs w:val="20"/>
              </w:rPr>
              <w:t>Population density</w:t>
            </w:r>
          </w:p>
        </w:tc>
        <w:tc>
          <w:tcPr>
            <w:tcW w:w="1235"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250.48</w:t>
            </w:r>
          </w:p>
        </w:tc>
        <w:tc>
          <w:tcPr>
            <w:tcW w:w="1250"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21.09</w:t>
            </w:r>
          </w:p>
        </w:tc>
        <w:tc>
          <w:tcPr>
            <w:tcW w:w="1288"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13.79</w:t>
            </w:r>
          </w:p>
        </w:tc>
        <w:tc>
          <w:tcPr>
            <w:tcW w:w="1293"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229.52</w:t>
            </w:r>
          </w:p>
        </w:tc>
      </w:tr>
      <w:tr w:rsidR="00F41E63" w:rsidTr="00F41E63">
        <w:trPr>
          <w:trHeight w:val="300"/>
        </w:trPr>
        <w:tc>
          <w:tcPr>
            <w:tcW w:w="419" w:type="dxa"/>
            <w:tcBorders>
              <w:top w:val="nil"/>
              <w:left w:val="nil"/>
              <w:bottom w:val="nil"/>
              <w:right w:val="nil"/>
            </w:tcBorders>
            <w:shd w:val="clear" w:color="000000" w:fill="F2F2F2"/>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3</w:t>
            </w:r>
          </w:p>
        </w:tc>
        <w:tc>
          <w:tcPr>
            <w:tcW w:w="3125" w:type="dxa"/>
            <w:tcBorders>
              <w:top w:val="nil"/>
              <w:left w:val="nil"/>
              <w:bottom w:val="nil"/>
              <w:right w:val="nil"/>
            </w:tcBorders>
            <w:shd w:val="clear" w:color="000000" w:fill="F2F2F2"/>
            <w:vAlign w:val="center"/>
            <w:hideMark/>
          </w:tcPr>
          <w:p w:rsidR="00F41E63" w:rsidRDefault="00F41E63">
            <w:pPr>
              <w:rPr>
                <w:rFonts w:ascii="Calibri" w:hAnsi="Calibri"/>
                <w:color w:val="000000"/>
                <w:sz w:val="20"/>
                <w:szCs w:val="20"/>
              </w:rPr>
            </w:pPr>
            <w:r>
              <w:rPr>
                <w:rFonts w:ascii="Calibri" w:hAnsi="Calibri"/>
                <w:color w:val="000000"/>
                <w:sz w:val="20"/>
                <w:szCs w:val="20"/>
              </w:rPr>
              <w:t>Total migrants</w:t>
            </w:r>
          </w:p>
        </w:tc>
        <w:tc>
          <w:tcPr>
            <w:tcW w:w="1235"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2,870,440</w:t>
            </w:r>
          </w:p>
        </w:tc>
        <w:tc>
          <w:tcPr>
            <w:tcW w:w="1250"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352,913</w:t>
            </w:r>
          </w:p>
        </w:tc>
        <w:tc>
          <w:tcPr>
            <w:tcW w:w="1288"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281,537</w:t>
            </w:r>
          </w:p>
        </w:tc>
        <w:tc>
          <w:tcPr>
            <w:tcW w:w="1293"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2,568,234</w:t>
            </w:r>
          </w:p>
        </w:tc>
      </w:tr>
      <w:tr w:rsidR="00F41E63" w:rsidTr="00F41E63">
        <w:trPr>
          <w:trHeight w:val="300"/>
        </w:trPr>
        <w:tc>
          <w:tcPr>
            <w:tcW w:w="419"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4</w:t>
            </w:r>
          </w:p>
        </w:tc>
        <w:tc>
          <w:tcPr>
            <w:tcW w:w="3125"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color w:val="000000"/>
                <w:sz w:val="20"/>
                <w:szCs w:val="20"/>
              </w:rPr>
            </w:pPr>
            <w:r>
              <w:rPr>
                <w:rFonts w:ascii="Calibri" w:hAnsi="Calibri"/>
                <w:color w:val="000000"/>
                <w:sz w:val="20"/>
                <w:szCs w:val="20"/>
              </w:rPr>
              <w:t>Mean migration flow</w:t>
            </w:r>
          </w:p>
        </w:tc>
        <w:tc>
          <w:tcPr>
            <w:tcW w:w="1235"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17</w:t>
            </w:r>
          </w:p>
        </w:tc>
        <w:tc>
          <w:tcPr>
            <w:tcW w:w="1250"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12</w:t>
            </w:r>
          </w:p>
        </w:tc>
        <w:tc>
          <w:tcPr>
            <w:tcW w:w="1288"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13</w:t>
            </w:r>
          </w:p>
        </w:tc>
        <w:tc>
          <w:tcPr>
            <w:tcW w:w="1293"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20</w:t>
            </w:r>
          </w:p>
        </w:tc>
      </w:tr>
      <w:tr w:rsidR="00F41E63" w:rsidTr="00F41E63">
        <w:trPr>
          <w:trHeight w:val="300"/>
        </w:trPr>
        <w:tc>
          <w:tcPr>
            <w:tcW w:w="419" w:type="dxa"/>
            <w:tcBorders>
              <w:top w:val="nil"/>
              <w:left w:val="nil"/>
              <w:bottom w:val="nil"/>
              <w:right w:val="nil"/>
            </w:tcBorders>
            <w:shd w:val="clear" w:color="000000" w:fill="F2F2F2"/>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5</w:t>
            </w:r>
          </w:p>
        </w:tc>
        <w:tc>
          <w:tcPr>
            <w:tcW w:w="3125" w:type="dxa"/>
            <w:tcBorders>
              <w:top w:val="nil"/>
              <w:left w:val="nil"/>
              <w:bottom w:val="nil"/>
              <w:right w:val="nil"/>
            </w:tcBorders>
            <w:shd w:val="clear" w:color="000000" w:fill="F2F2F2"/>
            <w:vAlign w:val="center"/>
            <w:hideMark/>
          </w:tcPr>
          <w:p w:rsidR="00F41E63" w:rsidRDefault="00F41E63">
            <w:pPr>
              <w:rPr>
                <w:rFonts w:ascii="Calibri" w:hAnsi="Calibri"/>
                <w:color w:val="000000"/>
                <w:sz w:val="20"/>
                <w:szCs w:val="20"/>
              </w:rPr>
            </w:pPr>
            <w:r>
              <w:rPr>
                <w:rFonts w:ascii="Calibri" w:hAnsi="Calibri"/>
                <w:color w:val="000000"/>
                <w:sz w:val="20"/>
                <w:szCs w:val="20"/>
              </w:rPr>
              <w:t>Median migration flow</w:t>
            </w:r>
          </w:p>
        </w:tc>
        <w:tc>
          <w:tcPr>
            <w:tcW w:w="1235"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1</w:t>
            </w:r>
          </w:p>
        </w:tc>
        <w:tc>
          <w:tcPr>
            <w:tcW w:w="1250"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2</w:t>
            </w:r>
          </w:p>
        </w:tc>
        <w:tc>
          <w:tcPr>
            <w:tcW w:w="1288"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2</w:t>
            </w:r>
          </w:p>
        </w:tc>
        <w:tc>
          <w:tcPr>
            <w:tcW w:w="1293"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4</w:t>
            </w:r>
          </w:p>
        </w:tc>
      </w:tr>
      <w:tr w:rsidR="00F41E63" w:rsidTr="00F41E63">
        <w:trPr>
          <w:trHeight w:val="300"/>
        </w:trPr>
        <w:tc>
          <w:tcPr>
            <w:tcW w:w="419"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6</w:t>
            </w:r>
          </w:p>
        </w:tc>
        <w:tc>
          <w:tcPr>
            <w:tcW w:w="3125"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color w:val="000000"/>
                <w:sz w:val="20"/>
                <w:szCs w:val="20"/>
              </w:rPr>
            </w:pPr>
            <w:r>
              <w:rPr>
                <w:rFonts w:ascii="Calibri" w:hAnsi="Calibri"/>
                <w:color w:val="000000"/>
                <w:sz w:val="20"/>
                <w:szCs w:val="20"/>
              </w:rPr>
              <w:t>Max migration flow</w:t>
            </w:r>
          </w:p>
        </w:tc>
        <w:tc>
          <w:tcPr>
            <w:tcW w:w="1235"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4,609</w:t>
            </w:r>
          </w:p>
        </w:tc>
        <w:tc>
          <w:tcPr>
            <w:tcW w:w="1250"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2,930</w:t>
            </w:r>
          </w:p>
        </w:tc>
        <w:tc>
          <w:tcPr>
            <w:tcW w:w="1288"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6,503</w:t>
            </w:r>
          </w:p>
        </w:tc>
        <w:tc>
          <w:tcPr>
            <w:tcW w:w="1293"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9,491</w:t>
            </w:r>
          </w:p>
        </w:tc>
      </w:tr>
      <w:tr w:rsidR="00F41E63" w:rsidTr="00F41E63">
        <w:trPr>
          <w:trHeight w:val="300"/>
        </w:trPr>
        <w:tc>
          <w:tcPr>
            <w:tcW w:w="419" w:type="dxa"/>
            <w:tcBorders>
              <w:top w:val="nil"/>
              <w:left w:val="nil"/>
              <w:bottom w:val="nil"/>
              <w:right w:val="nil"/>
            </w:tcBorders>
            <w:shd w:val="clear" w:color="000000" w:fill="F2F2F2"/>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7</w:t>
            </w:r>
          </w:p>
        </w:tc>
        <w:tc>
          <w:tcPr>
            <w:tcW w:w="3125" w:type="dxa"/>
            <w:tcBorders>
              <w:top w:val="nil"/>
              <w:left w:val="nil"/>
              <w:bottom w:val="nil"/>
              <w:right w:val="nil"/>
            </w:tcBorders>
            <w:shd w:val="clear" w:color="000000" w:fill="F2F2F2"/>
            <w:vAlign w:val="center"/>
            <w:hideMark/>
          </w:tcPr>
          <w:p w:rsidR="00F41E63" w:rsidRDefault="00F41E63">
            <w:pPr>
              <w:rPr>
                <w:rFonts w:ascii="Calibri" w:hAnsi="Calibri"/>
                <w:color w:val="000000"/>
                <w:sz w:val="20"/>
                <w:szCs w:val="20"/>
              </w:rPr>
            </w:pPr>
            <w:r>
              <w:rPr>
                <w:rFonts w:ascii="Calibri" w:hAnsi="Calibri"/>
                <w:color w:val="000000"/>
                <w:sz w:val="20"/>
                <w:szCs w:val="20"/>
              </w:rPr>
              <w:t>Min migration flow</w:t>
            </w:r>
          </w:p>
        </w:tc>
        <w:tc>
          <w:tcPr>
            <w:tcW w:w="1235"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w:t>
            </w:r>
          </w:p>
        </w:tc>
        <w:tc>
          <w:tcPr>
            <w:tcW w:w="1250"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w:t>
            </w:r>
          </w:p>
        </w:tc>
        <w:tc>
          <w:tcPr>
            <w:tcW w:w="1288"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w:t>
            </w:r>
          </w:p>
        </w:tc>
        <w:tc>
          <w:tcPr>
            <w:tcW w:w="1293"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w:t>
            </w:r>
          </w:p>
        </w:tc>
      </w:tr>
      <w:tr w:rsidR="00F41E63" w:rsidTr="00F41E63">
        <w:trPr>
          <w:trHeight w:val="300"/>
        </w:trPr>
        <w:tc>
          <w:tcPr>
            <w:tcW w:w="419"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8</w:t>
            </w:r>
          </w:p>
        </w:tc>
        <w:tc>
          <w:tcPr>
            <w:tcW w:w="3125"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color w:val="000000"/>
                <w:sz w:val="20"/>
                <w:szCs w:val="20"/>
              </w:rPr>
            </w:pPr>
            <w:r>
              <w:rPr>
                <w:rFonts w:ascii="Calibri" w:hAnsi="Calibri"/>
                <w:color w:val="000000"/>
                <w:sz w:val="20"/>
                <w:szCs w:val="20"/>
              </w:rPr>
              <w:t>Crude migration intensity</w:t>
            </w:r>
          </w:p>
        </w:tc>
        <w:tc>
          <w:tcPr>
            <w:tcW w:w="1235"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4.61</w:t>
            </w:r>
          </w:p>
        </w:tc>
        <w:tc>
          <w:tcPr>
            <w:tcW w:w="1250"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3.83</w:t>
            </w:r>
          </w:p>
        </w:tc>
        <w:tc>
          <w:tcPr>
            <w:tcW w:w="1288"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5.22</w:t>
            </w:r>
          </w:p>
        </w:tc>
        <w:tc>
          <w:tcPr>
            <w:tcW w:w="1293"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3.14</w:t>
            </w:r>
          </w:p>
        </w:tc>
      </w:tr>
      <w:tr w:rsidR="00F41E63" w:rsidTr="00F41E63">
        <w:trPr>
          <w:trHeight w:val="300"/>
        </w:trPr>
        <w:tc>
          <w:tcPr>
            <w:tcW w:w="419" w:type="dxa"/>
            <w:tcBorders>
              <w:top w:val="nil"/>
              <w:left w:val="nil"/>
              <w:bottom w:val="nil"/>
              <w:right w:val="nil"/>
            </w:tcBorders>
            <w:shd w:val="clear" w:color="000000" w:fill="F2F2F2"/>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9</w:t>
            </w:r>
          </w:p>
        </w:tc>
        <w:tc>
          <w:tcPr>
            <w:tcW w:w="3125" w:type="dxa"/>
            <w:tcBorders>
              <w:top w:val="nil"/>
              <w:left w:val="nil"/>
              <w:bottom w:val="nil"/>
              <w:right w:val="nil"/>
            </w:tcBorders>
            <w:shd w:val="clear" w:color="000000" w:fill="F2F2F2"/>
            <w:vAlign w:val="center"/>
            <w:hideMark/>
          </w:tcPr>
          <w:p w:rsidR="00F41E63" w:rsidRDefault="00F41E63">
            <w:pPr>
              <w:rPr>
                <w:rFonts w:ascii="Calibri" w:hAnsi="Calibri"/>
                <w:color w:val="000000"/>
                <w:sz w:val="20"/>
                <w:szCs w:val="20"/>
              </w:rPr>
            </w:pPr>
            <w:r>
              <w:rPr>
                <w:rFonts w:ascii="Calibri" w:hAnsi="Calibri"/>
                <w:color w:val="000000"/>
                <w:sz w:val="20"/>
                <w:szCs w:val="20"/>
              </w:rPr>
              <w:t>Aggregate net migration</w:t>
            </w:r>
          </w:p>
        </w:tc>
        <w:tc>
          <w:tcPr>
            <w:tcW w:w="1235"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116,759</w:t>
            </w:r>
          </w:p>
        </w:tc>
        <w:tc>
          <w:tcPr>
            <w:tcW w:w="1250"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17,451</w:t>
            </w:r>
          </w:p>
        </w:tc>
        <w:tc>
          <w:tcPr>
            <w:tcW w:w="1288"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10,999</w:t>
            </w:r>
          </w:p>
        </w:tc>
        <w:tc>
          <w:tcPr>
            <w:tcW w:w="1293"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134,424</w:t>
            </w:r>
          </w:p>
        </w:tc>
      </w:tr>
      <w:tr w:rsidR="00F41E63" w:rsidTr="00F41E63">
        <w:trPr>
          <w:trHeight w:val="300"/>
        </w:trPr>
        <w:tc>
          <w:tcPr>
            <w:tcW w:w="419"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10</w:t>
            </w:r>
          </w:p>
        </w:tc>
        <w:tc>
          <w:tcPr>
            <w:tcW w:w="3125"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color w:val="000000"/>
                <w:sz w:val="20"/>
                <w:szCs w:val="20"/>
              </w:rPr>
            </w:pPr>
            <w:r>
              <w:rPr>
                <w:rFonts w:ascii="Calibri" w:hAnsi="Calibri"/>
                <w:color w:val="000000"/>
                <w:sz w:val="20"/>
                <w:szCs w:val="20"/>
              </w:rPr>
              <w:t>Aggregate net migration rate</w:t>
            </w:r>
          </w:p>
        </w:tc>
        <w:tc>
          <w:tcPr>
            <w:tcW w:w="1235"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0.19</w:t>
            </w:r>
          </w:p>
        </w:tc>
        <w:tc>
          <w:tcPr>
            <w:tcW w:w="1250"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0.19</w:t>
            </w:r>
          </w:p>
        </w:tc>
        <w:tc>
          <w:tcPr>
            <w:tcW w:w="1288"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0.2</w:t>
            </w:r>
          </w:p>
        </w:tc>
        <w:tc>
          <w:tcPr>
            <w:tcW w:w="1293"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0.16</w:t>
            </w:r>
          </w:p>
        </w:tc>
      </w:tr>
      <w:tr w:rsidR="00F41E63" w:rsidTr="00F41E63">
        <w:trPr>
          <w:trHeight w:val="300"/>
        </w:trPr>
        <w:tc>
          <w:tcPr>
            <w:tcW w:w="419" w:type="dxa"/>
            <w:tcBorders>
              <w:top w:val="nil"/>
              <w:left w:val="nil"/>
              <w:bottom w:val="nil"/>
              <w:right w:val="nil"/>
            </w:tcBorders>
            <w:shd w:val="clear" w:color="000000" w:fill="F2F2F2"/>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11</w:t>
            </w:r>
          </w:p>
        </w:tc>
        <w:tc>
          <w:tcPr>
            <w:tcW w:w="3125" w:type="dxa"/>
            <w:tcBorders>
              <w:top w:val="nil"/>
              <w:left w:val="nil"/>
              <w:bottom w:val="nil"/>
              <w:right w:val="nil"/>
            </w:tcBorders>
            <w:shd w:val="clear" w:color="000000" w:fill="F2F2F2"/>
            <w:vAlign w:val="center"/>
            <w:hideMark/>
          </w:tcPr>
          <w:p w:rsidR="00F41E63" w:rsidRDefault="00F41E63">
            <w:pPr>
              <w:rPr>
                <w:rFonts w:ascii="Calibri" w:hAnsi="Calibri"/>
                <w:color w:val="000000"/>
                <w:sz w:val="20"/>
                <w:szCs w:val="20"/>
              </w:rPr>
            </w:pPr>
            <w:r>
              <w:rPr>
                <w:rFonts w:ascii="Calibri" w:hAnsi="Calibri"/>
                <w:color w:val="000000"/>
                <w:sz w:val="20"/>
                <w:szCs w:val="20"/>
              </w:rPr>
              <w:t>Migration efficiency index</w:t>
            </w:r>
          </w:p>
        </w:tc>
        <w:tc>
          <w:tcPr>
            <w:tcW w:w="1235"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4.07</w:t>
            </w:r>
          </w:p>
        </w:tc>
        <w:tc>
          <w:tcPr>
            <w:tcW w:w="1250"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4.94</w:t>
            </w:r>
          </w:p>
        </w:tc>
        <w:tc>
          <w:tcPr>
            <w:tcW w:w="1288"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3.91</w:t>
            </w:r>
          </w:p>
        </w:tc>
        <w:tc>
          <w:tcPr>
            <w:tcW w:w="1293"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5.23</w:t>
            </w:r>
          </w:p>
        </w:tc>
      </w:tr>
      <w:tr w:rsidR="00F41E63" w:rsidTr="00F41E63">
        <w:trPr>
          <w:trHeight w:val="300"/>
        </w:trPr>
        <w:tc>
          <w:tcPr>
            <w:tcW w:w="419"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12</w:t>
            </w:r>
          </w:p>
        </w:tc>
        <w:tc>
          <w:tcPr>
            <w:tcW w:w="3125"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color w:val="000000"/>
                <w:sz w:val="20"/>
                <w:szCs w:val="20"/>
              </w:rPr>
            </w:pPr>
            <w:r>
              <w:rPr>
                <w:rFonts w:ascii="Calibri" w:hAnsi="Calibri"/>
                <w:color w:val="000000"/>
                <w:sz w:val="20"/>
                <w:szCs w:val="20"/>
              </w:rPr>
              <w:t>Mean migration distance (km)</w:t>
            </w:r>
          </w:p>
        </w:tc>
        <w:tc>
          <w:tcPr>
            <w:tcW w:w="1235"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101.627</w:t>
            </w:r>
          </w:p>
        </w:tc>
        <w:tc>
          <w:tcPr>
            <w:tcW w:w="1250"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140.738</w:t>
            </w:r>
          </w:p>
        </w:tc>
        <w:tc>
          <w:tcPr>
            <w:tcW w:w="1288"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121.616</w:t>
            </w:r>
          </w:p>
        </w:tc>
        <w:tc>
          <w:tcPr>
            <w:tcW w:w="1293"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124.465</w:t>
            </w:r>
          </w:p>
        </w:tc>
      </w:tr>
      <w:tr w:rsidR="00F41E63" w:rsidTr="00F41E63">
        <w:trPr>
          <w:trHeight w:val="300"/>
        </w:trPr>
        <w:tc>
          <w:tcPr>
            <w:tcW w:w="419" w:type="dxa"/>
            <w:tcBorders>
              <w:top w:val="nil"/>
              <w:left w:val="nil"/>
              <w:bottom w:val="nil"/>
              <w:right w:val="nil"/>
            </w:tcBorders>
            <w:shd w:val="clear" w:color="000000" w:fill="F2F2F2"/>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13</w:t>
            </w:r>
          </w:p>
        </w:tc>
        <w:tc>
          <w:tcPr>
            <w:tcW w:w="3125" w:type="dxa"/>
            <w:tcBorders>
              <w:top w:val="nil"/>
              <w:left w:val="nil"/>
              <w:bottom w:val="nil"/>
              <w:right w:val="nil"/>
            </w:tcBorders>
            <w:shd w:val="clear" w:color="000000" w:fill="F2F2F2"/>
            <w:vAlign w:val="center"/>
            <w:hideMark/>
          </w:tcPr>
          <w:p w:rsidR="00F41E63" w:rsidRDefault="00F41E63">
            <w:pPr>
              <w:rPr>
                <w:rFonts w:ascii="Calibri" w:hAnsi="Calibri"/>
                <w:color w:val="000000"/>
                <w:sz w:val="20"/>
                <w:szCs w:val="20"/>
              </w:rPr>
            </w:pPr>
            <w:r>
              <w:rPr>
                <w:rFonts w:ascii="Calibri" w:hAnsi="Calibri"/>
                <w:color w:val="000000"/>
                <w:sz w:val="20"/>
                <w:szCs w:val="20"/>
              </w:rPr>
              <w:t>Median migration distance(km)</w:t>
            </w:r>
          </w:p>
        </w:tc>
        <w:tc>
          <w:tcPr>
            <w:tcW w:w="1235"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47.015</w:t>
            </w:r>
          </w:p>
        </w:tc>
        <w:tc>
          <w:tcPr>
            <w:tcW w:w="1250"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54.775</w:t>
            </w:r>
          </w:p>
        </w:tc>
        <w:tc>
          <w:tcPr>
            <w:tcW w:w="1288"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58.742</w:t>
            </w:r>
          </w:p>
        </w:tc>
        <w:tc>
          <w:tcPr>
            <w:tcW w:w="1293"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54.11</w:t>
            </w:r>
          </w:p>
        </w:tc>
      </w:tr>
      <w:tr w:rsidR="00F41E63" w:rsidTr="00F41E63">
        <w:trPr>
          <w:trHeight w:val="300"/>
        </w:trPr>
        <w:tc>
          <w:tcPr>
            <w:tcW w:w="419"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14</w:t>
            </w:r>
          </w:p>
        </w:tc>
        <w:tc>
          <w:tcPr>
            <w:tcW w:w="3125"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color w:val="000000"/>
                <w:sz w:val="20"/>
                <w:szCs w:val="20"/>
              </w:rPr>
            </w:pPr>
            <w:r>
              <w:rPr>
                <w:rFonts w:ascii="Calibri" w:hAnsi="Calibri"/>
                <w:color w:val="000000"/>
                <w:sz w:val="20"/>
                <w:szCs w:val="20"/>
              </w:rPr>
              <w:t>Coefficient of variation</w:t>
            </w:r>
          </w:p>
        </w:tc>
        <w:tc>
          <w:tcPr>
            <w:tcW w:w="1235"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4.98</w:t>
            </w:r>
          </w:p>
        </w:tc>
        <w:tc>
          <w:tcPr>
            <w:tcW w:w="1250"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8.96</w:t>
            </w:r>
          </w:p>
        </w:tc>
        <w:tc>
          <w:tcPr>
            <w:tcW w:w="1288"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17.02</w:t>
            </w:r>
          </w:p>
        </w:tc>
        <w:tc>
          <w:tcPr>
            <w:tcW w:w="1293"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6.69</w:t>
            </w:r>
          </w:p>
        </w:tc>
      </w:tr>
      <w:tr w:rsidR="00F41E63" w:rsidTr="00F41E63">
        <w:trPr>
          <w:trHeight w:val="300"/>
        </w:trPr>
        <w:tc>
          <w:tcPr>
            <w:tcW w:w="419" w:type="dxa"/>
            <w:tcBorders>
              <w:top w:val="nil"/>
              <w:left w:val="nil"/>
              <w:bottom w:val="nil"/>
              <w:right w:val="nil"/>
            </w:tcBorders>
            <w:shd w:val="clear" w:color="000000" w:fill="F2F2F2"/>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15</w:t>
            </w:r>
          </w:p>
        </w:tc>
        <w:tc>
          <w:tcPr>
            <w:tcW w:w="3125" w:type="dxa"/>
            <w:tcBorders>
              <w:top w:val="nil"/>
              <w:left w:val="nil"/>
              <w:bottom w:val="nil"/>
              <w:right w:val="nil"/>
            </w:tcBorders>
            <w:shd w:val="clear" w:color="000000" w:fill="F2F2F2"/>
            <w:vAlign w:val="center"/>
            <w:hideMark/>
          </w:tcPr>
          <w:p w:rsidR="00F41E63" w:rsidRDefault="00F41E63">
            <w:pPr>
              <w:rPr>
                <w:rFonts w:ascii="Calibri" w:hAnsi="Calibri"/>
                <w:color w:val="000000"/>
                <w:sz w:val="20"/>
                <w:szCs w:val="20"/>
              </w:rPr>
            </w:pPr>
            <w:r>
              <w:rPr>
                <w:rFonts w:ascii="Calibri" w:hAnsi="Calibri"/>
                <w:color w:val="000000"/>
                <w:sz w:val="20"/>
                <w:szCs w:val="20"/>
              </w:rPr>
              <w:t>Index of connectivity</w:t>
            </w:r>
          </w:p>
        </w:tc>
        <w:tc>
          <w:tcPr>
            <w:tcW w:w="1235"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0.83</w:t>
            </w:r>
          </w:p>
        </w:tc>
        <w:tc>
          <w:tcPr>
            <w:tcW w:w="1250"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0.35</w:t>
            </w:r>
          </w:p>
        </w:tc>
        <w:tc>
          <w:tcPr>
            <w:tcW w:w="1288"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0.19</w:t>
            </w:r>
          </w:p>
        </w:tc>
        <w:tc>
          <w:tcPr>
            <w:tcW w:w="1293" w:type="dxa"/>
            <w:tcBorders>
              <w:top w:val="nil"/>
              <w:left w:val="nil"/>
              <w:bottom w:val="nil"/>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0.75</w:t>
            </w:r>
          </w:p>
        </w:tc>
      </w:tr>
      <w:tr w:rsidR="00F41E63" w:rsidTr="00F41E63">
        <w:trPr>
          <w:trHeight w:val="300"/>
        </w:trPr>
        <w:tc>
          <w:tcPr>
            <w:tcW w:w="419"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16</w:t>
            </w:r>
          </w:p>
        </w:tc>
        <w:tc>
          <w:tcPr>
            <w:tcW w:w="3125" w:type="dxa"/>
            <w:tcBorders>
              <w:top w:val="single" w:sz="4" w:space="0" w:color="auto"/>
              <w:left w:val="nil"/>
              <w:bottom w:val="single" w:sz="4" w:space="0" w:color="auto"/>
              <w:right w:val="nil"/>
            </w:tcBorders>
            <w:shd w:val="clear" w:color="000000" w:fill="FFFFFF"/>
            <w:vAlign w:val="center"/>
            <w:hideMark/>
          </w:tcPr>
          <w:p w:rsidR="00F41E63" w:rsidRDefault="00F41E63">
            <w:pPr>
              <w:rPr>
                <w:rFonts w:ascii="Calibri" w:hAnsi="Calibri"/>
                <w:color w:val="000000"/>
                <w:sz w:val="20"/>
                <w:szCs w:val="20"/>
              </w:rPr>
            </w:pPr>
            <w:r>
              <w:rPr>
                <w:rFonts w:ascii="Calibri" w:hAnsi="Calibri"/>
                <w:color w:val="000000"/>
                <w:sz w:val="20"/>
                <w:szCs w:val="20"/>
              </w:rPr>
              <w:t>Index of inequality</w:t>
            </w:r>
          </w:p>
        </w:tc>
        <w:tc>
          <w:tcPr>
            <w:tcW w:w="1235"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0.66</w:t>
            </w:r>
          </w:p>
        </w:tc>
        <w:tc>
          <w:tcPr>
            <w:tcW w:w="1250"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0.46</w:t>
            </w:r>
          </w:p>
        </w:tc>
        <w:tc>
          <w:tcPr>
            <w:tcW w:w="1288"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0.45</w:t>
            </w:r>
          </w:p>
        </w:tc>
        <w:tc>
          <w:tcPr>
            <w:tcW w:w="1293" w:type="dxa"/>
            <w:tcBorders>
              <w:top w:val="single" w:sz="4" w:space="0" w:color="auto"/>
              <w:left w:val="nil"/>
              <w:bottom w:val="single" w:sz="4" w:space="0" w:color="auto"/>
              <w:right w:val="nil"/>
            </w:tcBorders>
            <w:shd w:val="clear" w:color="000000" w:fill="FFFFFF"/>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0.58</w:t>
            </w:r>
          </w:p>
        </w:tc>
      </w:tr>
      <w:tr w:rsidR="00F41E63" w:rsidTr="00F41E63">
        <w:trPr>
          <w:trHeight w:val="300"/>
        </w:trPr>
        <w:tc>
          <w:tcPr>
            <w:tcW w:w="419" w:type="dxa"/>
            <w:tcBorders>
              <w:top w:val="single" w:sz="4" w:space="0" w:color="auto"/>
              <w:left w:val="nil"/>
              <w:bottom w:val="single" w:sz="12" w:space="0" w:color="auto"/>
              <w:right w:val="nil"/>
            </w:tcBorders>
            <w:shd w:val="clear" w:color="000000" w:fill="F2F2F2"/>
            <w:vAlign w:val="center"/>
            <w:hideMark/>
          </w:tcPr>
          <w:p w:rsidR="00F41E63" w:rsidRDefault="00F41E63">
            <w:pPr>
              <w:rPr>
                <w:rFonts w:ascii="Calibri" w:hAnsi="Calibri"/>
                <w:b/>
                <w:bCs/>
                <w:color w:val="000000"/>
                <w:sz w:val="20"/>
                <w:szCs w:val="20"/>
              </w:rPr>
            </w:pPr>
            <w:r>
              <w:rPr>
                <w:rFonts w:ascii="Calibri" w:hAnsi="Calibri"/>
                <w:b/>
                <w:bCs/>
                <w:color w:val="000000"/>
                <w:sz w:val="20"/>
                <w:szCs w:val="20"/>
              </w:rPr>
              <w:t>17</w:t>
            </w:r>
          </w:p>
        </w:tc>
        <w:tc>
          <w:tcPr>
            <w:tcW w:w="3125" w:type="dxa"/>
            <w:tcBorders>
              <w:top w:val="single" w:sz="4" w:space="0" w:color="auto"/>
              <w:left w:val="nil"/>
              <w:bottom w:val="single" w:sz="12" w:space="0" w:color="auto"/>
              <w:right w:val="nil"/>
            </w:tcBorders>
            <w:shd w:val="clear" w:color="000000" w:fill="F2F2F2"/>
            <w:vAlign w:val="center"/>
            <w:hideMark/>
          </w:tcPr>
          <w:p w:rsidR="00F41E63" w:rsidRDefault="00F41E63">
            <w:pPr>
              <w:rPr>
                <w:rFonts w:ascii="Calibri" w:hAnsi="Calibri"/>
                <w:color w:val="000000"/>
                <w:sz w:val="20"/>
                <w:szCs w:val="20"/>
              </w:rPr>
            </w:pPr>
            <w:r>
              <w:rPr>
                <w:rFonts w:ascii="Calibri" w:hAnsi="Calibri"/>
                <w:color w:val="000000"/>
                <w:sz w:val="20"/>
                <w:szCs w:val="20"/>
              </w:rPr>
              <w:t>Theil index</w:t>
            </w:r>
          </w:p>
        </w:tc>
        <w:tc>
          <w:tcPr>
            <w:tcW w:w="1235" w:type="dxa"/>
            <w:tcBorders>
              <w:top w:val="single" w:sz="4" w:space="0" w:color="auto"/>
              <w:left w:val="nil"/>
              <w:bottom w:val="single" w:sz="12" w:space="0" w:color="auto"/>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1.91</w:t>
            </w:r>
          </w:p>
        </w:tc>
        <w:tc>
          <w:tcPr>
            <w:tcW w:w="1250" w:type="dxa"/>
            <w:tcBorders>
              <w:top w:val="single" w:sz="4" w:space="0" w:color="auto"/>
              <w:left w:val="nil"/>
              <w:bottom w:val="single" w:sz="12" w:space="0" w:color="auto"/>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3.78</w:t>
            </w:r>
          </w:p>
        </w:tc>
        <w:tc>
          <w:tcPr>
            <w:tcW w:w="1288" w:type="dxa"/>
            <w:tcBorders>
              <w:top w:val="single" w:sz="4" w:space="0" w:color="auto"/>
              <w:left w:val="nil"/>
              <w:bottom w:val="single" w:sz="12" w:space="0" w:color="auto"/>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4.42</w:t>
            </w:r>
          </w:p>
        </w:tc>
        <w:tc>
          <w:tcPr>
            <w:tcW w:w="1293" w:type="dxa"/>
            <w:tcBorders>
              <w:top w:val="single" w:sz="4" w:space="0" w:color="auto"/>
              <w:left w:val="nil"/>
              <w:bottom w:val="single" w:sz="12" w:space="0" w:color="auto"/>
              <w:right w:val="nil"/>
            </w:tcBorders>
            <w:shd w:val="clear" w:color="000000" w:fill="F2F2F2"/>
            <w:vAlign w:val="center"/>
            <w:hideMark/>
          </w:tcPr>
          <w:p w:rsidR="00F41E63" w:rsidRDefault="00F41E63">
            <w:pPr>
              <w:jc w:val="right"/>
              <w:rPr>
                <w:rFonts w:ascii="Calibri" w:hAnsi="Calibri"/>
                <w:color w:val="000000"/>
                <w:sz w:val="20"/>
                <w:szCs w:val="20"/>
              </w:rPr>
            </w:pPr>
            <w:r>
              <w:rPr>
                <w:rFonts w:ascii="Calibri" w:hAnsi="Calibri"/>
                <w:color w:val="000000"/>
                <w:sz w:val="20"/>
                <w:szCs w:val="20"/>
              </w:rPr>
              <w:t>2.99</w:t>
            </w:r>
          </w:p>
        </w:tc>
      </w:tr>
    </w:tbl>
    <w:p w:rsidR="00156E5F" w:rsidRDefault="00156E5F" w:rsidP="00DA19D2">
      <w:pPr>
        <w:tabs>
          <w:tab w:val="left" w:pos="7938"/>
        </w:tabs>
        <w:spacing w:after="120" w:line="360" w:lineRule="auto"/>
        <w:ind w:left="-1134"/>
        <w:jc w:val="both"/>
        <w:rPr>
          <w:sz w:val="22"/>
          <w:szCs w:val="22"/>
          <w:lang w:val="en-GB"/>
        </w:rPr>
      </w:pPr>
    </w:p>
    <w:p w:rsidR="00156E5F" w:rsidRDefault="00D05798" w:rsidP="00DA19D2">
      <w:pPr>
        <w:tabs>
          <w:tab w:val="left" w:pos="7938"/>
        </w:tabs>
        <w:spacing w:after="120" w:line="360" w:lineRule="auto"/>
        <w:ind w:left="-1134"/>
        <w:jc w:val="both"/>
        <w:rPr>
          <w:sz w:val="22"/>
          <w:szCs w:val="22"/>
          <w:lang w:val="en-GB"/>
        </w:rPr>
      </w:pPr>
      <w:r>
        <w:rPr>
          <w:sz w:val="22"/>
          <w:szCs w:val="22"/>
          <w:lang w:val="en-GB"/>
        </w:rPr>
        <w:lastRenderedPageBreak/>
        <w:t>Whilst the mean migration flow between origin and destination BSUs varies from 20 in Germany to 12 in Sweden, the skewed nature of the distribution of flows (small number of large flo</w:t>
      </w:r>
      <w:r w:rsidR="00B857BB">
        <w:rPr>
          <w:sz w:val="22"/>
          <w:szCs w:val="22"/>
          <w:lang w:val="en-GB"/>
        </w:rPr>
        <w:t>w</w:t>
      </w:r>
      <w:r>
        <w:rPr>
          <w:sz w:val="22"/>
          <w:szCs w:val="22"/>
          <w:lang w:val="en-GB"/>
        </w:rPr>
        <w:t>s, large number of small flows)</w:t>
      </w:r>
      <w:r w:rsidR="00B857BB">
        <w:rPr>
          <w:sz w:val="22"/>
          <w:szCs w:val="22"/>
          <w:lang w:val="en-GB"/>
        </w:rPr>
        <w:t xml:space="preserve"> means that the median flows are very small in each case. The difference between the mean and median is also reflected in the distances migrated, with median values less than half the mean values.  It is not surprising, given the size of the country, that people move on average over longest distance in Sweden, although median distance migrated is about the same in Germany as it is in Sweden. The aggregate net migration rate is slightly lower in Germany than in the other three countries but the efficiency of net migration in redistributing the population is slightly higher than the others.</w:t>
      </w:r>
      <w:r w:rsidR="00B00A51">
        <w:rPr>
          <w:sz w:val="22"/>
          <w:szCs w:val="22"/>
          <w:lang w:val="en-GB"/>
        </w:rPr>
        <w:t xml:space="preserve"> The dispersion around the mean migration flow is largest for Finland although the global index of inequality of its flows is the lowest and Finland also </w:t>
      </w:r>
      <w:r w:rsidR="001561F0">
        <w:rPr>
          <w:sz w:val="22"/>
          <w:szCs w:val="22"/>
          <w:lang w:val="en-GB"/>
        </w:rPr>
        <w:t xml:space="preserve">has </w:t>
      </w:r>
      <w:r w:rsidR="00B00A51">
        <w:rPr>
          <w:sz w:val="22"/>
          <w:szCs w:val="22"/>
          <w:lang w:val="en-GB"/>
        </w:rPr>
        <w:t xml:space="preserve">the lowest level of connectivity between its BSUs. </w:t>
      </w:r>
    </w:p>
    <w:p w:rsidR="00A14357" w:rsidRPr="00B721A7" w:rsidRDefault="00FB6EE8" w:rsidP="00DA19D2">
      <w:pPr>
        <w:tabs>
          <w:tab w:val="left" w:pos="7938"/>
        </w:tabs>
        <w:spacing w:after="120" w:line="360" w:lineRule="auto"/>
        <w:ind w:left="-1134"/>
        <w:jc w:val="both"/>
        <w:rPr>
          <w:sz w:val="22"/>
          <w:szCs w:val="22"/>
          <w:lang w:val="en-GB"/>
        </w:rPr>
      </w:pPr>
      <w:r>
        <w:rPr>
          <w:sz w:val="22"/>
          <w:szCs w:val="22"/>
          <w:lang w:val="en-GB"/>
        </w:rPr>
        <w:t>The local migration indicators are computed for each BSU</w:t>
      </w:r>
      <w:r w:rsidR="00C65501">
        <w:rPr>
          <w:sz w:val="22"/>
          <w:szCs w:val="22"/>
          <w:lang w:val="en-GB"/>
        </w:rPr>
        <w:t xml:space="preserve">; it is unlikely that this level of detail will be required for the sets of ASRs. The local indicators include those used for system-wide analysis extended to capture variation in out-migration and in-migration flows and distances, together with turnover (in-migration plus outmigration) plus churn (turnover plus intra-BSU migration). </w:t>
      </w:r>
      <w:r w:rsidR="00BE240B" w:rsidRPr="00BE240B">
        <w:rPr>
          <w:rFonts w:asciiTheme="minorHAnsi" w:eastAsiaTheme="minorEastAsia" w:hAnsi="Calibri" w:cstheme="minorBidi"/>
          <w:b/>
          <w:bCs/>
          <w:color w:val="FFFFFF" w:themeColor="light1"/>
          <w:kern w:val="24"/>
          <w:sz w:val="20"/>
          <w:szCs w:val="20"/>
          <w:lang w:val="en-GB" w:eastAsia="en-GB"/>
        </w:rPr>
        <w:t> </w:t>
      </w:r>
      <w:r w:rsidR="006E7999">
        <w:rPr>
          <w:sz w:val="22"/>
          <w:szCs w:val="22"/>
          <w:lang w:val="en-GB"/>
        </w:rPr>
        <w:t>R</w:t>
      </w:r>
      <w:r w:rsidR="00A14357">
        <w:rPr>
          <w:sz w:val="22"/>
          <w:szCs w:val="22"/>
          <w:lang w:val="en-GB"/>
        </w:rPr>
        <w:t xml:space="preserve">ecognising that origin-destination migration flow data are not always available in some countries of the world and </w:t>
      </w:r>
      <w:r w:rsidR="00385448">
        <w:rPr>
          <w:sz w:val="22"/>
          <w:szCs w:val="22"/>
          <w:lang w:val="en-GB"/>
        </w:rPr>
        <w:t xml:space="preserve">the </w:t>
      </w:r>
      <w:r w:rsidR="00A14357">
        <w:rPr>
          <w:sz w:val="22"/>
          <w:szCs w:val="22"/>
          <w:lang w:val="en-GB"/>
        </w:rPr>
        <w:t xml:space="preserve">paucity of </w:t>
      </w:r>
      <w:r w:rsidR="00001C0D">
        <w:rPr>
          <w:sz w:val="22"/>
          <w:szCs w:val="22"/>
          <w:lang w:val="en-GB"/>
        </w:rPr>
        <w:t>directional flows</w:t>
      </w:r>
      <w:r w:rsidR="00A14357">
        <w:rPr>
          <w:sz w:val="22"/>
          <w:szCs w:val="22"/>
          <w:lang w:val="en-GB"/>
        </w:rPr>
        <w:t xml:space="preserve"> disaggregated by demographic variables such as age, sex or ethnicity, the IMAGE studio provides the option for users to </w:t>
      </w:r>
      <w:r w:rsidR="00DD21AC">
        <w:rPr>
          <w:sz w:val="22"/>
          <w:szCs w:val="22"/>
          <w:lang w:val="en-GB"/>
        </w:rPr>
        <w:t xml:space="preserve">select </w:t>
      </w:r>
      <w:r w:rsidR="00A14357">
        <w:rPr>
          <w:sz w:val="22"/>
          <w:szCs w:val="22"/>
          <w:lang w:val="en-GB"/>
        </w:rPr>
        <w:t xml:space="preserve">some of the migration indicators using raw data </w:t>
      </w:r>
      <w:r w:rsidR="00385448">
        <w:rPr>
          <w:sz w:val="22"/>
          <w:szCs w:val="22"/>
          <w:lang w:val="en-GB"/>
        </w:rPr>
        <w:t>on</w:t>
      </w:r>
      <w:r w:rsidR="00A14357">
        <w:rPr>
          <w:sz w:val="22"/>
          <w:szCs w:val="22"/>
          <w:lang w:val="en-GB"/>
        </w:rPr>
        <w:t xml:space="preserve"> BSU inflows and outflows,</w:t>
      </w:r>
      <w:r w:rsidR="00DD21AC">
        <w:rPr>
          <w:sz w:val="22"/>
          <w:szCs w:val="22"/>
          <w:lang w:val="en-GB"/>
        </w:rPr>
        <w:t xml:space="preserve"> the marginal totals of the full migration matrix</w:t>
      </w:r>
      <w:r w:rsidR="0057358F">
        <w:rPr>
          <w:sz w:val="22"/>
          <w:szCs w:val="22"/>
          <w:lang w:val="en-GB"/>
        </w:rPr>
        <w:t>.</w:t>
      </w:r>
    </w:p>
    <w:p w:rsidR="00385448" w:rsidRDefault="00385448" w:rsidP="00DA19D2">
      <w:pPr>
        <w:tabs>
          <w:tab w:val="left" w:pos="7938"/>
        </w:tabs>
        <w:spacing w:after="120" w:line="360" w:lineRule="auto"/>
        <w:ind w:left="-1134"/>
        <w:rPr>
          <w:b/>
          <w:lang w:val="en-GB"/>
        </w:rPr>
      </w:pPr>
    </w:p>
    <w:p w:rsidR="00FC03E6" w:rsidRPr="0057358F" w:rsidRDefault="00FC03E6" w:rsidP="00DA19D2">
      <w:pPr>
        <w:tabs>
          <w:tab w:val="left" w:pos="7938"/>
        </w:tabs>
        <w:spacing w:after="120" w:line="360" w:lineRule="auto"/>
        <w:ind w:left="-1134"/>
        <w:rPr>
          <w:b/>
          <w:lang w:val="en-GB"/>
        </w:rPr>
      </w:pPr>
      <w:r w:rsidRPr="0057358F">
        <w:rPr>
          <w:b/>
          <w:lang w:val="en-GB"/>
        </w:rPr>
        <w:t xml:space="preserve">Spatial interaction modelling </w:t>
      </w:r>
    </w:p>
    <w:p w:rsidR="00FC03E6" w:rsidRPr="00DA04F8" w:rsidRDefault="00FC03E6" w:rsidP="00DA19D2">
      <w:pPr>
        <w:tabs>
          <w:tab w:val="left" w:pos="7938"/>
        </w:tabs>
        <w:spacing w:after="120" w:line="360" w:lineRule="auto"/>
        <w:ind w:left="-1134"/>
        <w:jc w:val="both"/>
        <w:rPr>
          <w:sz w:val="22"/>
          <w:szCs w:val="22"/>
          <w:lang w:val="en-GB"/>
        </w:rPr>
      </w:pPr>
      <w:r w:rsidRPr="00DA04F8">
        <w:rPr>
          <w:sz w:val="22"/>
          <w:szCs w:val="22"/>
          <w:lang w:val="en-GB"/>
        </w:rPr>
        <w:t xml:space="preserve">One of the key indicators in the analysis of internal migration is the frictional effect of space or distance on flow magnitudes between origin and destination spatial units. Gravity theory </w:t>
      </w:r>
      <w:r w:rsidR="00DD21AC">
        <w:rPr>
          <w:sz w:val="22"/>
          <w:szCs w:val="22"/>
          <w:lang w:val="en-GB"/>
        </w:rPr>
        <w:t xml:space="preserve">applied to </w:t>
      </w:r>
      <w:r w:rsidRPr="00DA04F8">
        <w:rPr>
          <w:sz w:val="22"/>
          <w:szCs w:val="22"/>
          <w:lang w:val="en-GB"/>
        </w:rPr>
        <w:t xml:space="preserve">geospatial science </w:t>
      </w:r>
      <w:r w:rsidR="007272FE">
        <w:rPr>
          <w:sz w:val="22"/>
          <w:szCs w:val="22"/>
          <w:lang w:val="en-GB"/>
        </w:rPr>
        <w:t>(</w:t>
      </w:r>
      <w:proofErr w:type="spellStart"/>
      <w:r w:rsidR="007272FE">
        <w:rPr>
          <w:sz w:val="22"/>
          <w:szCs w:val="22"/>
          <w:lang w:val="en-GB"/>
        </w:rPr>
        <w:t>Zipf</w:t>
      </w:r>
      <w:proofErr w:type="spellEnd"/>
      <w:r w:rsidR="007272FE">
        <w:rPr>
          <w:sz w:val="22"/>
          <w:szCs w:val="22"/>
          <w:lang w:val="en-GB"/>
        </w:rPr>
        <w:t xml:space="preserve">, 1946) </w:t>
      </w:r>
      <w:r w:rsidRPr="00DA04F8">
        <w:rPr>
          <w:sz w:val="22"/>
          <w:szCs w:val="22"/>
          <w:lang w:val="en-GB"/>
        </w:rPr>
        <w:t xml:space="preserve">tells us that whilst people move between places in proportion to the masses of the origin and destination spatial units, migration flows are inversely proportional to the distances between origins and destinations. Thus, </w:t>
      </w:r>
      <w:r w:rsidR="008B53CB">
        <w:rPr>
          <w:sz w:val="22"/>
          <w:szCs w:val="22"/>
          <w:lang w:val="en-GB"/>
        </w:rPr>
        <w:t xml:space="preserve">following </w:t>
      </w:r>
      <w:proofErr w:type="spellStart"/>
      <w:r w:rsidR="008B53CB">
        <w:rPr>
          <w:sz w:val="22"/>
          <w:szCs w:val="22"/>
          <w:lang w:val="en-GB"/>
        </w:rPr>
        <w:t>Tobler’s</w:t>
      </w:r>
      <w:proofErr w:type="spellEnd"/>
      <w:r w:rsidR="008B53CB">
        <w:rPr>
          <w:sz w:val="22"/>
          <w:szCs w:val="22"/>
          <w:lang w:val="en-GB"/>
        </w:rPr>
        <w:t xml:space="preserve"> ‘first law of geography’ (Toble</w:t>
      </w:r>
      <w:r w:rsidR="00AF3737">
        <w:rPr>
          <w:sz w:val="22"/>
          <w:szCs w:val="22"/>
          <w:lang w:val="en-GB"/>
        </w:rPr>
        <w:t>r</w:t>
      </w:r>
      <w:r w:rsidR="008B53CB">
        <w:rPr>
          <w:sz w:val="22"/>
          <w:szCs w:val="22"/>
          <w:lang w:val="en-GB"/>
        </w:rPr>
        <w:t>,</w:t>
      </w:r>
      <w:r w:rsidR="00AF3737" w:rsidRPr="00E752C8">
        <w:rPr>
          <w:sz w:val="22"/>
          <w:szCs w:val="22"/>
          <w:lang w:val="en-GB"/>
        </w:rPr>
        <w:t>1970)</w:t>
      </w:r>
      <w:r w:rsidR="008B53CB" w:rsidRPr="00E752C8">
        <w:rPr>
          <w:sz w:val="22"/>
          <w:szCs w:val="22"/>
          <w:lang w:val="en-GB"/>
        </w:rPr>
        <w:t xml:space="preserve">, </w:t>
      </w:r>
      <w:r w:rsidRPr="00E752C8">
        <w:rPr>
          <w:sz w:val="22"/>
          <w:szCs w:val="22"/>
          <w:lang w:val="en-GB"/>
        </w:rPr>
        <w:t>more people travel shorter distances than longer distances and the negative relationship between migration and distance is measured through the calibration of distance decay parameters in gravity models</w:t>
      </w:r>
      <w:r w:rsidR="00AF3737" w:rsidRPr="00E752C8">
        <w:rPr>
          <w:sz w:val="22"/>
          <w:szCs w:val="22"/>
          <w:lang w:val="en-GB"/>
        </w:rPr>
        <w:t xml:space="preserve"> where origin and destination mass</w:t>
      </w:r>
      <w:r w:rsidR="00156E5F" w:rsidRPr="00E752C8">
        <w:rPr>
          <w:sz w:val="22"/>
          <w:szCs w:val="22"/>
          <w:lang w:val="en-GB"/>
        </w:rPr>
        <w:t>es are</w:t>
      </w:r>
      <w:r w:rsidR="00AF3737" w:rsidRPr="00E752C8">
        <w:rPr>
          <w:sz w:val="22"/>
          <w:szCs w:val="22"/>
          <w:lang w:val="en-GB"/>
        </w:rPr>
        <w:t xml:space="preserve"> measured by </w:t>
      </w:r>
      <w:r w:rsidR="00156E5F" w:rsidRPr="00E752C8">
        <w:rPr>
          <w:sz w:val="22"/>
          <w:szCs w:val="22"/>
          <w:lang w:val="en-GB"/>
        </w:rPr>
        <w:t xml:space="preserve">origin and destination </w:t>
      </w:r>
      <w:r w:rsidR="00AF3737" w:rsidRPr="00E752C8">
        <w:rPr>
          <w:sz w:val="22"/>
          <w:szCs w:val="22"/>
          <w:lang w:val="en-GB"/>
        </w:rPr>
        <w:t>population size</w:t>
      </w:r>
      <w:r w:rsidRPr="00E752C8">
        <w:rPr>
          <w:sz w:val="22"/>
          <w:szCs w:val="22"/>
          <w:lang w:val="en-GB"/>
        </w:rPr>
        <w:t xml:space="preserve">. </w:t>
      </w:r>
      <w:r w:rsidR="00362A9E" w:rsidRPr="00E752C8">
        <w:rPr>
          <w:sz w:val="22"/>
          <w:szCs w:val="22"/>
          <w:lang w:val="en-GB"/>
        </w:rPr>
        <w:t xml:space="preserve">There is a </w:t>
      </w:r>
      <w:r w:rsidR="00362A9E" w:rsidRPr="00E752C8">
        <w:rPr>
          <w:color w:val="000033"/>
          <w:sz w:val="22"/>
          <w:szCs w:val="22"/>
          <w:lang w:eastAsia="en-GB"/>
        </w:rPr>
        <w:t>plethora of research and publications on internal migration modelling</w:t>
      </w:r>
      <w:r w:rsidR="00362A9E" w:rsidRPr="00E752C8">
        <w:rPr>
          <w:color w:val="000033"/>
          <w:sz w:val="22"/>
          <w:szCs w:val="22"/>
          <w:lang w:val="en-GB" w:eastAsia="en-GB"/>
        </w:rPr>
        <w:t xml:space="preserve"> as summarized in Stillwell and </w:t>
      </w:r>
      <w:proofErr w:type="spellStart"/>
      <w:r w:rsidR="00362A9E" w:rsidRPr="00E752C8">
        <w:rPr>
          <w:color w:val="000033"/>
          <w:sz w:val="22"/>
          <w:szCs w:val="22"/>
          <w:lang w:val="en-GB" w:eastAsia="en-GB"/>
        </w:rPr>
        <w:t>Congdon</w:t>
      </w:r>
      <w:proofErr w:type="spellEnd"/>
      <w:r w:rsidR="00362A9E" w:rsidRPr="00E752C8">
        <w:rPr>
          <w:color w:val="000033"/>
          <w:sz w:val="22"/>
          <w:szCs w:val="22"/>
          <w:lang w:val="en-GB" w:eastAsia="en-GB"/>
        </w:rPr>
        <w:t xml:space="preserve"> (1991) and Stillwell (2008) with many studies using statistical calibration methods to quantify the significance of different explanatory variables on </w:t>
      </w:r>
      <w:r w:rsidR="00B96ECB" w:rsidRPr="00E752C8">
        <w:rPr>
          <w:color w:val="000033"/>
          <w:sz w:val="22"/>
          <w:szCs w:val="22"/>
          <w:lang w:val="en-GB" w:eastAsia="en-GB"/>
        </w:rPr>
        <w:t xml:space="preserve">the decision to move and/or on </w:t>
      </w:r>
      <w:r w:rsidR="00362A9E" w:rsidRPr="00E752C8">
        <w:rPr>
          <w:color w:val="000033"/>
          <w:sz w:val="22"/>
          <w:szCs w:val="22"/>
          <w:lang w:val="en-GB" w:eastAsia="en-GB"/>
        </w:rPr>
        <w:t>migrant destination choice</w:t>
      </w:r>
      <w:r w:rsidR="004C4F59">
        <w:rPr>
          <w:color w:val="000033"/>
          <w:sz w:val="22"/>
          <w:szCs w:val="22"/>
          <w:lang w:val="en-GB" w:eastAsia="en-GB"/>
        </w:rPr>
        <w:t>. A</w:t>
      </w:r>
      <w:r w:rsidR="00E752C8" w:rsidRPr="00E752C8">
        <w:rPr>
          <w:color w:val="000033"/>
          <w:sz w:val="22"/>
          <w:szCs w:val="22"/>
          <w:lang w:val="en-GB" w:eastAsia="en-GB"/>
        </w:rPr>
        <w:t xml:space="preserve"> major study linking </w:t>
      </w:r>
      <w:r w:rsidR="001021FE">
        <w:rPr>
          <w:color w:val="000033"/>
          <w:sz w:val="22"/>
          <w:szCs w:val="22"/>
          <w:lang w:val="en-GB" w:eastAsia="en-GB"/>
        </w:rPr>
        <w:t xml:space="preserve">internal </w:t>
      </w:r>
      <w:r w:rsidR="00E752C8" w:rsidRPr="00E752C8">
        <w:rPr>
          <w:color w:val="000033"/>
          <w:sz w:val="22"/>
          <w:szCs w:val="22"/>
          <w:lang w:val="en-GB" w:eastAsia="en-GB"/>
        </w:rPr>
        <w:t xml:space="preserve">migration with policy variables in England and Wales </w:t>
      </w:r>
      <w:r w:rsidR="004C4F59">
        <w:rPr>
          <w:color w:val="000033"/>
          <w:sz w:val="22"/>
          <w:szCs w:val="22"/>
          <w:lang w:val="en-GB" w:eastAsia="en-GB"/>
        </w:rPr>
        <w:t xml:space="preserve">using Poisson regression </w:t>
      </w:r>
      <w:r w:rsidR="00290A0E">
        <w:rPr>
          <w:color w:val="000033"/>
          <w:sz w:val="22"/>
          <w:szCs w:val="22"/>
          <w:lang w:val="en-GB" w:eastAsia="en-GB"/>
        </w:rPr>
        <w:t xml:space="preserve">(MIGMOD) </w:t>
      </w:r>
      <w:r w:rsidR="004C50E3">
        <w:rPr>
          <w:color w:val="000033"/>
          <w:sz w:val="22"/>
          <w:szCs w:val="22"/>
          <w:lang w:val="en-GB" w:eastAsia="en-GB"/>
        </w:rPr>
        <w:t xml:space="preserve">which </w:t>
      </w:r>
      <w:r w:rsidR="004C4F59">
        <w:rPr>
          <w:color w:val="000033"/>
          <w:sz w:val="22"/>
          <w:szCs w:val="22"/>
          <w:lang w:val="en-GB" w:eastAsia="en-GB"/>
        </w:rPr>
        <w:t xml:space="preserve">was </w:t>
      </w:r>
      <w:r w:rsidR="004C4F59">
        <w:rPr>
          <w:color w:val="000033"/>
          <w:sz w:val="22"/>
          <w:szCs w:val="22"/>
          <w:lang w:val="en-GB" w:eastAsia="en-GB"/>
        </w:rPr>
        <w:lastRenderedPageBreak/>
        <w:t xml:space="preserve">developed for the Office of the Deputy Prime Minister (ODPM) and </w:t>
      </w:r>
      <w:r w:rsidR="00E752C8" w:rsidRPr="00E752C8">
        <w:rPr>
          <w:color w:val="000033"/>
          <w:sz w:val="22"/>
          <w:szCs w:val="22"/>
          <w:lang w:val="en-GB" w:eastAsia="en-GB"/>
        </w:rPr>
        <w:t xml:space="preserve">reported </w:t>
      </w:r>
      <w:r w:rsidR="004C4F59">
        <w:rPr>
          <w:color w:val="000033"/>
          <w:sz w:val="22"/>
          <w:szCs w:val="22"/>
          <w:lang w:val="en-GB" w:eastAsia="en-GB"/>
        </w:rPr>
        <w:t>by</w:t>
      </w:r>
      <w:r w:rsidR="00E752C8" w:rsidRPr="00E752C8">
        <w:rPr>
          <w:color w:val="000033"/>
          <w:sz w:val="22"/>
          <w:szCs w:val="22"/>
          <w:lang w:val="en-GB" w:eastAsia="en-GB"/>
        </w:rPr>
        <w:t xml:space="preserve"> Rees et al. (2004) and</w:t>
      </w:r>
      <w:r w:rsidR="002E1F3B">
        <w:rPr>
          <w:color w:val="000033"/>
          <w:sz w:val="22"/>
          <w:szCs w:val="22"/>
          <w:lang w:val="en-GB" w:eastAsia="en-GB"/>
        </w:rPr>
        <w:t xml:space="preserve"> </w:t>
      </w:r>
      <w:proofErr w:type="spellStart"/>
      <w:r w:rsidR="00B96ECB" w:rsidRPr="00E752C8">
        <w:rPr>
          <w:color w:val="000033"/>
          <w:sz w:val="22"/>
          <w:szCs w:val="22"/>
          <w:lang w:val="en-GB" w:eastAsia="en-GB"/>
        </w:rPr>
        <w:t>Fotheringham</w:t>
      </w:r>
      <w:proofErr w:type="spellEnd"/>
      <w:r w:rsidR="00B96ECB" w:rsidRPr="00E752C8">
        <w:rPr>
          <w:color w:val="000033"/>
          <w:sz w:val="22"/>
          <w:szCs w:val="22"/>
          <w:lang w:val="en-GB" w:eastAsia="en-GB"/>
        </w:rPr>
        <w:t xml:space="preserve"> et al. </w:t>
      </w:r>
      <w:r w:rsidR="00E752C8" w:rsidRPr="00E752C8">
        <w:rPr>
          <w:color w:val="000033"/>
          <w:sz w:val="22"/>
          <w:szCs w:val="22"/>
          <w:lang w:val="en-GB" w:eastAsia="en-GB"/>
        </w:rPr>
        <w:t>(</w:t>
      </w:r>
      <w:r w:rsidR="00B96ECB" w:rsidRPr="00E752C8">
        <w:rPr>
          <w:color w:val="000033"/>
          <w:sz w:val="22"/>
          <w:szCs w:val="22"/>
          <w:lang w:val="en-GB" w:eastAsia="en-GB"/>
        </w:rPr>
        <w:t>2004</w:t>
      </w:r>
      <w:r w:rsidR="00E752C8" w:rsidRPr="00E752C8">
        <w:rPr>
          <w:color w:val="000033"/>
          <w:sz w:val="22"/>
          <w:szCs w:val="22"/>
          <w:lang w:val="en-GB" w:eastAsia="en-GB"/>
        </w:rPr>
        <w:t>)</w:t>
      </w:r>
      <w:r w:rsidR="004C50E3">
        <w:rPr>
          <w:color w:val="000033"/>
          <w:sz w:val="22"/>
          <w:szCs w:val="22"/>
          <w:lang w:val="en-GB" w:eastAsia="en-GB"/>
        </w:rPr>
        <w:t>,</w:t>
      </w:r>
      <w:r w:rsidR="004C4F59">
        <w:rPr>
          <w:color w:val="000033"/>
          <w:sz w:val="22"/>
          <w:szCs w:val="22"/>
          <w:lang w:val="en-GB" w:eastAsia="en-GB"/>
        </w:rPr>
        <w:t xml:space="preserve"> emphasises the importance of the basic gravity variables.</w:t>
      </w:r>
      <w:r w:rsidR="00A435F3">
        <w:rPr>
          <w:color w:val="000033"/>
          <w:sz w:val="22"/>
          <w:szCs w:val="22"/>
          <w:lang w:val="en-GB" w:eastAsia="en-GB"/>
        </w:rPr>
        <w:t xml:space="preserve"> </w:t>
      </w:r>
      <w:r w:rsidRPr="00DA04F8">
        <w:rPr>
          <w:sz w:val="22"/>
          <w:szCs w:val="22"/>
          <w:lang w:val="en-GB"/>
        </w:rPr>
        <w:t xml:space="preserve">When constraints are introduced such that the </w:t>
      </w:r>
      <w:r w:rsidR="00AF3737">
        <w:rPr>
          <w:sz w:val="22"/>
          <w:szCs w:val="22"/>
          <w:lang w:val="en-GB"/>
        </w:rPr>
        <w:t xml:space="preserve">outmigration </w:t>
      </w:r>
      <w:r w:rsidRPr="00DA04F8">
        <w:rPr>
          <w:sz w:val="22"/>
          <w:szCs w:val="22"/>
          <w:lang w:val="en-GB"/>
        </w:rPr>
        <w:t xml:space="preserve">flows from each origin to all destinations must sum to known out-migrant totals and </w:t>
      </w:r>
      <w:r w:rsidR="00AF3737">
        <w:rPr>
          <w:sz w:val="22"/>
          <w:szCs w:val="22"/>
          <w:lang w:val="en-GB"/>
        </w:rPr>
        <w:t xml:space="preserve">in-migration </w:t>
      </w:r>
      <w:r w:rsidRPr="00DA04F8">
        <w:rPr>
          <w:sz w:val="22"/>
          <w:szCs w:val="22"/>
          <w:lang w:val="en-GB"/>
        </w:rPr>
        <w:t xml:space="preserve">flows into each destination from all origins must sum to known destination in-migration totals, and the model is calibrated using mathematical rather than statistical calibration methods, </w:t>
      </w:r>
      <w:proofErr w:type="spellStart"/>
      <w:r w:rsidR="00E752C8">
        <w:rPr>
          <w:sz w:val="22"/>
          <w:szCs w:val="22"/>
          <w:lang w:val="en-GB"/>
        </w:rPr>
        <w:t>Tobler’s</w:t>
      </w:r>
      <w:proofErr w:type="spellEnd"/>
      <w:r w:rsidR="002E1F3B">
        <w:rPr>
          <w:sz w:val="22"/>
          <w:szCs w:val="22"/>
          <w:lang w:val="en-GB"/>
        </w:rPr>
        <w:t xml:space="preserve"> </w:t>
      </w:r>
      <w:r w:rsidR="00AF3737">
        <w:rPr>
          <w:sz w:val="22"/>
          <w:szCs w:val="22"/>
          <w:lang w:val="en-GB"/>
        </w:rPr>
        <w:t xml:space="preserve">unconstrained </w:t>
      </w:r>
      <w:r w:rsidRPr="00DA04F8">
        <w:rPr>
          <w:sz w:val="22"/>
          <w:szCs w:val="22"/>
          <w:lang w:val="en-GB"/>
        </w:rPr>
        <w:t xml:space="preserve">gravity model becomes a doubly constrained spatial interaction model </w:t>
      </w:r>
      <w:r w:rsidR="00E752C8">
        <w:rPr>
          <w:sz w:val="22"/>
          <w:szCs w:val="22"/>
          <w:lang w:val="en-GB"/>
        </w:rPr>
        <w:t xml:space="preserve">(SIM) as </w:t>
      </w:r>
      <w:r w:rsidRPr="00DA04F8">
        <w:rPr>
          <w:sz w:val="22"/>
          <w:szCs w:val="22"/>
          <w:lang w:val="en-GB"/>
        </w:rPr>
        <w:t>derived by Wilson (1970) from entropy-maximizing principles and can be written as follows:</w:t>
      </w:r>
    </w:p>
    <w:p w:rsidR="00FC03E6" w:rsidRPr="00105B0D" w:rsidRDefault="00FC03E6" w:rsidP="00BE240B">
      <w:pPr>
        <w:tabs>
          <w:tab w:val="left" w:pos="7938"/>
        </w:tabs>
        <w:spacing w:after="120" w:line="360" w:lineRule="auto"/>
        <w:ind w:left="-1134"/>
        <w:jc w:val="center"/>
        <w:rPr>
          <w:sz w:val="22"/>
          <w:szCs w:val="22"/>
          <w:lang w:val="en-GB"/>
        </w:rPr>
      </w:pPr>
      <w:proofErr w:type="spellStart"/>
      <w:r w:rsidRPr="002E1F3B">
        <w:rPr>
          <w:i/>
          <w:sz w:val="28"/>
          <w:szCs w:val="28"/>
          <w:lang w:val="en-GB"/>
        </w:rPr>
        <w:t>M</w:t>
      </w:r>
      <w:r w:rsidRPr="002E1F3B">
        <w:rPr>
          <w:i/>
          <w:sz w:val="28"/>
          <w:szCs w:val="28"/>
          <w:vertAlign w:val="subscript"/>
          <w:lang w:val="en-GB"/>
        </w:rPr>
        <w:t>ij</w:t>
      </w:r>
      <w:proofErr w:type="spellEnd"/>
      <w:r w:rsidRPr="002E1F3B">
        <w:rPr>
          <w:i/>
          <w:sz w:val="28"/>
          <w:szCs w:val="28"/>
          <w:lang w:val="en-GB"/>
        </w:rPr>
        <w:t xml:space="preserve"> = A</w:t>
      </w:r>
      <w:r w:rsidRPr="002E1F3B">
        <w:rPr>
          <w:i/>
          <w:sz w:val="28"/>
          <w:szCs w:val="28"/>
          <w:vertAlign w:val="subscript"/>
          <w:lang w:val="en-GB"/>
        </w:rPr>
        <w:t>i</w:t>
      </w:r>
      <w:r w:rsidR="002E1F3B">
        <w:rPr>
          <w:i/>
          <w:sz w:val="28"/>
          <w:szCs w:val="28"/>
          <w:vertAlign w:val="subscript"/>
          <w:lang w:val="en-GB"/>
        </w:rPr>
        <w:t xml:space="preserve"> </w:t>
      </w:r>
      <w:proofErr w:type="spellStart"/>
      <w:r w:rsidRPr="002E1F3B">
        <w:rPr>
          <w:i/>
          <w:sz w:val="28"/>
          <w:szCs w:val="28"/>
          <w:lang w:val="en-GB"/>
        </w:rPr>
        <w:t>O</w:t>
      </w:r>
      <w:r w:rsidRPr="002E1F3B">
        <w:rPr>
          <w:i/>
          <w:sz w:val="28"/>
          <w:szCs w:val="28"/>
          <w:vertAlign w:val="subscript"/>
          <w:lang w:val="en-GB"/>
        </w:rPr>
        <w:t>i</w:t>
      </w:r>
      <w:proofErr w:type="spellEnd"/>
      <w:r w:rsidR="002E1F3B">
        <w:rPr>
          <w:i/>
          <w:sz w:val="28"/>
          <w:szCs w:val="28"/>
          <w:vertAlign w:val="subscript"/>
          <w:lang w:val="en-GB"/>
        </w:rPr>
        <w:t xml:space="preserve"> </w:t>
      </w:r>
      <w:proofErr w:type="spellStart"/>
      <w:r w:rsidRPr="002E1F3B">
        <w:rPr>
          <w:i/>
          <w:sz w:val="28"/>
          <w:szCs w:val="28"/>
          <w:lang w:val="en-GB"/>
        </w:rPr>
        <w:t>B</w:t>
      </w:r>
      <w:r w:rsidRPr="002E1F3B">
        <w:rPr>
          <w:i/>
          <w:sz w:val="28"/>
          <w:szCs w:val="28"/>
          <w:vertAlign w:val="subscript"/>
          <w:lang w:val="en-GB"/>
        </w:rPr>
        <w:t>j</w:t>
      </w:r>
      <w:proofErr w:type="spellEnd"/>
      <w:r w:rsidR="002E1F3B">
        <w:rPr>
          <w:i/>
          <w:sz w:val="28"/>
          <w:szCs w:val="28"/>
          <w:vertAlign w:val="subscript"/>
          <w:lang w:val="en-GB"/>
        </w:rPr>
        <w:t xml:space="preserve"> </w:t>
      </w:r>
      <w:proofErr w:type="spellStart"/>
      <w:r w:rsidRPr="002E1F3B">
        <w:rPr>
          <w:i/>
          <w:sz w:val="28"/>
          <w:szCs w:val="28"/>
          <w:lang w:val="en-GB"/>
        </w:rPr>
        <w:t>D</w:t>
      </w:r>
      <w:r w:rsidRPr="002E1F3B">
        <w:rPr>
          <w:i/>
          <w:sz w:val="28"/>
          <w:szCs w:val="28"/>
          <w:vertAlign w:val="subscript"/>
          <w:lang w:val="en-GB"/>
        </w:rPr>
        <w:t>j</w:t>
      </w:r>
      <w:proofErr w:type="spellEnd"/>
      <w:r w:rsidR="002E1F3B">
        <w:rPr>
          <w:i/>
          <w:sz w:val="28"/>
          <w:szCs w:val="28"/>
          <w:vertAlign w:val="subscript"/>
          <w:lang w:val="en-GB"/>
        </w:rPr>
        <w:t xml:space="preserve"> </w:t>
      </w:r>
      <w:proofErr w:type="spellStart"/>
      <w:r w:rsidRPr="002E1F3B">
        <w:rPr>
          <w:i/>
          <w:sz w:val="28"/>
          <w:szCs w:val="28"/>
          <w:lang w:val="en-GB"/>
        </w:rPr>
        <w:t>d</w:t>
      </w:r>
      <w:r w:rsidRPr="002E1F3B">
        <w:rPr>
          <w:i/>
          <w:sz w:val="28"/>
          <w:szCs w:val="28"/>
          <w:vertAlign w:val="subscript"/>
          <w:lang w:val="en-GB"/>
        </w:rPr>
        <w:t>ij</w:t>
      </w:r>
      <w:proofErr w:type="spellEnd"/>
      <w:r w:rsidRPr="002E1F3B">
        <w:rPr>
          <w:i/>
          <w:sz w:val="28"/>
          <w:szCs w:val="28"/>
          <w:vertAlign w:val="superscript"/>
          <w:lang w:val="en-GB"/>
        </w:rPr>
        <w:t>-</w:t>
      </w:r>
      <w:r w:rsidRPr="002E1F3B">
        <w:rPr>
          <w:i/>
          <w:sz w:val="28"/>
          <w:szCs w:val="28"/>
          <w:vertAlign w:val="superscript"/>
        </w:rPr>
        <w:t>β</w:t>
      </w:r>
      <w:r w:rsidR="002E1F3B" w:rsidRPr="002E1F3B">
        <w:rPr>
          <w:i/>
          <w:sz w:val="28"/>
          <w:szCs w:val="28"/>
          <w:vertAlign w:val="superscript"/>
          <w:lang w:val="en-GB"/>
        </w:rPr>
        <w:t xml:space="preserve"> </w:t>
      </w:r>
      <w:r w:rsidR="002E1F3B" w:rsidRPr="002E1F3B">
        <w:rPr>
          <w:sz w:val="28"/>
          <w:szCs w:val="28"/>
          <w:lang w:val="en-GB"/>
        </w:rPr>
        <w:t xml:space="preserve">                                                                </w:t>
      </w:r>
      <w:r w:rsidR="00105B0D">
        <w:rPr>
          <w:sz w:val="22"/>
          <w:szCs w:val="22"/>
          <w:lang w:val="en-GB"/>
        </w:rPr>
        <w:t>(</w:t>
      </w:r>
      <w:r w:rsidR="00973B6A" w:rsidRPr="002959C4">
        <w:rPr>
          <w:sz w:val="22"/>
          <w:szCs w:val="22"/>
          <w:lang w:val="en-GB"/>
        </w:rPr>
        <w:t>4</w:t>
      </w:r>
      <w:r w:rsidR="00105B0D">
        <w:rPr>
          <w:sz w:val="22"/>
          <w:szCs w:val="22"/>
          <w:lang w:val="en-GB"/>
        </w:rPr>
        <w:t>)</w:t>
      </w:r>
    </w:p>
    <w:p w:rsidR="004C50E3" w:rsidRDefault="00FC03E6" w:rsidP="00DA19D2">
      <w:pPr>
        <w:tabs>
          <w:tab w:val="left" w:pos="7938"/>
        </w:tabs>
        <w:spacing w:after="120" w:line="360" w:lineRule="auto"/>
        <w:ind w:left="-1134"/>
        <w:jc w:val="both"/>
        <w:rPr>
          <w:sz w:val="22"/>
          <w:szCs w:val="22"/>
          <w:lang w:val="en-GB"/>
        </w:rPr>
      </w:pPr>
      <w:r w:rsidRPr="00DA04F8">
        <w:rPr>
          <w:sz w:val="22"/>
          <w:szCs w:val="22"/>
          <w:lang w:val="en-GB"/>
        </w:rPr>
        <w:t xml:space="preserve">where </w:t>
      </w:r>
      <w:proofErr w:type="spellStart"/>
      <w:r w:rsidRPr="00DA04F8">
        <w:rPr>
          <w:i/>
          <w:sz w:val="22"/>
          <w:szCs w:val="22"/>
          <w:lang w:val="en-GB"/>
        </w:rPr>
        <w:t>M</w:t>
      </w:r>
      <w:r w:rsidRPr="00DA04F8">
        <w:rPr>
          <w:i/>
          <w:sz w:val="22"/>
          <w:szCs w:val="22"/>
          <w:vertAlign w:val="subscript"/>
          <w:lang w:val="en-GB"/>
        </w:rPr>
        <w:t>ij</w:t>
      </w:r>
      <w:r w:rsidRPr="00DA04F8">
        <w:rPr>
          <w:sz w:val="22"/>
          <w:szCs w:val="22"/>
          <w:lang w:val="en-GB"/>
        </w:rPr>
        <w:t>is</w:t>
      </w:r>
      <w:proofErr w:type="spellEnd"/>
      <w:r w:rsidRPr="00DA04F8">
        <w:rPr>
          <w:sz w:val="22"/>
          <w:szCs w:val="22"/>
          <w:lang w:val="en-GB"/>
        </w:rPr>
        <w:t xml:space="preserve"> the migration flow between spatial units </w:t>
      </w:r>
      <w:proofErr w:type="spellStart"/>
      <w:r w:rsidRPr="00DA04F8">
        <w:rPr>
          <w:i/>
          <w:sz w:val="22"/>
          <w:szCs w:val="22"/>
          <w:lang w:val="en-GB"/>
        </w:rPr>
        <w:t>i</w:t>
      </w:r>
      <w:proofErr w:type="spellEnd"/>
      <w:r w:rsidRPr="00DA04F8">
        <w:rPr>
          <w:sz w:val="22"/>
          <w:szCs w:val="22"/>
          <w:lang w:val="en-GB"/>
        </w:rPr>
        <w:t xml:space="preserve"> and </w:t>
      </w:r>
      <w:r w:rsidRPr="00DA04F8">
        <w:rPr>
          <w:i/>
          <w:sz w:val="22"/>
          <w:szCs w:val="22"/>
          <w:lang w:val="en-GB"/>
        </w:rPr>
        <w:t>j</w:t>
      </w:r>
      <w:r w:rsidRPr="00DA04F8">
        <w:rPr>
          <w:sz w:val="22"/>
          <w:szCs w:val="22"/>
          <w:lang w:val="en-GB"/>
        </w:rPr>
        <w:t xml:space="preserve">, </w:t>
      </w:r>
      <w:proofErr w:type="spellStart"/>
      <w:r w:rsidRPr="00DA04F8">
        <w:rPr>
          <w:i/>
          <w:sz w:val="22"/>
          <w:szCs w:val="22"/>
          <w:lang w:val="en-GB"/>
        </w:rPr>
        <w:t>O</w:t>
      </w:r>
      <w:r w:rsidRPr="00DA04F8">
        <w:rPr>
          <w:i/>
          <w:sz w:val="22"/>
          <w:szCs w:val="22"/>
          <w:vertAlign w:val="subscript"/>
          <w:lang w:val="en-GB"/>
        </w:rPr>
        <w:t>i</w:t>
      </w:r>
      <w:r w:rsidRPr="00DA04F8">
        <w:rPr>
          <w:sz w:val="22"/>
          <w:szCs w:val="22"/>
          <w:lang w:val="en-GB"/>
        </w:rPr>
        <w:t>is</w:t>
      </w:r>
      <w:proofErr w:type="spellEnd"/>
      <w:r w:rsidRPr="00DA04F8">
        <w:rPr>
          <w:sz w:val="22"/>
          <w:szCs w:val="22"/>
          <w:lang w:val="en-GB"/>
        </w:rPr>
        <w:t xml:space="preserve"> the total out-migration from spatial unit </w:t>
      </w:r>
      <w:proofErr w:type="spellStart"/>
      <w:r w:rsidR="009A3FF1">
        <w:rPr>
          <w:i/>
          <w:sz w:val="22"/>
          <w:szCs w:val="22"/>
          <w:lang w:val="en-GB"/>
        </w:rPr>
        <w:t>i</w:t>
      </w:r>
      <w:r w:rsidRPr="00DA04F8">
        <w:rPr>
          <w:sz w:val="22"/>
          <w:szCs w:val="22"/>
          <w:lang w:val="en-GB"/>
        </w:rPr>
        <w:t>and</w:t>
      </w:r>
      <w:r w:rsidRPr="00DA04F8">
        <w:rPr>
          <w:i/>
          <w:sz w:val="22"/>
          <w:szCs w:val="22"/>
          <w:lang w:val="en-GB"/>
        </w:rPr>
        <w:t>D</w:t>
      </w:r>
      <w:r w:rsidRPr="00DA04F8">
        <w:rPr>
          <w:i/>
          <w:sz w:val="22"/>
          <w:szCs w:val="22"/>
          <w:vertAlign w:val="subscript"/>
          <w:lang w:val="en-GB"/>
        </w:rPr>
        <w:t>j</w:t>
      </w:r>
      <w:r w:rsidRPr="00DA04F8">
        <w:rPr>
          <w:sz w:val="22"/>
          <w:szCs w:val="22"/>
          <w:lang w:val="en-GB"/>
        </w:rPr>
        <w:t>is</w:t>
      </w:r>
      <w:proofErr w:type="spellEnd"/>
      <w:r w:rsidRPr="00DA04F8">
        <w:rPr>
          <w:sz w:val="22"/>
          <w:szCs w:val="22"/>
          <w:lang w:val="en-GB"/>
        </w:rPr>
        <w:t xml:space="preserve"> the total in-migration into each destination spatial unit </w:t>
      </w:r>
      <w:r w:rsidRPr="00DA04F8">
        <w:rPr>
          <w:i/>
          <w:sz w:val="22"/>
          <w:szCs w:val="22"/>
          <w:lang w:val="en-GB"/>
        </w:rPr>
        <w:t>j</w:t>
      </w:r>
      <w:r w:rsidRPr="00DA04F8">
        <w:rPr>
          <w:sz w:val="22"/>
          <w:szCs w:val="22"/>
          <w:lang w:val="en-GB"/>
        </w:rPr>
        <w:t xml:space="preserve">, </w:t>
      </w:r>
      <w:r w:rsidRPr="00DA04F8">
        <w:rPr>
          <w:i/>
          <w:sz w:val="22"/>
          <w:szCs w:val="22"/>
          <w:lang w:val="en-GB"/>
        </w:rPr>
        <w:t>A</w:t>
      </w:r>
      <w:r w:rsidRPr="00DA04F8">
        <w:rPr>
          <w:i/>
          <w:sz w:val="22"/>
          <w:szCs w:val="22"/>
          <w:vertAlign w:val="subscript"/>
          <w:lang w:val="en-GB"/>
        </w:rPr>
        <w:t>i</w:t>
      </w:r>
      <w:r w:rsidRPr="00DA04F8">
        <w:rPr>
          <w:sz w:val="22"/>
          <w:szCs w:val="22"/>
          <w:lang w:val="en-GB"/>
        </w:rPr>
        <w:t xml:space="preserve"> and </w:t>
      </w:r>
      <w:proofErr w:type="spellStart"/>
      <w:r w:rsidRPr="00DA04F8">
        <w:rPr>
          <w:i/>
          <w:sz w:val="22"/>
          <w:szCs w:val="22"/>
          <w:lang w:val="en-GB"/>
        </w:rPr>
        <w:t>B</w:t>
      </w:r>
      <w:r w:rsidRPr="00DA04F8">
        <w:rPr>
          <w:i/>
          <w:sz w:val="22"/>
          <w:szCs w:val="22"/>
          <w:vertAlign w:val="subscript"/>
          <w:lang w:val="en-GB"/>
        </w:rPr>
        <w:t>j</w:t>
      </w:r>
      <w:proofErr w:type="spellEnd"/>
      <w:r w:rsidRPr="00DA04F8">
        <w:rPr>
          <w:sz w:val="22"/>
          <w:szCs w:val="22"/>
          <w:lang w:val="en-GB"/>
        </w:rPr>
        <w:t xml:space="preserve"> are the respective balancing factors that ensure the out-migration and in-migration constraints are satisfied, and </w:t>
      </w:r>
      <w:proofErr w:type="spellStart"/>
      <w:r w:rsidRPr="00DA04F8">
        <w:rPr>
          <w:i/>
          <w:sz w:val="22"/>
          <w:szCs w:val="22"/>
          <w:lang w:val="en-GB"/>
        </w:rPr>
        <w:t>d</w:t>
      </w:r>
      <w:r w:rsidRPr="00DA04F8">
        <w:rPr>
          <w:i/>
          <w:sz w:val="22"/>
          <w:szCs w:val="22"/>
          <w:vertAlign w:val="subscript"/>
          <w:lang w:val="en-GB"/>
        </w:rPr>
        <w:t>ij</w:t>
      </w:r>
      <w:proofErr w:type="spellEnd"/>
      <w:r w:rsidRPr="00105B0D">
        <w:rPr>
          <w:i/>
          <w:sz w:val="22"/>
          <w:szCs w:val="22"/>
          <w:vertAlign w:val="superscript"/>
        </w:rPr>
        <w:t>β</w:t>
      </w:r>
      <w:r w:rsidRPr="00DA04F8">
        <w:rPr>
          <w:sz w:val="22"/>
          <w:szCs w:val="22"/>
          <w:lang w:val="en-GB"/>
        </w:rPr>
        <w:t xml:space="preserve"> is the distance term expressed as a negative function to the power </w:t>
      </w:r>
      <w:r w:rsidRPr="00105B0D">
        <w:rPr>
          <w:i/>
          <w:sz w:val="22"/>
          <w:szCs w:val="22"/>
        </w:rPr>
        <w:t>β</w:t>
      </w:r>
      <w:r w:rsidRPr="00DA04F8">
        <w:rPr>
          <w:sz w:val="22"/>
          <w:szCs w:val="22"/>
          <w:lang w:val="en-GB"/>
        </w:rPr>
        <w:t xml:space="preserve"> where </w:t>
      </w:r>
      <w:r w:rsidRPr="00105B0D">
        <w:rPr>
          <w:i/>
          <w:sz w:val="22"/>
          <w:szCs w:val="22"/>
        </w:rPr>
        <w:t>β</w:t>
      </w:r>
      <w:r w:rsidRPr="00DA04F8">
        <w:rPr>
          <w:sz w:val="22"/>
          <w:szCs w:val="22"/>
          <w:lang w:val="en-GB"/>
        </w:rPr>
        <w:t xml:space="preserve"> is </w:t>
      </w:r>
      <w:r w:rsidR="00156E5F">
        <w:rPr>
          <w:sz w:val="22"/>
          <w:szCs w:val="22"/>
          <w:lang w:val="en-GB"/>
        </w:rPr>
        <w:t xml:space="preserve">referred to as </w:t>
      </w:r>
      <w:r w:rsidRPr="00DA04F8">
        <w:rPr>
          <w:sz w:val="22"/>
          <w:szCs w:val="22"/>
          <w:lang w:val="en-GB"/>
        </w:rPr>
        <w:t xml:space="preserve">the distance decay parameter. </w:t>
      </w:r>
      <w:r w:rsidR="007272FE">
        <w:rPr>
          <w:sz w:val="22"/>
          <w:szCs w:val="22"/>
          <w:lang w:val="en-GB"/>
        </w:rPr>
        <w:t xml:space="preserve">In Wilson’s derivation, the relationship between distance and the interaction variable is represented by an exponential </w:t>
      </w:r>
      <w:r w:rsidR="00FD4119">
        <w:rPr>
          <w:sz w:val="22"/>
          <w:szCs w:val="22"/>
          <w:lang w:val="en-GB"/>
        </w:rPr>
        <w:t xml:space="preserve">rather than a linear function. </w:t>
      </w:r>
    </w:p>
    <w:p w:rsidR="00FC03E6" w:rsidRPr="00FD4119" w:rsidRDefault="00E36056" w:rsidP="00DA19D2">
      <w:pPr>
        <w:tabs>
          <w:tab w:val="left" w:pos="7938"/>
        </w:tabs>
        <w:spacing w:after="120" w:line="360" w:lineRule="auto"/>
        <w:ind w:left="-1134"/>
        <w:jc w:val="both"/>
        <w:rPr>
          <w:sz w:val="22"/>
          <w:szCs w:val="22"/>
          <w:lang w:val="en-GB"/>
        </w:rPr>
      </w:pPr>
      <w:r>
        <w:rPr>
          <w:color w:val="000033"/>
          <w:sz w:val="22"/>
          <w:szCs w:val="22"/>
          <w:lang w:val="en-GB" w:eastAsia="en-GB"/>
        </w:rPr>
        <w:t xml:space="preserve">Whilst there is an extensive literature </w:t>
      </w:r>
      <w:r w:rsidR="004C50E3" w:rsidRPr="004C50E3">
        <w:rPr>
          <w:color w:val="000033"/>
          <w:sz w:val="22"/>
          <w:szCs w:val="22"/>
          <w:lang w:eastAsia="en-GB"/>
        </w:rPr>
        <w:t xml:space="preserve">on </w:t>
      </w:r>
      <w:r>
        <w:rPr>
          <w:color w:val="000033"/>
          <w:sz w:val="22"/>
          <w:szCs w:val="22"/>
          <w:lang w:val="en-GB" w:eastAsia="en-GB"/>
        </w:rPr>
        <w:t xml:space="preserve">determinants of migration, synthesised for England and Wales by Champion et al. (1998), the aims and objectives of the IMAGE project do not embrace the collection of explanatory variables for different countries of the world beyond population size and distance. This data collection exercise was </w:t>
      </w:r>
      <w:r w:rsidR="00884597">
        <w:rPr>
          <w:color w:val="000033"/>
          <w:sz w:val="22"/>
          <w:szCs w:val="22"/>
          <w:lang w:val="en-GB" w:eastAsia="en-GB"/>
        </w:rPr>
        <w:t>considered</w:t>
      </w:r>
      <w:r>
        <w:rPr>
          <w:color w:val="000033"/>
          <w:sz w:val="22"/>
          <w:szCs w:val="22"/>
          <w:lang w:val="en-GB" w:eastAsia="en-GB"/>
        </w:rPr>
        <w:t xml:space="preserve"> beyond the scope of the project. </w:t>
      </w:r>
      <w:r w:rsidR="00884597">
        <w:rPr>
          <w:color w:val="000033"/>
          <w:sz w:val="22"/>
          <w:szCs w:val="22"/>
          <w:lang w:val="en-GB" w:eastAsia="en-GB"/>
        </w:rPr>
        <w:t>As a consequence of assembling matrice</w:t>
      </w:r>
      <w:r w:rsidR="00884597" w:rsidRPr="00290A0E">
        <w:rPr>
          <w:color w:val="000033"/>
          <w:sz w:val="22"/>
          <w:szCs w:val="22"/>
          <w:lang w:val="en-GB" w:eastAsia="en-GB"/>
        </w:rPr>
        <w:t xml:space="preserve">s of migration flows between BSUs in the IMAGE </w:t>
      </w:r>
      <w:proofErr w:type="spellStart"/>
      <w:r w:rsidR="00884597" w:rsidRPr="00290A0E">
        <w:rPr>
          <w:color w:val="000033"/>
          <w:sz w:val="22"/>
          <w:szCs w:val="22"/>
          <w:lang w:val="en-GB" w:eastAsia="en-GB"/>
        </w:rPr>
        <w:t>respository</w:t>
      </w:r>
      <w:proofErr w:type="spellEnd"/>
      <w:r w:rsidR="00884597" w:rsidRPr="00290A0E">
        <w:rPr>
          <w:color w:val="000033"/>
          <w:sz w:val="22"/>
          <w:szCs w:val="22"/>
          <w:lang w:val="en-GB" w:eastAsia="en-GB"/>
        </w:rPr>
        <w:t xml:space="preserve">, a doubly constrained model calibration routine has been implemented in the IMAGE studio and both </w:t>
      </w:r>
      <w:r w:rsidR="00156E5F" w:rsidRPr="00290A0E">
        <w:rPr>
          <w:sz w:val="22"/>
          <w:szCs w:val="22"/>
          <w:lang w:val="en-GB"/>
        </w:rPr>
        <w:t xml:space="preserve">distance function </w:t>
      </w:r>
      <w:r w:rsidR="00884597" w:rsidRPr="00290A0E">
        <w:rPr>
          <w:sz w:val="22"/>
          <w:szCs w:val="22"/>
          <w:lang w:val="en-GB"/>
        </w:rPr>
        <w:t xml:space="preserve">options are available with a generalised decay parameter. </w:t>
      </w:r>
      <w:r w:rsidR="00290A0E" w:rsidRPr="00290A0E">
        <w:rPr>
          <w:sz w:val="22"/>
          <w:szCs w:val="22"/>
          <w:lang w:val="en-GB"/>
        </w:rPr>
        <w:t xml:space="preserve">The SIM calibration method itself is explained in more detail in Stillwell (1990) and it is intended that other modelling options, including singly constrained models and origin or destination-specific parameter models will be </w:t>
      </w:r>
      <w:proofErr w:type="spellStart"/>
      <w:r w:rsidR="00290A0E" w:rsidRPr="00290A0E">
        <w:rPr>
          <w:sz w:val="22"/>
          <w:szCs w:val="22"/>
          <w:lang w:val="en-GB"/>
        </w:rPr>
        <w:t>implementedin</w:t>
      </w:r>
      <w:proofErr w:type="spellEnd"/>
      <w:r w:rsidR="00290A0E" w:rsidRPr="00290A0E">
        <w:rPr>
          <w:sz w:val="22"/>
          <w:szCs w:val="22"/>
          <w:lang w:val="en-GB"/>
        </w:rPr>
        <w:t xml:space="preserve"> due course.</w:t>
      </w:r>
      <w:r w:rsidR="00FD4119">
        <w:rPr>
          <w:sz w:val="22"/>
          <w:szCs w:val="22"/>
          <w:lang w:val="en-GB"/>
        </w:rPr>
        <w:t xml:space="preserve"> Figur</w:t>
      </w:r>
      <w:r w:rsidR="00FC03E6" w:rsidRPr="00DA04F8">
        <w:rPr>
          <w:sz w:val="22"/>
          <w:szCs w:val="22"/>
          <w:lang w:val="en-GB"/>
        </w:rPr>
        <w:t>e</w:t>
      </w:r>
      <w:r w:rsidR="00DD21AC">
        <w:rPr>
          <w:sz w:val="22"/>
          <w:szCs w:val="22"/>
          <w:lang w:val="en-GB"/>
        </w:rPr>
        <w:t>6</w:t>
      </w:r>
      <w:r w:rsidR="00FC03E6" w:rsidRPr="00DA04F8">
        <w:rPr>
          <w:sz w:val="22"/>
          <w:szCs w:val="22"/>
          <w:lang w:val="en-GB"/>
        </w:rPr>
        <w:t xml:space="preserve">is a screenshot of the </w:t>
      </w:r>
      <w:r w:rsidR="00884597">
        <w:rPr>
          <w:sz w:val="22"/>
          <w:szCs w:val="22"/>
          <w:lang w:val="en-GB"/>
        </w:rPr>
        <w:t>SIM</w:t>
      </w:r>
      <w:r w:rsidR="00FC03E6" w:rsidRPr="00DA04F8">
        <w:rPr>
          <w:sz w:val="22"/>
          <w:szCs w:val="22"/>
          <w:lang w:val="en-GB"/>
        </w:rPr>
        <w:t xml:space="preserve"> interface </w:t>
      </w:r>
      <w:r w:rsidR="00FD4119">
        <w:rPr>
          <w:sz w:val="22"/>
          <w:szCs w:val="22"/>
          <w:lang w:val="en-GB"/>
        </w:rPr>
        <w:t>which</w:t>
      </w:r>
      <w:r w:rsidR="002E1F3B">
        <w:rPr>
          <w:sz w:val="22"/>
          <w:szCs w:val="22"/>
          <w:lang w:val="en-GB"/>
        </w:rPr>
        <w:t xml:space="preserve"> </w:t>
      </w:r>
      <w:r w:rsidR="00FD4119">
        <w:rPr>
          <w:sz w:val="22"/>
          <w:szCs w:val="22"/>
          <w:lang w:val="en-GB"/>
        </w:rPr>
        <w:t xml:space="preserve">contains windows on the left hand side that allow the user to enter </w:t>
      </w:r>
      <w:r w:rsidR="00FC03E6" w:rsidRPr="00DA04F8">
        <w:rPr>
          <w:sz w:val="22"/>
          <w:szCs w:val="22"/>
          <w:lang w:val="en-GB"/>
        </w:rPr>
        <w:t>some of the parameters required</w:t>
      </w:r>
      <w:r w:rsidR="00156E5F">
        <w:rPr>
          <w:sz w:val="22"/>
          <w:szCs w:val="22"/>
          <w:lang w:val="en-GB"/>
        </w:rPr>
        <w:t xml:space="preserve"> to run the model</w:t>
      </w:r>
      <w:r w:rsidR="00FC03E6" w:rsidRPr="00DA04F8">
        <w:rPr>
          <w:sz w:val="22"/>
          <w:szCs w:val="22"/>
          <w:lang w:val="en-GB"/>
        </w:rPr>
        <w:t>.</w:t>
      </w:r>
      <w:r w:rsidR="00FD4119">
        <w:rPr>
          <w:sz w:val="22"/>
          <w:szCs w:val="22"/>
          <w:lang w:val="en-GB"/>
        </w:rPr>
        <w:t xml:space="preserve">  An initial </w:t>
      </w:r>
      <w:r w:rsidR="00156E5F" w:rsidRPr="00105B0D">
        <w:rPr>
          <w:i/>
          <w:sz w:val="22"/>
          <w:szCs w:val="22"/>
        </w:rPr>
        <w:t>β</w:t>
      </w:r>
      <w:r w:rsidR="00FD4119">
        <w:rPr>
          <w:sz w:val="22"/>
          <w:szCs w:val="22"/>
          <w:lang w:val="en-GB"/>
        </w:rPr>
        <w:t>value of 1 is chosen for the first run of the model</w:t>
      </w:r>
      <w:r w:rsidR="00156E5F">
        <w:rPr>
          <w:sz w:val="22"/>
          <w:szCs w:val="22"/>
          <w:lang w:val="en-GB"/>
        </w:rPr>
        <w:t xml:space="preserve"> with a power function</w:t>
      </w:r>
      <w:r w:rsidR="00FD4119">
        <w:rPr>
          <w:sz w:val="22"/>
          <w:szCs w:val="22"/>
          <w:lang w:val="en-GB"/>
        </w:rPr>
        <w:t xml:space="preserve"> and an optimum parameter is found automatically using a Newton </w:t>
      </w:r>
      <w:proofErr w:type="spellStart"/>
      <w:r w:rsidR="00FD4119">
        <w:rPr>
          <w:sz w:val="22"/>
          <w:szCs w:val="22"/>
          <w:lang w:val="en-GB"/>
        </w:rPr>
        <w:t>Raphson</w:t>
      </w:r>
      <w:proofErr w:type="spellEnd"/>
      <w:r w:rsidR="00FD4119">
        <w:rPr>
          <w:sz w:val="22"/>
          <w:szCs w:val="22"/>
          <w:lang w:val="en-GB"/>
        </w:rPr>
        <w:t xml:space="preserve"> procedure i</w:t>
      </w:r>
      <w:r w:rsidR="00DD21AC">
        <w:rPr>
          <w:sz w:val="22"/>
          <w:szCs w:val="22"/>
          <w:lang w:val="en-GB"/>
        </w:rPr>
        <w:t>n which an increment value (0.0</w:t>
      </w:r>
      <w:r w:rsidR="00FD4119">
        <w:rPr>
          <w:sz w:val="22"/>
          <w:szCs w:val="22"/>
          <w:lang w:val="en-GB"/>
        </w:rPr>
        <w:t xml:space="preserve">1 in this case) is added to the initial </w:t>
      </w:r>
      <w:r w:rsidR="00FD4119" w:rsidRPr="00105B0D">
        <w:rPr>
          <w:i/>
          <w:sz w:val="22"/>
          <w:szCs w:val="22"/>
        </w:rPr>
        <w:t>β</w:t>
      </w:r>
      <w:r w:rsidR="00FD4119">
        <w:rPr>
          <w:sz w:val="22"/>
          <w:szCs w:val="22"/>
          <w:lang w:val="en-GB"/>
        </w:rPr>
        <w:t xml:space="preserve"> after the first model run and on alternate model runs.  The optimum or best fit value of </w:t>
      </w:r>
      <w:r w:rsidR="00FD4119" w:rsidRPr="00105B0D">
        <w:rPr>
          <w:i/>
          <w:sz w:val="22"/>
          <w:szCs w:val="22"/>
        </w:rPr>
        <w:t>β</w:t>
      </w:r>
      <w:r w:rsidR="00FD4119">
        <w:rPr>
          <w:sz w:val="22"/>
          <w:szCs w:val="22"/>
          <w:lang w:val="en-GB"/>
        </w:rPr>
        <w:t xml:space="preserve"> is found when the mean migration distance calculated from the </w:t>
      </w:r>
      <w:r w:rsidR="00006CCA">
        <w:rPr>
          <w:sz w:val="22"/>
          <w:szCs w:val="22"/>
          <w:lang w:val="en-GB"/>
        </w:rPr>
        <w:t>matrix of</w:t>
      </w:r>
      <w:r w:rsidR="002E1F3B">
        <w:rPr>
          <w:sz w:val="22"/>
          <w:szCs w:val="22"/>
          <w:lang w:val="en-GB"/>
        </w:rPr>
        <w:t xml:space="preserve"> </w:t>
      </w:r>
      <w:r w:rsidR="00FD4119">
        <w:rPr>
          <w:sz w:val="22"/>
          <w:szCs w:val="22"/>
          <w:lang w:val="en-GB"/>
        </w:rPr>
        <w:t>predicted</w:t>
      </w:r>
      <w:r w:rsidR="00006CCA">
        <w:rPr>
          <w:sz w:val="22"/>
          <w:szCs w:val="22"/>
          <w:lang w:val="en-GB"/>
        </w:rPr>
        <w:t xml:space="preserve"> flows is equal </w:t>
      </w:r>
      <w:r w:rsidR="009A3FF1">
        <w:rPr>
          <w:sz w:val="22"/>
          <w:szCs w:val="22"/>
          <w:lang w:val="en-GB"/>
        </w:rPr>
        <w:t>(</w:t>
      </w:r>
      <w:r w:rsidR="00006CCA">
        <w:rPr>
          <w:sz w:val="22"/>
          <w:szCs w:val="22"/>
          <w:lang w:val="en-GB"/>
        </w:rPr>
        <w:t>or within close proximity</w:t>
      </w:r>
      <w:r w:rsidR="009A3FF1">
        <w:rPr>
          <w:sz w:val="22"/>
          <w:szCs w:val="22"/>
          <w:lang w:val="en-GB"/>
        </w:rPr>
        <w:t>)</w:t>
      </w:r>
      <w:r w:rsidR="00006CCA">
        <w:rPr>
          <w:sz w:val="22"/>
          <w:szCs w:val="22"/>
          <w:lang w:val="en-GB"/>
        </w:rPr>
        <w:t xml:space="preserve"> to the value of the mean migration distance computed from the observed migration flow</w:t>
      </w:r>
      <w:r w:rsidR="009A3FF1">
        <w:rPr>
          <w:sz w:val="22"/>
          <w:szCs w:val="22"/>
          <w:lang w:val="en-GB"/>
        </w:rPr>
        <w:t xml:space="preserve"> matrix</w:t>
      </w:r>
      <w:r w:rsidR="00006CCA">
        <w:rPr>
          <w:sz w:val="22"/>
          <w:szCs w:val="22"/>
          <w:lang w:val="en-GB"/>
        </w:rPr>
        <w:t xml:space="preserve">. Mean migration distance is therefore used as the convergence criterion in the spatial interaction model. </w:t>
      </w:r>
      <w:r w:rsidR="00FD4119">
        <w:rPr>
          <w:sz w:val="22"/>
          <w:szCs w:val="22"/>
          <w:lang w:val="en-GB"/>
        </w:rPr>
        <w:t>The window on the right</w:t>
      </w:r>
      <w:r w:rsidR="002E1F3B">
        <w:rPr>
          <w:sz w:val="22"/>
          <w:szCs w:val="22"/>
          <w:lang w:val="en-GB"/>
        </w:rPr>
        <w:t xml:space="preserve"> </w:t>
      </w:r>
      <w:r w:rsidR="009A3FF1">
        <w:rPr>
          <w:sz w:val="22"/>
          <w:szCs w:val="22"/>
          <w:lang w:val="en-GB"/>
        </w:rPr>
        <w:t xml:space="preserve">in Figure </w:t>
      </w:r>
      <w:r w:rsidR="000C7F5A">
        <w:rPr>
          <w:sz w:val="22"/>
          <w:szCs w:val="22"/>
          <w:lang w:val="en-GB"/>
        </w:rPr>
        <w:t>6</w:t>
      </w:r>
      <w:r w:rsidR="002E1F3B">
        <w:rPr>
          <w:sz w:val="22"/>
          <w:szCs w:val="22"/>
          <w:lang w:val="en-GB"/>
        </w:rPr>
        <w:t xml:space="preserve"> </w:t>
      </w:r>
      <w:r w:rsidR="00FD4119" w:rsidRPr="00DA04F8">
        <w:rPr>
          <w:sz w:val="22"/>
          <w:szCs w:val="22"/>
          <w:lang w:val="en-GB"/>
        </w:rPr>
        <w:t>illustrates model runs for consecutive sets of data from the spatial aggregation system</w:t>
      </w:r>
      <w:r w:rsidR="00FD4119">
        <w:rPr>
          <w:sz w:val="22"/>
          <w:szCs w:val="22"/>
          <w:lang w:val="en-GB"/>
        </w:rPr>
        <w:t>.</w:t>
      </w:r>
    </w:p>
    <w:p w:rsidR="00FC03E6" w:rsidRPr="00DA04F8" w:rsidRDefault="00FC03E6" w:rsidP="00DA19D2">
      <w:pPr>
        <w:tabs>
          <w:tab w:val="left" w:pos="7938"/>
        </w:tabs>
        <w:spacing w:after="120" w:line="360" w:lineRule="auto"/>
        <w:ind w:left="-1134"/>
        <w:jc w:val="both"/>
        <w:rPr>
          <w:sz w:val="22"/>
          <w:szCs w:val="22"/>
          <w:lang w:val="en-GB"/>
        </w:rPr>
      </w:pPr>
    </w:p>
    <w:p w:rsidR="00FC03E6" w:rsidRPr="00156E5F" w:rsidRDefault="00FC03E6" w:rsidP="00DA19D2">
      <w:pPr>
        <w:tabs>
          <w:tab w:val="left" w:pos="7938"/>
        </w:tabs>
        <w:spacing w:after="120" w:line="360" w:lineRule="auto"/>
        <w:ind w:left="-1134"/>
        <w:jc w:val="center"/>
        <w:rPr>
          <w:sz w:val="20"/>
          <w:szCs w:val="20"/>
          <w:lang w:val="en-GB"/>
        </w:rPr>
      </w:pPr>
      <w:r w:rsidRPr="00156E5F">
        <w:rPr>
          <w:b/>
          <w:sz w:val="20"/>
          <w:szCs w:val="20"/>
          <w:lang w:val="en-GB"/>
        </w:rPr>
        <w:lastRenderedPageBreak/>
        <w:t>Fig</w:t>
      </w:r>
      <w:r w:rsidR="00105B0D" w:rsidRPr="00156E5F">
        <w:rPr>
          <w:b/>
          <w:sz w:val="20"/>
          <w:szCs w:val="20"/>
          <w:lang w:val="en-GB"/>
        </w:rPr>
        <w:t>.</w:t>
      </w:r>
      <w:r w:rsidR="002E1F3B">
        <w:rPr>
          <w:b/>
          <w:sz w:val="20"/>
          <w:szCs w:val="20"/>
          <w:lang w:val="en-GB"/>
        </w:rPr>
        <w:t xml:space="preserve"> </w:t>
      </w:r>
      <w:r w:rsidR="000C7F5A" w:rsidRPr="00156E5F">
        <w:rPr>
          <w:b/>
          <w:sz w:val="20"/>
          <w:szCs w:val="20"/>
          <w:lang w:val="en-GB"/>
        </w:rPr>
        <w:t>6</w:t>
      </w:r>
      <w:r w:rsidRPr="00156E5F">
        <w:rPr>
          <w:sz w:val="20"/>
          <w:szCs w:val="20"/>
          <w:lang w:val="en-GB"/>
        </w:rPr>
        <w:t xml:space="preserve"> The spatial interaction modelling interface</w:t>
      </w:r>
    </w:p>
    <w:p w:rsidR="006D21D2" w:rsidRDefault="006D21D2" w:rsidP="00DA19D2">
      <w:pPr>
        <w:pStyle w:val="ListParagraph"/>
        <w:tabs>
          <w:tab w:val="left" w:pos="7938"/>
        </w:tabs>
        <w:spacing w:after="120" w:line="360" w:lineRule="auto"/>
        <w:ind w:left="-1134"/>
        <w:rPr>
          <w:rFonts w:ascii="Times New Roman" w:hAnsi="Times New Roman" w:cs="Times New Roman"/>
          <w:b/>
        </w:rPr>
      </w:pPr>
    </w:p>
    <w:p w:rsidR="00FC03E6" w:rsidRPr="000C7F5A" w:rsidRDefault="00BE5356" w:rsidP="00DA19D2">
      <w:pPr>
        <w:pStyle w:val="ListParagraph"/>
        <w:tabs>
          <w:tab w:val="left" w:pos="7938"/>
        </w:tabs>
        <w:spacing w:after="120" w:line="360" w:lineRule="auto"/>
        <w:ind w:left="-1134"/>
        <w:rPr>
          <w:rFonts w:ascii="Times New Roman" w:hAnsi="Times New Roman" w:cs="Times New Roman"/>
          <w:b/>
          <w:sz w:val="24"/>
          <w:szCs w:val="24"/>
        </w:rPr>
      </w:pPr>
      <w:r w:rsidRPr="000C7F5A">
        <w:rPr>
          <w:rFonts w:ascii="Times New Roman" w:hAnsi="Times New Roman" w:cs="Times New Roman"/>
          <w:b/>
          <w:sz w:val="24"/>
          <w:szCs w:val="24"/>
        </w:rPr>
        <w:t xml:space="preserve">Modelling </w:t>
      </w:r>
      <w:r>
        <w:rPr>
          <w:rFonts w:ascii="Times New Roman" w:hAnsi="Times New Roman" w:cs="Times New Roman"/>
          <w:b/>
          <w:sz w:val="24"/>
          <w:szCs w:val="24"/>
        </w:rPr>
        <w:t>results</w:t>
      </w:r>
    </w:p>
    <w:p w:rsidR="00460C61" w:rsidRDefault="00006CCA" w:rsidP="00DA19D2">
      <w:pPr>
        <w:tabs>
          <w:tab w:val="left" w:pos="7938"/>
        </w:tabs>
        <w:spacing w:after="120" w:line="360" w:lineRule="auto"/>
        <w:ind w:left="-1134"/>
        <w:jc w:val="both"/>
        <w:rPr>
          <w:sz w:val="22"/>
          <w:szCs w:val="22"/>
          <w:lang w:val="en-GB"/>
        </w:rPr>
      </w:pPr>
      <w:r>
        <w:rPr>
          <w:sz w:val="22"/>
          <w:szCs w:val="22"/>
          <w:lang w:val="en-GB"/>
        </w:rPr>
        <w:t xml:space="preserve">This section reports on two </w:t>
      </w:r>
      <w:r w:rsidR="000C7F5A">
        <w:rPr>
          <w:sz w:val="22"/>
          <w:szCs w:val="22"/>
          <w:lang w:val="en-GB"/>
        </w:rPr>
        <w:t xml:space="preserve">comparative analyses of the scale and </w:t>
      </w:r>
      <w:r w:rsidR="00EC61F3">
        <w:rPr>
          <w:sz w:val="22"/>
          <w:szCs w:val="22"/>
          <w:lang w:val="en-GB"/>
        </w:rPr>
        <w:t>zonation</w:t>
      </w:r>
      <w:r w:rsidR="000C7F5A">
        <w:rPr>
          <w:sz w:val="22"/>
          <w:szCs w:val="22"/>
          <w:lang w:val="en-GB"/>
        </w:rPr>
        <w:t xml:space="preserve"> effects of model indicators, the mean </w:t>
      </w:r>
      <w:r w:rsidR="00E60BCA">
        <w:rPr>
          <w:sz w:val="22"/>
          <w:szCs w:val="22"/>
          <w:lang w:val="en-GB"/>
        </w:rPr>
        <w:t xml:space="preserve">migration </w:t>
      </w:r>
      <w:r w:rsidR="000C7F5A">
        <w:rPr>
          <w:sz w:val="22"/>
          <w:szCs w:val="22"/>
          <w:lang w:val="en-GB"/>
        </w:rPr>
        <w:t xml:space="preserve">distance and the distance decay parameter. The first </w:t>
      </w:r>
      <w:r w:rsidR="002E5AD9">
        <w:rPr>
          <w:sz w:val="22"/>
          <w:szCs w:val="22"/>
          <w:lang w:val="en-GB"/>
        </w:rPr>
        <w:t xml:space="preserve">comparison is between three different </w:t>
      </w:r>
      <w:r>
        <w:rPr>
          <w:sz w:val="22"/>
          <w:szCs w:val="22"/>
          <w:lang w:val="en-GB"/>
        </w:rPr>
        <w:t>d</w:t>
      </w:r>
      <w:r w:rsidR="00FC03E6" w:rsidRPr="00DA04F8">
        <w:rPr>
          <w:sz w:val="22"/>
          <w:szCs w:val="22"/>
          <w:lang w:val="en-GB"/>
        </w:rPr>
        <w:t xml:space="preserve">ata </w:t>
      </w:r>
      <w:r w:rsidR="002E5AD9">
        <w:rPr>
          <w:sz w:val="22"/>
          <w:szCs w:val="22"/>
          <w:lang w:val="en-GB"/>
        </w:rPr>
        <w:t xml:space="preserve">sets </w:t>
      </w:r>
      <w:r w:rsidR="00FC03E6" w:rsidRPr="00DA04F8">
        <w:rPr>
          <w:sz w:val="22"/>
          <w:szCs w:val="22"/>
          <w:lang w:val="en-GB"/>
        </w:rPr>
        <w:t xml:space="preserve">for a system of 406 </w:t>
      </w:r>
      <w:r w:rsidR="00E60BCA">
        <w:rPr>
          <w:sz w:val="22"/>
          <w:szCs w:val="22"/>
          <w:lang w:val="en-GB"/>
        </w:rPr>
        <w:t>local authority districts</w:t>
      </w:r>
      <w:r w:rsidR="00FC03E6" w:rsidRPr="00DA04F8">
        <w:rPr>
          <w:sz w:val="22"/>
          <w:szCs w:val="22"/>
          <w:lang w:val="en-GB"/>
        </w:rPr>
        <w:t xml:space="preserve"> in the UK</w:t>
      </w:r>
      <w:r w:rsidR="002E5AD9">
        <w:rPr>
          <w:sz w:val="22"/>
          <w:szCs w:val="22"/>
          <w:lang w:val="en-GB"/>
        </w:rPr>
        <w:t>,</w:t>
      </w:r>
      <w:r w:rsidR="002E1F3B">
        <w:rPr>
          <w:sz w:val="22"/>
          <w:szCs w:val="22"/>
          <w:lang w:val="en-GB"/>
        </w:rPr>
        <w:t xml:space="preserve"> </w:t>
      </w:r>
      <w:r w:rsidR="004A1ED5">
        <w:rPr>
          <w:sz w:val="22"/>
          <w:szCs w:val="22"/>
          <w:lang w:val="en-GB"/>
        </w:rPr>
        <w:t>each</w:t>
      </w:r>
      <w:r w:rsidR="009A3FF1">
        <w:rPr>
          <w:sz w:val="22"/>
          <w:szCs w:val="22"/>
          <w:lang w:val="en-GB"/>
        </w:rPr>
        <w:t xml:space="preserve"> of which ha</w:t>
      </w:r>
      <w:r w:rsidR="004A1ED5">
        <w:rPr>
          <w:sz w:val="22"/>
          <w:szCs w:val="22"/>
          <w:lang w:val="en-GB"/>
        </w:rPr>
        <w:t>s</w:t>
      </w:r>
      <w:r w:rsidR="009A3FF1">
        <w:rPr>
          <w:sz w:val="22"/>
          <w:szCs w:val="22"/>
          <w:lang w:val="en-GB"/>
        </w:rPr>
        <w:t xml:space="preserve"> the same set of BSUs</w:t>
      </w:r>
      <w:r>
        <w:rPr>
          <w:sz w:val="22"/>
          <w:szCs w:val="22"/>
          <w:lang w:val="en-GB"/>
        </w:rPr>
        <w:t xml:space="preserve">. </w:t>
      </w:r>
      <w:r w:rsidR="000C7F5A">
        <w:rPr>
          <w:sz w:val="22"/>
          <w:szCs w:val="22"/>
          <w:lang w:val="en-GB"/>
        </w:rPr>
        <w:t xml:space="preserve">The second </w:t>
      </w:r>
      <w:r w:rsidR="002E5AD9">
        <w:rPr>
          <w:sz w:val="22"/>
          <w:szCs w:val="22"/>
          <w:lang w:val="en-GB"/>
        </w:rPr>
        <w:t xml:space="preserve">is between </w:t>
      </w:r>
      <w:r w:rsidR="00460C61">
        <w:rPr>
          <w:sz w:val="22"/>
          <w:szCs w:val="22"/>
          <w:lang w:val="en-GB"/>
        </w:rPr>
        <w:t>the 2009-10 data set</w:t>
      </w:r>
      <w:r w:rsidR="002E5AD9">
        <w:rPr>
          <w:sz w:val="22"/>
          <w:szCs w:val="22"/>
          <w:lang w:val="en-GB"/>
        </w:rPr>
        <w:t xml:space="preserve"> for the UK and </w:t>
      </w:r>
      <w:r w:rsidR="00460C61">
        <w:rPr>
          <w:sz w:val="22"/>
          <w:szCs w:val="22"/>
          <w:lang w:val="en-GB"/>
        </w:rPr>
        <w:t xml:space="preserve">comparable data sets for </w:t>
      </w:r>
      <w:r w:rsidR="002E5AD9">
        <w:rPr>
          <w:sz w:val="22"/>
          <w:szCs w:val="22"/>
          <w:lang w:val="en-GB"/>
        </w:rPr>
        <w:t>the three other northern European countries.</w:t>
      </w:r>
      <w:r w:rsidR="002E1F3B">
        <w:rPr>
          <w:sz w:val="22"/>
          <w:szCs w:val="22"/>
          <w:lang w:val="en-GB"/>
        </w:rPr>
        <w:t xml:space="preserve"> </w:t>
      </w:r>
      <w:r w:rsidR="00460C61">
        <w:rPr>
          <w:sz w:val="22"/>
          <w:szCs w:val="22"/>
          <w:lang w:val="en-GB"/>
        </w:rPr>
        <w:t>In the first comparative analysis, w</w:t>
      </w:r>
      <w:r w:rsidR="002E5AD9">
        <w:rPr>
          <w:sz w:val="22"/>
          <w:szCs w:val="22"/>
          <w:lang w:val="en-GB"/>
        </w:rPr>
        <w:t>e</w:t>
      </w:r>
      <w:r w:rsidR="002E1F3B">
        <w:rPr>
          <w:sz w:val="22"/>
          <w:szCs w:val="22"/>
          <w:lang w:val="en-GB"/>
        </w:rPr>
        <w:t xml:space="preserve"> </w:t>
      </w:r>
      <w:r>
        <w:rPr>
          <w:sz w:val="22"/>
          <w:szCs w:val="22"/>
          <w:lang w:val="en-GB"/>
        </w:rPr>
        <w:t>selected to aggregate the BSUs</w:t>
      </w:r>
      <w:r w:rsidR="00FC03E6" w:rsidRPr="00DA04F8">
        <w:rPr>
          <w:sz w:val="22"/>
          <w:szCs w:val="22"/>
          <w:lang w:val="en-GB"/>
        </w:rPr>
        <w:t xml:space="preserve"> in steps of 10 with 1</w:t>
      </w:r>
      <w:r w:rsidR="00F155AE">
        <w:rPr>
          <w:sz w:val="22"/>
          <w:szCs w:val="22"/>
          <w:lang w:val="en-GB"/>
        </w:rPr>
        <w:t>,</w:t>
      </w:r>
      <w:r w:rsidR="00FC03E6" w:rsidRPr="00DA04F8">
        <w:rPr>
          <w:sz w:val="22"/>
          <w:szCs w:val="22"/>
          <w:lang w:val="en-GB"/>
        </w:rPr>
        <w:t>0</w:t>
      </w:r>
      <w:r w:rsidR="00F155AE">
        <w:rPr>
          <w:sz w:val="22"/>
          <w:szCs w:val="22"/>
          <w:lang w:val="en-GB"/>
        </w:rPr>
        <w:t>00</w:t>
      </w:r>
      <w:r w:rsidR="00FC03E6" w:rsidRPr="00DA04F8">
        <w:rPr>
          <w:sz w:val="22"/>
          <w:szCs w:val="22"/>
          <w:lang w:val="en-GB"/>
        </w:rPr>
        <w:t xml:space="preserve"> aggregation</w:t>
      </w:r>
      <w:r w:rsidR="00F155AE">
        <w:rPr>
          <w:sz w:val="22"/>
          <w:szCs w:val="22"/>
          <w:lang w:val="en-GB"/>
        </w:rPr>
        <w:t xml:space="preserve"> iterations</w:t>
      </w:r>
      <w:r w:rsidR="00FC03E6" w:rsidRPr="00DA04F8">
        <w:rPr>
          <w:sz w:val="22"/>
          <w:szCs w:val="22"/>
          <w:lang w:val="en-GB"/>
        </w:rPr>
        <w:t xml:space="preserve"> generated from random seeds at each step using the IRA-wave option. No intra-</w:t>
      </w:r>
      <w:r w:rsidR="00F55528">
        <w:rPr>
          <w:sz w:val="22"/>
          <w:szCs w:val="22"/>
          <w:lang w:val="en-GB"/>
        </w:rPr>
        <w:t>BSU</w:t>
      </w:r>
      <w:r w:rsidR="00FC03E6" w:rsidRPr="00DA04F8">
        <w:rPr>
          <w:sz w:val="22"/>
          <w:szCs w:val="22"/>
          <w:lang w:val="en-GB"/>
        </w:rPr>
        <w:t xml:space="preserve"> flows have been included so there is a steady decline in the number of migrants as the number of </w:t>
      </w:r>
      <w:r w:rsidR="00F55528">
        <w:rPr>
          <w:sz w:val="22"/>
          <w:szCs w:val="22"/>
          <w:lang w:val="en-GB"/>
        </w:rPr>
        <w:t>ASR</w:t>
      </w:r>
      <w:r w:rsidR="00FC03E6" w:rsidRPr="00DA04F8">
        <w:rPr>
          <w:sz w:val="22"/>
          <w:szCs w:val="22"/>
          <w:lang w:val="en-GB"/>
        </w:rPr>
        <w:t>s reduces</w:t>
      </w:r>
      <w:r w:rsidR="00460C61">
        <w:rPr>
          <w:sz w:val="22"/>
          <w:szCs w:val="22"/>
          <w:lang w:val="en-GB"/>
        </w:rPr>
        <w:t xml:space="preserve">. The </w:t>
      </w:r>
      <w:r w:rsidR="002959C4" w:rsidRPr="00DA04F8">
        <w:rPr>
          <w:sz w:val="22"/>
          <w:szCs w:val="22"/>
          <w:lang w:val="en-GB"/>
        </w:rPr>
        <w:t xml:space="preserve">number of migrants between the </w:t>
      </w:r>
      <w:r w:rsidR="009A3FF1">
        <w:rPr>
          <w:sz w:val="22"/>
          <w:szCs w:val="22"/>
          <w:lang w:val="en-GB"/>
        </w:rPr>
        <w:t xml:space="preserve">full set of </w:t>
      </w:r>
      <w:r w:rsidR="002959C4" w:rsidRPr="00DA04F8">
        <w:rPr>
          <w:sz w:val="22"/>
          <w:szCs w:val="22"/>
          <w:lang w:val="en-GB"/>
        </w:rPr>
        <w:t xml:space="preserve">BSUs </w:t>
      </w:r>
      <w:r w:rsidR="009A3FF1">
        <w:rPr>
          <w:sz w:val="22"/>
          <w:szCs w:val="22"/>
          <w:lang w:val="en-GB"/>
        </w:rPr>
        <w:t xml:space="preserve">that is recorded by the </w:t>
      </w:r>
      <w:r w:rsidR="00E60BCA">
        <w:rPr>
          <w:sz w:val="22"/>
          <w:szCs w:val="22"/>
          <w:lang w:val="en-GB"/>
        </w:rPr>
        <w:t>2001 C</w:t>
      </w:r>
      <w:r w:rsidR="009A3FF1">
        <w:rPr>
          <w:sz w:val="22"/>
          <w:szCs w:val="22"/>
          <w:lang w:val="en-GB"/>
        </w:rPr>
        <w:t xml:space="preserve">ensus </w:t>
      </w:r>
      <w:r w:rsidR="00E60BCA">
        <w:rPr>
          <w:sz w:val="22"/>
          <w:szCs w:val="22"/>
          <w:lang w:val="en-GB"/>
        </w:rPr>
        <w:t>for</w:t>
      </w:r>
      <w:r w:rsidR="00E60BCA" w:rsidRPr="00DA04F8">
        <w:rPr>
          <w:sz w:val="22"/>
          <w:szCs w:val="22"/>
          <w:lang w:val="en-GB"/>
        </w:rPr>
        <w:t xml:space="preserve"> 200</w:t>
      </w:r>
      <w:r w:rsidR="00E60BCA">
        <w:rPr>
          <w:sz w:val="22"/>
          <w:szCs w:val="22"/>
          <w:lang w:val="en-GB"/>
        </w:rPr>
        <w:t>0-0</w:t>
      </w:r>
      <w:r w:rsidR="00E60BCA" w:rsidRPr="00DA04F8">
        <w:rPr>
          <w:sz w:val="22"/>
          <w:szCs w:val="22"/>
          <w:lang w:val="en-GB"/>
        </w:rPr>
        <w:t>1</w:t>
      </w:r>
      <w:r w:rsidR="00E60BCA">
        <w:rPr>
          <w:sz w:val="22"/>
          <w:szCs w:val="22"/>
          <w:lang w:val="en-GB"/>
        </w:rPr>
        <w:t xml:space="preserve"> </w:t>
      </w:r>
      <w:r w:rsidR="009A3FF1">
        <w:rPr>
          <w:sz w:val="22"/>
          <w:szCs w:val="22"/>
          <w:lang w:val="en-GB"/>
        </w:rPr>
        <w:t>(</w:t>
      </w:r>
      <w:r w:rsidR="00DD21AC">
        <w:rPr>
          <w:sz w:val="22"/>
          <w:szCs w:val="22"/>
          <w:lang w:val="en-GB"/>
        </w:rPr>
        <w:t>2.48</w:t>
      </w:r>
      <w:r w:rsidR="002959C4" w:rsidRPr="00DA04F8">
        <w:rPr>
          <w:sz w:val="22"/>
          <w:szCs w:val="22"/>
          <w:lang w:val="en-GB"/>
        </w:rPr>
        <w:t xml:space="preserve"> million</w:t>
      </w:r>
      <w:r w:rsidR="009A3FF1">
        <w:rPr>
          <w:sz w:val="22"/>
          <w:szCs w:val="22"/>
          <w:lang w:val="en-GB"/>
        </w:rPr>
        <w:t>) is significantly lower tha</w:t>
      </w:r>
      <w:r w:rsidR="001561F0">
        <w:rPr>
          <w:sz w:val="22"/>
          <w:szCs w:val="22"/>
          <w:lang w:val="en-GB"/>
        </w:rPr>
        <w:t>n</w:t>
      </w:r>
      <w:r w:rsidR="009A3FF1">
        <w:rPr>
          <w:sz w:val="22"/>
          <w:szCs w:val="22"/>
          <w:lang w:val="en-GB"/>
        </w:rPr>
        <w:t xml:space="preserve"> the number of migrants estimated for 2001-02 or 2009-10 (</w:t>
      </w:r>
      <w:r w:rsidR="004562E3">
        <w:rPr>
          <w:sz w:val="22"/>
          <w:szCs w:val="22"/>
          <w:lang w:val="en-GB"/>
        </w:rPr>
        <w:t xml:space="preserve">approximately </w:t>
      </w:r>
      <w:r w:rsidR="002959C4" w:rsidRPr="00DA04F8">
        <w:rPr>
          <w:sz w:val="22"/>
          <w:szCs w:val="22"/>
          <w:lang w:val="en-GB"/>
        </w:rPr>
        <w:t>2.8</w:t>
      </w:r>
      <w:r w:rsidR="00A95BB0">
        <w:rPr>
          <w:sz w:val="22"/>
          <w:szCs w:val="22"/>
          <w:lang w:val="en-GB"/>
        </w:rPr>
        <w:t>7</w:t>
      </w:r>
      <w:r w:rsidR="002959C4" w:rsidRPr="00DA04F8">
        <w:rPr>
          <w:sz w:val="22"/>
          <w:szCs w:val="22"/>
          <w:lang w:val="en-GB"/>
        </w:rPr>
        <w:t xml:space="preserve"> million</w:t>
      </w:r>
      <w:r w:rsidR="00F155AE">
        <w:rPr>
          <w:sz w:val="22"/>
          <w:szCs w:val="22"/>
          <w:lang w:val="en-GB"/>
        </w:rPr>
        <w:t xml:space="preserve"> in each case</w:t>
      </w:r>
      <w:r w:rsidR="009A3FF1">
        <w:rPr>
          <w:sz w:val="22"/>
          <w:szCs w:val="22"/>
          <w:lang w:val="en-GB"/>
        </w:rPr>
        <w:t>)</w:t>
      </w:r>
      <w:r w:rsidR="002959C4" w:rsidRPr="00DA04F8">
        <w:rPr>
          <w:sz w:val="22"/>
          <w:szCs w:val="22"/>
          <w:lang w:val="en-GB"/>
        </w:rPr>
        <w:t xml:space="preserve">. </w:t>
      </w:r>
      <w:r w:rsidR="009A3FF1">
        <w:rPr>
          <w:sz w:val="22"/>
          <w:szCs w:val="22"/>
          <w:lang w:val="en-GB"/>
        </w:rPr>
        <w:t xml:space="preserve">One of the reasons for this is the undercount in the </w:t>
      </w:r>
      <w:r w:rsidR="004A1ED5">
        <w:rPr>
          <w:sz w:val="22"/>
          <w:szCs w:val="22"/>
          <w:lang w:val="en-GB"/>
        </w:rPr>
        <w:t>2001 C</w:t>
      </w:r>
      <w:r w:rsidR="009A3FF1">
        <w:rPr>
          <w:sz w:val="22"/>
          <w:szCs w:val="22"/>
          <w:lang w:val="en-GB"/>
        </w:rPr>
        <w:t xml:space="preserve">ensus caused by the number of migrants whose previous address was </w:t>
      </w:r>
      <w:r w:rsidR="00A95BB0">
        <w:rPr>
          <w:sz w:val="22"/>
          <w:szCs w:val="22"/>
          <w:lang w:val="en-GB"/>
        </w:rPr>
        <w:t xml:space="preserve">recorded as unstated. </w:t>
      </w:r>
      <w:r w:rsidR="002959C4">
        <w:rPr>
          <w:sz w:val="22"/>
          <w:szCs w:val="22"/>
          <w:lang w:val="en-GB"/>
        </w:rPr>
        <w:t xml:space="preserve">By the time that the BSUs have been aggregated to 12 </w:t>
      </w:r>
      <w:r w:rsidR="00F55528">
        <w:rPr>
          <w:sz w:val="22"/>
          <w:szCs w:val="22"/>
          <w:lang w:val="en-GB"/>
        </w:rPr>
        <w:t>ASR</w:t>
      </w:r>
      <w:r w:rsidR="002959C4">
        <w:rPr>
          <w:sz w:val="22"/>
          <w:szCs w:val="22"/>
          <w:lang w:val="en-GB"/>
        </w:rPr>
        <w:t>s, the number of migrants being modelled has reduced to 1.2</w:t>
      </w:r>
      <w:r w:rsidR="004562E3">
        <w:rPr>
          <w:sz w:val="22"/>
          <w:szCs w:val="22"/>
          <w:lang w:val="en-GB"/>
        </w:rPr>
        <w:t>3</w:t>
      </w:r>
      <w:r w:rsidR="002959C4">
        <w:rPr>
          <w:sz w:val="22"/>
          <w:szCs w:val="22"/>
          <w:lang w:val="en-GB"/>
        </w:rPr>
        <w:t xml:space="preserve"> million for the </w:t>
      </w:r>
      <w:r w:rsidR="00A95BB0">
        <w:rPr>
          <w:sz w:val="22"/>
          <w:szCs w:val="22"/>
          <w:lang w:val="en-GB"/>
        </w:rPr>
        <w:t>200</w:t>
      </w:r>
      <w:r w:rsidR="004562E3">
        <w:rPr>
          <w:sz w:val="22"/>
          <w:szCs w:val="22"/>
          <w:lang w:val="en-GB"/>
        </w:rPr>
        <w:t>0-01</w:t>
      </w:r>
      <w:r w:rsidR="002959C4">
        <w:rPr>
          <w:sz w:val="22"/>
          <w:szCs w:val="22"/>
          <w:lang w:val="en-GB"/>
        </w:rPr>
        <w:t xml:space="preserve"> data</w:t>
      </w:r>
      <w:r w:rsidR="004562E3">
        <w:rPr>
          <w:sz w:val="22"/>
          <w:szCs w:val="22"/>
          <w:lang w:val="en-GB"/>
        </w:rPr>
        <w:t xml:space="preserve">, </w:t>
      </w:r>
      <w:r w:rsidR="00460C61">
        <w:rPr>
          <w:sz w:val="22"/>
          <w:szCs w:val="22"/>
          <w:lang w:val="en-GB"/>
        </w:rPr>
        <w:t xml:space="preserve">and </w:t>
      </w:r>
      <w:r w:rsidR="002959C4">
        <w:rPr>
          <w:sz w:val="22"/>
          <w:szCs w:val="22"/>
          <w:lang w:val="en-GB"/>
        </w:rPr>
        <w:t xml:space="preserve">to </w:t>
      </w:r>
      <w:r w:rsidR="004562E3">
        <w:rPr>
          <w:sz w:val="22"/>
          <w:szCs w:val="22"/>
          <w:lang w:val="en-GB"/>
        </w:rPr>
        <w:t>approximately 1.45 million for 2001-02 and</w:t>
      </w:r>
      <w:r w:rsidR="002959C4">
        <w:rPr>
          <w:sz w:val="22"/>
          <w:szCs w:val="22"/>
          <w:lang w:val="en-GB"/>
        </w:rPr>
        <w:t xml:space="preserve"> 2009-10 data. </w:t>
      </w:r>
    </w:p>
    <w:p w:rsidR="007645D1" w:rsidRDefault="004562E3" w:rsidP="00DA19D2">
      <w:pPr>
        <w:tabs>
          <w:tab w:val="left" w:pos="7938"/>
        </w:tabs>
        <w:spacing w:after="120" w:line="360" w:lineRule="auto"/>
        <w:ind w:left="-1134"/>
        <w:jc w:val="both"/>
        <w:rPr>
          <w:sz w:val="22"/>
          <w:szCs w:val="22"/>
          <w:lang w:val="en-GB"/>
        </w:rPr>
      </w:pPr>
      <w:r w:rsidRPr="00DA04F8">
        <w:rPr>
          <w:sz w:val="22"/>
          <w:szCs w:val="22"/>
          <w:lang w:val="en-GB"/>
        </w:rPr>
        <w:t xml:space="preserve">The </w:t>
      </w:r>
      <w:r w:rsidR="00E60BCA">
        <w:rPr>
          <w:sz w:val="22"/>
          <w:szCs w:val="22"/>
          <w:lang w:val="en-GB"/>
        </w:rPr>
        <w:t>median values of</w:t>
      </w:r>
      <w:r w:rsidR="00724170">
        <w:rPr>
          <w:sz w:val="22"/>
          <w:szCs w:val="22"/>
          <w:lang w:val="en-GB"/>
        </w:rPr>
        <w:t xml:space="preserve"> the </w:t>
      </w:r>
      <w:r w:rsidR="00E60BCA">
        <w:rPr>
          <w:sz w:val="22"/>
          <w:szCs w:val="22"/>
          <w:lang w:val="en-GB"/>
        </w:rPr>
        <w:t xml:space="preserve">1,000 </w:t>
      </w:r>
      <w:r w:rsidR="000A0E97" w:rsidRPr="00DA04F8">
        <w:rPr>
          <w:sz w:val="22"/>
          <w:szCs w:val="22"/>
          <w:lang w:val="en-GB"/>
        </w:rPr>
        <w:t xml:space="preserve">mean </w:t>
      </w:r>
      <w:r w:rsidR="00E60BCA">
        <w:rPr>
          <w:sz w:val="22"/>
          <w:szCs w:val="22"/>
          <w:lang w:val="en-GB"/>
        </w:rPr>
        <w:t xml:space="preserve">migration </w:t>
      </w:r>
      <w:r w:rsidR="000A0E97" w:rsidRPr="00DA04F8">
        <w:rPr>
          <w:sz w:val="22"/>
          <w:szCs w:val="22"/>
          <w:lang w:val="en-GB"/>
        </w:rPr>
        <w:t>distance</w:t>
      </w:r>
      <w:r w:rsidR="000A0E97">
        <w:rPr>
          <w:sz w:val="22"/>
          <w:szCs w:val="22"/>
          <w:lang w:val="en-GB"/>
        </w:rPr>
        <w:t>s</w:t>
      </w:r>
      <w:r w:rsidR="000A0E97" w:rsidRPr="00DA04F8">
        <w:rPr>
          <w:sz w:val="22"/>
          <w:szCs w:val="22"/>
          <w:lang w:val="en-GB"/>
        </w:rPr>
        <w:t xml:space="preserve"> </w:t>
      </w:r>
      <w:r w:rsidR="000A0E97">
        <w:rPr>
          <w:sz w:val="22"/>
          <w:szCs w:val="22"/>
          <w:lang w:val="en-GB"/>
        </w:rPr>
        <w:t xml:space="preserve">and </w:t>
      </w:r>
      <w:r w:rsidRPr="00DA04F8">
        <w:rPr>
          <w:sz w:val="22"/>
          <w:szCs w:val="22"/>
          <w:lang w:val="en-GB"/>
        </w:rPr>
        <w:t xml:space="preserve">model </w:t>
      </w:r>
      <w:r>
        <w:rPr>
          <w:sz w:val="22"/>
          <w:szCs w:val="22"/>
          <w:lang w:val="en-GB"/>
        </w:rPr>
        <w:t xml:space="preserve">decay </w:t>
      </w:r>
      <w:r w:rsidRPr="00DA04F8">
        <w:rPr>
          <w:sz w:val="22"/>
          <w:szCs w:val="22"/>
          <w:lang w:val="en-GB"/>
        </w:rPr>
        <w:t>parameters (</w:t>
      </w:r>
      <w:r w:rsidRPr="00105B0D">
        <w:rPr>
          <w:i/>
          <w:sz w:val="22"/>
          <w:szCs w:val="22"/>
        </w:rPr>
        <w:t>β</w:t>
      </w:r>
      <w:r w:rsidRPr="00DA04F8">
        <w:rPr>
          <w:sz w:val="22"/>
          <w:szCs w:val="22"/>
          <w:lang w:val="en-GB"/>
        </w:rPr>
        <w:t xml:space="preserve">) at each step are shown in Figure </w:t>
      </w:r>
      <w:r w:rsidR="00460C61">
        <w:rPr>
          <w:sz w:val="22"/>
          <w:szCs w:val="22"/>
          <w:lang w:val="en-GB"/>
        </w:rPr>
        <w:t>7</w:t>
      </w:r>
      <w:r w:rsidR="00E60BCA">
        <w:rPr>
          <w:sz w:val="22"/>
          <w:szCs w:val="22"/>
          <w:lang w:val="en-GB"/>
        </w:rPr>
        <w:t xml:space="preserve">, together with the inter-quartile ranges. </w:t>
      </w:r>
      <w:r w:rsidR="008C24C1">
        <w:rPr>
          <w:sz w:val="22"/>
          <w:szCs w:val="22"/>
          <w:lang w:val="en-GB"/>
        </w:rPr>
        <w:t xml:space="preserve">Whilst the units on the </w:t>
      </w:r>
      <w:r w:rsidRPr="00DA04F8">
        <w:rPr>
          <w:sz w:val="22"/>
          <w:szCs w:val="22"/>
          <w:lang w:val="en-GB"/>
        </w:rPr>
        <w:t xml:space="preserve">horizontal axes of both graphs </w:t>
      </w:r>
      <w:r w:rsidR="008C24C1">
        <w:rPr>
          <w:sz w:val="22"/>
          <w:szCs w:val="22"/>
          <w:lang w:val="en-GB"/>
        </w:rPr>
        <w:t xml:space="preserve">are labelled from 0 to 400, 40 values of the statistics are plotted from </w:t>
      </w:r>
      <w:r>
        <w:rPr>
          <w:sz w:val="22"/>
          <w:szCs w:val="22"/>
          <w:lang w:val="en-GB"/>
        </w:rPr>
        <w:t>1</w:t>
      </w:r>
      <w:r w:rsidRPr="00DA04F8">
        <w:rPr>
          <w:sz w:val="22"/>
          <w:szCs w:val="22"/>
          <w:lang w:val="en-GB"/>
        </w:rPr>
        <w:t xml:space="preserve">2 to 402 </w:t>
      </w:r>
      <w:r w:rsidR="00F55528">
        <w:rPr>
          <w:sz w:val="22"/>
          <w:szCs w:val="22"/>
          <w:lang w:val="en-GB"/>
        </w:rPr>
        <w:t>ASR</w:t>
      </w:r>
      <w:r w:rsidRPr="00DA04F8">
        <w:rPr>
          <w:sz w:val="22"/>
          <w:szCs w:val="22"/>
          <w:lang w:val="en-GB"/>
        </w:rPr>
        <w:t>s in steps of 10</w:t>
      </w:r>
      <w:r w:rsidR="008C24C1">
        <w:rPr>
          <w:sz w:val="22"/>
          <w:szCs w:val="22"/>
          <w:lang w:val="en-GB"/>
        </w:rPr>
        <w:t>.</w:t>
      </w:r>
      <w:r w:rsidRPr="00DA04F8">
        <w:rPr>
          <w:sz w:val="22"/>
          <w:szCs w:val="22"/>
          <w:lang w:val="en-GB"/>
        </w:rPr>
        <w:t xml:space="preserve">  </w:t>
      </w:r>
      <w:r w:rsidR="005F248E">
        <w:rPr>
          <w:sz w:val="22"/>
          <w:szCs w:val="22"/>
          <w:lang w:val="en-GB"/>
        </w:rPr>
        <w:t xml:space="preserve">The </w:t>
      </w:r>
      <w:r w:rsidR="005F248E" w:rsidRPr="00DA04F8">
        <w:rPr>
          <w:sz w:val="22"/>
          <w:szCs w:val="22"/>
          <w:lang w:val="en-GB"/>
        </w:rPr>
        <w:t xml:space="preserve">mean migration distance </w:t>
      </w:r>
      <w:r w:rsidR="005F248E">
        <w:rPr>
          <w:sz w:val="22"/>
          <w:szCs w:val="22"/>
          <w:lang w:val="en-GB"/>
        </w:rPr>
        <w:t xml:space="preserve">for the </w:t>
      </w:r>
      <w:r w:rsidR="005F248E" w:rsidRPr="00DA04F8">
        <w:rPr>
          <w:sz w:val="22"/>
          <w:szCs w:val="22"/>
          <w:lang w:val="en-GB"/>
        </w:rPr>
        <w:t xml:space="preserve">original system of </w:t>
      </w:r>
      <w:r w:rsidR="005F248E">
        <w:rPr>
          <w:sz w:val="22"/>
          <w:szCs w:val="22"/>
          <w:lang w:val="en-GB"/>
        </w:rPr>
        <w:t xml:space="preserve">406 </w:t>
      </w:r>
      <w:r w:rsidR="005F248E" w:rsidRPr="00DA04F8">
        <w:rPr>
          <w:sz w:val="22"/>
          <w:szCs w:val="22"/>
          <w:lang w:val="en-GB"/>
        </w:rPr>
        <w:t>BSUs</w:t>
      </w:r>
      <w:r w:rsidR="005F248E">
        <w:rPr>
          <w:sz w:val="22"/>
          <w:szCs w:val="22"/>
          <w:lang w:val="en-GB"/>
        </w:rPr>
        <w:t xml:space="preserve"> </w:t>
      </w:r>
      <w:r w:rsidR="005F248E" w:rsidRPr="00DA04F8">
        <w:rPr>
          <w:sz w:val="22"/>
          <w:szCs w:val="22"/>
          <w:lang w:val="en-GB"/>
        </w:rPr>
        <w:t xml:space="preserve">is </w:t>
      </w:r>
      <w:r w:rsidR="005F248E">
        <w:rPr>
          <w:sz w:val="22"/>
          <w:szCs w:val="22"/>
          <w:lang w:val="en-GB"/>
        </w:rPr>
        <w:t>99.3k</w:t>
      </w:r>
      <w:r w:rsidR="005F248E" w:rsidRPr="00DA04F8">
        <w:rPr>
          <w:sz w:val="22"/>
          <w:szCs w:val="22"/>
          <w:lang w:val="en-GB"/>
        </w:rPr>
        <w:t xml:space="preserve">ms in </w:t>
      </w:r>
      <w:r w:rsidR="005F248E">
        <w:rPr>
          <w:sz w:val="22"/>
          <w:szCs w:val="22"/>
          <w:lang w:val="en-GB"/>
        </w:rPr>
        <w:t>2000-01, 102.0kms in 2001-02</w:t>
      </w:r>
      <w:r w:rsidR="005F248E" w:rsidRPr="00DA04F8">
        <w:rPr>
          <w:sz w:val="22"/>
          <w:szCs w:val="22"/>
          <w:lang w:val="en-GB"/>
        </w:rPr>
        <w:t xml:space="preserve"> and </w:t>
      </w:r>
      <w:r w:rsidR="005F248E">
        <w:rPr>
          <w:sz w:val="22"/>
          <w:szCs w:val="22"/>
          <w:lang w:val="en-GB"/>
        </w:rPr>
        <w:t>96.1</w:t>
      </w:r>
      <w:r w:rsidR="005F248E" w:rsidRPr="00DA04F8">
        <w:rPr>
          <w:sz w:val="22"/>
          <w:szCs w:val="22"/>
          <w:lang w:val="en-GB"/>
        </w:rPr>
        <w:t>kms in 20</w:t>
      </w:r>
      <w:r w:rsidR="005F248E">
        <w:rPr>
          <w:sz w:val="22"/>
          <w:szCs w:val="22"/>
          <w:lang w:val="en-GB"/>
        </w:rPr>
        <w:t>09-</w:t>
      </w:r>
      <w:r w:rsidR="005F248E" w:rsidRPr="00DA04F8">
        <w:rPr>
          <w:sz w:val="22"/>
          <w:szCs w:val="22"/>
          <w:lang w:val="en-GB"/>
        </w:rPr>
        <w:t xml:space="preserve">10. </w:t>
      </w:r>
      <w:r w:rsidRPr="00DA04F8">
        <w:rPr>
          <w:sz w:val="22"/>
          <w:szCs w:val="22"/>
          <w:lang w:val="en-GB"/>
        </w:rPr>
        <w:t xml:space="preserve">The decay </w:t>
      </w:r>
      <w:r w:rsidR="005F248E">
        <w:rPr>
          <w:sz w:val="22"/>
          <w:szCs w:val="22"/>
          <w:lang w:val="en-GB"/>
        </w:rPr>
        <w:t xml:space="preserve">parameter </w:t>
      </w:r>
      <w:r w:rsidRPr="00DA04F8">
        <w:rPr>
          <w:sz w:val="22"/>
          <w:szCs w:val="22"/>
          <w:lang w:val="en-GB"/>
        </w:rPr>
        <w:t>values are very similar (1.58</w:t>
      </w:r>
      <w:r w:rsidR="00845116">
        <w:rPr>
          <w:sz w:val="22"/>
          <w:szCs w:val="22"/>
          <w:lang w:val="en-GB"/>
        </w:rPr>
        <w:t>)</w:t>
      </w:r>
      <w:r w:rsidRPr="00DA04F8">
        <w:rPr>
          <w:sz w:val="22"/>
          <w:szCs w:val="22"/>
          <w:lang w:val="en-GB"/>
        </w:rPr>
        <w:t xml:space="preserve"> for </w:t>
      </w:r>
      <w:r w:rsidR="005F248E">
        <w:rPr>
          <w:sz w:val="22"/>
          <w:szCs w:val="22"/>
          <w:lang w:val="en-GB"/>
        </w:rPr>
        <w:t xml:space="preserve">406 BSUs for </w:t>
      </w:r>
      <w:r w:rsidR="00415553">
        <w:rPr>
          <w:sz w:val="22"/>
          <w:szCs w:val="22"/>
          <w:lang w:val="en-GB"/>
        </w:rPr>
        <w:t xml:space="preserve">the 2000-01 and </w:t>
      </w:r>
      <w:r w:rsidR="00845116">
        <w:rPr>
          <w:sz w:val="22"/>
          <w:szCs w:val="22"/>
          <w:lang w:val="en-GB"/>
        </w:rPr>
        <w:t xml:space="preserve">2009-10 </w:t>
      </w:r>
      <w:r w:rsidR="005F248E">
        <w:rPr>
          <w:sz w:val="22"/>
          <w:szCs w:val="22"/>
          <w:lang w:val="en-GB"/>
        </w:rPr>
        <w:t>periods</w:t>
      </w:r>
      <w:r w:rsidR="00845116">
        <w:rPr>
          <w:sz w:val="22"/>
          <w:szCs w:val="22"/>
          <w:lang w:val="en-GB"/>
        </w:rPr>
        <w:t xml:space="preserve"> but the 2001-02 value is lower (1.54)</w:t>
      </w:r>
      <w:r w:rsidR="004A1ED5">
        <w:rPr>
          <w:sz w:val="22"/>
          <w:szCs w:val="22"/>
          <w:lang w:val="en-GB"/>
        </w:rPr>
        <w:t xml:space="preserve"> indicating that distance ha</w:t>
      </w:r>
      <w:r w:rsidR="005F248E">
        <w:rPr>
          <w:sz w:val="22"/>
          <w:szCs w:val="22"/>
          <w:lang w:val="en-GB"/>
        </w:rPr>
        <w:t>d</w:t>
      </w:r>
      <w:r w:rsidR="004A1ED5">
        <w:rPr>
          <w:sz w:val="22"/>
          <w:szCs w:val="22"/>
          <w:lang w:val="en-GB"/>
        </w:rPr>
        <w:t xml:space="preserve"> </w:t>
      </w:r>
      <w:r w:rsidR="00FF4AC4">
        <w:rPr>
          <w:sz w:val="22"/>
          <w:szCs w:val="22"/>
          <w:lang w:val="en-GB"/>
        </w:rPr>
        <w:t>a lower frictional effect on migration in 2001-02</w:t>
      </w:r>
      <w:r w:rsidR="005F248E">
        <w:rPr>
          <w:sz w:val="22"/>
          <w:szCs w:val="22"/>
          <w:lang w:val="en-GB"/>
        </w:rPr>
        <w:t xml:space="preserve"> than at the end of the decade</w:t>
      </w:r>
      <w:r w:rsidR="006962A2">
        <w:rPr>
          <w:sz w:val="22"/>
          <w:szCs w:val="22"/>
          <w:lang w:val="en-GB"/>
        </w:rPr>
        <w:t>.</w:t>
      </w:r>
      <w:r w:rsidR="00845116">
        <w:rPr>
          <w:sz w:val="22"/>
          <w:szCs w:val="22"/>
          <w:lang w:val="en-GB"/>
        </w:rPr>
        <w:t xml:space="preserve"> </w:t>
      </w:r>
      <w:r w:rsidR="005F248E">
        <w:rPr>
          <w:sz w:val="22"/>
          <w:szCs w:val="22"/>
          <w:lang w:val="en-GB"/>
        </w:rPr>
        <w:t>We observe in Figure 7 that,</w:t>
      </w:r>
      <w:r w:rsidRPr="00DA04F8">
        <w:rPr>
          <w:sz w:val="22"/>
          <w:szCs w:val="22"/>
          <w:lang w:val="en-GB"/>
        </w:rPr>
        <w:t xml:space="preserve"> as the number of </w:t>
      </w:r>
      <w:r w:rsidR="004D10E1">
        <w:rPr>
          <w:sz w:val="22"/>
          <w:szCs w:val="22"/>
          <w:lang w:val="en-GB"/>
        </w:rPr>
        <w:t>ASR</w:t>
      </w:r>
      <w:r w:rsidRPr="00DA04F8">
        <w:rPr>
          <w:sz w:val="22"/>
          <w:szCs w:val="22"/>
          <w:lang w:val="en-GB"/>
        </w:rPr>
        <w:t>s in the system decreases, there is a very gradual decline in the frictional effect of distance in 200</w:t>
      </w:r>
      <w:r>
        <w:rPr>
          <w:sz w:val="22"/>
          <w:szCs w:val="22"/>
          <w:lang w:val="en-GB"/>
        </w:rPr>
        <w:t>0-0</w:t>
      </w:r>
      <w:r w:rsidRPr="00DA04F8">
        <w:rPr>
          <w:sz w:val="22"/>
          <w:szCs w:val="22"/>
          <w:lang w:val="en-GB"/>
        </w:rPr>
        <w:t xml:space="preserve">1 until around </w:t>
      </w:r>
      <w:r w:rsidR="00A85BA0">
        <w:rPr>
          <w:sz w:val="22"/>
          <w:szCs w:val="22"/>
          <w:lang w:val="en-GB"/>
        </w:rPr>
        <w:t>5</w:t>
      </w:r>
      <w:r w:rsidR="00724170">
        <w:rPr>
          <w:sz w:val="22"/>
          <w:szCs w:val="22"/>
          <w:lang w:val="en-GB"/>
        </w:rPr>
        <w:t>2</w:t>
      </w:r>
      <w:r w:rsidRPr="00DA04F8">
        <w:rPr>
          <w:sz w:val="22"/>
          <w:szCs w:val="22"/>
          <w:lang w:val="en-GB"/>
        </w:rPr>
        <w:t xml:space="preserve"> regions, after which the </w:t>
      </w:r>
      <w:r w:rsidR="005F248E" w:rsidRPr="005F248E">
        <w:rPr>
          <w:sz w:val="22"/>
          <w:szCs w:val="22"/>
          <w:lang w:val="en-GB"/>
        </w:rPr>
        <w:t>decay</w:t>
      </w:r>
      <w:r w:rsidR="005F248E">
        <w:rPr>
          <w:sz w:val="22"/>
          <w:szCs w:val="22"/>
          <w:lang w:val="en-GB"/>
        </w:rPr>
        <w:t xml:space="preserve"> parameter</w:t>
      </w:r>
      <w:r w:rsidRPr="00DA04F8">
        <w:rPr>
          <w:sz w:val="22"/>
          <w:szCs w:val="22"/>
          <w:lang w:val="en-GB"/>
        </w:rPr>
        <w:t xml:space="preserve"> value declines </w:t>
      </w:r>
      <w:r w:rsidR="005F248E">
        <w:rPr>
          <w:sz w:val="22"/>
          <w:szCs w:val="22"/>
          <w:lang w:val="en-GB"/>
        </w:rPr>
        <w:t xml:space="preserve">much </w:t>
      </w:r>
      <w:r w:rsidRPr="00DA04F8">
        <w:rPr>
          <w:sz w:val="22"/>
          <w:szCs w:val="22"/>
          <w:lang w:val="en-GB"/>
        </w:rPr>
        <w:t xml:space="preserve">more rapidly and the frictional </w:t>
      </w:r>
      <w:r w:rsidR="005F248E">
        <w:rPr>
          <w:sz w:val="22"/>
          <w:szCs w:val="22"/>
          <w:lang w:val="en-GB"/>
        </w:rPr>
        <w:t xml:space="preserve">effect of distance on migration </w:t>
      </w:r>
      <w:r w:rsidRPr="00DA04F8">
        <w:rPr>
          <w:sz w:val="22"/>
          <w:szCs w:val="22"/>
          <w:lang w:val="en-GB"/>
        </w:rPr>
        <w:t>reduces whilst, at the same time the mean distance of migration increases considerably from 1</w:t>
      </w:r>
      <w:r w:rsidR="00A85BA0">
        <w:rPr>
          <w:sz w:val="22"/>
          <w:szCs w:val="22"/>
          <w:lang w:val="en-GB"/>
        </w:rPr>
        <w:t>46</w:t>
      </w:r>
      <w:r w:rsidRPr="00DA04F8">
        <w:rPr>
          <w:sz w:val="22"/>
          <w:szCs w:val="22"/>
          <w:lang w:val="en-GB"/>
        </w:rPr>
        <w:t xml:space="preserve">kms with </w:t>
      </w:r>
      <w:r w:rsidR="00A85BA0">
        <w:rPr>
          <w:sz w:val="22"/>
          <w:szCs w:val="22"/>
          <w:lang w:val="en-GB"/>
        </w:rPr>
        <w:t>5</w:t>
      </w:r>
      <w:r w:rsidRPr="00DA04F8">
        <w:rPr>
          <w:sz w:val="22"/>
          <w:szCs w:val="22"/>
          <w:lang w:val="en-GB"/>
        </w:rPr>
        <w:t>2 regi</w:t>
      </w:r>
      <w:r w:rsidR="00845116">
        <w:rPr>
          <w:sz w:val="22"/>
          <w:szCs w:val="22"/>
          <w:lang w:val="en-GB"/>
        </w:rPr>
        <w:t xml:space="preserve">ons to 200kms with 12 </w:t>
      </w:r>
      <w:r w:rsidR="004D10E1">
        <w:rPr>
          <w:sz w:val="22"/>
          <w:szCs w:val="22"/>
          <w:lang w:val="en-GB"/>
        </w:rPr>
        <w:t>ASR</w:t>
      </w:r>
      <w:r w:rsidR="00845116">
        <w:rPr>
          <w:sz w:val="22"/>
          <w:szCs w:val="22"/>
          <w:lang w:val="en-GB"/>
        </w:rPr>
        <w:t>s</w:t>
      </w:r>
      <w:r w:rsidR="004645F5">
        <w:rPr>
          <w:sz w:val="22"/>
          <w:szCs w:val="22"/>
          <w:lang w:val="en-GB"/>
        </w:rPr>
        <w:t xml:space="preserve"> in 2000-01</w:t>
      </w:r>
      <w:r w:rsidR="00845116">
        <w:rPr>
          <w:sz w:val="22"/>
          <w:szCs w:val="22"/>
          <w:lang w:val="en-GB"/>
        </w:rPr>
        <w:t xml:space="preserve">. Although the total number of migrants </w:t>
      </w:r>
      <w:r w:rsidR="009B5B61">
        <w:rPr>
          <w:sz w:val="22"/>
          <w:szCs w:val="22"/>
          <w:lang w:val="en-GB"/>
        </w:rPr>
        <w:t>is much the same in 2001-02 and 2009-10, the decay parameters suggest that migrants in the most recent period were more influenced by the frictional effect of distance tha</w:t>
      </w:r>
      <w:r w:rsidR="001561F0">
        <w:rPr>
          <w:sz w:val="22"/>
          <w:szCs w:val="22"/>
          <w:lang w:val="en-GB"/>
        </w:rPr>
        <w:t xml:space="preserve">n </w:t>
      </w:r>
      <w:r w:rsidR="009B5B61">
        <w:rPr>
          <w:sz w:val="22"/>
          <w:szCs w:val="22"/>
          <w:lang w:val="en-GB"/>
        </w:rPr>
        <w:t xml:space="preserve">those in 2001-02 and consequently moved </w:t>
      </w:r>
      <w:r w:rsidR="004645F5">
        <w:rPr>
          <w:sz w:val="22"/>
          <w:szCs w:val="22"/>
          <w:lang w:val="en-GB"/>
        </w:rPr>
        <w:t xml:space="preserve">on average </w:t>
      </w:r>
      <w:r w:rsidR="009B5B61">
        <w:rPr>
          <w:sz w:val="22"/>
          <w:szCs w:val="22"/>
          <w:lang w:val="en-GB"/>
        </w:rPr>
        <w:t xml:space="preserve">over shorter distances.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4048"/>
      </w:tblGrid>
      <w:tr w:rsidR="00BE555E" w:rsidTr="00BE555E">
        <w:tc>
          <w:tcPr>
            <w:tcW w:w="4048" w:type="dxa"/>
          </w:tcPr>
          <w:p w:rsidR="00BE555E" w:rsidRDefault="00BE555E" w:rsidP="00DA19D2">
            <w:pPr>
              <w:tabs>
                <w:tab w:val="left" w:pos="7938"/>
              </w:tabs>
              <w:spacing w:after="120" w:line="360" w:lineRule="auto"/>
              <w:jc w:val="both"/>
              <w:rPr>
                <w:lang w:val="en-GB"/>
              </w:rPr>
            </w:pPr>
          </w:p>
        </w:tc>
        <w:tc>
          <w:tcPr>
            <w:tcW w:w="4048" w:type="dxa"/>
          </w:tcPr>
          <w:p w:rsidR="00BE555E" w:rsidRDefault="00BE555E" w:rsidP="00DA19D2">
            <w:pPr>
              <w:tabs>
                <w:tab w:val="left" w:pos="7938"/>
              </w:tabs>
              <w:spacing w:after="120" w:line="360" w:lineRule="auto"/>
              <w:jc w:val="both"/>
              <w:rPr>
                <w:lang w:val="en-GB"/>
              </w:rPr>
            </w:pPr>
          </w:p>
        </w:tc>
      </w:tr>
    </w:tbl>
    <w:p w:rsidR="00FC03E6" w:rsidRPr="00DA04F8" w:rsidRDefault="00FC03E6" w:rsidP="00DA19D2">
      <w:pPr>
        <w:tabs>
          <w:tab w:val="left" w:pos="7938"/>
        </w:tabs>
        <w:spacing w:after="120" w:line="360" w:lineRule="auto"/>
        <w:ind w:left="-1134"/>
        <w:jc w:val="center"/>
        <w:rPr>
          <w:sz w:val="22"/>
          <w:szCs w:val="22"/>
          <w:lang w:val="en-GB"/>
        </w:rPr>
      </w:pPr>
      <w:r w:rsidRPr="00DA04F8">
        <w:rPr>
          <w:b/>
          <w:sz w:val="22"/>
          <w:szCs w:val="22"/>
          <w:lang w:val="en-GB"/>
        </w:rPr>
        <w:t>Fig</w:t>
      </w:r>
      <w:r w:rsidR="00105B0D">
        <w:rPr>
          <w:b/>
          <w:sz w:val="22"/>
          <w:szCs w:val="22"/>
          <w:lang w:val="en-GB"/>
        </w:rPr>
        <w:t>.</w:t>
      </w:r>
      <w:r w:rsidR="000A0E97">
        <w:rPr>
          <w:b/>
          <w:sz w:val="22"/>
          <w:szCs w:val="22"/>
          <w:lang w:val="en-GB"/>
        </w:rPr>
        <w:t>7</w:t>
      </w:r>
      <w:r w:rsidRPr="00DA04F8">
        <w:rPr>
          <w:sz w:val="22"/>
          <w:szCs w:val="22"/>
          <w:lang w:val="en-GB"/>
        </w:rPr>
        <w:t xml:space="preserve"> </w:t>
      </w:r>
      <w:r w:rsidR="00E60BCA">
        <w:rPr>
          <w:sz w:val="22"/>
          <w:szCs w:val="22"/>
          <w:lang w:val="en-GB"/>
        </w:rPr>
        <w:t>M</w:t>
      </w:r>
      <w:r w:rsidR="00724170">
        <w:rPr>
          <w:sz w:val="22"/>
          <w:szCs w:val="22"/>
          <w:lang w:val="en-GB"/>
        </w:rPr>
        <w:t>ean</w:t>
      </w:r>
      <w:r w:rsidR="00E60BCA">
        <w:rPr>
          <w:sz w:val="22"/>
          <w:szCs w:val="22"/>
          <w:lang w:val="en-GB"/>
        </w:rPr>
        <w:t xml:space="preserve"> </w:t>
      </w:r>
      <w:r w:rsidR="00460C61" w:rsidRPr="00DA04F8">
        <w:rPr>
          <w:sz w:val="22"/>
          <w:szCs w:val="22"/>
          <w:lang w:val="en-GB"/>
        </w:rPr>
        <w:t xml:space="preserve">migration distances </w:t>
      </w:r>
      <w:r w:rsidR="00460C61">
        <w:rPr>
          <w:sz w:val="22"/>
          <w:szCs w:val="22"/>
          <w:lang w:val="en-GB"/>
        </w:rPr>
        <w:t xml:space="preserve">and </w:t>
      </w:r>
      <w:r w:rsidRPr="00DA04F8">
        <w:rPr>
          <w:sz w:val="22"/>
          <w:szCs w:val="22"/>
          <w:lang w:val="en-GB"/>
        </w:rPr>
        <w:t xml:space="preserve">decay parameters for </w:t>
      </w:r>
      <w:r w:rsidR="00F155AE">
        <w:rPr>
          <w:sz w:val="22"/>
          <w:szCs w:val="22"/>
          <w:lang w:val="en-GB"/>
        </w:rPr>
        <w:t>1</w:t>
      </w:r>
      <w:r w:rsidR="00845531">
        <w:rPr>
          <w:sz w:val="22"/>
          <w:szCs w:val="22"/>
          <w:lang w:val="en-GB"/>
        </w:rPr>
        <w:t xml:space="preserve">2-402 </w:t>
      </w:r>
      <w:r w:rsidR="00F55528">
        <w:rPr>
          <w:sz w:val="22"/>
          <w:szCs w:val="22"/>
          <w:lang w:val="en-GB"/>
        </w:rPr>
        <w:t>ASR</w:t>
      </w:r>
      <w:r w:rsidR="00845531">
        <w:rPr>
          <w:sz w:val="22"/>
          <w:szCs w:val="22"/>
          <w:lang w:val="en-GB"/>
        </w:rPr>
        <w:t>s</w:t>
      </w:r>
      <w:r w:rsidR="00E60BCA">
        <w:rPr>
          <w:sz w:val="22"/>
          <w:szCs w:val="22"/>
          <w:lang w:val="en-GB"/>
        </w:rPr>
        <w:t xml:space="preserve"> in</w:t>
      </w:r>
      <w:r w:rsidR="00B01C21">
        <w:rPr>
          <w:sz w:val="22"/>
          <w:szCs w:val="22"/>
          <w:lang w:val="en-GB"/>
        </w:rPr>
        <w:t xml:space="preserve"> the UK </w:t>
      </w:r>
      <w:r w:rsidR="00A85BA0">
        <w:rPr>
          <w:sz w:val="22"/>
          <w:szCs w:val="22"/>
          <w:lang w:val="en-GB"/>
        </w:rPr>
        <w:t>for three periods</w:t>
      </w:r>
    </w:p>
    <w:p w:rsidR="00E60BCA" w:rsidRDefault="00E60BCA" w:rsidP="00ED0EEB">
      <w:pPr>
        <w:tabs>
          <w:tab w:val="left" w:pos="7938"/>
        </w:tabs>
        <w:spacing w:after="120" w:line="360" w:lineRule="auto"/>
        <w:ind w:left="-1134"/>
        <w:jc w:val="both"/>
        <w:rPr>
          <w:sz w:val="22"/>
          <w:szCs w:val="22"/>
          <w:lang w:val="en-GB"/>
        </w:rPr>
      </w:pPr>
    </w:p>
    <w:p w:rsidR="00ED0EEB" w:rsidRDefault="006962A2" w:rsidP="00ED0EEB">
      <w:pPr>
        <w:tabs>
          <w:tab w:val="left" w:pos="7938"/>
        </w:tabs>
        <w:spacing w:after="120" w:line="360" w:lineRule="auto"/>
        <w:ind w:left="-1134"/>
        <w:jc w:val="both"/>
        <w:rPr>
          <w:b/>
          <w:sz w:val="22"/>
          <w:szCs w:val="22"/>
          <w:lang w:val="en-GB"/>
        </w:rPr>
      </w:pPr>
      <w:r>
        <w:rPr>
          <w:sz w:val="22"/>
          <w:szCs w:val="22"/>
          <w:lang w:val="en-GB"/>
        </w:rPr>
        <w:lastRenderedPageBreak/>
        <w:t xml:space="preserve">The </w:t>
      </w:r>
      <w:proofErr w:type="gramStart"/>
      <w:r>
        <w:rPr>
          <w:sz w:val="22"/>
          <w:szCs w:val="22"/>
          <w:lang w:val="en-GB"/>
        </w:rPr>
        <w:t>variation of values around the mean migration distance at each step, as shown by the inter-quartile ranges are</w:t>
      </w:r>
      <w:proofErr w:type="gramEnd"/>
      <w:r>
        <w:rPr>
          <w:sz w:val="22"/>
          <w:szCs w:val="22"/>
          <w:lang w:val="en-GB"/>
        </w:rPr>
        <w:t xml:space="preserve"> very small and there is no obvious increase in variation as the number of ASRs reduces. It is worth noting that the mean and median values of both the mean migration distances and decay parameters are almost identical, suggesting that there is a normal distribution of values at each step. </w:t>
      </w:r>
      <w:r w:rsidRPr="00DA04F8">
        <w:rPr>
          <w:sz w:val="22"/>
          <w:szCs w:val="22"/>
          <w:lang w:val="en-GB"/>
        </w:rPr>
        <w:t xml:space="preserve">In general, the decay parameters for </w:t>
      </w:r>
      <w:r>
        <w:rPr>
          <w:sz w:val="22"/>
          <w:szCs w:val="22"/>
          <w:lang w:val="en-GB"/>
        </w:rPr>
        <w:t>all three</w:t>
      </w:r>
      <w:r w:rsidRPr="00DA04F8">
        <w:rPr>
          <w:sz w:val="22"/>
          <w:szCs w:val="22"/>
          <w:lang w:val="en-GB"/>
        </w:rPr>
        <w:t xml:space="preserve"> periods show surprising consistency across the </w:t>
      </w:r>
      <w:r>
        <w:rPr>
          <w:sz w:val="22"/>
          <w:szCs w:val="22"/>
          <w:lang w:val="en-GB"/>
        </w:rPr>
        <w:t>series</w:t>
      </w:r>
      <w:r w:rsidRPr="00DA04F8">
        <w:rPr>
          <w:sz w:val="22"/>
          <w:szCs w:val="22"/>
          <w:lang w:val="en-GB"/>
        </w:rPr>
        <w:t xml:space="preserve"> of aggregations.</w:t>
      </w:r>
      <w:r>
        <w:rPr>
          <w:sz w:val="22"/>
          <w:szCs w:val="22"/>
          <w:lang w:val="en-GB"/>
        </w:rPr>
        <w:t xml:space="preserve"> </w:t>
      </w:r>
      <w:r w:rsidR="00621E0C">
        <w:rPr>
          <w:sz w:val="22"/>
          <w:szCs w:val="22"/>
          <w:lang w:val="en-GB"/>
        </w:rPr>
        <w:t>V</w:t>
      </w:r>
      <w:r>
        <w:rPr>
          <w:sz w:val="22"/>
          <w:szCs w:val="22"/>
          <w:lang w:val="en-GB"/>
        </w:rPr>
        <w:t>ariation in the</w:t>
      </w:r>
      <w:r w:rsidR="00FC03E6" w:rsidRPr="00DA04F8">
        <w:rPr>
          <w:sz w:val="22"/>
          <w:szCs w:val="22"/>
          <w:lang w:val="en-GB"/>
        </w:rPr>
        <w:t xml:space="preserve"> </w:t>
      </w:r>
      <w:r w:rsidRPr="006962A2">
        <w:rPr>
          <w:sz w:val="22"/>
          <w:szCs w:val="22"/>
          <w:lang w:val="en-GB"/>
        </w:rPr>
        <w:t>decay parameter</w:t>
      </w:r>
      <w:r w:rsidR="00FC03E6" w:rsidRPr="00DA04F8">
        <w:rPr>
          <w:sz w:val="22"/>
          <w:szCs w:val="22"/>
          <w:lang w:val="en-GB"/>
        </w:rPr>
        <w:t xml:space="preserve"> values associated with the iterations at each step </w:t>
      </w:r>
      <w:r w:rsidR="00621E0C">
        <w:rPr>
          <w:sz w:val="22"/>
          <w:szCs w:val="22"/>
          <w:lang w:val="en-GB"/>
        </w:rPr>
        <w:t>are</w:t>
      </w:r>
      <w:r w:rsidR="00FC03E6" w:rsidRPr="00DA04F8">
        <w:rPr>
          <w:sz w:val="22"/>
          <w:szCs w:val="22"/>
          <w:lang w:val="en-GB"/>
        </w:rPr>
        <w:t xml:space="preserve"> also shown </w:t>
      </w:r>
      <w:r w:rsidR="00621E0C">
        <w:rPr>
          <w:sz w:val="22"/>
          <w:szCs w:val="22"/>
          <w:lang w:val="en-GB"/>
        </w:rPr>
        <w:t>in Figure 7b</w:t>
      </w:r>
      <w:r w:rsidR="00FC03E6" w:rsidRPr="00DA04F8">
        <w:rPr>
          <w:sz w:val="22"/>
          <w:szCs w:val="22"/>
          <w:lang w:val="en-GB"/>
        </w:rPr>
        <w:t xml:space="preserve">, indicating that as the number of </w:t>
      </w:r>
      <w:r w:rsidR="00820F84">
        <w:rPr>
          <w:sz w:val="22"/>
          <w:szCs w:val="22"/>
          <w:lang w:val="en-GB"/>
        </w:rPr>
        <w:t>ASR</w:t>
      </w:r>
      <w:r w:rsidR="00FC03E6" w:rsidRPr="00DA04F8">
        <w:rPr>
          <w:sz w:val="22"/>
          <w:szCs w:val="22"/>
          <w:lang w:val="en-GB"/>
        </w:rPr>
        <w:t xml:space="preserve">s in the system gets smaller, the variation in the parameter value increases around the mean, suggesting much instability in the decay parameter when modelling smaller sets of regions. </w:t>
      </w:r>
      <w:r w:rsidR="00C81239">
        <w:rPr>
          <w:sz w:val="22"/>
          <w:szCs w:val="22"/>
          <w:lang w:val="en-GB"/>
        </w:rPr>
        <w:t xml:space="preserve"> </w:t>
      </w:r>
    </w:p>
    <w:p w:rsidR="0070606B" w:rsidRPr="007A40E3" w:rsidRDefault="002E5AD9" w:rsidP="00ED0EEB">
      <w:pPr>
        <w:tabs>
          <w:tab w:val="num" w:pos="1440"/>
          <w:tab w:val="left" w:pos="7938"/>
        </w:tabs>
        <w:spacing w:after="120" w:line="360" w:lineRule="auto"/>
        <w:ind w:left="-1134"/>
        <w:jc w:val="both"/>
        <w:rPr>
          <w:sz w:val="22"/>
          <w:szCs w:val="22"/>
          <w:lang w:val="en-GB"/>
        </w:rPr>
      </w:pPr>
      <w:r w:rsidRPr="002E5AD9">
        <w:rPr>
          <w:sz w:val="22"/>
          <w:szCs w:val="22"/>
          <w:lang w:val="en-GB"/>
        </w:rPr>
        <w:t xml:space="preserve">The second comparison </w:t>
      </w:r>
      <w:r w:rsidR="00724170">
        <w:rPr>
          <w:sz w:val="22"/>
          <w:szCs w:val="22"/>
          <w:lang w:val="en-GB"/>
        </w:rPr>
        <w:t xml:space="preserve">between the four northern European countries involves aggregation in steps of 10 with 100 configurations at each step (scale).  The </w:t>
      </w:r>
      <w:r w:rsidR="00621E0C">
        <w:rPr>
          <w:sz w:val="22"/>
          <w:szCs w:val="22"/>
          <w:lang w:val="en-GB"/>
        </w:rPr>
        <w:t>median values</w:t>
      </w:r>
      <w:r w:rsidR="00724170">
        <w:rPr>
          <w:sz w:val="22"/>
          <w:szCs w:val="22"/>
          <w:lang w:val="en-GB"/>
        </w:rPr>
        <w:t xml:space="preserve"> of the mean migration distances </w:t>
      </w:r>
      <w:r w:rsidR="007A40E3">
        <w:rPr>
          <w:sz w:val="22"/>
          <w:szCs w:val="22"/>
          <w:lang w:val="en-GB"/>
        </w:rPr>
        <w:t>in each country increase exponentially as the number of ASRs gets smaller (</w:t>
      </w:r>
      <w:r w:rsidR="00621E0C">
        <w:rPr>
          <w:sz w:val="22"/>
          <w:szCs w:val="22"/>
          <w:lang w:val="en-GB"/>
        </w:rPr>
        <w:t>moving</w:t>
      </w:r>
      <w:r w:rsidR="007A40E3">
        <w:rPr>
          <w:sz w:val="22"/>
          <w:szCs w:val="22"/>
          <w:lang w:val="en-GB"/>
        </w:rPr>
        <w:t xml:space="preserve"> from right to left on the x axis</w:t>
      </w:r>
      <w:r w:rsidR="00621E0C">
        <w:rPr>
          <w:sz w:val="22"/>
          <w:szCs w:val="22"/>
          <w:lang w:val="en-GB"/>
        </w:rPr>
        <w:t xml:space="preserve"> of Figure 8a</w:t>
      </w:r>
      <w:r w:rsidR="007A40E3">
        <w:rPr>
          <w:sz w:val="22"/>
          <w:szCs w:val="22"/>
          <w:lang w:val="en-GB"/>
        </w:rPr>
        <w:t>) with migrants in Sweden and Germany moving furthest on average at each spatial scale and migrants in the UK moving the shortest distances</w:t>
      </w:r>
      <w:r w:rsidR="00ED0EEB">
        <w:rPr>
          <w:sz w:val="22"/>
          <w:szCs w:val="22"/>
          <w:lang w:val="en-GB"/>
        </w:rPr>
        <w:t>. This is evidence of a clear scale effect in each of the countries with v</w:t>
      </w:r>
      <w:r w:rsidR="0070606B" w:rsidRPr="007A40E3">
        <w:rPr>
          <w:sz w:val="22"/>
          <w:szCs w:val="22"/>
          <w:lang w:val="en-GB"/>
        </w:rPr>
        <w:t xml:space="preserve">ariations between countries </w:t>
      </w:r>
      <w:r w:rsidR="00ED0EEB">
        <w:rPr>
          <w:sz w:val="22"/>
          <w:szCs w:val="22"/>
          <w:lang w:val="en-GB"/>
        </w:rPr>
        <w:t xml:space="preserve">likely to </w:t>
      </w:r>
      <w:r w:rsidR="0070606B" w:rsidRPr="007A40E3">
        <w:rPr>
          <w:sz w:val="22"/>
          <w:szCs w:val="22"/>
          <w:lang w:val="en-GB"/>
        </w:rPr>
        <w:t xml:space="preserve">depend on size and shape of </w:t>
      </w:r>
      <w:r w:rsidR="00ED0EEB">
        <w:rPr>
          <w:sz w:val="22"/>
          <w:szCs w:val="22"/>
          <w:lang w:val="en-GB"/>
        </w:rPr>
        <w:t xml:space="preserve">the ASRs in each case. In terms of the zonation effect, it appears from the graphs showing </w:t>
      </w:r>
      <w:r w:rsidR="00621E0C">
        <w:rPr>
          <w:sz w:val="22"/>
          <w:szCs w:val="22"/>
          <w:lang w:val="en-GB"/>
        </w:rPr>
        <w:t xml:space="preserve">inter-quartiles </w:t>
      </w:r>
      <w:proofErr w:type="gramStart"/>
      <w:r w:rsidR="00621E0C">
        <w:rPr>
          <w:sz w:val="22"/>
          <w:szCs w:val="22"/>
          <w:lang w:val="en-GB"/>
        </w:rPr>
        <w:t>ranges</w:t>
      </w:r>
      <w:proofErr w:type="gramEnd"/>
      <w:r w:rsidR="00ED0EEB">
        <w:rPr>
          <w:sz w:val="22"/>
          <w:szCs w:val="22"/>
          <w:lang w:val="en-GB"/>
        </w:rPr>
        <w:t xml:space="preserve"> that the v</w:t>
      </w:r>
      <w:r w:rsidR="0070606B" w:rsidRPr="007A40E3">
        <w:rPr>
          <w:sz w:val="22"/>
          <w:szCs w:val="22"/>
          <w:lang w:val="en-GB"/>
        </w:rPr>
        <w:t xml:space="preserve">ariations in Finland </w:t>
      </w:r>
      <w:r w:rsidR="00621E0C">
        <w:rPr>
          <w:sz w:val="22"/>
          <w:szCs w:val="22"/>
          <w:lang w:val="en-GB"/>
        </w:rPr>
        <w:t>in particular but also</w:t>
      </w:r>
      <w:r w:rsidR="0070606B" w:rsidRPr="007A40E3">
        <w:rPr>
          <w:sz w:val="22"/>
          <w:szCs w:val="22"/>
          <w:lang w:val="en-GB"/>
        </w:rPr>
        <w:t xml:space="preserve"> Sweden are larger than </w:t>
      </w:r>
      <w:r w:rsidR="00ED0EEB">
        <w:rPr>
          <w:sz w:val="22"/>
          <w:szCs w:val="22"/>
          <w:lang w:val="en-GB"/>
        </w:rPr>
        <w:t xml:space="preserve">in </w:t>
      </w:r>
      <w:r w:rsidR="0070606B" w:rsidRPr="007A40E3">
        <w:rPr>
          <w:sz w:val="22"/>
          <w:szCs w:val="22"/>
          <w:lang w:val="en-GB"/>
        </w:rPr>
        <w:t xml:space="preserve">the UK </w:t>
      </w:r>
      <w:r w:rsidR="00ED0EEB">
        <w:rPr>
          <w:sz w:val="22"/>
          <w:szCs w:val="22"/>
          <w:lang w:val="en-GB"/>
        </w:rPr>
        <w:t>and</w:t>
      </w:r>
      <w:r w:rsidR="0070606B" w:rsidRPr="007A40E3">
        <w:rPr>
          <w:sz w:val="22"/>
          <w:szCs w:val="22"/>
          <w:lang w:val="en-GB"/>
        </w:rPr>
        <w:t xml:space="preserve"> Germany</w:t>
      </w:r>
      <w:r w:rsidR="00ED0EEB">
        <w:rPr>
          <w:sz w:val="22"/>
          <w:szCs w:val="22"/>
          <w:lang w:val="en-GB"/>
        </w:rPr>
        <w:t>.</w:t>
      </w:r>
    </w:p>
    <w:p w:rsidR="00E60BCA" w:rsidRDefault="00E60BCA" w:rsidP="00ED0EEB">
      <w:pPr>
        <w:pStyle w:val="ListParagraph"/>
        <w:tabs>
          <w:tab w:val="left" w:pos="7938"/>
        </w:tabs>
        <w:spacing w:after="120" w:line="360" w:lineRule="auto"/>
        <w:ind w:left="-1134"/>
        <w:jc w:val="center"/>
        <w:rPr>
          <w:rFonts w:ascii="Times New Roman" w:hAnsi="Times New Roman" w:cs="Times New Roman"/>
          <w:b/>
          <w:sz w:val="20"/>
          <w:szCs w:val="20"/>
        </w:rPr>
      </w:pPr>
    </w:p>
    <w:p w:rsidR="00ED0EEB" w:rsidRPr="00E60BCA" w:rsidRDefault="007A40E3" w:rsidP="00ED0EEB">
      <w:pPr>
        <w:pStyle w:val="ListParagraph"/>
        <w:tabs>
          <w:tab w:val="left" w:pos="7938"/>
        </w:tabs>
        <w:spacing w:after="120" w:line="360" w:lineRule="auto"/>
        <w:ind w:left="-1134"/>
        <w:jc w:val="center"/>
        <w:rPr>
          <w:rFonts w:ascii="Times New Roman" w:hAnsi="Times New Roman" w:cs="Times New Roman"/>
        </w:rPr>
      </w:pPr>
      <w:r w:rsidRPr="00E60BCA">
        <w:rPr>
          <w:rFonts w:ascii="Times New Roman" w:hAnsi="Times New Roman" w:cs="Times New Roman"/>
          <w:b/>
        </w:rPr>
        <w:t xml:space="preserve">Fig. 8 </w:t>
      </w:r>
      <w:r w:rsidR="00E60BCA" w:rsidRPr="00E60BCA">
        <w:rPr>
          <w:rFonts w:ascii="Times New Roman" w:hAnsi="Times New Roman" w:cs="Times New Roman"/>
        </w:rPr>
        <w:t xml:space="preserve">Mean migration distances and decay parameters for ASRs </w:t>
      </w:r>
      <w:r w:rsidRPr="00E60BCA">
        <w:rPr>
          <w:rFonts w:ascii="Times New Roman" w:hAnsi="Times New Roman" w:cs="Times New Roman"/>
        </w:rPr>
        <w:t>for four countries</w:t>
      </w:r>
    </w:p>
    <w:p w:rsidR="00ED0EEB" w:rsidRDefault="00ED0EEB" w:rsidP="00ED0EEB">
      <w:pPr>
        <w:pStyle w:val="ListParagraph"/>
        <w:tabs>
          <w:tab w:val="left" w:pos="7938"/>
        </w:tabs>
        <w:spacing w:after="120" w:line="360" w:lineRule="auto"/>
        <w:ind w:left="-1134"/>
        <w:jc w:val="center"/>
        <w:rPr>
          <w:sz w:val="20"/>
          <w:szCs w:val="20"/>
        </w:rPr>
      </w:pPr>
    </w:p>
    <w:p w:rsidR="0070606B" w:rsidRDefault="00ED0EEB" w:rsidP="00ED0EEB">
      <w:pPr>
        <w:pStyle w:val="ListParagraph"/>
        <w:tabs>
          <w:tab w:val="left" w:pos="7938"/>
        </w:tabs>
        <w:spacing w:after="120" w:line="360" w:lineRule="auto"/>
        <w:ind w:left="-1134"/>
        <w:jc w:val="both"/>
        <w:rPr>
          <w:rFonts w:ascii="Times New Roman" w:hAnsi="Times New Roman" w:cs="Times New Roman"/>
        </w:rPr>
      </w:pPr>
      <w:r>
        <w:rPr>
          <w:rFonts w:ascii="Times New Roman" w:hAnsi="Times New Roman" w:cs="Times New Roman"/>
        </w:rPr>
        <w:t xml:space="preserve">The sets of </w:t>
      </w:r>
      <w:r w:rsidR="00621E0C">
        <w:rPr>
          <w:rFonts w:ascii="Times New Roman" w:hAnsi="Times New Roman" w:cs="Times New Roman"/>
        </w:rPr>
        <w:t xml:space="preserve">median </w:t>
      </w:r>
      <w:r>
        <w:rPr>
          <w:rFonts w:ascii="Times New Roman" w:hAnsi="Times New Roman" w:cs="Times New Roman"/>
        </w:rPr>
        <w:t xml:space="preserve">distance decay parameters presented in Figure </w:t>
      </w:r>
      <w:r w:rsidR="00621E0C">
        <w:rPr>
          <w:rFonts w:ascii="Times New Roman" w:hAnsi="Times New Roman" w:cs="Times New Roman"/>
        </w:rPr>
        <w:t>8b</w:t>
      </w:r>
      <w:r>
        <w:rPr>
          <w:rFonts w:ascii="Times New Roman" w:hAnsi="Times New Roman" w:cs="Times New Roman"/>
        </w:rPr>
        <w:t xml:space="preserve"> </w:t>
      </w:r>
      <w:r w:rsidR="0070606B">
        <w:rPr>
          <w:rFonts w:ascii="Times New Roman" w:hAnsi="Times New Roman" w:cs="Times New Roman"/>
        </w:rPr>
        <w:t xml:space="preserve">together with the </w:t>
      </w:r>
      <w:r w:rsidR="00621E0C">
        <w:rPr>
          <w:rFonts w:ascii="Times New Roman" w:hAnsi="Times New Roman" w:cs="Times New Roman"/>
        </w:rPr>
        <w:t xml:space="preserve">inter-quartile range </w:t>
      </w:r>
      <w:r w:rsidR="00BB27B6">
        <w:rPr>
          <w:rFonts w:ascii="Times New Roman" w:hAnsi="Times New Roman" w:cs="Times New Roman"/>
        </w:rPr>
        <w:t>values</w:t>
      </w:r>
      <w:r w:rsidR="0070606B">
        <w:rPr>
          <w:rFonts w:ascii="Times New Roman" w:hAnsi="Times New Roman" w:cs="Times New Roman"/>
        </w:rPr>
        <w:t xml:space="preserve"> at each spatial scale indicate that the frictional effect of distance is greater in Germany than in the UK but </w:t>
      </w:r>
      <w:r w:rsidR="00BB27B6">
        <w:rPr>
          <w:rFonts w:ascii="Times New Roman" w:hAnsi="Times New Roman" w:cs="Times New Roman"/>
        </w:rPr>
        <w:t>both are</w:t>
      </w:r>
      <w:r w:rsidR="0070606B">
        <w:rPr>
          <w:rFonts w:ascii="Times New Roman" w:hAnsi="Times New Roman" w:cs="Times New Roman"/>
        </w:rPr>
        <w:t xml:space="preserve"> relatively insensitive to scale whereas migrants in Finland are more influenced by distance than those in Sweden but both </w:t>
      </w:r>
      <w:r w:rsidR="00BB27B6">
        <w:rPr>
          <w:rFonts w:ascii="Times New Roman" w:hAnsi="Times New Roman" w:cs="Times New Roman"/>
        </w:rPr>
        <w:t xml:space="preserve">Scandinavian countries </w:t>
      </w:r>
      <w:r w:rsidR="0070606B">
        <w:rPr>
          <w:rFonts w:ascii="Times New Roman" w:hAnsi="Times New Roman" w:cs="Times New Roman"/>
        </w:rPr>
        <w:t>experience a scale effect in which those travelling shorter distances between smaller ASRs in both countries are more affected by distance than those travelling longer</w:t>
      </w:r>
      <w:r w:rsidR="00BB27B6">
        <w:rPr>
          <w:rFonts w:ascii="Times New Roman" w:hAnsi="Times New Roman" w:cs="Times New Roman"/>
        </w:rPr>
        <w:t xml:space="preserve"> distances between larger ASRs. Thus, migrants travelling shorter distances are more influenced by distance in </w:t>
      </w:r>
      <w:r w:rsidR="0070606B">
        <w:rPr>
          <w:rFonts w:ascii="Times New Roman" w:hAnsi="Times New Roman" w:cs="Times New Roman"/>
        </w:rPr>
        <w:t>Finland than those in Germany</w:t>
      </w:r>
      <w:r w:rsidR="00BB27B6">
        <w:rPr>
          <w:rFonts w:ascii="Times New Roman" w:hAnsi="Times New Roman" w:cs="Times New Roman"/>
        </w:rPr>
        <w:t xml:space="preserve"> but those moving long distances in Finland are much less influenced by distance than those in Germany. </w:t>
      </w:r>
      <w:r w:rsidR="0070606B">
        <w:rPr>
          <w:rFonts w:ascii="Times New Roman" w:hAnsi="Times New Roman" w:cs="Times New Roman"/>
        </w:rPr>
        <w:t xml:space="preserve">Likewise, the frictional effect of distance on </w:t>
      </w:r>
      <w:r w:rsidR="00BB27B6">
        <w:rPr>
          <w:rFonts w:ascii="Times New Roman" w:hAnsi="Times New Roman" w:cs="Times New Roman"/>
        </w:rPr>
        <w:t>shorter</w:t>
      </w:r>
      <w:r w:rsidR="0070606B">
        <w:rPr>
          <w:rFonts w:ascii="Times New Roman" w:hAnsi="Times New Roman" w:cs="Times New Roman"/>
        </w:rPr>
        <w:t xml:space="preserve"> distance migrants in Sweden is </w:t>
      </w:r>
      <w:r w:rsidR="00F144CC">
        <w:rPr>
          <w:rFonts w:ascii="Times New Roman" w:hAnsi="Times New Roman" w:cs="Times New Roman"/>
        </w:rPr>
        <w:t xml:space="preserve">greater than </w:t>
      </w:r>
      <w:r w:rsidR="001561F0">
        <w:rPr>
          <w:rFonts w:ascii="Times New Roman" w:hAnsi="Times New Roman" w:cs="Times New Roman"/>
        </w:rPr>
        <w:t xml:space="preserve">for </w:t>
      </w:r>
      <w:r w:rsidR="00F144CC">
        <w:rPr>
          <w:rFonts w:ascii="Times New Roman" w:hAnsi="Times New Roman" w:cs="Times New Roman"/>
        </w:rPr>
        <w:t xml:space="preserve">migrants </w:t>
      </w:r>
      <w:r w:rsidR="00BB27B6">
        <w:rPr>
          <w:rFonts w:ascii="Times New Roman" w:hAnsi="Times New Roman" w:cs="Times New Roman"/>
        </w:rPr>
        <w:t xml:space="preserve">travelling shorter distances </w:t>
      </w:r>
      <w:r w:rsidR="00F144CC">
        <w:rPr>
          <w:rFonts w:ascii="Times New Roman" w:hAnsi="Times New Roman" w:cs="Times New Roman"/>
        </w:rPr>
        <w:t xml:space="preserve">in the UK. The results suggest a significant scale effect </w:t>
      </w:r>
      <w:r w:rsidR="00BB27B6">
        <w:rPr>
          <w:rFonts w:ascii="Times New Roman" w:hAnsi="Times New Roman" w:cs="Times New Roman"/>
        </w:rPr>
        <w:t xml:space="preserve">for the decay parameter </w:t>
      </w:r>
      <w:r w:rsidR="00F144CC">
        <w:rPr>
          <w:rFonts w:ascii="Times New Roman" w:hAnsi="Times New Roman" w:cs="Times New Roman"/>
        </w:rPr>
        <w:t>in the two Scandinavian countries that is not apparent in the UK or Germany until the number of ASRs becomes less than 50. A</w:t>
      </w:r>
      <w:r w:rsidR="00EC61F3">
        <w:rPr>
          <w:rFonts w:ascii="Times New Roman" w:hAnsi="Times New Roman" w:cs="Times New Roman"/>
        </w:rPr>
        <w:t xml:space="preserve"> zonation</w:t>
      </w:r>
      <w:r w:rsidR="00F144CC">
        <w:rPr>
          <w:rFonts w:ascii="Times New Roman" w:hAnsi="Times New Roman" w:cs="Times New Roman"/>
        </w:rPr>
        <w:t xml:space="preserve"> effect is most apparent in Finland at all spatial scales and increases in all countries as the number of ASRs gets very small. </w:t>
      </w:r>
    </w:p>
    <w:p w:rsidR="00B65819" w:rsidRDefault="00B65819" w:rsidP="006E0742">
      <w:pPr>
        <w:pStyle w:val="ListParagraph"/>
        <w:tabs>
          <w:tab w:val="left" w:pos="7938"/>
        </w:tabs>
        <w:spacing w:after="120" w:line="360" w:lineRule="auto"/>
        <w:ind w:left="-1134"/>
        <w:rPr>
          <w:rFonts w:ascii="Times New Roman" w:hAnsi="Times New Roman" w:cs="Times New Roman"/>
          <w:b/>
          <w:sz w:val="24"/>
          <w:szCs w:val="24"/>
        </w:rPr>
      </w:pPr>
    </w:p>
    <w:p w:rsidR="00BB27B6" w:rsidRDefault="00BB27B6" w:rsidP="006E0742">
      <w:pPr>
        <w:pStyle w:val="ListParagraph"/>
        <w:tabs>
          <w:tab w:val="left" w:pos="7938"/>
        </w:tabs>
        <w:spacing w:after="120" w:line="360" w:lineRule="auto"/>
        <w:ind w:left="-1134"/>
        <w:rPr>
          <w:rFonts w:ascii="Times New Roman" w:hAnsi="Times New Roman" w:cs="Times New Roman"/>
          <w:b/>
          <w:sz w:val="24"/>
          <w:szCs w:val="24"/>
        </w:rPr>
      </w:pPr>
    </w:p>
    <w:p w:rsidR="00FC03E6" w:rsidRPr="002E5AD9" w:rsidRDefault="00FC03E6" w:rsidP="006E0742">
      <w:pPr>
        <w:pStyle w:val="ListParagraph"/>
        <w:tabs>
          <w:tab w:val="left" w:pos="7938"/>
        </w:tabs>
        <w:spacing w:after="120" w:line="360" w:lineRule="auto"/>
        <w:ind w:left="-1134"/>
        <w:rPr>
          <w:rFonts w:ascii="Times New Roman" w:hAnsi="Times New Roman" w:cs="Times New Roman"/>
          <w:b/>
          <w:sz w:val="24"/>
          <w:szCs w:val="24"/>
        </w:rPr>
      </w:pPr>
      <w:r w:rsidRPr="002E5AD9">
        <w:rPr>
          <w:rFonts w:ascii="Times New Roman" w:hAnsi="Times New Roman" w:cs="Times New Roman"/>
          <w:b/>
          <w:sz w:val="24"/>
          <w:szCs w:val="24"/>
        </w:rPr>
        <w:lastRenderedPageBreak/>
        <w:t>Conclusions</w:t>
      </w:r>
    </w:p>
    <w:p w:rsidR="00567910" w:rsidRDefault="00FC03E6" w:rsidP="00846F9B">
      <w:pPr>
        <w:tabs>
          <w:tab w:val="left" w:pos="7938"/>
        </w:tabs>
        <w:spacing w:after="120" w:line="360" w:lineRule="auto"/>
        <w:ind w:left="-1134"/>
        <w:jc w:val="both"/>
        <w:rPr>
          <w:sz w:val="22"/>
          <w:szCs w:val="22"/>
          <w:lang w:val="en-GB"/>
        </w:rPr>
      </w:pPr>
      <w:r w:rsidRPr="00DA04F8">
        <w:rPr>
          <w:sz w:val="22"/>
          <w:szCs w:val="22"/>
          <w:lang w:val="en-GB"/>
        </w:rPr>
        <w:t xml:space="preserve">This </w:t>
      </w:r>
      <w:r w:rsidR="004D10E1">
        <w:rPr>
          <w:sz w:val="22"/>
          <w:szCs w:val="22"/>
          <w:lang w:val="en-GB"/>
        </w:rPr>
        <w:t>paper</w:t>
      </w:r>
      <w:r w:rsidRPr="00DA04F8">
        <w:rPr>
          <w:sz w:val="22"/>
          <w:szCs w:val="22"/>
          <w:lang w:val="en-GB"/>
        </w:rPr>
        <w:t xml:space="preserve"> has explained the</w:t>
      </w:r>
      <w:r w:rsidR="00040843">
        <w:rPr>
          <w:sz w:val="22"/>
          <w:szCs w:val="22"/>
          <w:lang w:val="en-GB"/>
        </w:rPr>
        <w:t xml:space="preserve"> purpose,</w:t>
      </w:r>
      <w:r w:rsidRPr="00DA04F8">
        <w:rPr>
          <w:sz w:val="22"/>
          <w:szCs w:val="22"/>
          <w:lang w:val="en-GB"/>
        </w:rPr>
        <w:t xml:space="preserve"> </w:t>
      </w:r>
      <w:r w:rsidR="00EC3E67">
        <w:rPr>
          <w:sz w:val="22"/>
          <w:szCs w:val="22"/>
          <w:lang w:val="en-GB"/>
        </w:rPr>
        <w:t>structure and functionality</w:t>
      </w:r>
      <w:r w:rsidRPr="00DA04F8">
        <w:rPr>
          <w:sz w:val="22"/>
          <w:szCs w:val="22"/>
          <w:lang w:val="en-GB"/>
        </w:rPr>
        <w:t xml:space="preserve"> of </w:t>
      </w:r>
      <w:r w:rsidR="00846F9B">
        <w:rPr>
          <w:sz w:val="22"/>
          <w:szCs w:val="22"/>
          <w:lang w:val="en-GB"/>
        </w:rPr>
        <w:t>the IMAGE</w:t>
      </w:r>
      <w:r w:rsidRPr="00DA04F8">
        <w:rPr>
          <w:sz w:val="22"/>
          <w:szCs w:val="22"/>
          <w:lang w:val="en-GB"/>
        </w:rPr>
        <w:t xml:space="preserve"> studio for analysing internal migration</w:t>
      </w:r>
      <w:r w:rsidR="00040843">
        <w:rPr>
          <w:sz w:val="22"/>
          <w:szCs w:val="22"/>
          <w:lang w:val="en-GB"/>
        </w:rPr>
        <w:t>. The computation of internal migration measures</w:t>
      </w:r>
      <w:r w:rsidR="00040843" w:rsidRPr="00DA04F8">
        <w:rPr>
          <w:sz w:val="22"/>
          <w:szCs w:val="22"/>
          <w:lang w:val="en-GB"/>
        </w:rPr>
        <w:t xml:space="preserve"> and </w:t>
      </w:r>
      <w:r w:rsidR="00040843">
        <w:rPr>
          <w:sz w:val="22"/>
          <w:szCs w:val="22"/>
          <w:lang w:val="en-GB"/>
        </w:rPr>
        <w:t xml:space="preserve">the calibration of spatial </w:t>
      </w:r>
      <w:r w:rsidR="00040843" w:rsidRPr="00DA04F8">
        <w:rPr>
          <w:sz w:val="22"/>
          <w:szCs w:val="22"/>
          <w:lang w:val="en-GB"/>
        </w:rPr>
        <w:t>interaction model</w:t>
      </w:r>
      <w:r w:rsidR="00040843">
        <w:rPr>
          <w:sz w:val="22"/>
          <w:szCs w:val="22"/>
          <w:lang w:val="en-GB"/>
        </w:rPr>
        <w:t>s represent a valuable toolkit for migration analysts to generate migration indicators that can be used to support policy making, whereas the</w:t>
      </w:r>
      <w:r w:rsidRPr="00DA04F8">
        <w:rPr>
          <w:sz w:val="22"/>
          <w:szCs w:val="22"/>
          <w:lang w:val="en-GB"/>
        </w:rPr>
        <w:t xml:space="preserve"> </w:t>
      </w:r>
      <w:r w:rsidR="00567910">
        <w:rPr>
          <w:sz w:val="22"/>
          <w:szCs w:val="22"/>
          <w:lang w:val="en-GB"/>
        </w:rPr>
        <w:t>spatial</w:t>
      </w:r>
      <w:r w:rsidRPr="00DA04F8">
        <w:rPr>
          <w:sz w:val="22"/>
          <w:szCs w:val="22"/>
          <w:lang w:val="en-GB"/>
        </w:rPr>
        <w:t xml:space="preserve"> aggregation </w:t>
      </w:r>
      <w:r w:rsidR="00040843">
        <w:rPr>
          <w:sz w:val="22"/>
          <w:szCs w:val="22"/>
          <w:lang w:val="en-GB"/>
        </w:rPr>
        <w:t>routines</w:t>
      </w:r>
      <w:r w:rsidR="00BB27B6">
        <w:rPr>
          <w:sz w:val="22"/>
          <w:szCs w:val="22"/>
          <w:lang w:val="en-GB"/>
        </w:rPr>
        <w:t xml:space="preserve"> allow investigation of </w:t>
      </w:r>
      <w:r w:rsidR="00040843">
        <w:rPr>
          <w:sz w:val="22"/>
          <w:szCs w:val="22"/>
          <w:lang w:val="en-GB"/>
        </w:rPr>
        <w:t xml:space="preserve">the scale and zonation effects of the </w:t>
      </w:r>
      <w:r w:rsidR="00BB27B6">
        <w:rPr>
          <w:sz w:val="22"/>
          <w:szCs w:val="22"/>
          <w:lang w:val="en-GB"/>
        </w:rPr>
        <w:t xml:space="preserve">MAUP </w:t>
      </w:r>
      <w:r w:rsidR="00040843">
        <w:rPr>
          <w:sz w:val="22"/>
          <w:szCs w:val="22"/>
          <w:lang w:val="en-GB"/>
        </w:rPr>
        <w:t>on migration.</w:t>
      </w:r>
    </w:p>
    <w:p w:rsidR="00846F9B" w:rsidRDefault="00FC03E6" w:rsidP="00DA19D2">
      <w:pPr>
        <w:tabs>
          <w:tab w:val="left" w:pos="7938"/>
        </w:tabs>
        <w:spacing w:after="120" w:line="360" w:lineRule="auto"/>
        <w:ind w:left="-1134"/>
        <w:jc w:val="both"/>
        <w:rPr>
          <w:sz w:val="22"/>
          <w:szCs w:val="22"/>
          <w:lang w:val="en-GB"/>
        </w:rPr>
      </w:pPr>
      <w:r w:rsidRPr="00DA04F8">
        <w:rPr>
          <w:sz w:val="22"/>
          <w:szCs w:val="22"/>
          <w:lang w:val="en-GB"/>
        </w:rPr>
        <w:t xml:space="preserve">The results </w:t>
      </w:r>
      <w:r w:rsidR="00567910">
        <w:rPr>
          <w:sz w:val="22"/>
          <w:szCs w:val="22"/>
          <w:lang w:val="en-GB"/>
        </w:rPr>
        <w:t xml:space="preserve">of our two </w:t>
      </w:r>
      <w:r w:rsidR="00040843">
        <w:rPr>
          <w:sz w:val="22"/>
          <w:szCs w:val="22"/>
          <w:lang w:val="en-GB"/>
        </w:rPr>
        <w:t xml:space="preserve">selected </w:t>
      </w:r>
      <w:r w:rsidR="00846F9B">
        <w:rPr>
          <w:sz w:val="22"/>
          <w:szCs w:val="22"/>
          <w:lang w:val="en-GB"/>
        </w:rPr>
        <w:t>analyses,</w:t>
      </w:r>
      <w:r w:rsidR="00E60BCA">
        <w:rPr>
          <w:sz w:val="22"/>
          <w:szCs w:val="22"/>
          <w:lang w:val="en-GB"/>
        </w:rPr>
        <w:t xml:space="preserve"> </w:t>
      </w:r>
      <w:r w:rsidR="00537C73">
        <w:rPr>
          <w:sz w:val="22"/>
          <w:szCs w:val="22"/>
          <w:lang w:val="en-GB"/>
        </w:rPr>
        <w:t xml:space="preserve">using </w:t>
      </w:r>
      <w:r w:rsidR="00846F9B">
        <w:rPr>
          <w:sz w:val="22"/>
          <w:szCs w:val="22"/>
          <w:lang w:val="en-GB"/>
        </w:rPr>
        <w:t xml:space="preserve">different types of </w:t>
      </w:r>
      <w:r w:rsidR="00537C73">
        <w:rPr>
          <w:sz w:val="22"/>
          <w:szCs w:val="22"/>
          <w:lang w:val="en-GB"/>
        </w:rPr>
        <w:t>data for the</w:t>
      </w:r>
      <w:r w:rsidRPr="00DA04F8">
        <w:rPr>
          <w:sz w:val="22"/>
          <w:szCs w:val="22"/>
          <w:lang w:val="en-GB"/>
        </w:rPr>
        <w:t xml:space="preserve"> UK </w:t>
      </w:r>
      <w:r w:rsidR="00846F9B">
        <w:rPr>
          <w:sz w:val="22"/>
          <w:szCs w:val="22"/>
          <w:lang w:val="en-GB"/>
        </w:rPr>
        <w:t xml:space="preserve">and data from four different countries respectively, </w:t>
      </w:r>
      <w:r w:rsidRPr="00DA04F8">
        <w:rPr>
          <w:sz w:val="22"/>
          <w:szCs w:val="22"/>
          <w:lang w:val="en-GB"/>
        </w:rPr>
        <w:t xml:space="preserve">exemplify how the </w:t>
      </w:r>
      <w:r w:rsidR="00846F9B">
        <w:rPr>
          <w:sz w:val="22"/>
          <w:szCs w:val="22"/>
          <w:lang w:val="en-GB"/>
        </w:rPr>
        <w:t>studio</w:t>
      </w:r>
      <w:r w:rsidRPr="00DA04F8">
        <w:rPr>
          <w:sz w:val="22"/>
          <w:szCs w:val="22"/>
          <w:lang w:val="en-GB"/>
        </w:rPr>
        <w:t xml:space="preserve"> can be used </w:t>
      </w:r>
      <w:r w:rsidR="00EC3E67">
        <w:rPr>
          <w:sz w:val="22"/>
          <w:szCs w:val="22"/>
          <w:lang w:val="en-GB"/>
        </w:rPr>
        <w:t xml:space="preserve">with different types of data </w:t>
      </w:r>
      <w:r w:rsidRPr="00DA04F8">
        <w:rPr>
          <w:sz w:val="22"/>
          <w:szCs w:val="22"/>
          <w:lang w:val="en-GB"/>
        </w:rPr>
        <w:t>to examine variations in distance decay and distance moved at different levels of spatial aggregation</w:t>
      </w:r>
      <w:r w:rsidR="00846F9B">
        <w:rPr>
          <w:sz w:val="22"/>
          <w:szCs w:val="22"/>
          <w:lang w:val="en-GB"/>
        </w:rPr>
        <w:t xml:space="preserve"> in one country or to make international comparisons</w:t>
      </w:r>
      <w:r w:rsidRPr="00DA04F8">
        <w:rPr>
          <w:sz w:val="22"/>
          <w:szCs w:val="22"/>
          <w:lang w:val="en-GB"/>
        </w:rPr>
        <w:t>. The</w:t>
      </w:r>
      <w:r w:rsidR="00846F9B">
        <w:rPr>
          <w:sz w:val="22"/>
          <w:szCs w:val="22"/>
          <w:lang w:val="en-GB"/>
        </w:rPr>
        <w:t xml:space="preserve"> results</w:t>
      </w:r>
      <w:r w:rsidRPr="00DA04F8">
        <w:rPr>
          <w:sz w:val="22"/>
          <w:szCs w:val="22"/>
          <w:lang w:val="en-GB"/>
        </w:rPr>
        <w:t xml:space="preserve"> illustrate the extent of the MAUP scale and </w:t>
      </w:r>
      <w:r w:rsidR="00EC61F3">
        <w:rPr>
          <w:sz w:val="22"/>
          <w:szCs w:val="22"/>
          <w:lang w:val="en-GB"/>
        </w:rPr>
        <w:t>zonation</w:t>
      </w:r>
      <w:r w:rsidRPr="00DA04F8">
        <w:rPr>
          <w:sz w:val="22"/>
          <w:szCs w:val="22"/>
          <w:lang w:val="en-GB"/>
        </w:rPr>
        <w:t xml:space="preserve"> effects when analysing internal</w:t>
      </w:r>
      <w:r w:rsidR="00846F9B">
        <w:rPr>
          <w:sz w:val="22"/>
          <w:szCs w:val="22"/>
          <w:lang w:val="en-GB"/>
        </w:rPr>
        <w:t xml:space="preserve"> migration in the UK and when comparing migration in the UK with migration in other northern European countries.</w:t>
      </w:r>
      <w:r w:rsidR="00BB27B6">
        <w:rPr>
          <w:sz w:val="22"/>
          <w:szCs w:val="22"/>
          <w:lang w:val="en-GB"/>
        </w:rPr>
        <w:t xml:space="preserve"> </w:t>
      </w:r>
      <w:r w:rsidR="00846F9B">
        <w:rPr>
          <w:sz w:val="22"/>
          <w:szCs w:val="22"/>
          <w:lang w:val="en-GB"/>
        </w:rPr>
        <w:t>In the case of the UK, t</w:t>
      </w:r>
      <w:r w:rsidRPr="00DA04F8">
        <w:rPr>
          <w:sz w:val="22"/>
          <w:szCs w:val="22"/>
          <w:lang w:val="en-GB"/>
        </w:rPr>
        <w:t xml:space="preserve">he results suggest that the scale effect of the friction of distance on migration is </w:t>
      </w:r>
      <w:r w:rsidR="00846F9B">
        <w:rPr>
          <w:sz w:val="22"/>
          <w:szCs w:val="22"/>
          <w:lang w:val="en-GB"/>
        </w:rPr>
        <w:t>very</w:t>
      </w:r>
      <w:r w:rsidRPr="00DA04F8">
        <w:rPr>
          <w:sz w:val="22"/>
          <w:szCs w:val="22"/>
          <w:lang w:val="en-GB"/>
        </w:rPr>
        <w:t xml:space="preserve"> small when the spatial system contains over 50 regions but varies more with lower numbers of regions. Similarly, the </w:t>
      </w:r>
      <w:r w:rsidR="00EC61F3">
        <w:rPr>
          <w:sz w:val="22"/>
          <w:szCs w:val="22"/>
          <w:lang w:val="en-GB"/>
        </w:rPr>
        <w:t>zonation</w:t>
      </w:r>
      <w:r w:rsidRPr="00DA04F8">
        <w:rPr>
          <w:sz w:val="22"/>
          <w:szCs w:val="22"/>
          <w:lang w:val="en-GB"/>
        </w:rPr>
        <w:t xml:space="preserve"> effect is also more apparent when the spatial system contains relatively low numbers of regions, as indicated by the widening of the </w:t>
      </w:r>
      <w:r w:rsidR="00040843">
        <w:rPr>
          <w:sz w:val="22"/>
          <w:szCs w:val="22"/>
          <w:lang w:val="en-GB"/>
        </w:rPr>
        <w:t xml:space="preserve">inter-quartile </w:t>
      </w:r>
      <w:r w:rsidRPr="00DA04F8">
        <w:rPr>
          <w:sz w:val="22"/>
          <w:szCs w:val="22"/>
          <w:lang w:val="en-GB"/>
        </w:rPr>
        <w:t xml:space="preserve">range around the mean values of </w:t>
      </w:r>
      <w:r w:rsidR="00846F9B" w:rsidRPr="00846F9B">
        <w:rPr>
          <w:sz w:val="22"/>
          <w:szCs w:val="22"/>
          <w:lang w:val="en-GB"/>
        </w:rPr>
        <w:t>the decay parameter</w:t>
      </w:r>
      <w:r w:rsidRPr="00DA04F8">
        <w:rPr>
          <w:sz w:val="22"/>
          <w:szCs w:val="22"/>
          <w:lang w:val="en-GB"/>
        </w:rPr>
        <w:t xml:space="preserve">. On the other hand, there is a significant scale effect evident in the mean distance of migration which shows an exponential increase as the number of </w:t>
      </w:r>
      <w:r w:rsidR="004D10E1">
        <w:rPr>
          <w:sz w:val="22"/>
          <w:szCs w:val="22"/>
          <w:lang w:val="en-GB"/>
        </w:rPr>
        <w:t>ASR</w:t>
      </w:r>
      <w:r w:rsidRPr="00DA04F8">
        <w:rPr>
          <w:sz w:val="22"/>
          <w:szCs w:val="22"/>
          <w:lang w:val="en-GB"/>
        </w:rPr>
        <w:t xml:space="preserve">s declines, but the </w:t>
      </w:r>
      <w:r w:rsidR="00EC61F3">
        <w:rPr>
          <w:sz w:val="22"/>
          <w:szCs w:val="22"/>
          <w:lang w:val="en-GB"/>
        </w:rPr>
        <w:t>zon</w:t>
      </w:r>
      <w:r w:rsidRPr="00DA04F8">
        <w:rPr>
          <w:sz w:val="22"/>
          <w:szCs w:val="22"/>
          <w:lang w:val="en-GB"/>
        </w:rPr>
        <w:t xml:space="preserve">ation effect is minimal throughout the series of steps. </w:t>
      </w:r>
    </w:p>
    <w:p w:rsidR="00846F9B" w:rsidRDefault="00846F9B" w:rsidP="00DA19D2">
      <w:pPr>
        <w:tabs>
          <w:tab w:val="left" w:pos="7938"/>
        </w:tabs>
        <w:spacing w:after="120" w:line="360" w:lineRule="auto"/>
        <w:ind w:left="-1134"/>
        <w:jc w:val="both"/>
        <w:rPr>
          <w:sz w:val="22"/>
          <w:szCs w:val="22"/>
          <w:lang w:val="en-GB"/>
        </w:rPr>
      </w:pPr>
      <w:r>
        <w:rPr>
          <w:sz w:val="22"/>
          <w:szCs w:val="22"/>
          <w:lang w:val="en-GB"/>
        </w:rPr>
        <w:t xml:space="preserve">The results of the international comparison suggest that migrants in Germany are more influenced by distance than those in </w:t>
      </w:r>
      <w:r w:rsidR="001561F0">
        <w:rPr>
          <w:sz w:val="22"/>
          <w:szCs w:val="22"/>
          <w:lang w:val="en-GB"/>
        </w:rPr>
        <w:t xml:space="preserve">the UK </w:t>
      </w:r>
      <w:r>
        <w:rPr>
          <w:sz w:val="22"/>
          <w:szCs w:val="22"/>
          <w:lang w:val="en-GB"/>
        </w:rPr>
        <w:t xml:space="preserve">but like </w:t>
      </w:r>
      <w:r w:rsidR="005907F1">
        <w:rPr>
          <w:sz w:val="22"/>
          <w:szCs w:val="22"/>
          <w:lang w:val="en-GB"/>
        </w:rPr>
        <w:t>the</w:t>
      </w:r>
      <w:r>
        <w:rPr>
          <w:sz w:val="22"/>
          <w:szCs w:val="22"/>
          <w:lang w:val="en-GB"/>
        </w:rPr>
        <w:t xml:space="preserve"> UK, the scale effect </w:t>
      </w:r>
      <w:r w:rsidR="005907F1">
        <w:rPr>
          <w:sz w:val="22"/>
          <w:szCs w:val="22"/>
          <w:lang w:val="en-GB"/>
        </w:rPr>
        <w:t>on the frictional effect of distance</w:t>
      </w:r>
      <w:r w:rsidR="00040843">
        <w:rPr>
          <w:sz w:val="22"/>
          <w:szCs w:val="22"/>
          <w:lang w:val="en-GB"/>
        </w:rPr>
        <w:t xml:space="preserve"> </w:t>
      </w:r>
      <w:r w:rsidR="005907F1">
        <w:rPr>
          <w:sz w:val="22"/>
          <w:szCs w:val="22"/>
          <w:lang w:val="en-GB"/>
        </w:rPr>
        <w:t xml:space="preserve">is negligible until the ASRs become relatively large. On the other hand, whilst migrants in Finland are more influenced by distance than those in Sweden, there is a strong scale effect apparent in both the Scandinavian countries.  </w:t>
      </w:r>
    </w:p>
    <w:p w:rsidR="00B720B7" w:rsidRDefault="005907F1" w:rsidP="00DA19D2">
      <w:pPr>
        <w:tabs>
          <w:tab w:val="left" w:pos="7938"/>
        </w:tabs>
        <w:spacing w:after="120" w:line="360" w:lineRule="auto"/>
        <w:ind w:left="-1134"/>
        <w:jc w:val="both"/>
        <w:rPr>
          <w:sz w:val="22"/>
          <w:szCs w:val="22"/>
          <w:lang w:val="en-GB"/>
        </w:rPr>
      </w:pPr>
      <w:r>
        <w:rPr>
          <w:sz w:val="22"/>
          <w:szCs w:val="22"/>
          <w:lang w:val="en-GB"/>
        </w:rPr>
        <w:t xml:space="preserve">These findings </w:t>
      </w:r>
      <w:r w:rsidR="004D4730">
        <w:rPr>
          <w:sz w:val="22"/>
          <w:szCs w:val="22"/>
          <w:lang w:val="en-GB"/>
        </w:rPr>
        <w:t>stimulate</w:t>
      </w:r>
      <w:r>
        <w:rPr>
          <w:sz w:val="22"/>
          <w:szCs w:val="22"/>
          <w:lang w:val="en-GB"/>
        </w:rPr>
        <w:t xml:space="preserve"> the need for f</w:t>
      </w:r>
      <w:r w:rsidR="00FC03E6" w:rsidRPr="00DA04F8">
        <w:rPr>
          <w:sz w:val="22"/>
          <w:szCs w:val="22"/>
          <w:lang w:val="en-GB"/>
        </w:rPr>
        <w:t xml:space="preserve">urther investigation </w:t>
      </w:r>
      <w:r>
        <w:rPr>
          <w:sz w:val="22"/>
          <w:szCs w:val="22"/>
          <w:lang w:val="en-GB"/>
        </w:rPr>
        <w:t xml:space="preserve">of scale and </w:t>
      </w:r>
      <w:r w:rsidR="00EC61F3">
        <w:rPr>
          <w:sz w:val="22"/>
          <w:szCs w:val="22"/>
          <w:lang w:val="en-GB"/>
        </w:rPr>
        <w:t>zon</w:t>
      </w:r>
      <w:r>
        <w:rPr>
          <w:sz w:val="22"/>
          <w:szCs w:val="22"/>
          <w:lang w:val="en-GB"/>
        </w:rPr>
        <w:t xml:space="preserve">ation effects in </w:t>
      </w:r>
      <w:r w:rsidR="004D4730">
        <w:rPr>
          <w:sz w:val="22"/>
          <w:szCs w:val="22"/>
          <w:lang w:val="en-GB"/>
        </w:rPr>
        <w:t xml:space="preserve">the internal migration patterns in </w:t>
      </w:r>
      <w:r>
        <w:rPr>
          <w:sz w:val="22"/>
          <w:szCs w:val="22"/>
          <w:lang w:val="en-GB"/>
        </w:rPr>
        <w:t xml:space="preserve">other countries to ascertain whether there are regularities apparent in countries with different </w:t>
      </w:r>
      <w:r w:rsidR="004D4730">
        <w:rPr>
          <w:sz w:val="22"/>
          <w:szCs w:val="22"/>
          <w:lang w:val="en-GB"/>
        </w:rPr>
        <w:t>topographical or regional characteristics; this is one of the objectives of the IMAGE project.</w:t>
      </w:r>
      <w:r w:rsidR="00040843">
        <w:rPr>
          <w:sz w:val="22"/>
          <w:szCs w:val="22"/>
          <w:lang w:val="en-GB"/>
        </w:rPr>
        <w:t xml:space="preserve"> </w:t>
      </w:r>
      <w:r w:rsidR="004D4730">
        <w:rPr>
          <w:sz w:val="22"/>
          <w:szCs w:val="22"/>
          <w:lang w:val="en-GB"/>
        </w:rPr>
        <w:t>In addition, the IMAGE studio also provides th</w:t>
      </w:r>
      <w:r w:rsidR="001561F0">
        <w:rPr>
          <w:sz w:val="22"/>
          <w:szCs w:val="22"/>
          <w:lang w:val="en-GB"/>
        </w:rPr>
        <w:t xml:space="preserve">e </w:t>
      </w:r>
      <w:r w:rsidR="004D4730">
        <w:rPr>
          <w:sz w:val="22"/>
          <w:szCs w:val="22"/>
          <w:lang w:val="en-GB"/>
        </w:rPr>
        <w:t xml:space="preserve">opportunity to undertake further experimental work </w:t>
      </w:r>
      <w:r w:rsidR="00FC03E6" w:rsidRPr="00DA04F8">
        <w:rPr>
          <w:sz w:val="22"/>
          <w:szCs w:val="22"/>
          <w:lang w:val="en-GB"/>
        </w:rPr>
        <w:t xml:space="preserve">using different step sizes and numbers of different </w:t>
      </w:r>
      <w:proofErr w:type="spellStart"/>
      <w:r w:rsidR="00EC61F3">
        <w:rPr>
          <w:sz w:val="22"/>
          <w:szCs w:val="22"/>
          <w:lang w:val="en-GB"/>
        </w:rPr>
        <w:t>zonation</w:t>
      </w:r>
      <w:r w:rsidR="00FC03E6" w:rsidRPr="00DA04F8">
        <w:rPr>
          <w:sz w:val="22"/>
          <w:szCs w:val="22"/>
          <w:lang w:val="en-GB"/>
        </w:rPr>
        <w:t>s</w:t>
      </w:r>
      <w:proofErr w:type="spellEnd"/>
      <w:r w:rsidR="00FC03E6" w:rsidRPr="00DA04F8">
        <w:rPr>
          <w:sz w:val="22"/>
          <w:szCs w:val="22"/>
          <w:lang w:val="en-GB"/>
        </w:rPr>
        <w:t xml:space="preserve"> at each step</w:t>
      </w:r>
      <w:r w:rsidR="004D4730">
        <w:rPr>
          <w:sz w:val="22"/>
          <w:szCs w:val="22"/>
          <w:lang w:val="en-GB"/>
        </w:rPr>
        <w:t xml:space="preserve">. Moreover, </w:t>
      </w:r>
      <w:r w:rsidR="00EC75CE">
        <w:rPr>
          <w:sz w:val="22"/>
          <w:szCs w:val="22"/>
          <w:lang w:val="en-GB"/>
        </w:rPr>
        <w:t xml:space="preserve">the studio can be used to compute internal migration indicators and calibrate spatial interaction models </w:t>
      </w:r>
      <w:r w:rsidR="00B720B7">
        <w:rPr>
          <w:sz w:val="22"/>
          <w:szCs w:val="22"/>
          <w:lang w:val="en-GB"/>
        </w:rPr>
        <w:t xml:space="preserve">for </w:t>
      </w:r>
      <w:r w:rsidR="00EC75CE">
        <w:rPr>
          <w:sz w:val="22"/>
          <w:szCs w:val="22"/>
          <w:lang w:val="en-GB"/>
        </w:rPr>
        <w:t>migrant flows</w:t>
      </w:r>
      <w:r w:rsidR="00B720B7">
        <w:rPr>
          <w:sz w:val="22"/>
          <w:szCs w:val="22"/>
          <w:lang w:val="en-GB"/>
        </w:rPr>
        <w:t xml:space="preserve"> in one country disaggregated by demographic or socio-demographic variables such as age, sex, ethnicity, occupation or qualifications. </w:t>
      </w:r>
    </w:p>
    <w:p w:rsidR="004D4730" w:rsidRDefault="004A455A" w:rsidP="004A455A">
      <w:pPr>
        <w:tabs>
          <w:tab w:val="left" w:pos="7938"/>
        </w:tabs>
        <w:spacing w:after="120" w:line="360" w:lineRule="auto"/>
        <w:ind w:left="-1134"/>
        <w:jc w:val="both"/>
        <w:rPr>
          <w:sz w:val="22"/>
          <w:szCs w:val="22"/>
          <w:lang w:val="en-GB"/>
        </w:rPr>
      </w:pPr>
      <w:r>
        <w:rPr>
          <w:sz w:val="22"/>
          <w:szCs w:val="22"/>
          <w:lang w:val="en-GB"/>
        </w:rPr>
        <w:t>T</w:t>
      </w:r>
      <w:r w:rsidRPr="004A455A">
        <w:rPr>
          <w:sz w:val="22"/>
          <w:szCs w:val="22"/>
          <w:lang w:val="en-GB"/>
        </w:rPr>
        <w:t xml:space="preserve">he studio </w:t>
      </w:r>
      <w:r w:rsidR="009F52B9" w:rsidRPr="004A455A">
        <w:rPr>
          <w:sz w:val="22"/>
          <w:szCs w:val="22"/>
          <w:lang w:val="en-GB"/>
        </w:rPr>
        <w:t xml:space="preserve">itself </w:t>
      </w:r>
      <w:r w:rsidR="009F52B9">
        <w:rPr>
          <w:sz w:val="22"/>
          <w:szCs w:val="22"/>
          <w:lang w:val="en-GB"/>
        </w:rPr>
        <w:t>would</w:t>
      </w:r>
      <w:r>
        <w:rPr>
          <w:sz w:val="22"/>
          <w:szCs w:val="22"/>
          <w:lang w:val="en-GB"/>
        </w:rPr>
        <w:t xml:space="preserve"> benefit from f</w:t>
      </w:r>
      <w:r w:rsidR="004D4730" w:rsidRPr="004A455A">
        <w:rPr>
          <w:sz w:val="22"/>
          <w:szCs w:val="22"/>
          <w:lang w:val="en-GB"/>
        </w:rPr>
        <w:t xml:space="preserve">urther work </w:t>
      </w:r>
      <w:r>
        <w:rPr>
          <w:sz w:val="22"/>
          <w:szCs w:val="22"/>
          <w:lang w:val="en-GB"/>
        </w:rPr>
        <w:t>t</w:t>
      </w:r>
      <w:r w:rsidR="004D4730" w:rsidRPr="004A455A">
        <w:rPr>
          <w:sz w:val="22"/>
          <w:szCs w:val="22"/>
          <w:lang w:val="en-GB"/>
        </w:rPr>
        <w:t xml:space="preserve">o develop </w:t>
      </w:r>
      <w:r w:rsidR="00B720B7" w:rsidRPr="004A455A">
        <w:rPr>
          <w:sz w:val="22"/>
          <w:szCs w:val="22"/>
          <w:lang w:val="en-GB"/>
        </w:rPr>
        <w:t>an</w:t>
      </w:r>
      <w:r w:rsidR="00B720B7" w:rsidRPr="009F52B9">
        <w:rPr>
          <w:sz w:val="22"/>
          <w:szCs w:val="22"/>
          <w:lang w:val="en-GB"/>
        </w:rPr>
        <w:t xml:space="preserve"> optimisation algorithm for </w:t>
      </w:r>
      <w:r w:rsidR="00B720B7" w:rsidRPr="004A455A">
        <w:rPr>
          <w:sz w:val="22"/>
          <w:szCs w:val="22"/>
          <w:lang w:val="en-GB"/>
        </w:rPr>
        <w:t>producing</w:t>
      </w:r>
      <w:r w:rsidR="00040843">
        <w:rPr>
          <w:sz w:val="22"/>
          <w:szCs w:val="22"/>
          <w:lang w:val="en-GB"/>
        </w:rPr>
        <w:t xml:space="preserve"> </w:t>
      </w:r>
      <w:r w:rsidR="00B720B7" w:rsidRPr="004A455A">
        <w:rPr>
          <w:sz w:val="22"/>
          <w:szCs w:val="22"/>
          <w:lang w:val="en-GB"/>
        </w:rPr>
        <w:t xml:space="preserve">ASRs with equal populations or to allow the user to choose to build ASRs based on the criterion of </w:t>
      </w:r>
      <w:r w:rsidR="00B720B7" w:rsidRPr="009F52B9">
        <w:rPr>
          <w:sz w:val="22"/>
          <w:szCs w:val="22"/>
          <w:lang w:val="en-GB"/>
        </w:rPr>
        <w:t xml:space="preserve">equality of any given variable (e.g. households, population density, </w:t>
      </w:r>
      <w:proofErr w:type="gramStart"/>
      <w:r w:rsidR="00B720B7" w:rsidRPr="009F52B9">
        <w:rPr>
          <w:sz w:val="22"/>
          <w:szCs w:val="22"/>
          <w:lang w:val="en-GB"/>
        </w:rPr>
        <w:t>number</w:t>
      </w:r>
      <w:proofErr w:type="gramEnd"/>
      <w:r w:rsidR="00B720B7" w:rsidRPr="009F52B9">
        <w:rPr>
          <w:sz w:val="22"/>
          <w:szCs w:val="22"/>
          <w:lang w:val="en-GB"/>
        </w:rPr>
        <w:t xml:space="preserve"> of migrations).</w:t>
      </w:r>
      <w:r w:rsidR="00B720B7" w:rsidRPr="004A455A">
        <w:rPr>
          <w:sz w:val="22"/>
          <w:szCs w:val="22"/>
          <w:lang w:val="en-GB"/>
        </w:rPr>
        <w:t xml:space="preserve"> There </w:t>
      </w:r>
      <w:r w:rsidR="00B720B7" w:rsidRPr="004A455A">
        <w:rPr>
          <w:sz w:val="22"/>
          <w:szCs w:val="22"/>
          <w:lang w:val="en-GB"/>
        </w:rPr>
        <w:lastRenderedPageBreak/>
        <w:t xml:space="preserve">would also be value in developing a </w:t>
      </w:r>
      <w:r w:rsidR="00B720B7" w:rsidRPr="009F52B9">
        <w:rPr>
          <w:sz w:val="22"/>
          <w:szCs w:val="22"/>
          <w:lang w:val="en-GB"/>
        </w:rPr>
        <w:t>compactness algorithm using the mean coordinates</w:t>
      </w:r>
      <w:r w:rsidR="00B720B7" w:rsidRPr="004A455A">
        <w:rPr>
          <w:sz w:val="22"/>
          <w:szCs w:val="22"/>
          <w:lang w:val="en-GB"/>
        </w:rPr>
        <w:t xml:space="preserve"> of the ASR centroids which would be used in </w:t>
      </w:r>
      <w:r w:rsidRPr="004A455A">
        <w:rPr>
          <w:sz w:val="22"/>
          <w:szCs w:val="22"/>
          <w:lang w:val="en-GB"/>
        </w:rPr>
        <w:t>conjunction with the a</w:t>
      </w:r>
      <w:r w:rsidR="00B720B7" w:rsidRPr="009F52B9">
        <w:rPr>
          <w:sz w:val="22"/>
          <w:szCs w:val="22"/>
          <w:lang w:val="en-GB"/>
        </w:rPr>
        <w:t>lgorithm for producing ASRs using equal populated areas.</w:t>
      </w:r>
      <w:r>
        <w:rPr>
          <w:sz w:val="22"/>
          <w:szCs w:val="22"/>
          <w:lang w:val="en-GB"/>
        </w:rPr>
        <w:t xml:space="preserve"> Beyond this, it would be useful to extend the range of spatial interaction models and to </w:t>
      </w:r>
      <w:r w:rsidR="004D4730">
        <w:rPr>
          <w:sz w:val="22"/>
          <w:szCs w:val="22"/>
          <w:lang w:val="en-GB"/>
        </w:rPr>
        <w:t>automate some graphical facilities for summarizing and visualising the results of the analysis</w:t>
      </w:r>
      <w:r w:rsidR="004D4730" w:rsidRPr="00DA04F8">
        <w:rPr>
          <w:sz w:val="22"/>
          <w:szCs w:val="22"/>
          <w:lang w:val="en-GB"/>
        </w:rPr>
        <w:t>.</w:t>
      </w:r>
      <w:r w:rsidR="00BB27B6">
        <w:rPr>
          <w:sz w:val="22"/>
          <w:szCs w:val="22"/>
          <w:lang w:val="en-GB"/>
        </w:rPr>
        <w:t xml:space="preserve"> </w:t>
      </w:r>
      <w:r>
        <w:rPr>
          <w:sz w:val="22"/>
          <w:szCs w:val="22"/>
          <w:lang w:val="en-GB"/>
        </w:rPr>
        <w:t xml:space="preserve">The latter is important because, when being used in multiple aggregation mode with a large number of BSUs, the studio generates an enormous number of output files which require </w:t>
      </w:r>
      <w:r w:rsidR="00DA4167">
        <w:rPr>
          <w:sz w:val="22"/>
          <w:szCs w:val="22"/>
          <w:lang w:val="en-GB"/>
        </w:rPr>
        <w:t>processing if</w:t>
      </w:r>
      <w:r>
        <w:rPr>
          <w:sz w:val="22"/>
          <w:szCs w:val="22"/>
          <w:lang w:val="en-GB"/>
        </w:rPr>
        <w:t xml:space="preserve"> only to extract the summary statistics.</w:t>
      </w:r>
    </w:p>
    <w:p w:rsidR="00F16FC4" w:rsidRDefault="004D4730" w:rsidP="00F16FC4">
      <w:pPr>
        <w:tabs>
          <w:tab w:val="left" w:pos="7938"/>
        </w:tabs>
        <w:spacing w:after="120" w:line="360" w:lineRule="auto"/>
        <w:ind w:left="-1134"/>
        <w:jc w:val="both"/>
        <w:rPr>
          <w:b/>
          <w:sz w:val="22"/>
          <w:szCs w:val="22"/>
          <w:lang w:val="en-GB"/>
        </w:rPr>
      </w:pPr>
      <w:r>
        <w:rPr>
          <w:sz w:val="22"/>
          <w:szCs w:val="22"/>
          <w:lang w:val="en-GB"/>
        </w:rPr>
        <w:t xml:space="preserve">Thus, in conclusion, </w:t>
      </w:r>
      <w:r w:rsidR="00F144CC">
        <w:rPr>
          <w:sz w:val="22"/>
          <w:szCs w:val="22"/>
          <w:lang w:val="en-GB"/>
        </w:rPr>
        <w:t>i</w:t>
      </w:r>
      <w:r w:rsidR="00F144CC" w:rsidRPr="00DA04F8">
        <w:rPr>
          <w:sz w:val="22"/>
          <w:szCs w:val="22"/>
          <w:lang w:val="en-GB"/>
        </w:rPr>
        <w:t>t is envisaged that th</w:t>
      </w:r>
      <w:r w:rsidR="00F144CC">
        <w:rPr>
          <w:sz w:val="22"/>
          <w:szCs w:val="22"/>
          <w:lang w:val="en-GB"/>
        </w:rPr>
        <w:t>e studio</w:t>
      </w:r>
      <w:r w:rsidR="00F144CC" w:rsidRPr="00DA04F8">
        <w:rPr>
          <w:sz w:val="22"/>
          <w:szCs w:val="22"/>
          <w:lang w:val="en-GB"/>
        </w:rPr>
        <w:t xml:space="preserve"> will be used to facilitate comparative analysis of internal migration in different countries across the world</w:t>
      </w:r>
      <w:r>
        <w:rPr>
          <w:sz w:val="22"/>
          <w:szCs w:val="22"/>
          <w:lang w:val="en-GB"/>
        </w:rPr>
        <w:t xml:space="preserve"> and we hope that migration analysts will feel inspired to work with the IMAGE team using the studio with their own data or with data sets held in the IMAGE repository</w:t>
      </w:r>
      <w:r w:rsidR="00F144CC" w:rsidRPr="00DA04F8">
        <w:rPr>
          <w:sz w:val="22"/>
          <w:szCs w:val="22"/>
          <w:lang w:val="en-GB"/>
        </w:rPr>
        <w:t xml:space="preserve">. </w:t>
      </w:r>
    </w:p>
    <w:p w:rsidR="00FC03E6" w:rsidRPr="00F16FC4" w:rsidRDefault="00FC03E6" w:rsidP="00F16FC4">
      <w:pPr>
        <w:tabs>
          <w:tab w:val="left" w:pos="7938"/>
        </w:tabs>
        <w:spacing w:after="120" w:line="360" w:lineRule="auto"/>
        <w:ind w:left="-1134"/>
        <w:jc w:val="both"/>
        <w:rPr>
          <w:b/>
          <w:lang w:val="en-GB"/>
        </w:rPr>
      </w:pPr>
      <w:r w:rsidRPr="00F16FC4">
        <w:rPr>
          <w:b/>
          <w:lang w:val="en-GB"/>
        </w:rPr>
        <w:t>Acknowledgements</w:t>
      </w:r>
    </w:p>
    <w:p w:rsidR="00805D6F" w:rsidRPr="00805D6F" w:rsidRDefault="00EE0A47" w:rsidP="00805D6F">
      <w:pPr>
        <w:tabs>
          <w:tab w:val="left" w:pos="7938"/>
        </w:tabs>
        <w:spacing w:after="120" w:line="360" w:lineRule="auto"/>
        <w:ind w:left="-1134"/>
        <w:jc w:val="both"/>
        <w:rPr>
          <w:color w:val="333333"/>
          <w:sz w:val="22"/>
          <w:szCs w:val="22"/>
          <w:lang w:val="en-GB" w:eastAsia="en-GB"/>
        </w:rPr>
      </w:pPr>
      <w:r w:rsidRPr="003E05B6">
        <w:rPr>
          <w:sz w:val="22"/>
          <w:szCs w:val="22"/>
          <w:lang w:val="en-GB"/>
        </w:rPr>
        <w:t>This research is funded by Australian Research Council Discovery Project DP11010136 Comparing Internal Migration Around the World (2011-2014).</w:t>
      </w:r>
      <w:r w:rsidR="00FC03E6" w:rsidRPr="00DA04F8">
        <w:rPr>
          <w:sz w:val="22"/>
          <w:szCs w:val="22"/>
          <w:lang w:val="en-GB"/>
        </w:rPr>
        <w:t xml:space="preserve">Thanks </w:t>
      </w:r>
      <w:r w:rsidR="00B9067D">
        <w:rPr>
          <w:sz w:val="22"/>
          <w:szCs w:val="22"/>
          <w:lang w:val="en-GB"/>
        </w:rPr>
        <w:t xml:space="preserve">to </w:t>
      </w:r>
      <w:r w:rsidR="00F16FC4">
        <w:rPr>
          <w:sz w:val="22"/>
          <w:szCs w:val="22"/>
          <w:lang w:val="en-GB"/>
        </w:rPr>
        <w:t xml:space="preserve">Tom Wilson </w:t>
      </w:r>
      <w:r w:rsidR="00B9067D">
        <w:rPr>
          <w:sz w:val="22"/>
          <w:szCs w:val="22"/>
          <w:lang w:val="en-GB"/>
        </w:rPr>
        <w:t xml:space="preserve">for sharing his </w:t>
      </w:r>
      <w:r w:rsidR="00F27248">
        <w:rPr>
          <w:sz w:val="22"/>
          <w:szCs w:val="22"/>
          <w:lang w:val="en-GB"/>
        </w:rPr>
        <w:t xml:space="preserve">spatial aggregation </w:t>
      </w:r>
      <w:r w:rsidR="00B9067D">
        <w:rPr>
          <w:sz w:val="22"/>
          <w:szCs w:val="22"/>
          <w:lang w:val="en-GB"/>
        </w:rPr>
        <w:t xml:space="preserve">code (MIRAGE) with us </w:t>
      </w:r>
      <w:r w:rsidR="00F27248">
        <w:rPr>
          <w:sz w:val="22"/>
          <w:szCs w:val="22"/>
          <w:lang w:val="en-GB"/>
        </w:rPr>
        <w:t xml:space="preserve">and to </w:t>
      </w:r>
      <w:r w:rsidR="00F16FC4">
        <w:rPr>
          <w:sz w:val="22"/>
          <w:szCs w:val="22"/>
          <w:lang w:val="en-GB"/>
        </w:rPr>
        <w:t xml:space="preserve">Oliver Duke-Williams </w:t>
      </w:r>
      <w:r w:rsidR="00FC03E6" w:rsidRPr="00DA04F8">
        <w:rPr>
          <w:sz w:val="22"/>
          <w:szCs w:val="22"/>
          <w:lang w:val="en-GB"/>
        </w:rPr>
        <w:t xml:space="preserve">for </w:t>
      </w:r>
      <w:r w:rsidR="00F27248">
        <w:rPr>
          <w:sz w:val="22"/>
          <w:szCs w:val="22"/>
          <w:lang w:val="en-GB"/>
        </w:rPr>
        <w:t>providing</w:t>
      </w:r>
      <w:r w:rsidR="00FC03E6" w:rsidRPr="00DA04F8">
        <w:rPr>
          <w:sz w:val="22"/>
          <w:szCs w:val="22"/>
          <w:lang w:val="en-GB"/>
        </w:rPr>
        <w:t xml:space="preserve"> his code to compute migration indicators (MIGCONC) and for the upgrading and extension work that he has done on the spatial </w:t>
      </w:r>
      <w:r w:rsidR="00FC03E6" w:rsidRPr="00805D6F">
        <w:rPr>
          <w:sz w:val="22"/>
          <w:szCs w:val="22"/>
          <w:lang w:val="en-GB"/>
        </w:rPr>
        <w:t>interaction model code (ASPIC)</w:t>
      </w:r>
      <w:r w:rsidR="00F16FC4">
        <w:rPr>
          <w:sz w:val="22"/>
          <w:szCs w:val="22"/>
          <w:lang w:val="en-GB"/>
        </w:rPr>
        <w:t xml:space="preserve"> first written by John Stillwell</w:t>
      </w:r>
      <w:r w:rsidRPr="00805D6F">
        <w:rPr>
          <w:sz w:val="22"/>
          <w:szCs w:val="22"/>
          <w:lang w:val="en-GB"/>
        </w:rPr>
        <w:t>.</w:t>
      </w:r>
      <w:r w:rsidR="00BB27B6">
        <w:rPr>
          <w:sz w:val="22"/>
          <w:szCs w:val="22"/>
          <w:lang w:val="en-GB"/>
        </w:rPr>
        <w:t xml:space="preserve"> </w:t>
      </w:r>
      <w:r w:rsidR="00F144CC" w:rsidRPr="00805D6F">
        <w:rPr>
          <w:sz w:val="22"/>
          <w:szCs w:val="22"/>
          <w:lang w:val="en-GB"/>
        </w:rPr>
        <w:t>We are grateful to for providing the Swedish data</w:t>
      </w:r>
      <w:r w:rsidR="00805D6F" w:rsidRPr="00805D6F">
        <w:rPr>
          <w:sz w:val="22"/>
          <w:szCs w:val="22"/>
          <w:lang w:val="en-GB"/>
        </w:rPr>
        <w:t>. D</w:t>
      </w:r>
      <w:r w:rsidR="00544189" w:rsidRPr="00805D6F">
        <w:rPr>
          <w:sz w:val="22"/>
          <w:szCs w:val="22"/>
        </w:rPr>
        <w:t xml:space="preserve">ata </w:t>
      </w:r>
      <w:r w:rsidR="00544189" w:rsidRPr="00805D6F">
        <w:rPr>
          <w:sz w:val="22"/>
          <w:szCs w:val="22"/>
          <w:lang w:val="en-GB"/>
        </w:rPr>
        <w:t xml:space="preserve">for </w:t>
      </w:r>
      <w:r w:rsidR="00544189" w:rsidRPr="00805D6F">
        <w:rPr>
          <w:sz w:val="22"/>
          <w:szCs w:val="22"/>
        </w:rPr>
        <w:t>German</w:t>
      </w:r>
      <w:r w:rsidR="00544189" w:rsidRPr="00805D6F">
        <w:rPr>
          <w:sz w:val="22"/>
          <w:szCs w:val="22"/>
          <w:lang w:val="en-GB"/>
        </w:rPr>
        <w:t>y were</w:t>
      </w:r>
      <w:r w:rsidR="00544189" w:rsidRPr="00805D6F">
        <w:rPr>
          <w:sz w:val="22"/>
          <w:szCs w:val="22"/>
        </w:rPr>
        <w:t xml:space="preserve"> downloaded from </w:t>
      </w:r>
      <w:r w:rsidR="00544189" w:rsidRPr="00805D6F">
        <w:rPr>
          <w:sz w:val="22"/>
          <w:szCs w:val="22"/>
          <w:lang w:val="en-GB"/>
        </w:rPr>
        <w:t xml:space="preserve">the </w:t>
      </w:r>
      <w:r w:rsidR="00544189" w:rsidRPr="00805D6F">
        <w:rPr>
          <w:sz w:val="22"/>
          <w:szCs w:val="22"/>
        </w:rPr>
        <w:t xml:space="preserve">Federal Statistical Office (Destatis) and </w:t>
      </w:r>
      <w:r w:rsidR="00544189" w:rsidRPr="00805D6F">
        <w:rPr>
          <w:sz w:val="22"/>
          <w:szCs w:val="22"/>
          <w:lang w:val="en-GB"/>
        </w:rPr>
        <w:t>for</w:t>
      </w:r>
      <w:r w:rsidR="00544189" w:rsidRPr="00805D6F">
        <w:rPr>
          <w:sz w:val="22"/>
          <w:szCs w:val="22"/>
        </w:rPr>
        <w:t xml:space="preserve"> Fin</w:t>
      </w:r>
      <w:r w:rsidR="00544189" w:rsidRPr="00805D6F">
        <w:rPr>
          <w:sz w:val="22"/>
          <w:szCs w:val="22"/>
          <w:lang w:val="en-GB"/>
        </w:rPr>
        <w:t>land</w:t>
      </w:r>
      <w:r w:rsidR="00544189" w:rsidRPr="00805D6F">
        <w:rPr>
          <w:sz w:val="22"/>
          <w:szCs w:val="22"/>
        </w:rPr>
        <w:t xml:space="preserve"> from Statistics Finland (StatFin).</w:t>
      </w:r>
      <w:r w:rsidR="00544189" w:rsidRPr="00805D6F">
        <w:rPr>
          <w:sz w:val="22"/>
          <w:szCs w:val="22"/>
          <w:lang w:val="en-GB"/>
        </w:rPr>
        <w:t xml:space="preserve"> 2001 Census data for the UK</w:t>
      </w:r>
      <w:r w:rsidR="00805D6F" w:rsidRPr="00805D6F">
        <w:rPr>
          <w:sz w:val="22"/>
          <w:szCs w:val="22"/>
          <w:lang w:val="en-GB"/>
        </w:rPr>
        <w:t xml:space="preserve"> were </w:t>
      </w:r>
      <w:r w:rsidR="00805D6F">
        <w:rPr>
          <w:sz w:val="22"/>
          <w:szCs w:val="22"/>
          <w:lang w:val="en-GB"/>
        </w:rPr>
        <w:t xml:space="preserve">obtained </w:t>
      </w:r>
      <w:r w:rsidR="00805D6F" w:rsidRPr="00805D6F">
        <w:rPr>
          <w:sz w:val="22"/>
          <w:szCs w:val="22"/>
          <w:lang w:val="en-GB"/>
        </w:rPr>
        <w:t>from the Of</w:t>
      </w:r>
      <w:r w:rsidR="00805D6F" w:rsidRPr="00805D6F">
        <w:rPr>
          <w:color w:val="333333"/>
          <w:sz w:val="22"/>
          <w:szCs w:val="22"/>
          <w:lang w:val="en-GB" w:eastAsia="en-GB"/>
        </w:rPr>
        <w:t>fice for National Statistics, 2011 Census: Aggregate and Interaction data (UKs) [computer files] downloaded via the UK Data Service Census Support.</w:t>
      </w:r>
    </w:p>
    <w:p w:rsidR="00FC03E6" w:rsidRPr="00DA04F8" w:rsidRDefault="00FC03E6" w:rsidP="00DA19D2">
      <w:pPr>
        <w:tabs>
          <w:tab w:val="left" w:pos="7938"/>
        </w:tabs>
        <w:spacing w:after="120" w:line="360" w:lineRule="auto"/>
        <w:ind w:left="-1134"/>
        <w:rPr>
          <w:b/>
          <w:sz w:val="22"/>
          <w:szCs w:val="22"/>
          <w:lang w:val="en-GB"/>
        </w:rPr>
      </w:pPr>
    </w:p>
    <w:p w:rsidR="00FC03E6" w:rsidRPr="00B96ECB" w:rsidRDefault="00FC03E6" w:rsidP="00DA19D2">
      <w:pPr>
        <w:tabs>
          <w:tab w:val="left" w:pos="7938"/>
        </w:tabs>
        <w:spacing w:after="120" w:line="360" w:lineRule="auto"/>
        <w:ind w:left="-1134"/>
        <w:rPr>
          <w:b/>
          <w:sz w:val="22"/>
          <w:szCs w:val="22"/>
          <w:lang w:val="en-GB"/>
        </w:rPr>
      </w:pPr>
      <w:r w:rsidRPr="00B96ECB">
        <w:rPr>
          <w:b/>
          <w:sz w:val="22"/>
          <w:szCs w:val="22"/>
          <w:lang w:val="en-GB"/>
        </w:rPr>
        <w:t>References</w:t>
      </w:r>
    </w:p>
    <w:p w:rsidR="00D4280C" w:rsidRPr="00B96ECB" w:rsidRDefault="00D4280C" w:rsidP="00846F9B">
      <w:pPr>
        <w:tabs>
          <w:tab w:val="left" w:pos="284"/>
          <w:tab w:val="left" w:pos="7938"/>
        </w:tabs>
        <w:suppressAutoHyphens/>
        <w:spacing w:after="120"/>
        <w:ind w:left="-709" w:right="43" w:hanging="425"/>
        <w:jc w:val="both"/>
        <w:rPr>
          <w:spacing w:val="-3"/>
          <w:lang w:val="en-GB"/>
        </w:rPr>
      </w:pPr>
      <w:proofErr w:type="gramStart"/>
      <w:r w:rsidRPr="00B96ECB">
        <w:rPr>
          <w:spacing w:val="-3"/>
          <w:sz w:val="22"/>
          <w:szCs w:val="22"/>
          <w:lang w:val="en-GB"/>
        </w:rPr>
        <w:t xml:space="preserve">Bell, M., Blake, M., Boyle, P., Duke-Williams, O, Rees, P., Stillwell, J. and Hugo, G. (2002) Cross-national comparison of internal migration: issues and measures, </w:t>
      </w:r>
      <w:r w:rsidRPr="00B96ECB">
        <w:rPr>
          <w:i/>
          <w:spacing w:val="-3"/>
          <w:sz w:val="22"/>
          <w:szCs w:val="22"/>
          <w:lang w:val="en-GB"/>
        </w:rPr>
        <w:t>Journal of the Royal Statistical Society A</w:t>
      </w:r>
      <w:r w:rsidRPr="00B96ECB">
        <w:rPr>
          <w:spacing w:val="-3"/>
          <w:sz w:val="22"/>
          <w:szCs w:val="22"/>
          <w:lang w:val="en-GB"/>
        </w:rPr>
        <w:t>, 165(2):</w:t>
      </w:r>
      <w:r w:rsidRPr="00B96ECB">
        <w:rPr>
          <w:spacing w:val="-3"/>
          <w:lang w:val="en-GB"/>
        </w:rPr>
        <w:t xml:space="preserve"> 1-30.</w:t>
      </w:r>
      <w:proofErr w:type="gramEnd"/>
    </w:p>
    <w:p w:rsidR="00FC03E6" w:rsidRPr="00B96ECB" w:rsidRDefault="00FC03E6" w:rsidP="00846F9B">
      <w:pPr>
        <w:pStyle w:val="NormalWeb"/>
        <w:tabs>
          <w:tab w:val="left" w:pos="7938"/>
        </w:tabs>
        <w:spacing w:before="0" w:beforeAutospacing="0" w:after="120" w:afterAutospacing="0" w:line="240" w:lineRule="auto"/>
        <w:ind w:left="-709" w:hanging="425"/>
        <w:rPr>
          <w:rFonts w:ascii="Times New Roman" w:hAnsi="Times New Roman"/>
          <w:b/>
          <w:i/>
          <w:szCs w:val="22"/>
        </w:rPr>
      </w:pPr>
      <w:r w:rsidRPr="00B96ECB">
        <w:rPr>
          <w:rFonts w:ascii="Times New Roman" w:hAnsi="Times New Roman"/>
          <w:szCs w:val="22"/>
        </w:rPr>
        <w:t xml:space="preserve">Bell, M., Charles-Edwards, E., Kupiszewski, M., </w:t>
      </w:r>
      <w:proofErr w:type="spellStart"/>
      <w:r w:rsidRPr="00B96ECB">
        <w:rPr>
          <w:rFonts w:ascii="Times New Roman" w:hAnsi="Times New Roman"/>
          <w:szCs w:val="22"/>
        </w:rPr>
        <w:t>Kupiszewska</w:t>
      </w:r>
      <w:proofErr w:type="spellEnd"/>
      <w:r w:rsidRPr="00B96ECB">
        <w:rPr>
          <w:rFonts w:ascii="Times New Roman" w:hAnsi="Times New Roman"/>
          <w:szCs w:val="22"/>
        </w:rPr>
        <w:t>, D., Stillwell, J. and Zhu, Y. (</w:t>
      </w:r>
      <w:r w:rsidR="00BE240B" w:rsidRPr="00B96ECB">
        <w:rPr>
          <w:rFonts w:ascii="Times New Roman" w:hAnsi="Times New Roman"/>
          <w:szCs w:val="22"/>
        </w:rPr>
        <w:t>in press</w:t>
      </w:r>
      <w:proofErr w:type="gramStart"/>
      <w:r w:rsidRPr="00B96ECB">
        <w:rPr>
          <w:rFonts w:ascii="Times New Roman" w:hAnsi="Times New Roman"/>
          <w:szCs w:val="22"/>
        </w:rPr>
        <w:t>)Internal</w:t>
      </w:r>
      <w:proofErr w:type="gramEnd"/>
      <w:r w:rsidRPr="00B96ECB">
        <w:rPr>
          <w:rFonts w:ascii="Times New Roman" w:hAnsi="Times New Roman"/>
          <w:szCs w:val="22"/>
        </w:rPr>
        <w:t xml:space="preserve"> migration around the wo</w:t>
      </w:r>
      <w:r w:rsidR="00194904" w:rsidRPr="00B96ECB">
        <w:rPr>
          <w:rFonts w:ascii="Times New Roman" w:hAnsi="Times New Roman"/>
          <w:szCs w:val="22"/>
        </w:rPr>
        <w:t xml:space="preserve">rld: </w:t>
      </w:r>
      <w:r w:rsidR="00F27248" w:rsidRPr="00B96ECB">
        <w:rPr>
          <w:rFonts w:ascii="Times New Roman" w:hAnsi="Times New Roman"/>
          <w:szCs w:val="22"/>
        </w:rPr>
        <w:t>Assessing contemporary practice</w:t>
      </w:r>
      <w:r w:rsidR="00194904" w:rsidRPr="00B96ECB">
        <w:rPr>
          <w:rFonts w:ascii="Times New Roman" w:hAnsi="Times New Roman"/>
          <w:szCs w:val="22"/>
        </w:rPr>
        <w:t xml:space="preserve">, </w:t>
      </w:r>
      <w:r w:rsidR="00BE240B" w:rsidRPr="00B96ECB">
        <w:rPr>
          <w:rFonts w:ascii="Times New Roman" w:hAnsi="Times New Roman"/>
          <w:i/>
          <w:szCs w:val="22"/>
        </w:rPr>
        <w:t>Population. Space and Place</w:t>
      </w:r>
      <w:r w:rsidR="00BE240B" w:rsidRPr="00B96ECB">
        <w:rPr>
          <w:rFonts w:ascii="Times New Roman" w:hAnsi="Times New Roman"/>
          <w:szCs w:val="22"/>
        </w:rPr>
        <w:t xml:space="preserve"> (forthcoming)</w:t>
      </w:r>
      <w:r w:rsidR="00F028E0" w:rsidRPr="00B96ECB">
        <w:rPr>
          <w:rFonts w:ascii="Times New Roman" w:hAnsi="Times New Roman"/>
          <w:i/>
          <w:szCs w:val="22"/>
        </w:rPr>
        <w:t>.</w:t>
      </w:r>
    </w:p>
    <w:p w:rsidR="00972262" w:rsidRPr="00B96ECB" w:rsidRDefault="00972262" w:rsidP="00846F9B">
      <w:pPr>
        <w:tabs>
          <w:tab w:val="left" w:pos="7938"/>
        </w:tabs>
        <w:spacing w:after="120"/>
        <w:ind w:left="-709" w:right="-23" w:hanging="425"/>
        <w:jc w:val="both"/>
        <w:rPr>
          <w:sz w:val="22"/>
          <w:szCs w:val="22"/>
          <w:lang w:val="en-GB"/>
        </w:rPr>
      </w:pPr>
      <w:r w:rsidRPr="00B96ECB">
        <w:rPr>
          <w:sz w:val="22"/>
          <w:szCs w:val="22"/>
          <w:lang w:val="en-GB"/>
        </w:rPr>
        <w:t xml:space="preserve">Bernard, A. and Bell, M. (2012) A comparison of internal migration age profile smoothing methods, </w:t>
      </w:r>
      <w:r w:rsidRPr="00B96ECB">
        <w:rPr>
          <w:i/>
          <w:sz w:val="22"/>
          <w:szCs w:val="22"/>
          <w:lang w:val="en-GB"/>
        </w:rPr>
        <w:t>Working Paper 2012/01</w:t>
      </w:r>
      <w:r w:rsidRPr="00B96ECB">
        <w:rPr>
          <w:sz w:val="22"/>
          <w:szCs w:val="22"/>
          <w:lang w:val="en-GB"/>
        </w:rPr>
        <w:t>, Queensland Centre of Population Research, University of Queensland, Brisbane.</w:t>
      </w:r>
    </w:p>
    <w:p w:rsidR="00DB4027" w:rsidRPr="00B96ECB" w:rsidRDefault="00DB4027" w:rsidP="00846F9B">
      <w:pPr>
        <w:tabs>
          <w:tab w:val="left" w:pos="7938"/>
        </w:tabs>
        <w:spacing w:after="120"/>
        <w:ind w:left="-709" w:right="-23" w:hanging="425"/>
        <w:jc w:val="both"/>
        <w:rPr>
          <w:sz w:val="22"/>
          <w:szCs w:val="22"/>
          <w:lang w:val="en-GB"/>
        </w:rPr>
      </w:pPr>
      <w:r w:rsidRPr="00B96ECB">
        <w:rPr>
          <w:sz w:val="22"/>
          <w:szCs w:val="22"/>
          <w:lang w:val="en-GB"/>
        </w:rPr>
        <w:t xml:space="preserve">Champion, A., </w:t>
      </w:r>
      <w:proofErr w:type="spellStart"/>
      <w:r w:rsidRPr="00B96ECB">
        <w:rPr>
          <w:sz w:val="22"/>
          <w:szCs w:val="22"/>
          <w:lang w:val="en-GB"/>
        </w:rPr>
        <w:t>Fotheringham</w:t>
      </w:r>
      <w:proofErr w:type="spellEnd"/>
      <w:r w:rsidRPr="00B96ECB">
        <w:rPr>
          <w:sz w:val="22"/>
          <w:szCs w:val="22"/>
          <w:lang w:val="en-GB"/>
        </w:rPr>
        <w:t xml:space="preserve">, A.S., Rees, P., Boyle, P. and Stillwell, J. (1998) </w:t>
      </w:r>
      <w:r w:rsidRPr="00B96ECB">
        <w:rPr>
          <w:i/>
          <w:sz w:val="22"/>
          <w:szCs w:val="22"/>
          <w:lang w:val="en-GB"/>
        </w:rPr>
        <w:t>The Determinants of Migration Flows in England: A review of Existing Sources and Data,</w:t>
      </w:r>
      <w:r w:rsidRPr="00B96ECB">
        <w:rPr>
          <w:sz w:val="22"/>
          <w:szCs w:val="22"/>
          <w:lang w:val="en-GB"/>
        </w:rPr>
        <w:t xml:space="preserve"> Report for the Department of the Environment, Department of Geography, University of Newcastle, Newcastle.</w:t>
      </w:r>
    </w:p>
    <w:p w:rsidR="00FC03E6" w:rsidRPr="00B96ECB" w:rsidRDefault="00FC03E6" w:rsidP="00846F9B">
      <w:pPr>
        <w:tabs>
          <w:tab w:val="left" w:pos="7938"/>
        </w:tabs>
        <w:spacing w:after="120"/>
        <w:ind w:left="-709" w:right="-23" w:hanging="425"/>
        <w:jc w:val="both"/>
        <w:rPr>
          <w:sz w:val="22"/>
          <w:szCs w:val="22"/>
          <w:lang w:val="en-GB"/>
        </w:rPr>
      </w:pPr>
      <w:r w:rsidRPr="00B96ECB">
        <w:rPr>
          <w:sz w:val="22"/>
          <w:szCs w:val="22"/>
          <w:lang w:val="en-GB"/>
        </w:rPr>
        <w:t>Daras, K. (2006) An information statistics approach to zone design in the geography of health outcomes and provision, PhD Thesis, University of Newcastle upon Tyne, Newcastle upon Tyne.</w:t>
      </w:r>
    </w:p>
    <w:p w:rsidR="00F3303D" w:rsidRDefault="00F3303D" w:rsidP="00846F9B">
      <w:pPr>
        <w:tabs>
          <w:tab w:val="left" w:pos="7938"/>
        </w:tabs>
        <w:spacing w:after="120"/>
        <w:ind w:left="-709" w:right="-23" w:hanging="425"/>
        <w:jc w:val="both"/>
        <w:rPr>
          <w:sz w:val="22"/>
          <w:szCs w:val="22"/>
          <w:lang w:val="en-US"/>
        </w:rPr>
      </w:pPr>
      <w:r>
        <w:rPr>
          <w:sz w:val="22"/>
          <w:szCs w:val="22"/>
          <w:lang w:val="en-US"/>
        </w:rPr>
        <w:lastRenderedPageBreak/>
        <w:t>Daras, K. (2014) IMAGE Studio 1.0 User Manual, School of Geography, University of Leeds, Leeds (available from the author)</w:t>
      </w:r>
    </w:p>
    <w:p w:rsidR="00F3303D" w:rsidRDefault="00F3303D" w:rsidP="00F3303D">
      <w:pPr>
        <w:tabs>
          <w:tab w:val="left" w:pos="7938"/>
        </w:tabs>
        <w:spacing w:after="120"/>
        <w:ind w:left="-709" w:right="-23" w:hanging="425"/>
        <w:jc w:val="both"/>
        <w:rPr>
          <w:sz w:val="22"/>
          <w:szCs w:val="22"/>
          <w:lang w:val="en-US"/>
        </w:rPr>
      </w:pPr>
      <w:r>
        <w:rPr>
          <w:sz w:val="22"/>
          <w:szCs w:val="22"/>
          <w:lang w:val="en-US"/>
        </w:rPr>
        <w:t xml:space="preserve">Daras, K., Stillwell, J and Bell, M. (submitted) Spatial aggregation methods for exploring MAUP effects in internal migration, submitted to </w:t>
      </w:r>
      <w:r w:rsidRPr="00F3303D">
        <w:rPr>
          <w:i/>
          <w:sz w:val="22"/>
          <w:szCs w:val="22"/>
          <w:lang w:val="en-US"/>
        </w:rPr>
        <w:t>Computers, Environment and Urban Systems</w:t>
      </w:r>
      <w:r>
        <w:rPr>
          <w:sz w:val="22"/>
          <w:szCs w:val="22"/>
          <w:lang w:val="en-US"/>
        </w:rPr>
        <w:t xml:space="preserve">, </w:t>
      </w:r>
    </w:p>
    <w:p w:rsidR="00B96ECB" w:rsidRPr="00B96ECB" w:rsidRDefault="00B96ECB" w:rsidP="00846F9B">
      <w:pPr>
        <w:tabs>
          <w:tab w:val="left" w:pos="7938"/>
        </w:tabs>
        <w:spacing w:after="120"/>
        <w:ind w:left="-709" w:right="-23" w:hanging="425"/>
        <w:jc w:val="both"/>
        <w:rPr>
          <w:sz w:val="22"/>
          <w:szCs w:val="22"/>
          <w:lang w:val="en-US"/>
        </w:rPr>
      </w:pPr>
      <w:proofErr w:type="spellStart"/>
      <w:r w:rsidRPr="00B96ECB">
        <w:rPr>
          <w:sz w:val="22"/>
          <w:szCs w:val="22"/>
          <w:lang w:val="en-US"/>
        </w:rPr>
        <w:t>Fotheringham</w:t>
      </w:r>
      <w:proofErr w:type="spellEnd"/>
      <w:r>
        <w:rPr>
          <w:sz w:val="22"/>
          <w:szCs w:val="22"/>
          <w:lang w:val="en-US"/>
        </w:rPr>
        <w:t>,</w:t>
      </w:r>
      <w:r w:rsidRPr="00B96ECB">
        <w:rPr>
          <w:sz w:val="22"/>
          <w:szCs w:val="22"/>
          <w:lang w:val="en-US"/>
        </w:rPr>
        <w:t> A</w:t>
      </w:r>
      <w:r>
        <w:rPr>
          <w:sz w:val="22"/>
          <w:szCs w:val="22"/>
          <w:lang w:val="en-US"/>
        </w:rPr>
        <w:t>.</w:t>
      </w:r>
      <w:r w:rsidRPr="00B96ECB">
        <w:rPr>
          <w:sz w:val="22"/>
          <w:szCs w:val="22"/>
          <w:lang w:val="en-US"/>
        </w:rPr>
        <w:t>S</w:t>
      </w:r>
      <w:r>
        <w:rPr>
          <w:sz w:val="22"/>
          <w:szCs w:val="22"/>
          <w:lang w:val="en-US"/>
        </w:rPr>
        <w:t>.</w:t>
      </w:r>
      <w:r w:rsidRPr="00B96ECB">
        <w:rPr>
          <w:sz w:val="22"/>
          <w:szCs w:val="22"/>
          <w:lang w:val="en-US"/>
        </w:rPr>
        <w:t>, Rees</w:t>
      </w:r>
      <w:r>
        <w:rPr>
          <w:sz w:val="22"/>
          <w:szCs w:val="22"/>
          <w:lang w:val="en-US"/>
        </w:rPr>
        <w:t>,</w:t>
      </w:r>
      <w:r w:rsidRPr="00B96ECB">
        <w:rPr>
          <w:sz w:val="22"/>
          <w:szCs w:val="22"/>
          <w:lang w:val="en-US"/>
        </w:rPr>
        <w:t> P</w:t>
      </w:r>
      <w:r>
        <w:rPr>
          <w:sz w:val="22"/>
          <w:szCs w:val="22"/>
          <w:lang w:val="en-US"/>
        </w:rPr>
        <w:t>.</w:t>
      </w:r>
      <w:r w:rsidRPr="00B96ECB">
        <w:rPr>
          <w:sz w:val="22"/>
          <w:szCs w:val="22"/>
          <w:lang w:val="en-US"/>
        </w:rPr>
        <w:t>, Champion</w:t>
      </w:r>
      <w:r>
        <w:rPr>
          <w:sz w:val="22"/>
          <w:szCs w:val="22"/>
          <w:lang w:val="en-US"/>
        </w:rPr>
        <w:t>,</w:t>
      </w:r>
      <w:r w:rsidRPr="00B96ECB">
        <w:rPr>
          <w:sz w:val="22"/>
          <w:szCs w:val="22"/>
          <w:lang w:val="en-US"/>
        </w:rPr>
        <w:t> T</w:t>
      </w:r>
      <w:r>
        <w:rPr>
          <w:sz w:val="22"/>
          <w:szCs w:val="22"/>
          <w:lang w:val="en-US"/>
        </w:rPr>
        <w:t>.</w:t>
      </w:r>
      <w:r w:rsidRPr="00B96ECB">
        <w:rPr>
          <w:sz w:val="22"/>
          <w:szCs w:val="22"/>
          <w:lang w:val="en-US"/>
        </w:rPr>
        <w:t xml:space="preserve">, </w:t>
      </w:r>
      <w:proofErr w:type="spellStart"/>
      <w:r w:rsidRPr="00B96ECB">
        <w:rPr>
          <w:sz w:val="22"/>
          <w:szCs w:val="22"/>
          <w:lang w:val="en-US"/>
        </w:rPr>
        <w:t>Kalogirou</w:t>
      </w:r>
      <w:proofErr w:type="spellEnd"/>
      <w:r>
        <w:rPr>
          <w:sz w:val="22"/>
          <w:szCs w:val="22"/>
          <w:lang w:val="en-US"/>
        </w:rPr>
        <w:t>,</w:t>
      </w:r>
      <w:r w:rsidRPr="00B96ECB">
        <w:rPr>
          <w:sz w:val="22"/>
          <w:szCs w:val="22"/>
          <w:lang w:val="en-US"/>
        </w:rPr>
        <w:t> S</w:t>
      </w:r>
      <w:r>
        <w:rPr>
          <w:sz w:val="22"/>
          <w:szCs w:val="22"/>
          <w:lang w:val="en-US"/>
        </w:rPr>
        <w:t xml:space="preserve">. and </w:t>
      </w:r>
      <w:proofErr w:type="spellStart"/>
      <w:r>
        <w:rPr>
          <w:sz w:val="22"/>
          <w:szCs w:val="22"/>
          <w:lang w:val="en-US"/>
        </w:rPr>
        <w:t>Tremayne</w:t>
      </w:r>
      <w:proofErr w:type="spellEnd"/>
      <w:r>
        <w:rPr>
          <w:sz w:val="22"/>
          <w:szCs w:val="22"/>
          <w:lang w:val="en-US"/>
        </w:rPr>
        <w:t>, A.</w:t>
      </w:r>
      <w:r w:rsidRPr="00B96ECB">
        <w:rPr>
          <w:sz w:val="22"/>
          <w:szCs w:val="22"/>
          <w:lang w:val="en-US"/>
        </w:rPr>
        <w:t>R</w:t>
      </w:r>
      <w:r>
        <w:rPr>
          <w:sz w:val="22"/>
          <w:szCs w:val="22"/>
          <w:lang w:val="en-US"/>
        </w:rPr>
        <w:t>. (</w:t>
      </w:r>
      <w:r w:rsidRPr="00B96ECB">
        <w:rPr>
          <w:sz w:val="22"/>
          <w:szCs w:val="22"/>
          <w:lang w:val="en-US"/>
        </w:rPr>
        <w:t>2004</w:t>
      </w:r>
      <w:r>
        <w:rPr>
          <w:sz w:val="22"/>
          <w:szCs w:val="22"/>
          <w:lang w:val="en-US"/>
        </w:rPr>
        <w:t xml:space="preserve">) </w:t>
      </w:r>
      <w:r w:rsidRPr="00B96ECB">
        <w:rPr>
          <w:sz w:val="22"/>
          <w:szCs w:val="22"/>
          <w:lang w:val="en-US"/>
        </w:rPr>
        <w:t>The development of a migration model for England and Wales: overview and modelling out-migration</w:t>
      </w:r>
      <w:r>
        <w:rPr>
          <w:sz w:val="22"/>
          <w:szCs w:val="22"/>
          <w:lang w:val="en-US"/>
        </w:rPr>
        <w:t xml:space="preserve">, </w:t>
      </w:r>
      <w:r w:rsidRPr="00B96ECB">
        <w:rPr>
          <w:i/>
          <w:iCs/>
          <w:sz w:val="22"/>
          <w:szCs w:val="22"/>
          <w:lang w:val="en-US"/>
        </w:rPr>
        <w:t xml:space="preserve">Environment and Planning </w:t>
      </w:r>
      <w:proofErr w:type="gramStart"/>
      <w:r w:rsidRPr="00B96ECB">
        <w:rPr>
          <w:i/>
          <w:iCs/>
          <w:sz w:val="22"/>
          <w:szCs w:val="22"/>
          <w:lang w:val="en-US"/>
        </w:rPr>
        <w:t>A</w:t>
      </w:r>
      <w:r w:rsidRPr="00B96ECB">
        <w:rPr>
          <w:bCs/>
          <w:sz w:val="22"/>
          <w:szCs w:val="22"/>
          <w:lang w:val="en-US"/>
        </w:rPr>
        <w:t>36</w:t>
      </w:r>
      <w:r w:rsidRPr="00B96ECB">
        <w:rPr>
          <w:sz w:val="22"/>
          <w:szCs w:val="22"/>
          <w:lang w:val="en-US"/>
        </w:rPr>
        <w:t>(</w:t>
      </w:r>
      <w:proofErr w:type="gramEnd"/>
      <w:r w:rsidRPr="00B96ECB">
        <w:rPr>
          <w:sz w:val="22"/>
          <w:szCs w:val="22"/>
          <w:lang w:val="en-US"/>
        </w:rPr>
        <w:t>9)</w:t>
      </w:r>
      <w:r>
        <w:rPr>
          <w:sz w:val="22"/>
          <w:szCs w:val="22"/>
          <w:lang w:val="en-US"/>
        </w:rPr>
        <w:t>:</w:t>
      </w:r>
      <w:r w:rsidRPr="00B96ECB">
        <w:rPr>
          <w:sz w:val="22"/>
          <w:szCs w:val="22"/>
          <w:lang w:val="en-US"/>
        </w:rPr>
        <w:t xml:space="preserve"> 1633</w:t>
      </w:r>
      <w:r>
        <w:rPr>
          <w:sz w:val="22"/>
          <w:szCs w:val="22"/>
          <w:lang w:val="en-US"/>
        </w:rPr>
        <w:t>-</w:t>
      </w:r>
      <w:r w:rsidRPr="00B96ECB">
        <w:rPr>
          <w:sz w:val="22"/>
          <w:szCs w:val="22"/>
          <w:lang w:val="en-US"/>
        </w:rPr>
        <w:t>1672</w:t>
      </w:r>
      <w:r>
        <w:rPr>
          <w:sz w:val="22"/>
          <w:szCs w:val="22"/>
          <w:lang w:val="en-US"/>
        </w:rPr>
        <w:t>.</w:t>
      </w:r>
    </w:p>
    <w:p w:rsidR="00A65013" w:rsidRPr="00B96ECB" w:rsidRDefault="00E07083" w:rsidP="00846F9B">
      <w:pPr>
        <w:tabs>
          <w:tab w:val="left" w:pos="7938"/>
        </w:tabs>
        <w:spacing w:after="120"/>
        <w:ind w:left="-709" w:right="-23" w:hanging="425"/>
        <w:jc w:val="both"/>
        <w:rPr>
          <w:sz w:val="22"/>
          <w:szCs w:val="22"/>
          <w:lang w:val="en-GB"/>
        </w:rPr>
      </w:pPr>
      <w:r w:rsidRPr="00B96ECB">
        <w:rPr>
          <w:color w:val="333333"/>
          <w:sz w:val="22"/>
          <w:szCs w:val="22"/>
          <w:lang w:val="en-GB"/>
        </w:rPr>
        <w:t>Greenwood, M</w:t>
      </w:r>
      <w:r w:rsidR="00A65013" w:rsidRPr="00B96ECB">
        <w:rPr>
          <w:color w:val="333333"/>
          <w:sz w:val="22"/>
          <w:szCs w:val="22"/>
          <w:lang w:val="en-GB"/>
        </w:rPr>
        <w:t>.</w:t>
      </w:r>
      <w:r w:rsidRPr="00B96ECB">
        <w:rPr>
          <w:color w:val="333333"/>
          <w:sz w:val="22"/>
          <w:szCs w:val="22"/>
          <w:lang w:val="en-GB"/>
        </w:rPr>
        <w:t>J.</w:t>
      </w:r>
      <w:r w:rsidR="00A65013" w:rsidRPr="00B96ECB">
        <w:rPr>
          <w:color w:val="333333"/>
          <w:sz w:val="22"/>
          <w:szCs w:val="22"/>
          <w:lang w:val="en-GB"/>
        </w:rPr>
        <w:t xml:space="preserve"> (1</w:t>
      </w:r>
      <w:r w:rsidRPr="00B96ECB">
        <w:rPr>
          <w:color w:val="333333"/>
          <w:sz w:val="22"/>
          <w:szCs w:val="22"/>
          <w:lang w:val="en-GB"/>
        </w:rPr>
        <w:t>993</w:t>
      </w:r>
      <w:r w:rsidR="00A65013" w:rsidRPr="00B96ECB">
        <w:rPr>
          <w:color w:val="333333"/>
          <w:sz w:val="22"/>
          <w:szCs w:val="22"/>
          <w:lang w:val="en-GB"/>
        </w:rPr>
        <w:t>)</w:t>
      </w:r>
      <w:hyperlink r:id="rId9" w:history="1">
        <w:r w:rsidRPr="00B96ECB">
          <w:rPr>
            <w:bCs/>
            <w:sz w:val="22"/>
            <w:szCs w:val="22"/>
            <w:lang w:val="en-GB"/>
          </w:rPr>
          <w:t>Internal migration in developed countries</w:t>
        </w:r>
      </w:hyperlink>
      <w:r w:rsidRPr="00B96ECB">
        <w:rPr>
          <w:color w:val="333333"/>
          <w:sz w:val="22"/>
          <w:szCs w:val="22"/>
          <w:lang w:val="en-GB"/>
        </w:rPr>
        <w:t>,</w:t>
      </w:r>
      <w:r w:rsidR="00A65013" w:rsidRPr="00B96ECB">
        <w:rPr>
          <w:color w:val="333333"/>
          <w:sz w:val="22"/>
          <w:szCs w:val="22"/>
          <w:lang w:val="en-GB"/>
        </w:rPr>
        <w:t xml:space="preserve"> in </w:t>
      </w:r>
      <w:proofErr w:type="spellStart"/>
      <w:r w:rsidRPr="00B96ECB">
        <w:rPr>
          <w:color w:val="333333"/>
          <w:sz w:val="22"/>
          <w:szCs w:val="22"/>
          <w:lang w:val="en-GB"/>
        </w:rPr>
        <w:t>Rosenzweig</w:t>
      </w:r>
      <w:proofErr w:type="spellEnd"/>
      <w:r w:rsidR="007218DC">
        <w:rPr>
          <w:color w:val="333333"/>
          <w:sz w:val="22"/>
          <w:szCs w:val="22"/>
          <w:lang w:val="en-GB"/>
        </w:rPr>
        <w:t>,</w:t>
      </w:r>
      <w:r w:rsidRPr="00B96ECB">
        <w:rPr>
          <w:color w:val="333333"/>
          <w:sz w:val="22"/>
          <w:szCs w:val="22"/>
          <w:lang w:val="en-GB"/>
        </w:rPr>
        <w:t xml:space="preserve"> M.R. </w:t>
      </w:r>
      <w:r w:rsidR="00A65013" w:rsidRPr="00B96ECB">
        <w:rPr>
          <w:color w:val="333333"/>
          <w:sz w:val="22"/>
          <w:szCs w:val="22"/>
          <w:lang w:val="en-GB"/>
        </w:rPr>
        <w:t>and</w:t>
      </w:r>
      <w:r w:rsidRPr="00B96ECB">
        <w:rPr>
          <w:color w:val="333333"/>
          <w:sz w:val="22"/>
          <w:szCs w:val="22"/>
          <w:lang w:val="en-GB"/>
        </w:rPr>
        <w:t xml:space="preserve"> Stark, O. (ed</w:t>
      </w:r>
      <w:r w:rsidR="00A65013" w:rsidRPr="00B96ECB">
        <w:rPr>
          <w:color w:val="333333"/>
          <w:sz w:val="22"/>
          <w:szCs w:val="22"/>
          <w:lang w:val="en-GB"/>
        </w:rPr>
        <w:t>s.)</w:t>
      </w:r>
      <w:r w:rsidRPr="00B96ECB">
        <w:rPr>
          <w:i/>
          <w:color w:val="333333"/>
          <w:sz w:val="22"/>
          <w:szCs w:val="22"/>
          <w:lang w:val="en-GB"/>
        </w:rPr>
        <w:t>Population and Family Economics</w:t>
      </w:r>
      <w:r w:rsidRPr="00B96ECB">
        <w:rPr>
          <w:color w:val="333333"/>
          <w:sz w:val="22"/>
          <w:szCs w:val="22"/>
          <w:lang w:val="en-GB"/>
        </w:rPr>
        <w:t xml:space="preserve">, </w:t>
      </w:r>
      <w:r w:rsidR="00A65013" w:rsidRPr="00B96ECB">
        <w:rPr>
          <w:color w:val="333333"/>
          <w:sz w:val="22"/>
          <w:szCs w:val="22"/>
          <w:lang w:val="en-GB"/>
        </w:rPr>
        <w:t xml:space="preserve">Volume 1A, </w:t>
      </w:r>
      <w:r w:rsidRPr="00B96ECB">
        <w:rPr>
          <w:color w:val="333333"/>
          <w:sz w:val="22"/>
          <w:szCs w:val="22"/>
          <w:lang w:val="en-GB"/>
        </w:rPr>
        <w:t xml:space="preserve">Elsevier, </w:t>
      </w:r>
      <w:r w:rsidR="00A65013" w:rsidRPr="00B96ECB">
        <w:rPr>
          <w:color w:val="333333"/>
          <w:sz w:val="22"/>
          <w:szCs w:val="22"/>
          <w:lang w:val="en-GB"/>
        </w:rPr>
        <w:t xml:space="preserve">Amsterdam, </w:t>
      </w:r>
      <w:r w:rsidRPr="00B96ECB">
        <w:rPr>
          <w:color w:val="333333"/>
          <w:sz w:val="22"/>
          <w:szCs w:val="22"/>
          <w:lang w:val="en-GB"/>
        </w:rPr>
        <w:t>p</w:t>
      </w:r>
      <w:r w:rsidR="00A65013" w:rsidRPr="00B96ECB">
        <w:rPr>
          <w:color w:val="333333"/>
          <w:sz w:val="22"/>
          <w:szCs w:val="22"/>
          <w:lang w:val="en-GB"/>
        </w:rPr>
        <w:t>p.</w:t>
      </w:r>
      <w:r w:rsidRPr="00B96ECB">
        <w:rPr>
          <w:color w:val="333333"/>
          <w:sz w:val="22"/>
          <w:szCs w:val="22"/>
          <w:lang w:val="en-GB"/>
        </w:rPr>
        <w:t xml:space="preserve"> 647-720.</w:t>
      </w:r>
    </w:p>
    <w:p w:rsidR="007A54F6" w:rsidRPr="00B96ECB" w:rsidRDefault="007A54F6" w:rsidP="00846F9B">
      <w:pPr>
        <w:tabs>
          <w:tab w:val="left" w:pos="7938"/>
        </w:tabs>
        <w:spacing w:after="120"/>
        <w:ind w:left="-709" w:right="-23" w:hanging="425"/>
        <w:jc w:val="both"/>
        <w:rPr>
          <w:sz w:val="22"/>
          <w:szCs w:val="22"/>
          <w:lang w:val="en-GB"/>
        </w:rPr>
      </w:pPr>
      <w:r w:rsidRPr="00B96ECB">
        <w:rPr>
          <w:sz w:val="22"/>
          <w:szCs w:val="22"/>
          <w:lang w:val="en-GB"/>
        </w:rPr>
        <w:t xml:space="preserve">Hampton, J. (ed.) (1998) </w:t>
      </w:r>
      <w:r w:rsidRPr="00B96ECB">
        <w:rPr>
          <w:i/>
          <w:sz w:val="22"/>
          <w:szCs w:val="22"/>
          <w:lang w:val="en-GB"/>
        </w:rPr>
        <w:t>Internally Displaced People A Global Survey</w:t>
      </w:r>
      <w:r w:rsidRPr="00B96ECB">
        <w:rPr>
          <w:sz w:val="22"/>
          <w:szCs w:val="22"/>
          <w:lang w:val="en-GB"/>
        </w:rPr>
        <w:t xml:space="preserve">, </w:t>
      </w:r>
      <w:proofErr w:type="spellStart"/>
      <w:r w:rsidRPr="00B96ECB">
        <w:rPr>
          <w:sz w:val="22"/>
          <w:szCs w:val="22"/>
          <w:lang w:val="en-GB"/>
        </w:rPr>
        <w:t>Earthscan</w:t>
      </w:r>
      <w:proofErr w:type="spellEnd"/>
      <w:r w:rsidRPr="00B96ECB">
        <w:rPr>
          <w:sz w:val="22"/>
          <w:szCs w:val="22"/>
          <w:lang w:val="en-GB"/>
        </w:rPr>
        <w:t>, London.</w:t>
      </w:r>
    </w:p>
    <w:p w:rsidR="00237452" w:rsidRPr="00B96ECB" w:rsidRDefault="00FC03E6" w:rsidP="00846F9B">
      <w:pPr>
        <w:tabs>
          <w:tab w:val="left" w:pos="7938"/>
        </w:tabs>
        <w:spacing w:after="120"/>
        <w:ind w:left="-709" w:right="-23" w:hanging="425"/>
        <w:jc w:val="both"/>
        <w:rPr>
          <w:sz w:val="22"/>
          <w:szCs w:val="22"/>
          <w:lang w:val="en-GB"/>
        </w:rPr>
      </w:pPr>
      <w:r w:rsidRPr="00B96ECB">
        <w:rPr>
          <w:sz w:val="22"/>
          <w:szCs w:val="22"/>
          <w:lang w:val="en-GB"/>
        </w:rPr>
        <w:t xml:space="preserve">Lomax, N., </w:t>
      </w:r>
      <w:r w:rsidR="008B41A8" w:rsidRPr="00B96ECB">
        <w:rPr>
          <w:sz w:val="22"/>
          <w:szCs w:val="22"/>
          <w:lang w:val="en-GB"/>
        </w:rPr>
        <w:t>Norman, P.,</w:t>
      </w:r>
      <w:r w:rsidRPr="00B96ECB">
        <w:rPr>
          <w:sz w:val="22"/>
          <w:szCs w:val="22"/>
          <w:lang w:val="en-GB"/>
        </w:rPr>
        <w:t xml:space="preserve"> Rees, </w:t>
      </w:r>
      <w:proofErr w:type="spellStart"/>
      <w:r w:rsidRPr="00B96ECB">
        <w:rPr>
          <w:sz w:val="22"/>
          <w:szCs w:val="22"/>
          <w:lang w:val="en-GB"/>
        </w:rPr>
        <w:t>P</w:t>
      </w:r>
      <w:r w:rsidRPr="00B96ECB">
        <w:rPr>
          <w:i/>
          <w:sz w:val="22"/>
          <w:szCs w:val="22"/>
          <w:lang w:val="en-GB"/>
        </w:rPr>
        <w:t>.</w:t>
      </w:r>
      <w:r w:rsidR="008B41A8" w:rsidRPr="00B96ECB">
        <w:rPr>
          <w:sz w:val="22"/>
          <w:szCs w:val="22"/>
          <w:lang w:val="en-GB"/>
        </w:rPr>
        <w:t>and</w:t>
      </w:r>
      <w:proofErr w:type="spellEnd"/>
      <w:r w:rsidR="008B41A8" w:rsidRPr="00B96ECB">
        <w:rPr>
          <w:sz w:val="22"/>
          <w:szCs w:val="22"/>
          <w:lang w:val="en-GB"/>
        </w:rPr>
        <w:t xml:space="preserve"> Stillwell, J</w:t>
      </w:r>
      <w:proofErr w:type="gramStart"/>
      <w:r w:rsidR="008B41A8" w:rsidRPr="00B96ECB">
        <w:rPr>
          <w:sz w:val="22"/>
          <w:szCs w:val="22"/>
          <w:lang w:val="en-GB"/>
        </w:rPr>
        <w:t>.</w:t>
      </w:r>
      <w:r w:rsidRPr="00B96ECB">
        <w:rPr>
          <w:sz w:val="22"/>
          <w:szCs w:val="22"/>
          <w:lang w:val="en-GB"/>
        </w:rPr>
        <w:t>(</w:t>
      </w:r>
      <w:proofErr w:type="gramEnd"/>
      <w:r w:rsidRPr="00B96ECB">
        <w:rPr>
          <w:sz w:val="22"/>
          <w:szCs w:val="22"/>
          <w:lang w:val="en-GB"/>
        </w:rPr>
        <w:t>201</w:t>
      </w:r>
      <w:r w:rsidR="008B41A8" w:rsidRPr="00B96ECB">
        <w:rPr>
          <w:sz w:val="22"/>
          <w:szCs w:val="22"/>
          <w:lang w:val="en-GB"/>
        </w:rPr>
        <w:t>3</w:t>
      </w:r>
      <w:r w:rsidRPr="00B96ECB">
        <w:rPr>
          <w:sz w:val="22"/>
          <w:szCs w:val="22"/>
          <w:lang w:val="en-GB"/>
        </w:rPr>
        <w:t xml:space="preserve">) </w:t>
      </w:r>
      <w:r w:rsidR="008B41A8" w:rsidRPr="00B96ECB">
        <w:rPr>
          <w:sz w:val="22"/>
          <w:szCs w:val="22"/>
          <w:lang w:val="en-GB"/>
        </w:rPr>
        <w:t xml:space="preserve">Sub-national migration in the United Kingdom: producing a consistent time series using a combination of available data and estimates, </w:t>
      </w:r>
      <w:r w:rsidR="008B41A8" w:rsidRPr="00B96ECB">
        <w:rPr>
          <w:i/>
          <w:sz w:val="22"/>
          <w:szCs w:val="22"/>
          <w:lang w:val="en-GB"/>
        </w:rPr>
        <w:t>Journal of Population Research</w:t>
      </w:r>
      <w:r w:rsidR="008B41A8" w:rsidRPr="00B96ECB">
        <w:rPr>
          <w:sz w:val="22"/>
          <w:szCs w:val="22"/>
          <w:lang w:val="en-GB"/>
        </w:rPr>
        <w:t>, 30: 265-288.</w:t>
      </w:r>
    </w:p>
    <w:p w:rsidR="00237452" w:rsidRPr="007218DC" w:rsidRDefault="00237452" w:rsidP="00846F9B">
      <w:pPr>
        <w:tabs>
          <w:tab w:val="left" w:pos="7938"/>
        </w:tabs>
        <w:spacing w:after="120"/>
        <w:ind w:left="-709" w:right="-23" w:hanging="425"/>
        <w:jc w:val="both"/>
        <w:rPr>
          <w:color w:val="000000"/>
          <w:sz w:val="22"/>
          <w:szCs w:val="22"/>
          <w:lang w:val="en-GB" w:eastAsia="en-GB"/>
        </w:rPr>
      </w:pPr>
      <w:r w:rsidRPr="007218DC">
        <w:rPr>
          <w:color w:val="000000"/>
          <w:sz w:val="22"/>
          <w:szCs w:val="22"/>
          <w:lang w:val="en-GB" w:eastAsia="en-GB"/>
        </w:rPr>
        <w:t>Long, L</w:t>
      </w:r>
      <w:proofErr w:type="gramStart"/>
      <w:r w:rsidRPr="007218DC">
        <w:rPr>
          <w:color w:val="000000"/>
          <w:sz w:val="22"/>
          <w:szCs w:val="22"/>
          <w:lang w:val="en-GB" w:eastAsia="en-GB"/>
        </w:rPr>
        <w:t>.(</w:t>
      </w:r>
      <w:proofErr w:type="gramEnd"/>
      <w:r w:rsidRPr="007218DC">
        <w:rPr>
          <w:color w:val="000000"/>
          <w:sz w:val="22"/>
          <w:szCs w:val="22"/>
          <w:lang w:val="en-GB" w:eastAsia="en-GB"/>
        </w:rPr>
        <w:t>1988)</w:t>
      </w:r>
      <w:r w:rsidRPr="007218DC">
        <w:rPr>
          <w:i/>
          <w:color w:val="000000"/>
          <w:sz w:val="22"/>
          <w:szCs w:val="22"/>
          <w:lang w:val="en-GB" w:eastAsia="en-GB"/>
        </w:rPr>
        <w:t xml:space="preserve">Migration and Residential Mobility in the United States, </w:t>
      </w:r>
      <w:proofErr w:type="spellStart"/>
      <w:r w:rsidRPr="007218DC">
        <w:rPr>
          <w:color w:val="000000"/>
          <w:sz w:val="22"/>
          <w:szCs w:val="22"/>
          <w:lang w:val="en-GB" w:eastAsia="en-GB"/>
        </w:rPr>
        <w:t>RussellSage</w:t>
      </w:r>
      <w:proofErr w:type="spellEnd"/>
      <w:r w:rsidRPr="007218DC">
        <w:rPr>
          <w:color w:val="000000"/>
          <w:sz w:val="22"/>
          <w:szCs w:val="22"/>
          <w:lang w:val="en-GB" w:eastAsia="en-GB"/>
        </w:rPr>
        <w:t xml:space="preserve"> Foundation, New York.</w:t>
      </w:r>
    </w:p>
    <w:p w:rsidR="00495B14" w:rsidRDefault="00194AC0" w:rsidP="00495B14">
      <w:pPr>
        <w:tabs>
          <w:tab w:val="left" w:pos="7938"/>
        </w:tabs>
        <w:spacing w:after="120"/>
        <w:ind w:left="-709" w:right="-23" w:hanging="425"/>
        <w:jc w:val="both"/>
        <w:rPr>
          <w:sz w:val="22"/>
          <w:szCs w:val="22"/>
          <w:lang w:val="en-GB"/>
        </w:rPr>
      </w:pPr>
      <w:proofErr w:type="gramStart"/>
      <w:r w:rsidRPr="00B96ECB">
        <w:rPr>
          <w:sz w:val="22"/>
          <w:szCs w:val="22"/>
          <w:lang w:val="en-GB"/>
        </w:rPr>
        <w:t xml:space="preserve">Nam, C.B., </w:t>
      </w:r>
      <w:proofErr w:type="spellStart"/>
      <w:r w:rsidRPr="00B96ECB">
        <w:rPr>
          <w:sz w:val="22"/>
          <w:szCs w:val="22"/>
          <w:lang w:val="en-GB"/>
        </w:rPr>
        <w:t>Serow</w:t>
      </w:r>
      <w:proofErr w:type="spellEnd"/>
      <w:r w:rsidRPr="00B96ECB">
        <w:rPr>
          <w:sz w:val="22"/>
          <w:szCs w:val="22"/>
          <w:lang w:val="en-GB"/>
        </w:rPr>
        <w:t xml:space="preserve">, W.J. and Sly, D.F. (1990) </w:t>
      </w:r>
      <w:r w:rsidRPr="00B96ECB">
        <w:rPr>
          <w:i/>
          <w:sz w:val="22"/>
          <w:szCs w:val="22"/>
          <w:lang w:val="en-GB"/>
        </w:rPr>
        <w:t>International Handbook on Internal Migration,</w:t>
      </w:r>
      <w:r w:rsidRPr="00B96ECB">
        <w:rPr>
          <w:sz w:val="22"/>
          <w:szCs w:val="22"/>
          <w:lang w:val="en-GB"/>
        </w:rPr>
        <w:t xml:space="preserve"> Greenwood Press, Westport.</w:t>
      </w:r>
      <w:proofErr w:type="gramEnd"/>
    </w:p>
    <w:p w:rsidR="00495B14" w:rsidRPr="00495B14" w:rsidRDefault="00495B14" w:rsidP="00495B14">
      <w:pPr>
        <w:tabs>
          <w:tab w:val="left" w:pos="7938"/>
        </w:tabs>
        <w:spacing w:after="120"/>
        <w:ind w:left="-709" w:right="-23" w:hanging="425"/>
        <w:jc w:val="both"/>
        <w:rPr>
          <w:rFonts w:ascii="Times-Roman" w:hAnsi="Times-Roman" w:cs="Times-Roman"/>
          <w:color w:val="000000"/>
          <w:sz w:val="22"/>
          <w:szCs w:val="22"/>
          <w:lang w:val="en-GB" w:eastAsia="en-GB"/>
        </w:rPr>
      </w:pPr>
      <w:r w:rsidRPr="00495B14">
        <w:rPr>
          <w:rFonts w:ascii="Times-Roman" w:hAnsi="Times-Roman" w:cs="Times-Roman"/>
          <w:color w:val="000000"/>
          <w:sz w:val="22"/>
          <w:szCs w:val="22"/>
          <w:lang w:val="en-GB" w:eastAsia="en-GB"/>
        </w:rPr>
        <w:t xml:space="preserve">ODPM (2002) </w:t>
      </w:r>
      <w:proofErr w:type="gramStart"/>
      <w:r w:rsidRPr="00495B14">
        <w:rPr>
          <w:rFonts w:ascii="Times-Roman" w:hAnsi="Times-Roman" w:cs="Times-Roman"/>
          <w:i/>
          <w:color w:val="000000"/>
          <w:sz w:val="22"/>
          <w:szCs w:val="22"/>
          <w:lang w:val="en-GB" w:eastAsia="en-GB"/>
        </w:rPr>
        <w:t>The</w:t>
      </w:r>
      <w:proofErr w:type="gramEnd"/>
      <w:r w:rsidRPr="00495B14">
        <w:rPr>
          <w:rFonts w:ascii="Times-Roman" w:hAnsi="Times-Roman" w:cs="Times-Roman"/>
          <w:i/>
          <w:color w:val="000000"/>
          <w:sz w:val="22"/>
          <w:szCs w:val="22"/>
          <w:lang w:val="en-GB" w:eastAsia="en-GB"/>
        </w:rPr>
        <w:t xml:space="preserve"> Development of a Migration Model</w:t>
      </w:r>
      <w:r w:rsidRPr="00495B14">
        <w:rPr>
          <w:rFonts w:ascii="Times-Roman" w:hAnsi="Times-Roman" w:cs="Times-Roman"/>
          <w:color w:val="000000"/>
          <w:sz w:val="22"/>
          <w:szCs w:val="22"/>
          <w:lang w:val="en-GB" w:eastAsia="en-GB"/>
        </w:rPr>
        <w:t xml:space="preserve">, </w:t>
      </w:r>
      <w:r w:rsidR="00F16FC4">
        <w:rPr>
          <w:rFonts w:ascii="Times-Roman" w:hAnsi="Times-Roman" w:cs="Times-Roman"/>
          <w:color w:val="000000"/>
          <w:sz w:val="22"/>
          <w:szCs w:val="22"/>
          <w:lang w:val="en-GB" w:eastAsia="en-GB"/>
        </w:rPr>
        <w:t xml:space="preserve">Research Report, </w:t>
      </w:r>
      <w:r w:rsidRPr="00495B14">
        <w:rPr>
          <w:rFonts w:ascii="Times-Roman" w:hAnsi="Times-Roman" w:cs="Times-Roman"/>
          <w:color w:val="000000"/>
          <w:sz w:val="22"/>
          <w:szCs w:val="22"/>
          <w:lang w:val="en-GB" w:eastAsia="en-GB"/>
        </w:rPr>
        <w:t>Office of the Deputy Prime Minister</w:t>
      </w:r>
      <w:r>
        <w:rPr>
          <w:rFonts w:ascii="Times-Roman" w:hAnsi="Times-Roman" w:cs="Times-Roman"/>
          <w:color w:val="000000"/>
          <w:sz w:val="22"/>
          <w:szCs w:val="22"/>
          <w:lang w:val="en-GB" w:eastAsia="en-GB"/>
        </w:rPr>
        <w:t>,</w:t>
      </w:r>
      <w:r w:rsidRPr="00495B14">
        <w:rPr>
          <w:rFonts w:ascii="Times-Roman" w:hAnsi="Times-Roman" w:cs="Times-Roman"/>
          <w:color w:val="000000"/>
          <w:sz w:val="22"/>
          <w:szCs w:val="22"/>
          <w:lang w:val="en-GB" w:eastAsia="en-GB"/>
        </w:rPr>
        <w:t xml:space="preserve"> London:</w:t>
      </w:r>
    </w:p>
    <w:p w:rsidR="00FC03E6" w:rsidRPr="00B96ECB" w:rsidRDefault="00FC03E6" w:rsidP="00846F9B">
      <w:pPr>
        <w:tabs>
          <w:tab w:val="left" w:pos="7938"/>
        </w:tabs>
        <w:spacing w:after="120"/>
        <w:ind w:left="-709" w:right="-23" w:hanging="425"/>
        <w:jc w:val="both"/>
        <w:rPr>
          <w:sz w:val="22"/>
          <w:szCs w:val="22"/>
          <w:lang w:val="en-GB"/>
        </w:rPr>
      </w:pPr>
      <w:proofErr w:type="spellStart"/>
      <w:r w:rsidRPr="00B96ECB">
        <w:rPr>
          <w:sz w:val="22"/>
          <w:szCs w:val="22"/>
          <w:lang w:val="en-GB"/>
        </w:rPr>
        <w:t>Openshaw</w:t>
      </w:r>
      <w:proofErr w:type="spellEnd"/>
      <w:r w:rsidRPr="00B96ECB">
        <w:rPr>
          <w:sz w:val="22"/>
          <w:szCs w:val="22"/>
          <w:lang w:val="en-GB"/>
        </w:rPr>
        <w:t xml:space="preserve">, S. (1977) Algorithm 3: A procedure to generate pseudo-random aggregations of N spatial units into M spatial units, where M is less than N, </w:t>
      </w:r>
      <w:r w:rsidRPr="00B96ECB">
        <w:rPr>
          <w:i/>
          <w:sz w:val="22"/>
          <w:szCs w:val="22"/>
          <w:lang w:val="en-GB"/>
        </w:rPr>
        <w:t>Environment and Planning A</w:t>
      </w:r>
      <w:r w:rsidRPr="00B96ECB">
        <w:rPr>
          <w:sz w:val="22"/>
          <w:szCs w:val="22"/>
          <w:lang w:val="en-GB"/>
        </w:rPr>
        <w:t>, 9: 1423-1428.</w:t>
      </w:r>
    </w:p>
    <w:p w:rsidR="00FC03E6" w:rsidRPr="00B96ECB" w:rsidRDefault="00FC03E6" w:rsidP="00846F9B">
      <w:pPr>
        <w:tabs>
          <w:tab w:val="left" w:pos="7938"/>
        </w:tabs>
        <w:spacing w:after="120"/>
        <w:ind w:left="-709" w:right="-23" w:hanging="425"/>
        <w:jc w:val="both"/>
        <w:rPr>
          <w:sz w:val="22"/>
          <w:szCs w:val="22"/>
          <w:lang w:val="en-GB"/>
        </w:rPr>
      </w:pPr>
      <w:proofErr w:type="spellStart"/>
      <w:r w:rsidRPr="00B96ECB">
        <w:rPr>
          <w:sz w:val="22"/>
          <w:szCs w:val="22"/>
          <w:lang w:val="en-GB"/>
        </w:rPr>
        <w:t>Openshaw</w:t>
      </w:r>
      <w:proofErr w:type="spellEnd"/>
      <w:r w:rsidRPr="00B96ECB">
        <w:rPr>
          <w:sz w:val="22"/>
          <w:szCs w:val="22"/>
          <w:lang w:val="en-GB"/>
        </w:rPr>
        <w:t xml:space="preserve">, S. (1984) </w:t>
      </w:r>
      <w:proofErr w:type="gramStart"/>
      <w:r w:rsidRPr="00B96ECB">
        <w:rPr>
          <w:i/>
          <w:iCs/>
          <w:sz w:val="22"/>
          <w:szCs w:val="22"/>
          <w:lang w:val="en-GB"/>
        </w:rPr>
        <w:t>The</w:t>
      </w:r>
      <w:proofErr w:type="gramEnd"/>
      <w:r w:rsidRPr="00B96ECB">
        <w:rPr>
          <w:i/>
          <w:iCs/>
          <w:sz w:val="22"/>
          <w:szCs w:val="22"/>
          <w:lang w:val="en-GB"/>
        </w:rPr>
        <w:t xml:space="preserve"> Modifiable Areal Unit Problem</w:t>
      </w:r>
      <w:r w:rsidRPr="00B96ECB">
        <w:rPr>
          <w:sz w:val="22"/>
          <w:szCs w:val="22"/>
          <w:lang w:val="en-GB"/>
        </w:rPr>
        <w:t xml:space="preserve">, Concepts and Techniques in Modern Geography, 38, </w:t>
      </w:r>
      <w:proofErr w:type="spellStart"/>
      <w:r w:rsidRPr="00B96ECB">
        <w:rPr>
          <w:sz w:val="22"/>
          <w:szCs w:val="22"/>
          <w:lang w:val="en-GB"/>
        </w:rPr>
        <w:t>GeoBooks</w:t>
      </w:r>
      <w:proofErr w:type="spellEnd"/>
      <w:r w:rsidRPr="00B96ECB">
        <w:rPr>
          <w:sz w:val="22"/>
          <w:szCs w:val="22"/>
          <w:lang w:val="en-GB"/>
        </w:rPr>
        <w:t>, Norwich.</w:t>
      </w:r>
    </w:p>
    <w:p w:rsidR="00A65013" w:rsidRPr="00B96ECB" w:rsidRDefault="00A65013" w:rsidP="00846F9B">
      <w:pPr>
        <w:tabs>
          <w:tab w:val="left" w:pos="7938"/>
        </w:tabs>
        <w:spacing w:after="120"/>
        <w:ind w:left="-709" w:right="-23" w:hanging="425"/>
        <w:jc w:val="both"/>
        <w:rPr>
          <w:sz w:val="22"/>
          <w:szCs w:val="22"/>
          <w:lang w:val="en-GB"/>
        </w:rPr>
      </w:pPr>
      <w:proofErr w:type="gramStart"/>
      <w:r w:rsidRPr="00B96ECB">
        <w:rPr>
          <w:sz w:val="22"/>
          <w:szCs w:val="22"/>
          <w:lang w:val="en-GB"/>
        </w:rPr>
        <w:t>Norwegian Refugee Council (2007) Internal Displacement Global Overview of Trends and Developments in 2006, Internal Displacement Monitoring Centre, Norwegian Refugee Council, Geneva.</w:t>
      </w:r>
      <w:proofErr w:type="gramEnd"/>
    </w:p>
    <w:p w:rsidR="00E96B31" w:rsidRPr="00B96ECB" w:rsidRDefault="00E96B31" w:rsidP="00846F9B">
      <w:pPr>
        <w:tabs>
          <w:tab w:val="left" w:pos="7938"/>
        </w:tabs>
        <w:spacing w:after="120"/>
        <w:ind w:left="-709" w:right="-23" w:hanging="425"/>
        <w:jc w:val="both"/>
        <w:rPr>
          <w:sz w:val="22"/>
          <w:szCs w:val="22"/>
          <w:lang w:val="en-GB"/>
        </w:rPr>
      </w:pPr>
      <w:r w:rsidRPr="00B96ECB">
        <w:rPr>
          <w:sz w:val="22"/>
          <w:szCs w:val="22"/>
          <w:lang w:val="en-GB"/>
        </w:rPr>
        <w:t xml:space="preserve">Plane, D. A. and Mulligan, G. F (1997) Measuring spatial focusing in a migration </w:t>
      </w:r>
      <w:proofErr w:type="spellStart"/>
      <w:r w:rsidRPr="00B96ECB">
        <w:rPr>
          <w:sz w:val="22"/>
          <w:szCs w:val="22"/>
          <w:lang w:val="en-GB"/>
        </w:rPr>
        <w:t>system</w:t>
      </w:r>
      <w:proofErr w:type="gramStart"/>
      <w:r w:rsidR="00711F8F" w:rsidRPr="00B96ECB">
        <w:rPr>
          <w:i/>
          <w:sz w:val="22"/>
          <w:szCs w:val="22"/>
          <w:lang w:val="en-GB"/>
        </w:rPr>
        <w:t>,</w:t>
      </w:r>
      <w:r w:rsidRPr="00B96ECB">
        <w:rPr>
          <w:i/>
          <w:sz w:val="22"/>
          <w:szCs w:val="22"/>
          <w:lang w:val="en-GB"/>
        </w:rPr>
        <w:t>Demography</w:t>
      </w:r>
      <w:proofErr w:type="spellEnd"/>
      <w:proofErr w:type="gramEnd"/>
      <w:r w:rsidRPr="00B96ECB">
        <w:rPr>
          <w:sz w:val="22"/>
          <w:szCs w:val="22"/>
          <w:lang w:val="en-GB"/>
        </w:rPr>
        <w:t>, 34</w:t>
      </w:r>
      <w:r w:rsidR="00711F8F" w:rsidRPr="00B96ECB">
        <w:rPr>
          <w:sz w:val="22"/>
          <w:szCs w:val="22"/>
          <w:lang w:val="en-GB"/>
        </w:rPr>
        <w:t>:</w:t>
      </w:r>
      <w:r w:rsidRPr="00B96ECB">
        <w:rPr>
          <w:sz w:val="22"/>
          <w:szCs w:val="22"/>
          <w:lang w:val="en-GB"/>
        </w:rPr>
        <w:t>251-262.</w:t>
      </w:r>
    </w:p>
    <w:p w:rsidR="00290A0E" w:rsidRDefault="00290A0E" w:rsidP="00846F9B">
      <w:pPr>
        <w:pStyle w:val="NormalWeb"/>
        <w:tabs>
          <w:tab w:val="left" w:pos="7938"/>
        </w:tabs>
        <w:spacing w:before="0" w:beforeAutospacing="0" w:after="120" w:afterAutospacing="0" w:line="240" w:lineRule="auto"/>
        <w:ind w:left="-709" w:hanging="425"/>
        <w:rPr>
          <w:rFonts w:ascii="Times New Roman" w:hAnsi="Times New Roman"/>
          <w:szCs w:val="22"/>
        </w:rPr>
      </w:pPr>
      <w:r>
        <w:rPr>
          <w:rFonts w:ascii="Times New Roman" w:hAnsi="Times New Roman"/>
          <w:szCs w:val="22"/>
        </w:rPr>
        <w:t xml:space="preserve">Rees, P.H., </w:t>
      </w:r>
      <w:proofErr w:type="spellStart"/>
      <w:r>
        <w:rPr>
          <w:rFonts w:ascii="Times New Roman" w:hAnsi="Times New Roman"/>
          <w:szCs w:val="22"/>
        </w:rPr>
        <w:t>Fotheringham</w:t>
      </w:r>
      <w:proofErr w:type="spellEnd"/>
      <w:r>
        <w:rPr>
          <w:rFonts w:ascii="Times New Roman" w:hAnsi="Times New Roman"/>
          <w:szCs w:val="22"/>
        </w:rPr>
        <w:t xml:space="preserve">, A.S. and Champion, A.G. (2004) Modelli8ng migration for </w:t>
      </w:r>
      <w:r w:rsidR="00495B14">
        <w:rPr>
          <w:rFonts w:ascii="Times New Roman" w:hAnsi="Times New Roman"/>
          <w:szCs w:val="22"/>
        </w:rPr>
        <w:t>p</w:t>
      </w:r>
      <w:r>
        <w:rPr>
          <w:rFonts w:ascii="Times New Roman" w:hAnsi="Times New Roman"/>
          <w:szCs w:val="22"/>
        </w:rPr>
        <w:t>olicy analysis</w:t>
      </w:r>
      <w:r w:rsidR="00495B14">
        <w:rPr>
          <w:rFonts w:ascii="Times New Roman" w:hAnsi="Times New Roman"/>
          <w:szCs w:val="22"/>
        </w:rPr>
        <w:t xml:space="preserve">, In Stillwell, J. and Clarke, G. (eds.) </w:t>
      </w:r>
      <w:r w:rsidR="00495B14" w:rsidRPr="00495B14">
        <w:rPr>
          <w:rFonts w:ascii="Times New Roman" w:hAnsi="Times New Roman"/>
          <w:i/>
          <w:szCs w:val="22"/>
        </w:rPr>
        <w:t>Applied GIS and Spatial Analysis</w:t>
      </w:r>
      <w:r w:rsidR="00495B14">
        <w:rPr>
          <w:rFonts w:ascii="Times New Roman" w:hAnsi="Times New Roman"/>
          <w:szCs w:val="22"/>
        </w:rPr>
        <w:t>, Wiley, Chichester, pp 259-296</w:t>
      </w:r>
    </w:p>
    <w:p w:rsidR="007A54F6" w:rsidRPr="00B96ECB" w:rsidRDefault="007A54F6" w:rsidP="00846F9B">
      <w:pPr>
        <w:pStyle w:val="NormalWeb"/>
        <w:tabs>
          <w:tab w:val="left" w:pos="7938"/>
        </w:tabs>
        <w:spacing w:before="0" w:beforeAutospacing="0" w:after="120" w:afterAutospacing="0" w:line="240" w:lineRule="auto"/>
        <w:ind w:left="-709" w:hanging="425"/>
        <w:rPr>
          <w:rFonts w:ascii="Times New Roman" w:hAnsi="Times New Roman"/>
          <w:szCs w:val="22"/>
        </w:rPr>
      </w:pPr>
      <w:r w:rsidRPr="00B96ECB">
        <w:rPr>
          <w:rFonts w:ascii="Times New Roman" w:hAnsi="Times New Roman"/>
          <w:szCs w:val="22"/>
        </w:rPr>
        <w:t xml:space="preserve">Rees, P., Stillwell, J., </w:t>
      </w:r>
      <w:proofErr w:type="gramStart"/>
      <w:r w:rsidRPr="00B96ECB">
        <w:rPr>
          <w:rFonts w:ascii="Times New Roman" w:hAnsi="Times New Roman"/>
          <w:szCs w:val="22"/>
        </w:rPr>
        <w:t>Convey,</w:t>
      </w:r>
      <w:proofErr w:type="gramEnd"/>
      <w:r w:rsidRPr="00B96ECB">
        <w:rPr>
          <w:rFonts w:ascii="Times New Roman" w:hAnsi="Times New Roman"/>
          <w:szCs w:val="22"/>
        </w:rPr>
        <w:t xml:space="preserve"> A. and </w:t>
      </w:r>
      <w:proofErr w:type="spellStart"/>
      <w:r w:rsidRPr="00B96ECB">
        <w:rPr>
          <w:rFonts w:ascii="Times New Roman" w:hAnsi="Times New Roman"/>
          <w:szCs w:val="22"/>
        </w:rPr>
        <w:t>Kupiszewski.M</w:t>
      </w:r>
      <w:proofErr w:type="spellEnd"/>
      <w:r w:rsidRPr="00B96ECB">
        <w:rPr>
          <w:rFonts w:ascii="Times New Roman" w:hAnsi="Times New Roman"/>
          <w:szCs w:val="22"/>
        </w:rPr>
        <w:t>. (</w:t>
      </w:r>
      <w:proofErr w:type="gramStart"/>
      <w:r w:rsidRPr="00B96ECB">
        <w:rPr>
          <w:rFonts w:ascii="Times New Roman" w:hAnsi="Times New Roman"/>
          <w:szCs w:val="22"/>
        </w:rPr>
        <w:t>eds</w:t>
      </w:r>
      <w:proofErr w:type="gramEnd"/>
      <w:r w:rsidRPr="00B96ECB">
        <w:rPr>
          <w:rFonts w:ascii="Times New Roman" w:hAnsi="Times New Roman"/>
          <w:szCs w:val="22"/>
        </w:rPr>
        <w:t xml:space="preserve">.) (1996) </w:t>
      </w:r>
      <w:r w:rsidRPr="00B96ECB">
        <w:rPr>
          <w:rFonts w:ascii="Times New Roman" w:hAnsi="Times New Roman"/>
          <w:i/>
          <w:szCs w:val="22"/>
        </w:rPr>
        <w:t>Population Migration in the European Union,</w:t>
      </w:r>
      <w:r w:rsidRPr="00B96ECB">
        <w:rPr>
          <w:rFonts w:ascii="Times New Roman" w:hAnsi="Times New Roman"/>
          <w:szCs w:val="22"/>
        </w:rPr>
        <w:t xml:space="preserve"> Wiley, Chichester.</w:t>
      </w:r>
    </w:p>
    <w:p w:rsidR="00713469" w:rsidRPr="00B96ECB" w:rsidRDefault="00713469" w:rsidP="00846F9B">
      <w:pPr>
        <w:pStyle w:val="NormalWeb"/>
        <w:tabs>
          <w:tab w:val="left" w:pos="7938"/>
        </w:tabs>
        <w:spacing w:before="0" w:beforeAutospacing="0" w:after="120" w:afterAutospacing="0" w:line="240" w:lineRule="auto"/>
        <w:ind w:left="-709" w:hanging="425"/>
        <w:rPr>
          <w:rFonts w:ascii="Times New Roman" w:hAnsi="Times New Roman"/>
          <w:szCs w:val="22"/>
        </w:rPr>
      </w:pPr>
      <w:proofErr w:type="gramStart"/>
      <w:r w:rsidRPr="00B96ECB">
        <w:rPr>
          <w:rFonts w:ascii="Times New Roman" w:hAnsi="Times New Roman"/>
          <w:szCs w:val="22"/>
        </w:rPr>
        <w:t xml:space="preserve">Rogers, A. and Castro, L.J. (1978) Model migration schedules, </w:t>
      </w:r>
      <w:r w:rsidRPr="00B96ECB">
        <w:rPr>
          <w:rFonts w:ascii="Times New Roman" w:hAnsi="Times New Roman"/>
          <w:i/>
          <w:szCs w:val="22"/>
        </w:rPr>
        <w:t>RR-81-30</w:t>
      </w:r>
      <w:r w:rsidRPr="00B96ECB">
        <w:rPr>
          <w:rFonts w:ascii="Times New Roman" w:hAnsi="Times New Roman"/>
          <w:szCs w:val="22"/>
        </w:rPr>
        <w:t xml:space="preserve">, International Institute for Applied Systems Analysis, </w:t>
      </w:r>
      <w:proofErr w:type="spellStart"/>
      <w:r w:rsidRPr="00B96ECB">
        <w:rPr>
          <w:rFonts w:ascii="Times New Roman" w:hAnsi="Times New Roman"/>
          <w:szCs w:val="22"/>
        </w:rPr>
        <w:t>Laxenburg</w:t>
      </w:r>
      <w:proofErr w:type="spellEnd"/>
      <w:r w:rsidRPr="00B96ECB">
        <w:rPr>
          <w:rFonts w:ascii="Times New Roman" w:hAnsi="Times New Roman"/>
          <w:szCs w:val="22"/>
        </w:rPr>
        <w:t>, Austria.</w:t>
      </w:r>
      <w:proofErr w:type="gramEnd"/>
    </w:p>
    <w:p w:rsidR="00290A0E" w:rsidRPr="00290A0E" w:rsidRDefault="00290A0E" w:rsidP="00290A0E">
      <w:pPr>
        <w:pStyle w:val="NormalWeb"/>
        <w:tabs>
          <w:tab w:val="left" w:pos="7938"/>
        </w:tabs>
        <w:spacing w:before="0" w:beforeAutospacing="0" w:after="120" w:afterAutospacing="0" w:line="240" w:lineRule="auto"/>
        <w:ind w:left="-709" w:hanging="425"/>
        <w:rPr>
          <w:rFonts w:ascii="Times New Roman" w:hAnsi="Times New Roman"/>
          <w:szCs w:val="22"/>
        </w:rPr>
      </w:pPr>
      <w:r w:rsidRPr="00290A0E">
        <w:rPr>
          <w:rFonts w:ascii="Times New Roman" w:hAnsi="Times New Roman"/>
          <w:color w:val="000033"/>
          <w:szCs w:val="22"/>
          <w:lang w:eastAsia="en-GB"/>
        </w:rPr>
        <w:t xml:space="preserve">Stillwell, J. and </w:t>
      </w:r>
      <w:proofErr w:type="spellStart"/>
      <w:r w:rsidRPr="00290A0E">
        <w:rPr>
          <w:rFonts w:ascii="Times New Roman" w:hAnsi="Times New Roman"/>
          <w:color w:val="000033"/>
          <w:szCs w:val="22"/>
          <w:lang w:eastAsia="en-GB"/>
        </w:rPr>
        <w:t>Congdon</w:t>
      </w:r>
      <w:proofErr w:type="spellEnd"/>
      <w:r w:rsidRPr="00290A0E">
        <w:rPr>
          <w:rFonts w:ascii="Times New Roman" w:hAnsi="Times New Roman"/>
          <w:color w:val="000033"/>
          <w:szCs w:val="22"/>
          <w:lang w:eastAsia="en-GB"/>
        </w:rPr>
        <w:t xml:space="preserve">, P. (1991) </w:t>
      </w:r>
      <w:r w:rsidRPr="00290A0E">
        <w:rPr>
          <w:rFonts w:ascii="Times New Roman" w:hAnsi="Times New Roman"/>
          <w:szCs w:val="22"/>
        </w:rPr>
        <w:t xml:space="preserve">(eds.) </w:t>
      </w:r>
      <w:r w:rsidRPr="00290A0E">
        <w:rPr>
          <w:rFonts w:ascii="Times New Roman" w:hAnsi="Times New Roman"/>
          <w:i/>
          <w:szCs w:val="22"/>
        </w:rPr>
        <w:t>Migration Models: Macro and Micro Approaches</w:t>
      </w:r>
      <w:r w:rsidRPr="00290A0E">
        <w:rPr>
          <w:rFonts w:ascii="Times New Roman" w:hAnsi="Times New Roman"/>
          <w:szCs w:val="22"/>
        </w:rPr>
        <w:t>, Belhaven Press, London.</w:t>
      </w:r>
    </w:p>
    <w:p w:rsidR="008A738B" w:rsidRPr="00290A0E" w:rsidRDefault="00FC03E6" w:rsidP="00846F9B">
      <w:pPr>
        <w:pStyle w:val="NormalWeb"/>
        <w:tabs>
          <w:tab w:val="left" w:pos="7938"/>
        </w:tabs>
        <w:spacing w:before="0" w:beforeAutospacing="0" w:after="120" w:afterAutospacing="0" w:line="240" w:lineRule="auto"/>
        <w:ind w:left="-709" w:hanging="425"/>
        <w:rPr>
          <w:rFonts w:ascii="Times New Roman" w:hAnsi="Times New Roman"/>
          <w:szCs w:val="22"/>
        </w:rPr>
      </w:pPr>
      <w:r w:rsidRPr="00290A0E">
        <w:rPr>
          <w:rFonts w:ascii="Times New Roman" w:hAnsi="Times New Roman"/>
          <w:szCs w:val="22"/>
        </w:rPr>
        <w:t>Stillwell, J. (199</w:t>
      </w:r>
      <w:r w:rsidR="00290A0E" w:rsidRPr="00290A0E">
        <w:rPr>
          <w:rFonts w:ascii="Times New Roman" w:hAnsi="Times New Roman"/>
          <w:szCs w:val="22"/>
        </w:rPr>
        <w:t>1</w:t>
      </w:r>
      <w:r w:rsidRPr="00290A0E">
        <w:rPr>
          <w:rFonts w:ascii="Times New Roman" w:hAnsi="Times New Roman"/>
          <w:szCs w:val="22"/>
        </w:rPr>
        <w:t xml:space="preserve">) Spatial interaction models and the propensity to migrate over distance, in Stillwell, J. and </w:t>
      </w:r>
      <w:proofErr w:type="spellStart"/>
      <w:r w:rsidRPr="00290A0E">
        <w:rPr>
          <w:rFonts w:ascii="Times New Roman" w:hAnsi="Times New Roman"/>
          <w:szCs w:val="22"/>
        </w:rPr>
        <w:t>Congdon</w:t>
      </w:r>
      <w:proofErr w:type="spellEnd"/>
      <w:r w:rsidRPr="00290A0E">
        <w:rPr>
          <w:rFonts w:ascii="Times New Roman" w:hAnsi="Times New Roman"/>
          <w:szCs w:val="22"/>
        </w:rPr>
        <w:t xml:space="preserve">, P. (eds.) </w:t>
      </w:r>
      <w:r w:rsidRPr="00290A0E">
        <w:rPr>
          <w:rFonts w:ascii="Times New Roman" w:hAnsi="Times New Roman"/>
          <w:i/>
          <w:szCs w:val="22"/>
        </w:rPr>
        <w:t>Migration Models: Macro and Micro Approaches</w:t>
      </w:r>
      <w:r w:rsidRPr="00290A0E">
        <w:rPr>
          <w:rFonts w:ascii="Times New Roman" w:hAnsi="Times New Roman"/>
          <w:szCs w:val="22"/>
        </w:rPr>
        <w:t>, Belhaven Press, London.</w:t>
      </w:r>
    </w:p>
    <w:p w:rsidR="00290A0E" w:rsidRPr="00290A0E" w:rsidRDefault="00290A0E" w:rsidP="00846F9B">
      <w:pPr>
        <w:pStyle w:val="NormalWeb"/>
        <w:tabs>
          <w:tab w:val="left" w:pos="7938"/>
        </w:tabs>
        <w:spacing w:before="0" w:beforeAutospacing="0" w:after="120" w:afterAutospacing="0" w:line="240" w:lineRule="auto"/>
        <w:ind w:left="-709" w:hanging="425"/>
        <w:rPr>
          <w:rFonts w:ascii="Times New Roman" w:hAnsi="Times New Roman"/>
          <w:color w:val="000033"/>
          <w:szCs w:val="22"/>
          <w:lang w:eastAsia="en-GB"/>
        </w:rPr>
      </w:pPr>
      <w:r w:rsidRPr="00290A0E">
        <w:rPr>
          <w:rFonts w:ascii="Times New Roman" w:hAnsi="Times New Roman"/>
          <w:color w:val="000033"/>
          <w:szCs w:val="22"/>
          <w:lang w:eastAsia="en-GB"/>
        </w:rPr>
        <w:t>Stillwell</w:t>
      </w:r>
      <w:r>
        <w:rPr>
          <w:rFonts w:ascii="Times New Roman" w:hAnsi="Times New Roman"/>
          <w:color w:val="000033"/>
          <w:szCs w:val="22"/>
          <w:lang w:eastAsia="en-GB"/>
        </w:rPr>
        <w:t xml:space="preserve">, J. </w:t>
      </w:r>
      <w:r w:rsidRPr="00290A0E">
        <w:rPr>
          <w:rFonts w:ascii="Times New Roman" w:hAnsi="Times New Roman"/>
          <w:color w:val="000033"/>
          <w:szCs w:val="22"/>
          <w:lang w:eastAsia="en-GB"/>
        </w:rPr>
        <w:t xml:space="preserve"> (2008) </w:t>
      </w:r>
      <w:r>
        <w:rPr>
          <w:rFonts w:ascii="Times New Roman" w:hAnsi="Times New Roman"/>
          <w:color w:val="000033"/>
          <w:szCs w:val="22"/>
          <w:lang w:eastAsia="en-GB"/>
        </w:rPr>
        <w:t xml:space="preserve">Inter-regional migration modelling: a review, In </w:t>
      </w:r>
      <w:proofErr w:type="spellStart"/>
      <w:r>
        <w:rPr>
          <w:rFonts w:ascii="Times New Roman" w:hAnsi="Times New Roman"/>
          <w:color w:val="000033"/>
          <w:szCs w:val="22"/>
          <w:lang w:eastAsia="en-GB"/>
        </w:rPr>
        <w:t>Poot</w:t>
      </w:r>
      <w:proofErr w:type="spellEnd"/>
      <w:r>
        <w:rPr>
          <w:rFonts w:ascii="Times New Roman" w:hAnsi="Times New Roman"/>
          <w:color w:val="000033"/>
          <w:szCs w:val="22"/>
          <w:lang w:eastAsia="en-GB"/>
        </w:rPr>
        <w:t xml:space="preserve">, J., Waldorf, B. and van </w:t>
      </w:r>
      <w:proofErr w:type="spellStart"/>
      <w:r>
        <w:rPr>
          <w:rFonts w:ascii="Times New Roman" w:hAnsi="Times New Roman"/>
          <w:color w:val="000033"/>
          <w:szCs w:val="22"/>
          <w:lang w:eastAsia="en-GB"/>
        </w:rPr>
        <w:t>Wissen</w:t>
      </w:r>
      <w:proofErr w:type="spellEnd"/>
      <w:r>
        <w:rPr>
          <w:rFonts w:ascii="Times New Roman" w:hAnsi="Times New Roman"/>
          <w:color w:val="000033"/>
          <w:szCs w:val="22"/>
          <w:lang w:eastAsia="en-GB"/>
        </w:rPr>
        <w:t xml:space="preserve">, L. (eds.) </w:t>
      </w:r>
      <w:r w:rsidRPr="00290A0E">
        <w:rPr>
          <w:rFonts w:ascii="Times New Roman" w:hAnsi="Times New Roman"/>
          <w:i/>
          <w:color w:val="000033"/>
          <w:szCs w:val="22"/>
          <w:lang w:eastAsia="en-GB"/>
        </w:rPr>
        <w:t>Migration and Human Capital</w:t>
      </w:r>
      <w:r>
        <w:rPr>
          <w:rFonts w:ascii="Times New Roman" w:hAnsi="Times New Roman"/>
          <w:color w:val="000033"/>
          <w:szCs w:val="22"/>
          <w:lang w:eastAsia="en-GB"/>
        </w:rPr>
        <w:t>, Edward Elgar, Cheltenham, pp. 29-48.</w:t>
      </w:r>
    </w:p>
    <w:p w:rsidR="008A738B" w:rsidRPr="00B96ECB" w:rsidRDefault="008A738B" w:rsidP="00846F9B">
      <w:pPr>
        <w:pStyle w:val="NormalWeb"/>
        <w:tabs>
          <w:tab w:val="left" w:pos="7938"/>
        </w:tabs>
        <w:spacing w:before="0" w:beforeAutospacing="0" w:after="120" w:afterAutospacing="0" w:line="240" w:lineRule="auto"/>
        <w:ind w:left="-709" w:hanging="425"/>
        <w:rPr>
          <w:rFonts w:ascii="Times New Roman" w:hAnsi="Times New Roman"/>
          <w:szCs w:val="22"/>
        </w:rPr>
      </w:pPr>
      <w:r w:rsidRPr="00290A0E">
        <w:rPr>
          <w:rFonts w:ascii="Times New Roman" w:hAnsi="Times New Roman"/>
          <w:szCs w:val="22"/>
        </w:rPr>
        <w:t xml:space="preserve">Stillwell, J., Bell, M., Blake, M., Duke-Williams, O. and Rees, P. (2000) </w:t>
      </w:r>
      <w:proofErr w:type="gramStart"/>
      <w:r w:rsidRPr="00290A0E">
        <w:rPr>
          <w:rFonts w:ascii="Times New Roman" w:hAnsi="Times New Roman"/>
          <w:szCs w:val="22"/>
        </w:rPr>
        <w:t>A</w:t>
      </w:r>
      <w:proofErr w:type="gramEnd"/>
      <w:r w:rsidRPr="00290A0E">
        <w:rPr>
          <w:rFonts w:ascii="Times New Roman" w:hAnsi="Times New Roman"/>
          <w:szCs w:val="22"/>
        </w:rPr>
        <w:t xml:space="preserve"> comparison of net migration flows and migration effectiveness in Australia and Britain, </w:t>
      </w:r>
      <w:r w:rsidRPr="00290A0E">
        <w:rPr>
          <w:rFonts w:ascii="Times New Roman" w:hAnsi="Times New Roman"/>
          <w:i/>
          <w:szCs w:val="22"/>
        </w:rPr>
        <w:t>Journal of Population</w:t>
      </w:r>
      <w:r w:rsidRPr="00B96ECB">
        <w:rPr>
          <w:rFonts w:ascii="Times New Roman" w:hAnsi="Times New Roman"/>
          <w:i/>
          <w:szCs w:val="22"/>
        </w:rPr>
        <w:t xml:space="preserve"> Research,</w:t>
      </w:r>
      <w:r w:rsidRPr="00B96ECB">
        <w:rPr>
          <w:rFonts w:ascii="Times New Roman" w:hAnsi="Times New Roman"/>
          <w:szCs w:val="22"/>
        </w:rPr>
        <w:t xml:space="preserve"> 17(1): 17-41.</w:t>
      </w:r>
    </w:p>
    <w:p w:rsidR="003D04D2" w:rsidRPr="00B96ECB" w:rsidRDefault="00B65819" w:rsidP="00846F9B">
      <w:pPr>
        <w:pStyle w:val="NormalWeb"/>
        <w:tabs>
          <w:tab w:val="left" w:pos="7938"/>
        </w:tabs>
        <w:spacing w:before="0" w:beforeAutospacing="0" w:after="120" w:afterAutospacing="0" w:line="240" w:lineRule="auto"/>
        <w:ind w:left="-709" w:hanging="425"/>
        <w:rPr>
          <w:rStyle w:val="reference-text"/>
          <w:rFonts w:ascii="Times New Roman" w:hAnsi="Times New Roman"/>
          <w:szCs w:val="22"/>
        </w:rPr>
      </w:pPr>
      <w:r w:rsidRPr="00B96ECB">
        <w:rPr>
          <w:rStyle w:val="reference-text"/>
          <w:rFonts w:ascii="Times New Roman" w:hAnsi="Times New Roman"/>
          <w:szCs w:val="22"/>
        </w:rPr>
        <w:lastRenderedPageBreak/>
        <w:t xml:space="preserve">Stillwell, J., Duke-Williams, O. and Dennett, A. (eds.) (2010) </w:t>
      </w:r>
      <w:r w:rsidRPr="00B96ECB">
        <w:rPr>
          <w:rStyle w:val="reference-text"/>
          <w:rFonts w:ascii="Times New Roman" w:hAnsi="Times New Roman"/>
          <w:i/>
          <w:szCs w:val="22"/>
        </w:rPr>
        <w:t>Technologies for Migration and Commuting Analysis Spatial Interaction Data Applications</w:t>
      </w:r>
      <w:r w:rsidR="00A573B2" w:rsidRPr="00B96ECB">
        <w:rPr>
          <w:rStyle w:val="reference-text"/>
          <w:rFonts w:ascii="Times New Roman" w:hAnsi="Times New Roman"/>
          <w:i/>
          <w:szCs w:val="22"/>
        </w:rPr>
        <w:t>,</w:t>
      </w:r>
      <w:r w:rsidR="00A573B2" w:rsidRPr="00B96ECB">
        <w:rPr>
          <w:rStyle w:val="reference-text"/>
          <w:rFonts w:ascii="Times New Roman" w:hAnsi="Times New Roman"/>
          <w:szCs w:val="22"/>
        </w:rPr>
        <w:t xml:space="preserve"> IGI Global, Hershey.</w:t>
      </w:r>
    </w:p>
    <w:p w:rsidR="00AF3737" w:rsidRPr="00B96ECB" w:rsidRDefault="00AF3737" w:rsidP="00846F9B">
      <w:pPr>
        <w:pStyle w:val="NormalWeb"/>
        <w:tabs>
          <w:tab w:val="left" w:pos="7938"/>
        </w:tabs>
        <w:spacing w:before="0" w:beforeAutospacing="0" w:after="120" w:afterAutospacing="0" w:line="240" w:lineRule="auto"/>
        <w:ind w:left="-709" w:hanging="425"/>
        <w:rPr>
          <w:rStyle w:val="reference-text"/>
          <w:rFonts w:ascii="Times New Roman" w:hAnsi="Times New Roman"/>
          <w:szCs w:val="22"/>
        </w:rPr>
      </w:pPr>
      <w:proofErr w:type="spellStart"/>
      <w:r w:rsidRPr="00B96ECB">
        <w:rPr>
          <w:rStyle w:val="reference-text"/>
          <w:rFonts w:ascii="Times New Roman" w:hAnsi="Times New Roman"/>
          <w:szCs w:val="22"/>
        </w:rPr>
        <w:t>Tobler</w:t>
      </w:r>
      <w:proofErr w:type="spellEnd"/>
      <w:r w:rsidRPr="00B96ECB">
        <w:rPr>
          <w:rStyle w:val="reference-text"/>
          <w:rFonts w:ascii="Times New Roman" w:hAnsi="Times New Roman"/>
          <w:szCs w:val="22"/>
        </w:rPr>
        <w:t xml:space="preserve"> W. (1970) </w:t>
      </w:r>
      <w:proofErr w:type="gramStart"/>
      <w:r w:rsidRPr="00B96ECB">
        <w:rPr>
          <w:rStyle w:val="reference-text"/>
          <w:rFonts w:ascii="Times New Roman" w:hAnsi="Times New Roman"/>
          <w:szCs w:val="22"/>
        </w:rPr>
        <w:t>A</w:t>
      </w:r>
      <w:proofErr w:type="gramEnd"/>
      <w:r w:rsidRPr="00B96ECB">
        <w:rPr>
          <w:rStyle w:val="reference-text"/>
          <w:rFonts w:ascii="Times New Roman" w:hAnsi="Times New Roman"/>
          <w:szCs w:val="22"/>
        </w:rPr>
        <w:t xml:space="preserve"> computer movie simulating urban growth in the Detroit region, </w:t>
      </w:r>
      <w:r w:rsidRPr="00B96ECB">
        <w:rPr>
          <w:rStyle w:val="reference-text"/>
          <w:rFonts w:ascii="Times New Roman" w:hAnsi="Times New Roman"/>
          <w:i/>
          <w:iCs/>
          <w:szCs w:val="22"/>
        </w:rPr>
        <w:t>Economic Geography</w:t>
      </w:r>
      <w:r w:rsidRPr="00B96ECB">
        <w:rPr>
          <w:rStyle w:val="reference-text"/>
          <w:rFonts w:ascii="Times New Roman" w:hAnsi="Times New Roman"/>
          <w:szCs w:val="22"/>
        </w:rPr>
        <w:t>, 46(2): 234-240.</w:t>
      </w:r>
    </w:p>
    <w:p w:rsidR="007A54F6" w:rsidRPr="00B96ECB" w:rsidRDefault="007A54F6" w:rsidP="00846F9B">
      <w:pPr>
        <w:pStyle w:val="NormalWeb"/>
        <w:tabs>
          <w:tab w:val="left" w:pos="7938"/>
        </w:tabs>
        <w:spacing w:before="0" w:beforeAutospacing="0" w:after="120" w:afterAutospacing="0" w:line="240" w:lineRule="auto"/>
        <w:ind w:left="-709" w:hanging="425"/>
        <w:rPr>
          <w:rFonts w:ascii="Times New Roman" w:hAnsi="Times New Roman"/>
          <w:szCs w:val="22"/>
        </w:rPr>
      </w:pPr>
      <w:proofErr w:type="spellStart"/>
      <w:r w:rsidRPr="00B96ECB">
        <w:rPr>
          <w:rFonts w:ascii="Times New Roman" w:hAnsi="Times New Roman"/>
          <w:szCs w:val="22"/>
        </w:rPr>
        <w:t>Todaro</w:t>
      </w:r>
      <w:proofErr w:type="spellEnd"/>
      <w:r w:rsidRPr="00B96ECB">
        <w:rPr>
          <w:rFonts w:ascii="Times New Roman" w:hAnsi="Times New Roman"/>
          <w:szCs w:val="22"/>
        </w:rPr>
        <w:t xml:space="preserve">, M. (1980) Internal migration in developing countries: a survey, in </w:t>
      </w:r>
      <w:proofErr w:type="spellStart"/>
      <w:r w:rsidRPr="00B96ECB">
        <w:rPr>
          <w:rFonts w:ascii="Times New Roman" w:hAnsi="Times New Roman"/>
          <w:szCs w:val="22"/>
        </w:rPr>
        <w:t>Easterlin</w:t>
      </w:r>
      <w:proofErr w:type="spellEnd"/>
      <w:r w:rsidRPr="00B96ECB">
        <w:rPr>
          <w:rFonts w:ascii="Times New Roman" w:hAnsi="Times New Roman"/>
          <w:szCs w:val="22"/>
        </w:rPr>
        <w:t xml:space="preserve">, R.A. (ed.) Population and Economic Change in Developing Countries, University of Chicago Press, </w:t>
      </w:r>
      <w:r w:rsidR="00633B4D" w:rsidRPr="00B96ECB">
        <w:rPr>
          <w:rFonts w:ascii="Times New Roman" w:hAnsi="Times New Roman"/>
          <w:szCs w:val="22"/>
        </w:rPr>
        <w:t>Chicago, pp. 361-402.</w:t>
      </w:r>
    </w:p>
    <w:p w:rsidR="00FC03E6" w:rsidRPr="00B96ECB" w:rsidRDefault="00FC03E6" w:rsidP="00846F9B">
      <w:pPr>
        <w:pStyle w:val="NormalWeb"/>
        <w:tabs>
          <w:tab w:val="left" w:pos="7938"/>
        </w:tabs>
        <w:spacing w:before="0" w:beforeAutospacing="0" w:after="120" w:afterAutospacing="0" w:line="240" w:lineRule="auto"/>
        <w:ind w:left="-709" w:hanging="425"/>
        <w:rPr>
          <w:rFonts w:ascii="Times New Roman" w:hAnsi="Times New Roman"/>
          <w:szCs w:val="22"/>
        </w:rPr>
      </w:pPr>
      <w:proofErr w:type="gramStart"/>
      <w:r w:rsidRPr="00B96ECB">
        <w:rPr>
          <w:rFonts w:ascii="Times New Roman" w:hAnsi="Times New Roman"/>
          <w:szCs w:val="22"/>
        </w:rPr>
        <w:t xml:space="preserve">Wilson, A.G. (1970) </w:t>
      </w:r>
      <w:r w:rsidRPr="00B96ECB">
        <w:rPr>
          <w:rFonts w:ascii="Times New Roman" w:hAnsi="Times New Roman"/>
          <w:i/>
          <w:szCs w:val="22"/>
        </w:rPr>
        <w:t>Entropy in Urban and Regional Modelling</w:t>
      </w:r>
      <w:r w:rsidRPr="00B96ECB">
        <w:rPr>
          <w:rFonts w:ascii="Times New Roman" w:hAnsi="Times New Roman"/>
          <w:szCs w:val="22"/>
        </w:rPr>
        <w:t>, Pion, London.</w:t>
      </w:r>
      <w:proofErr w:type="gramEnd"/>
    </w:p>
    <w:p w:rsidR="00D007C8" w:rsidRDefault="007272FE" w:rsidP="00846F9B">
      <w:pPr>
        <w:pStyle w:val="NormalWeb"/>
        <w:tabs>
          <w:tab w:val="left" w:pos="7938"/>
        </w:tabs>
        <w:spacing w:before="0" w:beforeAutospacing="0" w:after="120" w:afterAutospacing="0" w:line="240" w:lineRule="auto"/>
        <w:ind w:left="-709" w:hanging="425"/>
        <w:rPr>
          <w:rFonts w:ascii="Times New Roman" w:hAnsi="Times New Roman"/>
          <w:szCs w:val="22"/>
        </w:rPr>
      </w:pPr>
      <w:proofErr w:type="spellStart"/>
      <w:r w:rsidRPr="00B96ECB">
        <w:rPr>
          <w:rFonts w:ascii="Times New Roman" w:hAnsi="Times New Roman"/>
          <w:szCs w:val="22"/>
        </w:rPr>
        <w:t>Zipf</w:t>
      </w:r>
      <w:proofErr w:type="spellEnd"/>
      <w:r w:rsidRPr="00B96ECB">
        <w:rPr>
          <w:rFonts w:ascii="Times New Roman" w:hAnsi="Times New Roman"/>
          <w:szCs w:val="22"/>
        </w:rPr>
        <w:t xml:space="preserve">, G.K. (1946) The P1P2/D hypothesis: on intercity movement of persons, </w:t>
      </w:r>
      <w:r w:rsidRPr="00B96ECB">
        <w:rPr>
          <w:rFonts w:ascii="Times New Roman" w:hAnsi="Times New Roman"/>
          <w:i/>
          <w:szCs w:val="22"/>
        </w:rPr>
        <w:t>American Sociological Review</w:t>
      </w:r>
      <w:r w:rsidRPr="00B96ECB">
        <w:rPr>
          <w:rFonts w:ascii="Times New Roman" w:hAnsi="Times New Roman"/>
          <w:szCs w:val="22"/>
        </w:rPr>
        <w:t>, 11: 677-686.</w:t>
      </w:r>
    </w:p>
    <w:p w:rsidR="00495B14" w:rsidRDefault="00495B14">
      <w:pPr>
        <w:autoSpaceDE w:val="0"/>
        <w:autoSpaceDN w:val="0"/>
        <w:adjustRightInd w:val="0"/>
        <w:rPr>
          <w:rFonts w:ascii="Times-Roman" w:hAnsi="Times-Roman" w:cs="Times-Roman"/>
          <w:color w:val="000000"/>
          <w:lang w:val="en-GB" w:eastAsia="en-GB"/>
        </w:rPr>
      </w:pPr>
    </w:p>
    <w:sectPr w:rsidR="00495B14" w:rsidSect="006E0742">
      <w:headerReference w:type="even" r:id="rId10"/>
      <w:headerReference w:type="default" r:id="rId11"/>
      <w:footerReference w:type="default" r:id="rId12"/>
      <w:headerReference w:type="first" r:id="rId13"/>
      <w:footerReference w:type="first" r:id="rId14"/>
      <w:pgSz w:w="11900" w:h="16840"/>
      <w:pgMar w:top="1418" w:right="1412" w:bottom="1418" w:left="2608"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0B3" w:rsidRDefault="008710B3">
      <w:r>
        <w:separator/>
      </w:r>
    </w:p>
  </w:endnote>
  <w:endnote w:type="continuationSeparator" w:id="0">
    <w:p w:rsidR="008710B3" w:rsidRDefault="0087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609168"/>
      <w:docPartObj>
        <w:docPartGallery w:val="Page Numbers (Bottom of Page)"/>
        <w:docPartUnique/>
      </w:docPartObj>
    </w:sdtPr>
    <w:sdtEndPr/>
    <w:sdtContent>
      <w:p w:rsidR="00BB27B6" w:rsidRDefault="008710B3">
        <w:pPr>
          <w:pStyle w:val="Footer"/>
          <w:jc w:val="center"/>
        </w:pPr>
        <w:r>
          <w:fldChar w:fldCharType="begin"/>
        </w:r>
        <w:r>
          <w:instrText xml:space="preserve"> PAGE   \* MERGEFORMAT </w:instrText>
        </w:r>
        <w:r>
          <w:fldChar w:fldCharType="separate"/>
        </w:r>
        <w:r w:rsidR="00294074">
          <w:rPr>
            <w:noProof/>
          </w:rPr>
          <w:t>2</w:t>
        </w:r>
        <w:r>
          <w:rPr>
            <w:noProof/>
          </w:rPr>
          <w:fldChar w:fldCharType="end"/>
        </w:r>
      </w:p>
    </w:sdtContent>
  </w:sdt>
  <w:p w:rsidR="00BB27B6" w:rsidRDefault="00BB2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6" w:rsidRDefault="00BB27B6">
    <w:pPr>
      <w:pStyle w:val="Footer"/>
      <w:jc w:val="center"/>
    </w:pPr>
  </w:p>
  <w:p w:rsidR="00BB27B6" w:rsidRDefault="00BB2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0B3" w:rsidRDefault="008710B3">
      <w:r>
        <w:separator/>
      </w:r>
    </w:p>
  </w:footnote>
  <w:footnote w:type="continuationSeparator" w:id="0">
    <w:p w:rsidR="008710B3" w:rsidRDefault="008710B3">
      <w:r>
        <w:continuationSeparator/>
      </w:r>
    </w:p>
  </w:footnote>
  <w:footnote w:id="1">
    <w:p w:rsidR="00BB27B6" w:rsidRPr="00645C09" w:rsidRDefault="00BB27B6" w:rsidP="00DA19D2">
      <w:pPr>
        <w:pStyle w:val="FootnoteText"/>
        <w:ind w:left="-1134"/>
        <w:rPr>
          <w:lang w:val="en-GB"/>
        </w:rPr>
      </w:pPr>
      <w:r>
        <w:rPr>
          <w:rStyle w:val="FootnoteReference"/>
        </w:rPr>
        <w:footnoteRef/>
      </w:r>
      <w:r w:rsidRPr="007D530F">
        <w:t>http://www</w:t>
      </w:r>
      <w:r w:rsidRPr="007218DC">
        <w:rPr>
          <w:lang w:val="en-GB"/>
        </w:rPr>
        <w:t>.gpem.uq.edu.au/image</w:t>
      </w:r>
    </w:p>
  </w:footnote>
  <w:footnote w:id="2">
    <w:p w:rsidR="00BB27B6" w:rsidRDefault="00BB27B6" w:rsidP="00FC2DA4">
      <w:pPr>
        <w:pStyle w:val="FootnoteText"/>
        <w:ind w:left="-1134"/>
        <w:rPr>
          <w:rStyle w:val="Hyperlink"/>
          <w:lang w:val="en-GB"/>
        </w:rPr>
      </w:pPr>
      <w:r>
        <w:rPr>
          <w:rStyle w:val="FootnoteReference"/>
        </w:rPr>
        <w:footnoteRef/>
      </w:r>
      <w:hyperlink r:id="rId1" w:history="1">
        <w:r w:rsidRPr="00977F09">
          <w:rPr>
            <w:rStyle w:val="Hyperlink"/>
          </w:rPr>
          <w:t>http://sourceforge.net/projects/nts/</w:t>
        </w:r>
      </w:hyperlink>
    </w:p>
    <w:p w:rsidR="00BB27B6" w:rsidRPr="00FC2DA4" w:rsidRDefault="008710B3" w:rsidP="00FC2DA4">
      <w:pPr>
        <w:pStyle w:val="FootnoteText"/>
        <w:ind w:left="-1134"/>
        <w:rPr>
          <w:lang w:val="en-GB"/>
        </w:rPr>
      </w:pPr>
      <w:hyperlink r:id="rId2" w:history="1">
        <w:r w:rsidR="00BB27B6" w:rsidRPr="00096BF4">
          <w:rPr>
            <w:rStyle w:val="Hyperlink"/>
          </w:rPr>
          <w:t>http://sharpmap.codeplex.com/releases/view/465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6" w:rsidRDefault="00BB27B6" w:rsidP="003861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27B6" w:rsidRDefault="00BB27B6" w:rsidP="00021A5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6" w:rsidRDefault="00BB27B6">
    <w:pPr>
      <w:pStyle w:val="Header"/>
      <w:jc w:val="center"/>
    </w:pPr>
  </w:p>
  <w:p w:rsidR="00BB27B6" w:rsidRDefault="00BB27B6" w:rsidP="00021A52">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6" w:rsidRDefault="00BB27B6">
    <w:pPr>
      <w:pStyle w:val="Header"/>
      <w:jc w:val="center"/>
    </w:pPr>
  </w:p>
  <w:p w:rsidR="00BB27B6" w:rsidRDefault="00BB2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896"/>
    <w:multiLevelType w:val="hybridMultilevel"/>
    <w:tmpl w:val="8850DBFC"/>
    <w:lvl w:ilvl="0" w:tplc="A12A680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A6B66B7"/>
    <w:multiLevelType w:val="hybridMultilevel"/>
    <w:tmpl w:val="8A6E397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3D80170"/>
    <w:multiLevelType w:val="hybridMultilevel"/>
    <w:tmpl w:val="B89021D8"/>
    <w:lvl w:ilvl="0" w:tplc="C1C4F492">
      <w:start w:val="1"/>
      <w:numFmt w:val="bullet"/>
      <w:lvlText w:val="–"/>
      <w:lvlJc w:val="left"/>
      <w:pPr>
        <w:tabs>
          <w:tab w:val="num" w:pos="720"/>
        </w:tabs>
        <w:ind w:left="720" w:hanging="360"/>
      </w:pPr>
      <w:rPr>
        <w:rFonts w:ascii="Arial" w:hAnsi="Arial" w:hint="default"/>
      </w:rPr>
    </w:lvl>
    <w:lvl w:ilvl="1" w:tplc="04904D4A">
      <w:start w:val="1"/>
      <w:numFmt w:val="bullet"/>
      <w:lvlText w:val="–"/>
      <w:lvlJc w:val="left"/>
      <w:pPr>
        <w:tabs>
          <w:tab w:val="num" w:pos="1440"/>
        </w:tabs>
        <w:ind w:left="1440" w:hanging="360"/>
      </w:pPr>
      <w:rPr>
        <w:rFonts w:ascii="Arial" w:hAnsi="Arial" w:hint="default"/>
      </w:rPr>
    </w:lvl>
    <w:lvl w:ilvl="2" w:tplc="75E42DE2" w:tentative="1">
      <w:start w:val="1"/>
      <w:numFmt w:val="bullet"/>
      <w:lvlText w:val="–"/>
      <w:lvlJc w:val="left"/>
      <w:pPr>
        <w:tabs>
          <w:tab w:val="num" w:pos="2160"/>
        </w:tabs>
        <w:ind w:left="2160" w:hanging="360"/>
      </w:pPr>
      <w:rPr>
        <w:rFonts w:ascii="Arial" w:hAnsi="Arial" w:hint="default"/>
      </w:rPr>
    </w:lvl>
    <w:lvl w:ilvl="3" w:tplc="989CFF7A" w:tentative="1">
      <w:start w:val="1"/>
      <w:numFmt w:val="bullet"/>
      <w:lvlText w:val="–"/>
      <w:lvlJc w:val="left"/>
      <w:pPr>
        <w:tabs>
          <w:tab w:val="num" w:pos="2880"/>
        </w:tabs>
        <w:ind w:left="2880" w:hanging="360"/>
      </w:pPr>
      <w:rPr>
        <w:rFonts w:ascii="Arial" w:hAnsi="Arial" w:hint="default"/>
      </w:rPr>
    </w:lvl>
    <w:lvl w:ilvl="4" w:tplc="78AA7B4A" w:tentative="1">
      <w:start w:val="1"/>
      <w:numFmt w:val="bullet"/>
      <w:lvlText w:val="–"/>
      <w:lvlJc w:val="left"/>
      <w:pPr>
        <w:tabs>
          <w:tab w:val="num" w:pos="3600"/>
        </w:tabs>
        <w:ind w:left="3600" w:hanging="360"/>
      </w:pPr>
      <w:rPr>
        <w:rFonts w:ascii="Arial" w:hAnsi="Arial" w:hint="default"/>
      </w:rPr>
    </w:lvl>
    <w:lvl w:ilvl="5" w:tplc="5D2499E2" w:tentative="1">
      <w:start w:val="1"/>
      <w:numFmt w:val="bullet"/>
      <w:lvlText w:val="–"/>
      <w:lvlJc w:val="left"/>
      <w:pPr>
        <w:tabs>
          <w:tab w:val="num" w:pos="4320"/>
        </w:tabs>
        <w:ind w:left="4320" w:hanging="360"/>
      </w:pPr>
      <w:rPr>
        <w:rFonts w:ascii="Arial" w:hAnsi="Arial" w:hint="default"/>
      </w:rPr>
    </w:lvl>
    <w:lvl w:ilvl="6" w:tplc="F9E69A00" w:tentative="1">
      <w:start w:val="1"/>
      <w:numFmt w:val="bullet"/>
      <w:lvlText w:val="–"/>
      <w:lvlJc w:val="left"/>
      <w:pPr>
        <w:tabs>
          <w:tab w:val="num" w:pos="5040"/>
        </w:tabs>
        <w:ind w:left="5040" w:hanging="360"/>
      </w:pPr>
      <w:rPr>
        <w:rFonts w:ascii="Arial" w:hAnsi="Arial" w:hint="default"/>
      </w:rPr>
    </w:lvl>
    <w:lvl w:ilvl="7" w:tplc="74A08146" w:tentative="1">
      <w:start w:val="1"/>
      <w:numFmt w:val="bullet"/>
      <w:lvlText w:val="–"/>
      <w:lvlJc w:val="left"/>
      <w:pPr>
        <w:tabs>
          <w:tab w:val="num" w:pos="5760"/>
        </w:tabs>
        <w:ind w:left="5760" w:hanging="360"/>
      </w:pPr>
      <w:rPr>
        <w:rFonts w:ascii="Arial" w:hAnsi="Arial" w:hint="default"/>
      </w:rPr>
    </w:lvl>
    <w:lvl w:ilvl="8" w:tplc="DB5A8BE0" w:tentative="1">
      <w:start w:val="1"/>
      <w:numFmt w:val="bullet"/>
      <w:lvlText w:val="–"/>
      <w:lvlJc w:val="left"/>
      <w:pPr>
        <w:tabs>
          <w:tab w:val="num" w:pos="6480"/>
        </w:tabs>
        <w:ind w:left="6480" w:hanging="360"/>
      </w:pPr>
      <w:rPr>
        <w:rFonts w:ascii="Arial" w:hAnsi="Arial" w:hint="default"/>
      </w:rPr>
    </w:lvl>
  </w:abstractNum>
  <w:abstractNum w:abstractNumId="3">
    <w:nsid w:val="14176E53"/>
    <w:multiLevelType w:val="hybridMultilevel"/>
    <w:tmpl w:val="2C16950C"/>
    <w:lvl w:ilvl="0" w:tplc="F4AE4B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A23864"/>
    <w:multiLevelType w:val="hybridMultilevel"/>
    <w:tmpl w:val="7FAC8C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3B38B0"/>
    <w:multiLevelType w:val="hybridMultilevel"/>
    <w:tmpl w:val="87B846B4"/>
    <w:lvl w:ilvl="0" w:tplc="E182D30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9D043B"/>
    <w:multiLevelType w:val="hybridMultilevel"/>
    <w:tmpl w:val="0ED41D1A"/>
    <w:lvl w:ilvl="0" w:tplc="777EAB88">
      <w:start w:val="1"/>
      <w:numFmt w:val="lowerLetter"/>
      <w:lvlText w:val="(%1)"/>
      <w:lvlJc w:val="left"/>
      <w:pPr>
        <w:ind w:left="-774" w:hanging="36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7">
    <w:nsid w:val="225F5418"/>
    <w:multiLevelType w:val="hybridMultilevel"/>
    <w:tmpl w:val="AAF64B68"/>
    <w:lvl w:ilvl="0" w:tplc="EECC8C1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49B12FF"/>
    <w:multiLevelType w:val="hybridMultilevel"/>
    <w:tmpl w:val="158036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49C2779"/>
    <w:multiLevelType w:val="hybridMultilevel"/>
    <w:tmpl w:val="051C7BC6"/>
    <w:lvl w:ilvl="0" w:tplc="2C6ECBC8">
      <w:start w:val="7"/>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5F6182"/>
    <w:multiLevelType w:val="hybridMultilevel"/>
    <w:tmpl w:val="4E6E2468"/>
    <w:lvl w:ilvl="0" w:tplc="EDF2EA1E">
      <w:start w:val="5"/>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2B4D28"/>
    <w:multiLevelType w:val="hybridMultilevel"/>
    <w:tmpl w:val="83B2BD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nsid w:val="2A51106F"/>
    <w:multiLevelType w:val="multilevel"/>
    <w:tmpl w:val="4E22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A74F68"/>
    <w:multiLevelType w:val="hybridMultilevel"/>
    <w:tmpl w:val="0D9E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AE1E03"/>
    <w:multiLevelType w:val="hybridMultilevel"/>
    <w:tmpl w:val="BF3268A2"/>
    <w:lvl w:ilvl="0" w:tplc="F2320F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8A2F5B"/>
    <w:multiLevelType w:val="hybridMultilevel"/>
    <w:tmpl w:val="18A4B240"/>
    <w:lvl w:ilvl="0" w:tplc="B1C8E3D6">
      <w:start w:val="7"/>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415177AC"/>
    <w:multiLevelType w:val="hybridMultilevel"/>
    <w:tmpl w:val="AAF64B68"/>
    <w:lvl w:ilvl="0" w:tplc="EECC8C1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45AD3EC9"/>
    <w:multiLevelType w:val="hybridMultilevel"/>
    <w:tmpl w:val="02A845EE"/>
    <w:lvl w:ilvl="0" w:tplc="400443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8E7B81"/>
    <w:multiLevelType w:val="multilevel"/>
    <w:tmpl w:val="A022BF50"/>
    <w:lvl w:ilvl="0">
      <w:start w:val="1"/>
      <w:numFmt w:val="decimal"/>
      <w:lvlText w:val="%1."/>
      <w:lvlJc w:val="left"/>
      <w:pPr>
        <w:ind w:left="644"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6C825BF"/>
    <w:multiLevelType w:val="hybridMultilevel"/>
    <w:tmpl w:val="8E6671AC"/>
    <w:lvl w:ilvl="0" w:tplc="4D529D86">
      <w:start w:val="1"/>
      <w:numFmt w:val="bullet"/>
      <w:lvlText w:val="•"/>
      <w:lvlJc w:val="left"/>
      <w:pPr>
        <w:tabs>
          <w:tab w:val="num" w:pos="720"/>
        </w:tabs>
        <w:ind w:left="720" w:hanging="360"/>
      </w:pPr>
      <w:rPr>
        <w:rFonts w:ascii="Arial" w:hAnsi="Arial" w:hint="default"/>
      </w:rPr>
    </w:lvl>
    <w:lvl w:ilvl="1" w:tplc="ACB881F0" w:tentative="1">
      <w:start w:val="1"/>
      <w:numFmt w:val="bullet"/>
      <w:lvlText w:val="•"/>
      <w:lvlJc w:val="left"/>
      <w:pPr>
        <w:tabs>
          <w:tab w:val="num" w:pos="1440"/>
        </w:tabs>
        <w:ind w:left="1440" w:hanging="360"/>
      </w:pPr>
      <w:rPr>
        <w:rFonts w:ascii="Arial" w:hAnsi="Arial" w:hint="default"/>
      </w:rPr>
    </w:lvl>
    <w:lvl w:ilvl="2" w:tplc="57C6D532" w:tentative="1">
      <w:start w:val="1"/>
      <w:numFmt w:val="bullet"/>
      <w:lvlText w:val="•"/>
      <w:lvlJc w:val="left"/>
      <w:pPr>
        <w:tabs>
          <w:tab w:val="num" w:pos="2160"/>
        </w:tabs>
        <w:ind w:left="2160" w:hanging="360"/>
      </w:pPr>
      <w:rPr>
        <w:rFonts w:ascii="Arial" w:hAnsi="Arial" w:hint="default"/>
      </w:rPr>
    </w:lvl>
    <w:lvl w:ilvl="3" w:tplc="851C0ECA" w:tentative="1">
      <w:start w:val="1"/>
      <w:numFmt w:val="bullet"/>
      <w:lvlText w:val="•"/>
      <w:lvlJc w:val="left"/>
      <w:pPr>
        <w:tabs>
          <w:tab w:val="num" w:pos="2880"/>
        </w:tabs>
        <w:ind w:left="2880" w:hanging="360"/>
      </w:pPr>
      <w:rPr>
        <w:rFonts w:ascii="Arial" w:hAnsi="Arial" w:hint="default"/>
      </w:rPr>
    </w:lvl>
    <w:lvl w:ilvl="4" w:tplc="AB94C860" w:tentative="1">
      <w:start w:val="1"/>
      <w:numFmt w:val="bullet"/>
      <w:lvlText w:val="•"/>
      <w:lvlJc w:val="left"/>
      <w:pPr>
        <w:tabs>
          <w:tab w:val="num" w:pos="3600"/>
        </w:tabs>
        <w:ind w:left="3600" w:hanging="360"/>
      </w:pPr>
      <w:rPr>
        <w:rFonts w:ascii="Arial" w:hAnsi="Arial" w:hint="default"/>
      </w:rPr>
    </w:lvl>
    <w:lvl w:ilvl="5" w:tplc="8BC21DE6" w:tentative="1">
      <w:start w:val="1"/>
      <w:numFmt w:val="bullet"/>
      <w:lvlText w:val="•"/>
      <w:lvlJc w:val="left"/>
      <w:pPr>
        <w:tabs>
          <w:tab w:val="num" w:pos="4320"/>
        </w:tabs>
        <w:ind w:left="4320" w:hanging="360"/>
      </w:pPr>
      <w:rPr>
        <w:rFonts w:ascii="Arial" w:hAnsi="Arial" w:hint="default"/>
      </w:rPr>
    </w:lvl>
    <w:lvl w:ilvl="6" w:tplc="7F10EBEC" w:tentative="1">
      <w:start w:val="1"/>
      <w:numFmt w:val="bullet"/>
      <w:lvlText w:val="•"/>
      <w:lvlJc w:val="left"/>
      <w:pPr>
        <w:tabs>
          <w:tab w:val="num" w:pos="5040"/>
        </w:tabs>
        <w:ind w:left="5040" w:hanging="360"/>
      </w:pPr>
      <w:rPr>
        <w:rFonts w:ascii="Arial" w:hAnsi="Arial" w:hint="default"/>
      </w:rPr>
    </w:lvl>
    <w:lvl w:ilvl="7" w:tplc="588A1514" w:tentative="1">
      <w:start w:val="1"/>
      <w:numFmt w:val="bullet"/>
      <w:lvlText w:val="•"/>
      <w:lvlJc w:val="left"/>
      <w:pPr>
        <w:tabs>
          <w:tab w:val="num" w:pos="5760"/>
        </w:tabs>
        <w:ind w:left="5760" w:hanging="360"/>
      </w:pPr>
      <w:rPr>
        <w:rFonts w:ascii="Arial" w:hAnsi="Arial" w:hint="default"/>
      </w:rPr>
    </w:lvl>
    <w:lvl w:ilvl="8" w:tplc="EF7AADF0" w:tentative="1">
      <w:start w:val="1"/>
      <w:numFmt w:val="bullet"/>
      <w:lvlText w:val="•"/>
      <w:lvlJc w:val="left"/>
      <w:pPr>
        <w:tabs>
          <w:tab w:val="num" w:pos="6480"/>
        </w:tabs>
        <w:ind w:left="6480" w:hanging="360"/>
      </w:pPr>
      <w:rPr>
        <w:rFonts w:ascii="Arial" w:hAnsi="Arial" w:hint="default"/>
      </w:rPr>
    </w:lvl>
  </w:abstractNum>
  <w:abstractNum w:abstractNumId="20">
    <w:nsid w:val="4A0436E6"/>
    <w:multiLevelType w:val="hybridMultilevel"/>
    <w:tmpl w:val="9DD6A2EA"/>
    <w:lvl w:ilvl="0" w:tplc="7AB4E2A6">
      <w:start w:val="1"/>
      <w:numFmt w:val="bullet"/>
      <w:lvlText w:val="–"/>
      <w:lvlJc w:val="left"/>
      <w:pPr>
        <w:tabs>
          <w:tab w:val="num" w:pos="720"/>
        </w:tabs>
        <w:ind w:left="720" w:hanging="360"/>
      </w:pPr>
      <w:rPr>
        <w:rFonts w:ascii="Arial" w:hAnsi="Arial" w:hint="default"/>
      </w:rPr>
    </w:lvl>
    <w:lvl w:ilvl="1" w:tplc="AA38C772">
      <w:start w:val="1"/>
      <w:numFmt w:val="bullet"/>
      <w:lvlText w:val="–"/>
      <w:lvlJc w:val="left"/>
      <w:pPr>
        <w:tabs>
          <w:tab w:val="num" w:pos="1440"/>
        </w:tabs>
        <w:ind w:left="1440" w:hanging="360"/>
      </w:pPr>
      <w:rPr>
        <w:rFonts w:ascii="Arial" w:hAnsi="Arial" w:hint="default"/>
      </w:rPr>
    </w:lvl>
    <w:lvl w:ilvl="2" w:tplc="EBDA8A0A" w:tentative="1">
      <w:start w:val="1"/>
      <w:numFmt w:val="bullet"/>
      <w:lvlText w:val="–"/>
      <w:lvlJc w:val="left"/>
      <w:pPr>
        <w:tabs>
          <w:tab w:val="num" w:pos="2160"/>
        </w:tabs>
        <w:ind w:left="2160" w:hanging="360"/>
      </w:pPr>
      <w:rPr>
        <w:rFonts w:ascii="Arial" w:hAnsi="Arial" w:hint="default"/>
      </w:rPr>
    </w:lvl>
    <w:lvl w:ilvl="3" w:tplc="26EA34BA" w:tentative="1">
      <w:start w:val="1"/>
      <w:numFmt w:val="bullet"/>
      <w:lvlText w:val="–"/>
      <w:lvlJc w:val="left"/>
      <w:pPr>
        <w:tabs>
          <w:tab w:val="num" w:pos="2880"/>
        </w:tabs>
        <w:ind w:left="2880" w:hanging="360"/>
      </w:pPr>
      <w:rPr>
        <w:rFonts w:ascii="Arial" w:hAnsi="Arial" w:hint="default"/>
      </w:rPr>
    </w:lvl>
    <w:lvl w:ilvl="4" w:tplc="2E8882E0" w:tentative="1">
      <w:start w:val="1"/>
      <w:numFmt w:val="bullet"/>
      <w:lvlText w:val="–"/>
      <w:lvlJc w:val="left"/>
      <w:pPr>
        <w:tabs>
          <w:tab w:val="num" w:pos="3600"/>
        </w:tabs>
        <w:ind w:left="3600" w:hanging="360"/>
      </w:pPr>
      <w:rPr>
        <w:rFonts w:ascii="Arial" w:hAnsi="Arial" w:hint="default"/>
      </w:rPr>
    </w:lvl>
    <w:lvl w:ilvl="5" w:tplc="40FED5C4" w:tentative="1">
      <w:start w:val="1"/>
      <w:numFmt w:val="bullet"/>
      <w:lvlText w:val="–"/>
      <w:lvlJc w:val="left"/>
      <w:pPr>
        <w:tabs>
          <w:tab w:val="num" w:pos="4320"/>
        </w:tabs>
        <w:ind w:left="4320" w:hanging="360"/>
      </w:pPr>
      <w:rPr>
        <w:rFonts w:ascii="Arial" w:hAnsi="Arial" w:hint="default"/>
      </w:rPr>
    </w:lvl>
    <w:lvl w:ilvl="6" w:tplc="7B667574" w:tentative="1">
      <w:start w:val="1"/>
      <w:numFmt w:val="bullet"/>
      <w:lvlText w:val="–"/>
      <w:lvlJc w:val="left"/>
      <w:pPr>
        <w:tabs>
          <w:tab w:val="num" w:pos="5040"/>
        </w:tabs>
        <w:ind w:left="5040" w:hanging="360"/>
      </w:pPr>
      <w:rPr>
        <w:rFonts w:ascii="Arial" w:hAnsi="Arial" w:hint="default"/>
      </w:rPr>
    </w:lvl>
    <w:lvl w:ilvl="7" w:tplc="625A9C30" w:tentative="1">
      <w:start w:val="1"/>
      <w:numFmt w:val="bullet"/>
      <w:lvlText w:val="–"/>
      <w:lvlJc w:val="left"/>
      <w:pPr>
        <w:tabs>
          <w:tab w:val="num" w:pos="5760"/>
        </w:tabs>
        <w:ind w:left="5760" w:hanging="360"/>
      </w:pPr>
      <w:rPr>
        <w:rFonts w:ascii="Arial" w:hAnsi="Arial" w:hint="default"/>
      </w:rPr>
    </w:lvl>
    <w:lvl w:ilvl="8" w:tplc="66FC27F8" w:tentative="1">
      <w:start w:val="1"/>
      <w:numFmt w:val="bullet"/>
      <w:lvlText w:val="–"/>
      <w:lvlJc w:val="left"/>
      <w:pPr>
        <w:tabs>
          <w:tab w:val="num" w:pos="6480"/>
        </w:tabs>
        <w:ind w:left="6480" w:hanging="360"/>
      </w:pPr>
      <w:rPr>
        <w:rFonts w:ascii="Arial" w:hAnsi="Arial" w:hint="default"/>
      </w:rPr>
    </w:lvl>
  </w:abstractNum>
  <w:abstractNum w:abstractNumId="21">
    <w:nsid w:val="4CDD6F9D"/>
    <w:multiLevelType w:val="hybridMultilevel"/>
    <w:tmpl w:val="3B605FB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841B19"/>
    <w:multiLevelType w:val="hybridMultilevel"/>
    <w:tmpl w:val="A9AC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DF166D"/>
    <w:multiLevelType w:val="multilevel"/>
    <w:tmpl w:val="2670E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5209CB"/>
    <w:multiLevelType w:val="hybridMultilevel"/>
    <w:tmpl w:val="F558FD3A"/>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A43D29"/>
    <w:multiLevelType w:val="hybridMultilevel"/>
    <w:tmpl w:val="1EF402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6">
    <w:nsid w:val="79C55FC7"/>
    <w:multiLevelType w:val="hybridMultilevel"/>
    <w:tmpl w:val="324ACDC0"/>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7">
    <w:nsid w:val="79F33945"/>
    <w:multiLevelType w:val="hybridMultilevel"/>
    <w:tmpl w:val="78FA994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6"/>
  </w:num>
  <w:num w:numId="3">
    <w:abstractNumId w:val="15"/>
  </w:num>
  <w:num w:numId="4">
    <w:abstractNumId w:val="1"/>
  </w:num>
  <w:num w:numId="5">
    <w:abstractNumId w:val="8"/>
  </w:num>
  <w:num w:numId="6">
    <w:abstractNumId w:val="18"/>
  </w:num>
  <w:num w:numId="7">
    <w:abstractNumId w:val="21"/>
  </w:num>
  <w:num w:numId="8">
    <w:abstractNumId w:val="14"/>
  </w:num>
  <w:num w:numId="9">
    <w:abstractNumId w:val="11"/>
  </w:num>
  <w:num w:numId="10">
    <w:abstractNumId w:val="12"/>
  </w:num>
  <w:num w:numId="11">
    <w:abstractNumId w:val="17"/>
  </w:num>
  <w:num w:numId="12">
    <w:abstractNumId w:val="7"/>
  </w:num>
  <w:num w:numId="13">
    <w:abstractNumId w:val="24"/>
  </w:num>
  <w:num w:numId="14">
    <w:abstractNumId w:val="10"/>
  </w:num>
  <w:num w:numId="15">
    <w:abstractNumId w:val="16"/>
  </w:num>
  <w:num w:numId="16">
    <w:abstractNumId w:val="4"/>
  </w:num>
  <w:num w:numId="17">
    <w:abstractNumId w:val="5"/>
  </w:num>
  <w:num w:numId="18">
    <w:abstractNumId w:val="3"/>
  </w:num>
  <w:num w:numId="19">
    <w:abstractNumId w:val="23"/>
  </w:num>
  <w:num w:numId="20">
    <w:abstractNumId w:val="9"/>
  </w:num>
  <w:num w:numId="21">
    <w:abstractNumId w:val="27"/>
  </w:num>
  <w:num w:numId="22">
    <w:abstractNumId w:val="0"/>
  </w:num>
  <w:num w:numId="23">
    <w:abstractNumId w:val="6"/>
  </w:num>
  <w:num w:numId="24">
    <w:abstractNumId w:val="19"/>
  </w:num>
  <w:num w:numId="25">
    <w:abstractNumId w:val="20"/>
  </w:num>
  <w:num w:numId="26">
    <w:abstractNumId w:val="2"/>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04C"/>
    <w:rsid w:val="000007C6"/>
    <w:rsid w:val="00001C0D"/>
    <w:rsid w:val="00004C56"/>
    <w:rsid w:val="00006CCA"/>
    <w:rsid w:val="000074D8"/>
    <w:rsid w:val="00007689"/>
    <w:rsid w:val="00007F76"/>
    <w:rsid w:val="00013881"/>
    <w:rsid w:val="0001652B"/>
    <w:rsid w:val="00021A52"/>
    <w:rsid w:val="00021CD0"/>
    <w:rsid w:val="00037BC1"/>
    <w:rsid w:val="00040843"/>
    <w:rsid w:val="00041ECE"/>
    <w:rsid w:val="000431D9"/>
    <w:rsid w:val="00044B27"/>
    <w:rsid w:val="000459C6"/>
    <w:rsid w:val="00046D89"/>
    <w:rsid w:val="00047AD8"/>
    <w:rsid w:val="00051199"/>
    <w:rsid w:val="000513DC"/>
    <w:rsid w:val="00054A98"/>
    <w:rsid w:val="000550FF"/>
    <w:rsid w:val="00057E38"/>
    <w:rsid w:val="000600BF"/>
    <w:rsid w:val="0006050D"/>
    <w:rsid w:val="00061390"/>
    <w:rsid w:val="000620CC"/>
    <w:rsid w:val="00062A06"/>
    <w:rsid w:val="000674C0"/>
    <w:rsid w:val="00070A79"/>
    <w:rsid w:val="00073000"/>
    <w:rsid w:val="00086579"/>
    <w:rsid w:val="00090219"/>
    <w:rsid w:val="0009127B"/>
    <w:rsid w:val="00094289"/>
    <w:rsid w:val="000A0E97"/>
    <w:rsid w:val="000A1021"/>
    <w:rsid w:val="000A38B5"/>
    <w:rsid w:val="000A606D"/>
    <w:rsid w:val="000A6EBB"/>
    <w:rsid w:val="000A7F97"/>
    <w:rsid w:val="000B0330"/>
    <w:rsid w:val="000B18E6"/>
    <w:rsid w:val="000B2B7A"/>
    <w:rsid w:val="000C0030"/>
    <w:rsid w:val="000C11BE"/>
    <w:rsid w:val="000C6E6E"/>
    <w:rsid w:val="000C7556"/>
    <w:rsid w:val="000C7F5A"/>
    <w:rsid w:val="000D005F"/>
    <w:rsid w:val="000D0AF8"/>
    <w:rsid w:val="000D21B4"/>
    <w:rsid w:val="000D2D87"/>
    <w:rsid w:val="000D38B8"/>
    <w:rsid w:val="000D665A"/>
    <w:rsid w:val="000D737F"/>
    <w:rsid w:val="000E7415"/>
    <w:rsid w:val="000F05D1"/>
    <w:rsid w:val="000F23C3"/>
    <w:rsid w:val="000F30CE"/>
    <w:rsid w:val="000F64C8"/>
    <w:rsid w:val="000F6A00"/>
    <w:rsid w:val="00100DB5"/>
    <w:rsid w:val="001021FE"/>
    <w:rsid w:val="00103290"/>
    <w:rsid w:val="00104C03"/>
    <w:rsid w:val="00105390"/>
    <w:rsid w:val="0010574C"/>
    <w:rsid w:val="00105B0D"/>
    <w:rsid w:val="0011073F"/>
    <w:rsid w:val="00110C84"/>
    <w:rsid w:val="00113D34"/>
    <w:rsid w:val="0011618F"/>
    <w:rsid w:val="00122641"/>
    <w:rsid w:val="001265B3"/>
    <w:rsid w:val="001274D5"/>
    <w:rsid w:val="001324B0"/>
    <w:rsid w:val="001338CC"/>
    <w:rsid w:val="00134724"/>
    <w:rsid w:val="00135BFE"/>
    <w:rsid w:val="00136FC8"/>
    <w:rsid w:val="00143517"/>
    <w:rsid w:val="001450B8"/>
    <w:rsid w:val="00147FE8"/>
    <w:rsid w:val="00150307"/>
    <w:rsid w:val="00153435"/>
    <w:rsid w:val="00153AF5"/>
    <w:rsid w:val="00154001"/>
    <w:rsid w:val="001561F0"/>
    <w:rsid w:val="00156E5F"/>
    <w:rsid w:val="00162375"/>
    <w:rsid w:val="001638FA"/>
    <w:rsid w:val="001644D4"/>
    <w:rsid w:val="00166C79"/>
    <w:rsid w:val="001730DE"/>
    <w:rsid w:val="00180640"/>
    <w:rsid w:val="00180ADA"/>
    <w:rsid w:val="00181730"/>
    <w:rsid w:val="00182329"/>
    <w:rsid w:val="00182FFC"/>
    <w:rsid w:val="00184FD1"/>
    <w:rsid w:val="001858FD"/>
    <w:rsid w:val="001870F4"/>
    <w:rsid w:val="001904A3"/>
    <w:rsid w:val="00190F91"/>
    <w:rsid w:val="001926C1"/>
    <w:rsid w:val="00192722"/>
    <w:rsid w:val="001937A5"/>
    <w:rsid w:val="00194904"/>
    <w:rsid w:val="00194AC0"/>
    <w:rsid w:val="00197861"/>
    <w:rsid w:val="00197F6E"/>
    <w:rsid w:val="001A0B3F"/>
    <w:rsid w:val="001A1C2E"/>
    <w:rsid w:val="001A2691"/>
    <w:rsid w:val="001A3A11"/>
    <w:rsid w:val="001B120F"/>
    <w:rsid w:val="001B1B2F"/>
    <w:rsid w:val="001B26FA"/>
    <w:rsid w:val="001B30C4"/>
    <w:rsid w:val="001B3A22"/>
    <w:rsid w:val="001B6E3B"/>
    <w:rsid w:val="001B7A9A"/>
    <w:rsid w:val="001B7C97"/>
    <w:rsid w:val="001C5C6C"/>
    <w:rsid w:val="001C5CC8"/>
    <w:rsid w:val="001D0DC2"/>
    <w:rsid w:val="001D3D16"/>
    <w:rsid w:val="001D46CE"/>
    <w:rsid w:val="001D4B3E"/>
    <w:rsid w:val="001D4FCA"/>
    <w:rsid w:val="001D5725"/>
    <w:rsid w:val="001D57D5"/>
    <w:rsid w:val="001E1DBB"/>
    <w:rsid w:val="001E35CA"/>
    <w:rsid w:val="001E5190"/>
    <w:rsid w:val="001E532B"/>
    <w:rsid w:val="001F1F52"/>
    <w:rsid w:val="00205793"/>
    <w:rsid w:val="00206565"/>
    <w:rsid w:val="002101B9"/>
    <w:rsid w:val="00210439"/>
    <w:rsid w:val="002134B7"/>
    <w:rsid w:val="00215010"/>
    <w:rsid w:val="002150B7"/>
    <w:rsid w:val="00215F3C"/>
    <w:rsid w:val="00216F03"/>
    <w:rsid w:val="0021721A"/>
    <w:rsid w:val="00220D48"/>
    <w:rsid w:val="00221733"/>
    <w:rsid w:val="00224288"/>
    <w:rsid w:val="00225E9D"/>
    <w:rsid w:val="002317C9"/>
    <w:rsid w:val="00232270"/>
    <w:rsid w:val="002359E3"/>
    <w:rsid w:val="00237452"/>
    <w:rsid w:val="00242D4D"/>
    <w:rsid w:val="002452CC"/>
    <w:rsid w:val="002464EB"/>
    <w:rsid w:val="00247123"/>
    <w:rsid w:val="0025153B"/>
    <w:rsid w:val="00251641"/>
    <w:rsid w:val="002519F9"/>
    <w:rsid w:val="002524B3"/>
    <w:rsid w:val="0025297F"/>
    <w:rsid w:val="002535DC"/>
    <w:rsid w:val="002610E5"/>
    <w:rsid w:val="0026238B"/>
    <w:rsid w:val="00263222"/>
    <w:rsid w:val="00264E62"/>
    <w:rsid w:val="002725EF"/>
    <w:rsid w:val="00275D4D"/>
    <w:rsid w:val="0027704C"/>
    <w:rsid w:val="0028417F"/>
    <w:rsid w:val="002867ED"/>
    <w:rsid w:val="00290A0E"/>
    <w:rsid w:val="00291DBB"/>
    <w:rsid w:val="00294074"/>
    <w:rsid w:val="002959C4"/>
    <w:rsid w:val="00297B12"/>
    <w:rsid w:val="002A01AC"/>
    <w:rsid w:val="002A1D91"/>
    <w:rsid w:val="002A2D08"/>
    <w:rsid w:val="002A4049"/>
    <w:rsid w:val="002A4CE0"/>
    <w:rsid w:val="002A4E08"/>
    <w:rsid w:val="002A4F28"/>
    <w:rsid w:val="002A5C27"/>
    <w:rsid w:val="002B25FC"/>
    <w:rsid w:val="002B441F"/>
    <w:rsid w:val="002C1A53"/>
    <w:rsid w:val="002C487A"/>
    <w:rsid w:val="002C6054"/>
    <w:rsid w:val="002C6F36"/>
    <w:rsid w:val="002C7289"/>
    <w:rsid w:val="002D0BB0"/>
    <w:rsid w:val="002D19EE"/>
    <w:rsid w:val="002D4184"/>
    <w:rsid w:val="002D6A9E"/>
    <w:rsid w:val="002D726A"/>
    <w:rsid w:val="002D77E1"/>
    <w:rsid w:val="002E1F3B"/>
    <w:rsid w:val="002E2924"/>
    <w:rsid w:val="002E4D03"/>
    <w:rsid w:val="002E5AD9"/>
    <w:rsid w:val="002E6ACF"/>
    <w:rsid w:val="002F1346"/>
    <w:rsid w:val="002F617E"/>
    <w:rsid w:val="00300428"/>
    <w:rsid w:val="00301555"/>
    <w:rsid w:val="003020E1"/>
    <w:rsid w:val="003027D9"/>
    <w:rsid w:val="00304061"/>
    <w:rsid w:val="00311048"/>
    <w:rsid w:val="00311696"/>
    <w:rsid w:val="00320BBF"/>
    <w:rsid w:val="003228CB"/>
    <w:rsid w:val="003248EC"/>
    <w:rsid w:val="003279B7"/>
    <w:rsid w:val="00332B87"/>
    <w:rsid w:val="00333AD9"/>
    <w:rsid w:val="00336BF9"/>
    <w:rsid w:val="003402D6"/>
    <w:rsid w:val="00345474"/>
    <w:rsid w:val="003527BD"/>
    <w:rsid w:val="00353FA2"/>
    <w:rsid w:val="003551D4"/>
    <w:rsid w:val="00355E2F"/>
    <w:rsid w:val="00356095"/>
    <w:rsid w:val="00356AFE"/>
    <w:rsid w:val="00357F25"/>
    <w:rsid w:val="00361B46"/>
    <w:rsid w:val="00361CA1"/>
    <w:rsid w:val="00361CCB"/>
    <w:rsid w:val="0036285F"/>
    <w:rsid w:val="00362A9E"/>
    <w:rsid w:val="00362E76"/>
    <w:rsid w:val="003639A1"/>
    <w:rsid w:val="003640CD"/>
    <w:rsid w:val="00365407"/>
    <w:rsid w:val="00371C57"/>
    <w:rsid w:val="00371FE3"/>
    <w:rsid w:val="00372F05"/>
    <w:rsid w:val="0037468E"/>
    <w:rsid w:val="0037497F"/>
    <w:rsid w:val="00375073"/>
    <w:rsid w:val="00375307"/>
    <w:rsid w:val="003766DF"/>
    <w:rsid w:val="00380690"/>
    <w:rsid w:val="003833E5"/>
    <w:rsid w:val="003851EC"/>
    <w:rsid w:val="00385448"/>
    <w:rsid w:val="003858F8"/>
    <w:rsid w:val="0038619B"/>
    <w:rsid w:val="0039008A"/>
    <w:rsid w:val="00391BF9"/>
    <w:rsid w:val="0039475F"/>
    <w:rsid w:val="00396301"/>
    <w:rsid w:val="00396737"/>
    <w:rsid w:val="00396EB3"/>
    <w:rsid w:val="003A2134"/>
    <w:rsid w:val="003A3536"/>
    <w:rsid w:val="003A3ACD"/>
    <w:rsid w:val="003A4B28"/>
    <w:rsid w:val="003A5704"/>
    <w:rsid w:val="003A7D0B"/>
    <w:rsid w:val="003B192E"/>
    <w:rsid w:val="003B2D51"/>
    <w:rsid w:val="003B54EC"/>
    <w:rsid w:val="003B66AB"/>
    <w:rsid w:val="003B6C99"/>
    <w:rsid w:val="003B788C"/>
    <w:rsid w:val="003C14F1"/>
    <w:rsid w:val="003C3BBC"/>
    <w:rsid w:val="003D04D2"/>
    <w:rsid w:val="003D179F"/>
    <w:rsid w:val="003D2019"/>
    <w:rsid w:val="003D2C1E"/>
    <w:rsid w:val="003D2DB8"/>
    <w:rsid w:val="003D47CA"/>
    <w:rsid w:val="003D4FF2"/>
    <w:rsid w:val="003E05B6"/>
    <w:rsid w:val="003E1B2E"/>
    <w:rsid w:val="003E1B67"/>
    <w:rsid w:val="003E1E30"/>
    <w:rsid w:val="003E5BEA"/>
    <w:rsid w:val="003E7F6B"/>
    <w:rsid w:val="003F12C3"/>
    <w:rsid w:val="003F4527"/>
    <w:rsid w:val="003F7AA5"/>
    <w:rsid w:val="004000D9"/>
    <w:rsid w:val="004029EE"/>
    <w:rsid w:val="004041C0"/>
    <w:rsid w:val="004060DE"/>
    <w:rsid w:val="00411934"/>
    <w:rsid w:val="00412777"/>
    <w:rsid w:val="004133F0"/>
    <w:rsid w:val="00415553"/>
    <w:rsid w:val="0041601B"/>
    <w:rsid w:val="004166C0"/>
    <w:rsid w:val="0042250D"/>
    <w:rsid w:val="00425288"/>
    <w:rsid w:val="00426546"/>
    <w:rsid w:val="004317DF"/>
    <w:rsid w:val="0043280A"/>
    <w:rsid w:val="004400AB"/>
    <w:rsid w:val="00445908"/>
    <w:rsid w:val="004475B9"/>
    <w:rsid w:val="004476CA"/>
    <w:rsid w:val="00450FE9"/>
    <w:rsid w:val="00451EFE"/>
    <w:rsid w:val="004533F4"/>
    <w:rsid w:val="00454E46"/>
    <w:rsid w:val="004562E3"/>
    <w:rsid w:val="00460C61"/>
    <w:rsid w:val="00461D67"/>
    <w:rsid w:val="00462936"/>
    <w:rsid w:val="00462B85"/>
    <w:rsid w:val="004643E5"/>
    <w:rsid w:val="004645F5"/>
    <w:rsid w:val="0046510C"/>
    <w:rsid w:val="0046623C"/>
    <w:rsid w:val="0046701E"/>
    <w:rsid w:val="00470377"/>
    <w:rsid w:val="004719DA"/>
    <w:rsid w:val="00471AE3"/>
    <w:rsid w:val="00472449"/>
    <w:rsid w:val="00473E2C"/>
    <w:rsid w:val="0047472A"/>
    <w:rsid w:val="00474A34"/>
    <w:rsid w:val="004765A9"/>
    <w:rsid w:val="004779D6"/>
    <w:rsid w:val="00477FF8"/>
    <w:rsid w:val="00487475"/>
    <w:rsid w:val="00494319"/>
    <w:rsid w:val="0049570A"/>
    <w:rsid w:val="00495A2F"/>
    <w:rsid w:val="00495B14"/>
    <w:rsid w:val="004A022F"/>
    <w:rsid w:val="004A0583"/>
    <w:rsid w:val="004A1ED5"/>
    <w:rsid w:val="004A3AC0"/>
    <w:rsid w:val="004A455A"/>
    <w:rsid w:val="004A6C01"/>
    <w:rsid w:val="004B1795"/>
    <w:rsid w:val="004B3F6C"/>
    <w:rsid w:val="004B6F42"/>
    <w:rsid w:val="004B77B3"/>
    <w:rsid w:val="004C19FC"/>
    <w:rsid w:val="004C2812"/>
    <w:rsid w:val="004C41DB"/>
    <w:rsid w:val="004C4F59"/>
    <w:rsid w:val="004C50E3"/>
    <w:rsid w:val="004C5355"/>
    <w:rsid w:val="004C6151"/>
    <w:rsid w:val="004D09D0"/>
    <w:rsid w:val="004D10E1"/>
    <w:rsid w:val="004D2EA9"/>
    <w:rsid w:val="004D4172"/>
    <w:rsid w:val="004D42AE"/>
    <w:rsid w:val="004D4730"/>
    <w:rsid w:val="004D5649"/>
    <w:rsid w:val="004D5C43"/>
    <w:rsid w:val="004D6011"/>
    <w:rsid w:val="004D6A35"/>
    <w:rsid w:val="004E30D8"/>
    <w:rsid w:val="004E3352"/>
    <w:rsid w:val="004F246E"/>
    <w:rsid w:val="004F2D4A"/>
    <w:rsid w:val="004F3061"/>
    <w:rsid w:val="004F3E5F"/>
    <w:rsid w:val="004F4AE0"/>
    <w:rsid w:val="004F50A1"/>
    <w:rsid w:val="005035D8"/>
    <w:rsid w:val="00504500"/>
    <w:rsid w:val="00505433"/>
    <w:rsid w:val="00506116"/>
    <w:rsid w:val="00506591"/>
    <w:rsid w:val="00507115"/>
    <w:rsid w:val="00507694"/>
    <w:rsid w:val="00510852"/>
    <w:rsid w:val="005127A4"/>
    <w:rsid w:val="0051497A"/>
    <w:rsid w:val="00514C37"/>
    <w:rsid w:val="00515E8C"/>
    <w:rsid w:val="0051793A"/>
    <w:rsid w:val="005201D4"/>
    <w:rsid w:val="00520905"/>
    <w:rsid w:val="005227BF"/>
    <w:rsid w:val="005235C0"/>
    <w:rsid w:val="00523FA0"/>
    <w:rsid w:val="00526C9B"/>
    <w:rsid w:val="00526DBF"/>
    <w:rsid w:val="00531638"/>
    <w:rsid w:val="00531B8F"/>
    <w:rsid w:val="00534648"/>
    <w:rsid w:val="0053539D"/>
    <w:rsid w:val="0053605F"/>
    <w:rsid w:val="00537522"/>
    <w:rsid w:val="00537592"/>
    <w:rsid w:val="0053777D"/>
    <w:rsid w:val="00537C73"/>
    <w:rsid w:val="00543233"/>
    <w:rsid w:val="00544189"/>
    <w:rsid w:val="0054589D"/>
    <w:rsid w:val="005463C0"/>
    <w:rsid w:val="0055170B"/>
    <w:rsid w:val="00552BA6"/>
    <w:rsid w:val="005535AA"/>
    <w:rsid w:val="00554DAA"/>
    <w:rsid w:val="0055524F"/>
    <w:rsid w:val="00555B58"/>
    <w:rsid w:val="00567910"/>
    <w:rsid w:val="0057358F"/>
    <w:rsid w:val="00574D75"/>
    <w:rsid w:val="00575C39"/>
    <w:rsid w:val="00576A47"/>
    <w:rsid w:val="00576A6F"/>
    <w:rsid w:val="0057747A"/>
    <w:rsid w:val="0057791E"/>
    <w:rsid w:val="00580A30"/>
    <w:rsid w:val="00584CB2"/>
    <w:rsid w:val="00584E48"/>
    <w:rsid w:val="00585D74"/>
    <w:rsid w:val="00587BBD"/>
    <w:rsid w:val="00587DA2"/>
    <w:rsid w:val="005907AF"/>
    <w:rsid w:val="005907F1"/>
    <w:rsid w:val="00595705"/>
    <w:rsid w:val="00596A52"/>
    <w:rsid w:val="005A22CE"/>
    <w:rsid w:val="005A3E62"/>
    <w:rsid w:val="005A6B37"/>
    <w:rsid w:val="005B12EC"/>
    <w:rsid w:val="005B2D5F"/>
    <w:rsid w:val="005B4397"/>
    <w:rsid w:val="005C034B"/>
    <w:rsid w:val="005C0C84"/>
    <w:rsid w:val="005C2570"/>
    <w:rsid w:val="005C6E21"/>
    <w:rsid w:val="005C7EAD"/>
    <w:rsid w:val="005D37A9"/>
    <w:rsid w:val="005D3CAC"/>
    <w:rsid w:val="005D4B91"/>
    <w:rsid w:val="005D6456"/>
    <w:rsid w:val="005D681B"/>
    <w:rsid w:val="005D7DBE"/>
    <w:rsid w:val="005E343F"/>
    <w:rsid w:val="005E3F35"/>
    <w:rsid w:val="005E5110"/>
    <w:rsid w:val="005E54AB"/>
    <w:rsid w:val="005E5D31"/>
    <w:rsid w:val="005E700D"/>
    <w:rsid w:val="005F0DA3"/>
    <w:rsid w:val="005F248E"/>
    <w:rsid w:val="005F33D9"/>
    <w:rsid w:val="005F3405"/>
    <w:rsid w:val="005F3E0F"/>
    <w:rsid w:val="005F4A21"/>
    <w:rsid w:val="005F687B"/>
    <w:rsid w:val="005F6EDA"/>
    <w:rsid w:val="0060750E"/>
    <w:rsid w:val="00607DE1"/>
    <w:rsid w:val="00610396"/>
    <w:rsid w:val="0061065D"/>
    <w:rsid w:val="00612745"/>
    <w:rsid w:val="00615703"/>
    <w:rsid w:val="00617441"/>
    <w:rsid w:val="006209FF"/>
    <w:rsid w:val="00621E0C"/>
    <w:rsid w:val="00623849"/>
    <w:rsid w:val="00623996"/>
    <w:rsid w:val="00625AF7"/>
    <w:rsid w:val="00626F50"/>
    <w:rsid w:val="006307E3"/>
    <w:rsid w:val="00631FF6"/>
    <w:rsid w:val="00633B4D"/>
    <w:rsid w:val="006349C8"/>
    <w:rsid w:val="006418E5"/>
    <w:rsid w:val="006430F9"/>
    <w:rsid w:val="0064343C"/>
    <w:rsid w:val="0064484F"/>
    <w:rsid w:val="00645C09"/>
    <w:rsid w:val="006470A6"/>
    <w:rsid w:val="006516B2"/>
    <w:rsid w:val="00651A5D"/>
    <w:rsid w:val="00651D74"/>
    <w:rsid w:val="00653176"/>
    <w:rsid w:val="006535EF"/>
    <w:rsid w:val="0065460D"/>
    <w:rsid w:val="0065618C"/>
    <w:rsid w:val="00657467"/>
    <w:rsid w:val="00660361"/>
    <w:rsid w:val="00661EA5"/>
    <w:rsid w:val="006659FA"/>
    <w:rsid w:val="006664FB"/>
    <w:rsid w:val="00667164"/>
    <w:rsid w:val="00667FF9"/>
    <w:rsid w:val="00670406"/>
    <w:rsid w:val="00671D80"/>
    <w:rsid w:val="00672D91"/>
    <w:rsid w:val="0067300C"/>
    <w:rsid w:val="0067315F"/>
    <w:rsid w:val="00673E8B"/>
    <w:rsid w:val="00676ABF"/>
    <w:rsid w:val="00680D6C"/>
    <w:rsid w:val="00683ABE"/>
    <w:rsid w:val="00683CF3"/>
    <w:rsid w:val="00685F85"/>
    <w:rsid w:val="00687004"/>
    <w:rsid w:val="0068776C"/>
    <w:rsid w:val="00691ED3"/>
    <w:rsid w:val="0069578A"/>
    <w:rsid w:val="006962A2"/>
    <w:rsid w:val="00696AC1"/>
    <w:rsid w:val="006A0B41"/>
    <w:rsid w:val="006A2EF0"/>
    <w:rsid w:val="006A616F"/>
    <w:rsid w:val="006A71D2"/>
    <w:rsid w:val="006B6C5C"/>
    <w:rsid w:val="006B7A59"/>
    <w:rsid w:val="006C0BC7"/>
    <w:rsid w:val="006C1828"/>
    <w:rsid w:val="006C2A09"/>
    <w:rsid w:val="006C3920"/>
    <w:rsid w:val="006C4D24"/>
    <w:rsid w:val="006D0623"/>
    <w:rsid w:val="006D21D2"/>
    <w:rsid w:val="006D325F"/>
    <w:rsid w:val="006E0742"/>
    <w:rsid w:val="006E7999"/>
    <w:rsid w:val="006F627B"/>
    <w:rsid w:val="007009C3"/>
    <w:rsid w:val="00700BE8"/>
    <w:rsid w:val="007036D3"/>
    <w:rsid w:val="00703A93"/>
    <w:rsid w:val="0070606B"/>
    <w:rsid w:val="00707612"/>
    <w:rsid w:val="0071085C"/>
    <w:rsid w:val="0071131D"/>
    <w:rsid w:val="00711F8F"/>
    <w:rsid w:val="00713469"/>
    <w:rsid w:val="00713CF7"/>
    <w:rsid w:val="007160A9"/>
    <w:rsid w:val="00717D78"/>
    <w:rsid w:val="007218DC"/>
    <w:rsid w:val="00724170"/>
    <w:rsid w:val="00724F96"/>
    <w:rsid w:val="00725270"/>
    <w:rsid w:val="007272FE"/>
    <w:rsid w:val="007273AA"/>
    <w:rsid w:val="00727BA5"/>
    <w:rsid w:val="00732658"/>
    <w:rsid w:val="007379CD"/>
    <w:rsid w:val="007408F0"/>
    <w:rsid w:val="00750B34"/>
    <w:rsid w:val="00751EE6"/>
    <w:rsid w:val="007553FE"/>
    <w:rsid w:val="00757D3C"/>
    <w:rsid w:val="00757E2A"/>
    <w:rsid w:val="007606B9"/>
    <w:rsid w:val="00761044"/>
    <w:rsid w:val="00761894"/>
    <w:rsid w:val="00763FAA"/>
    <w:rsid w:val="007645D1"/>
    <w:rsid w:val="007659DB"/>
    <w:rsid w:val="00767435"/>
    <w:rsid w:val="007743A9"/>
    <w:rsid w:val="0077728E"/>
    <w:rsid w:val="00785FA2"/>
    <w:rsid w:val="0079633C"/>
    <w:rsid w:val="007A166D"/>
    <w:rsid w:val="007A1D8A"/>
    <w:rsid w:val="007A3464"/>
    <w:rsid w:val="007A40E3"/>
    <w:rsid w:val="007A54F6"/>
    <w:rsid w:val="007B1343"/>
    <w:rsid w:val="007B2166"/>
    <w:rsid w:val="007B40D6"/>
    <w:rsid w:val="007B419A"/>
    <w:rsid w:val="007B52F2"/>
    <w:rsid w:val="007B56BE"/>
    <w:rsid w:val="007B6B9C"/>
    <w:rsid w:val="007B7DC9"/>
    <w:rsid w:val="007C2CDD"/>
    <w:rsid w:val="007C442B"/>
    <w:rsid w:val="007C5BBD"/>
    <w:rsid w:val="007C6C58"/>
    <w:rsid w:val="007C70CF"/>
    <w:rsid w:val="007D03D5"/>
    <w:rsid w:val="007D2FB8"/>
    <w:rsid w:val="007D530F"/>
    <w:rsid w:val="007E422C"/>
    <w:rsid w:val="007E46D8"/>
    <w:rsid w:val="007E499F"/>
    <w:rsid w:val="007E7003"/>
    <w:rsid w:val="007E7665"/>
    <w:rsid w:val="007F11F9"/>
    <w:rsid w:val="007F27DB"/>
    <w:rsid w:val="007F284B"/>
    <w:rsid w:val="007F2E21"/>
    <w:rsid w:val="007F75F7"/>
    <w:rsid w:val="007F785F"/>
    <w:rsid w:val="008016C8"/>
    <w:rsid w:val="00802219"/>
    <w:rsid w:val="0080257B"/>
    <w:rsid w:val="00803B92"/>
    <w:rsid w:val="0080588E"/>
    <w:rsid w:val="0080596C"/>
    <w:rsid w:val="00805D6F"/>
    <w:rsid w:val="00805FD5"/>
    <w:rsid w:val="00810C6B"/>
    <w:rsid w:val="00811D4B"/>
    <w:rsid w:val="00812A3B"/>
    <w:rsid w:val="00813736"/>
    <w:rsid w:val="008167EE"/>
    <w:rsid w:val="00816BEA"/>
    <w:rsid w:val="00820F84"/>
    <w:rsid w:val="008222E9"/>
    <w:rsid w:val="0082290F"/>
    <w:rsid w:val="00824A00"/>
    <w:rsid w:val="00834712"/>
    <w:rsid w:val="00835545"/>
    <w:rsid w:val="0083618A"/>
    <w:rsid w:val="008405A7"/>
    <w:rsid w:val="0084468C"/>
    <w:rsid w:val="00845116"/>
    <w:rsid w:val="00845531"/>
    <w:rsid w:val="008458B8"/>
    <w:rsid w:val="00846F9B"/>
    <w:rsid w:val="00852E60"/>
    <w:rsid w:val="008541F4"/>
    <w:rsid w:val="00857BBA"/>
    <w:rsid w:val="00857DC7"/>
    <w:rsid w:val="00862B9A"/>
    <w:rsid w:val="00862C74"/>
    <w:rsid w:val="00863140"/>
    <w:rsid w:val="008672C2"/>
    <w:rsid w:val="008703FF"/>
    <w:rsid w:val="008710B3"/>
    <w:rsid w:val="00872139"/>
    <w:rsid w:val="00873B97"/>
    <w:rsid w:val="00873D3F"/>
    <w:rsid w:val="00873FEB"/>
    <w:rsid w:val="008743F3"/>
    <w:rsid w:val="00880203"/>
    <w:rsid w:val="00884597"/>
    <w:rsid w:val="008868A0"/>
    <w:rsid w:val="00891D40"/>
    <w:rsid w:val="00896A64"/>
    <w:rsid w:val="008A0D98"/>
    <w:rsid w:val="008A32E0"/>
    <w:rsid w:val="008A738B"/>
    <w:rsid w:val="008B0921"/>
    <w:rsid w:val="008B2352"/>
    <w:rsid w:val="008B41A8"/>
    <w:rsid w:val="008B4586"/>
    <w:rsid w:val="008B53CB"/>
    <w:rsid w:val="008B5F02"/>
    <w:rsid w:val="008B6940"/>
    <w:rsid w:val="008C24C1"/>
    <w:rsid w:val="008D0A33"/>
    <w:rsid w:val="008E0B2B"/>
    <w:rsid w:val="008E1A69"/>
    <w:rsid w:val="008E2D23"/>
    <w:rsid w:val="008E44EA"/>
    <w:rsid w:val="008E4CA8"/>
    <w:rsid w:val="008F1B4F"/>
    <w:rsid w:val="008F1D12"/>
    <w:rsid w:val="008F34B8"/>
    <w:rsid w:val="008F3D28"/>
    <w:rsid w:val="008F50DE"/>
    <w:rsid w:val="008F5CB3"/>
    <w:rsid w:val="009000B6"/>
    <w:rsid w:val="0090367B"/>
    <w:rsid w:val="009039CF"/>
    <w:rsid w:val="00905504"/>
    <w:rsid w:val="00910416"/>
    <w:rsid w:val="00913A0E"/>
    <w:rsid w:val="00913DD7"/>
    <w:rsid w:val="00915C65"/>
    <w:rsid w:val="00916834"/>
    <w:rsid w:val="00922635"/>
    <w:rsid w:val="00927DE0"/>
    <w:rsid w:val="009321D1"/>
    <w:rsid w:val="00932353"/>
    <w:rsid w:val="009330BF"/>
    <w:rsid w:val="00934065"/>
    <w:rsid w:val="0093569E"/>
    <w:rsid w:val="009439B0"/>
    <w:rsid w:val="00945BB0"/>
    <w:rsid w:val="00946ED3"/>
    <w:rsid w:val="009472E8"/>
    <w:rsid w:val="00951AFC"/>
    <w:rsid w:val="00952BBE"/>
    <w:rsid w:val="00955E17"/>
    <w:rsid w:val="00956B7D"/>
    <w:rsid w:val="00961C00"/>
    <w:rsid w:val="00964721"/>
    <w:rsid w:val="00966794"/>
    <w:rsid w:val="0096783B"/>
    <w:rsid w:val="00972262"/>
    <w:rsid w:val="009728A1"/>
    <w:rsid w:val="00973B6A"/>
    <w:rsid w:val="00975547"/>
    <w:rsid w:val="009760DA"/>
    <w:rsid w:val="00981763"/>
    <w:rsid w:val="00982438"/>
    <w:rsid w:val="00985782"/>
    <w:rsid w:val="009872CB"/>
    <w:rsid w:val="00987507"/>
    <w:rsid w:val="00993D9A"/>
    <w:rsid w:val="009940DA"/>
    <w:rsid w:val="00995C63"/>
    <w:rsid w:val="00997475"/>
    <w:rsid w:val="009A0466"/>
    <w:rsid w:val="009A3FF1"/>
    <w:rsid w:val="009A403F"/>
    <w:rsid w:val="009A6B1C"/>
    <w:rsid w:val="009A77E2"/>
    <w:rsid w:val="009B2836"/>
    <w:rsid w:val="009B2EB9"/>
    <w:rsid w:val="009B5B61"/>
    <w:rsid w:val="009C3078"/>
    <w:rsid w:val="009C3E34"/>
    <w:rsid w:val="009C53B3"/>
    <w:rsid w:val="009C6722"/>
    <w:rsid w:val="009C78EB"/>
    <w:rsid w:val="009D0101"/>
    <w:rsid w:val="009D19D8"/>
    <w:rsid w:val="009D2CAF"/>
    <w:rsid w:val="009D4795"/>
    <w:rsid w:val="009D4BD2"/>
    <w:rsid w:val="009D65C3"/>
    <w:rsid w:val="009D6A77"/>
    <w:rsid w:val="009E2156"/>
    <w:rsid w:val="009E236A"/>
    <w:rsid w:val="009E259C"/>
    <w:rsid w:val="009E5021"/>
    <w:rsid w:val="009E518F"/>
    <w:rsid w:val="009E7AA5"/>
    <w:rsid w:val="009F1FCA"/>
    <w:rsid w:val="009F52B9"/>
    <w:rsid w:val="009F6A06"/>
    <w:rsid w:val="009F6B29"/>
    <w:rsid w:val="00A0055F"/>
    <w:rsid w:val="00A015F0"/>
    <w:rsid w:val="00A02209"/>
    <w:rsid w:val="00A0763E"/>
    <w:rsid w:val="00A107B8"/>
    <w:rsid w:val="00A1106E"/>
    <w:rsid w:val="00A1182C"/>
    <w:rsid w:val="00A14357"/>
    <w:rsid w:val="00A1532C"/>
    <w:rsid w:val="00A16DBA"/>
    <w:rsid w:val="00A17FD8"/>
    <w:rsid w:val="00A23E8D"/>
    <w:rsid w:val="00A25207"/>
    <w:rsid w:val="00A256ED"/>
    <w:rsid w:val="00A300AE"/>
    <w:rsid w:val="00A30CDE"/>
    <w:rsid w:val="00A435F3"/>
    <w:rsid w:val="00A45965"/>
    <w:rsid w:val="00A5158F"/>
    <w:rsid w:val="00A515C6"/>
    <w:rsid w:val="00A518BD"/>
    <w:rsid w:val="00A52D6F"/>
    <w:rsid w:val="00A53C18"/>
    <w:rsid w:val="00A549B6"/>
    <w:rsid w:val="00A565BB"/>
    <w:rsid w:val="00A57395"/>
    <w:rsid w:val="00A573B2"/>
    <w:rsid w:val="00A60AAA"/>
    <w:rsid w:val="00A61CBC"/>
    <w:rsid w:val="00A6318F"/>
    <w:rsid w:val="00A65013"/>
    <w:rsid w:val="00A67F3C"/>
    <w:rsid w:val="00A73AA1"/>
    <w:rsid w:val="00A74CFC"/>
    <w:rsid w:val="00A8413D"/>
    <w:rsid w:val="00A84C3D"/>
    <w:rsid w:val="00A85BA0"/>
    <w:rsid w:val="00A87B31"/>
    <w:rsid w:val="00A9214F"/>
    <w:rsid w:val="00A948CF"/>
    <w:rsid w:val="00A95BB0"/>
    <w:rsid w:val="00A96926"/>
    <w:rsid w:val="00AA5390"/>
    <w:rsid w:val="00AA6DAE"/>
    <w:rsid w:val="00AA7182"/>
    <w:rsid w:val="00AB4F1B"/>
    <w:rsid w:val="00AB666F"/>
    <w:rsid w:val="00AB7215"/>
    <w:rsid w:val="00AC109C"/>
    <w:rsid w:val="00AC3BED"/>
    <w:rsid w:val="00AC3D6F"/>
    <w:rsid w:val="00AD27C9"/>
    <w:rsid w:val="00AD2AAF"/>
    <w:rsid w:val="00AD38C3"/>
    <w:rsid w:val="00AD4085"/>
    <w:rsid w:val="00AD4634"/>
    <w:rsid w:val="00AD4BC8"/>
    <w:rsid w:val="00AD4FA2"/>
    <w:rsid w:val="00AD5648"/>
    <w:rsid w:val="00AD7416"/>
    <w:rsid w:val="00AD76CB"/>
    <w:rsid w:val="00AE3A3E"/>
    <w:rsid w:val="00AE41E5"/>
    <w:rsid w:val="00AE4D0F"/>
    <w:rsid w:val="00AE576F"/>
    <w:rsid w:val="00AE597C"/>
    <w:rsid w:val="00AE60E6"/>
    <w:rsid w:val="00AE64D9"/>
    <w:rsid w:val="00AF164A"/>
    <w:rsid w:val="00AF3014"/>
    <w:rsid w:val="00AF32DF"/>
    <w:rsid w:val="00AF3737"/>
    <w:rsid w:val="00AF4D58"/>
    <w:rsid w:val="00AF72CA"/>
    <w:rsid w:val="00AF7735"/>
    <w:rsid w:val="00B00A51"/>
    <w:rsid w:val="00B01C21"/>
    <w:rsid w:val="00B02349"/>
    <w:rsid w:val="00B02D1B"/>
    <w:rsid w:val="00B06CC4"/>
    <w:rsid w:val="00B12830"/>
    <w:rsid w:val="00B14CBB"/>
    <w:rsid w:val="00B15FFF"/>
    <w:rsid w:val="00B164AD"/>
    <w:rsid w:val="00B17D72"/>
    <w:rsid w:val="00B2365D"/>
    <w:rsid w:val="00B24A04"/>
    <w:rsid w:val="00B25C59"/>
    <w:rsid w:val="00B26272"/>
    <w:rsid w:val="00B33C8E"/>
    <w:rsid w:val="00B36E75"/>
    <w:rsid w:val="00B37283"/>
    <w:rsid w:val="00B40FB0"/>
    <w:rsid w:val="00B428A1"/>
    <w:rsid w:val="00B456ED"/>
    <w:rsid w:val="00B54FD0"/>
    <w:rsid w:val="00B55B9C"/>
    <w:rsid w:val="00B57A20"/>
    <w:rsid w:val="00B60B7F"/>
    <w:rsid w:val="00B610DF"/>
    <w:rsid w:val="00B6277D"/>
    <w:rsid w:val="00B64A5A"/>
    <w:rsid w:val="00B64F71"/>
    <w:rsid w:val="00B65819"/>
    <w:rsid w:val="00B66584"/>
    <w:rsid w:val="00B70498"/>
    <w:rsid w:val="00B7133E"/>
    <w:rsid w:val="00B720B7"/>
    <w:rsid w:val="00B721A7"/>
    <w:rsid w:val="00B730F4"/>
    <w:rsid w:val="00B77E39"/>
    <w:rsid w:val="00B8483D"/>
    <w:rsid w:val="00B857BB"/>
    <w:rsid w:val="00B85B74"/>
    <w:rsid w:val="00B9067D"/>
    <w:rsid w:val="00B92BC1"/>
    <w:rsid w:val="00B92DFE"/>
    <w:rsid w:val="00B94424"/>
    <w:rsid w:val="00B94C04"/>
    <w:rsid w:val="00B96ECB"/>
    <w:rsid w:val="00BA5BF6"/>
    <w:rsid w:val="00BA74B6"/>
    <w:rsid w:val="00BA7C6F"/>
    <w:rsid w:val="00BB0242"/>
    <w:rsid w:val="00BB27B6"/>
    <w:rsid w:val="00BB314A"/>
    <w:rsid w:val="00BB3E6B"/>
    <w:rsid w:val="00BB645A"/>
    <w:rsid w:val="00BB6DAF"/>
    <w:rsid w:val="00BC55D7"/>
    <w:rsid w:val="00BC5C41"/>
    <w:rsid w:val="00BC667F"/>
    <w:rsid w:val="00BC7BED"/>
    <w:rsid w:val="00BD037F"/>
    <w:rsid w:val="00BD16B9"/>
    <w:rsid w:val="00BD1C91"/>
    <w:rsid w:val="00BD2762"/>
    <w:rsid w:val="00BD2E3A"/>
    <w:rsid w:val="00BD31DD"/>
    <w:rsid w:val="00BD34EF"/>
    <w:rsid w:val="00BD635B"/>
    <w:rsid w:val="00BD68A4"/>
    <w:rsid w:val="00BE240B"/>
    <w:rsid w:val="00BE252A"/>
    <w:rsid w:val="00BE4B00"/>
    <w:rsid w:val="00BE5356"/>
    <w:rsid w:val="00BE555E"/>
    <w:rsid w:val="00BE67EF"/>
    <w:rsid w:val="00BE763B"/>
    <w:rsid w:val="00BF12DC"/>
    <w:rsid w:val="00BF28C4"/>
    <w:rsid w:val="00BF5580"/>
    <w:rsid w:val="00C0243F"/>
    <w:rsid w:val="00C032E0"/>
    <w:rsid w:val="00C03BB3"/>
    <w:rsid w:val="00C04ABF"/>
    <w:rsid w:val="00C050D1"/>
    <w:rsid w:val="00C12A42"/>
    <w:rsid w:val="00C143E4"/>
    <w:rsid w:val="00C15B73"/>
    <w:rsid w:val="00C22306"/>
    <w:rsid w:val="00C2266F"/>
    <w:rsid w:val="00C24CDE"/>
    <w:rsid w:val="00C27623"/>
    <w:rsid w:val="00C30C6A"/>
    <w:rsid w:val="00C31CC5"/>
    <w:rsid w:val="00C32A8F"/>
    <w:rsid w:val="00C32EF0"/>
    <w:rsid w:val="00C3404D"/>
    <w:rsid w:val="00C349E6"/>
    <w:rsid w:val="00C43339"/>
    <w:rsid w:val="00C43C53"/>
    <w:rsid w:val="00C4717E"/>
    <w:rsid w:val="00C51ABA"/>
    <w:rsid w:val="00C52501"/>
    <w:rsid w:val="00C55F93"/>
    <w:rsid w:val="00C62F3C"/>
    <w:rsid w:val="00C62F62"/>
    <w:rsid w:val="00C65501"/>
    <w:rsid w:val="00C66981"/>
    <w:rsid w:val="00C66FB9"/>
    <w:rsid w:val="00C71900"/>
    <w:rsid w:val="00C71C8C"/>
    <w:rsid w:val="00C72A70"/>
    <w:rsid w:val="00C75235"/>
    <w:rsid w:val="00C81239"/>
    <w:rsid w:val="00C82203"/>
    <w:rsid w:val="00C82301"/>
    <w:rsid w:val="00C916E6"/>
    <w:rsid w:val="00C9215A"/>
    <w:rsid w:val="00C92280"/>
    <w:rsid w:val="00C96697"/>
    <w:rsid w:val="00CA2271"/>
    <w:rsid w:val="00CA597C"/>
    <w:rsid w:val="00CC00FF"/>
    <w:rsid w:val="00CC4D87"/>
    <w:rsid w:val="00CC69F7"/>
    <w:rsid w:val="00CC7F5B"/>
    <w:rsid w:val="00CD0112"/>
    <w:rsid w:val="00CD2CD6"/>
    <w:rsid w:val="00CD7AF4"/>
    <w:rsid w:val="00CD7CCE"/>
    <w:rsid w:val="00CE3A75"/>
    <w:rsid w:val="00CE528B"/>
    <w:rsid w:val="00CF1EBC"/>
    <w:rsid w:val="00CF2657"/>
    <w:rsid w:val="00CF4B30"/>
    <w:rsid w:val="00CF6E48"/>
    <w:rsid w:val="00CF7F80"/>
    <w:rsid w:val="00D002D0"/>
    <w:rsid w:val="00D007C8"/>
    <w:rsid w:val="00D05798"/>
    <w:rsid w:val="00D1070C"/>
    <w:rsid w:val="00D10E14"/>
    <w:rsid w:val="00D11677"/>
    <w:rsid w:val="00D14C95"/>
    <w:rsid w:val="00D279A7"/>
    <w:rsid w:val="00D27E2B"/>
    <w:rsid w:val="00D3092B"/>
    <w:rsid w:val="00D3554B"/>
    <w:rsid w:val="00D36453"/>
    <w:rsid w:val="00D3752D"/>
    <w:rsid w:val="00D378EF"/>
    <w:rsid w:val="00D4280C"/>
    <w:rsid w:val="00D43667"/>
    <w:rsid w:val="00D46C15"/>
    <w:rsid w:val="00D47DA5"/>
    <w:rsid w:val="00D52266"/>
    <w:rsid w:val="00D54252"/>
    <w:rsid w:val="00D60B7C"/>
    <w:rsid w:val="00D62C5D"/>
    <w:rsid w:val="00D70CFF"/>
    <w:rsid w:val="00D71284"/>
    <w:rsid w:val="00D733FA"/>
    <w:rsid w:val="00D73A10"/>
    <w:rsid w:val="00D82E72"/>
    <w:rsid w:val="00D87895"/>
    <w:rsid w:val="00D87CEF"/>
    <w:rsid w:val="00D9107E"/>
    <w:rsid w:val="00D917A4"/>
    <w:rsid w:val="00D94D80"/>
    <w:rsid w:val="00D953D2"/>
    <w:rsid w:val="00DA04F8"/>
    <w:rsid w:val="00DA19D2"/>
    <w:rsid w:val="00DA1E9E"/>
    <w:rsid w:val="00DA337A"/>
    <w:rsid w:val="00DA4167"/>
    <w:rsid w:val="00DA4C3F"/>
    <w:rsid w:val="00DA6FCC"/>
    <w:rsid w:val="00DB34ED"/>
    <w:rsid w:val="00DB35F1"/>
    <w:rsid w:val="00DB4027"/>
    <w:rsid w:val="00DC173F"/>
    <w:rsid w:val="00DC1904"/>
    <w:rsid w:val="00DC4C17"/>
    <w:rsid w:val="00DC4C3C"/>
    <w:rsid w:val="00DC4FE3"/>
    <w:rsid w:val="00DD21AC"/>
    <w:rsid w:val="00DD35C5"/>
    <w:rsid w:val="00DD40CA"/>
    <w:rsid w:val="00DD7327"/>
    <w:rsid w:val="00DE2C15"/>
    <w:rsid w:val="00DE4750"/>
    <w:rsid w:val="00DF0717"/>
    <w:rsid w:val="00DF227F"/>
    <w:rsid w:val="00DF22DE"/>
    <w:rsid w:val="00DF6DD3"/>
    <w:rsid w:val="00DF70C3"/>
    <w:rsid w:val="00E0097E"/>
    <w:rsid w:val="00E02F2E"/>
    <w:rsid w:val="00E037C3"/>
    <w:rsid w:val="00E03D55"/>
    <w:rsid w:val="00E043DE"/>
    <w:rsid w:val="00E07083"/>
    <w:rsid w:val="00E07F01"/>
    <w:rsid w:val="00E13CCD"/>
    <w:rsid w:val="00E171F2"/>
    <w:rsid w:val="00E22407"/>
    <w:rsid w:val="00E22EF4"/>
    <w:rsid w:val="00E23594"/>
    <w:rsid w:val="00E238C3"/>
    <w:rsid w:val="00E24734"/>
    <w:rsid w:val="00E27C84"/>
    <w:rsid w:val="00E3200B"/>
    <w:rsid w:val="00E342FB"/>
    <w:rsid w:val="00E35EB5"/>
    <w:rsid w:val="00E36056"/>
    <w:rsid w:val="00E432FC"/>
    <w:rsid w:val="00E4478E"/>
    <w:rsid w:val="00E47E5B"/>
    <w:rsid w:val="00E5132A"/>
    <w:rsid w:val="00E51559"/>
    <w:rsid w:val="00E5169A"/>
    <w:rsid w:val="00E56A21"/>
    <w:rsid w:val="00E60BCA"/>
    <w:rsid w:val="00E611E6"/>
    <w:rsid w:val="00E6134F"/>
    <w:rsid w:val="00E63EC2"/>
    <w:rsid w:val="00E67EB8"/>
    <w:rsid w:val="00E7430B"/>
    <w:rsid w:val="00E752C8"/>
    <w:rsid w:val="00E7622C"/>
    <w:rsid w:val="00E768F3"/>
    <w:rsid w:val="00E829C4"/>
    <w:rsid w:val="00E83B1D"/>
    <w:rsid w:val="00E84028"/>
    <w:rsid w:val="00E851EA"/>
    <w:rsid w:val="00E85BE2"/>
    <w:rsid w:val="00E91BC2"/>
    <w:rsid w:val="00E96829"/>
    <w:rsid w:val="00E96B31"/>
    <w:rsid w:val="00E97E93"/>
    <w:rsid w:val="00EA029A"/>
    <w:rsid w:val="00EA2B78"/>
    <w:rsid w:val="00EA42EE"/>
    <w:rsid w:val="00EA5729"/>
    <w:rsid w:val="00EA6340"/>
    <w:rsid w:val="00EB009A"/>
    <w:rsid w:val="00EB0390"/>
    <w:rsid w:val="00EB38CB"/>
    <w:rsid w:val="00EB5986"/>
    <w:rsid w:val="00EB5C72"/>
    <w:rsid w:val="00EB5DD7"/>
    <w:rsid w:val="00EB7968"/>
    <w:rsid w:val="00EC033E"/>
    <w:rsid w:val="00EC0BD8"/>
    <w:rsid w:val="00EC2276"/>
    <w:rsid w:val="00EC3E67"/>
    <w:rsid w:val="00EC61F3"/>
    <w:rsid w:val="00EC6A83"/>
    <w:rsid w:val="00EC75CE"/>
    <w:rsid w:val="00ED0EEB"/>
    <w:rsid w:val="00ED11E7"/>
    <w:rsid w:val="00ED1E80"/>
    <w:rsid w:val="00ED232E"/>
    <w:rsid w:val="00ED2819"/>
    <w:rsid w:val="00ED3BB5"/>
    <w:rsid w:val="00ED5266"/>
    <w:rsid w:val="00EE0A47"/>
    <w:rsid w:val="00EE0EF2"/>
    <w:rsid w:val="00EE3D8C"/>
    <w:rsid w:val="00EE526F"/>
    <w:rsid w:val="00EE6F0D"/>
    <w:rsid w:val="00EF11FB"/>
    <w:rsid w:val="00EF2326"/>
    <w:rsid w:val="00EF31FD"/>
    <w:rsid w:val="00EF42D5"/>
    <w:rsid w:val="00F000B2"/>
    <w:rsid w:val="00F00BFC"/>
    <w:rsid w:val="00F028E0"/>
    <w:rsid w:val="00F04166"/>
    <w:rsid w:val="00F1273A"/>
    <w:rsid w:val="00F144CC"/>
    <w:rsid w:val="00F14EEC"/>
    <w:rsid w:val="00F155AE"/>
    <w:rsid w:val="00F16FC4"/>
    <w:rsid w:val="00F23994"/>
    <w:rsid w:val="00F27142"/>
    <w:rsid w:val="00F27248"/>
    <w:rsid w:val="00F305F2"/>
    <w:rsid w:val="00F319CB"/>
    <w:rsid w:val="00F3303D"/>
    <w:rsid w:val="00F33388"/>
    <w:rsid w:val="00F360C8"/>
    <w:rsid w:val="00F402D5"/>
    <w:rsid w:val="00F40AA3"/>
    <w:rsid w:val="00F41E63"/>
    <w:rsid w:val="00F44B08"/>
    <w:rsid w:val="00F455D9"/>
    <w:rsid w:val="00F54694"/>
    <w:rsid w:val="00F55528"/>
    <w:rsid w:val="00F60659"/>
    <w:rsid w:val="00F63083"/>
    <w:rsid w:val="00F656D2"/>
    <w:rsid w:val="00F65C0F"/>
    <w:rsid w:val="00F67044"/>
    <w:rsid w:val="00F72029"/>
    <w:rsid w:val="00F76DA0"/>
    <w:rsid w:val="00F80767"/>
    <w:rsid w:val="00F83EBD"/>
    <w:rsid w:val="00F864B6"/>
    <w:rsid w:val="00F86D02"/>
    <w:rsid w:val="00F9084D"/>
    <w:rsid w:val="00F90E68"/>
    <w:rsid w:val="00F92438"/>
    <w:rsid w:val="00F92DB3"/>
    <w:rsid w:val="00FA16D8"/>
    <w:rsid w:val="00FA1C93"/>
    <w:rsid w:val="00FA5740"/>
    <w:rsid w:val="00FA6CAF"/>
    <w:rsid w:val="00FB0747"/>
    <w:rsid w:val="00FB15DA"/>
    <w:rsid w:val="00FB3F82"/>
    <w:rsid w:val="00FB42EE"/>
    <w:rsid w:val="00FB67FC"/>
    <w:rsid w:val="00FB6EE8"/>
    <w:rsid w:val="00FB7244"/>
    <w:rsid w:val="00FB743A"/>
    <w:rsid w:val="00FB7D0A"/>
    <w:rsid w:val="00FC03E6"/>
    <w:rsid w:val="00FC096E"/>
    <w:rsid w:val="00FC2DA4"/>
    <w:rsid w:val="00FD4119"/>
    <w:rsid w:val="00FD4202"/>
    <w:rsid w:val="00FD4367"/>
    <w:rsid w:val="00FD5570"/>
    <w:rsid w:val="00FD5641"/>
    <w:rsid w:val="00FE0A73"/>
    <w:rsid w:val="00FE34CD"/>
    <w:rsid w:val="00FE3638"/>
    <w:rsid w:val="00FE4C29"/>
    <w:rsid w:val="00FE7E5A"/>
    <w:rsid w:val="00FF2EFA"/>
    <w:rsid w:val="00FF3B09"/>
    <w:rsid w:val="00FF3BA5"/>
    <w:rsid w:val="00FF4AC4"/>
    <w:rsid w:val="00FF50F0"/>
    <w:rsid w:val="00FF6413"/>
    <w:rsid w:val="00FF65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l-GR" w:eastAsia="el-GR"/>
    </w:rPr>
  </w:style>
  <w:style w:type="paragraph" w:styleId="Heading1">
    <w:name w:val="heading 1"/>
    <w:basedOn w:val="Normal"/>
    <w:next w:val="Normal"/>
    <w:link w:val="Heading1Char"/>
    <w:uiPriority w:val="99"/>
    <w:qFormat/>
    <w:rsid w:val="00F23994"/>
    <w:pPr>
      <w:keepNext/>
      <w:spacing w:before="240" w:after="60"/>
      <w:outlineLvl w:val="0"/>
    </w:pPr>
    <w:rPr>
      <w:rFonts w:ascii="Arial" w:hAnsi="Arial" w:cs="Arial"/>
      <w:b/>
      <w:bCs/>
      <w:kern w:val="32"/>
      <w:sz w:val="28"/>
      <w:szCs w:val="28"/>
    </w:rPr>
  </w:style>
  <w:style w:type="paragraph" w:styleId="Heading2">
    <w:name w:val="heading 2"/>
    <w:basedOn w:val="Normal"/>
    <w:next w:val="Normal"/>
    <w:link w:val="Heading2Char"/>
    <w:uiPriority w:val="99"/>
    <w:qFormat/>
    <w:rsid w:val="00F23994"/>
    <w:pPr>
      <w:keepNext/>
      <w:spacing w:before="240" w:after="60"/>
      <w:outlineLvl w:val="1"/>
    </w:pPr>
    <w:rPr>
      <w:rFonts w:ascii="Arial" w:hAnsi="Arial" w:cs="Arial"/>
      <w:b/>
      <w:bCs/>
      <w:i/>
      <w:iCs/>
      <w:sz w:val="22"/>
      <w:szCs w:val="22"/>
    </w:rPr>
  </w:style>
  <w:style w:type="paragraph" w:styleId="Heading3">
    <w:name w:val="heading 3"/>
    <w:basedOn w:val="Normal"/>
    <w:next w:val="Normal"/>
    <w:link w:val="Heading3Char"/>
    <w:uiPriority w:val="99"/>
    <w:qFormat/>
    <w:rsid w:val="00094289"/>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qFormat/>
    <w:locked/>
    <w:rsid w:val="000A7F9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3994"/>
    <w:rPr>
      <w:rFonts w:ascii="Arial" w:hAnsi="Arial" w:cs="Arial"/>
      <w:b/>
      <w:bCs/>
      <w:kern w:val="32"/>
      <w:sz w:val="32"/>
      <w:szCs w:val="32"/>
    </w:rPr>
  </w:style>
  <w:style w:type="character" w:customStyle="1" w:styleId="Heading2Char">
    <w:name w:val="Heading 2 Char"/>
    <w:basedOn w:val="DefaultParagraphFont"/>
    <w:link w:val="Heading2"/>
    <w:uiPriority w:val="99"/>
    <w:locked/>
    <w:rsid w:val="00F23994"/>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094289"/>
    <w:rPr>
      <w:rFonts w:ascii="Cambria" w:hAnsi="Cambria" w:cs="Cambria"/>
      <w:b/>
      <w:bCs/>
      <w:sz w:val="26"/>
      <w:szCs w:val="26"/>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l-GR" w:eastAsia="el-GR"/>
    </w:rPr>
  </w:style>
  <w:style w:type="paragraph" w:customStyle="1" w:styleId="CM1">
    <w:name w:val="CM1"/>
    <w:basedOn w:val="Default"/>
    <w:next w:val="Default"/>
    <w:uiPriority w:val="99"/>
    <w:rPr>
      <w:color w:val="auto"/>
    </w:rPr>
  </w:style>
  <w:style w:type="paragraph" w:customStyle="1" w:styleId="CM9">
    <w:name w:val="CM9"/>
    <w:basedOn w:val="Default"/>
    <w:next w:val="Default"/>
    <w:uiPriority w:val="99"/>
    <w:pPr>
      <w:spacing w:after="218"/>
    </w:pPr>
    <w:rPr>
      <w:color w:val="auto"/>
    </w:rPr>
  </w:style>
  <w:style w:type="paragraph" w:customStyle="1" w:styleId="CM10">
    <w:name w:val="CM10"/>
    <w:basedOn w:val="Default"/>
    <w:next w:val="Default"/>
    <w:uiPriority w:val="99"/>
    <w:pPr>
      <w:spacing w:after="293"/>
    </w:pPr>
    <w:rPr>
      <w:color w:val="auto"/>
    </w:rPr>
  </w:style>
  <w:style w:type="paragraph" w:customStyle="1" w:styleId="CM2">
    <w:name w:val="CM2"/>
    <w:basedOn w:val="Default"/>
    <w:next w:val="Default"/>
    <w:uiPriority w:val="99"/>
    <w:pPr>
      <w:spacing w:line="256" w:lineRule="atLeast"/>
    </w:pPr>
    <w:rPr>
      <w:color w:val="auto"/>
    </w:rPr>
  </w:style>
  <w:style w:type="paragraph" w:customStyle="1" w:styleId="CM11">
    <w:name w:val="CM11"/>
    <w:basedOn w:val="Default"/>
    <w:next w:val="Default"/>
    <w:uiPriority w:val="99"/>
    <w:pPr>
      <w:spacing w:after="505"/>
    </w:pPr>
    <w:rPr>
      <w:color w:val="auto"/>
    </w:rPr>
  </w:style>
  <w:style w:type="paragraph" w:customStyle="1" w:styleId="CM3">
    <w:name w:val="CM3"/>
    <w:basedOn w:val="Default"/>
    <w:next w:val="Default"/>
    <w:uiPriority w:val="99"/>
    <w:pPr>
      <w:spacing w:line="253" w:lineRule="atLeast"/>
    </w:pPr>
    <w:rPr>
      <w:color w:val="auto"/>
    </w:rPr>
  </w:style>
  <w:style w:type="paragraph" w:customStyle="1" w:styleId="CM4">
    <w:name w:val="CM4"/>
    <w:basedOn w:val="Default"/>
    <w:next w:val="Default"/>
    <w:uiPriority w:val="99"/>
    <w:rPr>
      <w:color w:val="auto"/>
    </w:rPr>
  </w:style>
  <w:style w:type="paragraph" w:customStyle="1" w:styleId="CM12">
    <w:name w:val="CM12"/>
    <w:basedOn w:val="Default"/>
    <w:next w:val="Default"/>
    <w:uiPriority w:val="99"/>
    <w:pPr>
      <w:spacing w:after="120"/>
    </w:pPr>
    <w:rPr>
      <w:color w:val="auto"/>
    </w:rPr>
  </w:style>
  <w:style w:type="paragraph" w:customStyle="1" w:styleId="CM5">
    <w:name w:val="CM5"/>
    <w:basedOn w:val="Default"/>
    <w:next w:val="Default"/>
    <w:uiPriority w:val="99"/>
    <w:pPr>
      <w:spacing w:line="280" w:lineRule="atLeast"/>
    </w:pPr>
    <w:rPr>
      <w:color w:val="auto"/>
    </w:rPr>
  </w:style>
  <w:style w:type="paragraph" w:customStyle="1" w:styleId="CM13">
    <w:name w:val="CM13"/>
    <w:basedOn w:val="Default"/>
    <w:next w:val="Default"/>
    <w:uiPriority w:val="99"/>
    <w:pPr>
      <w:spacing w:after="350"/>
    </w:pPr>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pPr>
      <w:spacing w:line="231" w:lineRule="atLeast"/>
    </w:pPr>
    <w:rPr>
      <w:color w:val="auto"/>
    </w:rPr>
  </w:style>
  <w:style w:type="paragraph" w:customStyle="1" w:styleId="CM8">
    <w:name w:val="CM8"/>
    <w:basedOn w:val="Default"/>
    <w:next w:val="Default"/>
    <w:uiPriority w:val="99"/>
    <w:pPr>
      <w:spacing w:line="231" w:lineRule="atLeast"/>
    </w:pPr>
    <w:rPr>
      <w:color w:val="auto"/>
    </w:rPr>
  </w:style>
  <w:style w:type="paragraph" w:customStyle="1" w:styleId="Affiliationandcontact">
    <w:name w:val="Affiliation and contact"/>
    <w:basedOn w:val="Normal"/>
    <w:uiPriority w:val="99"/>
    <w:rsid w:val="00134724"/>
    <w:pPr>
      <w:widowControl w:val="0"/>
      <w:spacing w:line="360" w:lineRule="auto"/>
      <w:jc w:val="center"/>
    </w:pPr>
    <w:rPr>
      <w:sz w:val="16"/>
      <w:szCs w:val="16"/>
      <w:lang w:val="en-GB" w:eastAsia="en-US"/>
    </w:rPr>
  </w:style>
  <w:style w:type="character" w:styleId="Hyperlink">
    <w:name w:val="Hyperlink"/>
    <w:basedOn w:val="DefaultParagraphFont"/>
    <w:uiPriority w:val="99"/>
    <w:rsid w:val="00134724"/>
    <w:rPr>
      <w:rFonts w:cs="Times New Roman"/>
      <w:color w:val="0000FF"/>
      <w:u w:val="single"/>
    </w:rPr>
  </w:style>
  <w:style w:type="paragraph" w:styleId="CommentText">
    <w:name w:val="annotation text"/>
    <w:basedOn w:val="Normal"/>
    <w:link w:val="CommentTextChar"/>
    <w:uiPriority w:val="99"/>
    <w:semiHidden/>
    <w:rsid w:val="00094289"/>
    <w:pPr>
      <w:spacing w:after="200" w:line="276" w:lineRule="auto"/>
    </w:pPr>
    <w:rPr>
      <w:rFonts w:ascii="Calibri" w:hAnsi="Calibri" w:cs="Calibri"/>
      <w:sz w:val="20"/>
      <w:szCs w:val="20"/>
      <w:lang w:val="en-US" w:eastAsia="en-US"/>
    </w:rPr>
  </w:style>
  <w:style w:type="character" w:customStyle="1" w:styleId="CommentTextChar">
    <w:name w:val="Comment Text Char"/>
    <w:basedOn w:val="DefaultParagraphFont"/>
    <w:link w:val="CommentText"/>
    <w:uiPriority w:val="99"/>
    <w:locked/>
    <w:rsid w:val="00094289"/>
    <w:rPr>
      <w:rFonts w:ascii="Calibri" w:hAnsi="Calibri" w:cs="Calibri"/>
      <w:sz w:val="20"/>
      <w:szCs w:val="20"/>
      <w:lang w:val="en-US" w:eastAsia="en-US"/>
    </w:rPr>
  </w:style>
  <w:style w:type="paragraph" w:styleId="NoSpacing">
    <w:name w:val="No Spacing"/>
    <w:basedOn w:val="Normal"/>
    <w:link w:val="NoSpacingChar"/>
    <w:uiPriority w:val="99"/>
    <w:qFormat/>
    <w:rsid w:val="00094289"/>
    <w:rPr>
      <w:rFonts w:ascii="Calibri" w:hAnsi="Calibri" w:cs="Calibri"/>
      <w:sz w:val="22"/>
      <w:szCs w:val="22"/>
      <w:lang w:val="en-US" w:eastAsia="en-US"/>
    </w:rPr>
  </w:style>
  <w:style w:type="character" w:customStyle="1" w:styleId="NoSpacingChar">
    <w:name w:val="No Spacing Char"/>
    <w:basedOn w:val="DefaultParagraphFont"/>
    <w:link w:val="NoSpacing"/>
    <w:uiPriority w:val="99"/>
    <w:locked/>
    <w:rsid w:val="00094289"/>
    <w:rPr>
      <w:rFonts w:ascii="Calibri" w:hAnsi="Calibri" w:cs="Calibri"/>
      <w:lang w:val="en-US" w:eastAsia="en-US"/>
    </w:rPr>
  </w:style>
  <w:style w:type="paragraph" w:customStyle="1" w:styleId="Tables-Figures">
    <w:name w:val="Tables-Figures"/>
    <w:basedOn w:val="Heading4"/>
    <w:rsid w:val="000A7F97"/>
    <w:pPr>
      <w:spacing w:line="360" w:lineRule="auto"/>
      <w:jc w:val="both"/>
    </w:pPr>
    <w:rPr>
      <w:rFonts w:ascii="Tahoma" w:hAnsi="Tahoma"/>
      <w:sz w:val="20"/>
    </w:rPr>
  </w:style>
  <w:style w:type="paragraph" w:styleId="Caption">
    <w:name w:val="caption"/>
    <w:basedOn w:val="Normal"/>
    <w:next w:val="Normal"/>
    <w:qFormat/>
    <w:locked/>
    <w:rsid w:val="000A7F97"/>
    <w:pPr>
      <w:spacing w:line="360" w:lineRule="auto"/>
      <w:jc w:val="both"/>
    </w:pPr>
    <w:rPr>
      <w:rFonts w:ascii="Arial" w:hAnsi="Arial"/>
      <w:b/>
      <w:bCs/>
      <w:sz w:val="20"/>
      <w:szCs w:val="20"/>
    </w:rPr>
  </w:style>
  <w:style w:type="character" w:customStyle="1" w:styleId="Heading4Char">
    <w:name w:val="Heading 4 Char"/>
    <w:basedOn w:val="DefaultParagraphFont"/>
    <w:link w:val="Heading4"/>
    <w:semiHidden/>
    <w:rsid w:val="000A7F97"/>
    <w:rPr>
      <w:rFonts w:ascii="Calibri" w:eastAsia="Times New Roman" w:hAnsi="Calibri" w:cs="Times New Roman"/>
      <w:b/>
      <w:bCs/>
      <w:sz w:val="28"/>
      <w:szCs w:val="28"/>
    </w:rPr>
  </w:style>
  <w:style w:type="paragraph" w:styleId="NormalWeb">
    <w:name w:val="Normal (Web)"/>
    <w:basedOn w:val="Normal"/>
    <w:uiPriority w:val="99"/>
    <w:rsid w:val="003D2DB8"/>
    <w:pPr>
      <w:spacing w:before="100" w:beforeAutospacing="1" w:after="100" w:afterAutospacing="1" w:line="360" w:lineRule="auto"/>
      <w:jc w:val="both"/>
    </w:pPr>
    <w:rPr>
      <w:rFonts w:ascii="Arial" w:hAnsi="Arial"/>
      <w:sz w:val="22"/>
      <w:lang w:val="en-GB"/>
    </w:rPr>
  </w:style>
  <w:style w:type="paragraph" w:styleId="Header">
    <w:name w:val="header"/>
    <w:basedOn w:val="Normal"/>
    <w:link w:val="HeaderChar"/>
    <w:uiPriority w:val="99"/>
    <w:rsid w:val="00021A52"/>
    <w:pPr>
      <w:tabs>
        <w:tab w:val="center" w:pos="4153"/>
        <w:tab w:val="right" w:pos="8306"/>
      </w:tabs>
    </w:pPr>
  </w:style>
  <w:style w:type="character" w:styleId="PageNumber">
    <w:name w:val="page number"/>
    <w:basedOn w:val="DefaultParagraphFont"/>
    <w:rsid w:val="00021A52"/>
  </w:style>
  <w:style w:type="paragraph" w:customStyle="1" w:styleId="References">
    <w:name w:val="References"/>
    <w:basedOn w:val="Normal"/>
    <w:rsid w:val="0046510C"/>
    <w:pPr>
      <w:ind w:left="567" w:hanging="567"/>
      <w:jc w:val="both"/>
    </w:pPr>
    <w:rPr>
      <w:szCs w:val="20"/>
      <w:lang w:val="en-US" w:eastAsia="en-US"/>
    </w:rPr>
  </w:style>
  <w:style w:type="paragraph" w:styleId="TOC1">
    <w:name w:val="toc 1"/>
    <w:basedOn w:val="Normal"/>
    <w:next w:val="Normal"/>
    <w:autoRedefine/>
    <w:semiHidden/>
    <w:locked/>
    <w:rsid w:val="00AE4D0F"/>
  </w:style>
  <w:style w:type="paragraph" w:styleId="TOC2">
    <w:name w:val="toc 2"/>
    <w:basedOn w:val="Normal"/>
    <w:next w:val="Normal"/>
    <w:autoRedefine/>
    <w:semiHidden/>
    <w:locked/>
    <w:rsid w:val="00AE4D0F"/>
    <w:pPr>
      <w:ind w:left="240"/>
    </w:pPr>
  </w:style>
  <w:style w:type="character" w:styleId="CommentReference">
    <w:name w:val="annotation reference"/>
    <w:basedOn w:val="DefaultParagraphFont"/>
    <w:uiPriority w:val="99"/>
    <w:semiHidden/>
    <w:unhideWhenUsed/>
    <w:rsid w:val="002E2924"/>
    <w:rPr>
      <w:sz w:val="16"/>
      <w:szCs w:val="16"/>
    </w:rPr>
  </w:style>
  <w:style w:type="paragraph" w:styleId="CommentSubject">
    <w:name w:val="annotation subject"/>
    <w:basedOn w:val="CommentText"/>
    <w:next w:val="CommentText"/>
    <w:link w:val="CommentSubjectChar"/>
    <w:uiPriority w:val="99"/>
    <w:semiHidden/>
    <w:unhideWhenUsed/>
    <w:rsid w:val="002E2924"/>
    <w:pPr>
      <w:spacing w:after="0" w:line="240" w:lineRule="auto"/>
    </w:pPr>
    <w:rPr>
      <w:rFonts w:ascii="Times New Roman" w:hAnsi="Times New Roman" w:cs="Times New Roman"/>
      <w:b/>
      <w:bCs/>
      <w:lang w:val="el-GR" w:eastAsia="el-GR"/>
    </w:rPr>
  </w:style>
  <w:style w:type="character" w:customStyle="1" w:styleId="CommentSubjectChar">
    <w:name w:val="Comment Subject Char"/>
    <w:basedOn w:val="CommentTextChar"/>
    <w:link w:val="CommentSubject"/>
    <w:uiPriority w:val="99"/>
    <w:semiHidden/>
    <w:rsid w:val="002E2924"/>
    <w:rPr>
      <w:rFonts w:ascii="Calibri" w:hAnsi="Calibri" w:cs="Calibri"/>
      <w:b/>
      <w:bCs/>
      <w:sz w:val="20"/>
      <w:szCs w:val="20"/>
      <w:lang w:val="el-GR" w:eastAsia="el-GR"/>
    </w:rPr>
  </w:style>
  <w:style w:type="paragraph" w:styleId="BalloonText">
    <w:name w:val="Balloon Text"/>
    <w:basedOn w:val="Normal"/>
    <w:link w:val="BalloonTextChar"/>
    <w:uiPriority w:val="99"/>
    <w:semiHidden/>
    <w:unhideWhenUsed/>
    <w:rsid w:val="002E2924"/>
    <w:rPr>
      <w:rFonts w:ascii="Tahoma" w:hAnsi="Tahoma" w:cs="Tahoma"/>
      <w:sz w:val="16"/>
      <w:szCs w:val="16"/>
    </w:rPr>
  </w:style>
  <w:style w:type="character" w:customStyle="1" w:styleId="BalloonTextChar">
    <w:name w:val="Balloon Text Char"/>
    <w:basedOn w:val="DefaultParagraphFont"/>
    <w:link w:val="BalloonText"/>
    <w:uiPriority w:val="99"/>
    <w:semiHidden/>
    <w:rsid w:val="002E2924"/>
    <w:rPr>
      <w:rFonts w:ascii="Tahoma" w:hAnsi="Tahoma" w:cs="Tahoma"/>
      <w:sz w:val="16"/>
      <w:szCs w:val="16"/>
      <w:lang w:val="el-GR" w:eastAsia="el-GR"/>
    </w:rPr>
  </w:style>
  <w:style w:type="character" w:styleId="FollowedHyperlink">
    <w:name w:val="FollowedHyperlink"/>
    <w:basedOn w:val="DefaultParagraphFont"/>
    <w:rsid w:val="004D5C43"/>
    <w:rPr>
      <w:color w:val="800080"/>
      <w:u w:val="single"/>
    </w:rPr>
  </w:style>
  <w:style w:type="paragraph" w:styleId="Footer">
    <w:name w:val="footer"/>
    <w:basedOn w:val="Normal"/>
    <w:link w:val="FooterChar"/>
    <w:uiPriority w:val="99"/>
    <w:unhideWhenUsed/>
    <w:rsid w:val="00057E38"/>
    <w:pPr>
      <w:tabs>
        <w:tab w:val="center" w:pos="4153"/>
        <w:tab w:val="right" w:pos="8306"/>
      </w:tabs>
    </w:pPr>
  </w:style>
  <w:style w:type="character" w:customStyle="1" w:styleId="FooterChar">
    <w:name w:val="Footer Char"/>
    <w:basedOn w:val="DefaultParagraphFont"/>
    <w:link w:val="Footer"/>
    <w:uiPriority w:val="99"/>
    <w:rsid w:val="00057E38"/>
    <w:rPr>
      <w:sz w:val="24"/>
      <w:szCs w:val="24"/>
      <w:lang w:val="el-GR" w:eastAsia="el-GR"/>
    </w:rPr>
  </w:style>
  <w:style w:type="paragraph" w:customStyle="1" w:styleId="p">
    <w:name w:val="p"/>
    <w:basedOn w:val="Normal"/>
    <w:rsid w:val="007B7DC9"/>
    <w:pPr>
      <w:spacing w:before="100" w:beforeAutospacing="1" w:after="100" w:afterAutospacing="1"/>
    </w:pPr>
    <w:rPr>
      <w:color w:val="393736"/>
      <w:lang w:val="en-GB" w:eastAsia="en-GB"/>
    </w:rPr>
  </w:style>
  <w:style w:type="character" w:customStyle="1" w:styleId="HeaderChar">
    <w:name w:val="Header Char"/>
    <w:basedOn w:val="DefaultParagraphFont"/>
    <w:link w:val="Header"/>
    <w:uiPriority w:val="99"/>
    <w:rsid w:val="003279B7"/>
    <w:rPr>
      <w:sz w:val="24"/>
      <w:szCs w:val="24"/>
      <w:lang w:val="el-GR" w:eastAsia="el-GR"/>
    </w:rPr>
  </w:style>
  <w:style w:type="paragraph" w:styleId="ListParagraph">
    <w:name w:val="List Paragraph"/>
    <w:basedOn w:val="Normal"/>
    <w:uiPriority w:val="34"/>
    <w:qFormat/>
    <w:rsid w:val="00C15B73"/>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st1">
    <w:name w:val="st1"/>
    <w:basedOn w:val="DefaultParagraphFont"/>
    <w:rsid w:val="008E0B2B"/>
  </w:style>
  <w:style w:type="character" w:styleId="PlaceholderText">
    <w:name w:val="Placeholder Text"/>
    <w:basedOn w:val="DefaultParagraphFont"/>
    <w:uiPriority w:val="99"/>
    <w:semiHidden/>
    <w:rsid w:val="00C55F93"/>
    <w:rPr>
      <w:color w:val="808080"/>
    </w:rPr>
  </w:style>
  <w:style w:type="character" w:customStyle="1" w:styleId="reference-text">
    <w:name w:val="reference-text"/>
    <w:basedOn w:val="DefaultParagraphFont"/>
    <w:rsid w:val="00AF3737"/>
  </w:style>
  <w:style w:type="table" w:styleId="TableGrid">
    <w:name w:val="Table Grid"/>
    <w:basedOn w:val="TableNormal"/>
    <w:uiPriority w:val="59"/>
    <w:locked/>
    <w:rsid w:val="00C223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7D72"/>
    <w:rPr>
      <w:sz w:val="24"/>
      <w:szCs w:val="24"/>
      <w:lang w:val="el-GR" w:eastAsia="el-GR"/>
    </w:rPr>
  </w:style>
  <w:style w:type="paragraph" w:styleId="FootnoteText">
    <w:name w:val="footnote text"/>
    <w:basedOn w:val="Normal"/>
    <w:link w:val="FootnoteTextChar"/>
    <w:uiPriority w:val="99"/>
    <w:semiHidden/>
    <w:unhideWhenUsed/>
    <w:rsid w:val="007D530F"/>
    <w:rPr>
      <w:sz w:val="20"/>
      <w:szCs w:val="20"/>
    </w:rPr>
  </w:style>
  <w:style w:type="character" w:customStyle="1" w:styleId="FootnoteTextChar">
    <w:name w:val="Footnote Text Char"/>
    <w:basedOn w:val="DefaultParagraphFont"/>
    <w:link w:val="FootnoteText"/>
    <w:uiPriority w:val="99"/>
    <w:semiHidden/>
    <w:rsid w:val="007D530F"/>
    <w:rPr>
      <w:lang w:val="el-GR" w:eastAsia="el-GR"/>
    </w:rPr>
  </w:style>
  <w:style w:type="character" w:styleId="FootnoteReference">
    <w:name w:val="footnote reference"/>
    <w:basedOn w:val="DefaultParagraphFont"/>
    <w:uiPriority w:val="99"/>
    <w:semiHidden/>
    <w:unhideWhenUsed/>
    <w:rsid w:val="007D53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l-GR" w:eastAsia="el-GR"/>
    </w:rPr>
  </w:style>
  <w:style w:type="paragraph" w:styleId="Heading1">
    <w:name w:val="heading 1"/>
    <w:basedOn w:val="Normal"/>
    <w:next w:val="Normal"/>
    <w:link w:val="Heading1Char"/>
    <w:uiPriority w:val="99"/>
    <w:qFormat/>
    <w:rsid w:val="00F23994"/>
    <w:pPr>
      <w:keepNext/>
      <w:spacing w:before="240" w:after="60"/>
      <w:outlineLvl w:val="0"/>
    </w:pPr>
    <w:rPr>
      <w:rFonts w:ascii="Arial" w:hAnsi="Arial" w:cs="Arial"/>
      <w:b/>
      <w:bCs/>
      <w:kern w:val="32"/>
      <w:sz w:val="28"/>
      <w:szCs w:val="28"/>
    </w:rPr>
  </w:style>
  <w:style w:type="paragraph" w:styleId="Heading2">
    <w:name w:val="heading 2"/>
    <w:basedOn w:val="Normal"/>
    <w:next w:val="Normal"/>
    <w:link w:val="Heading2Char"/>
    <w:uiPriority w:val="99"/>
    <w:qFormat/>
    <w:rsid w:val="00F23994"/>
    <w:pPr>
      <w:keepNext/>
      <w:spacing w:before="240" w:after="60"/>
      <w:outlineLvl w:val="1"/>
    </w:pPr>
    <w:rPr>
      <w:rFonts w:ascii="Arial" w:hAnsi="Arial" w:cs="Arial"/>
      <w:b/>
      <w:bCs/>
      <w:i/>
      <w:iCs/>
      <w:sz w:val="22"/>
      <w:szCs w:val="22"/>
    </w:rPr>
  </w:style>
  <w:style w:type="paragraph" w:styleId="Heading3">
    <w:name w:val="heading 3"/>
    <w:basedOn w:val="Normal"/>
    <w:next w:val="Normal"/>
    <w:link w:val="Heading3Char"/>
    <w:uiPriority w:val="99"/>
    <w:qFormat/>
    <w:rsid w:val="00094289"/>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qFormat/>
    <w:locked/>
    <w:rsid w:val="000A7F9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3994"/>
    <w:rPr>
      <w:rFonts w:ascii="Arial" w:hAnsi="Arial" w:cs="Arial"/>
      <w:b/>
      <w:bCs/>
      <w:kern w:val="32"/>
      <w:sz w:val="32"/>
      <w:szCs w:val="32"/>
    </w:rPr>
  </w:style>
  <w:style w:type="character" w:customStyle="1" w:styleId="Heading2Char">
    <w:name w:val="Heading 2 Char"/>
    <w:basedOn w:val="DefaultParagraphFont"/>
    <w:link w:val="Heading2"/>
    <w:uiPriority w:val="99"/>
    <w:locked/>
    <w:rsid w:val="00F23994"/>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094289"/>
    <w:rPr>
      <w:rFonts w:ascii="Cambria" w:hAnsi="Cambria" w:cs="Cambria"/>
      <w:b/>
      <w:bCs/>
      <w:sz w:val="26"/>
      <w:szCs w:val="26"/>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l-GR" w:eastAsia="el-GR"/>
    </w:rPr>
  </w:style>
  <w:style w:type="paragraph" w:customStyle="1" w:styleId="CM1">
    <w:name w:val="CM1"/>
    <w:basedOn w:val="Default"/>
    <w:next w:val="Default"/>
    <w:uiPriority w:val="99"/>
    <w:rPr>
      <w:color w:val="auto"/>
    </w:rPr>
  </w:style>
  <w:style w:type="paragraph" w:customStyle="1" w:styleId="CM9">
    <w:name w:val="CM9"/>
    <w:basedOn w:val="Default"/>
    <w:next w:val="Default"/>
    <w:uiPriority w:val="99"/>
    <w:pPr>
      <w:spacing w:after="218"/>
    </w:pPr>
    <w:rPr>
      <w:color w:val="auto"/>
    </w:rPr>
  </w:style>
  <w:style w:type="paragraph" w:customStyle="1" w:styleId="CM10">
    <w:name w:val="CM10"/>
    <w:basedOn w:val="Default"/>
    <w:next w:val="Default"/>
    <w:uiPriority w:val="99"/>
    <w:pPr>
      <w:spacing w:after="293"/>
    </w:pPr>
    <w:rPr>
      <w:color w:val="auto"/>
    </w:rPr>
  </w:style>
  <w:style w:type="paragraph" w:customStyle="1" w:styleId="CM2">
    <w:name w:val="CM2"/>
    <w:basedOn w:val="Default"/>
    <w:next w:val="Default"/>
    <w:uiPriority w:val="99"/>
    <w:pPr>
      <w:spacing w:line="256" w:lineRule="atLeast"/>
    </w:pPr>
    <w:rPr>
      <w:color w:val="auto"/>
    </w:rPr>
  </w:style>
  <w:style w:type="paragraph" w:customStyle="1" w:styleId="CM11">
    <w:name w:val="CM11"/>
    <w:basedOn w:val="Default"/>
    <w:next w:val="Default"/>
    <w:uiPriority w:val="99"/>
    <w:pPr>
      <w:spacing w:after="505"/>
    </w:pPr>
    <w:rPr>
      <w:color w:val="auto"/>
    </w:rPr>
  </w:style>
  <w:style w:type="paragraph" w:customStyle="1" w:styleId="CM3">
    <w:name w:val="CM3"/>
    <w:basedOn w:val="Default"/>
    <w:next w:val="Default"/>
    <w:uiPriority w:val="99"/>
    <w:pPr>
      <w:spacing w:line="253" w:lineRule="atLeast"/>
    </w:pPr>
    <w:rPr>
      <w:color w:val="auto"/>
    </w:rPr>
  </w:style>
  <w:style w:type="paragraph" w:customStyle="1" w:styleId="CM4">
    <w:name w:val="CM4"/>
    <w:basedOn w:val="Default"/>
    <w:next w:val="Default"/>
    <w:uiPriority w:val="99"/>
    <w:rPr>
      <w:color w:val="auto"/>
    </w:rPr>
  </w:style>
  <w:style w:type="paragraph" w:customStyle="1" w:styleId="CM12">
    <w:name w:val="CM12"/>
    <w:basedOn w:val="Default"/>
    <w:next w:val="Default"/>
    <w:uiPriority w:val="99"/>
    <w:pPr>
      <w:spacing w:after="120"/>
    </w:pPr>
    <w:rPr>
      <w:color w:val="auto"/>
    </w:rPr>
  </w:style>
  <w:style w:type="paragraph" w:customStyle="1" w:styleId="CM5">
    <w:name w:val="CM5"/>
    <w:basedOn w:val="Default"/>
    <w:next w:val="Default"/>
    <w:uiPriority w:val="99"/>
    <w:pPr>
      <w:spacing w:line="280" w:lineRule="atLeast"/>
    </w:pPr>
    <w:rPr>
      <w:color w:val="auto"/>
    </w:rPr>
  </w:style>
  <w:style w:type="paragraph" w:customStyle="1" w:styleId="CM13">
    <w:name w:val="CM13"/>
    <w:basedOn w:val="Default"/>
    <w:next w:val="Default"/>
    <w:uiPriority w:val="99"/>
    <w:pPr>
      <w:spacing w:after="350"/>
    </w:pPr>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pPr>
      <w:spacing w:line="231" w:lineRule="atLeast"/>
    </w:pPr>
    <w:rPr>
      <w:color w:val="auto"/>
    </w:rPr>
  </w:style>
  <w:style w:type="paragraph" w:customStyle="1" w:styleId="CM8">
    <w:name w:val="CM8"/>
    <w:basedOn w:val="Default"/>
    <w:next w:val="Default"/>
    <w:uiPriority w:val="99"/>
    <w:pPr>
      <w:spacing w:line="231" w:lineRule="atLeast"/>
    </w:pPr>
    <w:rPr>
      <w:color w:val="auto"/>
    </w:rPr>
  </w:style>
  <w:style w:type="paragraph" w:customStyle="1" w:styleId="Affiliationandcontact">
    <w:name w:val="Affiliation and contact"/>
    <w:basedOn w:val="Normal"/>
    <w:uiPriority w:val="99"/>
    <w:rsid w:val="00134724"/>
    <w:pPr>
      <w:widowControl w:val="0"/>
      <w:spacing w:line="360" w:lineRule="auto"/>
      <w:jc w:val="center"/>
    </w:pPr>
    <w:rPr>
      <w:sz w:val="16"/>
      <w:szCs w:val="16"/>
      <w:lang w:val="en-GB" w:eastAsia="en-US"/>
    </w:rPr>
  </w:style>
  <w:style w:type="character" w:styleId="Hyperlink">
    <w:name w:val="Hyperlink"/>
    <w:basedOn w:val="DefaultParagraphFont"/>
    <w:uiPriority w:val="99"/>
    <w:rsid w:val="00134724"/>
    <w:rPr>
      <w:rFonts w:cs="Times New Roman"/>
      <w:color w:val="0000FF"/>
      <w:u w:val="single"/>
    </w:rPr>
  </w:style>
  <w:style w:type="paragraph" w:styleId="CommentText">
    <w:name w:val="annotation text"/>
    <w:basedOn w:val="Normal"/>
    <w:link w:val="CommentTextChar"/>
    <w:uiPriority w:val="99"/>
    <w:semiHidden/>
    <w:rsid w:val="00094289"/>
    <w:pPr>
      <w:spacing w:after="200" w:line="276" w:lineRule="auto"/>
    </w:pPr>
    <w:rPr>
      <w:rFonts w:ascii="Calibri" w:hAnsi="Calibri" w:cs="Calibri"/>
      <w:sz w:val="20"/>
      <w:szCs w:val="20"/>
      <w:lang w:val="en-US" w:eastAsia="en-US"/>
    </w:rPr>
  </w:style>
  <w:style w:type="character" w:customStyle="1" w:styleId="CommentTextChar">
    <w:name w:val="Comment Text Char"/>
    <w:basedOn w:val="DefaultParagraphFont"/>
    <w:link w:val="CommentText"/>
    <w:uiPriority w:val="99"/>
    <w:locked/>
    <w:rsid w:val="00094289"/>
    <w:rPr>
      <w:rFonts w:ascii="Calibri" w:hAnsi="Calibri" w:cs="Calibri"/>
      <w:sz w:val="20"/>
      <w:szCs w:val="20"/>
      <w:lang w:val="en-US" w:eastAsia="en-US"/>
    </w:rPr>
  </w:style>
  <w:style w:type="paragraph" w:styleId="NoSpacing">
    <w:name w:val="No Spacing"/>
    <w:basedOn w:val="Normal"/>
    <w:link w:val="NoSpacingChar"/>
    <w:uiPriority w:val="99"/>
    <w:qFormat/>
    <w:rsid w:val="00094289"/>
    <w:rPr>
      <w:rFonts w:ascii="Calibri" w:hAnsi="Calibri" w:cs="Calibri"/>
      <w:sz w:val="22"/>
      <w:szCs w:val="22"/>
      <w:lang w:val="en-US" w:eastAsia="en-US"/>
    </w:rPr>
  </w:style>
  <w:style w:type="character" w:customStyle="1" w:styleId="NoSpacingChar">
    <w:name w:val="No Spacing Char"/>
    <w:basedOn w:val="DefaultParagraphFont"/>
    <w:link w:val="NoSpacing"/>
    <w:uiPriority w:val="99"/>
    <w:locked/>
    <w:rsid w:val="00094289"/>
    <w:rPr>
      <w:rFonts w:ascii="Calibri" w:hAnsi="Calibri" w:cs="Calibri"/>
      <w:lang w:val="en-US" w:eastAsia="en-US"/>
    </w:rPr>
  </w:style>
  <w:style w:type="paragraph" w:customStyle="1" w:styleId="Tables-Figures">
    <w:name w:val="Tables-Figures"/>
    <w:basedOn w:val="Heading4"/>
    <w:rsid w:val="000A7F97"/>
    <w:pPr>
      <w:spacing w:line="360" w:lineRule="auto"/>
      <w:jc w:val="both"/>
    </w:pPr>
    <w:rPr>
      <w:rFonts w:ascii="Tahoma" w:hAnsi="Tahoma"/>
      <w:sz w:val="20"/>
    </w:rPr>
  </w:style>
  <w:style w:type="paragraph" w:styleId="Caption">
    <w:name w:val="caption"/>
    <w:basedOn w:val="Normal"/>
    <w:next w:val="Normal"/>
    <w:qFormat/>
    <w:locked/>
    <w:rsid w:val="000A7F97"/>
    <w:pPr>
      <w:spacing w:line="360" w:lineRule="auto"/>
      <w:jc w:val="both"/>
    </w:pPr>
    <w:rPr>
      <w:rFonts w:ascii="Arial" w:hAnsi="Arial"/>
      <w:b/>
      <w:bCs/>
      <w:sz w:val="20"/>
      <w:szCs w:val="20"/>
    </w:rPr>
  </w:style>
  <w:style w:type="character" w:customStyle="1" w:styleId="Heading4Char">
    <w:name w:val="Heading 4 Char"/>
    <w:basedOn w:val="DefaultParagraphFont"/>
    <w:link w:val="Heading4"/>
    <w:semiHidden/>
    <w:rsid w:val="000A7F97"/>
    <w:rPr>
      <w:rFonts w:ascii="Calibri" w:eastAsia="Times New Roman" w:hAnsi="Calibri" w:cs="Times New Roman"/>
      <w:b/>
      <w:bCs/>
      <w:sz w:val="28"/>
      <w:szCs w:val="28"/>
    </w:rPr>
  </w:style>
  <w:style w:type="paragraph" w:styleId="NormalWeb">
    <w:name w:val="Normal (Web)"/>
    <w:basedOn w:val="Normal"/>
    <w:uiPriority w:val="99"/>
    <w:rsid w:val="003D2DB8"/>
    <w:pPr>
      <w:spacing w:before="100" w:beforeAutospacing="1" w:after="100" w:afterAutospacing="1" w:line="360" w:lineRule="auto"/>
      <w:jc w:val="both"/>
    </w:pPr>
    <w:rPr>
      <w:rFonts w:ascii="Arial" w:hAnsi="Arial"/>
      <w:sz w:val="22"/>
      <w:lang w:val="en-GB"/>
    </w:rPr>
  </w:style>
  <w:style w:type="paragraph" w:styleId="Header">
    <w:name w:val="header"/>
    <w:basedOn w:val="Normal"/>
    <w:link w:val="HeaderChar"/>
    <w:uiPriority w:val="99"/>
    <w:rsid w:val="00021A52"/>
    <w:pPr>
      <w:tabs>
        <w:tab w:val="center" w:pos="4153"/>
        <w:tab w:val="right" w:pos="8306"/>
      </w:tabs>
    </w:pPr>
  </w:style>
  <w:style w:type="character" w:styleId="PageNumber">
    <w:name w:val="page number"/>
    <w:basedOn w:val="DefaultParagraphFont"/>
    <w:rsid w:val="00021A52"/>
  </w:style>
  <w:style w:type="paragraph" w:customStyle="1" w:styleId="References">
    <w:name w:val="References"/>
    <w:basedOn w:val="Normal"/>
    <w:rsid w:val="0046510C"/>
    <w:pPr>
      <w:ind w:left="567" w:hanging="567"/>
      <w:jc w:val="both"/>
    </w:pPr>
    <w:rPr>
      <w:szCs w:val="20"/>
      <w:lang w:val="en-US" w:eastAsia="en-US"/>
    </w:rPr>
  </w:style>
  <w:style w:type="paragraph" w:styleId="TOC1">
    <w:name w:val="toc 1"/>
    <w:basedOn w:val="Normal"/>
    <w:next w:val="Normal"/>
    <w:autoRedefine/>
    <w:semiHidden/>
    <w:locked/>
    <w:rsid w:val="00AE4D0F"/>
  </w:style>
  <w:style w:type="paragraph" w:styleId="TOC2">
    <w:name w:val="toc 2"/>
    <w:basedOn w:val="Normal"/>
    <w:next w:val="Normal"/>
    <w:autoRedefine/>
    <w:semiHidden/>
    <w:locked/>
    <w:rsid w:val="00AE4D0F"/>
    <w:pPr>
      <w:ind w:left="240"/>
    </w:pPr>
  </w:style>
  <w:style w:type="character" w:styleId="CommentReference">
    <w:name w:val="annotation reference"/>
    <w:basedOn w:val="DefaultParagraphFont"/>
    <w:uiPriority w:val="99"/>
    <w:semiHidden/>
    <w:unhideWhenUsed/>
    <w:rsid w:val="002E2924"/>
    <w:rPr>
      <w:sz w:val="16"/>
      <w:szCs w:val="16"/>
    </w:rPr>
  </w:style>
  <w:style w:type="paragraph" w:styleId="CommentSubject">
    <w:name w:val="annotation subject"/>
    <w:basedOn w:val="CommentText"/>
    <w:next w:val="CommentText"/>
    <w:link w:val="CommentSubjectChar"/>
    <w:uiPriority w:val="99"/>
    <w:semiHidden/>
    <w:unhideWhenUsed/>
    <w:rsid w:val="002E2924"/>
    <w:pPr>
      <w:spacing w:after="0" w:line="240" w:lineRule="auto"/>
    </w:pPr>
    <w:rPr>
      <w:rFonts w:ascii="Times New Roman" w:hAnsi="Times New Roman" w:cs="Times New Roman"/>
      <w:b/>
      <w:bCs/>
      <w:lang w:val="el-GR" w:eastAsia="el-GR"/>
    </w:rPr>
  </w:style>
  <w:style w:type="character" w:customStyle="1" w:styleId="CommentSubjectChar">
    <w:name w:val="Comment Subject Char"/>
    <w:basedOn w:val="CommentTextChar"/>
    <w:link w:val="CommentSubject"/>
    <w:uiPriority w:val="99"/>
    <w:semiHidden/>
    <w:rsid w:val="002E2924"/>
    <w:rPr>
      <w:rFonts w:ascii="Calibri" w:hAnsi="Calibri" w:cs="Calibri"/>
      <w:b/>
      <w:bCs/>
      <w:sz w:val="20"/>
      <w:szCs w:val="20"/>
      <w:lang w:val="el-GR" w:eastAsia="el-GR"/>
    </w:rPr>
  </w:style>
  <w:style w:type="paragraph" w:styleId="BalloonText">
    <w:name w:val="Balloon Text"/>
    <w:basedOn w:val="Normal"/>
    <w:link w:val="BalloonTextChar"/>
    <w:uiPriority w:val="99"/>
    <w:semiHidden/>
    <w:unhideWhenUsed/>
    <w:rsid w:val="002E2924"/>
    <w:rPr>
      <w:rFonts w:ascii="Tahoma" w:hAnsi="Tahoma" w:cs="Tahoma"/>
      <w:sz w:val="16"/>
      <w:szCs w:val="16"/>
    </w:rPr>
  </w:style>
  <w:style w:type="character" w:customStyle="1" w:styleId="BalloonTextChar">
    <w:name w:val="Balloon Text Char"/>
    <w:basedOn w:val="DefaultParagraphFont"/>
    <w:link w:val="BalloonText"/>
    <w:uiPriority w:val="99"/>
    <w:semiHidden/>
    <w:rsid w:val="002E2924"/>
    <w:rPr>
      <w:rFonts w:ascii="Tahoma" w:hAnsi="Tahoma" w:cs="Tahoma"/>
      <w:sz w:val="16"/>
      <w:szCs w:val="16"/>
      <w:lang w:val="el-GR" w:eastAsia="el-GR"/>
    </w:rPr>
  </w:style>
  <w:style w:type="character" w:styleId="FollowedHyperlink">
    <w:name w:val="FollowedHyperlink"/>
    <w:basedOn w:val="DefaultParagraphFont"/>
    <w:rsid w:val="004D5C43"/>
    <w:rPr>
      <w:color w:val="800080"/>
      <w:u w:val="single"/>
    </w:rPr>
  </w:style>
  <w:style w:type="paragraph" w:styleId="Footer">
    <w:name w:val="footer"/>
    <w:basedOn w:val="Normal"/>
    <w:link w:val="FooterChar"/>
    <w:uiPriority w:val="99"/>
    <w:unhideWhenUsed/>
    <w:rsid w:val="00057E38"/>
    <w:pPr>
      <w:tabs>
        <w:tab w:val="center" w:pos="4153"/>
        <w:tab w:val="right" w:pos="8306"/>
      </w:tabs>
    </w:pPr>
  </w:style>
  <w:style w:type="character" w:customStyle="1" w:styleId="FooterChar">
    <w:name w:val="Footer Char"/>
    <w:basedOn w:val="DefaultParagraphFont"/>
    <w:link w:val="Footer"/>
    <w:uiPriority w:val="99"/>
    <w:rsid w:val="00057E38"/>
    <w:rPr>
      <w:sz w:val="24"/>
      <w:szCs w:val="24"/>
      <w:lang w:val="el-GR" w:eastAsia="el-GR"/>
    </w:rPr>
  </w:style>
  <w:style w:type="paragraph" w:customStyle="1" w:styleId="p">
    <w:name w:val="p"/>
    <w:basedOn w:val="Normal"/>
    <w:rsid w:val="007B7DC9"/>
    <w:pPr>
      <w:spacing w:before="100" w:beforeAutospacing="1" w:after="100" w:afterAutospacing="1"/>
    </w:pPr>
    <w:rPr>
      <w:color w:val="393736"/>
      <w:lang w:val="en-GB" w:eastAsia="en-GB"/>
    </w:rPr>
  </w:style>
  <w:style w:type="character" w:customStyle="1" w:styleId="HeaderChar">
    <w:name w:val="Header Char"/>
    <w:basedOn w:val="DefaultParagraphFont"/>
    <w:link w:val="Header"/>
    <w:uiPriority w:val="99"/>
    <w:rsid w:val="003279B7"/>
    <w:rPr>
      <w:sz w:val="24"/>
      <w:szCs w:val="24"/>
      <w:lang w:val="el-GR" w:eastAsia="el-GR"/>
    </w:rPr>
  </w:style>
  <w:style w:type="paragraph" w:styleId="ListParagraph">
    <w:name w:val="List Paragraph"/>
    <w:basedOn w:val="Normal"/>
    <w:uiPriority w:val="34"/>
    <w:qFormat/>
    <w:rsid w:val="00C15B73"/>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st1">
    <w:name w:val="st1"/>
    <w:basedOn w:val="DefaultParagraphFont"/>
    <w:rsid w:val="008E0B2B"/>
  </w:style>
  <w:style w:type="character" w:styleId="PlaceholderText">
    <w:name w:val="Placeholder Text"/>
    <w:basedOn w:val="DefaultParagraphFont"/>
    <w:uiPriority w:val="99"/>
    <w:semiHidden/>
    <w:rsid w:val="00C55F93"/>
    <w:rPr>
      <w:color w:val="808080"/>
    </w:rPr>
  </w:style>
  <w:style w:type="character" w:customStyle="1" w:styleId="reference-text">
    <w:name w:val="reference-text"/>
    <w:basedOn w:val="DefaultParagraphFont"/>
    <w:rsid w:val="00AF3737"/>
  </w:style>
  <w:style w:type="table" w:styleId="TableGrid">
    <w:name w:val="Table Grid"/>
    <w:basedOn w:val="TableNormal"/>
    <w:uiPriority w:val="59"/>
    <w:locked/>
    <w:rsid w:val="00C223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7D72"/>
    <w:rPr>
      <w:sz w:val="24"/>
      <w:szCs w:val="24"/>
      <w:lang w:val="el-GR" w:eastAsia="el-GR"/>
    </w:rPr>
  </w:style>
  <w:style w:type="paragraph" w:styleId="FootnoteText">
    <w:name w:val="footnote text"/>
    <w:basedOn w:val="Normal"/>
    <w:link w:val="FootnoteTextChar"/>
    <w:uiPriority w:val="99"/>
    <w:semiHidden/>
    <w:unhideWhenUsed/>
    <w:rsid w:val="007D530F"/>
    <w:rPr>
      <w:sz w:val="20"/>
      <w:szCs w:val="20"/>
    </w:rPr>
  </w:style>
  <w:style w:type="character" w:customStyle="1" w:styleId="FootnoteTextChar">
    <w:name w:val="Footnote Text Char"/>
    <w:basedOn w:val="DefaultParagraphFont"/>
    <w:link w:val="FootnoteText"/>
    <w:uiPriority w:val="99"/>
    <w:semiHidden/>
    <w:rsid w:val="007D530F"/>
    <w:rPr>
      <w:lang w:val="el-GR" w:eastAsia="el-GR"/>
    </w:rPr>
  </w:style>
  <w:style w:type="character" w:styleId="FootnoteReference">
    <w:name w:val="footnote reference"/>
    <w:basedOn w:val="DefaultParagraphFont"/>
    <w:uiPriority w:val="99"/>
    <w:semiHidden/>
    <w:unhideWhenUsed/>
    <w:rsid w:val="007D53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059">
      <w:bodyDiv w:val="1"/>
      <w:marLeft w:val="0"/>
      <w:marRight w:val="0"/>
      <w:marTop w:val="0"/>
      <w:marBottom w:val="0"/>
      <w:divBdr>
        <w:top w:val="none" w:sz="0" w:space="0" w:color="auto"/>
        <w:left w:val="none" w:sz="0" w:space="0" w:color="auto"/>
        <w:bottom w:val="none" w:sz="0" w:space="0" w:color="auto"/>
        <w:right w:val="none" w:sz="0" w:space="0" w:color="auto"/>
      </w:divBdr>
    </w:div>
    <w:div w:id="387654850">
      <w:bodyDiv w:val="1"/>
      <w:marLeft w:val="0"/>
      <w:marRight w:val="0"/>
      <w:marTop w:val="0"/>
      <w:marBottom w:val="0"/>
      <w:divBdr>
        <w:top w:val="none" w:sz="0" w:space="0" w:color="auto"/>
        <w:left w:val="none" w:sz="0" w:space="0" w:color="auto"/>
        <w:bottom w:val="none" w:sz="0" w:space="0" w:color="auto"/>
        <w:right w:val="none" w:sz="0" w:space="0" w:color="auto"/>
      </w:divBdr>
      <w:divsChild>
        <w:div w:id="1006402823">
          <w:marLeft w:val="0"/>
          <w:marRight w:val="0"/>
          <w:marTop w:val="100"/>
          <w:marBottom w:val="100"/>
          <w:divBdr>
            <w:top w:val="none" w:sz="0" w:space="0" w:color="auto"/>
            <w:left w:val="none" w:sz="0" w:space="0" w:color="auto"/>
            <w:bottom w:val="none" w:sz="0" w:space="0" w:color="auto"/>
            <w:right w:val="none" w:sz="0" w:space="0" w:color="auto"/>
          </w:divBdr>
          <w:divsChild>
            <w:div w:id="1858225448">
              <w:marLeft w:val="0"/>
              <w:marRight w:val="0"/>
              <w:marTop w:val="0"/>
              <w:marBottom w:val="0"/>
              <w:divBdr>
                <w:top w:val="none" w:sz="0" w:space="0" w:color="auto"/>
                <w:left w:val="none" w:sz="0" w:space="0" w:color="auto"/>
                <w:bottom w:val="none" w:sz="0" w:space="0" w:color="auto"/>
                <w:right w:val="none" w:sz="0" w:space="0" w:color="auto"/>
              </w:divBdr>
              <w:divsChild>
                <w:div w:id="733357555">
                  <w:marLeft w:val="0"/>
                  <w:marRight w:val="0"/>
                  <w:marTop w:val="0"/>
                  <w:marBottom w:val="0"/>
                  <w:divBdr>
                    <w:top w:val="none" w:sz="0" w:space="0" w:color="auto"/>
                    <w:left w:val="none" w:sz="0" w:space="0" w:color="auto"/>
                    <w:bottom w:val="none" w:sz="0" w:space="0" w:color="auto"/>
                    <w:right w:val="none" w:sz="0" w:space="0" w:color="auto"/>
                  </w:divBdr>
                  <w:divsChild>
                    <w:div w:id="278420451">
                      <w:marLeft w:val="0"/>
                      <w:marRight w:val="0"/>
                      <w:marTop w:val="0"/>
                      <w:marBottom w:val="0"/>
                      <w:divBdr>
                        <w:top w:val="none" w:sz="0" w:space="0" w:color="auto"/>
                        <w:left w:val="none" w:sz="0" w:space="0" w:color="auto"/>
                        <w:bottom w:val="none" w:sz="0" w:space="0" w:color="auto"/>
                        <w:right w:val="none" w:sz="0" w:space="0" w:color="auto"/>
                      </w:divBdr>
                      <w:divsChild>
                        <w:div w:id="1598178493">
                          <w:marLeft w:val="0"/>
                          <w:marRight w:val="0"/>
                          <w:marTop w:val="0"/>
                          <w:marBottom w:val="0"/>
                          <w:divBdr>
                            <w:top w:val="none" w:sz="0" w:space="0" w:color="auto"/>
                            <w:left w:val="none" w:sz="0" w:space="0" w:color="auto"/>
                            <w:bottom w:val="none" w:sz="0" w:space="0" w:color="auto"/>
                            <w:right w:val="none" w:sz="0" w:space="0" w:color="auto"/>
                          </w:divBdr>
                          <w:divsChild>
                            <w:div w:id="1781759491">
                              <w:marLeft w:val="0"/>
                              <w:marRight w:val="0"/>
                              <w:marTop w:val="0"/>
                              <w:marBottom w:val="0"/>
                              <w:divBdr>
                                <w:top w:val="none" w:sz="0" w:space="0" w:color="auto"/>
                                <w:left w:val="none" w:sz="0" w:space="0" w:color="auto"/>
                                <w:bottom w:val="none" w:sz="0" w:space="0" w:color="auto"/>
                                <w:right w:val="none" w:sz="0" w:space="0" w:color="auto"/>
                              </w:divBdr>
                              <w:divsChild>
                                <w:div w:id="1381438094">
                                  <w:marLeft w:val="0"/>
                                  <w:marRight w:val="0"/>
                                  <w:marTop w:val="0"/>
                                  <w:marBottom w:val="0"/>
                                  <w:divBdr>
                                    <w:top w:val="none" w:sz="0" w:space="0" w:color="auto"/>
                                    <w:left w:val="none" w:sz="0" w:space="0" w:color="auto"/>
                                    <w:bottom w:val="single" w:sz="6" w:space="15" w:color="CDCDCD"/>
                                    <w:right w:val="none" w:sz="0" w:space="0" w:color="auto"/>
                                  </w:divBdr>
                                  <w:divsChild>
                                    <w:div w:id="484973605">
                                      <w:marLeft w:val="0"/>
                                      <w:marRight w:val="0"/>
                                      <w:marTop w:val="0"/>
                                      <w:marBottom w:val="0"/>
                                      <w:divBdr>
                                        <w:top w:val="none" w:sz="0" w:space="0" w:color="auto"/>
                                        <w:left w:val="none" w:sz="0" w:space="0" w:color="auto"/>
                                        <w:bottom w:val="none" w:sz="0" w:space="0" w:color="auto"/>
                                        <w:right w:val="none" w:sz="0" w:space="0" w:color="auto"/>
                                      </w:divBdr>
                                      <w:divsChild>
                                        <w:div w:id="4009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859884">
      <w:bodyDiv w:val="1"/>
      <w:marLeft w:val="0"/>
      <w:marRight w:val="0"/>
      <w:marTop w:val="0"/>
      <w:marBottom w:val="0"/>
      <w:divBdr>
        <w:top w:val="none" w:sz="0" w:space="0" w:color="auto"/>
        <w:left w:val="none" w:sz="0" w:space="0" w:color="auto"/>
        <w:bottom w:val="none" w:sz="0" w:space="0" w:color="auto"/>
        <w:right w:val="none" w:sz="0" w:space="0" w:color="auto"/>
      </w:divBdr>
      <w:divsChild>
        <w:div w:id="894245524">
          <w:marLeft w:val="547"/>
          <w:marRight w:val="0"/>
          <w:marTop w:val="144"/>
          <w:marBottom w:val="0"/>
          <w:divBdr>
            <w:top w:val="none" w:sz="0" w:space="0" w:color="auto"/>
            <w:left w:val="none" w:sz="0" w:space="0" w:color="auto"/>
            <w:bottom w:val="none" w:sz="0" w:space="0" w:color="auto"/>
            <w:right w:val="none" w:sz="0" w:space="0" w:color="auto"/>
          </w:divBdr>
        </w:div>
      </w:divsChild>
    </w:div>
    <w:div w:id="487206382">
      <w:bodyDiv w:val="1"/>
      <w:marLeft w:val="0"/>
      <w:marRight w:val="0"/>
      <w:marTop w:val="0"/>
      <w:marBottom w:val="0"/>
      <w:divBdr>
        <w:top w:val="none" w:sz="0" w:space="0" w:color="auto"/>
        <w:left w:val="none" w:sz="0" w:space="0" w:color="auto"/>
        <w:bottom w:val="none" w:sz="0" w:space="0" w:color="auto"/>
        <w:right w:val="none" w:sz="0" w:space="0" w:color="auto"/>
      </w:divBdr>
      <w:divsChild>
        <w:div w:id="526410966">
          <w:marLeft w:val="0"/>
          <w:marRight w:val="0"/>
          <w:marTop w:val="100"/>
          <w:marBottom w:val="100"/>
          <w:divBdr>
            <w:top w:val="none" w:sz="0" w:space="0" w:color="auto"/>
            <w:left w:val="none" w:sz="0" w:space="0" w:color="auto"/>
            <w:bottom w:val="none" w:sz="0" w:space="0" w:color="auto"/>
            <w:right w:val="none" w:sz="0" w:space="0" w:color="auto"/>
          </w:divBdr>
          <w:divsChild>
            <w:div w:id="445664162">
              <w:marLeft w:val="0"/>
              <w:marRight w:val="0"/>
              <w:marTop w:val="100"/>
              <w:marBottom w:val="100"/>
              <w:divBdr>
                <w:top w:val="none" w:sz="0" w:space="0" w:color="auto"/>
                <w:left w:val="none" w:sz="0" w:space="0" w:color="auto"/>
                <w:bottom w:val="none" w:sz="0" w:space="0" w:color="auto"/>
                <w:right w:val="none" w:sz="0" w:space="0" w:color="auto"/>
              </w:divBdr>
              <w:divsChild>
                <w:div w:id="14078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0329">
      <w:bodyDiv w:val="1"/>
      <w:marLeft w:val="0"/>
      <w:marRight w:val="0"/>
      <w:marTop w:val="0"/>
      <w:marBottom w:val="0"/>
      <w:divBdr>
        <w:top w:val="none" w:sz="0" w:space="0" w:color="auto"/>
        <w:left w:val="none" w:sz="0" w:space="0" w:color="auto"/>
        <w:bottom w:val="none" w:sz="0" w:space="0" w:color="auto"/>
        <w:right w:val="none" w:sz="0" w:space="0" w:color="auto"/>
      </w:divBdr>
      <w:divsChild>
        <w:div w:id="702480925">
          <w:marLeft w:val="0"/>
          <w:marRight w:val="0"/>
          <w:marTop w:val="0"/>
          <w:marBottom w:val="0"/>
          <w:divBdr>
            <w:top w:val="none" w:sz="0" w:space="0" w:color="auto"/>
            <w:left w:val="none" w:sz="0" w:space="0" w:color="auto"/>
            <w:bottom w:val="none" w:sz="0" w:space="0" w:color="auto"/>
            <w:right w:val="none" w:sz="0" w:space="0" w:color="auto"/>
          </w:divBdr>
          <w:divsChild>
            <w:div w:id="1499808487">
              <w:marLeft w:val="0"/>
              <w:marRight w:val="0"/>
              <w:marTop w:val="0"/>
              <w:marBottom w:val="0"/>
              <w:divBdr>
                <w:top w:val="none" w:sz="0" w:space="0" w:color="auto"/>
                <w:left w:val="none" w:sz="0" w:space="0" w:color="auto"/>
                <w:bottom w:val="none" w:sz="0" w:space="0" w:color="auto"/>
                <w:right w:val="none" w:sz="0" w:space="0" w:color="auto"/>
              </w:divBdr>
              <w:divsChild>
                <w:div w:id="2082024250">
                  <w:marLeft w:val="0"/>
                  <w:marRight w:val="0"/>
                  <w:marTop w:val="0"/>
                  <w:marBottom w:val="0"/>
                  <w:divBdr>
                    <w:top w:val="none" w:sz="0" w:space="0" w:color="auto"/>
                    <w:left w:val="none" w:sz="0" w:space="0" w:color="auto"/>
                    <w:bottom w:val="none" w:sz="0" w:space="0" w:color="auto"/>
                    <w:right w:val="none" w:sz="0" w:space="0" w:color="auto"/>
                  </w:divBdr>
                  <w:divsChild>
                    <w:div w:id="1343629752">
                      <w:marLeft w:val="0"/>
                      <w:marRight w:val="0"/>
                      <w:marTop w:val="0"/>
                      <w:marBottom w:val="0"/>
                      <w:divBdr>
                        <w:top w:val="none" w:sz="0" w:space="0" w:color="auto"/>
                        <w:left w:val="none" w:sz="0" w:space="0" w:color="auto"/>
                        <w:bottom w:val="none" w:sz="0" w:space="0" w:color="auto"/>
                        <w:right w:val="none" w:sz="0" w:space="0" w:color="auto"/>
                      </w:divBdr>
                      <w:divsChild>
                        <w:div w:id="1303389222">
                          <w:marLeft w:val="3180"/>
                          <w:marRight w:val="3180"/>
                          <w:marTop w:val="0"/>
                          <w:marBottom w:val="0"/>
                          <w:divBdr>
                            <w:top w:val="none" w:sz="0" w:space="0" w:color="auto"/>
                            <w:left w:val="none" w:sz="0" w:space="0" w:color="auto"/>
                            <w:bottom w:val="none" w:sz="0" w:space="0" w:color="auto"/>
                            <w:right w:val="none" w:sz="0" w:space="0" w:color="auto"/>
                          </w:divBdr>
                          <w:divsChild>
                            <w:div w:id="689792282">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365196">
      <w:bodyDiv w:val="1"/>
      <w:marLeft w:val="0"/>
      <w:marRight w:val="0"/>
      <w:marTop w:val="0"/>
      <w:marBottom w:val="0"/>
      <w:divBdr>
        <w:top w:val="none" w:sz="0" w:space="0" w:color="auto"/>
        <w:left w:val="none" w:sz="0" w:space="0" w:color="auto"/>
        <w:bottom w:val="none" w:sz="0" w:space="0" w:color="auto"/>
        <w:right w:val="none" w:sz="0" w:space="0" w:color="auto"/>
      </w:divBdr>
    </w:div>
    <w:div w:id="1098604081">
      <w:bodyDiv w:val="1"/>
      <w:marLeft w:val="0"/>
      <w:marRight w:val="0"/>
      <w:marTop w:val="0"/>
      <w:marBottom w:val="0"/>
      <w:divBdr>
        <w:top w:val="none" w:sz="0" w:space="0" w:color="auto"/>
        <w:left w:val="none" w:sz="0" w:space="0" w:color="auto"/>
        <w:bottom w:val="none" w:sz="0" w:space="0" w:color="auto"/>
        <w:right w:val="none" w:sz="0" w:space="0" w:color="auto"/>
      </w:divBdr>
      <w:divsChild>
        <w:div w:id="97721755">
          <w:marLeft w:val="0"/>
          <w:marRight w:val="0"/>
          <w:marTop w:val="0"/>
          <w:marBottom w:val="0"/>
          <w:divBdr>
            <w:top w:val="none" w:sz="0" w:space="0" w:color="auto"/>
            <w:left w:val="none" w:sz="0" w:space="0" w:color="auto"/>
            <w:bottom w:val="none" w:sz="0" w:space="0" w:color="auto"/>
            <w:right w:val="none" w:sz="0" w:space="0" w:color="auto"/>
          </w:divBdr>
          <w:divsChild>
            <w:div w:id="2054573171">
              <w:marLeft w:val="0"/>
              <w:marRight w:val="0"/>
              <w:marTop w:val="0"/>
              <w:marBottom w:val="0"/>
              <w:divBdr>
                <w:top w:val="none" w:sz="0" w:space="0" w:color="auto"/>
                <w:left w:val="none" w:sz="0" w:space="0" w:color="auto"/>
                <w:bottom w:val="none" w:sz="0" w:space="0" w:color="auto"/>
                <w:right w:val="none" w:sz="0" w:space="0" w:color="auto"/>
              </w:divBdr>
              <w:divsChild>
                <w:div w:id="1117332659">
                  <w:marLeft w:val="0"/>
                  <w:marRight w:val="0"/>
                  <w:marTop w:val="0"/>
                  <w:marBottom w:val="0"/>
                  <w:divBdr>
                    <w:top w:val="none" w:sz="0" w:space="0" w:color="auto"/>
                    <w:left w:val="none" w:sz="0" w:space="0" w:color="auto"/>
                    <w:bottom w:val="none" w:sz="0" w:space="0" w:color="auto"/>
                    <w:right w:val="none" w:sz="0" w:space="0" w:color="auto"/>
                  </w:divBdr>
                  <w:divsChild>
                    <w:div w:id="1296957879">
                      <w:marLeft w:val="0"/>
                      <w:marRight w:val="0"/>
                      <w:marTop w:val="0"/>
                      <w:marBottom w:val="0"/>
                      <w:divBdr>
                        <w:top w:val="none" w:sz="0" w:space="0" w:color="auto"/>
                        <w:left w:val="none" w:sz="0" w:space="0" w:color="auto"/>
                        <w:bottom w:val="none" w:sz="0" w:space="0" w:color="auto"/>
                        <w:right w:val="none" w:sz="0" w:space="0" w:color="auto"/>
                      </w:divBdr>
                      <w:divsChild>
                        <w:div w:id="1877425892">
                          <w:marLeft w:val="0"/>
                          <w:marRight w:val="0"/>
                          <w:marTop w:val="105"/>
                          <w:marBottom w:val="105"/>
                          <w:divBdr>
                            <w:top w:val="none" w:sz="0" w:space="0" w:color="auto"/>
                            <w:left w:val="none" w:sz="0" w:space="0" w:color="auto"/>
                            <w:bottom w:val="none" w:sz="0" w:space="0" w:color="auto"/>
                            <w:right w:val="none" w:sz="0" w:space="0" w:color="auto"/>
                          </w:divBdr>
                          <w:divsChild>
                            <w:div w:id="1250965214">
                              <w:marLeft w:val="0"/>
                              <w:marRight w:val="0"/>
                              <w:marTop w:val="0"/>
                              <w:marBottom w:val="0"/>
                              <w:divBdr>
                                <w:top w:val="none" w:sz="0" w:space="0" w:color="auto"/>
                                <w:left w:val="none" w:sz="0" w:space="0" w:color="auto"/>
                                <w:bottom w:val="none" w:sz="0" w:space="0" w:color="auto"/>
                                <w:right w:val="none" w:sz="0" w:space="0" w:color="auto"/>
                              </w:divBdr>
                              <w:divsChild>
                                <w:div w:id="1838228584">
                                  <w:marLeft w:val="0"/>
                                  <w:marRight w:val="0"/>
                                  <w:marTop w:val="0"/>
                                  <w:marBottom w:val="0"/>
                                  <w:divBdr>
                                    <w:top w:val="single" w:sz="18" w:space="0" w:color="0B1F2B"/>
                                    <w:left w:val="none" w:sz="0" w:space="0" w:color="auto"/>
                                    <w:bottom w:val="none" w:sz="0" w:space="0" w:color="auto"/>
                                    <w:right w:val="none" w:sz="0" w:space="0" w:color="auto"/>
                                  </w:divBdr>
                                </w:div>
                              </w:divsChild>
                            </w:div>
                          </w:divsChild>
                        </w:div>
                      </w:divsChild>
                    </w:div>
                  </w:divsChild>
                </w:div>
              </w:divsChild>
            </w:div>
          </w:divsChild>
        </w:div>
      </w:divsChild>
    </w:div>
    <w:div w:id="1345207583">
      <w:bodyDiv w:val="1"/>
      <w:marLeft w:val="0"/>
      <w:marRight w:val="0"/>
      <w:marTop w:val="0"/>
      <w:marBottom w:val="0"/>
      <w:divBdr>
        <w:top w:val="none" w:sz="0" w:space="0" w:color="auto"/>
        <w:left w:val="none" w:sz="0" w:space="0" w:color="auto"/>
        <w:bottom w:val="none" w:sz="0" w:space="0" w:color="auto"/>
        <w:right w:val="none" w:sz="0" w:space="0" w:color="auto"/>
      </w:divBdr>
      <w:divsChild>
        <w:div w:id="1519468584">
          <w:marLeft w:val="0"/>
          <w:marRight w:val="0"/>
          <w:marTop w:val="0"/>
          <w:marBottom w:val="0"/>
          <w:divBdr>
            <w:top w:val="none" w:sz="0" w:space="0" w:color="auto"/>
            <w:left w:val="none" w:sz="0" w:space="0" w:color="auto"/>
            <w:bottom w:val="none" w:sz="0" w:space="0" w:color="auto"/>
            <w:right w:val="none" w:sz="0" w:space="0" w:color="auto"/>
          </w:divBdr>
          <w:divsChild>
            <w:div w:id="1238326731">
              <w:marLeft w:val="0"/>
              <w:marRight w:val="0"/>
              <w:marTop w:val="0"/>
              <w:marBottom w:val="0"/>
              <w:divBdr>
                <w:top w:val="none" w:sz="0" w:space="0" w:color="auto"/>
                <w:left w:val="none" w:sz="0" w:space="0" w:color="auto"/>
                <w:bottom w:val="none" w:sz="0" w:space="0" w:color="auto"/>
                <w:right w:val="none" w:sz="0" w:space="0" w:color="auto"/>
              </w:divBdr>
              <w:divsChild>
                <w:div w:id="1880970044">
                  <w:marLeft w:val="0"/>
                  <w:marRight w:val="0"/>
                  <w:marTop w:val="0"/>
                  <w:marBottom w:val="0"/>
                  <w:divBdr>
                    <w:top w:val="none" w:sz="0" w:space="0" w:color="auto"/>
                    <w:left w:val="none" w:sz="0" w:space="0" w:color="auto"/>
                    <w:bottom w:val="none" w:sz="0" w:space="0" w:color="auto"/>
                    <w:right w:val="none" w:sz="0" w:space="0" w:color="auto"/>
                  </w:divBdr>
                  <w:divsChild>
                    <w:div w:id="885795105">
                      <w:marLeft w:val="0"/>
                      <w:marRight w:val="0"/>
                      <w:marTop w:val="0"/>
                      <w:marBottom w:val="0"/>
                      <w:divBdr>
                        <w:top w:val="none" w:sz="0" w:space="0" w:color="auto"/>
                        <w:left w:val="none" w:sz="0" w:space="0" w:color="auto"/>
                        <w:bottom w:val="none" w:sz="0" w:space="0" w:color="auto"/>
                        <w:right w:val="none" w:sz="0" w:space="0" w:color="auto"/>
                      </w:divBdr>
                      <w:divsChild>
                        <w:div w:id="916018290">
                          <w:marLeft w:val="3180"/>
                          <w:marRight w:val="3180"/>
                          <w:marTop w:val="0"/>
                          <w:marBottom w:val="0"/>
                          <w:divBdr>
                            <w:top w:val="none" w:sz="0" w:space="0" w:color="auto"/>
                            <w:left w:val="none" w:sz="0" w:space="0" w:color="auto"/>
                            <w:bottom w:val="none" w:sz="0" w:space="0" w:color="auto"/>
                            <w:right w:val="none" w:sz="0" w:space="0" w:color="auto"/>
                          </w:divBdr>
                          <w:divsChild>
                            <w:div w:id="1540580994">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501174">
      <w:bodyDiv w:val="1"/>
      <w:marLeft w:val="0"/>
      <w:marRight w:val="0"/>
      <w:marTop w:val="0"/>
      <w:marBottom w:val="0"/>
      <w:divBdr>
        <w:top w:val="none" w:sz="0" w:space="0" w:color="auto"/>
        <w:left w:val="none" w:sz="0" w:space="0" w:color="auto"/>
        <w:bottom w:val="none" w:sz="0" w:space="0" w:color="auto"/>
        <w:right w:val="none" w:sz="0" w:space="0" w:color="auto"/>
      </w:divBdr>
    </w:div>
    <w:div w:id="1581523386">
      <w:bodyDiv w:val="1"/>
      <w:marLeft w:val="0"/>
      <w:marRight w:val="0"/>
      <w:marTop w:val="0"/>
      <w:marBottom w:val="0"/>
      <w:divBdr>
        <w:top w:val="none" w:sz="0" w:space="0" w:color="auto"/>
        <w:left w:val="none" w:sz="0" w:space="0" w:color="auto"/>
        <w:bottom w:val="none" w:sz="0" w:space="0" w:color="auto"/>
        <w:right w:val="none" w:sz="0" w:space="0" w:color="auto"/>
      </w:divBdr>
    </w:div>
    <w:div w:id="1672638123">
      <w:bodyDiv w:val="1"/>
      <w:marLeft w:val="0"/>
      <w:marRight w:val="0"/>
      <w:marTop w:val="0"/>
      <w:marBottom w:val="0"/>
      <w:divBdr>
        <w:top w:val="none" w:sz="0" w:space="0" w:color="auto"/>
        <w:left w:val="none" w:sz="0" w:space="0" w:color="auto"/>
        <w:bottom w:val="none" w:sz="0" w:space="0" w:color="auto"/>
        <w:right w:val="none" w:sz="0" w:space="0" w:color="auto"/>
      </w:divBdr>
    </w:div>
    <w:div w:id="1679186284">
      <w:bodyDiv w:val="1"/>
      <w:marLeft w:val="0"/>
      <w:marRight w:val="0"/>
      <w:marTop w:val="0"/>
      <w:marBottom w:val="0"/>
      <w:divBdr>
        <w:top w:val="none" w:sz="0" w:space="0" w:color="auto"/>
        <w:left w:val="none" w:sz="0" w:space="0" w:color="auto"/>
        <w:bottom w:val="none" w:sz="0" w:space="0" w:color="auto"/>
        <w:right w:val="none" w:sz="0" w:space="0" w:color="auto"/>
      </w:divBdr>
    </w:div>
    <w:div w:id="1694721791">
      <w:bodyDiv w:val="1"/>
      <w:marLeft w:val="0"/>
      <w:marRight w:val="0"/>
      <w:marTop w:val="0"/>
      <w:marBottom w:val="0"/>
      <w:divBdr>
        <w:top w:val="none" w:sz="0" w:space="0" w:color="auto"/>
        <w:left w:val="none" w:sz="0" w:space="0" w:color="auto"/>
        <w:bottom w:val="none" w:sz="0" w:space="0" w:color="auto"/>
        <w:right w:val="none" w:sz="0" w:space="0" w:color="auto"/>
      </w:divBdr>
      <w:divsChild>
        <w:div w:id="1242256292">
          <w:marLeft w:val="0"/>
          <w:marRight w:val="0"/>
          <w:marTop w:val="0"/>
          <w:marBottom w:val="0"/>
          <w:divBdr>
            <w:top w:val="none" w:sz="0" w:space="0" w:color="auto"/>
            <w:left w:val="none" w:sz="0" w:space="0" w:color="auto"/>
            <w:bottom w:val="none" w:sz="0" w:space="0" w:color="auto"/>
            <w:right w:val="none" w:sz="0" w:space="0" w:color="auto"/>
          </w:divBdr>
          <w:divsChild>
            <w:div w:id="471100275">
              <w:marLeft w:val="0"/>
              <w:marRight w:val="0"/>
              <w:marTop w:val="0"/>
              <w:marBottom w:val="0"/>
              <w:divBdr>
                <w:top w:val="none" w:sz="0" w:space="0" w:color="auto"/>
                <w:left w:val="none" w:sz="0" w:space="0" w:color="auto"/>
                <w:bottom w:val="none" w:sz="0" w:space="0" w:color="auto"/>
                <w:right w:val="none" w:sz="0" w:space="0" w:color="auto"/>
              </w:divBdr>
              <w:divsChild>
                <w:div w:id="896085936">
                  <w:marLeft w:val="0"/>
                  <w:marRight w:val="0"/>
                  <w:marTop w:val="0"/>
                  <w:marBottom w:val="0"/>
                  <w:divBdr>
                    <w:top w:val="none" w:sz="0" w:space="0" w:color="auto"/>
                    <w:left w:val="none" w:sz="0" w:space="0" w:color="auto"/>
                    <w:bottom w:val="none" w:sz="0" w:space="0" w:color="auto"/>
                    <w:right w:val="none" w:sz="0" w:space="0" w:color="auto"/>
                  </w:divBdr>
                  <w:divsChild>
                    <w:div w:id="1852262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8794160">
      <w:bodyDiv w:val="1"/>
      <w:marLeft w:val="0"/>
      <w:marRight w:val="0"/>
      <w:marTop w:val="0"/>
      <w:marBottom w:val="0"/>
      <w:divBdr>
        <w:top w:val="none" w:sz="0" w:space="0" w:color="auto"/>
        <w:left w:val="none" w:sz="0" w:space="0" w:color="auto"/>
        <w:bottom w:val="none" w:sz="0" w:space="0" w:color="auto"/>
        <w:right w:val="none" w:sz="0" w:space="0" w:color="auto"/>
      </w:divBdr>
    </w:div>
    <w:div w:id="1760715705">
      <w:bodyDiv w:val="1"/>
      <w:marLeft w:val="0"/>
      <w:marRight w:val="0"/>
      <w:marTop w:val="0"/>
      <w:marBottom w:val="0"/>
      <w:divBdr>
        <w:top w:val="none" w:sz="0" w:space="0" w:color="auto"/>
        <w:left w:val="none" w:sz="0" w:space="0" w:color="auto"/>
        <w:bottom w:val="none" w:sz="0" w:space="0" w:color="auto"/>
        <w:right w:val="none" w:sz="0" w:space="0" w:color="auto"/>
      </w:divBdr>
      <w:divsChild>
        <w:div w:id="1428117956">
          <w:marLeft w:val="1166"/>
          <w:marRight w:val="0"/>
          <w:marTop w:val="110"/>
          <w:marBottom w:val="0"/>
          <w:divBdr>
            <w:top w:val="none" w:sz="0" w:space="0" w:color="auto"/>
            <w:left w:val="none" w:sz="0" w:space="0" w:color="auto"/>
            <w:bottom w:val="none" w:sz="0" w:space="0" w:color="auto"/>
            <w:right w:val="none" w:sz="0" w:space="0" w:color="auto"/>
          </w:divBdr>
        </w:div>
        <w:div w:id="1710954858">
          <w:marLeft w:val="1166"/>
          <w:marRight w:val="0"/>
          <w:marTop w:val="110"/>
          <w:marBottom w:val="0"/>
          <w:divBdr>
            <w:top w:val="none" w:sz="0" w:space="0" w:color="auto"/>
            <w:left w:val="none" w:sz="0" w:space="0" w:color="auto"/>
            <w:bottom w:val="none" w:sz="0" w:space="0" w:color="auto"/>
            <w:right w:val="none" w:sz="0" w:space="0" w:color="auto"/>
          </w:divBdr>
        </w:div>
        <w:div w:id="298150225">
          <w:marLeft w:val="1166"/>
          <w:marRight w:val="0"/>
          <w:marTop w:val="110"/>
          <w:marBottom w:val="0"/>
          <w:divBdr>
            <w:top w:val="none" w:sz="0" w:space="0" w:color="auto"/>
            <w:left w:val="none" w:sz="0" w:space="0" w:color="auto"/>
            <w:bottom w:val="none" w:sz="0" w:space="0" w:color="auto"/>
            <w:right w:val="none" w:sz="0" w:space="0" w:color="auto"/>
          </w:divBdr>
        </w:div>
      </w:divsChild>
    </w:div>
    <w:div w:id="1890070643">
      <w:bodyDiv w:val="1"/>
      <w:marLeft w:val="0"/>
      <w:marRight w:val="0"/>
      <w:marTop w:val="0"/>
      <w:marBottom w:val="0"/>
      <w:divBdr>
        <w:top w:val="none" w:sz="0" w:space="0" w:color="auto"/>
        <w:left w:val="none" w:sz="0" w:space="0" w:color="auto"/>
        <w:bottom w:val="none" w:sz="0" w:space="0" w:color="auto"/>
        <w:right w:val="none" w:sz="0" w:space="0" w:color="auto"/>
      </w:divBdr>
    </w:div>
    <w:div w:id="1937441894">
      <w:bodyDiv w:val="1"/>
      <w:marLeft w:val="0"/>
      <w:marRight w:val="0"/>
      <w:marTop w:val="0"/>
      <w:marBottom w:val="0"/>
      <w:divBdr>
        <w:top w:val="none" w:sz="0" w:space="0" w:color="auto"/>
        <w:left w:val="none" w:sz="0" w:space="0" w:color="auto"/>
        <w:bottom w:val="none" w:sz="0" w:space="0" w:color="auto"/>
        <w:right w:val="none" w:sz="0" w:space="0" w:color="auto"/>
      </w:divBdr>
    </w:div>
    <w:div w:id="2138910066">
      <w:bodyDiv w:val="1"/>
      <w:marLeft w:val="0"/>
      <w:marRight w:val="0"/>
      <w:marTop w:val="0"/>
      <w:marBottom w:val="0"/>
      <w:divBdr>
        <w:top w:val="none" w:sz="0" w:space="0" w:color="auto"/>
        <w:left w:val="none" w:sz="0" w:space="0" w:color="auto"/>
        <w:bottom w:val="none" w:sz="0" w:space="0" w:color="auto"/>
        <w:right w:val="none" w:sz="0" w:space="0" w:color="auto"/>
      </w:divBdr>
      <w:divsChild>
        <w:div w:id="1453016272">
          <w:marLeft w:val="1166"/>
          <w:marRight w:val="0"/>
          <w:marTop w:val="110"/>
          <w:marBottom w:val="0"/>
          <w:divBdr>
            <w:top w:val="none" w:sz="0" w:space="0" w:color="auto"/>
            <w:left w:val="none" w:sz="0" w:space="0" w:color="auto"/>
            <w:bottom w:val="none" w:sz="0" w:space="0" w:color="auto"/>
            <w:right w:val="none" w:sz="0" w:space="0" w:color="auto"/>
          </w:divBdr>
        </w:div>
        <w:div w:id="1767186436">
          <w:marLeft w:val="1166"/>
          <w:marRight w:val="0"/>
          <w:marTop w:val="110"/>
          <w:marBottom w:val="0"/>
          <w:divBdr>
            <w:top w:val="none" w:sz="0" w:space="0" w:color="auto"/>
            <w:left w:val="none" w:sz="0" w:space="0" w:color="auto"/>
            <w:bottom w:val="none" w:sz="0" w:space="0" w:color="auto"/>
            <w:right w:val="none" w:sz="0" w:space="0" w:color="auto"/>
          </w:divBdr>
        </w:div>
        <w:div w:id="1152329647">
          <w:marLeft w:val="1166"/>
          <w:marRight w:val="0"/>
          <w:marTop w:val="1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deas.repec.org/h/eee/popchp/1-12.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harpmap.codeplex.com/releases/view/465" TargetMode="External"/><Relationship Id="rId1" Type="http://schemas.openxmlformats.org/officeDocument/2006/relationships/hyperlink" Target="http://sourceforge.net/projects/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69694-3B67-474F-986A-A32EE595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8116</Words>
  <Characters>46266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Microsoft Word - 09_retscher_v04.doc</vt:lpstr>
    </vt:vector>
  </TitlesOfParts>
  <Company>University of Leeds</Company>
  <LinksUpToDate>false</LinksUpToDate>
  <CharactersWithSpaces>54274</CharactersWithSpaces>
  <SharedDoc>false</SharedDoc>
  <HLinks>
    <vt:vector size="24" baseType="variant">
      <vt:variant>
        <vt:i4>7995448</vt:i4>
      </vt:variant>
      <vt:variant>
        <vt:i4>78</vt:i4>
      </vt:variant>
      <vt:variant>
        <vt:i4>0</vt:i4>
      </vt:variant>
      <vt:variant>
        <vt:i4>5</vt:i4>
      </vt:variant>
      <vt:variant>
        <vt:lpwstr>http://www.sli.unimelb.edu.au/fig7/Brighton98/Comm7Papers/TS30-Rosman.html</vt:lpwstr>
      </vt:variant>
      <vt:variant>
        <vt:lpwstr/>
      </vt:variant>
      <vt:variant>
        <vt:i4>65618</vt:i4>
      </vt:variant>
      <vt:variant>
        <vt:i4>75</vt:i4>
      </vt:variant>
      <vt:variant>
        <vt:i4>0</vt:i4>
      </vt:variant>
      <vt:variant>
        <vt:i4>5</vt:i4>
      </vt:variant>
      <vt:variant>
        <vt:lpwstr>http://www.geog.leeds.ac.uk/research/wpapers</vt:lpwstr>
      </vt:variant>
      <vt:variant>
        <vt:lpwstr/>
      </vt:variant>
      <vt:variant>
        <vt:i4>2228254</vt:i4>
      </vt:variant>
      <vt:variant>
        <vt:i4>3</vt:i4>
      </vt:variant>
      <vt:variant>
        <vt:i4>0</vt:i4>
      </vt:variant>
      <vt:variant>
        <vt:i4>5</vt:i4>
      </vt:variant>
      <vt:variant>
        <vt:lpwstr>mailto:j.c.h.stillwell@leeds.ac.uk</vt:lpwstr>
      </vt:variant>
      <vt:variant>
        <vt:lpwstr/>
      </vt:variant>
      <vt:variant>
        <vt:i4>721012</vt:i4>
      </vt:variant>
      <vt:variant>
        <vt:i4>0</vt:i4>
      </vt:variant>
      <vt:variant>
        <vt:i4>0</vt:i4>
      </vt:variant>
      <vt:variant>
        <vt:i4>5</vt:i4>
      </vt:variant>
      <vt:variant>
        <vt:lpwstr>mailto:demdeme@cytanet.com.cy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- 09_retscher_v04.doc</dc:title>
  <dc:creator>ikgeom_staff</dc:creator>
  <cp:lastModifiedBy>geo6jchs</cp:lastModifiedBy>
  <cp:revision>2</cp:revision>
  <cp:lastPrinted>2013-10-01T17:25:00Z</cp:lastPrinted>
  <dcterms:created xsi:type="dcterms:W3CDTF">2014-09-03T09:35:00Z</dcterms:created>
  <dcterms:modified xsi:type="dcterms:W3CDTF">2014-09-03T09:35:00Z</dcterms:modified>
</cp:coreProperties>
</file>