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19" w:rsidRPr="000341FD" w:rsidRDefault="00E344E9" w:rsidP="00245B19">
      <w:pPr>
        <w:jc w:val="center"/>
      </w:pPr>
      <w:r>
        <w:rPr>
          <w:b/>
        </w:rPr>
        <w:t>Table 3</w:t>
      </w:r>
      <w:bookmarkStart w:id="0" w:name="_GoBack"/>
      <w:bookmarkEnd w:id="0"/>
      <w:r w:rsidR="00245B19" w:rsidRPr="000341FD">
        <w:rPr>
          <w:b/>
        </w:rPr>
        <w:t>: National level institutional structures, policies and communication channels on climate change</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1"/>
        <w:gridCol w:w="2231"/>
        <w:gridCol w:w="2552"/>
        <w:gridCol w:w="2693"/>
      </w:tblGrid>
      <w:tr w:rsidR="00245B19" w:rsidRPr="00FA6F79" w:rsidTr="002322A2">
        <w:tc>
          <w:tcPr>
            <w:tcW w:w="1421" w:type="dxa"/>
          </w:tcPr>
          <w:p w:rsidR="00245B19" w:rsidRPr="00FA6F79" w:rsidRDefault="00245B19" w:rsidP="002322A2">
            <w:pPr>
              <w:spacing w:after="0" w:line="240" w:lineRule="auto"/>
              <w:jc w:val="center"/>
              <w:rPr>
                <w:b/>
              </w:rPr>
            </w:pPr>
            <w:r w:rsidRPr="00FA6F79">
              <w:rPr>
                <w:b/>
              </w:rPr>
              <w:t>Country</w:t>
            </w:r>
          </w:p>
        </w:tc>
        <w:tc>
          <w:tcPr>
            <w:tcW w:w="2231" w:type="dxa"/>
          </w:tcPr>
          <w:p w:rsidR="00245B19" w:rsidRPr="00FA6F79" w:rsidRDefault="00245B19" w:rsidP="002322A2">
            <w:pPr>
              <w:spacing w:after="0" w:line="240" w:lineRule="auto"/>
              <w:jc w:val="center"/>
              <w:rPr>
                <w:b/>
              </w:rPr>
            </w:pPr>
            <w:r w:rsidRPr="00FA6F79">
              <w:rPr>
                <w:b/>
              </w:rPr>
              <w:t>Lead Ministry on Climate Change</w:t>
            </w:r>
          </w:p>
        </w:tc>
        <w:tc>
          <w:tcPr>
            <w:tcW w:w="2552" w:type="dxa"/>
          </w:tcPr>
          <w:p w:rsidR="00245B19" w:rsidRPr="00FA6F79" w:rsidRDefault="00245B19" w:rsidP="002322A2">
            <w:pPr>
              <w:spacing w:after="0" w:line="240" w:lineRule="auto"/>
              <w:jc w:val="center"/>
              <w:rPr>
                <w:b/>
              </w:rPr>
            </w:pPr>
            <w:r w:rsidRPr="00FA6F79">
              <w:rPr>
                <w:b/>
              </w:rPr>
              <w:t>Mechanism for Cross-Ministry Communications on Climate Change</w:t>
            </w:r>
          </w:p>
        </w:tc>
        <w:tc>
          <w:tcPr>
            <w:tcW w:w="2693" w:type="dxa"/>
          </w:tcPr>
          <w:p w:rsidR="00245B19" w:rsidRPr="00FA6F79" w:rsidRDefault="00245B19" w:rsidP="002322A2">
            <w:pPr>
              <w:spacing w:after="0" w:line="240" w:lineRule="auto"/>
              <w:jc w:val="center"/>
              <w:rPr>
                <w:b/>
              </w:rPr>
            </w:pPr>
            <w:r w:rsidRPr="00FA6F79">
              <w:rPr>
                <w:b/>
              </w:rPr>
              <w:t>Channels for Government – Civil Society Communications</w:t>
            </w:r>
          </w:p>
        </w:tc>
      </w:tr>
      <w:tr w:rsidR="00245B19" w:rsidRPr="00FA6F79" w:rsidTr="002322A2">
        <w:tc>
          <w:tcPr>
            <w:tcW w:w="1421" w:type="dxa"/>
          </w:tcPr>
          <w:p w:rsidR="00245B19" w:rsidRPr="00FA6F79" w:rsidRDefault="00245B19" w:rsidP="002322A2">
            <w:pPr>
              <w:spacing w:after="0" w:line="240" w:lineRule="auto"/>
              <w:jc w:val="both"/>
              <w:rPr>
                <w:b/>
              </w:rPr>
            </w:pPr>
            <w:r w:rsidRPr="00FA6F79">
              <w:rPr>
                <w:b/>
              </w:rPr>
              <w:t>Zambia</w:t>
            </w:r>
          </w:p>
        </w:tc>
        <w:tc>
          <w:tcPr>
            <w:tcW w:w="2231" w:type="dxa"/>
          </w:tcPr>
          <w:p w:rsidR="00245B19" w:rsidRPr="00FA6F79" w:rsidRDefault="00245B19" w:rsidP="002322A2">
            <w:pPr>
              <w:spacing w:after="0" w:line="240" w:lineRule="auto"/>
            </w:pPr>
            <w:r w:rsidRPr="00FA6F79">
              <w:t xml:space="preserve">Ministry of </w:t>
            </w:r>
            <w:r>
              <w:t>Lands, Natural Resources and Environmental Protection</w:t>
            </w:r>
            <w:r w:rsidRPr="00FA6F79">
              <w:t xml:space="preserve"> which has established a Climate Change Facilitation Unit. </w:t>
            </w:r>
          </w:p>
        </w:tc>
        <w:tc>
          <w:tcPr>
            <w:tcW w:w="2552" w:type="dxa"/>
          </w:tcPr>
          <w:p w:rsidR="00245B19" w:rsidRPr="00FA6F79" w:rsidRDefault="00245B19" w:rsidP="002322A2">
            <w:pPr>
              <w:spacing w:after="0" w:line="240" w:lineRule="auto"/>
            </w:pPr>
            <w:r w:rsidRPr="00FA6F79">
              <w:t xml:space="preserve">National Climate Change Programme includes a Future Climate Change Council. </w:t>
            </w:r>
          </w:p>
        </w:tc>
        <w:tc>
          <w:tcPr>
            <w:tcW w:w="2693" w:type="dxa"/>
          </w:tcPr>
          <w:p w:rsidR="00245B19" w:rsidRPr="00FA6F79" w:rsidRDefault="00245B19" w:rsidP="002322A2">
            <w:pPr>
              <w:spacing w:after="0" w:line="240" w:lineRule="auto"/>
            </w:pPr>
            <w:r w:rsidRPr="00FA6F79">
              <w:t xml:space="preserve">Zambia Climate Change Network acts as forum to represent civil society organisations. Includes formal role on Government committees and Future Climate Change Council. </w:t>
            </w:r>
          </w:p>
        </w:tc>
      </w:tr>
      <w:tr w:rsidR="00245B19" w:rsidRPr="00FA6F79" w:rsidTr="002322A2">
        <w:tc>
          <w:tcPr>
            <w:tcW w:w="1421" w:type="dxa"/>
          </w:tcPr>
          <w:p w:rsidR="00245B19" w:rsidRPr="00FA6F79" w:rsidRDefault="00245B19" w:rsidP="002322A2">
            <w:pPr>
              <w:spacing w:after="0" w:line="240" w:lineRule="auto"/>
              <w:jc w:val="both"/>
              <w:rPr>
                <w:b/>
              </w:rPr>
            </w:pPr>
            <w:r w:rsidRPr="00FA6F79">
              <w:rPr>
                <w:b/>
              </w:rPr>
              <w:t>Mozambique</w:t>
            </w:r>
          </w:p>
        </w:tc>
        <w:tc>
          <w:tcPr>
            <w:tcW w:w="2231" w:type="dxa"/>
          </w:tcPr>
          <w:p w:rsidR="00245B19" w:rsidRPr="00FA6F79" w:rsidRDefault="00245B19" w:rsidP="002322A2">
            <w:pPr>
              <w:spacing w:after="0" w:line="240" w:lineRule="auto"/>
            </w:pPr>
            <w:r w:rsidRPr="00FA6F79">
              <w:t>Ministry for Coordination of Environmental Affairs (MICOA) – developing national strategy on climate change and national strategy on REDD+.</w:t>
            </w:r>
          </w:p>
        </w:tc>
        <w:tc>
          <w:tcPr>
            <w:tcW w:w="2552" w:type="dxa"/>
          </w:tcPr>
          <w:p w:rsidR="00245B19" w:rsidRPr="00FA6F79" w:rsidRDefault="00245B19" w:rsidP="002322A2">
            <w:pPr>
              <w:spacing w:after="0" w:line="240" w:lineRule="auto"/>
            </w:pPr>
            <w:r w:rsidRPr="00FA6F79">
              <w:t xml:space="preserve">National Council for Sustainable Development (CONDES) mandated to coordinate on environmental issues, but limited capacity for cross-sector ministerial discussions. </w:t>
            </w:r>
          </w:p>
        </w:tc>
        <w:tc>
          <w:tcPr>
            <w:tcW w:w="2693" w:type="dxa"/>
          </w:tcPr>
          <w:p w:rsidR="00245B19" w:rsidRPr="00FA6F79" w:rsidRDefault="00245B19" w:rsidP="002322A2">
            <w:pPr>
              <w:spacing w:after="0" w:line="240" w:lineRule="auto"/>
            </w:pPr>
            <w:r w:rsidRPr="00FA6F79">
              <w:t xml:space="preserve">An inter-institutional working group on climate change (GIIMC) was established to drive the development of the National Climate Change Response Strategy and includes civil society coordination. This will continue under CONDES, driving the plan of action for implementation. </w:t>
            </w:r>
          </w:p>
        </w:tc>
      </w:tr>
      <w:tr w:rsidR="00245B19" w:rsidRPr="00FA6F79" w:rsidTr="002322A2">
        <w:tc>
          <w:tcPr>
            <w:tcW w:w="1421" w:type="dxa"/>
          </w:tcPr>
          <w:p w:rsidR="00245B19" w:rsidRPr="00FA6F79" w:rsidRDefault="00245B19" w:rsidP="002322A2">
            <w:pPr>
              <w:spacing w:after="0" w:line="240" w:lineRule="auto"/>
              <w:jc w:val="both"/>
              <w:rPr>
                <w:b/>
              </w:rPr>
            </w:pPr>
            <w:r w:rsidRPr="00FA6F79">
              <w:rPr>
                <w:b/>
              </w:rPr>
              <w:t>Zimbabwe</w:t>
            </w:r>
          </w:p>
        </w:tc>
        <w:tc>
          <w:tcPr>
            <w:tcW w:w="2231" w:type="dxa"/>
          </w:tcPr>
          <w:p w:rsidR="00245B19" w:rsidRPr="00FA6F79" w:rsidRDefault="00245B19" w:rsidP="002322A2">
            <w:pPr>
              <w:spacing w:after="0" w:line="240" w:lineRule="auto"/>
            </w:pPr>
            <w:r w:rsidRPr="00FA6F79">
              <w:t xml:space="preserve">Ministry of Environmental and Natural Resources Management established a Climate Change Office. </w:t>
            </w:r>
          </w:p>
        </w:tc>
        <w:tc>
          <w:tcPr>
            <w:tcW w:w="2552" w:type="dxa"/>
          </w:tcPr>
          <w:p w:rsidR="00245B19" w:rsidRPr="00FA6F79" w:rsidRDefault="00245B19" w:rsidP="002322A2">
            <w:pPr>
              <w:spacing w:after="0" w:line="240" w:lineRule="auto"/>
            </w:pPr>
            <w:r w:rsidRPr="00FA6F79">
              <w:t xml:space="preserve">National Task Team on Climate Change co-ordinated through Office of the President. </w:t>
            </w:r>
          </w:p>
        </w:tc>
        <w:tc>
          <w:tcPr>
            <w:tcW w:w="2693" w:type="dxa"/>
          </w:tcPr>
          <w:p w:rsidR="00245B19" w:rsidRPr="00FA6F79" w:rsidRDefault="00245B19" w:rsidP="002322A2">
            <w:pPr>
              <w:spacing w:after="0" w:line="240" w:lineRule="auto"/>
            </w:pPr>
            <w:r w:rsidRPr="00FA6F79">
              <w:t xml:space="preserve">Baseline Report on Climate Change and Development recommends extending National Steering Committee on Climate Change to include representatives from District Environmental Committees. </w:t>
            </w:r>
          </w:p>
        </w:tc>
      </w:tr>
      <w:tr w:rsidR="00245B19" w:rsidRPr="00FA6F79" w:rsidTr="002322A2">
        <w:tc>
          <w:tcPr>
            <w:tcW w:w="1421" w:type="dxa"/>
          </w:tcPr>
          <w:p w:rsidR="00245B19" w:rsidRPr="00FA6F79" w:rsidRDefault="00245B19" w:rsidP="002322A2">
            <w:pPr>
              <w:spacing w:after="0" w:line="240" w:lineRule="auto"/>
              <w:jc w:val="both"/>
              <w:rPr>
                <w:b/>
              </w:rPr>
            </w:pPr>
            <w:r w:rsidRPr="00FA6F79">
              <w:rPr>
                <w:b/>
              </w:rPr>
              <w:t>Democratic Republic of Congo</w:t>
            </w:r>
          </w:p>
        </w:tc>
        <w:tc>
          <w:tcPr>
            <w:tcW w:w="2231" w:type="dxa"/>
          </w:tcPr>
          <w:p w:rsidR="00245B19" w:rsidRPr="00FA6F79" w:rsidRDefault="00245B19" w:rsidP="002322A2">
            <w:pPr>
              <w:spacing w:after="0" w:line="240" w:lineRule="auto"/>
              <w:rPr>
                <w:bCs/>
                <w:iCs/>
              </w:rPr>
            </w:pPr>
            <w:r w:rsidRPr="00FA6F79">
              <w:t xml:space="preserve">No National Climate Change Policy or Strategy to address climate change vulnerability and adaptation. Focus is on forest issues linked to UN-REDD+ pilot country with national programme co-ordinated by the </w:t>
            </w:r>
            <w:r w:rsidRPr="00FA6F79">
              <w:rPr>
                <w:bCs/>
                <w:iCs/>
              </w:rPr>
              <w:t>Ministry for the Environment, Nature</w:t>
            </w:r>
          </w:p>
          <w:p w:rsidR="00245B19" w:rsidRPr="00FA6F79" w:rsidRDefault="00245B19" w:rsidP="002322A2">
            <w:pPr>
              <w:spacing w:after="0" w:line="240" w:lineRule="auto"/>
            </w:pPr>
            <w:r w:rsidRPr="00FA6F79">
              <w:rPr>
                <w:bCs/>
                <w:iCs/>
              </w:rPr>
              <w:t>Conservation and Tourism (MECNT).</w:t>
            </w:r>
          </w:p>
        </w:tc>
        <w:tc>
          <w:tcPr>
            <w:tcW w:w="2552" w:type="dxa"/>
          </w:tcPr>
          <w:p w:rsidR="00245B19" w:rsidRPr="00FA6F79" w:rsidRDefault="00245B19" w:rsidP="002322A2">
            <w:pPr>
              <w:spacing w:after="0" w:line="240" w:lineRule="auto"/>
            </w:pPr>
            <w:r w:rsidRPr="00FA6F79">
              <w:t>Relies on environment-related policies and action plans to implement climate change initiatives and activities. As yet, no cross-cutting body at national level.</w:t>
            </w:r>
          </w:p>
        </w:tc>
        <w:tc>
          <w:tcPr>
            <w:tcW w:w="2693" w:type="dxa"/>
          </w:tcPr>
          <w:p w:rsidR="00245B19" w:rsidRPr="00FA6F79" w:rsidRDefault="00245B19" w:rsidP="002322A2">
            <w:pPr>
              <w:spacing w:after="0" w:line="240" w:lineRule="auto"/>
            </w:pPr>
            <w:r w:rsidRPr="00FA6F79">
              <w:t xml:space="preserve">No national body to facilitate civil-society – government communications. Provincial level Governments (e.g. Katanga Province) link to projects and CBOs directly. </w:t>
            </w:r>
          </w:p>
        </w:tc>
      </w:tr>
    </w:tbl>
    <w:p w:rsidR="005B0D14" w:rsidRPr="002A237B" w:rsidRDefault="005B0D14" w:rsidP="002A237B"/>
    <w:sectPr w:rsidR="005B0D14" w:rsidRPr="002A237B" w:rsidSect="00C43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B19"/>
    <w:rsid w:val="000A395C"/>
    <w:rsid w:val="001C2F45"/>
    <w:rsid w:val="00245B19"/>
    <w:rsid w:val="00273123"/>
    <w:rsid w:val="002A237B"/>
    <w:rsid w:val="00330467"/>
    <w:rsid w:val="003400F1"/>
    <w:rsid w:val="00416AA0"/>
    <w:rsid w:val="0056264E"/>
    <w:rsid w:val="005B0D14"/>
    <w:rsid w:val="005C161B"/>
    <w:rsid w:val="006422C8"/>
    <w:rsid w:val="006F163E"/>
    <w:rsid w:val="00873D7B"/>
    <w:rsid w:val="00880119"/>
    <w:rsid w:val="00890E90"/>
    <w:rsid w:val="0091059B"/>
    <w:rsid w:val="00930117"/>
    <w:rsid w:val="00A36CF5"/>
    <w:rsid w:val="00AD1B4C"/>
    <w:rsid w:val="00AD3173"/>
    <w:rsid w:val="00B23E4E"/>
    <w:rsid w:val="00B3772F"/>
    <w:rsid w:val="00B73992"/>
    <w:rsid w:val="00B7564E"/>
    <w:rsid w:val="00BF7C01"/>
    <w:rsid w:val="00C43089"/>
    <w:rsid w:val="00CA19CD"/>
    <w:rsid w:val="00D00D33"/>
    <w:rsid w:val="00E057DF"/>
    <w:rsid w:val="00E209F2"/>
    <w:rsid w:val="00E344E9"/>
    <w:rsid w:val="00EB66B1"/>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19"/>
    <w:rPr>
      <w:rFonts w:ascii="Calibri" w:eastAsia="Times New Roman" w:hAnsi="Calibri" w:cs="Times New Roman"/>
      <w:sz w:val="22"/>
      <w:szCs w:val="22"/>
      <w:lang w:eastAsia="en-GB"/>
    </w:rPr>
  </w:style>
  <w:style w:type="paragraph" w:styleId="Heading1">
    <w:name w:val="heading 1"/>
    <w:basedOn w:val="Normal"/>
    <w:next w:val="Normal"/>
    <w:link w:val="Heading1Char"/>
    <w:autoRedefine/>
    <w:uiPriority w:val="9"/>
    <w:qFormat/>
    <w:rsid w:val="00EB66B1"/>
    <w:pPr>
      <w:keepNext/>
      <w:keepLines/>
      <w:spacing w:before="120" w:after="0"/>
      <w:outlineLvl w:val="0"/>
    </w:pPr>
    <w:rPr>
      <w:rFonts w:ascii="Arial" w:eastAsiaTheme="majorEastAsia" w:hAnsi="Arial" w:cs="Arial"/>
      <w:b/>
      <w:bCs/>
      <w:sz w:val="36"/>
      <w:szCs w:val="28"/>
      <w:lang w:eastAsia="en-US"/>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ascii="Arial" w:eastAsiaTheme="majorEastAsia" w:hAnsi="Arial" w:cs="Arial"/>
      <w:b/>
      <w:bCs/>
      <w:sz w:val="28"/>
      <w:szCs w:val="26"/>
      <w:lang w:eastAsia="en-US"/>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ascii="Arial" w:eastAsiaTheme="majorEastAsia" w:hAnsi="Arial" w:cs="Arial"/>
      <w:b/>
      <w:bCs/>
      <w:sz w:val="24"/>
      <w:szCs w:val="24"/>
      <w:lang w:eastAsia="en-U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ascii="Arial" w:eastAsiaTheme="majorEastAsia" w:hAnsi="Arial" w:cs="Arial"/>
      <w:b/>
      <w:bCs/>
      <w:iCs/>
      <w:sz w:val="24"/>
      <w:szCs w:val="24"/>
      <w:lang w:eastAsia="en-U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ascii="Arial" w:eastAsiaTheme="majorEastAsia" w:hAnsi="Arial" w:cs="Arial"/>
      <w:b/>
      <w:sz w:val="24"/>
      <w:szCs w:val="24"/>
      <w:lang w:eastAsia="en-US"/>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ascii="Arial" w:eastAsiaTheme="majorEastAsia" w:hAnsi="Arial" w:cs="Arial"/>
      <w:b/>
      <w:iCs/>
      <w:sz w:val="24"/>
      <w:szCs w:val="24"/>
      <w:lang w:eastAsia="en-U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ascii="Arial" w:eastAsiaTheme="majorEastAsia" w:hAnsi="Arial" w:cstheme="majorBidi"/>
      <w:b/>
      <w:i/>
      <w:iCs/>
      <w:sz w:val="24"/>
      <w:szCs w:val="24"/>
      <w:lang w:eastAsia="en-U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ascii="Arial" w:eastAsiaTheme="majorEastAsia" w:hAnsi="Arial" w:cstheme="majorBidi"/>
      <w:sz w:val="24"/>
      <w:szCs w:val="20"/>
      <w:lang w:eastAsia="en-US"/>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ascii="Arial" w:eastAsiaTheme="majorEastAsia" w:hAnsi="Arial" w:cstheme="majorBidi"/>
      <w:i/>
      <w:i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spacing w:before="120" w:after="0"/>
    </w:pPr>
    <w:rPr>
      <w:rFonts w:ascii="Arial" w:eastAsiaTheme="minorHAnsi" w:hAnsi="Arial" w:cs="Arial"/>
      <w:b/>
      <w:sz w:val="24"/>
      <w:szCs w:val="24"/>
      <w:lang w:eastAsia="en-US"/>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before="120" w:after="0" w:line="240" w:lineRule="auto"/>
    </w:pPr>
    <w:rPr>
      <w:rFonts w:ascii="Arial" w:eastAsiaTheme="minorHAnsi" w:hAnsi="Arial" w:cs="Arial"/>
      <w:b/>
      <w:bCs/>
      <w:sz w:val="24"/>
      <w:szCs w:val="18"/>
      <w:lang w:eastAsia="en-US"/>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ascii="Arial" w:eastAsiaTheme="majorEastAsia" w:hAnsi="Arial" w:cs="Arial"/>
      <w:b/>
      <w:spacing w:val="5"/>
      <w:sz w:val="36"/>
      <w:szCs w:val="52"/>
      <w:lang w:eastAsia="en-US"/>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spacing w:before="120" w:after="0"/>
    </w:pPr>
    <w:rPr>
      <w:rFonts w:ascii="Arial" w:eastAsiaTheme="majorEastAsia" w:hAnsi="Arial" w:cs="Arial"/>
      <w:iCs/>
      <w:spacing w:val="15"/>
      <w:sz w:val="28"/>
      <w:szCs w:val="24"/>
      <w:lang w:eastAsia="en-US"/>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spacing w:before="120" w:after="0"/>
      <w:ind w:left="794" w:right="794"/>
    </w:pPr>
    <w:rPr>
      <w:rFonts w:ascii="Arial" w:eastAsiaTheme="minorHAnsi" w:hAnsi="Arial" w:cs="Arial"/>
      <w:i/>
      <w:iCs/>
      <w:sz w:val="24"/>
      <w:szCs w:val="24"/>
      <w:lang w:eastAsia="en-U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spacing w:before="120" w:after="0"/>
      <w:contextualSpacing/>
    </w:pPr>
    <w:rPr>
      <w:rFonts w:ascii="Arial" w:eastAsiaTheme="minorHAnsi" w:hAnsi="Arial" w:cs="Arial"/>
      <w:sz w:val="24"/>
      <w:szCs w:val="24"/>
      <w:lang w:eastAsia="en-US"/>
    </w:rPr>
  </w:style>
  <w:style w:type="paragraph" w:styleId="ListNumber">
    <w:name w:val="List Number"/>
    <w:basedOn w:val="Normal"/>
    <w:uiPriority w:val="99"/>
    <w:semiHidden/>
    <w:unhideWhenUsed/>
    <w:rsid w:val="00E209F2"/>
    <w:pPr>
      <w:numPr>
        <w:numId w:val="2"/>
      </w:numPr>
      <w:spacing w:before="120" w:after="0"/>
      <w:contextualSpacing/>
    </w:pPr>
    <w:rPr>
      <w:rFonts w:ascii="Arial" w:eastAsiaTheme="minorHAnsi" w:hAnsi="Arial" w:cs="Arial"/>
      <w:sz w:val="24"/>
      <w:szCs w:val="24"/>
      <w:lang w:eastAsia="en-US"/>
    </w:rPr>
  </w:style>
  <w:style w:type="paragraph" w:styleId="TableofFigures">
    <w:name w:val="table of figures"/>
    <w:basedOn w:val="Normal"/>
    <w:next w:val="Normal"/>
    <w:uiPriority w:val="99"/>
    <w:semiHidden/>
    <w:unhideWhenUsed/>
    <w:rsid w:val="00E209F2"/>
    <w:pPr>
      <w:spacing w:before="120" w:after="0"/>
    </w:pPr>
    <w:rPr>
      <w:rFonts w:ascii="Arial" w:eastAsiaTheme="minorHAnsi" w:hAnsi="Arial" w:cs="Arial"/>
      <w:sz w:val="24"/>
      <w:szCs w:val="24"/>
      <w:lang w:eastAsia="en-US"/>
    </w:rPr>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rFonts w:ascii="Arial" w:eastAsiaTheme="minorHAnsi" w:hAnsi="Arial" w:cs="Arial"/>
      <w:b/>
      <w:bCs/>
      <w:i/>
      <w:iCs/>
      <w:sz w:val="24"/>
      <w:szCs w:val="24"/>
      <w:lang w:eastAsia="en-U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spacing w:before="120" w:after="0"/>
      <w:ind w:left="1152" w:right="1152"/>
    </w:pPr>
    <w:rPr>
      <w:rFonts w:ascii="Arial" w:eastAsiaTheme="minorEastAsia" w:hAnsi="Arial" w:cstheme="minorBidi"/>
      <w:i/>
      <w:iCs/>
      <w:sz w:val="24"/>
      <w:szCs w:val="24"/>
      <w:lang w:eastAsia="en-U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pPr>
      <w:spacing w:before="120" w:after="0"/>
    </w:pPr>
    <w:rPr>
      <w:rFonts w:ascii="Arial" w:eastAsiaTheme="majorEastAsia" w:hAnsi="Arial" w:cstheme="majorBidi"/>
      <w:b/>
      <w:bCs/>
      <w:sz w:val="28"/>
      <w:szCs w:val="24"/>
      <w:lang w:eastAsia="en-US"/>
    </w:rPr>
  </w:style>
  <w:style w:type="paragraph" w:styleId="PlainText">
    <w:name w:val="Plain Text"/>
    <w:basedOn w:val="Normal"/>
    <w:link w:val="PlainTextChar"/>
    <w:uiPriority w:val="99"/>
    <w:semiHidden/>
    <w:unhideWhenUsed/>
    <w:rsid w:val="00330467"/>
    <w:pPr>
      <w:spacing w:after="0" w:line="240" w:lineRule="auto"/>
    </w:pPr>
    <w:rPr>
      <w:rFonts w:ascii="Consolas" w:eastAsiaTheme="minorHAnsi" w:hAnsi="Consolas" w:cs="Arial"/>
      <w:sz w:val="24"/>
      <w:szCs w:val="21"/>
      <w:lang w:eastAsia="en-US"/>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before="120" w:after="120"/>
    </w:pPr>
    <w:rPr>
      <w:rFonts w:ascii="Arial" w:eastAsiaTheme="minorHAnsi" w:hAnsi="Arial" w:cs="Arial"/>
      <w:sz w:val="20"/>
      <w:szCs w:val="16"/>
      <w:lang w:eastAsia="en-US"/>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before="120" w:after="120"/>
    </w:pPr>
    <w:rPr>
      <w:rFonts w:ascii="Arial" w:eastAsiaTheme="minorHAnsi" w:hAnsi="Arial" w:cs="Arial"/>
      <w:sz w:val="24"/>
      <w:szCs w:val="24"/>
      <w:lang w:eastAsia="en-US"/>
    </w:r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before="120" w:after="120"/>
      <w:ind w:left="283"/>
    </w:pPr>
    <w:rPr>
      <w:rFonts w:ascii="Arial" w:eastAsiaTheme="minorHAnsi" w:hAnsi="Arial" w:cs="Arial"/>
      <w:sz w:val="20"/>
      <w:szCs w:val="16"/>
      <w:lang w:eastAsia="en-US"/>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after="0" w:line="240" w:lineRule="auto"/>
    </w:pPr>
    <w:rPr>
      <w:rFonts w:ascii="Arial" w:eastAsiaTheme="minorHAnsi" w:hAnsi="Arial" w:cs="Tahoma"/>
      <w:sz w:val="24"/>
      <w:szCs w:val="16"/>
      <w:lang w:eastAsia="en-US"/>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after="0" w:line="240" w:lineRule="auto"/>
    </w:pPr>
    <w:rPr>
      <w:rFonts w:ascii="Arial" w:eastAsiaTheme="minorHAnsi" w:hAnsi="Arial" w:cs="Arial"/>
      <w:sz w:val="24"/>
      <w:szCs w:val="20"/>
      <w:lang w:eastAsia="en-US"/>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after="0" w:line="240" w:lineRule="auto"/>
    </w:pPr>
    <w:rPr>
      <w:rFonts w:ascii="Arial" w:eastAsiaTheme="majorEastAsia" w:hAnsi="Arial" w:cstheme="majorBidi"/>
      <w:sz w:val="24"/>
      <w:szCs w:val="20"/>
      <w:lang w:eastAsia="en-US"/>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theme="majorBidi"/>
      <w:sz w:val="24"/>
      <w:szCs w:val="24"/>
      <w:lang w:eastAsia="en-US"/>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pPr>
      <w:spacing w:before="120" w:after="0"/>
    </w:pPr>
    <w:rPr>
      <w:rFonts w:ascii="Arial" w:eastAsiaTheme="minorHAnsi" w:hAnsi="Arial"/>
      <w:sz w:val="24"/>
      <w:szCs w:val="24"/>
      <w:lang w:eastAsia="en-US"/>
    </w:rPr>
  </w:style>
  <w:style w:type="paragraph" w:styleId="Index1">
    <w:name w:val="index 1"/>
    <w:basedOn w:val="Normal"/>
    <w:next w:val="Normal"/>
    <w:autoRedefine/>
    <w:uiPriority w:val="99"/>
    <w:semiHidden/>
    <w:unhideWhenUsed/>
    <w:rsid w:val="00873D7B"/>
    <w:pPr>
      <w:spacing w:after="0" w:line="240" w:lineRule="auto"/>
      <w:ind w:left="240" w:hanging="240"/>
    </w:pPr>
    <w:rPr>
      <w:rFonts w:ascii="Arial" w:eastAsiaTheme="minorHAnsi" w:hAnsi="Arial" w:cs="Arial"/>
      <w:sz w:val="24"/>
      <w:szCs w:val="24"/>
      <w:lang w:eastAsia="en-US"/>
    </w:rPr>
  </w:style>
  <w:style w:type="paragraph" w:styleId="IndexHeading">
    <w:name w:val="index heading"/>
    <w:basedOn w:val="Normal"/>
    <w:next w:val="Index1"/>
    <w:uiPriority w:val="99"/>
    <w:semiHidden/>
    <w:unhideWhenUsed/>
    <w:rsid w:val="00873D7B"/>
    <w:pPr>
      <w:spacing w:before="120" w:after="0"/>
    </w:pPr>
    <w:rPr>
      <w:rFonts w:ascii="Arial" w:eastAsiaTheme="majorEastAsia" w:hAnsi="Arial" w:cstheme="majorBidi"/>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19"/>
    <w:rPr>
      <w:rFonts w:ascii="Calibri" w:eastAsia="Times New Roman" w:hAnsi="Calibri" w:cs="Times New Roman"/>
      <w:sz w:val="22"/>
      <w:szCs w:val="22"/>
      <w:lang w:eastAsia="en-GB"/>
    </w:rPr>
  </w:style>
  <w:style w:type="paragraph" w:styleId="Heading1">
    <w:name w:val="heading 1"/>
    <w:basedOn w:val="Normal"/>
    <w:next w:val="Normal"/>
    <w:link w:val="Heading1Char"/>
    <w:autoRedefine/>
    <w:uiPriority w:val="9"/>
    <w:qFormat/>
    <w:rsid w:val="00EB66B1"/>
    <w:pPr>
      <w:keepNext/>
      <w:keepLines/>
      <w:spacing w:before="120" w:after="0"/>
      <w:outlineLvl w:val="0"/>
    </w:pPr>
    <w:rPr>
      <w:rFonts w:ascii="Arial" w:eastAsiaTheme="majorEastAsia" w:hAnsi="Arial" w:cs="Arial"/>
      <w:b/>
      <w:bCs/>
      <w:sz w:val="36"/>
      <w:szCs w:val="28"/>
      <w:lang w:eastAsia="en-US"/>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ascii="Arial" w:eastAsiaTheme="majorEastAsia" w:hAnsi="Arial" w:cs="Arial"/>
      <w:b/>
      <w:bCs/>
      <w:sz w:val="28"/>
      <w:szCs w:val="26"/>
      <w:lang w:eastAsia="en-US"/>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ascii="Arial" w:eastAsiaTheme="majorEastAsia" w:hAnsi="Arial" w:cs="Arial"/>
      <w:b/>
      <w:bCs/>
      <w:sz w:val="24"/>
      <w:szCs w:val="24"/>
      <w:lang w:eastAsia="en-U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ascii="Arial" w:eastAsiaTheme="majorEastAsia" w:hAnsi="Arial" w:cs="Arial"/>
      <w:b/>
      <w:bCs/>
      <w:iCs/>
      <w:sz w:val="24"/>
      <w:szCs w:val="24"/>
      <w:lang w:eastAsia="en-U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ascii="Arial" w:eastAsiaTheme="majorEastAsia" w:hAnsi="Arial" w:cs="Arial"/>
      <w:b/>
      <w:sz w:val="24"/>
      <w:szCs w:val="24"/>
      <w:lang w:eastAsia="en-US"/>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ascii="Arial" w:eastAsiaTheme="majorEastAsia" w:hAnsi="Arial" w:cs="Arial"/>
      <w:b/>
      <w:iCs/>
      <w:sz w:val="24"/>
      <w:szCs w:val="24"/>
      <w:lang w:eastAsia="en-U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ascii="Arial" w:eastAsiaTheme="majorEastAsia" w:hAnsi="Arial" w:cstheme="majorBidi"/>
      <w:b/>
      <w:i/>
      <w:iCs/>
      <w:sz w:val="24"/>
      <w:szCs w:val="24"/>
      <w:lang w:eastAsia="en-U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ascii="Arial" w:eastAsiaTheme="majorEastAsia" w:hAnsi="Arial" w:cstheme="majorBidi"/>
      <w:sz w:val="24"/>
      <w:szCs w:val="20"/>
      <w:lang w:eastAsia="en-US"/>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ascii="Arial" w:eastAsiaTheme="majorEastAsia" w:hAnsi="Arial" w:cstheme="majorBidi"/>
      <w:i/>
      <w:i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spacing w:before="120" w:after="0"/>
    </w:pPr>
    <w:rPr>
      <w:rFonts w:ascii="Arial" w:eastAsiaTheme="minorHAnsi" w:hAnsi="Arial" w:cs="Arial"/>
      <w:b/>
      <w:sz w:val="24"/>
      <w:szCs w:val="24"/>
      <w:lang w:eastAsia="en-US"/>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before="120" w:after="0" w:line="240" w:lineRule="auto"/>
    </w:pPr>
    <w:rPr>
      <w:rFonts w:ascii="Arial" w:eastAsiaTheme="minorHAnsi" w:hAnsi="Arial" w:cs="Arial"/>
      <w:b/>
      <w:bCs/>
      <w:sz w:val="24"/>
      <w:szCs w:val="18"/>
      <w:lang w:eastAsia="en-US"/>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ascii="Arial" w:eastAsiaTheme="majorEastAsia" w:hAnsi="Arial" w:cs="Arial"/>
      <w:b/>
      <w:spacing w:val="5"/>
      <w:sz w:val="36"/>
      <w:szCs w:val="52"/>
      <w:lang w:eastAsia="en-US"/>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spacing w:before="120" w:after="0"/>
    </w:pPr>
    <w:rPr>
      <w:rFonts w:ascii="Arial" w:eastAsiaTheme="majorEastAsia" w:hAnsi="Arial" w:cs="Arial"/>
      <w:iCs/>
      <w:spacing w:val="15"/>
      <w:sz w:val="28"/>
      <w:szCs w:val="24"/>
      <w:lang w:eastAsia="en-US"/>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spacing w:before="120" w:after="0"/>
      <w:ind w:left="794" w:right="794"/>
    </w:pPr>
    <w:rPr>
      <w:rFonts w:ascii="Arial" w:eastAsiaTheme="minorHAnsi" w:hAnsi="Arial" w:cs="Arial"/>
      <w:i/>
      <w:iCs/>
      <w:sz w:val="24"/>
      <w:szCs w:val="24"/>
      <w:lang w:eastAsia="en-U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spacing w:before="120" w:after="0"/>
      <w:contextualSpacing/>
    </w:pPr>
    <w:rPr>
      <w:rFonts w:ascii="Arial" w:eastAsiaTheme="minorHAnsi" w:hAnsi="Arial" w:cs="Arial"/>
      <w:sz w:val="24"/>
      <w:szCs w:val="24"/>
      <w:lang w:eastAsia="en-US"/>
    </w:rPr>
  </w:style>
  <w:style w:type="paragraph" w:styleId="ListNumber">
    <w:name w:val="List Number"/>
    <w:basedOn w:val="Normal"/>
    <w:uiPriority w:val="99"/>
    <w:semiHidden/>
    <w:unhideWhenUsed/>
    <w:rsid w:val="00E209F2"/>
    <w:pPr>
      <w:numPr>
        <w:numId w:val="2"/>
      </w:numPr>
      <w:spacing w:before="120" w:after="0"/>
      <w:contextualSpacing/>
    </w:pPr>
    <w:rPr>
      <w:rFonts w:ascii="Arial" w:eastAsiaTheme="minorHAnsi" w:hAnsi="Arial" w:cs="Arial"/>
      <w:sz w:val="24"/>
      <w:szCs w:val="24"/>
      <w:lang w:eastAsia="en-US"/>
    </w:rPr>
  </w:style>
  <w:style w:type="paragraph" w:styleId="TableofFigures">
    <w:name w:val="table of figures"/>
    <w:basedOn w:val="Normal"/>
    <w:next w:val="Normal"/>
    <w:uiPriority w:val="99"/>
    <w:semiHidden/>
    <w:unhideWhenUsed/>
    <w:rsid w:val="00E209F2"/>
    <w:pPr>
      <w:spacing w:before="120" w:after="0"/>
    </w:pPr>
    <w:rPr>
      <w:rFonts w:ascii="Arial" w:eastAsiaTheme="minorHAnsi" w:hAnsi="Arial" w:cs="Arial"/>
      <w:sz w:val="24"/>
      <w:szCs w:val="24"/>
      <w:lang w:eastAsia="en-US"/>
    </w:rPr>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rFonts w:ascii="Arial" w:eastAsiaTheme="minorHAnsi" w:hAnsi="Arial" w:cs="Arial"/>
      <w:b/>
      <w:bCs/>
      <w:i/>
      <w:iCs/>
      <w:sz w:val="24"/>
      <w:szCs w:val="24"/>
      <w:lang w:eastAsia="en-U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spacing w:before="120" w:after="0"/>
      <w:ind w:left="1152" w:right="1152"/>
    </w:pPr>
    <w:rPr>
      <w:rFonts w:ascii="Arial" w:eastAsiaTheme="minorEastAsia" w:hAnsi="Arial" w:cstheme="minorBidi"/>
      <w:i/>
      <w:iCs/>
      <w:sz w:val="24"/>
      <w:szCs w:val="24"/>
      <w:lang w:eastAsia="en-U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pPr>
      <w:spacing w:before="120" w:after="0"/>
    </w:pPr>
    <w:rPr>
      <w:rFonts w:ascii="Arial" w:eastAsiaTheme="majorEastAsia" w:hAnsi="Arial" w:cstheme="majorBidi"/>
      <w:b/>
      <w:bCs/>
      <w:sz w:val="28"/>
      <w:szCs w:val="24"/>
      <w:lang w:eastAsia="en-US"/>
    </w:rPr>
  </w:style>
  <w:style w:type="paragraph" w:styleId="PlainText">
    <w:name w:val="Plain Text"/>
    <w:basedOn w:val="Normal"/>
    <w:link w:val="PlainTextChar"/>
    <w:uiPriority w:val="99"/>
    <w:semiHidden/>
    <w:unhideWhenUsed/>
    <w:rsid w:val="00330467"/>
    <w:pPr>
      <w:spacing w:after="0" w:line="240" w:lineRule="auto"/>
    </w:pPr>
    <w:rPr>
      <w:rFonts w:ascii="Consolas" w:eastAsiaTheme="minorHAnsi" w:hAnsi="Consolas" w:cs="Arial"/>
      <w:sz w:val="24"/>
      <w:szCs w:val="21"/>
      <w:lang w:eastAsia="en-US"/>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before="120" w:after="120"/>
    </w:pPr>
    <w:rPr>
      <w:rFonts w:ascii="Arial" w:eastAsiaTheme="minorHAnsi" w:hAnsi="Arial" w:cs="Arial"/>
      <w:sz w:val="20"/>
      <w:szCs w:val="16"/>
      <w:lang w:eastAsia="en-US"/>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before="120" w:after="120"/>
    </w:pPr>
    <w:rPr>
      <w:rFonts w:ascii="Arial" w:eastAsiaTheme="minorHAnsi" w:hAnsi="Arial" w:cs="Arial"/>
      <w:sz w:val="24"/>
      <w:szCs w:val="24"/>
      <w:lang w:eastAsia="en-US"/>
    </w:r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before="120" w:after="120"/>
      <w:ind w:left="283"/>
    </w:pPr>
    <w:rPr>
      <w:rFonts w:ascii="Arial" w:eastAsiaTheme="minorHAnsi" w:hAnsi="Arial" w:cs="Arial"/>
      <w:sz w:val="20"/>
      <w:szCs w:val="16"/>
      <w:lang w:eastAsia="en-US"/>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after="0" w:line="240" w:lineRule="auto"/>
    </w:pPr>
    <w:rPr>
      <w:rFonts w:ascii="Arial" w:eastAsiaTheme="minorHAnsi" w:hAnsi="Arial" w:cs="Tahoma"/>
      <w:sz w:val="24"/>
      <w:szCs w:val="16"/>
      <w:lang w:eastAsia="en-US"/>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after="0" w:line="240" w:lineRule="auto"/>
    </w:pPr>
    <w:rPr>
      <w:rFonts w:ascii="Arial" w:eastAsiaTheme="minorHAnsi" w:hAnsi="Arial" w:cs="Arial"/>
      <w:sz w:val="24"/>
      <w:szCs w:val="20"/>
      <w:lang w:eastAsia="en-US"/>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after="0" w:line="240" w:lineRule="auto"/>
    </w:pPr>
    <w:rPr>
      <w:rFonts w:ascii="Arial" w:eastAsiaTheme="majorEastAsia" w:hAnsi="Arial" w:cstheme="majorBidi"/>
      <w:sz w:val="24"/>
      <w:szCs w:val="20"/>
      <w:lang w:eastAsia="en-US"/>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theme="majorBidi"/>
      <w:sz w:val="24"/>
      <w:szCs w:val="24"/>
      <w:lang w:eastAsia="en-US"/>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pPr>
      <w:spacing w:before="120" w:after="0"/>
    </w:pPr>
    <w:rPr>
      <w:rFonts w:ascii="Arial" w:eastAsiaTheme="minorHAnsi" w:hAnsi="Arial"/>
      <w:sz w:val="24"/>
      <w:szCs w:val="24"/>
      <w:lang w:eastAsia="en-US"/>
    </w:rPr>
  </w:style>
  <w:style w:type="paragraph" w:styleId="Index1">
    <w:name w:val="index 1"/>
    <w:basedOn w:val="Normal"/>
    <w:next w:val="Normal"/>
    <w:autoRedefine/>
    <w:uiPriority w:val="99"/>
    <w:semiHidden/>
    <w:unhideWhenUsed/>
    <w:rsid w:val="00873D7B"/>
    <w:pPr>
      <w:spacing w:after="0" w:line="240" w:lineRule="auto"/>
      <w:ind w:left="240" w:hanging="240"/>
    </w:pPr>
    <w:rPr>
      <w:rFonts w:ascii="Arial" w:eastAsiaTheme="minorHAnsi" w:hAnsi="Arial" w:cs="Arial"/>
      <w:sz w:val="24"/>
      <w:szCs w:val="24"/>
      <w:lang w:eastAsia="en-US"/>
    </w:rPr>
  </w:style>
  <w:style w:type="paragraph" w:styleId="IndexHeading">
    <w:name w:val="index heading"/>
    <w:basedOn w:val="Normal"/>
    <w:next w:val="Index1"/>
    <w:uiPriority w:val="99"/>
    <w:semiHidden/>
    <w:unhideWhenUsed/>
    <w:rsid w:val="00873D7B"/>
    <w:pPr>
      <w:spacing w:before="120" w:after="0"/>
    </w:pPr>
    <w:rPr>
      <w:rFonts w:ascii="Arial" w:eastAsiaTheme="majorEastAsia" w:hAnsi="Arial" w:cstheme="majorBid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Lindsay</cp:lastModifiedBy>
  <cp:revision>2</cp:revision>
  <dcterms:created xsi:type="dcterms:W3CDTF">2013-06-28T17:10:00Z</dcterms:created>
  <dcterms:modified xsi:type="dcterms:W3CDTF">2013-06-28T17:10:00Z</dcterms:modified>
</cp:coreProperties>
</file>