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F2" w:rsidRDefault="007011F2" w:rsidP="007011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A1 Details of study sites and associated ant species richness.</w:t>
      </w:r>
    </w:p>
    <w:tbl>
      <w:tblPr>
        <w:tblW w:w="0" w:type="auto"/>
        <w:tblInd w:w="93" w:type="dxa"/>
        <w:tblLook w:val="04A0"/>
      </w:tblPr>
      <w:tblGrid>
        <w:gridCol w:w="1491"/>
        <w:gridCol w:w="2469"/>
        <w:gridCol w:w="1904"/>
        <w:gridCol w:w="755"/>
        <w:gridCol w:w="784"/>
        <w:gridCol w:w="919"/>
        <w:gridCol w:w="296"/>
        <w:gridCol w:w="755"/>
        <w:gridCol w:w="691"/>
        <w:gridCol w:w="784"/>
        <w:gridCol w:w="691"/>
        <w:gridCol w:w="307"/>
        <w:gridCol w:w="1069"/>
        <w:gridCol w:w="1166"/>
      </w:tblGrid>
      <w:tr w:rsidR="00070E72" w:rsidRPr="000E1AAF" w:rsidTr="003840F7">
        <w:trPr>
          <w:trHeight w:val="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Species richness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Mean trophic position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11F2" w:rsidRDefault="007011F2" w:rsidP="003840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Proportion of ant occurrences with</w:t>
            </w:r>
          </w:p>
          <w:p w:rsidR="007011F2" w:rsidRPr="000E1AAF" w:rsidRDefault="007011F2" w:rsidP="003840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trophic posit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i</w:t>
            </w: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on &gt;3.5 </w:t>
            </w:r>
          </w:p>
        </w:tc>
      </w:tr>
      <w:tr w:rsidR="00686CD8" w:rsidRPr="000E1AAF" w:rsidTr="003840F7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Site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Site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Forest Area (ha)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Forest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Oil palm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11F2" w:rsidRPr="000E1AAF" w:rsidRDefault="007011F2" w:rsidP="00070E7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% change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Forest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st</w:t>
            </w:r>
            <w:proofErr w:type="spellEnd"/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 dev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Oil palm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st</w:t>
            </w:r>
            <w:proofErr w:type="spellEnd"/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 dev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Forest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Oil palm</w:t>
            </w:r>
          </w:p>
        </w:tc>
      </w:tr>
      <w:tr w:rsidR="00686CD8" w:rsidRPr="000E1AAF" w:rsidTr="003840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Danum</w:t>
            </w:r>
            <w:proofErr w:type="spellEnd"/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Continuous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-42.31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0.23</w:t>
            </w:r>
          </w:p>
        </w:tc>
      </w:tr>
      <w:tr w:rsidR="00686CD8" w:rsidRPr="000E1AAF" w:rsidTr="003840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Danum</w:t>
            </w:r>
            <w:proofErr w:type="spellEnd"/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Continuous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-13.51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</w:t>
            </w:r>
          </w:p>
        </w:tc>
      </w:tr>
      <w:tr w:rsidR="00686CD8" w:rsidRPr="000E1AAF" w:rsidTr="003840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070E7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Sapi</w:t>
            </w:r>
            <w:proofErr w:type="spellEnd"/>
            <w:r w:rsidR="00070E72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5B29B8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-18.18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0.25</w:t>
            </w:r>
          </w:p>
        </w:tc>
      </w:tr>
      <w:tr w:rsidR="00686CD8" w:rsidRPr="000E1AAF" w:rsidTr="003840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Materis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5B29B8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  <w:r w:rsidR="007011F2"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0.10</w:t>
            </w:r>
          </w:p>
        </w:tc>
      </w:tr>
      <w:tr w:rsidR="00686CD8" w:rsidRPr="000E1AAF" w:rsidTr="003840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Water catchment</w:t>
            </w:r>
            <w:r w:rsidR="00070E72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-48.48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0.07</w:t>
            </w:r>
          </w:p>
        </w:tc>
      </w:tr>
      <w:tr w:rsidR="00686CD8" w:rsidRPr="000E1AAF" w:rsidTr="003840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Sabasar</w:t>
            </w:r>
            <w:proofErr w:type="spellEnd"/>
            <w:r w:rsidR="00070E72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-40.00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0.00</w:t>
            </w:r>
          </w:p>
        </w:tc>
      </w:tr>
      <w:tr w:rsidR="00686CD8" w:rsidRPr="000E1AAF" w:rsidTr="003840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Rekasar</w:t>
            </w:r>
            <w:proofErr w:type="spellEnd"/>
            <w:r w:rsidR="00070E72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-35.71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0.09</w:t>
            </w:r>
          </w:p>
        </w:tc>
      </w:tr>
      <w:tr w:rsidR="00686CD8" w:rsidRPr="000E1AAF" w:rsidTr="003840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Yong </w:t>
            </w:r>
            <w:proofErr w:type="spellStart"/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Peng</w:t>
            </w:r>
            <w:proofErr w:type="spellEnd"/>
            <w:r w:rsidR="00070E72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0.07</w:t>
            </w:r>
          </w:p>
        </w:tc>
      </w:tr>
      <w:tr w:rsidR="00686CD8" w:rsidRPr="000E1AAF" w:rsidTr="003840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Meranti</w:t>
            </w:r>
            <w:proofErr w:type="spellEnd"/>
            <w:r w:rsidR="00070E72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-31.25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0.00</w:t>
            </w:r>
          </w:p>
        </w:tc>
      </w:tr>
      <w:tr w:rsidR="00686CD8" w:rsidRPr="000E1AAF" w:rsidTr="003840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Jatu</w:t>
            </w:r>
            <w:proofErr w:type="spellEnd"/>
            <w:r w:rsidR="00070E72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0.05</w:t>
            </w:r>
          </w:p>
        </w:tc>
      </w:tr>
      <w:tr w:rsidR="00686CD8" w:rsidRPr="000E1AAF" w:rsidTr="003840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Lunpadas</w:t>
            </w:r>
            <w:proofErr w:type="spellEnd"/>
            <w:r w:rsidR="00070E72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0.09</w:t>
            </w:r>
          </w:p>
        </w:tc>
      </w:tr>
      <w:tr w:rsidR="00686CD8" w:rsidRPr="000E1AAF" w:rsidTr="003840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Delilah</w:t>
            </w:r>
            <w:r w:rsidR="00070E72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</w:t>
            </w:r>
          </w:p>
        </w:tc>
      </w:tr>
      <w:tr w:rsidR="00686CD8" w:rsidRPr="000E1AAF" w:rsidTr="003840F7">
        <w:trPr>
          <w:trHeight w:val="34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0E1AAF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686CD8" w:rsidRPr="000E1AAF" w:rsidTr="003840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7011F2" w:rsidRPr="000E1AAF" w:rsidTr="003840F7">
        <w:trPr>
          <w:trHeight w:val="30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070E72" w:rsidP="00070E72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#</w:t>
            </w:r>
            <w:r w:rsidR="007011F2" w:rsidRPr="000E1AAF">
              <w:rPr>
                <w:rFonts w:eastAsia="Times New Roman" w:cs="Times New Roman"/>
                <w:color w:val="000000"/>
                <w:lang w:eastAsia="en-GB"/>
              </w:rPr>
              <w:t>negative value</w:t>
            </w:r>
            <w:r>
              <w:rPr>
                <w:rFonts w:eastAsia="Times New Roman" w:cs="Times New Roman"/>
                <w:color w:val="000000"/>
                <w:lang w:eastAsia="en-GB"/>
              </w:rPr>
              <w:t>s for % change</w:t>
            </w:r>
            <w:r w:rsidR="007011F2" w:rsidRPr="000E1AAF">
              <w:rPr>
                <w:rFonts w:eastAsia="Times New Roman" w:cs="Times New Roman"/>
                <w:color w:val="000000"/>
                <w:lang w:eastAsia="en-GB"/>
              </w:rPr>
              <w:t xml:space="preserve"> indicate lower species richness in oil palm than forest, positive value</w:t>
            </w:r>
            <w:r>
              <w:rPr>
                <w:rFonts w:eastAsia="Times New Roman" w:cs="Times New Roman"/>
                <w:color w:val="000000"/>
                <w:lang w:eastAsia="en-GB"/>
              </w:rPr>
              <w:t>s</w:t>
            </w:r>
            <w:r w:rsidR="007011F2" w:rsidRPr="000E1AAF">
              <w:rPr>
                <w:rFonts w:eastAsia="Times New Roman" w:cs="Times New Roman"/>
                <w:color w:val="000000"/>
                <w:lang w:eastAsia="en-GB"/>
              </w:rPr>
              <w:t xml:space="preserve"> indicates higher species richness in oil palm.</w:t>
            </w:r>
          </w:p>
        </w:tc>
      </w:tr>
      <w:tr w:rsidR="00686CD8" w:rsidRPr="000E1AAF" w:rsidTr="003840F7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70E72" w:rsidRDefault="000E54E4" w:rsidP="003840F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E54E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*Fragments within or adjacent to RSPO compliant plantation</w:t>
            </w:r>
            <w:r w:rsidR="00070E72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</w:t>
            </w:r>
            <w:r w:rsidRPr="000E54E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0E1AAF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:rsidR="007011F2" w:rsidRDefault="007011F2" w:rsidP="00701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1F2" w:rsidRDefault="007011F2" w:rsidP="00701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1F2" w:rsidRDefault="007011F2" w:rsidP="00701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1F2" w:rsidRDefault="007011F2" w:rsidP="00701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1F2" w:rsidRDefault="007011F2" w:rsidP="007011F2">
      <w:pPr>
        <w:spacing w:line="240" w:lineRule="auto"/>
        <w:rPr>
          <w:rFonts w:eastAsia="Times New Roman" w:cs="Times New Roman"/>
          <w:color w:val="000000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Table A2 Results of analyses of seven </w:t>
      </w:r>
      <w:r w:rsidR="00070E72">
        <w:rPr>
          <w:rFonts w:ascii="Times New Roman" w:hAnsi="Times New Roman" w:cs="Times New Roman"/>
          <w:sz w:val="24"/>
          <w:szCs w:val="24"/>
        </w:rPr>
        <w:t xml:space="preserve">ant species </w:t>
      </w:r>
      <w:r>
        <w:rPr>
          <w:rFonts w:ascii="Times New Roman" w:hAnsi="Times New Roman" w:cs="Times New Roman"/>
          <w:sz w:val="24"/>
          <w:szCs w:val="24"/>
        </w:rPr>
        <w:t xml:space="preserve">richness estimators examining relationships between species richness </w:t>
      </w:r>
      <w:r w:rsidR="00070E72">
        <w:rPr>
          <w:rFonts w:ascii="Times New Roman" w:hAnsi="Times New Roman" w:cs="Times New Roman"/>
          <w:sz w:val="24"/>
          <w:szCs w:val="24"/>
        </w:rPr>
        <w:t xml:space="preserve">within </w:t>
      </w:r>
      <w:r>
        <w:rPr>
          <w:rFonts w:ascii="Times New Roman" w:hAnsi="Times New Roman" w:cs="Times New Roman"/>
          <w:sz w:val="24"/>
          <w:szCs w:val="24"/>
        </w:rPr>
        <w:t xml:space="preserve">forest fragment sites and adjacent oil palm plantations, and relationships between species richness in forest fragments with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ln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fragment area). </w:t>
      </w:r>
      <w:r w:rsidR="00070E72">
        <w:rPr>
          <w:rFonts w:ascii="Times New Roman" w:hAnsi="Times New Roman" w:cs="Times New Roman"/>
          <w:sz w:val="24"/>
          <w:szCs w:val="24"/>
        </w:rPr>
        <w:t>Forest v</w:t>
      </w:r>
      <w:r>
        <w:rPr>
          <w:rFonts w:ascii="Times New Roman" w:hAnsi="Times New Roman" w:cs="Times New Roman"/>
          <w:sz w:val="24"/>
          <w:szCs w:val="24"/>
        </w:rPr>
        <w:t xml:space="preserve">egetation quality </w:t>
      </w:r>
      <w:r w:rsidR="00070E72">
        <w:rPr>
          <w:rFonts w:ascii="Times New Roman" w:hAnsi="Times New Roman" w:cs="Times New Roman"/>
          <w:sz w:val="24"/>
          <w:szCs w:val="24"/>
        </w:rPr>
        <w:t>(PC1 factor score)</w:t>
      </w:r>
      <w:r w:rsidR="00686CD8">
        <w:rPr>
          <w:rFonts w:ascii="Times New Roman" w:hAnsi="Times New Roman" w:cs="Times New Roman"/>
          <w:sz w:val="24"/>
          <w:szCs w:val="24"/>
        </w:rPr>
        <w:t>, distance from coast</w:t>
      </w:r>
      <w:r w:rsidR="00070E72">
        <w:rPr>
          <w:rFonts w:ascii="Times New Roman" w:hAnsi="Times New Roman" w:cs="Times New Roman"/>
          <w:sz w:val="24"/>
          <w:szCs w:val="24"/>
        </w:rPr>
        <w:t xml:space="preserve"> and forest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2">
        <w:rPr>
          <w:rFonts w:ascii="Times New Roman" w:hAnsi="Times New Roman" w:cs="Times New Roman"/>
          <w:sz w:val="24"/>
          <w:szCs w:val="24"/>
        </w:rPr>
        <w:t xml:space="preserve">fragment </w:t>
      </w:r>
      <w:r>
        <w:rPr>
          <w:rFonts w:ascii="Times New Roman" w:hAnsi="Times New Roman" w:cs="Times New Roman"/>
          <w:sz w:val="24"/>
          <w:szCs w:val="24"/>
        </w:rPr>
        <w:t xml:space="preserve">isolation were not </w:t>
      </w:r>
      <w:r w:rsidR="00070E72">
        <w:rPr>
          <w:rFonts w:ascii="Times New Roman" w:hAnsi="Times New Roman" w:cs="Times New Roman"/>
          <w:sz w:val="24"/>
          <w:szCs w:val="24"/>
        </w:rPr>
        <w:t xml:space="preserve">important </w:t>
      </w:r>
      <w:r>
        <w:rPr>
          <w:rFonts w:ascii="Times New Roman" w:hAnsi="Times New Roman" w:cs="Times New Roman"/>
          <w:sz w:val="24"/>
          <w:szCs w:val="24"/>
        </w:rPr>
        <w:t xml:space="preserve">predictors of forest </w:t>
      </w:r>
      <w:r w:rsidR="00070E72">
        <w:rPr>
          <w:rFonts w:ascii="Times New Roman" w:hAnsi="Times New Roman" w:cs="Times New Roman"/>
          <w:sz w:val="24"/>
          <w:szCs w:val="24"/>
        </w:rPr>
        <w:t xml:space="preserve">ant </w:t>
      </w:r>
      <w:r>
        <w:rPr>
          <w:rFonts w:ascii="Times New Roman" w:hAnsi="Times New Roman" w:cs="Times New Roman"/>
          <w:sz w:val="24"/>
          <w:szCs w:val="24"/>
        </w:rPr>
        <w:t>species richness, and did not improve model fit</w:t>
      </w:r>
      <w:r w:rsidR="00070E72">
        <w:rPr>
          <w:rFonts w:ascii="Times New Roman" w:hAnsi="Times New Roman" w:cs="Times New Roman"/>
          <w:sz w:val="24"/>
          <w:szCs w:val="24"/>
        </w:rPr>
        <w:t>s. Thus</w:t>
      </w:r>
      <w:r>
        <w:rPr>
          <w:rFonts w:ascii="Times New Roman" w:hAnsi="Times New Roman" w:cs="Times New Roman"/>
          <w:sz w:val="24"/>
          <w:szCs w:val="24"/>
        </w:rPr>
        <w:t xml:space="preserve"> only results for </w:t>
      </w:r>
      <w:r w:rsidR="00686CD8">
        <w:rPr>
          <w:rFonts w:ascii="Times New Roman" w:hAnsi="Times New Roman" w:cs="Times New Roman"/>
          <w:sz w:val="24"/>
          <w:szCs w:val="24"/>
        </w:rPr>
        <w:t>models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ln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0E72">
        <w:rPr>
          <w:rFonts w:ascii="Times New Roman" w:hAnsi="Times New Roman" w:cs="Times New Roman"/>
          <w:sz w:val="24"/>
          <w:szCs w:val="24"/>
        </w:rPr>
        <w:t xml:space="preserve">fragment </w:t>
      </w:r>
      <w:r>
        <w:rPr>
          <w:rFonts w:ascii="Times New Roman" w:hAnsi="Times New Roman" w:cs="Times New Roman"/>
          <w:sz w:val="24"/>
          <w:szCs w:val="24"/>
        </w:rPr>
        <w:t>area) are presented. Analyses comparing forest and oil palm richness were run excluding a 5 ha site which was an outlier (Fig. 2).</w:t>
      </w:r>
      <w:r>
        <w:rPr>
          <w:rFonts w:eastAsia="Times New Roman" w:cs="Times New Roman"/>
          <w:color w:val="000000"/>
          <w:lang w:eastAsia="en-GB"/>
        </w:rPr>
        <w:t xml:space="preserve"> </w:t>
      </w:r>
    </w:p>
    <w:tbl>
      <w:tblPr>
        <w:tblW w:w="9380" w:type="dxa"/>
        <w:tblInd w:w="93" w:type="dxa"/>
        <w:tblLook w:val="04A0"/>
      </w:tblPr>
      <w:tblGrid>
        <w:gridCol w:w="2560"/>
        <w:gridCol w:w="1277"/>
        <w:gridCol w:w="862"/>
        <w:gridCol w:w="1040"/>
        <w:gridCol w:w="460"/>
        <w:gridCol w:w="1353"/>
        <w:gridCol w:w="914"/>
        <w:gridCol w:w="914"/>
      </w:tblGrid>
      <w:tr w:rsidR="007011F2" w:rsidRPr="00B8159E" w:rsidTr="003840F7">
        <w:trPr>
          <w:trHeight w:val="112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1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lang w:eastAsia="en-GB"/>
              </w:rPr>
              <w:t>relationship between richness in forest and adjacent oil palm (excluding 5ha site: n=11)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1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11F2" w:rsidRPr="00B8159E" w:rsidRDefault="007011F2" w:rsidP="00686C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lang w:eastAsia="en-GB"/>
              </w:rPr>
              <w:t xml:space="preserve">relationship between forest species richness and </w:t>
            </w:r>
            <w:proofErr w:type="spellStart"/>
            <w:r>
              <w:rPr>
                <w:rFonts w:eastAsia="Times New Roman" w:cs="Times New Roman"/>
                <w:color w:val="000000"/>
                <w:lang w:eastAsia="en-GB"/>
              </w:rPr>
              <w:t>ln</w:t>
            </w:r>
            <w:proofErr w:type="spellEnd"/>
            <w:r>
              <w:rPr>
                <w:rFonts w:eastAsia="Times New Roman" w:cs="Times New Roman"/>
                <w:color w:val="000000"/>
                <w:lang w:eastAsia="en-GB"/>
              </w:rPr>
              <w:t>(</w:t>
            </w:r>
            <w:r w:rsidRPr="00B8159E">
              <w:rPr>
                <w:rFonts w:eastAsia="Times New Roman" w:cs="Times New Roman"/>
                <w:color w:val="000000"/>
                <w:lang w:eastAsia="en-GB"/>
              </w:rPr>
              <w:t>fragment area</w:t>
            </w:r>
            <w:r>
              <w:rPr>
                <w:rFonts w:eastAsia="Times New Roman" w:cs="Times New Roman"/>
                <w:color w:val="000000"/>
                <w:lang w:eastAsia="en-GB"/>
              </w:rPr>
              <w:t>)</w:t>
            </w:r>
            <w:r w:rsidRPr="00B8159E">
              <w:rPr>
                <w:rFonts w:eastAsia="Times New Roman" w:cs="Times New Roman"/>
                <w:color w:val="000000"/>
                <w:lang w:eastAsia="en-GB"/>
              </w:rPr>
              <w:t xml:space="preserve"> (n=10 sites)</w:t>
            </w:r>
          </w:p>
        </w:tc>
      </w:tr>
      <w:tr w:rsidR="007011F2" w:rsidRPr="00B8159E" w:rsidTr="003840F7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adj. R2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lang w:eastAsia="en-GB"/>
              </w:rPr>
              <w:t>F</w:t>
            </w: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1,9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lang w:eastAsia="en-GB"/>
              </w:rPr>
              <w:t>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adj. R2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lang w:eastAsia="en-GB"/>
              </w:rPr>
              <w:t>F</w:t>
            </w: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1,8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lang w:eastAsia="en-GB"/>
              </w:rPr>
              <w:t>p</w:t>
            </w:r>
          </w:p>
        </w:tc>
      </w:tr>
      <w:tr w:rsidR="007011F2" w:rsidRPr="00B8159E" w:rsidTr="003840F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159E">
              <w:rPr>
                <w:rFonts w:eastAsia="Times New Roman" w:cs="Times New Roman"/>
                <w:color w:val="000000"/>
                <w:lang w:eastAsia="en-GB"/>
              </w:rPr>
              <w:t>Smax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0.39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7.48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0.61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14.93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0.005</w:t>
            </w:r>
          </w:p>
        </w:tc>
      </w:tr>
      <w:tr w:rsidR="007011F2" w:rsidRPr="00B8159E" w:rsidTr="003840F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B8159E">
              <w:rPr>
                <w:rFonts w:eastAsia="Times New Roman" w:cs="Times New Roman"/>
                <w:color w:val="000000"/>
                <w:lang w:eastAsia="en-GB"/>
              </w:rPr>
              <w:t>MMmean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0.74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28.78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0.0004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0.55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12.13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0.008</w:t>
            </w:r>
          </w:p>
        </w:tc>
      </w:tr>
      <w:tr w:rsidR="007011F2" w:rsidRPr="00B8159E" w:rsidTr="003840F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B8159E">
              <w:rPr>
                <w:rFonts w:eastAsia="Times New Roman" w:cs="Times New Roman"/>
                <w:color w:val="000000"/>
                <w:lang w:eastAsia="en-GB"/>
              </w:rPr>
              <w:t>Margalef's</w:t>
            </w:r>
            <w:proofErr w:type="spellEnd"/>
            <w:r w:rsidRPr="00B8159E">
              <w:rPr>
                <w:rFonts w:eastAsia="Times New Roman" w:cs="Times New Roman"/>
                <w:color w:val="000000"/>
                <w:lang w:eastAsia="en-GB"/>
              </w:rPr>
              <w:t xml:space="preserve"> index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0.49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10.78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0.58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13.41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0.006</w:t>
            </w:r>
          </w:p>
        </w:tc>
      </w:tr>
      <w:tr w:rsidR="007011F2" w:rsidRPr="00B8159E" w:rsidTr="003840F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lang w:eastAsia="en-GB"/>
              </w:rPr>
              <w:t>Jackknife1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0.73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27.59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0.0005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0.57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13.02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0.007</w:t>
            </w:r>
          </w:p>
        </w:tc>
      </w:tr>
      <w:tr w:rsidR="007011F2" w:rsidRPr="00B8159E" w:rsidTr="003840F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lang w:eastAsia="en-GB"/>
              </w:rPr>
              <w:t>Bootstrap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0.68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21.96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0.52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10.76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0.01</w:t>
            </w:r>
          </w:p>
        </w:tc>
      </w:tr>
      <w:tr w:rsidR="007011F2" w:rsidRPr="00B8159E" w:rsidTr="003840F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lang w:eastAsia="en-GB"/>
              </w:rPr>
              <w:t>ACE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5.95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0.47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8.93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0.02</w:t>
            </w:r>
          </w:p>
        </w:tc>
      </w:tr>
      <w:tr w:rsidR="007011F2" w:rsidRPr="00B8159E" w:rsidTr="003840F7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lang w:eastAsia="en-GB"/>
              </w:rPr>
              <w:t>Chao1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6.40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0.49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9.52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B8159E" w:rsidRDefault="007011F2" w:rsidP="003840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B8159E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0.01</w:t>
            </w:r>
          </w:p>
        </w:tc>
      </w:tr>
      <w:tr w:rsidR="007011F2" w:rsidRPr="00B8159E" w:rsidTr="00686CD8">
        <w:trPr>
          <w:trHeight w:val="698"/>
        </w:trPr>
        <w:tc>
          <w:tcPr>
            <w:tcW w:w="938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1F2" w:rsidRPr="00B8159E" w:rsidRDefault="007011F2" w:rsidP="00070E72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:rsidR="007011F2" w:rsidRDefault="007011F2" w:rsidP="00701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1F2" w:rsidRDefault="007011F2" w:rsidP="007011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011F2" w:rsidRDefault="007011F2" w:rsidP="007011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011F2" w:rsidRDefault="007011F2" w:rsidP="007011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011F2" w:rsidRDefault="007011F2" w:rsidP="007011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011F2" w:rsidRDefault="007011F2" w:rsidP="007011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011F2" w:rsidRDefault="007011F2" w:rsidP="007011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Table A3- Results of the Principal </w:t>
      </w:r>
      <w:r w:rsidR="00070E7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omponents </w:t>
      </w:r>
      <w:r w:rsidR="00070E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nalysis of seven </w:t>
      </w:r>
      <w:r w:rsidR="00070E72">
        <w:rPr>
          <w:rFonts w:ascii="Times New Roman" w:hAnsi="Times New Roman" w:cs="Times New Roman"/>
          <w:sz w:val="24"/>
          <w:szCs w:val="24"/>
        </w:rPr>
        <w:t xml:space="preserve">forest </w:t>
      </w:r>
      <w:r>
        <w:rPr>
          <w:rFonts w:ascii="Times New Roman" w:hAnsi="Times New Roman" w:cs="Times New Roman"/>
          <w:sz w:val="24"/>
          <w:szCs w:val="24"/>
        </w:rPr>
        <w:t>vegetation variables.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Details for measuring variables are in the main text.</w:t>
      </w:r>
    </w:p>
    <w:tbl>
      <w:tblPr>
        <w:tblW w:w="5620" w:type="dxa"/>
        <w:tblInd w:w="93" w:type="dxa"/>
        <w:tblLook w:val="04A0"/>
      </w:tblPr>
      <w:tblGrid>
        <w:gridCol w:w="2740"/>
        <w:gridCol w:w="960"/>
        <w:gridCol w:w="960"/>
        <w:gridCol w:w="960"/>
      </w:tblGrid>
      <w:tr w:rsidR="007011F2" w:rsidRPr="00850FD8" w:rsidTr="003840F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1F2" w:rsidRPr="00850FD8" w:rsidRDefault="007011F2" w:rsidP="00384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7011F2" w:rsidRPr="00850FD8" w:rsidRDefault="007011F2" w:rsidP="00384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7011F2" w:rsidRPr="00850FD8" w:rsidRDefault="007011F2" w:rsidP="00384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1F2" w:rsidRPr="00850FD8" w:rsidRDefault="007011F2" w:rsidP="00384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Component</w:t>
            </w:r>
          </w:p>
        </w:tc>
      </w:tr>
      <w:tr w:rsidR="007011F2" w:rsidRPr="00850FD8" w:rsidTr="003840F7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1F2" w:rsidRPr="00850FD8" w:rsidRDefault="007011F2" w:rsidP="00384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50FD8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1F2" w:rsidRPr="00850FD8" w:rsidRDefault="007011F2" w:rsidP="00384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1F2" w:rsidRPr="00850FD8" w:rsidRDefault="007011F2" w:rsidP="00384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1F2" w:rsidRPr="00850FD8" w:rsidRDefault="007011F2" w:rsidP="00384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</w:tr>
      <w:tr w:rsidR="007011F2" w:rsidRPr="00850FD8" w:rsidTr="003840F7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850FD8" w:rsidRDefault="007011F2" w:rsidP="00384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50FD8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% variance accounted for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37.90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14.87</w:t>
            </w:r>
          </w:p>
        </w:tc>
      </w:tr>
      <w:tr w:rsidR="007011F2" w:rsidRPr="00850FD8" w:rsidTr="003840F7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850FD8" w:rsidRDefault="007011F2" w:rsidP="00384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50FD8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Cumulative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37.90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54.61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69.48</w:t>
            </w:r>
          </w:p>
        </w:tc>
      </w:tr>
      <w:tr w:rsidR="007011F2" w:rsidRPr="00850FD8" w:rsidTr="003840F7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1F2" w:rsidRPr="00850FD8" w:rsidRDefault="007011F2" w:rsidP="00384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50FD8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Eigen value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1.04</w:t>
            </w:r>
          </w:p>
        </w:tc>
      </w:tr>
      <w:tr w:rsidR="007011F2" w:rsidRPr="00850FD8" w:rsidTr="003840F7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1F2" w:rsidRPr="00850FD8" w:rsidRDefault="007011F2" w:rsidP="00384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50FD8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Variables: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011F2" w:rsidRPr="00850FD8" w:rsidTr="003840F7">
        <w:trPr>
          <w:trHeight w:val="3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1F2" w:rsidRPr="00850FD8" w:rsidRDefault="007011F2" w:rsidP="003840F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  <w:proofErr w:type="gramStart"/>
            <w:r w:rsidRPr="00850F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ground</w:t>
            </w:r>
            <w:proofErr w:type="gramEnd"/>
            <w:r w:rsidRPr="00850F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 cover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 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-.349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.547</w:t>
            </w:r>
          </w:p>
        </w:tc>
      </w:tr>
      <w:tr w:rsidR="007011F2" w:rsidRPr="00850FD8" w:rsidTr="003840F7">
        <w:trPr>
          <w:trHeight w:val="3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1F2" w:rsidRPr="00850FD8" w:rsidRDefault="007011F2" w:rsidP="003840F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tree density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 (trees/ ha)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-.018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.388</w:t>
            </w:r>
          </w:p>
        </w:tc>
      </w:tr>
      <w:tr w:rsidR="007011F2" w:rsidRPr="00850FD8" w:rsidTr="003840F7">
        <w:trPr>
          <w:trHeight w:val="3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1F2" w:rsidRPr="00850FD8" w:rsidRDefault="007011F2" w:rsidP="003840F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sapling density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 (saplings/ ha)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-.110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-.182</w:t>
            </w:r>
          </w:p>
        </w:tc>
      </w:tr>
      <w:tr w:rsidR="007011F2" w:rsidRPr="00850FD8" w:rsidTr="003840F7">
        <w:trPr>
          <w:trHeight w:val="3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1F2" w:rsidRPr="00850FD8" w:rsidRDefault="007011F2" w:rsidP="003840F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sapling GBH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 (mm)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-.481</w:t>
            </w:r>
          </w:p>
        </w:tc>
      </w:tr>
      <w:tr w:rsidR="007011F2" w:rsidRPr="00850FD8" w:rsidTr="003840F7">
        <w:trPr>
          <w:trHeight w:val="3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1F2" w:rsidRPr="00850FD8" w:rsidRDefault="007011F2" w:rsidP="003840F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tree GBH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 (mm)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-.499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.008</w:t>
            </w:r>
          </w:p>
        </w:tc>
      </w:tr>
      <w:tr w:rsidR="007011F2" w:rsidRPr="00850FD8" w:rsidTr="003840F7">
        <w:trPr>
          <w:trHeight w:val="3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1F2" w:rsidRPr="00850FD8" w:rsidRDefault="007011F2" w:rsidP="003840F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  <w:proofErr w:type="gramStart"/>
            <w:r w:rsidRPr="00850F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canopy</w:t>
            </w:r>
            <w:proofErr w:type="gramEnd"/>
            <w:r w:rsidRPr="00850F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 cover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 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-.149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.498</w:t>
            </w:r>
          </w:p>
        </w:tc>
      </w:tr>
      <w:tr w:rsidR="007011F2" w:rsidRPr="00850FD8" w:rsidTr="003840F7">
        <w:trPr>
          <w:trHeight w:val="330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1F2" w:rsidRPr="00850FD8" w:rsidRDefault="007011F2" w:rsidP="003840F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  <w:proofErr w:type="gramStart"/>
            <w:r w:rsidRPr="00850F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shade</w:t>
            </w:r>
            <w:proofErr w:type="gramEnd"/>
            <w:r w:rsidRPr="00850F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 cover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-.282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1F2" w:rsidRPr="00850FD8" w:rsidRDefault="007011F2" w:rsidP="0038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50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-.282</w:t>
            </w:r>
          </w:p>
        </w:tc>
      </w:tr>
    </w:tbl>
    <w:p w:rsidR="007011F2" w:rsidRDefault="007011F2" w:rsidP="007011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51D6A" w:rsidRDefault="00B51D6A" w:rsidP="007011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51D6A" w:rsidRDefault="00B51D6A" w:rsidP="007011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51D6A" w:rsidRDefault="00B51D6A" w:rsidP="007011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51D6A" w:rsidRDefault="003840F7" w:rsidP="00C840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Supplementary information A4- </w:t>
      </w:r>
      <w:r w:rsidR="00C84004">
        <w:rPr>
          <w:rFonts w:ascii="Times New Roman" w:hAnsi="Times New Roman" w:cs="Times New Roman"/>
          <w:sz w:val="24"/>
          <w:szCs w:val="24"/>
        </w:rPr>
        <w:t>Proportion of groundcover in plantations.</w:t>
      </w:r>
      <w:proofErr w:type="gramEnd"/>
      <w:r w:rsidR="00C84004">
        <w:rPr>
          <w:rFonts w:ascii="Times New Roman" w:hAnsi="Times New Roman" w:cs="Times New Roman"/>
          <w:sz w:val="24"/>
          <w:szCs w:val="24"/>
        </w:rPr>
        <w:t xml:space="preserve"> Graph A- mean and standard deviation of ground cover (arcsine square root transformed) within sites (</w:t>
      </w:r>
      <w:r w:rsidR="00C84004" w:rsidRPr="00C84004">
        <w:rPr>
          <w:rFonts w:ascii="Times New Roman" w:hAnsi="Times New Roman" w:cs="Times New Roman"/>
          <w:i/>
          <w:sz w:val="24"/>
          <w:szCs w:val="24"/>
        </w:rPr>
        <w:t>N</w:t>
      </w:r>
      <w:r w:rsidR="00C84004">
        <w:rPr>
          <w:rFonts w:ascii="Times New Roman" w:hAnsi="Times New Roman" w:cs="Times New Roman"/>
          <w:sz w:val="24"/>
          <w:szCs w:val="24"/>
        </w:rPr>
        <w:t>= 5 stations, hollow data points), and across sites (</w:t>
      </w:r>
      <w:r w:rsidR="00C84004" w:rsidRPr="00C84004">
        <w:rPr>
          <w:rFonts w:ascii="Times New Roman" w:hAnsi="Times New Roman" w:cs="Times New Roman"/>
          <w:i/>
          <w:sz w:val="24"/>
          <w:szCs w:val="24"/>
        </w:rPr>
        <w:t>N</w:t>
      </w:r>
      <w:r w:rsidR="00C84004">
        <w:rPr>
          <w:rFonts w:ascii="Times New Roman" w:hAnsi="Times New Roman" w:cs="Times New Roman"/>
          <w:sz w:val="24"/>
          <w:szCs w:val="24"/>
        </w:rPr>
        <w:t xml:space="preserve">= 12 sites, filled data point). Graph B- </w:t>
      </w:r>
      <w:r w:rsidR="008D4E0F">
        <w:rPr>
          <w:rFonts w:ascii="Times New Roman" w:hAnsi="Times New Roman" w:cs="Times New Roman"/>
          <w:sz w:val="24"/>
          <w:szCs w:val="24"/>
        </w:rPr>
        <w:t xml:space="preserve">Percentage </w:t>
      </w:r>
      <w:r w:rsidR="00F9300E">
        <w:rPr>
          <w:rFonts w:ascii="Times New Roman" w:hAnsi="Times New Roman" w:cs="Times New Roman"/>
          <w:sz w:val="24"/>
          <w:szCs w:val="24"/>
        </w:rPr>
        <w:t xml:space="preserve">groundcover </w:t>
      </w:r>
      <w:r w:rsidR="008D4E0F">
        <w:rPr>
          <w:rFonts w:ascii="Times New Roman" w:hAnsi="Times New Roman" w:cs="Times New Roman"/>
          <w:sz w:val="24"/>
          <w:szCs w:val="24"/>
        </w:rPr>
        <w:t xml:space="preserve">at stations </w:t>
      </w:r>
      <w:r w:rsidR="00F9300E">
        <w:rPr>
          <w:rFonts w:ascii="Times New Roman" w:hAnsi="Times New Roman" w:cs="Times New Roman"/>
          <w:sz w:val="24"/>
          <w:szCs w:val="24"/>
        </w:rPr>
        <w:t>with distance from forest (m)</w:t>
      </w:r>
      <w:r w:rsidR="008D4E0F">
        <w:rPr>
          <w:rFonts w:ascii="Times New Roman" w:hAnsi="Times New Roman" w:cs="Times New Roman"/>
          <w:sz w:val="24"/>
          <w:szCs w:val="24"/>
        </w:rPr>
        <w:t xml:space="preserve">, and spearman rank order correlation. Graph C- </w:t>
      </w:r>
      <w:proofErr w:type="spellStart"/>
      <w:r w:rsidR="008D4E0F">
        <w:rPr>
          <w:rFonts w:ascii="Times New Roman" w:hAnsi="Times New Roman" w:cs="Times New Roman"/>
          <w:sz w:val="24"/>
          <w:szCs w:val="24"/>
        </w:rPr>
        <w:t>ln</w:t>
      </w:r>
      <w:proofErr w:type="spellEnd"/>
      <w:r w:rsidR="008D4E0F">
        <w:rPr>
          <w:rFonts w:ascii="Times New Roman" w:hAnsi="Times New Roman" w:cs="Times New Roman"/>
          <w:sz w:val="24"/>
          <w:szCs w:val="24"/>
        </w:rPr>
        <w:t>(Species richness) at stations  with Percentage groundcover</w:t>
      </w:r>
      <w:r w:rsidR="00E65381">
        <w:rPr>
          <w:rFonts w:ascii="Times New Roman" w:hAnsi="Times New Roman" w:cs="Times New Roman"/>
          <w:sz w:val="24"/>
          <w:szCs w:val="24"/>
        </w:rPr>
        <w:t xml:space="preserve"> at stations, and Spearman rank order correlation.</w:t>
      </w:r>
    </w:p>
    <w:p w:rsidR="00E65381" w:rsidRDefault="000E54E4" w:rsidP="00E653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0E54E4">
        <w:rPr>
          <w:rFonts w:ascii="Times New Roman" w:hAnsi="Times New Roman" w:cs="Times New Roman"/>
          <w:noProof/>
          <w:sz w:val="24"/>
          <w:szCs w:val="24"/>
          <w:lang w:val="en-US"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05pt;margin-top:3.4pt;width:22.75pt;height:32.65pt;z-index:251660288;mso-height-percent:200;mso-height-percent:200;mso-width-relative:margin;mso-height-relative:margin" stroked="f">
            <v:textbox style="mso-fit-shape-to-text:t">
              <w:txbxContent>
                <w:p w:rsidR="00686CD8" w:rsidRDefault="00686CD8">
                  <w:r>
                    <w:t>A</w:t>
                  </w:r>
                </w:p>
              </w:txbxContent>
            </v:textbox>
          </v:shape>
        </w:pict>
      </w:r>
      <w:r w:rsidR="00E65381">
        <w:rPr>
          <w:rFonts w:ascii="Times New Roman" w:eastAsiaTheme="minorHAnsi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482334" cy="3581400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334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81" w:rsidRDefault="00E65381" w:rsidP="00E653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65381" w:rsidRDefault="00E65381" w:rsidP="00E65381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 w:cs="Times New Roman"/>
          <w:sz w:val="24"/>
          <w:szCs w:val="24"/>
        </w:rPr>
      </w:pPr>
    </w:p>
    <w:p w:rsidR="00C84004" w:rsidRDefault="00C84004" w:rsidP="00C840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51D6A" w:rsidRDefault="00B51D6A" w:rsidP="007011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840F7" w:rsidRDefault="000E54E4" w:rsidP="007011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54E4">
        <w:rPr>
          <w:rFonts w:ascii="Times New Roman" w:hAnsi="Times New Roman" w:cs="Times New Roman"/>
          <w:noProof/>
          <w:sz w:val="24"/>
          <w:szCs w:val="24"/>
          <w:lang w:val="en-US" w:eastAsia="zh-TW"/>
        </w:rPr>
        <w:lastRenderedPageBreak/>
        <w:pict>
          <v:shape id="_x0000_s1031" type="#_x0000_t202" style="position:absolute;margin-left:406.5pt;margin-top:8.9pt;width:22pt;height:21.75pt;z-index:251667456;mso-width-relative:margin;mso-height-relative:margin" filled="f" stroked="f">
            <v:textbox>
              <w:txbxContent>
                <w:p w:rsidR="00686CD8" w:rsidRPr="00F9300E" w:rsidRDefault="00686CD8">
                  <w:pPr>
                    <w:rPr>
                      <w:b/>
                    </w:rPr>
                  </w:pPr>
                  <w:r w:rsidRPr="00F9300E"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 w:rsidRPr="000E54E4"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>
          <v:shape id="_x0000_s1030" type="#_x0000_t202" style="position:absolute;margin-left:50.25pt;margin-top:8.9pt;width:24.25pt;height:32.65pt;z-index:251665408;mso-height-percent:200;mso-height-percent:200;mso-width-relative:margin;mso-height-relative:margin" filled="f" stroked="f">
            <v:textbox style="mso-fit-shape-to-text:t">
              <w:txbxContent>
                <w:p w:rsidR="00686CD8" w:rsidRDefault="00686CD8">
                  <w:r>
                    <w:t>B</w:t>
                  </w:r>
                </w:p>
              </w:txbxContent>
            </v:textbox>
          </v:shape>
        </w:pict>
      </w:r>
      <w:r w:rsidRPr="000E54E4">
        <w:rPr>
          <w:noProof/>
          <w:lang w:eastAsia="en-GB"/>
        </w:rPr>
        <w:pict>
          <v:shape id="_x0000_s1028" type="#_x0000_t202" style="position:absolute;margin-left:378pt;margin-top:211.4pt;width:235.55pt;height:32.65pt;z-index:251663360;mso-height-percent:200;mso-height-percent:200;mso-width-relative:margin;mso-height-relative:margin" stroked="f">
            <v:textbox style="mso-next-textbox:#_x0000_s1028;mso-fit-shape-to-text:t">
              <w:txbxContent>
                <w:p w:rsidR="00686CD8" w:rsidRPr="00F9300E" w:rsidRDefault="00686CD8" w:rsidP="00F9300E">
                  <w:r>
                    <w:t xml:space="preserve">Spearman rank order correlation: </w:t>
                  </w:r>
                  <w:proofErr w:type="spellStart"/>
                  <w:r>
                    <w:t>r</w:t>
                  </w:r>
                  <w:r>
                    <w:rPr>
                      <w:vertAlign w:val="subscript"/>
                    </w:rPr>
                    <w:t>s</w:t>
                  </w:r>
                  <w:proofErr w:type="spellEnd"/>
                  <w:r>
                    <w:t>=-0.02, P=0.9</w:t>
                  </w:r>
                </w:p>
              </w:txbxContent>
            </v:textbox>
          </v:shape>
        </w:pict>
      </w:r>
      <w:r w:rsidRPr="000E54E4">
        <w:rPr>
          <w:noProof/>
          <w:lang w:val="en-US" w:eastAsia="zh-TW"/>
        </w:rPr>
        <w:pict>
          <v:shape id="_x0000_s1027" type="#_x0000_t202" style="position:absolute;margin-left:48.75pt;margin-top:211.7pt;width:235.55pt;height:32.65pt;z-index:251662336;mso-height-percent:200;mso-height-percent:200;mso-width-relative:margin;mso-height-relative:margin" stroked="f">
            <v:textbox style="mso-next-textbox:#_x0000_s1027;mso-fit-shape-to-text:t">
              <w:txbxContent>
                <w:p w:rsidR="00686CD8" w:rsidRPr="00F9300E" w:rsidRDefault="00686CD8">
                  <w:r>
                    <w:t xml:space="preserve">Spearman rank order correlation: </w:t>
                  </w:r>
                  <w:proofErr w:type="spellStart"/>
                  <w:r>
                    <w:t>r</w:t>
                  </w:r>
                  <w:r>
                    <w:rPr>
                      <w:vertAlign w:val="subscript"/>
                    </w:rPr>
                    <w:t>s</w:t>
                  </w:r>
                  <w:proofErr w:type="spellEnd"/>
                  <w:r>
                    <w:t>=-0.10, P=0.4</w:t>
                  </w:r>
                </w:p>
              </w:txbxContent>
            </v:textbox>
          </v:shape>
        </w:pict>
      </w:r>
      <w:r w:rsidR="00F9300E" w:rsidRPr="00F9300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486275" cy="2686050"/>
            <wp:effectExtent l="0" t="0" r="0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8D4E0F" w:rsidRPr="008D4E0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362450" cy="2628900"/>
            <wp:effectExtent l="0" t="0" r="0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840F7" w:rsidRDefault="003840F7"/>
    <w:sectPr w:rsidR="003840F7" w:rsidSect="007011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11F2"/>
    <w:rsid w:val="000467F7"/>
    <w:rsid w:val="00070E72"/>
    <w:rsid w:val="000E54E4"/>
    <w:rsid w:val="00183DFE"/>
    <w:rsid w:val="00325B04"/>
    <w:rsid w:val="003840F7"/>
    <w:rsid w:val="00481D5B"/>
    <w:rsid w:val="005B29B8"/>
    <w:rsid w:val="005E3C71"/>
    <w:rsid w:val="005F4ED0"/>
    <w:rsid w:val="00686CD8"/>
    <w:rsid w:val="00700675"/>
    <w:rsid w:val="007011F2"/>
    <w:rsid w:val="00846EED"/>
    <w:rsid w:val="008D4E0F"/>
    <w:rsid w:val="009977E5"/>
    <w:rsid w:val="00B51D6A"/>
    <w:rsid w:val="00C84004"/>
    <w:rsid w:val="00E65381"/>
    <w:rsid w:val="00E84E14"/>
    <w:rsid w:val="00F9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1F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04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0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E7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E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BIOLDEPT\DATA1\USERS\JML504\Thesis%20papers\Ant%20paper%20addressing%20comments\Addressing%20reviewers%20comments-Oct2013\R%20GC%20spillover%20data-graphs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BIOLDEPT\DATA1\USERS\JML504\Thesis%20papers\Ant%20paper%20addressing%20comments\Addressing%20reviewers%20comments-Oct2013\R%20GC%20spillover%20data-graphs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autoTitleDeleted val="1"/>
    <c:plotArea>
      <c:layout/>
      <c:scatterChart>
        <c:scatterStyle val="lineMarker"/>
        <c:ser>
          <c:idx val="0"/>
          <c:order val="0"/>
          <c:tx>
            <c:v>GC v distance</c:v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noFill/>
              </a:ln>
            </c:spPr>
          </c:marker>
          <c:xVal>
            <c:numRef>
              <c:f>'R GC spillover data'!$B$2:$B$61</c:f>
              <c:numCache>
                <c:formatCode>General</c:formatCode>
                <c:ptCount val="6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100</c:v>
                </c:pt>
                <c:pt idx="6">
                  <c:v>200</c:v>
                </c:pt>
                <c:pt idx="7">
                  <c:v>300</c:v>
                </c:pt>
                <c:pt idx="8">
                  <c:v>400</c:v>
                </c:pt>
                <c:pt idx="9">
                  <c:v>500</c:v>
                </c:pt>
                <c:pt idx="10">
                  <c:v>100</c:v>
                </c:pt>
                <c:pt idx="11">
                  <c:v>200</c:v>
                </c:pt>
                <c:pt idx="12">
                  <c:v>300</c:v>
                </c:pt>
                <c:pt idx="13">
                  <c:v>400</c:v>
                </c:pt>
                <c:pt idx="14">
                  <c:v>500</c:v>
                </c:pt>
                <c:pt idx="15">
                  <c:v>100</c:v>
                </c:pt>
                <c:pt idx="16">
                  <c:v>200</c:v>
                </c:pt>
                <c:pt idx="17">
                  <c:v>300</c:v>
                </c:pt>
                <c:pt idx="18">
                  <c:v>400</c:v>
                </c:pt>
                <c:pt idx="19">
                  <c:v>500</c:v>
                </c:pt>
                <c:pt idx="20">
                  <c:v>100</c:v>
                </c:pt>
                <c:pt idx="21">
                  <c:v>200</c:v>
                </c:pt>
                <c:pt idx="22">
                  <c:v>300</c:v>
                </c:pt>
                <c:pt idx="23">
                  <c:v>400</c:v>
                </c:pt>
                <c:pt idx="24">
                  <c:v>500</c:v>
                </c:pt>
                <c:pt idx="25">
                  <c:v>100</c:v>
                </c:pt>
                <c:pt idx="26">
                  <c:v>200</c:v>
                </c:pt>
                <c:pt idx="27">
                  <c:v>300</c:v>
                </c:pt>
                <c:pt idx="28">
                  <c:v>400</c:v>
                </c:pt>
                <c:pt idx="29">
                  <c:v>500</c:v>
                </c:pt>
                <c:pt idx="30">
                  <c:v>100</c:v>
                </c:pt>
                <c:pt idx="31">
                  <c:v>200</c:v>
                </c:pt>
                <c:pt idx="32">
                  <c:v>300</c:v>
                </c:pt>
                <c:pt idx="33">
                  <c:v>400</c:v>
                </c:pt>
                <c:pt idx="34">
                  <c:v>500</c:v>
                </c:pt>
                <c:pt idx="35">
                  <c:v>100</c:v>
                </c:pt>
                <c:pt idx="36">
                  <c:v>200</c:v>
                </c:pt>
                <c:pt idx="37">
                  <c:v>300</c:v>
                </c:pt>
                <c:pt idx="38">
                  <c:v>400</c:v>
                </c:pt>
                <c:pt idx="39">
                  <c:v>500</c:v>
                </c:pt>
                <c:pt idx="40">
                  <c:v>100</c:v>
                </c:pt>
                <c:pt idx="41">
                  <c:v>200</c:v>
                </c:pt>
                <c:pt idx="42">
                  <c:v>300</c:v>
                </c:pt>
                <c:pt idx="43">
                  <c:v>400</c:v>
                </c:pt>
                <c:pt idx="44">
                  <c:v>500</c:v>
                </c:pt>
                <c:pt idx="45">
                  <c:v>100</c:v>
                </c:pt>
                <c:pt idx="46">
                  <c:v>200</c:v>
                </c:pt>
                <c:pt idx="47">
                  <c:v>300</c:v>
                </c:pt>
                <c:pt idx="48">
                  <c:v>400</c:v>
                </c:pt>
                <c:pt idx="49">
                  <c:v>500</c:v>
                </c:pt>
                <c:pt idx="50">
                  <c:v>100</c:v>
                </c:pt>
                <c:pt idx="51">
                  <c:v>200</c:v>
                </c:pt>
                <c:pt idx="52">
                  <c:v>300</c:v>
                </c:pt>
                <c:pt idx="53">
                  <c:v>400</c:v>
                </c:pt>
                <c:pt idx="54">
                  <c:v>500</c:v>
                </c:pt>
                <c:pt idx="55">
                  <c:v>100</c:v>
                </c:pt>
                <c:pt idx="56">
                  <c:v>200</c:v>
                </c:pt>
                <c:pt idx="57">
                  <c:v>300</c:v>
                </c:pt>
                <c:pt idx="58">
                  <c:v>400</c:v>
                </c:pt>
                <c:pt idx="59">
                  <c:v>500</c:v>
                </c:pt>
              </c:numCache>
            </c:numRef>
          </c:xVal>
          <c:yVal>
            <c:numRef>
              <c:f>'R GC spillover data'!$E$2:$E$61</c:f>
              <c:numCache>
                <c:formatCode>General</c:formatCode>
                <c:ptCount val="60"/>
                <c:pt idx="0">
                  <c:v>5</c:v>
                </c:pt>
                <c:pt idx="1">
                  <c:v>5</c:v>
                </c:pt>
                <c:pt idx="2">
                  <c:v>10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10</c:v>
                </c:pt>
                <c:pt idx="11">
                  <c:v>5</c:v>
                </c:pt>
                <c:pt idx="12">
                  <c:v>5</c:v>
                </c:pt>
                <c:pt idx="13">
                  <c:v>10</c:v>
                </c:pt>
                <c:pt idx="14">
                  <c:v>5</c:v>
                </c:pt>
                <c:pt idx="15">
                  <c:v>10</c:v>
                </c:pt>
                <c:pt idx="16">
                  <c:v>15</c:v>
                </c:pt>
                <c:pt idx="17">
                  <c:v>20</c:v>
                </c:pt>
                <c:pt idx="18">
                  <c:v>5</c:v>
                </c:pt>
                <c:pt idx="19">
                  <c:v>5</c:v>
                </c:pt>
                <c:pt idx="20">
                  <c:v>10</c:v>
                </c:pt>
                <c:pt idx="21">
                  <c:v>10</c:v>
                </c:pt>
                <c:pt idx="22">
                  <c:v>20</c:v>
                </c:pt>
                <c:pt idx="23">
                  <c:v>5</c:v>
                </c:pt>
                <c:pt idx="24">
                  <c:v>15</c:v>
                </c:pt>
                <c:pt idx="25">
                  <c:v>75</c:v>
                </c:pt>
                <c:pt idx="26">
                  <c:v>45</c:v>
                </c:pt>
                <c:pt idx="27">
                  <c:v>40</c:v>
                </c:pt>
                <c:pt idx="28">
                  <c:v>20</c:v>
                </c:pt>
                <c:pt idx="29">
                  <c:v>10</c:v>
                </c:pt>
                <c:pt idx="30">
                  <c:v>5</c:v>
                </c:pt>
                <c:pt idx="31">
                  <c:v>5</c:v>
                </c:pt>
                <c:pt idx="32">
                  <c:v>10</c:v>
                </c:pt>
                <c:pt idx="33">
                  <c:v>5</c:v>
                </c:pt>
                <c:pt idx="34">
                  <c:v>5</c:v>
                </c:pt>
                <c:pt idx="35">
                  <c:v>10</c:v>
                </c:pt>
                <c:pt idx="36">
                  <c:v>5</c:v>
                </c:pt>
                <c:pt idx="37">
                  <c:v>5</c:v>
                </c:pt>
                <c:pt idx="38">
                  <c:v>5</c:v>
                </c:pt>
                <c:pt idx="39">
                  <c:v>5</c:v>
                </c:pt>
                <c:pt idx="40">
                  <c:v>0</c:v>
                </c:pt>
                <c:pt idx="41">
                  <c:v>15</c:v>
                </c:pt>
                <c:pt idx="42">
                  <c:v>40</c:v>
                </c:pt>
                <c:pt idx="43">
                  <c:v>25</c:v>
                </c:pt>
                <c:pt idx="44">
                  <c:v>5</c:v>
                </c:pt>
                <c:pt idx="45">
                  <c:v>100</c:v>
                </c:pt>
                <c:pt idx="46">
                  <c:v>80</c:v>
                </c:pt>
                <c:pt idx="47">
                  <c:v>70</c:v>
                </c:pt>
                <c:pt idx="48">
                  <c:v>85</c:v>
                </c:pt>
                <c:pt idx="49">
                  <c:v>95</c:v>
                </c:pt>
                <c:pt idx="50">
                  <c:v>15</c:v>
                </c:pt>
                <c:pt idx="51">
                  <c:v>55</c:v>
                </c:pt>
                <c:pt idx="52">
                  <c:v>45</c:v>
                </c:pt>
                <c:pt idx="53">
                  <c:v>55</c:v>
                </c:pt>
                <c:pt idx="54">
                  <c:v>35</c:v>
                </c:pt>
                <c:pt idx="55">
                  <c:v>30</c:v>
                </c:pt>
                <c:pt idx="56">
                  <c:v>40</c:v>
                </c:pt>
                <c:pt idx="57">
                  <c:v>40</c:v>
                </c:pt>
                <c:pt idx="58">
                  <c:v>10</c:v>
                </c:pt>
                <c:pt idx="59">
                  <c:v>25</c:v>
                </c:pt>
              </c:numCache>
            </c:numRef>
          </c:yVal>
        </c:ser>
        <c:axId val="105223296"/>
        <c:axId val="105230336"/>
      </c:scatterChart>
      <c:valAx>
        <c:axId val="1052232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Distance from</a:t>
                </a:r>
                <a:r>
                  <a:rPr lang="en-GB" baseline="0"/>
                  <a:t> forest (m)</a:t>
                </a:r>
                <a:endParaRPr lang="en-GB"/>
              </a:p>
            </c:rich>
          </c:tx>
          <c:layout/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5230336"/>
        <c:crosses val="autoZero"/>
        <c:crossBetween val="midCat"/>
      </c:valAx>
      <c:valAx>
        <c:axId val="10523033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%Groundcover</a:t>
                </a:r>
              </a:p>
            </c:rich>
          </c:tx>
          <c:layout/>
        </c:title>
        <c:numFmt formatCode="General" sourceLinked="1"/>
        <c:tickLblPos val="nextTo"/>
        <c:crossAx val="105223296"/>
        <c:crosses val="autoZero"/>
        <c:crossBetween val="midCat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autoTitleDeleted val="1"/>
    <c:plotArea>
      <c:layout/>
      <c:scatterChart>
        <c:scatterStyle val="lineMarker"/>
        <c:ser>
          <c:idx val="0"/>
          <c:order val="0"/>
          <c:tx>
            <c:v>species richness v groundcover</c:v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noFill/>
              </a:ln>
            </c:spPr>
          </c:marker>
          <c:xVal>
            <c:numRef>
              <c:f>'R GC spillover data'!$E$2:$E$61</c:f>
              <c:numCache>
                <c:formatCode>General</c:formatCode>
                <c:ptCount val="60"/>
                <c:pt idx="0">
                  <c:v>5</c:v>
                </c:pt>
                <c:pt idx="1">
                  <c:v>5</c:v>
                </c:pt>
                <c:pt idx="2">
                  <c:v>10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10</c:v>
                </c:pt>
                <c:pt idx="11">
                  <c:v>5</c:v>
                </c:pt>
                <c:pt idx="12">
                  <c:v>5</c:v>
                </c:pt>
                <c:pt idx="13">
                  <c:v>10</c:v>
                </c:pt>
                <c:pt idx="14">
                  <c:v>5</c:v>
                </c:pt>
                <c:pt idx="15">
                  <c:v>10</c:v>
                </c:pt>
                <c:pt idx="16">
                  <c:v>15</c:v>
                </c:pt>
                <c:pt idx="17">
                  <c:v>20</c:v>
                </c:pt>
                <c:pt idx="18">
                  <c:v>5</c:v>
                </c:pt>
                <c:pt idx="19">
                  <c:v>5</c:v>
                </c:pt>
                <c:pt idx="20">
                  <c:v>10</c:v>
                </c:pt>
                <c:pt idx="21">
                  <c:v>10</c:v>
                </c:pt>
                <c:pt idx="22">
                  <c:v>20</c:v>
                </c:pt>
                <c:pt idx="23">
                  <c:v>5</c:v>
                </c:pt>
                <c:pt idx="24">
                  <c:v>15</c:v>
                </c:pt>
                <c:pt idx="25">
                  <c:v>75</c:v>
                </c:pt>
                <c:pt idx="26">
                  <c:v>45</c:v>
                </c:pt>
                <c:pt idx="27">
                  <c:v>40</c:v>
                </c:pt>
                <c:pt idx="28">
                  <c:v>20</c:v>
                </c:pt>
                <c:pt idx="29">
                  <c:v>10</c:v>
                </c:pt>
                <c:pt idx="30">
                  <c:v>5</c:v>
                </c:pt>
                <c:pt idx="31">
                  <c:v>5</c:v>
                </c:pt>
                <c:pt idx="32">
                  <c:v>10</c:v>
                </c:pt>
                <c:pt idx="33">
                  <c:v>5</c:v>
                </c:pt>
                <c:pt idx="34">
                  <c:v>5</c:v>
                </c:pt>
                <c:pt idx="35">
                  <c:v>10</c:v>
                </c:pt>
                <c:pt idx="36">
                  <c:v>5</c:v>
                </c:pt>
                <c:pt idx="37">
                  <c:v>5</c:v>
                </c:pt>
                <c:pt idx="38">
                  <c:v>5</c:v>
                </c:pt>
                <c:pt idx="39">
                  <c:v>5</c:v>
                </c:pt>
                <c:pt idx="40">
                  <c:v>0</c:v>
                </c:pt>
                <c:pt idx="41">
                  <c:v>15</c:v>
                </c:pt>
                <c:pt idx="42">
                  <c:v>40</c:v>
                </c:pt>
                <c:pt idx="43">
                  <c:v>25</c:v>
                </c:pt>
                <c:pt idx="44">
                  <c:v>5</c:v>
                </c:pt>
                <c:pt idx="45">
                  <c:v>100</c:v>
                </c:pt>
                <c:pt idx="46">
                  <c:v>80</c:v>
                </c:pt>
                <c:pt idx="47">
                  <c:v>70</c:v>
                </c:pt>
                <c:pt idx="48">
                  <c:v>85</c:v>
                </c:pt>
                <c:pt idx="49">
                  <c:v>95</c:v>
                </c:pt>
                <c:pt idx="50">
                  <c:v>15</c:v>
                </c:pt>
                <c:pt idx="51">
                  <c:v>55</c:v>
                </c:pt>
                <c:pt idx="52">
                  <c:v>45</c:v>
                </c:pt>
                <c:pt idx="53">
                  <c:v>55</c:v>
                </c:pt>
                <c:pt idx="54">
                  <c:v>35</c:v>
                </c:pt>
                <c:pt idx="55">
                  <c:v>30</c:v>
                </c:pt>
                <c:pt idx="56">
                  <c:v>40</c:v>
                </c:pt>
                <c:pt idx="57">
                  <c:v>40</c:v>
                </c:pt>
                <c:pt idx="58">
                  <c:v>10</c:v>
                </c:pt>
                <c:pt idx="59">
                  <c:v>25</c:v>
                </c:pt>
              </c:numCache>
            </c:numRef>
          </c:xVal>
          <c:yVal>
            <c:numRef>
              <c:f>'R GC spillover data'!$C$2:$C$61</c:f>
              <c:numCache>
                <c:formatCode>General</c:formatCode>
                <c:ptCount val="60"/>
                <c:pt idx="0">
                  <c:v>2.64</c:v>
                </c:pt>
                <c:pt idx="1">
                  <c:v>2.64</c:v>
                </c:pt>
                <c:pt idx="2">
                  <c:v>2.08</c:v>
                </c:pt>
                <c:pt idx="3">
                  <c:v>2.94</c:v>
                </c:pt>
                <c:pt idx="4">
                  <c:v>2.56</c:v>
                </c:pt>
                <c:pt idx="5">
                  <c:v>2.08</c:v>
                </c:pt>
                <c:pt idx="6">
                  <c:v>2.4</c:v>
                </c:pt>
                <c:pt idx="7">
                  <c:v>2.2999999999999998</c:v>
                </c:pt>
                <c:pt idx="8">
                  <c:v>1.9500000000000006</c:v>
                </c:pt>
                <c:pt idx="9">
                  <c:v>2.2000000000000002</c:v>
                </c:pt>
                <c:pt idx="10">
                  <c:v>2.64</c:v>
                </c:pt>
                <c:pt idx="11">
                  <c:v>2.8899999999999997</c:v>
                </c:pt>
                <c:pt idx="12">
                  <c:v>2.77</c:v>
                </c:pt>
                <c:pt idx="13">
                  <c:v>2.64</c:v>
                </c:pt>
                <c:pt idx="14">
                  <c:v>1.9500000000000006</c:v>
                </c:pt>
                <c:pt idx="15">
                  <c:v>2.2999999999999998</c:v>
                </c:pt>
                <c:pt idx="16">
                  <c:v>1.79</c:v>
                </c:pt>
                <c:pt idx="17">
                  <c:v>1.3900000000000001</c:v>
                </c:pt>
                <c:pt idx="18">
                  <c:v>1.3900000000000001</c:v>
                </c:pt>
                <c:pt idx="19">
                  <c:v>1.79</c:v>
                </c:pt>
                <c:pt idx="20">
                  <c:v>2.2000000000000002</c:v>
                </c:pt>
                <c:pt idx="21">
                  <c:v>1.9500000000000006</c:v>
                </c:pt>
                <c:pt idx="22">
                  <c:v>2.2999999999999998</c:v>
                </c:pt>
                <c:pt idx="23">
                  <c:v>1.79</c:v>
                </c:pt>
                <c:pt idx="24">
                  <c:v>2.2999999999999998</c:v>
                </c:pt>
                <c:pt idx="25">
                  <c:v>2.2000000000000002</c:v>
                </c:pt>
                <c:pt idx="26">
                  <c:v>1.61</c:v>
                </c:pt>
                <c:pt idx="27">
                  <c:v>1.61</c:v>
                </c:pt>
                <c:pt idx="28">
                  <c:v>2.08</c:v>
                </c:pt>
                <c:pt idx="29">
                  <c:v>2.08</c:v>
                </c:pt>
                <c:pt idx="30">
                  <c:v>2.2000000000000002</c:v>
                </c:pt>
                <c:pt idx="31">
                  <c:v>2.08</c:v>
                </c:pt>
                <c:pt idx="32">
                  <c:v>2.4</c:v>
                </c:pt>
                <c:pt idx="33">
                  <c:v>1.9500000000000006</c:v>
                </c:pt>
                <c:pt idx="34">
                  <c:v>1.3900000000000001</c:v>
                </c:pt>
                <c:pt idx="35">
                  <c:v>2.08</c:v>
                </c:pt>
                <c:pt idx="36">
                  <c:v>3.09</c:v>
                </c:pt>
                <c:pt idx="37">
                  <c:v>1.61</c:v>
                </c:pt>
                <c:pt idx="38">
                  <c:v>1.61</c:v>
                </c:pt>
                <c:pt idx="39">
                  <c:v>2.08</c:v>
                </c:pt>
                <c:pt idx="40">
                  <c:v>2.94</c:v>
                </c:pt>
                <c:pt idx="41">
                  <c:v>2.8299999999999987</c:v>
                </c:pt>
                <c:pt idx="42">
                  <c:v>2.56</c:v>
                </c:pt>
                <c:pt idx="43">
                  <c:v>2.64</c:v>
                </c:pt>
                <c:pt idx="44">
                  <c:v>2.48</c:v>
                </c:pt>
                <c:pt idx="45">
                  <c:v>2.08</c:v>
                </c:pt>
                <c:pt idx="46">
                  <c:v>2.2000000000000002</c:v>
                </c:pt>
                <c:pt idx="47">
                  <c:v>2.4</c:v>
                </c:pt>
                <c:pt idx="48">
                  <c:v>2.4</c:v>
                </c:pt>
                <c:pt idx="49">
                  <c:v>3</c:v>
                </c:pt>
                <c:pt idx="50">
                  <c:v>2.64</c:v>
                </c:pt>
                <c:pt idx="51">
                  <c:v>1.1000000000000001</c:v>
                </c:pt>
                <c:pt idx="52">
                  <c:v>2.48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2.08</c:v>
                </c:pt>
                <c:pt idx="56">
                  <c:v>2.08</c:v>
                </c:pt>
                <c:pt idx="57">
                  <c:v>1.9500000000000006</c:v>
                </c:pt>
                <c:pt idx="58">
                  <c:v>1.9500000000000006</c:v>
                </c:pt>
                <c:pt idx="59">
                  <c:v>2.2999999999999998</c:v>
                </c:pt>
              </c:numCache>
            </c:numRef>
          </c:yVal>
        </c:ser>
        <c:axId val="194226816"/>
        <c:axId val="194229376"/>
      </c:scatterChart>
      <c:valAx>
        <c:axId val="1942268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%Groundcover</a:t>
                </a:r>
              </a:p>
            </c:rich>
          </c:tx>
          <c:layout/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94229376"/>
        <c:crosses val="autoZero"/>
        <c:crossBetween val="midCat"/>
      </c:valAx>
      <c:valAx>
        <c:axId val="19422937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ln (Species Richness)</a:t>
                </a:r>
              </a:p>
            </c:rich>
          </c:tx>
          <c:layout/>
        </c:title>
        <c:numFmt formatCode="General" sourceLinked="1"/>
        <c:tickLblPos val="nextTo"/>
        <c:crossAx val="194226816"/>
        <c:crosses val="autoZero"/>
        <c:crossBetween val="midCat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jml504</dc:creator>
  <cp:keywords/>
  <dc:description/>
  <cp:lastModifiedBy>jml504</cp:lastModifiedBy>
  <cp:revision>3</cp:revision>
  <dcterms:created xsi:type="dcterms:W3CDTF">2013-11-05T19:53:00Z</dcterms:created>
  <dcterms:modified xsi:type="dcterms:W3CDTF">2013-11-06T17:28:00Z</dcterms:modified>
</cp:coreProperties>
</file>