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E2D" w:rsidRPr="00200221" w:rsidRDefault="004E2E2D" w:rsidP="00F96376">
      <w:pPr>
        <w:spacing w:line="276" w:lineRule="auto"/>
        <w:jc w:val="right"/>
        <w:rPr>
          <w:rFonts w:ascii="Palatino Linotype" w:hAnsi="Palatino Linotype"/>
          <w:b/>
          <w:color w:val="365F91" w:themeColor="accent1" w:themeShade="BF"/>
          <w:sz w:val="24"/>
          <w:szCs w:val="22"/>
        </w:rPr>
      </w:pPr>
    </w:p>
    <w:p w:rsidR="00F55F49" w:rsidRPr="00F55F49" w:rsidRDefault="00F55F49" w:rsidP="00F96376">
      <w:pPr>
        <w:spacing w:line="276" w:lineRule="auto"/>
        <w:jc w:val="right"/>
        <w:rPr>
          <w:rFonts w:ascii="Palatino Linotype" w:hAnsi="Palatino Linotype"/>
          <w:b/>
          <w:color w:val="365F91" w:themeColor="accent1" w:themeShade="BF"/>
          <w:sz w:val="48"/>
          <w:szCs w:val="22"/>
        </w:rPr>
      </w:pPr>
      <w:r w:rsidRPr="00F55F49">
        <w:rPr>
          <w:rFonts w:ascii="Palatino Linotype" w:hAnsi="Palatino Linotype"/>
          <w:b/>
          <w:color w:val="365F91" w:themeColor="accent1" w:themeShade="BF"/>
          <w:sz w:val="48"/>
          <w:szCs w:val="22"/>
        </w:rPr>
        <w:t xml:space="preserve">Student attitudes, engagement and participation in </w:t>
      </w:r>
      <w:r w:rsidR="00573909">
        <w:rPr>
          <w:rFonts w:ascii="Palatino Linotype" w:hAnsi="Palatino Linotype"/>
          <w:b/>
          <w:color w:val="365F91" w:themeColor="accent1" w:themeShade="BF"/>
          <w:sz w:val="48"/>
          <w:szCs w:val="22"/>
        </w:rPr>
        <w:t>STEM subjects</w:t>
      </w:r>
    </w:p>
    <w:p w:rsidR="00130DB9" w:rsidRPr="001343F7" w:rsidRDefault="00130DB9" w:rsidP="00F96376">
      <w:pPr>
        <w:spacing w:line="276" w:lineRule="auto"/>
        <w:jc w:val="right"/>
        <w:rPr>
          <w:rFonts w:ascii="Palatino Linotype" w:hAnsi="Palatino Linotype"/>
          <w:b/>
          <w:sz w:val="72"/>
          <w:szCs w:val="72"/>
        </w:rPr>
      </w:pPr>
    </w:p>
    <w:p w:rsidR="00F55F49" w:rsidRPr="001343F7" w:rsidRDefault="00F55F49" w:rsidP="00F96376">
      <w:pPr>
        <w:spacing w:line="276" w:lineRule="auto"/>
        <w:jc w:val="right"/>
        <w:rPr>
          <w:rFonts w:ascii="Palatino Linotype" w:hAnsi="Palatino Linotype"/>
          <w:b/>
          <w:sz w:val="72"/>
          <w:szCs w:val="72"/>
        </w:rPr>
      </w:pPr>
    </w:p>
    <w:p w:rsidR="00F55F49" w:rsidRPr="001343F7" w:rsidRDefault="00F55F49" w:rsidP="00F96376">
      <w:pPr>
        <w:spacing w:line="276" w:lineRule="auto"/>
        <w:jc w:val="right"/>
        <w:rPr>
          <w:rFonts w:ascii="Palatino Linotype" w:hAnsi="Palatino Linotype"/>
          <w:b/>
          <w:sz w:val="72"/>
          <w:szCs w:val="72"/>
        </w:rPr>
      </w:pPr>
    </w:p>
    <w:p w:rsidR="00573909" w:rsidRPr="001343F7" w:rsidRDefault="00573909" w:rsidP="00F96376">
      <w:pPr>
        <w:tabs>
          <w:tab w:val="left" w:pos="7125"/>
        </w:tabs>
        <w:spacing w:line="276" w:lineRule="auto"/>
        <w:rPr>
          <w:rFonts w:ascii="Palatino Linotype" w:hAnsi="Palatino Linotype"/>
          <w:b/>
          <w:sz w:val="72"/>
          <w:szCs w:val="72"/>
        </w:rPr>
      </w:pPr>
    </w:p>
    <w:p w:rsidR="00573909" w:rsidRDefault="00573909" w:rsidP="00F96376">
      <w:pPr>
        <w:spacing w:line="276" w:lineRule="auto"/>
        <w:jc w:val="right"/>
        <w:rPr>
          <w:rFonts w:ascii="Palatino Linotype" w:hAnsi="Palatino Linotype"/>
          <w:b/>
          <w:sz w:val="28"/>
          <w:szCs w:val="28"/>
        </w:rPr>
      </w:pPr>
    </w:p>
    <w:p w:rsidR="00573909" w:rsidRDefault="0057390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r w:rsidRPr="001343F7">
        <w:rPr>
          <w:rFonts w:ascii="Palatino Linotype" w:hAnsi="Palatino Linotype"/>
          <w:b/>
          <w:sz w:val="28"/>
          <w:szCs w:val="28"/>
        </w:rPr>
        <w:t>Judith Bennett</w:t>
      </w:r>
    </w:p>
    <w:p w:rsidR="00F55F49" w:rsidRPr="001343F7" w:rsidRDefault="00F55F49" w:rsidP="00F96376">
      <w:pPr>
        <w:spacing w:line="276" w:lineRule="auto"/>
        <w:jc w:val="right"/>
        <w:rPr>
          <w:rFonts w:ascii="Palatino Linotype" w:hAnsi="Palatino Linotype"/>
          <w:b/>
          <w:sz w:val="28"/>
          <w:szCs w:val="28"/>
        </w:rPr>
      </w:pPr>
      <w:r w:rsidRPr="001343F7">
        <w:rPr>
          <w:rFonts w:ascii="Palatino Linotype" w:hAnsi="Palatino Linotype"/>
          <w:b/>
          <w:sz w:val="28"/>
          <w:szCs w:val="28"/>
        </w:rPr>
        <w:t>Martin Braund</w:t>
      </w:r>
    </w:p>
    <w:p w:rsidR="00F55F49" w:rsidRPr="001343F7" w:rsidRDefault="00F55F49" w:rsidP="00F96376">
      <w:pPr>
        <w:spacing w:line="276" w:lineRule="auto"/>
        <w:jc w:val="right"/>
        <w:rPr>
          <w:rFonts w:ascii="Palatino Linotype" w:hAnsi="Palatino Linotype"/>
          <w:b/>
          <w:sz w:val="28"/>
          <w:szCs w:val="28"/>
        </w:rPr>
      </w:pPr>
      <w:r w:rsidRPr="001343F7">
        <w:rPr>
          <w:rFonts w:ascii="Palatino Linotype" w:hAnsi="Palatino Linotype"/>
          <w:b/>
          <w:sz w:val="28"/>
          <w:szCs w:val="28"/>
        </w:rPr>
        <w:t>Rachael Sharpe</w:t>
      </w:r>
    </w:p>
    <w:p w:rsidR="00F55F49" w:rsidRPr="001343F7" w:rsidRDefault="00F55F4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p>
    <w:p w:rsidR="00F55F49" w:rsidRPr="001343F7" w:rsidRDefault="00F55F49" w:rsidP="00F96376">
      <w:pPr>
        <w:spacing w:line="276" w:lineRule="auto"/>
        <w:jc w:val="right"/>
        <w:rPr>
          <w:rFonts w:ascii="Palatino Linotype" w:hAnsi="Palatino Linotype"/>
          <w:b/>
          <w:sz w:val="28"/>
          <w:szCs w:val="28"/>
        </w:rPr>
      </w:pPr>
    </w:p>
    <w:p w:rsidR="00F55F49" w:rsidRDefault="00F55F49" w:rsidP="00F96376">
      <w:pPr>
        <w:spacing w:line="276" w:lineRule="auto"/>
        <w:jc w:val="right"/>
        <w:rPr>
          <w:rFonts w:ascii="Palatino Linotype" w:hAnsi="Palatino Linotype"/>
          <w:b/>
          <w:sz w:val="28"/>
          <w:szCs w:val="28"/>
        </w:rPr>
      </w:pPr>
    </w:p>
    <w:p w:rsidR="00D9487D" w:rsidRDefault="00D9487D" w:rsidP="00F96376">
      <w:pPr>
        <w:spacing w:line="276" w:lineRule="auto"/>
        <w:jc w:val="right"/>
        <w:rPr>
          <w:rFonts w:ascii="Palatino Linotype" w:hAnsi="Palatino Linotype"/>
          <w:b/>
          <w:sz w:val="28"/>
          <w:szCs w:val="28"/>
        </w:rPr>
      </w:pPr>
    </w:p>
    <w:p w:rsidR="001343F7" w:rsidRPr="009C5C08" w:rsidRDefault="00DC2DC7" w:rsidP="00F96376">
      <w:pPr>
        <w:spacing w:line="276" w:lineRule="auto"/>
        <w:jc w:val="right"/>
        <w:rPr>
          <w:rFonts w:ascii="Palatino Linotype" w:hAnsi="Palatino Linotype"/>
          <w:b/>
          <w:sz w:val="24"/>
          <w:szCs w:val="40"/>
        </w:rPr>
      </w:pPr>
      <w:r>
        <w:rPr>
          <w:rFonts w:ascii="Palatino Linotype" w:hAnsi="Palatino Linotype"/>
          <w:b/>
          <w:sz w:val="40"/>
          <w:szCs w:val="40"/>
        </w:rPr>
        <w:t>October</w:t>
      </w:r>
      <w:r w:rsidR="00F55F49" w:rsidRPr="001343F7">
        <w:rPr>
          <w:rFonts w:ascii="Palatino Linotype" w:hAnsi="Palatino Linotype"/>
          <w:b/>
          <w:sz w:val="40"/>
          <w:szCs w:val="40"/>
        </w:rPr>
        <w:t xml:space="preserve"> 2013</w:t>
      </w:r>
    </w:p>
    <w:p w:rsidR="009402DB" w:rsidRDefault="009402DB" w:rsidP="00F96376">
      <w:pPr>
        <w:spacing w:line="276" w:lineRule="auto"/>
        <w:jc w:val="right"/>
        <w:rPr>
          <w:rFonts w:ascii="Palatino Linotype" w:hAnsi="Palatino Linotype"/>
          <w:b/>
          <w:sz w:val="24"/>
          <w:szCs w:val="40"/>
        </w:rPr>
      </w:pPr>
    </w:p>
    <w:p w:rsidR="00200221" w:rsidRPr="009C5C08" w:rsidRDefault="00200221" w:rsidP="00F96376">
      <w:pPr>
        <w:spacing w:line="276" w:lineRule="auto"/>
        <w:jc w:val="right"/>
        <w:rPr>
          <w:rFonts w:ascii="Palatino Linotype" w:hAnsi="Palatino Linotype"/>
          <w:b/>
          <w:sz w:val="24"/>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6"/>
        <w:gridCol w:w="4180"/>
      </w:tblGrid>
      <w:tr w:rsidR="001343F7" w:rsidRPr="001343F7" w:rsidTr="009C5C08">
        <w:tc>
          <w:tcPr>
            <w:tcW w:w="4643" w:type="dxa"/>
          </w:tcPr>
          <w:p w:rsidR="001343F7" w:rsidRPr="001343F7" w:rsidRDefault="001343F7" w:rsidP="00F96376">
            <w:pPr>
              <w:spacing w:line="276" w:lineRule="auto"/>
              <w:jc w:val="right"/>
              <w:rPr>
                <w:rFonts w:ascii="Palatino Linotype" w:hAnsi="Palatino Linotype"/>
                <w:b/>
                <w:sz w:val="40"/>
                <w:szCs w:val="40"/>
              </w:rPr>
            </w:pPr>
            <w:r w:rsidRPr="001343F7">
              <w:rPr>
                <w:rFonts w:ascii="Palatino Linotype" w:hAnsi="Palatino Linotype"/>
                <w:noProof/>
              </w:rPr>
              <w:drawing>
                <wp:inline distT="0" distB="0" distL="0" distR="0" wp14:anchorId="2A757C45" wp14:editId="782D28BF">
                  <wp:extent cx="3105150"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r="-16229" b="-20689"/>
                          <a:stretch>
                            <a:fillRect/>
                          </a:stretch>
                        </pic:blipFill>
                        <pic:spPr bwMode="auto">
                          <a:xfrm>
                            <a:off x="0" y="0"/>
                            <a:ext cx="3105150" cy="438150"/>
                          </a:xfrm>
                          <a:prstGeom prst="rect">
                            <a:avLst/>
                          </a:prstGeom>
                          <a:noFill/>
                          <a:ln w="9525">
                            <a:noFill/>
                            <a:miter lim="800000"/>
                            <a:headEnd/>
                            <a:tailEnd/>
                          </a:ln>
                        </pic:spPr>
                      </pic:pic>
                    </a:graphicData>
                  </a:graphic>
                </wp:inline>
              </w:drawing>
            </w:r>
          </w:p>
        </w:tc>
        <w:tc>
          <w:tcPr>
            <w:tcW w:w="4643" w:type="dxa"/>
          </w:tcPr>
          <w:p w:rsidR="001343F7" w:rsidRPr="009C5C08" w:rsidRDefault="001343F7" w:rsidP="00F96376">
            <w:pPr>
              <w:spacing w:line="276" w:lineRule="auto"/>
              <w:jc w:val="right"/>
              <w:rPr>
                <w:rFonts w:ascii="Palatino Linotype" w:hAnsi="Palatino Linotype"/>
                <w:sz w:val="40"/>
                <w:szCs w:val="40"/>
              </w:rPr>
            </w:pPr>
            <w:r w:rsidRPr="009C5C08">
              <w:rPr>
                <w:rFonts w:ascii="Palatino Linotype" w:hAnsi="Palatino Linotype"/>
                <w:sz w:val="32"/>
                <w:szCs w:val="40"/>
              </w:rPr>
              <w:t>Department of Education</w:t>
            </w:r>
          </w:p>
        </w:tc>
      </w:tr>
    </w:tbl>
    <w:p w:rsidR="008E151D" w:rsidRDefault="008E151D" w:rsidP="00F96376">
      <w:pPr>
        <w:tabs>
          <w:tab w:val="clear" w:pos="567"/>
        </w:tabs>
        <w:overflowPunct/>
        <w:autoSpaceDE/>
        <w:autoSpaceDN/>
        <w:adjustRightInd/>
        <w:spacing w:after="200" w:line="276" w:lineRule="auto"/>
        <w:rPr>
          <w:rFonts w:ascii="Palatino Linotype" w:hAnsi="Palatino Linotype"/>
          <w:b/>
          <w:sz w:val="22"/>
          <w:szCs w:val="22"/>
        </w:rPr>
        <w:sectPr w:rsidR="008E151D" w:rsidSect="00F96376">
          <w:footerReference w:type="default" r:id="rId10"/>
          <w:pgSz w:w="11906" w:h="16838"/>
          <w:pgMar w:top="1134" w:right="1418" w:bottom="1418" w:left="1418" w:header="709" w:footer="709" w:gutter="0"/>
          <w:cols w:space="708"/>
          <w:titlePg/>
          <w:docGrid w:linePitch="360"/>
        </w:sectPr>
      </w:pPr>
    </w:p>
    <w:p w:rsidR="009402DB" w:rsidRPr="009402DB" w:rsidRDefault="009402DB" w:rsidP="00D9487D">
      <w:pPr>
        <w:spacing w:line="240" w:lineRule="auto"/>
        <w:rPr>
          <w:rFonts w:ascii="Palatino Linotype" w:hAnsi="Palatino Linotype"/>
          <w:b/>
          <w:color w:val="1F497D" w:themeColor="text2"/>
          <w:sz w:val="22"/>
          <w:szCs w:val="22"/>
        </w:rPr>
      </w:pPr>
      <w:r w:rsidRPr="009402DB">
        <w:rPr>
          <w:rFonts w:ascii="Palatino Linotype" w:hAnsi="Palatino Linotype"/>
          <w:b/>
          <w:color w:val="1F497D" w:themeColor="text2"/>
          <w:sz w:val="22"/>
          <w:szCs w:val="22"/>
        </w:rPr>
        <w:lastRenderedPageBreak/>
        <w:t>Contents</w:t>
      </w:r>
    </w:p>
    <w:p w:rsidR="008041DC" w:rsidRDefault="008041DC" w:rsidP="00D9487D">
      <w:pPr>
        <w:spacing w:line="240" w:lineRule="auto"/>
        <w:rPr>
          <w:rFonts w:ascii="Palatino Linotype" w:hAnsi="Palatino Linotype"/>
          <w:b/>
          <w:sz w:val="22"/>
          <w:szCs w:val="22"/>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8"/>
        <w:gridCol w:w="7709"/>
        <w:gridCol w:w="709"/>
      </w:tblGrid>
      <w:tr w:rsidR="000E115F" w:rsidTr="0018719B">
        <w:tc>
          <w:tcPr>
            <w:tcW w:w="467" w:type="pct"/>
          </w:tcPr>
          <w:p w:rsidR="000E115F" w:rsidRPr="009402DB" w:rsidRDefault="000E115F" w:rsidP="00D9487D">
            <w:pPr>
              <w:spacing w:line="240" w:lineRule="auto"/>
              <w:rPr>
                <w:rFonts w:ascii="Palatino Linotype" w:hAnsi="Palatino Linotype"/>
                <w:i/>
                <w:sz w:val="22"/>
                <w:szCs w:val="22"/>
              </w:rPr>
            </w:pPr>
            <w:r w:rsidRPr="000E115F">
              <w:rPr>
                <w:rFonts w:ascii="Palatino Linotype" w:hAnsi="Palatino Linotype"/>
                <w:i/>
                <w:sz w:val="22"/>
                <w:szCs w:val="22"/>
              </w:rPr>
              <w:t>Section</w:t>
            </w:r>
          </w:p>
        </w:tc>
        <w:tc>
          <w:tcPr>
            <w:tcW w:w="4151" w:type="pct"/>
          </w:tcPr>
          <w:p w:rsidR="000E115F" w:rsidRPr="009402DB" w:rsidRDefault="000E115F" w:rsidP="00D9487D">
            <w:pPr>
              <w:spacing w:line="240" w:lineRule="auto"/>
              <w:rPr>
                <w:rFonts w:ascii="Palatino Linotype" w:hAnsi="Palatino Linotype"/>
                <w:i/>
                <w:sz w:val="22"/>
                <w:szCs w:val="22"/>
              </w:rPr>
            </w:pPr>
          </w:p>
        </w:tc>
        <w:tc>
          <w:tcPr>
            <w:tcW w:w="382" w:type="pct"/>
          </w:tcPr>
          <w:p w:rsidR="000E115F" w:rsidRPr="009402DB" w:rsidRDefault="000E115F" w:rsidP="00D9487D">
            <w:pPr>
              <w:spacing w:line="240" w:lineRule="auto"/>
              <w:jc w:val="center"/>
              <w:rPr>
                <w:rFonts w:ascii="Palatino Linotype" w:hAnsi="Palatino Linotype"/>
                <w:i/>
                <w:sz w:val="22"/>
                <w:szCs w:val="22"/>
              </w:rPr>
            </w:pPr>
            <w:r w:rsidRPr="009402DB">
              <w:rPr>
                <w:rFonts w:ascii="Palatino Linotype" w:hAnsi="Palatino Linotype"/>
                <w:i/>
                <w:sz w:val="22"/>
                <w:szCs w:val="22"/>
              </w:rPr>
              <w:t>Page</w:t>
            </w:r>
          </w:p>
          <w:p w:rsidR="000E115F" w:rsidRPr="009402DB" w:rsidRDefault="000E115F" w:rsidP="00D9487D">
            <w:pPr>
              <w:spacing w:line="240" w:lineRule="auto"/>
              <w:jc w:val="center"/>
              <w:rPr>
                <w:rFonts w:ascii="Palatino Linotype" w:hAnsi="Palatino Linotype"/>
                <w:i/>
                <w:sz w:val="22"/>
                <w:szCs w:val="22"/>
              </w:rPr>
            </w:pPr>
          </w:p>
        </w:tc>
      </w:tr>
      <w:tr w:rsidR="000E115F" w:rsidTr="0018719B">
        <w:tc>
          <w:tcPr>
            <w:tcW w:w="467" w:type="pct"/>
          </w:tcPr>
          <w:p w:rsidR="000E115F" w:rsidRDefault="000E115F" w:rsidP="00D9487D">
            <w:pPr>
              <w:spacing w:line="240" w:lineRule="auto"/>
              <w:rPr>
                <w:rFonts w:ascii="Palatino Linotype" w:hAnsi="Palatino Linotype"/>
                <w:sz w:val="22"/>
                <w:szCs w:val="22"/>
              </w:rPr>
            </w:pPr>
          </w:p>
        </w:tc>
        <w:tc>
          <w:tcPr>
            <w:tcW w:w="4151" w:type="pct"/>
          </w:tcPr>
          <w:p w:rsidR="000E115F" w:rsidRPr="00D63BAB" w:rsidRDefault="00D63BAB" w:rsidP="00D63BAB">
            <w:pPr>
              <w:spacing w:line="240" w:lineRule="auto"/>
              <w:rPr>
                <w:rFonts w:ascii="Palatino Linotype" w:hAnsi="Palatino Linotype"/>
                <w:b/>
                <w:color w:val="1F497D" w:themeColor="text2"/>
                <w:sz w:val="22"/>
                <w:szCs w:val="22"/>
              </w:rPr>
            </w:pPr>
            <w:r w:rsidRPr="00D63BAB">
              <w:rPr>
                <w:rFonts w:ascii="Palatino Linotype" w:hAnsi="Palatino Linotype"/>
                <w:b/>
                <w:color w:val="1F497D" w:themeColor="text2"/>
                <w:sz w:val="22"/>
                <w:szCs w:val="22"/>
              </w:rPr>
              <w:t>Overview of the report</w:t>
            </w:r>
          </w:p>
          <w:p w:rsidR="00D63BAB" w:rsidRPr="009402DB" w:rsidRDefault="00D63BAB" w:rsidP="00D63BAB">
            <w:pPr>
              <w:spacing w:line="240" w:lineRule="auto"/>
              <w:rPr>
                <w:rFonts w:ascii="Palatino Linotype" w:hAnsi="Palatino Linotype"/>
                <w:sz w:val="22"/>
                <w:szCs w:val="22"/>
              </w:rPr>
            </w:pPr>
          </w:p>
        </w:tc>
        <w:tc>
          <w:tcPr>
            <w:tcW w:w="382" w:type="pct"/>
          </w:tcPr>
          <w:p w:rsidR="000E115F" w:rsidRPr="00330A91" w:rsidRDefault="00330A91" w:rsidP="00D9487D">
            <w:pPr>
              <w:spacing w:line="240" w:lineRule="auto"/>
              <w:jc w:val="center"/>
              <w:rPr>
                <w:rFonts w:ascii="Palatino Linotype" w:hAnsi="Palatino Linotype"/>
                <w:sz w:val="22"/>
                <w:szCs w:val="22"/>
              </w:rPr>
            </w:pPr>
            <w:r w:rsidRPr="00330A91">
              <w:rPr>
                <w:rFonts w:ascii="Palatino Linotype" w:hAnsi="Palatino Linotype"/>
                <w:sz w:val="22"/>
                <w:szCs w:val="22"/>
              </w:rPr>
              <w:t>3</w:t>
            </w:r>
          </w:p>
        </w:tc>
      </w:tr>
      <w:tr w:rsidR="00D63BAB" w:rsidTr="0018719B">
        <w:tc>
          <w:tcPr>
            <w:tcW w:w="467" w:type="pct"/>
          </w:tcPr>
          <w:p w:rsidR="00D63BAB" w:rsidRPr="000E115F" w:rsidRDefault="00D63BAB" w:rsidP="00D9487D">
            <w:pPr>
              <w:spacing w:line="240" w:lineRule="auto"/>
              <w:rPr>
                <w:rFonts w:ascii="Palatino Linotype" w:hAnsi="Palatino Linotype"/>
                <w:b/>
                <w:sz w:val="22"/>
                <w:szCs w:val="22"/>
              </w:rPr>
            </w:pPr>
          </w:p>
        </w:tc>
        <w:tc>
          <w:tcPr>
            <w:tcW w:w="4151" w:type="pct"/>
          </w:tcPr>
          <w:p w:rsidR="00D63BAB" w:rsidRDefault="006B1C06" w:rsidP="00D9487D">
            <w:pPr>
              <w:spacing w:line="240" w:lineRule="auto"/>
              <w:rPr>
                <w:rFonts w:ascii="Palatino Linotype" w:hAnsi="Palatino Linotype"/>
                <w:b/>
                <w:color w:val="1F497D" w:themeColor="text2"/>
                <w:sz w:val="22"/>
                <w:szCs w:val="22"/>
              </w:rPr>
            </w:pPr>
            <w:r>
              <w:rPr>
                <w:rFonts w:ascii="Palatino Linotype" w:hAnsi="Palatino Linotype"/>
                <w:b/>
                <w:color w:val="1F497D" w:themeColor="text2"/>
                <w:sz w:val="22"/>
                <w:szCs w:val="22"/>
              </w:rPr>
              <w:t>Executive summary</w:t>
            </w:r>
          </w:p>
          <w:p w:rsidR="00D63BAB" w:rsidRPr="00F96376" w:rsidRDefault="00D63BAB" w:rsidP="00D9487D">
            <w:pPr>
              <w:spacing w:line="240" w:lineRule="auto"/>
              <w:rPr>
                <w:rFonts w:ascii="Palatino Linotype" w:hAnsi="Palatino Linotype"/>
                <w:b/>
                <w:color w:val="1F497D" w:themeColor="text2"/>
                <w:sz w:val="22"/>
                <w:szCs w:val="22"/>
              </w:rPr>
            </w:pPr>
          </w:p>
        </w:tc>
        <w:tc>
          <w:tcPr>
            <w:tcW w:w="382" w:type="pct"/>
          </w:tcPr>
          <w:p w:rsidR="00D63BAB" w:rsidRPr="00330A91" w:rsidRDefault="009273AA" w:rsidP="00D9487D">
            <w:pPr>
              <w:spacing w:line="240" w:lineRule="auto"/>
              <w:jc w:val="center"/>
              <w:rPr>
                <w:rFonts w:ascii="Palatino Linotype" w:hAnsi="Palatino Linotype"/>
                <w:sz w:val="22"/>
                <w:szCs w:val="22"/>
              </w:rPr>
            </w:pPr>
            <w:r>
              <w:rPr>
                <w:rFonts w:ascii="Palatino Linotype" w:hAnsi="Palatino Linotype"/>
                <w:sz w:val="22"/>
                <w:szCs w:val="22"/>
              </w:rPr>
              <w:t>4</w:t>
            </w:r>
          </w:p>
        </w:tc>
      </w:tr>
      <w:tr w:rsidR="00D63BAB" w:rsidTr="0018719B">
        <w:tc>
          <w:tcPr>
            <w:tcW w:w="467" w:type="pct"/>
          </w:tcPr>
          <w:p w:rsidR="00D63BAB" w:rsidRPr="00D63BAB" w:rsidRDefault="00D63BAB" w:rsidP="00D63BAB">
            <w:pPr>
              <w:spacing w:line="240" w:lineRule="auto"/>
              <w:rPr>
                <w:rFonts w:ascii="Palatino Linotype" w:hAnsi="Palatino Linotype"/>
                <w:b/>
                <w:color w:val="1F497D" w:themeColor="text2"/>
                <w:sz w:val="22"/>
                <w:szCs w:val="22"/>
              </w:rPr>
            </w:pPr>
            <w:r w:rsidRPr="00D63BAB">
              <w:rPr>
                <w:rFonts w:ascii="Palatino Linotype" w:hAnsi="Palatino Linotype"/>
                <w:b/>
                <w:color w:val="1F497D" w:themeColor="text2"/>
                <w:sz w:val="22"/>
                <w:szCs w:val="22"/>
              </w:rPr>
              <w:t xml:space="preserve">Part 1 </w:t>
            </w:r>
          </w:p>
          <w:p w:rsidR="00D63BAB" w:rsidRPr="000E115F" w:rsidRDefault="00D63BAB" w:rsidP="00D9487D">
            <w:pPr>
              <w:spacing w:line="240" w:lineRule="auto"/>
              <w:rPr>
                <w:rFonts w:ascii="Palatino Linotype" w:hAnsi="Palatino Linotype"/>
                <w:b/>
                <w:sz w:val="22"/>
                <w:szCs w:val="22"/>
              </w:rPr>
            </w:pPr>
          </w:p>
        </w:tc>
        <w:tc>
          <w:tcPr>
            <w:tcW w:w="4151" w:type="pct"/>
          </w:tcPr>
          <w:p w:rsidR="00D63BAB" w:rsidRPr="00F96376" w:rsidRDefault="00D63BAB" w:rsidP="00D9487D">
            <w:pPr>
              <w:spacing w:line="240" w:lineRule="auto"/>
              <w:rPr>
                <w:rFonts w:ascii="Palatino Linotype" w:hAnsi="Palatino Linotype"/>
                <w:b/>
                <w:color w:val="1F497D" w:themeColor="text2"/>
                <w:sz w:val="22"/>
                <w:szCs w:val="22"/>
              </w:rPr>
            </w:pPr>
            <w:r w:rsidRPr="00D63BAB">
              <w:rPr>
                <w:rFonts w:ascii="Palatino Linotype" w:hAnsi="Palatino Linotype"/>
                <w:b/>
                <w:color w:val="1F497D" w:themeColor="text2"/>
                <w:sz w:val="22"/>
                <w:szCs w:val="22"/>
              </w:rPr>
              <w:t>The literature review</w:t>
            </w:r>
          </w:p>
        </w:tc>
        <w:tc>
          <w:tcPr>
            <w:tcW w:w="382" w:type="pct"/>
          </w:tcPr>
          <w:p w:rsidR="00D63BAB" w:rsidRPr="0030037E" w:rsidRDefault="00D63BAB" w:rsidP="00D9487D">
            <w:pPr>
              <w:spacing w:line="240" w:lineRule="auto"/>
              <w:jc w:val="center"/>
              <w:rPr>
                <w:rFonts w:ascii="Palatino Linotype" w:hAnsi="Palatino Linotype"/>
                <w:color w:val="FF0000"/>
                <w:sz w:val="22"/>
                <w:szCs w:val="22"/>
              </w:rPr>
            </w:pPr>
          </w:p>
        </w:tc>
      </w:tr>
      <w:tr w:rsidR="000E115F" w:rsidTr="0018719B">
        <w:tc>
          <w:tcPr>
            <w:tcW w:w="467" w:type="pct"/>
          </w:tcPr>
          <w:p w:rsidR="00A12E8B" w:rsidRPr="00A12E8B" w:rsidRDefault="000E115F" w:rsidP="00D9487D">
            <w:pPr>
              <w:spacing w:line="240" w:lineRule="auto"/>
              <w:rPr>
                <w:rFonts w:ascii="Palatino Linotype" w:hAnsi="Palatino Linotype"/>
                <w:b/>
                <w:sz w:val="22"/>
                <w:szCs w:val="22"/>
              </w:rPr>
            </w:pPr>
            <w:r w:rsidRPr="000E115F">
              <w:rPr>
                <w:rFonts w:ascii="Palatino Linotype" w:hAnsi="Palatino Linotype"/>
                <w:b/>
                <w:sz w:val="22"/>
                <w:szCs w:val="22"/>
              </w:rPr>
              <w:t>1</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1.1</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1.2</w:t>
            </w:r>
          </w:p>
          <w:p w:rsidR="000E115F" w:rsidRDefault="000E115F" w:rsidP="00D9487D">
            <w:pPr>
              <w:spacing w:line="240" w:lineRule="auto"/>
              <w:rPr>
                <w:rFonts w:ascii="Palatino Linotype" w:hAnsi="Palatino Linotype"/>
                <w:sz w:val="22"/>
                <w:szCs w:val="22"/>
              </w:rPr>
            </w:pPr>
          </w:p>
        </w:tc>
        <w:tc>
          <w:tcPr>
            <w:tcW w:w="4151" w:type="pct"/>
          </w:tcPr>
          <w:p w:rsidR="000E115F" w:rsidRPr="00A12E8B" w:rsidRDefault="000E115F" w:rsidP="00D9487D">
            <w:pPr>
              <w:spacing w:line="240" w:lineRule="auto"/>
              <w:rPr>
                <w:rFonts w:ascii="Palatino Linotype" w:hAnsi="Palatino Linotype"/>
                <w:b/>
                <w:color w:val="1F497D" w:themeColor="text2"/>
                <w:sz w:val="22"/>
                <w:szCs w:val="22"/>
              </w:rPr>
            </w:pPr>
            <w:r w:rsidRPr="00F96376">
              <w:rPr>
                <w:rFonts w:ascii="Palatino Linotype" w:hAnsi="Palatino Linotype"/>
                <w:b/>
                <w:color w:val="1F497D" w:themeColor="text2"/>
                <w:sz w:val="22"/>
                <w:szCs w:val="22"/>
              </w:rPr>
              <w:t>Introduction</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The nature of the problem</w:t>
            </w:r>
          </w:p>
          <w:p w:rsidR="000E115F" w:rsidRPr="009402DB" w:rsidRDefault="000E115F" w:rsidP="00D9487D">
            <w:pPr>
              <w:spacing w:line="240" w:lineRule="auto"/>
              <w:rPr>
                <w:rFonts w:ascii="Palatino Linotype" w:hAnsi="Palatino Linotype"/>
                <w:sz w:val="22"/>
                <w:szCs w:val="22"/>
              </w:rPr>
            </w:pPr>
            <w:r>
              <w:rPr>
                <w:rFonts w:ascii="Palatino Linotype" w:hAnsi="Palatino Linotype"/>
                <w:sz w:val="22"/>
                <w:szCs w:val="22"/>
              </w:rPr>
              <w:t>Why look at attitudes?</w:t>
            </w:r>
          </w:p>
        </w:tc>
        <w:tc>
          <w:tcPr>
            <w:tcW w:w="382" w:type="pct"/>
          </w:tcPr>
          <w:p w:rsidR="000E115F" w:rsidRPr="00AD1523" w:rsidRDefault="000E115F" w:rsidP="00AC0A7A">
            <w:pPr>
              <w:spacing w:line="240" w:lineRule="auto"/>
              <w:jc w:val="center"/>
              <w:rPr>
                <w:rFonts w:ascii="Palatino Linotype" w:hAnsi="Palatino Linotype"/>
                <w:sz w:val="22"/>
                <w:szCs w:val="22"/>
              </w:rPr>
            </w:pPr>
          </w:p>
          <w:p w:rsidR="000E115F" w:rsidRPr="00AD15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12</w:t>
            </w:r>
          </w:p>
          <w:p w:rsidR="000E115F" w:rsidRPr="0030037E" w:rsidRDefault="003A11A0" w:rsidP="00D9487D">
            <w:pPr>
              <w:spacing w:line="240" w:lineRule="auto"/>
              <w:jc w:val="center"/>
              <w:rPr>
                <w:rFonts w:ascii="Palatino Linotype" w:hAnsi="Palatino Linotype"/>
                <w:color w:val="FF0000"/>
                <w:sz w:val="22"/>
                <w:szCs w:val="22"/>
              </w:rPr>
            </w:pPr>
            <w:r>
              <w:rPr>
                <w:rFonts w:ascii="Palatino Linotype" w:hAnsi="Palatino Linotype"/>
                <w:sz w:val="22"/>
                <w:szCs w:val="22"/>
              </w:rPr>
              <w:t>14</w:t>
            </w:r>
          </w:p>
        </w:tc>
      </w:tr>
      <w:tr w:rsidR="000E115F" w:rsidRPr="00942023" w:rsidTr="0018719B">
        <w:tc>
          <w:tcPr>
            <w:tcW w:w="467" w:type="pct"/>
          </w:tcPr>
          <w:p w:rsidR="000E115F" w:rsidRPr="00A12E8B" w:rsidRDefault="000E115F" w:rsidP="00D9487D">
            <w:pPr>
              <w:spacing w:line="240" w:lineRule="auto"/>
              <w:rPr>
                <w:rFonts w:ascii="Palatino Linotype" w:hAnsi="Palatino Linotype"/>
                <w:b/>
                <w:sz w:val="22"/>
                <w:szCs w:val="22"/>
              </w:rPr>
            </w:pPr>
            <w:r w:rsidRPr="000E115F">
              <w:rPr>
                <w:rFonts w:ascii="Palatino Linotype" w:hAnsi="Palatino Linotype"/>
                <w:b/>
                <w:sz w:val="22"/>
                <w:szCs w:val="22"/>
              </w:rPr>
              <w:t>2</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2.1</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2.2</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2.3</w:t>
            </w:r>
          </w:p>
          <w:p w:rsidR="000E115F" w:rsidRPr="009402DB" w:rsidRDefault="000E115F" w:rsidP="00D9487D">
            <w:pPr>
              <w:spacing w:line="240" w:lineRule="auto"/>
              <w:rPr>
                <w:rFonts w:ascii="Palatino Linotype" w:hAnsi="Palatino Linotype"/>
                <w:sz w:val="22"/>
                <w:szCs w:val="22"/>
              </w:rPr>
            </w:pPr>
          </w:p>
        </w:tc>
        <w:tc>
          <w:tcPr>
            <w:tcW w:w="4151" w:type="pct"/>
          </w:tcPr>
          <w:p w:rsidR="000E115F" w:rsidRPr="00A12E8B" w:rsidRDefault="000E115F" w:rsidP="00D9487D">
            <w:pPr>
              <w:spacing w:line="240" w:lineRule="auto"/>
              <w:rPr>
                <w:rFonts w:ascii="Palatino Linotype" w:hAnsi="Palatino Linotype"/>
                <w:b/>
                <w:color w:val="1F497D" w:themeColor="text2"/>
                <w:sz w:val="22"/>
                <w:szCs w:val="22"/>
              </w:rPr>
            </w:pPr>
            <w:r w:rsidRPr="00F96376">
              <w:rPr>
                <w:rFonts w:ascii="Palatino Linotype" w:hAnsi="Palatino Linotype"/>
                <w:b/>
                <w:color w:val="1F497D" w:themeColor="text2"/>
                <w:sz w:val="22"/>
                <w:szCs w:val="22"/>
              </w:rPr>
              <w:t>The scope, methods and structure of the literature review</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The scope of the review</w:t>
            </w:r>
          </w:p>
          <w:p w:rsidR="000E115F" w:rsidRPr="00D601FD" w:rsidRDefault="000E115F" w:rsidP="00D9487D">
            <w:pPr>
              <w:spacing w:line="240" w:lineRule="auto"/>
              <w:rPr>
                <w:rFonts w:ascii="Palatino Linotype" w:hAnsi="Palatino Linotype"/>
                <w:sz w:val="22"/>
                <w:szCs w:val="22"/>
              </w:rPr>
            </w:pPr>
            <w:r w:rsidRPr="00D601FD">
              <w:rPr>
                <w:rFonts w:ascii="Palatino Linotype" w:hAnsi="Palatino Linotype"/>
                <w:sz w:val="22"/>
                <w:szCs w:val="22"/>
              </w:rPr>
              <w:t xml:space="preserve">The review methods employed and criteria for inclusion of </w:t>
            </w:r>
            <w:r w:rsidR="0018719B">
              <w:rPr>
                <w:rFonts w:ascii="Palatino Linotype" w:hAnsi="Palatino Linotype"/>
                <w:sz w:val="22"/>
                <w:szCs w:val="22"/>
              </w:rPr>
              <w:t xml:space="preserve">empirical </w:t>
            </w:r>
            <w:r w:rsidRPr="00D601FD">
              <w:rPr>
                <w:rFonts w:ascii="Palatino Linotype" w:hAnsi="Palatino Linotype"/>
                <w:sz w:val="22"/>
                <w:szCs w:val="22"/>
              </w:rPr>
              <w:t>studies</w:t>
            </w:r>
          </w:p>
          <w:p w:rsidR="000E115F" w:rsidRPr="009402DB" w:rsidRDefault="000E115F" w:rsidP="00D9487D">
            <w:pPr>
              <w:spacing w:line="240" w:lineRule="auto"/>
              <w:rPr>
                <w:rFonts w:ascii="Palatino Linotype" w:hAnsi="Palatino Linotype"/>
                <w:sz w:val="22"/>
                <w:szCs w:val="22"/>
              </w:rPr>
            </w:pPr>
            <w:r>
              <w:rPr>
                <w:rFonts w:ascii="Palatino Linotype" w:hAnsi="Palatino Linotype"/>
                <w:sz w:val="22"/>
                <w:szCs w:val="22"/>
              </w:rPr>
              <w:t>The structure of the review</w:t>
            </w:r>
          </w:p>
        </w:tc>
        <w:tc>
          <w:tcPr>
            <w:tcW w:w="382" w:type="pct"/>
          </w:tcPr>
          <w:p w:rsidR="00AC0A7A" w:rsidRDefault="00AC0A7A" w:rsidP="00D9487D">
            <w:pPr>
              <w:spacing w:line="240" w:lineRule="auto"/>
              <w:jc w:val="center"/>
              <w:rPr>
                <w:rFonts w:ascii="Palatino Linotype" w:hAnsi="Palatino Linotype"/>
                <w:sz w:val="22"/>
                <w:szCs w:val="22"/>
              </w:rPr>
            </w:pPr>
          </w:p>
          <w:p w:rsidR="000E115F"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15</w:t>
            </w:r>
          </w:p>
          <w:p w:rsidR="000E115F" w:rsidRPr="00942023" w:rsidRDefault="003A11A0" w:rsidP="0018719B">
            <w:pPr>
              <w:spacing w:line="240" w:lineRule="auto"/>
              <w:jc w:val="center"/>
              <w:rPr>
                <w:rFonts w:ascii="Palatino Linotype" w:hAnsi="Palatino Linotype"/>
                <w:sz w:val="22"/>
                <w:szCs w:val="22"/>
              </w:rPr>
            </w:pPr>
            <w:r>
              <w:rPr>
                <w:rFonts w:ascii="Palatino Linotype" w:hAnsi="Palatino Linotype"/>
                <w:sz w:val="22"/>
                <w:szCs w:val="22"/>
              </w:rPr>
              <w:t>15</w:t>
            </w:r>
          </w:p>
          <w:p w:rsidR="000E115F"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15</w:t>
            </w:r>
          </w:p>
        </w:tc>
      </w:tr>
      <w:tr w:rsidR="000E115F" w:rsidTr="0018719B">
        <w:tc>
          <w:tcPr>
            <w:tcW w:w="467" w:type="pct"/>
          </w:tcPr>
          <w:p w:rsidR="000E115F" w:rsidRPr="00A12E8B" w:rsidRDefault="000E115F" w:rsidP="00D9487D">
            <w:pPr>
              <w:spacing w:line="240" w:lineRule="auto"/>
              <w:rPr>
                <w:rFonts w:ascii="Palatino Linotype" w:hAnsi="Palatino Linotype"/>
                <w:b/>
                <w:sz w:val="22"/>
                <w:szCs w:val="22"/>
              </w:rPr>
            </w:pPr>
            <w:r w:rsidRPr="000E115F">
              <w:rPr>
                <w:rFonts w:ascii="Palatino Linotype" w:hAnsi="Palatino Linotype"/>
                <w:b/>
                <w:sz w:val="22"/>
                <w:szCs w:val="22"/>
              </w:rPr>
              <w:t>3</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3.1</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3.2</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3.3</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3.4</w:t>
            </w:r>
          </w:p>
          <w:p w:rsidR="000E115F" w:rsidRPr="009402DB" w:rsidRDefault="000E115F" w:rsidP="00D9487D">
            <w:pPr>
              <w:spacing w:line="240" w:lineRule="auto"/>
              <w:rPr>
                <w:rFonts w:ascii="Palatino Linotype" w:hAnsi="Palatino Linotype"/>
                <w:sz w:val="22"/>
                <w:szCs w:val="22"/>
              </w:rPr>
            </w:pPr>
          </w:p>
        </w:tc>
        <w:tc>
          <w:tcPr>
            <w:tcW w:w="4151" w:type="pct"/>
          </w:tcPr>
          <w:p w:rsidR="000E115F" w:rsidRPr="00A12E8B" w:rsidRDefault="000E115F" w:rsidP="00D9487D">
            <w:pPr>
              <w:spacing w:line="240" w:lineRule="auto"/>
              <w:rPr>
                <w:rFonts w:ascii="Palatino Linotype" w:hAnsi="Palatino Linotype"/>
                <w:b/>
                <w:color w:val="1F497D" w:themeColor="text2"/>
                <w:sz w:val="22"/>
                <w:szCs w:val="22"/>
              </w:rPr>
            </w:pPr>
            <w:r w:rsidRPr="00F96376">
              <w:rPr>
                <w:rFonts w:ascii="Palatino Linotype" w:hAnsi="Palatino Linotype"/>
                <w:b/>
                <w:color w:val="1F497D" w:themeColor="text2"/>
                <w:sz w:val="22"/>
                <w:szCs w:val="22"/>
              </w:rPr>
              <w:t>Evidence from the literature review</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Systemic factors</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School factors</w:t>
            </w:r>
          </w:p>
          <w:p w:rsidR="000E115F" w:rsidRDefault="000E115F" w:rsidP="00D9487D">
            <w:pPr>
              <w:spacing w:line="240" w:lineRule="auto"/>
              <w:rPr>
                <w:rFonts w:ascii="Palatino Linotype" w:hAnsi="Palatino Linotype"/>
                <w:sz w:val="22"/>
                <w:szCs w:val="22"/>
              </w:rPr>
            </w:pPr>
            <w:r>
              <w:rPr>
                <w:rFonts w:ascii="Palatino Linotype" w:hAnsi="Palatino Linotype"/>
                <w:sz w:val="22"/>
                <w:szCs w:val="22"/>
              </w:rPr>
              <w:t>Individual factors</w:t>
            </w:r>
            <w:bookmarkStart w:id="0" w:name="_GoBack"/>
            <w:bookmarkEnd w:id="0"/>
          </w:p>
          <w:p w:rsidR="000E115F" w:rsidRPr="009402DB" w:rsidRDefault="000E115F" w:rsidP="00D9487D">
            <w:pPr>
              <w:spacing w:line="240" w:lineRule="auto"/>
              <w:rPr>
                <w:rFonts w:ascii="Palatino Linotype" w:hAnsi="Palatino Linotype"/>
                <w:sz w:val="22"/>
                <w:szCs w:val="22"/>
              </w:rPr>
            </w:pPr>
            <w:r>
              <w:rPr>
                <w:rFonts w:ascii="Palatino Linotype" w:hAnsi="Palatino Linotype"/>
                <w:sz w:val="22"/>
                <w:szCs w:val="22"/>
              </w:rPr>
              <w:t>External factors</w:t>
            </w:r>
          </w:p>
        </w:tc>
        <w:tc>
          <w:tcPr>
            <w:tcW w:w="382" w:type="pct"/>
          </w:tcPr>
          <w:p w:rsidR="000E115F" w:rsidRPr="00942023" w:rsidRDefault="000E115F" w:rsidP="00A12E8B">
            <w:pPr>
              <w:spacing w:line="240" w:lineRule="auto"/>
              <w:jc w:val="center"/>
              <w:rPr>
                <w:rFonts w:ascii="Palatino Linotype" w:hAnsi="Palatino Linotype"/>
                <w:sz w:val="22"/>
                <w:szCs w:val="22"/>
              </w:rPr>
            </w:pPr>
          </w:p>
          <w:p w:rsidR="000E115F"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16</w:t>
            </w:r>
          </w:p>
          <w:p w:rsidR="00C92AA3"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17</w:t>
            </w:r>
          </w:p>
          <w:p w:rsidR="00C92AA3"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23</w:t>
            </w:r>
          </w:p>
          <w:p w:rsidR="00C83876" w:rsidRPr="00942023" w:rsidRDefault="003A11A0" w:rsidP="00942023">
            <w:pPr>
              <w:spacing w:line="240" w:lineRule="auto"/>
              <w:jc w:val="center"/>
              <w:rPr>
                <w:rFonts w:ascii="Palatino Linotype" w:hAnsi="Palatino Linotype"/>
                <w:sz w:val="22"/>
                <w:szCs w:val="22"/>
              </w:rPr>
            </w:pPr>
            <w:r>
              <w:rPr>
                <w:rFonts w:ascii="Palatino Linotype" w:hAnsi="Palatino Linotype"/>
                <w:sz w:val="22"/>
                <w:szCs w:val="22"/>
              </w:rPr>
              <w:t>31</w:t>
            </w:r>
          </w:p>
        </w:tc>
      </w:tr>
      <w:tr w:rsidR="000E115F" w:rsidTr="0018719B">
        <w:tc>
          <w:tcPr>
            <w:tcW w:w="467" w:type="pct"/>
          </w:tcPr>
          <w:p w:rsidR="00942023" w:rsidRPr="00A12E8B" w:rsidRDefault="000E115F" w:rsidP="00D9487D">
            <w:pPr>
              <w:spacing w:line="240" w:lineRule="auto"/>
              <w:rPr>
                <w:rFonts w:ascii="Palatino Linotype" w:hAnsi="Palatino Linotype"/>
                <w:b/>
                <w:sz w:val="22"/>
                <w:szCs w:val="22"/>
              </w:rPr>
            </w:pPr>
            <w:r w:rsidRPr="000E115F">
              <w:rPr>
                <w:rFonts w:ascii="Palatino Linotype" w:hAnsi="Palatino Linotype"/>
                <w:b/>
                <w:sz w:val="22"/>
                <w:szCs w:val="22"/>
              </w:rPr>
              <w:t>4</w:t>
            </w:r>
          </w:p>
          <w:p w:rsidR="00942023" w:rsidRDefault="00942023" w:rsidP="00D9487D">
            <w:pPr>
              <w:spacing w:line="240" w:lineRule="auto"/>
              <w:rPr>
                <w:rFonts w:ascii="Palatino Linotype" w:hAnsi="Palatino Linotype"/>
                <w:sz w:val="22"/>
                <w:szCs w:val="22"/>
              </w:rPr>
            </w:pPr>
            <w:r w:rsidRPr="00942023">
              <w:rPr>
                <w:rFonts w:ascii="Palatino Linotype" w:hAnsi="Palatino Linotype"/>
                <w:sz w:val="22"/>
                <w:szCs w:val="22"/>
              </w:rPr>
              <w:t>4.1</w:t>
            </w:r>
          </w:p>
          <w:p w:rsidR="00942023" w:rsidRPr="000E115F" w:rsidRDefault="00942023" w:rsidP="00D9487D">
            <w:pPr>
              <w:spacing w:line="240" w:lineRule="auto"/>
              <w:rPr>
                <w:rFonts w:ascii="Palatino Linotype" w:hAnsi="Palatino Linotype"/>
                <w:b/>
                <w:sz w:val="22"/>
                <w:szCs w:val="22"/>
              </w:rPr>
            </w:pPr>
            <w:r>
              <w:rPr>
                <w:rFonts w:ascii="Palatino Linotype" w:hAnsi="Palatino Linotype"/>
                <w:sz w:val="22"/>
                <w:szCs w:val="22"/>
              </w:rPr>
              <w:t>4.2</w:t>
            </w:r>
          </w:p>
        </w:tc>
        <w:tc>
          <w:tcPr>
            <w:tcW w:w="4151" w:type="pct"/>
          </w:tcPr>
          <w:p w:rsidR="00D63BAB" w:rsidRPr="00A12E8B" w:rsidRDefault="00F520CC" w:rsidP="00D9487D">
            <w:pPr>
              <w:spacing w:line="240" w:lineRule="auto"/>
              <w:rPr>
                <w:rFonts w:ascii="Palatino Linotype" w:hAnsi="Palatino Linotype"/>
                <w:b/>
                <w:color w:val="1F497D" w:themeColor="text2"/>
                <w:sz w:val="22"/>
                <w:szCs w:val="22"/>
              </w:rPr>
            </w:pPr>
            <w:r>
              <w:rPr>
                <w:rFonts w:ascii="Palatino Linotype" w:hAnsi="Palatino Linotype"/>
                <w:b/>
                <w:color w:val="1F497D" w:themeColor="text2"/>
                <w:sz w:val="22"/>
                <w:szCs w:val="22"/>
              </w:rPr>
              <w:t>Discussion</w:t>
            </w:r>
          </w:p>
          <w:p w:rsidR="00942023" w:rsidRDefault="00942023" w:rsidP="00D9487D">
            <w:pPr>
              <w:spacing w:line="240" w:lineRule="auto"/>
              <w:rPr>
                <w:rFonts w:ascii="Palatino Linotype" w:hAnsi="Palatino Linotype"/>
                <w:sz w:val="22"/>
                <w:szCs w:val="22"/>
              </w:rPr>
            </w:pPr>
            <w:r>
              <w:rPr>
                <w:rFonts w:ascii="Palatino Linotype" w:hAnsi="Palatino Linotype"/>
                <w:sz w:val="22"/>
                <w:szCs w:val="22"/>
              </w:rPr>
              <w:t>Overview of the nature and scope of the review</w:t>
            </w:r>
          </w:p>
          <w:p w:rsidR="00942023" w:rsidRDefault="00942023" w:rsidP="00D9487D">
            <w:pPr>
              <w:spacing w:line="240" w:lineRule="auto"/>
              <w:rPr>
                <w:rFonts w:ascii="Palatino Linotype" w:hAnsi="Palatino Linotype"/>
                <w:sz w:val="22"/>
                <w:szCs w:val="22"/>
              </w:rPr>
            </w:pPr>
            <w:r>
              <w:rPr>
                <w:rFonts w:ascii="Palatino Linotype" w:hAnsi="Palatino Linotype"/>
                <w:sz w:val="22"/>
                <w:szCs w:val="22"/>
              </w:rPr>
              <w:t>Key findings from the review</w:t>
            </w:r>
          </w:p>
          <w:p w:rsidR="00A12E8B" w:rsidRPr="009402DB" w:rsidRDefault="00A12E8B" w:rsidP="00D9487D">
            <w:pPr>
              <w:spacing w:line="240" w:lineRule="auto"/>
              <w:rPr>
                <w:rFonts w:ascii="Palatino Linotype" w:hAnsi="Palatino Linotype"/>
                <w:sz w:val="22"/>
                <w:szCs w:val="22"/>
              </w:rPr>
            </w:pPr>
          </w:p>
        </w:tc>
        <w:tc>
          <w:tcPr>
            <w:tcW w:w="382" w:type="pct"/>
          </w:tcPr>
          <w:p w:rsidR="00942023" w:rsidRPr="00942023" w:rsidRDefault="00942023" w:rsidP="00A12E8B">
            <w:pPr>
              <w:spacing w:line="240" w:lineRule="auto"/>
              <w:jc w:val="center"/>
              <w:rPr>
                <w:rFonts w:ascii="Palatino Linotype" w:hAnsi="Palatino Linotype"/>
                <w:sz w:val="22"/>
                <w:szCs w:val="22"/>
              </w:rPr>
            </w:pPr>
          </w:p>
          <w:p w:rsidR="00942023"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33</w:t>
            </w:r>
          </w:p>
          <w:p w:rsidR="00942023" w:rsidRPr="00942023"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34</w:t>
            </w:r>
          </w:p>
        </w:tc>
      </w:tr>
      <w:tr w:rsidR="00D63BAB" w:rsidTr="0018719B">
        <w:tc>
          <w:tcPr>
            <w:tcW w:w="467" w:type="pct"/>
          </w:tcPr>
          <w:p w:rsidR="00D63BAB" w:rsidRPr="00D63BAB" w:rsidRDefault="00D63BAB" w:rsidP="00D9487D">
            <w:pPr>
              <w:spacing w:line="240" w:lineRule="auto"/>
              <w:rPr>
                <w:rFonts w:ascii="Palatino Linotype" w:hAnsi="Palatino Linotype"/>
                <w:b/>
                <w:sz w:val="22"/>
                <w:szCs w:val="22"/>
              </w:rPr>
            </w:pPr>
            <w:r w:rsidRPr="00D63BAB">
              <w:rPr>
                <w:rFonts w:ascii="Palatino Linotype" w:hAnsi="Palatino Linotype"/>
                <w:b/>
                <w:color w:val="1F497D" w:themeColor="text2"/>
                <w:sz w:val="22"/>
                <w:szCs w:val="22"/>
              </w:rPr>
              <w:t xml:space="preserve">Part 2 </w:t>
            </w:r>
          </w:p>
        </w:tc>
        <w:tc>
          <w:tcPr>
            <w:tcW w:w="4151" w:type="pct"/>
          </w:tcPr>
          <w:p w:rsidR="00D63BAB" w:rsidRDefault="00D63BAB" w:rsidP="00D9487D">
            <w:pPr>
              <w:spacing w:line="240" w:lineRule="auto"/>
              <w:rPr>
                <w:rFonts w:ascii="Palatino Linotype" w:hAnsi="Palatino Linotype"/>
                <w:b/>
                <w:color w:val="1F497D" w:themeColor="text2"/>
                <w:sz w:val="22"/>
                <w:szCs w:val="22"/>
              </w:rPr>
            </w:pPr>
            <w:r w:rsidRPr="00D63BAB">
              <w:rPr>
                <w:rFonts w:ascii="Palatino Linotype" w:hAnsi="Palatino Linotype"/>
                <w:b/>
                <w:color w:val="1F497D" w:themeColor="text2"/>
                <w:sz w:val="22"/>
                <w:szCs w:val="22"/>
              </w:rPr>
              <w:t>Commentary on the future</w:t>
            </w:r>
          </w:p>
          <w:p w:rsidR="00D63BAB" w:rsidRDefault="00D63BAB" w:rsidP="00D9487D">
            <w:pPr>
              <w:spacing w:line="240" w:lineRule="auto"/>
              <w:rPr>
                <w:rFonts w:ascii="Palatino Linotype" w:hAnsi="Palatino Linotype"/>
                <w:b/>
                <w:color w:val="1F497D" w:themeColor="text2"/>
                <w:sz w:val="22"/>
                <w:szCs w:val="22"/>
              </w:rPr>
            </w:pPr>
          </w:p>
        </w:tc>
        <w:tc>
          <w:tcPr>
            <w:tcW w:w="382" w:type="pct"/>
          </w:tcPr>
          <w:p w:rsidR="00D63BAB" w:rsidRPr="00942023" w:rsidRDefault="00D63BAB" w:rsidP="00D9487D">
            <w:pPr>
              <w:spacing w:line="240" w:lineRule="auto"/>
              <w:jc w:val="center"/>
              <w:rPr>
                <w:rFonts w:ascii="Palatino Linotype" w:hAnsi="Palatino Linotype"/>
                <w:sz w:val="22"/>
                <w:szCs w:val="22"/>
              </w:rPr>
            </w:pPr>
          </w:p>
        </w:tc>
      </w:tr>
      <w:tr w:rsidR="00D63BAB" w:rsidTr="0018719B">
        <w:tc>
          <w:tcPr>
            <w:tcW w:w="467" w:type="pct"/>
          </w:tcPr>
          <w:p w:rsidR="00D63BAB" w:rsidRPr="00A12E8B" w:rsidRDefault="00D63BAB" w:rsidP="002D065F">
            <w:pPr>
              <w:spacing w:line="240" w:lineRule="auto"/>
              <w:rPr>
                <w:rFonts w:ascii="Palatino Linotype" w:hAnsi="Palatino Linotype"/>
                <w:b/>
                <w:sz w:val="22"/>
                <w:szCs w:val="22"/>
                <w:lang w:eastAsia="en-US"/>
              </w:rPr>
            </w:pPr>
            <w:r w:rsidRPr="000D1D0B">
              <w:rPr>
                <w:rFonts w:ascii="Palatino Linotype" w:hAnsi="Palatino Linotype"/>
                <w:b/>
                <w:sz w:val="22"/>
                <w:szCs w:val="22"/>
                <w:lang w:eastAsia="en-US"/>
              </w:rPr>
              <w:t>5</w:t>
            </w:r>
          </w:p>
          <w:p w:rsidR="00D63BAB" w:rsidRPr="00105A38" w:rsidRDefault="00D63BAB" w:rsidP="002D065F">
            <w:pPr>
              <w:spacing w:line="240" w:lineRule="auto"/>
              <w:rPr>
                <w:rFonts w:ascii="Palatino Linotype" w:hAnsi="Palatino Linotype"/>
                <w:sz w:val="22"/>
                <w:szCs w:val="22"/>
                <w:lang w:eastAsia="en-US"/>
              </w:rPr>
            </w:pPr>
            <w:r w:rsidRPr="00105A38">
              <w:rPr>
                <w:rFonts w:ascii="Palatino Linotype" w:hAnsi="Palatino Linotype"/>
                <w:sz w:val="22"/>
                <w:szCs w:val="22"/>
                <w:lang w:eastAsia="en-US"/>
              </w:rPr>
              <w:t>5.1</w:t>
            </w:r>
          </w:p>
          <w:p w:rsidR="00D63BAB" w:rsidRPr="00105A38" w:rsidRDefault="00D63BAB" w:rsidP="002D065F">
            <w:pPr>
              <w:spacing w:line="240" w:lineRule="auto"/>
              <w:rPr>
                <w:rFonts w:ascii="Palatino Linotype" w:hAnsi="Palatino Linotype"/>
                <w:sz w:val="22"/>
                <w:szCs w:val="22"/>
                <w:lang w:eastAsia="en-US"/>
              </w:rPr>
            </w:pPr>
            <w:r w:rsidRPr="00105A38">
              <w:rPr>
                <w:rFonts w:ascii="Palatino Linotype" w:hAnsi="Palatino Linotype"/>
                <w:sz w:val="22"/>
                <w:szCs w:val="22"/>
                <w:lang w:eastAsia="en-US"/>
              </w:rPr>
              <w:t>5.2</w:t>
            </w:r>
          </w:p>
          <w:p w:rsidR="00D63BAB" w:rsidRPr="00105A38" w:rsidRDefault="00D63BAB" w:rsidP="002D065F">
            <w:pPr>
              <w:spacing w:line="240" w:lineRule="auto"/>
              <w:rPr>
                <w:rFonts w:ascii="Palatino Linotype" w:hAnsi="Palatino Linotype"/>
                <w:sz w:val="22"/>
                <w:szCs w:val="22"/>
                <w:lang w:eastAsia="en-US"/>
              </w:rPr>
            </w:pPr>
            <w:r w:rsidRPr="00105A38">
              <w:rPr>
                <w:rFonts w:ascii="Palatino Linotype" w:hAnsi="Palatino Linotype"/>
                <w:sz w:val="22"/>
                <w:szCs w:val="22"/>
                <w:lang w:eastAsia="en-US"/>
              </w:rPr>
              <w:t>5.3</w:t>
            </w:r>
          </w:p>
          <w:p w:rsidR="00D63BAB" w:rsidRDefault="009D2621" w:rsidP="002D065F">
            <w:pPr>
              <w:spacing w:line="240" w:lineRule="auto"/>
              <w:rPr>
                <w:rFonts w:ascii="Palatino Linotype" w:hAnsi="Palatino Linotype"/>
                <w:sz w:val="22"/>
                <w:szCs w:val="22"/>
                <w:lang w:eastAsia="en-US"/>
              </w:rPr>
            </w:pPr>
            <w:r>
              <w:rPr>
                <w:rFonts w:ascii="Palatino Linotype" w:hAnsi="Palatino Linotype"/>
                <w:sz w:val="22"/>
                <w:szCs w:val="22"/>
                <w:lang w:eastAsia="en-US"/>
              </w:rPr>
              <w:t>5.4</w:t>
            </w:r>
          </w:p>
          <w:p w:rsidR="009D2621" w:rsidRDefault="009D2621" w:rsidP="002D065F">
            <w:pPr>
              <w:spacing w:line="240" w:lineRule="auto"/>
              <w:rPr>
                <w:rFonts w:ascii="Palatino Linotype" w:hAnsi="Palatino Linotype"/>
                <w:sz w:val="22"/>
                <w:szCs w:val="22"/>
                <w:lang w:eastAsia="en-US"/>
              </w:rPr>
            </w:pPr>
            <w:r>
              <w:rPr>
                <w:rFonts w:ascii="Palatino Linotype" w:hAnsi="Palatino Linotype"/>
                <w:sz w:val="22"/>
                <w:szCs w:val="22"/>
                <w:lang w:eastAsia="en-US"/>
              </w:rPr>
              <w:t>5.5</w:t>
            </w:r>
          </w:p>
          <w:p w:rsidR="009D2621" w:rsidRDefault="009D2621" w:rsidP="002D065F">
            <w:pPr>
              <w:spacing w:line="240" w:lineRule="auto"/>
              <w:rPr>
                <w:rFonts w:ascii="Palatino Linotype" w:hAnsi="Palatino Linotype"/>
                <w:sz w:val="22"/>
                <w:szCs w:val="22"/>
                <w:lang w:eastAsia="en-US"/>
              </w:rPr>
            </w:pPr>
            <w:r>
              <w:rPr>
                <w:rFonts w:ascii="Palatino Linotype" w:hAnsi="Palatino Linotype"/>
                <w:sz w:val="22"/>
                <w:szCs w:val="22"/>
                <w:lang w:eastAsia="en-US"/>
              </w:rPr>
              <w:t>5.6</w:t>
            </w:r>
          </w:p>
          <w:p w:rsidR="009D2621" w:rsidRPr="00105A38" w:rsidRDefault="009D2621" w:rsidP="002D065F">
            <w:pPr>
              <w:spacing w:line="240" w:lineRule="auto"/>
              <w:rPr>
                <w:rFonts w:ascii="Palatino Linotype" w:hAnsi="Palatino Linotype"/>
                <w:sz w:val="22"/>
                <w:szCs w:val="22"/>
                <w:lang w:eastAsia="en-US"/>
              </w:rPr>
            </w:pPr>
            <w:r>
              <w:rPr>
                <w:rFonts w:ascii="Palatino Linotype" w:hAnsi="Palatino Linotype"/>
                <w:sz w:val="22"/>
                <w:szCs w:val="22"/>
                <w:lang w:eastAsia="en-US"/>
              </w:rPr>
              <w:t>5.7</w:t>
            </w:r>
          </w:p>
        </w:tc>
        <w:tc>
          <w:tcPr>
            <w:tcW w:w="4151" w:type="pct"/>
          </w:tcPr>
          <w:p w:rsidR="00D63BAB" w:rsidRPr="00A12E8B" w:rsidRDefault="009D2621" w:rsidP="002D065F">
            <w:pPr>
              <w:spacing w:line="240" w:lineRule="auto"/>
              <w:rPr>
                <w:rFonts w:ascii="Palatino Linotype" w:hAnsi="Palatino Linotype"/>
                <w:color w:val="1F497D" w:themeColor="text2"/>
                <w:sz w:val="22"/>
                <w:szCs w:val="22"/>
                <w:lang w:eastAsia="en-US"/>
              </w:rPr>
            </w:pPr>
            <w:r>
              <w:rPr>
                <w:rFonts w:ascii="Palatino Linotype" w:hAnsi="Palatino Linotype"/>
                <w:b/>
                <w:color w:val="1F497D" w:themeColor="text2"/>
                <w:sz w:val="22"/>
                <w:szCs w:val="22"/>
                <w:lang w:eastAsia="en-US"/>
              </w:rPr>
              <w:t>Go</w:t>
            </w:r>
            <w:r w:rsidR="007E4504">
              <w:rPr>
                <w:rFonts w:ascii="Palatino Linotype" w:hAnsi="Palatino Linotype"/>
                <w:b/>
                <w:color w:val="1F497D" w:themeColor="text2"/>
                <w:sz w:val="22"/>
                <w:szCs w:val="22"/>
                <w:lang w:eastAsia="en-US"/>
              </w:rPr>
              <w:t>ing forward</w:t>
            </w:r>
          </w:p>
          <w:p w:rsidR="00D63BAB" w:rsidRPr="00AC0A7A" w:rsidRDefault="007E4504" w:rsidP="002D065F">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Introduction</w:t>
            </w:r>
          </w:p>
          <w:p w:rsidR="00D63BAB" w:rsidRPr="00AC0A7A" w:rsidRDefault="007E4504" w:rsidP="002D065F">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General observations</w:t>
            </w:r>
          </w:p>
          <w:p w:rsidR="009D2621" w:rsidRPr="00AC0A7A" w:rsidRDefault="009D2621" w:rsidP="009D2621">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Systemic factors</w:t>
            </w:r>
          </w:p>
          <w:p w:rsidR="009D2621" w:rsidRPr="00AC0A7A" w:rsidRDefault="009D2621" w:rsidP="009D2621">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School factors</w:t>
            </w:r>
          </w:p>
          <w:p w:rsidR="009D2621" w:rsidRPr="00AC0A7A" w:rsidRDefault="009D2621" w:rsidP="009D2621">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Individual factors</w:t>
            </w:r>
          </w:p>
          <w:p w:rsidR="009D2621" w:rsidRPr="00AC0A7A" w:rsidRDefault="009D2621" w:rsidP="009D2621">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External factors</w:t>
            </w:r>
          </w:p>
          <w:p w:rsidR="009D2621" w:rsidRPr="00AC0A7A" w:rsidRDefault="00AC0A7A" w:rsidP="009D2621">
            <w:pPr>
              <w:spacing w:line="240" w:lineRule="auto"/>
              <w:rPr>
                <w:rFonts w:ascii="Palatino Linotype" w:hAnsi="Palatino Linotype"/>
                <w:sz w:val="22"/>
                <w:szCs w:val="22"/>
                <w:lang w:eastAsia="en-US"/>
              </w:rPr>
            </w:pPr>
            <w:r w:rsidRPr="00AC0A7A">
              <w:rPr>
                <w:rFonts w:ascii="Palatino Linotype" w:hAnsi="Palatino Linotype"/>
                <w:sz w:val="22"/>
                <w:szCs w:val="22"/>
                <w:lang w:eastAsia="en-US"/>
              </w:rPr>
              <w:t>Methodological considerations</w:t>
            </w:r>
          </w:p>
          <w:p w:rsidR="009D2621" w:rsidRPr="00105A38" w:rsidRDefault="009D2621" w:rsidP="009D2621">
            <w:pPr>
              <w:spacing w:line="240" w:lineRule="auto"/>
              <w:rPr>
                <w:rFonts w:ascii="Palatino Linotype" w:hAnsi="Palatino Linotype"/>
                <w:sz w:val="22"/>
                <w:szCs w:val="22"/>
                <w:lang w:eastAsia="en-US"/>
              </w:rPr>
            </w:pPr>
          </w:p>
        </w:tc>
        <w:tc>
          <w:tcPr>
            <w:tcW w:w="382" w:type="pct"/>
          </w:tcPr>
          <w:p w:rsidR="00D63BAB" w:rsidRPr="00AC0A7A" w:rsidRDefault="00D63BAB" w:rsidP="00A12E8B">
            <w:pPr>
              <w:spacing w:line="240" w:lineRule="auto"/>
              <w:jc w:val="center"/>
              <w:rPr>
                <w:rFonts w:ascii="Palatino Linotype" w:hAnsi="Palatino Linotype"/>
                <w:sz w:val="22"/>
                <w:szCs w:val="22"/>
                <w:lang w:eastAsia="en-US"/>
              </w:rPr>
            </w:pPr>
          </w:p>
          <w:p w:rsidR="00D63BAB" w:rsidRPr="00AC0A7A" w:rsidRDefault="009273AA"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3</w:t>
            </w:r>
            <w:r w:rsidR="003A11A0">
              <w:rPr>
                <w:rFonts w:ascii="Palatino Linotype" w:hAnsi="Palatino Linotype"/>
                <w:sz w:val="22"/>
                <w:szCs w:val="22"/>
                <w:lang w:eastAsia="en-US"/>
              </w:rPr>
              <w:t>9</w:t>
            </w:r>
          </w:p>
          <w:p w:rsidR="00D63BAB"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39</w:t>
            </w:r>
          </w:p>
          <w:p w:rsidR="00D63BAB"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40</w:t>
            </w:r>
          </w:p>
          <w:p w:rsidR="009D2621"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42</w:t>
            </w:r>
          </w:p>
          <w:p w:rsidR="009D2621"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44</w:t>
            </w:r>
          </w:p>
          <w:p w:rsidR="009D2621"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45</w:t>
            </w:r>
          </w:p>
          <w:p w:rsidR="009D2621" w:rsidRPr="00AC0A7A" w:rsidRDefault="003A11A0" w:rsidP="002D065F">
            <w:pPr>
              <w:spacing w:line="240" w:lineRule="auto"/>
              <w:jc w:val="center"/>
              <w:rPr>
                <w:rFonts w:ascii="Palatino Linotype" w:hAnsi="Palatino Linotype"/>
                <w:sz w:val="22"/>
                <w:szCs w:val="22"/>
                <w:lang w:eastAsia="en-US"/>
              </w:rPr>
            </w:pPr>
            <w:r>
              <w:rPr>
                <w:rFonts w:ascii="Palatino Linotype" w:hAnsi="Palatino Linotype"/>
                <w:sz w:val="22"/>
                <w:szCs w:val="22"/>
                <w:lang w:eastAsia="en-US"/>
              </w:rPr>
              <w:t>45</w:t>
            </w:r>
          </w:p>
        </w:tc>
      </w:tr>
      <w:tr w:rsidR="00D63BAB" w:rsidTr="0018719B">
        <w:tc>
          <w:tcPr>
            <w:tcW w:w="467" w:type="pct"/>
          </w:tcPr>
          <w:p w:rsidR="00D63BAB" w:rsidRDefault="00D63BAB" w:rsidP="00D9487D">
            <w:pPr>
              <w:spacing w:line="240" w:lineRule="auto"/>
              <w:rPr>
                <w:rFonts w:ascii="Palatino Linotype" w:hAnsi="Palatino Linotype"/>
                <w:sz w:val="22"/>
                <w:szCs w:val="22"/>
              </w:rPr>
            </w:pPr>
          </w:p>
        </w:tc>
        <w:tc>
          <w:tcPr>
            <w:tcW w:w="4151" w:type="pct"/>
          </w:tcPr>
          <w:p w:rsidR="00D63BAB" w:rsidRDefault="00D63BAB" w:rsidP="00D9487D">
            <w:pPr>
              <w:spacing w:line="240" w:lineRule="auto"/>
              <w:rPr>
                <w:rFonts w:ascii="Palatino Linotype" w:hAnsi="Palatino Linotype"/>
                <w:b/>
                <w:color w:val="1F497D" w:themeColor="text2"/>
                <w:sz w:val="22"/>
                <w:szCs w:val="22"/>
              </w:rPr>
            </w:pPr>
            <w:r>
              <w:rPr>
                <w:rFonts w:ascii="Palatino Linotype" w:hAnsi="Palatino Linotype"/>
                <w:b/>
                <w:color w:val="1F497D" w:themeColor="text2"/>
                <w:sz w:val="22"/>
                <w:szCs w:val="22"/>
              </w:rPr>
              <w:t>References</w:t>
            </w:r>
          </w:p>
          <w:p w:rsidR="00D63BAB" w:rsidRPr="00F96376" w:rsidRDefault="00D63BAB" w:rsidP="00D9487D">
            <w:pPr>
              <w:spacing w:line="240" w:lineRule="auto"/>
              <w:rPr>
                <w:rFonts w:ascii="Palatino Linotype" w:hAnsi="Palatino Linotype"/>
                <w:b/>
                <w:color w:val="1F497D" w:themeColor="text2"/>
                <w:sz w:val="22"/>
                <w:szCs w:val="22"/>
              </w:rPr>
            </w:pPr>
          </w:p>
        </w:tc>
        <w:tc>
          <w:tcPr>
            <w:tcW w:w="382" w:type="pct"/>
          </w:tcPr>
          <w:p w:rsidR="00D63BAB" w:rsidRPr="00AC0A7A"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46</w:t>
            </w:r>
          </w:p>
        </w:tc>
      </w:tr>
      <w:tr w:rsidR="00D63BAB" w:rsidTr="0018719B">
        <w:tc>
          <w:tcPr>
            <w:tcW w:w="467" w:type="pct"/>
          </w:tcPr>
          <w:p w:rsidR="00D63BAB" w:rsidRDefault="00D63BAB" w:rsidP="00D9487D">
            <w:pPr>
              <w:spacing w:line="240" w:lineRule="auto"/>
              <w:rPr>
                <w:rFonts w:ascii="Palatino Linotype" w:hAnsi="Palatino Linotype"/>
                <w:sz w:val="22"/>
                <w:szCs w:val="22"/>
              </w:rPr>
            </w:pPr>
          </w:p>
        </w:tc>
        <w:tc>
          <w:tcPr>
            <w:tcW w:w="4151" w:type="pct"/>
          </w:tcPr>
          <w:p w:rsidR="00D63BAB" w:rsidRDefault="00D63BAB" w:rsidP="002541A6">
            <w:pPr>
              <w:spacing w:line="240" w:lineRule="auto"/>
              <w:rPr>
                <w:rFonts w:ascii="Palatino Linotype" w:hAnsi="Palatino Linotype"/>
                <w:b/>
                <w:color w:val="1F497D" w:themeColor="text2"/>
                <w:sz w:val="22"/>
                <w:szCs w:val="22"/>
              </w:rPr>
            </w:pPr>
            <w:r>
              <w:rPr>
                <w:rFonts w:ascii="Palatino Linotype" w:hAnsi="Palatino Linotype"/>
                <w:b/>
                <w:color w:val="1F497D" w:themeColor="text2"/>
                <w:sz w:val="22"/>
                <w:szCs w:val="22"/>
              </w:rPr>
              <w:t>Appendix: Empirical studies included in the review</w:t>
            </w:r>
          </w:p>
        </w:tc>
        <w:tc>
          <w:tcPr>
            <w:tcW w:w="382" w:type="pct"/>
          </w:tcPr>
          <w:p w:rsidR="00D63BAB" w:rsidRPr="00AC0A7A" w:rsidRDefault="003A11A0" w:rsidP="00D9487D">
            <w:pPr>
              <w:spacing w:line="240" w:lineRule="auto"/>
              <w:jc w:val="center"/>
              <w:rPr>
                <w:rFonts w:ascii="Palatino Linotype" w:hAnsi="Palatino Linotype"/>
                <w:sz w:val="22"/>
                <w:szCs w:val="22"/>
              </w:rPr>
            </w:pPr>
            <w:r>
              <w:rPr>
                <w:rFonts w:ascii="Palatino Linotype" w:hAnsi="Palatino Linotype"/>
                <w:sz w:val="22"/>
                <w:szCs w:val="22"/>
              </w:rPr>
              <w:t>51</w:t>
            </w:r>
          </w:p>
        </w:tc>
      </w:tr>
    </w:tbl>
    <w:p w:rsidR="00105A38" w:rsidRDefault="00105A38" w:rsidP="006C1C2D">
      <w:pPr>
        <w:spacing w:line="240" w:lineRule="auto"/>
        <w:rPr>
          <w:rFonts w:ascii="Palatino Linotype" w:hAnsi="Palatino Linotype"/>
          <w:b/>
          <w:color w:val="1F497D" w:themeColor="text2"/>
          <w:sz w:val="22"/>
          <w:szCs w:val="22"/>
        </w:rPr>
      </w:pPr>
    </w:p>
    <w:p w:rsidR="00105A38" w:rsidRPr="006C1C2D" w:rsidRDefault="00105A38" w:rsidP="006C1C2D">
      <w:pPr>
        <w:spacing w:line="240" w:lineRule="auto"/>
        <w:rPr>
          <w:rFonts w:ascii="Palatino Linotype" w:hAnsi="Palatino Linotype"/>
          <w:b/>
          <w:sz w:val="22"/>
          <w:szCs w:val="22"/>
        </w:rPr>
      </w:pPr>
    </w:p>
    <w:p w:rsidR="009402DB" w:rsidRDefault="009402DB" w:rsidP="00F96376">
      <w:pPr>
        <w:spacing w:line="276" w:lineRule="auto"/>
        <w:rPr>
          <w:rFonts w:ascii="Palatino Linotype" w:hAnsi="Palatino Linotype"/>
          <w:b/>
          <w:sz w:val="22"/>
          <w:szCs w:val="22"/>
        </w:rPr>
      </w:pPr>
    </w:p>
    <w:p w:rsidR="009402DB" w:rsidRDefault="009402DB" w:rsidP="00F96376">
      <w:pPr>
        <w:spacing w:line="276" w:lineRule="auto"/>
        <w:rPr>
          <w:rFonts w:ascii="Palatino Linotype" w:hAnsi="Palatino Linotype"/>
          <w:b/>
          <w:sz w:val="22"/>
          <w:szCs w:val="22"/>
        </w:rPr>
        <w:sectPr w:rsidR="009402DB" w:rsidSect="00F55F49">
          <w:pgSz w:w="11906" w:h="16838"/>
          <w:pgMar w:top="1134" w:right="1418" w:bottom="1418" w:left="1418" w:header="709" w:footer="709" w:gutter="0"/>
          <w:cols w:space="708"/>
          <w:docGrid w:linePitch="360"/>
        </w:sectPr>
      </w:pPr>
    </w:p>
    <w:p w:rsidR="00A23E45" w:rsidRPr="00A23E45" w:rsidRDefault="00A23E45" w:rsidP="00A23E45">
      <w:pPr>
        <w:spacing w:line="240" w:lineRule="auto"/>
        <w:jc w:val="both"/>
        <w:rPr>
          <w:rFonts w:ascii="Palatino Linotype" w:hAnsi="Palatino Linotype"/>
          <w:b/>
          <w:color w:val="1F497D" w:themeColor="text2"/>
          <w:sz w:val="28"/>
          <w:szCs w:val="22"/>
        </w:rPr>
      </w:pPr>
      <w:r w:rsidRPr="00A23E45">
        <w:rPr>
          <w:rFonts w:ascii="Palatino Linotype" w:hAnsi="Palatino Linotype"/>
          <w:b/>
          <w:color w:val="1F497D" w:themeColor="text2"/>
          <w:sz w:val="28"/>
          <w:szCs w:val="22"/>
        </w:rPr>
        <w:lastRenderedPageBreak/>
        <w:t>Overview of the report</w:t>
      </w:r>
    </w:p>
    <w:p w:rsidR="00A23E45" w:rsidRDefault="00A23E45" w:rsidP="00665167">
      <w:pPr>
        <w:spacing w:line="240" w:lineRule="auto"/>
        <w:jc w:val="both"/>
        <w:rPr>
          <w:rFonts w:ascii="Palatino Linotype" w:hAnsi="Palatino Linotype"/>
          <w:sz w:val="22"/>
          <w:szCs w:val="22"/>
        </w:rPr>
      </w:pPr>
    </w:p>
    <w:p w:rsidR="00330A91" w:rsidRDefault="00330A91" w:rsidP="00665167">
      <w:pPr>
        <w:spacing w:line="240" w:lineRule="auto"/>
        <w:jc w:val="both"/>
        <w:rPr>
          <w:rFonts w:ascii="Palatino Linotype" w:hAnsi="Palatino Linotype"/>
          <w:sz w:val="22"/>
          <w:szCs w:val="22"/>
        </w:rPr>
      </w:pPr>
      <w:r>
        <w:rPr>
          <w:rFonts w:ascii="Palatino Linotype" w:hAnsi="Palatino Linotype"/>
          <w:sz w:val="22"/>
          <w:szCs w:val="22"/>
        </w:rPr>
        <w:t>This report has been prepared as part of the work being undertaken by the Royal Society’s Vision Project, which aims to</w:t>
      </w:r>
      <w:r w:rsidRPr="00330A91">
        <w:rPr>
          <w:rFonts w:ascii="Palatino Linotype" w:hAnsi="Palatino Linotype"/>
          <w:sz w:val="22"/>
          <w:szCs w:val="22"/>
        </w:rPr>
        <w:t xml:space="preserve"> set out a vision for how the UK might achieve inspiring, high-performing education systems which can deliver a radical shift in the population’s understanding, engagement with and appreciation of </w:t>
      </w:r>
      <w:r w:rsidR="00BC353A">
        <w:rPr>
          <w:rFonts w:ascii="Palatino Linotype" w:hAnsi="Palatino Linotype"/>
          <w:sz w:val="22"/>
          <w:szCs w:val="22"/>
        </w:rPr>
        <w:t>mathematics and science</w:t>
      </w:r>
      <w:r w:rsidRPr="00330A91">
        <w:rPr>
          <w:rFonts w:ascii="Palatino Linotype" w:hAnsi="Palatino Linotype"/>
          <w:sz w:val="22"/>
          <w:szCs w:val="22"/>
        </w:rPr>
        <w:t xml:space="preserve"> by 2030.</w:t>
      </w:r>
    </w:p>
    <w:p w:rsidR="00330A91" w:rsidRPr="00A23E45" w:rsidRDefault="00330A91" w:rsidP="00665167">
      <w:pPr>
        <w:spacing w:line="240" w:lineRule="auto"/>
        <w:jc w:val="both"/>
        <w:rPr>
          <w:rFonts w:ascii="Palatino Linotype" w:hAnsi="Palatino Linotype"/>
          <w:sz w:val="22"/>
          <w:szCs w:val="22"/>
        </w:rPr>
      </w:pPr>
    </w:p>
    <w:p w:rsidR="00A23E45" w:rsidRPr="00A23E45" w:rsidRDefault="00A23E45" w:rsidP="00665167">
      <w:pPr>
        <w:spacing w:line="240" w:lineRule="auto"/>
        <w:jc w:val="both"/>
        <w:rPr>
          <w:rFonts w:ascii="Palatino Linotype" w:hAnsi="Palatino Linotype"/>
          <w:sz w:val="22"/>
          <w:szCs w:val="22"/>
        </w:rPr>
      </w:pPr>
      <w:r w:rsidRPr="00A23E45">
        <w:rPr>
          <w:rFonts w:ascii="Palatino Linotype" w:hAnsi="Palatino Linotype"/>
          <w:sz w:val="22"/>
          <w:szCs w:val="22"/>
        </w:rPr>
        <w:t xml:space="preserve">This report addresses four questions: </w:t>
      </w:r>
    </w:p>
    <w:p w:rsidR="00A23E45" w:rsidRPr="00A23E45" w:rsidRDefault="00A23E45" w:rsidP="00665167">
      <w:pPr>
        <w:spacing w:line="240" w:lineRule="auto"/>
        <w:jc w:val="both"/>
        <w:rPr>
          <w:rFonts w:ascii="Palatino Linotype" w:hAnsi="Palatino Linotype"/>
          <w:sz w:val="22"/>
          <w:szCs w:val="22"/>
        </w:rPr>
      </w:pPr>
    </w:p>
    <w:p w:rsidR="00A23E45" w:rsidRPr="00A23E45" w:rsidRDefault="00A23E45" w:rsidP="00FA7F76">
      <w:pPr>
        <w:tabs>
          <w:tab w:val="clear" w:pos="567"/>
        </w:tabs>
        <w:spacing w:line="240" w:lineRule="auto"/>
        <w:ind w:left="426" w:hanging="426"/>
        <w:jc w:val="both"/>
        <w:rPr>
          <w:rFonts w:ascii="Palatino Linotype" w:hAnsi="Palatino Linotype"/>
          <w:sz w:val="22"/>
          <w:szCs w:val="22"/>
        </w:rPr>
      </w:pPr>
      <w:r w:rsidRPr="00A23E45">
        <w:rPr>
          <w:rFonts w:ascii="Palatino Linotype" w:hAnsi="Palatino Linotype"/>
          <w:sz w:val="22"/>
          <w:szCs w:val="22"/>
        </w:rPr>
        <w:t>1.</w:t>
      </w:r>
      <w:r w:rsidRPr="00A23E45">
        <w:rPr>
          <w:rFonts w:ascii="Palatino Linotype" w:hAnsi="Palatino Linotype"/>
          <w:sz w:val="22"/>
          <w:szCs w:val="22"/>
        </w:rPr>
        <w:tab/>
        <w:t>What does the evidence say about student attitudes, engagement and participation in STEM subjects?</w:t>
      </w:r>
    </w:p>
    <w:p w:rsidR="00D63BAB" w:rsidRPr="00A23E45" w:rsidRDefault="00A23E45" w:rsidP="00FA7F76">
      <w:pPr>
        <w:tabs>
          <w:tab w:val="clear" w:pos="567"/>
        </w:tabs>
        <w:spacing w:line="240" w:lineRule="auto"/>
        <w:ind w:left="426" w:hanging="426"/>
        <w:jc w:val="both"/>
        <w:rPr>
          <w:rFonts w:ascii="Palatino Linotype" w:hAnsi="Palatino Linotype"/>
          <w:sz w:val="22"/>
          <w:szCs w:val="22"/>
        </w:rPr>
      </w:pPr>
      <w:r w:rsidRPr="00A23E45">
        <w:rPr>
          <w:rFonts w:ascii="Palatino Linotype" w:hAnsi="Palatino Linotype"/>
          <w:sz w:val="22"/>
          <w:szCs w:val="22"/>
        </w:rPr>
        <w:t>2.</w:t>
      </w:r>
      <w:r w:rsidRPr="00A23E45">
        <w:rPr>
          <w:rFonts w:ascii="Palatino Linotype" w:hAnsi="Palatino Linotype"/>
          <w:sz w:val="22"/>
          <w:szCs w:val="22"/>
        </w:rPr>
        <w:tab/>
        <w:t xml:space="preserve">How can </w:t>
      </w:r>
      <w:r w:rsidR="00BC353A">
        <w:rPr>
          <w:rFonts w:ascii="Palatino Linotype" w:hAnsi="Palatino Linotype"/>
          <w:sz w:val="22"/>
          <w:szCs w:val="22"/>
        </w:rPr>
        <w:t>mathematics and science</w:t>
      </w:r>
      <w:r w:rsidRPr="00A23E45">
        <w:rPr>
          <w:rFonts w:ascii="Palatino Linotype" w:hAnsi="Palatino Linotype"/>
          <w:sz w:val="22"/>
          <w:szCs w:val="22"/>
        </w:rPr>
        <w:t xml:space="preserve"> education be made most enjoyable, rewarding and effective?</w:t>
      </w:r>
    </w:p>
    <w:p w:rsidR="00D63BAB" w:rsidRPr="00A23E45" w:rsidRDefault="00A23E45" w:rsidP="00FA7F76">
      <w:pPr>
        <w:tabs>
          <w:tab w:val="clear" w:pos="567"/>
        </w:tabs>
        <w:spacing w:line="240" w:lineRule="auto"/>
        <w:ind w:left="426" w:hanging="426"/>
        <w:jc w:val="both"/>
        <w:rPr>
          <w:rFonts w:ascii="Palatino Linotype" w:hAnsi="Palatino Linotype"/>
          <w:sz w:val="22"/>
          <w:szCs w:val="22"/>
        </w:rPr>
      </w:pPr>
      <w:r w:rsidRPr="00A23E45">
        <w:rPr>
          <w:rFonts w:ascii="Palatino Linotype" w:hAnsi="Palatino Linotype"/>
          <w:sz w:val="22"/>
          <w:szCs w:val="22"/>
        </w:rPr>
        <w:t>3.</w:t>
      </w:r>
      <w:r w:rsidRPr="00A23E45">
        <w:rPr>
          <w:rFonts w:ascii="Palatino Linotype" w:hAnsi="Palatino Linotype"/>
          <w:sz w:val="22"/>
          <w:szCs w:val="22"/>
        </w:rPr>
        <w:tab/>
        <w:t>What types of evidence need to be collected in future in order to assess more reliably students’ choices and the reasons for these?</w:t>
      </w:r>
    </w:p>
    <w:p w:rsidR="00A23E45" w:rsidRDefault="00A23E45" w:rsidP="00665167">
      <w:pPr>
        <w:tabs>
          <w:tab w:val="clear" w:pos="567"/>
        </w:tabs>
        <w:spacing w:line="240" w:lineRule="auto"/>
        <w:ind w:left="426" w:hanging="426"/>
        <w:jc w:val="both"/>
        <w:rPr>
          <w:rFonts w:ascii="Palatino Linotype" w:hAnsi="Palatino Linotype"/>
          <w:sz w:val="22"/>
          <w:szCs w:val="22"/>
        </w:rPr>
      </w:pPr>
      <w:r w:rsidRPr="00A23E45">
        <w:rPr>
          <w:rFonts w:ascii="Palatino Linotype" w:hAnsi="Palatino Linotype"/>
          <w:sz w:val="22"/>
          <w:szCs w:val="22"/>
        </w:rPr>
        <w:t>4.</w:t>
      </w:r>
      <w:r w:rsidRPr="00A23E45">
        <w:rPr>
          <w:rFonts w:ascii="Palatino Linotype" w:hAnsi="Palatino Linotype"/>
          <w:sz w:val="22"/>
          <w:szCs w:val="22"/>
        </w:rPr>
        <w:tab/>
        <w:t>How should research and intervention strategies evolve to collect this evidence?</w:t>
      </w:r>
    </w:p>
    <w:p w:rsidR="00A23E45" w:rsidRPr="00A23E45" w:rsidRDefault="00A23E45" w:rsidP="00665167">
      <w:pPr>
        <w:spacing w:line="240" w:lineRule="auto"/>
        <w:jc w:val="both"/>
        <w:rPr>
          <w:rFonts w:ascii="Palatino Linotype" w:hAnsi="Palatino Linotype"/>
          <w:sz w:val="22"/>
          <w:szCs w:val="22"/>
        </w:rPr>
      </w:pPr>
    </w:p>
    <w:p w:rsidR="00A23E45" w:rsidRPr="00A23E45" w:rsidRDefault="00A23E45" w:rsidP="00665167">
      <w:pPr>
        <w:spacing w:line="240" w:lineRule="auto"/>
        <w:jc w:val="both"/>
        <w:rPr>
          <w:rFonts w:ascii="Palatino Linotype" w:hAnsi="Palatino Linotype"/>
          <w:sz w:val="22"/>
          <w:szCs w:val="22"/>
        </w:rPr>
      </w:pPr>
      <w:r w:rsidRPr="00A23E45">
        <w:rPr>
          <w:rFonts w:ascii="Palatino Linotype" w:hAnsi="Palatino Linotype"/>
          <w:sz w:val="22"/>
          <w:szCs w:val="22"/>
        </w:rPr>
        <w:t>The report consists of two sections.</w:t>
      </w:r>
      <w:r w:rsidR="00FB0721">
        <w:rPr>
          <w:rFonts w:ascii="Palatino Linotype" w:hAnsi="Palatino Linotype"/>
          <w:sz w:val="22"/>
          <w:szCs w:val="22"/>
        </w:rPr>
        <w:t xml:space="preserve"> </w:t>
      </w:r>
      <w:r w:rsidRPr="00A23E45">
        <w:rPr>
          <w:rFonts w:ascii="Palatino Linotype" w:hAnsi="Palatino Linotype"/>
          <w:sz w:val="22"/>
          <w:szCs w:val="22"/>
        </w:rPr>
        <w:t>The first is a review of the literature in the area.</w:t>
      </w:r>
      <w:r w:rsidR="00FB0721">
        <w:rPr>
          <w:rFonts w:ascii="Palatino Linotype" w:hAnsi="Palatino Linotype"/>
          <w:sz w:val="22"/>
          <w:szCs w:val="22"/>
        </w:rPr>
        <w:t xml:space="preserve"> </w:t>
      </w:r>
      <w:r w:rsidRPr="00A23E45">
        <w:rPr>
          <w:rFonts w:ascii="Palatino Linotype" w:hAnsi="Palatino Linotype"/>
          <w:sz w:val="22"/>
          <w:szCs w:val="22"/>
        </w:rPr>
        <w:t xml:space="preserve">The second draws on the findings of the review to provide a commentary on possible future directions for work on student attitudes, engagement and participation in STEM subjects in the next 15-20 years, and implications for </w:t>
      </w:r>
      <w:r w:rsidR="00BC353A">
        <w:rPr>
          <w:rFonts w:ascii="Palatino Linotype" w:hAnsi="Palatino Linotype"/>
          <w:sz w:val="22"/>
          <w:szCs w:val="22"/>
        </w:rPr>
        <w:t>mathematics and science</w:t>
      </w:r>
      <w:r w:rsidRPr="00A23E45">
        <w:rPr>
          <w:rFonts w:ascii="Palatino Linotype" w:hAnsi="Palatino Linotype"/>
          <w:sz w:val="22"/>
          <w:szCs w:val="22"/>
        </w:rPr>
        <w:t xml:space="preserve"> education.</w:t>
      </w:r>
      <w:r w:rsidR="00FB0721">
        <w:rPr>
          <w:rFonts w:ascii="Palatino Linotype" w:hAnsi="Palatino Linotype"/>
          <w:sz w:val="22"/>
          <w:szCs w:val="22"/>
        </w:rPr>
        <w:t xml:space="preserve"> </w:t>
      </w:r>
    </w:p>
    <w:p w:rsidR="00A23E45" w:rsidRPr="00A23E45" w:rsidRDefault="00A23E45" w:rsidP="00665167">
      <w:pPr>
        <w:tabs>
          <w:tab w:val="clear" w:pos="567"/>
        </w:tabs>
        <w:overflowPunct/>
        <w:autoSpaceDE/>
        <w:autoSpaceDN/>
        <w:adjustRightInd/>
        <w:spacing w:line="240" w:lineRule="auto"/>
        <w:rPr>
          <w:rFonts w:ascii="Palatino Linotype" w:hAnsi="Palatino Linotype"/>
          <w:sz w:val="22"/>
          <w:szCs w:val="22"/>
        </w:rPr>
      </w:pPr>
    </w:p>
    <w:p w:rsidR="00665167" w:rsidRDefault="00665167">
      <w:pPr>
        <w:tabs>
          <w:tab w:val="clear" w:pos="567"/>
        </w:tabs>
        <w:overflowPunct/>
        <w:autoSpaceDE/>
        <w:autoSpaceDN/>
        <w:adjustRightInd/>
        <w:spacing w:after="200" w:line="276" w:lineRule="auto"/>
        <w:rPr>
          <w:rFonts w:ascii="Palatino Linotype" w:hAnsi="Palatino Linotype"/>
          <w:b/>
          <w:color w:val="1F497D" w:themeColor="text2"/>
          <w:sz w:val="28"/>
          <w:szCs w:val="22"/>
        </w:rPr>
      </w:pPr>
      <w:r>
        <w:rPr>
          <w:rFonts w:ascii="Palatino Linotype" w:hAnsi="Palatino Linotype"/>
          <w:b/>
          <w:color w:val="1F497D" w:themeColor="text2"/>
          <w:sz w:val="28"/>
          <w:szCs w:val="22"/>
        </w:rPr>
        <w:br w:type="page"/>
      </w:r>
    </w:p>
    <w:p w:rsidR="00D9487D" w:rsidRPr="00F8159F" w:rsidRDefault="00D9487D" w:rsidP="004F4645">
      <w:pPr>
        <w:spacing w:line="240" w:lineRule="auto"/>
        <w:jc w:val="center"/>
        <w:rPr>
          <w:rFonts w:ascii="Palatino Linotype" w:hAnsi="Palatino Linotype"/>
          <w:b/>
          <w:color w:val="1F497D" w:themeColor="text2"/>
          <w:sz w:val="28"/>
          <w:szCs w:val="22"/>
        </w:rPr>
      </w:pPr>
      <w:r w:rsidRPr="00F8159F">
        <w:rPr>
          <w:rFonts w:ascii="Palatino Linotype" w:hAnsi="Palatino Linotype"/>
          <w:b/>
          <w:color w:val="1F497D" w:themeColor="text2"/>
          <w:sz w:val="28"/>
          <w:szCs w:val="22"/>
        </w:rPr>
        <w:lastRenderedPageBreak/>
        <w:t>Executive summary</w:t>
      </w:r>
    </w:p>
    <w:p w:rsidR="0026083E" w:rsidRDefault="0026083E" w:rsidP="00FD553A">
      <w:pPr>
        <w:tabs>
          <w:tab w:val="clear" w:pos="567"/>
        </w:tabs>
        <w:overflowPunct/>
        <w:autoSpaceDE/>
        <w:autoSpaceDN/>
        <w:adjustRightInd/>
        <w:spacing w:line="240" w:lineRule="auto"/>
        <w:jc w:val="both"/>
        <w:rPr>
          <w:rFonts w:ascii="Palatino Linotype" w:hAnsi="Palatino Linotype"/>
          <w:b/>
          <w:color w:val="1F497D" w:themeColor="text2"/>
          <w:sz w:val="28"/>
          <w:szCs w:val="22"/>
        </w:rPr>
      </w:pPr>
    </w:p>
    <w:p w:rsidR="004F4645" w:rsidRPr="004F4645" w:rsidRDefault="0026083E" w:rsidP="00726EA7">
      <w:pPr>
        <w:tabs>
          <w:tab w:val="clear" w:pos="567"/>
        </w:tabs>
        <w:overflowPunct/>
        <w:autoSpaceDE/>
        <w:autoSpaceDN/>
        <w:adjustRightInd/>
        <w:spacing w:line="240" w:lineRule="auto"/>
        <w:jc w:val="both"/>
        <w:rPr>
          <w:rFonts w:ascii="Palatino Linotype" w:hAnsi="Palatino Linotype"/>
          <w:b/>
          <w:color w:val="1F497D" w:themeColor="text2"/>
          <w:sz w:val="28"/>
          <w:szCs w:val="22"/>
        </w:rPr>
      </w:pPr>
      <w:r>
        <w:rPr>
          <w:rFonts w:ascii="Palatino Linotype" w:hAnsi="Palatino Linotype"/>
          <w:b/>
          <w:color w:val="1F497D" w:themeColor="text2"/>
          <w:sz w:val="28"/>
          <w:szCs w:val="22"/>
        </w:rPr>
        <w:t>C</w:t>
      </w:r>
      <w:r w:rsidR="004F4645" w:rsidRPr="004F4645">
        <w:rPr>
          <w:rFonts w:ascii="Palatino Linotype" w:hAnsi="Palatino Linotype"/>
          <w:b/>
          <w:color w:val="1F497D" w:themeColor="text2"/>
          <w:sz w:val="28"/>
          <w:szCs w:val="22"/>
        </w:rPr>
        <w:t>ommentary on the future</w:t>
      </w:r>
    </w:p>
    <w:p w:rsidR="0026083E" w:rsidRDefault="0026083E" w:rsidP="00726EA7">
      <w:pPr>
        <w:jc w:val="both"/>
        <w:rPr>
          <w:rFonts w:ascii="Palatino Linotype" w:hAnsi="Palatino Linotype"/>
          <w:bCs/>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General considerations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Countries seen as successful in STEM have initiated a strategic mix of policies and actions, and one outcome of this is that it can be difficult to identify the effects of individual actions.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Policies and practice from other countries provide a potentially informative perspective, rather than something for direct transfer.  The art is in distilling out from what appears to be successful in other countries that which can be adapted and adopted in a different country.</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There are considerable gaps in the research evidence base, and the most comprehensive evidence from the review focuses on describing what happens.  There is considerably less evidence on explanations and causal factors.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Initiatives that might increase participation, and therefore be deemed to be successful at one level, may not necessarily increase engagement, thus failing at another level.</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Systemic factors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Any major review of the structure of the education system and the curriculum in relation to mathematics and science provision in England should seek to develop alternative pathways for students from the age of fourteen onwards.  These should take the form of academic pathways and vocational pathways, with both STEM and non-STEM routes in each pathway.  There should be requirement to gain qualifications at a specified minimum level in mathematics and science.  A review should also seek to develop an upper secondary level (post-16) curriculum that built on the preceding pathways to offer both breadth and depth of study.  Such change would require the active support of a wide range of stakeholders, including government, policy-makers, professional societies, teaching bodies, employers, universities and parents.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There is no strong evidence to suggest that STEM-related subjects should have a higher priority than other subjects, as proposed, for example by supporters of a STEAM (STEM plus Arts) curriculum.  Rather the subjects should form part of a balanced baccalaureate-type curriculum, irrespective of whether the emphasis is on STEM subjects or not.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An academic track in a baccalaureate-type curriculum might comprise of a core of English, mathematics, science, an arts/humanities subject, and an additional language, </w:t>
      </w:r>
      <w:r w:rsidRPr="003A11A0">
        <w:rPr>
          <w:rFonts w:ascii="Palatino Linotype" w:hAnsi="Palatino Linotype"/>
          <w:bCs/>
          <w:sz w:val="22"/>
          <w:szCs w:val="22"/>
        </w:rPr>
        <w:lastRenderedPageBreak/>
        <w:t>with other options available depending on interests.  A vocational pathway would also comprise a core of subjects with options, but with an approach that is more applied in nature and more closely related to the wold of work.  In creating new pathways, it will be important to have more diversity, particularly at the post-16 level, such that there are attractive options for those who do not want to take academic A-levels or study STEM subjects at university level.</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A number of systemic changes are desirable in relation to the provision of more and better careers education.  Careers awareness should be fully embedded into the mathematics and science national curricula and supported by the development of a range of resources and provision being made for appropriate CPD.  A co-ordinated programme of STEM careers awareness needs to extend beyond provision for students in schools in order to address imbalances the ‘science capital’ of students, particularly those currently under-represented groups in STEM.  (Students with high science capital are normally from socially advantaged backgrounds where they have a close family member or friend with STEM qualifications and working in STEM-related areas, and science-related leisure interests.)  Such a programme should include school-level strategies to involve families in mathematics and science, strategies such as mentoring and work placements to foster interaction between students and STEM role models, and enrichments programmes linking students to local projects related to STEM.  Beyond school, awareness campaigns could be launched to improve public understanding of STEM-related career options.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It is highly desirable that a dedicated national STEM database is established to serve two functions.  Firstly, it would pull together a range of STEM-related data, such as numbers taking mathematics and science subjects at various levels in the education system.  Such a database would enable systematic monitoring and dissemination of data, and also form a basis for the setting of targets for participation in mathematics and science for a variety of different groups of young people.  It would also provide an evidence base for incentives, such as, for example, scholarships and bursaries to support under-represented groups.  Secondly, a STEM database would form a central repository for reports on STEM-related matters and STEM research.  This would provide a very valuable resource for future work, and help address the challenge of identifying the large quantity of ‘grey’ literature on attitudes, engagement and participation in STEM subjects (i.e. literature produced by government, charities, academics, business and industry, but which is not controlled by commercial publishers).  The existence of such a database would also assist with the identification of instruments to assess attitudes and engagement.</w:t>
      </w:r>
    </w:p>
    <w:p w:rsidR="0026083E" w:rsidRPr="003A11A0" w:rsidRDefault="0026083E" w:rsidP="00726EA7">
      <w:pPr>
        <w:jc w:val="both"/>
        <w:rPr>
          <w:rFonts w:ascii="Palatino Linotype" w:hAnsi="Palatino Linotype"/>
          <w:bCs/>
          <w:sz w:val="22"/>
          <w:szCs w:val="22"/>
        </w:rPr>
      </w:pPr>
      <w:r w:rsidRPr="003A11A0">
        <w:rPr>
          <w:rFonts w:ascii="Palatino Linotype" w:hAnsi="Palatino Linotype"/>
          <w:bCs/>
          <w:sz w:val="22"/>
          <w:szCs w:val="22"/>
        </w:rPr>
        <w:t xml:space="preserve"> </w:t>
      </w: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Consideration should be given to adopting some of the strategies that have been effective in other countries, including raising the minimum requirements for university entrance in mathematics and science; funding programmes that make it possible for </w:t>
      </w:r>
      <w:r w:rsidRPr="003A11A0">
        <w:rPr>
          <w:rFonts w:ascii="Palatino Linotype" w:hAnsi="Palatino Linotype"/>
          <w:bCs/>
          <w:sz w:val="22"/>
          <w:szCs w:val="22"/>
        </w:rPr>
        <w:lastRenderedPageBreak/>
        <w:t>people who have left the ‘STEM pipeline’ to re-enter it; and by implementing policies to improve the quality of STEM teaching and the career progression of STEM teachers.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School factors</w:t>
      </w:r>
    </w:p>
    <w:p w:rsidR="0026083E" w:rsidRPr="003A11A0" w:rsidRDefault="0026083E" w:rsidP="00726EA7">
      <w:pPr>
        <w:jc w:val="both"/>
        <w:rPr>
          <w:rFonts w:ascii="Palatino Linotype" w:hAnsi="Palatino Linotype"/>
          <w:bCs/>
          <w:sz w:val="22"/>
          <w:szCs w:val="22"/>
        </w:rPr>
      </w:pPr>
      <w:r w:rsidRPr="003A11A0">
        <w:rPr>
          <w:rFonts w:ascii="Palatino Linotype" w:hAnsi="Palatino Linotype"/>
          <w:bCs/>
          <w:sz w:val="22"/>
          <w:szCs w:val="22"/>
        </w:rPr>
        <w:t xml:space="preserve"> </w:t>
      </w:r>
    </w:p>
    <w:p w:rsidR="0008404F" w:rsidRPr="003A11A0" w:rsidRDefault="0008404F"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The evidence indicates students are more likely to pursue post compulsory study of the physical sciences if they are taught in 11-18 schools, rather than in 11-16 schools.  However, geographic and financial constraints suggest that it is not feasible to make all schools 11-18 schools, unless the school leaving age wee to be raise to 18.   This suggests that the way ahead lies is developing STEM focused targeted interventions to bridge the transition for students moving from 11-16 schools into further education establishments. </w:t>
      </w:r>
    </w:p>
    <w:p w:rsidR="0008404F" w:rsidRPr="003A11A0" w:rsidRDefault="0008404F" w:rsidP="0008404F">
      <w:pPr>
        <w:tabs>
          <w:tab w:val="clear" w:pos="567"/>
        </w:tabs>
        <w:overflowPunct/>
        <w:autoSpaceDE/>
        <w:autoSpaceDN/>
        <w:adjustRightInd/>
        <w:spacing w:line="276" w:lineRule="auto"/>
        <w:ind w:left="564"/>
        <w:jc w:val="both"/>
        <w:rPr>
          <w:rFonts w:ascii="Palatino Linotype" w:hAnsi="Palatino Linotype"/>
          <w:bCs/>
          <w:sz w:val="22"/>
          <w:szCs w:val="22"/>
        </w:rPr>
      </w:pPr>
    </w:p>
    <w:p w:rsidR="0026083E" w:rsidRPr="003A11A0" w:rsidRDefault="0026083E" w:rsidP="0008404F">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In the light of the evidence on gender effects and post-compulsory participation, co-educational </w:t>
      </w:r>
      <w:r w:rsidR="00005BB0" w:rsidRPr="003A11A0">
        <w:rPr>
          <w:rFonts w:ascii="Palatino Linotype" w:hAnsi="Palatino Linotype"/>
          <w:bCs/>
          <w:sz w:val="22"/>
          <w:szCs w:val="22"/>
        </w:rPr>
        <w:t xml:space="preserve">secondary </w:t>
      </w:r>
      <w:r w:rsidRPr="003A11A0">
        <w:rPr>
          <w:rFonts w:ascii="Palatino Linotype" w:hAnsi="Palatino Linotype"/>
          <w:bCs/>
          <w:sz w:val="22"/>
          <w:szCs w:val="22"/>
        </w:rPr>
        <w:t xml:space="preserve">schools should </w:t>
      </w:r>
      <w:r w:rsidR="00005BB0" w:rsidRPr="003A11A0">
        <w:rPr>
          <w:rFonts w:ascii="Palatino Linotype" w:hAnsi="Palatino Linotype"/>
          <w:bCs/>
          <w:sz w:val="22"/>
          <w:szCs w:val="22"/>
        </w:rPr>
        <w:t>be encouraged to teach</w:t>
      </w:r>
      <w:r w:rsidRPr="003A11A0">
        <w:rPr>
          <w:rFonts w:ascii="Palatino Linotype" w:hAnsi="Palatino Linotype"/>
          <w:bCs/>
          <w:sz w:val="22"/>
          <w:szCs w:val="22"/>
        </w:rPr>
        <w:t xml:space="preserve"> mathematics and science in single-sex </w:t>
      </w:r>
      <w:r w:rsidR="00005BB0" w:rsidRPr="003A11A0">
        <w:rPr>
          <w:rFonts w:ascii="Palatino Linotype" w:hAnsi="Palatino Linotype"/>
          <w:bCs/>
          <w:sz w:val="22"/>
          <w:szCs w:val="22"/>
        </w:rPr>
        <w:t xml:space="preserve">student </w:t>
      </w:r>
      <w:r w:rsidRPr="003A11A0">
        <w:rPr>
          <w:rFonts w:ascii="Palatino Linotype" w:hAnsi="Palatino Linotype"/>
          <w:bCs/>
          <w:sz w:val="22"/>
          <w:szCs w:val="22"/>
        </w:rPr>
        <w:t xml:space="preserve">groupings.  Further research should </w:t>
      </w:r>
      <w:r w:rsidR="00005BB0" w:rsidRPr="003A11A0">
        <w:rPr>
          <w:rFonts w:ascii="Palatino Linotype" w:hAnsi="Palatino Linotype"/>
          <w:bCs/>
          <w:sz w:val="22"/>
          <w:szCs w:val="22"/>
        </w:rPr>
        <w:t xml:space="preserve">also </w:t>
      </w:r>
      <w:r w:rsidRPr="003A11A0">
        <w:rPr>
          <w:rFonts w:ascii="Palatino Linotype" w:hAnsi="Palatino Linotype"/>
          <w:bCs/>
          <w:sz w:val="22"/>
          <w:szCs w:val="22"/>
        </w:rPr>
        <w:t xml:space="preserve">be conducted into the effects of teaching mathematics and science in single-sex groupings.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Schools should ensure that their science curriculum reflects ways in which science is used in everyday life and the world of work, and opportunities should be taken to link subject teaching to careers involving STEM.</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Schools should take a number of actions in relation to their careers provision and guidance, and ensure STEM subject specialist teachers are involved in giving careers advice.  Subject resources and careers resources should be examined to ensure that they reflect the range of careers open to people with STEM qualifications, and provide images that are likely to map onto the identities of a range of groups, particularly those who are currently under-represented and/or come from disadvantaged groups.  Where feasible, parents as well as students should be involved in careers-related activities in order to help build ‘science capital’.</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Opportunities should be identified for students to engage with the world of work and find out more about the possibilities opened up by STEM qualifications.  These could include developing mentoring programmes for students that involve local employers who would act as STEM ambassadors and provide illustrations of good role models.</w:t>
      </w:r>
    </w:p>
    <w:p w:rsidR="0026083E" w:rsidRPr="003A11A0" w:rsidRDefault="0026083E" w:rsidP="00726EA7">
      <w:pPr>
        <w:jc w:val="both"/>
        <w:rPr>
          <w:rFonts w:ascii="Palatino Linotype" w:hAnsi="Palatino Linotype"/>
          <w:bCs/>
          <w:sz w:val="22"/>
          <w:szCs w:val="22"/>
        </w:rPr>
      </w:pPr>
      <w:r w:rsidRPr="003A11A0">
        <w:rPr>
          <w:rFonts w:ascii="Palatino Linotype" w:hAnsi="Palatino Linotype"/>
          <w:bCs/>
          <w:sz w:val="22"/>
          <w:szCs w:val="22"/>
        </w:rPr>
        <w:t xml:space="preserve"> </w:t>
      </w: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More research is needed on factors affecting inter-school variations in levels of post-compulsory uptake of STEM subjects and factors that influence these variations.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Individual factors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More research is needed on the links between self-efficacy (i.e. students’ confidence in their ability to cope with STEM subjects), performance, engagement and participation </w:t>
      </w:r>
      <w:r w:rsidRPr="003A11A0">
        <w:rPr>
          <w:rFonts w:ascii="Palatino Linotype" w:hAnsi="Palatino Linotype"/>
          <w:bCs/>
          <w:sz w:val="22"/>
          <w:szCs w:val="22"/>
        </w:rPr>
        <w:lastRenderedPageBreak/>
        <w:t>in science, drawing on the more extensive work that has already been undertaken in mathematics.</w:t>
      </w:r>
    </w:p>
    <w:p w:rsidR="0026083E" w:rsidRPr="003A11A0" w:rsidRDefault="0026083E" w:rsidP="00726EA7">
      <w:pPr>
        <w:jc w:val="both"/>
        <w:rPr>
          <w:rFonts w:ascii="Palatino Linotype" w:hAnsi="Palatino Linotype"/>
          <w:bCs/>
          <w:sz w:val="22"/>
          <w:szCs w:val="22"/>
        </w:rPr>
      </w:pPr>
      <w:r w:rsidRPr="003A11A0">
        <w:rPr>
          <w:rFonts w:ascii="Palatino Linotype" w:hAnsi="Palatino Linotype"/>
          <w:bCs/>
          <w:sz w:val="22"/>
          <w:szCs w:val="22"/>
        </w:rPr>
        <w:t xml:space="preserve"> </w:t>
      </w: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More research is needed on critical decision points in relation to subject choice, how these are shaped by attitudes, and at what point attitudes become well-established and resistant to change.  Such research would, for example, help identify the age(s) when it is most useful to provide students with information on STEM-related careers.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External factors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A wide variety of external factors can influence students’ attitudes, participation and engagement in STEM subjects but little exists in the way of systematic evaluation.  The most feasible way ahead would seem to be to work with some of the larger groups offering such events to assess the feasibility of a more co-ordinated approach to assessing their effects.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jc w:val="both"/>
        <w:rPr>
          <w:rFonts w:ascii="Palatino Linotype" w:hAnsi="Palatino Linotype"/>
          <w:bCs/>
          <w:i/>
          <w:sz w:val="22"/>
          <w:szCs w:val="22"/>
        </w:rPr>
      </w:pPr>
      <w:r w:rsidRPr="003A11A0">
        <w:rPr>
          <w:rFonts w:ascii="Palatino Linotype" w:hAnsi="Palatino Linotype"/>
          <w:bCs/>
          <w:i/>
          <w:sz w:val="22"/>
          <w:szCs w:val="22"/>
        </w:rPr>
        <w:t>Methodological considerations</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 xml:space="preserve">The use of experimental methods and, in particular Randomised Controlled Trials (RCTs), has received considerable attention in recent years, with some groups viewing them as the only way to gather evidence of ‘what works’.  However, large-scale systemic change is unlikely to lend itself to such experimental approaches.  Rather, the approach is more akin to engineering, where decisions will be informed by a variety of evidence in order to implement what is hoped will be the optimal solution.  </w:t>
      </w:r>
    </w:p>
    <w:p w:rsidR="0026083E" w:rsidRPr="003A11A0" w:rsidRDefault="0026083E" w:rsidP="00726EA7">
      <w:pPr>
        <w:jc w:val="both"/>
        <w:rPr>
          <w:rFonts w:ascii="Palatino Linotype" w:hAnsi="Palatino Linotype"/>
          <w:bCs/>
          <w:sz w:val="22"/>
          <w:szCs w:val="22"/>
        </w:rPr>
      </w:pPr>
    </w:p>
    <w:p w:rsidR="0026083E" w:rsidRPr="003A11A0" w:rsidRDefault="0026083E" w:rsidP="00726EA7">
      <w:pPr>
        <w:numPr>
          <w:ilvl w:val="1"/>
          <w:numId w:val="15"/>
        </w:numPr>
        <w:tabs>
          <w:tab w:val="clear" w:pos="567"/>
        </w:tabs>
        <w:overflowPunct/>
        <w:autoSpaceDE/>
        <w:autoSpaceDN/>
        <w:adjustRightInd/>
        <w:spacing w:line="276" w:lineRule="auto"/>
        <w:jc w:val="both"/>
        <w:rPr>
          <w:rFonts w:ascii="Palatino Linotype" w:hAnsi="Palatino Linotype"/>
          <w:bCs/>
          <w:sz w:val="22"/>
          <w:szCs w:val="22"/>
        </w:rPr>
      </w:pPr>
      <w:r w:rsidRPr="003A11A0">
        <w:rPr>
          <w:rFonts w:ascii="Palatino Linotype" w:hAnsi="Palatino Linotype"/>
          <w:bCs/>
          <w:sz w:val="22"/>
          <w:szCs w:val="22"/>
        </w:rPr>
        <w:t>Targeted interventions should initially be introduced on a small scale to test ‘proof-of-principle’, with a view to testing on a larger scale if the initial evidence suggests the intervention may be having the desired effects.  Such larger-scale testing should involve a mixed methods approach, which could involve the use of Randomised Controlled Trials (RCTs), supplemented by case studies of practice.  In this context, large scale data sets such as the National Pupil Database offer considerable potential in providing a sampling frame for more rigorous research design.</w:t>
      </w:r>
    </w:p>
    <w:p w:rsidR="00E22313" w:rsidRPr="003A11A0" w:rsidRDefault="00E22313" w:rsidP="00726EA7">
      <w:pPr>
        <w:tabs>
          <w:tab w:val="clear" w:pos="567"/>
        </w:tabs>
        <w:overflowPunct/>
        <w:autoSpaceDE/>
        <w:autoSpaceDN/>
        <w:adjustRightInd/>
        <w:spacing w:line="276" w:lineRule="auto"/>
        <w:ind w:left="564"/>
        <w:jc w:val="both"/>
        <w:rPr>
          <w:rFonts w:ascii="Palatino Linotype" w:hAnsi="Palatino Linotype"/>
          <w:bCs/>
          <w:sz w:val="22"/>
          <w:szCs w:val="22"/>
        </w:rPr>
      </w:pPr>
    </w:p>
    <w:p w:rsidR="00E22313" w:rsidRPr="003A11A0" w:rsidRDefault="00E22313" w:rsidP="00726EA7">
      <w:pPr>
        <w:pStyle w:val="ListParagraph"/>
        <w:numPr>
          <w:ilvl w:val="1"/>
          <w:numId w:val="15"/>
        </w:numPr>
        <w:tabs>
          <w:tab w:val="clear" w:pos="567"/>
        </w:tabs>
        <w:overflowPunct/>
        <w:autoSpaceDE/>
        <w:autoSpaceDN/>
        <w:adjustRightInd/>
        <w:spacing w:line="240" w:lineRule="auto"/>
        <w:jc w:val="both"/>
        <w:rPr>
          <w:rFonts w:ascii="Palatino Linotype" w:hAnsi="Palatino Linotype"/>
          <w:sz w:val="22"/>
          <w:szCs w:val="22"/>
        </w:rPr>
      </w:pPr>
      <w:r w:rsidRPr="003A11A0">
        <w:rPr>
          <w:rFonts w:ascii="Palatino Linotype" w:hAnsi="Palatino Linotype"/>
          <w:sz w:val="22"/>
          <w:szCs w:val="22"/>
        </w:rPr>
        <w:t>A publicly-available bank of high quality, reliable and valid instruments with sound psychometric underpinning should be established to enhance the quality of the research evidence on attitudes and engagement in STEM subjects.  Such a bank should contain a core of items to be used in the evaluation of interventions in order to facilitate comparisons between studies.</w:t>
      </w:r>
    </w:p>
    <w:p w:rsidR="0026083E" w:rsidRPr="003A11A0" w:rsidRDefault="0026083E" w:rsidP="00726EA7">
      <w:pPr>
        <w:tabs>
          <w:tab w:val="clear" w:pos="567"/>
        </w:tabs>
        <w:overflowPunct/>
        <w:autoSpaceDE/>
        <w:autoSpaceDN/>
        <w:adjustRightInd/>
        <w:spacing w:line="276" w:lineRule="auto"/>
        <w:jc w:val="both"/>
        <w:rPr>
          <w:rFonts w:ascii="Palatino Linotype" w:hAnsi="Palatino Linotype"/>
          <w:bCs/>
          <w:sz w:val="22"/>
          <w:szCs w:val="22"/>
        </w:rPr>
      </w:pPr>
    </w:p>
    <w:p w:rsidR="00B9690F" w:rsidRPr="003A11A0" w:rsidRDefault="00B9690F" w:rsidP="00726EA7">
      <w:pPr>
        <w:jc w:val="both"/>
        <w:rPr>
          <w:rFonts w:ascii="Palatino Linotype" w:hAnsi="Palatino Linotype"/>
          <w:b/>
          <w:bCs/>
          <w:color w:val="1F497D" w:themeColor="text2"/>
          <w:sz w:val="22"/>
          <w:szCs w:val="22"/>
        </w:rPr>
      </w:pPr>
      <w:r w:rsidRPr="003A11A0">
        <w:rPr>
          <w:rFonts w:ascii="Palatino Linotype" w:hAnsi="Palatino Linotype"/>
          <w:b/>
          <w:bCs/>
          <w:color w:val="1F497D" w:themeColor="text2"/>
          <w:sz w:val="22"/>
          <w:szCs w:val="22"/>
        </w:rPr>
        <w:t>The evidence base from the literature review</w:t>
      </w:r>
    </w:p>
    <w:p w:rsidR="00B9690F" w:rsidRPr="003A11A0" w:rsidRDefault="00B9690F" w:rsidP="00726EA7">
      <w:pPr>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General considerations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lastRenderedPageBreak/>
        <w:t xml:space="preserve">The key findings presented are those which have emerged from high quality studies and/or emerged consistently from a number of studies with a similar focus, thus enabling a good level of confidence to be placed in the findings.  Studies have been judged to be ‘high quality’ if they are medium-to-large in scale (i.e. are not studies by one researcher in one location), and normally include sufficient information to make an assessment of the reliability and validity of both the methods employed and the analysis.  </w:t>
      </w:r>
    </w:p>
    <w:p w:rsidR="00B9690F" w:rsidRPr="003A11A0" w:rsidRDefault="00B9690F" w:rsidP="00726EA7">
      <w:pPr>
        <w:jc w:val="both"/>
        <w:rPr>
          <w:rFonts w:ascii="Palatino Linotype" w:hAnsi="Palatino Linotype"/>
          <w:sz w:val="22"/>
          <w:szCs w:val="22"/>
        </w:rPr>
      </w:pPr>
      <w:r w:rsidRPr="003A11A0">
        <w:rPr>
          <w:rFonts w:ascii="Palatino Linotype" w:hAnsi="Palatino Linotype"/>
          <w:sz w:val="22"/>
          <w:szCs w:val="22"/>
        </w:rPr>
        <w:t xml:space="preserve"> </w:t>
      </w: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The evidence is presented </w:t>
      </w:r>
      <w:proofErr w:type="gramStart"/>
      <w:r w:rsidRPr="003A11A0">
        <w:rPr>
          <w:rFonts w:ascii="Palatino Linotype" w:hAnsi="Palatino Linotype"/>
          <w:sz w:val="22"/>
          <w:szCs w:val="22"/>
        </w:rPr>
        <w:t>under</w:t>
      </w:r>
      <w:proofErr w:type="gramEnd"/>
      <w:r w:rsidRPr="003A11A0">
        <w:rPr>
          <w:rFonts w:ascii="Palatino Linotype" w:hAnsi="Palatino Linotype"/>
          <w:sz w:val="22"/>
          <w:szCs w:val="22"/>
        </w:rPr>
        <w:t xml:space="preserve"> four main categories: systemic factors, school factors, individual factors, and external factors.  These categories are not mutually exclusive.  The most extensive work focuses on individual and school factors influencing engagement and participation.  Rather less exists on the influence of systemic factors and external factors such as informal learning.  </w:t>
      </w:r>
    </w:p>
    <w:p w:rsidR="00B9690F" w:rsidRPr="003A11A0" w:rsidRDefault="00B9690F" w:rsidP="00726EA7">
      <w:pPr>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Systemic factors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Countries that are seen as successful in STEM (i.e. where there do not appear to be persistent concerns about participation in STEM subjects) share a number of common features.  These include a clear national policy on STEM, supported by substantial investment, the perception of teaching as a high status profession, STEM teachers being fully trained in their main subject and only teaching this subject, clear bifurcation of provision into STEM and non-STEM tracks at around age 14, vocational and technical institutions running alongside academic institutions, more compulsion to study mathematics and science at upper secondary level, and the setting of STEM-specific requirements for entry into higher education.</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 combination of early specialisation and lack of opportunities to re-enter the STEM ‘pipeline’ at a later stage exerts an influence on post-compulsory participation in the UK.  Sweden has had success with government investment in post-compulsory STEM provision that allows participants not on a STEM track to move to a STEM track at a later stage in their education.</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Although the notion of a STEAM (STEM plus Arts) curriculum has received attention, there is insufficient evidence at present to assess its impact.</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Although Scotland has much higher levels of post-compulsory engagement in mathematics and science, there is a lack of detailed evidence explaining this pattern.</w:t>
      </w:r>
    </w:p>
    <w:p w:rsidR="00B9690F" w:rsidRPr="003A11A0" w:rsidRDefault="00B9690F" w:rsidP="00726EA7">
      <w:pPr>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School factors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Private schools and schools that select on the basis of ability demonstrate higher uptake of STEM subjects than state schools.  Higher levels of post-compulsory </w:t>
      </w:r>
      <w:r w:rsidRPr="003A11A0">
        <w:rPr>
          <w:rFonts w:ascii="Palatino Linotype" w:hAnsi="Palatino Linotype"/>
          <w:sz w:val="22"/>
          <w:szCs w:val="22"/>
        </w:rPr>
        <w:lastRenderedPageBreak/>
        <w:t>participation are associated with single-sex schools, particularly for girls, with subject specialist teaching, and schools that take students form age 11-18, rather than 11-16.</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some evidence to suggest that curriculum diversity pre-16 in science provision (i.e. offering triple science, dual-award science and vocational courses) may have a more positive impact on post-compulsory participation than a single offer of triple science.</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Context-based approaches for students aged 11-16 appear to improve engagement in science, but not in mathematics.  The improvement in engagement in science does not translate in any substantial way to improved levels of post-compulsory participation.  There is mixed evidence on improvements in levels of post-compulsory participation in science for students following a GCSE science course emphasising scientific literacy (</w:t>
      </w:r>
      <w:r w:rsidRPr="003A11A0">
        <w:rPr>
          <w:rFonts w:ascii="Palatino Linotype" w:hAnsi="Palatino Linotype"/>
          <w:i/>
          <w:sz w:val="22"/>
          <w:szCs w:val="22"/>
        </w:rPr>
        <w:t>Twenty-first Century Science</w:t>
      </w:r>
      <w:r w:rsidRPr="003A11A0">
        <w:rPr>
          <w:rFonts w:ascii="Palatino Linotype" w:hAnsi="Palatino Linotype"/>
          <w:sz w:val="22"/>
          <w:szCs w:val="22"/>
        </w:rPr>
        <w:t>).</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There is evidence to suggest that post-compulsory participation in science is improved if schools set a higher entry requirement, i.e. GCSE grade B, rather than C, though explanations for this </w:t>
      </w:r>
      <w:proofErr w:type="gramStart"/>
      <w:r w:rsidRPr="003A11A0">
        <w:rPr>
          <w:rFonts w:ascii="Palatino Linotype" w:hAnsi="Palatino Linotype"/>
          <w:sz w:val="22"/>
          <w:szCs w:val="22"/>
        </w:rPr>
        <w:t>effect</w:t>
      </w:r>
      <w:proofErr w:type="gramEnd"/>
      <w:r w:rsidRPr="003A11A0">
        <w:rPr>
          <w:rFonts w:ascii="Palatino Linotype" w:hAnsi="Palatino Linotype"/>
          <w:sz w:val="22"/>
          <w:szCs w:val="22"/>
        </w:rPr>
        <w:t xml:space="preserve"> need further probing.  </w:t>
      </w:r>
    </w:p>
    <w:p w:rsidR="00B9690F" w:rsidRPr="003A11A0" w:rsidRDefault="00B9690F" w:rsidP="00726EA7">
      <w:pPr>
        <w:jc w:val="both"/>
        <w:rPr>
          <w:rFonts w:ascii="Palatino Linotype" w:hAnsi="Palatino Linotype"/>
          <w:sz w:val="22"/>
          <w:szCs w:val="22"/>
        </w:rPr>
      </w:pPr>
      <w:r w:rsidRPr="003A11A0">
        <w:rPr>
          <w:rFonts w:ascii="Palatino Linotype" w:hAnsi="Palatino Linotype"/>
          <w:sz w:val="22"/>
          <w:szCs w:val="22"/>
        </w:rPr>
        <w:t xml:space="preserve"> </w:t>
      </w: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strong evidence to suggest that careers guidance exerts a major influence on levels of post-compulsory participation.  As students often have clearly formulated, and non-STEM-related, ideas about future careers by the age of 11-12, several studies recommend that STEM careers advice should begin to be provided from a much earlier age, i.e. in primary school.</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evidence to suggest that levels of post-compulsory participation are improved if subject specialist teachers have a leading role in offering guidance on post-compulsory subject choices in STEM subjects, and that advice to ‘keep your options open’ has a negative effect on levels of participation in the physical sciences.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evidence to suggest that carefully structured opportunities to engage with the world of work, such as work experience, improve levels of post-compulsory uptake in science subjects.</w:t>
      </w:r>
    </w:p>
    <w:p w:rsidR="00B9690F" w:rsidRPr="003A11A0" w:rsidRDefault="00B9690F" w:rsidP="00726EA7">
      <w:pPr>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Individual factors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bCs/>
          <w:sz w:val="22"/>
          <w:szCs w:val="22"/>
        </w:rPr>
        <w:t>Students who aspire to study STEM subjects are more likely to come from families where there is a high level of ‘science capital’.  This background helps to create a sense in young people that science is what people like them do, and that careers involving STEM subjects are realistic and attainable ambitions.  The ‘disconnect’ between interest and subject choice could be explained by students who report liking science, but not considering studying it, having less science capital at home.</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lastRenderedPageBreak/>
        <w:t xml:space="preserve">With the exception of Chinese and Indian students, most minority ethnic groups are under-represented in post-compulsory study of STEM subjects compared with their white counterparts.  </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More boys than girls pursue the study of STEM subjects.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STEM subjects attract the more able students, particularly in mathematics.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mixed evidence on students’ levels of interest in STEM subjects across the years of secondary schooling.  A number of studies report declining interest, though more recent work suggests levels of interest are higher.  However, even high levels of interest do not translate into post-compulsory study.  By the age of 11-12, most students already see STEM subjects as something they personally are not going to study.</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Enthusiastic and knowledgeable subject specialist teachers can exert a positive influence on attitude and post-compulsory participation.</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strong evidence to suggest that attitudes to science outside school are more positive than attitudes to school science, as many students see ‘science’ as playing an important role in society, though not something they personally want to study.</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Students in less developed countries place a higher value, and have more positive attitudes to science than students in more developed countries.</w:t>
      </w:r>
    </w:p>
    <w:p w:rsidR="00B9690F" w:rsidRPr="003A11A0" w:rsidRDefault="00B9690F" w:rsidP="00726EA7">
      <w:pPr>
        <w:jc w:val="both"/>
        <w:rPr>
          <w:rFonts w:ascii="Palatino Linotype" w:hAnsi="Palatino Linotype"/>
          <w:sz w:val="22"/>
          <w:szCs w:val="22"/>
        </w:rPr>
      </w:pPr>
      <w:r w:rsidRPr="003A11A0">
        <w:rPr>
          <w:rFonts w:ascii="Palatino Linotype" w:hAnsi="Palatino Linotype"/>
          <w:sz w:val="22"/>
          <w:szCs w:val="22"/>
        </w:rPr>
        <w:t xml:space="preserve"> </w:t>
      </w: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There is strong evidence to suggest that students perceive STEM subjects to be difficult, and analysis of examination results shows that that it is harder to obtain the higher grades in mathematics and science at GCSE and A-level.  </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In STEM subjects, studies of students’ confidence in their ability to cope with STEM subjects (self-efficacy) suggests that there is a strong link between levels of self-efficacy, performance and, probably, levels of engagement and post-compulsory participation.</w:t>
      </w:r>
    </w:p>
    <w:p w:rsidR="00B9690F" w:rsidRPr="003A11A0" w:rsidRDefault="00B9690F" w:rsidP="00726EA7">
      <w:pPr>
        <w:ind w:left="564"/>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External factors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Evidence of the impact on engagement and participation of external factors such as visits to museums and science fairs is very limited, and poses considerable problems in undertaking much in the way of cohesive, systematic evaluation of effects. </w:t>
      </w:r>
    </w:p>
    <w:p w:rsidR="00B9690F" w:rsidRPr="003A11A0" w:rsidRDefault="00B9690F" w:rsidP="00726EA7">
      <w:pPr>
        <w:ind w:left="564"/>
        <w:jc w:val="both"/>
        <w:rPr>
          <w:rFonts w:ascii="Palatino Linotype" w:hAnsi="Palatino Linotype"/>
          <w:sz w:val="22"/>
          <w:szCs w:val="22"/>
        </w:rPr>
      </w:pPr>
    </w:p>
    <w:p w:rsidR="00B9690F" w:rsidRPr="003A11A0" w:rsidRDefault="00B9690F" w:rsidP="00726EA7">
      <w:pPr>
        <w:jc w:val="both"/>
        <w:rPr>
          <w:rFonts w:ascii="Palatino Linotype" w:hAnsi="Palatino Linotype"/>
          <w:i/>
          <w:sz w:val="22"/>
          <w:szCs w:val="22"/>
        </w:rPr>
      </w:pPr>
      <w:r w:rsidRPr="003A11A0">
        <w:rPr>
          <w:rFonts w:ascii="Palatino Linotype" w:hAnsi="Palatino Linotype"/>
          <w:i/>
          <w:sz w:val="22"/>
          <w:szCs w:val="22"/>
        </w:rPr>
        <w:t>Methodological considerations</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The literature on attitudes, engagement and participation in STEM subjects is particularly extensive and appears in a wide variety of sources (with a very high proportion being ‘grey’ literature).  It is characterised by huge diversity in the </w:t>
      </w:r>
      <w:r w:rsidRPr="003A11A0">
        <w:rPr>
          <w:rFonts w:ascii="Palatino Linotype" w:hAnsi="Palatino Linotype"/>
          <w:sz w:val="22"/>
          <w:szCs w:val="22"/>
        </w:rPr>
        <w:lastRenderedPageBreak/>
        <w:t>instruments used to gather data, weaknesses in instrument design, and a lack of replication studies.  Taken together these characteristics pose a substantial challenge to producing a review of the literature.</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bCs/>
          <w:sz w:val="22"/>
          <w:szCs w:val="22"/>
        </w:rPr>
        <w:t>The emphasis on survey methods in empirical studies leads to a weakness in the literature, in that much of it is descriptive, rather than explanatory, making it difficult to infer causality.</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Additional constraints on the work include the difficulty of accessing data to enable cross-national comparisons and the difficulty of making such comparisons even when the data are available due to variations in the nature of data gathered and reported.</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 xml:space="preserve">The review is limited to studies reported in English, thus containing a preponderance of publications from </w:t>
      </w:r>
      <w:r w:rsidRPr="003A11A0">
        <w:rPr>
          <w:rFonts w:ascii="Palatino Linotype" w:hAnsi="Palatino Linotype"/>
          <w:bCs/>
          <w:sz w:val="22"/>
          <w:szCs w:val="22"/>
        </w:rPr>
        <w:t xml:space="preserve">the UK, North America and Australia.    </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There is broad similarity in the findings from study to study, and over a period of time, pointing to the deep-rooted and persistent nature of the attitudes and their resistance to change.</w:t>
      </w:r>
    </w:p>
    <w:p w:rsidR="00B9690F" w:rsidRPr="003A11A0" w:rsidRDefault="00B9690F" w:rsidP="00726EA7">
      <w:pPr>
        <w:jc w:val="both"/>
        <w:rPr>
          <w:rFonts w:ascii="Palatino Linotype" w:hAnsi="Palatino Linotype"/>
          <w:sz w:val="22"/>
          <w:szCs w:val="22"/>
        </w:rPr>
      </w:pPr>
    </w:p>
    <w:p w:rsidR="00B9690F" w:rsidRPr="003A11A0" w:rsidRDefault="00B9690F" w:rsidP="00726EA7">
      <w:pPr>
        <w:numPr>
          <w:ilvl w:val="1"/>
          <w:numId w:val="15"/>
        </w:numPr>
        <w:tabs>
          <w:tab w:val="clear" w:pos="567"/>
        </w:tabs>
        <w:overflowPunct/>
        <w:autoSpaceDE/>
        <w:autoSpaceDN/>
        <w:adjustRightInd/>
        <w:spacing w:line="276" w:lineRule="auto"/>
        <w:jc w:val="both"/>
        <w:rPr>
          <w:rFonts w:ascii="Palatino Linotype" w:hAnsi="Palatino Linotype"/>
          <w:sz w:val="22"/>
          <w:szCs w:val="22"/>
        </w:rPr>
      </w:pPr>
      <w:r w:rsidRPr="003A11A0">
        <w:rPr>
          <w:rFonts w:ascii="Palatino Linotype" w:hAnsi="Palatino Linotype"/>
          <w:sz w:val="22"/>
          <w:szCs w:val="22"/>
        </w:rPr>
        <w:t>Recent developments include work on self-efficacy in STEM, the conducting of more longitudinal studies, and the use of large datasets (</w:t>
      </w:r>
      <w:r w:rsidRPr="003A11A0">
        <w:rPr>
          <w:rFonts w:ascii="Palatino Linotype" w:hAnsi="Palatino Linotype"/>
          <w:bCs/>
          <w:sz w:val="22"/>
          <w:szCs w:val="22"/>
        </w:rPr>
        <w:t>such as the National Pupil Database, NPD), either as the focus of the study and/or to assist in the identification of a sample for more in-depth work.</w:t>
      </w:r>
    </w:p>
    <w:p w:rsidR="0026083E" w:rsidRPr="007528E3" w:rsidRDefault="0026083E" w:rsidP="0026083E">
      <w:pPr>
        <w:tabs>
          <w:tab w:val="clear" w:pos="567"/>
        </w:tabs>
        <w:overflowPunct/>
        <w:autoSpaceDE/>
        <w:autoSpaceDN/>
        <w:adjustRightInd/>
        <w:spacing w:line="276" w:lineRule="auto"/>
        <w:rPr>
          <w:rFonts w:ascii="Palatino Linotype" w:hAnsi="Palatino Linotype"/>
          <w:bCs/>
        </w:rPr>
      </w:pPr>
    </w:p>
    <w:p w:rsidR="004102F3" w:rsidRPr="0086476E" w:rsidRDefault="004414F1" w:rsidP="004F4645">
      <w:pPr>
        <w:pStyle w:val="ListParagraph"/>
        <w:numPr>
          <w:ilvl w:val="1"/>
          <w:numId w:val="15"/>
        </w:numPr>
        <w:tabs>
          <w:tab w:val="clear" w:pos="567"/>
        </w:tabs>
        <w:overflowPunct/>
        <w:autoSpaceDE/>
        <w:autoSpaceDN/>
        <w:adjustRightInd/>
        <w:spacing w:line="240" w:lineRule="auto"/>
        <w:jc w:val="both"/>
        <w:rPr>
          <w:rFonts w:ascii="Palatino Linotype" w:hAnsi="Palatino Linotype"/>
          <w:sz w:val="22"/>
          <w:szCs w:val="22"/>
        </w:rPr>
      </w:pPr>
      <w:r w:rsidRPr="0086476E">
        <w:rPr>
          <w:rFonts w:ascii="Palatino Linotype" w:hAnsi="Palatino Linotype"/>
          <w:sz w:val="22"/>
          <w:szCs w:val="22"/>
        </w:rPr>
        <w:br w:type="page"/>
      </w:r>
    </w:p>
    <w:p w:rsidR="002F233B" w:rsidRDefault="00BA1BA8" w:rsidP="00D9487D">
      <w:pPr>
        <w:spacing w:line="240" w:lineRule="auto"/>
        <w:jc w:val="both"/>
        <w:rPr>
          <w:rFonts w:ascii="Palatino Linotype" w:hAnsi="Palatino Linotype"/>
          <w:b/>
          <w:color w:val="1F497D" w:themeColor="text2"/>
          <w:sz w:val="28"/>
          <w:szCs w:val="22"/>
        </w:rPr>
      </w:pPr>
      <w:r>
        <w:rPr>
          <w:rFonts w:ascii="Palatino Linotype" w:hAnsi="Palatino Linotype"/>
          <w:b/>
          <w:color w:val="1F497D" w:themeColor="text2"/>
          <w:sz w:val="28"/>
          <w:szCs w:val="22"/>
        </w:rPr>
        <w:lastRenderedPageBreak/>
        <w:t>PART 1</w:t>
      </w:r>
      <w:r>
        <w:rPr>
          <w:rFonts w:ascii="Palatino Linotype" w:hAnsi="Palatino Linotype"/>
          <w:b/>
          <w:color w:val="1F497D" w:themeColor="text2"/>
          <w:sz w:val="28"/>
          <w:szCs w:val="22"/>
        </w:rPr>
        <w:tab/>
        <w:t>The l</w:t>
      </w:r>
      <w:r w:rsidR="002F233B">
        <w:rPr>
          <w:rFonts w:ascii="Palatino Linotype" w:hAnsi="Palatino Linotype"/>
          <w:b/>
          <w:color w:val="1F497D" w:themeColor="text2"/>
          <w:sz w:val="28"/>
          <w:szCs w:val="22"/>
        </w:rPr>
        <w:t>iterature review</w:t>
      </w:r>
    </w:p>
    <w:p w:rsidR="002F233B" w:rsidRDefault="002F233B" w:rsidP="00D9487D">
      <w:pPr>
        <w:spacing w:line="240" w:lineRule="auto"/>
        <w:jc w:val="both"/>
        <w:rPr>
          <w:rFonts w:ascii="Palatino Linotype" w:hAnsi="Palatino Linotype"/>
          <w:b/>
          <w:color w:val="1F497D" w:themeColor="text2"/>
          <w:sz w:val="28"/>
          <w:szCs w:val="22"/>
        </w:rPr>
      </w:pPr>
    </w:p>
    <w:p w:rsidR="00ED1292" w:rsidRPr="00F8159F" w:rsidRDefault="000B17A3" w:rsidP="00D9487D">
      <w:pPr>
        <w:spacing w:line="240" w:lineRule="auto"/>
        <w:jc w:val="both"/>
        <w:rPr>
          <w:rFonts w:ascii="Palatino Linotype" w:hAnsi="Palatino Linotype"/>
          <w:b/>
          <w:color w:val="1F497D" w:themeColor="text2"/>
          <w:sz w:val="28"/>
          <w:szCs w:val="22"/>
        </w:rPr>
      </w:pPr>
      <w:r w:rsidRPr="00F8159F">
        <w:rPr>
          <w:rFonts w:ascii="Palatino Linotype" w:hAnsi="Palatino Linotype"/>
          <w:b/>
          <w:color w:val="1F497D" w:themeColor="text2"/>
          <w:sz w:val="28"/>
          <w:szCs w:val="22"/>
        </w:rPr>
        <w:t>1</w:t>
      </w:r>
      <w:r w:rsidRPr="00F8159F">
        <w:rPr>
          <w:rFonts w:ascii="Palatino Linotype" w:hAnsi="Palatino Linotype"/>
          <w:b/>
          <w:color w:val="1F497D" w:themeColor="text2"/>
          <w:sz w:val="28"/>
          <w:szCs w:val="22"/>
        </w:rPr>
        <w:tab/>
      </w:r>
      <w:r w:rsidR="00B944A9" w:rsidRPr="00F8159F">
        <w:rPr>
          <w:rFonts w:ascii="Palatino Linotype" w:hAnsi="Palatino Linotype"/>
          <w:b/>
          <w:color w:val="1F497D" w:themeColor="text2"/>
          <w:sz w:val="28"/>
          <w:szCs w:val="22"/>
        </w:rPr>
        <w:t>Introduction</w:t>
      </w:r>
    </w:p>
    <w:p w:rsidR="004414F1" w:rsidRPr="004414F1" w:rsidRDefault="004414F1" w:rsidP="00D9487D">
      <w:pPr>
        <w:spacing w:line="240" w:lineRule="auto"/>
        <w:jc w:val="both"/>
        <w:rPr>
          <w:rFonts w:ascii="Palatino Linotype" w:hAnsi="Palatino Linotype"/>
          <w:sz w:val="22"/>
          <w:szCs w:val="22"/>
        </w:rPr>
      </w:pPr>
    </w:p>
    <w:p w:rsidR="00C03A9C" w:rsidRPr="00F8159F" w:rsidRDefault="004414F1" w:rsidP="00D9487D">
      <w:pPr>
        <w:spacing w:line="240" w:lineRule="auto"/>
        <w:jc w:val="both"/>
        <w:rPr>
          <w:rFonts w:ascii="Palatino Linotype" w:hAnsi="Palatino Linotype"/>
          <w:b/>
          <w:sz w:val="22"/>
          <w:szCs w:val="22"/>
        </w:rPr>
      </w:pPr>
      <w:r>
        <w:rPr>
          <w:rFonts w:ascii="Palatino Linotype" w:hAnsi="Palatino Linotype"/>
          <w:b/>
          <w:sz w:val="22"/>
          <w:szCs w:val="22"/>
        </w:rPr>
        <w:t>1.1</w:t>
      </w:r>
      <w:r w:rsidR="00ED1292" w:rsidRPr="00F8159F">
        <w:rPr>
          <w:rFonts w:ascii="Palatino Linotype" w:hAnsi="Palatino Linotype"/>
          <w:b/>
          <w:sz w:val="22"/>
          <w:szCs w:val="22"/>
        </w:rPr>
        <w:tab/>
        <w:t>T</w:t>
      </w:r>
      <w:r w:rsidR="001C5849" w:rsidRPr="00F8159F">
        <w:rPr>
          <w:rFonts w:ascii="Palatino Linotype" w:hAnsi="Palatino Linotype"/>
          <w:b/>
          <w:sz w:val="22"/>
          <w:szCs w:val="22"/>
        </w:rPr>
        <w:t>he nature of the problem</w:t>
      </w:r>
    </w:p>
    <w:p w:rsidR="00C03A9C" w:rsidRPr="00F55F49" w:rsidRDefault="00C03A9C" w:rsidP="00D9487D">
      <w:pPr>
        <w:spacing w:line="240" w:lineRule="auto"/>
        <w:jc w:val="both"/>
        <w:rPr>
          <w:rFonts w:ascii="Palatino Linotype" w:hAnsi="Palatino Linotype"/>
          <w:sz w:val="22"/>
          <w:szCs w:val="22"/>
        </w:rPr>
      </w:pPr>
    </w:p>
    <w:p w:rsidR="00240AAF" w:rsidRDefault="00C03A9C" w:rsidP="00D9487D">
      <w:pPr>
        <w:spacing w:line="240" w:lineRule="auto"/>
        <w:jc w:val="both"/>
        <w:rPr>
          <w:rFonts w:ascii="Palatino Linotype" w:hAnsi="Palatino Linotype"/>
          <w:sz w:val="22"/>
          <w:szCs w:val="22"/>
        </w:rPr>
      </w:pPr>
      <w:r w:rsidRPr="00F55F49">
        <w:rPr>
          <w:rFonts w:ascii="Palatino Linotype" w:hAnsi="Palatino Linotype"/>
          <w:sz w:val="22"/>
          <w:szCs w:val="22"/>
        </w:rPr>
        <w:t xml:space="preserve">The uptake of Science, Technology, Engineering and Mathematics (STEM) subjects beyond the period of compulsory study has been the focus of </w:t>
      </w:r>
      <w:r w:rsidR="00FA5C09">
        <w:rPr>
          <w:rFonts w:ascii="Palatino Linotype" w:hAnsi="Palatino Linotype"/>
          <w:sz w:val="22"/>
          <w:szCs w:val="22"/>
        </w:rPr>
        <w:t xml:space="preserve">considerable </w:t>
      </w:r>
      <w:r w:rsidRPr="00F55F49">
        <w:rPr>
          <w:rFonts w:ascii="Palatino Linotype" w:hAnsi="Palatino Linotype"/>
          <w:sz w:val="22"/>
          <w:szCs w:val="22"/>
        </w:rPr>
        <w:t>attention</w:t>
      </w:r>
      <w:r w:rsidR="00FA5C09">
        <w:rPr>
          <w:rFonts w:ascii="Palatino Linotype" w:hAnsi="Palatino Linotype"/>
          <w:sz w:val="22"/>
          <w:szCs w:val="22"/>
        </w:rPr>
        <w:t xml:space="preserve"> and concern</w:t>
      </w:r>
      <w:r w:rsidRPr="00F55F49">
        <w:rPr>
          <w:rFonts w:ascii="Palatino Linotype" w:hAnsi="Palatino Linotype"/>
          <w:sz w:val="22"/>
          <w:szCs w:val="22"/>
        </w:rPr>
        <w:t xml:space="preserve"> in </w:t>
      </w:r>
      <w:r w:rsidR="00FA5C09">
        <w:rPr>
          <w:rFonts w:ascii="Palatino Linotype" w:hAnsi="Palatino Linotype"/>
          <w:sz w:val="22"/>
          <w:szCs w:val="22"/>
        </w:rPr>
        <w:t xml:space="preserve">several </w:t>
      </w:r>
      <w:r w:rsidRPr="00F55F49">
        <w:rPr>
          <w:rFonts w:ascii="Palatino Linotype" w:hAnsi="Palatino Linotype"/>
          <w:sz w:val="22"/>
          <w:szCs w:val="22"/>
        </w:rPr>
        <w:t xml:space="preserve">industrialised countries for </w:t>
      </w:r>
      <w:r w:rsidR="00FA5C09">
        <w:rPr>
          <w:rFonts w:ascii="Palatino Linotype" w:hAnsi="Palatino Linotype"/>
          <w:sz w:val="22"/>
          <w:szCs w:val="22"/>
        </w:rPr>
        <w:t>a number of years</w:t>
      </w:r>
      <w:r w:rsidR="00F53CE5">
        <w:rPr>
          <w:rFonts w:ascii="Palatino Linotype" w:hAnsi="Palatino Linotype"/>
          <w:sz w:val="22"/>
          <w:szCs w:val="22"/>
        </w:rPr>
        <w:t xml:space="preserve">.  </w:t>
      </w:r>
      <w:r w:rsidR="00240AAF">
        <w:rPr>
          <w:rFonts w:ascii="Palatino Linotype" w:hAnsi="Palatino Linotype"/>
          <w:sz w:val="22"/>
          <w:szCs w:val="22"/>
        </w:rPr>
        <w:t>There are a number of reasons f</w:t>
      </w:r>
      <w:r w:rsidR="00916393">
        <w:rPr>
          <w:rFonts w:ascii="Palatino Linotype" w:hAnsi="Palatino Linotype"/>
          <w:sz w:val="22"/>
          <w:szCs w:val="22"/>
        </w:rPr>
        <w:t>or the concern</w:t>
      </w:r>
      <w:r w:rsidR="00F53CE5">
        <w:rPr>
          <w:rFonts w:ascii="Palatino Linotype" w:hAnsi="Palatino Linotype"/>
          <w:sz w:val="22"/>
          <w:szCs w:val="22"/>
        </w:rPr>
        <w:t xml:space="preserve">.  </w:t>
      </w:r>
      <w:r w:rsidR="00240AAF">
        <w:rPr>
          <w:rFonts w:ascii="Palatino Linotype" w:hAnsi="Palatino Linotype"/>
          <w:sz w:val="22"/>
          <w:szCs w:val="22"/>
        </w:rPr>
        <w:t xml:space="preserve">These include </w:t>
      </w:r>
      <w:r w:rsidR="00916393">
        <w:rPr>
          <w:rFonts w:ascii="Palatino Linotype" w:hAnsi="Palatino Linotype"/>
          <w:sz w:val="22"/>
          <w:szCs w:val="22"/>
        </w:rPr>
        <w:t>(a</w:t>
      </w:r>
      <w:r w:rsidR="003D33BD">
        <w:rPr>
          <w:rFonts w:ascii="Palatino Linotype" w:hAnsi="Palatino Linotype"/>
          <w:sz w:val="22"/>
          <w:szCs w:val="22"/>
        </w:rPr>
        <w:t>) a</w:t>
      </w:r>
      <w:r w:rsidR="00240AAF">
        <w:rPr>
          <w:rFonts w:ascii="Palatino Linotype" w:hAnsi="Palatino Linotype"/>
          <w:sz w:val="22"/>
          <w:szCs w:val="22"/>
        </w:rPr>
        <w:t xml:space="preserve"> consensus that a country’s economy and </w:t>
      </w:r>
      <w:r w:rsidR="00231FEA">
        <w:rPr>
          <w:rFonts w:ascii="Palatino Linotype" w:hAnsi="Palatino Linotype"/>
          <w:sz w:val="22"/>
          <w:szCs w:val="22"/>
        </w:rPr>
        <w:t>competitive strength</w:t>
      </w:r>
      <w:r w:rsidR="00240AAF">
        <w:rPr>
          <w:rFonts w:ascii="Palatino Linotype" w:hAnsi="Palatino Linotype"/>
          <w:sz w:val="22"/>
          <w:szCs w:val="22"/>
        </w:rPr>
        <w:t xml:space="preserve"> suffers if there is a</w:t>
      </w:r>
      <w:r w:rsidR="00916393">
        <w:rPr>
          <w:rFonts w:ascii="Palatino Linotype" w:hAnsi="Palatino Linotype"/>
          <w:sz w:val="22"/>
          <w:szCs w:val="22"/>
        </w:rPr>
        <w:t xml:space="preserve"> shortage of people with STEM skills and competencies, (b</w:t>
      </w:r>
      <w:r w:rsidR="00916393" w:rsidRPr="00916393">
        <w:rPr>
          <w:rFonts w:ascii="Palatino Linotype" w:hAnsi="Palatino Linotype"/>
          <w:sz w:val="22"/>
          <w:szCs w:val="22"/>
        </w:rPr>
        <w:t>) predicted shortages of people electing to pursue careers in STEM-related areas</w:t>
      </w:r>
      <w:r w:rsidR="00D711E7">
        <w:rPr>
          <w:rStyle w:val="FootnoteReference"/>
          <w:rFonts w:ascii="Palatino Linotype" w:hAnsi="Palatino Linotype"/>
          <w:sz w:val="22"/>
          <w:szCs w:val="22"/>
        </w:rPr>
        <w:footnoteReference w:id="1"/>
      </w:r>
      <w:r w:rsidR="003D33BD">
        <w:rPr>
          <w:rFonts w:ascii="Palatino Linotype" w:hAnsi="Palatino Linotype"/>
          <w:sz w:val="22"/>
          <w:szCs w:val="22"/>
        </w:rPr>
        <w:t>,</w:t>
      </w:r>
      <w:r w:rsidR="00916393">
        <w:rPr>
          <w:rFonts w:ascii="Palatino Linotype" w:hAnsi="Palatino Linotype"/>
          <w:sz w:val="22"/>
          <w:szCs w:val="22"/>
        </w:rPr>
        <w:t xml:space="preserve"> </w:t>
      </w:r>
      <w:r w:rsidR="00240AAF">
        <w:rPr>
          <w:rFonts w:ascii="Palatino Linotype" w:hAnsi="Palatino Linotype"/>
          <w:sz w:val="22"/>
          <w:szCs w:val="22"/>
        </w:rPr>
        <w:t>(c) a consensus that the</w:t>
      </w:r>
      <w:r w:rsidR="00240AAF" w:rsidRPr="00240AAF">
        <w:rPr>
          <w:rFonts w:ascii="Palatino Linotype" w:hAnsi="Palatino Linotype"/>
          <w:sz w:val="22"/>
          <w:szCs w:val="22"/>
        </w:rPr>
        <w:t xml:space="preserve"> pool from which </w:t>
      </w:r>
      <w:r w:rsidR="00240AAF">
        <w:rPr>
          <w:rFonts w:ascii="Palatino Linotype" w:hAnsi="Palatino Linotype"/>
          <w:sz w:val="22"/>
          <w:szCs w:val="22"/>
        </w:rPr>
        <w:t>future STEM specialists</w:t>
      </w:r>
      <w:r w:rsidR="00916393">
        <w:rPr>
          <w:rFonts w:ascii="Palatino Linotype" w:hAnsi="Palatino Linotype"/>
          <w:sz w:val="22"/>
          <w:szCs w:val="22"/>
        </w:rPr>
        <w:t xml:space="preserve"> will emerge</w:t>
      </w:r>
      <w:r w:rsidR="00240AAF">
        <w:rPr>
          <w:rFonts w:ascii="Palatino Linotype" w:hAnsi="Palatino Linotype"/>
          <w:sz w:val="22"/>
          <w:szCs w:val="22"/>
        </w:rPr>
        <w:t xml:space="preserve"> is restricted, with a </w:t>
      </w:r>
      <w:r w:rsidR="00240AAF" w:rsidRPr="00240AAF">
        <w:rPr>
          <w:rFonts w:ascii="Palatino Linotype" w:hAnsi="Palatino Linotype"/>
          <w:sz w:val="22"/>
          <w:szCs w:val="22"/>
        </w:rPr>
        <w:t>lack of diversity in social and ethnic background</w:t>
      </w:r>
      <w:r w:rsidR="00240AAF">
        <w:rPr>
          <w:rFonts w:ascii="Palatino Linotype" w:hAnsi="Palatino Linotype"/>
          <w:sz w:val="22"/>
          <w:szCs w:val="22"/>
        </w:rPr>
        <w:t xml:space="preserve"> and a notable </w:t>
      </w:r>
      <w:r w:rsidR="003D33BD">
        <w:rPr>
          <w:rFonts w:ascii="Palatino Linotype" w:hAnsi="Palatino Linotype"/>
          <w:sz w:val="22"/>
          <w:szCs w:val="22"/>
        </w:rPr>
        <w:t>under-representation of women, and (d) a desire by many countries to improve the overall scientific literacy of their population</w:t>
      </w:r>
      <w:r w:rsidR="00F53CE5">
        <w:rPr>
          <w:rFonts w:ascii="Palatino Linotype" w:hAnsi="Palatino Linotype"/>
          <w:sz w:val="22"/>
          <w:szCs w:val="22"/>
        </w:rPr>
        <w:t xml:space="preserve">.  </w:t>
      </w:r>
    </w:p>
    <w:p w:rsidR="00240AAF" w:rsidRDefault="00240AAF" w:rsidP="00D9487D">
      <w:pPr>
        <w:spacing w:line="240" w:lineRule="auto"/>
        <w:jc w:val="both"/>
        <w:rPr>
          <w:rFonts w:ascii="Palatino Linotype" w:hAnsi="Palatino Linotype"/>
          <w:sz w:val="22"/>
          <w:szCs w:val="22"/>
        </w:rPr>
      </w:pPr>
    </w:p>
    <w:p w:rsidR="00C03A9C" w:rsidRDefault="00240AAF" w:rsidP="00D9487D">
      <w:pPr>
        <w:spacing w:line="240" w:lineRule="auto"/>
        <w:jc w:val="both"/>
        <w:rPr>
          <w:rFonts w:ascii="Palatino Linotype" w:hAnsi="Palatino Linotype"/>
          <w:sz w:val="22"/>
          <w:szCs w:val="22"/>
        </w:rPr>
      </w:pPr>
      <w:r>
        <w:rPr>
          <w:rFonts w:ascii="Palatino Linotype" w:hAnsi="Palatino Linotype"/>
          <w:sz w:val="22"/>
          <w:szCs w:val="22"/>
        </w:rPr>
        <w:t>The concern has</w:t>
      </w:r>
      <w:r w:rsidR="00FA5C09">
        <w:rPr>
          <w:rFonts w:ascii="Palatino Linotype" w:hAnsi="Palatino Linotype"/>
          <w:sz w:val="22"/>
          <w:szCs w:val="22"/>
        </w:rPr>
        <w:t xml:space="preserve"> led to the </w:t>
      </w:r>
      <w:r w:rsidR="00C03A9C" w:rsidRPr="00F55F49">
        <w:rPr>
          <w:rFonts w:ascii="Palatino Linotype" w:hAnsi="Palatino Linotype"/>
          <w:sz w:val="22"/>
          <w:szCs w:val="22"/>
        </w:rPr>
        <w:t xml:space="preserve">close monitoring of </w:t>
      </w:r>
      <w:r w:rsidR="00FA5C09">
        <w:rPr>
          <w:rFonts w:ascii="Palatino Linotype" w:hAnsi="Palatino Linotype"/>
          <w:sz w:val="22"/>
          <w:szCs w:val="22"/>
        </w:rPr>
        <w:t xml:space="preserve">post-compulsory uptake of STEM </w:t>
      </w:r>
      <w:r w:rsidR="00C03A9C" w:rsidRPr="00F55F49">
        <w:rPr>
          <w:rFonts w:ascii="Palatino Linotype" w:hAnsi="Palatino Linotype"/>
          <w:sz w:val="22"/>
          <w:szCs w:val="22"/>
        </w:rPr>
        <w:t>subject</w:t>
      </w:r>
      <w:r w:rsidR="00FA5C09">
        <w:rPr>
          <w:rFonts w:ascii="Palatino Linotype" w:hAnsi="Palatino Linotype"/>
          <w:sz w:val="22"/>
          <w:szCs w:val="22"/>
        </w:rPr>
        <w:t>s</w:t>
      </w:r>
      <w:r>
        <w:rPr>
          <w:rFonts w:ascii="Palatino Linotype" w:hAnsi="Palatino Linotype"/>
          <w:sz w:val="22"/>
          <w:szCs w:val="22"/>
        </w:rPr>
        <w:t xml:space="preserve">, </w:t>
      </w:r>
      <w:r w:rsidR="00FA5C09">
        <w:rPr>
          <w:rFonts w:ascii="Palatino Linotype" w:hAnsi="Palatino Linotype"/>
          <w:sz w:val="22"/>
          <w:szCs w:val="22"/>
        </w:rPr>
        <w:t xml:space="preserve">both cross-nationally by the </w:t>
      </w:r>
      <w:r w:rsidR="00FA5C09" w:rsidRPr="00FA5C09">
        <w:rPr>
          <w:rFonts w:ascii="Palatino Linotype" w:hAnsi="Palatino Linotype"/>
          <w:sz w:val="22"/>
          <w:szCs w:val="22"/>
        </w:rPr>
        <w:t>Organisation for Economic</w:t>
      </w:r>
      <w:r w:rsidR="00FA5C09">
        <w:rPr>
          <w:rFonts w:ascii="Palatino Linotype" w:hAnsi="Palatino Linotype"/>
          <w:sz w:val="22"/>
          <w:szCs w:val="22"/>
        </w:rPr>
        <w:t xml:space="preserve"> Co-operation and Development (</w:t>
      </w:r>
      <w:r w:rsidR="00FA5C09" w:rsidRPr="00FA5C09">
        <w:rPr>
          <w:rFonts w:ascii="Palatino Linotype" w:hAnsi="Palatino Linotype"/>
          <w:sz w:val="22"/>
          <w:szCs w:val="22"/>
        </w:rPr>
        <w:t>OECD, 2009</w:t>
      </w:r>
      <w:r w:rsidR="00FA5C09">
        <w:rPr>
          <w:rFonts w:ascii="Palatino Linotype" w:hAnsi="Palatino Linotype"/>
          <w:sz w:val="22"/>
          <w:szCs w:val="22"/>
        </w:rPr>
        <w:t>) and in individual countries</w:t>
      </w:r>
      <w:r w:rsidR="0097088B">
        <w:rPr>
          <w:rFonts w:ascii="Palatino Linotype" w:hAnsi="Palatino Linotype"/>
          <w:sz w:val="22"/>
          <w:szCs w:val="22"/>
        </w:rPr>
        <w:t>, for example: in Canada: Industry Canada (</w:t>
      </w:r>
      <w:r w:rsidR="00C03A9C" w:rsidRPr="00F55F49">
        <w:rPr>
          <w:rFonts w:ascii="Palatino Linotype" w:hAnsi="Palatino Linotype"/>
          <w:sz w:val="22"/>
          <w:szCs w:val="22"/>
        </w:rPr>
        <w:t>2007</w:t>
      </w:r>
      <w:r w:rsidR="0097088B">
        <w:rPr>
          <w:rFonts w:ascii="Palatino Linotype" w:hAnsi="Palatino Linotype"/>
          <w:sz w:val="22"/>
          <w:szCs w:val="22"/>
        </w:rPr>
        <w:t>)</w:t>
      </w:r>
      <w:r w:rsidR="00C03A9C" w:rsidRPr="00F55F49">
        <w:rPr>
          <w:rFonts w:ascii="Palatino Linotype" w:hAnsi="Palatino Linotype"/>
          <w:sz w:val="22"/>
          <w:szCs w:val="22"/>
        </w:rPr>
        <w:t>; in the US</w:t>
      </w:r>
      <w:r w:rsidR="0097088B">
        <w:rPr>
          <w:rFonts w:ascii="Palatino Linotype" w:hAnsi="Palatino Linotype"/>
          <w:sz w:val="22"/>
          <w:szCs w:val="22"/>
        </w:rPr>
        <w:t>A: National Science Foundation (</w:t>
      </w:r>
      <w:r w:rsidR="00C03A9C" w:rsidRPr="00F55F49">
        <w:rPr>
          <w:rFonts w:ascii="Palatino Linotype" w:hAnsi="Palatino Linotype"/>
          <w:sz w:val="22"/>
          <w:szCs w:val="22"/>
        </w:rPr>
        <w:t>2010</w:t>
      </w:r>
      <w:r w:rsidR="0097088B">
        <w:rPr>
          <w:rFonts w:ascii="Palatino Linotype" w:hAnsi="Palatino Linotype"/>
          <w:sz w:val="22"/>
          <w:szCs w:val="22"/>
        </w:rPr>
        <w:t>); in the UK: Roberts (</w:t>
      </w:r>
      <w:r w:rsidR="00C03A9C" w:rsidRPr="00F55F49">
        <w:rPr>
          <w:rFonts w:ascii="Palatino Linotype" w:hAnsi="Palatino Linotype"/>
          <w:sz w:val="22"/>
          <w:szCs w:val="22"/>
        </w:rPr>
        <w:t>2002</w:t>
      </w:r>
      <w:r w:rsidR="0097088B">
        <w:rPr>
          <w:rFonts w:ascii="Palatino Linotype" w:hAnsi="Palatino Linotype"/>
          <w:sz w:val="22"/>
          <w:szCs w:val="22"/>
        </w:rPr>
        <w:t>)</w:t>
      </w:r>
      <w:r w:rsidR="00C74834">
        <w:rPr>
          <w:rFonts w:ascii="Palatino Linotype" w:hAnsi="Palatino Linotype"/>
          <w:sz w:val="22"/>
          <w:szCs w:val="22"/>
        </w:rPr>
        <w:t xml:space="preserve">; </w:t>
      </w:r>
      <w:r w:rsidR="0097088B">
        <w:rPr>
          <w:rFonts w:ascii="Palatino Linotype" w:hAnsi="Palatino Linotype"/>
          <w:sz w:val="22"/>
          <w:szCs w:val="22"/>
        </w:rPr>
        <w:t>Sainsbury (</w:t>
      </w:r>
      <w:r w:rsidR="00C74834">
        <w:rPr>
          <w:rFonts w:ascii="Palatino Linotype" w:hAnsi="Palatino Linotype"/>
          <w:sz w:val="22"/>
          <w:szCs w:val="22"/>
        </w:rPr>
        <w:t>2007</w:t>
      </w:r>
      <w:r w:rsidR="0097088B">
        <w:rPr>
          <w:rFonts w:ascii="Palatino Linotype" w:hAnsi="Palatino Linotype"/>
          <w:sz w:val="22"/>
          <w:szCs w:val="22"/>
        </w:rPr>
        <w:t>)</w:t>
      </w:r>
      <w:r w:rsidR="00C74834">
        <w:rPr>
          <w:rFonts w:ascii="Palatino Linotype" w:hAnsi="Palatino Linotype"/>
          <w:sz w:val="22"/>
          <w:szCs w:val="22"/>
        </w:rPr>
        <w:t>;</w:t>
      </w:r>
      <w:r w:rsidR="0097088B">
        <w:rPr>
          <w:rFonts w:ascii="Palatino Linotype" w:hAnsi="Palatino Linotype"/>
          <w:sz w:val="22"/>
          <w:szCs w:val="22"/>
        </w:rPr>
        <w:t xml:space="preserve"> The Royal Society (2008)</w:t>
      </w:r>
      <w:r w:rsidR="00F53CE5">
        <w:rPr>
          <w:rFonts w:ascii="Palatino Linotype" w:hAnsi="Palatino Linotype"/>
          <w:sz w:val="22"/>
          <w:szCs w:val="22"/>
        </w:rPr>
        <w:t xml:space="preserve">.  </w:t>
      </w:r>
      <w:r w:rsidR="00C03A9C" w:rsidRPr="00F55F49">
        <w:rPr>
          <w:rFonts w:ascii="Palatino Linotype" w:hAnsi="Palatino Linotype"/>
          <w:sz w:val="22"/>
          <w:szCs w:val="22"/>
        </w:rPr>
        <w:t>In tandem with these high level reviews, cross-national studies have also been undertaken to explore school students’ attitudes to science</w:t>
      </w:r>
      <w:r w:rsidR="00F53CE5">
        <w:rPr>
          <w:rFonts w:ascii="Palatino Linotype" w:hAnsi="Palatino Linotype"/>
          <w:sz w:val="22"/>
          <w:szCs w:val="22"/>
        </w:rPr>
        <w:t xml:space="preserve">.  </w:t>
      </w:r>
      <w:r w:rsidR="00C03A9C" w:rsidRPr="00F55F49">
        <w:rPr>
          <w:rFonts w:ascii="Palatino Linotype" w:hAnsi="Palatino Linotype"/>
          <w:sz w:val="22"/>
          <w:szCs w:val="22"/>
        </w:rPr>
        <w:t xml:space="preserve">For example, the Programme for International Student Assessment (PISA) reports on attitudes to science in </w:t>
      </w:r>
      <w:r w:rsidR="00C03A9C" w:rsidRPr="00F55F49">
        <w:rPr>
          <w:rFonts w:ascii="Palatino Linotype" w:hAnsi="Palatino Linotype"/>
          <w:bCs/>
          <w:i/>
          <w:sz w:val="22"/>
          <w:szCs w:val="22"/>
        </w:rPr>
        <w:t>Science Competencies for Tomorrow’s World</w:t>
      </w:r>
      <w:r w:rsidR="00C03A9C" w:rsidRPr="00F55F49">
        <w:rPr>
          <w:rFonts w:ascii="Palatino Linotype" w:hAnsi="Palatino Linotype"/>
          <w:sz w:val="22"/>
          <w:szCs w:val="22"/>
        </w:rPr>
        <w:t xml:space="preserve"> (OECD, 2007) and notes that, whilst many young people are very positive about importance of science, substantially fewer feel that science is important to them personally, or that they want to pursue a career in science</w:t>
      </w:r>
      <w:r w:rsidR="00F53CE5">
        <w:rPr>
          <w:rFonts w:ascii="Palatino Linotype" w:hAnsi="Palatino Linotype"/>
          <w:sz w:val="22"/>
          <w:szCs w:val="22"/>
        </w:rPr>
        <w:t xml:space="preserve">.  </w:t>
      </w:r>
      <w:r w:rsidR="00C03A9C" w:rsidRPr="00F55F49">
        <w:rPr>
          <w:rFonts w:ascii="Palatino Linotype" w:hAnsi="Palatino Linotype"/>
          <w:sz w:val="22"/>
          <w:szCs w:val="22"/>
        </w:rPr>
        <w:t>In a similar vein, the Relevance of Science (ROSE) project shows that school students in many countries, particularly those with developed economies, do not feel very positive about their experiences of science (Sj</w:t>
      </w:r>
      <w:r w:rsidR="00C03A9C" w:rsidRPr="00F55F49">
        <w:rPr>
          <w:rFonts w:ascii="Palatino Linotype" w:hAnsi="Palatino Linotype"/>
          <w:sz w:val="22"/>
          <w:szCs w:val="22"/>
          <w:lang w:val="en-US"/>
        </w:rPr>
        <w:t>ø</w:t>
      </w:r>
      <w:r w:rsidR="00C03A9C" w:rsidRPr="00F55F49">
        <w:rPr>
          <w:rFonts w:ascii="Palatino Linotype" w:hAnsi="Palatino Linotype"/>
          <w:sz w:val="22"/>
          <w:szCs w:val="22"/>
        </w:rPr>
        <w:t>berg and Schreiner, 2010).</w:t>
      </w:r>
    </w:p>
    <w:p w:rsidR="005E7AAB" w:rsidRDefault="005E7AAB" w:rsidP="00D9487D">
      <w:pPr>
        <w:spacing w:line="240" w:lineRule="auto"/>
        <w:jc w:val="both"/>
        <w:rPr>
          <w:rFonts w:ascii="Palatino Linotype" w:hAnsi="Palatino Linotype"/>
          <w:sz w:val="22"/>
          <w:szCs w:val="22"/>
        </w:rPr>
      </w:pPr>
    </w:p>
    <w:p w:rsidR="00792B29" w:rsidRDefault="005E7AAB" w:rsidP="00D9487D">
      <w:pPr>
        <w:spacing w:line="240" w:lineRule="auto"/>
        <w:jc w:val="both"/>
        <w:rPr>
          <w:rFonts w:ascii="Palatino Linotype" w:hAnsi="Palatino Linotype"/>
          <w:bCs/>
          <w:sz w:val="22"/>
          <w:szCs w:val="22"/>
        </w:rPr>
      </w:pPr>
      <w:r w:rsidRPr="005E7AAB">
        <w:rPr>
          <w:rFonts w:ascii="Palatino Linotype" w:hAnsi="Palatino Linotype"/>
          <w:bCs/>
          <w:sz w:val="22"/>
          <w:szCs w:val="22"/>
        </w:rPr>
        <w:t>There are two dimensions to the problem</w:t>
      </w:r>
      <w:r w:rsidR="00F53CE5">
        <w:rPr>
          <w:rFonts w:ascii="Palatino Linotype" w:hAnsi="Palatino Linotype"/>
          <w:bCs/>
          <w:sz w:val="22"/>
          <w:szCs w:val="22"/>
        </w:rPr>
        <w:t xml:space="preserve">.  </w:t>
      </w:r>
      <w:r w:rsidRPr="005E7AAB">
        <w:rPr>
          <w:rFonts w:ascii="Palatino Linotype" w:hAnsi="Palatino Linotype"/>
          <w:bCs/>
          <w:sz w:val="22"/>
          <w:szCs w:val="22"/>
        </w:rPr>
        <w:t>The first of these concerns</w:t>
      </w:r>
      <w:r>
        <w:rPr>
          <w:rFonts w:ascii="Palatino Linotype" w:hAnsi="Palatino Linotype"/>
          <w:bCs/>
          <w:sz w:val="22"/>
          <w:szCs w:val="22"/>
        </w:rPr>
        <w:t xml:space="preserve"> </w:t>
      </w:r>
      <w:r w:rsidR="001C5849">
        <w:rPr>
          <w:rFonts w:ascii="Palatino Linotype" w:hAnsi="Palatino Linotype"/>
          <w:bCs/>
          <w:sz w:val="22"/>
          <w:szCs w:val="22"/>
        </w:rPr>
        <w:t xml:space="preserve">levels of </w:t>
      </w:r>
      <w:r>
        <w:rPr>
          <w:rFonts w:ascii="Palatino Linotype" w:hAnsi="Palatino Linotype"/>
          <w:bCs/>
          <w:sz w:val="22"/>
          <w:szCs w:val="22"/>
        </w:rPr>
        <w:t>student</w:t>
      </w:r>
      <w:r w:rsidRPr="005E7AAB">
        <w:rPr>
          <w:rFonts w:ascii="Palatino Linotype" w:hAnsi="Palatino Linotype"/>
          <w:bCs/>
          <w:sz w:val="22"/>
          <w:szCs w:val="22"/>
        </w:rPr>
        <w:t xml:space="preserve"> </w:t>
      </w:r>
      <w:r w:rsidRPr="001C5849">
        <w:rPr>
          <w:rFonts w:ascii="Palatino Linotype" w:hAnsi="Palatino Linotype"/>
          <w:bCs/>
          <w:i/>
          <w:sz w:val="22"/>
          <w:szCs w:val="22"/>
        </w:rPr>
        <w:t>engagement</w:t>
      </w:r>
      <w:r w:rsidRPr="001C5849">
        <w:rPr>
          <w:rFonts w:ascii="Palatino Linotype" w:hAnsi="Palatino Linotype"/>
          <w:bCs/>
          <w:sz w:val="22"/>
          <w:szCs w:val="22"/>
        </w:rPr>
        <w:t xml:space="preserve"> with science</w:t>
      </w:r>
      <w:r w:rsidR="00F53CE5">
        <w:rPr>
          <w:rFonts w:ascii="Palatino Linotype" w:hAnsi="Palatino Linotype"/>
          <w:bCs/>
          <w:sz w:val="22"/>
          <w:szCs w:val="22"/>
        </w:rPr>
        <w:t xml:space="preserve">.  </w:t>
      </w:r>
      <w:r w:rsidR="00353BE8">
        <w:rPr>
          <w:rFonts w:ascii="Palatino Linotype" w:hAnsi="Palatino Linotype"/>
          <w:bCs/>
          <w:sz w:val="22"/>
          <w:szCs w:val="22"/>
        </w:rPr>
        <w:t>M</w:t>
      </w:r>
      <w:r w:rsidR="00263C2C" w:rsidRPr="001C5849">
        <w:rPr>
          <w:rFonts w:ascii="Palatino Linotype" w:hAnsi="Palatino Linotype"/>
          <w:bCs/>
          <w:sz w:val="22"/>
          <w:szCs w:val="22"/>
        </w:rPr>
        <w:t>any teachers in schools, particu</w:t>
      </w:r>
      <w:r w:rsidR="00353BE8">
        <w:rPr>
          <w:rFonts w:ascii="Palatino Linotype" w:hAnsi="Palatino Linotype"/>
          <w:bCs/>
          <w:sz w:val="22"/>
          <w:szCs w:val="22"/>
        </w:rPr>
        <w:t>larly secondary schools, report</w:t>
      </w:r>
      <w:r w:rsidR="00263C2C" w:rsidRPr="001C5849">
        <w:rPr>
          <w:rFonts w:ascii="Palatino Linotype" w:hAnsi="Palatino Linotype"/>
          <w:bCs/>
          <w:sz w:val="22"/>
          <w:szCs w:val="22"/>
        </w:rPr>
        <w:t xml:space="preserve"> a </w:t>
      </w:r>
      <w:r w:rsidRPr="001C5849">
        <w:rPr>
          <w:rFonts w:ascii="Palatino Linotype" w:hAnsi="Palatino Linotype"/>
          <w:bCs/>
          <w:sz w:val="22"/>
          <w:szCs w:val="22"/>
        </w:rPr>
        <w:t xml:space="preserve">lack of interest </w:t>
      </w:r>
      <w:r w:rsidR="00263C2C" w:rsidRPr="001C5849">
        <w:rPr>
          <w:rFonts w:ascii="Palatino Linotype" w:hAnsi="Palatino Linotype"/>
          <w:bCs/>
          <w:sz w:val="22"/>
          <w:szCs w:val="22"/>
        </w:rPr>
        <w:t xml:space="preserve">on the part of </w:t>
      </w:r>
      <w:r w:rsidRPr="001C5849">
        <w:rPr>
          <w:rFonts w:ascii="Palatino Linotype" w:hAnsi="Palatino Linotype"/>
          <w:bCs/>
          <w:sz w:val="22"/>
          <w:szCs w:val="22"/>
        </w:rPr>
        <w:t xml:space="preserve">the majority of young people in what they encounter on a day-to-day basis in their </w:t>
      </w:r>
      <w:r w:rsidR="00BC353A">
        <w:rPr>
          <w:rFonts w:ascii="Palatino Linotype" w:hAnsi="Palatino Linotype"/>
          <w:bCs/>
          <w:sz w:val="22"/>
          <w:szCs w:val="22"/>
        </w:rPr>
        <w:t>mathematics and science</w:t>
      </w:r>
      <w:r w:rsidRPr="001C5849">
        <w:rPr>
          <w:rFonts w:ascii="Palatino Linotype" w:hAnsi="Palatino Linotype"/>
          <w:bCs/>
          <w:sz w:val="22"/>
          <w:szCs w:val="22"/>
        </w:rPr>
        <w:t xml:space="preserve"> lessons</w:t>
      </w:r>
      <w:r w:rsidR="00F53CE5">
        <w:rPr>
          <w:rFonts w:ascii="Palatino Linotype" w:hAnsi="Palatino Linotype"/>
          <w:bCs/>
          <w:sz w:val="22"/>
          <w:szCs w:val="22"/>
        </w:rPr>
        <w:t xml:space="preserve">.  </w:t>
      </w:r>
      <w:r w:rsidR="001C5849" w:rsidRPr="001C5849">
        <w:rPr>
          <w:rFonts w:ascii="Palatino Linotype" w:hAnsi="Palatino Linotype"/>
          <w:bCs/>
          <w:sz w:val="22"/>
          <w:szCs w:val="22"/>
        </w:rPr>
        <w:t>This</w:t>
      </w:r>
      <w:r w:rsidRPr="001C5849">
        <w:rPr>
          <w:rFonts w:ascii="Palatino Linotype" w:hAnsi="Palatino Linotype"/>
          <w:bCs/>
          <w:sz w:val="22"/>
          <w:szCs w:val="22"/>
        </w:rPr>
        <w:t xml:space="preserve"> lack of engagement lead</w:t>
      </w:r>
      <w:r w:rsidR="001C5849" w:rsidRPr="001C5849">
        <w:rPr>
          <w:rFonts w:ascii="Palatino Linotype" w:hAnsi="Palatino Linotype"/>
          <w:bCs/>
          <w:sz w:val="22"/>
          <w:szCs w:val="22"/>
        </w:rPr>
        <w:t>s on</w:t>
      </w:r>
      <w:r w:rsidRPr="001C5849">
        <w:rPr>
          <w:rFonts w:ascii="Palatino Linotype" w:hAnsi="Palatino Linotype"/>
          <w:bCs/>
          <w:sz w:val="22"/>
          <w:szCs w:val="22"/>
        </w:rPr>
        <w:t xml:space="preserve"> to the second dimension of the problem, </w:t>
      </w:r>
      <w:r w:rsidR="001C5849" w:rsidRPr="001C5849">
        <w:rPr>
          <w:rFonts w:ascii="Palatino Linotype" w:hAnsi="Palatino Linotype"/>
          <w:bCs/>
          <w:sz w:val="22"/>
          <w:szCs w:val="22"/>
        </w:rPr>
        <w:t xml:space="preserve">levels of </w:t>
      </w:r>
      <w:r w:rsidRPr="001C5849">
        <w:rPr>
          <w:rFonts w:ascii="Palatino Linotype" w:hAnsi="Palatino Linotype"/>
          <w:bCs/>
          <w:i/>
          <w:sz w:val="22"/>
          <w:szCs w:val="22"/>
        </w:rPr>
        <w:t>participation</w:t>
      </w:r>
      <w:r w:rsidR="00F53CE5">
        <w:rPr>
          <w:rFonts w:ascii="Palatino Linotype" w:hAnsi="Palatino Linotype"/>
          <w:bCs/>
          <w:sz w:val="22"/>
          <w:szCs w:val="22"/>
        </w:rPr>
        <w:t xml:space="preserve">.  </w:t>
      </w:r>
      <w:r w:rsidRPr="001C5849">
        <w:rPr>
          <w:rFonts w:ascii="Palatino Linotype" w:hAnsi="Palatino Linotype"/>
          <w:bCs/>
          <w:sz w:val="22"/>
          <w:szCs w:val="22"/>
        </w:rPr>
        <w:t>Once the period of compulsory study has ended and decisions are made over subject choices, physical science subjects and mathematics are not particularly popular choices</w:t>
      </w:r>
      <w:r w:rsidR="00F53CE5">
        <w:rPr>
          <w:rFonts w:ascii="Palatino Linotype" w:hAnsi="Palatino Linotype"/>
          <w:bCs/>
          <w:sz w:val="22"/>
          <w:szCs w:val="22"/>
        </w:rPr>
        <w:t xml:space="preserve">.  </w:t>
      </w:r>
      <w:r w:rsidR="00792B29">
        <w:rPr>
          <w:rFonts w:ascii="Palatino Linotype" w:hAnsi="Palatino Linotype"/>
          <w:bCs/>
          <w:sz w:val="22"/>
          <w:szCs w:val="22"/>
        </w:rPr>
        <w:t xml:space="preserve">The percentage of A-level entries in England and Wales in the sciences and </w:t>
      </w:r>
      <w:r w:rsidR="005B3142">
        <w:rPr>
          <w:rFonts w:ascii="Palatino Linotype" w:hAnsi="Palatino Linotype"/>
          <w:bCs/>
          <w:sz w:val="22"/>
          <w:szCs w:val="22"/>
        </w:rPr>
        <w:t>mathematics</w:t>
      </w:r>
      <w:r w:rsidR="00792B29">
        <w:rPr>
          <w:rFonts w:ascii="Palatino Linotype" w:hAnsi="Palatino Linotype"/>
          <w:bCs/>
          <w:sz w:val="22"/>
          <w:szCs w:val="22"/>
        </w:rPr>
        <w:t xml:space="preserve"> from 1990-2012 illustrates the problem, as shown in Ta</w:t>
      </w:r>
      <w:r w:rsidR="00696C2F">
        <w:rPr>
          <w:rFonts w:ascii="Palatino Linotype" w:hAnsi="Palatino Linotype"/>
          <w:bCs/>
          <w:sz w:val="22"/>
          <w:szCs w:val="22"/>
        </w:rPr>
        <w:t>ble 1 (overleaf).</w:t>
      </w:r>
    </w:p>
    <w:p w:rsidR="00696C2F" w:rsidRDefault="00696C2F" w:rsidP="00D9487D">
      <w:pPr>
        <w:spacing w:line="240" w:lineRule="auto"/>
        <w:jc w:val="both"/>
        <w:rPr>
          <w:rFonts w:ascii="Palatino Linotype" w:hAnsi="Palatino Linotype"/>
          <w:bCs/>
          <w:sz w:val="22"/>
          <w:szCs w:val="22"/>
        </w:rPr>
      </w:pPr>
    </w:p>
    <w:p w:rsidR="00696C2F" w:rsidRPr="00696C2F" w:rsidRDefault="00696C2F" w:rsidP="00696C2F">
      <w:pPr>
        <w:spacing w:line="240" w:lineRule="auto"/>
        <w:jc w:val="both"/>
        <w:rPr>
          <w:rFonts w:ascii="Palatino Linotype" w:hAnsi="Palatino Linotype"/>
          <w:bCs/>
          <w:sz w:val="22"/>
          <w:szCs w:val="22"/>
        </w:rPr>
      </w:pPr>
      <w:r w:rsidRPr="00696C2F">
        <w:rPr>
          <w:rFonts w:ascii="Palatino Linotype" w:hAnsi="Palatino Linotype"/>
          <w:bCs/>
          <w:sz w:val="22"/>
          <w:szCs w:val="22"/>
        </w:rPr>
        <w:t xml:space="preserve">Cast positively, </w:t>
      </w:r>
      <w:r>
        <w:rPr>
          <w:rFonts w:ascii="Palatino Linotype" w:hAnsi="Palatino Linotype"/>
          <w:bCs/>
          <w:sz w:val="22"/>
          <w:szCs w:val="22"/>
        </w:rPr>
        <w:t>the data show there</w:t>
      </w:r>
      <w:r w:rsidRPr="00696C2F">
        <w:rPr>
          <w:rFonts w:ascii="Palatino Linotype" w:hAnsi="Palatino Linotype"/>
          <w:bCs/>
          <w:sz w:val="22"/>
          <w:szCs w:val="22"/>
        </w:rPr>
        <w:t xml:space="preserve"> has been a steady improvement in the percentage of A-level entries in recent years</w:t>
      </w:r>
      <w:r w:rsidR="00F53CE5">
        <w:rPr>
          <w:rFonts w:ascii="Palatino Linotype" w:hAnsi="Palatino Linotype"/>
          <w:bCs/>
          <w:sz w:val="22"/>
          <w:szCs w:val="22"/>
        </w:rPr>
        <w:t xml:space="preserve">.  </w:t>
      </w:r>
      <w:r w:rsidRPr="00696C2F">
        <w:rPr>
          <w:rFonts w:ascii="Palatino Linotype" w:hAnsi="Palatino Linotype"/>
          <w:bCs/>
          <w:sz w:val="22"/>
          <w:szCs w:val="22"/>
        </w:rPr>
        <w:t>However, entries for chemistry, physics and mathematics A-level are still considerably lower than they were in 1990</w:t>
      </w:r>
      <w:r w:rsidR="00F53CE5">
        <w:rPr>
          <w:rFonts w:ascii="Palatino Linotype" w:hAnsi="Palatino Linotype"/>
          <w:bCs/>
          <w:sz w:val="22"/>
          <w:szCs w:val="22"/>
        </w:rPr>
        <w:t xml:space="preserve">.  </w:t>
      </w:r>
      <w:r w:rsidRPr="00696C2F">
        <w:rPr>
          <w:rFonts w:ascii="Palatino Linotype" w:hAnsi="Palatino Linotype"/>
          <w:bCs/>
          <w:sz w:val="22"/>
          <w:szCs w:val="22"/>
        </w:rPr>
        <w:t>A notable feature within these data is the particular decline of male students taking physics and chemistry (Smith, 2011).</w:t>
      </w:r>
    </w:p>
    <w:p w:rsidR="00217CEB" w:rsidRPr="0013051A" w:rsidRDefault="00217CEB" w:rsidP="00D9487D">
      <w:pPr>
        <w:spacing w:line="240" w:lineRule="auto"/>
        <w:jc w:val="both"/>
        <w:rPr>
          <w:rFonts w:ascii="Palatino Linotype" w:hAnsi="Palatino Linotype"/>
          <w:bCs/>
          <w:i/>
        </w:rPr>
      </w:pPr>
      <w:r w:rsidRPr="0013051A">
        <w:rPr>
          <w:rFonts w:ascii="Palatino Linotype" w:hAnsi="Palatino Linotype"/>
          <w:bCs/>
          <w:i/>
        </w:rPr>
        <w:lastRenderedPageBreak/>
        <w:t xml:space="preserve">Table 1: Percentage of A-level examination entries in biology, </w:t>
      </w:r>
      <w:r w:rsidR="002A24BA" w:rsidRPr="0013051A">
        <w:rPr>
          <w:rFonts w:ascii="Palatino Linotype" w:hAnsi="Palatino Linotype"/>
          <w:bCs/>
          <w:i/>
        </w:rPr>
        <w:t>chemistry and physics, 1990-2013</w:t>
      </w:r>
    </w:p>
    <w:p w:rsidR="00217CEB" w:rsidRPr="0013051A" w:rsidRDefault="00217CEB" w:rsidP="00D9487D">
      <w:pPr>
        <w:spacing w:line="240" w:lineRule="auto"/>
        <w:jc w:val="both"/>
        <w:rPr>
          <w:rFonts w:ascii="Palatino Linotype" w:hAnsi="Palatino Linotype"/>
          <w:b/>
          <w:bCs/>
        </w:rPr>
      </w:pPr>
    </w:p>
    <w:tbl>
      <w:tblPr>
        <w:tblStyle w:val="TableGrid"/>
        <w:tblW w:w="0" w:type="auto"/>
        <w:tblInd w:w="2093" w:type="dxa"/>
        <w:tblLook w:val="04A0" w:firstRow="1" w:lastRow="0" w:firstColumn="1" w:lastColumn="0" w:noHBand="0" w:noVBand="1"/>
      </w:tblPr>
      <w:tblGrid>
        <w:gridCol w:w="616"/>
        <w:gridCol w:w="827"/>
        <w:gridCol w:w="1061"/>
        <w:gridCol w:w="831"/>
        <w:gridCol w:w="1264"/>
      </w:tblGrid>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i/>
              </w:rPr>
            </w:pPr>
            <w:r w:rsidRPr="00696C2F">
              <w:rPr>
                <w:rFonts w:ascii="Palatino Linotype" w:hAnsi="Palatino Linotype"/>
                <w:bCs/>
                <w:i/>
              </w:rPr>
              <w:t>Year</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i/>
              </w:rPr>
            </w:pPr>
            <w:r w:rsidRPr="00696C2F">
              <w:rPr>
                <w:rFonts w:ascii="Palatino Linotype" w:hAnsi="Palatino Linotype"/>
                <w:bCs/>
                <w:i/>
              </w:rPr>
              <w:t>Biology</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i/>
              </w:rPr>
            </w:pPr>
            <w:r w:rsidRPr="00696C2F">
              <w:rPr>
                <w:rFonts w:ascii="Palatino Linotype" w:hAnsi="Palatino Linotype"/>
                <w:bCs/>
                <w:i/>
              </w:rPr>
              <w:t>Chemistry</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i/>
              </w:rPr>
            </w:pPr>
            <w:r w:rsidRPr="00696C2F">
              <w:rPr>
                <w:rFonts w:ascii="Palatino Linotype" w:hAnsi="Palatino Linotype"/>
                <w:bCs/>
                <w:i/>
              </w:rPr>
              <w:t>Physics</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i/>
              </w:rPr>
            </w:pPr>
            <w:r w:rsidRPr="00696C2F">
              <w:rPr>
                <w:rFonts w:ascii="Palatino Linotype" w:hAnsi="Palatino Linotype"/>
                <w:bCs/>
                <w:i/>
              </w:rPr>
              <w:t>Mathematics</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1990</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12.8</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1995</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7.2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4.8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9.2</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2000</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7.1</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4.1</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8.0</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2005</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6.9</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5.0</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3.6</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6.7</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2010</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6.8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3.6</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9.0</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2011</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7.2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5.5</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3.8</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9.6</w:t>
            </w:r>
          </w:p>
        </w:tc>
      </w:tr>
      <w:tr w:rsidR="00217CEB" w:rsidRPr="00217CEB" w:rsidTr="002A24BA">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2012</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7.3</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5.7</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4.0</w:t>
            </w:r>
          </w:p>
        </w:tc>
        <w:tc>
          <w:tcPr>
            <w:tcW w:w="0" w:type="auto"/>
            <w:tcBorders>
              <w:top w:val="single" w:sz="4" w:space="0" w:color="auto"/>
              <w:left w:val="single" w:sz="4" w:space="0" w:color="auto"/>
              <w:bottom w:val="single" w:sz="4" w:space="0" w:color="auto"/>
              <w:right w:val="single" w:sz="4" w:space="0" w:color="auto"/>
            </w:tcBorders>
            <w:hideMark/>
          </w:tcPr>
          <w:p w:rsidR="00217CEB" w:rsidRPr="00696C2F" w:rsidRDefault="00217CEB" w:rsidP="002A24BA">
            <w:pPr>
              <w:spacing w:line="240" w:lineRule="auto"/>
              <w:jc w:val="center"/>
              <w:rPr>
                <w:rFonts w:ascii="Palatino Linotype" w:hAnsi="Palatino Linotype"/>
                <w:bCs/>
              </w:rPr>
            </w:pPr>
            <w:r w:rsidRPr="00696C2F">
              <w:rPr>
                <w:rFonts w:ascii="Palatino Linotype" w:hAnsi="Palatino Linotype"/>
                <w:bCs/>
              </w:rPr>
              <w:t>9.9</w:t>
            </w:r>
          </w:p>
        </w:tc>
      </w:tr>
      <w:tr w:rsidR="002A24BA" w:rsidRPr="00217CEB" w:rsidTr="002A24BA">
        <w:tc>
          <w:tcPr>
            <w:tcW w:w="0" w:type="auto"/>
            <w:tcBorders>
              <w:top w:val="single" w:sz="4" w:space="0" w:color="auto"/>
              <w:left w:val="single" w:sz="4" w:space="0" w:color="auto"/>
              <w:bottom w:val="single" w:sz="4" w:space="0" w:color="auto"/>
              <w:right w:val="single" w:sz="4" w:space="0" w:color="auto"/>
            </w:tcBorders>
          </w:tcPr>
          <w:p w:rsidR="002A24BA" w:rsidRPr="00696C2F" w:rsidRDefault="002A24BA" w:rsidP="002A24BA">
            <w:pPr>
              <w:spacing w:line="240" w:lineRule="auto"/>
              <w:jc w:val="center"/>
              <w:rPr>
                <w:rFonts w:ascii="Palatino Linotype" w:hAnsi="Palatino Linotype"/>
                <w:lang w:val="en-US" w:eastAsia="en-US"/>
              </w:rPr>
            </w:pPr>
            <w:r w:rsidRPr="00696C2F">
              <w:rPr>
                <w:rFonts w:ascii="Palatino Linotype" w:hAnsi="Palatino Linotype"/>
                <w:lang w:val="en-US"/>
              </w:rPr>
              <w:t>2013</w:t>
            </w:r>
          </w:p>
        </w:tc>
        <w:tc>
          <w:tcPr>
            <w:tcW w:w="0" w:type="auto"/>
            <w:tcBorders>
              <w:top w:val="single" w:sz="4" w:space="0" w:color="auto"/>
              <w:left w:val="single" w:sz="4" w:space="0" w:color="auto"/>
              <w:bottom w:val="single" w:sz="4" w:space="0" w:color="auto"/>
              <w:right w:val="single" w:sz="4" w:space="0" w:color="auto"/>
            </w:tcBorders>
          </w:tcPr>
          <w:p w:rsidR="002A24BA" w:rsidRPr="00696C2F" w:rsidRDefault="002A24BA" w:rsidP="002A24BA">
            <w:pPr>
              <w:spacing w:line="240" w:lineRule="auto"/>
              <w:jc w:val="center"/>
              <w:rPr>
                <w:rFonts w:ascii="Palatino Linotype" w:hAnsi="Palatino Linotype"/>
                <w:lang w:val="en-US" w:eastAsia="en-US"/>
              </w:rPr>
            </w:pPr>
            <w:r w:rsidRPr="00696C2F">
              <w:rPr>
                <w:rFonts w:ascii="Palatino Linotype" w:hAnsi="Palatino Linotype"/>
                <w:lang w:val="en-US"/>
              </w:rPr>
              <w:t>7.5</w:t>
            </w:r>
          </w:p>
        </w:tc>
        <w:tc>
          <w:tcPr>
            <w:tcW w:w="0" w:type="auto"/>
            <w:tcBorders>
              <w:top w:val="single" w:sz="4" w:space="0" w:color="auto"/>
              <w:left w:val="single" w:sz="4" w:space="0" w:color="auto"/>
              <w:bottom w:val="single" w:sz="4" w:space="0" w:color="auto"/>
              <w:right w:val="single" w:sz="4" w:space="0" w:color="auto"/>
            </w:tcBorders>
          </w:tcPr>
          <w:p w:rsidR="002A24BA" w:rsidRPr="00696C2F" w:rsidRDefault="002A24BA" w:rsidP="002A24BA">
            <w:pPr>
              <w:spacing w:line="240" w:lineRule="auto"/>
              <w:jc w:val="center"/>
              <w:rPr>
                <w:rFonts w:ascii="Palatino Linotype" w:hAnsi="Palatino Linotype"/>
                <w:lang w:val="en-US" w:eastAsia="en-US"/>
              </w:rPr>
            </w:pPr>
            <w:r w:rsidRPr="00696C2F">
              <w:rPr>
                <w:rFonts w:ascii="Palatino Linotype" w:hAnsi="Palatino Linotype"/>
                <w:lang w:val="en-US"/>
              </w:rPr>
              <w:t>6.1</w:t>
            </w:r>
          </w:p>
        </w:tc>
        <w:tc>
          <w:tcPr>
            <w:tcW w:w="0" w:type="auto"/>
            <w:tcBorders>
              <w:top w:val="single" w:sz="4" w:space="0" w:color="auto"/>
              <w:left w:val="single" w:sz="4" w:space="0" w:color="auto"/>
              <w:bottom w:val="single" w:sz="4" w:space="0" w:color="auto"/>
              <w:right w:val="single" w:sz="4" w:space="0" w:color="auto"/>
            </w:tcBorders>
          </w:tcPr>
          <w:p w:rsidR="002A24BA" w:rsidRPr="00696C2F" w:rsidRDefault="002A24BA" w:rsidP="002A24BA">
            <w:pPr>
              <w:spacing w:line="240" w:lineRule="auto"/>
              <w:jc w:val="center"/>
              <w:rPr>
                <w:rFonts w:ascii="Palatino Linotype" w:hAnsi="Palatino Linotype"/>
                <w:lang w:val="en-US" w:eastAsia="en-US"/>
              </w:rPr>
            </w:pPr>
            <w:r w:rsidRPr="00696C2F">
              <w:rPr>
                <w:rFonts w:ascii="Palatino Linotype" w:hAnsi="Palatino Linotype"/>
                <w:lang w:val="en-US"/>
              </w:rPr>
              <w:t>4.2</w:t>
            </w:r>
          </w:p>
        </w:tc>
        <w:tc>
          <w:tcPr>
            <w:tcW w:w="0" w:type="auto"/>
            <w:tcBorders>
              <w:top w:val="single" w:sz="4" w:space="0" w:color="auto"/>
              <w:left w:val="single" w:sz="4" w:space="0" w:color="auto"/>
              <w:bottom w:val="single" w:sz="4" w:space="0" w:color="auto"/>
              <w:right w:val="single" w:sz="4" w:space="0" w:color="auto"/>
            </w:tcBorders>
          </w:tcPr>
          <w:p w:rsidR="002A24BA" w:rsidRPr="00696C2F" w:rsidRDefault="002A24BA" w:rsidP="002A24BA">
            <w:pPr>
              <w:spacing w:line="240" w:lineRule="auto"/>
              <w:jc w:val="center"/>
              <w:rPr>
                <w:rFonts w:ascii="Palatino Linotype" w:hAnsi="Palatino Linotype"/>
                <w:lang w:val="en-US" w:eastAsia="en-US"/>
              </w:rPr>
            </w:pPr>
            <w:r w:rsidRPr="00696C2F">
              <w:rPr>
                <w:rFonts w:ascii="Palatino Linotype" w:hAnsi="Palatino Linotype"/>
                <w:lang w:val="en-US"/>
              </w:rPr>
              <w:t>10.4</w:t>
            </w:r>
          </w:p>
        </w:tc>
      </w:tr>
    </w:tbl>
    <w:p w:rsidR="00163DAB" w:rsidRDefault="00163DAB" w:rsidP="00D9487D">
      <w:pPr>
        <w:spacing w:line="240" w:lineRule="auto"/>
        <w:jc w:val="both"/>
        <w:rPr>
          <w:rFonts w:ascii="Palatino Linotype" w:hAnsi="Palatino Linotype"/>
          <w:bCs/>
          <w:sz w:val="16"/>
          <w:szCs w:val="22"/>
        </w:rPr>
      </w:pPr>
    </w:p>
    <w:p w:rsidR="00163DAB" w:rsidRPr="008E3C7E" w:rsidRDefault="00163DAB" w:rsidP="008E3C7E">
      <w:pPr>
        <w:spacing w:line="240" w:lineRule="auto"/>
        <w:jc w:val="center"/>
        <w:rPr>
          <w:rFonts w:ascii="Palatino Linotype" w:hAnsi="Palatino Linotype"/>
          <w:bCs/>
          <w:i/>
          <w:sz w:val="18"/>
          <w:szCs w:val="22"/>
        </w:rPr>
      </w:pPr>
      <w:r w:rsidRPr="008E3C7E">
        <w:rPr>
          <w:rFonts w:ascii="Palatino Linotype" w:hAnsi="Palatino Linotype"/>
          <w:bCs/>
          <w:i/>
          <w:sz w:val="18"/>
          <w:szCs w:val="22"/>
        </w:rPr>
        <w:t>(Source: Joint Council for Qualifications, JCQ)</w:t>
      </w:r>
    </w:p>
    <w:p w:rsidR="00DE0431" w:rsidRDefault="00DE0431" w:rsidP="00D9487D">
      <w:pPr>
        <w:spacing w:line="240" w:lineRule="auto"/>
        <w:jc w:val="both"/>
        <w:rPr>
          <w:rFonts w:ascii="Palatino Linotype" w:hAnsi="Palatino Linotype"/>
          <w:bCs/>
          <w:sz w:val="22"/>
          <w:szCs w:val="22"/>
        </w:rPr>
      </w:pPr>
    </w:p>
    <w:p w:rsidR="00696C2F" w:rsidRPr="00467A15" w:rsidRDefault="00696C2F" w:rsidP="00696C2F">
      <w:pPr>
        <w:spacing w:line="240" w:lineRule="auto"/>
        <w:jc w:val="both"/>
        <w:rPr>
          <w:rFonts w:ascii="Palatino Linotype" w:hAnsi="Palatino Linotype"/>
          <w:bCs/>
          <w:sz w:val="22"/>
          <w:szCs w:val="22"/>
        </w:rPr>
      </w:pPr>
      <w:r w:rsidRPr="00696C2F">
        <w:rPr>
          <w:rFonts w:ascii="Palatino Linotype" w:hAnsi="Palatino Linotype"/>
          <w:bCs/>
          <w:sz w:val="22"/>
          <w:szCs w:val="22"/>
        </w:rPr>
        <w:t xml:space="preserve">Table 2 shows the publicly available comparable data for the individual countries within the UK, confirming </w:t>
      </w:r>
      <w:r w:rsidR="00E62081">
        <w:rPr>
          <w:rFonts w:ascii="Palatino Linotype" w:hAnsi="Palatino Linotype"/>
          <w:bCs/>
          <w:sz w:val="22"/>
          <w:szCs w:val="22"/>
        </w:rPr>
        <w:t xml:space="preserve">overall </w:t>
      </w:r>
      <w:r w:rsidRPr="00696C2F">
        <w:rPr>
          <w:rFonts w:ascii="Palatino Linotype" w:hAnsi="Palatino Linotype"/>
          <w:bCs/>
          <w:sz w:val="22"/>
          <w:szCs w:val="22"/>
        </w:rPr>
        <w:t xml:space="preserve">increases in entries over the period 2005-2012, with the exceptions of Biology in Wales and Chemistry </w:t>
      </w:r>
      <w:r w:rsidRPr="00467A15">
        <w:rPr>
          <w:rFonts w:ascii="Palatino Linotype" w:hAnsi="Palatino Linotype"/>
          <w:bCs/>
          <w:sz w:val="22"/>
          <w:szCs w:val="22"/>
        </w:rPr>
        <w:t>in Northern Ireland</w:t>
      </w:r>
      <w:r w:rsidR="00F53CE5">
        <w:rPr>
          <w:rFonts w:ascii="Palatino Linotype" w:hAnsi="Palatino Linotype"/>
          <w:bCs/>
          <w:sz w:val="22"/>
          <w:szCs w:val="22"/>
        </w:rPr>
        <w:t xml:space="preserve">.  </w:t>
      </w:r>
      <w:r w:rsidRPr="00467A15">
        <w:rPr>
          <w:rFonts w:ascii="Palatino Linotype" w:hAnsi="Palatino Linotype"/>
          <w:bCs/>
          <w:sz w:val="22"/>
          <w:szCs w:val="22"/>
        </w:rPr>
        <w:t>The substantially higher percentages for participation in Chemistry, Physics and Mathematics in Scotland are discussed in Section 3 of the report.</w:t>
      </w:r>
    </w:p>
    <w:p w:rsidR="00BD734E" w:rsidRPr="00467A15" w:rsidRDefault="00BD734E" w:rsidP="00CE7F37">
      <w:pPr>
        <w:rPr>
          <w:rFonts w:ascii="Palatino Linotype" w:hAnsi="Palatino Linotype"/>
          <w:sz w:val="22"/>
          <w:szCs w:val="22"/>
        </w:rPr>
      </w:pPr>
    </w:p>
    <w:p w:rsidR="00DE0431" w:rsidRPr="0013051A" w:rsidRDefault="00DE0431" w:rsidP="00DE0431">
      <w:pPr>
        <w:ind w:left="851" w:hanging="851"/>
        <w:rPr>
          <w:rFonts w:ascii="Palatino Linotype" w:hAnsi="Palatino Linotype"/>
          <w:i/>
          <w:szCs w:val="22"/>
        </w:rPr>
      </w:pPr>
      <w:r w:rsidRPr="0013051A">
        <w:rPr>
          <w:rFonts w:ascii="Palatino Linotype" w:hAnsi="Palatino Linotype"/>
          <w:i/>
          <w:szCs w:val="22"/>
        </w:rPr>
        <w:t xml:space="preserve">Table 2: </w:t>
      </w:r>
      <w:r w:rsidRPr="0013051A">
        <w:rPr>
          <w:rFonts w:ascii="Palatino Linotype" w:hAnsi="Palatino Linotype"/>
          <w:i/>
          <w:szCs w:val="22"/>
        </w:rPr>
        <w:tab/>
        <w:t>Percentage A-level entries for Engla</w:t>
      </w:r>
      <w:r w:rsidR="0013051A">
        <w:rPr>
          <w:rFonts w:ascii="Palatino Linotype" w:hAnsi="Palatino Linotype"/>
          <w:i/>
          <w:szCs w:val="22"/>
        </w:rPr>
        <w:t xml:space="preserve">nd, Wales Northern Ireland, and </w:t>
      </w:r>
      <w:r w:rsidRPr="0013051A">
        <w:rPr>
          <w:rFonts w:ascii="Palatino Linotype" w:hAnsi="Palatino Linotype"/>
          <w:i/>
          <w:szCs w:val="22"/>
        </w:rPr>
        <w:t>Ad</w:t>
      </w:r>
      <w:r w:rsidR="002A24BA" w:rsidRPr="0013051A">
        <w:rPr>
          <w:rFonts w:ascii="Palatino Linotype" w:hAnsi="Palatino Linotype"/>
          <w:i/>
          <w:szCs w:val="22"/>
        </w:rPr>
        <w:t>vanced Higher entries</w:t>
      </w:r>
      <w:r w:rsidR="0013051A">
        <w:rPr>
          <w:rFonts w:ascii="Palatino Linotype" w:hAnsi="Palatino Linotype"/>
          <w:i/>
          <w:szCs w:val="22"/>
        </w:rPr>
        <w:t xml:space="preserve"> for Scotland</w:t>
      </w:r>
      <w:r w:rsidR="002A24BA" w:rsidRPr="0013051A">
        <w:rPr>
          <w:rFonts w:ascii="Palatino Linotype" w:hAnsi="Palatino Linotype"/>
          <w:i/>
          <w:szCs w:val="22"/>
        </w:rPr>
        <w:t>, 2005-2013</w:t>
      </w:r>
    </w:p>
    <w:p w:rsidR="00DE0431" w:rsidRPr="00DE0431" w:rsidRDefault="00DE0431" w:rsidP="00DE0431">
      <w:pPr>
        <w:jc w:val="center"/>
        <w:rPr>
          <w:rFonts w:ascii="Palatino Linotype" w:hAnsi="Palatino Linotyp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0"/>
        <w:gridCol w:w="616"/>
        <w:gridCol w:w="827"/>
        <w:gridCol w:w="1061"/>
        <w:gridCol w:w="831"/>
        <w:gridCol w:w="1264"/>
      </w:tblGrid>
      <w:tr w:rsidR="00BD734E" w:rsidRPr="00BD734E" w:rsidTr="00BD734E">
        <w:trPr>
          <w:jc w:val="center"/>
        </w:trPr>
        <w:tc>
          <w:tcPr>
            <w:tcW w:w="0" w:type="auto"/>
          </w:tcPr>
          <w:p w:rsidR="00BD734E" w:rsidRPr="00696C2F" w:rsidRDefault="00BD734E" w:rsidP="00DE0431">
            <w:pPr>
              <w:jc w:val="center"/>
              <w:rPr>
                <w:rFonts w:ascii="Palatino Linotype" w:hAnsi="Palatino Linotype"/>
              </w:rPr>
            </w:pPr>
          </w:p>
        </w:tc>
        <w:tc>
          <w:tcPr>
            <w:tcW w:w="0" w:type="auto"/>
          </w:tcPr>
          <w:p w:rsidR="00BD734E" w:rsidRPr="00696C2F" w:rsidRDefault="00BD734E" w:rsidP="00DE0431">
            <w:pPr>
              <w:jc w:val="center"/>
              <w:rPr>
                <w:rFonts w:ascii="Palatino Linotype" w:hAnsi="Palatino Linotype"/>
                <w:i/>
              </w:rPr>
            </w:pPr>
            <w:r w:rsidRPr="00696C2F">
              <w:rPr>
                <w:rFonts w:ascii="Palatino Linotype" w:hAnsi="Palatino Linotype"/>
                <w:i/>
              </w:rPr>
              <w:t>Year</w:t>
            </w:r>
          </w:p>
        </w:tc>
        <w:tc>
          <w:tcPr>
            <w:tcW w:w="0" w:type="auto"/>
          </w:tcPr>
          <w:p w:rsidR="00BD734E" w:rsidRPr="00696C2F" w:rsidRDefault="00BD734E" w:rsidP="0005651A">
            <w:pPr>
              <w:jc w:val="center"/>
              <w:rPr>
                <w:rFonts w:ascii="Palatino Linotype" w:hAnsi="Palatino Linotype"/>
                <w:i/>
              </w:rPr>
            </w:pPr>
            <w:r w:rsidRPr="00696C2F">
              <w:rPr>
                <w:rFonts w:ascii="Palatino Linotype" w:hAnsi="Palatino Linotype"/>
                <w:i/>
              </w:rPr>
              <w:t>Biology</w:t>
            </w:r>
          </w:p>
        </w:tc>
        <w:tc>
          <w:tcPr>
            <w:tcW w:w="0" w:type="auto"/>
          </w:tcPr>
          <w:p w:rsidR="00BD734E" w:rsidRPr="00696C2F" w:rsidRDefault="00BD734E" w:rsidP="0005651A">
            <w:pPr>
              <w:jc w:val="center"/>
              <w:rPr>
                <w:rFonts w:ascii="Palatino Linotype" w:hAnsi="Palatino Linotype"/>
                <w:i/>
              </w:rPr>
            </w:pPr>
            <w:r w:rsidRPr="00696C2F">
              <w:rPr>
                <w:rFonts w:ascii="Palatino Linotype" w:hAnsi="Palatino Linotype"/>
                <w:i/>
              </w:rPr>
              <w:t>Chemistry</w:t>
            </w:r>
          </w:p>
        </w:tc>
        <w:tc>
          <w:tcPr>
            <w:tcW w:w="0" w:type="auto"/>
          </w:tcPr>
          <w:p w:rsidR="00BD734E" w:rsidRPr="00696C2F" w:rsidRDefault="00BD734E" w:rsidP="0005651A">
            <w:pPr>
              <w:jc w:val="center"/>
              <w:rPr>
                <w:rFonts w:ascii="Palatino Linotype" w:hAnsi="Palatino Linotype"/>
                <w:i/>
              </w:rPr>
            </w:pPr>
            <w:r w:rsidRPr="00696C2F">
              <w:rPr>
                <w:rFonts w:ascii="Palatino Linotype" w:hAnsi="Palatino Linotype"/>
                <w:i/>
              </w:rPr>
              <w:t>Physics</w:t>
            </w:r>
          </w:p>
        </w:tc>
        <w:tc>
          <w:tcPr>
            <w:tcW w:w="0" w:type="auto"/>
          </w:tcPr>
          <w:p w:rsidR="00BD734E" w:rsidRPr="00696C2F" w:rsidRDefault="00BD734E" w:rsidP="0005651A">
            <w:pPr>
              <w:jc w:val="center"/>
              <w:rPr>
                <w:rFonts w:ascii="Palatino Linotype" w:hAnsi="Palatino Linotype"/>
                <w:i/>
              </w:rPr>
            </w:pPr>
            <w:r w:rsidRPr="00696C2F">
              <w:rPr>
                <w:rFonts w:ascii="Palatino Linotype" w:hAnsi="Palatino Linotype"/>
                <w:i/>
              </w:rPr>
              <w:t>Mathematics</w:t>
            </w:r>
          </w:p>
        </w:tc>
      </w:tr>
      <w:tr w:rsidR="002A24BA" w:rsidRPr="00DE0431" w:rsidTr="00BD734E">
        <w:trPr>
          <w:jc w:val="center"/>
        </w:trPr>
        <w:tc>
          <w:tcPr>
            <w:tcW w:w="0" w:type="auto"/>
            <w:vMerge w:val="restart"/>
          </w:tcPr>
          <w:p w:rsidR="002A24BA" w:rsidRPr="00696C2F" w:rsidRDefault="002A24BA" w:rsidP="00DE0431">
            <w:pPr>
              <w:jc w:val="center"/>
              <w:rPr>
                <w:rFonts w:ascii="Palatino Linotype" w:hAnsi="Palatino Linotype"/>
                <w:i/>
              </w:rPr>
            </w:pPr>
            <w:r w:rsidRPr="00696C2F">
              <w:rPr>
                <w:rFonts w:ascii="Palatino Linotype" w:hAnsi="Palatino Linotype"/>
                <w:i/>
              </w:rPr>
              <w:t>England</w:t>
            </w:r>
          </w:p>
        </w:tc>
        <w:tc>
          <w:tcPr>
            <w:tcW w:w="0" w:type="auto"/>
          </w:tcPr>
          <w:p w:rsidR="002A24BA" w:rsidRPr="00696C2F" w:rsidRDefault="002A24BA" w:rsidP="00DE0431">
            <w:pPr>
              <w:jc w:val="center"/>
              <w:rPr>
                <w:rFonts w:ascii="Palatino Linotype" w:hAnsi="Palatino Linotype"/>
              </w:rPr>
            </w:pPr>
            <w:r w:rsidRPr="00696C2F">
              <w:rPr>
                <w:rFonts w:ascii="Palatino Linotype" w:hAnsi="Palatino Linotype"/>
              </w:rPr>
              <w:t>2005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4.9</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6.7</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DE0431">
            <w:pPr>
              <w:jc w:val="center"/>
              <w:rPr>
                <w:rFonts w:ascii="Palatino Linotype" w:hAnsi="Palatino Linotype"/>
              </w:rPr>
            </w:pPr>
            <w:r w:rsidRPr="00696C2F">
              <w:rPr>
                <w:rFonts w:ascii="Palatino Linotype" w:hAnsi="Palatino Linotype"/>
              </w:rPr>
              <w:t>2010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9.0</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DE0431">
            <w:pPr>
              <w:jc w:val="center"/>
              <w:rPr>
                <w:rFonts w:ascii="Palatino Linotype" w:hAnsi="Palatino Linotype"/>
              </w:rPr>
            </w:pPr>
            <w:r w:rsidRPr="00696C2F">
              <w:rPr>
                <w:rFonts w:ascii="Palatino Linotype" w:hAnsi="Palatino Linotype"/>
              </w:rPr>
              <w:t>2011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9.6</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DE0431">
            <w:pPr>
              <w:jc w:val="center"/>
              <w:rPr>
                <w:rFonts w:ascii="Palatino Linotype" w:hAnsi="Palatino Linotype"/>
              </w:rPr>
            </w:pPr>
            <w:r w:rsidRPr="00696C2F">
              <w:rPr>
                <w:rFonts w:ascii="Palatino Linotype" w:hAnsi="Palatino Linotype"/>
              </w:rPr>
              <w:t>2012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10.0</w:t>
            </w:r>
          </w:p>
        </w:tc>
      </w:tr>
      <w:tr w:rsidR="007A0E06" w:rsidRPr="00DE0431" w:rsidTr="00BD734E">
        <w:trPr>
          <w:jc w:val="center"/>
        </w:trPr>
        <w:tc>
          <w:tcPr>
            <w:tcW w:w="0" w:type="auto"/>
            <w:vMerge/>
          </w:tcPr>
          <w:p w:rsidR="007A0E06" w:rsidRPr="00696C2F" w:rsidRDefault="007A0E06" w:rsidP="00DE0431">
            <w:pPr>
              <w:jc w:val="center"/>
              <w:rPr>
                <w:rFonts w:ascii="Palatino Linotype" w:hAnsi="Palatino Linotype"/>
                <w:i/>
              </w:rPr>
            </w:pPr>
          </w:p>
        </w:tc>
        <w:tc>
          <w:tcPr>
            <w:tcW w:w="0" w:type="auto"/>
          </w:tcPr>
          <w:p w:rsidR="007A0E06" w:rsidRPr="00696C2F" w:rsidRDefault="007A0E06" w:rsidP="00DE0431">
            <w:pPr>
              <w:jc w:val="center"/>
              <w:rPr>
                <w:rFonts w:ascii="Palatino Linotype" w:hAnsi="Palatino Linotype"/>
              </w:rPr>
            </w:pPr>
            <w:r w:rsidRPr="00696C2F">
              <w:rPr>
                <w:rFonts w:ascii="Palatino Linotype" w:hAnsi="Palatino Linotype"/>
              </w:rPr>
              <w:t>2013</w:t>
            </w:r>
          </w:p>
        </w:tc>
        <w:tc>
          <w:tcPr>
            <w:tcW w:w="0" w:type="auto"/>
          </w:tcPr>
          <w:p w:rsidR="007A0E06" w:rsidRPr="00696C2F" w:rsidRDefault="007A0E06" w:rsidP="0005651A">
            <w:pPr>
              <w:jc w:val="center"/>
              <w:rPr>
                <w:rFonts w:ascii="Palatino Linotype" w:hAnsi="Palatino Linotype"/>
              </w:rPr>
            </w:pPr>
            <w:r w:rsidRPr="00696C2F">
              <w:rPr>
                <w:rFonts w:ascii="Palatino Linotype" w:hAnsi="Palatino Linotype"/>
              </w:rPr>
              <w:t>7.4</w:t>
            </w:r>
          </w:p>
        </w:tc>
        <w:tc>
          <w:tcPr>
            <w:tcW w:w="0" w:type="auto"/>
          </w:tcPr>
          <w:p w:rsidR="007A0E06" w:rsidRPr="00696C2F" w:rsidRDefault="007A0E06" w:rsidP="0005651A">
            <w:pPr>
              <w:jc w:val="center"/>
              <w:rPr>
                <w:rFonts w:ascii="Palatino Linotype" w:hAnsi="Palatino Linotype"/>
              </w:rPr>
            </w:pPr>
            <w:r w:rsidRPr="00696C2F">
              <w:rPr>
                <w:rFonts w:ascii="Palatino Linotype" w:hAnsi="Palatino Linotype"/>
              </w:rPr>
              <w:t>6.1</w:t>
            </w:r>
          </w:p>
        </w:tc>
        <w:tc>
          <w:tcPr>
            <w:tcW w:w="0" w:type="auto"/>
          </w:tcPr>
          <w:p w:rsidR="007A0E06" w:rsidRPr="00696C2F" w:rsidRDefault="007A0E06" w:rsidP="0005651A">
            <w:pPr>
              <w:jc w:val="center"/>
              <w:rPr>
                <w:rFonts w:ascii="Palatino Linotype" w:hAnsi="Palatino Linotype"/>
              </w:rPr>
            </w:pPr>
            <w:r w:rsidRPr="00696C2F">
              <w:rPr>
                <w:rFonts w:ascii="Palatino Linotype" w:hAnsi="Palatino Linotype"/>
              </w:rPr>
              <w:t>4.2</w:t>
            </w:r>
          </w:p>
        </w:tc>
        <w:tc>
          <w:tcPr>
            <w:tcW w:w="0" w:type="auto"/>
          </w:tcPr>
          <w:p w:rsidR="007A0E06" w:rsidRPr="00696C2F" w:rsidRDefault="007A0E06" w:rsidP="0005651A">
            <w:pPr>
              <w:jc w:val="center"/>
              <w:rPr>
                <w:rFonts w:ascii="Palatino Linotype" w:hAnsi="Palatino Linotype"/>
              </w:rPr>
            </w:pPr>
            <w:r w:rsidRPr="00696C2F">
              <w:rPr>
                <w:rFonts w:ascii="Palatino Linotype" w:hAnsi="Palatino Linotype"/>
              </w:rPr>
              <w:t>10.4</w:t>
            </w:r>
          </w:p>
        </w:tc>
      </w:tr>
      <w:tr w:rsidR="00BD734E" w:rsidRPr="00DE0431" w:rsidTr="00BD734E">
        <w:trPr>
          <w:jc w:val="center"/>
        </w:trPr>
        <w:tc>
          <w:tcPr>
            <w:tcW w:w="0" w:type="auto"/>
          </w:tcPr>
          <w:p w:rsidR="00BD734E" w:rsidRPr="00696C2F" w:rsidRDefault="00BD734E" w:rsidP="00DE0431">
            <w:pPr>
              <w:jc w:val="center"/>
              <w:rPr>
                <w:rFonts w:ascii="Palatino Linotype" w:hAnsi="Palatino Linotype"/>
                <w:i/>
              </w:rPr>
            </w:pPr>
          </w:p>
        </w:tc>
        <w:tc>
          <w:tcPr>
            <w:tcW w:w="0" w:type="auto"/>
          </w:tcPr>
          <w:p w:rsidR="00BD734E" w:rsidRPr="00696C2F" w:rsidRDefault="00BD734E" w:rsidP="00B46A78">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r>
      <w:tr w:rsidR="002A24BA" w:rsidRPr="00DE0431" w:rsidTr="00BD734E">
        <w:trPr>
          <w:jc w:val="center"/>
        </w:trPr>
        <w:tc>
          <w:tcPr>
            <w:tcW w:w="0" w:type="auto"/>
            <w:vMerge w:val="restart"/>
          </w:tcPr>
          <w:p w:rsidR="002A24BA" w:rsidRPr="00696C2F" w:rsidRDefault="002A24BA" w:rsidP="00DE0431">
            <w:pPr>
              <w:jc w:val="center"/>
              <w:rPr>
                <w:rFonts w:ascii="Palatino Linotype" w:hAnsi="Palatino Linotype"/>
                <w:i/>
              </w:rPr>
            </w:pPr>
            <w:r w:rsidRPr="00696C2F">
              <w:rPr>
                <w:rFonts w:ascii="Palatino Linotype" w:hAnsi="Palatino Linotype"/>
                <w:i/>
              </w:rPr>
              <w:t>Wales</w:t>
            </w: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7.9</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7.3</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7.3</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3.9</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9.0</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3.8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8.9</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9.8</w:t>
            </w:r>
          </w:p>
        </w:tc>
      </w:tr>
      <w:tr w:rsidR="00484B48" w:rsidRPr="00DE0431" w:rsidTr="00BD734E">
        <w:trPr>
          <w:jc w:val="center"/>
        </w:trPr>
        <w:tc>
          <w:tcPr>
            <w:tcW w:w="0" w:type="auto"/>
            <w:vMerge/>
          </w:tcPr>
          <w:p w:rsidR="00484B48" w:rsidRPr="00696C2F" w:rsidRDefault="00484B48" w:rsidP="00484B48">
            <w:pPr>
              <w:jc w:val="center"/>
              <w:rPr>
                <w:rFonts w:ascii="Palatino Linotype" w:hAnsi="Palatino Linotype"/>
                <w:i/>
              </w:rPr>
            </w:pPr>
          </w:p>
        </w:tc>
        <w:tc>
          <w:tcPr>
            <w:tcW w:w="0" w:type="auto"/>
          </w:tcPr>
          <w:p w:rsidR="00484B48" w:rsidRPr="00696C2F" w:rsidRDefault="00484B48" w:rsidP="00484B48">
            <w:pPr>
              <w:jc w:val="center"/>
              <w:rPr>
                <w:rFonts w:ascii="Palatino Linotype" w:hAnsi="Palatino Linotype"/>
              </w:rPr>
            </w:pPr>
            <w:r w:rsidRPr="00696C2F">
              <w:rPr>
                <w:rFonts w:ascii="Palatino Linotype" w:hAnsi="Palatino Linotype"/>
              </w:rPr>
              <w:t>2013</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7.9</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6.5</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4.2</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10.4</w:t>
            </w:r>
          </w:p>
        </w:tc>
      </w:tr>
      <w:tr w:rsidR="00BD734E" w:rsidRPr="00DE0431" w:rsidTr="00BD734E">
        <w:trPr>
          <w:jc w:val="center"/>
        </w:trPr>
        <w:tc>
          <w:tcPr>
            <w:tcW w:w="0" w:type="auto"/>
          </w:tcPr>
          <w:p w:rsidR="00BD734E" w:rsidRPr="00696C2F" w:rsidRDefault="00BD734E" w:rsidP="00DE0431">
            <w:pPr>
              <w:jc w:val="center"/>
              <w:rPr>
                <w:rFonts w:ascii="Palatino Linotype" w:hAnsi="Palatino Linotype"/>
                <w:i/>
              </w:rPr>
            </w:pPr>
          </w:p>
        </w:tc>
        <w:tc>
          <w:tcPr>
            <w:tcW w:w="0" w:type="auto"/>
          </w:tcPr>
          <w:p w:rsidR="00BD734E" w:rsidRPr="00696C2F" w:rsidRDefault="00BD734E" w:rsidP="00B46A78">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r>
      <w:tr w:rsidR="002A24BA" w:rsidRPr="00DE0431" w:rsidTr="00BD734E">
        <w:trPr>
          <w:jc w:val="center"/>
        </w:trPr>
        <w:tc>
          <w:tcPr>
            <w:tcW w:w="0" w:type="auto"/>
            <w:vMerge w:val="restart"/>
          </w:tcPr>
          <w:p w:rsidR="002A24BA" w:rsidRPr="00696C2F" w:rsidRDefault="002A24BA" w:rsidP="00DE0431">
            <w:pPr>
              <w:jc w:val="center"/>
              <w:rPr>
                <w:rFonts w:ascii="Palatino Linotype" w:hAnsi="Palatino Linotype"/>
                <w:i/>
              </w:rPr>
            </w:pPr>
            <w:r w:rsidRPr="00696C2F">
              <w:rPr>
                <w:rFonts w:ascii="Palatino Linotype" w:hAnsi="Palatino Linotype"/>
                <w:i/>
              </w:rPr>
              <w:t>Northern Ireland</w:t>
            </w: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10.3</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6.0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4.3</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7.2</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9.4</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4.4</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9.5</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i/>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5.6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4.7</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9.5</w:t>
            </w:r>
          </w:p>
        </w:tc>
      </w:tr>
      <w:tr w:rsidR="00484B48" w:rsidRPr="00DE0431" w:rsidTr="00BD734E">
        <w:trPr>
          <w:jc w:val="center"/>
        </w:trPr>
        <w:tc>
          <w:tcPr>
            <w:tcW w:w="0" w:type="auto"/>
            <w:vMerge/>
          </w:tcPr>
          <w:p w:rsidR="00484B48" w:rsidRPr="00696C2F" w:rsidRDefault="00484B48" w:rsidP="00484B48">
            <w:pPr>
              <w:jc w:val="center"/>
              <w:rPr>
                <w:rFonts w:ascii="Palatino Linotype" w:hAnsi="Palatino Linotype"/>
                <w:i/>
              </w:rPr>
            </w:pPr>
          </w:p>
        </w:tc>
        <w:tc>
          <w:tcPr>
            <w:tcW w:w="0" w:type="auto"/>
          </w:tcPr>
          <w:p w:rsidR="00484B48" w:rsidRPr="00696C2F" w:rsidRDefault="00484B48" w:rsidP="00484B48">
            <w:pPr>
              <w:jc w:val="center"/>
              <w:rPr>
                <w:rFonts w:ascii="Palatino Linotype" w:hAnsi="Palatino Linotype"/>
              </w:rPr>
            </w:pPr>
            <w:r w:rsidRPr="00696C2F">
              <w:rPr>
                <w:rFonts w:ascii="Palatino Linotype" w:hAnsi="Palatino Linotype"/>
              </w:rPr>
              <w:t>2013</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10.2</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5.8</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4.8</w:t>
            </w:r>
          </w:p>
        </w:tc>
        <w:tc>
          <w:tcPr>
            <w:tcW w:w="0" w:type="auto"/>
          </w:tcPr>
          <w:p w:rsidR="00484B48" w:rsidRPr="00696C2F" w:rsidRDefault="00484B48" w:rsidP="0005651A">
            <w:pPr>
              <w:spacing w:line="240" w:lineRule="auto"/>
              <w:jc w:val="center"/>
              <w:rPr>
                <w:rFonts w:ascii="Palatino Linotype" w:hAnsi="Palatino Linotype"/>
                <w:lang w:val="en-US"/>
              </w:rPr>
            </w:pPr>
            <w:r w:rsidRPr="00696C2F">
              <w:rPr>
                <w:rFonts w:ascii="Palatino Linotype" w:hAnsi="Palatino Linotype"/>
                <w:lang w:val="en-US"/>
              </w:rPr>
              <w:t>9.7</w:t>
            </w:r>
          </w:p>
        </w:tc>
      </w:tr>
      <w:tr w:rsidR="00BD734E" w:rsidRPr="00DE0431" w:rsidTr="00BD734E">
        <w:trPr>
          <w:jc w:val="center"/>
        </w:trPr>
        <w:tc>
          <w:tcPr>
            <w:tcW w:w="0" w:type="auto"/>
          </w:tcPr>
          <w:p w:rsidR="00BD734E" w:rsidRPr="00696C2F" w:rsidRDefault="00BD734E" w:rsidP="00DE0431">
            <w:pPr>
              <w:jc w:val="center"/>
              <w:rPr>
                <w:rFonts w:ascii="Palatino Linotype" w:hAnsi="Palatino Linotype"/>
                <w:i/>
              </w:rPr>
            </w:pPr>
          </w:p>
        </w:tc>
        <w:tc>
          <w:tcPr>
            <w:tcW w:w="0" w:type="auto"/>
          </w:tcPr>
          <w:p w:rsidR="00BD734E" w:rsidRPr="00696C2F" w:rsidRDefault="00BD734E" w:rsidP="00B46A78">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c>
          <w:tcPr>
            <w:tcW w:w="0" w:type="auto"/>
          </w:tcPr>
          <w:p w:rsidR="00BD734E" w:rsidRPr="00696C2F" w:rsidRDefault="00BD734E" w:rsidP="0005651A">
            <w:pPr>
              <w:jc w:val="center"/>
              <w:rPr>
                <w:rFonts w:ascii="Palatino Linotype" w:hAnsi="Palatino Linotype"/>
              </w:rPr>
            </w:pPr>
          </w:p>
        </w:tc>
      </w:tr>
      <w:tr w:rsidR="002A24BA" w:rsidRPr="00DE0431" w:rsidTr="00BD734E">
        <w:trPr>
          <w:jc w:val="center"/>
        </w:trPr>
        <w:tc>
          <w:tcPr>
            <w:tcW w:w="0" w:type="auto"/>
            <w:vMerge w:val="restart"/>
          </w:tcPr>
          <w:p w:rsidR="002A24BA" w:rsidRPr="00696C2F" w:rsidRDefault="002A24BA" w:rsidP="00DE0431">
            <w:pPr>
              <w:jc w:val="center"/>
              <w:rPr>
                <w:rFonts w:ascii="Palatino Linotype" w:hAnsi="Palatino Linotype"/>
                <w:i/>
              </w:rPr>
            </w:pPr>
            <w:r w:rsidRPr="00696C2F">
              <w:rPr>
                <w:rFonts w:ascii="Palatino Linotype" w:hAnsi="Palatino Linotype"/>
                <w:i/>
              </w:rPr>
              <w:t>Scotland</w:t>
            </w: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9.8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8.3</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13.5</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2010</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10.8</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8.4</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14.3</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2011</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10.6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11.5</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8.2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14.5</w:t>
            </w:r>
          </w:p>
        </w:tc>
      </w:tr>
      <w:tr w:rsidR="002A24BA" w:rsidRPr="00DE0431" w:rsidTr="00BD734E">
        <w:trPr>
          <w:jc w:val="center"/>
        </w:trPr>
        <w:tc>
          <w:tcPr>
            <w:tcW w:w="0" w:type="auto"/>
            <w:vMerge/>
          </w:tcPr>
          <w:p w:rsidR="002A24BA" w:rsidRPr="00696C2F" w:rsidRDefault="002A24BA" w:rsidP="00DE0431">
            <w:pPr>
              <w:jc w:val="center"/>
              <w:rPr>
                <w:rFonts w:ascii="Palatino Linotype" w:hAnsi="Palatino Linotype"/>
              </w:rPr>
            </w:pPr>
          </w:p>
        </w:tc>
        <w:tc>
          <w:tcPr>
            <w:tcW w:w="0" w:type="auto"/>
          </w:tcPr>
          <w:p w:rsidR="002A24BA" w:rsidRPr="00696C2F" w:rsidRDefault="002A24BA" w:rsidP="00B46A78">
            <w:pPr>
              <w:jc w:val="center"/>
              <w:rPr>
                <w:rFonts w:ascii="Palatino Linotype" w:hAnsi="Palatino Linotype"/>
              </w:rPr>
            </w:pPr>
            <w:r w:rsidRPr="00696C2F">
              <w:rPr>
                <w:rFonts w:ascii="Palatino Linotype" w:hAnsi="Palatino Linotype"/>
              </w:rPr>
              <w:t>2012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11.2</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11.6</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8.9</w:t>
            </w:r>
          </w:p>
        </w:tc>
        <w:tc>
          <w:tcPr>
            <w:tcW w:w="0" w:type="auto"/>
          </w:tcPr>
          <w:p w:rsidR="002A24BA" w:rsidRPr="00696C2F" w:rsidRDefault="002A24BA" w:rsidP="0005651A">
            <w:pPr>
              <w:jc w:val="center"/>
              <w:rPr>
                <w:rFonts w:ascii="Palatino Linotype" w:hAnsi="Palatino Linotype"/>
              </w:rPr>
            </w:pPr>
            <w:r w:rsidRPr="00696C2F">
              <w:rPr>
                <w:rFonts w:ascii="Palatino Linotype" w:hAnsi="Palatino Linotype"/>
              </w:rPr>
              <w:t>15.0</w:t>
            </w:r>
          </w:p>
        </w:tc>
      </w:tr>
      <w:tr w:rsidR="0005651A" w:rsidRPr="00DE0431" w:rsidTr="00BD734E">
        <w:trPr>
          <w:jc w:val="center"/>
        </w:trPr>
        <w:tc>
          <w:tcPr>
            <w:tcW w:w="0" w:type="auto"/>
            <w:vMerge/>
          </w:tcPr>
          <w:p w:rsidR="0005651A" w:rsidRPr="00696C2F" w:rsidRDefault="0005651A" w:rsidP="0005651A">
            <w:pPr>
              <w:jc w:val="center"/>
              <w:rPr>
                <w:rFonts w:ascii="Palatino Linotype" w:hAnsi="Palatino Linotype"/>
              </w:rPr>
            </w:pPr>
          </w:p>
        </w:tc>
        <w:tc>
          <w:tcPr>
            <w:tcW w:w="0" w:type="auto"/>
          </w:tcPr>
          <w:p w:rsidR="0005651A" w:rsidRPr="00696C2F" w:rsidRDefault="0005651A" w:rsidP="0005651A">
            <w:pPr>
              <w:jc w:val="center"/>
              <w:rPr>
                <w:rFonts w:ascii="Palatino Linotype" w:hAnsi="Palatino Linotype"/>
              </w:rPr>
            </w:pPr>
            <w:r w:rsidRPr="00696C2F">
              <w:rPr>
                <w:rFonts w:ascii="Palatino Linotype" w:hAnsi="Palatino Linotype"/>
              </w:rPr>
              <w:t>2013</w:t>
            </w:r>
          </w:p>
        </w:tc>
        <w:tc>
          <w:tcPr>
            <w:tcW w:w="0" w:type="auto"/>
          </w:tcPr>
          <w:p w:rsidR="0005651A" w:rsidRPr="00696C2F" w:rsidRDefault="0005651A" w:rsidP="0005651A">
            <w:pPr>
              <w:spacing w:line="240" w:lineRule="auto"/>
              <w:jc w:val="center"/>
              <w:rPr>
                <w:rFonts w:ascii="Palatino Linotype" w:hAnsi="Palatino Linotype"/>
                <w:lang w:val="en-US"/>
              </w:rPr>
            </w:pPr>
            <w:r w:rsidRPr="00696C2F">
              <w:rPr>
                <w:rFonts w:ascii="Palatino Linotype" w:hAnsi="Palatino Linotype"/>
                <w:lang w:val="en-US"/>
              </w:rPr>
              <w:t>11.1</w:t>
            </w:r>
          </w:p>
        </w:tc>
        <w:tc>
          <w:tcPr>
            <w:tcW w:w="0" w:type="auto"/>
          </w:tcPr>
          <w:p w:rsidR="0005651A" w:rsidRPr="00696C2F" w:rsidRDefault="0005651A" w:rsidP="0005651A">
            <w:pPr>
              <w:spacing w:line="240" w:lineRule="auto"/>
              <w:jc w:val="center"/>
              <w:rPr>
                <w:rFonts w:ascii="Palatino Linotype" w:hAnsi="Palatino Linotype"/>
                <w:lang w:val="en-US"/>
              </w:rPr>
            </w:pPr>
            <w:r w:rsidRPr="00696C2F">
              <w:rPr>
                <w:rFonts w:ascii="Palatino Linotype" w:hAnsi="Palatino Linotype"/>
                <w:lang w:val="en-US"/>
              </w:rPr>
              <w:t>11.5</w:t>
            </w:r>
          </w:p>
        </w:tc>
        <w:tc>
          <w:tcPr>
            <w:tcW w:w="0" w:type="auto"/>
          </w:tcPr>
          <w:p w:rsidR="0005651A" w:rsidRPr="00696C2F" w:rsidRDefault="0005651A" w:rsidP="0005651A">
            <w:pPr>
              <w:spacing w:line="240" w:lineRule="auto"/>
              <w:jc w:val="center"/>
              <w:rPr>
                <w:rFonts w:ascii="Palatino Linotype" w:hAnsi="Palatino Linotype"/>
                <w:lang w:val="en-US"/>
              </w:rPr>
            </w:pPr>
            <w:r w:rsidRPr="00696C2F">
              <w:rPr>
                <w:rFonts w:ascii="Palatino Linotype" w:hAnsi="Palatino Linotype"/>
                <w:lang w:val="en-US"/>
              </w:rPr>
              <w:t>8.4</w:t>
            </w:r>
          </w:p>
        </w:tc>
        <w:tc>
          <w:tcPr>
            <w:tcW w:w="0" w:type="auto"/>
          </w:tcPr>
          <w:p w:rsidR="0005651A" w:rsidRPr="00696C2F" w:rsidRDefault="0005651A" w:rsidP="0005651A">
            <w:pPr>
              <w:spacing w:line="240" w:lineRule="auto"/>
              <w:jc w:val="center"/>
              <w:rPr>
                <w:rFonts w:ascii="Palatino Linotype" w:hAnsi="Palatino Linotype"/>
                <w:lang w:val="en-US"/>
              </w:rPr>
            </w:pPr>
            <w:r w:rsidRPr="00696C2F">
              <w:rPr>
                <w:rFonts w:ascii="Palatino Linotype" w:hAnsi="Palatino Linotype"/>
                <w:lang w:val="en-US"/>
              </w:rPr>
              <w:t>15.0</w:t>
            </w:r>
          </w:p>
        </w:tc>
      </w:tr>
    </w:tbl>
    <w:p w:rsidR="00DE0431" w:rsidRDefault="00DE0431" w:rsidP="00DE0431">
      <w:pPr>
        <w:rPr>
          <w:rFonts w:ascii="Palatino Linotype" w:hAnsi="Palatino Linotype"/>
          <w:sz w:val="22"/>
          <w:szCs w:val="22"/>
        </w:rPr>
      </w:pPr>
    </w:p>
    <w:p w:rsidR="00BD734E" w:rsidRPr="008E3C7E" w:rsidRDefault="008E3C7E" w:rsidP="008E3C7E">
      <w:pPr>
        <w:jc w:val="center"/>
        <w:rPr>
          <w:rFonts w:ascii="Palatino Linotype" w:hAnsi="Palatino Linotype"/>
          <w:i/>
          <w:sz w:val="18"/>
          <w:szCs w:val="22"/>
        </w:rPr>
      </w:pPr>
      <w:r w:rsidRPr="008E3C7E">
        <w:rPr>
          <w:rFonts w:ascii="Palatino Linotype" w:hAnsi="Palatino Linotype"/>
          <w:bCs/>
          <w:i/>
          <w:sz w:val="18"/>
          <w:szCs w:val="22"/>
        </w:rPr>
        <w:t>(Source: Joint Coun</w:t>
      </w:r>
      <w:r w:rsidR="004C736B">
        <w:rPr>
          <w:rFonts w:ascii="Palatino Linotype" w:hAnsi="Palatino Linotype"/>
          <w:bCs/>
          <w:i/>
          <w:sz w:val="18"/>
          <w:szCs w:val="22"/>
        </w:rPr>
        <w:t>cil for Qualifications, JCQ, and</w:t>
      </w:r>
      <w:r w:rsidRPr="008E3C7E">
        <w:rPr>
          <w:rFonts w:ascii="Palatino Linotype" w:hAnsi="Palatino Linotype"/>
          <w:bCs/>
          <w:i/>
          <w:sz w:val="18"/>
          <w:szCs w:val="22"/>
        </w:rPr>
        <w:t xml:space="preserve"> Scottish Qualifications Authority, SQA)</w:t>
      </w:r>
    </w:p>
    <w:p w:rsidR="00D711E7" w:rsidRDefault="00D711E7" w:rsidP="00D9487D">
      <w:pPr>
        <w:spacing w:line="240" w:lineRule="auto"/>
        <w:jc w:val="both"/>
        <w:rPr>
          <w:rFonts w:ascii="Palatino Linotype" w:hAnsi="Palatino Linotype"/>
          <w:b/>
          <w:bCs/>
          <w:sz w:val="22"/>
          <w:szCs w:val="22"/>
        </w:rPr>
      </w:pPr>
    </w:p>
    <w:p w:rsidR="00375AE6" w:rsidRPr="00163DAB" w:rsidRDefault="00ED1292" w:rsidP="00D9487D">
      <w:pPr>
        <w:spacing w:line="240" w:lineRule="auto"/>
        <w:jc w:val="both"/>
        <w:rPr>
          <w:rFonts w:ascii="Palatino Linotype" w:hAnsi="Palatino Linotype"/>
          <w:bCs/>
          <w:sz w:val="22"/>
          <w:szCs w:val="22"/>
        </w:rPr>
      </w:pPr>
      <w:r w:rsidRPr="00F8159F">
        <w:rPr>
          <w:rFonts w:ascii="Palatino Linotype" w:hAnsi="Palatino Linotype"/>
          <w:b/>
          <w:bCs/>
          <w:sz w:val="22"/>
          <w:szCs w:val="22"/>
        </w:rPr>
        <w:lastRenderedPageBreak/>
        <w:t>1.</w:t>
      </w:r>
      <w:r w:rsidR="004414F1">
        <w:rPr>
          <w:rFonts w:ascii="Palatino Linotype" w:hAnsi="Palatino Linotype"/>
          <w:b/>
          <w:bCs/>
          <w:sz w:val="22"/>
          <w:szCs w:val="22"/>
        </w:rPr>
        <w:t>2</w:t>
      </w:r>
      <w:r w:rsidR="00375AE6" w:rsidRPr="00F8159F">
        <w:rPr>
          <w:rFonts w:ascii="Palatino Linotype" w:hAnsi="Palatino Linotype"/>
          <w:b/>
          <w:bCs/>
          <w:sz w:val="22"/>
          <w:szCs w:val="22"/>
        </w:rPr>
        <w:tab/>
        <w:t>Why look at attitudes?</w:t>
      </w:r>
    </w:p>
    <w:p w:rsidR="00375AE6" w:rsidRDefault="00375AE6" w:rsidP="00D9487D">
      <w:pPr>
        <w:spacing w:line="240" w:lineRule="auto"/>
        <w:jc w:val="both"/>
        <w:rPr>
          <w:rFonts w:ascii="Palatino Linotype" w:hAnsi="Palatino Linotype"/>
          <w:bCs/>
          <w:sz w:val="22"/>
          <w:szCs w:val="22"/>
        </w:rPr>
      </w:pPr>
    </w:p>
    <w:p w:rsidR="00375AE6" w:rsidRPr="00AD1523" w:rsidRDefault="005B3142" w:rsidP="00D9487D">
      <w:pPr>
        <w:spacing w:line="240" w:lineRule="auto"/>
        <w:jc w:val="both"/>
        <w:rPr>
          <w:rFonts w:ascii="Palatino Linotype" w:hAnsi="Palatino Linotype"/>
          <w:sz w:val="22"/>
          <w:szCs w:val="22"/>
        </w:rPr>
      </w:pPr>
      <w:r>
        <w:rPr>
          <w:rFonts w:ascii="Palatino Linotype" w:hAnsi="Palatino Linotype"/>
          <w:bCs/>
          <w:sz w:val="22"/>
          <w:szCs w:val="22"/>
        </w:rPr>
        <w:t>A</w:t>
      </w:r>
      <w:r w:rsidR="00375AE6">
        <w:rPr>
          <w:rFonts w:ascii="Palatino Linotype" w:hAnsi="Palatino Linotype"/>
          <w:bCs/>
          <w:sz w:val="22"/>
          <w:szCs w:val="22"/>
        </w:rPr>
        <w:t xml:space="preserve">ttitudes are a key determinant of </w:t>
      </w:r>
      <w:r w:rsidR="00383CB1">
        <w:rPr>
          <w:rFonts w:ascii="Palatino Linotype" w:hAnsi="Palatino Linotype"/>
          <w:bCs/>
          <w:sz w:val="22"/>
          <w:szCs w:val="22"/>
        </w:rPr>
        <w:t xml:space="preserve">engagement and </w:t>
      </w:r>
      <w:r w:rsidR="00792B29">
        <w:rPr>
          <w:rFonts w:ascii="Palatino Linotype" w:hAnsi="Palatino Linotype"/>
          <w:bCs/>
          <w:sz w:val="22"/>
          <w:szCs w:val="22"/>
        </w:rPr>
        <w:t xml:space="preserve">post-compulsory </w:t>
      </w:r>
      <w:r w:rsidR="00B40E75">
        <w:rPr>
          <w:rFonts w:ascii="Palatino Linotype" w:hAnsi="Palatino Linotype"/>
          <w:bCs/>
          <w:sz w:val="22"/>
          <w:szCs w:val="22"/>
        </w:rPr>
        <w:t>participation</w:t>
      </w:r>
      <w:r w:rsidR="00375AE6">
        <w:rPr>
          <w:rFonts w:ascii="Palatino Linotype" w:hAnsi="Palatino Linotype"/>
          <w:bCs/>
          <w:sz w:val="22"/>
          <w:szCs w:val="22"/>
        </w:rPr>
        <w:t xml:space="preserve">, </w:t>
      </w:r>
      <w:r>
        <w:rPr>
          <w:rFonts w:ascii="Palatino Linotype" w:hAnsi="Palatino Linotype"/>
          <w:bCs/>
          <w:sz w:val="22"/>
          <w:szCs w:val="22"/>
        </w:rPr>
        <w:t xml:space="preserve">and </w:t>
      </w:r>
      <w:r w:rsidR="00375AE6">
        <w:rPr>
          <w:rFonts w:ascii="Palatino Linotype" w:hAnsi="Palatino Linotype"/>
          <w:bCs/>
          <w:sz w:val="22"/>
          <w:szCs w:val="22"/>
        </w:rPr>
        <w:t xml:space="preserve">it is </w:t>
      </w:r>
      <w:r>
        <w:rPr>
          <w:rFonts w:ascii="Palatino Linotype" w:hAnsi="Palatino Linotype"/>
          <w:bCs/>
          <w:sz w:val="22"/>
          <w:szCs w:val="22"/>
        </w:rPr>
        <w:t xml:space="preserve">therefore </w:t>
      </w:r>
      <w:r w:rsidR="00375AE6">
        <w:rPr>
          <w:rFonts w:ascii="Palatino Linotype" w:hAnsi="Palatino Linotype"/>
          <w:bCs/>
          <w:sz w:val="22"/>
          <w:szCs w:val="22"/>
        </w:rPr>
        <w:t xml:space="preserve">not surprising that a </w:t>
      </w:r>
      <w:r w:rsidR="00B40E75">
        <w:rPr>
          <w:rFonts w:ascii="Palatino Linotype" w:hAnsi="Palatino Linotype"/>
          <w:bCs/>
          <w:sz w:val="22"/>
          <w:szCs w:val="22"/>
        </w:rPr>
        <w:t xml:space="preserve">very </w:t>
      </w:r>
      <w:r w:rsidR="00375AE6">
        <w:rPr>
          <w:rFonts w:ascii="Palatino Linotype" w:hAnsi="Palatino Linotype"/>
          <w:bCs/>
          <w:sz w:val="22"/>
          <w:szCs w:val="22"/>
        </w:rPr>
        <w:t xml:space="preserve">large volume of work exists on attitudes to STEM </w:t>
      </w:r>
      <w:proofErr w:type="gramStart"/>
      <w:r w:rsidR="00375AE6">
        <w:rPr>
          <w:rFonts w:ascii="Palatino Linotype" w:hAnsi="Palatino Linotype"/>
          <w:bCs/>
          <w:sz w:val="22"/>
          <w:szCs w:val="22"/>
        </w:rPr>
        <w:t>subjects,</w:t>
      </w:r>
      <w:proofErr w:type="gramEnd"/>
      <w:r w:rsidR="00375AE6">
        <w:rPr>
          <w:rFonts w:ascii="Palatino Linotype" w:hAnsi="Palatino Linotype"/>
          <w:bCs/>
          <w:sz w:val="22"/>
          <w:szCs w:val="22"/>
        </w:rPr>
        <w:t xml:space="preserve"> and to </w:t>
      </w:r>
      <w:r w:rsidR="00BC353A">
        <w:rPr>
          <w:rFonts w:ascii="Palatino Linotype" w:hAnsi="Palatino Linotype"/>
          <w:bCs/>
          <w:sz w:val="22"/>
          <w:szCs w:val="22"/>
        </w:rPr>
        <w:t>mathematics and science</w:t>
      </w:r>
      <w:r w:rsidR="00375AE6">
        <w:rPr>
          <w:rFonts w:ascii="Palatino Linotype" w:hAnsi="Palatino Linotype"/>
          <w:bCs/>
          <w:sz w:val="22"/>
          <w:szCs w:val="22"/>
        </w:rPr>
        <w:t xml:space="preserve"> in particular</w:t>
      </w:r>
      <w:r w:rsidR="00F53CE5">
        <w:rPr>
          <w:rFonts w:ascii="Palatino Linotype" w:hAnsi="Palatino Linotype"/>
          <w:bCs/>
          <w:sz w:val="22"/>
          <w:szCs w:val="22"/>
        </w:rPr>
        <w:t xml:space="preserve">.  </w:t>
      </w:r>
      <w:r w:rsidR="008907DD" w:rsidRPr="008907DD">
        <w:rPr>
          <w:rFonts w:ascii="Palatino Linotype" w:hAnsi="Palatino Linotype"/>
          <w:sz w:val="22"/>
          <w:szCs w:val="22"/>
        </w:rPr>
        <w:t xml:space="preserve">The literature on attitudes to science is </w:t>
      </w:r>
      <w:r w:rsidR="00B40E75">
        <w:rPr>
          <w:rFonts w:ascii="Palatino Linotype" w:hAnsi="Palatino Linotype"/>
          <w:sz w:val="22"/>
          <w:szCs w:val="22"/>
        </w:rPr>
        <w:t xml:space="preserve">particularly </w:t>
      </w:r>
      <w:r w:rsidR="008907DD" w:rsidRPr="008907DD">
        <w:rPr>
          <w:rFonts w:ascii="Palatino Linotype" w:hAnsi="Palatino Linotype"/>
          <w:sz w:val="22"/>
          <w:szCs w:val="22"/>
        </w:rPr>
        <w:t>extensive, with</w:t>
      </w:r>
      <w:r w:rsidR="00B07889">
        <w:rPr>
          <w:rFonts w:ascii="Palatino Linotype" w:hAnsi="Palatino Linotype"/>
          <w:sz w:val="22"/>
          <w:szCs w:val="22"/>
        </w:rPr>
        <w:t xml:space="preserve"> a first peak of</w:t>
      </w:r>
      <w:r w:rsidR="008907DD" w:rsidRPr="008907DD">
        <w:rPr>
          <w:rFonts w:ascii="Palatino Linotype" w:hAnsi="Palatino Linotype"/>
          <w:sz w:val="22"/>
          <w:szCs w:val="22"/>
        </w:rPr>
        <w:t xml:space="preserve"> </w:t>
      </w:r>
      <w:r w:rsidR="008907DD">
        <w:rPr>
          <w:rFonts w:ascii="Palatino Linotype" w:hAnsi="Palatino Linotype"/>
          <w:sz w:val="22"/>
          <w:szCs w:val="22"/>
        </w:rPr>
        <w:t xml:space="preserve">interest and activity </w:t>
      </w:r>
      <w:r w:rsidR="00B07889">
        <w:rPr>
          <w:rFonts w:ascii="Palatino Linotype" w:hAnsi="Palatino Linotype"/>
          <w:sz w:val="22"/>
          <w:szCs w:val="22"/>
        </w:rPr>
        <w:t>in the</w:t>
      </w:r>
      <w:r w:rsidR="008907DD" w:rsidRPr="008907DD">
        <w:rPr>
          <w:rFonts w:ascii="Palatino Linotype" w:hAnsi="Palatino Linotype"/>
          <w:sz w:val="22"/>
          <w:szCs w:val="22"/>
        </w:rPr>
        <w:t xml:space="preserve"> 1970s and the first half of the 1980s</w:t>
      </w:r>
      <w:r w:rsidR="00F53CE5">
        <w:rPr>
          <w:rFonts w:ascii="Palatino Linotype" w:hAnsi="Palatino Linotype"/>
          <w:sz w:val="22"/>
          <w:szCs w:val="22"/>
        </w:rPr>
        <w:t xml:space="preserve">.  </w:t>
      </w:r>
      <w:r w:rsidR="00C74834">
        <w:rPr>
          <w:rFonts w:ascii="Palatino Linotype" w:hAnsi="Palatino Linotype"/>
          <w:sz w:val="22"/>
          <w:szCs w:val="22"/>
        </w:rPr>
        <w:t>In the UK, this interest is often attributed to</w:t>
      </w:r>
      <w:r w:rsidR="00870CF7">
        <w:rPr>
          <w:rFonts w:ascii="Palatino Linotype" w:hAnsi="Palatino Linotype"/>
          <w:sz w:val="22"/>
          <w:szCs w:val="22"/>
        </w:rPr>
        <w:t xml:space="preserve"> the</w:t>
      </w:r>
      <w:r>
        <w:rPr>
          <w:rFonts w:ascii="Palatino Linotype" w:hAnsi="Palatino Linotype"/>
          <w:sz w:val="22"/>
          <w:szCs w:val="22"/>
        </w:rPr>
        <w:t xml:space="preserve"> ‘swing from science’ identified in </w:t>
      </w:r>
      <w:r w:rsidR="00870CF7">
        <w:rPr>
          <w:rFonts w:ascii="Palatino Linotype" w:hAnsi="Palatino Linotype"/>
          <w:sz w:val="22"/>
          <w:szCs w:val="22"/>
        </w:rPr>
        <w:t xml:space="preserve">the </w:t>
      </w:r>
      <w:r w:rsidR="00870CF7" w:rsidRPr="00870CF7">
        <w:rPr>
          <w:rFonts w:ascii="Palatino Linotype" w:hAnsi="Palatino Linotype"/>
          <w:i/>
          <w:sz w:val="22"/>
          <w:szCs w:val="22"/>
        </w:rPr>
        <w:t>Dainton Report</w:t>
      </w:r>
      <w:r w:rsidR="00870CF7">
        <w:rPr>
          <w:rFonts w:ascii="Palatino Linotype" w:hAnsi="Palatino Linotype"/>
          <w:sz w:val="22"/>
          <w:szCs w:val="22"/>
        </w:rPr>
        <w:t xml:space="preserve"> (Department of Education and Science, 1968)</w:t>
      </w:r>
      <w:r w:rsidR="00F53CE5">
        <w:rPr>
          <w:rFonts w:ascii="Palatino Linotype" w:hAnsi="Palatino Linotype"/>
          <w:sz w:val="22"/>
          <w:szCs w:val="22"/>
        </w:rPr>
        <w:t xml:space="preserve">.  </w:t>
      </w:r>
      <w:r w:rsidR="008907DD" w:rsidRPr="008907DD">
        <w:rPr>
          <w:rFonts w:ascii="Palatino Linotype" w:hAnsi="Palatino Linotype"/>
          <w:sz w:val="22"/>
          <w:szCs w:val="22"/>
        </w:rPr>
        <w:t xml:space="preserve">The comparative lack of work in the late 1980s and 1990s </w:t>
      </w:r>
      <w:r w:rsidR="008907DD">
        <w:rPr>
          <w:rFonts w:ascii="Palatino Linotype" w:hAnsi="Palatino Linotype"/>
          <w:sz w:val="22"/>
          <w:szCs w:val="22"/>
        </w:rPr>
        <w:t xml:space="preserve">in England and Wales </w:t>
      </w:r>
      <w:r w:rsidR="008907DD" w:rsidRPr="008907DD">
        <w:rPr>
          <w:rFonts w:ascii="Palatino Linotype" w:hAnsi="Palatino Linotype"/>
          <w:sz w:val="22"/>
          <w:szCs w:val="22"/>
        </w:rPr>
        <w:t xml:space="preserve">can be </w:t>
      </w:r>
      <w:r w:rsidR="00792B29">
        <w:rPr>
          <w:rFonts w:ascii="Palatino Linotype" w:hAnsi="Palatino Linotype"/>
          <w:sz w:val="22"/>
          <w:szCs w:val="22"/>
        </w:rPr>
        <w:t>explained by</w:t>
      </w:r>
      <w:r w:rsidR="008907DD" w:rsidRPr="008907DD">
        <w:rPr>
          <w:rFonts w:ascii="Palatino Linotype" w:hAnsi="Palatino Linotype"/>
          <w:sz w:val="22"/>
          <w:szCs w:val="22"/>
        </w:rPr>
        <w:t xml:space="preserve"> th</w:t>
      </w:r>
      <w:r w:rsidR="00B07889">
        <w:rPr>
          <w:rFonts w:ascii="Palatino Linotype" w:hAnsi="Palatino Linotype"/>
          <w:sz w:val="22"/>
          <w:szCs w:val="22"/>
        </w:rPr>
        <w:t>e need to assess the effects of what was then the new National Cu</w:t>
      </w:r>
      <w:r>
        <w:rPr>
          <w:rFonts w:ascii="Palatino Linotype" w:hAnsi="Palatino Linotype"/>
          <w:sz w:val="22"/>
          <w:szCs w:val="22"/>
        </w:rPr>
        <w:t>rriculum, introduced in 1989,</w:t>
      </w:r>
      <w:r w:rsidR="00B07889">
        <w:rPr>
          <w:rFonts w:ascii="Palatino Linotype" w:hAnsi="Palatino Linotype"/>
          <w:sz w:val="22"/>
          <w:szCs w:val="22"/>
        </w:rPr>
        <w:t xml:space="preserve"> with the first national examinations for </w:t>
      </w:r>
      <w:r w:rsidR="00DE542E">
        <w:rPr>
          <w:rFonts w:ascii="Palatino Linotype" w:hAnsi="Palatino Linotype"/>
          <w:sz w:val="22"/>
          <w:szCs w:val="22"/>
        </w:rPr>
        <w:t>student</w:t>
      </w:r>
      <w:r w:rsidR="00B07889">
        <w:rPr>
          <w:rFonts w:ascii="Palatino Linotype" w:hAnsi="Palatino Linotype"/>
          <w:sz w:val="22"/>
          <w:szCs w:val="22"/>
        </w:rPr>
        <w:t>s at age 16 taking place in 1992</w:t>
      </w:r>
      <w:r w:rsidR="00F53CE5">
        <w:rPr>
          <w:rFonts w:ascii="Palatino Linotype" w:hAnsi="Palatino Linotype"/>
          <w:sz w:val="22"/>
          <w:szCs w:val="22"/>
        </w:rPr>
        <w:t xml:space="preserve">.  </w:t>
      </w:r>
      <w:r w:rsidR="00B07889">
        <w:rPr>
          <w:rFonts w:ascii="Palatino Linotype" w:hAnsi="Palatino Linotype"/>
          <w:sz w:val="22"/>
          <w:szCs w:val="22"/>
        </w:rPr>
        <w:t xml:space="preserve">For the sciences, the National Curriculum represented a major structural change in school science provision, as it </w:t>
      </w:r>
      <w:r w:rsidR="00B07889" w:rsidRPr="00B07889">
        <w:rPr>
          <w:rFonts w:ascii="Palatino Linotype" w:hAnsi="Palatino Linotype"/>
          <w:sz w:val="22"/>
          <w:szCs w:val="22"/>
        </w:rPr>
        <w:t>moved the age of compulsory study of a</w:t>
      </w:r>
      <w:r w:rsidR="00BC353A">
        <w:rPr>
          <w:rFonts w:ascii="Palatino Linotype" w:hAnsi="Palatino Linotype"/>
          <w:sz w:val="22"/>
          <w:szCs w:val="22"/>
        </w:rPr>
        <w:t>ll three sciences from 14 to 16, and made the study of science compulsory from the age of five</w:t>
      </w:r>
      <w:r w:rsidR="00F53CE5">
        <w:rPr>
          <w:rFonts w:ascii="Palatino Linotype" w:hAnsi="Palatino Linotype"/>
          <w:sz w:val="22"/>
          <w:szCs w:val="22"/>
        </w:rPr>
        <w:t xml:space="preserve">.  </w:t>
      </w:r>
      <w:r w:rsidR="00B07889">
        <w:rPr>
          <w:rFonts w:ascii="Palatino Linotype" w:hAnsi="Palatino Linotype"/>
          <w:sz w:val="22"/>
          <w:szCs w:val="22"/>
        </w:rPr>
        <w:t>During the 1990s, it</w:t>
      </w:r>
      <w:r w:rsidR="00B07889" w:rsidRPr="00B07889">
        <w:rPr>
          <w:rFonts w:ascii="Palatino Linotype" w:hAnsi="Palatino Linotype"/>
          <w:sz w:val="22"/>
          <w:szCs w:val="22"/>
        </w:rPr>
        <w:t xml:space="preserve"> became apparent that the National Curriculum had failed to deliver any substantial increase in numbers taking physical science subjects beyond the compulsory period, </w:t>
      </w:r>
      <w:r>
        <w:rPr>
          <w:rFonts w:ascii="Palatino Linotype" w:hAnsi="Palatino Linotype"/>
          <w:sz w:val="22"/>
          <w:szCs w:val="22"/>
        </w:rPr>
        <w:t xml:space="preserve">resulting in </w:t>
      </w:r>
      <w:r w:rsidR="00B07889">
        <w:rPr>
          <w:rFonts w:ascii="Palatino Linotype" w:hAnsi="Palatino Linotype"/>
          <w:sz w:val="22"/>
          <w:szCs w:val="22"/>
        </w:rPr>
        <w:t>an upsurge of interest in attitudes to science</w:t>
      </w:r>
      <w:r w:rsidR="00F53CE5">
        <w:rPr>
          <w:rFonts w:ascii="Palatino Linotype" w:hAnsi="Palatino Linotype"/>
          <w:sz w:val="22"/>
          <w:szCs w:val="22"/>
        </w:rPr>
        <w:t xml:space="preserve">.  </w:t>
      </w:r>
      <w:r w:rsidR="008907DD" w:rsidRPr="008907DD">
        <w:rPr>
          <w:rFonts w:ascii="Palatino Linotype" w:hAnsi="Palatino Linotype"/>
          <w:sz w:val="22"/>
          <w:szCs w:val="22"/>
        </w:rPr>
        <w:t xml:space="preserve">The </w:t>
      </w:r>
      <w:r w:rsidR="00C74834">
        <w:rPr>
          <w:rFonts w:ascii="Palatino Linotype" w:hAnsi="Palatino Linotype"/>
          <w:sz w:val="22"/>
          <w:szCs w:val="22"/>
        </w:rPr>
        <w:t>literature on attitudes to mathematics is also large</w:t>
      </w:r>
      <w:r>
        <w:rPr>
          <w:rFonts w:ascii="Palatino Linotype" w:hAnsi="Palatino Linotype"/>
          <w:sz w:val="22"/>
          <w:szCs w:val="22"/>
        </w:rPr>
        <w:t xml:space="preserve">, </w:t>
      </w:r>
      <w:r w:rsidR="008907DD" w:rsidRPr="008907DD">
        <w:rPr>
          <w:rFonts w:ascii="Palatino Linotype" w:hAnsi="Palatino Linotype"/>
          <w:sz w:val="22"/>
          <w:szCs w:val="22"/>
        </w:rPr>
        <w:t>characterised by a stead</w:t>
      </w:r>
      <w:r w:rsidR="00C74834">
        <w:rPr>
          <w:rFonts w:ascii="Palatino Linotype" w:hAnsi="Palatino Linotype"/>
          <w:sz w:val="22"/>
          <w:szCs w:val="22"/>
        </w:rPr>
        <w:t>y</w:t>
      </w:r>
      <w:r w:rsidR="008907DD" w:rsidRPr="008907DD">
        <w:rPr>
          <w:rFonts w:ascii="Palatino Linotype" w:hAnsi="Palatino Linotype"/>
          <w:sz w:val="22"/>
          <w:szCs w:val="22"/>
        </w:rPr>
        <w:t xml:space="preserve"> output of</w:t>
      </w:r>
      <w:r w:rsidR="00B07889">
        <w:rPr>
          <w:rFonts w:ascii="Palatino Linotype" w:hAnsi="Palatino Linotype"/>
          <w:sz w:val="22"/>
          <w:szCs w:val="22"/>
        </w:rPr>
        <w:t xml:space="preserve"> publications </w:t>
      </w:r>
      <w:r w:rsidR="00B07889" w:rsidRPr="008B4C94">
        <w:rPr>
          <w:rFonts w:ascii="Palatino Linotype" w:hAnsi="Palatino Linotype"/>
          <w:sz w:val="22"/>
          <w:szCs w:val="22"/>
        </w:rPr>
        <w:t>expressing</w:t>
      </w:r>
      <w:r w:rsidR="008907DD" w:rsidRPr="008B4C94">
        <w:rPr>
          <w:rFonts w:ascii="Palatino Linotype" w:hAnsi="Palatino Linotype"/>
          <w:sz w:val="22"/>
          <w:szCs w:val="22"/>
        </w:rPr>
        <w:t xml:space="preserve"> concern over levels of engagem</w:t>
      </w:r>
      <w:r w:rsidR="00C74834" w:rsidRPr="008B4C94">
        <w:rPr>
          <w:rFonts w:ascii="Palatino Linotype" w:hAnsi="Palatino Linotype"/>
          <w:sz w:val="22"/>
          <w:szCs w:val="22"/>
        </w:rPr>
        <w:t>ent</w:t>
      </w:r>
      <w:r>
        <w:rPr>
          <w:rFonts w:ascii="Palatino Linotype" w:hAnsi="Palatino Linotype"/>
          <w:sz w:val="22"/>
          <w:szCs w:val="22"/>
        </w:rPr>
        <w:t xml:space="preserve"> from the 1970s onwards</w:t>
      </w:r>
      <w:r w:rsidR="00F53CE5">
        <w:rPr>
          <w:rFonts w:ascii="Palatino Linotype" w:hAnsi="Palatino Linotype"/>
          <w:sz w:val="22"/>
          <w:szCs w:val="22"/>
        </w:rPr>
        <w:t xml:space="preserve">.  </w:t>
      </w:r>
      <w:r w:rsidR="00BC353A">
        <w:rPr>
          <w:rFonts w:ascii="Palatino Linotype" w:hAnsi="Palatino Linotype"/>
          <w:sz w:val="22"/>
          <w:szCs w:val="22"/>
        </w:rPr>
        <w:t>The literature on</w:t>
      </w:r>
      <w:r w:rsidR="00792B29" w:rsidRPr="008B4C94">
        <w:rPr>
          <w:rFonts w:ascii="Palatino Linotype" w:hAnsi="Palatino Linotype"/>
          <w:sz w:val="22"/>
          <w:szCs w:val="22"/>
        </w:rPr>
        <w:t xml:space="preserve"> technology and engineering is less extensive, and tends to focus on </w:t>
      </w:r>
      <w:r w:rsidR="00792B29" w:rsidRPr="00AD1523">
        <w:rPr>
          <w:rFonts w:ascii="Palatino Linotype" w:hAnsi="Palatino Linotype"/>
          <w:sz w:val="22"/>
          <w:szCs w:val="22"/>
        </w:rPr>
        <w:t xml:space="preserve">reports from groups with a particular interest </w:t>
      </w:r>
      <w:r w:rsidR="008B4C94" w:rsidRPr="00AD1523">
        <w:rPr>
          <w:rFonts w:ascii="Palatino Linotype" w:hAnsi="Palatino Linotype"/>
          <w:sz w:val="22"/>
          <w:szCs w:val="22"/>
        </w:rPr>
        <w:t xml:space="preserve">in levels of participation, such as the Institution of Mechanical Engineering, and </w:t>
      </w:r>
      <w:r w:rsidR="008B4C94" w:rsidRPr="00AD1523">
        <w:rPr>
          <w:rFonts w:ascii="Palatino Linotype" w:hAnsi="Palatino Linotype"/>
          <w:bCs/>
          <w:sz w:val="22"/>
          <w:szCs w:val="22"/>
          <w:lang w:val="en"/>
        </w:rPr>
        <w:t>EngineeringUK</w:t>
      </w:r>
      <w:r w:rsidR="008B4C94" w:rsidRPr="00AD1523">
        <w:rPr>
          <w:rFonts w:ascii="Palatino Linotype" w:hAnsi="Palatino Linotype"/>
          <w:sz w:val="22"/>
          <w:szCs w:val="22"/>
          <w:lang w:val="en"/>
        </w:rPr>
        <w:t xml:space="preserve"> (formerly the </w:t>
      </w:r>
      <w:r w:rsidR="008B4C94" w:rsidRPr="00AD1523">
        <w:rPr>
          <w:rFonts w:ascii="Palatino Linotype" w:hAnsi="Palatino Linotype"/>
          <w:bCs/>
          <w:sz w:val="22"/>
          <w:szCs w:val="22"/>
          <w:lang w:val="en"/>
        </w:rPr>
        <w:t>Engineering and Technology Board, ETB).</w:t>
      </w:r>
    </w:p>
    <w:p w:rsidR="00375AE6" w:rsidRPr="00D237D1" w:rsidRDefault="00375AE6" w:rsidP="00D9487D">
      <w:pPr>
        <w:spacing w:line="240" w:lineRule="auto"/>
        <w:jc w:val="both"/>
        <w:rPr>
          <w:rFonts w:ascii="Palatino Linotype" w:hAnsi="Palatino Linotype"/>
          <w:sz w:val="22"/>
          <w:szCs w:val="22"/>
        </w:rPr>
      </w:pPr>
    </w:p>
    <w:p w:rsidR="00375AE6" w:rsidRDefault="00375AE6" w:rsidP="00D9487D">
      <w:pPr>
        <w:spacing w:line="240" w:lineRule="auto"/>
        <w:jc w:val="both"/>
        <w:rPr>
          <w:rFonts w:ascii="Palatino Linotype" w:hAnsi="Palatino Linotype"/>
          <w:bCs/>
          <w:sz w:val="22"/>
          <w:szCs w:val="22"/>
        </w:rPr>
      </w:pPr>
      <w:r w:rsidRPr="00D237D1">
        <w:rPr>
          <w:rFonts w:ascii="Palatino Linotype" w:hAnsi="Palatino Linotype"/>
          <w:sz w:val="22"/>
          <w:szCs w:val="22"/>
        </w:rPr>
        <w:t>The work on attitudes to STEM subjects in the period up to 2000 is characterised b</w:t>
      </w:r>
      <w:r w:rsidR="00D237D1" w:rsidRPr="00D237D1">
        <w:rPr>
          <w:rFonts w:ascii="Palatino Linotype" w:hAnsi="Palatino Linotype"/>
          <w:sz w:val="22"/>
          <w:szCs w:val="22"/>
        </w:rPr>
        <w:t xml:space="preserve">y a number of </w:t>
      </w:r>
      <w:r w:rsidR="00B40E75">
        <w:rPr>
          <w:rFonts w:ascii="Palatino Linotype" w:hAnsi="Palatino Linotype"/>
          <w:sz w:val="22"/>
          <w:szCs w:val="22"/>
        </w:rPr>
        <w:t>methodological and substantive f</w:t>
      </w:r>
      <w:r w:rsidR="00D237D1" w:rsidRPr="00D237D1">
        <w:rPr>
          <w:rFonts w:ascii="Palatino Linotype" w:hAnsi="Palatino Linotype"/>
          <w:sz w:val="22"/>
          <w:szCs w:val="22"/>
        </w:rPr>
        <w:t>eatures</w:t>
      </w:r>
      <w:r w:rsidR="00F53CE5">
        <w:rPr>
          <w:rFonts w:ascii="Palatino Linotype" w:hAnsi="Palatino Linotype"/>
          <w:sz w:val="22"/>
          <w:szCs w:val="22"/>
        </w:rPr>
        <w:t xml:space="preserve">.  </w:t>
      </w:r>
      <w:r w:rsidR="002849DA">
        <w:rPr>
          <w:rFonts w:ascii="Palatino Linotype" w:hAnsi="Palatino Linotype"/>
          <w:sz w:val="22"/>
          <w:szCs w:val="22"/>
        </w:rPr>
        <w:t>For science, p</w:t>
      </w:r>
      <w:r w:rsidR="00FF414C">
        <w:rPr>
          <w:rFonts w:ascii="Palatino Linotype" w:hAnsi="Palatino Linotype"/>
          <w:sz w:val="22"/>
          <w:szCs w:val="22"/>
        </w:rPr>
        <w:t>ersist</w:t>
      </w:r>
      <w:r w:rsidR="002849DA">
        <w:rPr>
          <w:rFonts w:ascii="Palatino Linotype" w:hAnsi="Palatino Linotype"/>
          <w:sz w:val="22"/>
          <w:szCs w:val="22"/>
        </w:rPr>
        <w:t>ing</w:t>
      </w:r>
      <w:r w:rsidR="00FF414C">
        <w:rPr>
          <w:rFonts w:ascii="Palatino Linotype" w:hAnsi="Palatino Linotype"/>
          <w:sz w:val="22"/>
          <w:szCs w:val="22"/>
        </w:rPr>
        <w:t xml:space="preserve"> concerns</w:t>
      </w:r>
      <w:r w:rsidR="00D237D1" w:rsidRPr="00D237D1">
        <w:rPr>
          <w:rFonts w:ascii="Palatino Linotype" w:hAnsi="Palatino Linotype"/>
          <w:sz w:val="22"/>
          <w:szCs w:val="22"/>
        </w:rPr>
        <w:t xml:space="preserve"> </w:t>
      </w:r>
      <w:r w:rsidR="002849DA">
        <w:rPr>
          <w:rFonts w:ascii="Palatino Linotype" w:hAnsi="Palatino Linotype"/>
          <w:sz w:val="22"/>
          <w:szCs w:val="22"/>
        </w:rPr>
        <w:t xml:space="preserve">were voiced </w:t>
      </w:r>
      <w:r w:rsidR="00D237D1" w:rsidRPr="00D237D1">
        <w:rPr>
          <w:rFonts w:ascii="Palatino Linotype" w:hAnsi="Palatino Linotype"/>
          <w:sz w:val="22"/>
          <w:szCs w:val="22"/>
        </w:rPr>
        <w:t>over</w:t>
      </w:r>
      <w:r w:rsidR="002849DA">
        <w:rPr>
          <w:rFonts w:ascii="Palatino Linotype" w:hAnsi="Palatino Linotype"/>
          <w:bCs/>
          <w:sz w:val="22"/>
          <w:szCs w:val="22"/>
        </w:rPr>
        <w:t xml:space="preserve"> the quality of the work</w:t>
      </w:r>
      <w:r w:rsidR="006B7A48">
        <w:rPr>
          <w:rFonts w:ascii="Palatino Linotype" w:hAnsi="Palatino Linotype"/>
          <w:bCs/>
          <w:sz w:val="22"/>
          <w:szCs w:val="22"/>
        </w:rPr>
        <w:t xml:space="preserve">: </w:t>
      </w:r>
      <w:r w:rsidR="002849DA">
        <w:rPr>
          <w:rFonts w:ascii="Palatino Linotype" w:hAnsi="Palatino Linotype"/>
          <w:bCs/>
          <w:sz w:val="22"/>
          <w:szCs w:val="22"/>
        </w:rPr>
        <w:t>the</w:t>
      </w:r>
      <w:r w:rsidR="006B7A48">
        <w:rPr>
          <w:rFonts w:ascii="Palatino Linotype" w:hAnsi="Palatino Linotype"/>
          <w:bCs/>
          <w:sz w:val="22"/>
          <w:szCs w:val="22"/>
        </w:rPr>
        <w:t>re was a</w:t>
      </w:r>
      <w:r w:rsidR="002849DA">
        <w:rPr>
          <w:rFonts w:ascii="Palatino Linotype" w:hAnsi="Palatino Linotype"/>
          <w:bCs/>
          <w:sz w:val="22"/>
          <w:szCs w:val="22"/>
        </w:rPr>
        <w:t xml:space="preserve"> </w:t>
      </w:r>
      <w:r w:rsidR="00B40E75">
        <w:rPr>
          <w:rFonts w:ascii="Palatino Linotype" w:hAnsi="Palatino Linotype"/>
          <w:bCs/>
          <w:sz w:val="22"/>
          <w:szCs w:val="22"/>
        </w:rPr>
        <w:t>preponderance</w:t>
      </w:r>
      <w:r w:rsidR="00D237D1" w:rsidRPr="00D237D1">
        <w:rPr>
          <w:rFonts w:ascii="Palatino Linotype" w:hAnsi="Palatino Linotype"/>
          <w:bCs/>
          <w:sz w:val="22"/>
          <w:szCs w:val="22"/>
        </w:rPr>
        <w:t xml:space="preserve"> of small-scale</w:t>
      </w:r>
      <w:r w:rsidR="002849DA">
        <w:rPr>
          <w:rFonts w:ascii="Palatino Linotype" w:hAnsi="Palatino Linotype"/>
          <w:bCs/>
          <w:sz w:val="22"/>
          <w:szCs w:val="22"/>
        </w:rPr>
        <w:t>,</w:t>
      </w:r>
      <w:r w:rsidR="00D237D1" w:rsidRPr="00D237D1">
        <w:rPr>
          <w:rFonts w:ascii="Palatino Linotype" w:hAnsi="Palatino Linotype"/>
          <w:bCs/>
          <w:sz w:val="22"/>
          <w:szCs w:val="22"/>
        </w:rPr>
        <w:t xml:space="preserve"> </w:t>
      </w:r>
      <w:r w:rsidR="00C97F37" w:rsidRPr="00D237D1">
        <w:rPr>
          <w:rFonts w:ascii="Palatino Linotype" w:hAnsi="Palatino Linotype"/>
          <w:bCs/>
          <w:sz w:val="22"/>
          <w:szCs w:val="22"/>
        </w:rPr>
        <w:t xml:space="preserve">‘one-shot’ </w:t>
      </w:r>
      <w:r w:rsidR="00D237D1" w:rsidRPr="00D237D1">
        <w:rPr>
          <w:rFonts w:ascii="Palatino Linotype" w:hAnsi="Palatino Linotype"/>
          <w:bCs/>
          <w:sz w:val="22"/>
          <w:szCs w:val="22"/>
        </w:rPr>
        <w:t>studies,</w:t>
      </w:r>
      <w:r w:rsidR="006B7A48">
        <w:rPr>
          <w:rFonts w:ascii="Palatino Linotype" w:hAnsi="Palatino Linotype"/>
          <w:bCs/>
          <w:sz w:val="22"/>
          <w:szCs w:val="22"/>
        </w:rPr>
        <w:t xml:space="preserve"> leading to a plethora of instruments for assessing attitudes, many with</w:t>
      </w:r>
      <w:r w:rsidR="00D237D1" w:rsidRPr="00D237D1">
        <w:rPr>
          <w:rFonts w:ascii="Palatino Linotype" w:hAnsi="Palatino Linotype"/>
          <w:bCs/>
          <w:sz w:val="22"/>
          <w:szCs w:val="22"/>
        </w:rPr>
        <w:t xml:space="preserve"> weaknesses in the</w:t>
      </w:r>
      <w:r w:rsidR="006B7A48">
        <w:rPr>
          <w:rFonts w:ascii="Palatino Linotype" w:hAnsi="Palatino Linotype"/>
          <w:bCs/>
          <w:sz w:val="22"/>
          <w:szCs w:val="22"/>
        </w:rPr>
        <w:t>ir</w:t>
      </w:r>
      <w:r w:rsidR="00D237D1" w:rsidRPr="00D237D1">
        <w:rPr>
          <w:rFonts w:ascii="Palatino Linotype" w:hAnsi="Palatino Linotype"/>
          <w:bCs/>
          <w:sz w:val="22"/>
          <w:szCs w:val="22"/>
        </w:rPr>
        <w:t xml:space="preserve"> </w:t>
      </w:r>
      <w:r w:rsidR="005A3335">
        <w:rPr>
          <w:rFonts w:ascii="Palatino Linotype" w:hAnsi="Palatino Linotype"/>
          <w:bCs/>
          <w:sz w:val="22"/>
          <w:szCs w:val="22"/>
        </w:rPr>
        <w:t>r</w:t>
      </w:r>
      <w:r w:rsidR="006B7A48">
        <w:rPr>
          <w:rFonts w:ascii="Palatino Linotype" w:hAnsi="Palatino Linotype"/>
          <w:bCs/>
          <w:sz w:val="22"/>
          <w:szCs w:val="22"/>
        </w:rPr>
        <w:t>eliability</w:t>
      </w:r>
      <w:r w:rsidR="00D90C4D">
        <w:rPr>
          <w:rFonts w:ascii="Palatino Linotype" w:hAnsi="Palatino Linotype"/>
          <w:bCs/>
          <w:sz w:val="22"/>
          <w:szCs w:val="22"/>
        </w:rPr>
        <w:t xml:space="preserve"> and validity, and an absence of psychometric underpinning</w:t>
      </w:r>
      <w:r w:rsidR="006B7A48">
        <w:rPr>
          <w:rFonts w:ascii="Palatino Linotype" w:hAnsi="Palatino Linotype"/>
          <w:bCs/>
          <w:sz w:val="22"/>
          <w:szCs w:val="22"/>
        </w:rPr>
        <w:t xml:space="preserve">, making comparisons between studies and meta-analysis very difficult </w:t>
      </w:r>
      <w:r w:rsidR="005A3335">
        <w:rPr>
          <w:rFonts w:ascii="Palatino Linotype" w:hAnsi="Palatino Linotype"/>
          <w:bCs/>
          <w:sz w:val="22"/>
          <w:szCs w:val="22"/>
        </w:rPr>
        <w:t>(</w:t>
      </w:r>
      <w:r w:rsidR="00383CB1">
        <w:rPr>
          <w:rFonts w:ascii="Palatino Linotype" w:hAnsi="Palatino Linotype"/>
          <w:bCs/>
          <w:sz w:val="22"/>
          <w:szCs w:val="22"/>
        </w:rPr>
        <w:t>see, for example,</w:t>
      </w:r>
      <w:r w:rsidR="00D90C4D">
        <w:rPr>
          <w:rFonts w:ascii="Palatino Linotype" w:hAnsi="Palatino Linotype"/>
          <w:bCs/>
          <w:sz w:val="22"/>
          <w:szCs w:val="22"/>
        </w:rPr>
        <w:t xml:space="preserve"> Gardner, 1975;</w:t>
      </w:r>
      <w:r w:rsidR="005A3335">
        <w:rPr>
          <w:rFonts w:ascii="Palatino Linotype" w:hAnsi="Palatino Linotype"/>
          <w:bCs/>
          <w:sz w:val="22"/>
          <w:szCs w:val="22"/>
        </w:rPr>
        <w:t xml:space="preserve"> Scibecci</w:t>
      </w:r>
      <w:r w:rsidR="00F435FA">
        <w:rPr>
          <w:rFonts w:ascii="Palatino Linotype" w:hAnsi="Palatino Linotype"/>
          <w:bCs/>
          <w:sz w:val="22"/>
          <w:szCs w:val="22"/>
        </w:rPr>
        <w:t xml:space="preserve">, </w:t>
      </w:r>
      <w:r w:rsidR="00D90C4D">
        <w:rPr>
          <w:rFonts w:ascii="Palatino Linotype" w:hAnsi="Palatino Linotype"/>
          <w:bCs/>
          <w:sz w:val="22"/>
          <w:szCs w:val="22"/>
        </w:rPr>
        <w:t>1984;</w:t>
      </w:r>
      <w:r w:rsidR="005A3335">
        <w:rPr>
          <w:rFonts w:ascii="Palatino Linotype" w:hAnsi="Palatino Linotype"/>
          <w:bCs/>
          <w:sz w:val="22"/>
          <w:szCs w:val="22"/>
        </w:rPr>
        <w:t xml:space="preserve"> Ramsden, 1988)</w:t>
      </w:r>
      <w:r w:rsidR="00F53CE5">
        <w:rPr>
          <w:rFonts w:ascii="Palatino Linotype" w:hAnsi="Palatino Linotype"/>
          <w:bCs/>
          <w:sz w:val="22"/>
          <w:szCs w:val="22"/>
        </w:rPr>
        <w:t xml:space="preserve">.  </w:t>
      </w:r>
      <w:r w:rsidR="008606C1">
        <w:rPr>
          <w:rFonts w:ascii="Palatino Linotype" w:hAnsi="Palatino Linotype"/>
          <w:bCs/>
          <w:sz w:val="22"/>
          <w:szCs w:val="22"/>
        </w:rPr>
        <w:t>Despite these shortcomings</w:t>
      </w:r>
      <w:r w:rsidR="002849DA">
        <w:rPr>
          <w:rFonts w:ascii="Palatino Linotype" w:hAnsi="Palatino Linotype"/>
          <w:bCs/>
          <w:sz w:val="22"/>
          <w:szCs w:val="22"/>
        </w:rPr>
        <w:t xml:space="preserve">, a number of consistent messages </w:t>
      </w:r>
      <w:r w:rsidR="00D237D1" w:rsidRPr="00D237D1">
        <w:rPr>
          <w:rFonts w:ascii="Palatino Linotype" w:hAnsi="Palatino Linotype"/>
          <w:bCs/>
          <w:sz w:val="22"/>
          <w:szCs w:val="22"/>
        </w:rPr>
        <w:t>emerged from the work</w:t>
      </w:r>
      <w:r w:rsidR="00F53CE5">
        <w:rPr>
          <w:rFonts w:ascii="Palatino Linotype" w:hAnsi="Palatino Linotype"/>
          <w:bCs/>
          <w:sz w:val="22"/>
          <w:szCs w:val="22"/>
        </w:rPr>
        <w:t xml:space="preserve">.  </w:t>
      </w:r>
      <w:r w:rsidR="00D237D1" w:rsidRPr="00D237D1">
        <w:rPr>
          <w:rFonts w:ascii="Palatino Linotype" w:hAnsi="Palatino Linotype"/>
          <w:bCs/>
          <w:sz w:val="22"/>
          <w:szCs w:val="22"/>
        </w:rPr>
        <w:t xml:space="preserve">Many students were negatively disposed towards </w:t>
      </w:r>
      <w:r w:rsidR="00BC353A">
        <w:rPr>
          <w:rFonts w:ascii="Palatino Linotype" w:hAnsi="Palatino Linotype"/>
          <w:bCs/>
          <w:sz w:val="22"/>
          <w:szCs w:val="22"/>
        </w:rPr>
        <w:t>science and mathematics</w:t>
      </w:r>
      <w:r w:rsidR="00D237D1" w:rsidRPr="00D237D1">
        <w:rPr>
          <w:rFonts w:ascii="Palatino Linotype" w:hAnsi="Palatino Linotype"/>
          <w:bCs/>
          <w:sz w:val="22"/>
          <w:szCs w:val="22"/>
        </w:rPr>
        <w:t xml:space="preserve"> subjects, with attitudes declining over the period of secondary schooling, and female </w:t>
      </w:r>
      <w:r w:rsidR="00DE542E">
        <w:rPr>
          <w:rFonts w:ascii="Palatino Linotype" w:hAnsi="Palatino Linotype"/>
          <w:bCs/>
          <w:sz w:val="22"/>
          <w:szCs w:val="22"/>
        </w:rPr>
        <w:t>student</w:t>
      </w:r>
      <w:r w:rsidR="00D237D1" w:rsidRPr="00D237D1">
        <w:rPr>
          <w:rFonts w:ascii="Palatino Linotype" w:hAnsi="Palatino Linotype"/>
          <w:bCs/>
          <w:sz w:val="22"/>
          <w:szCs w:val="22"/>
        </w:rPr>
        <w:t xml:space="preserve">s being less positively disposed than male </w:t>
      </w:r>
      <w:r w:rsidR="00DE542E">
        <w:rPr>
          <w:rFonts w:ascii="Palatino Linotype" w:hAnsi="Palatino Linotype"/>
          <w:bCs/>
          <w:sz w:val="22"/>
          <w:szCs w:val="22"/>
        </w:rPr>
        <w:t>student</w:t>
      </w:r>
      <w:r w:rsidR="00D237D1" w:rsidRPr="00D237D1">
        <w:rPr>
          <w:rFonts w:ascii="Palatino Linotype" w:hAnsi="Palatino Linotype"/>
          <w:bCs/>
          <w:sz w:val="22"/>
          <w:szCs w:val="22"/>
        </w:rPr>
        <w:t>s towards mathematics and, in particular, science</w:t>
      </w:r>
      <w:r w:rsidR="00F53CE5">
        <w:rPr>
          <w:rFonts w:ascii="Palatino Linotype" w:hAnsi="Palatino Linotype"/>
          <w:bCs/>
          <w:sz w:val="22"/>
          <w:szCs w:val="22"/>
        </w:rPr>
        <w:t xml:space="preserve">.  </w:t>
      </w:r>
      <w:r w:rsidR="00D237D1" w:rsidRPr="00D237D1">
        <w:rPr>
          <w:rFonts w:ascii="Palatino Linotype" w:hAnsi="Palatino Linotype"/>
          <w:bCs/>
          <w:sz w:val="22"/>
          <w:szCs w:val="22"/>
        </w:rPr>
        <w:t>In science, biological sciences were viewed more positive</w:t>
      </w:r>
      <w:r w:rsidR="002849DA">
        <w:rPr>
          <w:rFonts w:ascii="Palatino Linotype" w:hAnsi="Palatino Linotype"/>
          <w:bCs/>
          <w:sz w:val="22"/>
          <w:szCs w:val="22"/>
        </w:rPr>
        <w:t>ly than physical sciences</w:t>
      </w:r>
      <w:r w:rsidR="00F53CE5">
        <w:rPr>
          <w:rFonts w:ascii="Palatino Linotype" w:hAnsi="Palatino Linotype"/>
          <w:bCs/>
          <w:sz w:val="22"/>
          <w:szCs w:val="22"/>
        </w:rPr>
        <w:t xml:space="preserve">.  </w:t>
      </w:r>
      <w:r w:rsidR="002849DA">
        <w:rPr>
          <w:rFonts w:ascii="Palatino Linotype" w:hAnsi="Palatino Linotype"/>
          <w:bCs/>
          <w:sz w:val="22"/>
          <w:szCs w:val="22"/>
        </w:rPr>
        <w:t>S</w:t>
      </w:r>
      <w:r w:rsidR="00D237D1" w:rsidRPr="00D237D1">
        <w:rPr>
          <w:rFonts w:ascii="Palatino Linotype" w:hAnsi="Palatino Linotype"/>
          <w:bCs/>
          <w:sz w:val="22"/>
          <w:szCs w:val="22"/>
        </w:rPr>
        <w:t>cience and scientists were not viewed very positively, but the products of science and technology were valued</w:t>
      </w:r>
      <w:r w:rsidR="00F53CE5">
        <w:rPr>
          <w:rFonts w:ascii="Palatino Linotype" w:hAnsi="Palatino Linotype"/>
          <w:bCs/>
          <w:sz w:val="22"/>
          <w:szCs w:val="22"/>
        </w:rPr>
        <w:t xml:space="preserve">.  </w:t>
      </w:r>
      <w:r w:rsidR="006B7A48">
        <w:rPr>
          <w:rFonts w:ascii="Palatino Linotype" w:hAnsi="Palatino Linotype"/>
          <w:bCs/>
          <w:sz w:val="22"/>
          <w:szCs w:val="22"/>
        </w:rPr>
        <w:t>Attitudes</w:t>
      </w:r>
      <w:r w:rsidR="00D237D1" w:rsidRPr="00D237D1">
        <w:rPr>
          <w:rFonts w:ascii="Palatino Linotype" w:hAnsi="Palatino Linotype"/>
          <w:bCs/>
          <w:sz w:val="22"/>
          <w:szCs w:val="22"/>
        </w:rPr>
        <w:t xml:space="preserve"> to science beyond school were more positive than science within school</w:t>
      </w:r>
      <w:r w:rsidR="00F53CE5">
        <w:rPr>
          <w:rFonts w:ascii="Palatino Linotype" w:hAnsi="Palatino Linotype"/>
          <w:bCs/>
          <w:sz w:val="22"/>
          <w:szCs w:val="22"/>
        </w:rPr>
        <w:t xml:space="preserve">.  </w:t>
      </w:r>
      <w:r w:rsidR="006B7A48">
        <w:rPr>
          <w:rFonts w:ascii="Palatino Linotype" w:hAnsi="Palatino Linotype"/>
          <w:bCs/>
          <w:sz w:val="22"/>
          <w:szCs w:val="22"/>
        </w:rPr>
        <w:t xml:space="preserve">In a similar vein, </w:t>
      </w:r>
      <w:r w:rsidR="006F26C1">
        <w:rPr>
          <w:rFonts w:ascii="Palatino Linotype" w:hAnsi="Palatino Linotype"/>
          <w:bCs/>
          <w:sz w:val="22"/>
          <w:szCs w:val="22"/>
        </w:rPr>
        <w:t>concerns have also been raised about the quality of instruments used to assess attitudes to mathematics (see, for example,</w:t>
      </w:r>
      <w:r w:rsidR="00915503">
        <w:rPr>
          <w:rFonts w:ascii="Palatino Linotype" w:hAnsi="Palatino Linotype"/>
          <w:bCs/>
          <w:sz w:val="22"/>
          <w:szCs w:val="22"/>
        </w:rPr>
        <w:t xml:space="preserve"> </w:t>
      </w:r>
      <w:r w:rsidR="006F26C1">
        <w:rPr>
          <w:rFonts w:ascii="Palatino Linotype" w:hAnsi="Palatino Linotype"/>
          <w:bCs/>
          <w:sz w:val="22"/>
          <w:szCs w:val="22"/>
        </w:rPr>
        <w:t>the review</w:t>
      </w:r>
      <w:r w:rsidR="00915503">
        <w:rPr>
          <w:rFonts w:ascii="Palatino Linotype" w:hAnsi="Palatino Linotype"/>
          <w:bCs/>
          <w:sz w:val="22"/>
          <w:szCs w:val="22"/>
        </w:rPr>
        <w:t>s</w:t>
      </w:r>
      <w:r w:rsidR="006F26C1">
        <w:rPr>
          <w:rFonts w:ascii="Palatino Linotype" w:hAnsi="Palatino Linotype"/>
          <w:bCs/>
          <w:sz w:val="22"/>
          <w:szCs w:val="22"/>
        </w:rPr>
        <w:t xml:space="preserve"> of Zan </w:t>
      </w:r>
      <w:r w:rsidR="006F26C1" w:rsidRPr="006F26C1">
        <w:rPr>
          <w:rFonts w:ascii="Palatino Linotype" w:hAnsi="Palatino Linotype"/>
          <w:bCs/>
          <w:i/>
          <w:sz w:val="22"/>
          <w:szCs w:val="22"/>
        </w:rPr>
        <w:t>et al</w:t>
      </w:r>
      <w:r w:rsidR="006F26C1">
        <w:rPr>
          <w:rFonts w:ascii="Palatino Linotype" w:hAnsi="Palatino Linotype"/>
          <w:bCs/>
          <w:sz w:val="22"/>
          <w:szCs w:val="22"/>
        </w:rPr>
        <w:t>., 2006</w:t>
      </w:r>
      <w:r w:rsidR="00915503">
        <w:rPr>
          <w:rFonts w:ascii="Palatino Linotype" w:hAnsi="Palatino Linotype"/>
          <w:bCs/>
          <w:sz w:val="22"/>
          <w:szCs w:val="22"/>
        </w:rPr>
        <w:t xml:space="preserve"> and Larsen, 2013</w:t>
      </w:r>
      <w:r w:rsidR="006F26C1">
        <w:rPr>
          <w:rFonts w:ascii="Palatino Linotype" w:hAnsi="Palatino Linotype"/>
          <w:bCs/>
          <w:sz w:val="22"/>
          <w:szCs w:val="22"/>
        </w:rPr>
        <w:t>)</w:t>
      </w:r>
      <w:r w:rsidR="00F53CE5">
        <w:rPr>
          <w:rFonts w:ascii="Palatino Linotype" w:hAnsi="Palatino Linotype"/>
          <w:bCs/>
          <w:sz w:val="22"/>
          <w:szCs w:val="22"/>
        </w:rPr>
        <w:t xml:space="preserve">.  </w:t>
      </w:r>
      <w:proofErr w:type="gramStart"/>
      <w:r w:rsidR="006F26C1">
        <w:rPr>
          <w:rFonts w:ascii="Palatino Linotype" w:hAnsi="Palatino Linotype"/>
          <w:bCs/>
          <w:sz w:val="22"/>
          <w:szCs w:val="22"/>
        </w:rPr>
        <w:t>As with science</w:t>
      </w:r>
      <w:r w:rsidR="00F34389">
        <w:rPr>
          <w:rFonts w:ascii="Palatino Linotype" w:hAnsi="Palatino Linotype"/>
          <w:bCs/>
          <w:sz w:val="22"/>
          <w:szCs w:val="22"/>
        </w:rPr>
        <w:t>,</w:t>
      </w:r>
      <w:r w:rsidR="006F26C1">
        <w:rPr>
          <w:rFonts w:ascii="Palatino Linotype" w:hAnsi="Palatino Linotype"/>
          <w:bCs/>
          <w:sz w:val="22"/>
          <w:szCs w:val="22"/>
        </w:rPr>
        <w:t xml:space="preserve"> </w:t>
      </w:r>
      <w:r w:rsidR="00D237D1" w:rsidRPr="00D237D1">
        <w:rPr>
          <w:rFonts w:ascii="Palatino Linotype" w:hAnsi="Palatino Linotype"/>
          <w:bCs/>
          <w:sz w:val="22"/>
          <w:szCs w:val="22"/>
        </w:rPr>
        <w:t xml:space="preserve">attitudes to mathematics were not very positive, </w:t>
      </w:r>
      <w:r w:rsidR="006B7A48">
        <w:rPr>
          <w:rFonts w:ascii="Palatino Linotype" w:hAnsi="Palatino Linotype"/>
          <w:bCs/>
          <w:sz w:val="22"/>
          <w:szCs w:val="22"/>
        </w:rPr>
        <w:t>though</w:t>
      </w:r>
      <w:r w:rsidR="006F26C1">
        <w:rPr>
          <w:rFonts w:ascii="Palatino Linotype" w:hAnsi="Palatino Linotype"/>
          <w:bCs/>
          <w:sz w:val="22"/>
          <w:szCs w:val="22"/>
        </w:rPr>
        <w:t xml:space="preserve"> </w:t>
      </w:r>
      <w:r w:rsidR="00D237D1" w:rsidRPr="00D237D1">
        <w:rPr>
          <w:rFonts w:ascii="Palatino Linotype" w:hAnsi="Palatino Linotype"/>
          <w:bCs/>
          <w:sz w:val="22"/>
          <w:szCs w:val="22"/>
        </w:rPr>
        <w:t xml:space="preserve">mathematics </w:t>
      </w:r>
      <w:r w:rsidR="00B40D45">
        <w:rPr>
          <w:rFonts w:ascii="Palatino Linotype" w:hAnsi="Palatino Linotype"/>
          <w:bCs/>
          <w:sz w:val="22"/>
          <w:szCs w:val="22"/>
        </w:rPr>
        <w:t>as a subject was seen as</w:t>
      </w:r>
      <w:r w:rsidR="00DE2426">
        <w:rPr>
          <w:rFonts w:ascii="Palatino Linotype" w:hAnsi="Palatino Linotype"/>
          <w:bCs/>
          <w:sz w:val="22"/>
          <w:szCs w:val="22"/>
        </w:rPr>
        <w:t xml:space="preserve"> </w:t>
      </w:r>
      <w:r w:rsidR="00B40D45">
        <w:rPr>
          <w:rFonts w:ascii="Palatino Linotype" w:hAnsi="Palatino Linotype"/>
          <w:bCs/>
          <w:sz w:val="22"/>
          <w:szCs w:val="22"/>
        </w:rPr>
        <w:t>having</w:t>
      </w:r>
      <w:r w:rsidR="006F26C1">
        <w:rPr>
          <w:rFonts w:ascii="Palatino Linotype" w:hAnsi="Palatino Linotype"/>
          <w:bCs/>
          <w:sz w:val="22"/>
          <w:szCs w:val="22"/>
        </w:rPr>
        <w:t xml:space="preserve"> high </w:t>
      </w:r>
      <w:r w:rsidR="00D237D1" w:rsidRPr="00D237D1">
        <w:rPr>
          <w:rFonts w:ascii="Palatino Linotype" w:hAnsi="Palatino Linotype"/>
          <w:bCs/>
          <w:sz w:val="22"/>
          <w:szCs w:val="22"/>
        </w:rPr>
        <w:t>value as a qualification.</w:t>
      </w:r>
      <w:proofErr w:type="gramEnd"/>
    </w:p>
    <w:p w:rsidR="00375AE6" w:rsidRDefault="00375AE6" w:rsidP="00D9487D">
      <w:pPr>
        <w:tabs>
          <w:tab w:val="clear" w:pos="567"/>
          <w:tab w:val="left" w:pos="720"/>
        </w:tabs>
        <w:spacing w:line="240" w:lineRule="auto"/>
        <w:jc w:val="both"/>
        <w:rPr>
          <w:rFonts w:ascii="Palatino Linotype" w:hAnsi="Palatino Linotype"/>
          <w:sz w:val="22"/>
          <w:szCs w:val="22"/>
        </w:rPr>
      </w:pPr>
    </w:p>
    <w:p w:rsidR="00AD1523" w:rsidRDefault="00AD1523">
      <w:pPr>
        <w:tabs>
          <w:tab w:val="clear" w:pos="567"/>
        </w:tabs>
        <w:overflowPunct/>
        <w:autoSpaceDE/>
        <w:autoSpaceDN/>
        <w:adjustRightInd/>
        <w:spacing w:after="200" w:line="276" w:lineRule="auto"/>
        <w:rPr>
          <w:rFonts w:ascii="Palatino Linotype" w:hAnsi="Palatino Linotype"/>
          <w:b/>
          <w:color w:val="1F497D" w:themeColor="text2"/>
          <w:sz w:val="28"/>
          <w:szCs w:val="22"/>
        </w:rPr>
      </w:pPr>
      <w:r>
        <w:rPr>
          <w:rFonts w:ascii="Palatino Linotype" w:hAnsi="Palatino Linotype"/>
          <w:b/>
          <w:color w:val="1F497D" w:themeColor="text2"/>
          <w:sz w:val="28"/>
          <w:szCs w:val="22"/>
        </w:rPr>
        <w:br w:type="page"/>
      </w:r>
    </w:p>
    <w:p w:rsidR="00375AE6" w:rsidRPr="00F8159F" w:rsidRDefault="00ED1292" w:rsidP="00D9487D">
      <w:pPr>
        <w:tabs>
          <w:tab w:val="clear" w:pos="567"/>
          <w:tab w:val="left" w:pos="720"/>
        </w:tabs>
        <w:spacing w:line="240" w:lineRule="auto"/>
        <w:jc w:val="both"/>
        <w:rPr>
          <w:rFonts w:ascii="Palatino Linotype" w:hAnsi="Palatino Linotype"/>
          <w:b/>
          <w:color w:val="1F497D" w:themeColor="text2"/>
          <w:sz w:val="28"/>
          <w:szCs w:val="22"/>
        </w:rPr>
      </w:pPr>
      <w:r w:rsidRPr="00F8159F">
        <w:rPr>
          <w:rFonts w:ascii="Palatino Linotype" w:hAnsi="Palatino Linotype"/>
          <w:b/>
          <w:color w:val="1F497D" w:themeColor="text2"/>
          <w:sz w:val="28"/>
          <w:szCs w:val="22"/>
        </w:rPr>
        <w:lastRenderedPageBreak/>
        <w:t>2</w:t>
      </w:r>
      <w:r w:rsidR="00375AE6" w:rsidRPr="00F8159F">
        <w:rPr>
          <w:rFonts w:ascii="Palatino Linotype" w:hAnsi="Palatino Linotype"/>
          <w:b/>
          <w:color w:val="1F497D" w:themeColor="text2"/>
          <w:sz w:val="28"/>
          <w:szCs w:val="22"/>
        </w:rPr>
        <w:tab/>
        <w:t>The scope</w:t>
      </w:r>
      <w:r w:rsidR="00D601FD" w:rsidRPr="00F8159F">
        <w:rPr>
          <w:rFonts w:ascii="Palatino Linotype" w:hAnsi="Palatino Linotype"/>
          <w:b/>
          <w:color w:val="1F497D" w:themeColor="text2"/>
          <w:sz w:val="28"/>
          <w:szCs w:val="22"/>
        </w:rPr>
        <w:t>, methods</w:t>
      </w:r>
      <w:r w:rsidR="00375AE6" w:rsidRPr="00F8159F">
        <w:rPr>
          <w:rFonts w:ascii="Palatino Linotype" w:hAnsi="Palatino Linotype"/>
          <w:b/>
          <w:color w:val="1F497D" w:themeColor="text2"/>
          <w:sz w:val="28"/>
          <w:szCs w:val="22"/>
        </w:rPr>
        <w:t xml:space="preserve"> </w:t>
      </w:r>
      <w:r w:rsidR="00B40E75" w:rsidRPr="00F8159F">
        <w:rPr>
          <w:rFonts w:ascii="Palatino Linotype" w:hAnsi="Palatino Linotype"/>
          <w:b/>
          <w:color w:val="1F497D" w:themeColor="text2"/>
          <w:sz w:val="28"/>
          <w:szCs w:val="22"/>
        </w:rPr>
        <w:t xml:space="preserve">and structure </w:t>
      </w:r>
      <w:r w:rsidR="00375AE6" w:rsidRPr="00F8159F">
        <w:rPr>
          <w:rFonts w:ascii="Palatino Linotype" w:hAnsi="Palatino Linotype"/>
          <w:b/>
          <w:color w:val="1F497D" w:themeColor="text2"/>
          <w:sz w:val="28"/>
          <w:szCs w:val="22"/>
        </w:rPr>
        <w:t>of the literature review</w:t>
      </w:r>
    </w:p>
    <w:p w:rsidR="00375AE6" w:rsidRDefault="00375AE6" w:rsidP="00D9487D">
      <w:pPr>
        <w:tabs>
          <w:tab w:val="clear" w:pos="567"/>
          <w:tab w:val="left" w:pos="720"/>
        </w:tabs>
        <w:spacing w:line="240" w:lineRule="auto"/>
        <w:jc w:val="both"/>
        <w:rPr>
          <w:rFonts w:ascii="Palatino Linotype" w:hAnsi="Palatino Linotype"/>
          <w:sz w:val="22"/>
          <w:szCs w:val="22"/>
        </w:rPr>
      </w:pPr>
    </w:p>
    <w:p w:rsidR="00D33383" w:rsidRPr="00F8159F" w:rsidRDefault="00D33383" w:rsidP="00D9487D">
      <w:pPr>
        <w:tabs>
          <w:tab w:val="clear" w:pos="567"/>
          <w:tab w:val="left" w:pos="720"/>
        </w:tabs>
        <w:spacing w:line="240" w:lineRule="auto"/>
        <w:jc w:val="both"/>
        <w:rPr>
          <w:rFonts w:ascii="Palatino Linotype" w:hAnsi="Palatino Linotype"/>
          <w:b/>
          <w:sz w:val="22"/>
          <w:szCs w:val="22"/>
        </w:rPr>
      </w:pPr>
      <w:r w:rsidRPr="00F8159F">
        <w:rPr>
          <w:rFonts w:ascii="Palatino Linotype" w:hAnsi="Palatino Linotype"/>
          <w:b/>
          <w:sz w:val="22"/>
          <w:szCs w:val="22"/>
        </w:rPr>
        <w:t>2.1</w:t>
      </w:r>
      <w:r w:rsidRPr="00F8159F">
        <w:rPr>
          <w:rFonts w:ascii="Palatino Linotype" w:hAnsi="Palatino Linotype"/>
          <w:b/>
          <w:sz w:val="22"/>
          <w:szCs w:val="22"/>
        </w:rPr>
        <w:tab/>
        <w:t>The scope of the review</w:t>
      </w:r>
    </w:p>
    <w:p w:rsidR="00D33383" w:rsidRPr="00375AE6" w:rsidRDefault="00D33383" w:rsidP="00D9487D">
      <w:pPr>
        <w:tabs>
          <w:tab w:val="clear" w:pos="567"/>
          <w:tab w:val="left" w:pos="720"/>
        </w:tabs>
        <w:spacing w:line="240" w:lineRule="auto"/>
        <w:jc w:val="both"/>
        <w:rPr>
          <w:rFonts w:ascii="Palatino Linotype" w:hAnsi="Palatino Linotype"/>
          <w:sz w:val="22"/>
          <w:szCs w:val="22"/>
        </w:rPr>
      </w:pPr>
    </w:p>
    <w:p w:rsidR="005B3142" w:rsidRPr="005B3142" w:rsidRDefault="005B3142" w:rsidP="00D9487D">
      <w:pPr>
        <w:tabs>
          <w:tab w:val="clear" w:pos="567"/>
          <w:tab w:val="left" w:pos="720"/>
        </w:tabs>
        <w:spacing w:line="240" w:lineRule="auto"/>
        <w:jc w:val="both"/>
        <w:rPr>
          <w:rFonts w:ascii="Palatino Linotype" w:hAnsi="Palatino Linotype"/>
          <w:sz w:val="22"/>
          <w:szCs w:val="22"/>
        </w:rPr>
      </w:pPr>
      <w:r w:rsidRPr="005B3142">
        <w:rPr>
          <w:rFonts w:ascii="Palatino Linotype" w:hAnsi="Palatino Linotype"/>
          <w:sz w:val="22"/>
          <w:szCs w:val="22"/>
        </w:rPr>
        <w:t xml:space="preserve">The literature review covers the evidence from publications reporting </w:t>
      </w:r>
      <w:r w:rsidR="002621F6">
        <w:rPr>
          <w:rFonts w:ascii="Palatino Linotype" w:hAnsi="Palatino Linotype"/>
          <w:sz w:val="22"/>
          <w:szCs w:val="22"/>
        </w:rPr>
        <w:t xml:space="preserve">the </w:t>
      </w:r>
      <w:r w:rsidRPr="005B3142">
        <w:rPr>
          <w:rFonts w:ascii="Palatino Linotype" w:hAnsi="Palatino Linotype"/>
          <w:sz w:val="22"/>
          <w:szCs w:val="22"/>
        </w:rPr>
        <w:t>findings of studies in the period 2000-2013 that have explored aspects of students’ attitudes, engagement and participation in STEM subjects</w:t>
      </w:r>
      <w:r w:rsidR="00F53CE5">
        <w:rPr>
          <w:rFonts w:ascii="Palatino Linotype" w:hAnsi="Palatino Linotype"/>
          <w:sz w:val="22"/>
          <w:szCs w:val="22"/>
        </w:rPr>
        <w:t xml:space="preserve">.  </w:t>
      </w:r>
      <w:r w:rsidR="002621F6">
        <w:rPr>
          <w:rFonts w:ascii="Palatino Linotype" w:hAnsi="Palatino Linotype"/>
          <w:sz w:val="22"/>
          <w:szCs w:val="22"/>
        </w:rPr>
        <w:t>Restricting the review to studies undertaken since 2000 means that it focuses on the most recent and relevant work</w:t>
      </w:r>
      <w:r w:rsidR="00F53CE5">
        <w:rPr>
          <w:rFonts w:ascii="Palatino Linotype" w:hAnsi="Palatino Linotype"/>
          <w:sz w:val="22"/>
          <w:szCs w:val="22"/>
        </w:rPr>
        <w:t xml:space="preserve">.  </w:t>
      </w:r>
      <w:r w:rsidR="002621F6" w:rsidRPr="002621F6">
        <w:rPr>
          <w:rFonts w:ascii="Palatino Linotype" w:hAnsi="Palatino Linotype"/>
          <w:sz w:val="22"/>
          <w:szCs w:val="22"/>
        </w:rPr>
        <w:t>The studies included are summarised in the Appendix to this review</w:t>
      </w:r>
      <w:r w:rsidR="00F53CE5">
        <w:rPr>
          <w:rFonts w:ascii="Palatino Linotype" w:hAnsi="Palatino Linotype"/>
          <w:sz w:val="22"/>
          <w:szCs w:val="22"/>
        </w:rPr>
        <w:t xml:space="preserve">.  </w:t>
      </w:r>
    </w:p>
    <w:p w:rsidR="004930D9" w:rsidRDefault="004930D9" w:rsidP="00D9487D">
      <w:pPr>
        <w:tabs>
          <w:tab w:val="clear" w:pos="567"/>
          <w:tab w:val="left" w:pos="720"/>
        </w:tabs>
        <w:spacing w:line="240" w:lineRule="auto"/>
        <w:jc w:val="both"/>
        <w:rPr>
          <w:rFonts w:ascii="Palatino Linotype" w:hAnsi="Palatino Linotype"/>
          <w:i/>
          <w:sz w:val="22"/>
          <w:szCs w:val="22"/>
        </w:rPr>
      </w:pPr>
    </w:p>
    <w:p w:rsidR="00D33383" w:rsidRPr="00F8159F" w:rsidRDefault="00D33383" w:rsidP="00D9487D">
      <w:pPr>
        <w:tabs>
          <w:tab w:val="clear" w:pos="567"/>
          <w:tab w:val="left" w:pos="720"/>
        </w:tabs>
        <w:spacing w:line="240" w:lineRule="auto"/>
        <w:jc w:val="both"/>
        <w:rPr>
          <w:rFonts w:ascii="Palatino Linotype" w:hAnsi="Palatino Linotype"/>
          <w:b/>
          <w:sz w:val="22"/>
          <w:szCs w:val="22"/>
        </w:rPr>
      </w:pPr>
      <w:r w:rsidRPr="00F8159F">
        <w:rPr>
          <w:rFonts w:ascii="Palatino Linotype" w:hAnsi="Palatino Linotype"/>
          <w:b/>
          <w:sz w:val="22"/>
          <w:szCs w:val="22"/>
        </w:rPr>
        <w:t>2.2</w:t>
      </w:r>
      <w:r w:rsidRPr="00F8159F">
        <w:rPr>
          <w:rFonts w:ascii="Palatino Linotype" w:hAnsi="Palatino Linotype"/>
          <w:b/>
          <w:sz w:val="22"/>
          <w:szCs w:val="22"/>
        </w:rPr>
        <w:tab/>
        <w:t>The review methods employed</w:t>
      </w:r>
      <w:r w:rsidR="00B05BB6" w:rsidRPr="00F8159F">
        <w:rPr>
          <w:rFonts w:ascii="Palatino Linotype" w:hAnsi="Palatino Linotype"/>
          <w:b/>
          <w:sz w:val="22"/>
          <w:szCs w:val="22"/>
        </w:rPr>
        <w:t xml:space="preserve"> and criteria for inclusion of </w:t>
      </w:r>
      <w:r w:rsidR="0018719B">
        <w:rPr>
          <w:rFonts w:ascii="Palatino Linotype" w:hAnsi="Palatino Linotype"/>
          <w:b/>
          <w:sz w:val="22"/>
          <w:szCs w:val="22"/>
        </w:rPr>
        <w:t xml:space="preserve">empirical </w:t>
      </w:r>
      <w:r w:rsidR="00B05BB6" w:rsidRPr="00F8159F">
        <w:rPr>
          <w:rFonts w:ascii="Palatino Linotype" w:hAnsi="Palatino Linotype"/>
          <w:b/>
          <w:sz w:val="22"/>
          <w:szCs w:val="22"/>
        </w:rPr>
        <w:t>studies</w:t>
      </w:r>
    </w:p>
    <w:p w:rsidR="00D33383" w:rsidRPr="005B3142" w:rsidRDefault="00D33383" w:rsidP="00D9487D">
      <w:pPr>
        <w:tabs>
          <w:tab w:val="clear" w:pos="567"/>
          <w:tab w:val="left" w:pos="720"/>
        </w:tabs>
        <w:spacing w:line="240" w:lineRule="auto"/>
        <w:jc w:val="both"/>
        <w:rPr>
          <w:rFonts w:ascii="Palatino Linotype" w:hAnsi="Palatino Linotype"/>
          <w:sz w:val="22"/>
          <w:szCs w:val="22"/>
        </w:rPr>
      </w:pPr>
    </w:p>
    <w:p w:rsidR="005C1982" w:rsidRDefault="00375AE6" w:rsidP="00D9487D">
      <w:pPr>
        <w:tabs>
          <w:tab w:val="clear" w:pos="567"/>
          <w:tab w:val="left" w:pos="720"/>
        </w:tabs>
        <w:spacing w:line="240" w:lineRule="auto"/>
        <w:jc w:val="both"/>
        <w:rPr>
          <w:rFonts w:ascii="Palatino Linotype" w:hAnsi="Palatino Linotype"/>
          <w:sz w:val="22"/>
          <w:szCs w:val="22"/>
        </w:rPr>
      </w:pPr>
      <w:r w:rsidRPr="00375AE6">
        <w:rPr>
          <w:rFonts w:ascii="Palatino Linotype" w:hAnsi="Palatino Linotype"/>
          <w:sz w:val="22"/>
          <w:szCs w:val="22"/>
        </w:rPr>
        <w:t xml:space="preserve">The review draws on the methodology of the Evidence, Policy and Practice Initiative (EPPI) systematic reviews (see, for example, Bennett </w:t>
      </w:r>
      <w:r w:rsidRPr="00375AE6">
        <w:rPr>
          <w:rFonts w:ascii="Palatino Linotype" w:hAnsi="Palatino Linotype"/>
          <w:i/>
          <w:sz w:val="22"/>
          <w:szCs w:val="22"/>
        </w:rPr>
        <w:t>et al</w:t>
      </w:r>
      <w:r w:rsidRPr="00375AE6">
        <w:rPr>
          <w:rFonts w:ascii="Palatino Linotype" w:hAnsi="Palatino Linotype"/>
          <w:sz w:val="22"/>
          <w:szCs w:val="22"/>
        </w:rPr>
        <w:t>., 2005)</w:t>
      </w:r>
      <w:r w:rsidR="00F53CE5">
        <w:rPr>
          <w:rFonts w:ascii="Palatino Linotype" w:hAnsi="Palatino Linotype"/>
          <w:sz w:val="22"/>
          <w:szCs w:val="22"/>
        </w:rPr>
        <w:t xml:space="preserve">.  </w:t>
      </w:r>
      <w:r w:rsidR="0020359F">
        <w:rPr>
          <w:rFonts w:ascii="Palatino Linotype" w:hAnsi="Palatino Linotype"/>
          <w:sz w:val="22"/>
          <w:szCs w:val="22"/>
        </w:rPr>
        <w:t xml:space="preserve">Studies </w:t>
      </w:r>
      <w:r w:rsidR="00157D61">
        <w:rPr>
          <w:rFonts w:ascii="Palatino Linotype" w:hAnsi="Palatino Linotype"/>
          <w:sz w:val="22"/>
          <w:szCs w:val="22"/>
        </w:rPr>
        <w:t xml:space="preserve">have been </w:t>
      </w:r>
      <w:r w:rsidR="0020359F">
        <w:rPr>
          <w:rFonts w:ascii="Palatino Linotype" w:hAnsi="Palatino Linotype"/>
          <w:sz w:val="22"/>
          <w:szCs w:val="22"/>
        </w:rPr>
        <w:t xml:space="preserve">selected for the </w:t>
      </w:r>
      <w:r w:rsidR="00BC353A">
        <w:rPr>
          <w:rFonts w:ascii="Palatino Linotype" w:hAnsi="Palatino Linotype"/>
          <w:sz w:val="22"/>
          <w:szCs w:val="22"/>
        </w:rPr>
        <w:t xml:space="preserve">review </w:t>
      </w:r>
      <w:r w:rsidR="0020359F">
        <w:rPr>
          <w:rFonts w:ascii="Palatino Linotype" w:hAnsi="Palatino Linotype"/>
          <w:sz w:val="22"/>
          <w:szCs w:val="22"/>
        </w:rPr>
        <w:t>on the basis of the size of the sample and the quality of the work</w:t>
      </w:r>
      <w:r w:rsidR="00F53CE5">
        <w:rPr>
          <w:rFonts w:ascii="Palatino Linotype" w:hAnsi="Palatino Linotype"/>
          <w:sz w:val="22"/>
          <w:szCs w:val="22"/>
        </w:rPr>
        <w:t xml:space="preserve">.  </w:t>
      </w:r>
      <w:r w:rsidR="00C42BAC">
        <w:rPr>
          <w:rFonts w:ascii="Palatino Linotype" w:hAnsi="Palatino Linotype"/>
          <w:sz w:val="22"/>
          <w:szCs w:val="22"/>
        </w:rPr>
        <w:t>Thu</w:t>
      </w:r>
      <w:r w:rsidR="0020359F">
        <w:rPr>
          <w:rFonts w:ascii="Palatino Linotype" w:hAnsi="Palatino Linotype"/>
          <w:sz w:val="22"/>
          <w:szCs w:val="22"/>
        </w:rPr>
        <w:t>s the studies are medium-to-large in scale (i.e. are not studies by one researcher in one location), and</w:t>
      </w:r>
      <w:r w:rsidR="00383CB1">
        <w:rPr>
          <w:rFonts w:ascii="Palatino Linotype" w:hAnsi="Palatino Linotype"/>
          <w:sz w:val="22"/>
          <w:szCs w:val="22"/>
        </w:rPr>
        <w:t xml:space="preserve"> </w:t>
      </w:r>
      <w:r w:rsidR="00377CDA">
        <w:rPr>
          <w:rFonts w:ascii="Palatino Linotype" w:hAnsi="Palatino Linotype"/>
          <w:sz w:val="22"/>
          <w:szCs w:val="22"/>
        </w:rPr>
        <w:t>normally include</w:t>
      </w:r>
      <w:r w:rsidR="0020359F">
        <w:rPr>
          <w:rFonts w:ascii="Palatino Linotype" w:hAnsi="Palatino Linotype"/>
          <w:sz w:val="22"/>
          <w:szCs w:val="22"/>
        </w:rPr>
        <w:t xml:space="preserve"> sufficient information to make an assessment of the reliability and validity</w:t>
      </w:r>
      <w:r w:rsidR="005C1982">
        <w:rPr>
          <w:rFonts w:ascii="Palatino Linotype" w:hAnsi="Palatino Linotype"/>
          <w:sz w:val="22"/>
          <w:szCs w:val="22"/>
        </w:rPr>
        <w:t xml:space="preserve"> of both the methods employed and the analysis</w:t>
      </w:r>
      <w:r w:rsidR="00F53CE5">
        <w:rPr>
          <w:rFonts w:ascii="Palatino Linotype" w:hAnsi="Palatino Linotype"/>
          <w:sz w:val="22"/>
          <w:szCs w:val="22"/>
        </w:rPr>
        <w:t xml:space="preserve">.  </w:t>
      </w:r>
      <w:r w:rsidR="00C42BAC">
        <w:rPr>
          <w:rFonts w:ascii="Palatino Linotype" w:hAnsi="Palatino Linotype"/>
          <w:sz w:val="22"/>
          <w:szCs w:val="22"/>
        </w:rPr>
        <w:t xml:space="preserve">The studies selected have either been published in peer-reviewed journals, or are reports commissioned by a variety of key </w:t>
      </w:r>
      <w:r w:rsidR="001D5E36">
        <w:rPr>
          <w:rFonts w:ascii="Palatino Linotype" w:hAnsi="Palatino Linotype"/>
          <w:sz w:val="22"/>
          <w:szCs w:val="22"/>
        </w:rPr>
        <w:t>bodies and organisations</w:t>
      </w:r>
      <w:r w:rsidR="00C42BAC">
        <w:rPr>
          <w:rFonts w:ascii="Palatino Linotype" w:hAnsi="Palatino Linotype"/>
          <w:sz w:val="22"/>
          <w:szCs w:val="22"/>
        </w:rPr>
        <w:t xml:space="preserve"> </w:t>
      </w:r>
      <w:r w:rsidR="00536561">
        <w:rPr>
          <w:rFonts w:ascii="Palatino Linotype" w:hAnsi="Palatino Linotype"/>
          <w:sz w:val="22"/>
          <w:szCs w:val="22"/>
        </w:rPr>
        <w:t>including</w:t>
      </w:r>
      <w:r w:rsidR="00443026">
        <w:rPr>
          <w:rFonts w:ascii="Palatino Linotype" w:hAnsi="Palatino Linotype"/>
          <w:sz w:val="22"/>
          <w:szCs w:val="22"/>
        </w:rPr>
        <w:t xml:space="preserve"> the Government, research councils, charitable trusts and prestigious organisations, such as the</w:t>
      </w:r>
      <w:r w:rsidR="00C42BAC">
        <w:rPr>
          <w:rFonts w:ascii="Palatino Linotype" w:hAnsi="Palatino Linotype"/>
          <w:sz w:val="22"/>
          <w:szCs w:val="22"/>
        </w:rPr>
        <w:t xml:space="preserve"> Depa</w:t>
      </w:r>
      <w:r w:rsidR="00C47CA0">
        <w:rPr>
          <w:rFonts w:ascii="Palatino Linotype" w:hAnsi="Palatino Linotype"/>
          <w:sz w:val="22"/>
          <w:szCs w:val="22"/>
        </w:rPr>
        <w:t>rtment for Education</w:t>
      </w:r>
      <w:r w:rsidR="00C42BAC">
        <w:rPr>
          <w:rFonts w:ascii="Palatino Linotype" w:hAnsi="Palatino Linotype"/>
          <w:sz w:val="22"/>
          <w:szCs w:val="22"/>
        </w:rPr>
        <w:t xml:space="preserve">, </w:t>
      </w:r>
      <w:r w:rsidR="00536561" w:rsidRPr="00536561">
        <w:rPr>
          <w:rFonts w:ascii="Palatino Linotype" w:hAnsi="Palatino Linotype"/>
          <w:sz w:val="22"/>
          <w:szCs w:val="22"/>
        </w:rPr>
        <w:t xml:space="preserve">The Royal Society, the Institute of Physics, </w:t>
      </w:r>
      <w:r w:rsidR="00C42BAC">
        <w:rPr>
          <w:rFonts w:ascii="Palatino Linotype" w:hAnsi="Palatino Linotype"/>
          <w:sz w:val="22"/>
          <w:szCs w:val="22"/>
        </w:rPr>
        <w:t xml:space="preserve">the Royal </w:t>
      </w:r>
      <w:r w:rsidR="001D5E36">
        <w:rPr>
          <w:rFonts w:ascii="Palatino Linotype" w:hAnsi="Palatino Linotype"/>
          <w:sz w:val="22"/>
          <w:szCs w:val="22"/>
        </w:rPr>
        <w:t>Society</w:t>
      </w:r>
      <w:r w:rsidR="00C42BAC">
        <w:rPr>
          <w:rFonts w:ascii="Palatino Linotype" w:hAnsi="Palatino Linotype"/>
          <w:sz w:val="22"/>
          <w:szCs w:val="22"/>
        </w:rPr>
        <w:t xml:space="preserve"> of Chemistry,</w:t>
      </w:r>
      <w:r w:rsidR="00536561">
        <w:rPr>
          <w:rFonts w:ascii="Palatino Linotype" w:hAnsi="Palatino Linotype"/>
          <w:sz w:val="22"/>
          <w:szCs w:val="22"/>
        </w:rPr>
        <w:t xml:space="preserve"> </w:t>
      </w:r>
      <w:r w:rsidR="00536561" w:rsidRPr="00536561">
        <w:rPr>
          <w:rFonts w:ascii="Palatino Linotype" w:hAnsi="Palatino Linotype"/>
          <w:sz w:val="22"/>
          <w:szCs w:val="22"/>
        </w:rPr>
        <w:t>the Institution of Mechanical Engineers,</w:t>
      </w:r>
      <w:r w:rsidR="00443026">
        <w:rPr>
          <w:rFonts w:ascii="Palatino Linotype" w:hAnsi="Palatino Linotype"/>
          <w:sz w:val="22"/>
          <w:szCs w:val="22"/>
        </w:rPr>
        <w:t xml:space="preserve"> the Nuffield Foundation, the </w:t>
      </w:r>
      <w:r w:rsidR="00536561">
        <w:rPr>
          <w:rFonts w:ascii="Palatino Linotype" w:hAnsi="Palatino Linotype"/>
          <w:sz w:val="22"/>
          <w:szCs w:val="22"/>
        </w:rPr>
        <w:t>Wellcome Trust,</w:t>
      </w:r>
      <w:r w:rsidR="00536561" w:rsidRPr="00536561">
        <w:rPr>
          <w:rFonts w:ascii="Palatino Linotype" w:hAnsi="Palatino Linotype"/>
          <w:sz w:val="22"/>
          <w:szCs w:val="22"/>
        </w:rPr>
        <w:t xml:space="preserve"> </w:t>
      </w:r>
      <w:r w:rsidR="00C42BAC">
        <w:rPr>
          <w:rFonts w:ascii="Palatino Linotype" w:hAnsi="Palatino Linotype"/>
          <w:sz w:val="22"/>
          <w:szCs w:val="22"/>
        </w:rPr>
        <w:t xml:space="preserve">the Organisation for Economic </w:t>
      </w:r>
      <w:r w:rsidR="001D5E36">
        <w:rPr>
          <w:rFonts w:ascii="Palatino Linotype" w:hAnsi="Palatino Linotype"/>
          <w:sz w:val="22"/>
          <w:szCs w:val="22"/>
        </w:rPr>
        <w:t>Co-operation and Development (OECD),</w:t>
      </w:r>
      <w:r w:rsidR="00536561">
        <w:rPr>
          <w:rFonts w:ascii="Palatino Linotype" w:hAnsi="Palatino Linotype"/>
          <w:sz w:val="22"/>
          <w:szCs w:val="22"/>
        </w:rPr>
        <w:t xml:space="preserve"> and </w:t>
      </w:r>
      <w:r w:rsidR="001D5E36">
        <w:rPr>
          <w:rFonts w:ascii="Palatino Linotype" w:hAnsi="Palatino Linotype"/>
          <w:sz w:val="22"/>
          <w:szCs w:val="22"/>
        </w:rPr>
        <w:t>the Programme for International Student Assessment (PISA)</w:t>
      </w:r>
      <w:r w:rsidR="00F53CE5">
        <w:rPr>
          <w:rFonts w:ascii="Palatino Linotype" w:hAnsi="Palatino Linotype"/>
          <w:sz w:val="22"/>
          <w:szCs w:val="22"/>
        </w:rPr>
        <w:t xml:space="preserve">.  </w:t>
      </w:r>
    </w:p>
    <w:p w:rsidR="005C1982" w:rsidRDefault="005C1982" w:rsidP="00D9487D">
      <w:pPr>
        <w:tabs>
          <w:tab w:val="clear" w:pos="567"/>
          <w:tab w:val="left" w:pos="720"/>
        </w:tabs>
        <w:spacing w:line="240" w:lineRule="auto"/>
        <w:jc w:val="both"/>
        <w:rPr>
          <w:rFonts w:ascii="Palatino Linotype" w:hAnsi="Palatino Linotype"/>
          <w:sz w:val="22"/>
          <w:szCs w:val="22"/>
        </w:rPr>
      </w:pPr>
    </w:p>
    <w:p w:rsidR="00375AE6" w:rsidRDefault="0020359F" w:rsidP="00D9487D">
      <w:pPr>
        <w:tabs>
          <w:tab w:val="clear" w:pos="567"/>
          <w:tab w:val="left" w:pos="720"/>
        </w:tabs>
        <w:spacing w:line="240" w:lineRule="auto"/>
        <w:jc w:val="both"/>
        <w:rPr>
          <w:rFonts w:ascii="Palatino Linotype" w:hAnsi="Palatino Linotype"/>
          <w:sz w:val="22"/>
          <w:szCs w:val="22"/>
        </w:rPr>
      </w:pPr>
      <w:r>
        <w:rPr>
          <w:rFonts w:ascii="Palatino Linotype" w:hAnsi="Palatino Linotype"/>
          <w:sz w:val="22"/>
          <w:szCs w:val="22"/>
        </w:rPr>
        <w:t>The review</w:t>
      </w:r>
      <w:r w:rsidR="00375AE6" w:rsidRPr="00375AE6">
        <w:rPr>
          <w:rFonts w:ascii="Palatino Linotype" w:hAnsi="Palatino Linotype"/>
          <w:sz w:val="22"/>
          <w:szCs w:val="22"/>
        </w:rPr>
        <w:t xml:space="preserve"> focuses on the evidence fr</w:t>
      </w:r>
      <w:r w:rsidR="00BA1BA8">
        <w:rPr>
          <w:rFonts w:ascii="Palatino Linotype" w:hAnsi="Palatino Linotype"/>
          <w:sz w:val="22"/>
          <w:szCs w:val="22"/>
        </w:rPr>
        <w:t>om studies of learners aged 5-19</w:t>
      </w:r>
      <w:r w:rsidR="00375AE6" w:rsidRPr="00375AE6">
        <w:rPr>
          <w:rFonts w:ascii="Palatino Linotype" w:hAnsi="Palatino Linotype"/>
          <w:sz w:val="22"/>
          <w:szCs w:val="22"/>
        </w:rPr>
        <w:t>, with the bulk of studies undertaken with learners in the 11-19 age-range, as this is seen as the particularly problematic age in relation t</w:t>
      </w:r>
      <w:r w:rsidR="005B3142">
        <w:rPr>
          <w:rFonts w:ascii="Palatino Linotype" w:hAnsi="Palatino Linotype"/>
          <w:sz w:val="22"/>
          <w:szCs w:val="22"/>
        </w:rPr>
        <w:t>o attitudes to STEM subjects</w:t>
      </w:r>
      <w:r w:rsidR="00F53CE5">
        <w:rPr>
          <w:rFonts w:ascii="Palatino Linotype" w:hAnsi="Palatino Linotype"/>
          <w:sz w:val="22"/>
          <w:szCs w:val="22"/>
        </w:rPr>
        <w:t xml:space="preserve">.  </w:t>
      </w:r>
      <w:r w:rsidR="00375AE6" w:rsidRPr="00375AE6">
        <w:rPr>
          <w:rFonts w:ascii="Palatino Linotype" w:hAnsi="Palatino Linotype"/>
          <w:sz w:val="22"/>
          <w:szCs w:val="22"/>
        </w:rPr>
        <w:t xml:space="preserve">The majority of the work included in the review has been undertaken in England, but </w:t>
      </w:r>
      <w:r w:rsidR="005B3142">
        <w:rPr>
          <w:rFonts w:ascii="Palatino Linotype" w:hAnsi="Palatino Linotype"/>
          <w:sz w:val="22"/>
          <w:szCs w:val="22"/>
        </w:rPr>
        <w:t xml:space="preserve">is informed </w:t>
      </w:r>
      <w:r w:rsidR="00375AE6" w:rsidRPr="00375AE6">
        <w:rPr>
          <w:rFonts w:ascii="Palatino Linotype" w:hAnsi="Palatino Linotype"/>
          <w:sz w:val="22"/>
          <w:szCs w:val="22"/>
        </w:rPr>
        <w:t>by data from other UK countr</w:t>
      </w:r>
      <w:r w:rsidR="00383CB1">
        <w:rPr>
          <w:rFonts w:ascii="Palatino Linotype" w:hAnsi="Palatino Linotype"/>
          <w:sz w:val="22"/>
          <w:szCs w:val="22"/>
        </w:rPr>
        <w:t>ies and international studies</w:t>
      </w:r>
      <w:r w:rsidR="00B40D45">
        <w:rPr>
          <w:rFonts w:ascii="Palatino Linotype" w:hAnsi="Palatino Linotype"/>
          <w:sz w:val="22"/>
          <w:szCs w:val="22"/>
        </w:rPr>
        <w:t xml:space="preserve"> where this is available</w:t>
      </w:r>
      <w:r w:rsidR="00F53CE5">
        <w:rPr>
          <w:rFonts w:ascii="Palatino Linotype" w:hAnsi="Palatino Linotype"/>
          <w:sz w:val="22"/>
          <w:szCs w:val="22"/>
        </w:rPr>
        <w:t xml:space="preserve">.  </w:t>
      </w:r>
      <w:r w:rsidR="00BA1BA8">
        <w:rPr>
          <w:rFonts w:ascii="Palatino Linotype" w:hAnsi="Palatino Linotype"/>
          <w:sz w:val="22"/>
          <w:szCs w:val="22"/>
        </w:rPr>
        <w:t xml:space="preserve">Much of the </w:t>
      </w:r>
      <w:r w:rsidR="00B40D45">
        <w:rPr>
          <w:rFonts w:ascii="Palatino Linotype" w:hAnsi="Palatino Linotype"/>
          <w:sz w:val="22"/>
          <w:szCs w:val="22"/>
        </w:rPr>
        <w:t>research funding in the UK goes to institutions in England, which comprises 84% of the UK population, and studies therefore frequently have a focus on provision in England</w:t>
      </w:r>
      <w:r w:rsidR="00F53CE5">
        <w:rPr>
          <w:rFonts w:ascii="Palatino Linotype" w:hAnsi="Palatino Linotype"/>
          <w:sz w:val="22"/>
          <w:szCs w:val="22"/>
        </w:rPr>
        <w:t xml:space="preserve">.  </w:t>
      </w:r>
      <w:r w:rsidR="0098539A">
        <w:rPr>
          <w:rFonts w:ascii="Palatino Linotype" w:hAnsi="Palatino Linotype"/>
          <w:sz w:val="22"/>
          <w:szCs w:val="22"/>
        </w:rPr>
        <w:t>As</w:t>
      </w:r>
      <w:r w:rsidR="00375AE6" w:rsidRPr="00375AE6">
        <w:rPr>
          <w:rFonts w:ascii="Palatino Linotype" w:hAnsi="Palatino Linotype"/>
          <w:sz w:val="22"/>
          <w:szCs w:val="22"/>
        </w:rPr>
        <w:t xml:space="preserve"> </w:t>
      </w:r>
      <w:r w:rsidR="00BC353A">
        <w:rPr>
          <w:rFonts w:ascii="Palatino Linotype" w:hAnsi="Palatino Linotype"/>
          <w:sz w:val="22"/>
          <w:szCs w:val="22"/>
        </w:rPr>
        <w:t>mathematics and science</w:t>
      </w:r>
      <w:r w:rsidR="00375AE6" w:rsidRPr="00375AE6">
        <w:rPr>
          <w:rFonts w:ascii="Palatino Linotype" w:hAnsi="Palatino Linotype"/>
          <w:sz w:val="22"/>
          <w:szCs w:val="22"/>
        </w:rPr>
        <w:t xml:space="preserve"> </w:t>
      </w:r>
      <w:r w:rsidR="0098539A">
        <w:rPr>
          <w:rFonts w:ascii="Palatino Linotype" w:hAnsi="Palatino Linotype"/>
          <w:sz w:val="22"/>
          <w:szCs w:val="22"/>
        </w:rPr>
        <w:t>are</w:t>
      </w:r>
      <w:r w:rsidR="00375AE6" w:rsidRPr="00375AE6">
        <w:rPr>
          <w:rFonts w:ascii="Palatino Linotype" w:hAnsi="Palatino Linotype"/>
          <w:sz w:val="22"/>
          <w:szCs w:val="22"/>
        </w:rPr>
        <w:t xml:space="preserve"> the</w:t>
      </w:r>
      <w:r w:rsidR="00BC353A">
        <w:rPr>
          <w:rFonts w:ascii="Palatino Linotype" w:hAnsi="Palatino Linotype"/>
          <w:sz w:val="22"/>
          <w:szCs w:val="22"/>
        </w:rPr>
        <w:t xml:space="preserve"> two compulsory STEM subjects throughout</w:t>
      </w:r>
      <w:r w:rsidR="00375AE6" w:rsidRPr="00375AE6">
        <w:rPr>
          <w:rFonts w:ascii="Palatino Linotype" w:hAnsi="Palatino Linotype"/>
          <w:sz w:val="22"/>
          <w:szCs w:val="22"/>
        </w:rPr>
        <w:t xml:space="preserve"> the school curriculum, it is ine</w:t>
      </w:r>
      <w:r w:rsidR="0098539A">
        <w:rPr>
          <w:rFonts w:ascii="Palatino Linotype" w:hAnsi="Palatino Linotype"/>
          <w:sz w:val="22"/>
          <w:szCs w:val="22"/>
        </w:rPr>
        <w:t>vitable that the majority of</w:t>
      </w:r>
      <w:r w:rsidR="00375AE6" w:rsidRPr="00375AE6">
        <w:rPr>
          <w:rFonts w:ascii="Palatino Linotype" w:hAnsi="Palatino Linotype"/>
          <w:sz w:val="22"/>
          <w:szCs w:val="22"/>
        </w:rPr>
        <w:t xml:space="preserve"> studies focus on these two subjects.</w:t>
      </w:r>
      <w:r w:rsidR="00E239E6">
        <w:rPr>
          <w:rFonts w:ascii="Palatino Linotype" w:hAnsi="Palatino Linotype"/>
          <w:sz w:val="22"/>
          <w:szCs w:val="22"/>
        </w:rPr>
        <w:t xml:space="preserve">  Within this, levels of concern are higher for the physical sciences than for biology.  </w:t>
      </w:r>
      <w:proofErr w:type="gramStart"/>
      <w:r w:rsidR="00E239E6">
        <w:rPr>
          <w:rFonts w:ascii="Palatino Linotype" w:hAnsi="Palatino Linotype"/>
          <w:sz w:val="22"/>
          <w:szCs w:val="22"/>
        </w:rPr>
        <w:t>Thus the emphasis of the literature in on work in the physical sciences.</w:t>
      </w:r>
      <w:proofErr w:type="gramEnd"/>
    </w:p>
    <w:p w:rsidR="00B05BB6" w:rsidRDefault="00B05BB6" w:rsidP="00D9487D">
      <w:pPr>
        <w:tabs>
          <w:tab w:val="clear" w:pos="567"/>
          <w:tab w:val="left" w:pos="720"/>
        </w:tabs>
        <w:spacing w:line="240" w:lineRule="auto"/>
        <w:jc w:val="both"/>
        <w:rPr>
          <w:rFonts w:ascii="Palatino Linotype" w:hAnsi="Palatino Linotype"/>
          <w:sz w:val="22"/>
          <w:szCs w:val="22"/>
        </w:rPr>
      </w:pPr>
    </w:p>
    <w:p w:rsidR="00B05BB6" w:rsidRPr="00F8159F" w:rsidRDefault="00B05BB6" w:rsidP="00D9487D">
      <w:pPr>
        <w:tabs>
          <w:tab w:val="clear" w:pos="567"/>
          <w:tab w:val="left" w:pos="720"/>
        </w:tabs>
        <w:spacing w:line="240" w:lineRule="auto"/>
        <w:jc w:val="both"/>
        <w:rPr>
          <w:rFonts w:ascii="Palatino Linotype" w:hAnsi="Palatino Linotype"/>
          <w:b/>
          <w:sz w:val="22"/>
          <w:szCs w:val="22"/>
        </w:rPr>
      </w:pPr>
      <w:r w:rsidRPr="00F8159F">
        <w:rPr>
          <w:rFonts w:ascii="Palatino Linotype" w:hAnsi="Palatino Linotype"/>
          <w:b/>
          <w:sz w:val="22"/>
          <w:szCs w:val="22"/>
        </w:rPr>
        <w:t>2.3</w:t>
      </w:r>
      <w:r w:rsidRPr="00F8159F">
        <w:rPr>
          <w:rFonts w:ascii="Palatino Linotype" w:hAnsi="Palatino Linotype"/>
          <w:b/>
          <w:sz w:val="22"/>
          <w:szCs w:val="22"/>
        </w:rPr>
        <w:tab/>
        <w:t>The structure of the review</w:t>
      </w:r>
    </w:p>
    <w:p w:rsidR="00477AD1" w:rsidRPr="00375AE6" w:rsidRDefault="00477AD1" w:rsidP="00D9487D">
      <w:pPr>
        <w:tabs>
          <w:tab w:val="clear" w:pos="567"/>
        </w:tabs>
        <w:overflowPunct/>
        <w:autoSpaceDE/>
        <w:autoSpaceDN/>
        <w:adjustRightInd/>
        <w:spacing w:line="240" w:lineRule="auto"/>
        <w:jc w:val="both"/>
        <w:rPr>
          <w:rFonts w:ascii="Palatino Linotype" w:hAnsi="Palatino Linotype"/>
          <w:sz w:val="22"/>
          <w:szCs w:val="22"/>
        </w:rPr>
      </w:pPr>
    </w:p>
    <w:p w:rsidR="00C03A9C" w:rsidRPr="00F55F49" w:rsidRDefault="007C3790" w:rsidP="00D9487D">
      <w:pPr>
        <w:tabs>
          <w:tab w:val="clear" w:pos="567"/>
        </w:tabs>
        <w:overflowPunct/>
        <w:autoSpaceDE/>
        <w:autoSpaceDN/>
        <w:adjustRightInd/>
        <w:spacing w:line="240" w:lineRule="auto"/>
        <w:jc w:val="both"/>
        <w:rPr>
          <w:rFonts w:ascii="Palatino Linotype" w:hAnsi="Palatino Linotype"/>
          <w:sz w:val="22"/>
          <w:szCs w:val="22"/>
        </w:rPr>
      </w:pPr>
      <w:r w:rsidRPr="00375AE6">
        <w:rPr>
          <w:rFonts w:ascii="Palatino Linotype" w:hAnsi="Palatino Linotype"/>
          <w:sz w:val="22"/>
          <w:szCs w:val="22"/>
        </w:rPr>
        <w:t>The</w:t>
      </w:r>
      <w:r>
        <w:rPr>
          <w:rFonts w:ascii="Palatino Linotype" w:hAnsi="Palatino Linotype"/>
          <w:sz w:val="22"/>
          <w:szCs w:val="22"/>
        </w:rPr>
        <w:t xml:space="preserve"> </w:t>
      </w:r>
      <w:r w:rsidR="000B17A3">
        <w:rPr>
          <w:rFonts w:ascii="Palatino Linotype" w:hAnsi="Palatino Linotype"/>
          <w:sz w:val="22"/>
          <w:szCs w:val="22"/>
        </w:rPr>
        <w:t xml:space="preserve">literature </w:t>
      </w:r>
      <w:r>
        <w:rPr>
          <w:rFonts w:ascii="Palatino Linotype" w:hAnsi="Palatino Linotype"/>
          <w:sz w:val="22"/>
          <w:szCs w:val="22"/>
        </w:rPr>
        <w:t>review</w:t>
      </w:r>
      <w:r w:rsidR="00C03A9C" w:rsidRPr="00F55F49">
        <w:rPr>
          <w:rFonts w:ascii="Palatino Linotype" w:hAnsi="Palatino Linotype"/>
          <w:sz w:val="22"/>
          <w:szCs w:val="22"/>
        </w:rPr>
        <w:t xml:space="preserve"> synthesise</w:t>
      </w:r>
      <w:r>
        <w:rPr>
          <w:rFonts w:ascii="Palatino Linotype" w:hAnsi="Palatino Linotype"/>
          <w:sz w:val="22"/>
          <w:szCs w:val="22"/>
        </w:rPr>
        <w:t>s</w:t>
      </w:r>
      <w:r w:rsidR="00C03A9C" w:rsidRPr="00F55F49">
        <w:rPr>
          <w:rFonts w:ascii="Palatino Linotype" w:hAnsi="Palatino Linotype"/>
          <w:sz w:val="22"/>
          <w:szCs w:val="22"/>
        </w:rPr>
        <w:t xml:space="preserve"> the evidence in four main areas: systemic factors, school factors, individual factors, and ext</w:t>
      </w:r>
      <w:r>
        <w:rPr>
          <w:rFonts w:ascii="Palatino Linotype" w:hAnsi="Palatino Linotype"/>
          <w:sz w:val="22"/>
          <w:szCs w:val="22"/>
        </w:rPr>
        <w:t>ernal factors</w:t>
      </w:r>
      <w:r w:rsidR="00F53CE5">
        <w:rPr>
          <w:rFonts w:ascii="Palatino Linotype" w:hAnsi="Palatino Linotype"/>
          <w:sz w:val="22"/>
          <w:szCs w:val="22"/>
        </w:rPr>
        <w:t xml:space="preserve">.  </w:t>
      </w:r>
    </w:p>
    <w:p w:rsidR="00C03A9C" w:rsidRPr="00F55F49" w:rsidRDefault="00C03A9C" w:rsidP="00D9487D">
      <w:pPr>
        <w:spacing w:line="240" w:lineRule="auto"/>
        <w:jc w:val="both"/>
        <w:rPr>
          <w:rFonts w:ascii="Palatino Linotype" w:hAnsi="Palatino Linotype"/>
          <w:sz w:val="22"/>
          <w:szCs w:val="22"/>
        </w:rPr>
      </w:pPr>
    </w:p>
    <w:p w:rsidR="00C03A9C" w:rsidRPr="00F55F49" w:rsidRDefault="00C03A9C" w:rsidP="00D9487D">
      <w:pPr>
        <w:tabs>
          <w:tab w:val="clear" w:pos="567"/>
          <w:tab w:val="left" w:pos="720"/>
        </w:tabs>
        <w:overflowPunct/>
        <w:autoSpaceDE/>
        <w:adjustRightInd/>
        <w:spacing w:line="240" w:lineRule="auto"/>
        <w:ind w:left="35"/>
        <w:contextualSpacing/>
        <w:jc w:val="both"/>
        <w:rPr>
          <w:rFonts w:ascii="Palatino Linotype" w:hAnsi="Palatino Linotype"/>
          <w:sz w:val="22"/>
          <w:szCs w:val="22"/>
        </w:rPr>
      </w:pPr>
      <w:r w:rsidRPr="00D86DB9">
        <w:rPr>
          <w:rFonts w:ascii="Palatino Linotype" w:hAnsi="Palatino Linotype"/>
          <w:i/>
          <w:sz w:val="22"/>
          <w:szCs w:val="22"/>
        </w:rPr>
        <w:t>Systemic factors</w:t>
      </w:r>
      <w:r w:rsidRPr="00D86DB9">
        <w:rPr>
          <w:rFonts w:ascii="Palatino Linotype" w:hAnsi="Palatino Linotype"/>
          <w:sz w:val="22"/>
          <w:szCs w:val="22"/>
        </w:rPr>
        <w:t xml:space="preserve"> include the structures of education systems, points of subject choice and subject specialisation</w:t>
      </w:r>
      <w:r w:rsidR="00F53CE5">
        <w:rPr>
          <w:rFonts w:ascii="Palatino Linotype" w:hAnsi="Palatino Linotype"/>
          <w:sz w:val="22"/>
          <w:szCs w:val="22"/>
        </w:rPr>
        <w:t xml:space="preserve">.  </w:t>
      </w:r>
      <w:r w:rsidR="00D86DB9" w:rsidRPr="00D86DB9">
        <w:rPr>
          <w:rFonts w:ascii="Palatino Linotype" w:hAnsi="Palatino Linotype"/>
          <w:sz w:val="22"/>
          <w:szCs w:val="22"/>
        </w:rPr>
        <w:t xml:space="preserve">Exploration of systemic factors </w:t>
      </w:r>
      <w:r w:rsidR="00D86DB9">
        <w:rPr>
          <w:rFonts w:ascii="Palatino Linotype" w:hAnsi="Palatino Linotype"/>
          <w:sz w:val="22"/>
          <w:szCs w:val="22"/>
        </w:rPr>
        <w:t xml:space="preserve">can help identify </w:t>
      </w:r>
      <w:r w:rsidR="00D86DB9" w:rsidRPr="00D86DB9">
        <w:rPr>
          <w:rFonts w:ascii="Palatino Linotype" w:hAnsi="Palatino Linotype"/>
          <w:sz w:val="22"/>
          <w:szCs w:val="22"/>
        </w:rPr>
        <w:t xml:space="preserve">pathways, whether academic or vocational, </w:t>
      </w:r>
      <w:r w:rsidR="00D86DB9">
        <w:rPr>
          <w:rFonts w:ascii="Palatino Linotype" w:hAnsi="Palatino Linotype"/>
          <w:sz w:val="22"/>
          <w:szCs w:val="22"/>
        </w:rPr>
        <w:t xml:space="preserve">that </w:t>
      </w:r>
      <w:r w:rsidR="00D86DB9" w:rsidRPr="00D86DB9">
        <w:rPr>
          <w:rFonts w:ascii="Palatino Linotype" w:hAnsi="Palatino Linotype"/>
          <w:sz w:val="22"/>
          <w:szCs w:val="22"/>
        </w:rPr>
        <w:t>best encourage engagement and participation in STEM education</w:t>
      </w:r>
      <w:r w:rsidR="00F53CE5">
        <w:rPr>
          <w:rFonts w:ascii="Palatino Linotype" w:hAnsi="Palatino Linotype"/>
          <w:sz w:val="22"/>
          <w:szCs w:val="22"/>
        </w:rPr>
        <w:t xml:space="preserve">.  </w:t>
      </w:r>
    </w:p>
    <w:p w:rsidR="00C03A9C" w:rsidRPr="00F55F49" w:rsidRDefault="00C03A9C" w:rsidP="00D9487D">
      <w:pPr>
        <w:spacing w:line="240" w:lineRule="auto"/>
        <w:jc w:val="both"/>
        <w:rPr>
          <w:rFonts w:ascii="Palatino Linotype" w:hAnsi="Palatino Linotype"/>
          <w:sz w:val="22"/>
          <w:szCs w:val="22"/>
        </w:rPr>
      </w:pPr>
    </w:p>
    <w:p w:rsidR="004713EE" w:rsidRPr="004713EE" w:rsidRDefault="00C03A9C" w:rsidP="00D9487D">
      <w:pPr>
        <w:tabs>
          <w:tab w:val="clear" w:pos="567"/>
          <w:tab w:val="left" w:pos="720"/>
        </w:tabs>
        <w:spacing w:line="240" w:lineRule="auto"/>
        <w:jc w:val="both"/>
        <w:rPr>
          <w:rFonts w:ascii="Palatino Linotype" w:hAnsi="Palatino Linotype"/>
          <w:sz w:val="22"/>
          <w:szCs w:val="22"/>
        </w:rPr>
      </w:pPr>
      <w:r w:rsidRPr="00F55F49">
        <w:rPr>
          <w:rFonts w:ascii="Palatino Linotype" w:hAnsi="Palatino Linotype"/>
          <w:i/>
          <w:sz w:val="22"/>
          <w:szCs w:val="22"/>
        </w:rPr>
        <w:lastRenderedPageBreak/>
        <w:t>School factors</w:t>
      </w:r>
      <w:r w:rsidRPr="00F55F49">
        <w:rPr>
          <w:rFonts w:ascii="Palatino Linotype" w:hAnsi="Palatino Linotype"/>
          <w:sz w:val="22"/>
          <w:szCs w:val="22"/>
        </w:rPr>
        <w:t xml:space="preserve"> include the nature of the school and composition of the student intake (selective or all ability, </w:t>
      </w:r>
      <w:r w:rsidR="00510AE7">
        <w:rPr>
          <w:rFonts w:ascii="Palatino Linotype" w:hAnsi="Palatino Linotype"/>
          <w:sz w:val="22"/>
          <w:szCs w:val="22"/>
        </w:rPr>
        <w:t>single-sex</w:t>
      </w:r>
      <w:r w:rsidRPr="00F55F49">
        <w:rPr>
          <w:rFonts w:ascii="Palatino Linotype" w:hAnsi="Palatino Linotype"/>
          <w:sz w:val="22"/>
          <w:szCs w:val="22"/>
        </w:rPr>
        <w:t xml:space="preserve"> or co-educational), school ethos, school management, the science curriculum on offer, teacher effects, and careers advice offered to students</w:t>
      </w:r>
      <w:r w:rsidR="00F53CE5">
        <w:rPr>
          <w:rFonts w:ascii="Palatino Linotype" w:hAnsi="Palatino Linotype"/>
          <w:sz w:val="22"/>
          <w:szCs w:val="22"/>
        </w:rPr>
        <w:t xml:space="preserve">.  </w:t>
      </w:r>
      <w:r w:rsidR="00823BEA">
        <w:rPr>
          <w:rFonts w:ascii="Palatino Linotype" w:hAnsi="Palatino Linotype"/>
          <w:sz w:val="22"/>
          <w:szCs w:val="22"/>
        </w:rPr>
        <w:t xml:space="preserve">Exploration of school factors can help identify </w:t>
      </w:r>
      <w:r w:rsidR="004713EE" w:rsidRPr="00823BEA">
        <w:rPr>
          <w:rFonts w:ascii="Palatino Linotype" w:hAnsi="Palatino Linotype"/>
          <w:sz w:val="22"/>
          <w:szCs w:val="22"/>
        </w:rPr>
        <w:t xml:space="preserve">the characteristics </w:t>
      </w:r>
      <w:r w:rsidR="00823BEA">
        <w:rPr>
          <w:rFonts w:ascii="Palatino Linotype" w:hAnsi="Palatino Linotype"/>
          <w:sz w:val="22"/>
          <w:szCs w:val="22"/>
        </w:rPr>
        <w:t xml:space="preserve">of particular types of schools that influence </w:t>
      </w:r>
      <w:r w:rsidR="004713EE" w:rsidRPr="00823BEA">
        <w:rPr>
          <w:rFonts w:ascii="Palatino Linotype" w:hAnsi="Palatino Linotype"/>
          <w:sz w:val="22"/>
          <w:szCs w:val="22"/>
        </w:rPr>
        <w:t xml:space="preserve">uptake and achievement in </w:t>
      </w:r>
      <w:r w:rsidR="00823BEA">
        <w:rPr>
          <w:rFonts w:ascii="Palatino Linotype" w:hAnsi="Palatino Linotype"/>
          <w:sz w:val="22"/>
          <w:szCs w:val="22"/>
        </w:rPr>
        <w:t>STEM subjects in the post-compulsory period</w:t>
      </w:r>
      <w:r w:rsidR="00F53CE5">
        <w:rPr>
          <w:rFonts w:ascii="Palatino Linotype" w:hAnsi="Palatino Linotype"/>
          <w:sz w:val="22"/>
          <w:szCs w:val="22"/>
        </w:rPr>
        <w:t xml:space="preserve">.  </w:t>
      </w:r>
      <w:r w:rsidR="004803F1">
        <w:rPr>
          <w:rFonts w:ascii="Palatino Linotype" w:hAnsi="Palatino Linotype"/>
          <w:sz w:val="22"/>
          <w:szCs w:val="22"/>
        </w:rPr>
        <w:t xml:space="preserve">Depending on the nature of the education system, exploration of systemic or school factors can also yield </w:t>
      </w:r>
      <w:r w:rsidR="004803F1" w:rsidRPr="004803F1">
        <w:rPr>
          <w:rFonts w:ascii="Palatino Linotype" w:hAnsi="Palatino Linotype"/>
          <w:sz w:val="22"/>
          <w:szCs w:val="22"/>
        </w:rPr>
        <w:t>information of the effects of particular curriculum interventions (</w:t>
      </w:r>
      <w:r w:rsidR="004803F1">
        <w:rPr>
          <w:rFonts w:ascii="Palatino Linotype" w:hAnsi="Palatino Linotype"/>
          <w:sz w:val="22"/>
          <w:szCs w:val="22"/>
        </w:rPr>
        <w:t>such as, for example, the use of material with an emphasis on</w:t>
      </w:r>
      <w:r w:rsidR="004803F1" w:rsidRPr="004803F1">
        <w:rPr>
          <w:rFonts w:ascii="Palatino Linotype" w:hAnsi="Palatino Linotype"/>
          <w:sz w:val="22"/>
          <w:szCs w:val="22"/>
        </w:rPr>
        <w:t xml:space="preserve"> context-based approaches, </w:t>
      </w:r>
      <w:r w:rsidR="004803F1">
        <w:rPr>
          <w:rFonts w:ascii="Palatino Linotype" w:hAnsi="Palatino Linotype"/>
          <w:sz w:val="22"/>
          <w:szCs w:val="22"/>
        </w:rPr>
        <w:t xml:space="preserve">or on </w:t>
      </w:r>
      <w:r w:rsidR="004803F1" w:rsidRPr="004803F1">
        <w:rPr>
          <w:rFonts w:ascii="Palatino Linotype" w:hAnsi="Palatino Linotype"/>
          <w:sz w:val="22"/>
          <w:szCs w:val="22"/>
        </w:rPr>
        <w:t xml:space="preserve">scientific literacy) on engagement and </w:t>
      </w:r>
      <w:r w:rsidR="004803F1">
        <w:rPr>
          <w:rFonts w:ascii="Palatino Linotype" w:hAnsi="Palatino Linotype"/>
          <w:sz w:val="22"/>
          <w:szCs w:val="22"/>
        </w:rPr>
        <w:t>participation in STEM subjects.</w:t>
      </w:r>
    </w:p>
    <w:p w:rsidR="00C03A9C" w:rsidRPr="00F55F49" w:rsidRDefault="00C03A9C" w:rsidP="00D9487D">
      <w:pPr>
        <w:tabs>
          <w:tab w:val="clear" w:pos="567"/>
          <w:tab w:val="left" w:pos="720"/>
        </w:tabs>
        <w:spacing w:line="240" w:lineRule="auto"/>
        <w:jc w:val="both"/>
        <w:rPr>
          <w:rFonts w:ascii="Palatino Linotype" w:hAnsi="Palatino Linotype"/>
          <w:sz w:val="22"/>
          <w:szCs w:val="22"/>
        </w:rPr>
      </w:pPr>
    </w:p>
    <w:p w:rsidR="004713EE" w:rsidRPr="00823BEA" w:rsidRDefault="00C03A9C" w:rsidP="00D9487D">
      <w:pPr>
        <w:tabs>
          <w:tab w:val="clear" w:pos="567"/>
          <w:tab w:val="left" w:pos="720"/>
        </w:tabs>
        <w:spacing w:line="240" w:lineRule="auto"/>
        <w:jc w:val="both"/>
        <w:rPr>
          <w:rFonts w:ascii="Palatino Linotype" w:hAnsi="Palatino Linotype"/>
          <w:sz w:val="22"/>
          <w:szCs w:val="22"/>
        </w:rPr>
      </w:pPr>
      <w:r w:rsidRPr="00F55F49">
        <w:rPr>
          <w:rFonts w:ascii="Palatino Linotype" w:hAnsi="Palatino Linotype"/>
          <w:i/>
          <w:sz w:val="22"/>
          <w:szCs w:val="22"/>
        </w:rPr>
        <w:t>Individual factors</w:t>
      </w:r>
      <w:r w:rsidRPr="00F55F49">
        <w:rPr>
          <w:rFonts w:ascii="Palatino Linotype" w:hAnsi="Palatino Linotype"/>
          <w:sz w:val="22"/>
          <w:szCs w:val="22"/>
        </w:rPr>
        <w:t xml:space="preserve"> influencing subject choice have been explored in a wide range of studies which have focused on aspects such as gender, socio-economic status, ethnicity, age, personality factors, ability, prior attainment, subject enjoyment, perception of subject usefulness for further study and/or career purposes</w:t>
      </w:r>
      <w:r w:rsidR="00F53CE5">
        <w:rPr>
          <w:rFonts w:ascii="Palatino Linotype" w:hAnsi="Palatino Linotype"/>
          <w:sz w:val="22"/>
          <w:szCs w:val="22"/>
        </w:rPr>
        <w:t xml:space="preserve">.  </w:t>
      </w:r>
      <w:r w:rsidR="00823BEA">
        <w:rPr>
          <w:rFonts w:ascii="Palatino Linotype" w:hAnsi="Palatino Linotype"/>
          <w:sz w:val="22"/>
          <w:szCs w:val="22"/>
        </w:rPr>
        <w:t>Exploration of individual factors can help shed light on why</w:t>
      </w:r>
      <w:r w:rsidR="004713EE" w:rsidRPr="00823BEA">
        <w:rPr>
          <w:rFonts w:ascii="Palatino Linotype" w:hAnsi="Palatino Linotype"/>
          <w:sz w:val="22"/>
          <w:szCs w:val="22"/>
        </w:rPr>
        <w:t xml:space="preserve"> students are</w:t>
      </w:r>
      <w:r w:rsidR="00823BEA">
        <w:rPr>
          <w:rFonts w:ascii="Palatino Linotype" w:hAnsi="Palatino Linotype"/>
          <w:sz w:val="22"/>
          <w:szCs w:val="22"/>
        </w:rPr>
        <w:t>,</w:t>
      </w:r>
      <w:r w:rsidR="004713EE" w:rsidRPr="00823BEA">
        <w:rPr>
          <w:rFonts w:ascii="Palatino Linotype" w:hAnsi="Palatino Linotype"/>
          <w:sz w:val="22"/>
          <w:szCs w:val="22"/>
        </w:rPr>
        <w:t xml:space="preserve"> or are not</w:t>
      </w:r>
      <w:r w:rsidR="00823BEA">
        <w:rPr>
          <w:rFonts w:ascii="Palatino Linotype" w:hAnsi="Palatino Linotype"/>
          <w:sz w:val="22"/>
          <w:szCs w:val="22"/>
        </w:rPr>
        <w:t>,</w:t>
      </w:r>
      <w:r w:rsidR="004713EE" w:rsidRPr="00823BEA">
        <w:rPr>
          <w:rFonts w:ascii="Palatino Linotype" w:hAnsi="Palatino Linotype"/>
          <w:sz w:val="22"/>
          <w:szCs w:val="22"/>
        </w:rPr>
        <w:t xml:space="preserve"> choosing to study STEM</w:t>
      </w:r>
      <w:r w:rsidR="00823BEA">
        <w:rPr>
          <w:rFonts w:ascii="Palatino Linotype" w:hAnsi="Palatino Linotype"/>
          <w:sz w:val="22"/>
          <w:szCs w:val="22"/>
        </w:rPr>
        <w:t xml:space="preserve"> subjects.</w:t>
      </w:r>
    </w:p>
    <w:p w:rsidR="00C03A9C" w:rsidRPr="00F55F49" w:rsidRDefault="00C03A9C" w:rsidP="00D9487D">
      <w:pPr>
        <w:tabs>
          <w:tab w:val="clear" w:pos="567"/>
          <w:tab w:val="left" w:pos="720"/>
        </w:tabs>
        <w:spacing w:line="240" w:lineRule="auto"/>
        <w:jc w:val="both"/>
        <w:rPr>
          <w:rFonts w:ascii="Palatino Linotype" w:hAnsi="Palatino Linotype"/>
          <w:sz w:val="22"/>
          <w:szCs w:val="22"/>
        </w:rPr>
      </w:pPr>
    </w:p>
    <w:p w:rsidR="00F158B6" w:rsidRPr="00AD1523" w:rsidRDefault="00C03A9C" w:rsidP="00D9487D">
      <w:pPr>
        <w:tabs>
          <w:tab w:val="clear" w:pos="567"/>
          <w:tab w:val="left" w:pos="720"/>
        </w:tabs>
        <w:spacing w:line="240" w:lineRule="auto"/>
        <w:jc w:val="both"/>
        <w:rPr>
          <w:rFonts w:asciiTheme="minorHAnsi" w:hAnsiTheme="minorHAnsi"/>
          <w:szCs w:val="22"/>
        </w:rPr>
      </w:pPr>
      <w:r w:rsidRPr="00F55F49">
        <w:rPr>
          <w:rFonts w:ascii="Palatino Linotype" w:hAnsi="Palatino Linotype"/>
          <w:i/>
          <w:sz w:val="22"/>
          <w:szCs w:val="22"/>
        </w:rPr>
        <w:t>External factors</w:t>
      </w:r>
      <w:r w:rsidRPr="00F55F49">
        <w:rPr>
          <w:rFonts w:ascii="Palatino Linotype" w:hAnsi="Palatino Linotype"/>
          <w:sz w:val="22"/>
          <w:szCs w:val="22"/>
        </w:rPr>
        <w:t xml:space="preserve"> that may influence subject choice include formal and informal activities that can shape responses to STEM subjects</w:t>
      </w:r>
      <w:r w:rsidR="00F53CE5">
        <w:rPr>
          <w:rFonts w:ascii="Palatino Linotype" w:hAnsi="Palatino Linotype"/>
          <w:sz w:val="22"/>
          <w:szCs w:val="22"/>
        </w:rPr>
        <w:t xml:space="preserve">.  </w:t>
      </w:r>
      <w:r w:rsidRPr="00F55F49">
        <w:rPr>
          <w:rFonts w:ascii="Palatino Linotype" w:hAnsi="Palatino Linotype"/>
          <w:sz w:val="22"/>
          <w:szCs w:val="22"/>
        </w:rPr>
        <w:t>Formal experiences include activities such as visits to museums, participation in science fairs and similar events, and visits to workplaces involving scientists and science-related activity</w:t>
      </w:r>
      <w:r w:rsidR="00F53CE5">
        <w:rPr>
          <w:rFonts w:ascii="Palatino Linotype" w:hAnsi="Palatino Linotype"/>
          <w:sz w:val="22"/>
          <w:szCs w:val="22"/>
        </w:rPr>
        <w:t xml:space="preserve">.  </w:t>
      </w:r>
      <w:r w:rsidRPr="00F55F49">
        <w:rPr>
          <w:rFonts w:ascii="Palatino Linotype" w:hAnsi="Palatino Linotype"/>
          <w:sz w:val="22"/>
          <w:szCs w:val="22"/>
        </w:rPr>
        <w:t>Informal activities include interaction with science in the media and leisure activities with a science focus</w:t>
      </w:r>
      <w:r w:rsidR="00F53CE5">
        <w:rPr>
          <w:rFonts w:ascii="Palatino Linotype" w:hAnsi="Palatino Linotype"/>
          <w:sz w:val="22"/>
          <w:szCs w:val="22"/>
        </w:rPr>
        <w:t xml:space="preserve">.  </w:t>
      </w:r>
      <w:r w:rsidR="00823BEA">
        <w:rPr>
          <w:rFonts w:ascii="Palatino Linotype" w:hAnsi="Palatino Linotype"/>
          <w:sz w:val="22"/>
          <w:szCs w:val="22"/>
        </w:rPr>
        <w:t>Exploration of external factors allows</w:t>
      </w:r>
      <w:r w:rsidR="00021BBE">
        <w:rPr>
          <w:rFonts w:ascii="Palatino Linotype" w:hAnsi="Palatino Linotype"/>
          <w:sz w:val="22"/>
          <w:szCs w:val="22"/>
        </w:rPr>
        <w:t xml:space="preserve"> evidence to be gathered on how</w:t>
      </w:r>
      <w:r w:rsidR="00823BEA" w:rsidRPr="00021BBE">
        <w:rPr>
          <w:rFonts w:ascii="Palatino Linotype" w:hAnsi="Palatino Linotype"/>
          <w:sz w:val="22"/>
          <w:szCs w:val="22"/>
        </w:rPr>
        <w:t xml:space="preserve"> ‘informal learning’ in STEM</w:t>
      </w:r>
      <w:r w:rsidR="00021BBE">
        <w:rPr>
          <w:rFonts w:ascii="Palatino Linotype" w:hAnsi="Palatino Linotype"/>
          <w:sz w:val="22"/>
          <w:szCs w:val="22"/>
        </w:rPr>
        <w:t xml:space="preserve"> subjects</w:t>
      </w:r>
      <w:r w:rsidR="00823BEA" w:rsidRPr="00021BBE">
        <w:rPr>
          <w:rFonts w:ascii="Palatino Linotype" w:hAnsi="Palatino Linotype"/>
          <w:sz w:val="22"/>
          <w:szCs w:val="22"/>
        </w:rPr>
        <w:t xml:space="preserve"> </w:t>
      </w:r>
      <w:r w:rsidR="00021BBE">
        <w:rPr>
          <w:rFonts w:ascii="Palatino Linotype" w:hAnsi="Palatino Linotype"/>
          <w:sz w:val="22"/>
          <w:szCs w:val="22"/>
        </w:rPr>
        <w:t xml:space="preserve">might </w:t>
      </w:r>
      <w:r w:rsidR="00823BEA" w:rsidRPr="00AD1523">
        <w:rPr>
          <w:rFonts w:ascii="Palatino Linotype" w:hAnsi="Palatino Linotype"/>
          <w:sz w:val="22"/>
          <w:szCs w:val="22"/>
        </w:rPr>
        <w:t>support wider recognition of the value an</w:t>
      </w:r>
      <w:r w:rsidR="00021BBE" w:rsidRPr="00AD1523">
        <w:rPr>
          <w:rFonts w:ascii="Palatino Linotype" w:hAnsi="Palatino Linotype"/>
          <w:sz w:val="22"/>
          <w:szCs w:val="22"/>
        </w:rPr>
        <w:t>d importance of STEM</w:t>
      </w:r>
      <w:r w:rsidR="004803F1" w:rsidRPr="00AD1523">
        <w:rPr>
          <w:rFonts w:ascii="Palatino Linotype" w:hAnsi="Palatino Linotype"/>
          <w:sz w:val="22"/>
          <w:szCs w:val="22"/>
        </w:rPr>
        <w:t xml:space="preserve"> education</w:t>
      </w:r>
      <w:r w:rsidR="00021BBE" w:rsidRPr="00AD1523">
        <w:rPr>
          <w:rFonts w:ascii="Palatino Linotype" w:hAnsi="Palatino Linotype"/>
          <w:sz w:val="22"/>
          <w:szCs w:val="22"/>
        </w:rPr>
        <w:t xml:space="preserve"> to society</w:t>
      </w:r>
      <w:r w:rsidR="00F53CE5">
        <w:rPr>
          <w:rFonts w:ascii="Palatino Linotype" w:hAnsi="Palatino Linotype"/>
          <w:sz w:val="22"/>
          <w:szCs w:val="22"/>
        </w:rPr>
        <w:t xml:space="preserve">.  </w:t>
      </w:r>
    </w:p>
    <w:p w:rsidR="00284EFD" w:rsidRPr="00AD1523" w:rsidRDefault="00284EFD" w:rsidP="00834CFC">
      <w:pPr>
        <w:tabs>
          <w:tab w:val="clear" w:pos="567"/>
          <w:tab w:val="left" w:pos="720"/>
        </w:tabs>
        <w:spacing w:line="240" w:lineRule="auto"/>
        <w:jc w:val="both"/>
        <w:rPr>
          <w:rFonts w:asciiTheme="minorHAnsi" w:hAnsiTheme="minorHAnsi"/>
          <w:szCs w:val="22"/>
        </w:rPr>
      </w:pPr>
    </w:p>
    <w:p w:rsidR="00284EFD" w:rsidRPr="00D9487D" w:rsidRDefault="00284EFD" w:rsidP="00834CFC">
      <w:pPr>
        <w:tabs>
          <w:tab w:val="clear" w:pos="567"/>
          <w:tab w:val="left" w:pos="720"/>
        </w:tabs>
        <w:spacing w:line="240" w:lineRule="auto"/>
        <w:jc w:val="both"/>
        <w:rPr>
          <w:rFonts w:ascii="Palatino Linotype" w:hAnsi="Palatino Linotype"/>
          <w:b/>
          <w:color w:val="1F497D" w:themeColor="text2"/>
          <w:sz w:val="22"/>
          <w:szCs w:val="22"/>
        </w:rPr>
      </w:pPr>
      <w:r w:rsidRPr="00F8159F">
        <w:rPr>
          <w:rFonts w:ascii="Palatino Linotype" w:hAnsi="Palatino Linotype"/>
          <w:b/>
          <w:color w:val="1F497D" w:themeColor="text2"/>
          <w:sz w:val="28"/>
          <w:szCs w:val="22"/>
        </w:rPr>
        <w:t>3</w:t>
      </w:r>
      <w:r w:rsidRPr="00F8159F">
        <w:rPr>
          <w:rFonts w:ascii="Palatino Linotype" w:hAnsi="Palatino Linotype"/>
          <w:b/>
          <w:color w:val="1F497D" w:themeColor="text2"/>
          <w:sz w:val="28"/>
          <w:szCs w:val="22"/>
        </w:rPr>
        <w:tab/>
        <w:t>Evidence from the literature review</w:t>
      </w:r>
    </w:p>
    <w:p w:rsidR="00EE3715" w:rsidRDefault="00EE3715" w:rsidP="00834CFC">
      <w:pPr>
        <w:tabs>
          <w:tab w:val="clear" w:pos="567"/>
          <w:tab w:val="left" w:pos="720"/>
        </w:tabs>
        <w:spacing w:line="240" w:lineRule="auto"/>
        <w:jc w:val="both"/>
        <w:rPr>
          <w:rFonts w:ascii="Palatino Linotype" w:hAnsi="Palatino Linotype"/>
          <w:bCs/>
          <w:sz w:val="22"/>
          <w:szCs w:val="22"/>
        </w:rPr>
      </w:pPr>
    </w:p>
    <w:p w:rsidR="008F1A1E" w:rsidRPr="00F8159F" w:rsidRDefault="00EE2F79" w:rsidP="00834CFC">
      <w:pPr>
        <w:tabs>
          <w:tab w:val="clear" w:pos="567"/>
          <w:tab w:val="left" w:pos="720"/>
        </w:tabs>
        <w:spacing w:line="240" w:lineRule="auto"/>
        <w:jc w:val="both"/>
        <w:rPr>
          <w:rFonts w:ascii="Palatino Linotype" w:hAnsi="Palatino Linotype"/>
          <w:b/>
          <w:bCs/>
          <w:sz w:val="22"/>
          <w:szCs w:val="22"/>
        </w:rPr>
      </w:pPr>
      <w:r w:rsidRPr="00F8159F">
        <w:rPr>
          <w:rFonts w:ascii="Palatino Linotype" w:hAnsi="Palatino Linotype"/>
          <w:b/>
          <w:bCs/>
          <w:sz w:val="22"/>
          <w:szCs w:val="22"/>
        </w:rPr>
        <w:t>3.1</w:t>
      </w:r>
      <w:r w:rsidR="008F1A1E" w:rsidRPr="00F8159F">
        <w:rPr>
          <w:rFonts w:ascii="Palatino Linotype" w:hAnsi="Palatino Linotype"/>
          <w:b/>
          <w:bCs/>
          <w:sz w:val="22"/>
          <w:szCs w:val="22"/>
        </w:rPr>
        <w:tab/>
        <w:t>Systemic factors</w:t>
      </w:r>
    </w:p>
    <w:p w:rsidR="008F1A1E" w:rsidRPr="007046AE" w:rsidRDefault="008F1A1E" w:rsidP="007046AE">
      <w:pPr>
        <w:tabs>
          <w:tab w:val="clear" w:pos="567"/>
          <w:tab w:val="left" w:pos="720"/>
        </w:tabs>
        <w:spacing w:line="240" w:lineRule="auto"/>
        <w:jc w:val="both"/>
        <w:rPr>
          <w:rFonts w:ascii="Palatino Linotype" w:hAnsi="Palatino Linotype"/>
          <w:bCs/>
          <w:sz w:val="22"/>
          <w:szCs w:val="22"/>
        </w:rPr>
      </w:pPr>
    </w:p>
    <w:p w:rsidR="007046AE" w:rsidRDefault="00C6017E" w:rsidP="007046AE">
      <w:pPr>
        <w:jc w:val="both"/>
        <w:rPr>
          <w:rFonts w:ascii="Palatino Linotype" w:hAnsi="Palatino Linotype"/>
          <w:sz w:val="22"/>
          <w:szCs w:val="22"/>
        </w:rPr>
      </w:pPr>
      <w:r w:rsidRPr="007046AE">
        <w:rPr>
          <w:rFonts w:ascii="Palatino Linotype" w:hAnsi="Palatino Linotype"/>
          <w:sz w:val="22"/>
          <w:szCs w:val="22"/>
        </w:rPr>
        <w:t xml:space="preserve">As </w:t>
      </w:r>
      <w:r w:rsidR="007046AE" w:rsidRPr="007046AE">
        <w:rPr>
          <w:rFonts w:ascii="Palatino Linotype" w:hAnsi="Palatino Linotype"/>
          <w:sz w:val="22"/>
          <w:szCs w:val="22"/>
        </w:rPr>
        <w:t>a</w:t>
      </w:r>
      <w:r w:rsidRPr="007046AE">
        <w:rPr>
          <w:rFonts w:ascii="Palatino Linotype" w:hAnsi="Palatino Linotype"/>
          <w:sz w:val="22"/>
          <w:szCs w:val="22"/>
        </w:rPr>
        <w:t xml:space="preserve"> preface to this section, it is important to note that </w:t>
      </w:r>
      <w:r w:rsidR="007046AE" w:rsidRPr="007046AE">
        <w:rPr>
          <w:rFonts w:ascii="Palatino Linotype" w:hAnsi="Palatino Linotype"/>
          <w:sz w:val="22"/>
          <w:szCs w:val="22"/>
        </w:rPr>
        <w:t>making c</w:t>
      </w:r>
      <w:r w:rsidR="009D3288" w:rsidRPr="007046AE">
        <w:rPr>
          <w:rFonts w:ascii="Palatino Linotype" w:hAnsi="Palatino Linotype"/>
          <w:sz w:val="22"/>
          <w:szCs w:val="22"/>
        </w:rPr>
        <w:t>omparison</w:t>
      </w:r>
      <w:r w:rsidR="007046AE">
        <w:rPr>
          <w:rFonts w:ascii="Palatino Linotype" w:hAnsi="Palatino Linotype"/>
          <w:sz w:val="22"/>
          <w:szCs w:val="22"/>
        </w:rPr>
        <w:t>s</w:t>
      </w:r>
      <w:r w:rsidR="009D3288" w:rsidRPr="007046AE">
        <w:rPr>
          <w:rFonts w:ascii="Palatino Linotype" w:hAnsi="Palatino Linotype"/>
          <w:sz w:val="22"/>
          <w:szCs w:val="22"/>
        </w:rPr>
        <w:t xml:space="preserve"> between education systems is </w:t>
      </w:r>
      <w:r w:rsidR="004159D3">
        <w:rPr>
          <w:rFonts w:ascii="Palatino Linotype" w:hAnsi="Palatino Linotype"/>
          <w:sz w:val="22"/>
          <w:szCs w:val="22"/>
        </w:rPr>
        <w:t>complex</w:t>
      </w:r>
      <w:r w:rsidR="00F53CE5">
        <w:rPr>
          <w:rFonts w:ascii="Palatino Linotype" w:hAnsi="Palatino Linotype"/>
          <w:sz w:val="22"/>
          <w:szCs w:val="22"/>
        </w:rPr>
        <w:t xml:space="preserve">.  </w:t>
      </w:r>
      <w:r w:rsidR="009D3288" w:rsidRPr="007046AE">
        <w:rPr>
          <w:rFonts w:ascii="Palatino Linotype" w:hAnsi="Palatino Linotype"/>
          <w:sz w:val="22"/>
          <w:szCs w:val="22"/>
        </w:rPr>
        <w:t xml:space="preserve">There are substantial </w:t>
      </w:r>
      <w:r w:rsidR="007046AE">
        <w:rPr>
          <w:rFonts w:ascii="Palatino Linotype" w:hAnsi="Palatino Linotype"/>
          <w:sz w:val="22"/>
          <w:szCs w:val="22"/>
        </w:rPr>
        <w:t>variations from country to country</w:t>
      </w:r>
      <w:r w:rsidR="009D3288" w:rsidRPr="007046AE">
        <w:rPr>
          <w:rFonts w:ascii="Palatino Linotype" w:hAnsi="Palatino Linotype"/>
          <w:sz w:val="22"/>
          <w:szCs w:val="22"/>
        </w:rPr>
        <w:t xml:space="preserve"> in</w:t>
      </w:r>
      <w:r w:rsidR="004159D3">
        <w:rPr>
          <w:rFonts w:ascii="Palatino Linotype" w:hAnsi="Palatino Linotype"/>
          <w:sz w:val="22"/>
          <w:szCs w:val="22"/>
        </w:rPr>
        <w:t xml:space="preserve"> </w:t>
      </w:r>
      <w:r w:rsidR="004159D3" w:rsidRPr="004159D3">
        <w:rPr>
          <w:rFonts w:ascii="Palatino Linotype" w:hAnsi="Palatino Linotype"/>
          <w:bCs/>
          <w:sz w:val="22"/>
          <w:szCs w:val="22"/>
        </w:rPr>
        <w:t>government policies, job markets and economies, social views, traditions, education systems</w:t>
      </w:r>
      <w:r w:rsidR="004159D3">
        <w:rPr>
          <w:rFonts w:ascii="Palatino Linotype" w:hAnsi="Palatino Linotype"/>
          <w:bCs/>
          <w:sz w:val="22"/>
          <w:szCs w:val="22"/>
        </w:rPr>
        <w:t xml:space="preserve"> and the cultural and political values in which they are embedded</w:t>
      </w:r>
      <w:r w:rsidR="004159D3" w:rsidRPr="004159D3">
        <w:rPr>
          <w:rFonts w:ascii="Palatino Linotype" w:hAnsi="Palatino Linotype"/>
          <w:bCs/>
          <w:sz w:val="22"/>
          <w:szCs w:val="22"/>
        </w:rPr>
        <w:t>, methods of subject choice, ability groupings and examination systems</w:t>
      </w:r>
      <w:r w:rsidR="00F53CE5">
        <w:rPr>
          <w:rFonts w:ascii="Palatino Linotype" w:hAnsi="Palatino Linotype"/>
          <w:bCs/>
          <w:sz w:val="22"/>
          <w:szCs w:val="22"/>
        </w:rPr>
        <w:t xml:space="preserve">.  </w:t>
      </w:r>
      <w:r w:rsidR="004159D3">
        <w:rPr>
          <w:rFonts w:ascii="Palatino Linotype" w:hAnsi="Palatino Linotype"/>
          <w:bCs/>
          <w:sz w:val="22"/>
          <w:szCs w:val="22"/>
        </w:rPr>
        <w:t>C</w:t>
      </w:r>
      <w:r w:rsidR="009D3288" w:rsidRPr="007046AE">
        <w:rPr>
          <w:rFonts w:ascii="Palatino Linotype" w:hAnsi="Palatino Linotype"/>
          <w:sz w:val="22"/>
          <w:szCs w:val="22"/>
        </w:rPr>
        <w:t xml:space="preserve">ountries </w:t>
      </w:r>
      <w:r w:rsidR="007046AE">
        <w:rPr>
          <w:rFonts w:ascii="Palatino Linotype" w:hAnsi="Palatino Linotype"/>
          <w:sz w:val="22"/>
          <w:szCs w:val="22"/>
        </w:rPr>
        <w:t xml:space="preserve">also </w:t>
      </w:r>
      <w:r w:rsidR="009D3288" w:rsidRPr="007046AE">
        <w:rPr>
          <w:rFonts w:ascii="Palatino Linotype" w:hAnsi="Palatino Linotype"/>
          <w:sz w:val="22"/>
          <w:szCs w:val="22"/>
        </w:rPr>
        <w:t>collect and report data in different ways, and statistics therefore rarely lend themselves to direct comparison</w:t>
      </w:r>
      <w:r w:rsidR="00F53CE5">
        <w:rPr>
          <w:rFonts w:ascii="Palatino Linotype" w:hAnsi="Palatino Linotype"/>
          <w:sz w:val="22"/>
          <w:szCs w:val="22"/>
        </w:rPr>
        <w:t xml:space="preserve">.  </w:t>
      </w:r>
      <w:r w:rsidR="004947E2">
        <w:rPr>
          <w:rFonts w:ascii="Palatino Linotype" w:hAnsi="Palatino Linotype"/>
          <w:sz w:val="22"/>
          <w:szCs w:val="22"/>
        </w:rPr>
        <w:t>These complexities are reflected in the way that comparative studies are undertaken</w:t>
      </w:r>
      <w:r w:rsidR="00BC353A">
        <w:rPr>
          <w:rFonts w:ascii="Palatino Linotype" w:hAnsi="Palatino Linotype"/>
          <w:sz w:val="22"/>
          <w:szCs w:val="22"/>
        </w:rPr>
        <w:t>,</w:t>
      </w:r>
      <w:r w:rsidR="00EB1681">
        <w:rPr>
          <w:rFonts w:ascii="Palatino Linotype" w:hAnsi="Palatino Linotype"/>
          <w:sz w:val="22"/>
          <w:szCs w:val="22"/>
        </w:rPr>
        <w:t xml:space="preserve"> typically draw</w:t>
      </w:r>
      <w:r w:rsidR="00BC353A">
        <w:rPr>
          <w:rFonts w:ascii="Palatino Linotype" w:hAnsi="Palatino Linotype"/>
          <w:sz w:val="22"/>
          <w:szCs w:val="22"/>
        </w:rPr>
        <w:t>ing</w:t>
      </w:r>
      <w:r w:rsidR="00EB1681">
        <w:rPr>
          <w:rFonts w:ascii="Palatino Linotype" w:hAnsi="Palatino Linotype"/>
          <w:sz w:val="22"/>
          <w:szCs w:val="22"/>
        </w:rPr>
        <w:t xml:space="preserve"> on document studies and input from experts or expert groups within countries</w:t>
      </w:r>
      <w:r w:rsidR="00F53CE5">
        <w:rPr>
          <w:rFonts w:ascii="Palatino Linotype" w:hAnsi="Palatino Linotype"/>
          <w:sz w:val="22"/>
          <w:szCs w:val="22"/>
        </w:rPr>
        <w:t xml:space="preserve">.  </w:t>
      </w:r>
    </w:p>
    <w:p w:rsidR="009D3288" w:rsidRDefault="009D3288" w:rsidP="007046AE">
      <w:pPr>
        <w:tabs>
          <w:tab w:val="clear" w:pos="567"/>
          <w:tab w:val="left" w:pos="720"/>
        </w:tabs>
        <w:spacing w:line="240" w:lineRule="auto"/>
        <w:jc w:val="both"/>
        <w:rPr>
          <w:rFonts w:ascii="Palatino Linotype" w:hAnsi="Palatino Linotype"/>
          <w:bCs/>
          <w:sz w:val="22"/>
          <w:szCs w:val="22"/>
        </w:rPr>
      </w:pPr>
    </w:p>
    <w:p w:rsidR="00F639AC" w:rsidRPr="00F639AC" w:rsidRDefault="00F639AC" w:rsidP="007046AE">
      <w:pPr>
        <w:tabs>
          <w:tab w:val="clear" w:pos="567"/>
          <w:tab w:val="left" w:pos="720"/>
        </w:tabs>
        <w:spacing w:line="240" w:lineRule="auto"/>
        <w:jc w:val="both"/>
        <w:rPr>
          <w:rFonts w:ascii="Palatino Linotype" w:hAnsi="Palatino Linotype"/>
          <w:bCs/>
          <w:i/>
          <w:sz w:val="22"/>
          <w:szCs w:val="22"/>
        </w:rPr>
      </w:pPr>
      <w:r w:rsidRPr="00F639AC">
        <w:rPr>
          <w:rFonts w:ascii="Palatino Linotype" w:hAnsi="Palatino Linotype"/>
          <w:bCs/>
          <w:i/>
          <w:sz w:val="22"/>
          <w:szCs w:val="22"/>
        </w:rPr>
        <w:t>3.1.1</w:t>
      </w:r>
      <w:r w:rsidRPr="00F639AC">
        <w:rPr>
          <w:rFonts w:ascii="Palatino Linotype" w:hAnsi="Palatino Linotype"/>
          <w:bCs/>
          <w:i/>
          <w:sz w:val="22"/>
          <w:szCs w:val="22"/>
        </w:rPr>
        <w:tab/>
        <w:t>International comparisons</w:t>
      </w:r>
    </w:p>
    <w:p w:rsidR="00F639AC" w:rsidRPr="007046AE" w:rsidRDefault="00F639AC" w:rsidP="007046AE">
      <w:pPr>
        <w:tabs>
          <w:tab w:val="clear" w:pos="567"/>
          <w:tab w:val="left" w:pos="720"/>
        </w:tabs>
        <w:spacing w:line="240" w:lineRule="auto"/>
        <w:jc w:val="both"/>
        <w:rPr>
          <w:rFonts w:ascii="Palatino Linotype" w:hAnsi="Palatino Linotype"/>
          <w:bCs/>
          <w:sz w:val="22"/>
          <w:szCs w:val="22"/>
        </w:rPr>
      </w:pPr>
    </w:p>
    <w:p w:rsidR="002B1A14" w:rsidRDefault="008F1A1E" w:rsidP="007046AE">
      <w:pPr>
        <w:tabs>
          <w:tab w:val="clear" w:pos="567"/>
          <w:tab w:val="left" w:pos="720"/>
        </w:tabs>
        <w:spacing w:line="240" w:lineRule="auto"/>
        <w:jc w:val="both"/>
        <w:rPr>
          <w:rFonts w:ascii="Palatino Linotype" w:hAnsi="Palatino Linotype"/>
          <w:bCs/>
          <w:sz w:val="22"/>
          <w:szCs w:val="22"/>
        </w:rPr>
      </w:pPr>
      <w:r w:rsidRPr="007046AE">
        <w:rPr>
          <w:rFonts w:ascii="Palatino Linotype" w:hAnsi="Palatino Linotype"/>
          <w:bCs/>
          <w:sz w:val="22"/>
          <w:szCs w:val="22"/>
        </w:rPr>
        <w:t xml:space="preserve">In a comparative </w:t>
      </w:r>
      <w:r w:rsidRPr="008F1A1E">
        <w:rPr>
          <w:rFonts w:ascii="Palatino Linotype" w:hAnsi="Palatino Linotype"/>
          <w:bCs/>
          <w:sz w:val="22"/>
          <w:szCs w:val="22"/>
        </w:rPr>
        <w:t>study of tertiary uptake of STEM courses across several industrialised nations (</w:t>
      </w:r>
      <w:r w:rsidR="00D21139">
        <w:rPr>
          <w:rFonts w:ascii="Palatino Linotype" w:hAnsi="Palatino Linotype"/>
          <w:bCs/>
          <w:sz w:val="22"/>
          <w:szCs w:val="22"/>
        </w:rPr>
        <w:t xml:space="preserve">The </w:t>
      </w:r>
      <w:r w:rsidRPr="008F1A1E">
        <w:rPr>
          <w:rFonts w:ascii="Palatino Linotype" w:hAnsi="Palatino Linotype"/>
          <w:bCs/>
          <w:sz w:val="22"/>
          <w:szCs w:val="22"/>
        </w:rPr>
        <w:t xml:space="preserve">Netherlands, Sweden, United States, and United Kingdom), Van Langen and Dekker (2005) </w:t>
      </w:r>
      <w:r w:rsidR="00376921">
        <w:rPr>
          <w:rFonts w:ascii="Palatino Linotype" w:hAnsi="Palatino Linotype"/>
          <w:bCs/>
          <w:sz w:val="22"/>
          <w:szCs w:val="22"/>
        </w:rPr>
        <w:t>explored</w:t>
      </w:r>
      <w:r w:rsidRPr="008F1A1E">
        <w:rPr>
          <w:rFonts w:ascii="Palatino Linotype" w:hAnsi="Palatino Linotype"/>
          <w:bCs/>
          <w:sz w:val="22"/>
          <w:szCs w:val="22"/>
        </w:rPr>
        <w:t xml:space="preserve"> systemic factors </w:t>
      </w:r>
      <w:r w:rsidR="00376921">
        <w:rPr>
          <w:rFonts w:ascii="Palatino Linotype" w:hAnsi="Palatino Linotype"/>
          <w:bCs/>
          <w:sz w:val="22"/>
          <w:szCs w:val="22"/>
        </w:rPr>
        <w:t>that influenced uptake</w:t>
      </w:r>
      <w:r w:rsidR="00F53CE5">
        <w:rPr>
          <w:rFonts w:ascii="Palatino Linotype" w:hAnsi="Palatino Linotype"/>
          <w:bCs/>
          <w:sz w:val="22"/>
          <w:szCs w:val="22"/>
        </w:rPr>
        <w:t xml:space="preserve">.  </w:t>
      </w:r>
      <w:r w:rsidR="00977D10">
        <w:rPr>
          <w:rFonts w:ascii="Palatino Linotype" w:hAnsi="Palatino Linotype"/>
          <w:bCs/>
          <w:sz w:val="22"/>
          <w:szCs w:val="22"/>
        </w:rPr>
        <w:t>The</w:t>
      </w:r>
      <w:r w:rsidR="005B73A0">
        <w:rPr>
          <w:rFonts w:ascii="Palatino Linotype" w:hAnsi="Palatino Linotype"/>
          <w:bCs/>
          <w:sz w:val="22"/>
          <w:szCs w:val="22"/>
        </w:rPr>
        <w:t xml:space="preserve"> countries were selected on the basis of </w:t>
      </w:r>
      <w:r w:rsidR="00977D10">
        <w:rPr>
          <w:rFonts w:ascii="Palatino Linotype" w:hAnsi="Palatino Linotype"/>
          <w:bCs/>
          <w:sz w:val="22"/>
          <w:szCs w:val="22"/>
        </w:rPr>
        <w:t xml:space="preserve">the </w:t>
      </w:r>
      <w:r w:rsidR="00970F23">
        <w:rPr>
          <w:rFonts w:ascii="Palatino Linotype" w:hAnsi="Palatino Linotype"/>
          <w:bCs/>
          <w:sz w:val="22"/>
          <w:szCs w:val="22"/>
        </w:rPr>
        <w:t>very differ</w:t>
      </w:r>
      <w:r w:rsidR="00977D10">
        <w:rPr>
          <w:rFonts w:ascii="Palatino Linotype" w:hAnsi="Palatino Linotype"/>
          <w:bCs/>
          <w:sz w:val="22"/>
          <w:szCs w:val="22"/>
        </w:rPr>
        <w:t>ent levels of</w:t>
      </w:r>
      <w:r w:rsidR="00970F23">
        <w:rPr>
          <w:rFonts w:ascii="Palatino Linotype" w:hAnsi="Palatino Linotype"/>
          <w:bCs/>
          <w:sz w:val="22"/>
          <w:szCs w:val="22"/>
        </w:rPr>
        <w:t xml:space="preserve"> uptake of STEM subjects at the tertiary level</w:t>
      </w:r>
      <w:r w:rsidR="00921EE9">
        <w:rPr>
          <w:rFonts w:ascii="Palatino Linotype" w:hAnsi="Palatino Linotype"/>
          <w:bCs/>
          <w:sz w:val="22"/>
          <w:szCs w:val="22"/>
        </w:rPr>
        <w:t xml:space="preserve"> (i.e. further or higher education)</w:t>
      </w:r>
      <w:r w:rsidR="00970F23">
        <w:rPr>
          <w:rFonts w:ascii="Palatino Linotype" w:hAnsi="Palatino Linotype"/>
          <w:bCs/>
          <w:sz w:val="22"/>
          <w:szCs w:val="22"/>
        </w:rPr>
        <w:t xml:space="preserve">, with </w:t>
      </w:r>
      <w:r w:rsidR="00392C5F">
        <w:rPr>
          <w:rFonts w:ascii="Palatino Linotype" w:hAnsi="Palatino Linotype"/>
          <w:bCs/>
          <w:sz w:val="22"/>
          <w:szCs w:val="22"/>
        </w:rPr>
        <w:t xml:space="preserve">levels of take-up being </w:t>
      </w:r>
      <w:r w:rsidR="00970F23">
        <w:rPr>
          <w:rFonts w:ascii="Palatino Linotype" w:hAnsi="Palatino Linotype"/>
          <w:bCs/>
          <w:sz w:val="22"/>
          <w:szCs w:val="22"/>
        </w:rPr>
        <w:t>Sweden (28.1%), the UK (22.21%), The Netherlands</w:t>
      </w:r>
      <w:r w:rsidR="00C56DF6">
        <w:rPr>
          <w:rFonts w:ascii="Palatino Linotype" w:hAnsi="Palatino Linotype"/>
          <w:bCs/>
          <w:sz w:val="22"/>
          <w:szCs w:val="22"/>
        </w:rPr>
        <w:t xml:space="preserve"> (14.6%)</w:t>
      </w:r>
      <w:r w:rsidR="00970F23">
        <w:rPr>
          <w:rFonts w:ascii="Palatino Linotype" w:hAnsi="Palatino Linotype"/>
          <w:bCs/>
          <w:sz w:val="22"/>
          <w:szCs w:val="22"/>
        </w:rPr>
        <w:t xml:space="preserve"> and the US (12%)</w:t>
      </w:r>
      <w:r w:rsidR="00F53CE5">
        <w:rPr>
          <w:rFonts w:ascii="Palatino Linotype" w:hAnsi="Palatino Linotype"/>
          <w:bCs/>
          <w:sz w:val="22"/>
          <w:szCs w:val="22"/>
        </w:rPr>
        <w:t xml:space="preserve">.  </w:t>
      </w:r>
      <w:r w:rsidR="00C56DF6">
        <w:rPr>
          <w:rFonts w:ascii="Palatino Linotype" w:hAnsi="Palatino Linotype"/>
          <w:bCs/>
          <w:sz w:val="22"/>
          <w:szCs w:val="22"/>
        </w:rPr>
        <w:t>All four countries report concern over declining</w:t>
      </w:r>
      <w:r w:rsidR="00D8527C">
        <w:rPr>
          <w:rFonts w:ascii="Palatino Linotype" w:hAnsi="Palatino Linotype"/>
          <w:bCs/>
          <w:sz w:val="22"/>
          <w:szCs w:val="22"/>
        </w:rPr>
        <w:t xml:space="preserve"> interest in STEM subjects, under</w:t>
      </w:r>
      <w:r w:rsidR="00C56DF6">
        <w:rPr>
          <w:rFonts w:ascii="Palatino Linotype" w:hAnsi="Palatino Linotype"/>
          <w:bCs/>
          <w:sz w:val="22"/>
          <w:szCs w:val="22"/>
        </w:rPr>
        <w:t>-representation of girls and women, current and/or predicted shortfalls in the labour</w:t>
      </w:r>
      <w:r w:rsidR="00D8527C">
        <w:rPr>
          <w:rFonts w:ascii="Palatino Linotype" w:hAnsi="Palatino Linotype"/>
          <w:bCs/>
          <w:sz w:val="22"/>
          <w:szCs w:val="22"/>
        </w:rPr>
        <w:t xml:space="preserve"> market, and </w:t>
      </w:r>
      <w:r w:rsidR="00C56DF6">
        <w:rPr>
          <w:rFonts w:ascii="Palatino Linotype" w:hAnsi="Palatino Linotype"/>
          <w:bCs/>
          <w:sz w:val="22"/>
          <w:szCs w:val="22"/>
        </w:rPr>
        <w:t>aspirations for stronger economic</w:t>
      </w:r>
      <w:r w:rsidR="004159D3">
        <w:rPr>
          <w:rFonts w:ascii="Palatino Linotype" w:hAnsi="Palatino Linotype"/>
          <w:bCs/>
          <w:sz w:val="22"/>
          <w:szCs w:val="22"/>
        </w:rPr>
        <w:t xml:space="preserve"> growth</w:t>
      </w:r>
      <w:r w:rsidR="00F53CE5">
        <w:rPr>
          <w:rFonts w:ascii="Palatino Linotype" w:hAnsi="Palatino Linotype"/>
          <w:bCs/>
          <w:sz w:val="22"/>
          <w:szCs w:val="22"/>
        </w:rPr>
        <w:t xml:space="preserve">.  </w:t>
      </w:r>
      <w:r w:rsidR="004159D3">
        <w:rPr>
          <w:rFonts w:ascii="Palatino Linotype" w:hAnsi="Palatino Linotype"/>
          <w:bCs/>
          <w:sz w:val="22"/>
          <w:szCs w:val="22"/>
        </w:rPr>
        <w:t xml:space="preserve">The </w:t>
      </w:r>
      <w:r w:rsidR="004159D3">
        <w:rPr>
          <w:rFonts w:ascii="Palatino Linotype" w:hAnsi="Palatino Linotype"/>
          <w:bCs/>
          <w:sz w:val="22"/>
          <w:szCs w:val="22"/>
        </w:rPr>
        <w:lastRenderedPageBreak/>
        <w:t>study</w:t>
      </w:r>
      <w:r w:rsidR="002B1A14">
        <w:rPr>
          <w:rFonts w:ascii="Palatino Linotype" w:hAnsi="Palatino Linotype"/>
          <w:bCs/>
          <w:sz w:val="22"/>
          <w:szCs w:val="22"/>
        </w:rPr>
        <w:t xml:space="preserve"> t</w:t>
      </w:r>
      <w:r w:rsidR="00BA7B97">
        <w:rPr>
          <w:rFonts w:ascii="Palatino Linotype" w:hAnsi="Palatino Linotype"/>
          <w:bCs/>
          <w:sz w:val="22"/>
          <w:szCs w:val="22"/>
        </w:rPr>
        <w:t xml:space="preserve">ook the form of a document analysis and </w:t>
      </w:r>
      <w:r w:rsidR="002B1A14">
        <w:rPr>
          <w:rFonts w:ascii="Palatino Linotype" w:hAnsi="Palatino Linotype"/>
          <w:bCs/>
          <w:sz w:val="22"/>
          <w:szCs w:val="22"/>
        </w:rPr>
        <w:t>in-</w:t>
      </w:r>
      <w:r w:rsidR="005B73A0">
        <w:rPr>
          <w:rFonts w:ascii="Palatino Linotype" w:hAnsi="Palatino Linotype"/>
          <w:bCs/>
          <w:sz w:val="22"/>
          <w:szCs w:val="22"/>
        </w:rPr>
        <w:t>depth</w:t>
      </w:r>
      <w:r w:rsidR="002B1A14">
        <w:rPr>
          <w:rFonts w:ascii="Palatino Linotype" w:hAnsi="Palatino Linotype"/>
          <w:bCs/>
          <w:sz w:val="22"/>
          <w:szCs w:val="22"/>
        </w:rPr>
        <w:t xml:space="preserve"> </w:t>
      </w:r>
      <w:r w:rsidR="00BA7B97">
        <w:rPr>
          <w:rFonts w:ascii="Palatino Linotype" w:hAnsi="Palatino Linotype"/>
          <w:bCs/>
          <w:sz w:val="22"/>
          <w:szCs w:val="22"/>
        </w:rPr>
        <w:t>interviews with</w:t>
      </w:r>
      <w:r w:rsidR="002B1A14">
        <w:rPr>
          <w:rFonts w:ascii="Palatino Linotype" w:hAnsi="Palatino Linotype"/>
          <w:bCs/>
          <w:sz w:val="22"/>
          <w:szCs w:val="22"/>
        </w:rPr>
        <w:t xml:space="preserve"> five </w:t>
      </w:r>
      <w:r w:rsidR="00BC353A">
        <w:rPr>
          <w:rFonts w:ascii="Palatino Linotype" w:hAnsi="Palatino Linotype"/>
          <w:bCs/>
          <w:sz w:val="22"/>
          <w:szCs w:val="22"/>
        </w:rPr>
        <w:t>or</w:t>
      </w:r>
      <w:r w:rsidR="002B1A14">
        <w:rPr>
          <w:rFonts w:ascii="Palatino Linotype" w:hAnsi="Palatino Linotype"/>
          <w:bCs/>
          <w:sz w:val="22"/>
          <w:szCs w:val="22"/>
        </w:rPr>
        <w:t xml:space="preserve"> six experts</w:t>
      </w:r>
      <w:r w:rsidR="00BA7B97">
        <w:rPr>
          <w:rFonts w:ascii="Palatino Linotype" w:hAnsi="Palatino Linotype"/>
          <w:bCs/>
          <w:sz w:val="22"/>
          <w:szCs w:val="22"/>
        </w:rPr>
        <w:t xml:space="preserve"> in each country</w:t>
      </w:r>
      <w:r w:rsidR="00F53CE5">
        <w:rPr>
          <w:rFonts w:ascii="Palatino Linotype" w:hAnsi="Palatino Linotype"/>
          <w:bCs/>
          <w:sz w:val="22"/>
          <w:szCs w:val="22"/>
        </w:rPr>
        <w:t xml:space="preserve">.  </w:t>
      </w:r>
    </w:p>
    <w:p w:rsidR="005B73A0" w:rsidRDefault="005B73A0" w:rsidP="00834CFC">
      <w:pPr>
        <w:tabs>
          <w:tab w:val="clear" w:pos="567"/>
          <w:tab w:val="left" w:pos="720"/>
        </w:tabs>
        <w:spacing w:line="240" w:lineRule="auto"/>
        <w:jc w:val="both"/>
        <w:rPr>
          <w:rFonts w:ascii="Palatino Linotype" w:hAnsi="Palatino Linotype"/>
          <w:bCs/>
          <w:sz w:val="22"/>
          <w:szCs w:val="22"/>
        </w:rPr>
      </w:pPr>
    </w:p>
    <w:p w:rsidR="00921EE9" w:rsidRDefault="00BA7B97" w:rsidP="00834CFC">
      <w:pPr>
        <w:tabs>
          <w:tab w:val="clear" w:pos="567"/>
          <w:tab w:val="left" w:pos="720"/>
        </w:tabs>
        <w:spacing w:line="240" w:lineRule="auto"/>
        <w:jc w:val="both"/>
        <w:rPr>
          <w:rFonts w:ascii="Palatino Linotype" w:hAnsi="Palatino Linotype"/>
          <w:bCs/>
          <w:sz w:val="22"/>
          <w:szCs w:val="22"/>
        </w:rPr>
      </w:pPr>
      <w:r w:rsidRPr="00BA7B97">
        <w:rPr>
          <w:rFonts w:ascii="Palatino Linotype" w:hAnsi="Palatino Linotype"/>
          <w:bCs/>
          <w:sz w:val="22"/>
          <w:szCs w:val="22"/>
        </w:rPr>
        <w:t>Van Langen and Dekker</w:t>
      </w:r>
      <w:r w:rsidR="00376921">
        <w:rPr>
          <w:rFonts w:ascii="Palatino Linotype" w:hAnsi="Palatino Linotype"/>
          <w:bCs/>
          <w:sz w:val="22"/>
          <w:szCs w:val="22"/>
        </w:rPr>
        <w:t xml:space="preserve"> identif</w:t>
      </w:r>
      <w:r w:rsidR="00977D10">
        <w:rPr>
          <w:rFonts w:ascii="Palatino Linotype" w:hAnsi="Palatino Linotype"/>
          <w:bCs/>
          <w:sz w:val="22"/>
          <w:szCs w:val="22"/>
        </w:rPr>
        <w:t>y</w:t>
      </w:r>
      <w:r w:rsidR="00376921">
        <w:rPr>
          <w:rFonts w:ascii="Palatino Linotype" w:hAnsi="Palatino Linotype"/>
          <w:bCs/>
          <w:sz w:val="22"/>
          <w:szCs w:val="22"/>
        </w:rPr>
        <w:t xml:space="preserve"> three systemic factors of particular influence</w:t>
      </w:r>
      <w:r w:rsidR="00F53CE5">
        <w:rPr>
          <w:rFonts w:ascii="Palatino Linotype" w:hAnsi="Palatino Linotype"/>
          <w:bCs/>
          <w:sz w:val="22"/>
          <w:szCs w:val="22"/>
        </w:rPr>
        <w:t xml:space="preserve">.  </w:t>
      </w:r>
      <w:r w:rsidR="008F1A1E" w:rsidRPr="008F1A1E">
        <w:rPr>
          <w:rFonts w:ascii="Palatino Linotype" w:hAnsi="Palatino Linotype"/>
          <w:bCs/>
          <w:sz w:val="22"/>
          <w:szCs w:val="22"/>
        </w:rPr>
        <w:t>First, they found that the percentage of tertiary students taking STEM-based programmes is significantly higher in education systems that provide f</w:t>
      </w:r>
      <w:r w:rsidR="00FE25A8">
        <w:rPr>
          <w:rFonts w:ascii="Palatino Linotype" w:hAnsi="Palatino Linotype"/>
          <w:bCs/>
          <w:sz w:val="22"/>
          <w:szCs w:val="22"/>
        </w:rPr>
        <w:t xml:space="preserve">or multiple entry points, for example </w:t>
      </w:r>
      <w:r w:rsidR="008F1A1E" w:rsidRPr="008F1A1E">
        <w:rPr>
          <w:rFonts w:ascii="Palatino Linotype" w:hAnsi="Palatino Linotype"/>
          <w:bCs/>
          <w:sz w:val="22"/>
          <w:szCs w:val="22"/>
        </w:rPr>
        <w:t>through STEM foundation programmes or horizontal transfer from humanity subj</w:t>
      </w:r>
      <w:r w:rsidR="00FE25A8">
        <w:rPr>
          <w:rFonts w:ascii="Palatino Linotype" w:hAnsi="Palatino Linotype"/>
          <w:bCs/>
          <w:sz w:val="22"/>
          <w:szCs w:val="22"/>
        </w:rPr>
        <w:t>ects</w:t>
      </w:r>
      <w:r w:rsidR="00F53CE5">
        <w:rPr>
          <w:rFonts w:ascii="Palatino Linotype" w:hAnsi="Palatino Linotype"/>
          <w:bCs/>
          <w:sz w:val="22"/>
          <w:szCs w:val="22"/>
        </w:rPr>
        <w:t xml:space="preserve">.  </w:t>
      </w:r>
      <w:r w:rsidR="00977D10">
        <w:rPr>
          <w:rFonts w:ascii="Palatino Linotype" w:hAnsi="Palatino Linotype"/>
          <w:bCs/>
          <w:sz w:val="22"/>
          <w:szCs w:val="22"/>
        </w:rPr>
        <w:t>Second, they conclude</w:t>
      </w:r>
      <w:r w:rsidR="008F1A1E" w:rsidRPr="008F1A1E">
        <w:rPr>
          <w:rFonts w:ascii="Palatino Linotype" w:hAnsi="Palatino Linotype"/>
          <w:bCs/>
          <w:sz w:val="22"/>
          <w:szCs w:val="22"/>
        </w:rPr>
        <w:t xml:space="preserve"> that the association between the cost of studying and the drop-out risk influences uptake, with the lowest uptake for courses with a high cost combined with a high risk of drop-out</w:t>
      </w:r>
      <w:r w:rsidR="00F53CE5">
        <w:rPr>
          <w:rFonts w:ascii="Palatino Linotype" w:hAnsi="Palatino Linotype"/>
          <w:bCs/>
          <w:sz w:val="22"/>
          <w:szCs w:val="22"/>
        </w:rPr>
        <w:t xml:space="preserve">.  </w:t>
      </w:r>
      <w:r w:rsidR="008F1A1E" w:rsidRPr="008F1A1E">
        <w:rPr>
          <w:rFonts w:ascii="Palatino Linotype" w:hAnsi="Palatino Linotype"/>
          <w:bCs/>
          <w:sz w:val="22"/>
          <w:szCs w:val="22"/>
        </w:rPr>
        <w:t>Lastly, they found that early specialisation in STEM courses, as opposed to more broad-based programmes, has a negative impact on uptake</w:t>
      </w:r>
      <w:r w:rsidR="00F53CE5">
        <w:rPr>
          <w:rFonts w:ascii="Palatino Linotype" w:hAnsi="Palatino Linotype"/>
          <w:bCs/>
          <w:sz w:val="22"/>
          <w:szCs w:val="22"/>
        </w:rPr>
        <w:t xml:space="preserve">.  </w:t>
      </w:r>
    </w:p>
    <w:p w:rsidR="00921EE9" w:rsidRDefault="00921EE9" w:rsidP="00834CFC">
      <w:pPr>
        <w:tabs>
          <w:tab w:val="clear" w:pos="567"/>
          <w:tab w:val="left" w:pos="720"/>
        </w:tabs>
        <w:spacing w:line="240" w:lineRule="auto"/>
        <w:jc w:val="both"/>
        <w:rPr>
          <w:rFonts w:ascii="Palatino Linotype" w:hAnsi="Palatino Linotype"/>
          <w:bCs/>
          <w:sz w:val="22"/>
          <w:szCs w:val="22"/>
        </w:rPr>
      </w:pPr>
    </w:p>
    <w:p w:rsidR="00CE7F37" w:rsidRDefault="00921EE9" w:rsidP="00834CFC">
      <w:pPr>
        <w:tabs>
          <w:tab w:val="clear" w:pos="567"/>
          <w:tab w:val="left" w:pos="720"/>
        </w:tabs>
        <w:spacing w:line="240" w:lineRule="auto"/>
        <w:jc w:val="both"/>
        <w:rPr>
          <w:rFonts w:ascii="Palatino Linotype" w:hAnsi="Palatino Linotype"/>
          <w:bCs/>
          <w:sz w:val="22"/>
          <w:szCs w:val="22"/>
        </w:rPr>
      </w:pPr>
      <w:r w:rsidRPr="00921EE9">
        <w:rPr>
          <w:rFonts w:ascii="Palatino Linotype" w:hAnsi="Palatino Linotype"/>
          <w:bCs/>
          <w:sz w:val="22"/>
          <w:szCs w:val="22"/>
        </w:rPr>
        <w:t xml:space="preserve">Van Langen and Dekker </w:t>
      </w:r>
      <w:r>
        <w:rPr>
          <w:rFonts w:ascii="Palatino Linotype" w:hAnsi="Palatino Linotype"/>
          <w:bCs/>
          <w:sz w:val="22"/>
          <w:szCs w:val="22"/>
        </w:rPr>
        <w:t xml:space="preserve">looked at the impact of these factors on the </w:t>
      </w:r>
      <w:r w:rsidRPr="00921EE9">
        <w:rPr>
          <w:rFonts w:ascii="Palatino Linotype" w:hAnsi="Palatino Linotype"/>
          <w:bCs/>
          <w:sz w:val="22"/>
          <w:szCs w:val="22"/>
        </w:rPr>
        <w:t>‘STEM pipeline’</w:t>
      </w:r>
      <w:r>
        <w:rPr>
          <w:rFonts w:ascii="Palatino Linotype" w:hAnsi="Palatino Linotype"/>
          <w:bCs/>
          <w:sz w:val="22"/>
          <w:szCs w:val="22"/>
        </w:rPr>
        <w:t xml:space="preserve">, </w:t>
      </w:r>
      <w:r w:rsidRPr="00921EE9">
        <w:rPr>
          <w:rFonts w:ascii="Palatino Linotype" w:hAnsi="Palatino Linotype"/>
          <w:bCs/>
          <w:sz w:val="22"/>
          <w:szCs w:val="22"/>
        </w:rPr>
        <w:t>i.e. the process by which students move through the system towards a career in a STEM-related subject</w:t>
      </w:r>
      <w:r w:rsidR="00977D10">
        <w:rPr>
          <w:rFonts w:ascii="Palatino Linotype" w:hAnsi="Palatino Linotype"/>
          <w:bCs/>
          <w:sz w:val="22"/>
          <w:szCs w:val="22"/>
        </w:rPr>
        <w:t>,</w:t>
      </w:r>
      <w:r w:rsidRPr="00921EE9">
        <w:rPr>
          <w:rFonts w:ascii="Palatino Linotype" w:hAnsi="Palatino Linotype"/>
          <w:bCs/>
          <w:sz w:val="22"/>
          <w:szCs w:val="22"/>
        </w:rPr>
        <w:t xml:space="preserve"> and are either retained or lost depending on their choice of subjects at key decision </w:t>
      </w:r>
      <w:r>
        <w:rPr>
          <w:rFonts w:ascii="Palatino Linotype" w:hAnsi="Palatino Linotype"/>
          <w:bCs/>
          <w:sz w:val="22"/>
          <w:szCs w:val="22"/>
        </w:rPr>
        <w:t>points</w:t>
      </w:r>
      <w:r w:rsidR="00F53CE5">
        <w:rPr>
          <w:rFonts w:ascii="Palatino Linotype" w:hAnsi="Palatino Linotype"/>
          <w:bCs/>
          <w:sz w:val="22"/>
          <w:szCs w:val="22"/>
        </w:rPr>
        <w:t xml:space="preserve">.  </w:t>
      </w:r>
      <w:r w:rsidRPr="00921EE9">
        <w:rPr>
          <w:rFonts w:ascii="Palatino Linotype" w:hAnsi="Palatino Linotype"/>
          <w:bCs/>
          <w:sz w:val="22"/>
          <w:szCs w:val="22"/>
        </w:rPr>
        <w:t xml:space="preserve">Sweden, which has the highest STEM </w:t>
      </w:r>
      <w:r>
        <w:rPr>
          <w:rFonts w:ascii="Palatino Linotype" w:hAnsi="Palatino Linotype"/>
          <w:bCs/>
          <w:sz w:val="22"/>
          <w:szCs w:val="22"/>
        </w:rPr>
        <w:t xml:space="preserve">tertiary </w:t>
      </w:r>
      <w:r w:rsidRPr="00921EE9">
        <w:rPr>
          <w:rFonts w:ascii="Palatino Linotype" w:hAnsi="Palatino Linotype"/>
          <w:bCs/>
          <w:sz w:val="22"/>
          <w:szCs w:val="22"/>
        </w:rPr>
        <w:t>participation rate</w:t>
      </w:r>
      <w:r w:rsidR="00977D10">
        <w:rPr>
          <w:rFonts w:ascii="Palatino Linotype" w:hAnsi="Palatino Linotype"/>
          <w:bCs/>
          <w:sz w:val="22"/>
          <w:szCs w:val="22"/>
        </w:rPr>
        <w:t>,</w:t>
      </w:r>
      <w:r w:rsidRPr="00921EE9">
        <w:rPr>
          <w:rFonts w:ascii="Palatino Linotype" w:hAnsi="Palatino Linotype"/>
          <w:bCs/>
          <w:sz w:val="22"/>
          <w:szCs w:val="22"/>
        </w:rPr>
        <w:t xml:space="preserve"> has several initiatives to allow points at which students not on a STEM track can </w:t>
      </w:r>
      <w:r>
        <w:rPr>
          <w:rFonts w:ascii="Palatino Linotype" w:hAnsi="Palatino Linotype"/>
          <w:bCs/>
          <w:sz w:val="22"/>
          <w:szCs w:val="22"/>
        </w:rPr>
        <w:t>move back in to the ‘pipeline’</w:t>
      </w:r>
      <w:r w:rsidR="00F53CE5">
        <w:rPr>
          <w:rFonts w:ascii="Palatino Linotype" w:hAnsi="Palatino Linotype"/>
          <w:bCs/>
          <w:sz w:val="22"/>
          <w:szCs w:val="22"/>
        </w:rPr>
        <w:t xml:space="preserve">.  </w:t>
      </w:r>
      <w:r>
        <w:rPr>
          <w:rFonts w:ascii="Palatino Linotype" w:hAnsi="Palatino Linotype"/>
          <w:bCs/>
          <w:sz w:val="22"/>
          <w:szCs w:val="22"/>
        </w:rPr>
        <w:t xml:space="preserve">These include government-funded </w:t>
      </w:r>
      <w:r w:rsidRPr="00921EE9">
        <w:rPr>
          <w:rFonts w:ascii="Palatino Linotype" w:hAnsi="Palatino Linotype"/>
          <w:bCs/>
          <w:sz w:val="22"/>
          <w:szCs w:val="22"/>
        </w:rPr>
        <w:t xml:space="preserve">adult education programmes provided by secondary schools to prepare for </w:t>
      </w:r>
      <w:r>
        <w:rPr>
          <w:rFonts w:ascii="Palatino Linotype" w:hAnsi="Palatino Linotype"/>
          <w:bCs/>
          <w:sz w:val="22"/>
          <w:szCs w:val="22"/>
        </w:rPr>
        <w:t xml:space="preserve">STEM entry at tertiary level, </w:t>
      </w:r>
      <w:r w:rsidRPr="00921EE9">
        <w:rPr>
          <w:rFonts w:ascii="Palatino Linotype" w:hAnsi="Palatino Linotype"/>
          <w:bCs/>
          <w:sz w:val="22"/>
          <w:szCs w:val="22"/>
        </w:rPr>
        <w:t>and preparatory years offered by universities and polytechnics with lower admissions rates and no limit to recruitment.</w:t>
      </w:r>
      <w:r w:rsidR="00FB0721">
        <w:rPr>
          <w:rFonts w:ascii="Palatino Linotype" w:hAnsi="Palatino Linotype"/>
          <w:bCs/>
          <w:sz w:val="22"/>
          <w:szCs w:val="22"/>
        </w:rPr>
        <w:t xml:space="preserve"> </w:t>
      </w:r>
      <w:r>
        <w:rPr>
          <w:rFonts w:ascii="Palatino Linotype" w:hAnsi="Palatino Linotype"/>
          <w:bCs/>
          <w:sz w:val="22"/>
          <w:szCs w:val="22"/>
        </w:rPr>
        <w:t xml:space="preserve"> </w:t>
      </w:r>
      <w:r w:rsidR="008F1A1E" w:rsidRPr="008F1A1E">
        <w:rPr>
          <w:rFonts w:ascii="Palatino Linotype" w:hAnsi="Palatino Linotype"/>
          <w:bCs/>
          <w:sz w:val="22"/>
          <w:szCs w:val="22"/>
        </w:rPr>
        <w:t xml:space="preserve">In </w:t>
      </w:r>
      <w:r>
        <w:rPr>
          <w:rFonts w:ascii="Palatino Linotype" w:hAnsi="Palatino Linotype"/>
          <w:bCs/>
          <w:sz w:val="22"/>
          <w:szCs w:val="22"/>
        </w:rPr>
        <w:t>contrast,</w:t>
      </w:r>
      <w:r w:rsidR="008F1A1E" w:rsidRPr="008F1A1E">
        <w:rPr>
          <w:rFonts w:ascii="Palatino Linotype" w:hAnsi="Palatino Linotype"/>
          <w:bCs/>
          <w:sz w:val="22"/>
          <w:szCs w:val="22"/>
        </w:rPr>
        <w:t xml:space="preserve"> the education system in </w:t>
      </w:r>
      <w:r>
        <w:rPr>
          <w:rFonts w:ascii="Palatino Linotype" w:hAnsi="Palatino Linotype"/>
          <w:bCs/>
          <w:sz w:val="22"/>
          <w:szCs w:val="22"/>
        </w:rPr>
        <w:t>the UK</w:t>
      </w:r>
      <w:r w:rsidR="008F1A1E" w:rsidRPr="008F1A1E">
        <w:rPr>
          <w:rFonts w:ascii="Palatino Linotype" w:hAnsi="Palatino Linotype"/>
          <w:bCs/>
          <w:sz w:val="22"/>
          <w:szCs w:val="22"/>
        </w:rPr>
        <w:t xml:space="preserve"> </w:t>
      </w:r>
      <w:r w:rsidR="008F1A1E" w:rsidRPr="00D8527C">
        <w:rPr>
          <w:rFonts w:ascii="Palatino Linotype" w:hAnsi="Palatino Linotype"/>
          <w:bCs/>
          <w:sz w:val="22"/>
          <w:szCs w:val="22"/>
        </w:rPr>
        <w:t xml:space="preserve">provides comparatively few entry points into </w:t>
      </w:r>
      <w:r>
        <w:rPr>
          <w:rFonts w:ascii="Palatino Linotype" w:hAnsi="Palatino Linotype"/>
          <w:bCs/>
          <w:sz w:val="22"/>
          <w:szCs w:val="22"/>
        </w:rPr>
        <w:t>the STEM pipeline, with comparatively early exit points</w:t>
      </w:r>
      <w:r w:rsidR="00F53CE5">
        <w:rPr>
          <w:rFonts w:ascii="Palatino Linotype" w:hAnsi="Palatino Linotype"/>
          <w:bCs/>
          <w:sz w:val="22"/>
          <w:szCs w:val="22"/>
        </w:rPr>
        <w:t xml:space="preserve">.  </w:t>
      </w:r>
      <w:r>
        <w:rPr>
          <w:rFonts w:ascii="Palatino Linotype" w:hAnsi="Palatino Linotype"/>
          <w:bCs/>
          <w:sz w:val="22"/>
          <w:szCs w:val="22"/>
        </w:rPr>
        <w:t>In England these occur at age 16 (GCSE), 17 (after AS-level) and 18 (after A-level)</w:t>
      </w:r>
      <w:r w:rsidR="00F53CE5">
        <w:rPr>
          <w:rFonts w:ascii="Palatino Linotype" w:hAnsi="Palatino Linotype"/>
          <w:bCs/>
          <w:sz w:val="22"/>
          <w:szCs w:val="22"/>
        </w:rPr>
        <w:t xml:space="preserve">.  </w:t>
      </w:r>
      <w:r w:rsidR="00977D10">
        <w:rPr>
          <w:rFonts w:ascii="Palatino Linotype" w:hAnsi="Palatino Linotype"/>
          <w:bCs/>
          <w:sz w:val="22"/>
          <w:szCs w:val="22"/>
        </w:rPr>
        <w:t>The</w:t>
      </w:r>
      <w:r>
        <w:rPr>
          <w:rFonts w:ascii="Palatino Linotype" w:hAnsi="Palatino Linotype"/>
          <w:bCs/>
          <w:sz w:val="22"/>
          <w:szCs w:val="22"/>
        </w:rPr>
        <w:t xml:space="preserve"> UK </w:t>
      </w:r>
      <w:r w:rsidR="00977D10">
        <w:rPr>
          <w:rFonts w:ascii="Palatino Linotype" w:hAnsi="Palatino Linotype"/>
          <w:bCs/>
          <w:sz w:val="22"/>
          <w:szCs w:val="22"/>
        </w:rPr>
        <w:t xml:space="preserve">also </w:t>
      </w:r>
      <w:r>
        <w:rPr>
          <w:rFonts w:ascii="Palatino Linotype" w:hAnsi="Palatino Linotype"/>
          <w:bCs/>
          <w:sz w:val="22"/>
          <w:szCs w:val="22"/>
        </w:rPr>
        <w:t xml:space="preserve">has </w:t>
      </w:r>
      <w:r w:rsidR="008F1A1E" w:rsidRPr="008F1A1E">
        <w:rPr>
          <w:rFonts w:ascii="Palatino Linotype" w:hAnsi="Palatino Linotype"/>
          <w:bCs/>
          <w:sz w:val="22"/>
          <w:szCs w:val="22"/>
        </w:rPr>
        <w:t>early and quite specific specialisation</w:t>
      </w:r>
      <w:r>
        <w:rPr>
          <w:rFonts w:ascii="Palatino Linotype" w:hAnsi="Palatino Linotype"/>
          <w:bCs/>
          <w:sz w:val="22"/>
          <w:szCs w:val="22"/>
        </w:rPr>
        <w:t xml:space="preserve"> both before and during tertiary STEM programmes.</w:t>
      </w:r>
    </w:p>
    <w:p w:rsidR="004947E2" w:rsidRDefault="004947E2" w:rsidP="00834CFC">
      <w:pPr>
        <w:tabs>
          <w:tab w:val="clear" w:pos="567"/>
          <w:tab w:val="left" w:pos="720"/>
        </w:tabs>
        <w:spacing w:line="240" w:lineRule="auto"/>
        <w:jc w:val="both"/>
        <w:rPr>
          <w:rFonts w:ascii="Palatino Linotype" w:hAnsi="Palatino Linotype"/>
          <w:bCs/>
          <w:sz w:val="22"/>
          <w:szCs w:val="22"/>
        </w:rPr>
      </w:pPr>
    </w:p>
    <w:p w:rsidR="00831960" w:rsidRDefault="004947E2" w:rsidP="00831960">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 xml:space="preserve">In a review of </w:t>
      </w:r>
      <w:r w:rsidR="00C606A4">
        <w:rPr>
          <w:rFonts w:ascii="Palatino Linotype" w:hAnsi="Palatino Linotype"/>
          <w:bCs/>
          <w:sz w:val="22"/>
          <w:szCs w:val="22"/>
        </w:rPr>
        <w:t xml:space="preserve">STEM provision in </w:t>
      </w:r>
      <w:r>
        <w:rPr>
          <w:rFonts w:ascii="Palatino Linotype" w:hAnsi="Palatino Linotype"/>
          <w:bCs/>
          <w:sz w:val="22"/>
          <w:szCs w:val="22"/>
        </w:rPr>
        <w:t>twenty-two</w:t>
      </w:r>
      <w:r w:rsidR="00E60248">
        <w:rPr>
          <w:rFonts w:ascii="Palatino Linotype" w:hAnsi="Palatino Linotype"/>
          <w:bCs/>
          <w:sz w:val="22"/>
          <w:szCs w:val="22"/>
        </w:rPr>
        <w:t xml:space="preserve"> countries</w:t>
      </w:r>
      <w:r w:rsidR="00F639AC">
        <w:rPr>
          <w:rFonts w:ascii="Palatino Linotype" w:hAnsi="Palatino Linotype"/>
          <w:bCs/>
          <w:sz w:val="22"/>
          <w:szCs w:val="22"/>
        </w:rPr>
        <w:t xml:space="preserve"> (including the UK</w:t>
      </w:r>
      <w:r w:rsidR="00F639AC">
        <w:rPr>
          <w:rStyle w:val="FootnoteReference"/>
          <w:rFonts w:ascii="Palatino Linotype" w:hAnsi="Palatino Linotype"/>
          <w:bCs/>
          <w:sz w:val="22"/>
          <w:szCs w:val="22"/>
        </w:rPr>
        <w:footnoteReference w:id="2"/>
      </w:r>
      <w:r w:rsidR="00F639AC">
        <w:rPr>
          <w:rFonts w:ascii="Palatino Linotype" w:hAnsi="Palatino Linotype"/>
          <w:bCs/>
          <w:sz w:val="22"/>
          <w:szCs w:val="22"/>
        </w:rPr>
        <w:t>)</w:t>
      </w:r>
      <w:r w:rsidR="00C606A4">
        <w:rPr>
          <w:rFonts w:ascii="Palatino Linotype" w:hAnsi="Palatino Linotype"/>
          <w:bCs/>
          <w:sz w:val="22"/>
          <w:szCs w:val="22"/>
        </w:rPr>
        <w:t xml:space="preserve"> undertaken for the Australian Council of Learned Academies,</w:t>
      </w:r>
      <w:r w:rsidR="00023F9B">
        <w:rPr>
          <w:rFonts w:ascii="Palatino Linotype" w:hAnsi="Palatino Linotype"/>
          <w:bCs/>
          <w:sz w:val="22"/>
          <w:szCs w:val="22"/>
        </w:rPr>
        <w:t xml:space="preserve"> and drawing on a series of commissioned expert reviews in each country, </w:t>
      </w:r>
      <w:r>
        <w:rPr>
          <w:rFonts w:ascii="Palatino Linotype" w:hAnsi="Palatino Linotype"/>
          <w:bCs/>
          <w:sz w:val="22"/>
          <w:szCs w:val="22"/>
        </w:rPr>
        <w:t xml:space="preserve">Marginson </w:t>
      </w:r>
      <w:r w:rsidRPr="004947E2">
        <w:rPr>
          <w:rFonts w:ascii="Palatino Linotype" w:hAnsi="Palatino Linotype"/>
          <w:bCs/>
          <w:i/>
          <w:sz w:val="22"/>
          <w:szCs w:val="22"/>
        </w:rPr>
        <w:t>et al</w:t>
      </w:r>
      <w:r>
        <w:rPr>
          <w:rFonts w:ascii="Palatino Linotype" w:hAnsi="Palatino Linotype"/>
          <w:bCs/>
          <w:sz w:val="22"/>
          <w:szCs w:val="22"/>
        </w:rPr>
        <w:t xml:space="preserve">. (2013) </w:t>
      </w:r>
      <w:r w:rsidR="00C606A4">
        <w:rPr>
          <w:rFonts w:ascii="Palatino Linotype" w:hAnsi="Palatino Linotype"/>
          <w:bCs/>
          <w:sz w:val="22"/>
          <w:szCs w:val="22"/>
        </w:rPr>
        <w:t xml:space="preserve">identified a number of </w:t>
      </w:r>
      <w:r w:rsidR="00831960" w:rsidRPr="00831960">
        <w:rPr>
          <w:rFonts w:ascii="Palatino Linotype" w:hAnsi="Palatino Linotype"/>
          <w:bCs/>
          <w:sz w:val="22"/>
          <w:szCs w:val="22"/>
        </w:rPr>
        <w:t xml:space="preserve">commonalities between countries that are seen to be </w:t>
      </w:r>
      <w:r w:rsidR="007634F8">
        <w:rPr>
          <w:rFonts w:ascii="Palatino Linotype" w:hAnsi="Palatino Linotype"/>
          <w:bCs/>
          <w:sz w:val="22"/>
          <w:szCs w:val="22"/>
        </w:rPr>
        <w:t>performing strongly</w:t>
      </w:r>
      <w:r w:rsidR="00831960" w:rsidRPr="00831960">
        <w:rPr>
          <w:rFonts w:ascii="Palatino Linotype" w:hAnsi="Palatino Linotype"/>
          <w:bCs/>
          <w:sz w:val="22"/>
          <w:szCs w:val="22"/>
        </w:rPr>
        <w:t xml:space="preserve"> in STEM education</w:t>
      </w:r>
      <w:r w:rsidR="007634F8">
        <w:rPr>
          <w:rFonts w:ascii="Palatino Linotype" w:hAnsi="Palatino Linotype"/>
          <w:bCs/>
          <w:sz w:val="22"/>
          <w:szCs w:val="22"/>
        </w:rPr>
        <w:t xml:space="preserve"> (i.e. where there do not appear to be persistent concerns about levels of participation)</w:t>
      </w:r>
      <w:r w:rsidR="00831960" w:rsidRPr="00831960">
        <w:rPr>
          <w:rFonts w:ascii="Palatino Linotype" w:hAnsi="Palatino Linotype"/>
          <w:bCs/>
          <w:sz w:val="22"/>
          <w:szCs w:val="22"/>
        </w:rPr>
        <w:t xml:space="preserve">, such as Finland, China and </w:t>
      </w:r>
      <w:r w:rsidR="00D64837">
        <w:rPr>
          <w:rFonts w:ascii="Palatino Linotype" w:hAnsi="Palatino Linotype"/>
          <w:bCs/>
          <w:sz w:val="22"/>
          <w:szCs w:val="22"/>
        </w:rPr>
        <w:t>South Korea</w:t>
      </w:r>
      <w:r w:rsidR="00F53CE5">
        <w:rPr>
          <w:rFonts w:ascii="Palatino Linotype" w:hAnsi="Palatino Linotype"/>
          <w:bCs/>
          <w:sz w:val="22"/>
          <w:szCs w:val="22"/>
        </w:rPr>
        <w:t xml:space="preserve">.  </w:t>
      </w:r>
      <w:r w:rsidR="00831960" w:rsidRPr="00831960">
        <w:rPr>
          <w:rFonts w:ascii="Palatino Linotype" w:hAnsi="Palatino Linotype"/>
          <w:bCs/>
          <w:sz w:val="22"/>
          <w:szCs w:val="22"/>
        </w:rPr>
        <w:t>The teaching of STEM subjects is set within some form of national policy on STEM, supported by substantial investment</w:t>
      </w:r>
      <w:r w:rsidR="00F53CE5">
        <w:rPr>
          <w:rFonts w:ascii="Palatino Linotype" w:hAnsi="Palatino Linotype"/>
          <w:bCs/>
          <w:sz w:val="22"/>
          <w:szCs w:val="22"/>
        </w:rPr>
        <w:t xml:space="preserve">.  </w:t>
      </w:r>
      <w:r w:rsidR="00831960" w:rsidRPr="00831960">
        <w:rPr>
          <w:rFonts w:ascii="Palatino Linotype" w:hAnsi="Palatino Linotype"/>
          <w:bCs/>
          <w:sz w:val="22"/>
          <w:szCs w:val="22"/>
        </w:rPr>
        <w:t>Teaching is seen as a well-paid and high status career, and, in STEM subjects, the expectation is that teachers will be fully qualified in the subject they teach, and will only teach their main subject</w:t>
      </w:r>
      <w:r w:rsidR="00F53CE5">
        <w:rPr>
          <w:rFonts w:ascii="Palatino Linotype" w:hAnsi="Palatino Linotype"/>
          <w:bCs/>
          <w:sz w:val="22"/>
          <w:szCs w:val="22"/>
        </w:rPr>
        <w:t xml:space="preserve">.  </w:t>
      </w:r>
      <w:r w:rsidR="00023F9B">
        <w:rPr>
          <w:rFonts w:ascii="Palatino Linotype" w:hAnsi="Palatino Linotype"/>
          <w:bCs/>
          <w:sz w:val="22"/>
          <w:szCs w:val="22"/>
        </w:rPr>
        <w:t>Other features of interest</w:t>
      </w:r>
      <w:r w:rsidR="00F639AC">
        <w:rPr>
          <w:rFonts w:ascii="Palatino Linotype" w:hAnsi="Palatino Linotype"/>
          <w:bCs/>
          <w:sz w:val="22"/>
          <w:szCs w:val="22"/>
        </w:rPr>
        <w:t xml:space="preserve"> in counties seen as strong in STEM provision noted in the review</w:t>
      </w:r>
      <w:r w:rsidR="00023F9B">
        <w:rPr>
          <w:rFonts w:ascii="Palatino Linotype" w:hAnsi="Palatino Linotype"/>
          <w:bCs/>
          <w:sz w:val="22"/>
          <w:szCs w:val="22"/>
        </w:rPr>
        <w:t xml:space="preserve"> include the bifurcation </w:t>
      </w:r>
      <w:r w:rsidR="003862A2">
        <w:rPr>
          <w:rFonts w:ascii="Palatino Linotype" w:hAnsi="Palatino Linotype"/>
          <w:bCs/>
          <w:sz w:val="22"/>
          <w:szCs w:val="22"/>
        </w:rPr>
        <w:t>into</w:t>
      </w:r>
      <w:r w:rsidR="00023F9B">
        <w:rPr>
          <w:rFonts w:ascii="Palatino Linotype" w:hAnsi="Palatino Linotype"/>
          <w:bCs/>
          <w:sz w:val="22"/>
          <w:szCs w:val="22"/>
        </w:rPr>
        <w:t xml:space="preserve"> </w:t>
      </w:r>
      <w:r w:rsidR="00F639AC">
        <w:rPr>
          <w:rFonts w:ascii="Palatino Linotype" w:hAnsi="Palatino Linotype"/>
          <w:bCs/>
          <w:sz w:val="22"/>
          <w:szCs w:val="22"/>
        </w:rPr>
        <w:t>clear STEM and non-STEM tracks</w:t>
      </w:r>
      <w:r w:rsidR="00023F9B">
        <w:rPr>
          <w:rFonts w:ascii="Palatino Linotype" w:hAnsi="Palatino Linotype"/>
          <w:bCs/>
          <w:sz w:val="22"/>
          <w:szCs w:val="22"/>
        </w:rPr>
        <w:t xml:space="preserve"> in the later years of secondary education, development of ‘STEM-heavy’ technical and vocational s</w:t>
      </w:r>
      <w:r w:rsidR="00F639AC">
        <w:rPr>
          <w:rFonts w:ascii="Palatino Linotype" w:hAnsi="Palatino Linotype"/>
          <w:bCs/>
          <w:sz w:val="22"/>
          <w:szCs w:val="22"/>
        </w:rPr>
        <w:t xml:space="preserve">chools and tertiary institutes running </w:t>
      </w:r>
      <w:r w:rsidR="00023F9B">
        <w:rPr>
          <w:rFonts w:ascii="Palatino Linotype" w:hAnsi="Palatino Linotype"/>
          <w:bCs/>
          <w:sz w:val="22"/>
          <w:szCs w:val="22"/>
        </w:rPr>
        <w:t xml:space="preserve">alongside the academic track, more </w:t>
      </w:r>
      <w:r w:rsidR="001C35BB">
        <w:rPr>
          <w:rFonts w:ascii="Palatino Linotype" w:hAnsi="Palatino Linotype"/>
          <w:bCs/>
          <w:sz w:val="22"/>
          <w:szCs w:val="22"/>
        </w:rPr>
        <w:t>compulsion</w:t>
      </w:r>
      <w:r w:rsidR="00023F9B">
        <w:rPr>
          <w:rFonts w:ascii="Palatino Linotype" w:hAnsi="Palatino Linotype"/>
          <w:bCs/>
          <w:sz w:val="22"/>
          <w:szCs w:val="22"/>
        </w:rPr>
        <w:t xml:space="preserve"> to study </w:t>
      </w:r>
      <w:r w:rsidR="00BC353A">
        <w:rPr>
          <w:rFonts w:ascii="Palatino Linotype" w:hAnsi="Palatino Linotype"/>
          <w:bCs/>
          <w:sz w:val="22"/>
          <w:szCs w:val="22"/>
        </w:rPr>
        <w:t>mathematics and science</w:t>
      </w:r>
      <w:r w:rsidR="00023F9B">
        <w:rPr>
          <w:rFonts w:ascii="Palatino Linotype" w:hAnsi="Palatino Linotype"/>
          <w:bCs/>
          <w:sz w:val="22"/>
          <w:szCs w:val="22"/>
        </w:rPr>
        <w:t xml:space="preserve"> </w:t>
      </w:r>
      <w:r w:rsidR="001C35BB">
        <w:rPr>
          <w:rFonts w:ascii="Palatino Linotype" w:hAnsi="Palatino Linotype"/>
          <w:bCs/>
          <w:sz w:val="22"/>
          <w:szCs w:val="22"/>
        </w:rPr>
        <w:t>at</w:t>
      </w:r>
      <w:r w:rsidR="00023F9B">
        <w:rPr>
          <w:rFonts w:ascii="Palatino Linotype" w:hAnsi="Palatino Linotype"/>
          <w:bCs/>
          <w:sz w:val="22"/>
          <w:szCs w:val="22"/>
        </w:rPr>
        <w:t xml:space="preserve"> upper secondary level, </w:t>
      </w:r>
      <w:r w:rsidR="00F639AC">
        <w:rPr>
          <w:rFonts w:ascii="Palatino Linotype" w:hAnsi="Palatino Linotype"/>
          <w:bCs/>
          <w:sz w:val="22"/>
          <w:szCs w:val="22"/>
        </w:rPr>
        <w:t xml:space="preserve">and the setting of </w:t>
      </w:r>
      <w:r w:rsidR="00023F9B">
        <w:rPr>
          <w:rFonts w:ascii="Palatino Linotype" w:hAnsi="Palatino Linotype"/>
          <w:bCs/>
          <w:sz w:val="22"/>
          <w:szCs w:val="22"/>
        </w:rPr>
        <w:t>STEM-</w:t>
      </w:r>
      <w:r w:rsidR="001C35BB">
        <w:rPr>
          <w:rFonts w:ascii="Palatino Linotype" w:hAnsi="Palatino Linotype"/>
          <w:bCs/>
          <w:sz w:val="22"/>
          <w:szCs w:val="22"/>
        </w:rPr>
        <w:t>specific</w:t>
      </w:r>
      <w:r w:rsidR="00023F9B">
        <w:rPr>
          <w:rFonts w:ascii="Palatino Linotype" w:hAnsi="Palatino Linotype"/>
          <w:bCs/>
          <w:sz w:val="22"/>
          <w:szCs w:val="22"/>
        </w:rPr>
        <w:t xml:space="preserve"> </w:t>
      </w:r>
      <w:r w:rsidR="001C35BB">
        <w:rPr>
          <w:rFonts w:ascii="Palatino Linotype" w:hAnsi="Palatino Linotype"/>
          <w:bCs/>
          <w:sz w:val="22"/>
          <w:szCs w:val="22"/>
        </w:rPr>
        <w:t>requirements</w:t>
      </w:r>
      <w:r w:rsidR="00023F9B">
        <w:rPr>
          <w:rFonts w:ascii="Palatino Linotype" w:hAnsi="Palatino Linotype"/>
          <w:bCs/>
          <w:sz w:val="22"/>
          <w:szCs w:val="22"/>
        </w:rPr>
        <w:t xml:space="preserve"> for </w:t>
      </w:r>
      <w:r w:rsidR="00F639AC">
        <w:rPr>
          <w:rFonts w:ascii="Palatino Linotype" w:hAnsi="Palatino Linotype"/>
          <w:bCs/>
          <w:sz w:val="22"/>
          <w:szCs w:val="22"/>
        </w:rPr>
        <w:t xml:space="preserve">entry into </w:t>
      </w:r>
      <w:r w:rsidR="00023F9B">
        <w:rPr>
          <w:rFonts w:ascii="Palatino Linotype" w:hAnsi="Palatino Linotype"/>
          <w:bCs/>
          <w:sz w:val="22"/>
          <w:szCs w:val="22"/>
        </w:rPr>
        <w:t>higher education.</w:t>
      </w:r>
    </w:p>
    <w:p w:rsidR="00F50005" w:rsidRDefault="00F50005" w:rsidP="00831960">
      <w:pPr>
        <w:tabs>
          <w:tab w:val="clear" w:pos="567"/>
          <w:tab w:val="left" w:pos="720"/>
        </w:tabs>
        <w:spacing w:line="240" w:lineRule="auto"/>
        <w:jc w:val="both"/>
        <w:rPr>
          <w:rFonts w:ascii="Palatino Linotype" w:hAnsi="Palatino Linotype"/>
          <w:bCs/>
          <w:sz w:val="22"/>
          <w:szCs w:val="22"/>
        </w:rPr>
      </w:pPr>
    </w:p>
    <w:p w:rsidR="00F50005" w:rsidRDefault="00F50005" w:rsidP="00831960">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 xml:space="preserve">One of the reports commissioned for the </w:t>
      </w:r>
      <w:r w:rsidR="000E288A">
        <w:rPr>
          <w:rFonts w:ascii="Palatino Linotype" w:hAnsi="Palatino Linotype"/>
          <w:bCs/>
          <w:sz w:val="22"/>
          <w:szCs w:val="22"/>
        </w:rPr>
        <w:t xml:space="preserve">above </w:t>
      </w:r>
      <w:r>
        <w:rPr>
          <w:rFonts w:ascii="Palatino Linotype" w:hAnsi="Palatino Linotype"/>
          <w:bCs/>
          <w:sz w:val="22"/>
          <w:szCs w:val="22"/>
        </w:rPr>
        <w:t xml:space="preserve">review was from </w:t>
      </w:r>
      <w:r w:rsidR="009E7E8D">
        <w:rPr>
          <w:rFonts w:ascii="Palatino Linotype" w:hAnsi="Palatino Linotype"/>
          <w:bCs/>
          <w:sz w:val="22"/>
          <w:szCs w:val="22"/>
        </w:rPr>
        <w:t xml:space="preserve">South </w:t>
      </w:r>
      <w:r>
        <w:rPr>
          <w:rFonts w:ascii="Palatino Linotype" w:hAnsi="Palatino Linotype"/>
          <w:bCs/>
          <w:sz w:val="22"/>
          <w:szCs w:val="22"/>
        </w:rPr>
        <w:t>Korea</w:t>
      </w:r>
      <w:r w:rsidR="009E7E8D">
        <w:rPr>
          <w:rFonts w:ascii="Palatino Linotype" w:hAnsi="Palatino Linotype"/>
          <w:bCs/>
          <w:sz w:val="22"/>
          <w:szCs w:val="22"/>
        </w:rPr>
        <w:t xml:space="preserve"> (Jon and Chung, 2013)</w:t>
      </w:r>
      <w:r w:rsidR="002D065F">
        <w:rPr>
          <w:rFonts w:ascii="Palatino Linotype" w:hAnsi="Palatino Linotype"/>
          <w:bCs/>
          <w:sz w:val="22"/>
          <w:szCs w:val="22"/>
        </w:rPr>
        <w:t>,</w:t>
      </w:r>
      <w:r>
        <w:rPr>
          <w:rFonts w:ascii="Palatino Linotype" w:hAnsi="Palatino Linotype"/>
          <w:bCs/>
          <w:sz w:val="22"/>
          <w:szCs w:val="22"/>
        </w:rPr>
        <w:t xml:space="preserve"> and </w:t>
      </w:r>
      <w:r w:rsidR="002D065F">
        <w:rPr>
          <w:rFonts w:ascii="Palatino Linotype" w:hAnsi="Palatino Linotype"/>
          <w:bCs/>
          <w:sz w:val="22"/>
          <w:szCs w:val="22"/>
        </w:rPr>
        <w:t>one section within the review</w:t>
      </w:r>
      <w:r>
        <w:rPr>
          <w:rFonts w:ascii="Palatino Linotype" w:hAnsi="Palatino Linotype"/>
          <w:bCs/>
          <w:sz w:val="22"/>
          <w:szCs w:val="22"/>
        </w:rPr>
        <w:t xml:space="preserve"> f</w:t>
      </w:r>
      <w:r w:rsidR="002D065F">
        <w:rPr>
          <w:rFonts w:ascii="Palatino Linotype" w:hAnsi="Palatino Linotype"/>
          <w:bCs/>
          <w:sz w:val="22"/>
          <w:szCs w:val="22"/>
        </w:rPr>
        <w:t>ocuses</w:t>
      </w:r>
      <w:r>
        <w:rPr>
          <w:rFonts w:ascii="Palatino Linotype" w:hAnsi="Palatino Linotype"/>
          <w:bCs/>
          <w:sz w:val="22"/>
          <w:szCs w:val="22"/>
        </w:rPr>
        <w:t xml:space="preserve"> on the</w:t>
      </w:r>
      <w:r w:rsidR="00D64837">
        <w:rPr>
          <w:rFonts w:ascii="Palatino Linotype" w:hAnsi="Palatino Linotype"/>
          <w:bCs/>
          <w:sz w:val="22"/>
          <w:szCs w:val="22"/>
        </w:rPr>
        <w:t>ir</w:t>
      </w:r>
      <w:r>
        <w:rPr>
          <w:rFonts w:ascii="Palatino Linotype" w:hAnsi="Palatino Linotype"/>
          <w:bCs/>
          <w:sz w:val="22"/>
          <w:szCs w:val="22"/>
        </w:rPr>
        <w:t xml:space="preserve"> </w:t>
      </w:r>
      <w:r w:rsidR="00725434">
        <w:rPr>
          <w:rFonts w:ascii="Palatino Linotype" w:hAnsi="Palatino Linotype"/>
          <w:bCs/>
          <w:sz w:val="22"/>
          <w:szCs w:val="22"/>
        </w:rPr>
        <w:t xml:space="preserve">government-funded </w:t>
      </w:r>
      <w:r>
        <w:rPr>
          <w:rFonts w:ascii="Palatino Linotype" w:hAnsi="Palatino Linotype"/>
          <w:bCs/>
          <w:sz w:val="22"/>
          <w:szCs w:val="22"/>
        </w:rPr>
        <w:t xml:space="preserve">STEAM </w:t>
      </w:r>
      <w:r w:rsidR="002563F5">
        <w:rPr>
          <w:rFonts w:ascii="Palatino Linotype" w:hAnsi="Palatino Linotype"/>
          <w:bCs/>
          <w:sz w:val="22"/>
          <w:szCs w:val="22"/>
        </w:rPr>
        <w:t>(STEM plus A</w:t>
      </w:r>
      <w:r w:rsidR="00725434">
        <w:rPr>
          <w:rFonts w:ascii="Palatino Linotype" w:hAnsi="Palatino Linotype"/>
          <w:bCs/>
          <w:sz w:val="22"/>
          <w:szCs w:val="22"/>
        </w:rPr>
        <w:t xml:space="preserve">rts) </w:t>
      </w:r>
      <w:r>
        <w:rPr>
          <w:rFonts w:ascii="Palatino Linotype" w:hAnsi="Palatino Linotype"/>
          <w:bCs/>
          <w:sz w:val="22"/>
          <w:szCs w:val="22"/>
        </w:rPr>
        <w:t>initiative, aimed at fostering students’ creativity through the inclusion of arts</w:t>
      </w:r>
      <w:r w:rsidR="00D64837">
        <w:rPr>
          <w:rFonts w:ascii="Palatino Linotype" w:hAnsi="Palatino Linotype"/>
          <w:bCs/>
          <w:sz w:val="22"/>
          <w:szCs w:val="22"/>
        </w:rPr>
        <w:t xml:space="preserve"> </w:t>
      </w:r>
      <w:r>
        <w:rPr>
          <w:rFonts w:ascii="Palatino Linotype" w:hAnsi="Palatino Linotype"/>
          <w:bCs/>
          <w:sz w:val="22"/>
          <w:szCs w:val="22"/>
        </w:rPr>
        <w:t>subjects in a STEM-focused curriculum</w:t>
      </w:r>
      <w:r w:rsidR="00F53CE5">
        <w:rPr>
          <w:rFonts w:ascii="Palatino Linotype" w:hAnsi="Palatino Linotype"/>
          <w:bCs/>
          <w:sz w:val="22"/>
          <w:szCs w:val="22"/>
        </w:rPr>
        <w:t xml:space="preserve">.  </w:t>
      </w:r>
      <w:r w:rsidR="009E7E8D">
        <w:rPr>
          <w:rFonts w:ascii="Palatino Linotype" w:hAnsi="Palatino Linotype"/>
          <w:bCs/>
          <w:sz w:val="22"/>
          <w:szCs w:val="22"/>
        </w:rPr>
        <w:t xml:space="preserve">Such a move has also received support in the USA, and </w:t>
      </w:r>
      <w:r w:rsidR="003862A2">
        <w:rPr>
          <w:rFonts w:ascii="Palatino Linotype" w:hAnsi="Palatino Linotype"/>
          <w:bCs/>
          <w:sz w:val="22"/>
          <w:szCs w:val="22"/>
        </w:rPr>
        <w:t xml:space="preserve">a recent report from the OECD (Winner </w:t>
      </w:r>
      <w:r w:rsidR="003862A2" w:rsidRPr="003862A2">
        <w:rPr>
          <w:rFonts w:ascii="Palatino Linotype" w:hAnsi="Palatino Linotype"/>
          <w:bCs/>
          <w:i/>
          <w:sz w:val="22"/>
          <w:szCs w:val="22"/>
        </w:rPr>
        <w:t>et al</w:t>
      </w:r>
      <w:r w:rsidR="003862A2">
        <w:rPr>
          <w:rFonts w:ascii="Palatino Linotype" w:hAnsi="Palatino Linotype"/>
          <w:bCs/>
          <w:sz w:val="22"/>
          <w:szCs w:val="22"/>
        </w:rPr>
        <w:t xml:space="preserve">., 2013) has explored the </w:t>
      </w:r>
      <w:r w:rsidR="003862A2">
        <w:rPr>
          <w:rFonts w:ascii="Palatino Linotype" w:hAnsi="Palatino Linotype"/>
          <w:bCs/>
          <w:sz w:val="22"/>
          <w:szCs w:val="22"/>
        </w:rPr>
        <w:lastRenderedPageBreak/>
        <w:t>value of arts education in fostering reflection, critical thinking and creativity</w:t>
      </w:r>
      <w:r w:rsidR="00F53CE5">
        <w:rPr>
          <w:rFonts w:ascii="Palatino Linotype" w:hAnsi="Palatino Linotype"/>
          <w:bCs/>
          <w:sz w:val="22"/>
          <w:szCs w:val="22"/>
        </w:rPr>
        <w:t xml:space="preserve">.  </w:t>
      </w:r>
      <w:r w:rsidR="003862A2">
        <w:rPr>
          <w:rFonts w:ascii="Palatino Linotype" w:hAnsi="Palatino Linotype"/>
          <w:bCs/>
          <w:sz w:val="22"/>
          <w:szCs w:val="22"/>
        </w:rPr>
        <w:t>This latter report concludes that more empirical research is needed on the effects of arts education and the transferability of skills that might be developed</w:t>
      </w:r>
      <w:r w:rsidR="00F53CE5">
        <w:rPr>
          <w:rFonts w:ascii="Palatino Linotype" w:hAnsi="Palatino Linotype"/>
          <w:bCs/>
          <w:sz w:val="22"/>
          <w:szCs w:val="22"/>
        </w:rPr>
        <w:t xml:space="preserve">.  </w:t>
      </w:r>
      <w:r w:rsidR="003862A2">
        <w:rPr>
          <w:rFonts w:ascii="Palatino Linotype" w:hAnsi="Palatino Linotype"/>
          <w:bCs/>
          <w:sz w:val="22"/>
          <w:szCs w:val="22"/>
        </w:rPr>
        <w:t>There is currently insufficient research in these areas to reach any firm conclusion about the effects of a STEAM curriculum on engagement and participation in STEM subjects.</w:t>
      </w:r>
    </w:p>
    <w:p w:rsidR="000E288A" w:rsidRDefault="000E288A" w:rsidP="000E288A">
      <w:pPr>
        <w:tabs>
          <w:tab w:val="clear" w:pos="567"/>
        </w:tabs>
        <w:spacing w:line="240" w:lineRule="auto"/>
        <w:jc w:val="both"/>
        <w:rPr>
          <w:rFonts w:ascii="Palatino Linotype" w:hAnsi="Palatino Linotype"/>
          <w:bCs/>
          <w:sz w:val="22"/>
          <w:szCs w:val="22"/>
        </w:rPr>
      </w:pPr>
    </w:p>
    <w:p w:rsidR="00BE6091" w:rsidRDefault="002D065F" w:rsidP="00330381">
      <w:pPr>
        <w:spacing w:line="240" w:lineRule="auto"/>
        <w:jc w:val="both"/>
        <w:rPr>
          <w:rFonts w:ascii="Palatino Linotype" w:hAnsi="Palatino Linotype"/>
          <w:bCs/>
          <w:sz w:val="22"/>
          <w:szCs w:val="22"/>
        </w:rPr>
      </w:pPr>
      <w:r>
        <w:rPr>
          <w:rFonts w:ascii="Palatino Linotype" w:hAnsi="Palatino Linotype"/>
          <w:bCs/>
          <w:sz w:val="22"/>
          <w:szCs w:val="22"/>
        </w:rPr>
        <w:t>In the UK, t</w:t>
      </w:r>
      <w:r w:rsidR="000E288A">
        <w:rPr>
          <w:rFonts w:ascii="Palatino Linotype" w:hAnsi="Palatino Linotype"/>
          <w:bCs/>
          <w:sz w:val="22"/>
          <w:szCs w:val="22"/>
        </w:rPr>
        <w:t>he Nuffield Foundation has also commissioned two reports focusing specifically on mathematics provision</w:t>
      </w:r>
      <w:r w:rsidR="00F53CE5">
        <w:rPr>
          <w:rFonts w:ascii="Palatino Linotype" w:hAnsi="Palatino Linotype"/>
          <w:bCs/>
          <w:sz w:val="22"/>
          <w:szCs w:val="22"/>
        </w:rPr>
        <w:t xml:space="preserve">.  </w:t>
      </w:r>
      <w:r w:rsidR="000E288A">
        <w:rPr>
          <w:rFonts w:ascii="Palatino Linotype" w:hAnsi="Palatino Linotype"/>
          <w:bCs/>
          <w:sz w:val="22"/>
          <w:szCs w:val="22"/>
        </w:rPr>
        <w:t xml:space="preserve">The first of these (Hogden </w:t>
      </w:r>
      <w:r w:rsidR="000E288A" w:rsidRPr="000E288A">
        <w:rPr>
          <w:rFonts w:ascii="Palatino Linotype" w:hAnsi="Palatino Linotype"/>
          <w:bCs/>
          <w:i/>
          <w:sz w:val="22"/>
          <w:szCs w:val="22"/>
        </w:rPr>
        <w:t>et al</w:t>
      </w:r>
      <w:r w:rsidR="000E288A">
        <w:rPr>
          <w:rFonts w:ascii="Palatino Linotype" w:hAnsi="Palatino Linotype"/>
          <w:bCs/>
          <w:sz w:val="22"/>
          <w:szCs w:val="22"/>
        </w:rPr>
        <w:t>., 2010) was an international comparison of provision and participation at upper secondary (students aged 16-19) mathematics in 24 count</w:t>
      </w:r>
      <w:r w:rsidR="003E7353">
        <w:rPr>
          <w:rFonts w:ascii="Palatino Linotype" w:hAnsi="Palatino Linotype"/>
          <w:bCs/>
          <w:sz w:val="22"/>
          <w:szCs w:val="22"/>
        </w:rPr>
        <w:t xml:space="preserve">ries, including those in the UK, with the second (Hogden </w:t>
      </w:r>
      <w:r w:rsidR="003E7353" w:rsidRPr="003E7353">
        <w:rPr>
          <w:rFonts w:ascii="Palatino Linotype" w:hAnsi="Palatino Linotype"/>
          <w:bCs/>
          <w:i/>
          <w:sz w:val="22"/>
          <w:szCs w:val="22"/>
        </w:rPr>
        <w:t>et al</w:t>
      </w:r>
      <w:r w:rsidR="003E7353">
        <w:rPr>
          <w:rFonts w:ascii="Palatino Linotype" w:hAnsi="Palatino Linotype"/>
          <w:bCs/>
          <w:sz w:val="22"/>
          <w:szCs w:val="22"/>
        </w:rPr>
        <w:t xml:space="preserve">., 2013) </w:t>
      </w:r>
      <w:r w:rsidR="00BA1BA8">
        <w:rPr>
          <w:rFonts w:ascii="Palatino Linotype" w:hAnsi="Palatino Linotype"/>
          <w:bCs/>
          <w:sz w:val="22"/>
          <w:szCs w:val="22"/>
        </w:rPr>
        <w:t xml:space="preserve">looking </w:t>
      </w:r>
      <w:r w:rsidR="003E7353" w:rsidRPr="003E7353">
        <w:rPr>
          <w:rFonts w:ascii="Palatino Linotype" w:hAnsi="Palatino Linotype"/>
          <w:bCs/>
          <w:sz w:val="22"/>
          <w:szCs w:val="22"/>
        </w:rPr>
        <w:t>in more detail at provision in seven countries (England, Germany, Hong Kong, New Zealand, Scotland, Singapore and the USA)</w:t>
      </w:r>
      <w:r w:rsidR="00F53CE5">
        <w:rPr>
          <w:rFonts w:ascii="Palatino Linotype" w:hAnsi="Palatino Linotype"/>
          <w:bCs/>
          <w:sz w:val="22"/>
          <w:szCs w:val="22"/>
        </w:rPr>
        <w:t xml:space="preserve">.  </w:t>
      </w:r>
      <w:r w:rsidR="000E288A">
        <w:rPr>
          <w:rFonts w:ascii="Palatino Linotype" w:hAnsi="Palatino Linotype"/>
          <w:bCs/>
          <w:sz w:val="22"/>
          <w:szCs w:val="22"/>
        </w:rPr>
        <w:t xml:space="preserve">The </w:t>
      </w:r>
      <w:r w:rsidR="00BE6091">
        <w:rPr>
          <w:rFonts w:ascii="Palatino Linotype" w:hAnsi="Palatino Linotype"/>
          <w:bCs/>
          <w:sz w:val="22"/>
          <w:szCs w:val="22"/>
        </w:rPr>
        <w:t>first review</w:t>
      </w:r>
      <w:r w:rsidR="000E288A">
        <w:rPr>
          <w:rFonts w:ascii="Palatino Linotype" w:hAnsi="Palatino Linotype"/>
          <w:bCs/>
          <w:sz w:val="22"/>
          <w:szCs w:val="22"/>
        </w:rPr>
        <w:t xml:space="preserve"> revealed that</w:t>
      </w:r>
      <w:r w:rsidR="000E288A" w:rsidRPr="000E288A">
        <w:rPr>
          <w:rFonts w:ascii="Palatino Linotype" w:hAnsi="Palatino Linotype"/>
          <w:bCs/>
          <w:sz w:val="22"/>
          <w:szCs w:val="22"/>
        </w:rPr>
        <w:t xml:space="preserve"> England, </w:t>
      </w:r>
      <w:r w:rsidR="000E288A">
        <w:rPr>
          <w:rFonts w:ascii="Palatino Linotype" w:hAnsi="Palatino Linotype"/>
          <w:bCs/>
          <w:sz w:val="22"/>
          <w:szCs w:val="22"/>
        </w:rPr>
        <w:t>Wales and Northern Ireland have</w:t>
      </w:r>
      <w:r w:rsidR="000E288A" w:rsidRPr="000E288A">
        <w:rPr>
          <w:rFonts w:ascii="Palatino Linotype" w:hAnsi="Palatino Linotype"/>
          <w:bCs/>
          <w:sz w:val="22"/>
          <w:szCs w:val="22"/>
        </w:rPr>
        <w:t xml:space="preserve"> the lowest levels of participation</w:t>
      </w:r>
      <w:r w:rsidR="000E288A">
        <w:rPr>
          <w:rFonts w:ascii="Palatino Linotype" w:hAnsi="Palatino Linotype"/>
          <w:bCs/>
          <w:sz w:val="22"/>
          <w:szCs w:val="22"/>
        </w:rPr>
        <w:t xml:space="preserve"> in upper secondary mathematics, and are the only </w:t>
      </w:r>
      <w:r w:rsidR="000E288A" w:rsidRPr="000E288A">
        <w:rPr>
          <w:rFonts w:ascii="Palatino Linotype" w:hAnsi="Palatino Linotype"/>
          <w:bCs/>
          <w:sz w:val="22"/>
          <w:szCs w:val="22"/>
        </w:rPr>
        <w:t xml:space="preserve">countries in which </w:t>
      </w:r>
      <w:r w:rsidR="00330381">
        <w:rPr>
          <w:rFonts w:ascii="Palatino Linotype" w:hAnsi="Palatino Linotype"/>
          <w:bCs/>
          <w:sz w:val="22"/>
          <w:szCs w:val="22"/>
        </w:rPr>
        <w:t>fewer</w:t>
      </w:r>
      <w:r w:rsidR="000E288A" w:rsidRPr="000E288A">
        <w:rPr>
          <w:rFonts w:ascii="Palatino Linotype" w:hAnsi="Palatino Linotype"/>
          <w:bCs/>
          <w:sz w:val="22"/>
          <w:szCs w:val="22"/>
        </w:rPr>
        <w:t xml:space="preserve"> than 20% of upper secondary students study math</w:t>
      </w:r>
      <w:r w:rsidR="000E288A">
        <w:rPr>
          <w:rFonts w:ascii="Palatino Linotype" w:hAnsi="Palatino Linotype"/>
          <w:bCs/>
          <w:sz w:val="22"/>
          <w:szCs w:val="22"/>
        </w:rPr>
        <w:t>ematics, compared with a minimum of 50% of studen</w:t>
      </w:r>
      <w:r w:rsidR="00330381">
        <w:rPr>
          <w:rFonts w:ascii="Palatino Linotype" w:hAnsi="Palatino Linotype"/>
          <w:bCs/>
          <w:sz w:val="22"/>
          <w:szCs w:val="22"/>
        </w:rPr>
        <w:t>ts taking the subject in most ot</w:t>
      </w:r>
      <w:r w:rsidR="000E288A">
        <w:rPr>
          <w:rFonts w:ascii="Palatino Linotype" w:hAnsi="Palatino Linotype"/>
          <w:bCs/>
          <w:sz w:val="22"/>
          <w:szCs w:val="22"/>
        </w:rPr>
        <w:t>her countries</w:t>
      </w:r>
      <w:r w:rsidR="00F53CE5">
        <w:rPr>
          <w:rFonts w:ascii="Palatino Linotype" w:hAnsi="Palatino Linotype"/>
          <w:bCs/>
          <w:sz w:val="22"/>
          <w:szCs w:val="22"/>
        </w:rPr>
        <w:t xml:space="preserve">.  </w:t>
      </w:r>
      <w:r w:rsidR="00330381">
        <w:rPr>
          <w:rFonts w:ascii="Palatino Linotype" w:hAnsi="Palatino Linotype"/>
          <w:bCs/>
          <w:sz w:val="22"/>
          <w:szCs w:val="22"/>
        </w:rPr>
        <w:t>Although levels of participation in Scotland are higher, with j</w:t>
      </w:r>
      <w:r w:rsidR="000E288A">
        <w:rPr>
          <w:rFonts w:ascii="Palatino Linotype" w:hAnsi="Palatino Linotype"/>
          <w:bCs/>
          <w:sz w:val="22"/>
          <w:szCs w:val="22"/>
        </w:rPr>
        <w:t>ust</w:t>
      </w:r>
      <w:r w:rsidR="000E288A" w:rsidRPr="000E288A">
        <w:rPr>
          <w:rFonts w:ascii="Palatino Linotype" w:hAnsi="Palatino Linotype"/>
          <w:bCs/>
          <w:sz w:val="22"/>
          <w:szCs w:val="22"/>
        </w:rPr>
        <w:t xml:space="preserve"> under half of upper secondary students studying math</w:t>
      </w:r>
      <w:r w:rsidR="000E288A">
        <w:rPr>
          <w:rFonts w:ascii="Palatino Linotype" w:hAnsi="Palatino Linotype"/>
          <w:bCs/>
          <w:sz w:val="22"/>
          <w:szCs w:val="22"/>
        </w:rPr>
        <w:t>ematics</w:t>
      </w:r>
      <w:r w:rsidR="00330381">
        <w:rPr>
          <w:rFonts w:ascii="Palatino Linotype" w:hAnsi="Palatino Linotype"/>
          <w:bCs/>
          <w:sz w:val="22"/>
          <w:szCs w:val="22"/>
        </w:rPr>
        <w:t>, they are still below average</w:t>
      </w:r>
      <w:r w:rsidR="00F53CE5">
        <w:rPr>
          <w:rFonts w:ascii="Palatino Linotype" w:hAnsi="Palatino Linotype"/>
          <w:bCs/>
          <w:sz w:val="22"/>
          <w:szCs w:val="22"/>
        </w:rPr>
        <w:t xml:space="preserve">.  </w:t>
      </w:r>
      <w:r w:rsidR="00330381">
        <w:rPr>
          <w:rFonts w:ascii="Palatino Linotype" w:hAnsi="Palatino Linotype"/>
          <w:bCs/>
          <w:sz w:val="22"/>
          <w:szCs w:val="22"/>
        </w:rPr>
        <w:t xml:space="preserve">Of the twenty-four countries surveyed, only six </w:t>
      </w:r>
      <w:r w:rsidR="00330381" w:rsidRPr="00330381">
        <w:rPr>
          <w:rFonts w:ascii="Palatino Linotype" w:hAnsi="Palatino Linotype"/>
          <w:bCs/>
          <w:sz w:val="22"/>
          <w:szCs w:val="22"/>
        </w:rPr>
        <w:t>do not require compulsory participation in mathematics at up</w:t>
      </w:r>
      <w:r w:rsidR="00330381">
        <w:rPr>
          <w:rFonts w:ascii="Palatino Linotype" w:hAnsi="Palatino Linotype"/>
          <w:bCs/>
          <w:sz w:val="22"/>
          <w:szCs w:val="22"/>
        </w:rPr>
        <w:t>per secondary level, with the four countries in the UK being in this group</w:t>
      </w:r>
      <w:r w:rsidR="00F53CE5">
        <w:rPr>
          <w:rFonts w:ascii="Palatino Linotype" w:hAnsi="Palatino Linotype"/>
          <w:bCs/>
          <w:sz w:val="22"/>
          <w:szCs w:val="22"/>
        </w:rPr>
        <w:t xml:space="preserve">.  </w:t>
      </w:r>
      <w:r w:rsidR="005929A2">
        <w:rPr>
          <w:rFonts w:ascii="Palatino Linotype" w:hAnsi="Palatino Linotype"/>
          <w:bCs/>
          <w:sz w:val="22"/>
          <w:szCs w:val="22"/>
        </w:rPr>
        <w:t>The countries with the highest levels of participation were Japan,</w:t>
      </w:r>
      <w:r w:rsidR="00B233A5">
        <w:rPr>
          <w:rFonts w:ascii="Palatino Linotype" w:hAnsi="Palatino Linotype"/>
          <w:bCs/>
          <w:sz w:val="22"/>
          <w:szCs w:val="22"/>
        </w:rPr>
        <w:t xml:space="preserve"> South</w:t>
      </w:r>
      <w:r w:rsidR="005929A2">
        <w:rPr>
          <w:rFonts w:ascii="Palatino Linotype" w:hAnsi="Palatino Linotype"/>
          <w:bCs/>
          <w:sz w:val="22"/>
          <w:szCs w:val="22"/>
        </w:rPr>
        <w:t xml:space="preserve"> </w:t>
      </w:r>
      <w:r w:rsidR="00B233A5">
        <w:rPr>
          <w:rFonts w:ascii="Palatino Linotype" w:hAnsi="Palatino Linotype"/>
          <w:bCs/>
          <w:sz w:val="22"/>
          <w:szCs w:val="22"/>
        </w:rPr>
        <w:t>Korea</w:t>
      </w:r>
      <w:r w:rsidR="005929A2">
        <w:rPr>
          <w:rFonts w:ascii="Palatino Linotype" w:hAnsi="Palatino Linotype"/>
          <w:bCs/>
          <w:sz w:val="22"/>
          <w:szCs w:val="22"/>
        </w:rPr>
        <w:t>, New Zealand, Singapore a</w:t>
      </w:r>
      <w:r w:rsidR="00B233A5">
        <w:rPr>
          <w:rFonts w:ascii="Palatino Linotype" w:hAnsi="Palatino Linotype"/>
          <w:bCs/>
          <w:sz w:val="22"/>
          <w:szCs w:val="22"/>
        </w:rPr>
        <w:t>nd Taiwan</w:t>
      </w:r>
      <w:r w:rsidR="00F53CE5">
        <w:rPr>
          <w:rFonts w:ascii="Palatino Linotype" w:hAnsi="Palatino Linotype"/>
          <w:bCs/>
          <w:sz w:val="22"/>
          <w:szCs w:val="22"/>
        </w:rPr>
        <w:t xml:space="preserve">.  </w:t>
      </w:r>
      <w:r w:rsidR="00330381">
        <w:rPr>
          <w:rFonts w:ascii="Palatino Linotype" w:hAnsi="Palatino Linotype"/>
          <w:bCs/>
          <w:sz w:val="22"/>
          <w:szCs w:val="22"/>
        </w:rPr>
        <w:t>Th</w:t>
      </w:r>
      <w:r w:rsidR="00C93DAD">
        <w:rPr>
          <w:rFonts w:ascii="Palatino Linotype" w:hAnsi="Palatino Linotype"/>
          <w:bCs/>
          <w:sz w:val="22"/>
          <w:szCs w:val="22"/>
        </w:rPr>
        <w:t>e review</w:t>
      </w:r>
      <w:r w:rsidR="00BA1BA8">
        <w:rPr>
          <w:rFonts w:ascii="Palatino Linotype" w:hAnsi="Palatino Linotype"/>
          <w:bCs/>
          <w:sz w:val="22"/>
          <w:szCs w:val="22"/>
        </w:rPr>
        <w:t>s also note</w:t>
      </w:r>
      <w:r w:rsidR="00330381">
        <w:rPr>
          <w:rFonts w:ascii="Palatino Linotype" w:hAnsi="Palatino Linotype"/>
          <w:bCs/>
          <w:sz w:val="22"/>
          <w:szCs w:val="22"/>
        </w:rPr>
        <w:t xml:space="preserve"> that, where mathematics was compulsory, this normally </w:t>
      </w:r>
      <w:r w:rsidR="00C93DAD">
        <w:rPr>
          <w:rFonts w:ascii="Palatino Linotype" w:hAnsi="Palatino Linotype"/>
          <w:bCs/>
          <w:sz w:val="22"/>
          <w:szCs w:val="22"/>
        </w:rPr>
        <w:t>goes</w:t>
      </w:r>
      <w:r w:rsidR="00330381">
        <w:rPr>
          <w:rFonts w:ascii="Palatino Linotype" w:hAnsi="Palatino Linotype"/>
          <w:bCs/>
          <w:sz w:val="22"/>
          <w:szCs w:val="22"/>
        </w:rPr>
        <w:t xml:space="preserve"> hand-in-hand with compulsory study of the first language, a second language, and science</w:t>
      </w:r>
      <w:r w:rsidR="00F53CE5">
        <w:rPr>
          <w:rFonts w:ascii="Palatino Linotype" w:hAnsi="Palatino Linotype"/>
          <w:bCs/>
          <w:sz w:val="22"/>
          <w:szCs w:val="22"/>
        </w:rPr>
        <w:t xml:space="preserve">.  </w:t>
      </w:r>
      <w:r w:rsidR="005929A2">
        <w:rPr>
          <w:rFonts w:ascii="Palatino Linotype" w:hAnsi="Palatino Linotype"/>
          <w:bCs/>
          <w:sz w:val="22"/>
          <w:szCs w:val="22"/>
        </w:rPr>
        <w:t>The review</w:t>
      </w:r>
      <w:r w:rsidR="00BE6091">
        <w:rPr>
          <w:rFonts w:ascii="Palatino Linotype" w:hAnsi="Palatino Linotype"/>
          <w:bCs/>
          <w:sz w:val="22"/>
          <w:szCs w:val="22"/>
        </w:rPr>
        <w:t>s</w:t>
      </w:r>
      <w:r w:rsidR="005929A2">
        <w:rPr>
          <w:rFonts w:ascii="Palatino Linotype" w:hAnsi="Palatino Linotype"/>
          <w:bCs/>
          <w:sz w:val="22"/>
          <w:szCs w:val="22"/>
        </w:rPr>
        <w:t xml:space="preserve"> </w:t>
      </w:r>
      <w:r w:rsidR="00BE6091">
        <w:rPr>
          <w:rFonts w:ascii="Palatino Linotype" w:hAnsi="Palatino Linotype"/>
          <w:bCs/>
          <w:sz w:val="22"/>
          <w:szCs w:val="22"/>
        </w:rPr>
        <w:t>conclude</w:t>
      </w:r>
      <w:r w:rsidR="005929A2">
        <w:rPr>
          <w:rFonts w:ascii="Palatino Linotype" w:hAnsi="Palatino Linotype"/>
          <w:bCs/>
          <w:sz w:val="22"/>
          <w:szCs w:val="22"/>
        </w:rPr>
        <w:t xml:space="preserve"> that </w:t>
      </w:r>
      <w:r w:rsidR="0092673B">
        <w:rPr>
          <w:rFonts w:ascii="Palatino Linotype" w:hAnsi="Palatino Linotype"/>
          <w:bCs/>
          <w:sz w:val="22"/>
          <w:szCs w:val="22"/>
        </w:rPr>
        <w:t>the key driver</w:t>
      </w:r>
      <w:r w:rsidR="00BE6091">
        <w:rPr>
          <w:rFonts w:ascii="Palatino Linotype" w:hAnsi="Palatino Linotype"/>
          <w:bCs/>
          <w:sz w:val="22"/>
          <w:szCs w:val="22"/>
        </w:rPr>
        <w:t>s</w:t>
      </w:r>
      <w:r w:rsidR="0092673B">
        <w:rPr>
          <w:rFonts w:ascii="Palatino Linotype" w:hAnsi="Palatino Linotype"/>
          <w:bCs/>
          <w:sz w:val="22"/>
          <w:szCs w:val="22"/>
        </w:rPr>
        <w:t xml:space="preserve"> for take-up of mathematics at upper secondary level </w:t>
      </w:r>
      <w:r w:rsidR="00C93DAD">
        <w:rPr>
          <w:rFonts w:ascii="Palatino Linotype" w:hAnsi="Palatino Linotype"/>
          <w:bCs/>
          <w:sz w:val="22"/>
          <w:szCs w:val="22"/>
        </w:rPr>
        <w:t>are</w:t>
      </w:r>
      <w:r w:rsidR="0092673B">
        <w:rPr>
          <w:rFonts w:ascii="Palatino Linotype" w:hAnsi="Palatino Linotype"/>
          <w:bCs/>
          <w:sz w:val="22"/>
          <w:szCs w:val="22"/>
        </w:rPr>
        <w:t xml:space="preserve"> compulsion</w:t>
      </w:r>
      <w:r w:rsidR="00BE6091">
        <w:rPr>
          <w:rFonts w:ascii="Palatino Linotype" w:hAnsi="Palatino Linotype"/>
          <w:bCs/>
          <w:sz w:val="22"/>
          <w:szCs w:val="22"/>
        </w:rPr>
        <w:t xml:space="preserve"> and entry requirements for </w:t>
      </w:r>
      <w:r w:rsidR="00F424D6">
        <w:rPr>
          <w:rFonts w:ascii="Palatino Linotype" w:hAnsi="Palatino Linotype"/>
          <w:bCs/>
          <w:sz w:val="22"/>
          <w:szCs w:val="22"/>
        </w:rPr>
        <w:t>higher education</w:t>
      </w:r>
      <w:r w:rsidR="00F53CE5">
        <w:rPr>
          <w:rFonts w:ascii="Palatino Linotype" w:hAnsi="Palatino Linotype"/>
          <w:bCs/>
          <w:sz w:val="22"/>
          <w:szCs w:val="22"/>
        </w:rPr>
        <w:t xml:space="preserve">.  </w:t>
      </w:r>
      <w:r w:rsidR="00BE6091">
        <w:rPr>
          <w:rFonts w:ascii="Palatino Linotype" w:hAnsi="Palatino Linotype"/>
          <w:bCs/>
          <w:sz w:val="22"/>
          <w:szCs w:val="22"/>
        </w:rPr>
        <w:t xml:space="preserve">Other proposals </w:t>
      </w:r>
      <w:r w:rsidR="00C6792B">
        <w:rPr>
          <w:rFonts w:ascii="Palatino Linotype" w:hAnsi="Palatino Linotype"/>
          <w:bCs/>
          <w:sz w:val="22"/>
          <w:szCs w:val="22"/>
        </w:rPr>
        <w:t xml:space="preserve">for England </w:t>
      </w:r>
      <w:r w:rsidR="00BE6091">
        <w:rPr>
          <w:rFonts w:ascii="Palatino Linotype" w:hAnsi="Palatino Linotype"/>
          <w:bCs/>
          <w:sz w:val="22"/>
          <w:szCs w:val="22"/>
        </w:rPr>
        <w:t xml:space="preserve">made in the review include development of different models of post-16 mathematics, drawing on the successful </w:t>
      </w:r>
      <w:r w:rsidR="00C93DAD">
        <w:rPr>
          <w:rFonts w:ascii="Palatino Linotype" w:hAnsi="Palatino Linotype"/>
          <w:bCs/>
          <w:sz w:val="22"/>
          <w:szCs w:val="22"/>
        </w:rPr>
        <w:t>mathematics</w:t>
      </w:r>
      <w:r w:rsidR="00BE6091">
        <w:rPr>
          <w:rFonts w:ascii="Palatino Linotype" w:hAnsi="Palatino Linotype"/>
          <w:bCs/>
          <w:sz w:val="22"/>
          <w:szCs w:val="22"/>
        </w:rPr>
        <w:t xml:space="preserve"> programme in New Zealand that focuses on statistics as part of mathematical </w:t>
      </w:r>
      <w:r w:rsidR="00C6792B">
        <w:rPr>
          <w:rFonts w:ascii="Palatino Linotype" w:hAnsi="Palatino Linotype"/>
          <w:bCs/>
          <w:sz w:val="22"/>
          <w:szCs w:val="22"/>
        </w:rPr>
        <w:t xml:space="preserve">application and fluency, and the provision of a simple system of vocational </w:t>
      </w:r>
      <w:r>
        <w:rPr>
          <w:rFonts w:ascii="Palatino Linotype" w:hAnsi="Palatino Linotype"/>
          <w:bCs/>
          <w:sz w:val="22"/>
          <w:szCs w:val="22"/>
        </w:rPr>
        <w:t>qualifications</w:t>
      </w:r>
      <w:r w:rsidR="00C6792B">
        <w:rPr>
          <w:rFonts w:ascii="Palatino Linotype" w:hAnsi="Palatino Linotype"/>
          <w:bCs/>
          <w:sz w:val="22"/>
          <w:szCs w:val="22"/>
        </w:rPr>
        <w:t>.</w:t>
      </w:r>
    </w:p>
    <w:p w:rsidR="00CE7F37" w:rsidRDefault="00CE7F37" w:rsidP="00330381">
      <w:pPr>
        <w:tabs>
          <w:tab w:val="clear" w:pos="567"/>
        </w:tabs>
        <w:spacing w:line="240" w:lineRule="auto"/>
        <w:jc w:val="both"/>
        <w:rPr>
          <w:rFonts w:ascii="Palatino Linotype" w:hAnsi="Palatino Linotype"/>
          <w:bCs/>
          <w:sz w:val="22"/>
          <w:szCs w:val="22"/>
        </w:rPr>
      </w:pPr>
    </w:p>
    <w:p w:rsidR="00F639AC" w:rsidRPr="00F639AC" w:rsidRDefault="00F639AC" w:rsidP="00834CFC">
      <w:pPr>
        <w:tabs>
          <w:tab w:val="clear" w:pos="567"/>
          <w:tab w:val="left" w:pos="720"/>
        </w:tabs>
        <w:spacing w:line="240" w:lineRule="auto"/>
        <w:jc w:val="both"/>
        <w:rPr>
          <w:rFonts w:ascii="Palatino Linotype" w:hAnsi="Palatino Linotype"/>
          <w:bCs/>
          <w:i/>
          <w:sz w:val="22"/>
          <w:szCs w:val="22"/>
        </w:rPr>
      </w:pPr>
      <w:r w:rsidRPr="00F639AC">
        <w:rPr>
          <w:rFonts w:ascii="Palatino Linotype" w:hAnsi="Palatino Linotype"/>
          <w:bCs/>
          <w:i/>
          <w:sz w:val="22"/>
          <w:szCs w:val="22"/>
        </w:rPr>
        <w:t>3.1.2</w:t>
      </w:r>
      <w:r w:rsidRPr="00F639AC">
        <w:rPr>
          <w:rFonts w:ascii="Palatino Linotype" w:hAnsi="Palatino Linotype"/>
          <w:bCs/>
          <w:i/>
          <w:sz w:val="22"/>
          <w:szCs w:val="22"/>
        </w:rPr>
        <w:tab/>
        <w:t>National comparisons within the UK</w:t>
      </w:r>
    </w:p>
    <w:p w:rsidR="00023F9B" w:rsidRDefault="00023F9B" w:rsidP="00834CFC">
      <w:pPr>
        <w:tabs>
          <w:tab w:val="clear" w:pos="567"/>
          <w:tab w:val="left" w:pos="720"/>
        </w:tabs>
        <w:spacing w:line="240" w:lineRule="auto"/>
        <w:jc w:val="both"/>
        <w:rPr>
          <w:rFonts w:ascii="Palatino Linotype" w:hAnsi="Palatino Linotype"/>
          <w:bCs/>
          <w:sz w:val="22"/>
          <w:szCs w:val="22"/>
        </w:rPr>
      </w:pPr>
    </w:p>
    <w:p w:rsidR="00FE25A8" w:rsidRPr="005C285E" w:rsidRDefault="00CE7F37" w:rsidP="00FE25A8">
      <w:pPr>
        <w:tabs>
          <w:tab w:val="clear" w:pos="567"/>
          <w:tab w:val="left" w:pos="720"/>
        </w:tabs>
        <w:spacing w:line="240" w:lineRule="auto"/>
        <w:jc w:val="both"/>
        <w:rPr>
          <w:rFonts w:ascii="Palatino Linotype" w:hAnsi="Palatino Linotype"/>
          <w:bCs/>
          <w:sz w:val="22"/>
          <w:szCs w:val="22"/>
        </w:rPr>
      </w:pPr>
      <w:r w:rsidRPr="005C285E">
        <w:rPr>
          <w:rFonts w:ascii="Palatino Linotype" w:hAnsi="Palatino Linotype"/>
          <w:bCs/>
          <w:sz w:val="22"/>
          <w:szCs w:val="22"/>
        </w:rPr>
        <w:t xml:space="preserve">Looking within the UK, it is apparent from the data in Table 2 that levels of post-compulsory participation in the physical sciences and mathematics are </w:t>
      </w:r>
      <w:r w:rsidR="00F639AC">
        <w:rPr>
          <w:rFonts w:ascii="Palatino Linotype" w:hAnsi="Palatino Linotype"/>
          <w:bCs/>
          <w:sz w:val="22"/>
          <w:szCs w:val="22"/>
        </w:rPr>
        <w:t xml:space="preserve">substantially </w:t>
      </w:r>
      <w:r w:rsidRPr="005C285E">
        <w:rPr>
          <w:rFonts w:ascii="Palatino Linotype" w:hAnsi="Palatino Linotype"/>
          <w:bCs/>
          <w:sz w:val="22"/>
          <w:szCs w:val="22"/>
        </w:rPr>
        <w:t>higher in Scotland than in other UK countries</w:t>
      </w:r>
      <w:r w:rsidR="00F53CE5">
        <w:rPr>
          <w:rFonts w:ascii="Palatino Linotype" w:hAnsi="Palatino Linotype"/>
          <w:bCs/>
          <w:sz w:val="22"/>
          <w:szCs w:val="22"/>
        </w:rPr>
        <w:t xml:space="preserve">.  </w:t>
      </w:r>
      <w:r w:rsidR="00F9208C" w:rsidRPr="005C285E">
        <w:rPr>
          <w:rFonts w:ascii="Palatino Linotype" w:hAnsi="Palatino Linotype"/>
          <w:bCs/>
          <w:sz w:val="22"/>
          <w:szCs w:val="22"/>
        </w:rPr>
        <w:t xml:space="preserve">The Scottish system parallels the system in other UK countries in that students typically take </w:t>
      </w:r>
      <w:proofErr w:type="gramStart"/>
      <w:r w:rsidR="00F9208C" w:rsidRPr="005C285E">
        <w:rPr>
          <w:rFonts w:ascii="Palatino Linotype" w:hAnsi="Palatino Linotype"/>
          <w:bCs/>
          <w:sz w:val="22"/>
          <w:szCs w:val="22"/>
        </w:rPr>
        <w:t>Higher</w:t>
      </w:r>
      <w:proofErr w:type="gramEnd"/>
      <w:r w:rsidR="00F9208C" w:rsidRPr="005C285E">
        <w:rPr>
          <w:rFonts w:ascii="Palatino Linotype" w:hAnsi="Palatino Linotype"/>
          <w:bCs/>
          <w:sz w:val="22"/>
          <w:szCs w:val="22"/>
        </w:rPr>
        <w:t xml:space="preserve"> grade subjects at age 16-17, which are compa</w:t>
      </w:r>
      <w:r w:rsidR="00F639AC">
        <w:rPr>
          <w:rFonts w:ascii="Palatino Linotype" w:hAnsi="Palatino Linotype"/>
          <w:bCs/>
          <w:sz w:val="22"/>
          <w:szCs w:val="22"/>
        </w:rPr>
        <w:t>rable</w:t>
      </w:r>
      <w:r w:rsidR="00F9208C" w:rsidRPr="005C285E">
        <w:rPr>
          <w:rFonts w:ascii="Palatino Linotype" w:hAnsi="Palatino Linotype"/>
          <w:bCs/>
          <w:sz w:val="22"/>
          <w:szCs w:val="22"/>
        </w:rPr>
        <w:t xml:space="preserve"> with A</w:t>
      </w:r>
      <w:r w:rsidR="002B66FF" w:rsidRPr="005C285E">
        <w:rPr>
          <w:rFonts w:ascii="Palatino Linotype" w:hAnsi="Palatino Linotype"/>
          <w:bCs/>
          <w:sz w:val="22"/>
          <w:szCs w:val="22"/>
        </w:rPr>
        <w:t>S</w:t>
      </w:r>
      <w:r w:rsidR="00F9208C" w:rsidRPr="005C285E">
        <w:rPr>
          <w:rFonts w:ascii="Palatino Linotype" w:hAnsi="Palatino Linotype"/>
          <w:bCs/>
          <w:sz w:val="22"/>
          <w:szCs w:val="22"/>
        </w:rPr>
        <w:t>-levels, and Advanced Highers at age 17-18, whic</w:t>
      </w:r>
      <w:r w:rsidR="002B66FF" w:rsidRPr="005C285E">
        <w:rPr>
          <w:rFonts w:ascii="Palatino Linotype" w:hAnsi="Palatino Linotype"/>
          <w:bCs/>
          <w:sz w:val="22"/>
          <w:szCs w:val="22"/>
        </w:rPr>
        <w:t>h are comp</w:t>
      </w:r>
      <w:r w:rsidR="00F639AC">
        <w:rPr>
          <w:rFonts w:ascii="Palatino Linotype" w:hAnsi="Palatino Linotype"/>
          <w:bCs/>
          <w:sz w:val="22"/>
          <w:szCs w:val="22"/>
        </w:rPr>
        <w:t>arable</w:t>
      </w:r>
      <w:r w:rsidR="002B66FF" w:rsidRPr="005C285E">
        <w:rPr>
          <w:rFonts w:ascii="Palatino Linotype" w:hAnsi="Palatino Linotype"/>
          <w:bCs/>
          <w:sz w:val="22"/>
          <w:szCs w:val="22"/>
        </w:rPr>
        <w:t xml:space="preserve"> with A-levels</w:t>
      </w:r>
      <w:r w:rsidR="00F53CE5">
        <w:rPr>
          <w:rFonts w:ascii="Palatino Linotype" w:hAnsi="Palatino Linotype"/>
          <w:bCs/>
          <w:sz w:val="22"/>
          <w:szCs w:val="22"/>
        </w:rPr>
        <w:t xml:space="preserve">.  </w:t>
      </w:r>
      <w:r w:rsidR="002B66FF" w:rsidRPr="005C285E">
        <w:rPr>
          <w:rFonts w:ascii="Palatino Linotype" w:hAnsi="Palatino Linotype"/>
          <w:bCs/>
          <w:sz w:val="22"/>
          <w:szCs w:val="22"/>
        </w:rPr>
        <w:t>Academic students normally take</w:t>
      </w:r>
      <w:r w:rsidR="00F9208C" w:rsidRPr="005C285E">
        <w:rPr>
          <w:rFonts w:ascii="Palatino Linotype" w:hAnsi="Palatino Linotype"/>
          <w:bCs/>
          <w:sz w:val="22"/>
          <w:szCs w:val="22"/>
        </w:rPr>
        <w:t xml:space="preserve"> five Highers and three Advanced Highers</w:t>
      </w:r>
      <w:r w:rsidR="002B66FF" w:rsidRPr="005C285E">
        <w:rPr>
          <w:rFonts w:ascii="Palatino Linotype" w:hAnsi="Palatino Linotype"/>
          <w:bCs/>
          <w:sz w:val="22"/>
          <w:szCs w:val="22"/>
        </w:rPr>
        <w:t xml:space="preserve">, but it is also possible to study a mix of Intermediate and Higher grade subjects at age 16-17, and </w:t>
      </w:r>
      <w:r w:rsidR="00F639AC">
        <w:rPr>
          <w:rFonts w:ascii="Palatino Linotype" w:hAnsi="Palatino Linotype"/>
          <w:bCs/>
          <w:sz w:val="22"/>
          <w:szCs w:val="22"/>
        </w:rPr>
        <w:t xml:space="preserve">a mix of </w:t>
      </w:r>
      <w:r w:rsidR="002B66FF" w:rsidRPr="005C285E">
        <w:rPr>
          <w:rFonts w:ascii="Palatino Linotype" w:hAnsi="Palatino Linotype"/>
          <w:bCs/>
          <w:sz w:val="22"/>
          <w:szCs w:val="22"/>
        </w:rPr>
        <w:t>Higher and Advanced Higher grade subjects at age 17-18</w:t>
      </w:r>
      <w:r w:rsidR="00F53CE5">
        <w:rPr>
          <w:rFonts w:ascii="Palatino Linotype" w:hAnsi="Palatino Linotype"/>
          <w:bCs/>
          <w:sz w:val="22"/>
          <w:szCs w:val="22"/>
        </w:rPr>
        <w:t xml:space="preserve">.  </w:t>
      </w:r>
      <w:r w:rsidR="00F9208C" w:rsidRPr="005C285E">
        <w:rPr>
          <w:rFonts w:ascii="Palatino Linotype" w:hAnsi="Palatino Linotype"/>
          <w:bCs/>
          <w:sz w:val="22"/>
          <w:szCs w:val="22"/>
        </w:rPr>
        <w:t xml:space="preserve">Explanations </w:t>
      </w:r>
      <w:r w:rsidR="002B66FF" w:rsidRPr="005C285E">
        <w:rPr>
          <w:rFonts w:ascii="Palatino Linotype" w:hAnsi="Palatino Linotype"/>
          <w:bCs/>
          <w:sz w:val="22"/>
          <w:szCs w:val="22"/>
        </w:rPr>
        <w:t xml:space="preserve">tend </w:t>
      </w:r>
      <w:r w:rsidR="00641025" w:rsidRPr="005C285E">
        <w:rPr>
          <w:rFonts w:ascii="Palatino Linotype" w:hAnsi="Palatino Linotype"/>
          <w:bCs/>
          <w:sz w:val="22"/>
          <w:szCs w:val="22"/>
        </w:rPr>
        <w:t xml:space="preserve">to </w:t>
      </w:r>
      <w:r w:rsidR="002B66FF" w:rsidRPr="005C285E">
        <w:rPr>
          <w:rFonts w:ascii="Palatino Linotype" w:hAnsi="Palatino Linotype"/>
          <w:bCs/>
          <w:sz w:val="22"/>
          <w:szCs w:val="22"/>
        </w:rPr>
        <w:t>attribute the difference in partici</w:t>
      </w:r>
      <w:r w:rsidR="00D35256">
        <w:rPr>
          <w:rFonts w:ascii="Palatino Linotype" w:hAnsi="Palatino Linotype"/>
          <w:bCs/>
          <w:sz w:val="22"/>
          <w:szCs w:val="22"/>
        </w:rPr>
        <w:t xml:space="preserve">pation to this flexibility, </w:t>
      </w:r>
      <w:r w:rsidR="002B66FF" w:rsidRPr="005C285E">
        <w:rPr>
          <w:rFonts w:ascii="Palatino Linotype" w:hAnsi="Palatino Linotype"/>
          <w:bCs/>
          <w:sz w:val="22"/>
          <w:szCs w:val="22"/>
        </w:rPr>
        <w:t>to a curriculum that al</w:t>
      </w:r>
      <w:r w:rsidR="00D35256">
        <w:rPr>
          <w:rFonts w:ascii="Palatino Linotype" w:hAnsi="Palatino Linotype"/>
          <w:bCs/>
          <w:sz w:val="22"/>
          <w:szCs w:val="22"/>
        </w:rPr>
        <w:t>lows breadth and depth of study, to lower student to teacher ratios, and a higher proportion of teachers teaching their specialist science subject</w:t>
      </w:r>
      <w:r w:rsidR="00F53CE5">
        <w:rPr>
          <w:rFonts w:ascii="Palatino Linotype" w:hAnsi="Palatino Linotype"/>
          <w:bCs/>
          <w:sz w:val="22"/>
          <w:szCs w:val="22"/>
        </w:rPr>
        <w:t xml:space="preserve">.  </w:t>
      </w:r>
      <w:r w:rsidR="002B66FF" w:rsidRPr="005C285E">
        <w:rPr>
          <w:rFonts w:ascii="Palatino Linotype" w:hAnsi="Palatino Linotype"/>
          <w:bCs/>
          <w:sz w:val="22"/>
          <w:szCs w:val="22"/>
        </w:rPr>
        <w:t>However, it has not been possible to identify any detailed studies of explanations for the higher levels of post-compulsory participation in Scotland.</w:t>
      </w:r>
    </w:p>
    <w:p w:rsidR="00F50005" w:rsidRDefault="00F50005" w:rsidP="00D9487D">
      <w:pPr>
        <w:tabs>
          <w:tab w:val="clear" w:pos="567"/>
          <w:tab w:val="left" w:pos="720"/>
        </w:tabs>
        <w:spacing w:line="240" w:lineRule="auto"/>
        <w:jc w:val="both"/>
        <w:rPr>
          <w:rFonts w:ascii="Palatino Linotype" w:hAnsi="Palatino Linotype"/>
          <w:b/>
          <w:bCs/>
          <w:sz w:val="22"/>
          <w:szCs w:val="22"/>
        </w:rPr>
      </w:pPr>
    </w:p>
    <w:p w:rsidR="00EE3715" w:rsidRPr="00F8159F" w:rsidRDefault="00EE2F79" w:rsidP="00D9487D">
      <w:pPr>
        <w:tabs>
          <w:tab w:val="clear" w:pos="567"/>
          <w:tab w:val="left" w:pos="720"/>
        </w:tabs>
        <w:spacing w:line="240" w:lineRule="auto"/>
        <w:jc w:val="both"/>
        <w:rPr>
          <w:rFonts w:ascii="Palatino Linotype" w:hAnsi="Palatino Linotype"/>
          <w:b/>
          <w:bCs/>
          <w:sz w:val="22"/>
          <w:szCs w:val="22"/>
        </w:rPr>
      </w:pPr>
      <w:r w:rsidRPr="00F8159F">
        <w:rPr>
          <w:rFonts w:ascii="Palatino Linotype" w:hAnsi="Palatino Linotype"/>
          <w:b/>
          <w:bCs/>
          <w:sz w:val="22"/>
          <w:szCs w:val="22"/>
        </w:rPr>
        <w:t>3.2</w:t>
      </w:r>
      <w:r w:rsidR="00EE3715" w:rsidRPr="00F8159F">
        <w:rPr>
          <w:rFonts w:ascii="Palatino Linotype" w:hAnsi="Palatino Linotype"/>
          <w:b/>
          <w:bCs/>
          <w:sz w:val="22"/>
          <w:szCs w:val="22"/>
        </w:rPr>
        <w:tab/>
        <w:t>School factors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lastRenderedPageBreak/>
        <w:t xml:space="preserve">School factors that may influence uptake include the type of school and the student intake (selective or all ability, </w:t>
      </w:r>
      <w:r w:rsidR="00510AE7">
        <w:rPr>
          <w:rFonts w:ascii="Palatino Linotype" w:hAnsi="Palatino Linotype"/>
          <w:bCs/>
          <w:sz w:val="22"/>
          <w:szCs w:val="22"/>
        </w:rPr>
        <w:t>single-sex</w:t>
      </w:r>
      <w:r w:rsidRPr="00EE3715">
        <w:rPr>
          <w:rFonts w:ascii="Palatino Linotype" w:hAnsi="Palatino Linotype"/>
          <w:bCs/>
          <w:sz w:val="22"/>
          <w:szCs w:val="22"/>
        </w:rPr>
        <w:t xml:space="preserve"> or co-educational), the ethos of the school, the school management, the curriculum on offer, teacher effects, and careers advice offered to students</w:t>
      </w:r>
      <w:r w:rsidR="00F53CE5">
        <w:rPr>
          <w:rFonts w:ascii="Palatino Linotype" w:hAnsi="Palatino Linotype"/>
          <w:bCs/>
          <w:sz w:val="22"/>
          <w:szCs w:val="22"/>
        </w:rPr>
        <w:t xml:space="preserve">.  </w:t>
      </w:r>
    </w:p>
    <w:p w:rsidR="00AD1523" w:rsidRPr="00EE3715" w:rsidRDefault="00AD1523" w:rsidP="00D9487D">
      <w:pPr>
        <w:tabs>
          <w:tab w:val="clear" w:pos="567"/>
          <w:tab w:val="left" w:pos="720"/>
        </w:tabs>
        <w:spacing w:line="240" w:lineRule="auto"/>
        <w:jc w:val="both"/>
        <w:rPr>
          <w:rFonts w:ascii="Palatino Linotype" w:hAnsi="Palatino Linotype"/>
          <w:bCs/>
          <w:sz w:val="22"/>
          <w:szCs w:val="22"/>
        </w:rPr>
      </w:pPr>
    </w:p>
    <w:p w:rsidR="00764FC1" w:rsidRDefault="00764FC1" w:rsidP="00D9487D">
      <w:pPr>
        <w:tabs>
          <w:tab w:val="clear" w:pos="567"/>
          <w:tab w:val="left" w:pos="720"/>
        </w:tabs>
        <w:spacing w:line="240" w:lineRule="auto"/>
        <w:jc w:val="both"/>
        <w:rPr>
          <w:rFonts w:ascii="Palatino Linotype" w:hAnsi="Palatino Linotype"/>
          <w:bCs/>
          <w:i/>
          <w:sz w:val="22"/>
          <w:szCs w:val="22"/>
        </w:rPr>
      </w:pPr>
    </w:p>
    <w:p w:rsidR="00764FC1" w:rsidRDefault="00764FC1" w:rsidP="00D9487D">
      <w:pPr>
        <w:tabs>
          <w:tab w:val="clear" w:pos="567"/>
          <w:tab w:val="left" w:pos="720"/>
        </w:tabs>
        <w:spacing w:line="240" w:lineRule="auto"/>
        <w:jc w:val="both"/>
        <w:rPr>
          <w:rFonts w:ascii="Palatino Linotype" w:hAnsi="Palatino Linotype"/>
          <w:bCs/>
          <w:i/>
          <w:sz w:val="22"/>
          <w:szCs w:val="22"/>
        </w:rPr>
      </w:pPr>
    </w:p>
    <w:p w:rsidR="00764FC1" w:rsidRDefault="00764FC1" w:rsidP="00D9487D">
      <w:pPr>
        <w:tabs>
          <w:tab w:val="clear" w:pos="567"/>
          <w:tab w:val="left" w:pos="720"/>
        </w:tabs>
        <w:spacing w:line="240" w:lineRule="auto"/>
        <w:jc w:val="both"/>
        <w:rPr>
          <w:rFonts w:ascii="Palatino Linotype" w:hAnsi="Palatino Linotype"/>
          <w:bCs/>
          <w:i/>
          <w:sz w:val="22"/>
          <w:szCs w:val="22"/>
        </w:rPr>
      </w:pPr>
    </w:p>
    <w:p w:rsidR="00375731"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.1</w:t>
      </w:r>
      <w:r w:rsidR="00EE3715" w:rsidRPr="00EE3715">
        <w:rPr>
          <w:rFonts w:ascii="Palatino Linotype" w:hAnsi="Palatino Linotype"/>
          <w:bCs/>
          <w:i/>
          <w:sz w:val="22"/>
          <w:szCs w:val="22"/>
        </w:rPr>
        <w:tab/>
        <w:t>Type of school</w:t>
      </w:r>
      <w:r w:rsidR="00DE2426">
        <w:rPr>
          <w:rFonts w:ascii="Palatino Linotype" w:hAnsi="Palatino Linotype"/>
          <w:bCs/>
          <w:i/>
          <w:sz w:val="22"/>
          <w:szCs w:val="22"/>
        </w:rPr>
        <w:t xml:space="preserve"> (selection </w:t>
      </w:r>
      <w:r w:rsidR="005F033C">
        <w:rPr>
          <w:rFonts w:ascii="Palatino Linotype" w:hAnsi="Palatino Linotype"/>
          <w:bCs/>
          <w:i/>
          <w:sz w:val="22"/>
          <w:szCs w:val="22"/>
        </w:rPr>
        <w:t xml:space="preserve">on the basis of ability, </w:t>
      </w:r>
      <w:r w:rsidR="00DE2426">
        <w:rPr>
          <w:rFonts w:ascii="Palatino Linotype" w:hAnsi="Palatino Linotype"/>
          <w:bCs/>
          <w:i/>
          <w:sz w:val="22"/>
          <w:szCs w:val="22"/>
        </w:rPr>
        <w:t>gender</w:t>
      </w:r>
      <w:r w:rsidR="005F033C">
        <w:rPr>
          <w:rFonts w:ascii="Palatino Linotype" w:hAnsi="Palatino Linotype"/>
          <w:bCs/>
          <w:i/>
          <w:sz w:val="22"/>
          <w:szCs w:val="22"/>
        </w:rPr>
        <w:t>,</w:t>
      </w:r>
      <w:r w:rsidR="00375731">
        <w:rPr>
          <w:rFonts w:ascii="Palatino Linotype" w:hAnsi="Palatino Linotype"/>
          <w:bCs/>
          <w:i/>
          <w:sz w:val="22"/>
          <w:szCs w:val="22"/>
        </w:rPr>
        <w:t xml:space="preserve"> size, and age range</w:t>
      </w:r>
      <w:r w:rsidR="00DE2426">
        <w:rPr>
          <w:rFonts w:ascii="Palatino Linotype" w:hAnsi="Palatino Linotype"/>
          <w:bCs/>
          <w:i/>
          <w:sz w:val="22"/>
          <w:szCs w:val="22"/>
        </w:rPr>
        <w:t>)</w:t>
      </w:r>
    </w:p>
    <w:p w:rsidR="00DE2426" w:rsidRPr="00EE3715" w:rsidRDefault="00DE2426" w:rsidP="00D9487D">
      <w:pPr>
        <w:tabs>
          <w:tab w:val="clear" w:pos="567"/>
          <w:tab w:val="left" w:pos="720"/>
        </w:tabs>
        <w:spacing w:line="240" w:lineRule="auto"/>
        <w:jc w:val="both"/>
        <w:rPr>
          <w:rFonts w:ascii="Palatino Linotype" w:hAnsi="Palatino Linotype"/>
          <w:bCs/>
          <w:sz w:val="22"/>
          <w:szCs w:val="22"/>
        </w:rPr>
      </w:pPr>
    </w:p>
    <w:p w:rsidR="00F507EF"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 xml:space="preserve">Analyses of national data sets in England have indicated that private schools and selective schools, where selection is based on ability, have consistently demonstrated a higher uptake of post-16 chemistry and physics than in </w:t>
      </w:r>
      <w:r w:rsidR="00482742">
        <w:rPr>
          <w:rFonts w:ascii="Palatino Linotype" w:hAnsi="Palatino Linotype"/>
          <w:bCs/>
          <w:sz w:val="22"/>
          <w:szCs w:val="22"/>
        </w:rPr>
        <w:t xml:space="preserve">maintained </w:t>
      </w:r>
      <w:r w:rsidRPr="00EE3715">
        <w:rPr>
          <w:rFonts w:ascii="Palatino Linotype" w:hAnsi="Palatino Linotype"/>
          <w:bCs/>
          <w:sz w:val="22"/>
          <w:szCs w:val="22"/>
        </w:rPr>
        <w:t>all-ability</w:t>
      </w:r>
      <w:r w:rsidR="00482742">
        <w:rPr>
          <w:rFonts w:ascii="Palatino Linotype" w:hAnsi="Palatino Linotype"/>
          <w:bCs/>
          <w:sz w:val="22"/>
          <w:szCs w:val="22"/>
        </w:rPr>
        <w:t xml:space="preserve"> (comprehensive)</w:t>
      </w:r>
      <w:r w:rsidRPr="00EE3715">
        <w:rPr>
          <w:rFonts w:ascii="Palatino Linotype" w:hAnsi="Palatino Linotype"/>
          <w:bCs/>
          <w:sz w:val="22"/>
          <w:szCs w:val="22"/>
        </w:rPr>
        <w:t xml:space="preserve"> schools (e.g. Smithers and Robinson, 2007; Vidal Rodeiro; 2007; Gorard and See, 2009)</w:t>
      </w:r>
      <w:r w:rsidR="00F53CE5">
        <w:rPr>
          <w:rFonts w:ascii="Palatino Linotype" w:hAnsi="Palatino Linotype"/>
          <w:bCs/>
          <w:sz w:val="22"/>
          <w:szCs w:val="22"/>
        </w:rPr>
        <w:t xml:space="preserve">.  </w:t>
      </w:r>
    </w:p>
    <w:p w:rsidR="00F507EF" w:rsidRDefault="00F507EF" w:rsidP="00D9487D">
      <w:pPr>
        <w:tabs>
          <w:tab w:val="clear" w:pos="567"/>
          <w:tab w:val="left" w:pos="720"/>
        </w:tabs>
        <w:spacing w:line="240" w:lineRule="auto"/>
        <w:jc w:val="both"/>
        <w:rPr>
          <w:rFonts w:ascii="Palatino Linotype" w:hAnsi="Palatino Linotype"/>
          <w:bCs/>
          <w:sz w:val="22"/>
          <w:szCs w:val="22"/>
        </w:rPr>
      </w:pPr>
    </w:p>
    <w:p w:rsidR="00482742" w:rsidRDefault="00F507EF" w:rsidP="00D9487D">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The type of school attended ap</w:t>
      </w:r>
      <w:r w:rsidR="00C32033">
        <w:rPr>
          <w:rFonts w:ascii="Palatino Linotype" w:hAnsi="Palatino Linotype"/>
          <w:bCs/>
          <w:sz w:val="22"/>
          <w:szCs w:val="22"/>
        </w:rPr>
        <w:t>pears to make more difference for girls than</w:t>
      </w:r>
      <w:r>
        <w:rPr>
          <w:rFonts w:ascii="Palatino Linotype" w:hAnsi="Palatino Linotype"/>
          <w:bCs/>
          <w:sz w:val="22"/>
          <w:szCs w:val="22"/>
        </w:rPr>
        <w:t xml:space="preserve"> boys</w:t>
      </w:r>
      <w:r w:rsidR="005F7F65">
        <w:rPr>
          <w:rFonts w:ascii="Palatino Linotype" w:hAnsi="Palatino Linotype"/>
          <w:bCs/>
          <w:sz w:val="22"/>
          <w:szCs w:val="22"/>
        </w:rPr>
        <w:t xml:space="preserve">, particularly </w:t>
      </w:r>
      <w:r w:rsidR="00C32033">
        <w:rPr>
          <w:rFonts w:ascii="Palatino Linotype" w:hAnsi="Palatino Linotype"/>
          <w:bCs/>
          <w:sz w:val="22"/>
          <w:szCs w:val="22"/>
        </w:rPr>
        <w:t>in</w:t>
      </w:r>
      <w:r w:rsidR="005F7F65">
        <w:rPr>
          <w:rFonts w:ascii="Palatino Linotype" w:hAnsi="Palatino Linotype"/>
          <w:bCs/>
          <w:sz w:val="22"/>
          <w:szCs w:val="22"/>
        </w:rPr>
        <w:t xml:space="preserve"> physics</w:t>
      </w:r>
      <w:r w:rsidR="00F53CE5">
        <w:rPr>
          <w:rFonts w:ascii="Palatino Linotype" w:hAnsi="Palatino Linotype"/>
          <w:bCs/>
          <w:sz w:val="22"/>
          <w:szCs w:val="22"/>
        </w:rPr>
        <w:t xml:space="preserve">.  </w:t>
      </w:r>
      <w:r>
        <w:rPr>
          <w:rFonts w:ascii="Palatino Linotype" w:hAnsi="Palatino Linotype"/>
          <w:bCs/>
          <w:sz w:val="22"/>
          <w:szCs w:val="22"/>
        </w:rPr>
        <w:t>For example, girls a</w:t>
      </w:r>
      <w:r w:rsidRPr="00F507EF">
        <w:rPr>
          <w:rFonts w:ascii="Palatino Linotype" w:hAnsi="Palatino Linotype"/>
          <w:bCs/>
          <w:sz w:val="22"/>
          <w:szCs w:val="22"/>
        </w:rPr>
        <w:t xml:space="preserve">re </w:t>
      </w:r>
      <w:r w:rsidR="004E0656">
        <w:rPr>
          <w:rFonts w:ascii="Palatino Linotype" w:hAnsi="Palatino Linotype"/>
          <w:bCs/>
          <w:sz w:val="22"/>
          <w:szCs w:val="22"/>
        </w:rPr>
        <w:t xml:space="preserve">four times </w:t>
      </w:r>
      <w:r w:rsidRPr="00F507EF">
        <w:rPr>
          <w:rFonts w:ascii="Palatino Linotype" w:hAnsi="Palatino Linotype"/>
          <w:bCs/>
          <w:sz w:val="22"/>
          <w:szCs w:val="22"/>
        </w:rPr>
        <w:t xml:space="preserve">more likely to choose A-level physics if attending an </w:t>
      </w:r>
      <w:r>
        <w:rPr>
          <w:rFonts w:ascii="Palatino Linotype" w:hAnsi="Palatino Linotype"/>
          <w:bCs/>
          <w:sz w:val="22"/>
          <w:szCs w:val="22"/>
        </w:rPr>
        <w:t>independent or grammar school,</w:t>
      </w:r>
      <w:r w:rsidR="004E0656">
        <w:rPr>
          <w:rFonts w:ascii="Palatino Linotype" w:hAnsi="Palatino Linotype"/>
          <w:bCs/>
          <w:sz w:val="22"/>
          <w:szCs w:val="22"/>
        </w:rPr>
        <w:t xml:space="preserve"> compared with twice as many boys</w:t>
      </w:r>
      <w:r w:rsidR="00F53CE5">
        <w:rPr>
          <w:rFonts w:ascii="Palatino Linotype" w:hAnsi="Palatino Linotype"/>
          <w:bCs/>
          <w:sz w:val="22"/>
          <w:szCs w:val="22"/>
        </w:rPr>
        <w:t xml:space="preserve">.  </w:t>
      </w:r>
      <w:r w:rsidR="004E0656">
        <w:rPr>
          <w:rFonts w:ascii="Palatino Linotype" w:hAnsi="Palatino Linotype"/>
          <w:bCs/>
          <w:sz w:val="22"/>
          <w:szCs w:val="22"/>
        </w:rPr>
        <w:t>G</w:t>
      </w:r>
      <w:r w:rsidR="00B74F6D">
        <w:rPr>
          <w:rFonts w:ascii="Palatino Linotype" w:hAnsi="Palatino Linotype"/>
          <w:bCs/>
          <w:sz w:val="22"/>
          <w:szCs w:val="22"/>
        </w:rPr>
        <w:t>irls at maintained schools are almost two-and-a-half times more likely to go on to do A-level physics if they attend an all-girls school,</w:t>
      </w:r>
      <w:r>
        <w:rPr>
          <w:rFonts w:ascii="Palatino Linotype" w:hAnsi="Palatino Linotype"/>
          <w:bCs/>
          <w:sz w:val="22"/>
          <w:szCs w:val="22"/>
        </w:rPr>
        <w:t xml:space="preserve"> rather than a co-educational school</w:t>
      </w:r>
      <w:r w:rsidR="004E0656">
        <w:rPr>
          <w:rFonts w:ascii="Palatino Linotype" w:hAnsi="Palatino Linotype"/>
          <w:bCs/>
          <w:sz w:val="22"/>
          <w:szCs w:val="22"/>
        </w:rPr>
        <w:t>, compared with boys being one-and-a-half times more likely</w:t>
      </w:r>
      <w:r>
        <w:rPr>
          <w:rFonts w:ascii="Palatino Linotype" w:hAnsi="Palatino Linotype"/>
          <w:bCs/>
          <w:sz w:val="22"/>
          <w:szCs w:val="22"/>
        </w:rPr>
        <w:t>.</w:t>
      </w:r>
      <w:r w:rsidR="00FB0721">
        <w:rPr>
          <w:rFonts w:ascii="Palatino Linotype" w:hAnsi="Palatino Linotype"/>
          <w:bCs/>
          <w:sz w:val="22"/>
          <w:szCs w:val="22"/>
        </w:rPr>
        <w:t xml:space="preserve"> </w:t>
      </w:r>
      <w:r>
        <w:rPr>
          <w:rFonts w:ascii="Palatino Linotype" w:hAnsi="Palatino Linotype"/>
          <w:bCs/>
          <w:sz w:val="22"/>
          <w:szCs w:val="22"/>
        </w:rPr>
        <w:t xml:space="preserve"> I</w:t>
      </w:r>
      <w:r w:rsidR="00482742">
        <w:rPr>
          <w:rFonts w:ascii="Palatino Linotype" w:hAnsi="Palatino Linotype"/>
          <w:bCs/>
          <w:sz w:val="22"/>
          <w:szCs w:val="22"/>
        </w:rPr>
        <w:t>n 2011, no girls went on to study A-level physics in 49% of maintained co-educational schools (Institute of Physics, 2011)</w:t>
      </w:r>
      <w:r w:rsidR="004E0656">
        <w:rPr>
          <w:rFonts w:ascii="Palatino Linotype" w:hAnsi="Palatino Linotype"/>
          <w:bCs/>
          <w:sz w:val="22"/>
          <w:szCs w:val="22"/>
        </w:rPr>
        <w:t>, compared with 12% for boys</w:t>
      </w:r>
      <w:r w:rsidR="00F53CE5">
        <w:rPr>
          <w:rFonts w:ascii="Palatino Linotype" w:hAnsi="Palatino Linotype"/>
          <w:bCs/>
          <w:sz w:val="22"/>
          <w:szCs w:val="22"/>
        </w:rPr>
        <w:t xml:space="preserve">.  </w:t>
      </w:r>
      <w:r w:rsidR="002563F5">
        <w:rPr>
          <w:rFonts w:ascii="Palatino Linotype" w:hAnsi="Palatino Linotype"/>
          <w:bCs/>
          <w:sz w:val="22"/>
          <w:szCs w:val="22"/>
        </w:rPr>
        <w:t xml:space="preserve">In the same year, </w:t>
      </w:r>
      <w:r w:rsidR="005F7F65">
        <w:rPr>
          <w:rFonts w:ascii="Palatino Linotype" w:hAnsi="Palatino Linotype"/>
          <w:bCs/>
          <w:sz w:val="22"/>
          <w:szCs w:val="22"/>
        </w:rPr>
        <w:t>7.7% of</w:t>
      </w:r>
      <w:r w:rsidR="005F7F65" w:rsidRPr="005F7F65">
        <w:rPr>
          <w:rFonts w:ascii="Palatino Linotype" w:hAnsi="Palatino Linotype"/>
          <w:bCs/>
          <w:sz w:val="22"/>
          <w:szCs w:val="22"/>
        </w:rPr>
        <w:t xml:space="preserve"> girls in girls-only sixth forms t</w:t>
      </w:r>
      <w:r w:rsidR="005F7F65">
        <w:rPr>
          <w:rFonts w:ascii="Palatino Linotype" w:hAnsi="Palatino Linotype"/>
          <w:bCs/>
          <w:sz w:val="22"/>
          <w:szCs w:val="22"/>
        </w:rPr>
        <w:t xml:space="preserve">ake up physics at A-level </w:t>
      </w:r>
      <w:r w:rsidR="005F7F65" w:rsidRPr="005F7F65">
        <w:rPr>
          <w:rFonts w:ascii="Palatino Linotype" w:hAnsi="Palatino Linotype"/>
          <w:bCs/>
          <w:sz w:val="22"/>
          <w:szCs w:val="22"/>
        </w:rPr>
        <w:t>compared wit</w:t>
      </w:r>
      <w:r w:rsidR="005F7F65">
        <w:rPr>
          <w:rFonts w:ascii="Palatino Linotype" w:hAnsi="Palatino Linotype"/>
          <w:bCs/>
          <w:sz w:val="22"/>
          <w:szCs w:val="22"/>
        </w:rPr>
        <w:t>h 3.6% for the whole population (Gill and Bell, 2013)</w:t>
      </w:r>
      <w:r w:rsidR="00F53CE5">
        <w:rPr>
          <w:rFonts w:ascii="Palatino Linotype" w:hAnsi="Palatino Linotype"/>
          <w:bCs/>
          <w:sz w:val="22"/>
          <w:szCs w:val="22"/>
        </w:rPr>
        <w:t xml:space="preserve">.  </w:t>
      </w:r>
    </w:p>
    <w:p w:rsidR="00375731" w:rsidRDefault="00375731"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The particular success of female students in single-sex schools in achieving good grades in science subjects has resulted in some schools experimenting with single-sex groupings in science teaching at all levels, though there has been relatively little systematic research into its effectiveness (Murphy and Whitelegg, 2006).</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 xml:space="preserve">School size does not appear to be an influence </w:t>
      </w:r>
      <w:r w:rsidR="005C19C8">
        <w:rPr>
          <w:rFonts w:ascii="Palatino Linotype" w:hAnsi="Palatino Linotype"/>
          <w:bCs/>
          <w:sz w:val="22"/>
          <w:szCs w:val="22"/>
        </w:rPr>
        <w:t>on engagement and participation</w:t>
      </w:r>
      <w:r w:rsidR="004E0656">
        <w:rPr>
          <w:rFonts w:ascii="Palatino Linotype" w:hAnsi="Palatino Linotype"/>
          <w:bCs/>
          <w:sz w:val="22"/>
          <w:szCs w:val="22"/>
        </w:rPr>
        <w:t xml:space="preserve"> (Hampden-Thompson and Bennett, </w:t>
      </w:r>
      <w:r w:rsidRPr="00EE3715">
        <w:rPr>
          <w:rFonts w:ascii="Palatino Linotype" w:hAnsi="Palatino Linotype"/>
          <w:bCs/>
          <w:sz w:val="22"/>
          <w:szCs w:val="22"/>
        </w:rPr>
        <w:t>2011), bu</w:t>
      </w:r>
      <w:r w:rsidR="002563F5">
        <w:rPr>
          <w:rFonts w:ascii="Palatino Linotype" w:hAnsi="Palatino Linotype"/>
          <w:bCs/>
          <w:sz w:val="22"/>
          <w:szCs w:val="22"/>
        </w:rPr>
        <w:t>t the age range of students in</w:t>
      </w:r>
      <w:r w:rsidRPr="00EE3715">
        <w:rPr>
          <w:rFonts w:ascii="Palatino Linotype" w:hAnsi="Palatino Linotype"/>
          <w:bCs/>
          <w:sz w:val="22"/>
          <w:szCs w:val="22"/>
        </w:rPr>
        <w:t xml:space="preserve"> schools does make a difference, with fewer students going on to study physical science subjects in 11-16 schools than 11-18 schools</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.2</w:t>
      </w:r>
      <w:r w:rsidR="00EE3715" w:rsidRPr="00EE3715">
        <w:rPr>
          <w:rFonts w:ascii="Palatino Linotype" w:hAnsi="Palatino Linotype"/>
          <w:bCs/>
          <w:i/>
          <w:sz w:val="22"/>
          <w:szCs w:val="22"/>
        </w:rPr>
        <w:tab/>
        <w:t>School ethos, leadership and management</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A number of studies have looked at aspects of schools that appear more successful in encouraging post-compulsory participation in science subject</w:t>
      </w:r>
      <w:r w:rsidR="002563F5">
        <w:rPr>
          <w:rFonts w:ascii="Palatino Linotype" w:hAnsi="Palatino Linotype"/>
          <w:bCs/>
          <w:sz w:val="22"/>
          <w:szCs w:val="22"/>
        </w:rPr>
        <w:t>s</w:t>
      </w:r>
      <w:r w:rsidRPr="00EE3715">
        <w:rPr>
          <w:rFonts w:ascii="Palatino Linotype" w:hAnsi="Palatino Linotype"/>
          <w:bCs/>
          <w:sz w:val="22"/>
          <w:szCs w:val="22"/>
        </w:rPr>
        <w:t>, particula</w:t>
      </w:r>
      <w:r w:rsidR="002563F5">
        <w:rPr>
          <w:rFonts w:ascii="Palatino Linotype" w:hAnsi="Palatino Linotype"/>
          <w:bCs/>
          <w:sz w:val="22"/>
          <w:szCs w:val="22"/>
        </w:rPr>
        <w:t>rly the physical science</w:t>
      </w:r>
      <w:r w:rsidRPr="00EE3715">
        <w:rPr>
          <w:rFonts w:ascii="Palatino Linotype" w:hAnsi="Palatino Linotype"/>
          <w:bCs/>
          <w:sz w:val="22"/>
          <w:szCs w:val="22"/>
        </w:rPr>
        <w:t>s (Smithers and Robinson, 2007; Department for Children, Sc</w:t>
      </w:r>
      <w:r w:rsidR="00375731">
        <w:rPr>
          <w:rFonts w:ascii="Palatino Linotype" w:hAnsi="Palatino Linotype"/>
          <w:bCs/>
          <w:sz w:val="22"/>
          <w:szCs w:val="22"/>
        </w:rPr>
        <w:t>hools and Families [DCSF], 2009;</w:t>
      </w:r>
      <w:r w:rsidRPr="00EE3715">
        <w:rPr>
          <w:rFonts w:ascii="Palatino Linotype" w:hAnsi="Palatino Linotype"/>
          <w:bCs/>
          <w:sz w:val="22"/>
          <w:szCs w:val="22"/>
        </w:rPr>
        <w:t xml:space="preserve"> </w:t>
      </w:r>
      <w:r w:rsidR="00375731">
        <w:rPr>
          <w:rFonts w:ascii="Palatino Linotype" w:hAnsi="Palatino Linotype"/>
          <w:bCs/>
          <w:sz w:val="22"/>
          <w:szCs w:val="22"/>
        </w:rPr>
        <w:t xml:space="preserve">Institute of Physics, 2011; </w:t>
      </w:r>
      <w:r w:rsidRPr="00EE3715">
        <w:rPr>
          <w:rFonts w:ascii="Palatino Linotype" w:hAnsi="Palatino Linotype"/>
          <w:bCs/>
          <w:sz w:val="22"/>
          <w:szCs w:val="22"/>
        </w:rPr>
        <w:t xml:space="preserve">Bennett </w:t>
      </w:r>
      <w:r w:rsidRPr="000E115F">
        <w:rPr>
          <w:rFonts w:ascii="Palatino Linotype" w:hAnsi="Palatino Linotype"/>
          <w:bCs/>
          <w:i/>
          <w:sz w:val="22"/>
          <w:szCs w:val="22"/>
        </w:rPr>
        <w:t>et al</w:t>
      </w:r>
      <w:r w:rsidRPr="00EE3715">
        <w:rPr>
          <w:rFonts w:ascii="Palatino Linotype" w:hAnsi="Palatino Linotype"/>
          <w:bCs/>
          <w:sz w:val="22"/>
          <w:szCs w:val="22"/>
        </w:rPr>
        <w:t>., 2013)</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School ethos plays a major role, with leadership and management features playing out in interesting ways</w:t>
      </w:r>
      <w:r w:rsidR="00F53CE5">
        <w:rPr>
          <w:rFonts w:ascii="Palatino Linotype" w:hAnsi="Palatino Linotype"/>
          <w:bCs/>
          <w:sz w:val="22"/>
          <w:szCs w:val="22"/>
        </w:rPr>
        <w:t xml:space="preserve">.  </w:t>
      </w:r>
      <w:r w:rsidRPr="00EE3715">
        <w:rPr>
          <w:rFonts w:ascii="Palatino Linotype" w:hAnsi="Palatino Linotype"/>
          <w:bCs/>
          <w:sz w:val="22"/>
          <w:szCs w:val="22"/>
        </w:rPr>
        <w:t>Strong school leadership associated with a high degree of subject teacher autonomy improves levels of post-compulsory participation, as strong subject leadership by science staff is often associated with active and direct recruitment into post-compulsory study by school science staff</w:t>
      </w:r>
      <w:r w:rsidR="00F53CE5">
        <w:rPr>
          <w:rFonts w:ascii="Palatino Linotype" w:hAnsi="Palatino Linotype"/>
          <w:bCs/>
          <w:sz w:val="22"/>
          <w:szCs w:val="22"/>
        </w:rPr>
        <w:t xml:space="preserve">.  </w:t>
      </w:r>
      <w:r w:rsidRPr="00EE3715">
        <w:rPr>
          <w:rFonts w:ascii="Palatino Linotype" w:hAnsi="Palatino Linotype"/>
          <w:bCs/>
          <w:sz w:val="22"/>
          <w:szCs w:val="22"/>
        </w:rPr>
        <w:t>However, strong school leadership that includes a high degree of involvement of senior staff in giving subject advice results in lower post-compulsory uptake</w:t>
      </w:r>
      <w:r w:rsidR="00F53CE5">
        <w:rPr>
          <w:rFonts w:ascii="Palatino Linotype" w:hAnsi="Palatino Linotype"/>
          <w:bCs/>
          <w:sz w:val="22"/>
          <w:szCs w:val="22"/>
        </w:rPr>
        <w:t xml:space="preserve">.  </w:t>
      </w:r>
      <w:r w:rsidRPr="00EE3715">
        <w:rPr>
          <w:rFonts w:ascii="Palatino Linotype" w:hAnsi="Palatino Linotype"/>
          <w:bCs/>
          <w:sz w:val="22"/>
          <w:szCs w:val="22"/>
        </w:rPr>
        <w:t xml:space="preserve">This is because senior </w:t>
      </w:r>
      <w:proofErr w:type="gramStart"/>
      <w:r w:rsidRPr="00EE3715">
        <w:rPr>
          <w:rFonts w:ascii="Palatino Linotype" w:hAnsi="Palatino Linotype"/>
          <w:bCs/>
          <w:sz w:val="22"/>
          <w:szCs w:val="22"/>
        </w:rPr>
        <w:t>staff need</w:t>
      </w:r>
      <w:proofErr w:type="gramEnd"/>
      <w:r w:rsidRPr="00EE3715">
        <w:rPr>
          <w:rFonts w:ascii="Palatino Linotype" w:hAnsi="Palatino Linotype"/>
          <w:bCs/>
          <w:sz w:val="22"/>
          <w:szCs w:val="22"/>
        </w:rPr>
        <w:t xml:space="preserve"> to appear even-handed, and not favouring </w:t>
      </w:r>
      <w:r w:rsidRPr="00EE3715">
        <w:rPr>
          <w:rFonts w:ascii="Palatino Linotype" w:hAnsi="Palatino Linotype"/>
          <w:bCs/>
          <w:sz w:val="22"/>
          <w:szCs w:val="22"/>
        </w:rPr>
        <w:lastRenderedPageBreak/>
        <w:t>particular subjects, or taking action that might have a negative impact on some curriculum areas</w:t>
      </w:r>
      <w:r w:rsidR="00F53CE5">
        <w:rPr>
          <w:rFonts w:ascii="Palatino Linotype" w:hAnsi="Palatino Linotype"/>
          <w:bCs/>
          <w:sz w:val="22"/>
          <w:szCs w:val="22"/>
        </w:rPr>
        <w:t xml:space="preserve">.  </w:t>
      </w:r>
      <w:r w:rsidRPr="00EE3715">
        <w:rPr>
          <w:rFonts w:ascii="Palatino Linotype" w:hAnsi="Palatino Linotype"/>
          <w:bCs/>
          <w:sz w:val="22"/>
          <w:szCs w:val="22"/>
        </w:rPr>
        <w:t xml:space="preserve">Equally, senior staff are likely to encourage students to </w:t>
      </w:r>
      <w:r w:rsidR="00977D10">
        <w:rPr>
          <w:rFonts w:ascii="Palatino Linotype" w:hAnsi="Palatino Linotype"/>
          <w:bCs/>
          <w:sz w:val="22"/>
          <w:szCs w:val="22"/>
        </w:rPr>
        <w:t>‘</w:t>
      </w:r>
      <w:r w:rsidRPr="00EE3715">
        <w:rPr>
          <w:rFonts w:ascii="Palatino Linotype" w:hAnsi="Palatino Linotype"/>
          <w:bCs/>
          <w:sz w:val="22"/>
          <w:szCs w:val="22"/>
        </w:rPr>
        <w:t>keep their options open</w:t>
      </w:r>
      <w:r w:rsidR="00977D10">
        <w:rPr>
          <w:rFonts w:ascii="Palatino Linotype" w:hAnsi="Palatino Linotype"/>
          <w:bCs/>
          <w:sz w:val="22"/>
          <w:szCs w:val="22"/>
        </w:rPr>
        <w:t>’</w:t>
      </w:r>
      <w:r w:rsidRPr="00EE3715">
        <w:rPr>
          <w:rFonts w:ascii="Palatino Linotype" w:hAnsi="Palatino Linotype"/>
          <w:bCs/>
          <w:sz w:val="22"/>
          <w:szCs w:val="22"/>
        </w:rPr>
        <w:t xml:space="preserve"> when choosing subjects</w:t>
      </w:r>
      <w:r w:rsidR="00F53CE5">
        <w:rPr>
          <w:rFonts w:ascii="Palatino Linotype" w:hAnsi="Palatino Linotype"/>
          <w:bCs/>
          <w:sz w:val="22"/>
          <w:szCs w:val="22"/>
        </w:rPr>
        <w:t xml:space="preserve">.  </w:t>
      </w:r>
      <w:r w:rsidRPr="00EE3715">
        <w:rPr>
          <w:rFonts w:ascii="Palatino Linotype" w:hAnsi="Palatino Linotype"/>
          <w:bCs/>
          <w:sz w:val="22"/>
          <w:szCs w:val="22"/>
        </w:rPr>
        <w:t xml:space="preserve">As will be seen in the later section on careers advice, this militates against post-compulsory participation in the physical sciences (Bennett </w:t>
      </w:r>
      <w:r w:rsidRPr="00EE3715">
        <w:rPr>
          <w:rFonts w:ascii="Palatino Linotype" w:hAnsi="Palatino Linotype"/>
          <w:bCs/>
          <w:i/>
          <w:sz w:val="22"/>
          <w:szCs w:val="22"/>
        </w:rPr>
        <w:t>et al</w:t>
      </w:r>
      <w:r w:rsidRPr="00EE3715">
        <w:rPr>
          <w:rFonts w:ascii="Palatino Linotype" w:hAnsi="Palatino Linotype"/>
          <w:bCs/>
          <w:sz w:val="22"/>
          <w:szCs w:val="22"/>
        </w:rPr>
        <w:t>. 2013)</w:t>
      </w:r>
      <w:r w:rsidR="00F53CE5">
        <w:rPr>
          <w:rFonts w:ascii="Palatino Linotype" w:hAnsi="Palatino Linotype"/>
          <w:bCs/>
          <w:sz w:val="22"/>
          <w:szCs w:val="22"/>
        </w:rPr>
        <w:t xml:space="preserve">.  </w:t>
      </w:r>
    </w:p>
    <w:p w:rsidR="00EE3715" w:rsidRDefault="00EE3715" w:rsidP="00D9487D">
      <w:pPr>
        <w:tabs>
          <w:tab w:val="clear" w:pos="567"/>
          <w:tab w:val="left" w:pos="720"/>
        </w:tabs>
        <w:spacing w:line="240" w:lineRule="auto"/>
        <w:jc w:val="both"/>
        <w:rPr>
          <w:rFonts w:ascii="Palatino Linotype" w:hAnsi="Palatino Linotype"/>
          <w:bCs/>
          <w:sz w:val="22"/>
          <w:szCs w:val="22"/>
        </w:rPr>
      </w:pPr>
    </w:p>
    <w:p w:rsidR="00AD1523" w:rsidRDefault="00AD1523" w:rsidP="00D9487D">
      <w:pPr>
        <w:tabs>
          <w:tab w:val="clear" w:pos="567"/>
          <w:tab w:val="left" w:pos="720"/>
        </w:tabs>
        <w:spacing w:line="240" w:lineRule="auto"/>
        <w:jc w:val="both"/>
        <w:rPr>
          <w:rFonts w:ascii="Palatino Linotype" w:hAnsi="Palatino Linotype"/>
          <w:bCs/>
          <w:sz w:val="22"/>
          <w:szCs w:val="22"/>
        </w:rPr>
      </w:pPr>
    </w:p>
    <w:p w:rsidR="00AD1523" w:rsidRPr="00EE3715" w:rsidRDefault="00AD1523"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.3</w:t>
      </w:r>
      <w:r w:rsidR="00EE3715" w:rsidRPr="00EE3715">
        <w:rPr>
          <w:rFonts w:ascii="Palatino Linotype" w:hAnsi="Palatino Linotype"/>
          <w:bCs/>
          <w:i/>
          <w:sz w:val="22"/>
          <w:szCs w:val="22"/>
        </w:rPr>
        <w:tab/>
        <w:t>Curriculum effects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A number of aspects of the curriculum offered by schools have an impact on engagement and participation</w:t>
      </w:r>
      <w:r w:rsidR="00F53CE5">
        <w:rPr>
          <w:rFonts w:ascii="Palatino Linotype" w:hAnsi="Palatino Linotype"/>
          <w:bCs/>
          <w:sz w:val="22"/>
          <w:szCs w:val="22"/>
        </w:rPr>
        <w:t xml:space="preserve">.  </w:t>
      </w:r>
      <w:r w:rsidRPr="00EE3715">
        <w:rPr>
          <w:rFonts w:ascii="Palatino Linotype" w:hAnsi="Palatino Linotype"/>
          <w:bCs/>
          <w:sz w:val="22"/>
          <w:szCs w:val="22"/>
        </w:rPr>
        <w:t>These include the structure of the curriculum, the nature of the curriculum, and experiences provided for students in lessons.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There is mixed evidence on the effects on post-compulsory participation of offering different science curricula at GCSE level</w:t>
      </w:r>
      <w:r w:rsidR="00F53CE5">
        <w:rPr>
          <w:rFonts w:ascii="Palatino Linotype" w:hAnsi="Palatino Linotype"/>
          <w:bCs/>
          <w:sz w:val="22"/>
          <w:szCs w:val="22"/>
        </w:rPr>
        <w:t xml:space="preserve">.  </w:t>
      </w:r>
      <w:r w:rsidRPr="00EE3715">
        <w:rPr>
          <w:rFonts w:ascii="Palatino Linotype" w:hAnsi="Palatino Linotype"/>
          <w:bCs/>
          <w:sz w:val="22"/>
          <w:szCs w:val="22"/>
        </w:rPr>
        <w:t xml:space="preserve">Gill </w:t>
      </w:r>
      <w:r w:rsidRPr="00EE3715">
        <w:rPr>
          <w:rFonts w:ascii="Palatino Linotype" w:hAnsi="Palatino Linotype"/>
          <w:bCs/>
          <w:i/>
          <w:sz w:val="22"/>
          <w:szCs w:val="22"/>
        </w:rPr>
        <w:t>et al</w:t>
      </w:r>
      <w:r w:rsidRPr="00EE3715">
        <w:rPr>
          <w:rFonts w:ascii="Palatino Linotype" w:hAnsi="Palatino Linotype"/>
          <w:bCs/>
          <w:sz w:val="22"/>
          <w:szCs w:val="22"/>
        </w:rPr>
        <w:t>. (2009), Gill and Bell (2013) and the National Audit Office (2010) suggest that, where a school offers separate sciences at GCSE level, the uptake of post-16 chemistry and physics is more likely to be higher, even when taking into account attainment at GCSE</w:t>
      </w:r>
      <w:r w:rsidR="00F53CE5">
        <w:rPr>
          <w:rFonts w:ascii="Palatino Linotype" w:hAnsi="Palatino Linotype"/>
          <w:bCs/>
          <w:sz w:val="22"/>
          <w:szCs w:val="22"/>
        </w:rPr>
        <w:t xml:space="preserve">.  </w:t>
      </w:r>
      <w:r w:rsidRPr="00EE3715">
        <w:rPr>
          <w:rFonts w:ascii="Palatino Linotype" w:hAnsi="Palatino Linotype"/>
          <w:bCs/>
          <w:sz w:val="22"/>
          <w:szCs w:val="22"/>
        </w:rPr>
        <w:t xml:space="preserve">However, Bennett </w:t>
      </w:r>
      <w:r w:rsidRPr="00EE3715">
        <w:rPr>
          <w:rFonts w:ascii="Palatino Linotype" w:hAnsi="Palatino Linotype"/>
          <w:bCs/>
          <w:i/>
          <w:sz w:val="22"/>
          <w:szCs w:val="22"/>
        </w:rPr>
        <w:t>et al</w:t>
      </w:r>
      <w:r w:rsidRPr="00EE3715">
        <w:rPr>
          <w:rFonts w:ascii="Palatino Linotype" w:hAnsi="Palatino Linotype"/>
          <w:bCs/>
          <w:sz w:val="22"/>
          <w:szCs w:val="22"/>
        </w:rPr>
        <w:t>. (2013) suggest that the provision of a triple science option did not, in itself, appear to have a universally positive effect</w:t>
      </w:r>
      <w:r w:rsidR="00F53CE5">
        <w:rPr>
          <w:rFonts w:ascii="Palatino Linotype" w:hAnsi="Palatino Linotype"/>
          <w:bCs/>
          <w:sz w:val="22"/>
          <w:szCs w:val="22"/>
        </w:rPr>
        <w:t xml:space="preserve">.  </w:t>
      </w:r>
      <w:r w:rsidRPr="00EE3715">
        <w:rPr>
          <w:rFonts w:ascii="Palatino Linotype" w:hAnsi="Palatino Linotype"/>
          <w:bCs/>
          <w:sz w:val="22"/>
          <w:szCs w:val="22"/>
        </w:rPr>
        <w:t>Rather, higher levels of post-compulsory uptake were characterised by a diversity of science curriculum offerings at GCSE, including vocational curricula and academic curricula, and dual and triple science</w:t>
      </w:r>
      <w:r w:rsidR="00F53CE5">
        <w:rPr>
          <w:rFonts w:ascii="Palatino Linotype" w:hAnsi="Palatino Linotype"/>
          <w:bCs/>
          <w:sz w:val="22"/>
          <w:szCs w:val="22"/>
        </w:rPr>
        <w:t xml:space="preserve">.  </w:t>
      </w:r>
      <w:r w:rsidRPr="00EE3715">
        <w:rPr>
          <w:rFonts w:ascii="Palatino Linotype" w:hAnsi="Palatino Linotype"/>
          <w:bCs/>
          <w:sz w:val="22"/>
          <w:szCs w:val="22"/>
        </w:rPr>
        <w:t>This permitted more homogeneous teaching groups which, in turn, appeared to influence students positively towards choosing chemistry or physics</w:t>
      </w:r>
      <w:r w:rsidR="00F53CE5">
        <w:rPr>
          <w:rFonts w:ascii="Palatino Linotype" w:hAnsi="Palatino Linotype"/>
          <w:bCs/>
          <w:sz w:val="22"/>
          <w:szCs w:val="22"/>
        </w:rPr>
        <w:t xml:space="preserve">.  </w:t>
      </w:r>
      <w:r w:rsidR="00340726">
        <w:rPr>
          <w:rFonts w:ascii="Palatino Linotype" w:hAnsi="Palatino Linotype"/>
          <w:bCs/>
          <w:sz w:val="22"/>
          <w:szCs w:val="22"/>
        </w:rPr>
        <w:t>This aspect of curriculum provision would benefit from further exploration</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Students have differing views of the level of demand made on them by the science curriculum</w:t>
      </w:r>
      <w:r w:rsidR="00F53CE5">
        <w:rPr>
          <w:rFonts w:ascii="Palatino Linotype" w:hAnsi="Palatino Linotype"/>
          <w:bCs/>
          <w:sz w:val="22"/>
          <w:szCs w:val="22"/>
        </w:rPr>
        <w:t xml:space="preserve">.  </w:t>
      </w:r>
      <w:r w:rsidRPr="00EE3715">
        <w:rPr>
          <w:rFonts w:ascii="Palatino Linotype" w:hAnsi="Palatino Linotype"/>
          <w:bCs/>
          <w:sz w:val="22"/>
          <w:szCs w:val="22"/>
        </w:rPr>
        <w:t xml:space="preserve">In the early years of secondary school, </w:t>
      </w:r>
      <w:r w:rsidR="00340726">
        <w:rPr>
          <w:rFonts w:ascii="Palatino Linotype" w:hAnsi="Palatino Linotype"/>
          <w:bCs/>
          <w:sz w:val="22"/>
          <w:szCs w:val="22"/>
        </w:rPr>
        <w:t>some students report being</w:t>
      </w:r>
      <w:r w:rsidR="00977D10">
        <w:rPr>
          <w:rFonts w:ascii="Palatino Linotype" w:hAnsi="Palatino Linotype"/>
          <w:bCs/>
          <w:sz w:val="22"/>
          <w:szCs w:val="22"/>
        </w:rPr>
        <w:t xml:space="preserve"> alienated by the </w:t>
      </w:r>
      <w:r w:rsidR="00C92AA3">
        <w:rPr>
          <w:rFonts w:ascii="Palatino Linotype" w:hAnsi="Palatino Linotype"/>
          <w:bCs/>
          <w:sz w:val="22"/>
          <w:szCs w:val="22"/>
        </w:rPr>
        <w:t>repet</w:t>
      </w:r>
      <w:r w:rsidR="00C92AA3" w:rsidRPr="00EE3715">
        <w:rPr>
          <w:rFonts w:ascii="Palatino Linotype" w:hAnsi="Palatino Linotype"/>
          <w:bCs/>
          <w:sz w:val="22"/>
          <w:szCs w:val="22"/>
        </w:rPr>
        <w:t>ition</w:t>
      </w:r>
      <w:r w:rsidRPr="00EE3715">
        <w:rPr>
          <w:rFonts w:ascii="Palatino Linotype" w:hAnsi="Palatino Linotype"/>
          <w:bCs/>
          <w:sz w:val="22"/>
          <w:szCs w:val="22"/>
        </w:rPr>
        <w:t xml:space="preserve"> of material covered in their primary schools (Institution of Mechanical Engineers, 2010)</w:t>
      </w:r>
      <w:r w:rsidR="00F53CE5">
        <w:rPr>
          <w:rFonts w:ascii="Palatino Linotype" w:hAnsi="Palatino Linotype"/>
          <w:bCs/>
          <w:sz w:val="22"/>
          <w:szCs w:val="22"/>
        </w:rPr>
        <w:t xml:space="preserve">.  </w:t>
      </w:r>
      <w:r w:rsidR="00340726">
        <w:rPr>
          <w:rFonts w:ascii="Palatino Linotype" w:hAnsi="Palatino Linotype"/>
          <w:bCs/>
          <w:sz w:val="22"/>
          <w:szCs w:val="22"/>
        </w:rPr>
        <w:t>This reported alienation is most noticeable amongst higher ability students</w:t>
      </w:r>
      <w:r w:rsidR="00F53CE5">
        <w:rPr>
          <w:rFonts w:ascii="Palatino Linotype" w:hAnsi="Palatino Linotype"/>
          <w:bCs/>
          <w:sz w:val="22"/>
          <w:szCs w:val="22"/>
        </w:rPr>
        <w:t xml:space="preserve">.  </w:t>
      </w:r>
      <w:r w:rsidRPr="00EE3715">
        <w:rPr>
          <w:rFonts w:ascii="Palatino Linotype" w:hAnsi="Palatino Linotype"/>
          <w:bCs/>
          <w:sz w:val="22"/>
          <w:szCs w:val="22"/>
        </w:rPr>
        <w:t xml:space="preserve">In the later years of secondary education, students perceive the science curriculum in England to be over-full and overladen with facts, resulting in a feeling of not being in control of their learning (Osborne and Collins, 2001; </w:t>
      </w:r>
      <w:proofErr w:type="spellStart"/>
      <w:r w:rsidRPr="00EE3715">
        <w:rPr>
          <w:rFonts w:ascii="Palatino Linotype" w:hAnsi="Palatino Linotype"/>
          <w:bCs/>
          <w:sz w:val="22"/>
          <w:szCs w:val="22"/>
        </w:rPr>
        <w:t>Cerini</w:t>
      </w:r>
      <w:proofErr w:type="spellEnd"/>
      <w:r w:rsidRPr="00EE3715">
        <w:rPr>
          <w:rFonts w:ascii="Palatino Linotype" w:hAnsi="Palatino Linotype"/>
          <w:bCs/>
          <w:sz w:val="22"/>
          <w:szCs w:val="22"/>
        </w:rPr>
        <w:t xml:space="preserve"> </w:t>
      </w:r>
      <w:r w:rsidRPr="00EE3715">
        <w:rPr>
          <w:rFonts w:ascii="Palatino Linotype" w:hAnsi="Palatino Linotype"/>
          <w:bCs/>
          <w:i/>
          <w:sz w:val="22"/>
          <w:szCs w:val="22"/>
        </w:rPr>
        <w:t>et al</w:t>
      </w:r>
      <w:r w:rsidRPr="00EE3715">
        <w:rPr>
          <w:rFonts w:ascii="Palatino Linotype" w:hAnsi="Palatino Linotype"/>
          <w:bCs/>
          <w:sz w:val="22"/>
          <w:szCs w:val="22"/>
        </w:rPr>
        <w:t>. 2004; Van Langen and Dekker, 2005)</w:t>
      </w:r>
      <w:r w:rsidR="00F53CE5">
        <w:rPr>
          <w:rFonts w:ascii="Palatino Linotype" w:hAnsi="Palatino Linotype"/>
          <w:bCs/>
          <w:sz w:val="22"/>
          <w:szCs w:val="22"/>
        </w:rPr>
        <w:t xml:space="preserve">.  </w:t>
      </w:r>
      <w:r w:rsidRPr="00EE3715">
        <w:rPr>
          <w:rFonts w:ascii="Palatino Linotype" w:hAnsi="Palatino Linotype"/>
          <w:bCs/>
          <w:sz w:val="22"/>
          <w:szCs w:val="22"/>
        </w:rPr>
        <w:t xml:space="preserve">These studies also report students feeling that there is insufficient time for discussion of scientific issues, though Jenkins and Nelson (2005) </w:t>
      </w:r>
      <w:r w:rsidR="00977D10">
        <w:rPr>
          <w:rFonts w:ascii="Palatino Linotype" w:hAnsi="Palatino Linotype"/>
          <w:bCs/>
          <w:sz w:val="22"/>
          <w:szCs w:val="22"/>
        </w:rPr>
        <w:t>did not find</w:t>
      </w:r>
      <w:r w:rsidRPr="00EE3715">
        <w:rPr>
          <w:rFonts w:ascii="Palatino Linotype" w:hAnsi="Palatino Linotype"/>
          <w:bCs/>
          <w:sz w:val="22"/>
          <w:szCs w:val="22"/>
        </w:rPr>
        <w:t xml:space="preserve"> </w:t>
      </w:r>
      <w:r w:rsidR="00977D10">
        <w:rPr>
          <w:rFonts w:ascii="Palatino Linotype" w:hAnsi="Palatino Linotype"/>
          <w:bCs/>
          <w:sz w:val="22"/>
          <w:szCs w:val="22"/>
        </w:rPr>
        <w:t xml:space="preserve">particularly strong </w:t>
      </w:r>
      <w:r w:rsidRPr="00EE3715">
        <w:rPr>
          <w:rFonts w:ascii="Palatino Linotype" w:hAnsi="Palatino Linotype"/>
          <w:bCs/>
          <w:sz w:val="22"/>
          <w:szCs w:val="22"/>
        </w:rPr>
        <w:t>support for the inclusion of such matters in the science curriculum</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FB1348"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 xml:space="preserve">A systematic review of the effects of context-based approaches to the teaching of science approaches (Bennett </w:t>
      </w:r>
      <w:r w:rsidRPr="00EE3715">
        <w:rPr>
          <w:rFonts w:ascii="Palatino Linotype" w:hAnsi="Palatino Linotype"/>
          <w:bCs/>
          <w:i/>
          <w:sz w:val="22"/>
          <w:szCs w:val="22"/>
        </w:rPr>
        <w:t>et al</w:t>
      </w:r>
      <w:r w:rsidRPr="00EE3715">
        <w:rPr>
          <w:rFonts w:ascii="Palatino Linotype" w:hAnsi="Palatino Linotype"/>
          <w:bCs/>
          <w:sz w:val="22"/>
          <w:szCs w:val="22"/>
        </w:rPr>
        <w:t>., 2007) has shown that, whilst students are more engaged with their experiences in science lessons, there is relatively little evidence to suggest that this is translated into increased participation in the post-compulsory period of study on a substantial scale</w:t>
      </w:r>
      <w:r w:rsidR="00F53CE5">
        <w:rPr>
          <w:rFonts w:ascii="Palatino Linotype" w:hAnsi="Palatino Linotype"/>
          <w:bCs/>
          <w:sz w:val="22"/>
          <w:szCs w:val="22"/>
        </w:rPr>
        <w:t xml:space="preserve">.  </w:t>
      </w:r>
      <w:r w:rsidRPr="00EE3715">
        <w:rPr>
          <w:rFonts w:ascii="Palatino Linotype" w:hAnsi="Palatino Linotype"/>
          <w:bCs/>
          <w:sz w:val="22"/>
          <w:szCs w:val="22"/>
        </w:rPr>
        <w:t>Thus increasing the emphasis on everyday applications appears to offer only a partial solution to increasing post-compulsory levels of participation</w:t>
      </w:r>
      <w:r w:rsidR="00F53CE5">
        <w:rPr>
          <w:rFonts w:ascii="Palatino Linotype" w:hAnsi="Palatino Linotype"/>
          <w:bCs/>
          <w:sz w:val="22"/>
          <w:szCs w:val="22"/>
        </w:rPr>
        <w:t xml:space="preserve">.  </w:t>
      </w:r>
      <w:r w:rsidRPr="00EE3715">
        <w:rPr>
          <w:rFonts w:ascii="Palatino Linotype" w:hAnsi="Palatino Linotype"/>
          <w:bCs/>
          <w:sz w:val="22"/>
          <w:szCs w:val="22"/>
        </w:rPr>
        <w:t xml:space="preserve">There is </w:t>
      </w:r>
      <w:r w:rsidR="00F95042">
        <w:rPr>
          <w:rFonts w:ascii="Palatino Linotype" w:hAnsi="Palatino Linotype"/>
          <w:bCs/>
          <w:sz w:val="22"/>
          <w:szCs w:val="22"/>
        </w:rPr>
        <w:t xml:space="preserve">mixed </w:t>
      </w:r>
      <w:r w:rsidRPr="00EE3715">
        <w:rPr>
          <w:rFonts w:ascii="Palatino Linotype" w:hAnsi="Palatino Linotype"/>
          <w:bCs/>
          <w:sz w:val="22"/>
          <w:szCs w:val="22"/>
        </w:rPr>
        <w:t>evidence</w:t>
      </w:r>
      <w:r w:rsidR="00F95042">
        <w:rPr>
          <w:rFonts w:ascii="Palatino Linotype" w:hAnsi="Palatino Linotype"/>
          <w:bCs/>
          <w:sz w:val="22"/>
          <w:szCs w:val="22"/>
        </w:rPr>
        <w:t xml:space="preserve"> on the effects on post-compulsory participation</w:t>
      </w:r>
      <w:r w:rsidRPr="00EE3715">
        <w:rPr>
          <w:rFonts w:ascii="Palatino Linotype" w:hAnsi="Palatino Linotype"/>
          <w:bCs/>
          <w:sz w:val="22"/>
          <w:szCs w:val="22"/>
        </w:rPr>
        <w:t xml:space="preserve"> </w:t>
      </w:r>
      <w:r w:rsidR="00F95042">
        <w:rPr>
          <w:rFonts w:ascii="Palatino Linotype" w:hAnsi="Palatino Linotype"/>
          <w:bCs/>
          <w:sz w:val="22"/>
          <w:szCs w:val="22"/>
        </w:rPr>
        <w:t>of a</w:t>
      </w:r>
      <w:r w:rsidRPr="00EE3715">
        <w:rPr>
          <w:rFonts w:ascii="Palatino Linotype" w:hAnsi="Palatino Linotype"/>
          <w:bCs/>
          <w:sz w:val="22"/>
          <w:szCs w:val="22"/>
        </w:rPr>
        <w:t xml:space="preserve"> GCSE science course with a substantial emphasis on scientific literacy, </w:t>
      </w:r>
      <w:r w:rsidRPr="00EE3715">
        <w:rPr>
          <w:rFonts w:ascii="Palatino Linotype" w:hAnsi="Palatino Linotype"/>
          <w:bCs/>
          <w:i/>
          <w:sz w:val="22"/>
          <w:szCs w:val="22"/>
        </w:rPr>
        <w:t>Twenty First Century Science</w:t>
      </w:r>
      <w:r w:rsidR="00FB1348">
        <w:rPr>
          <w:rFonts w:ascii="Palatino Linotype" w:hAnsi="Palatino Linotype"/>
          <w:bCs/>
          <w:i/>
          <w:sz w:val="22"/>
          <w:szCs w:val="22"/>
        </w:rPr>
        <w:t xml:space="preserve"> (21CS)</w:t>
      </w:r>
      <w:r w:rsidR="00F53CE5">
        <w:rPr>
          <w:rFonts w:ascii="Palatino Linotype" w:hAnsi="Palatino Linotype"/>
          <w:bCs/>
          <w:sz w:val="22"/>
          <w:szCs w:val="22"/>
        </w:rPr>
        <w:t xml:space="preserve">.  </w:t>
      </w:r>
      <w:r w:rsidRPr="00EE3715">
        <w:rPr>
          <w:rFonts w:ascii="Palatino Linotype" w:hAnsi="Palatino Linotype"/>
          <w:bCs/>
          <w:sz w:val="22"/>
          <w:szCs w:val="22"/>
        </w:rPr>
        <w:t>Bennett and Hogarth (2006) found that almost three-quarters of students taking the course felt everyone should study science subjects up to the age of 16, compared with only half of students taking other GCSE courses</w:t>
      </w:r>
      <w:r w:rsidR="00F53CE5">
        <w:rPr>
          <w:rFonts w:ascii="Palatino Linotype" w:hAnsi="Palatino Linotype"/>
          <w:bCs/>
          <w:sz w:val="22"/>
          <w:szCs w:val="22"/>
        </w:rPr>
        <w:t xml:space="preserve">.  </w:t>
      </w:r>
      <w:r w:rsidRPr="00EE3715">
        <w:rPr>
          <w:rFonts w:ascii="Palatino Linotype" w:hAnsi="Palatino Linotype"/>
          <w:bCs/>
          <w:sz w:val="22"/>
          <w:szCs w:val="22"/>
        </w:rPr>
        <w:t xml:space="preserve">A survey of schools in England </w:t>
      </w:r>
      <w:r w:rsidR="00977D10">
        <w:rPr>
          <w:rFonts w:ascii="Palatino Linotype" w:hAnsi="Palatino Linotype"/>
          <w:bCs/>
          <w:sz w:val="22"/>
          <w:szCs w:val="22"/>
        </w:rPr>
        <w:t xml:space="preserve">who started the course in 2006 </w:t>
      </w:r>
      <w:r w:rsidRPr="00EE3715">
        <w:rPr>
          <w:rFonts w:ascii="Palatino Linotype" w:hAnsi="Palatino Linotype"/>
          <w:bCs/>
          <w:sz w:val="22"/>
          <w:szCs w:val="22"/>
        </w:rPr>
        <w:t>suggests that this increased value place</w:t>
      </w:r>
      <w:r w:rsidR="00340726">
        <w:rPr>
          <w:rFonts w:ascii="Palatino Linotype" w:hAnsi="Palatino Linotype"/>
          <w:bCs/>
          <w:sz w:val="22"/>
          <w:szCs w:val="22"/>
        </w:rPr>
        <w:t>d</w:t>
      </w:r>
      <w:r w:rsidRPr="00EE3715">
        <w:rPr>
          <w:rFonts w:ascii="Palatino Linotype" w:hAnsi="Palatino Linotype"/>
          <w:bCs/>
          <w:sz w:val="22"/>
          <w:szCs w:val="22"/>
        </w:rPr>
        <w:t xml:space="preserve"> on science </w:t>
      </w:r>
      <w:r w:rsidR="00FB1348">
        <w:rPr>
          <w:rFonts w:ascii="Palatino Linotype" w:hAnsi="Palatino Linotype"/>
          <w:bCs/>
          <w:sz w:val="22"/>
          <w:szCs w:val="22"/>
        </w:rPr>
        <w:t>might</w:t>
      </w:r>
      <w:r w:rsidRPr="00EE3715">
        <w:rPr>
          <w:rFonts w:ascii="Palatino Linotype" w:hAnsi="Palatino Linotype"/>
          <w:bCs/>
          <w:sz w:val="22"/>
          <w:szCs w:val="22"/>
        </w:rPr>
        <w:t xml:space="preserve"> be translated into increased participation, </w:t>
      </w:r>
      <w:r w:rsidRPr="00EE3715">
        <w:rPr>
          <w:rFonts w:ascii="Palatino Linotype" w:hAnsi="Palatino Linotype"/>
          <w:bCs/>
          <w:sz w:val="22"/>
          <w:szCs w:val="22"/>
        </w:rPr>
        <w:lastRenderedPageBreak/>
        <w:t>as there were substantial increases in the number of students starting AS-level courses in the sciences in 2008: 30% in biology, 24% in chemistry and 38% in physics (Millar, 2010)</w:t>
      </w:r>
      <w:r w:rsidR="00F53CE5">
        <w:rPr>
          <w:rFonts w:ascii="Palatino Linotype" w:hAnsi="Palatino Linotype"/>
          <w:bCs/>
          <w:sz w:val="22"/>
          <w:szCs w:val="22"/>
        </w:rPr>
        <w:t xml:space="preserve">.  </w:t>
      </w:r>
      <w:r w:rsidR="00F95042">
        <w:rPr>
          <w:rFonts w:ascii="Palatino Linotype" w:hAnsi="Palatino Linotype"/>
          <w:bCs/>
          <w:sz w:val="22"/>
          <w:szCs w:val="22"/>
        </w:rPr>
        <w:t>However, d</w:t>
      </w:r>
      <w:r w:rsidR="00FB1348">
        <w:rPr>
          <w:rFonts w:ascii="Palatino Linotype" w:hAnsi="Palatino Linotype"/>
          <w:bCs/>
          <w:sz w:val="22"/>
          <w:szCs w:val="22"/>
        </w:rPr>
        <w:t>ata on subsequent cohorts of students (Homer and Ryder, 2012) suggest the picture is more mixed</w:t>
      </w:r>
      <w:r w:rsidR="00F53CE5">
        <w:rPr>
          <w:rFonts w:ascii="Palatino Linotype" w:hAnsi="Palatino Linotype"/>
          <w:bCs/>
          <w:sz w:val="22"/>
          <w:szCs w:val="22"/>
        </w:rPr>
        <w:t xml:space="preserve">.  </w:t>
      </w:r>
      <w:r w:rsidR="00FB1348">
        <w:rPr>
          <w:rFonts w:ascii="Palatino Linotype" w:hAnsi="Palatino Linotype"/>
          <w:bCs/>
          <w:sz w:val="22"/>
          <w:szCs w:val="22"/>
        </w:rPr>
        <w:t xml:space="preserve">Students following dual-award </w:t>
      </w:r>
      <w:r w:rsidR="00FB1348" w:rsidRPr="00FB1348">
        <w:rPr>
          <w:rFonts w:ascii="Palatino Linotype" w:hAnsi="Palatino Linotype"/>
          <w:bCs/>
          <w:i/>
          <w:sz w:val="22"/>
          <w:szCs w:val="22"/>
        </w:rPr>
        <w:t>21CS</w:t>
      </w:r>
      <w:r w:rsidR="00FB1348">
        <w:rPr>
          <w:rFonts w:ascii="Palatino Linotype" w:hAnsi="Palatino Linotype"/>
          <w:bCs/>
          <w:sz w:val="22"/>
          <w:szCs w:val="22"/>
        </w:rPr>
        <w:t xml:space="preserve"> are more likely to progress to A-level biology than non</w:t>
      </w:r>
      <w:r w:rsidR="00FB1348">
        <w:rPr>
          <w:rFonts w:ascii="Palatino Linotype" w:hAnsi="Palatino Linotype"/>
          <w:bCs/>
          <w:i/>
          <w:sz w:val="22"/>
          <w:szCs w:val="22"/>
        </w:rPr>
        <w:t>-</w:t>
      </w:r>
      <w:r w:rsidR="00FB1348" w:rsidRPr="00FB1348">
        <w:rPr>
          <w:rFonts w:ascii="Palatino Linotype" w:hAnsi="Palatino Linotype"/>
          <w:bCs/>
          <w:i/>
          <w:sz w:val="22"/>
          <w:szCs w:val="22"/>
        </w:rPr>
        <w:t>21CS</w:t>
      </w:r>
      <w:r w:rsidR="00FB1348">
        <w:rPr>
          <w:rFonts w:ascii="Palatino Linotype" w:hAnsi="Palatino Linotype"/>
          <w:bCs/>
          <w:sz w:val="22"/>
          <w:szCs w:val="22"/>
        </w:rPr>
        <w:t xml:space="preserve"> students,</w:t>
      </w:r>
      <w:r w:rsidR="00F122B6">
        <w:rPr>
          <w:rFonts w:ascii="Palatino Linotype" w:hAnsi="Palatino Linotype"/>
          <w:bCs/>
          <w:sz w:val="22"/>
          <w:szCs w:val="22"/>
        </w:rPr>
        <w:t xml:space="preserve"> and</w:t>
      </w:r>
      <w:r w:rsidR="00FB1348">
        <w:rPr>
          <w:rFonts w:ascii="Palatino Linotype" w:hAnsi="Palatino Linotype"/>
          <w:bCs/>
          <w:sz w:val="22"/>
          <w:szCs w:val="22"/>
        </w:rPr>
        <w:t xml:space="preserve"> students following triple-award </w:t>
      </w:r>
      <w:r w:rsidR="00FB1348" w:rsidRPr="00FB1348">
        <w:rPr>
          <w:rFonts w:ascii="Palatino Linotype" w:hAnsi="Palatino Linotype"/>
          <w:bCs/>
          <w:i/>
          <w:sz w:val="22"/>
          <w:szCs w:val="22"/>
        </w:rPr>
        <w:t>21CS</w:t>
      </w:r>
      <w:r w:rsidR="00FB1348">
        <w:rPr>
          <w:rFonts w:ascii="Palatino Linotype" w:hAnsi="Palatino Linotype"/>
          <w:bCs/>
          <w:sz w:val="22"/>
          <w:szCs w:val="22"/>
        </w:rPr>
        <w:t xml:space="preserve"> are less likely to progress to physics A-level than non-</w:t>
      </w:r>
      <w:r w:rsidR="00FB1348" w:rsidRPr="00FB1348">
        <w:rPr>
          <w:rFonts w:ascii="Palatino Linotype" w:hAnsi="Palatino Linotype"/>
          <w:bCs/>
          <w:i/>
          <w:sz w:val="22"/>
          <w:szCs w:val="22"/>
        </w:rPr>
        <w:t>21CS</w:t>
      </w:r>
      <w:r w:rsidR="00F122B6">
        <w:rPr>
          <w:rFonts w:ascii="Palatino Linotype" w:hAnsi="Palatino Linotype"/>
          <w:bCs/>
          <w:sz w:val="22"/>
          <w:szCs w:val="22"/>
        </w:rPr>
        <w:t xml:space="preserve"> students</w:t>
      </w:r>
      <w:r w:rsidR="00F53CE5">
        <w:rPr>
          <w:rFonts w:ascii="Palatino Linotype" w:hAnsi="Palatino Linotype"/>
          <w:bCs/>
          <w:sz w:val="22"/>
          <w:szCs w:val="22"/>
        </w:rPr>
        <w:t xml:space="preserve">.  </w:t>
      </w:r>
      <w:r w:rsidR="00F122B6">
        <w:rPr>
          <w:rFonts w:ascii="Palatino Linotype" w:hAnsi="Palatino Linotype"/>
          <w:bCs/>
          <w:sz w:val="22"/>
          <w:szCs w:val="22"/>
        </w:rPr>
        <w:t xml:space="preserve">There is also a noticeable gender effect: </w:t>
      </w:r>
      <w:r w:rsidR="00FB1348">
        <w:rPr>
          <w:rFonts w:ascii="Palatino Linotype" w:hAnsi="Palatino Linotype"/>
          <w:bCs/>
          <w:sz w:val="22"/>
          <w:szCs w:val="22"/>
        </w:rPr>
        <w:t xml:space="preserve">boys taking both dual-award and triple-award </w:t>
      </w:r>
      <w:r w:rsidR="00FB1348" w:rsidRPr="00F122B6">
        <w:rPr>
          <w:rFonts w:ascii="Palatino Linotype" w:hAnsi="Palatino Linotype"/>
          <w:bCs/>
          <w:i/>
          <w:sz w:val="22"/>
          <w:szCs w:val="22"/>
        </w:rPr>
        <w:t>21CS</w:t>
      </w:r>
      <w:r w:rsidR="00FB1348">
        <w:rPr>
          <w:rFonts w:ascii="Palatino Linotype" w:hAnsi="Palatino Linotype"/>
          <w:bCs/>
          <w:sz w:val="22"/>
          <w:szCs w:val="22"/>
        </w:rPr>
        <w:t xml:space="preserve"> </w:t>
      </w:r>
      <w:r w:rsidR="00F122B6">
        <w:rPr>
          <w:rFonts w:ascii="Palatino Linotype" w:hAnsi="Palatino Linotype"/>
          <w:bCs/>
          <w:sz w:val="22"/>
          <w:szCs w:val="22"/>
        </w:rPr>
        <w:t>are</w:t>
      </w:r>
      <w:r w:rsidR="00FB1348">
        <w:rPr>
          <w:rFonts w:ascii="Palatino Linotype" w:hAnsi="Palatino Linotype"/>
          <w:bCs/>
          <w:sz w:val="22"/>
          <w:szCs w:val="22"/>
        </w:rPr>
        <w:t xml:space="preserve"> less</w:t>
      </w:r>
      <w:r w:rsidR="00F122B6">
        <w:rPr>
          <w:rFonts w:ascii="Palatino Linotype" w:hAnsi="Palatino Linotype"/>
          <w:bCs/>
          <w:sz w:val="22"/>
          <w:szCs w:val="22"/>
        </w:rPr>
        <w:t xml:space="preserve"> likely</w:t>
      </w:r>
      <w:r w:rsidR="00FB1348">
        <w:rPr>
          <w:rFonts w:ascii="Palatino Linotype" w:hAnsi="Palatino Linotype"/>
          <w:bCs/>
          <w:sz w:val="22"/>
          <w:szCs w:val="22"/>
        </w:rPr>
        <w:t xml:space="preserve"> than non-</w:t>
      </w:r>
      <w:r w:rsidR="00FB1348" w:rsidRPr="00F122B6">
        <w:rPr>
          <w:rFonts w:ascii="Palatino Linotype" w:hAnsi="Palatino Linotype"/>
          <w:bCs/>
          <w:i/>
          <w:sz w:val="22"/>
          <w:szCs w:val="22"/>
        </w:rPr>
        <w:t>21CS</w:t>
      </w:r>
      <w:r w:rsidR="00FB1348">
        <w:rPr>
          <w:rFonts w:ascii="Palatino Linotype" w:hAnsi="Palatino Linotype"/>
          <w:bCs/>
          <w:sz w:val="22"/>
          <w:szCs w:val="22"/>
        </w:rPr>
        <w:t xml:space="preserve"> students to go on to A-level in any science, but girls taking </w:t>
      </w:r>
      <w:r w:rsidR="00F122B6">
        <w:rPr>
          <w:rFonts w:ascii="Palatino Linotype" w:hAnsi="Palatino Linotype"/>
          <w:bCs/>
          <w:sz w:val="22"/>
          <w:szCs w:val="22"/>
        </w:rPr>
        <w:t xml:space="preserve">dual-award </w:t>
      </w:r>
      <w:r w:rsidR="00F122B6" w:rsidRPr="00F122B6">
        <w:rPr>
          <w:rFonts w:ascii="Palatino Linotype" w:hAnsi="Palatino Linotype"/>
          <w:bCs/>
          <w:i/>
          <w:sz w:val="22"/>
          <w:szCs w:val="22"/>
        </w:rPr>
        <w:t>21CS</w:t>
      </w:r>
      <w:r w:rsidR="00F122B6">
        <w:rPr>
          <w:rFonts w:ascii="Palatino Linotype" w:hAnsi="Palatino Linotype"/>
          <w:bCs/>
          <w:sz w:val="22"/>
          <w:szCs w:val="22"/>
        </w:rPr>
        <w:t xml:space="preserve"> are more likely to go on to study A-level biology and chemistry, and girls taking triple-award science more likely to go on to study A-level biology</w:t>
      </w:r>
      <w:r w:rsidR="00F53CE5">
        <w:rPr>
          <w:rFonts w:ascii="Palatino Linotype" w:hAnsi="Palatino Linotype"/>
          <w:bCs/>
          <w:sz w:val="22"/>
          <w:szCs w:val="22"/>
        </w:rPr>
        <w:t xml:space="preserve">.  </w:t>
      </w:r>
      <w:r w:rsidR="00F122B6">
        <w:rPr>
          <w:rFonts w:ascii="Palatino Linotype" w:hAnsi="Palatino Linotype"/>
          <w:bCs/>
          <w:sz w:val="22"/>
          <w:szCs w:val="22"/>
        </w:rPr>
        <w:t xml:space="preserve">Overall, once corrections are made for prior attainment and other school-level factors, students taking </w:t>
      </w:r>
      <w:r w:rsidR="00F122B6" w:rsidRPr="00F122B6">
        <w:rPr>
          <w:rFonts w:ascii="Palatino Linotype" w:hAnsi="Palatino Linotype"/>
          <w:bCs/>
          <w:i/>
          <w:sz w:val="22"/>
          <w:szCs w:val="22"/>
        </w:rPr>
        <w:t>21CS</w:t>
      </w:r>
      <w:r w:rsidR="00F122B6">
        <w:rPr>
          <w:rFonts w:ascii="Palatino Linotype" w:hAnsi="Palatino Linotype"/>
          <w:bCs/>
          <w:sz w:val="22"/>
          <w:szCs w:val="22"/>
        </w:rPr>
        <w:t xml:space="preserve"> are slightly less likely to progress to A-level biology and chemistry, with the difference being more appreciable for physics</w:t>
      </w:r>
      <w:r w:rsidR="00F53CE5">
        <w:rPr>
          <w:rFonts w:ascii="Palatino Linotype" w:hAnsi="Palatino Linotype"/>
          <w:bCs/>
          <w:sz w:val="22"/>
          <w:szCs w:val="22"/>
        </w:rPr>
        <w:t xml:space="preserve">.  </w:t>
      </w:r>
    </w:p>
    <w:p w:rsidR="00340726" w:rsidRDefault="00340726"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Hampden-Thompson and Bennett (2011) analysed the PISA 2006 data for 12,000 students aged 15 in the UK to explore the effects of particular kinds of lesson activities on engagemen</w:t>
      </w:r>
      <w:r w:rsidR="00977D10">
        <w:rPr>
          <w:rFonts w:ascii="Palatino Linotype" w:hAnsi="Palatino Linotype"/>
          <w:bCs/>
          <w:sz w:val="22"/>
          <w:szCs w:val="22"/>
        </w:rPr>
        <w:t>t in science</w:t>
      </w:r>
      <w:r w:rsidR="00F53CE5">
        <w:rPr>
          <w:rFonts w:ascii="Palatino Linotype" w:hAnsi="Palatino Linotype"/>
          <w:bCs/>
          <w:sz w:val="22"/>
          <w:szCs w:val="22"/>
        </w:rPr>
        <w:t xml:space="preserve">.  </w:t>
      </w:r>
      <w:r w:rsidR="00977D10">
        <w:rPr>
          <w:rFonts w:ascii="Palatino Linotype" w:hAnsi="Palatino Linotype"/>
          <w:bCs/>
          <w:sz w:val="22"/>
          <w:szCs w:val="22"/>
        </w:rPr>
        <w:t xml:space="preserve">The students </w:t>
      </w:r>
      <w:r w:rsidRPr="00EE3715">
        <w:rPr>
          <w:rFonts w:ascii="Palatino Linotype" w:hAnsi="Palatino Linotype"/>
          <w:bCs/>
          <w:sz w:val="22"/>
          <w:szCs w:val="22"/>
        </w:rPr>
        <w:t>reported higher levels of engagement, future orientation and motivations towards science when they regularly experienced lessons characterised by interaction (students explaining their ideas, and expressing their opinions), hands-on activity (practical work, designing investigations) and an emphasis on the relevance and applications of what is being studied.</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There is strong evidence to suggest</w:t>
      </w:r>
      <w:r w:rsidR="00F436CB">
        <w:rPr>
          <w:rFonts w:ascii="Palatino Linotype" w:hAnsi="Palatino Linotype"/>
          <w:bCs/>
          <w:sz w:val="22"/>
          <w:szCs w:val="22"/>
        </w:rPr>
        <w:t xml:space="preserve"> that experiences in lessons have</w:t>
      </w:r>
      <w:r w:rsidRPr="00EE3715">
        <w:rPr>
          <w:rFonts w:ascii="Palatino Linotype" w:hAnsi="Palatino Linotype"/>
          <w:bCs/>
          <w:sz w:val="22"/>
          <w:szCs w:val="22"/>
        </w:rPr>
        <w:t xml:space="preserve"> a negative impact on attitudes to mathematics (</w:t>
      </w:r>
      <w:proofErr w:type="spellStart"/>
      <w:r w:rsidRPr="00EE3715">
        <w:rPr>
          <w:rFonts w:ascii="Palatino Linotype" w:hAnsi="Palatino Linotype"/>
          <w:bCs/>
          <w:sz w:val="22"/>
          <w:szCs w:val="22"/>
        </w:rPr>
        <w:t>Nardi</w:t>
      </w:r>
      <w:proofErr w:type="spellEnd"/>
      <w:r w:rsidRPr="00EE3715">
        <w:rPr>
          <w:rFonts w:ascii="Palatino Linotype" w:hAnsi="Palatino Linotype"/>
          <w:bCs/>
          <w:sz w:val="22"/>
          <w:szCs w:val="22"/>
        </w:rPr>
        <w:t xml:space="preserve"> and Steward, 2003; Mathews and Pepper, 2005.)</w:t>
      </w:r>
      <w:r w:rsidR="00FB0721">
        <w:rPr>
          <w:rFonts w:ascii="Palatino Linotype" w:hAnsi="Palatino Linotype"/>
          <w:bCs/>
          <w:sz w:val="22"/>
          <w:szCs w:val="22"/>
        </w:rPr>
        <w:t xml:space="preserve"> </w:t>
      </w:r>
      <w:r w:rsidRPr="00EE3715">
        <w:rPr>
          <w:rFonts w:ascii="Palatino Linotype" w:hAnsi="Palatino Linotype"/>
          <w:bCs/>
          <w:sz w:val="22"/>
          <w:szCs w:val="22"/>
        </w:rPr>
        <w:t>Students report feeling isolated, and teaching being associated with a high reliance on dull repetition and</w:t>
      </w:r>
      <w:r w:rsidR="00977D10">
        <w:rPr>
          <w:rFonts w:ascii="Palatino Linotype" w:hAnsi="Palatino Linotype"/>
          <w:bCs/>
          <w:sz w:val="22"/>
          <w:szCs w:val="22"/>
        </w:rPr>
        <w:t xml:space="preserve"> rote learning</w:t>
      </w:r>
      <w:r w:rsidR="00F53CE5">
        <w:rPr>
          <w:rFonts w:ascii="Palatino Linotype" w:hAnsi="Palatino Linotype"/>
          <w:bCs/>
          <w:sz w:val="22"/>
          <w:szCs w:val="22"/>
        </w:rPr>
        <w:t xml:space="preserve">.  </w:t>
      </w:r>
      <w:r w:rsidR="00977D10">
        <w:rPr>
          <w:rFonts w:ascii="Palatino Linotype" w:hAnsi="Palatino Linotype"/>
          <w:bCs/>
          <w:sz w:val="22"/>
          <w:szCs w:val="22"/>
        </w:rPr>
        <w:t>These feeling a</w:t>
      </w:r>
      <w:r w:rsidRPr="00EE3715">
        <w:rPr>
          <w:rFonts w:ascii="Palatino Linotype" w:hAnsi="Palatino Linotype"/>
          <w:bCs/>
          <w:sz w:val="22"/>
          <w:szCs w:val="22"/>
        </w:rPr>
        <w:t>re exacerbated by a dependenc</w:t>
      </w:r>
      <w:r w:rsidR="00977D10">
        <w:rPr>
          <w:rFonts w:ascii="Palatino Linotype" w:hAnsi="Palatino Linotype"/>
          <w:bCs/>
          <w:sz w:val="22"/>
          <w:szCs w:val="22"/>
        </w:rPr>
        <w:t>e on applying techniques that are not understood, but gi</w:t>
      </w:r>
      <w:r w:rsidRPr="00EE3715">
        <w:rPr>
          <w:rFonts w:ascii="Palatino Linotype" w:hAnsi="Palatino Linotype"/>
          <w:bCs/>
          <w:sz w:val="22"/>
          <w:szCs w:val="22"/>
        </w:rPr>
        <w:t>ve the right answer</w:t>
      </w:r>
      <w:r w:rsidR="00F53CE5">
        <w:rPr>
          <w:rFonts w:ascii="Palatino Linotype" w:hAnsi="Palatino Linotype"/>
          <w:bCs/>
          <w:sz w:val="22"/>
          <w:szCs w:val="22"/>
        </w:rPr>
        <w:t xml:space="preserve">.  </w:t>
      </w:r>
      <w:r w:rsidRPr="00EE3715">
        <w:rPr>
          <w:rFonts w:ascii="Palatino Linotype" w:hAnsi="Palatino Linotype"/>
          <w:bCs/>
          <w:sz w:val="22"/>
          <w:szCs w:val="22"/>
        </w:rPr>
        <w:t>In contrast to science, there is also some evidence that students have negative attitudes to contextualised learning activities in mathematics</w:t>
      </w:r>
      <w:r w:rsidR="00F53CE5">
        <w:rPr>
          <w:rFonts w:ascii="Palatino Linotype" w:hAnsi="Palatino Linotype"/>
          <w:bCs/>
          <w:sz w:val="22"/>
          <w:szCs w:val="22"/>
        </w:rPr>
        <w:t xml:space="preserve">.  </w:t>
      </w:r>
      <w:r w:rsidRPr="00EE3715">
        <w:rPr>
          <w:rFonts w:ascii="Palatino Linotype" w:hAnsi="Palatino Linotype"/>
          <w:bCs/>
          <w:sz w:val="22"/>
          <w:szCs w:val="22"/>
        </w:rPr>
        <w:t>Despite the good intentions of such approaches, they are perceived by students to be irrelevant (</w:t>
      </w:r>
      <w:proofErr w:type="spellStart"/>
      <w:r w:rsidRPr="00EE3715">
        <w:rPr>
          <w:rFonts w:ascii="Palatino Linotype" w:hAnsi="Palatino Linotype"/>
          <w:bCs/>
          <w:sz w:val="22"/>
          <w:szCs w:val="22"/>
        </w:rPr>
        <w:t>Nardi</w:t>
      </w:r>
      <w:proofErr w:type="spellEnd"/>
      <w:r w:rsidRPr="00EE3715">
        <w:rPr>
          <w:rFonts w:ascii="Palatino Linotype" w:hAnsi="Palatino Linotype"/>
          <w:bCs/>
          <w:sz w:val="22"/>
          <w:szCs w:val="22"/>
        </w:rPr>
        <w:t xml:space="preserve"> and Steward, 2003; </w:t>
      </w:r>
      <w:proofErr w:type="spellStart"/>
      <w:r w:rsidRPr="00EE3715">
        <w:rPr>
          <w:rFonts w:ascii="Palatino Linotype" w:hAnsi="Palatino Linotype"/>
          <w:bCs/>
          <w:sz w:val="22"/>
          <w:szCs w:val="22"/>
        </w:rPr>
        <w:t>Kounine</w:t>
      </w:r>
      <w:proofErr w:type="spellEnd"/>
      <w:r w:rsidRPr="00EE3715">
        <w:rPr>
          <w:rFonts w:ascii="Palatino Linotype" w:hAnsi="Palatino Linotype"/>
          <w:bCs/>
          <w:sz w:val="22"/>
          <w:szCs w:val="22"/>
        </w:rPr>
        <w:t xml:space="preserve"> </w:t>
      </w:r>
      <w:r w:rsidRPr="00EE3715">
        <w:rPr>
          <w:rFonts w:ascii="Palatino Linotype" w:hAnsi="Palatino Linotype"/>
          <w:bCs/>
          <w:i/>
          <w:sz w:val="22"/>
          <w:szCs w:val="22"/>
        </w:rPr>
        <w:t>et al</w:t>
      </w:r>
      <w:r w:rsidRPr="00EE3715">
        <w:rPr>
          <w:rFonts w:ascii="Palatino Linotype" w:hAnsi="Palatino Linotype"/>
          <w:bCs/>
          <w:sz w:val="22"/>
          <w:szCs w:val="22"/>
        </w:rPr>
        <w:t>., 2008)</w:t>
      </w:r>
      <w:r w:rsidR="00F53CE5">
        <w:rPr>
          <w:rFonts w:ascii="Palatino Linotype" w:hAnsi="Palatino Linotype"/>
          <w:bCs/>
          <w:sz w:val="22"/>
          <w:szCs w:val="22"/>
        </w:rPr>
        <w:t xml:space="preserve">.  </w:t>
      </w:r>
      <w:r w:rsidRPr="00EE3715">
        <w:rPr>
          <w:rFonts w:ascii="Palatino Linotype" w:hAnsi="Palatino Linotype"/>
          <w:bCs/>
          <w:sz w:val="22"/>
          <w:szCs w:val="22"/>
        </w:rPr>
        <w:t>These appear to be important messages for curriculum interventions in mathematics: an emphasis on personalised learning may result in feelings of isolation on the part of students, and contexts that might appear to be ‘real-life’ to those developing materials may not be seen as such by students</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Concerns over the mathematics curriculum have resulted in a potential substantial change to the GCSE mathematics curriculum being piloted</w:t>
      </w:r>
      <w:r w:rsidR="00F53CE5">
        <w:rPr>
          <w:rFonts w:ascii="Palatino Linotype" w:hAnsi="Palatino Linotype"/>
          <w:bCs/>
          <w:sz w:val="22"/>
          <w:szCs w:val="22"/>
        </w:rPr>
        <w:t xml:space="preserve">.  </w:t>
      </w:r>
      <w:r w:rsidR="00B667BB">
        <w:rPr>
          <w:rFonts w:ascii="Palatino Linotype" w:hAnsi="Palatino Linotype"/>
          <w:bCs/>
          <w:sz w:val="22"/>
          <w:szCs w:val="22"/>
        </w:rPr>
        <w:t>This is the mathematics linked-</w:t>
      </w:r>
      <w:r w:rsidRPr="00EE3715">
        <w:rPr>
          <w:rFonts w:ascii="Palatino Linotype" w:hAnsi="Palatino Linotype"/>
          <w:bCs/>
          <w:sz w:val="22"/>
          <w:szCs w:val="22"/>
        </w:rPr>
        <w:t xml:space="preserve">pair (MLP), originally proposed in the report </w:t>
      </w:r>
      <w:r w:rsidRPr="00EE3715">
        <w:rPr>
          <w:rFonts w:ascii="Palatino Linotype" w:hAnsi="Palatino Linotype"/>
          <w:bCs/>
          <w:i/>
          <w:sz w:val="22"/>
          <w:szCs w:val="22"/>
        </w:rPr>
        <w:t>Making Mathematics Count</w:t>
      </w:r>
      <w:r w:rsidRPr="00EE3715">
        <w:rPr>
          <w:rFonts w:ascii="Palatino Linotype" w:hAnsi="Palatino Linotype"/>
          <w:bCs/>
          <w:sz w:val="22"/>
          <w:szCs w:val="22"/>
        </w:rPr>
        <w:t xml:space="preserve"> (Smith, 2004)</w:t>
      </w:r>
      <w:r w:rsidR="00F53CE5">
        <w:rPr>
          <w:rFonts w:ascii="Palatino Linotype" w:hAnsi="Palatino Linotype"/>
          <w:bCs/>
          <w:sz w:val="22"/>
          <w:szCs w:val="22"/>
        </w:rPr>
        <w:t xml:space="preserve">.  </w:t>
      </w:r>
      <w:r w:rsidRPr="00EE3715">
        <w:rPr>
          <w:rFonts w:ascii="Palatino Linotype" w:hAnsi="Palatino Linotype"/>
          <w:bCs/>
          <w:sz w:val="22"/>
          <w:szCs w:val="22"/>
        </w:rPr>
        <w:t>The MLP consists of two GCSEs, one focusing on applications of mathematics, and the other on methods in mathematics</w:t>
      </w:r>
      <w:r w:rsidR="00F53CE5">
        <w:rPr>
          <w:rFonts w:ascii="Palatino Linotype" w:hAnsi="Palatino Linotype"/>
          <w:bCs/>
          <w:sz w:val="22"/>
          <w:szCs w:val="22"/>
        </w:rPr>
        <w:t xml:space="preserve">.  </w:t>
      </w:r>
      <w:r w:rsidRPr="00EE3715">
        <w:rPr>
          <w:rFonts w:ascii="Palatino Linotype" w:hAnsi="Palatino Linotype"/>
          <w:bCs/>
          <w:sz w:val="22"/>
          <w:szCs w:val="22"/>
        </w:rPr>
        <w:t xml:space="preserve">The preliminary findings of the evaluation (Smith </w:t>
      </w:r>
      <w:r w:rsidRPr="00EE3715">
        <w:rPr>
          <w:rFonts w:ascii="Palatino Linotype" w:hAnsi="Palatino Linotype"/>
          <w:bCs/>
          <w:i/>
          <w:sz w:val="22"/>
          <w:szCs w:val="22"/>
        </w:rPr>
        <w:t>et al</w:t>
      </w:r>
      <w:r w:rsidRPr="00EE3715">
        <w:rPr>
          <w:rFonts w:ascii="Palatino Linotype" w:hAnsi="Palatino Linotype"/>
          <w:bCs/>
          <w:sz w:val="22"/>
          <w:szCs w:val="22"/>
        </w:rPr>
        <w:t>., 2013) suggest that there have been slight increases in post compulsory uptake of mathematics, and that students report mathematics as more useful, and some</w:t>
      </w:r>
      <w:r w:rsidR="00977D10">
        <w:rPr>
          <w:rFonts w:ascii="Palatino Linotype" w:hAnsi="Palatino Linotype"/>
          <w:bCs/>
          <w:sz w:val="22"/>
          <w:szCs w:val="22"/>
        </w:rPr>
        <w:t>times more enjoyable, when it i</w:t>
      </w:r>
      <w:r w:rsidRPr="00EE3715">
        <w:rPr>
          <w:rFonts w:ascii="Palatino Linotype" w:hAnsi="Palatino Linotype"/>
          <w:bCs/>
          <w:sz w:val="22"/>
          <w:szCs w:val="22"/>
        </w:rPr>
        <w:t>s based on real-life scenarios</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.4</w:t>
      </w:r>
      <w:r w:rsidR="00EE3715" w:rsidRPr="00EE3715">
        <w:rPr>
          <w:rFonts w:ascii="Palatino Linotype" w:hAnsi="Palatino Linotype"/>
          <w:bCs/>
          <w:i/>
          <w:sz w:val="22"/>
          <w:szCs w:val="22"/>
        </w:rPr>
        <w:tab/>
        <w:t>A-level entry requirements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851DEC"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A Government report (DCSF, 2009) into progress</w:t>
      </w:r>
      <w:r w:rsidR="00977D10">
        <w:rPr>
          <w:rFonts w:ascii="Palatino Linotype" w:hAnsi="Palatino Linotype"/>
          <w:bCs/>
          <w:sz w:val="22"/>
          <w:szCs w:val="22"/>
        </w:rPr>
        <w:t>ion to post-16 science suggests</w:t>
      </w:r>
      <w:r w:rsidRPr="00EE3715">
        <w:rPr>
          <w:rFonts w:ascii="Palatino Linotype" w:hAnsi="Palatino Linotype"/>
          <w:bCs/>
          <w:sz w:val="22"/>
          <w:szCs w:val="22"/>
        </w:rPr>
        <w:t xml:space="preserve"> students with GCSEs at grade B needed further investigation, as school A-level entry policy varies, </w:t>
      </w:r>
      <w:r w:rsidRPr="00EE3715">
        <w:rPr>
          <w:rFonts w:ascii="Palatino Linotype" w:hAnsi="Palatino Linotype"/>
          <w:bCs/>
          <w:sz w:val="22"/>
          <w:szCs w:val="22"/>
        </w:rPr>
        <w:lastRenderedPageBreak/>
        <w:t>and grade B student often miss out</w:t>
      </w:r>
      <w:r w:rsidR="00F53CE5">
        <w:rPr>
          <w:rFonts w:ascii="Palatino Linotype" w:hAnsi="Palatino Linotype"/>
          <w:bCs/>
          <w:sz w:val="22"/>
          <w:szCs w:val="22"/>
        </w:rPr>
        <w:t xml:space="preserve">.  </w:t>
      </w:r>
      <w:r w:rsidRPr="00EE3715">
        <w:rPr>
          <w:rFonts w:ascii="Palatino Linotype" w:hAnsi="Palatino Linotype"/>
          <w:bCs/>
          <w:sz w:val="22"/>
          <w:szCs w:val="22"/>
        </w:rPr>
        <w:t xml:space="preserve">Bennett </w:t>
      </w:r>
      <w:r w:rsidRPr="00EE3715">
        <w:rPr>
          <w:rFonts w:ascii="Palatino Linotype" w:hAnsi="Palatino Linotype"/>
          <w:bCs/>
          <w:i/>
          <w:sz w:val="22"/>
          <w:szCs w:val="22"/>
        </w:rPr>
        <w:t>et al</w:t>
      </w:r>
      <w:r w:rsidRPr="00EE3715">
        <w:rPr>
          <w:rFonts w:ascii="Palatino Linotype" w:hAnsi="Palatino Linotype"/>
          <w:bCs/>
          <w:sz w:val="22"/>
          <w:szCs w:val="22"/>
        </w:rPr>
        <w:t xml:space="preserve">. (2013) </w:t>
      </w:r>
      <w:r w:rsidR="00851DEC">
        <w:rPr>
          <w:rFonts w:ascii="Palatino Linotype" w:hAnsi="Palatino Linotype"/>
          <w:bCs/>
          <w:sz w:val="22"/>
          <w:szCs w:val="22"/>
        </w:rPr>
        <w:t>indicate</w:t>
      </w:r>
      <w:r w:rsidRPr="00EE3715">
        <w:rPr>
          <w:rFonts w:ascii="Palatino Linotype" w:hAnsi="Palatino Linotype"/>
          <w:bCs/>
          <w:sz w:val="22"/>
          <w:szCs w:val="22"/>
        </w:rPr>
        <w:t xml:space="preserve"> that there are higher rates of post-compulsory participation in chemistry and physics at schools with higher entry qualifications, with schools who allowed studen</w:t>
      </w:r>
      <w:r w:rsidR="00977D10">
        <w:rPr>
          <w:rFonts w:ascii="Palatino Linotype" w:hAnsi="Palatino Linotype"/>
          <w:bCs/>
          <w:sz w:val="22"/>
          <w:szCs w:val="22"/>
        </w:rPr>
        <w:t>ts with grade Cs to progress having</w:t>
      </w:r>
      <w:r w:rsidRPr="00EE3715">
        <w:rPr>
          <w:rFonts w:ascii="Palatino Linotype" w:hAnsi="Palatino Linotype"/>
          <w:bCs/>
          <w:sz w:val="22"/>
          <w:szCs w:val="22"/>
        </w:rPr>
        <w:t xml:space="preserve"> lower uptake of </w:t>
      </w:r>
      <w:r w:rsidRPr="00851DEC">
        <w:rPr>
          <w:rFonts w:ascii="Palatino Linotype" w:hAnsi="Palatino Linotype"/>
          <w:bCs/>
          <w:sz w:val="22"/>
          <w:szCs w:val="22"/>
        </w:rPr>
        <w:t>chemistry and physics</w:t>
      </w:r>
      <w:r w:rsidR="00F53CE5">
        <w:rPr>
          <w:rFonts w:ascii="Palatino Linotype" w:hAnsi="Palatino Linotype"/>
          <w:bCs/>
          <w:sz w:val="22"/>
          <w:szCs w:val="22"/>
        </w:rPr>
        <w:t xml:space="preserve">.  </w:t>
      </w:r>
      <w:r w:rsidR="00851DEC" w:rsidRPr="00851DEC">
        <w:rPr>
          <w:rFonts w:ascii="Palatino Linotype" w:hAnsi="Palatino Linotype"/>
          <w:bCs/>
          <w:sz w:val="22"/>
          <w:szCs w:val="22"/>
        </w:rPr>
        <w:t>Interviews with teachers suggested that teachers felt the higher entry grades gave a sense of status to the subjects</w:t>
      </w:r>
      <w:r w:rsidR="00851DEC">
        <w:rPr>
          <w:rFonts w:ascii="Palatino Linotype" w:hAnsi="Palatino Linotype"/>
          <w:bCs/>
          <w:sz w:val="22"/>
          <w:szCs w:val="22"/>
        </w:rPr>
        <w:t>, but this aspect needs further probing to establish likely explanations.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.5</w:t>
      </w:r>
      <w:r w:rsidR="00EE3715" w:rsidRPr="00EE3715">
        <w:rPr>
          <w:rFonts w:ascii="Palatino Linotype" w:hAnsi="Palatino Linotype"/>
          <w:bCs/>
          <w:i/>
          <w:sz w:val="22"/>
          <w:szCs w:val="22"/>
        </w:rPr>
        <w:tab/>
        <w:t>Careers advice and guidance</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Careers advice has been the focus of considerable attention as an area of potential influence on post-compulsory study</w:t>
      </w:r>
      <w:r w:rsidR="00F53CE5">
        <w:rPr>
          <w:rFonts w:ascii="Palatino Linotype" w:hAnsi="Palatino Linotype"/>
          <w:bCs/>
          <w:sz w:val="22"/>
          <w:szCs w:val="22"/>
        </w:rPr>
        <w:t xml:space="preserve">.  </w:t>
      </w:r>
      <w:r w:rsidRPr="00EE3715">
        <w:rPr>
          <w:rFonts w:ascii="Palatino Linotype" w:hAnsi="Palatino Linotype"/>
          <w:bCs/>
          <w:sz w:val="22"/>
          <w:szCs w:val="22"/>
        </w:rPr>
        <w:t xml:space="preserve">The National Audit Office (2010) reports careers guidance as being very patchy, with considerable differences between schools, and a number of reports argue for the need for more, and different, careers advice (e.g. The Institution of Mechanical Engineering, 2010; Osborne and Dillon, 2008; </w:t>
      </w:r>
      <w:proofErr w:type="spellStart"/>
      <w:r w:rsidRPr="00EE3715">
        <w:rPr>
          <w:rFonts w:ascii="Palatino Linotype" w:hAnsi="Palatino Linotype"/>
          <w:bCs/>
          <w:sz w:val="22"/>
          <w:szCs w:val="22"/>
        </w:rPr>
        <w:t>Walport</w:t>
      </w:r>
      <w:proofErr w:type="spellEnd"/>
      <w:r w:rsidRPr="00EE3715">
        <w:rPr>
          <w:rFonts w:ascii="Palatino Linotype" w:hAnsi="Palatino Linotype"/>
          <w:bCs/>
          <w:sz w:val="22"/>
          <w:szCs w:val="22"/>
        </w:rPr>
        <w:t>, 2010)</w:t>
      </w:r>
      <w:r w:rsidR="00F53CE5">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AA5B94" w:rsidP="00D9487D">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In the ASPIRES</w:t>
      </w:r>
      <w:r w:rsidR="00EE3715" w:rsidRPr="00EE3715">
        <w:rPr>
          <w:rFonts w:ascii="Palatino Linotype" w:hAnsi="Palatino Linotype"/>
          <w:bCs/>
          <w:sz w:val="22"/>
          <w:szCs w:val="22"/>
        </w:rPr>
        <w:t xml:space="preserve"> project, a longitudinal study of the career aspirations of students aged 10-14, Archer </w:t>
      </w:r>
      <w:r w:rsidR="00EE3715" w:rsidRPr="000E115F">
        <w:rPr>
          <w:rFonts w:ascii="Palatino Linotype" w:hAnsi="Palatino Linotype"/>
          <w:bCs/>
          <w:i/>
          <w:sz w:val="22"/>
          <w:szCs w:val="22"/>
        </w:rPr>
        <w:t>et al</w:t>
      </w:r>
      <w:r w:rsidR="00EE3715" w:rsidRPr="00EE3715">
        <w:rPr>
          <w:rFonts w:ascii="Palatino Linotype" w:hAnsi="Palatino Linotype"/>
          <w:bCs/>
          <w:sz w:val="22"/>
          <w:szCs w:val="22"/>
        </w:rPr>
        <w:t>., (2013) found that, even before entering secondary school</w:t>
      </w:r>
      <w:r w:rsidR="00977D10">
        <w:rPr>
          <w:rFonts w:ascii="Palatino Linotype" w:hAnsi="Palatino Linotype"/>
          <w:bCs/>
          <w:sz w:val="22"/>
          <w:szCs w:val="22"/>
        </w:rPr>
        <w:t>, over 80% of students indicate</w:t>
      </w:r>
      <w:r w:rsidR="00EE3715" w:rsidRPr="00EE3715">
        <w:rPr>
          <w:rFonts w:ascii="Palatino Linotype" w:hAnsi="Palatino Linotype"/>
          <w:bCs/>
          <w:sz w:val="22"/>
          <w:szCs w:val="22"/>
        </w:rPr>
        <w:t xml:space="preserve"> that they have decided a career in science is not for them</w:t>
      </w:r>
      <w:r w:rsidR="00F53CE5">
        <w:rPr>
          <w:rFonts w:ascii="Palatino Linotype" w:hAnsi="Palatino Linotype"/>
          <w:bCs/>
          <w:sz w:val="22"/>
          <w:szCs w:val="22"/>
        </w:rPr>
        <w:t xml:space="preserve">.  </w:t>
      </w:r>
      <w:r w:rsidR="00EE3715" w:rsidRPr="00EE3715">
        <w:rPr>
          <w:rFonts w:ascii="Palatino Linotype" w:hAnsi="Palatino Linotype"/>
          <w:bCs/>
          <w:sz w:val="22"/>
          <w:szCs w:val="22"/>
        </w:rPr>
        <w:t>Careers advice is criticised for being too little, too late</w:t>
      </w:r>
      <w:r w:rsidR="00F53CE5">
        <w:rPr>
          <w:rFonts w:ascii="Palatino Linotype" w:hAnsi="Palatino Linotype"/>
          <w:bCs/>
          <w:sz w:val="22"/>
          <w:szCs w:val="22"/>
        </w:rPr>
        <w:t xml:space="preserve">.  </w:t>
      </w:r>
      <w:r w:rsidR="00EE3715" w:rsidRPr="00EE3715">
        <w:rPr>
          <w:rFonts w:ascii="Palatino Linotype" w:hAnsi="Palatino Linotype"/>
          <w:bCs/>
          <w:sz w:val="22"/>
          <w:szCs w:val="22"/>
        </w:rPr>
        <w:t xml:space="preserve">Other groups have also argued that careers advice on STEM subjects needs to be provided in primary schools as well as secondary schools (e.g. The Institution of Mechanical Engineering, 2010; </w:t>
      </w:r>
      <w:proofErr w:type="spellStart"/>
      <w:r w:rsidR="00EE3715" w:rsidRPr="00EE3715">
        <w:rPr>
          <w:rFonts w:ascii="Palatino Linotype" w:hAnsi="Palatino Linotype"/>
          <w:bCs/>
          <w:sz w:val="22"/>
          <w:szCs w:val="22"/>
        </w:rPr>
        <w:t>Walport</w:t>
      </w:r>
      <w:proofErr w:type="spellEnd"/>
      <w:r w:rsidR="00EE3715" w:rsidRPr="00EE3715">
        <w:rPr>
          <w:rFonts w:ascii="Palatino Linotype" w:hAnsi="Palatino Linotype"/>
          <w:bCs/>
          <w:sz w:val="22"/>
          <w:szCs w:val="22"/>
        </w:rPr>
        <w:t>, 2010)</w:t>
      </w:r>
      <w:r w:rsidR="00F53CE5">
        <w:rPr>
          <w:rFonts w:ascii="Palatino Linotype" w:hAnsi="Palatino Linotype"/>
          <w:bCs/>
          <w:sz w:val="22"/>
          <w:szCs w:val="22"/>
        </w:rPr>
        <w:t xml:space="preserve">.  </w:t>
      </w:r>
      <w:proofErr w:type="spellStart"/>
      <w:r w:rsidR="00EE3715" w:rsidRPr="00EE3715">
        <w:rPr>
          <w:rFonts w:ascii="Palatino Linotype" w:hAnsi="Palatino Linotype"/>
          <w:bCs/>
          <w:sz w:val="22"/>
          <w:szCs w:val="22"/>
        </w:rPr>
        <w:t>Walport</w:t>
      </w:r>
      <w:proofErr w:type="spellEnd"/>
      <w:r w:rsidR="00EE3715" w:rsidRPr="00EE3715">
        <w:rPr>
          <w:rFonts w:ascii="Palatino Linotype" w:hAnsi="Palatino Linotype"/>
          <w:bCs/>
          <w:sz w:val="22"/>
          <w:szCs w:val="22"/>
        </w:rPr>
        <w:t xml:space="preserve"> also notes the dearth of advice on technical and vocational careers in STEM, recommending a broadening of careers advice, with the different pathways into STEM careers being clearly defined and laid out within schools, and young people receiving planned systematic information, advice and guidance on STEM careers from age eight onwards</w:t>
      </w:r>
      <w:r w:rsidR="00F53CE5">
        <w:rPr>
          <w:rFonts w:ascii="Palatino Linotype" w:hAnsi="Palatino Linotype"/>
          <w:bCs/>
          <w:sz w:val="22"/>
          <w:szCs w:val="22"/>
        </w:rPr>
        <w:t xml:space="preserve">.  </w:t>
      </w:r>
      <w:r w:rsidR="00EE3715" w:rsidRPr="00EE3715">
        <w:rPr>
          <w:rFonts w:ascii="Palatino Linotype" w:hAnsi="Palatino Linotype"/>
          <w:bCs/>
          <w:sz w:val="22"/>
          <w:szCs w:val="22"/>
        </w:rPr>
        <w:t xml:space="preserve">Similarly, Hutchinson and Bentley (2011) established that, whilst most students are aware of academic pathways involving STEM subjects, </w:t>
      </w:r>
      <w:proofErr w:type="gramStart"/>
      <w:r w:rsidR="00EE3715" w:rsidRPr="00EE3715">
        <w:rPr>
          <w:rFonts w:ascii="Palatino Linotype" w:hAnsi="Palatino Linotype"/>
          <w:bCs/>
          <w:sz w:val="22"/>
          <w:szCs w:val="22"/>
        </w:rPr>
        <w:t>fewer</w:t>
      </w:r>
      <w:proofErr w:type="gramEnd"/>
      <w:r w:rsidR="00EE3715" w:rsidRPr="00EE3715">
        <w:rPr>
          <w:rFonts w:ascii="Palatino Linotype" w:hAnsi="Palatino Linotype"/>
          <w:bCs/>
          <w:sz w:val="22"/>
          <w:szCs w:val="22"/>
        </w:rPr>
        <w:t xml:space="preserve"> than one-third had any knowledge of vocational pathways</w:t>
      </w:r>
      <w:r w:rsidR="00F53CE5">
        <w:rPr>
          <w:rFonts w:ascii="Palatino Linotype" w:hAnsi="Palatino Linotype"/>
          <w:bCs/>
          <w:sz w:val="22"/>
          <w:szCs w:val="22"/>
        </w:rPr>
        <w:t xml:space="preserve">.  </w:t>
      </w:r>
      <w:r w:rsidR="00EE3715" w:rsidRPr="00EE3715">
        <w:rPr>
          <w:rFonts w:ascii="Palatino Linotype" w:hAnsi="Palatino Linotype"/>
          <w:bCs/>
          <w:sz w:val="22"/>
          <w:szCs w:val="22"/>
        </w:rPr>
        <w:t xml:space="preserve">Osborne and Dillon (2008) argue for the need to improve the human and physical resources available to schools for informing students about careers </w:t>
      </w:r>
      <w:r w:rsidR="00EE3715" w:rsidRPr="00EE3715">
        <w:rPr>
          <w:rFonts w:ascii="Palatino Linotype" w:hAnsi="Palatino Linotype"/>
          <w:bCs/>
          <w:i/>
          <w:sz w:val="22"/>
          <w:szCs w:val="22"/>
        </w:rPr>
        <w:t>in</w:t>
      </w:r>
      <w:r w:rsidR="00EE3715" w:rsidRPr="00EE3715">
        <w:rPr>
          <w:rFonts w:ascii="Palatino Linotype" w:hAnsi="Palatino Linotype"/>
          <w:bCs/>
          <w:sz w:val="22"/>
          <w:szCs w:val="22"/>
        </w:rPr>
        <w:t xml:space="preserve"> science and careers </w:t>
      </w:r>
      <w:r w:rsidR="00EE3715" w:rsidRPr="00EE3715">
        <w:rPr>
          <w:rFonts w:ascii="Palatino Linotype" w:hAnsi="Palatino Linotype"/>
          <w:bCs/>
          <w:i/>
          <w:sz w:val="22"/>
          <w:szCs w:val="22"/>
        </w:rPr>
        <w:t>from</w:t>
      </w:r>
      <w:r w:rsidR="005F4193">
        <w:rPr>
          <w:rFonts w:ascii="Palatino Linotype" w:hAnsi="Palatino Linotype"/>
          <w:bCs/>
          <w:sz w:val="22"/>
          <w:szCs w:val="22"/>
        </w:rPr>
        <w:t xml:space="preserve"> science, i.e.</w:t>
      </w:r>
      <w:r w:rsidR="00EE3715" w:rsidRPr="00EE3715">
        <w:rPr>
          <w:rFonts w:ascii="Palatino Linotype" w:hAnsi="Palatino Linotype"/>
          <w:bCs/>
          <w:sz w:val="22"/>
          <w:szCs w:val="22"/>
        </w:rPr>
        <w:t xml:space="preserve"> the extensive range of potential careers afforded by the study of science.</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0A312C"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 xml:space="preserve">Bennett </w:t>
      </w:r>
      <w:r w:rsidRPr="00EE3715">
        <w:rPr>
          <w:rFonts w:ascii="Palatino Linotype" w:hAnsi="Palatino Linotype"/>
          <w:bCs/>
          <w:i/>
          <w:sz w:val="22"/>
          <w:szCs w:val="22"/>
        </w:rPr>
        <w:t>et al</w:t>
      </w:r>
      <w:r w:rsidRPr="00EE3715">
        <w:rPr>
          <w:rFonts w:ascii="Palatino Linotype" w:hAnsi="Palatino Linotype"/>
          <w:bCs/>
          <w:sz w:val="22"/>
          <w:szCs w:val="22"/>
        </w:rPr>
        <w:t>. (2013) found that schools with a high level of post-compulsory participation were characterised by careers advice being provided by</w:t>
      </w:r>
      <w:r w:rsidR="000A312C">
        <w:rPr>
          <w:rFonts w:ascii="Palatino Linotype" w:hAnsi="Palatino Linotype"/>
          <w:bCs/>
          <w:sz w:val="22"/>
          <w:szCs w:val="22"/>
        </w:rPr>
        <w:t xml:space="preserve"> science specialist staff </w:t>
      </w:r>
      <w:proofErr w:type="gramStart"/>
      <w:r w:rsidR="000A312C">
        <w:rPr>
          <w:rFonts w:ascii="Palatino Linotype" w:hAnsi="Palatino Linotype"/>
          <w:bCs/>
          <w:sz w:val="22"/>
          <w:szCs w:val="22"/>
        </w:rPr>
        <w:t>who</w:t>
      </w:r>
      <w:proofErr w:type="gramEnd"/>
      <w:r w:rsidR="000A312C">
        <w:rPr>
          <w:rFonts w:ascii="Palatino Linotype" w:hAnsi="Palatino Linotype"/>
          <w:bCs/>
          <w:sz w:val="22"/>
          <w:szCs w:val="22"/>
        </w:rPr>
        <w:t xml:space="preserve"> a</w:t>
      </w:r>
      <w:r w:rsidRPr="00EE3715">
        <w:rPr>
          <w:rFonts w:ascii="Palatino Linotype" w:hAnsi="Palatino Linotype"/>
          <w:bCs/>
          <w:sz w:val="22"/>
          <w:szCs w:val="22"/>
        </w:rPr>
        <w:t>re proactive in recruiting students to their subjects</w:t>
      </w:r>
      <w:r w:rsidR="00F53CE5">
        <w:rPr>
          <w:rFonts w:ascii="Palatino Linotype" w:hAnsi="Palatino Linotype"/>
          <w:bCs/>
          <w:sz w:val="22"/>
          <w:szCs w:val="22"/>
        </w:rPr>
        <w:t xml:space="preserve">.  </w:t>
      </w:r>
      <w:r w:rsidRPr="00EE3715">
        <w:rPr>
          <w:rFonts w:ascii="Palatino Linotype" w:hAnsi="Palatino Linotype"/>
          <w:bCs/>
          <w:sz w:val="22"/>
          <w:szCs w:val="22"/>
        </w:rPr>
        <w:t>In contrast, students in schools with</w:t>
      </w:r>
      <w:r w:rsidR="000A312C">
        <w:rPr>
          <w:rFonts w:ascii="Palatino Linotype" w:hAnsi="Palatino Linotype"/>
          <w:bCs/>
          <w:sz w:val="22"/>
          <w:szCs w:val="22"/>
        </w:rPr>
        <w:t xml:space="preserve"> low post-compulsory uptake a</w:t>
      </w:r>
      <w:r w:rsidRPr="00EE3715">
        <w:rPr>
          <w:rFonts w:ascii="Palatino Linotype" w:hAnsi="Palatino Linotype"/>
          <w:bCs/>
          <w:sz w:val="22"/>
          <w:szCs w:val="22"/>
        </w:rPr>
        <w:t>re provided with general</w:t>
      </w:r>
      <w:r w:rsidR="000A312C">
        <w:rPr>
          <w:rFonts w:ascii="Palatino Linotype" w:hAnsi="Palatino Linotype"/>
          <w:bCs/>
          <w:sz w:val="22"/>
          <w:szCs w:val="22"/>
        </w:rPr>
        <w:t xml:space="preserve"> careers advice</w:t>
      </w:r>
      <w:r w:rsidR="00F53CE5">
        <w:rPr>
          <w:rFonts w:ascii="Palatino Linotype" w:hAnsi="Palatino Linotype"/>
          <w:bCs/>
          <w:sz w:val="22"/>
          <w:szCs w:val="22"/>
        </w:rPr>
        <w:t xml:space="preserve">.  </w:t>
      </w:r>
      <w:r w:rsidR="000A312C">
        <w:rPr>
          <w:rFonts w:ascii="Palatino Linotype" w:hAnsi="Palatino Linotype"/>
          <w:bCs/>
          <w:sz w:val="22"/>
          <w:szCs w:val="22"/>
        </w:rPr>
        <w:t>This emphasises</w:t>
      </w:r>
      <w:r w:rsidRPr="00EE3715">
        <w:rPr>
          <w:rFonts w:ascii="Palatino Linotype" w:hAnsi="Palatino Linotype"/>
          <w:bCs/>
          <w:sz w:val="22"/>
          <w:szCs w:val="22"/>
        </w:rPr>
        <w:t xml:space="preserve"> the importance of keeping options open by going for breadth of study, resulting in students choosing just one science subject, often biology</w:t>
      </w:r>
      <w:r w:rsidR="00F53CE5">
        <w:rPr>
          <w:rFonts w:ascii="Palatino Linotype" w:hAnsi="Palatino Linotype"/>
          <w:bCs/>
          <w:sz w:val="22"/>
          <w:szCs w:val="22"/>
        </w:rPr>
        <w:t xml:space="preserve">.  </w:t>
      </w:r>
      <w:r w:rsidRPr="00EE3715">
        <w:rPr>
          <w:rFonts w:ascii="Palatino Linotype" w:hAnsi="Palatino Linotype"/>
          <w:bCs/>
          <w:sz w:val="22"/>
          <w:szCs w:val="22"/>
        </w:rPr>
        <w:t xml:space="preserve">Bennett </w:t>
      </w:r>
      <w:r w:rsidRPr="00EE3715">
        <w:rPr>
          <w:rFonts w:ascii="Palatino Linotype" w:hAnsi="Palatino Linotype"/>
          <w:bCs/>
          <w:i/>
          <w:sz w:val="22"/>
          <w:szCs w:val="22"/>
        </w:rPr>
        <w:t>et al</w:t>
      </w:r>
      <w:r w:rsidRPr="00EE3715">
        <w:rPr>
          <w:rFonts w:ascii="Palatino Linotype" w:hAnsi="Palatino Linotype"/>
          <w:bCs/>
          <w:sz w:val="22"/>
          <w:szCs w:val="22"/>
        </w:rPr>
        <w:t>. (2013) also found that work experience that involved science, and was undertaken early in Y</w:t>
      </w:r>
      <w:r w:rsidR="000A312C">
        <w:rPr>
          <w:rFonts w:ascii="Palatino Linotype" w:hAnsi="Palatino Linotype"/>
          <w:bCs/>
          <w:sz w:val="22"/>
          <w:szCs w:val="22"/>
        </w:rPr>
        <w:t>ear 10 (students aged 14-15) has</w:t>
      </w:r>
      <w:r w:rsidRPr="00EE3715">
        <w:rPr>
          <w:rFonts w:ascii="Palatino Linotype" w:hAnsi="Palatino Linotype"/>
          <w:bCs/>
          <w:sz w:val="22"/>
          <w:szCs w:val="22"/>
        </w:rPr>
        <w:t xml:space="preserve"> a positive impact on participation</w:t>
      </w:r>
      <w:r w:rsidR="00F53CE5">
        <w:rPr>
          <w:rFonts w:ascii="Palatino Linotype" w:hAnsi="Palatino Linotype"/>
          <w:bCs/>
          <w:sz w:val="22"/>
          <w:szCs w:val="22"/>
        </w:rPr>
        <w:t xml:space="preserve">.  </w:t>
      </w:r>
    </w:p>
    <w:p w:rsidR="000A312C" w:rsidRDefault="000A312C" w:rsidP="00D9487D">
      <w:pPr>
        <w:tabs>
          <w:tab w:val="clear" w:pos="567"/>
          <w:tab w:val="left" w:pos="720"/>
        </w:tabs>
        <w:spacing w:line="240" w:lineRule="auto"/>
        <w:jc w:val="both"/>
        <w:rPr>
          <w:rFonts w:ascii="Palatino Linotype" w:hAnsi="Palatino Linotype"/>
          <w:bCs/>
          <w:sz w:val="22"/>
          <w:szCs w:val="22"/>
        </w:rPr>
      </w:pPr>
    </w:p>
    <w:p w:rsidR="00EE3715" w:rsidRPr="00EE3715" w:rsidRDefault="00200F5F" w:rsidP="00D9487D">
      <w:pPr>
        <w:tabs>
          <w:tab w:val="clear" w:pos="567"/>
          <w:tab w:val="left" w:pos="720"/>
        </w:tabs>
        <w:spacing w:line="240" w:lineRule="auto"/>
        <w:jc w:val="both"/>
        <w:rPr>
          <w:rFonts w:ascii="Palatino Linotype" w:hAnsi="Palatino Linotype"/>
          <w:bCs/>
          <w:sz w:val="22"/>
          <w:szCs w:val="22"/>
        </w:rPr>
      </w:pPr>
      <w:r w:rsidRPr="00200F5F">
        <w:rPr>
          <w:rFonts w:ascii="Palatino Linotype" w:hAnsi="Palatino Linotype"/>
          <w:bCs/>
          <w:sz w:val="22"/>
          <w:szCs w:val="22"/>
        </w:rPr>
        <w:t>Fitzgibbon (1999) showed that there were significant inter-school variations in numbers of students electing to study subjects beyond the compulsory period</w:t>
      </w:r>
      <w:r w:rsidR="00F53CE5">
        <w:rPr>
          <w:rFonts w:ascii="Palatino Linotype" w:hAnsi="Palatino Linotype"/>
          <w:bCs/>
          <w:sz w:val="22"/>
          <w:szCs w:val="22"/>
        </w:rPr>
        <w:t xml:space="preserve">.  </w:t>
      </w:r>
      <w:r>
        <w:rPr>
          <w:rFonts w:ascii="Palatino Linotype" w:hAnsi="Palatino Linotype"/>
          <w:bCs/>
          <w:sz w:val="22"/>
          <w:szCs w:val="22"/>
        </w:rPr>
        <w:t>Her</w:t>
      </w:r>
      <w:r w:rsidRPr="00200F5F">
        <w:rPr>
          <w:rFonts w:ascii="Palatino Linotype" w:hAnsi="Palatino Linotype"/>
          <w:bCs/>
          <w:sz w:val="22"/>
          <w:szCs w:val="22"/>
        </w:rPr>
        <w:t xml:space="preserve"> study primarily focused on mathematics and what she termed the “pulling power” of different mathematics departments in schools, but she also suggested that ther</w:t>
      </w:r>
      <w:r w:rsidR="005F4193">
        <w:rPr>
          <w:rFonts w:ascii="Palatino Linotype" w:hAnsi="Palatino Linotype"/>
          <w:bCs/>
          <w:sz w:val="22"/>
          <w:szCs w:val="22"/>
        </w:rPr>
        <w:t>e might be similarities with science departments</w:t>
      </w:r>
      <w:r w:rsidRPr="00200F5F">
        <w:rPr>
          <w:rFonts w:ascii="Palatino Linotype" w:hAnsi="Palatino Linotype"/>
          <w:bCs/>
          <w:sz w:val="22"/>
          <w:szCs w:val="22"/>
        </w:rPr>
        <w:t xml:space="preserve"> in factors underlying student choice.</w:t>
      </w:r>
      <w:r w:rsidR="00FB0721">
        <w:rPr>
          <w:rFonts w:ascii="Palatino Linotype" w:hAnsi="Palatino Linotype"/>
          <w:bCs/>
          <w:sz w:val="22"/>
          <w:szCs w:val="22"/>
        </w:rPr>
        <w:t xml:space="preserve">  </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There is mixed evidence on the extent to which students are influenced by school and home experiences</w:t>
      </w:r>
      <w:r w:rsidR="00F53CE5">
        <w:rPr>
          <w:rFonts w:ascii="Palatino Linotype" w:hAnsi="Palatino Linotype"/>
          <w:bCs/>
          <w:sz w:val="22"/>
          <w:szCs w:val="22"/>
        </w:rPr>
        <w:t xml:space="preserve">.  </w:t>
      </w:r>
      <w:r w:rsidRPr="00EE3715">
        <w:rPr>
          <w:rFonts w:ascii="Palatino Linotype" w:hAnsi="Palatino Linotype"/>
          <w:bCs/>
          <w:sz w:val="22"/>
          <w:szCs w:val="22"/>
        </w:rPr>
        <w:t>Hutchinson and Bentley (2011) found s</w:t>
      </w:r>
      <w:r w:rsidR="000A312C">
        <w:rPr>
          <w:rFonts w:ascii="Palatino Linotype" w:hAnsi="Palatino Linotype"/>
          <w:bCs/>
          <w:sz w:val="22"/>
          <w:szCs w:val="22"/>
        </w:rPr>
        <w:t>ources of careers information a</w:t>
      </w:r>
      <w:r w:rsidRPr="00EE3715">
        <w:rPr>
          <w:rFonts w:ascii="Palatino Linotype" w:hAnsi="Palatino Linotype"/>
          <w:bCs/>
          <w:sz w:val="22"/>
          <w:szCs w:val="22"/>
        </w:rPr>
        <w:t xml:space="preserve">re most </w:t>
      </w:r>
      <w:r w:rsidRPr="00EE3715">
        <w:rPr>
          <w:rFonts w:ascii="Palatino Linotype" w:hAnsi="Palatino Linotype"/>
          <w:bCs/>
          <w:sz w:val="22"/>
          <w:szCs w:val="22"/>
        </w:rPr>
        <w:lastRenderedPageBreak/>
        <w:t>likely to be parents and family members, not school, with students also reporting the internet as a good source of information</w:t>
      </w:r>
      <w:r w:rsidR="00F53CE5">
        <w:rPr>
          <w:rFonts w:ascii="Palatino Linotype" w:hAnsi="Palatino Linotype"/>
          <w:bCs/>
          <w:sz w:val="22"/>
          <w:szCs w:val="22"/>
        </w:rPr>
        <w:t xml:space="preserve">.  </w:t>
      </w:r>
      <w:r w:rsidRPr="00EE3715">
        <w:rPr>
          <w:rFonts w:ascii="Palatino Linotype" w:hAnsi="Palatino Linotype"/>
          <w:bCs/>
          <w:sz w:val="22"/>
          <w:szCs w:val="22"/>
        </w:rPr>
        <w:t xml:space="preserve">Archer </w:t>
      </w:r>
      <w:r w:rsidRPr="00EE3715">
        <w:rPr>
          <w:rFonts w:ascii="Palatino Linotype" w:hAnsi="Palatino Linotype"/>
          <w:bCs/>
          <w:i/>
          <w:sz w:val="22"/>
          <w:szCs w:val="22"/>
        </w:rPr>
        <w:t>et al</w:t>
      </w:r>
      <w:r w:rsidRPr="00EE3715">
        <w:rPr>
          <w:rFonts w:ascii="Palatino Linotype" w:hAnsi="Palatino Linotype"/>
          <w:bCs/>
          <w:sz w:val="22"/>
          <w:szCs w:val="22"/>
        </w:rPr>
        <w:t>. (2013) report that around a quarter of lower secondary age students say that school is an influence on their choice of career, but fewer than 0</w:t>
      </w:r>
      <w:r w:rsidR="000A312C">
        <w:rPr>
          <w:rFonts w:ascii="Palatino Linotype" w:hAnsi="Palatino Linotype"/>
          <w:bCs/>
          <w:sz w:val="22"/>
          <w:szCs w:val="22"/>
        </w:rPr>
        <w:t>.5% a</w:t>
      </w:r>
      <w:r w:rsidRPr="00EE3715">
        <w:rPr>
          <w:rFonts w:ascii="Palatino Linotype" w:hAnsi="Palatino Linotype"/>
          <w:bCs/>
          <w:sz w:val="22"/>
          <w:szCs w:val="22"/>
        </w:rPr>
        <w:t>re influenced by their school’s careers education</w:t>
      </w:r>
      <w:r w:rsidR="00F53CE5">
        <w:rPr>
          <w:rFonts w:ascii="Palatino Linotype" w:hAnsi="Palatino Linotype"/>
          <w:bCs/>
          <w:sz w:val="22"/>
          <w:szCs w:val="22"/>
        </w:rPr>
        <w:t xml:space="preserve">.  </w:t>
      </w:r>
      <w:r w:rsidRPr="00EE3715">
        <w:rPr>
          <w:rFonts w:ascii="Palatino Linotype" w:hAnsi="Palatino Linotype"/>
          <w:bCs/>
          <w:sz w:val="22"/>
          <w:szCs w:val="22"/>
        </w:rPr>
        <w:t>Lyons and Quinn (2010) found that stude</w:t>
      </w:r>
      <w:r w:rsidR="000A312C">
        <w:rPr>
          <w:rFonts w:ascii="Palatino Linotype" w:hAnsi="Palatino Linotype"/>
          <w:bCs/>
          <w:sz w:val="22"/>
          <w:szCs w:val="22"/>
        </w:rPr>
        <w:t>nts aged 15-16 felt</w:t>
      </w:r>
      <w:r w:rsidR="00F95042">
        <w:rPr>
          <w:rFonts w:ascii="Palatino Linotype" w:hAnsi="Palatino Linotype"/>
          <w:bCs/>
          <w:sz w:val="22"/>
          <w:szCs w:val="22"/>
        </w:rPr>
        <w:t xml:space="preserve"> that</w:t>
      </w:r>
      <w:r w:rsidR="000A312C">
        <w:rPr>
          <w:rFonts w:ascii="Palatino Linotype" w:hAnsi="Palatino Linotype"/>
          <w:bCs/>
          <w:sz w:val="22"/>
          <w:szCs w:val="22"/>
        </w:rPr>
        <w:t xml:space="preserve"> teachers have</w:t>
      </w:r>
      <w:r w:rsidRPr="00EE3715">
        <w:rPr>
          <w:rFonts w:ascii="Palatino Linotype" w:hAnsi="Palatino Linotype"/>
          <w:bCs/>
          <w:sz w:val="22"/>
          <w:szCs w:val="22"/>
        </w:rPr>
        <w:t xml:space="preserve"> more influence than parents on their subject choices and career choices.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.6</w:t>
      </w:r>
      <w:r w:rsidR="00EE3715" w:rsidRPr="00EE3715">
        <w:rPr>
          <w:rFonts w:ascii="Palatino Linotype" w:hAnsi="Palatino Linotype"/>
          <w:bCs/>
          <w:i/>
          <w:sz w:val="22"/>
          <w:szCs w:val="22"/>
        </w:rPr>
        <w:tab/>
        <w:t>Enrichment activities</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rPr>
        <w:t>Studies of the effects of enrichment activities in schools (such as science trips, science clubs, m</w:t>
      </w:r>
      <w:r w:rsidR="005F4193">
        <w:rPr>
          <w:rFonts w:ascii="Palatino Linotype" w:hAnsi="Palatino Linotype"/>
          <w:bCs/>
          <w:sz w:val="22"/>
          <w:szCs w:val="22"/>
        </w:rPr>
        <w:t>aths clubs) generally indicate</w:t>
      </w:r>
      <w:r w:rsidRPr="00EE3715">
        <w:rPr>
          <w:rFonts w:ascii="Palatino Linotype" w:hAnsi="Palatino Linotype"/>
          <w:bCs/>
          <w:sz w:val="22"/>
          <w:szCs w:val="22"/>
        </w:rPr>
        <w:t xml:space="preserve"> positive effects on engagement and participation (DCSF, 2009; Hutchinson and Bentley, 2011; Gorard </w:t>
      </w:r>
      <w:r w:rsidRPr="00EE3715">
        <w:rPr>
          <w:rFonts w:ascii="Palatino Linotype" w:hAnsi="Palatino Linotype"/>
          <w:bCs/>
          <w:i/>
          <w:sz w:val="22"/>
          <w:szCs w:val="22"/>
        </w:rPr>
        <w:t>et al</w:t>
      </w:r>
      <w:r w:rsidRPr="00EE3715">
        <w:rPr>
          <w:rFonts w:ascii="Palatino Linotype" w:hAnsi="Palatino Linotype"/>
          <w:bCs/>
          <w:sz w:val="22"/>
          <w:szCs w:val="22"/>
        </w:rPr>
        <w:t xml:space="preserve">., 2012; Bennett </w:t>
      </w:r>
      <w:r w:rsidRPr="00EE3715">
        <w:rPr>
          <w:rFonts w:ascii="Palatino Linotype" w:hAnsi="Palatino Linotype"/>
          <w:bCs/>
          <w:i/>
          <w:sz w:val="22"/>
          <w:szCs w:val="22"/>
        </w:rPr>
        <w:t>et al</w:t>
      </w:r>
      <w:r w:rsidRPr="00EE3715">
        <w:rPr>
          <w:rFonts w:ascii="Palatino Linotype" w:hAnsi="Palatino Linotype"/>
          <w:bCs/>
          <w:sz w:val="22"/>
          <w:szCs w:val="22"/>
        </w:rPr>
        <w:t>. 2013), though the analysis of the PISA data by Hampden-Thompson and Bennett (2011) found no statist</w:t>
      </w:r>
      <w:r w:rsidR="005F4193">
        <w:rPr>
          <w:rFonts w:ascii="Palatino Linotype" w:hAnsi="Palatino Linotype"/>
          <w:bCs/>
          <w:sz w:val="22"/>
          <w:szCs w:val="22"/>
        </w:rPr>
        <w:t>ical difference in levels of eng</w:t>
      </w:r>
      <w:r w:rsidRPr="00EE3715">
        <w:rPr>
          <w:rFonts w:ascii="Palatino Linotype" w:hAnsi="Palatino Linotype"/>
          <w:bCs/>
          <w:sz w:val="22"/>
          <w:szCs w:val="22"/>
        </w:rPr>
        <w:t>agement between schools with higher and lower level of extra-curricular activities.</w:t>
      </w:r>
    </w:p>
    <w:p w:rsidR="00340726" w:rsidRPr="00EE3715" w:rsidRDefault="00340726" w:rsidP="00D9487D">
      <w:pPr>
        <w:tabs>
          <w:tab w:val="clear" w:pos="567"/>
          <w:tab w:val="left" w:pos="720"/>
        </w:tabs>
        <w:spacing w:line="240" w:lineRule="auto"/>
        <w:jc w:val="both"/>
        <w:rPr>
          <w:rFonts w:ascii="Palatino Linotype" w:hAnsi="Palatino Linotype"/>
          <w:bCs/>
          <w:sz w:val="22"/>
          <w:szCs w:val="22"/>
        </w:rPr>
      </w:pPr>
    </w:p>
    <w:p w:rsidR="00EE3715" w:rsidRPr="00EE3715"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3.2</w:t>
      </w:r>
      <w:r w:rsidR="00EE3715" w:rsidRPr="00EE3715">
        <w:rPr>
          <w:rFonts w:ascii="Palatino Linotype" w:hAnsi="Palatino Linotype"/>
          <w:bCs/>
          <w:i/>
          <w:sz w:val="22"/>
          <w:szCs w:val="22"/>
        </w:rPr>
        <w:t>.7</w:t>
      </w:r>
      <w:r w:rsidR="00EE3715" w:rsidRPr="00EE3715">
        <w:rPr>
          <w:rFonts w:ascii="Palatino Linotype" w:hAnsi="Palatino Linotype"/>
          <w:bCs/>
          <w:i/>
          <w:sz w:val="22"/>
          <w:szCs w:val="22"/>
        </w:rPr>
        <w:tab/>
        <w:t>Teacher specialism</w:t>
      </w: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p>
    <w:p w:rsidR="00EE3715" w:rsidRPr="00EE3715" w:rsidRDefault="00EE3715" w:rsidP="00D9487D">
      <w:pPr>
        <w:tabs>
          <w:tab w:val="clear" w:pos="567"/>
          <w:tab w:val="left" w:pos="720"/>
        </w:tabs>
        <w:spacing w:line="240" w:lineRule="auto"/>
        <w:jc w:val="both"/>
        <w:rPr>
          <w:rFonts w:ascii="Palatino Linotype" w:hAnsi="Palatino Linotype"/>
          <w:bCs/>
          <w:sz w:val="22"/>
          <w:szCs w:val="22"/>
        </w:rPr>
      </w:pPr>
      <w:r w:rsidRPr="00EE3715">
        <w:rPr>
          <w:rFonts w:ascii="Palatino Linotype" w:hAnsi="Palatino Linotype"/>
          <w:bCs/>
          <w:sz w:val="22"/>
          <w:szCs w:val="22"/>
          <w:lang w:val="en-US"/>
        </w:rPr>
        <w:t>The impact of specialist subject teaching has received particular attention, partly due to the shortage of physics teachers in secondary schools</w:t>
      </w:r>
      <w:r w:rsidR="00F53CE5">
        <w:rPr>
          <w:rFonts w:ascii="Palatino Linotype" w:hAnsi="Palatino Linotype"/>
          <w:bCs/>
          <w:sz w:val="22"/>
          <w:szCs w:val="22"/>
          <w:lang w:val="en-US"/>
        </w:rPr>
        <w:t xml:space="preserve">.  </w:t>
      </w:r>
      <w:r w:rsidRPr="00EE3715">
        <w:rPr>
          <w:rFonts w:ascii="Palatino Linotype" w:hAnsi="Palatino Linotype"/>
          <w:bCs/>
          <w:sz w:val="22"/>
          <w:szCs w:val="22"/>
          <w:lang w:val="en-US"/>
        </w:rPr>
        <w:t xml:space="preserve">The DCSF (2009) reported that schools with higher levels of </w:t>
      </w:r>
      <w:r w:rsidR="00006BE4">
        <w:rPr>
          <w:rFonts w:ascii="Palatino Linotype" w:hAnsi="Palatino Linotype"/>
          <w:bCs/>
          <w:sz w:val="22"/>
          <w:szCs w:val="22"/>
          <w:lang w:val="en-US"/>
        </w:rPr>
        <w:t>post-compulsory participation a</w:t>
      </w:r>
      <w:r w:rsidRPr="00EE3715">
        <w:rPr>
          <w:rFonts w:ascii="Palatino Linotype" w:hAnsi="Palatino Linotype"/>
          <w:bCs/>
          <w:sz w:val="22"/>
          <w:szCs w:val="22"/>
          <w:lang w:val="en-US"/>
        </w:rPr>
        <w:t>re characterised by enthusiastic teaching from specialist teachers</w:t>
      </w:r>
      <w:r w:rsidR="00F53CE5">
        <w:rPr>
          <w:rFonts w:ascii="Palatino Linotype" w:hAnsi="Palatino Linotype"/>
          <w:bCs/>
          <w:sz w:val="22"/>
          <w:szCs w:val="22"/>
          <w:lang w:val="en-US"/>
        </w:rPr>
        <w:t xml:space="preserve">.  </w:t>
      </w:r>
      <w:r w:rsidRPr="00EE3715">
        <w:rPr>
          <w:rFonts w:ascii="Palatino Linotype" w:hAnsi="Palatino Linotype"/>
          <w:bCs/>
          <w:sz w:val="22"/>
          <w:szCs w:val="22"/>
          <w:lang w:val="en-US"/>
        </w:rPr>
        <w:t xml:space="preserve">Bennett </w:t>
      </w:r>
      <w:r w:rsidRPr="00EE3715">
        <w:rPr>
          <w:rFonts w:ascii="Palatino Linotype" w:hAnsi="Palatino Linotype"/>
          <w:bCs/>
          <w:i/>
          <w:sz w:val="22"/>
          <w:szCs w:val="22"/>
          <w:lang w:val="en-US"/>
        </w:rPr>
        <w:t>et al</w:t>
      </w:r>
      <w:r w:rsidRPr="00EE3715">
        <w:rPr>
          <w:rFonts w:ascii="Palatino Linotype" w:hAnsi="Palatino Linotype"/>
          <w:bCs/>
          <w:sz w:val="22"/>
          <w:szCs w:val="22"/>
          <w:lang w:val="en-US"/>
        </w:rPr>
        <w:t>. (2013) found that low post-compulsor</w:t>
      </w:r>
      <w:r w:rsidR="00006BE4">
        <w:rPr>
          <w:rFonts w:ascii="Palatino Linotype" w:hAnsi="Palatino Linotype"/>
          <w:bCs/>
          <w:sz w:val="22"/>
          <w:szCs w:val="22"/>
          <w:lang w:val="en-US"/>
        </w:rPr>
        <w:t>y uptake of physical sciences i</w:t>
      </w:r>
      <w:r w:rsidRPr="00EE3715">
        <w:rPr>
          <w:rFonts w:ascii="Palatino Linotype" w:hAnsi="Palatino Linotype"/>
          <w:bCs/>
          <w:sz w:val="22"/>
          <w:szCs w:val="22"/>
          <w:lang w:val="en-US"/>
        </w:rPr>
        <w:t>s associated with non-specialist teaching</w:t>
      </w:r>
      <w:r w:rsidR="00F53CE5">
        <w:rPr>
          <w:rFonts w:ascii="Palatino Linotype" w:hAnsi="Palatino Linotype"/>
          <w:bCs/>
          <w:sz w:val="22"/>
          <w:szCs w:val="22"/>
          <w:lang w:val="en-US"/>
        </w:rPr>
        <w:t xml:space="preserve">.  </w:t>
      </w:r>
      <w:r w:rsidRPr="00EE3715">
        <w:rPr>
          <w:rFonts w:ascii="Palatino Linotype" w:hAnsi="Palatino Linotype"/>
          <w:bCs/>
          <w:sz w:val="22"/>
          <w:szCs w:val="22"/>
        </w:rPr>
        <w:t xml:space="preserve">Reid and </w:t>
      </w:r>
      <w:proofErr w:type="spellStart"/>
      <w:r w:rsidRPr="00EE3715">
        <w:rPr>
          <w:rFonts w:ascii="Palatino Linotype" w:hAnsi="Palatino Linotype"/>
          <w:bCs/>
          <w:sz w:val="22"/>
          <w:szCs w:val="22"/>
        </w:rPr>
        <w:t>Skryabina</w:t>
      </w:r>
      <w:proofErr w:type="spellEnd"/>
      <w:r w:rsidRPr="00EE3715">
        <w:rPr>
          <w:rFonts w:ascii="Palatino Linotype" w:hAnsi="Palatino Linotype"/>
          <w:bCs/>
          <w:sz w:val="22"/>
          <w:szCs w:val="22"/>
        </w:rPr>
        <w:t xml:space="preserve"> (2002) attribute the substantially higher level of post-compulsory uptake of physics in Scotland to it being taught </w:t>
      </w:r>
      <w:r w:rsidR="00006BE4" w:rsidRPr="00006BE4">
        <w:rPr>
          <w:rFonts w:ascii="Palatino Linotype" w:hAnsi="Palatino Linotype"/>
          <w:bCs/>
          <w:sz w:val="22"/>
          <w:szCs w:val="22"/>
        </w:rPr>
        <w:t xml:space="preserve">mainly </w:t>
      </w:r>
      <w:r w:rsidR="00B40D45">
        <w:rPr>
          <w:rFonts w:ascii="Palatino Linotype" w:hAnsi="Palatino Linotype"/>
          <w:bCs/>
          <w:sz w:val="22"/>
          <w:szCs w:val="22"/>
        </w:rPr>
        <w:t>by qualified physics teachers</w:t>
      </w:r>
      <w:r w:rsidR="00A14518">
        <w:rPr>
          <w:rFonts w:ascii="Palatino Linotype" w:hAnsi="Palatino Linotype"/>
          <w:bCs/>
          <w:sz w:val="22"/>
          <w:szCs w:val="22"/>
        </w:rPr>
        <w:t>.</w:t>
      </w:r>
    </w:p>
    <w:p w:rsidR="00EE3715" w:rsidRPr="00F8159F" w:rsidRDefault="00EE3715" w:rsidP="00D9487D">
      <w:pPr>
        <w:tabs>
          <w:tab w:val="clear" w:pos="567"/>
          <w:tab w:val="left" w:pos="720"/>
        </w:tabs>
        <w:spacing w:line="240" w:lineRule="auto"/>
        <w:jc w:val="both"/>
        <w:rPr>
          <w:rFonts w:ascii="Palatino Linotype" w:hAnsi="Palatino Linotype"/>
          <w:bCs/>
          <w:sz w:val="18"/>
          <w:szCs w:val="22"/>
        </w:rPr>
      </w:pPr>
      <w:r w:rsidRPr="00F8159F">
        <w:rPr>
          <w:rFonts w:ascii="Palatino Linotype" w:hAnsi="Palatino Linotype"/>
          <w:bCs/>
          <w:sz w:val="18"/>
          <w:szCs w:val="22"/>
        </w:rPr>
        <w:t xml:space="preserve"> </w:t>
      </w:r>
    </w:p>
    <w:p w:rsidR="006C1CB0" w:rsidRPr="00F8159F" w:rsidRDefault="00EE2F79" w:rsidP="00D9487D">
      <w:pPr>
        <w:tabs>
          <w:tab w:val="clear" w:pos="567"/>
          <w:tab w:val="left" w:pos="720"/>
        </w:tabs>
        <w:spacing w:line="240" w:lineRule="auto"/>
        <w:jc w:val="both"/>
        <w:rPr>
          <w:rFonts w:ascii="Palatino Linotype" w:hAnsi="Palatino Linotype"/>
          <w:b/>
          <w:bCs/>
          <w:sz w:val="22"/>
          <w:szCs w:val="22"/>
        </w:rPr>
      </w:pPr>
      <w:r w:rsidRPr="00F8159F">
        <w:rPr>
          <w:rFonts w:ascii="Palatino Linotype" w:hAnsi="Palatino Linotype"/>
          <w:b/>
          <w:bCs/>
          <w:sz w:val="22"/>
          <w:szCs w:val="22"/>
        </w:rPr>
        <w:t>3.3</w:t>
      </w:r>
      <w:r w:rsidR="006C1CB0" w:rsidRPr="00F8159F">
        <w:rPr>
          <w:rFonts w:ascii="Palatino Linotype" w:hAnsi="Palatino Linotype"/>
          <w:b/>
          <w:bCs/>
          <w:sz w:val="22"/>
          <w:szCs w:val="22"/>
        </w:rPr>
        <w:tab/>
        <w:t>Individual factors</w:t>
      </w:r>
    </w:p>
    <w:p w:rsidR="006C1CB0" w:rsidRPr="00F8159F" w:rsidRDefault="006C1CB0" w:rsidP="00D9487D">
      <w:pPr>
        <w:tabs>
          <w:tab w:val="clear" w:pos="567"/>
          <w:tab w:val="left" w:pos="720"/>
        </w:tabs>
        <w:spacing w:line="240" w:lineRule="auto"/>
        <w:jc w:val="both"/>
        <w:rPr>
          <w:rFonts w:ascii="Palatino Linotype" w:hAnsi="Palatino Linotype"/>
          <w:bCs/>
          <w:sz w:val="18"/>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The largest volume of work on engagement and participation focuses on attempts to identify individual factors influencing responses to STEM subjects</w:t>
      </w:r>
      <w:r w:rsidR="00F53CE5">
        <w:rPr>
          <w:rFonts w:ascii="Palatino Linotype" w:hAnsi="Palatino Linotype"/>
          <w:bCs/>
          <w:sz w:val="22"/>
          <w:szCs w:val="22"/>
        </w:rPr>
        <w:t xml:space="preserve">.  </w:t>
      </w:r>
      <w:r w:rsidRPr="006C1CB0">
        <w:rPr>
          <w:rFonts w:ascii="Palatino Linotype" w:hAnsi="Palatino Linotype"/>
          <w:bCs/>
          <w:sz w:val="22"/>
          <w:szCs w:val="22"/>
        </w:rPr>
        <w:t>These studies usually take the form of analysis of national data sets and/or studies of groups of students in school</w:t>
      </w:r>
      <w:r w:rsidR="00F53CE5">
        <w:rPr>
          <w:rFonts w:ascii="Palatino Linotype" w:hAnsi="Palatino Linotype"/>
          <w:bCs/>
          <w:sz w:val="22"/>
          <w:szCs w:val="22"/>
        </w:rPr>
        <w:t xml:space="preserve">.  </w:t>
      </w:r>
      <w:r w:rsidR="00E82334">
        <w:rPr>
          <w:rFonts w:ascii="Palatino Linotype" w:hAnsi="Palatino Linotype"/>
          <w:bCs/>
          <w:sz w:val="22"/>
          <w:szCs w:val="22"/>
        </w:rPr>
        <w:t>Much of the work in the latter area takes the form of self-report data by students, most often based on attitudinal surveys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The analysis of large-scale datasets has identified a range of factors that exert an influence, including socio-economic status, ethnicity, gender and prior achievement in GCSE </w:t>
      </w:r>
      <w:r w:rsidR="00BC353A">
        <w:rPr>
          <w:rFonts w:ascii="Palatino Linotype" w:hAnsi="Palatino Linotype"/>
          <w:bCs/>
          <w:sz w:val="22"/>
          <w:szCs w:val="22"/>
        </w:rPr>
        <w:t>mathematics and science</w:t>
      </w:r>
      <w:r w:rsidR="00F53CE5">
        <w:rPr>
          <w:rFonts w:ascii="Palatino Linotype" w:hAnsi="Palatino Linotype"/>
          <w:bCs/>
          <w:sz w:val="22"/>
          <w:szCs w:val="22"/>
        </w:rPr>
        <w:t xml:space="preserve">.  </w:t>
      </w:r>
      <w:r w:rsidRPr="006C1CB0">
        <w:rPr>
          <w:rFonts w:ascii="Palatino Linotype" w:hAnsi="Palatino Linotype"/>
          <w:bCs/>
          <w:sz w:val="22"/>
          <w:szCs w:val="22"/>
        </w:rPr>
        <w:t>Studies of students in school</w:t>
      </w:r>
      <w:r w:rsidR="00823B29">
        <w:rPr>
          <w:rFonts w:ascii="Palatino Linotype" w:hAnsi="Palatino Linotype"/>
          <w:bCs/>
          <w:sz w:val="22"/>
          <w:szCs w:val="22"/>
        </w:rPr>
        <w:t>s</w:t>
      </w:r>
      <w:r w:rsidRPr="006C1CB0">
        <w:rPr>
          <w:rFonts w:ascii="Palatino Linotype" w:hAnsi="Palatino Linotype"/>
          <w:bCs/>
          <w:sz w:val="22"/>
          <w:szCs w:val="22"/>
        </w:rPr>
        <w:t xml:space="preserve"> also reveal a range of influences, including experiences of STEM subjects within and beyond school, aspirations for further study and careers, teacher influences, perceptions of subject</w:t>
      </w:r>
      <w:r w:rsidR="00E82334">
        <w:rPr>
          <w:rFonts w:ascii="Palatino Linotype" w:hAnsi="Palatino Linotype"/>
          <w:bCs/>
          <w:sz w:val="22"/>
          <w:szCs w:val="22"/>
        </w:rPr>
        <w:t xml:space="preserve"> difficulty, and confidence</w:t>
      </w:r>
      <w:r w:rsidR="00293A9E">
        <w:rPr>
          <w:rFonts w:ascii="Palatino Linotype" w:hAnsi="Palatino Linotype"/>
          <w:bCs/>
          <w:sz w:val="22"/>
          <w:szCs w:val="22"/>
        </w:rPr>
        <w:t xml:space="preserve"> in abilities</w:t>
      </w:r>
      <w:r w:rsidR="00257E25">
        <w:rPr>
          <w:rFonts w:ascii="Palatino Linotype" w:hAnsi="Palatino Linotype"/>
          <w:bCs/>
          <w:sz w:val="22"/>
          <w:szCs w:val="22"/>
        </w:rPr>
        <w:t xml:space="preserve"> </w:t>
      </w:r>
      <w:r w:rsidR="00E82334">
        <w:rPr>
          <w:rFonts w:ascii="Palatino Linotype" w:hAnsi="Palatino Linotype"/>
          <w:bCs/>
          <w:sz w:val="22"/>
          <w:szCs w:val="22"/>
        </w:rPr>
        <w:t>(self-efficacy)</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6C1CB0" w:rsidRPr="006C1CB0">
        <w:rPr>
          <w:rFonts w:ascii="Palatino Linotype" w:hAnsi="Palatino Linotype"/>
          <w:bCs/>
          <w:i/>
          <w:sz w:val="22"/>
          <w:szCs w:val="22"/>
        </w:rPr>
        <w:t>.1</w:t>
      </w:r>
      <w:r w:rsidR="006C1CB0" w:rsidRPr="006C1CB0">
        <w:rPr>
          <w:rFonts w:ascii="Palatino Linotype" w:hAnsi="Palatino Linotype"/>
          <w:bCs/>
          <w:i/>
          <w:sz w:val="22"/>
          <w:szCs w:val="22"/>
        </w:rPr>
        <w:tab/>
        <w:t>Socioeconomic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International data from the PIS</w:t>
      </w:r>
      <w:r w:rsidR="00583DA0">
        <w:rPr>
          <w:rFonts w:ascii="Palatino Linotype" w:hAnsi="Palatino Linotype"/>
          <w:bCs/>
          <w:sz w:val="22"/>
          <w:szCs w:val="22"/>
        </w:rPr>
        <w:t>A 2006 survey (OECD</w:t>
      </w:r>
      <w:r w:rsidRPr="006C1CB0">
        <w:rPr>
          <w:rFonts w:ascii="Palatino Linotype" w:hAnsi="Palatino Linotype"/>
          <w:bCs/>
          <w:sz w:val="22"/>
          <w:szCs w:val="22"/>
        </w:rPr>
        <w:t>, 2007) found that students from more advanta</w:t>
      </w:r>
      <w:r w:rsidR="008975ED">
        <w:rPr>
          <w:rFonts w:ascii="Palatino Linotype" w:hAnsi="Palatino Linotype"/>
          <w:bCs/>
          <w:sz w:val="22"/>
          <w:szCs w:val="22"/>
        </w:rPr>
        <w:t>ged socio-economic background</w:t>
      </w:r>
      <w:r w:rsidR="00823B29">
        <w:rPr>
          <w:rFonts w:ascii="Palatino Linotype" w:hAnsi="Palatino Linotype"/>
          <w:bCs/>
          <w:sz w:val="22"/>
          <w:szCs w:val="22"/>
        </w:rPr>
        <w:t>s</w:t>
      </w:r>
      <w:r w:rsidR="008975ED">
        <w:rPr>
          <w:rFonts w:ascii="Palatino Linotype" w:hAnsi="Palatino Linotype"/>
          <w:bCs/>
          <w:sz w:val="22"/>
          <w:szCs w:val="22"/>
        </w:rPr>
        <w:t xml:space="preserve"> a</w:t>
      </w:r>
      <w:r w:rsidRPr="006C1CB0">
        <w:rPr>
          <w:rFonts w:ascii="Palatino Linotype" w:hAnsi="Palatino Linotype"/>
          <w:bCs/>
          <w:sz w:val="22"/>
          <w:szCs w:val="22"/>
        </w:rPr>
        <w:t xml:space="preserve">re more likely to be interested in science, and that students with a parent in a science-related career </w:t>
      </w:r>
      <w:r w:rsidR="008975ED">
        <w:rPr>
          <w:rFonts w:ascii="Palatino Linotype" w:hAnsi="Palatino Linotype"/>
          <w:bCs/>
          <w:sz w:val="22"/>
          <w:szCs w:val="22"/>
        </w:rPr>
        <w:t xml:space="preserve">are </w:t>
      </w:r>
      <w:r w:rsidRPr="006C1CB0">
        <w:rPr>
          <w:rFonts w:ascii="Palatino Linotype" w:hAnsi="Palatino Linotype"/>
          <w:bCs/>
          <w:sz w:val="22"/>
          <w:szCs w:val="22"/>
        </w:rPr>
        <w:t>more likely to see their own career involving science</w:t>
      </w:r>
      <w:r w:rsidR="00F53CE5">
        <w:rPr>
          <w:rFonts w:ascii="Palatino Linotype" w:hAnsi="Palatino Linotype"/>
          <w:bCs/>
          <w:sz w:val="22"/>
          <w:szCs w:val="22"/>
        </w:rPr>
        <w:t xml:space="preserve">.  </w:t>
      </w:r>
      <w:r w:rsidRPr="006C1CB0">
        <w:rPr>
          <w:rFonts w:ascii="Palatino Linotype" w:hAnsi="Palatino Linotype"/>
          <w:bCs/>
          <w:sz w:val="22"/>
          <w:szCs w:val="22"/>
        </w:rPr>
        <w:t>In the UK, H</w:t>
      </w:r>
      <w:r w:rsidR="00F37C18">
        <w:rPr>
          <w:rFonts w:ascii="Palatino Linotype" w:hAnsi="Palatino Linotype"/>
          <w:bCs/>
          <w:sz w:val="22"/>
          <w:szCs w:val="22"/>
        </w:rPr>
        <w:t>ampden-Thompson and Bennett (201</w:t>
      </w:r>
      <w:r w:rsidRPr="006C1CB0">
        <w:rPr>
          <w:rFonts w:ascii="Palatino Linotype" w:hAnsi="Palatino Linotype"/>
          <w:bCs/>
          <w:sz w:val="22"/>
          <w:szCs w:val="22"/>
        </w:rPr>
        <w:t>1)</w:t>
      </w:r>
      <w:r w:rsidR="008975ED">
        <w:rPr>
          <w:rFonts w:ascii="Palatino Linotype" w:hAnsi="Palatino Linotype"/>
          <w:bCs/>
          <w:sz w:val="22"/>
          <w:szCs w:val="22"/>
        </w:rPr>
        <w:t xml:space="preserve"> analysed PISA data and report</w:t>
      </w:r>
      <w:r w:rsidRPr="006C1CB0">
        <w:rPr>
          <w:rFonts w:ascii="Palatino Linotype" w:hAnsi="Palatino Linotype"/>
          <w:bCs/>
          <w:sz w:val="22"/>
          <w:szCs w:val="22"/>
        </w:rPr>
        <w:t xml:space="preserve"> that levels of </w:t>
      </w:r>
      <w:r w:rsidR="008975ED">
        <w:rPr>
          <w:rFonts w:ascii="Palatino Linotype" w:hAnsi="Palatino Linotype"/>
          <w:bCs/>
          <w:sz w:val="22"/>
          <w:szCs w:val="22"/>
        </w:rPr>
        <w:t xml:space="preserve">student </w:t>
      </w:r>
      <w:r w:rsidRPr="006C1CB0">
        <w:rPr>
          <w:rFonts w:ascii="Palatino Linotype" w:hAnsi="Palatino Linotype"/>
          <w:bCs/>
          <w:sz w:val="22"/>
          <w:szCs w:val="22"/>
        </w:rPr>
        <w:t>engagement and future orien</w:t>
      </w:r>
      <w:r w:rsidR="008975ED">
        <w:rPr>
          <w:rFonts w:ascii="Palatino Linotype" w:hAnsi="Palatino Linotype"/>
          <w:bCs/>
          <w:sz w:val="22"/>
          <w:szCs w:val="22"/>
        </w:rPr>
        <w:t>tation towards science increase</w:t>
      </w:r>
      <w:r w:rsidRPr="006C1CB0">
        <w:rPr>
          <w:rFonts w:ascii="Palatino Linotype" w:hAnsi="Palatino Linotype"/>
          <w:bCs/>
          <w:sz w:val="22"/>
          <w:szCs w:val="22"/>
        </w:rPr>
        <w:t xml:space="preserve"> with the number of y</w:t>
      </w:r>
      <w:r w:rsidR="008975ED">
        <w:rPr>
          <w:rFonts w:ascii="Palatino Linotype" w:hAnsi="Palatino Linotype"/>
          <w:bCs/>
          <w:sz w:val="22"/>
          <w:szCs w:val="22"/>
        </w:rPr>
        <w:t>ears for which their parents have</w:t>
      </w:r>
      <w:r w:rsidRPr="006C1CB0">
        <w:rPr>
          <w:rFonts w:ascii="Palatino Linotype" w:hAnsi="Palatino Linotype"/>
          <w:bCs/>
          <w:sz w:val="22"/>
          <w:szCs w:val="22"/>
        </w:rPr>
        <w:t xml:space="preserve"> been educated, and</w:t>
      </w:r>
      <w:r w:rsidR="00407A14">
        <w:rPr>
          <w:rFonts w:ascii="Palatino Linotype" w:hAnsi="Palatino Linotype"/>
          <w:bCs/>
          <w:sz w:val="22"/>
          <w:szCs w:val="22"/>
        </w:rPr>
        <w:t xml:space="preserve"> higher occupational status</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Gorard and See (2009) note that participation in higher education has continued, over decades, to be stratified in terms of social class, ethnicity and region</w:t>
      </w:r>
      <w:r w:rsidR="00F53CE5">
        <w:rPr>
          <w:rFonts w:ascii="Palatino Linotype" w:hAnsi="Palatino Linotype"/>
          <w:bCs/>
          <w:sz w:val="22"/>
          <w:szCs w:val="22"/>
        </w:rPr>
        <w:t xml:space="preserve">.  </w:t>
      </w:r>
      <w:r w:rsidRPr="006C1CB0">
        <w:rPr>
          <w:rFonts w:ascii="Palatino Linotype" w:hAnsi="Palatino Linotype"/>
          <w:bCs/>
          <w:sz w:val="22"/>
          <w:szCs w:val="22"/>
        </w:rPr>
        <w:t xml:space="preserve">They </w:t>
      </w:r>
      <w:r w:rsidR="00DE23EC">
        <w:rPr>
          <w:rFonts w:ascii="Palatino Linotype" w:hAnsi="Palatino Linotype"/>
          <w:bCs/>
          <w:sz w:val="22"/>
          <w:szCs w:val="22"/>
        </w:rPr>
        <w:t>suggest</w:t>
      </w:r>
      <w:r w:rsidR="005F4193">
        <w:rPr>
          <w:rFonts w:ascii="Palatino Linotype" w:hAnsi="Palatino Linotype"/>
          <w:bCs/>
          <w:sz w:val="22"/>
          <w:szCs w:val="22"/>
        </w:rPr>
        <w:t xml:space="preserve"> that data </w:t>
      </w:r>
      <w:r w:rsidRPr="006C1CB0">
        <w:rPr>
          <w:rFonts w:ascii="Palatino Linotype" w:hAnsi="Palatino Linotype"/>
          <w:bCs/>
          <w:sz w:val="22"/>
          <w:szCs w:val="22"/>
        </w:rPr>
        <w:t>on widening participation in STEM are ambiguous as they show that whole numbers entering higher education have increased overall, but these increases have been very small for the physical sciences and mathematics</w:t>
      </w:r>
      <w:r w:rsidR="00F53CE5">
        <w:rPr>
          <w:rFonts w:ascii="Palatino Linotype" w:hAnsi="Palatino Linotype"/>
          <w:bCs/>
          <w:sz w:val="22"/>
          <w:szCs w:val="22"/>
        </w:rPr>
        <w:t xml:space="preserve">.  </w:t>
      </w:r>
      <w:r w:rsidRPr="006C1CB0">
        <w:rPr>
          <w:rFonts w:ascii="Palatino Linotype" w:hAnsi="Palatino Linotype"/>
          <w:bCs/>
          <w:sz w:val="22"/>
          <w:szCs w:val="22"/>
        </w:rPr>
        <w:t>Thus, as a proportion of total uptake, participation in STEM subjects has declined</w:t>
      </w:r>
      <w:r w:rsidR="00F53CE5">
        <w:rPr>
          <w:rFonts w:ascii="Palatino Linotype" w:hAnsi="Palatino Linotype"/>
          <w:bCs/>
          <w:sz w:val="22"/>
          <w:szCs w:val="22"/>
        </w:rPr>
        <w:t xml:space="preserve">.  </w:t>
      </w:r>
      <w:r w:rsidRPr="006C1CB0">
        <w:rPr>
          <w:rFonts w:ascii="Palatino Linotype" w:hAnsi="Palatino Linotype"/>
          <w:bCs/>
          <w:sz w:val="22"/>
          <w:szCs w:val="22"/>
        </w:rPr>
        <w:t>The</w:t>
      </w:r>
      <w:r w:rsidR="005C19C8">
        <w:rPr>
          <w:rFonts w:ascii="Palatino Linotype" w:hAnsi="Palatino Linotype"/>
          <w:bCs/>
          <w:sz w:val="22"/>
          <w:szCs w:val="22"/>
        </w:rPr>
        <w:t>y</w:t>
      </w:r>
      <w:r w:rsidRPr="006C1CB0">
        <w:rPr>
          <w:rFonts w:ascii="Palatino Linotype" w:hAnsi="Palatino Linotype"/>
          <w:bCs/>
          <w:sz w:val="22"/>
          <w:szCs w:val="22"/>
        </w:rPr>
        <w:t xml:space="preserve"> conclude that relative overall cost is one of the most significant and important factors determining higher education participation</w:t>
      </w:r>
      <w:r w:rsidR="00F53CE5">
        <w:rPr>
          <w:rFonts w:ascii="Palatino Linotype" w:hAnsi="Palatino Linotype"/>
          <w:bCs/>
          <w:sz w:val="22"/>
          <w:szCs w:val="22"/>
        </w:rPr>
        <w:t xml:space="preserve">.  </w:t>
      </w:r>
      <w:r w:rsidRPr="006C1CB0">
        <w:rPr>
          <w:rFonts w:ascii="Palatino Linotype" w:hAnsi="Palatino Linotype"/>
          <w:bCs/>
          <w:sz w:val="22"/>
          <w:szCs w:val="22"/>
        </w:rPr>
        <w:t>This may have implications for the</w:t>
      </w:r>
      <w:r w:rsidR="005C19C8">
        <w:rPr>
          <w:rFonts w:ascii="Palatino Linotype" w:hAnsi="Palatino Linotype"/>
          <w:bCs/>
          <w:sz w:val="22"/>
          <w:szCs w:val="22"/>
        </w:rPr>
        <w:t xml:space="preserve"> longer degree courses (e.g.</w:t>
      </w:r>
      <w:r w:rsidRPr="006C1CB0">
        <w:rPr>
          <w:rFonts w:ascii="Palatino Linotype" w:hAnsi="Palatino Linotype"/>
          <w:bCs/>
          <w:sz w:val="22"/>
          <w:szCs w:val="22"/>
        </w:rPr>
        <w:t xml:space="preserve"> </w:t>
      </w:r>
      <w:proofErr w:type="spellStart"/>
      <w:r w:rsidRPr="006C1CB0">
        <w:rPr>
          <w:rFonts w:ascii="Palatino Linotype" w:hAnsi="Palatino Linotype"/>
          <w:bCs/>
          <w:sz w:val="22"/>
          <w:szCs w:val="22"/>
        </w:rPr>
        <w:t>MChem</w:t>
      </w:r>
      <w:proofErr w:type="spellEnd"/>
      <w:r w:rsidR="005C19C8">
        <w:rPr>
          <w:rFonts w:ascii="Palatino Linotype" w:hAnsi="Palatino Linotype"/>
          <w:bCs/>
          <w:sz w:val="22"/>
          <w:szCs w:val="22"/>
        </w:rPr>
        <w:t xml:space="preserve">, </w:t>
      </w:r>
      <w:proofErr w:type="spellStart"/>
      <w:r w:rsidR="005C19C8">
        <w:rPr>
          <w:rFonts w:ascii="Palatino Linotype" w:hAnsi="Palatino Linotype"/>
          <w:bCs/>
          <w:sz w:val="22"/>
          <w:szCs w:val="22"/>
        </w:rPr>
        <w:t>MPhys</w:t>
      </w:r>
      <w:proofErr w:type="spellEnd"/>
      <w:r w:rsidR="005C19C8">
        <w:rPr>
          <w:rFonts w:ascii="Palatino Linotype" w:hAnsi="Palatino Linotype"/>
          <w:bCs/>
          <w:sz w:val="22"/>
          <w:szCs w:val="22"/>
        </w:rPr>
        <w:t>) that have been introduced in the last decade</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6C1CB0" w:rsidRPr="006C1CB0">
        <w:rPr>
          <w:rFonts w:ascii="Palatino Linotype" w:hAnsi="Palatino Linotype"/>
          <w:bCs/>
          <w:i/>
          <w:sz w:val="22"/>
          <w:szCs w:val="22"/>
        </w:rPr>
        <w:t>.2</w:t>
      </w:r>
      <w:r w:rsidR="006C1CB0" w:rsidRPr="006C1CB0">
        <w:rPr>
          <w:rFonts w:ascii="Palatino Linotype" w:hAnsi="Palatino Linotype"/>
          <w:bCs/>
          <w:i/>
          <w:sz w:val="22"/>
          <w:szCs w:val="22"/>
        </w:rPr>
        <w:tab/>
        <w:t>Ethnic background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There are substantial variations in subject choice for students of different ethnic background (</w:t>
      </w:r>
      <w:proofErr w:type="spellStart"/>
      <w:r w:rsidRPr="006C1CB0">
        <w:rPr>
          <w:rFonts w:ascii="Palatino Linotype" w:hAnsi="Palatino Linotype"/>
          <w:bCs/>
          <w:sz w:val="22"/>
          <w:szCs w:val="22"/>
        </w:rPr>
        <w:t>Springate</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2008; Gill and Bell, 2013)</w:t>
      </w:r>
      <w:r w:rsidR="00F53CE5">
        <w:rPr>
          <w:rFonts w:ascii="Palatino Linotype" w:hAnsi="Palatino Linotype"/>
          <w:bCs/>
          <w:sz w:val="22"/>
          <w:szCs w:val="22"/>
        </w:rPr>
        <w:t xml:space="preserve">.  </w:t>
      </w:r>
      <w:r w:rsidRPr="006C1CB0">
        <w:rPr>
          <w:rFonts w:ascii="Palatino Linotype" w:hAnsi="Palatino Linotype"/>
          <w:bCs/>
          <w:sz w:val="22"/>
          <w:szCs w:val="22"/>
        </w:rPr>
        <w:t>Chinese and Indian students show a strong preference for A-level chemistry and physics, but are under-represented at degree level</w:t>
      </w:r>
      <w:r w:rsidR="00F53CE5">
        <w:rPr>
          <w:rFonts w:ascii="Palatino Linotype" w:hAnsi="Palatino Linotype"/>
          <w:bCs/>
          <w:sz w:val="22"/>
          <w:szCs w:val="22"/>
        </w:rPr>
        <w:t xml:space="preserve">.  </w:t>
      </w:r>
      <w:r w:rsidRPr="006C1CB0">
        <w:rPr>
          <w:rFonts w:ascii="Palatino Linotype" w:hAnsi="Palatino Linotype"/>
          <w:bCs/>
          <w:sz w:val="22"/>
          <w:szCs w:val="22"/>
        </w:rPr>
        <w:t>Pakistani and Bangladeshi students are under-represented at degree level, compared with their numbers at A-level</w:t>
      </w:r>
      <w:r w:rsidR="00F53CE5">
        <w:rPr>
          <w:rFonts w:ascii="Palatino Linotype" w:hAnsi="Palatino Linotype"/>
          <w:bCs/>
          <w:sz w:val="22"/>
          <w:szCs w:val="22"/>
        </w:rPr>
        <w:t xml:space="preserve">.  </w:t>
      </w:r>
      <w:r w:rsidRPr="006C1CB0">
        <w:rPr>
          <w:rFonts w:ascii="Palatino Linotype" w:hAnsi="Palatino Linotype"/>
          <w:bCs/>
          <w:sz w:val="22"/>
          <w:szCs w:val="22"/>
        </w:rPr>
        <w:t>Black Caribbean students are under-represented at both levels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Ethnic minority students are less likely to </w:t>
      </w:r>
      <w:r w:rsidR="00215443">
        <w:rPr>
          <w:rFonts w:ascii="Palatino Linotype" w:hAnsi="Palatino Linotype"/>
          <w:bCs/>
          <w:sz w:val="22"/>
          <w:szCs w:val="22"/>
        </w:rPr>
        <w:t>study for a PhD in</w:t>
      </w:r>
      <w:r w:rsidRPr="006C1CB0">
        <w:rPr>
          <w:rFonts w:ascii="Palatino Linotype" w:hAnsi="Palatino Linotype"/>
          <w:bCs/>
          <w:sz w:val="22"/>
          <w:szCs w:val="22"/>
        </w:rPr>
        <w:t xml:space="preserve"> chemistry or physics than their white peers.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 xml:space="preserve">In their systematic review of twelve studies on factors influencing choice of STEM subjects, </w:t>
      </w:r>
      <w:proofErr w:type="spellStart"/>
      <w:r w:rsidRPr="006C1CB0">
        <w:rPr>
          <w:rFonts w:ascii="Palatino Linotype" w:hAnsi="Palatino Linotype"/>
          <w:bCs/>
          <w:sz w:val="22"/>
          <w:szCs w:val="22"/>
        </w:rPr>
        <w:t>Tripney</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xml:space="preserve">. (2010) report that young people described as Asian are more likely than those from other ethnic groups to choose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beyond the compulsory period of study</w:t>
      </w:r>
      <w:r w:rsidR="00F53CE5">
        <w:rPr>
          <w:rFonts w:ascii="Palatino Linotype" w:hAnsi="Palatino Linotype"/>
          <w:bCs/>
          <w:sz w:val="22"/>
          <w:szCs w:val="22"/>
        </w:rPr>
        <w:t xml:space="preserve">.  </w:t>
      </w:r>
      <w:r w:rsidRPr="006C1CB0">
        <w:rPr>
          <w:rFonts w:ascii="Palatino Linotype" w:hAnsi="Palatino Linotype"/>
          <w:bCs/>
          <w:sz w:val="22"/>
          <w:szCs w:val="22"/>
        </w:rPr>
        <w:t>They do, however, sound a note of caution, as they also found that studies tended to treat this group as if homogenous, whereas it contains people from different socio-cultural and ethnic backgrounds</w:t>
      </w:r>
      <w:r w:rsidR="00F53CE5">
        <w:rPr>
          <w:rFonts w:ascii="Palatino Linotype" w:hAnsi="Palatino Linotype"/>
          <w:bCs/>
          <w:sz w:val="22"/>
          <w:szCs w:val="22"/>
        </w:rPr>
        <w:t xml:space="preserve">.  </w:t>
      </w:r>
      <w:r w:rsidR="00CD1E6E">
        <w:rPr>
          <w:rFonts w:ascii="Palatino Linotype" w:hAnsi="Palatino Linotype"/>
          <w:bCs/>
          <w:sz w:val="22"/>
          <w:szCs w:val="22"/>
        </w:rPr>
        <w:t xml:space="preserve">Archer </w:t>
      </w:r>
      <w:r w:rsidR="00823B29">
        <w:rPr>
          <w:rFonts w:ascii="Palatino Linotype" w:hAnsi="Palatino Linotype"/>
          <w:bCs/>
          <w:sz w:val="22"/>
          <w:szCs w:val="22"/>
        </w:rPr>
        <w:t>e</w:t>
      </w:r>
      <w:r w:rsidR="00CD1E6E" w:rsidRPr="00CD1E6E">
        <w:rPr>
          <w:rFonts w:ascii="Palatino Linotype" w:hAnsi="Palatino Linotype"/>
          <w:bCs/>
          <w:i/>
          <w:sz w:val="22"/>
          <w:szCs w:val="22"/>
        </w:rPr>
        <w:t>t al</w:t>
      </w:r>
      <w:r w:rsidR="00CD1E6E">
        <w:rPr>
          <w:rFonts w:ascii="Palatino Linotype" w:hAnsi="Palatino Linotype"/>
          <w:bCs/>
          <w:sz w:val="22"/>
          <w:szCs w:val="22"/>
        </w:rPr>
        <w:t>. (2013)</w:t>
      </w:r>
      <w:r w:rsidR="00215443">
        <w:rPr>
          <w:rFonts w:ascii="Palatino Linotype" w:hAnsi="Palatino Linotype"/>
          <w:bCs/>
          <w:sz w:val="22"/>
          <w:szCs w:val="22"/>
        </w:rPr>
        <w:t xml:space="preserve"> </w:t>
      </w:r>
      <w:r w:rsidR="00CD1E6E">
        <w:rPr>
          <w:rFonts w:ascii="Palatino Linotype" w:hAnsi="Palatino Linotype"/>
          <w:bCs/>
          <w:sz w:val="22"/>
          <w:szCs w:val="22"/>
        </w:rPr>
        <w:t>report a similar pattern of uptake for students they describe as ‘South Asians’</w:t>
      </w:r>
      <w:r w:rsidR="00F53CE5">
        <w:rPr>
          <w:rFonts w:ascii="Palatino Linotype" w:hAnsi="Palatino Linotype"/>
          <w:bCs/>
          <w:sz w:val="22"/>
          <w:szCs w:val="22"/>
        </w:rPr>
        <w:t xml:space="preserve">.  </w:t>
      </w:r>
      <w:r w:rsidR="00215443">
        <w:rPr>
          <w:rFonts w:ascii="Palatino Linotype" w:hAnsi="Palatino Linotype"/>
          <w:bCs/>
          <w:sz w:val="22"/>
          <w:szCs w:val="22"/>
        </w:rPr>
        <w:t>Further research is necessary to establish the explanations for the variation of such patterns of participation</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6C1CB0" w:rsidRPr="006C1CB0">
        <w:rPr>
          <w:rFonts w:ascii="Palatino Linotype" w:hAnsi="Palatino Linotype"/>
          <w:bCs/>
          <w:i/>
          <w:sz w:val="22"/>
          <w:szCs w:val="22"/>
        </w:rPr>
        <w:t>.3</w:t>
      </w:r>
      <w:r w:rsidR="006C1CB0" w:rsidRPr="006C1CB0">
        <w:rPr>
          <w:rFonts w:ascii="Palatino Linotype" w:hAnsi="Palatino Linotype"/>
          <w:bCs/>
          <w:i/>
          <w:sz w:val="22"/>
          <w:szCs w:val="22"/>
        </w:rPr>
        <w:tab/>
        <w:t>Gender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Gender effects in STEM subjects have been the focus of numerous research studies, with the principal area of concern being the comparatively low numbers of girls choosing mathematics and the physical science subjects, particularly physics</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Looking at the most recent w</w:t>
      </w:r>
      <w:r w:rsidR="008975ED">
        <w:rPr>
          <w:rFonts w:ascii="Palatino Linotype" w:hAnsi="Palatino Linotype"/>
          <w:bCs/>
          <w:sz w:val="22"/>
          <w:szCs w:val="22"/>
        </w:rPr>
        <w:t>ork, the PISA 2006 data reports</w:t>
      </w:r>
      <w:r w:rsidRPr="006C1CB0">
        <w:rPr>
          <w:rFonts w:ascii="Palatino Linotype" w:hAnsi="Palatino Linotype"/>
          <w:bCs/>
          <w:sz w:val="22"/>
          <w:szCs w:val="22"/>
        </w:rPr>
        <w:t xml:space="preserve"> gender difference in attitudes to science as being most prominent in Germany, Iceland, Japan, </w:t>
      </w:r>
      <w:r w:rsidR="00D64837">
        <w:rPr>
          <w:rFonts w:ascii="Palatino Linotype" w:hAnsi="Palatino Linotype"/>
          <w:bCs/>
          <w:sz w:val="22"/>
          <w:szCs w:val="22"/>
        </w:rPr>
        <w:t>So</w:t>
      </w:r>
      <w:r w:rsidR="00B153CD">
        <w:rPr>
          <w:rFonts w:ascii="Palatino Linotype" w:hAnsi="Palatino Linotype"/>
          <w:bCs/>
          <w:sz w:val="22"/>
          <w:szCs w:val="22"/>
        </w:rPr>
        <w:t>u</w:t>
      </w:r>
      <w:r w:rsidR="00D64837">
        <w:rPr>
          <w:rFonts w:ascii="Palatino Linotype" w:hAnsi="Palatino Linotype"/>
          <w:bCs/>
          <w:sz w:val="22"/>
          <w:szCs w:val="22"/>
        </w:rPr>
        <w:t>th Korea</w:t>
      </w:r>
      <w:r w:rsidRPr="006C1CB0">
        <w:rPr>
          <w:rFonts w:ascii="Palatino Linotype" w:hAnsi="Palatino Linotype"/>
          <w:bCs/>
          <w:sz w:val="22"/>
          <w:szCs w:val="22"/>
        </w:rPr>
        <w:t>, the Netherlands and the UK, where ma</w:t>
      </w:r>
      <w:r w:rsidR="008975ED">
        <w:rPr>
          <w:rFonts w:ascii="Palatino Linotype" w:hAnsi="Palatino Linotype"/>
          <w:bCs/>
          <w:sz w:val="22"/>
          <w:szCs w:val="22"/>
        </w:rPr>
        <w:t>les a</w:t>
      </w:r>
      <w:r w:rsidRPr="006C1CB0">
        <w:rPr>
          <w:rFonts w:ascii="Palatino Linotype" w:hAnsi="Palatino Linotype"/>
          <w:bCs/>
          <w:sz w:val="22"/>
          <w:szCs w:val="22"/>
        </w:rPr>
        <w:t>re more positive than females (</w:t>
      </w:r>
      <w:r w:rsidR="00A67D1A">
        <w:rPr>
          <w:rFonts w:ascii="Palatino Linotype" w:hAnsi="Palatino Linotype"/>
          <w:bCs/>
          <w:sz w:val="22"/>
          <w:szCs w:val="22"/>
        </w:rPr>
        <w:t>OECD</w:t>
      </w:r>
      <w:r w:rsidRPr="006C1CB0">
        <w:rPr>
          <w:rFonts w:ascii="Palatino Linotype" w:hAnsi="Palatino Linotype"/>
          <w:bCs/>
          <w:sz w:val="22"/>
          <w:szCs w:val="22"/>
        </w:rPr>
        <w:t>, 2007; Hampden-Thompson and Bennett, 2011)</w:t>
      </w:r>
      <w:r w:rsidR="00F53CE5">
        <w:rPr>
          <w:rFonts w:ascii="Palatino Linotype" w:hAnsi="Palatino Linotype"/>
          <w:bCs/>
          <w:sz w:val="22"/>
          <w:szCs w:val="22"/>
        </w:rPr>
        <w:t xml:space="preserve">.  </w:t>
      </w:r>
      <w:proofErr w:type="spellStart"/>
      <w:r w:rsidRPr="006C1CB0">
        <w:rPr>
          <w:rFonts w:ascii="Palatino Linotype" w:hAnsi="Palatino Linotype"/>
          <w:bCs/>
          <w:sz w:val="22"/>
          <w:szCs w:val="22"/>
        </w:rPr>
        <w:t>Tripney</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(2010) found that boys are more likely than girls to choose separate sciences at age 14</w:t>
      </w:r>
      <w:r w:rsidR="00F53CE5">
        <w:rPr>
          <w:rFonts w:ascii="Palatino Linotype" w:hAnsi="Palatino Linotype"/>
          <w:bCs/>
          <w:sz w:val="22"/>
          <w:szCs w:val="22"/>
        </w:rPr>
        <w:t xml:space="preserve">.  </w:t>
      </w:r>
      <w:r w:rsidRPr="006C1CB0">
        <w:rPr>
          <w:rFonts w:ascii="Palatino Linotype" w:hAnsi="Palatino Linotype"/>
          <w:bCs/>
          <w:sz w:val="22"/>
          <w:szCs w:val="22"/>
        </w:rPr>
        <w:t xml:space="preserve">Archer </w:t>
      </w:r>
      <w:r w:rsidRPr="006C1CB0">
        <w:rPr>
          <w:rFonts w:ascii="Palatino Linotype" w:hAnsi="Palatino Linotype"/>
          <w:bCs/>
          <w:i/>
          <w:sz w:val="22"/>
          <w:szCs w:val="22"/>
        </w:rPr>
        <w:t>et al</w:t>
      </w:r>
      <w:r w:rsidRPr="006C1CB0">
        <w:rPr>
          <w:rFonts w:ascii="Palatino Linotype" w:hAnsi="Palatino Linotype"/>
          <w:bCs/>
          <w:sz w:val="22"/>
          <w:szCs w:val="22"/>
        </w:rPr>
        <w:t>.</w:t>
      </w:r>
      <w:r w:rsidR="008975ED">
        <w:rPr>
          <w:rFonts w:ascii="Palatino Linotype" w:hAnsi="Palatino Linotype"/>
          <w:bCs/>
          <w:sz w:val="22"/>
          <w:szCs w:val="22"/>
        </w:rPr>
        <w:t xml:space="preserve"> </w:t>
      </w:r>
      <w:r w:rsidR="00134E46">
        <w:rPr>
          <w:rFonts w:ascii="Palatino Linotype" w:hAnsi="Palatino Linotype"/>
          <w:bCs/>
          <w:sz w:val="22"/>
          <w:szCs w:val="22"/>
        </w:rPr>
        <w:t>(2013)</w:t>
      </w:r>
      <w:r w:rsidRPr="006C1CB0">
        <w:rPr>
          <w:rFonts w:ascii="Palatino Linotype" w:hAnsi="Palatino Linotype"/>
          <w:bCs/>
          <w:sz w:val="22"/>
          <w:szCs w:val="22"/>
        </w:rPr>
        <w:t xml:space="preserve"> identif</w:t>
      </w:r>
      <w:r w:rsidR="008975ED">
        <w:rPr>
          <w:rFonts w:ascii="Palatino Linotype" w:hAnsi="Palatino Linotype"/>
          <w:bCs/>
          <w:sz w:val="22"/>
          <w:szCs w:val="22"/>
        </w:rPr>
        <w:t>y</w:t>
      </w:r>
      <w:r w:rsidRPr="006C1CB0">
        <w:rPr>
          <w:rFonts w:ascii="Palatino Linotype" w:hAnsi="Palatino Linotype"/>
          <w:bCs/>
          <w:sz w:val="22"/>
          <w:szCs w:val="22"/>
        </w:rPr>
        <w:t xml:space="preserve"> two groups of girls who engage w</w:t>
      </w:r>
      <w:r w:rsidR="008975ED">
        <w:rPr>
          <w:rFonts w:ascii="Palatino Linotype" w:hAnsi="Palatino Linotype"/>
          <w:bCs/>
          <w:sz w:val="22"/>
          <w:szCs w:val="22"/>
        </w:rPr>
        <w:t>ith science: ‘b</w:t>
      </w:r>
      <w:r w:rsidRPr="006C1CB0">
        <w:rPr>
          <w:rFonts w:ascii="Palatino Linotype" w:hAnsi="Palatino Linotype"/>
          <w:bCs/>
          <w:sz w:val="22"/>
          <w:szCs w:val="22"/>
        </w:rPr>
        <w:t>luestocking scientists’, who are not ‘girly’, are often Asian or white, and seen as seen as good girls by their parents, and ‘feminine scientists’ who like science but have more ‘girly’ identity, being more sociable and fashionable.</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Male students are more likely to take physics</w:t>
      </w:r>
      <w:r w:rsidR="008975ED">
        <w:rPr>
          <w:rFonts w:ascii="Palatino Linotype" w:hAnsi="Palatino Linotype"/>
          <w:bCs/>
          <w:sz w:val="22"/>
          <w:szCs w:val="22"/>
        </w:rPr>
        <w:t xml:space="preserve"> and mathematics</w:t>
      </w:r>
      <w:r w:rsidRPr="006C1CB0">
        <w:rPr>
          <w:rFonts w:ascii="Palatino Linotype" w:hAnsi="Palatino Linotype"/>
          <w:bCs/>
          <w:sz w:val="22"/>
          <w:szCs w:val="22"/>
        </w:rPr>
        <w:t xml:space="preserve"> than female students, but about equal numbers take chemistry (</w:t>
      </w:r>
      <w:proofErr w:type="spellStart"/>
      <w:r w:rsidRPr="006C1CB0">
        <w:rPr>
          <w:rFonts w:ascii="Palatino Linotype" w:hAnsi="Palatino Linotype"/>
          <w:bCs/>
          <w:sz w:val="22"/>
          <w:szCs w:val="22"/>
        </w:rPr>
        <w:t>Stokking</w:t>
      </w:r>
      <w:proofErr w:type="spellEnd"/>
      <w:r w:rsidRPr="006C1CB0">
        <w:rPr>
          <w:rFonts w:ascii="Palatino Linotype" w:hAnsi="Palatino Linotype"/>
          <w:bCs/>
          <w:sz w:val="22"/>
          <w:szCs w:val="22"/>
        </w:rPr>
        <w:t>, 2000; Murphy and Whitelegg, 2006; Vidal Rodeiro, 2007)</w:t>
      </w:r>
      <w:r w:rsidR="00F53CE5">
        <w:rPr>
          <w:rFonts w:ascii="Palatino Linotype" w:hAnsi="Palatino Linotype"/>
          <w:bCs/>
          <w:sz w:val="22"/>
          <w:szCs w:val="22"/>
        </w:rPr>
        <w:t xml:space="preserve">.  </w:t>
      </w:r>
      <w:r w:rsidRPr="006C1CB0">
        <w:rPr>
          <w:rFonts w:ascii="Palatino Linotype" w:hAnsi="Palatino Linotype"/>
          <w:bCs/>
          <w:sz w:val="22"/>
          <w:szCs w:val="22"/>
        </w:rPr>
        <w:t xml:space="preserve">Multi-level analysis indicates that the gender difference cannot be explained </w:t>
      </w:r>
      <w:r w:rsidRPr="006C1CB0">
        <w:rPr>
          <w:rFonts w:ascii="Palatino Linotype" w:hAnsi="Palatino Linotype"/>
          <w:bCs/>
          <w:sz w:val="22"/>
          <w:szCs w:val="22"/>
        </w:rPr>
        <w:lastRenderedPageBreak/>
        <w:t>by gender patterns in achievement, as marginally more girls than boys obtain A-C grades in the sciences and mathematics at age 16</w:t>
      </w:r>
      <w:r w:rsidR="00F53CE5">
        <w:rPr>
          <w:rFonts w:ascii="Palatino Linotype" w:hAnsi="Palatino Linotype"/>
          <w:bCs/>
          <w:sz w:val="22"/>
          <w:szCs w:val="22"/>
        </w:rPr>
        <w:t xml:space="preserve">.  </w:t>
      </w:r>
      <w:r w:rsidR="008975ED">
        <w:rPr>
          <w:rFonts w:ascii="Palatino Linotype" w:hAnsi="Palatino Linotype"/>
          <w:bCs/>
          <w:sz w:val="22"/>
          <w:szCs w:val="22"/>
        </w:rPr>
        <w:t>Gill and Bell (2013) explored</w:t>
      </w:r>
      <w:r w:rsidRPr="006C1CB0">
        <w:rPr>
          <w:rFonts w:ascii="Palatino Linotype" w:hAnsi="Palatino Linotype"/>
          <w:bCs/>
          <w:sz w:val="22"/>
          <w:szCs w:val="22"/>
        </w:rPr>
        <w:t xml:space="preserve"> the association between performance and participation</w:t>
      </w:r>
      <w:r w:rsidR="00F53CE5">
        <w:rPr>
          <w:rFonts w:ascii="Palatino Linotype" w:hAnsi="Palatino Linotype"/>
          <w:bCs/>
          <w:sz w:val="22"/>
          <w:szCs w:val="22"/>
        </w:rPr>
        <w:t xml:space="preserve">.  </w:t>
      </w:r>
      <w:r w:rsidRPr="006C1CB0">
        <w:rPr>
          <w:rFonts w:ascii="Palatino Linotype" w:hAnsi="Palatino Linotype"/>
          <w:bCs/>
          <w:sz w:val="22"/>
          <w:szCs w:val="22"/>
        </w:rPr>
        <w:t xml:space="preserve">They found that performance at GCSE at grade B or above is </w:t>
      </w:r>
      <w:r w:rsidR="00823B29">
        <w:rPr>
          <w:rFonts w:ascii="Palatino Linotype" w:hAnsi="Palatino Linotype"/>
          <w:bCs/>
          <w:sz w:val="22"/>
          <w:szCs w:val="22"/>
        </w:rPr>
        <w:t xml:space="preserve">the </w:t>
      </w:r>
      <w:r w:rsidRPr="006C1CB0">
        <w:rPr>
          <w:rFonts w:ascii="Palatino Linotype" w:hAnsi="Palatino Linotype"/>
          <w:bCs/>
          <w:sz w:val="22"/>
          <w:szCs w:val="22"/>
        </w:rPr>
        <w:t>same for both genders but uptake rates for females are much lower, particularly in physics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Males in </w:t>
      </w:r>
      <w:r w:rsidR="00F95042">
        <w:rPr>
          <w:rFonts w:ascii="Palatino Linotype" w:hAnsi="Palatino Linotype"/>
          <w:bCs/>
          <w:sz w:val="22"/>
          <w:szCs w:val="22"/>
        </w:rPr>
        <w:t>co-educational</w:t>
      </w:r>
      <w:r w:rsidRPr="006C1CB0">
        <w:rPr>
          <w:rFonts w:ascii="Palatino Linotype" w:hAnsi="Palatino Linotype"/>
          <w:bCs/>
          <w:sz w:val="22"/>
          <w:szCs w:val="22"/>
        </w:rPr>
        <w:t xml:space="preserve"> schools are more likely to take up physics than their peers in single-sex schools, whereas a larger proportion of </w:t>
      </w:r>
      <w:r w:rsidR="00F95042">
        <w:rPr>
          <w:rFonts w:ascii="Palatino Linotype" w:hAnsi="Palatino Linotype"/>
          <w:bCs/>
          <w:sz w:val="22"/>
          <w:szCs w:val="22"/>
        </w:rPr>
        <w:t>females</w:t>
      </w:r>
      <w:r w:rsidRPr="006C1CB0">
        <w:rPr>
          <w:rFonts w:ascii="Palatino Linotype" w:hAnsi="Palatino Linotype"/>
          <w:bCs/>
          <w:sz w:val="22"/>
          <w:szCs w:val="22"/>
        </w:rPr>
        <w:t xml:space="preserve"> from all-girls schools</w:t>
      </w:r>
      <w:r w:rsidR="00F95042">
        <w:rPr>
          <w:rFonts w:ascii="Palatino Linotype" w:hAnsi="Palatino Linotype"/>
          <w:bCs/>
          <w:sz w:val="22"/>
          <w:szCs w:val="22"/>
        </w:rPr>
        <w:t>, rather than</w:t>
      </w:r>
      <w:r w:rsidRPr="006C1CB0">
        <w:rPr>
          <w:rFonts w:ascii="Palatino Linotype" w:hAnsi="Palatino Linotype"/>
          <w:bCs/>
          <w:sz w:val="22"/>
          <w:szCs w:val="22"/>
        </w:rPr>
        <w:t xml:space="preserve"> </w:t>
      </w:r>
      <w:r w:rsidR="00F95042">
        <w:rPr>
          <w:rFonts w:ascii="Palatino Linotype" w:hAnsi="Palatino Linotype"/>
          <w:bCs/>
          <w:sz w:val="22"/>
          <w:szCs w:val="22"/>
        </w:rPr>
        <w:t>co-educational</w:t>
      </w:r>
      <w:r w:rsidRPr="006C1CB0">
        <w:rPr>
          <w:rFonts w:ascii="Palatino Linotype" w:hAnsi="Palatino Linotype"/>
          <w:bCs/>
          <w:sz w:val="22"/>
          <w:szCs w:val="22"/>
        </w:rPr>
        <w:t xml:space="preserve"> schools</w:t>
      </w:r>
      <w:r w:rsidR="00F53CE5">
        <w:rPr>
          <w:rFonts w:ascii="Palatino Linotype" w:hAnsi="Palatino Linotype"/>
          <w:bCs/>
          <w:sz w:val="22"/>
          <w:szCs w:val="22"/>
        </w:rPr>
        <w:t>,</w:t>
      </w:r>
      <w:r w:rsidRPr="006C1CB0">
        <w:rPr>
          <w:rFonts w:ascii="Palatino Linotype" w:hAnsi="Palatino Linotype"/>
          <w:bCs/>
          <w:sz w:val="22"/>
          <w:szCs w:val="22"/>
        </w:rPr>
        <w:t xml:space="preserve"> opt for A-level physics</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lang w:val="en-US"/>
        </w:rPr>
      </w:pPr>
      <w:proofErr w:type="spellStart"/>
      <w:r w:rsidRPr="006C1CB0">
        <w:rPr>
          <w:rFonts w:ascii="Palatino Linotype" w:hAnsi="Palatino Linotype"/>
          <w:bCs/>
          <w:sz w:val="22"/>
          <w:szCs w:val="22"/>
        </w:rPr>
        <w:t>Mujtaba</w:t>
      </w:r>
      <w:proofErr w:type="spellEnd"/>
      <w:r w:rsidRPr="006C1CB0">
        <w:rPr>
          <w:rFonts w:ascii="Palatino Linotype" w:hAnsi="Palatino Linotype"/>
          <w:bCs/>
          <w:sz w:val="22"/>
          <w:szCs w:val="22"/>
        </w:rPr>
        <w:t xml:space="preserve"> and Reiss</w:t>
      </w:r>
      <w:r w:rsidRPr="006C1CB0">
        <w:rPr>
          <w:rFonts w:ascii="Palatino Linotype" w:hAnsi="Palatino Linotype"/>
          <w:bCs/>
          <w:sz w:val="22"/>
          <w:szCs w:val="22"/>
          <w:lang w:val="en-US"/>
        </w:rPr>
        <w:t xml:space="preserve"> (in press) found that girls are less likely than boys to be encouraged to study physics post-16 by teachers, family and fri</w:t>
      </w:r>
      <w:r w:rsidR="008975ED">
        <w:rPr>
          <w:rFonts w:ascii="Palatino Linotype" w:hAnsi="Palatino Linotype"/>
          <w:bCs/>
          <w:sz w:val="22"/>
          <w:szCs w:val="22"/>
          <w:lang w:val="en-US"/>
        </w:rPr>
        <w:t>ends</w:t>
      </w:r>
      <w:r w:rsidR="00F53CE5">
        <w:rPr>
          <w:rFonts w:ascii="Palatino Linotype" w:hAnsi="Palatino Linotype"/>
          <w:bCs/>
          <w:sz w:val="22"/>
          <w:szCs w:val="22"/>
          <w:lang w:val="en-US"/>
        </w:rPr>
        <w:t xml:space="preserve">.  </w:t>
      </w:r>
      <w:r w:rsidR="008975ED">
        <w:rPr>
          <w:rFonts w:ascii="Palatino Linotype" w:hAnsi="Palatino Linotype"/>
          <w:bCs/>
          <w:sz w:val="22"/>
          <w:szCs w:val="22"/>
          <w:lang w:val="en-US"/>
        </w:rPr>
        <w:t>Compared with girls who d</w:t>
      </w:r>
      <w:r w:rsidRPr="006C1CB0">
        <w:rPr>
          <w:rFonts w:ascii="Palatino Linotype" w:hAnsi="Palatino Linotype"/>
          <w:bCs/>
          <w:sz w:val="22"/>
          <w:szCs w:val="22"/>
          <w:lang w:val="en-US"/>
        </w:rPr>
        <w:t xml:space="preserve">o not intend to study physics beyond the compulsory period, the small sub-set of girls who are planning to take physics are characterised </w:t>
      </w:r>
      <w:r w:rsidR="00823B29">
        <w:rPr>
          <w:rFonts w:ascii="Palatino Linotype" w:hAnsi="Palatino Linotype"/>
          <w:bCs/>
          <w:sz w:val="22"/>
          <w:szCs w:val="22"/>
          <w:lang w:val="en-US"/>
        </w:rPr>
        <w:t xml:space="preserve">by </w:t>
      </w:r>
      <w:r w:rsidRPr="006C1CB0">
        <w:rPr>
          <w:rFonts w:ascii="Palatino Linotype" w:hAnsi="Palatino Linotype"/>
          <w:bCs/>
          <w:sz w:val="22"/>
          <w:szCs w:val="22"/>
          <w:lang w:val="en-US"/>
        </w:rPr>
        <w:t>higher levels of extrinsic motivation to physics and more positive perceptions of physics teachers and lessons.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lang w:val="en-US"/>
        </w:rPr>
      </w:pPr>
    </w:p>
    <w:p w:rsid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In mathematics, a clear picture emerges of female students typically being far less confident in their abilities in mathematics and therefore viewing the subject less positivel</w:t>
      </w:r>
      <w:r w:rsidR="008975ED">
        <w:rPr>
          <w:rFonts w:ascii="Palatino Linotype" w:hAnsi="Palatino Linotype"/>
          <w:bCs/>
          <w:sz w:val="22"/>
          <w:szCs w:val="22"/>
        </w:rPr>
        <w:t xml:space="preserve">y than their male counterparts </w:t>
      </w:r>
      <w:r w:rsidRPr="006C1CB0">
        <w:rPr>
          <w:rFonts w:ascii="Palatino Linotype" w:hAnsi="Palatino Linotype"/>
          <w:bCs/>
          <w:sz w:val="22"/>
          <w:szCs w:val="22"/>
        </w:rPr>
        <w:t>(</w:t>
      </w:r>
      <w:proofErr w:type="spellStart"/>
      <w:r w:rsidRPr="006C1CB0">
        <w:rPr>
          <w:rFonts w:ascii="Palatino Linotype" w:hAnsi="Palatino Linotype"/>
          <w:bCs/>
          <w:sz w:val="22"/>
          <w:szCs w:val="22"/>
        </w:rPr>
        <w:t>Nardi</w:t>
      </w:r>
      <w:proofErr w:type="spellEnd"/>
      <w:r w:rsidRPr="006C1CB0">
        <w:rPr>
          <w:rFonts w:ascii="Palatino Linotype" w:hAnsi="Palatino Linotype"/>
          <w:bCs/>
          <w:sz w:val="22"/>
          <w:szCs w:val="22"/>
        </w:rPr>
        <w:t xml:space="preserve"> and Steward, 2003; Kyriacou and Goulding, 2006; Brown </w:t>
      </w:r>
      <w:r w:rsidRPr="006C1CB0">
        <w:rPr>
          <w:rFonts w:ascii="Palatino Linotype" w:hAnsi="Palatino Linotype"/>
          <w:bCs/>
          <w:i/>
          <w:sz w:val="22"/>
          <w:szCs w:val="22"/>
        </w:rPr>
        <w:t>et al</w:t>
      </w:r>
      <w:r w:rsidRPr="006C1CB0">
        <w:rPr>
          <w:rFonts w:ascii="Palatino Linotype" w:hAnsi="Palatino Linotype"/>
          <w:bCs/>
          <w:sz w:val="22"/>
          <w:szCs w:val="22"/>
        </w:rPr>
        <w:t>., 2007)</w:t>
      </w:r>
      <w:r w:rsidR="00F53CE5">
        <w:rPr>
          <w:rFonts w:ascii="Palatino Linotype" w:hAnsi="Palatino Linotype"/>
          <w:bCs/>
          <w:sz w:val="22"/>
          <w:szCs w:val="22"/>
        </w:rPr>
        <w:t xml:space="preserve">.  </w:t>
      </w:r>
      <w:r w:rsidRPr="006C1CB0">
        <w:rPr>
          <w:rFonts w:ascii="Palatino Linotype" w:hAnsi="Palatino Linotype"/>
          <w:bCs/>
          <w:sz w:val="22"/>
          <w:szCs w:val="22"/>
        </w:rPr>
        <w:t xml:space="preserve">Both </w:t>
      </w:r>
      <w:proofErr w:type="spellStart"/>
      <w:r w:rsidRPr="006C1CB0">
        <w:rPr>
          <w:rFonts w:ascii="Palatino Linotype" w:hAnsi="Palatino Linotype"/>
          <w:bCs/>
          <w:sz w:val="22"/>
          <w:szCs w:val="22"/>
        </w:rPr>
        <w:t>Boaler</w:t>
      </w:r>
      <w:proofErr w:type="spellEnd"/>
      <w:r w:rsidRPr="006C1CB0">
        <w:rPr>
          <w:rFonts w:ascii="Palatino Linotype" w:hAnsi="Palatino Linotype"/>
          <w:bCs/>
          <w:sz w:val="22"/>
          <w:szCs w:val="22"/>
        </w:rPr>
        <w:t xml:space="preserve"> (1997) and </w:t>
      </w:r>
      <w:proofErr w:type="spellStart"/>
      <w:r w:rsidRPr="006C1CB0">
        <w:rPr>
          <w:rFonts w:ascii="Palatino Linotype" w:hAnsi="Palatino Linotype"/>
          <w:bCs/>
          <w:sz w:val="22"/>
          <w:szCs w:val="22"/>
        </w:rPr>
        <w:t>Mendick</w:t>
      </w:r>
      <w:proofErr w:type="spellEnd"/>
      <w:r w:rsidRPr="006C1CB0">
        <w:rPr>
          <w:rFonts w:ascii="Palatino Linotype" w:hAnsi="Palatino Linotype"/>
          <w:bCs/>
          <w:sz w:val="22"/>
          <w:szCs w:val="22"/>
        </w:rPr>
        <w:t xml:space="preserve"> (2006) comment on the ways in which schools unwittingly make it more difficult for girls to believe they are succeeding at mathematics even when all the evidence suggests that they are.</w:t>
      </w:r>
    </w:p>
    <w:p w:rsidR="00CD1E6E" w:rsidRDefault="00CD1E6E" w:rsidP="00D9487D">
      <w:pPr>
        <w:tabs>
          <w:tab w:val="clear" w:pos="567"/>
          <w:tab w:val="left" w:pos="720"/>
        </w:tabs>
        <w:spacing w:line="240" w:lineRule="auto"/>
        <w:jc w:val="both"/>
        <w:rPr>
          <w:rFonts w:ascii="Palatino Linotype" w:hAnsi="Palatino Linotype"/>
          <w:bCs/>
          <w:sz w:val="22"/>
          <w:szCs w:val="22"/>
        </w:rPr>
      </w:pPr>
    </w:p>
    <w:p w:rsidR="00CD1E6E" w:rsidRPr="00996339" w:rsidRDefault="0099633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3.3.4</w:t>
      </w:r>
      <w:r w:rsidR="00CD1E6E" w:rsidRPr="00996339">
        <w:rPr>
          <w:rFonts w:ascii="Palatino Linotype" w:hAnsi="Palatino Linotype"/>
          <w:bCs/>
          <w:i/>
          <w:sz w:val="22"/>
          <w:szCs w:val="22"/>
        </w:rPr>
        <w:tab/>
        <w:t>Family effects</w:t>
      </w:r>
    </w:p>
    <w:p w:rsidR="006C1CB0" w:rsidRPr="00996339" w:rsidRDefault="006C1CB0" w:rsidP="00D9487D">
      <w:pPr>
        <w:tabs>
          <w:tab w:val="clear" w:pos="567"/>
          <w:tab w:val="left" w:pos="720"/>
        </w:tabs>
        <w:spacing w:line="240" w:lineRule="auto"/>
        <w:jc w:val="both"/>
        <w:rPr>
          <w:rFonts w:ascii="Palatino Linotype" w:hAnsi="Palatino Linotype"/>
          <w:bCs/>
          <w:sz w:val="22"/>
          <w:szCs w:val="22"/>
        </w:rPr>
      </w:pPr>
    </w:p>
    <w:p w:rsidR="00CD1E6E" w:rsidRPr="00B47662" w:rsidRDefault="00D526FB" w:rsidP="00D9487D">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Data</w:t>
      </w:r>
      <w:r w:rsidR="00CD1E6E" w:rsidRPr="00996339">
        <w:rPr>
          <w:rFonts w:ascii="Palatino Linotype" w:hAnsi="Palatino Linotype"/>
          <w:bCs/>
          <w:sz w:val="22"/>
          <w:szCs w:val="22"/>
        </w:rPr>
        <w:t xml:space="preserve"> suggest that family effects </w:t>
      </w:r>
      <w:r w:rsidR="00823B29">
        <w:rPr>
          <w:rFonts w:ascii="Palatino Linotype" w:hAnsi="Palatino Linotype"/>
          <w:bCs/>
          <w:sz w:val="22"/>
          <w:szCs w:val="22"/>
        </w:rPr>
        <w:t xml:space="preserve">can </w:t>
      </w:r>
      <w:r w:rsidR="00CD1E6E" w:rsidRPr="00996339">
        <w:rPr>
          <w:rFonts w:ascii="Palatino Linotype" w:hAnsi="Palatino Linotype"/>
          <w:bCs/>
          <w:sz w:val="22"/>
          <w:szCs w:val="22"/>
        </w:rPr>
        <w:t xml:space="preserve">exert a </w:t>
      </w:r>
      <w:r w:rsidR="00823B29">
        <w:rPr>
          <w:rFonts w:ascii="Palatino Linotype" w:hAnsi="Palatino Linotype"/>
          <w:bCs/>
          <w:sz w:val="22"/>
          <w:szCs w:val="22"/>
        </w:rPr>
        <w:t>substantial impact</w:t>
      </w:r>
      <w:r w:rsidR="00CD1E6E" w:rsidRPr="00996339">
        <w:rPr>
          <w:rFonts w:ascii="Palatino Linotype" w:hAnsi="Palatino Linotype"/>
          <w:bCs/>
          <w:sz w:val="22"/>
          <w:szCs w:val="22"/>
        </w:rPr>
        <w:t xml:space="preserve"> on students’ career aspirations</w:t>
      </w:r>
      <w:r w:rsidR="00F53CE5">
        <w:rPr>
          <w:rFonts w:ascii="Palatino Linotype" w:hAnsi="Palatino Linotype"/>
          <w:bCs/>
          <w:sz w:val="22"/>
          <w:szCs w:val="22"/>
        </w:rPr>
        <w:t xml:space="preserve">.  </w:t>
      </w:r>
      <w:r w:rsidR="00A101B2" w:rsidRPr="00996339">
        <w:rPr>
          <w:rFonts w:ascii="Palatino Linotype" w:hAnsi="Palatino Linotype"/>
          <w:bCs/>
          <w:sz w:val="22"/>
          <w:szCs w:val="22"/>
        </w:rPr>
        <w:t xml:space="preserve">For example, </w:t>
      </w:r>
      <w:r w:rsidR="00CD1E6E" w:rsidRPr="00996339">
        <w:rPr>
          <w:rFonts w:ascii="Palatino Linotype" w:hAnsi="Palatino Linotype"/>
          <w:bCs/>
          <w:sz w:val="22"/>
          <w:szCs w:val="22"/>
        </w:rPr>
        <w:t xml:space="preserve">Archer </w:t>
      </w:r>
      <w:r w:rsidR="00CD1E6E" w:rsidRPr="00996339">
        <w:rPr>
          <w:rFonts w:ascii="Palatino Linotype" w:hAnsi="Palatino Linotype"/>
          <w:bCs/>
          <w:i/>
          <w:sz w:val="22"/>
          <w:szCs w:val="22"/>
        </w:rPr>
        <w:t>et al</w:t>
      </w:r>
      <w:r w:rsidR="00CD1E6E" w:rsidRPr="00996339">
        <w:rPr>
          <w:rFonts w:ascii="Palatino Linotype" w:hAnsi="Palatino Linotype"/>
          <w:bCs/>
          <w:sz w:val="22"/>
          <w:szCs w:val="22"/>
        </w:rPr>
        <w:t>.</w:t>
      </w:r>
      <w:r w:rsidR="00A101B2" w:rsidRPr="00996339">
        <w:rPr>
          <w:rFonts w:ascii="Palatino Linotype" w:hAnsi="Palatino Linotype"/>
          <w:bCs/>
          <w:sz w:val="22"/>
          <w:szCs w:val="22"/>
        </w:rPr>
        <w:t xml:space="preserve"> (</w:t>
      </w:r>
      <w:r w:rsidR="00CD1E6E" w:rsidRPr="00996339">
        <w:rPr>
          <w:rFonts w:ascii="Palatino Linotype" w:hAnsi="Palatino Linotype"/>
          <w:bCs/>
          <w:sz w:val="22"/>
          <w:szCs w:val="22"/>
        </w:rPr>
        <w:t>2013)</w:t>
      </w:r>
      <w:r w:rsidR="00A101B2" w:rsidRPr="00996339">
        <w:rPr>
          <w:rFonts w:ascii="Palatino Linotype" w:hAnsi="Palatino Linotype"/>
          <w:bCs/>
          <w:sz w:val="22"/>
          <w:szCs w:val="22"/>
        </w:rPr>
        <w:t xml:space="preserve"> report that 47% of students aged 12-13 say that their family is the main source of influence, compared with 33% citing hobbies and out of school interests, and 25% citing school as the main influence</w:t>
      </w:r>
      <w:r w:rsidR="00F53CE5">
        <w:rPr>
          <w:rFonts w:ascii="Palatino Linotype" w:hAnsi="Palatino Linotype"/>
          <w:bCs/>
          <w:sz w:val="22"/>
          <w:szCs w:val="22"/>
        </w:rPr>
        <w:t xml:space="preserve">.  </w:t>
      </w:r>
      <w:r w:rsidR="00CD1E6E" w:rsidRPr="00996339">
        <w:rPr>
          <w:rFonts w:ascii="Palatino Linotype" w:hAnsi="Palatino Linotype"/>
          <w:bCs/>
          <w:sz w:val="22"/>
          <w:szCs w:val="22"/>
        </w:rPr>
        <w:t xml:space="preserve">Students who </w:t>
      </w:r>
      <w:r w:rsidR="00B47662">
        <w:rPr>
          <w:rFonts w:ascii="Palatino Linotype" w:hAnsi="Palatino Linotype"/>
          <w:bCs/>
          <w:sz w:val="22"/>
          <w:szCs w:val="22"/>
        </w:rPr>
        <w:t>aspire to study</w:t>
      </w:r>
      <w:r w:rsidR="00CD1E6E" w:rsidRPr="00996339">
        <w:rPr>
          <w:rFonts w:ascii="Palatino Linotype" w:hAnsi="Palatino Linotype"/>
          <w:bCs/>
          <w:sz w:val="22"/>
          <w:szCs w:val="22"/>
        </w:rPr>
        <w:t xml:space="preserve"> STEM subjects are more likely to come from </w:t>
      </w:r>
      <w:r w:rsidR="00B47662">
        <w:rPr>
          <w:rFonts w:ascii="Palatino Linotype" w:hAnsi="Palatino Linotype"/>
          <w:bCs/>
          <w:sz w:val="22"/>
          <w:szCs w:val="22"/>
        </w:rPr>
        <w:t>families where there is a high level of ‘science capital’ (</w:t>
      </w:r>
      <w:r w:rsidR="00B47662" w:rsidRPr="00B47662">
        <w:rPr>
          <w:rFonts w:ascii="Palatino Linotype" w:hAnsi="Palatino Linotype"/>
          <w:bCs/>
          <w:sz w:val="22"/>
          <w:szCs w:val="22"/>
        </w:rPr>
        <w:t>Archer</w:t>
      </w:r>
      <w:r w:rsidR="00B47662" w:rsidRPr="00B47662">
        <w:rPr>
          <w:rFonts w:ascii="Palatino Linotype" w:hAnsi="Palatino Linotype"/>
          <w:bCs/>
          <w:i/>
          <w:sz w:val="22"/>
          <w:szCs w:val="22"/>
        </w:rPr>
        <w:t xml:space="preserve"> et al</w:t>
      </w:r>
      <w:r w:rsidR="00B47662">
        <w:rPr>
          <w:rFonts w:ascii="Palatino Linotype" w:hAnsi="Palatino Linotype"/>
          <w:bCs/>
          <w:sz w:val="22"/>
          <w:szCs w:val="22"/>
        </w:rPr>
        <w:t xml:space="preserve">., </w:t>
      </w:r>
      <w:r w:rsidR="00B47662" w:rsidRPr="00B47662">
        <w:rPr>
          <w:rFonts w:ascii="Palatino Linotype" w:hAnsi="Palatino Linotype"/>
          <w:bCs/>
          <w:sz w:val="22"/>
          <w:szCs w:val="22"/>
        </w:rPr>
        <w:t>2013</w:t>
      </w:r>
      <w:r w:rsidR="00B47662">
        <w:rPr>
          <w:rFonts w:ascii="Palatino Linotype" w:hAnsi="Palatino Linotype"/>
          <w:bCs/>
          <w:sz w:val="22"/>
          <w:szCs w:val="22"/>
        </w:rPr>
        <w:t xml:space="preserve">) i.e. from </w:t>
      </w:r>
      <w:r w:rsidR="00CD1E6E" w:rsidRPr="00996339">
        <w:rPr>
          <w:rFonts w:ascii="Palatino Linotype" w:hAnsi="Palatino Linotype"/>
          <w:bCs/>
          <w:sz w:val="22"/>
          <w:szCs w:val="22"/>
        </w:rPr>
        <w:t xml:space="preserve">socially advantaged backgrounds where they have a </w:t>
      </w:r>
      <w:r w:rsidR="00B47662">
        <w:rPr>
          <w:rFonts w:ascii="Palatino Linotype" w:hAnsi="Palatino Linotype"/>
          <w:bCs/>
          <w:sz w:val="22"/>
          <w:szCs w:val="22"/>
        </w:rPr>
        <w:t xml:space="preserve">close </w:t>
      </w:r>
      <w:r w:rsidR="00CD1E6E" w:rsidRPr="00996339">
        <w:rPr>
          <w:rFonts w:ascii="Palatino Linotype" w:hAnsi="Palatino Linotype"/>
          <w:bCs/>
          <w:sz w:val="22"/>
          <w:szCs w:val="22"/>
        </w:rPr>
        <w:t xml:space="preserve">family member or friend </w:t>
      </w:r>
      <w:r w:rsidR="00B47662">
        <w:rPr>
          <w:rFonts w:ascii="Palatino Linotype" w:hAnsi="Palatino Linotype"/>
          <w:bCs/>
          <w:sz w:val="22"/>
          <w:szCs w:val="22"/>
        </w:rPr>
        <w:t>with STEM qualifications and working in STEM-related areas, and science-related leisure interests</w:t>
      </w:r>
      <w:r w:rsidR="00F53CE5">
        <w:rPr>
          <w:rFonts w:ascii="Palatino Linotype" w:hAnsi="Palatino Linotype"/>
          <w:bCs/>
          <w:sz w:val="22"/>
          <w:szCs w:val="22"/>
        </w:rPr>
        <w:t xml:space="preserve">.  </w:t>
      </w:r>
      <w:r w:rsidR="00B47662">
        <w:rPr>
          <w:rFonts w:ascii="Palatino Linotype" w:hAnsi="Palatino Linotype"/>
          <w:bCs/>
          <w:sz w:val="22"/>
          <w:szCs w:val="22"/>
        </w:rPr>
        <w:t>This background helps to create a sense in young people that science is what people like them do, and that careers involving STEM subjects are realistic and attainable ambitions</w:t>
      </w:r>
      <w:r w:rsidR="00F53CE5">
        <w:rPr>
          <w:rFonts w:ascii="Palatino Linotype" w:hAnsi="Palatino Linotype"/>
          <w:bCs/>
          <w:sz w:val="22"/>
          <w:szCs w:val="22"/>
        </w:rPr>
        <w:t xml:space="preserve">.  </w:t>
      </w:r>
    </w:p>
    <w:p w:rsidR="00CD1E6E" w:rsidRPr="00AD1523" w:rsidRDefault="00CD1E6E"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.5</w:t>
      </w:r>
      <w:r w:rsidR="006C1CB0" w:rsidRPr="006C1CB0">
        <w:rPr>
          <w:rFonts w:ascii="Palatino Linotype" w:hAnsi="Palatino Linotype"/>
          <w:bCs/>
          <w:i/>
          <w:sz w:val="22"/>
          <w:szCs w:val="22"/>
        </w:rPr>
        <w:tab/>
        <w:t>Age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Positive attitudes to science decrease between ages 11 and 16, with the sharpest decline taking place between ages 11 to 14 (Bennett and Hogarth, 2009)</w:t>
      </w:r>
      <w:r w:rsidR="00F53CE5">
        <w:rPr>
          <w:rFonts w:ascii="Palatino Linotype" w:hAnsi="Palatino Linotype"/>
          <w:bCs/>
          <w:sz w:val="22"/>
          <w:szCs w:val="22"/>
        </w:rPr>
        <w:t xml:space="preserve">.  </w:t>
      </w:r>
      <w:r w:rsidRPr="006C1CB0">
        <w:rPr>
          <w:rFonts w:ascii="Palatino Linotype" w:hAnsi="Palatino Linotype"/>
          <w:bCs/>
          <w:sz w:val="22"/>
          <w:szCs w:val="22"/>
        </w:rPr>
        <w:t>Within this, physics consistently receives the fewest positive responses, but the decline in interest is sharpest for chemistry, a feature that also emerged in the study by Osborne and Collins (2001)</w:t>
      </w:r>
      <w:r w:rsidR="00F53CE5">
        <w:rPr>
          <w:rFonts w:ascii="Palatino Linotype" w:hAnsi="Palatino Linotype"/>
          <w:bCs/>
          <w:sz w:val="22"/>
          <w:szCs w:val="22"/>
        </w:rPr>
        <w:t xml:space="preserve">.  </w:t>
      </w:r>
      <w:r w:rsidRPr="006C1CB0">
        <w:rPr>
          <w:rFonts w:ascii="Palatino Linotype" w:hAnsi="Palatino Linotype"/>
          <w:bCs/>
          <w:sz w:val="22"/>
          <w:szCs w:val="22"/>
        </w:rPr>
        <w:t xml:space="preserve">Galton </w:t>
      </w:r>
      <w:r w:rsidRPr="006C1CB0">
        <w:rPr>
          <w:rFonts w:ascii="Palatino Linotype" w:hAnsi="Palatino Linotype"/>
          <w:bCs/>
          <w:i/>
          <w:sz w:val="22"/>
          <w:szCs w:val="22"/>
        </w:rPr>
        <w:t>et al</w:t>
      </w:r>
      <w:r w:rsidRPr="006C1CB0">
        <w:rPr>
          <w:rFonts w:ascii="Palatino Linotype" w:hAnsi="Palatino Linotype"/>
          <w:bCs/>
          <w:sz w:val="22"/>
          <w:szCs w:val="22"/>
        </w:rPr>
        <w:t>. (2003) demonstrated that attitudes to science and school science, when compared with mathematics and English, decline most noticeably in the early years of secondary education</w:t>
      </w:r>
      <w:r w:rsidR="00F53CE5">
        <w:rPr>
          <w:rFonts w:ascii="Palatino Linotype" w:hAnsi="Palatino Linotype"/>
          <w:bCs/>
          <w:sz w:val="22"/>
          <w:szCs w:val="22"/>
        </w:rPr>
        <w:t xml:space="preserve">.  </w:t>
      </w:r>
      <w:r w:rsidRPr="006C1CB0">
        <w:rPr>
          <w:rFonts w:ascii="Palatino Linotype" w:hAnsi="Palatino Linotype"/>
          <w:bCs/>
          <w:sz w:val="22"/>
          <w:szCs w:val="22"/>
        </w:rPr>
        <w:t>Hutchi</w:t>
      </w:r>
      <w:r w:rsidR="00F95042">
        <w:rPr>
          <w:rFonts w:ascii="Palatino Linotype" w:hAnsi="Palatino Linotype"/>
          <w:bCs/>
          <w:sz w:val="22"/>
          <w:szCs w:val="22"/>
        </w:rPr>
        <w:t>nson and Bentley (2011) report</w:t>
      </w:r>
      <w:r w:rsidRPr="006C1CB0">
        <w:rPr>
          <w:rFonts w:ascii="Palatino Linotype" w:hAnsi="Palatino Linotype"/>
          <w:bCs/>
          <w:sz w:val="22"/>
          <w:szCs w:val="22"/>
        </w:rPr>
        <w:t xml:space="preserve"> ease and enjoyment of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declining from age 11-12 to age 13-14, with mathematics showing the biggest de</w:t>
      </w:r>
      <w:r w:rsidR="008975ED">
        <w:rPr>
          <w:rFonts w:ascii="Palatino Linotype" w:hAnsi="Palatino Linotype"/>
          <w:bCs/>
          <w:sz w:val="22"/>
          <w:szCs w:val="22"/>
        </w:rPr>
        <w:t>cline of any school subject</w:t>
      </w:r>
      <w:r w:rsidR="00F53CE5">
        <w:rPr>
          <w:rFonts w:ascii="Palatino Linotype" w:hAnsi="Palatino Linotype"/>
          <w:bCs/>
          <w:sz w:val="22"/>
          <w:szCs w:val="22"/>
        </w:rPr>
        <w:t xml:space="preserve">.  </w:t>
      </w:r>
      <w:r w:rsidRPr="006C1CB0">
        <w:rPr>
          <w:rFonts w:ascii="Palatino Linotype" w:hAnsi="Palatino Linotype"/>
          <w:bCs/>
          <w:sz w:val="22"/>
          <w:szCs w:val="22"/>
        </w:rPr>
        <w:t>These findings point to the early years of secondary education as being particularly crucial in shaping attitudes.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.6</w:t>
      </w:r>
      <w:r w:rsidR="006C1CB0" w:rsidRPr="006C1CB0">
        <w:rPr>
          <w:rFonts w:ascii="Palatino Linotype" w:hAnsi="Palatino Linotype"/>
          <w:bCs/>
          <w:i/>
          <w:sz w:val="22"/>
          <w:szCs w:val="22"/>
        </w:rPr>
        <w:tab/>
        <w:t>Ability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roofErr w:type="spellStart"/>
      <w:r w:rsidRPr="006C1CB0">
        <w:rPr>
          <w:rFonts w:ascii="Palatino Linotype" w:hAnsi="Palatino Linotype"/>
          <w:bCs/>
          <w:sz w:val="22"/>
          <w:szCs w:val="22"/>
        </w:rPr>
        <w:t>Tripney</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xml:space="preserve">. (2010) report that young people with higher prior levels of attainment are more likely than those with lower levels of prior attainment to choose </w:t>
      </w:r>
      <w:r w:rsidR="00BC353A">
        <w:rPr>
          <w:rFonts w:ascii="Palatino Linotype" w:hAnsi="Palatino Linotype"/>
          <w:bCs/>
          <w:sz w:val="22"/>
          <w:szCs w:val="22"/>
        </w:rPr>
        <w:t>mathematics and science</w:t>
      </w:r>
      <w:r w:rsidRPr="006C1CB0">
        <w:rPr>
          <w:rFonts w:ascii="Palatino Linotype" w:hAnsi="Palatino Linotype"/>
          <w:bCs/>
          <w:sz w:val="22"/>
          <w:szCs w:val="22"/>
        </w:rPr>
        <w:t>.</w:t>
      </w:r>
      <w:r w:rsidR="00FB0721">
        <w:rPr>
          <w:rFonts w:ascii="Palatino Linotype" w:hAnsi="Palatino Linotype"/>
          <w:bCs/>
          <w:sz w:val="22"/>
          <w:szCs w:val="22"/>
        </w:rPr>
        <w:t xml:space="preserve"> </w:t>
      </w:r>
      <w:r w:rsidRPr="006C1CB0">
        <w:rPr>
          <w:rFonts w:ascii="Palatino Linotype" w:hAnsi="Palatino Linotype"/>
          <w:bCs/>
          <w:sz w:val="22"/>
          <w:szCs w:val="22"/>
        </w:rPr>
        <w:t xml:space="preserve"> Vidal Rodeiro (2007) established that more able students are more likely to take physical science subjects post-16, a finding confirmed by Gill and Bell (2013) who found that students were more likely to choose to take physics if they achieve their best GCSE marks in physics and mathematics.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A particular phenomenon that appears to be unique to mathematics is the group termed by Matthews and Pepper (2005) as the elite ‘clever core’, whose existence tends to polarise attitudes to mathematics</w:t>
      </w:r>
      <w:r w:rsidR="00F53CE5">
        <w:rPr>
          <w:rFonts w:ascii="Palatino Linotype" w:hAnsi="Palatino Linotype"/>
          <w:bCs/>
          <w:sz w:val="22"/>
          <w:szCs w:val="22"/>
        </w:rPr>
        <w:t xml:space="preserve">.  </w:t>
      </w:r>
      <w:r w:rsidRPr="006C1CB0">
        <w:rPr>
          <w:rFonts w:ascii="Palatino Linotype" w:hAnsi="Palatino Linotype"/>
          <w:bCs/>
          <w:sz w:val="22"/>
          <w:szCs w:val="22"/>
        </w:rPr>
        <w:t>The majority of students do not feel they are good enough at mathematics to study it beyond the compulsory period</w:t>
      </w:r>
      <w:r w:rsidR="00F53CE5">
        <w:rPr>
          <w:rFonts w:ascii="Palatino Linotype" w:hAnsi="Palatino Linotype"/>
          <w:bCs/>
          <w:sz w:val="22"/>
          <w:szCs w:val="22"/>
        </w:rPr>
        <w:t xml:space="preserve">.  </w:t>
      </w:r>
      <w:r w:rsidRPr="006C1CB0">
        <w:rPr>
          <w:rFonts w:ascii="Palatino Linotype" w:hAnsi="Palatino Linotype"/>
          <w:bCs/>
          <w:sz w:val="22"/>
          <w:szCs w:val="22"/>
        </w:rPr>
        <w:t>In contrast, students in the ‘clever core’ see themselves as capable mathematicians and do not see mathematics as irrelevant or difficult; rather they enjoy the subject and appreciate its logic and ability to solve problems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The notion of the clever core has its parallels in the work of Brown </w:t>
      </w:r>
      <w:r w:rsidRPr="006C1CB0">
        <w:rPr>
          <w:rFonts w:ascii="Palatino Linotype" w:hAnsi="Palatino Linotype"/>
          <w:bCs/>
          <w:i/>
          <w:sz w:val="22"/>
          <w:szCs w:val="22"/>
        </w:rPr>
        <w:t>et al</w:t>
      </w:r>
      <w:r w:rsidRPr="006C1CB0">
        <w:rPr>
          <w:rFonts w:ascii="Palatino Linotype" w:hAnsi="Palatino Linotype"/>
          <w:bCs/>
          <w:sz w:val="22"/>
          <w:szCs w:val="22"/>
        </w:rPr>
        <w:t>. (2008), where many students’ attitudes were influenced by their perception of mathematics as a subject with a ‘fixed ceiling’ of understanding beyond which it was not possible for them to progress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Mathews and Pepper (2005), and Brown </w:t>
      </w:r>
      <w:r w:rsidRPr="006C1CB0">
        <w:rPr>
          <w:rFonts w:ascii="Palatino Linotype" w:hAnsi="Palatino Linotype"/>
          <w:bCs/>
          <w:i/>
          <w:sz w:val="22"/>
          <w:szCs w:val="22"/>
        </w:rPr>
        <w:t>et al</w:t>
      </w:r>
      <w:r w:rsidRPr="006C1CB0">
        <w:rPr>
          <w:rFonts w:ascii="Palatino Linotype" w:hAnsi="Palatino Linotype"/>
          <w:bCs/>
          <w:sz w:val="22"/>
          <w:szCs w:val="22"/>
        </w:rPr>
        <w:t>. (2008) recommend exploring the introduction of two-tier provision post-16, with one of the tiers targeting students at the level below the clever core.</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99633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3.3.7</w:t>
      </w:r>
      <w:r w:rsidR="006C1CB0" w:rsidRPr="006C1CB0">
        <w:rPr>
          <w:rFonts w:ascii="Palatino Linotype" w:hAnsi="Palatino Linotype"/>
          <w:bCs/>
          <w:i/>
          <w:sz w:val="22"/>
          <w:szCs w:val="22"/>
        </w:rPr>
        <w:tab/>
        <w:t>Responses to STEM subjects as experienced in school</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523FF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 xml:space="preserve">There is little doubt that, despite a range of initiatives over a period of several decades,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a</w:t>
      </w:r>
      <w:r w:rsidR="008975ED">
        <w:rPr>
          <w:rFonts w:ascii="Palatino Linotype" w:hAnsi="Palatino Linotype"/>
          <w:bCs/>
          <w:sz w:val="22"/>
          <w:szCs w:val="22"/>
        </w:rPr>
        <w:t>s</w:t>
      </w:r>
      <w:r w:rsidRPr="006C1CB0">
        <w:rPr>
          <w:rFonts w:ascii="Palatino Linotype" w:hAnsi="Palatino Linotype"/>
          <w:bCs/>
          <w:sz w:val="22"/>
          <w:szCs w:val="22"/>
        </w:rPr>
        <w:t xml:space="preserve"> taught in schools continue </w:t>
      </w:r>
      <w:r w:rsidR="00215443">
        <w:rPr>
          <w:rFonts w:ascii="Palatino Linotype" w:hAnsi="Palatino Linotype"/>
          <w:bCs/>
          <w:sz w:val="22"/>
          <w:szCs w:val="22"/>
        </w:rPr>
        <w:t xml:space="preserve">to lack </w:t>
      </w:r>
      <w:r w:rsidR="00523FF0">
        <w:rPr>
          <w:rFonts w:ascii="Palatino Linotype" w:hAnsi="Palatino Linotype"/>
          <w:bCs/>
          <w:sz w:val="22"/>
          <w:szCs w:val="22"/>
        </w:rPr>
        <w:t xml:space="preserve">sufficient </w:t>
      </w:r>
      <w:r w:rsidR="00215443">
        <w:rPr>
          <w:rFonts w:ascii="Palatino Linotype" w:hAnsi="Palatino Linotype"/>
          <w:bCs/>
          <w:sz w:val="22"/>
          <w:szCs w:val="22"/>
        </w:rPr>
        <w:t>appeal for</w:t>
      </w:r>
      <w:r w:rsidR="00523FF0">
        <w:rPr>
          <w:rFonts w:ascii="Palatino Linotype" w:hAnsi="Palatino Linotype"/>
          <w:bCs/>
          <w:sz w:val="22"/>
          <w:szCs w:val="22"/>
        </w:rPr>
        <w:t xml:space="preserve"> many young people to the point </w:t>
      </w:r>
      <w:r w:rsidR="00823B29">
        <w:rPr>
          <w:rFonts w:ascii="Palatino Linotype" w:hAnsi="Palatino Linotype"/>
          <w:bCs/>
          <w:sz w:val="22"/>
          <w:szCs w:val="22"/>
        </w:rPr>
        <w:t>that they choose to study</w:t>
      </w:r>
      <w:r w:rsidR="008975ED">
        <w:rPr>
          <w:rFonts w:ascii="Palatino Linotype" w:hAnsi="Palatino Linotype"/>
          <w:bCs/>
          <w:sz w:val="22"/>
          <w:szCs w:val="22"/>
        </w:rPr>
        <w:t xml:space="preserve"> the subjects beyond the compulsory period</w:t>
      </w:r>
      <w:r w:rsidR="00F53CE5">
        <w:rPr>
          <w:rFonts w:ascii="Palatino Linotype" w:hAnsi="Palatino Linotype"/>
          <w:bCs/>
          <w:sz w:val="22"/>
          <w:szCs w:val="22"/>
        </w:rPr>
        <w:t xml:space="preserve">.  </w:t>
      </w:r>
    </w:p>
    <w:p w:rsidR="00523FF0" w:rsidRDefault="00523FF0" w:rsidP="00D9487D">
      <w:pPr>
        <w:tabs>
          <w:tab w:val="clear" w:pos="567"/>
          <w:tab w:val="left" w:pos="720"/>
        </w:tabs>
        <w:spacing w:line="240" w:lineRule="auto"/>
        <w:jc w:val="both"/>
        <w:rPr>
          <w:rFonts w:ascii="Palatino Linotype" w:hAnsi="Palatino Linotype"/>
          <w:bCs/>
          <w:sz w:val="22"/>
          <w:szCs w:val="22"/>
        </w:rPr>
      </w:pPr>
    </w:p>
    <w:p w:rsid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The evidence on level</w:t>
      </w:r>
      <w:r w:rsidR="008975ED">
        <w:rPr>
          <w:rFonts w:ascii="Palatino Linotype" w:hAnsi="Palatino Linotype"/>
          <w:bCs/>
          <w:sz w:val="22"/>
          <w:szCs w:val="22"/>
        </w:rPr>
        <w:t>s of in</w:t>
      </w:r>
      <w:r w:rsidR="00226552">
        <w:rPr>
          <w:rFonts w:ascii="Palatino Linotype" w:hAnsi="Palatino Linotype"/>
          <w:bCs/>
          <w:sz w:val="22"/>
          <w:szCs w:val="22"/>
        </w:rPr>
        <w:t>terest is mixed</w:t>
      </w:r>
      <w:r w:rsidR="00F53CE5">
        <w:rPr>
          <w:rFonts w:ascii="Palatino Linotype" w:hAnsi="Palatino Linotype"/>
          <w:bCs/>
          <w:sz w:val="22"/>
          <w:szCs w:val="22"/>
        </w:rPr>
        <w:t xml:space="preserve">.  </w:t>
      </w:r>
      <w:r w:rsidR="00226552">
        <w:rPr>
          <w:rFonts w:ascii="Palatino Linotype" w:hAnsi="Palatino Linotype"/>
          <w:bCs/>
          <w:sz w:val="22"/>
          <w:szCs w:val="22"/>
        </w:rPr>
        <w:t>The most positive responses are reported in</w:t>
      </w:r>
      <w:r w:rsidRPr="006C1CB0">
        <w:rPr>
          <w:rFonts w:ascii="Palatino Linotype" w:hAnsi="Palatino Linotype"/>
          <w:bCs/>
          <w:sz w:val="22"/>
          <w:szCs w:val="22"/>
        </w:rPr>
        <w:t xml:space="preserve"> the recent Wellcome Trust Monitor surveys (Butt </w:t>
      </w:r>
      <w:r w:rsidRPr="006C1CB0">
        <w:rPr>
          <w:rFonts w:ascii="Palatino Linotype" w:hAnsi="Palatino Linotype"/>
          <w:bCs/>
          <w:i/>
          <w:sz w:val="22"/>
          <w:szCs w:val="22"/>
        </w:rPr>
        <w:t>et al</w:t>
      </w:r>
      <w:r w:rsidRPr="006C1CB0">
        <w:rPr>
          <w:rFonts w:ascii="Palatino Linotype" w:hAnsi="Palatino Linotype"/>
          <w:bCs/>
          <w:sz w:val="22"/>
          <w:szCs w:val="22"/>
        </w:rPr>
        <w:t xml:space="preserve">., 2013; </w:t>
      </w:r>
      <w:proofErr w:type="spellStart"/>
      <w:r w:rsidRPr="006C1CB0">
        <w:rPr>
          <w:rFonts w:ascii="Palatino Linotype" w:hAnsi="Palatino Linotype"/>
          <w:bCs/>
          <w:sz w:val="22"/>
          <w:szCs w:val="22"/>
        </w:rPr>
        <w:t>Clemence</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00226552">
        <w:rPr>
          <w:rFonts w:ascii="Palatino Linotype" w:hAnsi="Palatino Linotype"/>
          <w:bCs/>
          <w:sz w:val="22"/>
          <w:szCs w:val="22"/>
        </w:rPr>
        <w:t xml:space="preserve">., 2013), </w:t>
      </w:r>
      <w:r w:rsidR="00823B29">
        <w:rPr>
          <w:rFonts w:ascii="Palatino Linotype" w:hAnsi="Palatino Linotype"/>
          <w:bCs/>
          <w:sz w:val="22"/>
          <w:szCs w:val="22"/>
        </w:rPr>
        <w:t>in which</w:t>
      </w:r>
      <w:r w:rsidRPr="006C1CB0">
        <w:rPr>
          <w:rFonts w:ascii="Palatino Linotype" w:hAnsi="Palatino Linotype"/>
          <w:bCs/>
          <w:sz w:val="22"/>
          <w:szCs w:val="22"/>
        </w:rPr>
        <w:t xml:space="preserve"> 80% of young people report finding science lessons fairly interesting or very interesting, and over half report finding science lessons more interesting than E</w:t>
      </w:r>
      <w:r w:rsidR="00226552">
        <w:rPr>
          <w:rFonts w:ascii="Palatino Linotype" w:hAnsi="Palatino Linotype"/>
          <w:bCs/>
          <w:sz w:val="22"/>
          <w:szCs w:val="22"/>
        </w:rPr>
        <w:t>nglish or mathematics lessons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Similarly, the National Audit Office (2008) report the majority of students aged 12-13 to be positive about mathematics and find their </w:t>
      </w:r>
      <w:r w:rsidR="003862A2">
        <w:rPr>
          <w:rFonts w:ascii="Palatino Linotype" w:hAnsi="Palatino Linotype"/>
          <w:bCs/>
          <w:sz w:val="22"/>
          <w:szCs w:val="22"/>
        </w:rPr>
        <w:t>mathematics</w:t>
      </w:r>
      <w:r w:rsidRPr="006C1CB0">
        <w:rPr>
          <w:rFonts w:ascii="Palatino Linotype" w:hAnsi="Palatino Linotype"/>
          <w:bCs/>
          <w:sz w:val="22"/>
          <w:szCs w:val="22"/>
        </w:rPr>
        <w:t xml:space="preserve"> lessons enjoyable.</w:t>
      </w:r>
      <w:r w:rsidR="00FB0721">
        <w:rPr>
          <w:rFonts w:ascii="Palatino Linotype" w:hAnsi="Palatino Linotype"/>
          <w:bCs/>
          <w:sz w:val="22"/>
          <w:szCs w:val="22"/>
        </w:rPr>
        <w:t xml:space="preserve"> </w:t>
      </w:r>
      <w:r w:rsidRPr="006C1CB0">
        <w:rPr>
          <w:rFonts w:ascii="Palatino Linotype" w:hAnsi="Palatino Linotype"/>
          <w:bCs/>
          <w:sz w:val="22"/>
          <w:szCs w:val="22"/>
        </w:rPr>
        <w:t xml:space="preserve"> However, a later study by the National Audit Office (2010) notes young people’s enjoyment, interest and motivation to pursue the study of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in the UK has declined in international comparisons undertaken between 2003 and 2007</w:t>
      </w:r>
      <w:r w:rsidR="00F53CE5">
        <w:rPr>
          <w:rFonts w:ascii="Palatino Linotype" w:hAnsi="Palatino Linotype"/>
          <w:bCs/>
          <w:sz w:val="22"/>
          <w:szCs w:val="22"/>
        </w:rPr>
        <w:t xml:space="preserve">.  </w:t>
      </w:r>
      <w:r w:rsidR="002E7578">
        <w:rPr>
          <w:rFonts w:ascii="Palatino Linotype" w:hAnsi="Palatino Linotype"/>
          <w:bCs/>
          <w:sz w:val="22"/>
          <w:szCs w:val="22"/>
        </w:rPr>
        <w:t>Straw and MacLeod (2013) also note that interest appears to decline across the period of secondary schooling</w:t>
      </w:r>
      <w:r w:rsidR="00F53CE5">
        <w:rPr>
          <w:rFonts w:ascii="Palatino Linotype" w:hAnsi="Palatino Linotype"/>
          <w:bCs/>
          <w:sz w:val="22"/>
          <w:szCs w:val="22"/>
        </w:rPr>
        <w:t xml:space="preserve">.  </w:t>
      </w:r>
      <w:r w:rsidRPr="006C1CB0">
        <w:rPr>
          <w:rFonts w:ascii="Palatino Linotype" w:hAnsi="Palatino Linotype"/>
          <w:bCs/>
          <w:sz w:val="22"/>
          <w:szCs w:val="22"/>
        </w:rPr>
        <w:t>The Relevance of Science Education (ROSE) international study (</w:t>
      </w:r>
      <w:proofErr w:type="spellStart"/>
      <w:r w:rsidRPr="006C1CB0">
        <w:rPr>
          <w:rFonts w:ascii="Palatino Linotype" w:hAnsi="Palatino Linotype"/>
          <w:bCs/>
          <w:sz w:val="22"/>
          <w:szCs w:val="22"/>
        </w:rPr>
        <w:t>Sjøberg</w:t>
      </w:r>
      <w:proofErr w:type="spellEnd"/>
      <w:r w:rsidRPr="006C1CB0">
        <w:rPr>
          <w:rFonts w:ascii="Palatino Linotype" w:hAnsi="Palatino Linotype"/>
          <w:bCs/>
          <w:sz w:val="22"/>
          <w:szCs w:val="22"/>
        </w:rPr>
        <w:t xml:space="preserve"> and Schreiner, 2010) reports that school science is seen by students as less interesting than most other subjects, not pointing in the direction of exciting jobs and careers, not increasing curiosity, and not making students feel that science and technology play an important role in everyday life</w:t>
      </w:r>
      <w:r w:rsidR="00F53CE5">
        <w:rPr>
          <w:rFonts w:ascii="Palatino Linotype" w:hAnsi="Palatino Linotype"/>
          <w:bCs/>
          <w:sz w:val="22"/>
          <w:szCs w:val="22"/>
        </w:rPr>
        <w:t xml:space="preserve">.  </w:t>
      </w:r>
      <w:r w:rsidR="00F15EF6">
        <w:rPr>
          <w:rFonts w:ascii="Palatino Linotype" w:hAnsi="Palatino Linotype"/>
          <w:bCs/>
          <w:sz w:val="22"/>
          <w:szCs w:val="22"/>
        </w:rPr>
        <w:t xml:space="preserve">Similar findings emerged from a UK study by </w:t>
      </w:r>
      <w:proofErr w:type="spellStart"/>
      <w:r w:rsidR="00F15EF6">
        <w:rPr>
          <w:rFonts w:ascii="Palatino Linotype" w:hAnsi="Palatino Linotype"/>
          <w:bCs/>
          <w:sz w:val="22"/>
          <w:szCs w:val="22"/>
        </w:rPr>
        <w:t>Mansell</w:t>
      </w:r>
      <w:proofErr w:type="spellEnd"/>
      <w:r w:rsidR="00F15EF6">
        <w:rPr>
          <w:rFonts w:ascii="Palatino Linotype" w:hAnsi="Palatino Linotype"/>
          <w:bCs/>
          <w:sz w:val="22"/>
          <w:szCs w:val="22"/>
        </w:rPr>
        <w:t xml:space="preserve"> (2011)</w:t>
      </w:r>
      <w:r w:rsidR="00F53CE5">
        <w:rPr>
          <w:rFonts w:ascii="Palatino Linotype" w:hAnsi="Palatino Linotype"/>
          <w:bCs/>
          <w:sz w:val="22"/>
          <w:szCs w:val="22"/>
        </w:rPr>
        <w:t xml:space="preserve">.  </w:t>
      </w:r>
      <w:proofErr w:type="spellStart"/>
      <w:r w:rsidR="00F15EF6">
        <w:rPr>
          <w:rFonts w:ascii="Palatino Linotype" w:hAnsi="Palatino Linotype"/>
          <w:bCs/>
          <w:sz w:val="22"/>
          <w:szCs w:val="22"/>
        </w:rPr>
        <w:t>Sjøberg</w:t>
      </w:r>
      <w:proofErr w:type="spellEnd"/>
      <w:r w:rsidR="00F15EF6">
        <w:rPr>
          <w:rFonts w:ascii="Palatino Linotype" w:hAnsi="Palatino Linotype"/>
          <w:bCs/>
          <w:sz w:val="22"/>
          <w:szCs w:val="22"/>
        </w:rPr>
        <w:t xml:space="preserve"> and Schreiner (2010) also</w:t>
      </w:r>
      <w:r w:rsidRPr="006C1CB0">
        <w:rPr>
          <w:rFonts w:ascii="Palatino Linotype" w:hAnsi="Palatino Linotype"/>
          <w:bCs/>
          <w:sz w:val="22"/>
          <w:szCs w:val="22"/>
        </w:rPr>
        <w:t xml:space="preserve"> report t</w:t>
      </w:r>
      <w:r w:rsidR="00F15EF6">
        <w:rPr>
          <w:rFonts w:ascii="Palatino Linotype" w:hAnsi="Palatino Linotype"/>
          <w:bCs/>
          <w:sz w:val="22"/>
          <w:szCs w:val="22"/>
        </w:rPr>
        <w:t>hat the higher the level of development in a country</w:t>
      </w:r>
      <w:r w:rsidRPr="006C1CB0">
        <w:rPr>
          <w:rFonts w:ascii="Palatino Linotype" w:hAnsi="Palatino Linotype"/>
          <w:bCs/>
          <w:sz w:val="22"/>
          <w:szCs w:val="22"/>
        </w:rPr>
        <w:t>, the lower the levels of interest in school science.</w:t>
      </w:r>
      <w:r w:rsidR="00FB0721">
        <w:rPr>
          <w:rFonts w:ascii="Palatino Linotype" w:hAnsi="Palatino Linotype"/>
          <w:bCs/>
          <w:sz w:val="22"/>
          <w:szCs w:val="22"/>
        </w:rPr>
        <w:t xml:space="preserve"> </w:t>
      </w:r>
      <w:r w:rsidR="00226552">
        <w:rPr>
          <w:rFonts w:ascii="Palatino Linotype" w:hAnsi="Palatino Linotype"/>
          <w:bCs/>
          <w:sz w:val="22"/>
          <w:szCs w:val="22"/>
        </w:rPr>
        <w:t xml:space="preserve"> </w:t>
      </w:r>
      <w:r w:rsidR="00823B29">
        <w:rPr>
          <w:rFonts w:ascii="Palatino Linotype" w:hAnsi="Palatino Linotype"/>
          <w:bCs/>
          <w:sz w:val="22"/>
          <w:szCs w:val="22"/>
        </w:rPr>
        <w:t>Much large-scale survey data are limited in that they</w:t>
      </w:r>
      <w:r w:rsidR="00982C1B">
        <w:rPr>
          <w:rFonts w:ascii="Palatino Linotype" w:hAnsi="Palatino Linotype"/>
          <w:bCs/>
          <w:sz w:val="22"/>
          <w:szCs w:val="22"/>
        </w:rPr>
        <w:t xml:space="preserve"> only describes a situation, rather than revealing why, so it is not possible to explain why there are conflicting results from surveys</w:t>
      </w:r>
      <w:r w:rsidR="00F53CE5">
        <w:rPr>
          <w:rFonts w:ascii="Palatino Linotype" w:hAnsi="Palatino Linotype"/>
          <w:bCs/>
          <w:sz w:val="22"/>
          <w:szCs w:val="22"/>
        </w:rPr>
        <w:t xml:space="preserve">.  </w:t>
      </w:r>
      <w:r w:rsidR="00982C1B">
        <w:rPr>
          <w:rFonts w:ascii="Palatino Linotype" w:hAnsi="Palatino Linotype"/>
          <w:bCs/>
          <w:sz w:val="22"/>
          <w:szCs w:val="22"/>
        </w:rPr>
        <w:t xml:space="preserve">However, </w:t>
      </w:r>
      <w:r w:rsidR="009C5B32">
        <w:rPr>
          <w:rFonts w:ascii="Palatino Linotype" w:hAnsi="Palatino Linotype"/>
          <w:bCs/>
          <w:sz w:val="22"/>
          <w:szCs w:val="22"/>
        </w:rPr>
        <w:t xml:space="preserve">the </w:t>
      </w:r>
      <w:r w:rsidR="00982C1B">
        <w:rPr>
          <w:rFonts w:ascii="Palatino Linotype" w:hAnsi="Palatino Linotype"/>
          <w:bCs/>
          <w:sz w:val="22"/>
          <w:szCs w:val="22"/>
        </w:rPr>
        <w:t>levels of post-compulsory participation in STEM subjects</w:t>
      </w:r>
      <w:r w:rsidR="009C5B32">
        <w:rPr>
          <w:rFonts w:ascii="Palatino Linotype" w:hAnsi="Palatino Linotype"/>
          <w:bCs/>
          <w:sz w:val="22"/>
          <w:szCs w:val="22"/>
        </w:rPr>
        <w:t xml:space="preserve"> suggest that, whatever levels of interest are declared by young people, this is </w:t>
      </w:r>
      <w:r w:rsidR="009C5B32">
        <w:rPr>
          <w:rFonts w:ascii="Palatino Linotype" w:hAnsi="Palatino Linotype"/>
          <w:bCs/>
          <w:sz w:val="22"/>
          <w:szCs w:val="22"/>
        </w:rPr>
        <w:lastRenderedPageBreak/>
        <w:t>not translated in any substantial way into decisions to study STEM subject on</w:t>
      </w:r>
      <w:r w:rsidR="00F15EF6">
        <w:rPr>
          <w:rFonts w:ascii="Palatino Linotype" w:hAnsi="Palatino Linotype"/>
          <w:bCs/>
          <w:sz w:val="22"/>
          <w:szCs w:val="22"/>
        </w:rPr>
        <w:t>c</w:t>
      </w:r>
      <w:r w:rsidR="009C5B32">
        <w:rPr>
          <w:rFonts w:ascii="Palatino Linotype" w:hAnsi="Palatino Linotype"/>
          <w:bCs/>
          <w:sz w:val="22"/>
          <w:szCs w:val="22"/>
        </w:rPr>
        <w:t>e the point of choice is reached</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A number of studies suggest that science is seen by students as important, and an important subject in the school curriculum, with the majority of students believing everyone should study science at school (</w:t>
      </w:r>
      <w:proofErr w:type="spellStart"/>
      <w:r w:rsidRPr="006C1CB0">
        <w:rPr>
          <w:rFonts w:ascii="Palatino Linotype" w:hAnsi="Palatino Linotype"/>
          <w:bCs/>
          <w:sz w:val="22"/>
          <w:szCs w:val="22"/>
        </w:rPr>
        <w:t>Cerini</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2004; Jenkins and Nelson, 2005; Bennett and Hogarth, 2009)</w:t>
      </w:r>
      <w:r w:rsidR="00F53CE5">
        <w:rPr>
          <w:rFonts w:ascii="Palatino Linotype" w:hAnsi="Palatino Linotype"/>
          <w:bCs/>
          <w:sz w:val="22"/>
          <w:szCs w:val="22"/>
        </w:rPr>
        <w:t xml:space="preserve">.  </w:t>
      </w:r>
      <w:r w:rsidRPr="006C1CB0">
        <w:rPr>
          <w:rFonts w:ascii="Palatino Linotype" w:hAnsi="Palatino Linotype"/>
          <w:bCs/>
          <w:sz w:val="22"/>
          <w:szCs w:val="22"/>
        </w:rPr>
        <w:t>However, the value placed on science appears to derive more from perceptions of possible career benefits than its ability to engage and interest students (Osborne and Collins, 2001; Jenkins and Nelson, 2005)</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A275F"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In a multi-nation study of students’ responses to science, Lyons (2006) found that attitudes improve when the curriculum deals with contemporary issues</w:t>
      </w:r>
      <w:r w:rsidR="008975ED">
        <w:rPr>
          <w:rFonts w:ascii="Palatino Linotype" w:hAnsi="Palatino Linotype"/>
          <w:bCs/>
          <w:sz w:val="22"/>
          <w:szCs w:val="22"/>
        </w:rPr>
        <w:t>,</w:t>
      </w:r>
      <w:r w:rsidRPr="006C1CB0">
        <w:rPr>
          <w:rFonts w:ascii="Palatino Linotype" w:hAnsi="Palatino Linotype"/>
          <w:bCs/>
          <w:sz w:val="22"/>
          <w:szCs w:val="22"/>
        </w:rPr>
        <w:t xml:space="preserve"> when the teaching style is less didactic and allows for the student voice, and when conscious efforts are made to make the science less difficult</w:t>
      </w:r>
      <w:r w:rsidR="00F53CE5">
        <w:rPr>
          <w:rFonts w:ascii="Palatino Linotype" w:hAnsi="Palatino Linotype"/>
          <w:bCs/>
          <w:sz w:val="22"/>
          <w:szCs w:val="22"/>
        </w:rPr>
        <w:t xml:space="preserve">.  </w:t>
      </w:r>
      <w:r w:rsidRPr="006C1CB0">
        <w:rPr>
          <w:rFonts w:ascii="Palatino Linotype" w:hAnsi="Palatino Linotype"/>
          <w:bCs/>
          <w:sz w:val="22"/>
          <w:szCs w:val="22"/>
        </w:rPr>
        <w:t xml:space="preserve">However, even those students </w:t>
      </w:r>
      <w:r w:rsidR="008975ED">
        <w:rPr>
          <w:rFonts w:ascii="Palatino Linotype" w:hAnsi="Palatino Linotype"/>
          <w:bCs/>
          <w:sz w:val="22"/>
          <w:szCs w:val="22"/>
        </w:rPr>
        <w:t xml:space="preserve">who </w:t>
      </w:r>
      <w:r w:rsidRPr="006C1CB0">
        <w:rPr>
          <w:rFonts w:ascii="Palatino Linotype" w:hAnsi="Palatino Linotype"/>
          <w:bCs/>
          <w:sz w:val="22"/>
          <w:szCs w:val="22"/>
        </w:rPr>
        <w:t>report finding the physical sciences interesting and important do not extend this int</w:t>
      </w:r>
      <w:r w:rsidR="00AA5B94">
        <w:rPr>
          <w:rFonts w:ascii="Palatino Linotype" w:hAnsi="Palatino Linotype"/>
          <w:bCs/>
          <w:sz w:val="22"/>
          <w:szCs w:val="22"/>
        </w:rPr>
        <w:t xml:space="preserve">o a science-based career choice, a finding that also emerges very clearly in the ASPIRES project (Archer </w:t>
      </w:r>
      <w:r w:rsidR="00AA5B94" w:rsidRPr="00AA5B94">
        <w:rPr>
          <w:rFonts w:ascii="Palatino Linotype" w:hAnsi="Palatino Linotype"/>
          <w:bCs/>
          <w:i/>
          <w:sz w:val="22"/>
          <w:szCs w:val="22"/>
        </w:rPr>
        <w:t>et al</w:t>
      </w:r>
      <w:r w:rsidR="00AA5B94">
        <w:rPr>
          <w:rFonts w:ascii="Palatino Linotype" w:hAnsi="Palatino Linotype"/>
          <w:bCs/>
          <w:sz w:val="22"/>
          <w:szCs w:val="22"/>
        </w:rPr>
        <w:t>., 2013)</w:t>
      </w:r>
      <w:r w:rsidR="00F53CE5">
        <w:rPr>
          <w:rFonts w:ascii="Palatino Linotype" w:hAnsi="Palatino Linotype"/>
          <w:bCs/>
          <w:sz w:val="22"/>
          <w:szCs w:val="22"/>
        </w:rPr>
        <w:t xml:space="preserve">.  </w:t>
      </w:r>
      <w:r w:rsidR="00523FF0">
        <w:rPr>
          <w:rFonts w:ascii="Palatino Linotype" w:hAnsi="Palatino Linotype"/>
          <w:bCs/>
          <w:sz w:val="22"/>
          <w:szCs w:val="22"/>
        </w:rPr>
        <w:t>It appears that there is some form of disconnect between personal views of science and personal choices about studying science.</w:t>
      </w:r>
      <w:r w:rsidR="00FB0721">
        <w:rPr>
          <w:rFonts w:ascii="Palatino Linotype" w:hAnsi="Palatino Linotype"/>
          <w:bCs/>
          <w:sz w:val="22"/>
          <w:szCs w:val="22"/>
        </w:rPr>
        <w:t xml:space="preserve"> </w:t>
      </w:r>
      <w:r w:rsidRPr="006C1CB0">
        <w:rPr>
          <w:rFonts w:ascii="Palatino Linotype" w:hAnsi="Palatino Linotype"/>
          <w:bCs/>
          <w:sz w:val="22"/>
          <w:szCs w:val="22"/>
        </w:rPr>
        <w:t xml:space="preserve"> </w:t>
      </w:r>
      <w:proofErr w:type="spellStart"/>
      <w:r w:rsidRPr="006C1CB0">
        <w:rPr>
          <w:rFonts w:ascii="Palatino Linotype" w:hAnsi="Palatino Linotype"/>
          <w:bCs/>
          <w:sz w:val="22"/>
          <w:szCs w:val="22"/>
        </w:rPr>
        <w:t>Stokking</w:t>
      </w:r>
      <w:proofErr w:type="spellEnd"/>
      <w:r w:rsidRPr="006C1CB0">
        <w:rPr>
          <w:rFonts w:ascii="Palatino Linotype" w:hAnsi="Palatino Linotype"/>
          <w:bCs/>
          <w:sz w:val="22"/>
          <w:szCs w:val="22"/>
        </w:rPr>
        <w:t xml:space="preserve"> (2000) and Lyons (2006) found that, regardless of students’ </w:t>
      </w:r>
      <w:r w:rsidRPr="006A275F">
        <w:rPr>
          <w:rFonts w:ascii="Palatino Linotype" w:hAnsi="Palatino Linotype"/>
          <w:bCs/>
          <w:sz w:val="22"/>
          <w:szCs w:val="22"/>
        </w:rPr>
        <w:t>views about their school science experiences, the main reasons for uptake of post-compulsory chemistry and physics studies are instrumental, i.e. as a strategic positioning for desirable tertiary courses or desirable careers</w:t>
      </w:r>
      <w:r w:rsidR="00F53CE5">
        <w:rPr>
          <w:rFonts w:ascii="Palatino Linotype" w:hAnsi="Palatino Linotype"/>
          <w:bCs/>
          <w:sz w:val="22"/>
          <w:szCs w:val="22"/>
        </w:rPr>
        <w:t xml:space="preserve">.  </w:t>
      </w:r>
      <w:r w:rsidR="00F05E65" w:rsidRPr="006A275F">
        <w:rPr>
          <w:rFonts w:ascii="Palatino Linotype" w:hAnsi="Palatino Linotype"/>
          <w:bCs/>
          <w:sz w:val="22"/>
          <w:szCs w:val="22"/>
        </w:rPr>
        <w:t xml:space="preserve">Archer </w:t>
      </w:r>
      <w:r w:rsidR="00F05E65" w:rsidRPr="006A275F">
        <w:rPr>
          <w:rFonts w:ascii="Palatino Linotype" w:hAnsi="Palatino Linotype"/>
          <w:bCs/>
          <w:i/>
          <w:sz w:val="22"/>
          <w:szCs w:val="22"/>
        </w:rPr>
        <w:t>at al.</w:t>
      </w:r>
      <w:r w:rsidR="00F05E65" w:rsidRPr="006A275F">
        <w:rPr>
          <w:rFonts w:ascii="Palatino Linotype" w:hAnsi="Palatino Linotype"/>
          <w:bCs/>
          <w:sz w:val="22"/>
          <w:szCs w:val="22"/>
        </w:rPr>
        <w:t xml:space="preserve"> (2013) suggest that </w:t>
      </w:r>
      <w:proofErr w:type="gramStart"/>
      <w:r w:rsidR="00F05E65" w:rsidRPr="006A275F">
        <w:rPr>
          <w:rFonts w:ascii="Palatino Linotype" w:hAnsi="Palatino Linotype"/>
          <w:bCs/>
          <w:sz w:val="22"/>
          <w:szCs w:val="22"/>
        </w:rPr>
        <w:t>the disconnect</w:t>
      </w:r>
      <w:proofErr w:type="gramEnd"/>
      <w:r w:rsidR="00F05E65" w:rsidRPr="006A275F">
        <w:rPr>
          <w:rFonts w:ascii="Palatino Linotype" w:hAnsi="Palatino Linotype"/>
          <w:bCs/>
          <w:sz w:val="22"/>
          <w:szCs w:val="22"/>
        </w:rPr>
        <w:t xml:space="preserve"> </w:t>
      </w:r>
      <w:r w:rsidR="006A275F" w:rsidRPr="006A275F">
        <w:rPr>
          <w:rFonts w:ascii="Palatino Linotype" w:hAnsi="Palatino Linotype"/>
          <w:bCs/>
          <w:sz w:val="22"/>
          <w:szCs w:val="22"/>
        </w:rPr>
        <w:t>can be attributed to</w:t>
      </w:r>
      <w:r w:rsidR="00F05E65" w:rsidRPr="006A275F">
        <w:rPr>
          <w:rFonts w:ascii="Palatino Linotype" w:hAnsi="Palatino Linotype"/>
          <w:bCs/>
          <w:sz w:val="22"/>
          <w:szCs w:val="22"/>
        </w:rPr>
        <w:t xml:space="preserve"> ‘science capital’</w:t>
      </w:r>
      <w:r w:rsidR="006A275F" w:rsidRPr="006A275F">
        <w:rPr>
          <w:rFonts w:ascii="Palatino Linotype" w:hAnsi="Palatino Linotype"/>
          <w:bCs/>
          <w:sz w:val="22"/>
          <w:szCs w:val="22"/>
        </w:rPr>
        <w:t xml:space="preserve"> (see Section 3.3.4)</w:t>
      </w:r>
      <w:r w:rsidR="00F05E65" w:rsidRPr="006A275F">
        <w:rPr>
          <w:rFonts w:ascii="Palatino Linotype" w:hAnsi="Palatino Linotype"/>
          <w:bCs/>
          <w:sz w:val="22"/>
          <w:szCs w:val="22"/>
        </w:rPr>
        <w:t>, and that students who report liking science but not considering studying it have less science capital at home.</w:t>
      </w:r>
    </w:p>
    <w:p w:rsidR="006C1CB0" w:rsidRPr="006A275F"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A275F">
        <w:rPr>
          <w:rFonts w:ascii="Palatino Linotype" w:hAnsi="Palatino Linotype"/>
          <w:bCs/>
          <w:sz w:val="22"/>
          <w:szCs w:val="22"/>
        </w:rPr>
        <w:t>As with science, mathematics is seen by students as an important subject in the school curriculum</w:t>
      </w:r>
      <w:r w:rsidRPr="006C1CB0">
        <w:rPr>
          <w:rFonts w:ascii="Palatino Linotype" w:hAnsi="Palatino Linotype"/>
          <w:bCs/>
          <w:sz w:val="22"/>
          <w:szCs w:val="22"/>
        </w:rPr>
        <w:t xml:space="preserve">, with, for example, almost three-quarters of students aged sixteen believing that </w:t>
      </w:r>
      <w:r w:rsidR="003862A2">
        <w:rPr>
          <w:rFonts w:ascii="Palatino Linotype" w:hAnsi="Palatino Linotype"/>
          <w:bCs/>
          <w:sz w:val="22"/>
          <w:szCs w:val="22"/>
        </w:rPr>
        <w:t>mathematics</w:t>
      </w:r>
      <w:r w:rsidRPr="006C1CB0">
        <w:rPr>
          <w:rFonts w:ascii="Palatino Linotype" w:hAnsi="Palatino Linotype"/>
          <w:bCs/>
          <w:sz w:val="22"/>
          <w:szCs w:val="22"/>
        </w:rPr>
        <w:t xml:space="preserve"> is important and useful in everyday life (</w:t>
      </w:r>
      <w:proofErr w:type="spellStart"/>
      <w:r w:rsidRPr="006C1CB0">
        <w:rPr>
          <w:rFonts w:ascii="Palatino Linotype" w:hAnsi="Palatino Linotype"/>
          <w:bCs/>
          <w:sz w:val="22"/>
          <w:szCs w:val="22"/>
        </w:rPr>
        <w:t>Blenkinsop</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2006)</w:t>
      </w:r>
      <w:r w:rsidR="00F53CE5">
        <w:rPr>
          <w:rFonts w:ascii="Palatino Linotype" w:hAnsi="Palatino Linotype"/>
          <w:bCs/>
          <w:sz w:val="22"/>
          <w:szCs w:val="22"/>
        </w:rPr>
        <w:t xml:space="preserve">.  </w:t>
      </w:r>
      <w:r w:rsidRPr="006C1CB0">
        <w:rPr>
          <w:rFonts w:ascii="Palatino Linotype" w:hAnsi="Palatino Linotype"/>
          <w:bCs/>
          <w:sz w:val="22"/>
          <w:szCs w:val="22"/>
        </w:rPr>
        <w:t xml:space="preserve">Attitudes to school mathematics appear to be less positive, with </w:t>
      </w:r>
      <w:proofErr w:type="spellStart"/>
      <w:r w:rsidRPr="006C1CB0">
        <w:rPr>
          <w:rFonts w:ascii="Palatino Linotype" w:hAnsi="Palatino Linotype"/>
          <w:bCs/>
          <w:sz w:val="22"/>
          <w:szCs w:val="22"/>
        </w:rPr>
        <w:t>Nardi</w:t>
      </w:r>
      <w:proofErr w:type="spellEnd"/>
      <w:r w:rsidRPr="006C1CB0">
        <w:rPr>
          <w:rFonts w:ascii="Palatino Linotype" w:hAnsi="Palatino Linotype"/>
          <w:bCs/>
          <w:sz w:val="22"/>
          <w:szCs w:val="22"/>
        </w:rPr>
        <w:t xml:space="preserve"> and Steward (2003) noting the ‘quiet disaffection’ of many students at age 14 who, whilst recognising the value of a mathematics qualification and feeling obli</w:t>
      </w:r>
      <w:r w:rsidR="008975ED">
        <w:rPr>
          <w:rFonts w:ascii="Palatino Linotype" w:hAnsi="Palatino Linotype"/>
          <w:bCs/>
          <w:sz w:val="22"/>
          <w:szCs w:val="22"/>
        </w:rPr>
        <w:t>ged to participate, demonstrate</w:t>
      </w:r>
      <w:r w:rsidRPr="006C1CB0">
        <w:rPr>
          <w:rFonts w:ascii="Palatino Linotype" w:hAnsi="Palatino Linotype"/>
          <w:bCs/>
          <w:sz w:val="22"/>
          <w:szCs w:val="22"/>
        </w:rPr>
        <w:t xml:space="preserve"> little real engagement in lessons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A particularly noticeable feature of the work was the link between enjoyment of mathematics and feeling confident with the subject (Matthews and Pepper, 2005; Kyriacou and Goulding, 2006; Brown </w:t>
      </w:r>
      <w:r w:rsidRPr="006C1CB0">
        <w:rPr>
          <w:rFonts w:ascii="Palatino Linotype" w:hAnsi="Palatino Linotype"/>
          <w:bCs/>
          <w:i/>
          <w:sz w:val="22"/>
          <w:szCs w:val="22"/>
        </w:rPr>
        <w:t>et al</w:t>
      </w:r>
      <w:r w:rsidRPr="006C1CB0">
        <w:rPr>
          <w:rFonts w:ascii="Palatino Linotype" w:hAnsi="Palatino Linotype"/>
          <w:bCs/>
          <w:sz w:val="22"/>
          <w:szCs w:val="22"/>
        </w:rPr>
        <w:t>., 2007)</w:t>
      </w:r>
      <w:r w:rsidR="00F53CE5">
        <w:rPr>
          <w:rFonts w:ascii="Palatino Linotype" w:hAnsi="Palatino Linotype"/>
          <w:bCs/>
          <w:sz w:val="22"/>
          <w:szCs w:val="22"/>
        </w:rPr>
        <w:t xml:space="preserve">.  </w:t>
      </w:r>
      <w:r w:rsidRPr="006C1CB0">
        <w:rPr>
          <w:rFonts w:ascii="Palatino Linotype" w:hAnsi="Palatino Linotype"/>
          <w:bCs/>
          <w:sz w:val="22"/>
          <w:szCs w:val="22"/>
        </w:rPr>
        <w:t>There is strong evidence to suggest that negative attitudes to school mathematics are associated with students’ views of their experiences in lessons as isolating, over-individualised, involving a high reliance on dull repetition and rote learning, exacerbated by dependence on applying techniques that were not understood, but gave the right answer (</w:t>
      </w:r>
      <w:proofErr w:type="spellStart"/>
      <w:r w:rsidRPr="006C1CB0">
        <w:rPr>
          <w:rFonts w:ascii="Palatino Linotype" w:hAnsi="Palatino Linotype"/>
          <w:bCs/>
          <w:sz w:val="22"/>
          <w:szCs w:val="22"/>
        </w:rPr>
        <w:t>Nardi</w:t>
      </w:r>
      <w:proofErr w:type="spellEnd"/>
      <w:r w:rsidRPr="006C1CB0">
        <w:rPr>
          <w:rFonts w:ascii="Palatino Linotype" w:hAnsi="Palatino Linotype"/>
          <w:bCs/>
          <w:sz w:val="22"/>
          <w:szCs w:val="22"/>
        </w:rPr>
        <w:t xml:space="preserve"> and Steward, 2003; Mathews and Pepper, 2005.)</w:t>
      </w:r>
      <w:r w:rsidR="00FB0721">
        <w:rPr>
          <w:rFonts w:ascii="Palatino Linotype" w:hAnsi="Palatino Linotype"/>
          <w:bCs/>
          <w:sz w:val="22"/>
          <w:szCs w:val="22"/>
        </w:rPr>
        <w:t xml:space="preserve"> </w:t>
      </w:r>
      <w:r w:rsidRPr="006C1CB0">
        <w:rPr>
          <w:rFonts w:ascii="Palatino Linotype" w:hAnsi="Palatino Linotype"/>
          <w:bCs/>
          <w:sz w:val="22"/>
          <w:szCs w:val="22"/>
        </w:rPr>
        <w:t xml:space="preserve">In contrast </w:t>
      </w:r>
      <w:r w:rsidR="008975ED">
        <w:rPr>
          <w:rFonts w:ascii="Palatino Linotype" w:hAnsi="Palatino Linotype"/>
          <w:bCs/>
          <w:sz w:val="22"/>
          <w:szCs w:val="22"/>
        </w:rPr>
        <w:t>to</w:t>
      </w:r>
      <w:r w:rsidRPr="006C1CB0">
        <w:rPr>
          <w:rFonts w:ascii="Palatino Linotype" w:hAnsi="Palatino Linotype"/>
          <w:bCs/>
          <w:sz w:val="22"/>
          <w:szCs w:val="22"/>
        </w:rPr>
        <w:t xml:space="preserve"> school science, there is also some evidence that students have negative attitudes to contextualised learning activities (</w:t>
      </w:r>
      <w:proofErr w:type="spellStart"/>
      <w:r w:rsidRPr="006C1CB0">
        <w:rPr>
          <w:rFonts w:ascii="Palatino Linotype" w:hAnsi="Palatino Linotype"/>
          <w:bCs/>
          <w:sz w:val="22"/>
          <w:szCs w:val="22"/>
        </w:rPr>
        <w:t>Nardi</w:t>
      </w:r>
      <w:proofErr w:type="spellEnd"/>
      <w:r w:rsidRPr="006C1CB0">
        <w:rPr>
          <w:rFonts w:ascii="Palatino Linotype" w:hAnsi="Palatino Linotype"/>
          <w:bCs/>
          <w:sz w:val="22"/>
          <w:szCs w:val="22"/>
        </w:rPr>
        <w:t xml:space="preserve"> and Steward, 2003)</w:t>
      </w:r>
      <w:r w:rsidR="00F53CE5">
        <w:rPr>
          <w:rFonts w:ascii="Palatino Linotype" w:hAnsi="Palatino Linotype"/>
          <w:bCs/>
          <w:sz w:val="22"/>
          <w:szCs w:val="22"/>
        </w:rPr>
        <w:t xml:space="preserve">.  </w:t>
      </w:r>
      <w:r w:rsidRPr="006C1CB0">
        <w:rPr>
          <w:rFonts w:ascii="Palatino Linotype" w:hAnsi="Palatino Linotype"/>
          <w:bCs/>
          <w:sz w:val="22"/>
          <w:szCs w:val="22"/>
        </w:rPr>
        <w:t>These appear to be important messages for curriculum interventions in mathematics: the emphasis on personalised learning may result in feelings of isolation on the part of students, and contexts that might appear to be ‘real-life’ to those developing materials may not be seen as such by students</w:t>
      </w:r>
      <w:r w:rsidR="00F53CE5">
        <w:rPr>
          <w:rFonts w:ascii="Palatino Linotype" w:hAnsi="Palatino Linotype"/>
          <w:bCs/>
          <w:sz w:val="22"/>
          <w:szCs w:val="22"/>
        </w:rPr>
        <w:t xml:space="preserve">.  </w:t>
      </w:r>
    </w:p>
    <w:p w:rsidR="00C83876" w:rsidRPr="006C1CB0" w:rsidRDefault="00C83876"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.8</w:t>
      </w:r>
      <w:r w:rsidR="006C1CB0" w:rsidRPr="006C1CB0">
        <w:rPr>
          <w:rFonts w:ascii="Palatino Linotype" w:hAnsi="Palatino Linotype"/>
          <w:bCs/>
          <w:i/>
          <w:sz w:val="22"/>
          <w:szCs w:val="22"/>
        </w:rPr>
        <w:tab/>
        <w:t>Responses to STEM subjects as experienced beyond school</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Studies of responses to mathematics have largely focused on factors relating to experience of mathematics in school</w:t>
      </w:r>
      <w:r w:rsidR="00F53CE5">
        <w:rPr>
          <w:rFonts w:ascii="Palatino Linotype" w:hAnsi="Palatino Linotype"/>
          <w:bCs/>
          <w:sz w:val="22"/>
          <w:szCs w:val="22"/>
        </w:rPr>
        <w:t xml:space="preserve">.  </w:t>
      </w:r>
      <w:r w:rsidRPr="006C1CB0">
        <w:rPr>
          <w:rFonts w:ascii="Palatino Linotype" w:hAnsi="Palatino Linotype"/>
          <w:bCs/>
          <w:sz w:val="22"/>
          <w:szCs w:val="22"/>
        </w:rPr>
        <w:t xml:space="preserve">Some of the studies on responses to science in school have also </w:t>
      </w:r>
      <w:r w:rsidRPr="006C1CB0">
        <w:rPr>
          <w:rFonts w:ascii="Palatino Linotype" w:hAnsi="Palatino Linotype"/>
          <w:bCs/>
          <w:sz w:val="22"/>
          <w:szCs w:val="22"/>
        </w:rPr>
        <w:lastRenderedPageBreak/>
        <w:t xml:space="preserve">focused on science beyond school, demonstrating that, whilst many young people appear generally positive towards science and believe it benefits society, they are much less positive about their experiences of school science (Osborne and Collins, 2001; Jenkins and Nelson, 2005; Bennett and Hogarth, 2009; </w:t>
      </w:r>
      <w:proofErr w:type="spellStart"/>
      <w:r w:rsidRPr="006C1CB0">
        <w:rPr>
          <w:rFonts w:ascii="Palatino Linotype" w:hAnsi="Palatino Linotype"/>
          <w:bCs/>
          <w:sz w:val="22"/>
          <w:szCs w:val="22"/>
        </w:rPr>
        <w:t>Sjøberg</w:t>
      </w:r>
      <w:proofErr w:type="spellEnd"/>
      <w:r w:rsidRPr="006C1CB0">
        <w:rPr>
          <w:rFonts w:ascii="Palatino Linotype" w:hAnsi="Palatino Linotype"/>
          <w:bCs/>
          <w:sz w:val="22"/>
          <w:szCs w:val="22"/>
        </w:rPr>
        <w:t xml:space="preserve"> and Schreiner, 2010; Archer </w:t>
      </w:r>
      <w:r w:rsidRPr="006C1CB0">
        <w:rPr>
          <w:rFonts w:ascii="Palatino Linotype" w:hAnsi="Palatino Linotype"/>
          <w:bCs/>
          <w:i/>
          <w:sz w:val="22"/>
          <w:szCs w:val="22"/>
        </w:rPr>
        <w:t>et al</w:t>
      </w:r>
      <w:r w:rsidRPr="006C1CB0">
        <w:rPr>
          <w:rFonts w:ascii="Palatino Linotype" w:hAnsi="Palatino Linotype"/>
          <w:bCs/>
          <w:sz w:val="22"/>
          <w:szCs w:val="22"/>
        </w:rPr>
        <w:t>. 2013)</w:t>
      </w:r>
      <w:r w:rsidR="00F53CE5">
        <w:rPr>
          <w:rFonts w:ascii="Palatino Linotype" w:hAnsi="Palatino Linotype"/>
          <w:bCs/>
          <w:sz w:val="22"/>
          <w:szCs w:val="22"/>
        </w:rPr>
        <w:t xml:space="preserve">.  </w:t>
      </w:r>
      <w:r w:rsidRPr="006C1CB0">
        <w:rPr>
          <w:rFonts w:ascii="Palatino Linotype" w:hAnsi="Palatino Linotype"/>
          <w:bCs/>
          <w:sz w:val="22"/>
          <w:szCs w:val="22"/>
        </w:rPr>
        <w:t>This view poses one of the biggest challenges to increasing participation in science.</w:t>
      </w:r>
      <w:r w:rsidR="00F53CE5">
        <w:rPr>
          <w:rFonts w:ascii="Palatino Linotype" w:hAnsi="Palatino Linotype"/>
          <w:bCs/>
          <w:sz w:val="22"/>
          <w:szCs w:val="22"/>
        </w:rPr>
        <w:t xml:space="preserve"> </w:t>
      </w:r>
      <w:r w:rsidRPr="006C1CB0">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The evidence on perception of scientists and the work they do is mixed</w:t>
      </w:r>
      <w:r w:rsidR="00F53CE5">
        <w:rPr>
          <w:rFonts w:ascii="Palatino Linotype" w:hAnsi="Palatino Linotype"/>
          <w:bCs/>
          <w:sz w:val="22"/>
          <w:szCs w:val="22"/>
        </w:rPr>
        <w:t xml:space="preserve">.  </w:t>
      </w:r>
      <w:r w:rsidRPr="006C1CB0">
        <w:rPr>
          <w:rFonts w:ascii="Palatino Linotype" w:hAnsi="Palatino Linotype"/>
          <w:bCs/>
          <w:sz w:val="22"/>
          <w:szCs w:val="22"/>
        </w:rPr>
        <w:t>The stereotypical</w:t>
      </w:r>
      <w:r w:rsidR="00FB0721">
        <w:rPr>
          <w:rFonts w:ascii="Palatino Linotype" w:hAnsi="Palatino Linotype"/>
          <w:bCs/>
          <w:sz w:val="22"/>
          <w:szCs w:val="22"/>
        </w:rPr>
        <w:t xml:space="preserve"> </w:t>
      </w:r>
      <w:r w:rsidRPr="006C1CB0">
        <w:rPr>
          <w:rFonts w:ascii="Palatino Linotype" w:hAnsi="Palatino Linotype"/>
          <w:bCs/>
          <w:sz w:val="22"/>
          <w:szCs w:val="22"/>
        </w:rPr>
        <w:t>image of the white-coated, male ‘mad scientist’ that emerged in earlier studies has changed, with a broader interpretation of scientists and their work, though with physical scientists still being seen as predominantly male (Haste, 2004)</w:t>
      </w:r>
      <w:r w:rsidR="00F53CE5">
        <w:rPr>
          <w:rFonts w:ascii="Palatino Linotype" w:hAnsi="Palatino Linotype"/>
          <w:bCs/>
          <w:sz w:val="22"/>
          <w:szCs w:val="22"/>
        </w:rPr>
        <w:t xml:space="preserve">.  </w:t>
      </w:r>
      <w:r w:rsidRPr="006C1CB0">
        <w:rPr>
          <w:rFonts w:ascii="Palatino Linotype" w:hAnsi="Palatino Linotype"/>
          <w:bCs/>
          <w:sz w:val="22"/>
          <w:szCs w:val="22"/>
        </w:rPr>
        <w:t>Th</w:t>
      </w:r>
      <w:r w:rsidR="0073065B">
        <w:rPr>
          <w:rFonts w:ascii="Palatino Linotype" w:hAnsi="Palatino Linotype"/>
          <w:bCs/>
          <w:sz w:val="22"/>
          <w:szCs w:val="22"/>
        </w:rPr>
        <w:t>ough th</w:t>
      </w:r>
      <w:r w:rsidRPr="006C1CB0">
        <w:rPr>
          <w:rFonts w:ascii="Palatino Linotype" w:hAnsi="Palatino Linotype"/>
          <w:bCs/>
          <w:sz w:val="22"/>
          <w:szCs w:val="22"/>
        </w:rPr>
        <w:t xml:space="preserve">e work of scientists appears to be valued and seen to make a positive contribution to the </w:t>
      </w:r>
      <w:r w:rsidR="0073065B">
        <w:rPr>
          <w:rFonts w:ascii="Palatino Linotype" w:hAnsi="Palatino Linotype"/>
          <w:bCs/>
          <w:sz w:val="22"/>
          <w:szCs w:val="22"/>
        </w:rPr>
        <w:t xml:space="preserve">world, </w:t>
      </w:r>
      <w:r w:rsidRPr="006C1CB0">
        <w:rPr>
          <w:rFonts w:ascii="Palatino Linotype" w:hAnsi="Palatino Linotype"/>
          <w:bCs/>
          <w:sz w:val="22"/>
          <w:szCs w:val="22"/>
        </w:rPr>
        <w:t>negative images of scientists persist, and contribute to a lack of desire on the part of many young people to pursue careers in science (Haste, 2004; OCR Examination Board, 2005; Jenkins and Nelson, 2005; Bennett and Hogarth, 2009)</w:t>
      </w:r>
      <w:r w:rsidR="00F53CE5">
        <w:rPr>
          <w:rFonts w:ascii="Palatino Linotype" w:hAnsi="Palatino Linotype"/>
          <w:bCs/>
          <w:sz w:val="22"/>
          <w:szCs w:val="22"/>
        </w:rPr>
        <w:t xml:space="preserve">.  </w:t>
      </w:r>
      <w:r w:rsidRPr="006C1CB0">
        <w:rPr>
          <w:rFonts w:ascii="Palatino Linotype" w:hAnsi="Palatino Linotype"/>
          <w:bCs/>
          <w:sz w:val="22"/>
          <w:szCs w:val="22"/>
        </w:rPr>
        <w:t>Jenkins and Nelson (2005) also note that students in developing countries place a much higher value on jobs involving science, suggesting that there are factors beyond the school system that influence attitudes.</w:t>
      </w:r>
    </w:p>
    <w:p w:rsidR="00A97CA6" w:rsidRDefault="00A97CA6" w:rsidP="00D9487D">
      <w:pPr>
        <w:tabs>
          <w:tab w:val="clear" w:pos="567"/>
          <w:tab w:val="left" w:pos="720"/>
        </w:tabs>
        <w:spacing w:line="240" w:lineRule="auto"/>
        <w:jc w:val="both"/>
        <w:rPr>
          <w:rFonts w:ascii="Palatino Linotype" w:hAnsi="Palatino Linotype"/>
          <w:bCs/>
          <w:sz w:val="22"/>
          <w:szCs w:val="22"/>
        </w:rPr>
      </w:pPr>
    </w:p>
    <w:p w:rsidR="00A97CA6" w:rsidRPr="00A97CA6" w:rsidRDefault="00A97CA6" w:rsidP="00D9487D">
      <w:pPr>
        <w:tabs>
          <w:tab w:val="clear" w:pos="567"/>
          <w:tab w:val="left" w:pos="720"/>
        </w:tabs>
        <w:spacing w:line="240" w:lineRule="auto"/>
        <w:jc w:val="both"/>
        <w:rPr>
          <w:rFonts w:ascii="Palatino Linotype" w:hAnsi="Palatino Linotype"/>
          <w:bCs/>
          <w:sz w:val="22"/>
          <w:szCs w:val="22"/>
        </w:rPr>
      </w:pPr>
      <w:r>
        <w:rPr>
          <w:rFonts w:ascii="Palatino Linotype" w:hAnsi="Palatino Linotype"/>
          <w:bCs/>
          <w:sz w:val="22"/>
          <w:szCs w:val="22"/>
        </w:rPr>
        <w:t>The portrayal of STEM subjects and people working in STEM areas</w:t>
      </w:r>
      <w:r w:rsidR="00173F1E">
        <w:rPr>
          <w:rFonts w:ascii="Palatino Linotype" w:hAnsi="Palatino Linotype"/>
          <w:bCs/>
          <w:sz w:val="22"/>
          <w:szCs w:val="22"/>
        </w:rPr>
        <w:t xml:space="preserve"> in the media has</w:t>
      </w:r>
      <w:r w:rsidR="0031274C">
        <w:rPr>
          <w:rFonts w:ascii="Palatino Linotype" w:hAnsi="Palatino Linotype"/>
          <w:bCs/>
          <w:sz w:val="22"/>
          <w:szCs w:val="22"/>
        </w:rPr>
        <w:t xml:space="preserve"> a strong </w:t>
      </w:r>
      <w:r w:rsidR="00173F1E">
        <w:rPr>
          <w:rFonts w:ascii="Palatino Linotype" w:hAnsi="Palatino Linotype"/>
          <w:bCs/>
          <w:sz w:val="22"/>
          <w:szCs w:val="22"/>
        </w:rPr>
        <w:t>negative effect</w:t>
      </w:r>
      <w:r>
        <w:rPr>
          <w:rFonts w:ascii="Palatino Linotype" w:hAnsi="Palatino Linotype"/>
          <w:bCs/>
          <w:sz w:val="22"/>
          <w:szCs w:val="22"/>
        </w:rPr>
        <w:t xml:space="preserve"> on students</w:t>
      </w:r>
      <w:r w:rsidR="0031274C">
        <w:rPr>
          <w:rFonts w:ascii="Palatino Linotype" w:hAnsi="Palatino Linotype"/>
          <w:bCs/>
          <w:sz w:val="22"/>
          <w:szCs w:val="22"/>
        </w:rPr>
        <w:t>, particularly female students</w:t>
      </w:r>
      <w:r w:rsidR="00F53CE5">
        <w:rPr>
          <w:rFonts w:ascii="Palatino Linotype" w:hAnsi="Palatino Linotype"/>
          <w:bCs/>
          <w:sz w:val="22"/>
          <w:szCs w:val="22"/>
        </w:rPr>
        <w:t xml:space="preserve">.  </w:t>
      </w:r>
      <w:r>
        <w:rPr>
          <w:rFonts w:ascii="Palatino Linotype" w:hAnsi="Palatino Linotype"/>
          <w:bCs/>
          <w:sz w:val="22"/>
          <w:szCs w:val="22"/>
        </w:rPr>
        <w:t>For example,</w:t>
      </w:r>
      <w:r w:rsidR="0031274C">
        <w:rPr>
          <w:rFonts w:ascii="Palatino Linotype" w:hAnsi="Palatino Linotype"/>
          <w:bCs/>
          <w:sz w:val="22"/>
          <w:szCs w:val="22"/>
        </w:rPr>
        <w:t xml:space="preserve"> </w:t>
      </w:r>
      <w:r w:rsidRPr="00A97CA6">
        <w:rPr>
          <w:rFonts w:ascii="Palatino Linotype" w:hAnsi="Palatino Linotype"/>
          <w:bCs/>
          <w:sz w:val="22"/>
          <w:szCs w:val="22"/>
        </w:rPr>
        <w:t>Van Langen and Dekker</w:t>
      </w:r>
      <w:r w:rsidR="0031274C">
        <w:rPr>
          <w:rFonts w:ascii="Palatino Linotype" w:hAnsi="Palatino Linotype"/>
          <w:bCs/>
          <w:sz w:val="22"/>
          <w:szCs w:val="22"/>
        </w:rPr>
        <w:t xml:space="preserve"> (2005) report that, in addition to the stereotypical male ‘geeky’, ‘nerdy’ image of people working in STEM areas, </w:t>
      </w:r>
      <w:r w:rsidRPr="00A97CA6">
        <w:rPr>
          <w:rFonts w:ascii="Palatino Linotype" w:hAnsi="Palatino Linotype"/>
          <w:bCs/>
          <w:sz w:val="22"/>
          <w:szCs w:val="22"/>
        </w:rPr>
        <w:t xml:space="preserve">STEM careers </w:t>
      </w:r>
      <w:r w:rsidR="0031274C">
        <w:rPr>
          <w:rFonts w:ascii="Palatino Linotype" w:hAnsi="Palatino Linotype"/>
          <w:bCs/>
          <w:sz w:val="22"/>
          <w:szCs w:val="22"/>
        </w:rPr>
        <w:t>are also typically portrayed in the media as unappealing,</w:t>
      </w:r>
      <w:r w:rsidR="0031274C" w:rsidRPr="0031274C">
        <w:rPr>
          <w:rFonts w:ascii="Palatino Linotype" w:hAnsi="Palatino Linotype"/>
          <w:bCs/>
          <w:sz w:val="22"/>
          <w:szCs w:val="22"/>
        </w:rPr>
        <w:t xml:space="preserve"> unglamorous</w:t>
      </w:r>
      <w:r w:rsidR="0031274C">
        <w:rPr>
          <w:rFonts w:ascii="Palatino Linotype" w:hAnsi="Palatino Linotype"/>
          <w:bCs/>
          <w:sz w:val="22"/>
          <w:szCs w:val="22"/>
        </w:rPr>
        <w:t xml:space="preserve"> and too difficult for women</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.9</w:t>
      </w:r>
      <w:r w:rsidR="006C1CB0" w:rsidRPr="006C1CB0">
        <w:rPr>
          <w:rFonts w:ascii="Palatino Linotype" w:hAnsi="Palatino Linotype"/>
          <w:bCs/>
          <w:i/>
          <w:sz w:val="22"/>
          <w:szCs w:val="22"/>
        </w:rPr>
        <w:tab/>
        <w:t>Career and further study aspirations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1871EF">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The ROSE study (</w:t>
      </w:r>
      <w:proofErr w:type="spellStart"/>
      <w:r w:rsidRPr="006C1CB0">
        <w:rPr>
          <w:rFonts w:ascii="Palatino Linotype" w:hAnsi="Palatino Linotype"/>
          <w:bCs/>
          <w:sz w:val="22"/>
          <w:szCs w:val="22"/>
        </w:rPr>
        <w:t>Sjøberg</w:t>
      </w:r>
      <w:proofErr w:type="spellEnd"/>
      <w:r w:rsidRPr="006C1CB0">
        <w:rPr>
          <w:rFonts w:ascii="Palatino Linotype" w:hAnsi="Palatino Linotype"/>
          <w:bCs/>
          <w:sz w:val="22"/>
          <w:szCs w:val="22"/>
        </w:rPr>
        <w:t xml:space="preserve"> and Schreiner, 2010) reports that, across a number of countries, few young people, and very few girls want to become scientists, or work in the fields of science an</w:t>
      </w:r>
      <w:r w:rsidR="006A08D9">
        <w:rPr>
          <w:rFonts w:ascii="Palatino Linotype" w:hAnsi="Palatino Linotype"/>
          <w:bCs/>
          <w:sz w:val="22"/>
          <w:szCs w:val="22"/>
        </w:rPr>
        <w:t>d technology</w:t>
      </w:r>
      <w:r w:rsidR="00F53CE5">
        <w:rPr>
          <w:rFonts w:ascii="Palatino Linotype" w:hAnsi="Palatino Linotype"/>
          <w:bCs/>
          <w:sz w:val="22"/>
          <w:szCs w:val="22"/>
        </w:rPr>
        <w:t xml:space="preserve">.  </w:t>
      </w:r>
      <w:r w:rsidR="006A08D9">
        <w:rPr>
          <w:rFonts w:ascii="Palatino Linotype" w:hAnsi="Palatino Linotype"/>
          <w:bCs/>
          <w:sz w:val="22"/>
          <w:szCs w:val="22"/>
        </w:rPr>
        <w:t xml:space="preserve">PISA data (OECD, </w:t>
      </w:r>
      <w:r w:rsidR="009B63CC">
        <w:rPr>
          <w:rFonts w:ascii="Palatino Linotype" w:hAnsi="Palatino Linotype"/>
          <w:bCs/>
          <w:sz w:val="22"/>
          <w:szCs w:val="22"/>
        </w:rPr>
        <w:t>2012) report</w:t>
      </w:r>
      <w:r w:rsidRPr="006C1CB0">
        <w:rPr>
          <w:rFonts w:ascii="Palatino Linotype" w:hAnsi="Palatino Linotype"/>
          <w:bCs/>
          <w:sz w:val="22"/>
          <w:szCs w:val="22"/>
        </w:rPr>
        <w:t xml:space="preserve"> the proportion of students planning a car</w:t>
      </w:r>
      <w:r w:rsidR="001871EF">
        <w:rPr>
          <w:rFonts w:ascii="Palatino Linotype" w:hAnsi="Palatino Linotype"/>
          <w:bCs/>
          <w:sz w:val="22"/>
          <w:szCs w:val="22"/>
        </w:rPr>
        <w:t>eer in engineering or computing</w:t>
      </w:r>
      <w:r w:rsidR="00F53CE5">
        <w:rPr>
          <w:rFonts w:ascii="Palatino Linotype" w:hAnsi="Palatino Linotype"/>
          <w:bCs/>
          <w:sz w:val="22"/>
          <w:szCs w:val="22"/>
        </w:rPr>
        <w:t xml:space="preserve">.  </w:t>
      </w:r>
      <w:r w:rsidR="001871EF" w:rsidRPr="001871EF">
        <w:rPr>
          <w:rFonts w:ascii="Palatino Linotype" w:hAnsi="Palatino Linotype"/>
          <w:bCs/>
          <w:sz w:val="22"/>
          <w:szCs w:val="22"/>
        </w:rPr>
        <w:t>Th</w:t>
      </w:r>
      <w:r w:rsidR="001871EF">
        <w:rPr>
          <w:rFonts w:ascii="Palatino Linotype" w:hAnsi="Palatino Linotype"/>
          <w:bCs/>
          <w:sz w:val="22"/>
          <w:szCs w:val="22"/>
        </w:rPr>
        <w:t xml:space="preserve">is varies widely among </w:t>
      </w:r>
      <w:r w:rsidR="001871EF" w:rsidRPr="001871EF">
        <w:rPr>
          <w:rFonts w:ascii="Palatino Linotype" w:hAnsi="Palatino Linotype"/>
          <w:bCs/>
          <w:sz w:val="22"/>
          <w:szCs w:val="22"/>
        </w:rPr>
        <w:t>countries, ranging fr</w:t>
      </w:r>
      <w:r w:rsidR="001871EF">
        <w:rPr>
          <w:rFonts w:ascii="Palatino Linotype" w:hAnsi="Palatino Linotype"/>
          <w:bCs/>
          <w:sz w:val="22"/>
          <w:szCs w:val="22"/>
        </w:rPr>
        <w:t xml:space="preserve">om relatively high proportions in Chile, Mexico, Poland and Slovenia to very low numbers in Finland and the Netherlands, </w:t>
      </w:r>
      <w:r w:rsidRPr="006C1CB0">
        <w:rPr>
          <w:rFonts w:ascii="Palatino Linotype" w:hAnsi="Palatino Linotype"/>
          <w:bCs/>
          <w:sz w:val="22"/>
          <w:szCs w:val="22"/>
        </w:rPr>
        <w:t>with the UK ranking 49</w:t>
      </w:r>
      <w:r w:rsidRPr="006C1CB0">
        <w:rPr>
          <w:rFonts w:ascii="Palatino Linotype" w:hAnsi="Palatino Linotype"/>
          <w:bCs/>
          <w:sz w:val="22"/>
          <w:szCs w:val="22"/>
          <w:vertAlign w:val="superscript"/>
        </w:rPr>
        <w:t>th</w:t>
      </w:r>
      <w:r w:rsidRPr="006C1CB0">
        <w:rPr>
          <w:rFonts w:ascii="Palatino Linotype" w:hAnsi="Palatino Linotype"/>
          <w:bCs/>
          <w:sz w:val="22"/>
          <w:szCs w:val="22"/>
        </w:rPr>
        <w:t xml:space="preserve"> from 55 countries (compared with, for example, the USA 39</w:t>
      </w:r>
      <w:r w:rsidRPr="006C1CB0">
        <w:rPr>
          <w:rFonts w:ascii="Palatino Linotype" w:hAnsi="Palatino Linotype"/>
          <w:bCs/>
          <w:sz w:val="22"/>
          <w:szCs w:val="22"/>
          <w:vertAlign w:val="superscript"/>
        </w:rPr>
        <w:t>th</w:t>
      </w:r>
      <w:r w:rsidRPr="006C1CB0">
        <w:rPr>
          <w:rFonts w:ascii="Palatino Linotype" w:hAnsi="Palatino Linotype"/>
          <w:bCs/>
          <w:sz w:val="22"/>
          <w:szCs w:val="22"/>
        </w:rPr>
        <w:t>, Sweden 37</w:t>
      </w:r>
      <w:r w:rsidRPr="006C1CB0">
        <w:rPr>
          <w:rFonts w:ascii="Palatino Linotype" w:hAnsi="Palatino Linotype"/>
          <w:bCs/>
          <w:sz w:val="22"/>
          <w:szCs w:val="22"/>
          <w:vertAlign w:val="superscript"/>
        </w:rPr>
        <w:t>th</w:t>
      </w:r>
      <w:r w:rsidRPr="006C1CB0">
        <w:rPr>
          <w:rFonts w:ascii="Palatino Linotype" w:hAnsi="Palatino Linotype"/>
          <w:bCs/>
          <w:sz w:val="22"/>
          <w:szCs w:val="22"/>
        </w:rPr>
        <w:t>, The Netherlands 53</w:t>
      </w:r>
      <w:r w:rsidRPr="006C1CB0">
        <w:rPr>
          <w:rFonts w:ascii="Palatino Linotype" w:hAnsi="Palatino Linotype"/>
          <w:bCs/>
          <w:sz w:val="22"/>
          <w:szCs w:val="22"/>
          <w:vertAlign w:val="superscript"/>
        </w:rPr>
        <w:t>rd</w:t>
      </w:r>
      <w:r w:rsidR="00A73983">
        <w:rPr>
          <w:rFonts w:ascii="Palatino Linotype" w:hAnsi="Palatino Linotype"/>
          <w:bCs/>
          <w:sz w:val="22"/>
          <w:szCs w:val="22"/>
        </w:rPr>
        <w:t xml:space="preserve">) </w:t>
      </w:r>
      <w:r w:rsidRPr="006C1CB0">
        <w:rPr>
          <w:rFonts w:ascii="Palatino Linotype" w:hAnsi="Palatino Linotype"/>
          <w:bCs/>
          <w:sz w:val="22"/>
          <w:szCs w:val="22"/>
        </w:rPr>
        <w:t>and the UK having the second lowest percentage (2%) of girls indicating this as a choice</w:t>
      </w:r>
      <w:r w:rsidR="00F53CE5">
        <w:rPr>
          <w:rFonts w:ascii="Palatino Linotype" w:hAnsi="Palatino Linotype"/>
          <w:bCs/>
          <w:sz w:val="22"/>
          <w:szCs w:val="22"/>
        </w:rPr>
        <w:t xml:space="preserve">.  </w:t>
      </w:r>
      <w:r w:rsidR="001871EF">
        <w:rPr>
          <w:rFonts w:ascii="Palatino Linotype" w:hAnsi="Palatino Linotype"/>
          <w:bCs/>
          <w:sz w:val="22"/>
          <w:szCs w:val="22"/>
        </w:rPr>
        <w:t>There is no obvious pattern linking responses to geographic location.</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 xml:space="preserve">Career intentions appear to be much more influential in decision-making for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than in other subjects, in that </w:t>
      </w:r>
      <w:r w:rsidR="00BC353A">
        <w:rPr>
          <w:rFonts w:ascii="Palatino Linotype" w:hAnsi="Palatino Linotype"/>
          <w:bCs/>
          <w:sz w:val="22"/>
          <w:szCs w:val="22"/>
        </w:rPr>
        <w:t>mathematics and science</w:t>
      </w:r>
      <w:r w:rsidRPr="006C1CB0">
        <w:rPr>
          <w:rFonts w:ascii="Palatino Linotype" w:hAnsi="Palatino Linotype"/>
          <w:bCs/>
          <w:sz w:val="22"/>
          <w:szCs w:val="22"/>
        </w:rPr>
        <w:t xml:space="preserve"> are far less likely to be chosen by students who have yet to formulate their career plans (Vidal Rodeiro, 2007; Bennett </w:t>
      </w:r>
      <w:r w:rsidRPr="006C1CB0">
        <w:rPr>
          <w:rFonts w:ascii="Palatino Linotype" w:hAnsi="Palatino Linotype"/>
          <w:bCs/>
          <w:i/>
          <w:sz w:val="22"/>
          <w:szCs w:val="22"/>
        </w:rPr>
        <w:t>et al</w:t>
      </w:r>
      <w:r w:rsidRPr="006C1CB0">
        <w:rPr>
          <w:rFonts w:ascii="Palatino Linotype" w:hAnsi="Palatino Linotype"/>
          <w:bCs/>
          <w:sz w:val="22"/>
          <w:szCs w:val="22"/>
        </w:rPr>
        <w:t>., 2013).</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Students who do elect to study physical sciences beyond the compulsory period cite a number of reasons for do</w:t>
      </w:r>
      <w:r w:rsidR="009B63CC">
        <w:rPr>
          <w:rFonts w:ascii="Palatino Linotype" w:hAnsi="Palatino Linotype"/>
          <w:bCs/>
          <w:sz w:val="22"/>
          <w:szCs w:val="22"/>
        </w:rPr>
        <w:t>ing</w:t>
      </w:r>
      <w:r w:rsidRPr="006C1CB0">
        <w:rPr>
          <w:rFonts w:ascii="Palatino Linotype" w:hAnsi="Palatino Linotype"/>
          <w:bCs/>
          <w:sz w:val="22"/>
          <w:szCs w:val="22"/>
        </w:rPr>
        <w:t xml:space="preserve"> so</w:t>
      </w:r>
      <w:r w:rsidR="00F53CE5">
        <w:rPr>
          <w:rFonts w:ascii="Palatino Linotype" w:hAnsi="Palatino Linotype"/>
          <w:bCs/>
          <w:sz w:val="22"/>
          <w:szCs w:val="22"/>
        </w:rPr>
        <w:t xml:space="preserve">.  </w:t>
      </w:r>
      <w:r w:rsidRPr="006C1CB0">
        <w:rPr>
          <w:rFonts w:ascii="Palatino Linotype" w:hAnsi="Palatino Linotype"/>
          <w:bCs/>
          <w:sz w:val="22"/>
          <w:szCs w:val="22"/>
        </w:rPr>
        <w:t xml:space="preserve">Bennett </w:t>
      </w:r>
      <w:r w:rsidRPr="006C1CB0">
        <w:rPr>
          <w:rFonts w:ascii="Palatino Linotype" w:hAnsi="Palatino Linotype"/>
          <w:bCs/>
          <w:i/>
          <w:sz w:val="22"/>
          <w:szCs w:val="22"/>
        </w:rPr>
        <w:t>et al</w:t>
      </w:r>
      <w:r w:rsidR="001F2D4A">
        <w:rPr>
          <w:rFonts w:ascii="Palatino Linotype" w:hAnsi="Palatino Linotype"/>
          <w:bCs/>
          <w:sz w:val="22"/>
          <w:szCs w:val="22"/>
        </w:rPr>
        <w:t>. (2013) identify</w:t>
      </w:r>
      <w:r w:rsidRPr="006C1CB0">
        <w:rPr>
          <w:rFonts w:ascii="Palatino Linotype" w:hAnsi="Palatino Linotype"/>
          <w:bCs/>
          <w:sz w:val="22"/>
          <w:szCs w:val="22"/>
        </w:rPr>
        <w:t xml:space="preserve"> four categories of strategies that can influence subject choice: aspirational (linked to further study and/or career purposes), prior experience (subjects they have enjoyed, subjects where they have done well, teachers they liked</w:t>
      </w:r>
      <w:r w:rsidR="00A101B2">
        <w:rPr>
          <w:rFonts w:ascii="Palatino Linotype" w:hAnsi="Palatino Linotype"/>
          <w:bCs/>
          <w:sz w:val="22"/>
          <w:szCs w:val="22"/>
        </w:rPr>
        <w:t>, subjects with which they feel they have identified</w:t>
      </w:r>
      <w:r w:rsidRPr="006C1CB0">
        <w:rPr>
          <w:rFonts w:ascii="Palatino Linotype" w:hAnsi="Palatino Linotype"/>
          <w:bCs/>
          <w:sz w:val="22"/>
          <w:szCs w:val="22"/>
        </w:rPr>
        <w:t>), or tactical (reducing risk, keeping options open, subjects that go well together), or external factors, such as parental and family effects</w:t>
      </w:r>
      <w:r w:rsidR="00F53CE5">
        <w:rPr>
          <w:rFonts w:ascii="Palatino Linotype" w:hAnsi="Palatino Linotype"/>
          <w:bCs/>
          <w:sz w:val="22"/>
          <w:szCs w:val="22"/>
        </w:rPr>
        <w:t xml:space="preserve">.  </w:t>
      </w:r>
      <w:r w:rsidRPr="00A101B2">
        <w:rPr>
          <w:rFonts w:ascii="Palatino Linotype" w:hAnsi="Palatino Linotype"/>
          <w:bCs/>
          <w:sz w:val="22"/>
          <w:szCs w:val="22"/>
        </w:rPr>
        <w:t>A number</w:t>
      </w:r>
      <w:r w:rsidRPr="006C1CB0">
        <w:rPr>
          <w:rFonts w:ascii="Palatino Linotype" w:hAnsi="Palatino Linotype"/>
          <w:bCs/>
          <w:sz w:val="22"/>
          <w:szCs w:val="22"/>
        </w:rPr>
        <w:t xml:space="preserve"> of other studies have confirmed the importance of students’ sense of identity and perceptions of their ability as playing a key role in subject choice </w:t>
      </w:r>
      <w:r w:rsidRPr="006C1CB0">
        <w:rPr>
          <w:rFonts w:ascii="Palatino Linotype" w:hAnsi="Palatino Linotype"/>
          <w:bCs/>
          <w:sz w:val="22"/>
          <w:szCs w:val="22"/>
        </w:rPr>
        <w:lastRenderedPageBreak/>
        <w:t xml:space="preserve">(Munro and </w:t>
      </w:r>
      <w:proofErr w:type="spellStart"/>
      <w:r w:rsidRPr="006C1CB0">
        <w:rPr>
          <w:rFonts w:ascii="Palatino Linotype" w:hAnsi="Palatino Linotype"/>
          <w:bCs/>
          <w:sz w:val="22"/>
          <w:szCs w:val="22"/>
        </w:rPr>
        <w:t>Elsom</w:t>
      </w:r>
      <w:proofErr w:type="spellEnd"/>
      <w:r w:rsidRPr="006C1CB0">
        <w:rPr>
          <w:rFonts w:ascii="Palatino Linotype" w:hAnsi="Palatino Linotype"/>
          <w:bCs/>
          <w:sz w:val="22"/>
          <w:szCs w:val="22"/>
        </w:rPr>
        <w:t xml:space="preserve">, 2000; Vidal </w:t>
      </w:r>
      <w:proofErr w:type="spellStart"/>
      <w:r w:rsidRPr="006C1CB0">
        <w:rPr>
          <w:rFonts w:ascii="Palatino Linotype" w:hAnsi="Palatino Linotype"/>
          <w:bCs/>
          <w:sz w:val="22"/>
          <w:szCs w:val="22"/>
        </w:rPr>
        <w:t>Rodeiro</w:t>
      </w:r>
      <w:proofErr w:type="spellEnd"/>
      <w:r w:rsidRPr="006C1CB0">
        <w:rPr>
          <w:rFonts w:ascii="Palatino Linotype" w:hAnsi="Palatino Linotype"/>
          <w:bCs/>
          <w:sz w:val="22"/>
          <w:szCs w:val="22"/>
        </w:rPr>
        <w:t xml:space="preserve">, 2007; </w:t>
      </w:r>
      <w:proofErr w:type="spellStart"/>
      <w:r w:rsidRPr="006C1CB0">
        <w:rPr>
          <w:rFonts w:ascii="Palatino Linotype" w:hAnsi="Palatino Linotype"/>
          <w:bCs/>
          <w:sz w:val="22"/>
          <w:szCs w:val="22"/>
        </w:rPr>
        <w:t>Tripney</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2010)</w:t>
      </w:r>
      <w:r w:rsidR="00F53CE5">
        <w:rPr>
          <w:rFonts w:ascii="Palatino Linotype" w:hAnsi="Palatino Linotype"/>
          <w:bCs/>
          <w:sz w:val="22"/>
          <w:szCs w:val="22"/>
        </w:rPr>
        <w:t xml:space="preserve">.  </w:t>
      </w:r>
      <w:r w:rsidRPr="006C1CB0">
        <w:rPr>
          <w:rFonts w:ascii="Palatino Linotype" w:hAnsi="Palatino Linotype"/>
          <w:bCs/>
          <w:sz w:val="22"/>
          <w:szCs w:val="22"/>
        </w:rPr>
        <w:t>Lyons and Quinn (2010) found that around two-thirds of students choosing not to continue with science report difficulties in seeing themselves as scientists, and that school science had not opened their eyes to new and exciting careers</w:t>
      </w:r>
      <w:r w:rsidR="00F53CE5">
        <w:rPr>
          <w:rFonts w:ascii="Palatino Linotype" w:hAnsi="Palatino Linotype"/>
          <w:bCs/>
          <w:sz w:val="22"/>
          <w:szCs w:val="22"/>
        </w:rPr>
        <w:t xml:space="preserve">.  </w:t>
      </w:r>
      <w:r w:rsidR="00954D1A">
        <w:rPr>
          <w:rFonts w:ascii="Palatino Linotype" w:hAnsi="Palatino Linotype"/>
          <w:bCs/>
          <w:sz w:val="22"/>
          <w:szCs w:val="22"/>
        </w:rPr>
        <w:t xml:space="preserve">Archer </w:t>
      </w:r>
      <w:r w:rsidR="00954D1A" w:rsidRPr="00954D1A">
        <w:rPr>
          <w:rFonts w:ascii="Palatino Linotype" w:hAnsi="Palatino Linotype"/>
          <w:bCs/>
          <w:i/>
          <w:sz w:val="22"/>
          <w:szCs w:val="22"/>
        </w:rPr>
        <w:t>et al</w:t>
      </w:r>
      <w:r w:rsidR="00954D1A">
        <w:rPr>
          <w:rFonts w:ascii="Palatino Linotype" w:hAnsi="Palatino Linotype"/>
          <w:bCs/>
          <w:sz w:val="22"/>
          <w:szCs w:val="22"/>
        </w:rPr>
        <w:t>. (2013) also found that many students (and their parents), and particularly those from households with low science capital, see science subjects as leading only to a narrow range of jobs, such as scientist, doctor or science teacher</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Clear gender differences emerge in reasons for choice</w:t>
      </w:r>
      <w:r w:rsidR="00F53CE5">
        <w:rPr>
          <w:rFonts w:ascii="Palatino Linotype" w:hAnsi="Palatino Linotype"/>
          <w:bCs/>
          <w:sz w:val="22"/>
          <w:szCs w:val="22"/>
        </w:rPr>
        <w:t xml:space="preserve">.  </w:t>
      </w:r>
      <w:r w:rsidRPr="006C1CB0">
        <w:rPr>
          <w:rFonts w:ascii="Palatino Linotype" w:hAnsi="Palatino Linotype"/>
          <w:bCs/>
          <w:sz w:val="22"/>
          <w:szCs w:val="22"/>
        </w:rPr>
        <w:t>For example, Haste (2004) found female students in England express strong interest in acquiring further knowledge in science and less interest in learning about new developments in technology, but were concerned about the environment and ethical issues</w:t>
      </w:r>
      <w:r w:rsidR="00F53CE5">
        <w:rPr>
          <w:rFonts w:ascii="Palatino Linotype" w:hAnsi="Palatino Linotype"/>
          <w:bCs/>
          <w:sz w:val="22"/>
          <w:szCs w:val="22"/>
        </w:rPr>
        <w:t xml:space="preserve">.  </w:t>
      </w:r>
      <w:r w:rsidRPr="006C1CB0">
        <w:rPr>
          <w:rFonts w:ascii="Palatino Linotype" w:hAnsi="Palatino Linotype"/>
          <w:bCs/>
          <w:sz w:val="22"/>
          <w:szCs w:val="22"/>
        </w:rPr>
        <w:t>Male students think science is beneficial, and were interested in technology, space and hardware</w:t>
      </w:r>
      <w:r w:rsidR="00F53CE5">
        <w:rPr>
          <w:rFonts w:ascii="Palatino Linotype" w:hAnsi="Palatino Linotype"/>
          <w:bCs/>
          <w:sz w:val="22"/>
          <w:szCs w:val="22"/>
        </w:rPr>
        <w:t xml:space="preserve">.  </w:t>
      </w:r>
      <w:r w:rsidRPr="006C1CB0">
        <w:rPr>
          <w:rFonts w:ascii="Palatino Linotype" w:hAnsi="Palatino Linotype"/>
          <w:bCs/>
          <w:sz w:val="22"/>
          <w:szCs w:val="22"/>
        </w:rPr>
        <w:t>They believe that science can solve human problems, but are less interested in ethical issues</w:t>
      </w:r>
      <w:r w:rsidR="00F53CE5">
        <w:rPr>
          <w:rFonts w:ascii="Palatino Linotype" w:hAnsi="Palatino Linotype"/>
          <w:bCs/>
          <w:sz w:val="22"/>
          <w:szCs w:val="22"/>
        </w:rPr>
        <w:t xml:space="preserve">.  </w:t>
      </w:r>
      <w:r w:rsidRPr="006C1CB0">
        <w:rPr>
          <w:rFonts w:ascii="Palatino Linotype" w:hAnsi="Palatino Linotype"/>
          <w:bCs/>
          <w:sz w:val="22"/>
          <w:szCs w:val="22"/>
        </w:rPr>
        <w:t>This led Haste to suggest that the very different characteristics point to a particular mismatch between female students’ preferences and the ways in which physical sciences may be portrayed in school science teaching</w:t>
      </w:r>
      <w:r w:rsidR="00F53CE5">
        <w:rPr>
          <w:rFonts w:ascii="Palatino Linotype" w:hAnsi="Palatino Linotype"/>
          <w:bCs/>
          <w:sz w:val="22"/>
          <w:szCs w:val="22"/>
        </w:rPr>
        <w:t xml:space="preserve">.  </w:t>
      </w:r>
      <w:r w:rsidRPr="006C1CB0">
        <w:rPr>
          <w:rFonts w:ascii="Palatino Linotype" w:hAnsi="Palatino Linotype"/>
          <w:bCs/>
          <w:sz w:val="22"/>
          <w:szCs w:val="22"/>
        </w:rPr>
        <w:t>In mathematics, Matthews and Pepper (2005) found enjoyment was likely to be cited by female students as the main reason for continuing their study of mathematics, and, whilst important for male students, was less influential than career intentions.</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Studies of students’ career aspirations show that many young people have a firmly held view of what they want to do early in their secondary schooling</w:t>
      </w:r>
      <w:r w:rsidR="00F53CE5">
        <w:rPr>
          <w:rFonts w:ascii="Palatino Linotype" w:hAnsi="Palatino Linotype"/>
          <w:bCs/>
          <w:sz w:val="22"/>
          <w:szCs w:val="22"/>
        </w:rPr>
        <w:t xml:space="preserve">.  </w:t>
      </w:r>
      <w:r w:rsidRPr="006C1CB0">
        <w:rPr>
          <w:rFonts w:ascii="Palatino Linotype" w:hAnsi="Palatino Linotype"/>
          <w:bCs/>
          <w:sz w:val="22"/>
          <w:szCs w:val="22"/>
        </w:rPr>
        <w:t>For example, the Institution of Mechanical Engineers (2010) report that 85% of students aged 11 already know what career they want to follow, and 65% have held this view for at least two years</w:t>
      </w:r>
      <w:r w:rsidR="00F53CE5">
        <w:rPr>
          <w:rFonts w:ascii="Palatino Linotype" w:hAnsi="Palatino Linotype"/>
          <w:bCs/>
          <w:sz w:val="22"/>
          <w:szCs w:val="22"/>
        </w:rPr>
        <w:t xml:space="preserve">.  </w:t>
      </w:r>
      <w:r w:rsidR="001F2D4A">
        <w:rPr>
          <w:rFonts w:ascii="Palatino Linotype" w:hAnsi="Palatino Linotype"/>
          <w:bCs/>
          <w:sz w:val="22"/>
          <w:szCs w:val="22"/>
        </w:rPr>
        <w:t xml:space="preserve">Archer </w:t>
      </w:r>
      <w:r w:rsidR="001F2D4A" w:rsidRPr="001F2D4A">
        <w:rPr>
          <w:rFonts w:ascii="Palatino Linotype" w:hAnsi="Palatino Linotype"/>
          <w:bCs/>
          <w:i/>
          <w:sz w:val="22"/>
          <w:szCs w:val="22"/>
        </w:rPr>
        <w:t>et al</w:t>
      </w:r>
      <w:r w:rsidR="001F2D4A">
        <w:rPr>
          <w:rFonts w:ascii="Palatino Linotype" w:hAnsi="Palatino Linotype"/>
          <w:bCs/>
          <w:sz w:val="22"/>
          <w:szCs w:val="22"/>
        </w:rPr>
        <w:t>. (2013) report similar findings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Few of the careers cited by these students involve </w:t>
      </w:r>
      <w:r w:rsidR="00BC353A">
        <w:rPr>
          <w:rFonts w:ascii="Palatino Linotype" w:hAnsi="Palatino Linotype"/>
          <w:bCs/>
          <w:sz w:val="22"/>
          <w:szCs w:val="22"/>
        </w:rPr>
        <w:t>mathematics and science</w:t>
      </w:r>
      <w:r w:rsidR="00F53CE5">
        <w:rPr>
          <w:rFonts w:ascii="Palatino Linotype" w:hAnsi="Palatino Linotype"/>
          <w:bCs/>
          <w:sz w:val="22"/>
          <w:szCs w:val="22"/>
        </w:rPr>
        <w:t xml:space="preserve">.  </w:t>
      </w:r>
      <w:r w:rsidRPr="006C1CB0">
        <w:rPr>
          <w:rFonts w:ascii="Palatino Linotype" w:hAnsi="Palatino Linotype"/>
          <w:bCs/>
          <w:sz w:val="22"/>
          <w:szCs w:val="22"/>
        </w:rPr>
        <w:t>Taken in conjunction with the findings of the Wellcome Trust Monitor (</w:t>
      </w:r>
      <w:proofErr w:type="spellStart"/>
      <w:r w:rsidRPr="006C1CB0">
        <w:rPr>
          <w:rFonts w:ascii="Palatino Linotype" w:hAnsi="Palatino Linotype"/>
          <w:bCs/>
          <w:sz w:val="22"/>
          <w:szCs w:val="22"/>
        </w:rPr>
        <w:t>Clemence</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xml:space="preserve">. 2013), which report just under two-thirds of young people saying they know </w:t>
      </w:r>
      <w:r w:rsidR="00173F1E" w:rsidRPr="006C1CB0">
        <w:rPr>
          <w:rFonts w:ascii="Palatino Linotype" w:hAnsi="Palatino Linotype"/>
          <w:bCs/>
          <w:sz w:val="22"/>
          <w:szCs w:val="22"/>
        </w:rPr>
        <w:t>little</w:t>
      </w:r>
      <w:r w:rsidRPr="006C1CB0">
        <w:rPr>
          <w:rFonts w:ascii="Palatino Linotype" w:hAnsi="Palatino Linotype"/>
          <w:bCs/>
          <w:sz w:val="22"/>
          <w:szCs w:val="22"/>
        </w:rPr>
        <w:t xml:space="preserve"> or nothing about STEM careers, </w:t>
      </w:r>
      <w:r w:rsidR="009B63CC">
        <w:rPr>
          <w:rFonts w:ascii="Palatino Linotype" w:hAnsi="Palatino Linotype"/>
          <w:bCs/>
          <w:sz w:val="22"/>
          <w:szCs w:val="22"/>
        </w:rPr>
        <w:t>suggesting that</w:t>
      </w:r>
      <w:r w:rsidRPr="006C1CB0">
        <w:rPr>
          <w:rFonts w:ascii="Palatino Linotype" w:hAnsi="Palatino Linotype"/>
          <w:bCs/>
          <w:sz w:val="22"/>
          <w:szCs w:val="22"/>
        </w:rPr>
        <w:t xml:space="preserve"> students are unconsciously passing decision points at age 14 and 16 which then rule them out of STEM careers</w:t>
      </w:r>
      <w:r w:rsidR="00F53CE5">
        <w:rPr>
          <w:rFonts w:ascii="Palatino Linotype" w:hAnsi="Palatino Linotype"/>
          <w:bCs/>
          <w:sz w:val="22"/>
          <w:szCs w:val="22"/>
        </w:rPr>
        <w:t xml:space="preserve">.  </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.10</w:t>
      </w:r>
      <w:r w:rsidR="006C1CB0" w:rsidRPr="006C1CB0">
        <w:rPr>
          <w:rFonts w:ascii="Palatino Linotype" w:hAnsi="Palatino Linotype"/>
          <w:bCs/>
          <w:i/>
          <w:sz w:val="22"/>
          <w:szCs w:val="22"/>
        </w:rPr>
        <w:tab/>
        <w:t>Teacher effects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 xml:space="preserve">All the evidence on teacher effects points to their significant influence on students’ attitudes to both </w:t>
      </w:r>
      <w:r w:rsidR="00BC353A">
        <w:rPr>
          <w:rFonts w:ascii="Palatino Linotype" w:hAnsi="Palatino Linotype"/>
          <w:bCs/>
          <w:sz w:val="22"/>
          <w:szCs w:val="22"/>
        </w:rPr>
        <w:t>mathematics and science</w:t>
      </w:r>
      <w:r w:rsidR="00F53CE5">
        <w:rPr>
          <w:rFonts w:ascii="Palatino Linotype" w:hAnsi="Palatino Linotype"/>
          <w:bCs/>
          <w:sz w:val="22"/>
          <w:szCs w:val="22"/>
        </w:rPr>
        <w:t xml:space="preserve">.  </w:t>
      </w:r>
      <w:r w:rsidRPr="006C1CB0">
        <w:rPr>
          <w:rFonts w:ascii="Palatino Linotype" w:hAnsi="Palatino Linotype"/>
          <w:bCs/>
          <w:sz w:val="22"/>
          <w:szCs w:val="22"/>
        </w:rPr>
        <w:t xml:space="preserve">Students see their science teachers as being influential in determining their response to science, particularly in the early years of secondary education (Osborne and Collins, 2001; Bennett and Hogarth, 2005; Archer </w:t>
      </w:r>
      <w:r w:rsidRPr="006C1CB0">
        <w:rPr>
          <w:rFonts w:ascii="Palatino Linotype" w:hAnsi="Palatino Linotype"/>
          <w:bCs/>
          <w:i/>
          <w:sz w:val="22"/>
          <w:szCs w:val="22"/>
        </w:rPr>
        <w:t>at al</w:t>
      </w:r>
      <w:r w:rsidRPr="006C1CB0">
        <w:rPr>
          <w:rFonts w:ascii="Palatino Linotype" w:hAnsi="Palatino Linotype"/>
          <w:bCs/>
          <w:sz w:val="22"/>
          <w:szCs w:val="22"/>
        </w:rPr>
        <w:t xml:space="preserve">., 2013; </w:t>
      </w:r>
      <w:proofErr w:type="spellStart"/>
      <w:r w:rsidRPr="006C1CB0">
        <w:rPr>
          <w:rFonts w:ascii="Palatino Linotype" w:hAnsi="Palatino Linotype"/>
          <w:bCs/>
          <w:sz w:val="22"/>
          <w:szCs w:val="22"/>
        </w:rPr>
        <w:t>Clemence</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xml:space="preserve">., 2013; </w:t>
      </w:r>
      <w:proofErr w:type="spellStart"/>
      <w:r w:rsidRPr="006C1CB0">
        <w:rPr>
          <w:rFonts w:ascii="Palatino Linotype" w:hAnsi="Palatino Linotype"/>
          <w:bCs/>
          <w:sz w:val="22"/>
          <w:szCs w:val="22"/>
        </w:rPr>
        <w:t>Mujtaba</w:t>
      </w:r>
      <w:proofErr w:type="spellEnd"/>
      <w:r w:rsidRPr="006C1CB0">
        <w:rPr>
          <w:rFonts w:ascii="Palatino Linotype" w:hAnsi="Palatino Linotype"/>
          <w:bCs/>
          <w:sz w:val="22"/>
          <w:szCs w:val="22"/>
        </w:rPr>
        <w:t xml:space="preserve"> and Reiss, in press)</w:t>
      </w:r>
      <w:r w:rsidR="00F53CE5">
        <w:rPr>
          <w:rFonts w:ascii="Palatino Linotype" w:hAnsi="Palatino Linotype"/>
          <w:bCs/>
          <w:sz w:val="22"/>
          <w:szCs w:val="22"/>
        </w:rPr>
        <w:t xml:space="preserve">.  </w:t>
      </w:r>
      <w:proofErr w:type="spellStart"/>
      <w:r w:rsidRPr="006C1CB0">
        <w:rPr>
          <w:rFonts w:ascii="Palatino Linotype" w:hAnsi="Palatino Linotype"/>
          <w:bCs/>
          <w:sz w:val="22"/>
          <w:szCs w:val="22"/>
        </w:rPr>
        <w:t>Cerini</w:t>
      </w:r>
      <w:proofErr w:type="spellEnd"/>
      <w:r w:rsidRPr="006C1CB0">
        <w:rPr>
          <w:rFonts w:ascii="Palatino Linotype" w:hAnsi="Palatino Linotype"/>
          <w:bCs/>
          <w:sz w:val="22"/>
          <w:szCs w:val="22"/>
        </w:rPr>
        <w:t xml:space="preserve"> </w:t>
      </w:r>
      <w:r w:rsidRPr="006C1CB0">
        <w:rPr>
          <w:rFonts w:ascii="Palatino Linotype" w:hAnsi="Palatino Linotype"/>
          <w:bCs/>
          <w:i/>
          <w:sz w:val="22"/>
          <w:szCs w:val="22"/>
        </w:rPr>
        <w:t>et al</w:t>
      </w:r>
      <w:r w:rsidRPr="006C1CB0">
        <w:rPr>
          <w:rFonts w:ascii="Palatino Linotype" w:hAnsi="Palatino Linotype"/>
          <w:bCs/>
          <w:sz w:val="22"/>
          <w:szCs w:val="22"/>
        </w:rPr>
        <w:t>. (2004) also reported students’ desire to be taught by subject specialists who are enthusiastic and knowledgeable</w:t>
      </w:r>
      <w:r w:rsidR="00F53CE5">
        <w:rPr>
          <w:rFonts w:ascii="Palatino Linotype" w:hAnsi="Palatino Linotype"/>
          <w:bCs/>
          <w:sz w:val="22"/>
          <w:szCs w:val="22"/>
        </w:rPr>
        <w:t xml:space="preserve">.  </w:t>
      </w:r>
      <w:r w:rsidR="00173F1E">
        <w:rPr>
          <w:rFonts w:ascii="Palatino Linotype" w:hAnsi="Palatino Linotype"/>
          <w:bCs/>
          <w:sz w:val="22"/>
          <w:szCs w:val="22"/>
        </w:rPr>
        <w:t>The responses are similar in</w:t>
      </w:r>
      <w:r w:rsidRPr="006C1CB0">
        <w:rPr>
          <w:rFonts w:ascii="Palatino Linotype" w:hAnsi="Palatino Linotype"/>
          <w:bCs/>
          <w:sz w:val="22"/>
          <w:szCs w:val="22"/>
        </w:rPr>
        <w:t xml:space="preserve"> mathematics, where teacher support and encouragement eme</w:t>
      </w:r>
      <w:r w:rsidR="00173F1E">
        <w:rPr>
          <w:rFonts w:ascii="Palatino Linotype" w:hAnsi="Palatino Linotype"/>
          <w:bCs/>
          <w:sz w:val="22"/>
          <w:szCs w:val="22"/>
        </w:rPr>
        <w:t>rge</w:t>
      </w:r>
      <w:r w:rsidRPr="006C1CB0">
        <w:rPr>
          <w:rFonts w:ascii="Palatino Linotype" w:hAnsi="Palatino Linotype"/>
          <w:bCs/>
          <w:sz w:val="22"/>
          <w:szCs w:val="22"/>
        </w:rPr>
        <w:t xml:space="preserve"> as particularly important in building confidence during lessons and in influencing study decisions post-16 (Matthews and Pepper, 2005)</w:t>
      </w:r>
      <w:r w:rsidR="00F53CE5">
        <w:rPr>
          <w:rFonts w:ascii="Palatino Linotype" w:hAnsi="Palatino Linotype"/>
          <w:bCs/>
          <w:sz w:val="22"/>
          <w:szCs w:val="22"/>
        </w:rPr>
        <w:t xml:space="preserve">.  </w:t>
      </w:r>
      <w:proofErr w:type="spellStart"/>
      <w:r w:rsidRPr="006C1CB0">
        <w:rPr>
          <w:rFonts w:ascii="Palatino Linotype" w:hAnsi="Palatino Linotype"/>
          <w:bCs/>
          <w:sz w:val="22"/>
          <w:szCs w:val="22"/>
        </w:rPr>
        <w:t>Nardi</w:t>
      </w:r>
      <w:proofErr w:type="spellEnd"/>
      <w:r w:rsidRPr="006C1CB0">
        <w:rPr>
          <w:rFonts w:ascii="Palatino Linotype" w:hAnsi="Palatino Linotype"/>
          <w:bCs/>
          <w:sz w:val="22"/>
          <w:szCs w:val="22"/>
        </w:rPr>
        <w:t xml:space="preserve"> and Steward (2003) also established that teacher effects </w:t>
      </w:r>
      <w:r w:rsidR="00173F1E">
        <w:rPr>
          <w:rFonts w:ascii="Palatino Linotype" w:hAnsi="Palatino Linotype"/>
          <w:bCs/>
          <w:sz w:val="22"/>
          <w:szCs w:val="22"/>
        </w:rPr>
        <w:t>a</w:t>
      </w:r>
      <w:r w:rsidRPr="006C1CB0">
        <w:rPr>
          <w:rFonts w:ascii="Palatino Linotype" w:hAnsi="Palatino Linotype"/>
          <w:bCs/>
          <w:sz w:val="22"/>
          <w:szCs w:val="22"/>
        </w:rPr>
        <w:t>re more influential than the use of any particular work scheme or textbooks in influencing students’ responses to mathematics</w:t>
      </w:r>
      <w:r w:rsidR="00F53CE5">
        <w:rPr>
          <w:rFonts w:ascii="Palatino Linotype" w:hAnsi="Palatino Linotype"/>
          <w:bCs/>
          <w:sz w:val="22"/>
          <w:szCs w:val="22"/>
        </w:rPr>
        <w:t xml:space="preserve">.  </w:t>
      </w:r>
      <w:r w:rsidRPr="006C1CB0">
        <w:rPr>
          <w:rFonts w:ascii="Palatino Linotype" w:hAnsi="Palatino Linotype"/>
          <w:bCs/>
          <w:sz w:val="22"/>
          <w:szCs w:val="22"/>
        </w:rPr>
        <w:t>Whilst</w:t>
      </w:r>
      <w:r w:rsidR="00173F1E">
        <w:rPr>
          <w:rFonts w:ascii="Palatino Linotype" w:hAnsi="Palatino Linotype"/>
          <w:bCs/>
          <w:sz w:val="22"/>
          <w:szCs w:val="22"/>
        </w:rPr>
        <w:t xml:space="preserve"> the majority of work identifies</w:t>
      </w:r>
      <w:r w:rsidRPr="006C1CB0">
        <w:rPr>
          <w:rFonts w:ascii="Palatino Linotype" w:hAnsi="Palatino Linotype"/>
          <w:bCs/>
          <w:sz w:val="22"/>
          <w:szCs w:val="22"/>
        </w:rPr>
        <w:t xml:space="preserve"> teachers as having a positive effect, Van Langen and Dekker (2005) found </w:t>
      </w:r>
      <w:r w:rsidR="009B63CC">
        <w:rPr>
          <w:rFonts w:ascii="Palatino Linotype" w:hAnsi="Palatino Linotype"/>
          <w:bCs/>
          <w:sz w:val="22"/>
          <w:szCs w:val="22"/>
        </w:rPr>
        <w:t xml:space="preserve">that </w:t>
      </w:r>
      <w:r w:rsidRPr="006C1CB0">
        <w:rPr>
          <w:rFonts w:ascii="Palatino Linotype" w:hAnsi="Palatino Linotype"/>
          <w:bCs/>
          <w:sz w:val="22"/>
          <w:szCs w:val="22"/>
        </w:rPr>
        <w:t>some STEM teachers, either deliberately or subconsciously, give the impression that their subjects are hard and further study is only for a clever elite.</w:t>
      </w:r>
    </w:p>
    <w:p w:rsidR="00173F1E" w:rsidRPr="00954D1A" w:rsidRDefault="00173F1E" w:rsidP="00D9487D">
      <w:pPr>
        <w:tabs>
          <w:tab w:val="clear" w:pos="567"/>
          <w:tab w:val="left" w:pos="720"/>
        </w:tabs>
        <w:spacing w:line="240" w:lineRule="auto"/>
        <w:jc w:val="both"/>
        <w:rPr>
          <w:rFonts w:ascii="Palatino Linotype" w:hAnsi="Palatino Linotype"/>
          <w:bCs/>
          <w:sz w:val="22"/>
          <w:szCs w:val="22"/>
        </w:rPr>
      </w:pPr>
    </w:p>
    <w:p w:rsidR="006C1CB0" w:rsidRPr="00954D1A" w:rsidRDefault="00EE2F79" w:rsidP="00D9487D">
      <w:pPr>
        <w:tabs>
          <w:tab w:val="clear" w:pos="567"/>
          <w:tab w:val="left" w:pos="720"/>
        </w:tabs>
        <w:spacing w:line="240" w:lineRule="auto"/>
        <w:jc w:val="both"/>
        <w:rPr>
          <w:rFonts w:ascii="Palatino Linotype" w:hAnsi="Palatino Linotype"/>
          <w:bCs/>
          <w:i/>
          <w:sz w:val="22"/>
          <w:szCs w:val="22"/>
        </w:rPr>
      </w:pPr>
      <w:r w:rsidRPr="00954D1A">
        <w:rPr>
          <w:rFonts w:ascii="Palatino Linotype" w:hAnsi="Palatino Linotype"/>
          <w:bCs/>
          <w:i/>
          <w:sz w:val="22"/>
          <w:szCs w:val="22"/>
        </w:rPr>
        <w:t>3.3</w:t>
      </w:r>
      <w:r w:rsidR="00996339" w:rsidRPr="00954D1A">
        <w:rPr>
          <w:rFonts w:ascii="Palatino Linotype" w:hAnsi="Palatino Linotype"/>
          <w:bCs/>
          <w:i/>
          <w:sz w:val="22"/>
          <w:szCs w:val="22"/>
        </w:rPr>
        <w:t>.11</w:t>
      </w:r>
      <w:r w:rsidR="006C1CB0" w:rsidRPr="00954D1A">
        <w:rPr>
          <w:rFonts w:ascii="Palatino Linotype" w:hAnsi="Palatino Linotype"/>
          <w:bCs/>
          <w:i/>
          <w:sz w:val="22"/>
          <w:szCs w:val="22"/>
        </w:rPr>
        <w:tab/>
        <w:t>Perceived difficulty of mathematics and science subjects</w:t>
      </w:r>
    </w:p>
    <w:p w:rsidR="006C1CB0" w:rsidRPr="00954D1A" w:rsidRDefault="006C1CB0" w:rsidP="00D9487D">
      <w:pPr>
        <w:tabs>
          <w:tab w:val="clear" w:pos="567"/>
          <w:tab w:val="left" w:pos="720"/>
        </w:tabs>
        <w:spacing w:line="240" w:lineRule="auto"/>
        <w:jc w:val="both"/>
        <w:rPr>
          <w:rFonts w:ascii="Palatino Linotype" w:hAnsi="Palatino Linotype"/>
          <w:bCs/>
          <w:sz w:val="22"/>
          <w:szCs w:val="22"/>
        </w:rPr>
      </w:pPr>
    </w:p>
    <w:p w:rsidR="006C1CB0" w:rsidRPr="00954D1A" w:rsidRDefault="006C1CB0" w:rsidP="00954D1A">
      <w:pPr>
        <w:tabs>
          <w:tab w:val="clear" w:pos="567"/>
          <w:tab w:val="left" w:pos="720"/>
        </w:tabs>
        <w:spacing w:line="240" w:lineRule="auto"/>
        <w:jc w:val="both"/>
        <w:rPr>
          <w:rFonts w:ascii="Palatino Linotype" w:hAnsi="Palatino Linotype"/>
          <w:bCs/>
          <w:sz w:val="22"/>
          <w:szCs w:val="22"/>
        </w:rPr>
      </w:pPr>
      <w:r w:rsidRPr="00954D1A">
        <w:rPr>
          <w:rFonts w:ascii="Palatino Linotype" w:hAnsi="Palatino Linotype"/>
          <w:bCs/>
          <w:sz w:val="22"/>
          <w:szCs w:val="22"/>
        </w:rPr>
        <w:lastRenderedPageBreak/>
        <w:t xml:space="preserve">The evidence on the difficulty, or perceived difficulty, of </w:t>
      </w:r>
      <w:r w:rsidR="00BC353A">
        <w:rPr>
          <w:rFonts w:ascii="Palatino Linotype" w:hAnsi="Palatino Linotype"/>
          <w:bCs/>
          <w:sz w:val="22"/>
          <w:szCs w:val="22"/>
        </w:rPr>
        <w:t>mathematics and science</w:t>
      </w:r>
      <w:r w:rsidRPr="00954D1A">
        <w:rPr>
          <w:rFonts w:ascii="Palatino Linotype" w:hAnsi="Palatino Linotype"/>
          <w:bCs/>
          <w:sz w:val="22"/>
          <w:szCs w:val="22"/>
        </w:rPr>
        <w:t>, and the subsequent impact on subject choice, is mixed</w:t>
      </w:r>
      <w:r w:rsidR="00F53CE5">
        <w:rPr>
          <w:rFonts w:ascii="Palatino Linotype" w:hAnsi="Palatino Linotype"/>
          <w:bCs/>
          <w:sz w:val="22"/>
          <w:szCs w:val="22"/>
        </w:rPr>
        <w:t xml:space="preserve">.  </w:t>
      </w:r>
      <w:r w:rsidRPr="00954D1A">
        <w:rPr>
          <w:rFonts w:ascii="Palatino Linotype" w:hAnsi="Palatino Linotype"/>
          <w:bCs/>
          <w:sz w:val="22"/>
          <w:szCs w:val="22"/>
        </w:rPr>
        <w:t xml:space="preserve">The majority of work suggests that many students </w:t>
      </w:r>
      <w:r w:rsidR="00954D1A" w:rsidRPr="00954D1A">
        <w:rPr>
          <w:rFonts w:ascii="Palatino Linotype" w:hAnsi="Palatino Linotype"/>
          <w:bCs/>
          <w:sz w:val="22"/>
          <w:szCs w:val="22"/>
        </w:rPr>
        <w:t>perceive the physical sciences and mathematics to be subjects that only a clever few can study</w:t>
      </w:r>
      <w:r w:rsidR="00F53CE5">
        <w:rPr>
          <w:rFonts w:ascii="Palatino Linotype" w:hAnsi="Palatino Linotype"/>
          <w:bCs/>
          <w:sz w:val="22"/>
          <w:szCs w:val="22"/>
        </w:rPr>
        <w:t xml:space="preserve">.  </w:t>
      </w:r>
      <w:r w:rsidR="00954D1A" w:rsidRPr="00954D1A">
        <w:rPr>
          <w:rFonts w:ascii="Palatino Linotype" w:hAnsi="Palatino Linotype"/>
          <w:bCs/>
          <w:sz w:val="22"/>
          <w:szCs w:val="22"/>
        </w:rPr>
        <w:t xml:space="preserve">Most </w:t>
      </w:r>
      <w:r w:rsidRPr="00954D1A">
        <w:rPr>
          <w:rFonts w:ascii="Palatino Linotype" w:hAnsi="Palatino Linotype"/>
          <w:bCs/>
          <w:sz w:val="22"/>
          <w:szCs w:val="22"/>
        </w:rPr>
        <w:t xml:space="preserve">report finding the subjects difficult, </w:t>
      </w:r>
      <w:r w:rsidR="009B63CC">
        <w:rPr>
          <w:rFonts w:ascii="Palatino Linotype" w:hAnsi="Palatino Linotype"/>
          <w:bCs/>
          <w:sz w:val="22"/>
          <w:szCs w:val="22"/>
        </w:rPr>
        <w:t>resulting in a</w:t>
      </w:r>
      <w:r w:rsidRPr="00954D1A">
        <w:rPr>
          <w:rFonts w:ascii="Palatino Linotype" w:hAnsi="Palatino Linotype"/>
          <w:bCs/>
          <w:sz w:val="22"/>
          <w:szCs w:val="22"/>
        </w:rPr>
        <w:t xml:space="preserve"> disi</w:t>
      </w:r>
      <w:r w:rsidR="009B63CC">
        <w:rPr>
          <w:rFonts w:ascii="Palatino Linotype" w:hAnsi="Palatino Linotype"/>
          <w:bCs/>
          <w:sz w:val="22"/>
          <w:szCs w:val="22"/>
        </w:rPr>
        <w:t>nclination</w:t>
      </w:r>
      <w:r w:rsidRPr="00954D1A">
        <w:rPr>
          <w:rFonts w:ascii="Palatino Linotype" w:hAnsi="Palatino Linotype"/>
          <w:bCs/>
          <w:sz w:val="22"/>
          <w:szCs w:val="22"/>
        </w:rPr>
        <w:t xml:space="preserve"> to consider studying the subjects beyond the period of compulsor</w:t>
      </w:r>
      <w:r w:rsidR="00F526E6" w:rsidRPr="00954D1A">
        <w:rPr>
          <w:rFonts w:ascii="Palatino Linotype" w:hAnsi="Palatino Linotype"/>
          <w:bCs/>
          <w:sz w:val="22"/>
          <w:szCs w:val="22"/>
        </w:rPr>
        <w:t xml:space="preserve">y schooling (e.g. for science: </w:t>
      </w:r>
      <w:r w:rsidRPr="00954D1A">
        <w:rPr>
          <w:rFonts w:ascii="Palatino Linotype" w:hAnsi="Palatino Linotype"/>
          <w:bCs/>
          <w:sz w:val="22"/>
          <w:szCs w:val="22"/>
        </w:rPr>
        <w:t>Osborne and Collins, 2001; OCR Examination Board, 2005; Lyons and Quinn, 2010</w:t>
      </w:r>
      <w:r w:rsidR="00954D1A" w:rsidRPr="00954D1A">
        <w:rPr>
          <w:rFonts w:ascii="Palatino Linotype" w:hAnsi="Palatino Linotype"/>
          <w:bCs/>
          <w:sz w:val="22"/>
          <w:szCs w:val="22"/>
        </w:rPr>
        <w:t xml:space="preserve">; Archer </w:t>
      </w:r>
      <w:r w:rsidR="00954D1A" w:rsidRPr="00954D1A">
        <w:rPr>
          <w:rFonts w:ascii="Palatino Linotype" w:hAnsi="Palatino Linotype"/>
          <w:bCs/>
          <w:i/>
          <w:sz w:val="22"/>
          <w:szCs w:val="22"/>
        </w:rPr>
        <w:t>et al</w:t>
      </w:r>
      <w:r w:rsidR="00954D1A" w:rsidRPr="00954D1A">
        <w:rPr>
          <w:rFonts w:ascii="Palatino Linotype" w:hAnsi="Palatino Linotype"/>
          <w:bCs/>
          <w:sz w:val="22"/>
          <w:szCs w:val="22"/>
        </w:rPr>
        <w:t>., 2013</w:t>
      </w:r>
      <w:r w:rsidRPr="00954D1A">
        <w:rPr>
          <w:rFonts w:ascii="Palatino Linotype" w:hAnsi="Palatino Linotype"/>
          <w:bCs/>
          <w:sz w:val="22"/>
          <w:szCs w:val="22"/>
        </w:rPr>
        <w:t xml:space="preserve">; for mathematics: </w:t>
      </w:r>
      <w:proofErr w:type="spellStart"/>
      <w:r w:rsidRPr="00954D1A">
        <w:rPr>
          <w:rFonts w:ascii="Palatino Linotype" w:hAnsi="Palatino Linotype"/>
          <w:bCs/>
          <w:sz w:val="22"/>
          <w:szCs w:val="22"/>
        </w:rPr>
        <w:t>Blenkinsop</w:t>
      </w:r>
      <w:proofErr w:type="spellEnd"/>
      <w:r w:rsidRPr="00954D1A">
        <w:rPr>
          <w:rFonts w:ascii="Palatino Linotype" w:hAnsi="Palatino Linotype"/>
          <w:bCs/>
          <w:sz w:val="22"/>
          <w:szCs w:val="22"/>
        </w:rPr>
        <w:t xml:space="preserve"> </w:t>
      </w:r>
      <w:r w:rsidRPr="00954D1A">
        <w:rPr>
          <w:rFonts w:ascii="Palatino Linotype" w:hAnsi="Palatino Linotype"/>
          <w:bCs/>
          <w:i/>
          <w:sz w:val="22"/>
          <w:szCs w:val="22"/>
        </w:rPr>
        <w:t>et al</w:t>
      </w:r>
      <w:r w:rsidRPr="00954D1A">
        <w:rPr>
          <w:rFonts w:ascii="Palatino Linotype" w:hAnsi="Palatino Linotype"/>
          <w:bCs/>
          <w:sz w:val="22"/>
          <w:szCs w:val="22"/>
        </w:rPr>
        <w:t>.,</w:t>
      </w:r>
      <w:r w:rsidRPr="00954D1A">
        <w:rPr>
          <w:rFonts w:ascii="Palatino Linotype" w:hAnsi="Palatino Linotype"/>
          <w:bCs/>
          <w:i/>
          <w:sz w:val="22"/>
          <w:szCs w:val="22"/>
        </w:rPr>
        <w:t xml:space="preserve"> </w:t>
      </w:r>
      <w:r w:rsidRPr="00954D1A">
        <w:rPr>
          <w:rFonts w:ascii="Palatino Linotype" w:hAnsi="Palatino Linotype"/>
          <w:bCs/>
          <w:sz w:val="22"/>
          <w:szCs w:val="22"/>
        </w:rPr>
        <w:t>2006)</w:t>
      </w:r>
      <w:r w:rsidR="003503D0">
        <w:rPr>
          <w:rFonts w:ascii="Palatino Linotype" w:hAnsi="Palatino Linotype"/>
          <w:bCs/>
          <w:sz w:val="22"/>
          <w:szCs w:val="22"/>
        </w:rPr>
        <w:t xml:space="preserve">.  </w:t>
      </w:r>
      <w:proofErr w:type="spellStart"/>
      <w:r w:rsidRPr="00954D1A">
        <w:rPr>
          <w:rFonts w:ascii="Palatino Linotype" w:hAnsi="Palatino Linotype"/>
          <w:bCs/>
          <w:sz w:val="22"/>
          <w:szCs w:val="22"/>
        </w:rPr>
        <w:t>Blenkinsop</w:t>
      </w:r>
      <w:proofErr w:type="spellEnd"/>
      <w:r w:rsidRPr="00954D1A">
        <w:rPr>
          <w:rFonts w:ascii="Palatino Linotype" w:hAnsi="Palatino Linotype"/>
          <w:bCs/>
          <w:sz w:val="22"/>
          <w:szCs w:val="22"/>
        </w:rPr>
        <w:t xml:space="preserve"> </w:t>
      </w:r>
      <w:r w:rsidRPr="00954D1A">
        <w:rPr>
          <w:rFonts w:ascii="Palatino Linotype" w:hAnsi="Palatino Linotype"/>
          <w:bCs/>
          <w:i/>
          <w:sz w:val="22"/>
          <w:szCs w:val="22"/>
        </w:rPr>
        <w:t>et al</w:t>
      </w:r>
      <w:r w:rsidRPr="00954D1A">
        <w:rPr>
          <w:rFonts w:ascii="Palatino Linotype" w:hAnsi="Palatino Linotype"/>
          <w:bCs/>
          <w:sz w:val="22"/>
          <w:szCs w:val="22"/>
        </w:rPr>
        <w:t>., (2006) also asked students to comment on the comparative difficulty of science, mathematics, English and languages, at age 14 and age 16</w:t>
      </w:r>
      <w:r w:rsidR="00F53CE5">
        <w:rPr>
          <w:rFonts w:ascii="Palatino Linotype" w:hAnsi="Palatino Linotype"/>
          <w:bCs/>
          <w:sz w:val="22"/>
          <w:szCs w:val="22"/>
        </w:rPr>
        <w:t xml:space="preserve">.  </w:t>
      </w:r>
      <w:r w:rsidR="00BC353A">
        <w:rPr>
          <w:rFonts w:ascii="Palatino Linotype" w:hAnsi="Palatino Linotype"/>
          <w:bCs/>
          <w:sz w:val="22"/>
          <w:szCs w:val="22"/>
        </w:rPr>
        <w:t>Mathematics and science</w:t>
      </w:r>
      <w:r w:rsidRPr="00954D1A">
        <w:rPr>
          <w:rFonts w:ascii="Palatino Linotype" w:hAnsi="Palatino Linotype"/>
          <w:bCs/>
          <w:sz w:val="22"/>
          <w:szCs w:val="22"/>
        </w:rPr>
        <w:t xml:space="preserve"> were seen as harder than English, but not as hard as languages, with all subjects other than English being reported as becoming harder from age 14 to age 16</w:t>
      </w:r>
      <w:r w:rsidR="00F53CE5">
        <w:rPr>
          <w:rFonts w:ascii="Palatino Linotype" w:hAnsi="Palatino Linotype"/>
          <w:bCs/>
          <w:sz w:val="22"/>
          <w:szCs w:val="22"/>
        </w:rPr>
        <w:t xml:space="preserve">.  </w:t>
      </w:r>
      <w:r w:rsidRPr="00954D1A">
        <w:rPr>
          <w:rFonts w:ascii="Palatino Linotype" w:hAnsi="Palatino Linotype"/>
          <w:bCs/>
          <w:sz w:val="22"/>
          <w:szCs w:val="22"/>
        </w:rPr>
        <w:t>There is evidence that suggests that these student perceptions</w:t>
      </w:r>
      <w:r w:rsidR="00F526E6" w:rsidRPr="00954D1A">
        <w:rPr>
          <w:rFonts w:ascii="Palatino Linotype" w:hAnsi="Palatino Linotype"/>
          <w:bCs/>
          <w:sz w:val="22"/>
          <w:szCs w:val="22"/>
        </w:rPr>
        <w:t xml:space="preserve"> of difficulty are</w:t>
      </w:r>
      <w:r w:rsidRPr="00954D1A">
        <w:rPr>
          <w:rFonts w:ascii="Palatino Linotype" w:hAnsi="Palatino Linotype"/>
          <w:bCs/>
          <w:sz w:val="22"/>
          <w:szCs w:val="22"/>
        </w:rPr>
        <w:t xml:space="preserve"> </w:t>
      </w:r>
      <w:r w:rsidR="00F526E6" w:rsidRPr="00954D1A">
        <w:rPr>
          <w:rFonts w:ascii="Palatino Linotype" w:hAnsi="Palatino Linotype"/>
          <w:bCs/>
          <w:sz w:val="22"/>
          <w:szCs w:val="22"/>
        </w:rPr>
        <w:t>reflected in examination performance</w:t>
      </w:r>
      <w:r w:rsidR="00F53CE5">
        <w:rPr>
          <w:rFonts w:ascii="Palatino Linotype" w:hAnsi="Palatino Linotype"/>
          <w:bCs/>
          <w:sz w:val="22"/>
          <w:szCs w:val="22"/>
        </w:rPr>
        <w:t xml:space="preserve">.  </w:t>
      </w:r>
      <w:r w:rsidRPr="00954D1A">
        <w:rPr>
          <w:rFonts w:ascii="Palatino Linotype" w:hAnsi="Palatino Linotype"/>
          <w:bCs/>
          <w:sz w:val="22"/>
          <w:szCs w:val="22"/>
        </w:rPr>
        <w:t>For example, the Curriculum Evaluation and Management (CEM) Centre at the University of Durham has undertaken extensive analysis of its databank on examination entries, drawing on methods originally developed by Fitzgibbon and Vincent (1994)</w:t>
      </w:r>
      <w:r w:rsidR="00F53CE5">
        <w:rPr>
          <w:rFonts w:ascii="Palatino Linotype" w:hAnsi="Palatino Linotype"/>
          <w:bCs/>
          <w:sz w:val="22"/>
          <w:szCs w:val="22"/>
        </w:rPr>
        <w:t xml:space="preserve">.  </w:t>
      </w:r>
      <w:r w:rsidRPr="00954D1A">
        <w:rPr>
          <w:rFonts w:ascii="Palatino Linotype" w:hAnsi="Palatino Linotype"/>
          <w:bCs/>
          <w:sz w:val="22"/>
          <w:szCs w:val="22"/>
        </w:rPr>
        <w:t xml:space="preserve">Data on GCSE examination entries at age 16 show that a higher percentage of students are awarded grades A*-C in English and history than in </w:t>
      </w:r>
      <w:r w:rsidR="00BC353A">
        <w:rPr>
          <w:rFonts w:ascii="Palatino Linotype" w:hAnsi="Palatino Linotype"/>
          <w:bCs/>
          <w:sz w:val="22"/>
          <w:szCs w:val="22"/>
        </w:rPr>
        <w:t>mathematics and science</w:t>
      </w:r>
      <w:r w:rsidR="00F53CE5">
        <w:rPr>
          <w:rFonts w:ascii="Palatino Linotype" w:hAnsi="Palatino Linotype"/>
          <w:bCs/>
          <w:sz w:val="22"/>
          <w:szCs w:val="22"/>
        </w:rPr>
        <w:t xml:space="preserve">.  </w:t>
      </w:r>
      <w:r w:rsidR="001F2D4A">
        <w:rPr>
          <w:rFonts w:ascii="Palatino Linotype" w:hAnsi="Palatino Linotype"/>
          <w:bCs/>
          <w:sz w:val="22"/>
          <w:szCs w:val="22"/>
        </w:rPr>
        <w:t xml:space="preserve">At A-level, </w:t>
      </w:r>
      <w:r w:rsidRPr="00954D1A">
        <w:rPr>
          <w:rFonts w:ascii="Palatino Linotype" w:hAnsi="Palatino Linotype"/>
          <w:bCs/>
          <w:sz w:val="22"/>
          <w:szCs w:val="22"/>
        </w:rPr>
        <w:t xml:space="preserve">the subjects in which it is hardest to achieve the highest grades are the sciences, modern foreign languages and mathematics (Coe </w:t>
      </w:r>
      <w:r w:rsidRPr="00954D1A">
        <w:rPr>
          <w:rFonts w:ascii="Palatino Linotype" w:hAnsi="Palatino Linotype"/>
          <w:bCs/>
          <w:i/>
          <w:sz w:val="22"/>
          <w:szCs w:val="22"/>
        </w:rPr>
        <w:t>et al</w:t>
      </w:r>
      <w:r w:rsidRPr="00954D1A">
        <w:rPr>
          <w:rFonts w:ascii="Palatino Linotype" w:hAnsi="Palatino Linotype"/>
          <w:bCs/>
          <w:sz w:val="22"/>
          <w:szCs w:val="22"/>
        </w:rPr>
        <w:t>., 2008)</w:t>
      </w:r>
      <w:r w:rsidR="00F53CE5">
        <w:rPr>
          <w:rFonts w:ascii="Palatino Linotype" w:hAnsi="Palatino Linotype"/>
          <w:bCs/>
          <w:sz w:val="22"/>
          <w:szCs w:val="22"/>
        </w:rPr>
        <w:t xml:space="preserve">.  </w:t>
      </w:r>
      <w:r w:rsidRPr="00954D1A">
        <w:rPr>
          <w:rFonts w:ascii="Palatino Linotype" w:hAnsi="Palatino Linotype"/>
          <w:bCs/>
          <w:sz w:val="22"/>
          <w:szCs w:val="22"/>
        </w:rPr>
        <w:t xml:space="preserve">A more complex analytical procedure undertaken at the CEM </w:t>
      </w:r>
      <w:proofErr w:type="gramStart"/>
      <w:r w:rsidRPr="00954D1A">
        <w:rPr>
          <w:rFonts w:ascii="Palatino Linotype" w:hAnsi="Palatino Linotype"/>
          <w:bCs/>
          <w:sz w:val="22"/>
          <w:szCs w:val="22"/>
        </w:rPr>
        <w:t>centre,</w:t>
      </w:r>
      <w:proofErr w:type="gramEnd"/>
      <w:r w:rsidRPr="00954D1A">
        <w:rPr>
          <w:rFonts w:ascii="Palatino Linotype" w:hAnsi="Palatino Linotype"/>
          <w:bCs/>
          <w:sz w:val="22"/>
          <w:szCs w:val="22"/>
        </w:rPr>
        <w:t xml:space="preserve"> looks at subject grading on the basis of a number of comparative indicators such as the performance of students taking particular pairs of subjects</w:t>
      </w:r>
      <w:r w:rsidR="00F53CE5">
        <w:rPr>
          <w:rFonts w:ascii="Palatino Linotype" w:hAnsi="Palatino Linotype"/>
          <w:bCs/>
          <w:sz w:val="22"/>
          <w:szCs w:val="22"/>
        </w:rPr>
        <w:t xml:space="preserve">.  </w:t>
      </w:r>
      <w:r w:rsidRPr="00954D1A">
        <w:rPr>
          <w:rFonts w:ascii="Palatino Linotype" w:hAnsi="Palatino Linotype"/>
          <w:bCs/>
          <w:sz w:val="22"/>
          <w:szCs w:val="22"/>
        </w:rPr>
        <w:t>Chemistry, physics and mathematics have consistently emerged as the most difficult subjects in that students are less likely to achieve higher grades in these subjects than in others</w:t>
      </w:r>
      <w:r w:rsidR="00F53CE5">
        <w:rPr>
          <w:rFonts w:ascii="Palatino Linotype" w:hAnsi="Palatino Linotype"/>
          <w:bCs/>
          <w:sz w:val="22"/>
          <w:szCs w:val="22"/>
        </w:rPr>
        <w:t xml:space="preserve">.  </w:t>
      </w:r>
    </w:p>
    <w:p w:rsidR="006C1CB0" w:rsidRPr="00954D1A" w:rsidRDefault="006C1CB0" w:rsidP="00D9487D">
      <w:pPr>
        <w:tabs>
          <w:tab w:val="clear" w:pos="567"/>
          <w:tab w:val="left" w:pos="720"/>
        </w:tabs>
        <w:spacing w:line="240" w:lineRule="auto"/>
        <w:jc w:val="both"/>
        <w:rPr>
          <w:rFonts w:ascii="Palatino Linotype" w:hAnsi="Palatino Linotype"/>
          <w:bCs/>
          <w:i/>
          <w:sz w:val="22"/>
          <w:szCs w:val="22"/>
        </w:rPr>
      </w:pPr>
    </w:p>
    <w:p w:rsidR="006C1CB0" w:rsidRPr="00954D1A" w:rsidRDefault="00EE2F79" w:rsidP="00D9487D">
      <w:pPr>
        <w:tabs>
          <w:tab w:val="clear" w:pos="567"/>
          <w:tab w:val="left" w:pos="720"/>
        </w:tabs>
        <w:spacing w:line="240" w:lineRule="auto"/>
        <w:jc w:val="both"/>
        <w:rPr>
          <w:rFonts w:ascii="Palatino Linotype" w:hAnsi="Palatino Linotype"/>
          <w:bCs/>
          <w:i/>
          <w:sz w:val="22"/>
          <w:szCs w:val="22"/>
        </w:rPr>
      </w:pPr>
      <w:r w:rsidRPr="00954D1A">
        <w:rPr>
          <w:rFonts w:ascii="Palatino Linotype" w:hAnsi="Palatino Linotype"/>
          <w:bCs/>
          <w:i/>
          <w:sz w:val="22"/>
          <w:szCs w:val="22"/>
        </w:rPr>
        <w:t>3.3</w:t>
      </w:r>
      <w:r w:rsidR="006C1CB0" w:rsidRPr="00954D1A">
        <w:rPr>
          <w:rFonts w:ascii="Palatino Linotype" w:hAnsi="Palatino Linotype"/>
          <w:bCs/>
          <w:i/>
          <w:sz w:val="22"/>
          <w:szCs w:val="22"/>
        </w:rPr>
        <w:t>.1</w:t>
      </w:r>
      <w:r w:rsidR="00996339" w:rsidRPr="00954D1A">
        <w:rPr>
          <w:rFonts w:ascii="Palatino Linotype" w:hAnsi="Palatino Linotype"/>
          <w:bCs/>
          <w:i/>
          <w:sz w:val="22"/>
          <w:szCs w:val="22"/>
        </w:rPr>
        <w:t>2</w:t>
      </w:r>
      <w:r w:rsidR="006C1CB0" w:rsidRPr="00954D1A">
        <w:rPr>
          <w:rFonts w:ascii="Palatino Linotype" w:hAnsi="Palatino Linotype"/>
          <w:bCs/>
          <w:i/>
          <w:sz w:val="22"/>
          <w:szCs w:val="22"/>
        </w:rPr>
        <w:tab/>
        <w:t>Self-efficacy in relation to mathematics and science subjects</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Exploring links between self-efficacy and engagement and participation is a relatively new area of work in relation to science, though more established and extensive in relation to mathematics</w:t>
      </w:r>
      <w:r w:rsidR="00F53CE5">
        <w:rPr>
          <w:rFonts w:ascii="Palatino Linotype" w:hAnsi="Palatino Linotype"/>
          <w:bCs/>
          <w:sz w:val="22"/>
          <w:szCs w:val="22"/>
        </w:rPr>
        <w:t xml:space="preserve">.  </w:t>
      </w:r>
      <w:r w:rsidRPr="006C1CB0">
        <w:rPr>
          <w:rFonts w:ascii="Palatino Linotype" w:hAnsi="Palatino Linotype"/>
          <w:bCs/>
          <w:sz w:val="22"/>
          <w:szCs w:val="22"/>
        </w:rPr>
        <w:t>Self-efficacy is concerned with the extent to which individuals believe they have the ability to perform specific tasks (Bandura, 1997)</w:t>
      </w:r>
      <w:r w:rsidR="00F53CE5">
        <w:rPr>
          <w:rFonts w:ascii="Palatino Linotype" w:hAnsi="Palatino Linotype"/>
          <w:bCs/>
          <w:sz w:val="22"/>
          <w:szCs w:val="22"/>
        </w:rPr>
        <w:t xml:space="preserve">.  </w:t>
      </w:r>
      <w:r w:rsidRPr="006C1CB0">
        <w:rPr>
          <w:rFonts w:ascii="Palatino Linotype" w:hAnsi="Palatino Linotype"/>
          <w:bCs/>
          <w:sz w:val="22"/>
          <w:szCs w:val="22"/>
        </w:rPr>
        <w:t>Students’ learning experiences play an important part in their notions of self-efficacy</w:t>
      </w:r>
      <w:r w:rsidR="00F53CE5">
        <w:rPr>
          <w:rFonts w:ascii="Palatino Linotype" w:hAnsi="Palatino Linotype"/>
          <w:bCs/>
          <w:sz w:val="22"/>
          <w:szCs w:val="22"/>
        </w:rPr>
        <w:t xml:space="preserve">.  </w:t>
      </w:r>
      <w:r w:rsidRPr="006C1CB0">
        <w:rPr>
          <w:rFonts w:ascii="Palatino Linotype" w:hAnsi="Palatino Linotype"/>
          <w:bCs/>
          <w:sz w:val="22"/>
          <w:szCs w:val="22"/>
        </w:rPr>
        <w:t>Self-efficacy is seen as an important predictor of success with learning which, in turn, may be linked to increased levels of engagement.</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t>PISA has looked at self-efficacy in science (</w:t>
      </w:r>
      <w:r w:rsidR="00A67D1A">
        <w:rPr>
          <w:rFonts w:ascii="Palatino Linotype" w:hAnsi="Palatino Linotype"/>
          <w:bCs/>
          <w:sz w:val="22"/>
          <w:szCs w:val="22"/>
        </w:rPr>
        <w:t>OECD</w:t>
      </w:r>
      <w:r w:rsidRPr="006C1CB0">
        <w:rPr>
          <w:rFonts w:ascii="Palatino Linotype" w:hAnsi="Palatino Linotype"/>
          <w:bCs/>
          <w:sz w:val="22"/>
          <w:szCs w:val="22"/>
        </w:rPr>
        <w:t>, 2007)</w:t>
      </w:r>
      <w:r w:rsidR="00F53CE5">
        <w:rPr>
          <w:rFonts w:ascii="Palatino Linotype" w:hAnsi="Palatino Linotype"/>
          <w:bCs/>
          <w:sz w:val="22"/>
          <w:szCs w:val="22"/>
        </w:rPr>
        <w:t xml:space="preserve">.  </w:t>
      </w:r>
      <w:r w:rsidRPr="006C1CB0">
        <w:rPr>
          <w:rFonts w:ascii="Palatino Linotype" w:hAnsi="Palatino Linotype"/>
          <w:bCs/>
          <w:sz w:val="22"/>
          <w:szCs w:val="22"/>
        </w:rPr>
        <w:t>Questions were included to address students’ belief both in whether they can handle tasks and overcome difficulties in science (self-efficacy) and in their academic abilities (self-concept)</w:t>
      </w:r>
      <w:r w:rsidR="00F53CE5">
        <w:rPr>
          <w:rFonts w:ascii="Palatino Linotype" w:hAnsi="Palatino Linotype"/>
          <w:bCs/>
          <w:sz w:val="22"/>
          <w:szCs w:val="22"/>
        </w:rPr>
        <w:t xml:space="preserve">.  </w:t>
      </w:r>
      <w:r w:rsidRPr="006C1CB0">
        <w:rPr>
          <w:rFonts w:ascii="Palatino Linotype" w:hAnsi="Palatino Linotype"/>
          <w:bCs/>
          <w:sz w:val="22"/>
          <w:szCs w:val="22"/>
        </w:rPr>
        <w:t>The findings indicate that self-efficacy is closely related to performance, with strong gender differences in the patter</w:t>
      </w:r>
      <w:r w:rsidR="002F106C">
        <w:rPr>
          <w:rFonts w:ascii="Palatino Linotype" w:hAnsi="Palatino Linotype"/>
          <w:bCs/>
          <w:sz w:val="22"/>
          <w:szCs w:val="22"/>
        </w:rPr>
        <w:t>n</w:t>
      </w:r>
      <w:r w:rsidRPr="006C1CB0">
        <w:rPr>
          <w:rFonts w:ascii="Palatino Linotype" w:hAnsi="Palatino Linotype"/>
          <w:bCs/>
          <w:sz w:val="22"/>
          <w:szCs w:val="22"/>
        </w:rPr>
        <w:t xml:space="preserve"> of responses: in 22 of the 30 OECD countries in the survey, including the UK, males thought significantly more highly of their abilities in science than females</w:t>
      </w:r>
      <w:r w:rsidR="00F53CE5">
        <w:rPr>
          <w:rFonts w:ascii="Palatino Linotype" w:hAnsi="Palatino Linotype"/>
          <w:bCs/>
          <w:sz w:val="22"/>
          <w:szCs w:val="22"/>
        </w:rPr>
        <w:t xml:space="preserve">.  </w:t>
      </w:r>
      <w:r w:rsidRPr="006C1CB0">
        <w:rPr>
          <w:rFonts w:ascii="Palatino Linotype" w:hAnsi="Palatino Linotype"/>
          <w:bCs/>
          <w:sz w:val="22"/>
          <w:szCs w:val="22"/>
        </w:rPr>
        <w:t>Lyons and Quinn (2010) found self-efficacy to be an important influence on choice, particularly for girls, who have lower self-efficacy than boys and are particularly sensitive to anticipated difficulties in chemistry and physics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Tsai </w:t>
      </w:r>
      <w:r w:rsidRPr="006C1CB0">
        <w:rPr>
          <w:rFonts w:ascii="Palatino Linotype" w:hAnsi="Palatino Linotype"/>
          <w:bCs/>
          <w:i/>
          <w:sz w:val="22"/>
          <w:szCs w:val="22"/>
        </w:rPr>
        <w:t>et al</w:t>
      </w:r>
      <w:r w:rsidRPr="006C1CB0">
        <w:rPr>
          <w:rFonts w:ascii="Palatino Linotype" w:hAnsi="Palatino Linotype"/>
          <w:bCs/>
          <w:sz w:val="22"/>
          <w:szCs w:val="22"/>
        </w:rPr>
        <w:t>. (2011) have also suggested a link between students’ self-efficacy and the learning of science concepts</w:t>
      </w:r>
      <w:r w:rsidR="00F53CE5">
        <w:rPr>
          <w:rFonts w:ascii="Palatino Linotype" w:hAnsi="Palatino Linotype"/>
          <w:bCs/>
          <w:sz w:val="22"/>
          <w:szCs w:val="22"/>
        </w:rPr>
        <w:t xml:space="preserve">.  </w:t>
      </w:r>
      <w:r w:rsidRPr="006C1CB0">
        <w:rPr>
          <w:rFonts w:ascii="Palatino Linotype" w:hAnsi="Palatino Linotype"/>
          <w:bCs/>
          <w:sz w:val="22"/>
          <w:szCs w:val="22"/>
        </w:rPr>
        <w:t xml:space="preserve">However, Gorard </w:t>
      </w:r>
      <w:r w:rsidRPr="006C1CB0">
        <w:rPr>
          <w:rFonts w:ascii="Palatino Linotype" w:hAnsi="Palatino Linotype"/>
          <w:bCs/>
          <w:i/>
          <w:sz w:val="22"/>
          <w:szCs w:val="22"/>
        </w:rPr>
        <w:t>et al</w:t>
      </w:r>
      <w:r w:rsidRPr="006C1CB0">
        <w:rPr>
          <w:rFonts w:ascii="Palatino Linotype" w:hAnsi="Palatino Linotype"/>
          <w:bCs/>
          <w:sz w:val="22"/>
          <w:szCs w:val="22"/>
        </w:rPr>
        <w:t>. (2012) suggest that there is currently insufficient evidence</w:t>
      </w:r>
      <w:r w:rsidR="001871EF">
        <w:rPr>
          <w:rFonts w:ascii="Palatino Linotype" w:hAnsi="Palatino Linotype"/>
          <w:bCs/>
          <w:sz w:val="22"/>
          <w:szCs w:val="22"/>
        </w:rPr>
        <w:t xml:space="preserve"> from high quality studies</w:t>
      </w:r>
      <w:r w:rsidRPr="006C1CB0">
        <w:rPr>
          <w:rFonts w:ascii="Palatino Linotype" w:hAnsi="Palatino Linotype"/>
          <w:bCs/>
          <w:sz w:val="22"/>
          <w:szCs w:val="22"/>
        </w:rPr>
        <w:t xml:space="preserve"> to support the notion that self-efficacy influences attainment or later participation in science.</w:t>
      </w: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p>
    <w:p w:rsidR="006C1CB0" w:rsidRPr="006C1CB0" w:rsidRDefault="006C1CB0" w:rsidP="00D9487D">
      <w:pPr>
        <w:tabs>
          <w:tab w:val="clear" w:pos="567"/>
          <w:tab w:val="left" w:pos="720"/>
        </w:tabs>
        <w:spacing w:line="240" w:lineRule="auto"/>
        <w:jc w:val="both"/>
        <w:rPr>
          <w:rFonts w:ascii="Palatino Linotype" w:hAnsi="Palatino Linotype"/>
          <w:bCs/>
          <w:sz w:val="22"/>
          <w:szCs w:val="22"/>
        </w:rPr>
      </w:pPr>
      <w:r w:rsidRPr="006C1CB0">
        <w:rPr>
          <w:rFonts w:ascii="Palatino Linotype" w:hAnsi="Palatino Linotype"/>
          <w:bCs/>
          <w:sz w:val="22"/>
          <w:szCs w:val="22"/>
        </w:rPr>
        <w:lastRenderedPageBreak/>
        <w:t>PISA has also looked at se</w:t>
      </w:r>
      <w:r w:rsidR="002900BA">
        <w:rPr>
          <w:rFonts w:ascii="Palatino Linotype" w:hAnsi="Palatino Linotype"/>
          <w:bCs/>
          <w:sz w:val="22"/>
          <w:szCs w:val="22"/>
        </w:rPr>
        <w:t>lf-efficacy in mathematics (OECD</w:t>
      </w:r>
      <w:r w:rsidRPr="006C1CB0">
        <w:rPr>
          <w:rFonts w:ascii="Palatino Linotype" w:hAnsi="Palatino Linotype"/>
          <w:bCs/>
          <w:sz w:val="22"/>
          <w:szCs w:val="22"/>
        </w:rPr>
        <w:t>, 2003), where findings point to a lack of confidence in mathematical abili</w:t>
      </w:r>
      <w:r w:rsidR="00AC5651">
        <w:rPr>
          <w:rFonts w:ascii="Palatino Linotype" w:hAnsi="Palatino Linotype"/>
          <w:bCs/>
          <w:sz w:val="22"/>
          <w:szCs w:val="22"/>
        </w:rPr>
        <w:t>ties, with 50% of male students</w:t>
      </w:r>
      <w:r w:rsidRPr="006C1CB0">
        <w:rPr>
          <w:rFonts w:ascii="Palatino Linotype" w:hAnsi="Palatino Linotype"/>
          <w:bCs/>
          <w:sz w:val="22"/>
          <w:szCs w:val="22"/>
        </w:rPr>
        <w:t xml:space="preserve"> </w:t>
      </w:r>
      <w:r w:rsidR="00AC5651">
        <w:rPr>
          <w:rFonts w:ascii="Palatino Linotype" w:hAnsi="Palatino Linotype"/>
          <w:bCs/>
          <w:sz w:val="22"/>
          <w:szCs w:val="22"/>
        </w:rPr>
        <w:t>and over 60% of female students reporting</w:t>
      </w:r>
      <w:r w:rsidRPr="006C1CB0">
        <w:rPr>
          <w:rFonts w:ascii="Palatino Linotype" w:hAnsi="Palatino Linotype"/>
          <w:bCs/>
          <w:sz w:val="22"/>
          <w:szCs w:val="22"/>
        </w:rPr>
        <w:t xml:space="preserve"> feeling concerned and anxious about their abilities in the subject</w:t>
      </w:r>
      <w:r w:rsidR="00F53CE5">
        <w:rPr>
          <w:rFonts w:ascii="Palatino Linotype" w:hAnsi="Palatino Linotype"/>
          <w:bCs/>
          <w:sz w:val="22"/>
          <w:szCs w:val="22"/>
        </w:rPr>
        <w:t xml:space="preserve">.  </w:t>
      </w:r>
      <w:r w:rsidRPr="006C1CB0">
        <w:rPr>
          <w:rFonts w:ascii="Palatino Linotype" w:hAnsi="Palatino Linotype"/>
          <w:bCs/>
          <w:sz w:val="22"/>
          <w:szCs w:val="22"/>
        </w:rPr>
        <w:t>There was also a very strong link between self-efficacy and performance, with students who felt confident about their mathematical abilities performing best in the PISA assessment items</w:t>
      </w:r>
      <w:r w:rsidR="00F53CE5">
        <w:rPr>
          <w:rFonts w:ascii="Palatino Linotype" w:hAnsi="Palatino Linotype"/>
          <w:bCs/>
          <w:sz w:val="22"/>
          <w:szCs w:val="22"/>
        </w:rPr>
        <w:t xml:space="preserve">.  </w:t>
      </w:r>
      <w:r w:rsidRPr="006C1CB0">
        <w:rPr>
          <w:rFonts w:ascii="Palatino Linotype" w:hAnsi="Palatino Linotype"/>
          <w:bCs/>
          <w:sz w:val="22"/>
          <w:szCs w:val="22"/>
        </w:rPr>
        <w:t>Similar findings have emerged from a number of other studies (e.g. Williams and Williams, 2010; Wang, 2012; Lewis, 2013), which have also pointed to links between self-efficacy and post-compulsory engagement</w:t>
      </w:r>
      <w:r w:rsidR="00F53CE5">
        <w:rPr>
          <w:rFonts w:ascii="Palatino Linotype" w:hAnsi="Palatino Linotype"/>
          <w:bCs/>
          <w:sz w:val="22"/>
          <w:szCs w:val="22"/>
        </w:rPr>
        <w:t xml:space="preserve">.  </w:t>
      </w:r>
    </w:p>
    <w:p w:rsidR="006C1CB0" w:rsidRPr="00D9487D" w:rsidRDefault="006C1CB0" w:rsidP="00D9487D">
      <w:pPr>
        <w:tabs>
          <w:tab w:val="clear" w:pos="567"/>
          <w:tab w:val="left" w:pos="720"/>
        </w:tabs>
        <w:spacing w:line="240" w:lineRule="auto"/>
        <w:jc w:val="both"/>
        <w:rPr>
          <w:rFonts w:ascii="Palatino Linotype" w:hAnsi="Palatino Linotype"/>
          <w:bCs/>
          <w:sz w:val="22"/>
          <w:szCs w:val="22"/>
        </w:rPr>
      </w:pPr>
    </w:p>
    <w:p w:rsidR="006C1CB0" w:rsidRPr="00D9487D" w:rsidRDefault="00EE2F79" w:rsidP="00D9487D">
      <w:pPr>
        <w:tabs>
          <w:tab w:val="clear" w:pos="567"/>
          <w:tab w:val="left" w:pos="720"/>
        </w:tabs>
        <w:spacing w:line="240" w:lineRule="auto"/>
        <w:jc w:val="both"/>
        <w:rPr>
          <w:rFonts w:ascii="Palatino Linotype" w:hAnsi="Palatino Linotype"/>
          <w:bCs/>
          <w:i/>
          <w:sz w:val="22"/>
          <w:szCs w:val="22"/>
        </w:rPr>
      </w:pPr>
      <w:r>
        <w:rPr>
          <w:rFonts w:ascii="Palatino Linotype" w:hAnsi="Palatino Linotype"/>
          <w:bCs/>
          <w:i/>
          <w:sz w:val="22"/>
          <w:szCs w:val="22"/>
        </w:rPr>
        <w:t>3.3</w:t>
      </w:r>
      <w:r w:rsidR="00996339">
        <w:rPr>
          <w:rFonts w:ascii="Palatino Linotype" w:hAnsi="Palatino Linotype"/>
          <w:bCs/>
          <w:i/>
          <w:sz w:val="22"/>
          <w:szCs w:val="22"/>
        </w:rPr>
        <w:t>.13</w:t>
      </w:r>
      <w:r w:rsidR="006C1CB0" w:rsidRPr="00D9487D">
        <w:rPr>
          <w:rFonts w:ascii="Palatino Linotype" w:hAnsi="Palatino Linotype"/>
          <w:bCs/>
          <w:i/>
          <w:sz w:val="22"/>
          <w:szCs w:val="22"/>
        </w:rPr>
        <w:tab/>
      </w:r>
      <w:proofErr w:type="gramStart"/>
      <w:r w:rsidR="006C1CB0" w:rsidRPr="00D9487D">
        <w:rPr>
          <w:rFonts w:ascii="Palatino Linotype" w:hAnsi="Palatino Linotype"/>
          <w:bCs/>
          <w:i/>
          <w:sz w:val="22"/>
          <w:szCs w:val="22"/>
        </w:rPr>
        <w:t>Other</w:t>
      </w:r>
      <w:proofErr w:type="gramEnd"/>
      <w:r w:rsidR="006C1CB0" w:rsidRPr="00D9487D">
        <w:rPr>
          <w:rFonts w:ascii="Palatino Linotype" w:hAnsi="Palatino Linotype"/>
          <w:bCs/>
          <w:i/>
          <w:sz w:val="22"/>
          <w:szCs w:val="22"/>
        </w:rPr>
        <w:t xml:space="preserve"> areas of activity</w:t>
      </w:r>
    </w:p>
    <w:p w:rsidR="006C1CB0" w:rsidRPr="00D9487D" w:rsidRDefault="006C1CB0" w:rsidP="00D9487D">
      <w:pPr>
        <w:tabs>
          <w:tab w:val="clear" w:pos="567"/>
          <w:tab w:val="left" w:pos="720"/>
        </w:tabs>
        <w:spacing w:line="240" w:lineRule="auto"/>
        <w:jc w:val="both"/>
        <w:rPr>
          <w:rFonts w:ascii="Palatino Linotype" w:hAnsi="Palatino Linotype"/>
          <w:bCs/>
          <w:sz w:val="22"/>
          <w:szCs w:val="22"/>
        </w:rPr>
      </w:pPr>
    </w:p>
    <w:p w:rsidR="006C1CB0" w:rsidRDefault="006C1CB0" w:rsidP="00D9487D">
      <w:pPr>
        <w:tabs>
          <w:tab w:val="clear" w:pos="567"/>
          <w:tab w:val="left" w:pos="720"/>
        </w:tabs>
        <w:spacing w:line="240" w:lineRule="auto"/>
        <w:jc w:val="both"/>
        <w:rPr>
          <w:rFonts w:ascii="Palatino Linotype" w:hAnsi="Palatino Linotype"/>
          <w:bCs/>
          <w:sz w:val="22"/>
          <w:szCs w:val="22"/>
        </w:rPr>
      </w:pPr>
      <w:r w:rsidRPr="00D9487D">
        <w:rPr>
          <w:rFonts w:ascii="Palatino Linotype" w:hAnsi="Palatino Linotype"/>
          <w:bCs/>
          <w:sz w:val="22"/>
          <w:szCs w:val="22"/>
        </w:rPr>
        <w:t xml:space="preserve">A comparatively </w:t>
      </w:r>
      <w:r w:rsidRPr="006C1CB0">
        <w:rPr>
          <w:rFonts w:ascii="Palatino Linotype" w:hAnsi="Palatino Linotype"/>
          <w:bCs/>
          <w:sz w:val="22"/>
          <w:szCs w:val="22"/>
        </w:rPr>
        <w:t>recent focus for work has been on identity, values and science culture</w:t>
      </w:r>
      <w:r w:rsidR="00F53CE5">
        <w:rPr>
          <w:rFonts w:ascii="Palatino Linotype" w:hAnsi="Palatino Linotype"/>
          <w:bCs/>
          <w:sz w:val="22"/>
          <w:szCs w:val="22"/>
        </w:rPr>
        <w:t xml:space="preserve">.  </w:t>
      </w:r>
      <w:r w:rsidRPr="006C1CB0">
        <w:rPr>
          <w:rFonts w:ascii="Palatino Linotype" w:hAnsi="Palatino Linotype"/>
          <w:bCs/>
          <w:sz w:val="22"/>
          <w:szCs w:val="22"/>
        </w:rPr>
        <w:t xml:space="preserve">A number of authors have suggested that there is a tension between the development of identity and the match with the culture of science (Schreiner and </w:t>
      </w:r>
      <w:proofErr w:type="spellStart"/>
      <w:r w:rsidRPr="006C1CB0">
        <w:rPr>
          <w:rFonts w:ascii="Palatino Linotype" w:hAnsi="Palatino Linotype"/>
          <w:bCs/>
          <w:sz w:val="22"/>
          <w:szCs w:val="22"/>
        </w:rPr>
        <w:t>Sjøberg</w:t>
      </w:r>
      <w:proofErr w:type="spellEnd"/>
      <w:r w:rsidRPr="006C1CB0">
        <w:rPr>
          <w:rFonts w:ascii="Palatino Linotype" w:hAnsi="Palatino Linotype"/>
          <w:bCs/>
          <w:sz w:val="22"/>
          <w:szCs w:val="22"/>
        </w:rPr>
        <w:t>, 2007; Taconis and Kessels, 2009; Shanahan, 2009)</w:t>
      </w:r>
      <w:r w:rsidR="00F53CE5">
        <w:rPr>
          <w:rFonts w:ascii="Palatino Linotype" w:hAnsi="Palatino Linotype"/>
          <w:bCs/>
          <w:sz w:val="22"/>
          <w:szCs w:val="22"/>
        </w:rPr>
        <w:t xml:space="preserve">.  </w:t>
      </w:r>
      <w:r w:rsidRPr="006C1CB0">
        <w:rPr>
          <w:rFonts w:ascii="Palatino Linotype" w:hAnsi="Palatino Linotype"/>
          <w:bCs/>
          <w:sz w:val="22"/>
          <w:szCs w:val="22"/>
        </w:rPr>
        <w:t>Taconis and Kessels found that Dutch students aged 12-13 saw their peers who favour science subjects (the science prototype) as less attractive, less popular, less socially competent, less creative and emotional, but more intelligent and motivated than their peers who favoured language subjects</w:t>
      </w:r>
      <w:r w:rsidR="00F53CE5">
        <w:rPr>
          <w:rFonts w:ascii="Palatino Linotype" w:hAnsi="Palatino Linotype"/>
          <w:bCs/>
          <w:sz w:val="22"/>
          <w:szCs w:val="22"/>
        </w:rPr>
        <w:t xml:space="preserve">.  </w:t>
      </w:r>
      <w:r w:rsidRPr="006C1CB0">
        <w:rPr>
          <w:rFonts w:ascii="Palatino Linotype" w:hAnsi="Palatino Linotype"/>
          <w:bCs/>
          <w:sz w:val="22"/>
          <w:szCs w:val="22"/>
        </w:rPr>
        <w:t>Subsequent subject choices were associated with students’ perceived match of their own characteristics and those they associated with the typical science prototype.</w:t>
      </w:r>
    </w:p>
    <w:p w:rsidR="00116942" w:rsidRPr="00F8159F" w:rsidRDefault="00116942" w:rsidP="00D9487D">
      <w:pPr>
        <w:tabs>
          <w:tab w:val="clear" w:pos="567"/>
          <w:tab w:val="left" w:pos="720"/>
        </w:tabs>
        <w:spacing w:line="240" w:lineRule="auto"/>
        <w:jc w:val="both"/>
        <w:rPr>
          <w:rFonts w:ascii="Palatino Linotype" w:hAnsi="Palatino Linotype"/>
          <w:bCs/>
          <w:sz w:val="22"/>
          <w:szCs w:val="22"/>
        </w:rPr>
      </w:pPr>
    </w:p>
    <w:p w:rsidR="00116942" w:rsidRPr="00F8159F" w:rsidRDefault="00EE2F79" w:rsidP="00D9487D">
      <w:pPr>
        <w:tabs>
          <w:tab w:val="clear" w:pos="567"/>
          <w:tab w:val="left" w:pos="720"/>
        </w:tabs>
        <w:spacing w:line="240" w:lineRule="auto"/>
        <w:jc w:val="both"/>
        <w:rPr>
          <w:rFonts w:ascii="Palatino Linotype" w:hAnsi="Palatino Linotype"/>
          <w:b/>
          <w:sz w:val="22"/>
          <w:szCs w:val="22"/>
        </w:rPr>
      </w:pPr>
      <w:r w:rsidRPr="00F8159F">
        <w:rPr>
          <w:rFonts w:ascii="Palatino Linotype" w:hAnsi="Palatino Linotype"/>
          <w:b/>
          <w:sz w:val="22"/>
          <w:szCs w:val="22"/>
        </w:rPr>
        <w:t>3.4</w:t>
      </w:r>
      <w:r w:rsidR="00116942" w:rsidRPr="00F8159F">
        <w:rPr>
          <w:rFonts w:ascii="Palatino Linotype" w:hAnsi="Palatino Linotype"/>
          <w:b/>
          <w:sz w:val="22"/>
          <w:szCs w:val="22"/>
        </w:rPr>
        <w:tab/>
        <w:t>External factors</w:t>
      </w:r>
    </w:p>
    <w:p w:rsidR="00116942" w:rsidRPr="00F8159F" w:rsidRDefault="00116942" w:rsidP="00D9487D">
      <w:pPr>
        <w:spacing w:line="240" w:lineRule="auto"/>
        <w:jc w:val="both"/>
        <w:rPr>
          <w:rFonts w:ascii="Palatino Linotype" w:hAnsi="Palatino Linotype"/>
          <w:sz w:val="22"/>
          <w:szCs w:val="22"/>
        </w:rPr>
      </w:pPr>
    </w:p>
    <w:p w:rsidR="00116942" w:rsidRPr="00D9487D" w:rsidRDefault="00EE2F79" w:rsidP="00D9487D">
      <w:pPr>
        <w:spacing w:line="240" w:lineRule="auto"/>
        <w:jc w:val="both"/>
        <w:rPr>
          <w:rFonts w:ascii="Palatino Linotype" w:hAnsi="Palatino Linotype"/>
          <w:i/>
          <w:sz w:val="22"/>
          <w:szCs w:val="22"/>
        </w:rPr>
      </w:pPr>
      <w:r w:rsidRPr="00F8159F">
        <w:rPr>
          <w:rFonts w:ascii="Palatino Linotype" w:hAnsi="Palatino Linotype"/>
          <w:i/>
          <w:sz w:val="22"/>
          <w:szCs w:val="22"/>
        </w:rPr>
        <w:t>3.4</w:t>
      </w:r>
      <w:r w:rsidR="00116942" w:rsidRPr="00D9487D">
        <w:rPr>
          <w:rFonts w:ascii="Palatino Linotype" w:hAnsi="Palatino Linotype"/>
          <w:i/>
          <w:sz w:val="22"/>
          <w:szCs w:val="22"/>
        </w:rPr>
        <w:t>.1</w:t>
      </w:r>
      <w:r w:rsidR="00116942" w:rsidRPr="00D9487D">
        <w:rPr>
          <w:rFonts w:ascii="Palatino Linotype" w:hAnsi="Palatino Linotype"/>
          <w:i/>
          <w:sz w:val="22"/>
          <w:szCs w:val="22"/>
        </w:rPr>
        <w:tab/>
        <w:t>External factors that may influence engagement and participation in STEM subjects</w:t>
      </w:r>
    </w:p>
    <w:p w:rsidR="00116942" w:rsidRPr="00D9487D" w:rsidRDefault="00116942" w:rsidP="00D9487D">
      <w:pPr>
        <w:spacing w:line="240" w:lineRule="auto"/>
        <w:jc w:val="both"/>
        <w:rPr>
          <w:rFonts w:ascii="Palatino Linotype" w:hAnsi="Palatino Linotype"/>
          <w:sz w:val="22"/>
          <w:szCs w:val="22"/>
        </w:rPr>
      </w:pPr>
    </w:p>
    <w:p w:rsidR="00116942" w:rsidRDefault="00116942" w:rsidP="00D9487D">
      <w:pPr>
        <w:spacing w:line="240" w:lineRule="auto"/>
        <w:jc w:val="both"/>
        <w:rPr>
          <w:rFonts w:ascii="Palatino Linotype" w:hAnsi="Palatino Linotype"/>
          <w:sz w:val="22"/>
          <w:szCs w:val="22"/>
        </w:rPr>
      </w:pPr>
      <w:r w:rsidRPr="00D9487D">
        <w:rPr>
          <w:rFonts w:ascii="Palatino Linotype" w:hAnsi="Palatino Linotype"/>
          <w:sz w:val="22"/>
          <w:szCs w:val="22"/>
        </w:rPr>
        <w:t xml:space="preserve">A range </w:t>
      </w:r>
      <w:r>
        <w:rPr>
          <w:rFonts w:ascii="Palatino Linotype" w:hAnsi="Palatino Linotype"/>
          <w:sz w:val="22"/>
          <w:szCs w:val="22"/>
        </w:rPr>
        <w:t>of formal and informal activities may shape responses to STEM subjects</w:t>
      </w:r>
      <w:r w:rsidR="00F53CE5">
        <w:rPr>
          <w:rFonts w:ascii="Palatino Linotype" w:hAnsi="Palatino Linotype"/>
          <w:sz w:val="22"/>
          <w:szCs w:val="22"/>
        </w:rPr>
        <w:t xml:space="preserve">.  </w:t>
      </w:r>
      <w:r>
        <w:rPr>
          <w:rFonts w:ascii="Palatino Linotype" w:hAnsi="Palatino Linotype"/>
          <w:sz w:val="22"/>
          <w:szCs w:val="22"/>
        </w:rPr>
        <w:t xml:space="preserve">The majority of activities have a science focus, and include </w:t>
      </w:r>
      <w:r w:rsidR="00A043ED">
        <w:rPr>
          <w:rFonts w:ascii="Palatino Linotype" w:hAnsi="Palatino Linotype"/>
          <w:sz w:val="22"/>
          <w:szCs w:val="22"/>
        </w:rPr>
        <w:t xml:space="preserve">science centres, </w:t>
      </w:r>
      <w:r>
        <w:rPr>
          <w:rFonts w:ascii="Palatino Linotype" w:hAnsi="Palatino Linotype"/>
          <w:sz w:val="22"/>
          <w:szCs w:val="22"/>
        </w:rPr>
        <w:t>visits to museums, science fairs, workplaces involving science and scientists, experiences of science in the media, and leisure activities with a science focus</w:t>
      </w:r>
      <w:r w:rsidR="00F53CE5">
        <w:rPr>
          <w:rFonts w:ascii="Palatino Linotype" w:hAnsi="Palatino Linotype"/>
          <w:sz w:val="22"/>
          <w:szCs w:val="22"/>
        </w:rPr>
        <w:t xml:space="preserve">.  </w:t>
      </w:r>
    </w:p>
    <w:p w:rsidR="00116942" w:rsidRPr="00E70379" w:rsidRDefault="00116942" w:rsidP="00D9487D">
      <w:pPr>
        <w:spacing w:line="240" w:lineRule="auto"/>
        <w:jc w:val="both"/>
        <w:rPr>
          <w:rFonts w:ascii="Palatino Linotype" w:hAnsi="Palatino Linotype"/>
          <w:sz w:val="22"/>
          <w:szCs w:val="22"/>
        </w:rPr>
      </w:pPr>
    </w:p>
    <w:p w:rsidR="00116942" w:rsidRPr="00E70379" w:rsidRDefault="00116942" w:rsidP="00D9487D">
      <w:pPr>
        <w:spacing w:line="240" w:lineRule="auto"/>
        <w:jc w:val="both"/>
        <w:rPr>
          <w:rFonts w:ascii="Palatino Linotype" w:hAnsi="Palatino Linotype"/>
          <w:sz w:val="22"/>
          <w:szCs w:val="22"/>
        </w:rPr>
      </w:pPr>
      <w:r w:rsidRPr="00E70379">
        <w:rPr>
          <w:rFonts w:ascii="Palatino Linotype" w:hAnsi="Palatino Linotype"/>
          <w:sz w:val="22"/>
          <w:szCs w:val="22"/>
        </w:rPr>
        <w:t xml:space="preserve">Braund and Reiss (2004, 2006) describe a number of ways that informal sites for learning </w:t>
      </w:r>
      <w:r>
        <w:rPr>
          <w:rFonts w:ascii="Palatino Linotype" w:hAnsi="Palatino Linotype"/>
          <w:sz w:val="22"/>
          <w:szCs w:val="22"/>
        </w:rPr>
        <w:t xml:space="preserve">might </w:t>
      </w:r>
      <w:r w:rsidRPr="00E70379">
        <w:rPr>
          <w:rFonts w:ascii="Palatino Linotype" w:hAnsi="Palatino Linotype"/>
          <w:sz w:val="22"/>
          <w:szCs w:val="22"/>
        </w:rPr>
        <w:t>contribute to an education in and about science in ways that are difficult to provide in schools</w:t>
      </w:r>
      <w:r w:rsidR="00F53CE5">
        <w:rPr>
          <w:rFonts w:ascii="Palatino Linotype" w:hAnsi="Palatino Linotype"/>
          <w:sz w:val="22"/>
          <w:szCs w:val="22"/>
        </w:rPr>
        <w:t xml:space="preserve">.  </w:t>
      </w:r>
      <w:r>
        <w:rPr>
          <w:rFonts w:ascii="Palatino Linotype" w:hAnsi="Palatino Linotype"/>
          <w:sz w:val="22"/>
          <w:szCs w:val="22"/>
        </w:rPr>
        <w:t>They describe contributions to student</w:t>
      </w:r>
      <w:r w:rsidRPr="00E70379">
        <w:rPr>
          <w:rFonts w:ascii="Palatino Linotype" w:hAnsi="Palatino Linotype"/>
          <w:sz w:val="22"/>
          <w:szCs w:val="22"/>
        </w:rPr>
        <w:t>s</w:t>
      </w:r>
      <w:r>
        <w:rPr>
          <w:rFonts w:ascii="Palatino Linotype" w:hAnsi="Palatino Linotype"/>
          <w:sz w:val="22"/>
          <w:szCs w:val="22"/>
        </w:rPr>
        <w:t>’</w:t>
      </w:r>
      <w:r w:rsidRPr="00E70379">
        <w:rPr>
          <w:rFonts w:ascii="Palatino Linotype" w:hAnsi="Palatino Linotype"/>
          <w:sz w:val="22"/>
          <w:szCs w:val="22"/>
        </w:rPr>
        <w:t xml:space="preserve"> overall understanding of science as including</w:t>
      </w:r>
      <w:r>
        <w:rPr>
          <w:rFonts w:ascii="Palatino Linotype" w:hAnsi="Palatino Linotype"/>
          <w:sz w:val="22"/>
          <w:szCs w:val="22"/>
        </w:rPr>
        <w:t xml:space="preserve">, for example, </w:t>
      </w:r>
      <w:r w:rsidRPr="00E70379">
        <w:rPr>
          <w:rFonts w:ascii="Palatino Linotype" w:hAnsi="Palatino Linotype"/>
          <w:sz w:val="22"/>
          <w:szCs w:val="22"/>
        </w:rPr>
        <w:t xml:space="preserve">‘big science’ (such as in visits to astronomical telescopes </w:t>
      </w:r>
      <w:r>
        <w:rPr>
          <w:rFonts w:ascii="Palatino Linotype" w:hAnsi="Palatino Linotype"/>
          <w:sz w:val="22"/>
          <w:szCs w:val="22"/>
        </w:rPr>
        <w:t>and particle accelerators) and</w:t>
      </w:r>
      <w:r w:rsidRPr="00E70379">
        <w:rPr>
          <w:rFonts w:ascii="Palatino Linotype" w:hAnsi="Palatino Linotype"/>
          <w:sz w:val="22"/>
          <w:szCs w:val="22"/>
        </w:rPr>
        <w:t xml:space="preserve"> the more integrated understanding of ecological and Earth science processes</w:t>
      </w:r>
      <w:r>
        <w:rPr>
          <w:rFonts w:ascii="Palatino Linotype" w:hAnsi="Palatino Linotype"/>
          <w:sz w:val="22"/>
          <w:szCs w:val="22"/>
        </w:rPr>
        <w:t xml:space="preserve"> that comes from field studies, and argue that </w:t>
      </w:r>
      <w:r w:rsidRPr="00E70379">
        <w:rPr>
          <w:rFonts w:ascii="Palatino Linotype" w:hAnsi="Palatino Linotype"/>
          <w:sz w:val="22"/>
          <w:szCs w:val="22"/>
        </w:rPr>
        <w:t>science outside the classroom and in the informal world contributes to making science more authentic for young people</w:t>
      </w:r>
      <w:r w:rsidR="00F53CE5">
        <w:rPr>
          <w:rFonts w:ascii="Palatino Linotype" w:hAnsi="Palatino Linotype"/>
          <w:sz w:val="22"/>
          <w:szCs w:val="22"/>
        </w:rPr>
        <w:t xml:space="preserve">.  </w:t>
      </w:r>
    </w:p>
    <w:p w:rsidR="00116942" w:rsidRDefault="00116942" w:rsidP="00D9487D">
      <w:pPr>
        <w:spacing w:line="240" w:lineRule="auto"/>
        <w:jc w:val="both"/>
        <w:rPr>
          <w:rFonts w:ascii="Palatino Linotype" w:hAnsi="Palatino Linotype"/>
          <w:sz w:val="22"/>
          <w:szCs w:val="22"/>
        </w:rPr>
      </w:pPr>
    </w:p>
    <w:p w:rsidR="00116942" w:rsidRPr="004D379F" w:rsidRDefault="00116942" w:rsidP="00D9487D">
      <w:pPr>
        <w:spacing w:line="240" w:lineRule="auto"/>
        <w:jc w:val="both"/>
        <w:rPr>
          <w:rFonts w:ascii="Palatino Linotype" w:hAnsi="Palatino Linotype"/>
          <w:sz w:val="22"/>
          <w:szCs w:val="22"/>
        </w:rPr>
      </w:pPr>
      <w:r>
        <w:rPr>
          <w:rFonts w:ascii="Palatino Linotype" w:hAnsi="Palatino Linotype"/>
          <w:sz w:val="22"/>
          <w:szCs w:val="22"/>
        </w:rPr>
        <w:t xml:space="preserve">The last ten years has seen </w:t>
      </w:r>
      <w:r w:rsidRPr="004D379F">
        <w:rPr>
          <w:rFonts w:ascii="Palatino Linotype" w:hAnsi="Palatino Linotype"/>
          <w:sz w:val="22"/>
          <w:szCs w:val="22"/>
        </w:rPr>
        <w:t xml:space="preserve">increasing activity in research and policy formulation to </w:t>
      </w:r>
      <w:r>
        <w:rPr>
          <w:rFonts w:ascii="Palatino Linotype" w:hAnsi="Palatino Linotype"/>
          <w:sz w:val="22"/>
          <w:szCs w:val="22"/>
        </w:rPr>
        <w:t xml:space="preserve">take account of the fact that </w:t>
      </w:r>
      <w:r w:rsidR="00BC353A">
        <w:rPr>
          <w:rFonts w:ascii="Palatino Linotype" w:hAnsi="Palatino Linotype"/>
          <w:sz w:val="22"/>
          <w:szCs w:val="22"/>
        </w:rPr>
        <w:t>mathematics and science</w:t>
      </w:r>
      <w:r>
        <w:rPr>
          <w:rFonts w:ascii="Palatino Linotype" w:hAnsi="Palatino Linotype"/>
          <w:sz w:val="22"/>
          <w:szCs w:val="22"/>
        </w:rPr>
        <w:t xml:space="preserve"> learning</w:t>
      </w:r>
      <w:r w:rsidRPr="004D379F">
        <w:rPr>
          <w:rFonts w:ascii="Palatino Linotype" w:hAnsi="Palatino Linotype"/>
          <w:sz w:val="22"/>
          <w:szCs w:val="22"/>
        </w:rPr>
        <w:t xml:space="preserve"> take</w:t>
      </w:r>
      <w:r>
        <w:rPr>
          <w:rFonts w:ascii="Palatino Linotype" w:hAnsi="Palatino Linotype"/>
          <w:sz w:val="22"/>
          <w:szCs w:val="22"/>
        </w:rPr>
        <w:t>s</w:t>
      </w:r>
      <w:r w:rsidRPr="004D379F">
        <w:rPr>
          <w:rFonts w:ascii="Palatino Linotype" w:hAnsi="Palatino Linotype"/>
          <w:sz w:val="22"/>
          <w:szCs w:val="22"/>
        </w:rPr>
        <w:t xml:space="preserve"> place outside formal schooling</w:t>
      </w:r>
      <w:r w:rsidR="00F53CE5">
        <w:rPr>
          <w:rFonts w:ascii="Palatino Linotype" w:hAnsi="Palatino Linotype"/>
          <w:sz w:val="22"/>
          <w:szCs w:val="22"/>
        </w:rPr>
        <w:t xml:space="preserve">.  </w:t>
      </w:r>
      <w:r w:rsidRPr="004D379F">
        <w:rPr>
          <w:rFonts w:ascii="Palatino Linotype" w:hAnsi="Palatino Linotype"/>
          <w:sz w:val="22"/>
          <w:szCs w:val="22"/>
        </w:rPr>
        <w:t xml:space="preserve">In the UK, following two reports on the uses of out-of-school learning (NFER and Dillon, 2005; House of Commons Education and Skills Committee, 2005), the UK government published its </w:t>
      </w:r>
      <w:r w:rsidRPr="004D379F">
        <w:rPr>
          <w:rFonts w:ascii="Palatino Linotype" w:hAnsi="Palatino Linotype"/>
          <w:i/>
          <w:sz w:val="22"/>
          <w:szCs w:val="22"/>
        </w:rPr>
        <w:t>Learning Outside the Classroom Manifesto</w:t>
      </w:r>
      <w:r w:rsidRPr="004D379F">
        <w:rPr>
          <w:rFonts w:ascii="Palatino Linotype" w:hAnsi="Palatino Linotype"/>
          <w:sz w:val="22"/>
          <w:szCs w:val="22"/>
        </w:rPr>
        <w:t xml:space="preserve"> (DfES, 2006), aimed at stimulating greater use of outdoor environments by school-age students and accessing the wide diversity of organised opportunities such as in museums and gardens</w:t>
      </w:r>
      <w:r w:rsidR="00F53CE5">
        <w:rPr>
          <w:rFonts w:ascii="Palatino Linotype" w:hAnsi="Palatino Linotype"/>
          <w:sz w:val="22"/>
          <w:szCs w:val="22"/>
        </w:rPr>
        <w:t xml:space="preserve">.  </w:t>
      </w:r>
      <w:r w:rsidRPr="004D379F">
        <w:rPr>
          <w:rFonts w:ascii="Palatino Linotype" w:hAnsi="Palatino Linotype"/>
          <w:sz w:val="22"/>
          <w:szCs w:val="22"/>
        </w:rPr>
        <w:t xml:space="preserve">In the USA, the National Research Council (NRC) of the National Academies of the US published </w:t>
      </w:r>
      <w:r w:rsidRPr="004D379F">
        <w:rPr>
          <w:rFonts w:ascii="Palatino Linotype" w:hAnsi="Palatino Linotype"/>
          <w:i/>
          <w:sz w:val="22"/>
          <w:szCs w:val="22"/>
        </w:rPr>
        <w:t>Learning Science in Informal Environments: People, Places and Pursuits</w:t>
      </w:r>
      <w:r>
        <w:rPr>
          <w:rFonts w:ascii="Palatino Linotype" w:hAnsi="Palatino Linotype"/>
          <w:sz w:val="22"/>
          <w:szCs w:val="22"/>
        </w:rPr>
        <w:t xml:space="preserve"> (NRC, 2009), which </w:t>
      </w:r>
      <w:r w:rsidRPr="004D379F">
        <w:rPr>
          <w:rFonts w:ascii="Palatino Linotype" w:hAnsi="Palatino Linotype"/>
          <w:sz w:val="22"/>
          <w:szCs w:val="22"/>
        </w:rPr>
        <w:t xml:space="preserve">identified a number of </w:t>
      </w:r>
      <w:r w:rsidRPr="004D379F">
        <w:rPr>
          <w:rFonts w:ascii="Palatino Linotype" w:hAnsi="Palatino Linotype"/>
          <w:sz w:val="22"/>
          <w:szCs w:val="22"/>
          <w:lang w:val="en-US"/>
        </w:rPr>
        <w:t>informal environments that contributed to learning</w:t>
      </w:r>
      <w:r w:rsidR="00F53CE5">
        <w:rPr>
          <w:rFonts w:ascii="Palatino Linotype" w:hAnsi="Palatino Linotype"/>
          <w:sz w:val="22"/>
          <w:szCs w:val="22"/>
          <w:lang w:val="en-US"/>
        </w:rPr>
        <w:t xml:space="preserve">.  </w:t>
      </w:r>
      <w:r w:rsidRPr="004D379F">
        <w:rPr>
          <w:rFonts w:ascii="Palatino Linotype" w:hAnsi="Palatino Linotype"/>
          <w:sz w:val="22"/>
          <w:szCs w:val="22"/>
          <w:lang w:val="en-US"/>
        </w:rPr>
        <w:t xml:space="preserve">These include </w:t>
      </w:r>
      <w:r w:rsidRPr="004D379F">
        <w:rPr>
          <w:rFonts w:ascii="Palatino Linotype" w:hAnsi="Palatino Linotype"/>
          <w:sz w:val="22"/>
          <w:szCs w:val="22"/>
        </w:rPr>
        <w:t xml:space="preserve">visits to </w:t>
      </w:r>
      <w:r w:rsidRPr="004D379F">
        <w:rPr>
          <w:rFonts w:ascii="Palatino Linotype" w:hAnsi="Palatino Linotype"/>
          <w:sz w:val="22"/>
          <w:szCs w:val="22"/>
        </w:rPr>
        <w:lastRenderedPageBreak/>
        <w:t xml:space="preserve">museums, </w:t>
      </w:r>
      <w:r w:rsidR="00BC353A">
        <w:rPr>
          <w:rFonts w:ascii="Palatino Linotype" w:hAnsi="Palatino Linotype"/>
          <w:sz w:val="22"/>
          <w:szCs w:val="22"/>
        </w:rPr>
        <w:t>mathematics and science</w:t>
      </w:r>
      <w:r w:rsidRPr="004D379F">
        <w:rPr>
          <w:rFonts w:ascii="Palatino Linotype" w:hAnsi="Palatino Linotype"/>
          <w:sz w:val="22"/>
          <w:szCs w:val="22"/>
        </w:rPr>
        <w:t>-related exhibitions, programmes, events, festivals, science camps, engagement in public and community projects such as conservation, and</w:t>
      </w:r>
      <w:r>
        <w:rPr>
          <w:rFonts w:ascii="Palatino Linotype" w:hAnsi="Palatino Linotype"/>
          <w:sz w:val="22"/>
          <w:szCs w:val="22"/>
        </w:rPr>
        <w:t xml:space="preserve"> </w:t>
      </w:r>
      <w:r w:rsidRPr="004D379F">
        <w:rPr>
          <w:rFonts w:ascii="Palatino Linotype" w:hAnsi="Palatino Linotype"/>
          <w:sz w:val="22"/>
          <w:szCs w:val="22"/>
        </w:rPr>
        <w:t xml:space="preserve">engagement with </w:t>
      </w:r>
      <w:r w:rsidR="00BC353A">
        <w:rPr>
          <w:rFonts w:ascii="Palatino Linotype" w:hAnsi="Palatino Linotype"/>
          <w:sz w:val="22"/>
          <w:szCs w:val="22"/>
        </w:rPr>
        <w:t>mathematics and science</w:t>
      </w:r>
      <w:r w:rsidRPr="004D379F">
        <w:rPr>
          <w:rFonts w:ascii="Palatino Linotype" w:hAnsi="Palatino Linotype"/>
          <w:sz w:val="22"/>
          <w:szCs w:val="22"/>
        </w:rPr>
        <w:t>-related surveys such as the annual Audubon breeding bird survey in the USA, which engages tens of thousands of people</w:t>
      </w:r>
      <w:r w:rsidR="00F53CE5">
        <w:rPr>
          <w:rFonts w:ascii="Palatino Linotype" w:hAnsi="Palatino Linotype"/>
          <w:sz w:val="22"/>
          <w:szCs w:val="22"/>
        </w:rPr>
        <w:t xml:space="preserve">.  </w:t>
      </w:r>
      <w:r w:rsidRPr="004D379F">
        <w:rPr>
          <w:rFonts w:ascii="Palatino Linotype" w:hAnsi="Palatino Linotype"/>
          <w:sz w:val="22"/>
          <w:szCs w:val="22"/>
        </w:rPr>
        <w:t>A recent review of informal science learning (Wellcome Trust, 2012) comments that participation in such activities is important from an early age, as there is eviden</w:t>
      </w:r>
      <w:r w:rsidR="00AC5651">
        <w:rPr>
          <w:rFonts w:ascii="Palatino Linotype" w:hAnsi="Palatino Linotype"/>
          <w:sz w:val="22"/>
          <w:szCs w:val="22"/>
        </w:rPr>
        <w:t>ce that preferences for leisure-</w:t>
      </w:r>
      <w:r w:rsidRPr="004D379F">
        <w:rPr>
          <w:rFonts w:ascii="Palatino Linotype" w:hAnsi="Palatino Linotype"/>
          <w:sz w:val="22"/>
          <w:szCs w:val="22"/>
        </w:rPr>
        <w:t>time use are fairly well-established by the age of eleven.</w:t>
      </w:r>
    </w:p>
    <w:p w:rsidR="00116942" w:rsidRPr="004D379F" w:rsidRDefault="00116942" w:rsidP="00D9487D">
      <w:pPr>
        <w:spacing w:line="240" w:lineRule="auto"/>
        <w:jc w:val="both"/>
        <w:rPr>
          <w:rFonts w:ascii="Palatino Linotype" w:hAnsi="Palatino Linotype"/>
          <w:sz w:val="22"/>
          <w:szCs w:val="22"/>
        </w:rPr>
      </w:pPr>
    </w:p>
    <w:p w:rsidR="00116942" w:rsidRPr="00D9487D" w:rsidRDefault="00116942" w:rsidP="00D9487D">
      <w:pPr>
        <w:spacing w:line="240" w:lineRule="auto"/>
        <w:jc w:val="both"/>
        <w:rPr>
          <w:rFonts w:ascii="Palatino Linotype" w:hAnsi="Palatino Linotype"/>
          <w:sz w:val="22"/>
          <w:szCs w:val="22"/>
        </w:rPr>
      </w:pPr>
      <w:r w:rsidRPr="004D379F">
        <w:rPr>
          <w:rFonts w:ascii="Palatino Linotype" w:hAnsi="Palatino Linotype"/>
          <w:sz w:val="22"/>
          <w:szCs w:val="22"/>
        </w:rPr>
        <w:t>The review</w:t>
      </w:r>
      <w:r>
        <w:rPr>
          <w:rFonts w:ascii="Palatino Linotype" w:hAnsi="Palatino Linotype"/>
          <w:sz w:val="22"/>
          <w:szCs w:val="22"/>
        </w:rPr>
        <w:t xml:space="preserve"> by the Wellcome Trust</w:t>
      </w:r>
      <w:r w:rsidRPr="004D379F">
        <w:rPr>
          <w:rFonts w:ascii="Palatino Linotype" w:hAnsi="Palatino Linotype"/>
          <w:sz w:val="22"/>
          <w:szCs w:val="22"/>
        </w:rPr>
        <w:t xml:space="preserve"> </w:t>
      </w:r>
      <w:r>
        <w:rPr>
          <w:rFonts w:ascii="Palatino Linotype" w:hAnsi="Palatino Linotype"/>
          <w:sz w:val="22"/>
          <w:szCs w:val="22"/>
        </w:rPr>
        <w:t>(</w:t>
      </w:r>
      <w:r w:rsidRPr="004D379F">
        <w:rPr>
          <w:rFonts w:ascii="Palatino Linotype" w:hAnsi="Palatino Linotype"/>
          <w:sz w:val="22"/>
          <w:szCs w:val="22"/>
        </w:rPr>
        <w:t xml:space="preserve">2012) </w:t>
      </w:r>
      <w:r w:rsidR="00AC5651">
        <w:rPr>
          <w:rFonts w:ascii="Palatino Linotype" w:hAnsi="Palatino Linotype"/>
          <w:sz w:val="22"/>
          <w:szCs w:val="22"/>
        </w:rPr>
        <w:t>included a survey of</w:t>
      </w:r>
      <w:r w:rsidRPr="004D379F">
        <w:rPr>
          <w:rFonts w:ascii="Palatino Linotype" w:hAnsi="Palatino Linotype"/>
          <w:sz w:val="22"/>
          <w:szCs w:val="22"/>
        </w:rPr>
        <w:t xml:space="preserve"> 196 informal science providers, and found around half felt experiences in informal environments should be significantly different to those at school and not seek to replicate what can be done there, with more than half believing that informal learning should not exist merely to support learning in the formal school </w:t>
      </w:r>
      <w:r w:rsidRPr="00D9487D">
        <w:rPr>
          <w:rFonts w:ascii="Palatino Linotype" w:hAnsi="Palatino Linotype"/>
          <w:sz w:val="22"/>
          <w:szCs w:val="22"/>
        </w:rPr>
        <w:t>sector</w:t>
      </w:r>
      <w:r w:rsidR="00F53CE5">
        <w:rPr>
          <w:rFonts w:ascii="Palatino Linotype" w:hAnsi="Palatino Linotype"/>
          <w:sz w:val="22"/>
          <w:szCs w:val="22"/>
        </w:rPr>
        <w:t xml:space="preserve">.  </w:t>
      </w:r>
      <w:r w:rsidRPr="00D9487D">
        <w:rPr>
          <w:rFonts w:ascii="Palatino Linotype" w:hAnsi="Palatino Linotype"/>
          <w:sz w:val="22"/>
          <w:szCs w:val="22"/>
        </w:rPr>
        <w:t>Despite this, 80% of providers reported their most common services as ‘in-school enrichment’, with more than 50% of providers running activities after school, during school holidays or festival activities</w:t>
      </w:r>
      <w:r w:rsidR="00F53CE5">
        <w:rPr>
          <w:rFonts w:ascii="Palatino Linotype" w:hAnsi="Palatino Linotype"/>
          <w:sz w:val="22"/>
          <w:szCs w:val="22"/>
        </w:rPr>
        <w:t xml:space="preserve">.  </w:t>
      </w:r>
    </w:p>
    <w:p w:rsidR="00116942" w:rsidRPr="00D9487D" w:rsidRDefault="00116942" w:rsidP="00D9487D">
      <w:pPr>
        <w:spacing w:line="240" w:lineRule="auto"/>
        <w:jc w:val="both"/>
        <w:rPr>
          <w:rFonts w:ascii="Palatino Linotype" w:hAnsi="Palatino Linotype"/>
          <w:sz w:val="22"/>
          <w:szCs w:val="22"/>
        </w:rPr>
      </w:pPr>
    </w:p>
    <w:p w:rsidR="00116942" w:rsidRPr="00D9487D" w:rsidRDefault="00EE2F79" w:rsidP="00D9487D">
      <w:pPr>
        <w:spacing w:line="240" w:lineRule="auto"/>
        <w:jc w:val="both"/>
        <w:rPr>
          <w:rFonts w:ascii="Palatino Linotype" w:hAnsi="Palatino Linotype"/>
          <w:i/>
          <w:sz w:val="22"/>
          <w:szCs w:val="22"/>
        </w:rPr>
      </w:pPr>
      <w:r>
        <w:rPr>
          <w:rFonts w:ascii="Palatino Linotype" w:hAnsi="Palatino Linotype"/>
          <w:i/>
          <w:sz w:val="22"/>
          <w:szCs w:val="22"/>
        </w:rPr>
        <w:t>3.4</w:t>
      </w:r>
      <w:r w:rsidR="00116942" w:rsidRPr="00D9487D">
        <w:rPr>
          <w:rFonts w:ascii="Palatino Linotype" w:hAnsi="Palatino Linotype"/>
          <w:i/>
          <w:sz w:val="22"/>
          <w:szCs w:val="22"/>
        </w:rPr>
        <w:t xml:space="preserve">.2 </w:t>
      </w:r>
      <w:r w:rsidR="00116942" w:rsidRPr="00D9487D">
        <w:rPr>
          <w:rFonts w:ascii="Palatino Linotype" w:hAnsi="Palatino Linotype"/>
          <w:i/>
          <w:sz w:val="22"/>
          <w:szCs w:val="22"/>
        </w:rPr>
        <w:tab/>
        <w:t>The impact of informal learning on student engagement in STEM subjects</w:t>
      </w:r>
    </w:p>
    <w:p w:rsidR="00116942" w:rsidRPr="00D9487D" w:rsidRDefault="00116942" w:rsidP="00D9487D">
      <w:pPr>
        <w:spacing w:line="240" w:lineRule="auto"/>
        <w:jc w:val="both"/>
        <w:rPr>
          <w:rFonts w:ascii="Palatino Linotype" w:hAnsi="Palatino Linotype"/>
          <w:sz w:val="22"/>
          <w:szCs w:val="22"/>
        </w:rPr>
      </w:pPr>
    </w:p>
    <w:p w:rsidR="00116942" w:rsidRPr="004D379F" w:rsidRDefault="001A7521" w:rsidP="00D9487D">
      <w:pPr>
        <w:spacing w:line="240" w:lineRule="auto"/>
        <w:jc w:val="both"/>
        <w:rPr>
          <w:rFonts w:ascii="Palatino Linotype" w:hAnsi="Palatino Linotype"/>
          <w:sz w:val="22"/>
          <w:szCs w:val="22"/>
        </w:rPr>
      </w:pPr>
      <w:r>
        <w:rPr>
          <w:rFonts w:ascii="Palatino Linotype" w:hAnsi="Palatino Linotype"/>
          <w:sz w:val="22"/>
          <w:szCs w:val="22"/>
        </w:rPr>
        <w:t xml:space="preserve">It is clear from the literature that there is a high level of enthusiasm </w:t>
      </w:r>
      <w:r w:rsidR="00510145">
        <w:rPr>
          <w:rFonts w:ascii="Palatino Linotype" w:hAnsi="Palatino Linotype"/>
          <w:sz w:val="22"/>
          <w:szCs w:val="22"/>
        </w:rPr>
        <w:t>on the part of a num</w:t>
      </w:r>
      <w:r>
        <w:rPr>
          <w:rFonts w:ascii="Palatino Linotype" w:hAnsi="Palatino Linotype"/>
          <w:sz w:val="22"/>
          <w:szCs w:val="22"/>
        </w:rPr>
        <w:t>ber of groups</w:t>
      </w:r>
      <w:r w:rsidR="00510145">
        <w:rPr>
          <w:rFonts w:ascii="Palatino Linotype" w:hAnsi="Palatino Linotype"/>
          <w:sz w:val="22"/>
          <w:szCs w:val="22"/>
        </w:rPr>
        <w:t xml:space="preserve">, </w:t>
      </w:r>
      <w:r w:rsidR="00A043ED">
        <w:rPr>
          <w:rFonts w:ascii="Palatino Linotype" w:hAnsi="Palatino Linotype"/>
          <w:sz w:val="22"/>
          <w:szCs w:val="22"/>
        </w:rPr>
        <w:t>including</w:t>
      </w:r>
      <w:r w:rsidR="00510145">
        <w:rPr>
          <w:rFonts w:ascii="Palatino Linotype" w:hAnsi="Palatino Linotype"/>
          <w:sz w:val="22"/>
          <w:szCs w:val="22"/>
        </w:rPr>
        <w:t xml:space="preserve"> charitable trusts and museums, for STEM-related informal learning activities, with much being claimed for their value in relation to improved engagement and attainment as a result of participation in such activities</w:t>
      </w:r>
      <w:r w:rsidR="00F53CE5">
        <w:rPr>
          <w:rFonts w:ascii="Palatino Linotype" w:hAnsi="Palatino Linotype"/>
          <w:sz w:val="22"/>
          <w:szCs w:val="22"/>
        </w:rPr>
        <w:t xml:space="preserve">. </w:t>
      </w:r>
      <w:r w:rsidR="00510145">
        <w:rPr>
          <w:rFonts w:ascii="Palatino Linotype" w:hAnsi="Palatino Linotype"/>
          <w:sz w:val="22"/>
          <w:szCs w:val="22"/>
        </w:rPr>
        <w:t xml:space="preserve"> None-the-less, t</w:t>
      </w:r>
      <w:r>
        <w:rPr>
          <w:rFonts w:ascii="Palatino Linotype" w:hAnsi="Palatino Linotype"/>
          <w:sz w:val="22"/>
          <w:szCs w:val="22"/>
        </w:rPr>
        <w:t>he literature on the e</w:t>
      </w:r>
      <w:r w:rsidR="00116942" w:rsidRPr="00D9487D">
        <w:rPr>
          <w:rFonts w:ascii="Palatino Linotype" w:hAnsi="Palatino Linotype"/>
          <w:sz w:val="22"/>
          <w:szCs w:val="22"/>
        </w:rPr>
        <w:t>valuation of the impact of informal learning environments and initiatives is fragmented</w:t>
      </w:r>
      <w:r w:rsidR="00510145">
        <w:rPr>
          <w:rFonts w:ascii="Palatino Linotype" w:hAnsi="Palatino Linotype"/>
          <w:sz w:val="22"/>
          <w:szCs w:val="22"/>
        </w:rPr>
        <w:t xml:space="preserve"> and </w:t>
      </w:r>
      <w:r w:rsidR="005E44BF">
        <w:rPr>
          <w:rFonts w:ascii="Palatino Linotype" w:hAnsi="Palatino Linotype"/>
          <w:sz w:val="22"/>
          <w:szCs w:val="22"/>
        </w:rPr>
        <w:t>unsystematic, and does not provide a solid evidence base to inform decision-making</w:t>
      </w:r>
      <w:r w:rsidR="00F53CE5">
        <w:rPr>
          <w:rFonts w:ascii="Palatino Linotype" w:hAnsi="Palatino Linotype"/>
          <w:sz w:val="22"/>
          <w:szCs w:val="22"/>
        </w:rPr>
        <w:t xml:space="preserve">.  </w:t>
      </w:r>
      <w:r w:rsidR="00510145">
        <w:rPr>
          <w:rFonts w:ascii="Palatino Linotype" w:hAnsi="Palatino Linotype"/>
          <w:sz w:val="22"/>
          <w:szCs w:val="22"/>
        </w:rPr>
        <w:t>Indeed, given the diversity of the activities, it is hard to see how it could be anything other than this</w:t>
      </w:r>
      <w:r w:rsidR="00F53CE5">
        <w:rPr>
          <w:rFonts w:ascii="Palatino Linotype" w:hAnsi="Palatino Linotype"/>
          <w:sz w:val="22"/>
          <w:szCs w:val="22"/>
        </w:rPr>
        <w:t xml:space="preserve">.  </w:t>
      </w:r>
      <w:r w:rsidR="00116942">
        <w:rPr>
          <w:rFonts w:ascii="Palatino Linotype" w:hAnsi="Palatino Linotype"/>
          <w:sz w:val="22"/>
          <w:szCs w:val="22"/>
        </w:rPr>
        <w:t>Where it exi</w:t>
      </w:r>
      <w:r w:rsidR="005E44BF">
        <w:rPr>
          <w:rFonts w:ascii="Palatino Linotype" w:hAnsi="Palatino Linotype"/>
          <w:sz w:val="22"/>
          <w:szCs w:val="22"/>
        </w:rPr>
        <w:t>s</w:t>
      </w:r>
      <w:r w:rsidR="00116942">
        <w:rPr>
          <w:rFonts w:ascii="Palatino Linotype" w:hAnsi="Palatino Linotype"/>
          <w:sz w:val="22"/>
          <w:szCs w:val="22"/>
        </w:rPr>
        <w:t>ts, the focus is on science, and e</w:t>
      </w:r>
      <w:r w:rsidR="00116942" w:rsidRPr="004D379F">
        <w:rPr>
          <w:rFonts w:ascii="Palatino Linotype" w:hAnsi="Palatino Linotype"/>
          <w:sz w:val="22"/>
          <w:szCs w:val="22"/>
        </w:rPr>
        <w:t>valuation of initiatives appears more common in the USA.</w:t>
      </w:r>
      <w:r w:rsidR="00FB0721">
        <w:rPr>
          <w:rFonts w:ascii="Palatino Linotype" w:hAnsi="Palatino Linotype"/>
          <w:sz w:val="22"/>
          <w:szCs w:val="22"/>
        </w:rPr>
        <w:t xml:space="preserve"> </w:t>
      </w:r>
      <w:r w:rsidR="00116942" w:rsidRPr="004D379F">
        <w:rPr>
          <w:rFonts w:ascii="Palatino Linotype" w:hAnsi="Palatino Linotype"/>
          <w:sz w:val="22"/>
          <w:szCs w:val="22"/>
        </w:rPr>
        <w:t xml:space="preserve"> </w:t>
      </w:r>
    </w:p>
    <w:p w:rsidR="00116942" w:rsidRPr="00363755" w:rsidRDefault="00116942" w:rsidP="00D9487D">
      <w:pPr>
        <w:spacing w:line="240" w:lineRule="auto"/>
        <w:jc w:val="both"/>
        <w:rPr>
          <w:rFonts w:ascii="Palatino Linotype" w:hAnsi="Palatino Linotype"/>
          <w:sz w:val="22"/>
          <w:szCs w:val="22"/>
        </w:rPr>
      </w:pPr>
    </w:p>
    <w:p w:rsidR="00124621" w:rsidRDefault="00116942" w:rsidP="00D9487D">
      <w:pPr>
        <w:spacing w:line="240" w:lineRule="auto"/>
        <w:jc w:val="both"/>
        <w:rPr>
          <w:rFonts w:ascii="Palatino Linotype" w:hAnsi="Palatino Linotype"/>
          <w:sz w:val="22"/>
          <w:szCs w:val="22"/>
        </w:rPr>
      </w:pPr>
      <w:r w:rsidRPr="00363755">
        <w:rPr>
          <w:rFonts w:ascii="Palatino Linotype" w:hAnsi="Palatino Linotype"/>
          <w:sz w:val="22"/>
          <w:szCs w:val="22"/>
        </w:rPr>
        <w:t>The</w:t>
      </w:r>
      <w:r>
        <w:rPr>
          <w:rFonts w:ascii="Palatino Linotype" w:hAnsi="Palatino Linotype"/>
          <w:sz w:val="22"/>
          <w:szCs w:val="22"/>
        </w:rPr>
        <w:t xml:space="preserve">re is </w:t>
      </w:r>
      <w:r w:rsidR="00A043ED">
        <w:rPr>
          <w:rFonts w:ascii="Palatino Linotype" w:hAnsi="Palatino Linotype"/>
          <w:sz w:val="22"/>
          <w:szCs w:val="22"/>
        </w:rPr>
        <w:t xml:space="preserve">some </w:t>
      </w:r>
      <w:r>
        <w:rPr>
          <w:rFonts w:ascii="Palatino Linotype" w:hAnsi="Palatino Linotype"/>
          <w:sz w:val="22"/>
          <w:szCs w:val="22"/>
        </w:rPr>
        <w:t xml:space="preserve">evidence to suggest that </w:t>
      </w:r>
      <w:r w:rsidRPr="00363755">
        <w:rPr>
          <w:rFonts w:ascii="Palatino Linotype" w:hAnsi="Palatino Linotype"/>
          <w:sz w:val="22"/>
          <w:szCs w:val="22"/>
        </w:rPr>
        <w:t>structured non-schoo</w:t>
      </w:r>
      <w:r>
        <w:rPr>
          <w:rFonts w:ascii="Palatino Linotype" w:hAnsi="Palatino Linotype"/>
          <w:sz w:val="22"/>
          <w:szCs w:val="22"/>
        </w:rPr>
        <w:t>l science programmes, such as</w:t>
      </w:r>
      <w:r w:rsidRPr="00363755">
        <w:rPr>
          <w:rFonts w:ascii="Palatino Linotype" w:hAnsi="Palatino Linotype"/>
          <w:sz w:val="22"/>
          <w:szCs w:val="22"/>
        </w:rPr>
        <w:t xml:space="preserve"> summer science camps, </w:t>
      </w:r>
      <w:r>
        <w:rPr>
          <w:rFonts w:ascii="Palatino Linotype" w:hAnsi="Palatino Linotype"/>
          <w:sz w:val="22"/>
          <w:szCs w:val="22"/>
        </w:rPr>
        <w:t xml:space="preserve">can </w:t>
      </w:r>
      <w:r w:rsidRPr="00363755">
        <w:rPr>
          <w:rFonts w:ascii="Palatino Linotype" w:hAnsi="Palatino Linotype"/>
          <w:sz w:val="22"/>
          <w:szCs w:val="22"/>
        </w:rPr>
        <w:t>stimulate science-specif</w:t>
      </w:r>
      <w:r>
        <w:rPr>
          <w:rFonts w:ascii="Palatino Linotype" w:hAnsi="Palatino Linotype"/>
          <w:sz w:val="22"/>
          <w:szCs w:val="22"/>
        </w:rPr>
        <w:t xml:space="preserve">ic interest in school students and </w:t>
      </w:r>
      <w:r w:rsidRPr="00871B35">
        <w:rPr>
          <w:rFonts w:ascii="Palatino Linotype" w:hAnsi="Palatino Linotype"/>
          <w:sz w:val="22"/>
          <w:szCs w:val="22"/>
        </w:rPr>
        <w:t xml:space="preserve">appear to influence positively future academic achievement </w:t>
      </w:r>
      <w:r>
        <w:rPr>
          <w:rFonts w:ascii="Palatino Linotype" w:hAnsi="Palatino Linotype"/>
          <w:sz w:val="22"/>
          <w:szCs w:val="22"/>
        </w:rPr>
        <w:t>in science and orientation towards</w:t>
      </w:r>
      <w:r w:rsidRPr="00871B35">
        <w:rPr>
          <w:rFonts w:ascii="Palatino Linotype" w:hAnsi="Palatino Linotype"/>
          <w:sz w:val="22"/>
          <w:szCs w:val="22"/>
        </w:rPr>
        <w:t xml:space="preserve"> future science career options</w:t>
      </w:r>
      <w:r>
        <w:rPr>
          <w:rFonts w:ascii="Palatino Linotype" w:hAnsi="Palatino Linotype"/>
          <w:sz w:val="22"/>
          <w:szCs w:val="22"/>
        </w:rPr>
        <w:t xml:space="preserve"> (</w:t>
      </w:r>
      <w:r w:rsidRPr="004D379F">
        <w:rPr>
          <w:rFonts w:ascii="Palatino Linotype" w:hAnsi="Palatino Linotype"/>
          <w:sz w:val="22"/>
          <w:szCs w:val="22"/>
        </w:rPr>
        <w:t>National Research Council</w:t>
      </w:r>
      <w:r>
        <w:rPr>
          <w:rFonts w:ascii="Palatino Linotype" w:hAnsi="Palatino Linotype"/>
          <w:sz w:val="22"/>
          <w:szCs w:val="22"/>
        </w:rPr>
        <w:t xml:space="preserve">, </w:t>
      </w:r>
      <w:r w:rsidRPr="004D379F">
        <w:rPr>
          <w:rFonts w:ascii="Palatino Linotype" w:hAnsi="Palatino Linotype"/>
          <w:sz w:val="22"/>
          <w:szCs w:val="22"/>
        </w:rPr>
        <w:t>2009)</w:t>
      </w:r>
      <w:r w:rsidR="00F53CE5">
        <w:rPr>
          <w:rFonts w:ascii="Palatino Linotype" w:hAnsi="Palatino Linotype"/>
          <w:sz w:val="22"/>
          <w:szCs w:val="22"/>
        </w:rPr>
        <w:t xml:space="preserve">.  </w:t>
      </w:r>
      <w:r>
        <w:rPr>
          <w:rFonts w:ascii="Palatino Linotype" w:hAnsi="Palatino Linotype"/>
          <w:sz w:val="22"/>
          <w:szCs w:val="22"/>
        </w:rPr>
        <w:t>I</w:t>
      </w:r>
      <w:r w:rsidRPr="00363755">
        <w:rPr>
          <w:rFonts w:ascii="Palatino Linotype" w:hAnsi="Palatino Linotype"/>
          <w:sz w:val="22"/>
          <w:szCs w:val="22"/>
        </w:rPr>
        <w:t>nterviews with summer camp parti</w:t>
      </w:r>
      <w:r w:rsidR="00E10EAC">
        <w:rPr>
          <w:rFonts w:ascii="Palatino Linotype" w:hAnsi="Palatino Linotype"/>
          <w:sz w:val="22"/>
          <w:szCs w:val="22"/>
        </w:rPr>
        <w:t>cipants two years later reveal</w:t>
      </w:r>
      <w:r w:rsidRPr="00363755">
        <w:rPr>
          <w:rFonts w:ascii="Palatino Linotype" w:hAnsi="Palatino Linotype"/>
          <w:sz w:val="22"/>
          <w:szCs w:val="22"/>
        </w:rPr>
        <w:t xml:space="preserve"> that the hands-on and inqui</w:t>
      </w:r>
      <w:r w:rsidR="00E10EAC">
        <w:rPr>
          <w:rFonts w:ascii="Palatino Linotype" w:hAnsi="Palatino Linotype"/>
          <w:sz w:val="22"/>
          <w:szCs w:val="22"/>
        </w:rPr>
        <w:t>ry based nature of activities a</w:t>
      </w:r>
      <w:r w:rsidRPr="00363755">
        <w:rPr>
          <w:rFonts w:ascii="Palatino Linotype" w:hAnsi="Palatino Linotype"/>
          <w:sz w:val="22"/>
          <w:szCs w:val="22"/>
        </w:rPr>
        <w:t xml:space="preserve">re </w:t>
      </w:r>
      <w:r w:rsidR="00E10EAC">
        <w:rPr>
          <w:rFonts w:ascii="Palatino Linotype" w:hAnsi="Palatino Linotype"/>
          <w:sz w:val="22"/>
          <w:szCs w:val="22"/>
        </w:rPr>
        <w:t xml:space="preserve">those </w:t>
      </w:r>
      <w:r w:rsidRPr="00363755">
        <w:rPr>
          <w:rFonts w:ascii="Palatino Linotype" w:hAnsi="Palatino Linotype"/>
          <w:sz w:val="22"/>
          <w:szCs w:val="22"/>
        </w:rPr>
        <w:t>best remembered and enjoyed (Gibson and Chase, 2002)</w:t>
      </w:r>
      <w:r w:rsidR="00F53CE5">
        <w:rPr>
          <w:rFonts w:ascii="Palatino Linotype" w:hAnsi="Palatino Linotype"/>
          <w:sz w:val="22"/>
          <w:szCs w:val="22"/>
        </w:rPr>
        <w:t xml:space="preserve">.  </w:t>
      </w:r>
    </w:p>
    <w:p w:rsidR="00124621" w:rsidRDefault="00124621" w:rsidP="00D9487D">
      <w:pPr>
        <w:spacing w:line="240" w:lineRule="auto"/>
        <w:jc w:val="both"/>
        <w:rPr>
          <w:rFonts w:ascii="Palatino Linotype" w:hAnsi="Palatino Linotype"/>
          <w:sz w:val="22"/>
          <w:szCs w:val="22"/>
        </w:rPr>
      </w:pPr>
    </w:p>
    <w:p w:rsidR="00116942" w:rsidRDefault="00116942" w:rsidP="00D9487D">
      <w:pPr>
        <w:spacing w:line="240" w:lineRule="auto"/>
        <w:jc w:val="both"/>
        <w:rPr>
          <w:rFonts w:ascii="Palatino Linotype" w:hAnsi="Palatino Linotype"/>
          <w:sz w:val="22"/>
          <w:szCs w:val="22"/>
        </w:rPr>
      </w:pPr>
      <w:r w:rsidRPr="00363755">
        <w:rPr>
          <w:rFonts w:ascii="Palatino Linotype" w:hAnsi="Palatino Linotype"/>
          <w:sz w:val="22"/>
          <w:szCs w:val="22"/>
        </w:rPr>
        <w:t xml:space="preserve">Evaluation of the newly refurbished </w:t>
      </w:r>
      <w:r w:rsidRPr="00363755">
        <w:rPr>
          <w:rFonts w:ascii="Palatino Linotype" w:hAnsi="Palatino Linotype"/>
          <w:i/>
          <w:sz w:val="22"/>
          <w:szCs w:val="22"/>
        </w:rPr>
        <w:t>Launchpad</w:t>
      </w:r>
      <w:r w:rsidRPr="00363755">
        <w:rPr>
          <w:rFonts w:ascii="Palatino Linotype" w:hAnsi="Palatino Linotype"/>
          <w:sz w:val="22"/>
          <w:szCs w:val="22"/>
        </w:rPr>
        <w:t xml:space="preserve"> exhibition at the Science Museum in London shows young people commented positively on how the experienc</w:t>
      </w:r>
      <w:r>
        <w:rPr>
          <w:rFonts w:ascii="Palatino Linotype" w:hAnsi="Palatino Linotype"/>
          <w:sz w:val="22"/>
          <w:szCs w:val="22"/>
        </w:rPr>
        <w:t>es differ</w:t>
      </w:r>
      <w:r w:rsidRPr="00363755">
        <w:rPr>
          <w:rFonts w:ascii="Palatino Linotype" w:hAnsi="Palatino Linotype"/>
          <w:sz w:val="22"/>
          <w:szCs w:val="22"/>
        </w:rPr>
        <w:t xml:space="preserve"> from</w:t>
      </w:r>
      <w:r w:rsidR="00E10EAC">
        <w:rPr>
          <w:rFonts w:ascii="Palatino Linotype" w:hAnsi="Palatino Linotype"/>
          <w:sz w:val="22"/>
          <w:szCs w:val="22"/>
        </w:rPr>
        <w:t xml:space="preserve"> those in school</w:t>
      </w:r>
      <w:r w:rsidR="00F53CE5">
        <w:rPr>
          <w:rFonts w:ascii="Palatino Linotype" w:hAnsi="Palatino Linotype"/>
          <w:sz w:val="22"/>
          <w:szCs w:val="22"/>
        </w:rPr>
        <w:t xml:space="preserve">.  </w:t>
      </w:r>
      <w:r w:rsidR="00E10EAC">
        <w:rPr>
          <w:rFonts w:ascii="Palatino Linotype" w:hAnsi="Palatino Linotype"/>
          <w:sz w:val="22"/>
          <w:szCs w:val="22"/>
        </w:rPr>
        <w:t xml:space="preserve">They </w:t>
      </w:r>
      <w:r w:rsidR="00C74F63">
        <w:rPr>
          <w:rFonts w:ascii="Palatino Linotype" w:hAnsi="Palatino Linotype"/>
          <w:sz w:val="22"/>
          <w:szCs w:val="22"/>
        </w:rPr>
        <w:t>report</w:t>
      </w:r>
      <w:r w:rsidRPr="00363755">
        <w:rPr>
          <w:rFonts w:ascii="Palatino Linotype" w:hAnsi="Palatino Linotype"/>
          <w:sz w:val="22"/>
          <w:szCs w:val="22"/>
        </w:rPr>
        <w:t xml:space="preserve"> enjoying opportunities to try things out themselves, to formulate questions, to share experiences and to learn from </w:t>
      </w:r>
      <w:r w:rsidR="006A08D9">
        <w:rPr>
          <w:rFonts w:ascii="Palatino Linotype" w:hAnsi="Palatino Linotype"/>
          <w:sz w:val="22"/>
          <w:szCs w:val="22"/>
        </w:rPr>
        <w:t>making mistakes (</w:t>
      </w:r>
      <w:proofErr w:type="spellStart"/>
      <w:r w:rsidR="006A08D9">
        <w:rPr>
          <w:rFonts w:ascii="Palatino Linotype" w:hAnsi="Palatino Linotype"/>
          <w:sz w:val="22"/>
          <w:szCs w:val="22"/>
        </w:rPr>
        <w:t>Teixeira</w:t>
      </w:r>
      <w:proofErr w:type="spellEnd"/>
      <w:r w:rsidR="006A08D9">
        <w:rPr>
          <w:rFonts w:ascii="Palatino Linotype" w:hAnsi="Palatino Linotype"/>
          <w:sz w:val="22"/>
          <w:szCs w:val="22"/>
        </w:rPr>
        <w:t xml:space="preserve"> and Bu</w:t>
      </w:r>
      <w:r w:rsidRPr="00363755">
        <w:rPr>
          <w:rFonts w:ascii="Palatino Linotype" w:hAnsi="Palatino Linotype"/>
          <w:sz w:val="22"/>
          <w:szCs w:val="22"/>
        </w:rPr>
        <w:t>rch, 2007)</w:t>
      </w:r>
      <w:r w:rsidR="00F53CE5">
        <w:rPr>
          <w:rFonts w:ascii="Palatino Linotype" w:hAnsi="Palatino Linotype"/>
          <w:sz w:val="22"/>
          <w:szCs w:val="22"/>
        </w:rPr>
        <w:t xml:space="preserve">.  </w:t>
      </w:r>
    </w:p>
    <w:p w:rsidR="00116942" w:rsidRDefault="00116942" w:rsidP="00D9487D">
      <w:pPr>
        <w:spacing w:line="240" w:lineRule="auto"/>
        <w:jc w:val="both"/>
        <w:rPr>
          <w:rFonts w:ascii="Palatino Linotype" w:hAnsi="Palatino Linotype"/>
          <w:sz w:val="22"/>
          <w:szCs w:val="22"/>
        </w:rPr>
      </w:pPr>
    </w:p>
    <w:p w:rsidR="00116942" w:rsidRPr="00363755" w:rsidRDefault="00116942" w:rsidP="00D9487D">
      <w:pPr>
        <w:spacing w:line="240" w:lineRule="auto"/>
        <w:jc w:val="both"/>
        <w:rPr>
          <w:rFonts w:ascii="Palatino Linotype" w:hAnsi="Palatino Linotype"/>
          <w:sz w:val="22"/>
          <w:szCs w:val="22"/>
        </w:rPr>
      </w:pPr>
      <w:r>
        <w:rPr>
          <w:rFonts w:ascii="Palatino Linotype" w:hAnsi="Palatino Linotype"/>
          <w:sz w:val="22"/>
          <w:szCs w:val="22"/>
        </w:rPr>
        <w:t>The</w:t>
      </w:r>
      <w:r w:rsidRPr="00A931C4">
        <w:rPr>
          <w:rFonts w:ascii="Palatino Linotype" w:hAnsi="Palatino Linotype"/>
          <w:sz w:val="22"/>
          <w:szCs w:val="22"/>
        </w:rPr>
        <w:t xml:space="preserve"> evaluation of a museum project</w:t>
      </w:r>
      <w:r>
        <w:rPr>
          <w:rFonts w:ascii="Palatino Linotype" w:hAnsi="Palatino Linotype"/>
          <w:sz w:val="22"/>
          <w:szCs w:val="22"/>
        </w:rPr>
        <w:t xml:space="preserve"> in the USA,</w:t>
      </w:r>
      <w:r w:rsidRPr="00A931C4">
        <w:rPr>
          <w:rFonts w:ascii="Palatino Linotype" w:hAnsi="Palatino Linotype"/>
          <w:sz w:val="22"/>
          <w:szCs w:val="22"/>
        </w:rPr>
        <w:t xml:space="preserve"> </w:t>
      </w:r>
      <w:r w:rsidRPr="00A931C4">
        <w:rPr>
          <w:rFonts w:ascii="Palatino Linotype" w:hAnsi="Palatino Linotype"/>
          <w:i/>
          <w:sz w:val="22"/>
          <w:szCs w:val="22"/>
        </w:rPr>
        <w:t>Raising Interest in Science and Engineering</w:t>
      </w:r>
      <w:r w:rsidRPr="00A931C4">
        <w:rPr>
          <w:rFonts w:ascii="Palatino Linotype" w:hAnsi="Palatino Linotype"/>
          <w:sz w:val="22"/>
          <w:szCs w:val="22"/>
        </w:rPr>
        <w:t xml:space="preserve">, aimed at increasing confidence in </w:t>
      </w:r>
      <w:r w:rsidR="00BC353A">
        <w:rPr>
          <w:rFonts w:ascii="Palatino Linotype" w:hAnsi="Palatino Linotype"/>
          <w:sz w:val="22"/>
          <w:szCs w:val="22"/>
        </w:rPr>
        <w:t>mathematics and science</w:t>
      </w:r>
      <w:r w:rsidRPr="00A931C4">
        <w:rPr>
          <w:rFonts w:ascii="Palatino Linotype" w:hAnsi="Palatino Linotype"/>
          <w:sz w:val="22"/>
          <w:szCs w:val="22"/>
        </w:rPr>
        <w:t xml:space="preserve"> of middle school girls, reported substantial increases in the numbers of girls planning to pursue careers involving </w:t>
      </w:r>
      <w:r w:rsidR="00BC353A">
        <w:rPr>
          <w:rFonts w:ascii="Palatino Linotype" w:hAnsi="Palatino Linotype"/>
          <w:sz w:val="22"/>
          <w:szCs w:val="22"/>
        </w:rPr>
        <w:t>mathematics and science</w:t>
      </w:r>
      <w:r w:rsidRPr="00A931C4">
        <w:rPr>
          <w:rFonts w:ascii="Palatino Linotype" w:hAnsi="Palatino Linotype"/>
          <w:sz w:val="22"/>
          <w:szCs w:val="22"/>
        </w:rPr>
        <w:t>, and taking action to change plans (Jarvis, 2002)</w:t>
      </w:r>
      <w:r w:rsidR="00F53CE5">
        <w:rPr>
          <w:rFonts w:ascii="Palatino Linotype" w:hAnsi="Palatino Linotype"/>
          <w:sz w:val="22"/>
          <w:szCs w:val="22"/>
        </w:rPr>
        <w:t xml:space="preserve">.  </w:t>
      </w:r>
      <w:r w:rsidRPr="00A931C4">
        <w:rPr>
          <w:rFonts w:ascii="Palatino Linotype" w:hAnsi="Palatino Linotype"/>
          <w:sz w:val="22"/>
          <w:szCs w:val="22"/>
        </w:rPr>
        <w:t>An important aspect of this programme was that each girl had a female mentor acting as a positive role model for STEM.</w:t>
      </w:r>
    </w:p>
    <w:p w:rsidR="00116942" w:rsidRPr="00363755" w:rsidRDefault="00116942" w:rsidP="00D9487D">
      <w:pPr>
        <w:spacing w:line="240" w:lineRule="auto"/>
        <w:jc w:val="both"/>
        <w:rPr>
          <w:rFonts w:ascii="Palatino Linotype" w:hAnsi="Palatino Linotype"/>
          <w:sz w:val="22"/>
          <w:szCs w:val="22"/>
        </w:rPr>
      </w:pPr>
    </w:p>
    <w:p w:rsidR="00116942" w:rsidRDefault="00116942" w:rsidP="00D9487D">
      <w:pPr>
        <w:spacing w:line="240" w:lineRule="auto"/>
        <w:jc w:val="both"/>
        <w:rPr>
          <w:rFonts w:ascii="Palatino Linotype" w:hAnsi="Palatino Linotype"/>
          <w:sz w:val="22"/>
          <w:szCs w:val="22"/>
        </w:rPr>
      </w:pPr>
      <w:r>
        <w:rPr>
          <w:rFonts w:ascii="Palatino Linotype" w:hAnsi="Palatino Linotype"/>
          <w:sz w:val="22"/>
          <w:szCs w:val="22"/>
        </w:rPr>
        <w:lastRenderedPageBreak/>
        <w:t>The evidence on the impact of activities such as science fairs is inconclusive</w:t>
      </w:r>
      <w:r w:rsidR="00F53CE5">
        <w:rPr>
          <w:rFonts w:ascii="Palatino Linotype" w:hAnsi="Palatino Linotype"/>
          <w:sz w:val="22"/>
          <w:szCs w:val="22"/>
        </w:rPr>
        <w:t xml:space="preserve">.  </w:t>
      </w:r>
      <w:r>
        <w:rPr>
          <w:rFonts w:ascii="Palatino Linotype" w:hAnsi="Palatino Linotype"/>
          <w:sz w:val="22"/>
          <w:szCs w:val="22"/>
        </w:rPr>
        <w:t xml:space="preserve">For example, </w:t>
      </w:r>
      <w:r w:rsidRPr="00A931C4">
        <w:rPr>
          <w:rFonts w:ascii="Palatino Linotype" w:hAnsi="Palatino Linotype"/>
          <w:sz w:val="22"/>
          <w:szCs w:val="22"/>
        </w:rPr>
        <w:t xml:space="preserve">Rodd </w:t>
      </w:r>
      <w:r w:rsidRPr="00A931C4">
        <w:rPr>
          <w:rFonts w:ascii="Palatino Linotype" w:hAnsi="Palatino Linotype"/>
          <w:i/>
          <w:sz w:val="22"/>
          <w:szCs w:val="22"/>
        </w:rPr>
        <w:t>et al</w:t>
      </w:r>
      <w:r w:rsidRPr="00A931C4">
        <w:rPr>
          <w:rFonts w:ascii="Palatino Linotype" w:hAnsi="Palatino Linotype"/>
          <w:sz w:val="22"/>
          <w:szCs w:val="22"/>
        </w:rPr>
        <w:t>.</w:t>
      </w:r>
      <w:r>
        <w:rPr>
          <w:rFonts w:ascii="Palatino Linotype" w:hAnsi="Palatino Linotype"/>
          <w:sz w:val="22"/>
          <w:szCs w:val="22"/>
        </w:rPr>
        <w:t xml:space="preserve"> (in press</w:t>
      </w:r>
      <w:r w:rsidRPr="00A931C4">
        <w:rPr>
          <w:rFonts w:ascii="Palatino Linotype" w:hAnsi="Palatino Linotype"/>
          <w:sz w:val="22"/>
          <w:szCs w:val="22"/>
        </w:rPr>
        <w:t>)</w:t>
      </w:r>
      <w:r>
        <w:rPr>
          <w:rFonts w:ascii="Palatino Linotype" w:hAnsi="Palatino Linotype"/>
          <w:sz w:val="22"/>
          <w:szCs w:val="22"/>
        </w:rPr>
        <w:t xml:space="preserve"> report that such fairs </w:t>
      </w:r>
      <w:r w:rsidRPr="00A931C4">
        <w:rPr>
          <w:rFonts w:ascii="Palatino Linotype" w:hAnsi="Palatino Linotype"/>
          <w:sz w:val="22"/>
          <w:szCs w:val="22"/>
        </w:rPr>
        <w:t xml:space="preserve">do not </w:t>
      </w:r>
      <w:r>
        <w:rPr>
          <w:rFonts w:ascii="Palatino Linotype" w:hAnsi="Palatino Linotype"/>
          <w:sz w:val="22"/>
          <w:szCs w:val="22"/>
        </w:rPr>
        <w:t xml:space="preserve">appear to </w:t>
      </w:r>
      <w:r w:rsidRPr="00A931C4">
        <w:rPr>
          <w:rFonts w:ascii="Palatino Linotype" w:hAnsi="Palatino Linotype"/>
          <w:sz w:val="22"/>
          <w:szCs w:val="22"/>
        </w:rPr>
        <w:t xml:space="preserve">influence undergraduates’ choice </w:t>
      </w:r>
      <w:r>
        <w:rPr>
          <w:rFonts w:ascii="Palatino Linotype" w:hAnsi="Palatino Linotype"/>
          <w:sz w:val="22"/>
          <w:szCs w:val="22"/>
        </w:rPr>
        <w:t>to read physics at a university</w:t>
      </w:r>
      <w:r w:rsidR="00F53CE5">
        <w:rPr>
          <w:rFonts w:ascii="Palatino Linotype" w:hAnsi="Palatino Linotype"/>
          <w:sz w:val="22"/>
          <w:szCs w:val="22"/>
        </w:rPr>
        <w:t xml:space="preserve">.  </w:t>
      </w:r>
    </w:p>
    <w:p w:rsidR="003D2E38" w:rsidRDefault="003D2E38" w:rsidP="00D9487D">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b/>
          <w:color w:val="1F497D" w:themeColor="text2"/>
          <w:sz w:val="28"/>
          <w:szCs w:val="22"/>
        </w:rPr>
      </w:pPr>
      <w:bookmarkStart w:id="1" w:name="_Toc203379931"/>
      <w:r w:rsidRPr="003D2E38">
        <w:rPr>
          <w:rFonts w:ascii="Palatino Linotype" w:hAnsi="Palatino Linotype"/>
          <w:b/>
          <w:color w:val="1F497D" w:themeColor="text2"/>
          <w:sz w:val="28"/>
          <w:szCs w:val="22"/>
        </w:rPr>
        <w:t>4</w:t>
      </w:r>
      <w:r w:rsidRPr="003D2E38">
        <w:rPr>
          <w:rFonts w:ascii="Palatino Linotype" w:hAnsi="Palatino Linotype"/>
          <w:b/>
          <w:color w:val="1F497D" w:themeColor="text2"/>
          <w:sz w:val="28"/>
          <w:szCs w:val="22"/>
        </w:rPr>
        <w:tab/>
      </w:r>
      <w:bookmarkEnd w:id="1"/>
      <w:r w:rsidR="00F520CC">
        <w:rPr>
          <w:rFonts w:ascii="Palatino Linotype" w:hAnsi="Palatino Linotype"/>
          <w:b/>
          <w:color w:val="1F497D" w:themeColor="text2"/>
          <w:sz w:val="28"/>
          <w:szCs w:val="22"/>
        </w:rPr>
        <w:t>Discussion</w:t>
      </w:r>
    </w:p>
    <w:p w:rsidR="003D2E38" w:rsidRPr="003D2E38" w:rsidRDefault="003D2E38" w:rsidP="003D2E38">
      <w:pPr>
        <w:spacing w:line="240" w:lineRule="auto"/>
        <w:jc w:val="both"/>
        <w:rPr>
          <w:rFonts w:ascii="Palatino Linotype" w:hAnsi="Palatino Linotype"/>
          <w:sz w:val="22"/>
          <w:szCs w:val="22"/>
        </w:rPr>
      </w:pPr>
    </w:p>
    <w:p w:rsid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This section summarises</w:t>
      </w:r>
      <w:r w:rsidR="00E10EAC">
        <w:rPr>
          <w:rFonts w:ascii="Palatino Linotype" w:hAnsi="Palatino Linotype"/>
          <w:sz w:val="22"/>
          <w:szCs w:val="22"/>
        </w:rPr>
        <w:t xml:space="preserve"> and </w:t>
      </w:r>
      <w:r w:rsidR="00DE23EC">
        <w:rPr>
          <w:rFonts w:ascii="Palatino Linotype" w:hAnsi="Palatino Linotype"/>
          <w:sz w:val="22"/>
          <w:szCs w:val="22"/>
        </w:rPr>
        <w:t>discusses</w:t>
      </w:r>
      <w:r w:rsidRPr="003D2E38">
        <w:rPr>
          <w:rFonts w:ascii="Palatino Linotype" w:hAnsi="Palatino Linotype"/>
          <w:sz w:val="22"/>
          <w:szCs w:val="22"/>
        </w:rPr>
        <w:t xml:space="preserve"> the key findings of the review, both in relation to methodological considerat</w:t>
      </w:r>
      <w:r w:rsidR="00B153CD">
        <w:rPr>
          <w:rFonts w:ascii="Palatino Linotype" w:hAnsi="Palatino Linotype"/>
          <w:sz w:val="22"/>
          <w:szCs w:val="22"/>
        </w:rPr>
        <w:t>ions and substantive findings</w:t>
      </w:r>
      <w:r w:rsidR="00F53CE5">
        <w:rPr>
          <w:rFonts w:ascii="Palatino Linotype" w:hAnsi="Palatino Linotype"/>
          <w:sz w:val="22"/>
          <w:szCs w:val="22"/>
        </w:rPr>
        <w:t xml:space="preserve">.  </w:t>
      </w:r>
    </w:p>
    <w:p w:rsidR="00102C2D" w:rsidRDefault="00102C2D"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b/>
          <w:sz w:val="22"/>
          <w:szCs w:val="22"/>
        </w:rPr>
      </w:pPr>
      <w:r w:rsidRPr="003D2E38">
        <w:rPr>
          <w:rFonts w:ascii="Palatino Linotype" w:hAnsi="Palatino Linotype"/>
          <w:b/>
          <w:sz w:val="22"/>
          <w:szCs w:val="22"/>
        </w:rPr>
        <w:t>4.1</w:t>
      </w:r>
      <w:r w:rsidRPr="003D2E38">
        <w:rPr>
          <w:rFonts w:ascii="Palatino Linotype" w:hAnsi="Palatino Linotype"/>
          <w:b/>
          <w:sz w:val="22"/>
          <w:szCs w:val="22"/>
        </w:rPr>
        <w:tab/>
        <w:t>Overview of the nature and scope of the literature</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There are three particularly striking features of the literature on attitudes, engagement and participation in STEM subjects</w:t>
      </w:r>
      <w:r w:rsidR="00F53CE5">
        <w:rPr>
          <w:rFonts w:ascii="Palatino Linotype" w:hAnsi="Palatino Linotype"/>
          <w:sz w:val="22"/>
          <w:szCs w:val="22"/>
        </w:rPr>
        <w:t xml:space="preserve">.  </w:t>
      </w:r>
      <w:r w:rsidRPr="003D2E38">
        <w:rPr>
          <w:rFonts w:ascii="Palatino Linotype" w:hAnsi="Palatino Linotype"/>
          <w:sz w:val="22"/>
          <w:szCs w:val="22"/>
        </w:rPr>
        <w:t>The first is the sheer volume of publications</w:t>
      </w:r>
      <w:r w:rsidR="00F53CE5">
        <w:rPr>
          <w:rFonts w:ascii="Palatino Linotype" w:hAnsi="Palatino Linotype"/>
          <w:sz w:val="22"/>
          <w:szCs w:val="22"/>
        </w:rPr>
        <w:t xml:space="preserve">.  </w:t>
      </w:r>
      <w:r w:rsidRPr="003D2E38">
        <w:rPr>
          <w:rFonts w:ascii="Palatino Linotype" w:hAnsi="Palatino Linotype"/>
          <w:sz w:val="22"/>
          <w:szCs w:val="22"/>
        </w:rPr>
        <w:t>The second is the div</w:t>
      </w:r>
      <w:r w:rsidR="00E10EAC">
        <w:rPr>
          <w:rFonts w:ascii="Palatino Linotype" w:hAnsi="Palatino Linotype"/>
          <w:sz w:val="22"/>
          <w:szCs w:val="22"/>
        </w:rPr>
        <w:t>ersity in type of publication</w:t>
      </w:r>
      <w:r w:rsidR="00F53CE5">
        <w:rPr>
          <w:rFonts w:ascii="Palatino Linotype" w:hAnsi="Palatino Linotype"/>
          <w:sz w:val="22"/>
          <w:szCs w:val="22"/>
        </w:rPr>
        <w:t xml:space="preserve">.  </w:t>
      </w:r>
      <w:r w:rsidRPr="003D2E38">
        <w:rPr>
          <w:rFonts w:ascii="Palatino Linotype" w:hAnsi="Palatino Linotype"/>
          <w:sz w:val="22"/>
          <w:szCs w:val="22"/>
        </w:rPr>
        <w:t>Studies are reported in peer-reviewed journals, practitioner-oriented publications, b</w:t>
      </w:r>
      <w:r w:rsidR="009B63CC">
        <w:rPr>
          <w:rFonts w:ascii="Palatino Linotype" w:hAnsi="Palatino Linotype"/>
          <w:sz w:val="22"/>
          <w:szCs w:val="22"/>
        </w:rPr>
        <w:t>ooks and a very substantial quant</w:t>
      </w:r>
      <w:r w:rsidRPr="003D2E38">
        <w:rPr>
          <w:rFonts w:ascii="Palatino Linotype" w:hAnsi="Palatino Linotype"/>
          <w:sz w:val="22"/>
          <w:szCs w:val="22"/>
        </w:rPr>
        <w:t>ity of ‘grey</w:t>
      </w:r>
      <w:r w:rsidR="007257E1">
        <w:rPr>
          <w:rFonts w:ascii="Palatino Linotype" w:hAnsi="Palatino Linotype"/>
          <w:sz w:val="22"/>
          <w:szCs w:val="22"/>
        </w:rPr>
        <w:t>’ literature</w:t>
      </w:r>
      <w:r w:rsidRPr="003D2E38">
        <w:rPr>
          <w:rFonts w:ascii="Palatino Linotype" w:hAnsi="Palatino Linotype"/>
          <w:sz w:val="22"/>
          <w:szCs w:val="22"/>
        </w:rPr>
        <w:t xml:space="preserve">, </w:t>
      </w:r>
      <w:r w:rsidR="00E10EAC">
        <w:rPr>
          <w:rFonts w:ascii="Palatino Linotype" w:hAnsi="Palatino Linotype"/>
          <w:sz w:val="22"/>
          <w:szCs w:val="22"/>
        </w:rPr>
        <w:t>(</w:t>
      </w:r>
      <w:r w:rsidRPr="003D2E38">
        <w:rPr>
          <w:rFonts w:ascii="Palatino Linotype" w:hAnsi="Palatino Linotype"/>
          <w:sz w:val="22"/>
          <w:szCs w:val="22"/>
        </w:rPr>
        <w:t>i.e. literature produced by government, charities, academics, business and industry, but which is not controlled by commercial publishers</w:t>
      </w:r>
      <w:r w:rsidR="00E10EAC">
        <w:rPr>
          <w:rFonts w:ascii="Palatino Linotype" w:hAnsi="Palatino Linotype"/>
          <w:sz w:val="22"/>
          <w:szCs w:val="22"/>
        </w:rPr>
        <w:t>)</w:t>
      </w:r>
      <w:r w:rsidR="00F53CE5">
        <w:rPr>
          <w:rFonts w:ascii="Palatino Linotype" w:hAnsi="Palatino Linotype"/>
          <w:sz w:val="22"/>
          <w:szCs w:val="22"/>
        </w:rPr>
        <w:t xml:space="preserve">.  </w:t>
      </w:r>
      <w:r w:rsidRPr="003D2E38">
        <w:rPr>
          <w:rFonts w:ascii="Palatino Linotype" w:hAnsi="Palatino Linotype"/>
          <w:sz w:val="22"/>
          <w:szCs w:val="22"/>
        </w:rPr>
        <w:t>Gaining an overview of what exists in ‘grey</w:t>
      </w:r>
      <w:r w:rsidR="007257E1">
        <w:rPr>
          <w:rFonts w:ascii="Palatino Linotype" w:hAnsi="Palatino Linotype"/>
          <w:sz w:val="22"/>
          <w:szCs w:val="22"/>
        </w:rPr>
        <w:t>’ literature</w:t>
      </w:r>
      <w:r w:rsidRPr="003D2E38">
        <w:rPr>
          <w:rFonts w:ascii="Palatino Linotype" w:hAnsi="Palatino Linotype"/>
          <w:sz w:val="22"/>
          <w:szCs w:val="22"/>
        </w:rPr>
        <w:t xml:space="preserve"> is problematic</w:t>
      </w:r>
      <w:r w:rsidR="00E10EAC">
        <w:rPr>
          <w:rFonts w:ascii="Palatino Linotype" w:hAnsi="Palatino Linotype"/>
          <w:sz w:val="22"/>
          <w:szCs w:val="22"/>
        </w:rPr>
        <w:t>,</w:t>
      </w:r>
      <w:r w:rsidRPr="003D2E38">
        <w:rPr>
          <w:rFonts w:ascii="Palatino Linotype" w:hAnsi="Palatino Linotype"/>
          <w:sz w:val="22"/>
          <w:szCs w:val="22"/>
        </w:rPr>
        <w:t xml:space="preserve"> as there are no central repositories of such publications, and they may well not appear in electronic databases</w:t>
      </w:r>
      <w:r w:rsidR="00F53CE5">
        <w:rPr>
          <w:rFonts w:ascii="Palatino Linotype" w:hAnsi="Palatino Linotype"/>
          <w:sz w:val="22"/>
          <w:szCs w:val="22"/>
        </w:rPr>
        <w:t xml:space="preserve">.  </w:t>
      </w:r>
      <w:r w:rsidRPr="003D2E38">
        <w:rPr>
          <w:rFonts w:ascii="Palatino Linotype" w:hAnsi="Palatino Linotype"/>
          <w:sz w:val="22"/>
          <w:szCs w:val="22"/>
        </w:rPr>
        <w:t>The diversity in the type of publication reflects interest on the part of a large number of groups, but poses a substantial challenge in synthesising the research findings</w:t>
      </w:r>
      <w:r w:rsidR="00F53CE5">
        <w:rPr>
          <w:rFonts w:ascii="Palatino Linotype" w:hAnsi="Palatino Linotype"/>
          <w:sz w:val="22"/>
          <w:szCs w:val="22"/>
        </w:rPr>
        <w:t xml:space="preserve">.  </w:t>
      </w:r>
      <w:r w:rsidRPr="003D2E38">
        <w:rPr>
          <w:rFonts w:ascii="Palatino Linotype" w:hAnsi="Palatino Linotype"/>
          <w:sz w:val="22"/>
          <w:szCs w:val="22"/>
        </w:rPr>
        <w:t xml:space="preserve">The third feature is the broad similarity of the findings, both from study to study and over a period of time in which there has been considerable change in the </w:t>
      </w:r>
      <w:r w:rsidR="00BC353A">
        <w:rPr>
          <w:rFonts w:ascii="Palatino Linotype" w:hAnsi="Palatino Linotype"/>
          <w:sz w:val="22"/>
          <w:szCs w:val="22"/>
        </w:rPr>
        <w:t>mathematics and science</w:t>
      </w:r>
      <w:r w:rsidRPr="003D2E38">
        <w:rPr>
          <w:rFonts w:ascii="Palatino Linotype" w:hAnsi="Palatino Linotype"/>
          <w:sz w:val="22"/>
          <w:szCs w:val="22"/>
        </w:rPr>
        <w:t xml:space="preserve"> curricula experienced by students</w:t>
      </w:r>
      <w:r w:rsidR="00F53CE5">
        <w:rPr>
          <w:rFonts w:ascii="Palatino Linotype" w:hAnsi="Palatino Linotype"/>
          <w:sz w:val="22"/>
          <w:szCs w:val="22"/>
        </w:rPr>
        <w:t xml:space="preserve">.  </w:t>
      </w:r>
      <w:proofErr w:type="gramStart"/>
      <w:r w:rsidRPr="003D2E38">
        <w:rPr>
          <w:rFonts w:ascii="Palatino Linotype" w:hAnsi="Palatino Linotype"/>
          <w:sz w:val="22"/>
          <w:szCs w:val="22"/>
        </w:rPr>
        <w:t>This points</w:t>
      </w:r>
      <w:proofErr w:type="gramEnd"/>
      <w:r w:rsidRPr="003D2E38">
        <w:rPr>
          <w:rFonts w:ascii="Palatino Linotype" w:hAnsi="Palatino Linotype"/>
          <w:sz w:val="22"/>
          <w:szCs w:val="22"/>
        </w:rPr>
        <w:t xml:space="preserve"> to the deep-rooted and persistent nature of the attitudes and their resistance to change.</w:t>
      </w:r>
    </w:p>
    <w:p w:rsidR="003D2E38" w:rsidRPr="003D2E38" w:rsidRDefault="00FB0721" w:rsidP="003D2E38">
      <w:pPr>
        <w:spacing w:line="240" w:lineRule="auto"/>
        <w:jc w:val="both"/>
        <w:rPr>
          <w:rFonts w:ascii="Palatino Linotype" w:hAnsi="Palatino Linotype"/>
          <w:sz w:val="22"/>
          <w:szCs w:val="22"/>
        </w:rPr>
      </w:pPr>
      <w:r>
        <w:rPr>
          <w:rFonts w:ascii="Palatino Linotype" w:hAnsi="Palatino Linotype"/>
          <w:sz w:val="22"/>
          <w:szCs w:val="22"/>
        </w:rPr>
        <w:t xml:space="preserve"> </w:t>
      </w:r>
    </w:p>
    <w:p w:rsidR="003D2E38" w:rsidRPr="002B38B7" w:rsidRDefault="003D2E38" w:rsidP="003D2E38">
      <w:pPr>
        <w:spacing w:line="240" w:lineRule="auto"/>
        <w:jc w:val="both"/>
        <w:rPr>
          <w:rFonts w:ascii="Palatino Linotype" w:hAnsi="Palatino Linotype"/>
          <w:bCs/>
          <w:sz w:val="22"/>
          <w:szCs w:val="22"/>
        </w:rPr>
      </w:pPr>
      <w:r w:rsidRPr="003D2E38">
        <w:rPr>
          <w:rFonts w:ascii="Palatino Linotype" w:hAnsi="Palatino Linotype"/>
          <w:sz w:val="22"/>
          <w:szCs w:val="22"/>
        </w:rPr>
        <w:t xml:space="preserve">The gathering of data on attitudes to STEM subjects is characterised by an emphasis on survey methods, many of which employ items with </w:t>
      </w:r>
      <w:proofErr w:type="spellStart"/>
      <w:r w:rsidRPr="003D2E38">
        <w:rPr>
          <w:rFonts w:ascii="Palatino Linotype" w:hAnsi="Palatino Linotype"/>
          <w:sz w:val="22"/>
          <w:szCs w:val="22"/>
        </w:rPr>
        <w:t>Likert</w:t>
      </w:r>
      <w:proofErr w:type="spellEnd"/>
      <w:r w:rsidRPr="003D2E38">
        <w:rPr>
          <w:rFonts w:ascii="Palatino Linotype" w:hAnsi="Palatino Linotype"/>
          <w:sz w:val="22"/>
          <w:szCs w:val="22"/>
        </w:rPr>
        <w:t>-type scales (i.e. inviting a response on some form of an agree/neutral/disagree scale)</w:t>
      </w:r>
      <w:r w:rsidR="00F53CE5">
        <w:rPr>
          <w:rFonts w:ascii="Palatino Linotype" w:hAnsi="Palatino Linotype"/>
          <w:sz w:val="22"/>
          <w:szCs w:val="22"/>
        </w:rPr>
        <w:t xml:space="preserve">.  </w:t>
      </w:r>
      <w:r w:rsidRPr="003D2E38">
        <w:rPr>
          <w:rFonts w:ascii="Palatino Linotype" w:hAnsi="Palatino Linotype"/>
          <w:bCs/>
          <w:sz w:val="22"/>
          <w:szCs w:val="22"/>
        </w:rPr>
        <w:t xml:space="preserve">Attitudes are assessed by gathering information in a range of areas, including dispositions towards school </w:t>
      </w:r>
      <w:r w:rsidR="00BC353A">
        <w:rPr>
          <w:rFonts w:ascii="Palatino Linotype" w:hAnsi="Palatino Linotype"/>
          <w:bCs/>
          <w:sz w:val="22"/>
          <w:szCs w:val="22"/>
        </w:rPr>
        <w:t>mathematics and science</w:t>
      </w:r>
      <w:r w:rsidRPr="003D2E38">
        <w:rPr>
          <w:rFonts w:ascii="Palatino Linotype" w:hAnsi="Palatino Linotype"/>
          <w:bCs/>
          <w:sz w:val="22"/>
          <w:szCs w:val="22"/>
        </w:rPr>
        <w:t xml:space="preserve">, teachers and teaching, relevance to everyday life, careers involving </w:t>
      </w:r>
      <w:r w:rsidR="00BC353A">
        <w:rPr>
          <w:rFonts w:ascii="Palatino Linotype" w:hAnsi="Palatino Linotype"/>
          <w:bCs/>
          <w:sz w:val="22"/>
          <w:szCs w:val="22"/>
        </w:rPr>
        <w:t>mathematics and science</w:t>
      </w:r>
      <w:r w:rsidRPr="003D2E38">
        <w:rPr>
          <w:rFonts w:ascii="Palatino Linotype" w:hAnsi="Palatino Linotype"/>
          <w:bCs/>
          <w:sz w:val="22"/>
          <w:szCs w:val="22"/>
        </w:rPr>
        <w:t xml:space="preserve">, the influence of peers and parents, and </w:t>
      </w:r>
      <w:r w:rsidR="00BC353A">
        <w:rPr>
          <w:rFonts w:ascii="Palatino Linotype" w:hAnsi="Palatino Linotype"/>
          <w:bCs/>
          <w:sz w:val="22"/>
          <w:szCs w:val="22"/>
        </w:rPr>
        <w:t>mathematics and science</w:t>
      </w:r>
      <w:r w:rsidRPr="003D2E38">
        <w:rPr>
          <w:rFonts w:ascii="Palatino Linotype" w:hAnsi="Palatino Linotype"/>
          <w:bCs/>
          <w:sz w:val="22"/>
          <w:szCs w:val="22"/>
        </w:rPr>
        <w:t xml:space="preserve"> outside school</w:t>
      </w:r>
      <w:r w:rsidR="00F53CE5">
        <w:rPr>
          <w:rFonts w:ascii="Palatino Linotype" w:hAnsi="Palatino Linotype"/>
          <w:bCs/>
          <w:sz w:val="22"/>
          <w:szCs w:val="22"/>
        </w:rPr>
        <w:t xml:space="preserve">.  </w:t>
      </w:r>
      <w:r w:rsidRPr="003D2E38">
        <w:rPr>
          <w:rFonts w:ascii="Palatino Linotype" w:hAnsi="Palatino Linotype"/>
          <w:bCs/>
          <w:sz w:val="22"/>
          <w:szCs w:val="22"/>
        </w:rPr>
        <w:t xml:space="preserve">A further discernible developing strand of work focuses on students’ beliefs both in their </w:t>
      </w:r>
      <w:r w:rsidRPr="002B38B7">
        <w:rPr>
          <w:rFonts w:ascii="Palatino Linotype" w:hAnsi="Palatino Linotype"/>
          <w:bCs/>
          <w:sz w:val="22"/>
          <w:szCs w:val="22"/>
        </w:rPr>
        <w:t>capabilities to achieve a goal or an outcome (self-efficacy) and in their academic abilities (self-concept)</w:t>
      </w:r>
      <w:r w:rsidR="00F53CE5">
        <w:rPr>
          <w:rFonts w:ascii="Palatino Linotype" w:hAnsi="Palatino Linotype"/>
          <w:bCs/>
          <w:sz w:val="22"/>
          <w:szCs w:val="22"/>
        </w:rPr>
        <w:t xml:space="preserve">.  </w:t>
      </w:r>
    </w:p>
    <w:p w:rsidR="00430CBD" w:rsidRPr="002B38B7" w:rsidRDefault="00430CBD" w:rsidP="003D2E38">
      <w:pPr>
        <w:spacing w:line="240" w:lineRule="auto"/>
        <w:jc w:val="both"/>
        <w:rPr>
          <w:rFonts w:ascii="Palatino Linotype" w:hAnsi="Palatino Linotype"/>
          <w:bCs/>
          <w:sz w:val="22"/>
          <w:szCs w:val="22"/>
        </w:rPr>
      </w:pPr>
    </w:p>
    <w:p w:rsidR="00430CBD" w:rsidRPr="002B38B7" w:rsidRDefault="00430CBD" w:rsidP="003D2E38">
      <w:pPr>
        <w:spacing w:line="240" w:lineRule="auto"/>
        <w:jc w:val="both"/>
        <w:rPr>
          <w:rFonts w:ascii="Palatino Linotype" w:hAnsi="Palatino Linotype"/>
          <w:bCs/>
          <w:sz w:val="22"/>
          <w:szCs w:val="22"/>
        </w:rPr>
      </w:pPr>
      <w:r w:rsidRPr="002B38B7">
        <w:rPr>
          <w:rFonts w:ascii="Palatino Linotype" w:hAnsi="Palatino Linotype"/>
          <w:bCs/>
          <w:sz w:val="22"/>
          <w:szCs w:val="22"/>
        </w:rPr>
        <w:t xml:space="preserve">The emphasis on survey methods leads to a </w:t>
      </w:r>
      <w:r w:rsidR="002B38B7">
        <w:rPr>
          <w:rFonts w:ascii="Palatino Linotype" w:hAnsi="Palatino Linotype"/>
          <w:bCs/>
          <w:sz w:val="22"/>
          <w:szCs w:val="22"/>
        </w:rPr>
        <w:t>substantial</w:t>
      </w:r>
      <w:r w:rsidRPr="002B38B7">
        <w:rPr>
          <w:rFonts w:ascii="Palatino Linotype" w:hAnsi="Palatino Linotype"/>
          <w:bCs/>
          <w:sz w:val="22"/>
          <w:szCs w:val="22"/>
        </w:rPr>
        <w:t xml:space="preserve"> weakness in </w:t>
      </w:r>
      <w:r w:rsidR="002B38B7">
        <w:rPr>
          <w:rFonts w:ascii="Palatino Linotype" w:hAnsi="Palatino Linotype"/>
          <w:bCs/>
          <w:sz w:val="22"/>
          <w:szCs w:val="22"/>
        </w:rPr>
        <w:t xml:space="preserve">much of </w:t>
      </w:r>
      <w:r w:rsidRPr="002B38B7">
        <w:rPr>
          <w:rFonts w:ascii="Palatino Linotype" w:hAnsi="Palatino Linotype"/>
          <w:bCs/>
          <w:sz w:val="22"/>
          <w:szCs w:val="22"/>
        </w:rPr>
        <w:t>the literature, in that it is descriptive, rather than explanatory, making it difficult to infer causality</w:t>
      </w:r>
      <w:r w:rsidR="00F53CE5">
        <w:rPr>
          <w:rFonts w:ascii="Palatino Linotype" w:hAnsi="Palatino Linotype"/>
          <w:bCs/>
          <w:sz w:val="22"/>
          <w:szCs w:val="22"/>
        </w:rPr>
        <w:t xml:space="preserve">.  </w:t>
      </w:r>
      <w:r w:rsidR="002B38B7" w:rsidRPr="002B38B7">
        <w:rPr>
          <w:rFonts w:ascii="Palatino Linotype" w:hAnsi="Palatino Linotype"/>
          <w:bCs/>
          <w:sz w:val="22"/>
          <w:szCs w:val="22"/>
        </w:rPr>
        <w:t>Thus, for example, the most recent studies of students’ interest in science suggest that interest is fairly high across the period of secondary schooling, in contrast to earlier work that points to interest declining sharply between the ages of 11 and 14</w:t>
      </w:r>
      <w:r w:rsidR="00F53CE5">
        <w:rPr>
          <w:rFonts w:ascii="Palatino Linotype" w:hAnsi="Palatino Linotype"/>
          <w:bCs/>
          <w:sz w:val="22"/>
          <w:szCs w:val="22"/>
        </w:rPr>
        <w:t xml:space="preserve">.  </w:t>
      </w:r>
      <w:r w:rsidR="002B38B7" w:rsidRPr="002B38B7">
        <w:rPr>
          <w:rFonts w:ascii="Palatino Linotype" w:hAnsi="Palatino Linotype"/>
          <w:bCs/>
          <w:sz w:val="22"/>
          <w:szCs w:val="22"/>
        </w:rPr>
        <w:t>However, it is not possible to determine why this change has taken place.</w:t>
      </w:r>
    </w:p>
    <w:p w:rsidR="003D2E38" w:rsidRPr="002B38B7" w:rsidRDefault="003D2E38" w:rsidP="003D2E38">
      <w:pPr>
        <w:spacing w:line="240" w:lineRule="auto"/>
        <w:jc w:val="both"/>
        <w:rPr>
          <w:rFonts w:ascii="Palatino Linotype" w:hAnsi="Palatino Linotype"/>
          <w:bCs/>
          <w:sz w:val="22"/>
          <w:szCs w:val="22"/>
        </w:rPr>
      </w:pPr>
    </w:p>
    <w:p w:rsidR="003D2E38" w:rsidRPr="003D2E38" w:rsidRDefault="003D2E38" w:rsidP="003D2E38">
      <w:pPr>
        <w:spacing w:line="240" w:lineRule="auto"/>
        <w:jc w:val="both"/>
        <w:rPr>
          <w:rFonts w:ascii="Palatino Linotype" w:hAnsi="Palatino Linotype"/>
          <w:bCs/>
          <w:sz w:val="22"/>
          <w:szCs w:val="22"/>
        </w:rPr>
      </w:pPr>
      <w:r w:rsidRPr="002B38B7">
        <w:rPr>
          <w:rFonts w:ascii="Palatino Linotype" w:hAnsi="Palatino Linotype"/>
          <w:bCs/>
          <w:sz w:val="22"/>
          <w:szCs w:val="22"/>
        </w:rPr>
        <w:t>The last five years have seen an increase in longitudinal studies (a previously identified weakness), though there are still relatively few studies comparing attitudes across subjects</w:t>
      </w:r>
      <w:r w:rsidR="00F53CE5">
        <w:rPr>
          <w:rFonts w:ascii="Palatino Linotype" w:hAnsi="Palatino Linotype"/>
          <w:bCs/>
          <w:sz w:val="22"/>
          <w:szCs w:val="22"/>
        </w:rPr>
        <w:t xml:space="preserve">.  </w:t>
      </w:r>
      <w:r w:rsidRPr="002B38B7">
        <w:rPr>
          <w:rFonts w:ascii="Palatino Linotype" w:hAnsi="Palatino Linotype"/>
          <w:bCs/>
          <w:sz w:val="22"/>
          <w:szCs w:val="22"/>
        </w:rPr>
        <w:t xml:space="preserve">There is also a noticeable trend towards analysis of large datasets such as the National Pupil Database (NPD), either as the focus of the study and/or to assist in the identification of a sample for more in-depth </w:t>
      </w:r>
      <w:r w:rsidRPr="003D2E38">
        <w:rPr>
          <w:rFonts w:ascii="Palatino Linotype" w:hAnsi="Palatino Linotype"/>
          <w:bCs/>
          <w:sz w:val="22"/>
          <w:szCs w:val="22"/>
        </w:rPr>
        <w:t>work</w:t>
      </w:r>
      <w:r w:rsidR="00F53CE5">
        <w:rPr>
          <w:rFonts w:ascii="Palatino Linotype" w:hAnsi="Palatino Linotype"/>
          <w:bCs/>
          <w:sz w:val="22"/>
          <w:szCs w:val="22"/>
        </w:rPr>
        <w:t xml:space="preserve">.  </w:t>
      </w:r>
      <w:r w:rsidRPr="003D2E38">
        <w:rPr>
          <w:rFonts w:ascii="Palatino Linotype" w:hAnsi="Palatino Linotype"/>
          <w:bCs/>
          <w:sz w:val="22"/>
          <w:szCs w:val="22"/>
        </w:rPr>
        <w:t xml:space="preserve">There has been some shift in the focus of the work in that </w:t>
      </w:r>
      <w:r w:rsidRPr="003D2E38">
        <w:rPr>
          <w:rFonts w:ascii="Palatino Linotype" w:hAnsi="Palatino Linotype"/>
          <w:bCs/>
          <w:sz w:val="22"/>
          <w:szCs w:val="22"/>
        </w:rPr>
        <w:lastRenderedPageBreak/>
        <w:t>earlier studies tends to focus on either science or mathematics, with some of the more recent work focusing on STEM subjects collectively.</w:t>
      </w:r>
    </w:p>
    <w:p w:rsidR="00BC06B9" w:rsidRDefault="00BC06B9" w:rsidP="003D2E38">
      <w:pPr>
        <w:spacing w:line="240" w:lineRule="auto"/>
        <w:jc w:val="both"/>
        <w:rPr>
          <w:rFonts w:ascii="Palatino Linotype" w:hAnsi="Palatino Linotype"/>
          <w:bCs/>
          <w:sz w:val="22"/>
          <w:szCs w:val="22"/>
        </w:rPr>
      </w:pPr>
    </w:p>
    <w:p w:rsidR="003D2E38" w:rsidRPr="00F520CC" w:rsidRDefault="003D2E38" w:rsidP="003D2E38">
      <w:pPr>
        <w:spacing w:line="240" w:lineRule="auto"/>
        <w:jc w:val="both"/>
        <w:rPr>
          <w:rFonts w:ascii="Palatino Linotype" w:hAnsi="Palatino Linotype"/>
          <w:bCs/>
          <w:sz w:val="22"/>
          <w:szCs w:val="22"/>
        </w:rPr>
      </w:pPr>
      <w:r w:rsidRPr="003D2E38">
        <w:rPr>
          <w:rFonts w:ascii="Palatino Linotype" w:hAnsi="Palatino Linotype"/>
          <w:bCs/>
          <w:sz w:val="22"/>
          <w:szCs w:val="22"/>
        </w:rPr>
        <w:t>Analysis of reports of studies suggests that attention has been paid to some of the methodological weaknesses identified in the early work, with greater care being taken over matters of sampling, sample size, reliability and validity (in both instrument design, and analysis)</w:t>
      </w:r>
      <w:r w:rsidR="00F53CE5">
        <w:rPr>
          <w:rFonts w:ascii="Palatino Linotype" w:hAnsi="Palatino Linotype"/>
          <w:bCs/>
          <w:sz w:val="22"/>
          <w:szCs w:val="22"/>
        </w:rPr>
        <w:t xml:space="preserve">.  </w:t>
      </w:r>
      <w:r w:rsidRPr="003D2E38">
        <w:rPr>
          <w:rFonts w:ascii="Palatino Linotype" w:hAnsi="Palatino Linotype"/>
          <w:bCs/>
          <w:sz w:val="22"/>
          <w:szCs w:val="22"/>
        </w:rPr>
        <w:t xml:space="preserve">Despite these gains, the most recent comprehensive review of instruments developed to assess attitudes to science (Blalock </w:t>
      </w:r>
      <w:r w:rsidRPr="003D2E38">
        <w:rPr>
          <w:rFonts w:ascii="Palatino Linotype" w:hAnsi="Palatino Linotype"/>
          <w:bCs/>
          <w:i/>
          <w:sz w:val="22"/>
          <w:szCs w:val="22"/>
        </w:rPr>
        <w:t>et al</w:t>
      </w:r>
      <w:r w:rsidRPr="003D2E38">
        <w:rPr>
          <w:rFonts w:ascii="Palatino Linotype" w:hAnsi="Palatino Linotype"/>
          <w:bCs/>
          <w:sz w:val="22"/>
          <w:szCs w:val="22"/>
        </w:rPr>
        <w:t>., 2008) notes that a number of the weaknesses identified earlier were still apparent</w:t>
      </w:r>
      <w:r w:rsidR="00E10EAC">
        <w:rPr>
          <w:rFonts w:ascii="Palatino Linotype" w:hAnsi="Palatino Linotype"/>
          <w:bCs/>
          <w:sz w:val="22"/>
          <w:szCs w:val="22"/>
        </w:rPr>
        <w:t>,</w:t>
      </w:r>
      <w:r w:rsidRPr="003D2E38">
        <w:rPr>
          <w:rFonts w:ascii="Palatino Linotype" w:hAnsi="Palatino Linotype"/>
          <w:bCs/>
          <w:sz w:val="22"/>
          <w:szCs w:val="22"/>
        </w:rPr>
        <w:t xml:space="preserve"> and that there are very few instruments available with the necessary psychometric data to merit recommendation.</w:t>
      </w:r>
      <w:r w:rsidR="00FB0721">
        <w:rPr>
          <w:rFonts w:ascii="Palatino Linotype" w:hAnsi="Palatino Linotype"/>
          <w:bCs/>
          <w:sz w:val="22"/>
          <w:szCs w:val="22"/>
        </w:rPr>
        <w:t xml:space="preserve"> </w:t>
      </w:r>
      <w:r w:rsidRPr="003D2E38">
        <w:rPr>
          <w:rFonts w:ascii="Palatino Linotype" w:hAnsi="Palatino Linotype"/>
          <w:bCs/>
          <w:sz w:val="22"/>
          <w:szCs w:val="22"/>
        </w:rPr>
        <w:t xml:space="preserve"> The body of work as a whole is also characterised by a further, and very substantial, weakness: whilst individual studies may be designed with considerable care, the notion of ‘a new study, a new instrument’ persists</w:t>
      </w:r>
      <w:r w:rsidR="00F53CE5">
        <w:rPr>
          <w:rFonts w:ascii="Palatino Linotype" w:hAnsi="Palatino Linotype"/>
          <w:bCs/>
          <w:sz w:val="22"/>
          <w:szCs w:val="22"/>
        </w:rPr>
        <w:t xml:space="preserve">.  </w:t>
      </w:r>
      <w:r w:rsidRPr="003D2E38">
        <w:rPr>
          <w:rFonts w:ascii="Palatino Linotype" w:hAnsi="Palatino Linotype"/>
          <w:bCs/>
          <w:sz w:val="22"/>
          <w:szCs w:val="22"/>
        </w:rPr>
        <w:t>The lack of co-ordination of previous work with new work, and the lack of replication studies, means there is little sense of building up a detailed and cumulative knowledge-base of work on attitudes to STEM subjects</w:t>
      </w:r>
      <w:r w:rsidR="00F53CE5">
        <w:rPr>
          <w:rFonts w:ascii="Palatino Linotype" w:hAnsi="Palatino Linotype"/>
          <w:bCs/>
          <w:sz w:val="22"/>
          <w:szCs w:val="22"/>
        </w:rPr>
        <w:t xml:space="preserve">.  </w:t>
      </w:r>
      <w:r w:rsidRPr="003D2E38">
        <w:rPr>
          <w:rFonts w:ascii="Palatino Linotype" w:hAnsi="Palatino Linotype"/>
          <w:bCs/>
          <w:sz w:val="22"/>
          <w:szCs w:val="22"/>
        </w:rPr>
        <w:t xml:space="preserve">This, in turn, means that it is very difficult to make direct comparisons between studies and undertake any detailed </w:t>
      </w:r>
      <w:r w:rsidRPr="00F520CC">
        <w:rPr>
          <w:rFonts w:ascii="Palatino Linotype" w:hAnsi="Palatino Linotype"/>
          <w:bCs/>
          <w:sz w:val="22"/>
          <w:szCs w:val="22"/>
        </w:rPr>
        <w:t>meta-analysis of work</w:t>
      </w:r>
      <w:r w:rsidR="00F53CE5">
        <w:rPr>
          <w:rFonts w:ascii="Palatino Linotype" w:hAnsi="Palatino Linotype"/>
          <w:bCs/>
          <w:sz w:val="22"/>
          <w:szCs w:val="22"/>
        </w:rPr>
        <w:t xml:space="preserve">.  </w:t>
      </w:r>
    </w:p>
    <w:p w:rsidR="003D2E38" w:rsidRPr="00F520CC" w:rsidRDefault="003D2E38" w:rsidP="003D2E38">
      <w:pPr>
        <w:spacing w:line="240" w:lineRule="auto"/>
        <w:jc w:val="both"/>
        <w:rPr>
          <w:rFonts w:ascii="Palatino Linotype" w:hAnsi="Palatino Linotype"/>
          <w:bCs/>
          <w:sz w:val="22"/>
          <w:szCs w:val="22"/>
        </w:rPr>
      </w:pPr>
    </w:p>
    <w:p w:rsidR="003D2E38" w:rsidRPr="00F520CC" w:rsidRDefault="003D2E38" w:rsidP="003D2E38">
      <w:pPr>
        <w:spacing w:line="240" w:lineRule="auto"/>
        <w:jc w:val="both"/>
        <w:rPr>
          <w:rFonts w:ascii="Palatino Linotype" w:hAnsi="Palatino Linotype"/>
          <w:bCs/>
          <w:sz w:val="22"/>
          <w:szCs w:val="22"/>
        </w:rPr>
      </w:pPr>
      <w:r w:rsidRPr="00F520CC">
        <w:rPr>
          <w:rFonts w:ascii="Palatino Linotype" w:hAnsi="Palatino Linotype"/>
          <w:bCs/>
          <w:sz w:val="22"/>
          <w:szCs w:val="22"/>
        </w:rPr>
        <w:t>A further challenge relates to making cross-country comparisons.</w:t>
      </w:r>
      <w:r w:rsidR="00FB0721">
        <w:rPr>
          <w:rFonts w:ascii="Palatino Linotype" w:hAnsi="Palatino Linotype"/>
          <w:bCs/>
          <w:sz w:val="22"/>
          <w:szCs w:val="22"/>
        </w:rPr>
        <w:t xml:space="preserve"> </w:t>
      </w:r>
      <w:r w:rsidRPr="00F520CC">
        <w:rPr>
          <w:rFonts w:ascii="Palatino Linotype" w:hAnsi="Palatino Linotype"/>
          <w:bCs/>
          <w:sz w:val="22"/>
          <w:szCs w:val="22"/>
        </w:rPr>
        <w:t xml:space="preserve"> In part this is a practical challenge related to the language of publication of documents</w:t>
      </w:r>
      <w:r w:rsidR="00F53CE5">
        <w:rPr>
          <w:rFonts w:ascii="Palatino Linotype" w:hAnsi="Palatino Linotype"/>
          <w:bCs/>
          <w:sz w:val="22"/>
          <w:szCs w:val="22"/>
        </w:rPr>
        <w:t xml:space="preserve">.  </w:t>
      </w:r>
      <w:r w:rsidRPr="00F520CC">
        <w:rPr>
          <w:rFonts w:ascii="Palatino Linotype" w:hAnsi="Palatino Linotype"/>
          <w:bCs/>
          <w:sz w:val="22"/>
          <w:szCs w:val="22"/>
        </w:rPr>
        <w:t>However, as noted by Van Langen and Dekker (2005), a number of contextual factors, including government policies and education and examination systems, make it difficult to compare data from different countries</w:t>
      </w:r>
      <w:r w:rsidR="00F53CE5">
        <w:rPr>
          <w:rFonts w:ascii="Palatino Linotype" w:hAnsi="Palatino Linotype"/>
          <w:bCs/>
          <w:sz w:val="22"/>
          <w:szCs w:val="22"/>
        </w:rPr>
        <w:t xml:space="preserve">.  </w:t>
      </w:r>
      <w:r w:rsidRPr="00F520CC">
        <w:rPr>
          <w:rFonts w:ascii="Palatino Linotype" w:hAnsi="Palatino Linotype"/>
          <w:bCs/>
          <w:sz w:val="22"/>
          <w:szCs w:val="22"/>
        </w:rPr>
        <w:t>This may, in practice, be less of a problem that it might seem at first, as any changes in policy in a country have to take account of local contexts</w:t>
      </w:r>
      <w:r w:rsidR="00F53CE5">
        <w:rPr>
          <w:rFonts w:ascii="Palatino Linotype" w:hAnsi="Palatino Linotype"/>
          <w:bCs/>
          <w:sz w:val="22"/>
          <w:szCs w:val="22"/>
        </w:rPr>
        <w:t xml:space="preserve">.  </w:t>
      </w:r>
      <w:r w:rsidR="00F520CC" w:rsidRPr="00F520CC">
        <w:rPr>
          <w:rFonts w:ascii="Palatino Linotype" w:hAnsi="Palatino Linotype"/>
          <w:bCs/>
          <w:sz w:val="22"/>
          <w:szCs w:val="22"/>
        </w:rPr>
        <w:t xml:space="preserve">However, it does mean that what might appear to work in one country may not work in another if </w:t>
      </w:r>
      <w:r w:rsidR="00F520CC">
        <w:rPr>
          <w:rFonts w:ascii="Palatino Linotype" w:hAnsi="Palatino Linotype"/>
          <w:bCs/>
          <w:sz w:val="22"/>
          <w:szCs w:val="22"/>
        </w:rPr>
        <w:t xml:space="preserve">aspects of </w:t>
      </w:r>
      <w:r w:rsidR="00F520CC" w:rsidRPr="00F520CC">
        <w:rPr>
          <w:rFonts w:ascii="Palatino Linotype" w:hAnsi="Palatino Linotype"/>
          <w:bCs/>
          <w:sz w:val="22"/>
          <w:szCs w:val="22"/>
        </w:rPr>
        <w:t>the conte</w:t>
      </w:r>
      <w:r w:rsidR="00F520CC">
        <w:rPr>
          <w:rFonts w:ascii="Palatino Linotype" w:hAnsi="Palatino Linotype"/>
          <w:bCs/>
          <w:sz w:val="22"/>
          <w:szCs w:val="22"/>
        </w:rPr>
        <w:t>xt are</w:t>
      </w:r>
      <w:r w:rsidR="00F520CC" w:rsidRPr="00F520CC">
        <w:rPr>
          <w:rFonts w:ascii="Palatino Linotype" w:hAnsi="Palatino Linotype"/>
          <w:bCs/>
          <w:sz w:val="22"/>
          <w:szCs w:val="22"/>
        </w:rPr>
        <w:t xml:space="preserve"> different.</w:t>
      </w:r>
    </w:p>
    <w:p w:rsidR="003D2E38" w:rsidRPr="00F520CC" w:rsidRDefault="003D2E38" w:rsidP="003D2E38">
      <w:pPr>
        <w:spacing w:line="240" w:lineRule="auto"/>
        <w:jc w:val="both"/>
        <w:rPr>
          <w:rFonts w:ascii="Palatino Linotype" w:hAnsi="Palatino Linotype"/>
          <w:bCs/>
          <w:sz w:val="22"/>
          <w:szCs w:val="22"/>
        </w:rPr>
      </w:pPr>
    </w:p>
    <w:p w:rsidR="003D2E38" w:rsidRPr="003D2E38" w:rsidRDefault="003D2E38" w:rsidP="003D2E38">
      <w:pPr>
        <w:spacing w:line="240" w:lineRule="auto"/>
        <w:jc w:val="both"/>
        <w:rPr>
          <w:rFonts w:ascii="Palatino Linotype" w:hAnsi="Palatino Linotype"/>
          <w:bCs/>
          <w:sz w:val="22"/>
          <w:szCs w:val="22"/>
        </w:rPr>
      </w:pPr>
      <w:r w:rsidRPr="00F520CC">
        <w:rPr>
          <w:rFonts w:ascii="Palatino Linotype" w:hAnsi="Palatino Linotype"/>
          <w:bCs/>
          <w:sz w:val="22"/>
          <w:szCs w:val="22"/>
        </w:rPr>
        <w:t xml:space="preserve">The language of </w:t>
      </w:r>
      <w:r w:rsidRPr="003D2E38">
        <w:rPr>
          <w:rFonts w:ascii="Palatino Linotype" w:hAnsi="Palatino Linotype"/>
          <w:bCs/>
          <w:sz w:val="22"/>
          <w:szCs w:val="22"/>
        </w:rPr>
        <w:t>publication also imposes constrain</w:t>
      </w:r>
      <w:r w:rsidR="00BC06B9">
        <w:rPr>
          <w:rFonts w:ascii="Palatino Linotype" w:hAnsi="Palatino Linotype"/>
          <w:bCs/>
          <w:sz w:val="22"/>
          <w:szCs w:val="22"/>
        </w:rPr>
        <w:t>t</w:t>
      </w:r>
      <w:r w:rsidRPr="003D2E38">
        <w:rPr>
          <w:rFonts w:ascii="Palatino Linotype" w:hAnsi="Palatino Linotype"/>
          <w:bCs/>
          <w:sz w:val="22"/>
          <w:szCs w:val="22"/>
        </w:rPr>
        <w:t>s on the studies that can be included in a review</w:t>
      </w:r>
      <w:r w:rsidR="00F53CE5">
        <w:rPr>
          <w:rFonts w:ascii="Palatino Linotype" w:hAnsi="Palatino Linotype"/>
          <w:bCs/>
          <w:sz w:val="22"/>
          <w:szCs w:val="22"/>
        </w:rPr>
        <w:t xml:space="preserve">.  </w:t>
      </w:r>
      <w:r w:rsidRPr="003D2E38">
        <w:rPr>
          <w:rFonts w:ascii="Palatino Linotype" w:hAnsi="Palatino Linotype"/>
          <w:bCs/>
          <w:sz w:val="22"/>
          <w:szCs w:val="22"/>
        </w:rPr>
        <w:t>Inevitably, a review of the literature undertaken in the UK is going to draw heavily, if not exclusively, on publications in English, many of which come from English-speaking countries</w:t>
      </w:r>
      <w:r w:rsidR="00F53CE5">
        <w:rPr>
          <w:rFonts w:ascii="Palatino Linotype" w:hAnsi="Palatino Linotype"/>
          <w:bCs/>
          <w:sz w:val="22"/>
          <w:szCs w:val="22"/>
        </w:rPr>
        <w:t xml:space="preserve">.  </w:t>
      </w:r>
      <w:r w:rsidRPr="003D2E38">
        <w:rPr>
          <w:rFonts w:ascii="Palatino Linotype" w:hAnsi="Palatino Linotype"/>
          <w:bCs/>
          <w:sz w:val="22"/>
          <w:szCs w:val="22"/>
        </w:rPr>
        <w:t>A review of work on attitudes to STEM subjects is therefore likely to be drawing on publications from the UK, North America and Australia.</w:t>
      </w:r>
      <w:r w:rsidR="00FB0721">
        <w:rPr>
          <w:rFonts w:ascii="Palatino Linotype" w:hAnsi="Palatino Linotype"/>
          <w:bCs/>
          <w:sz w:val="22"/>
          <w:szCs w:val="22"/>
        </w:rPr>
        <w:t xml:space="preserve">  </w:t>
      </w:r>
    </w:p>
    <w:p w:rsidR="003D2E38" w:rsidRPr="003D2E38" w:rsidRDefault="003D2E38" w:rsidP="003D2E38">
      <w:pPr>
        <w:spacing w:line="240" w:lineRule="auto"/>
        <w:jc w:val="both"/>
        <w:rPr>
          <w:rFonts w:ascii="Palatino Linotype" w:hAnsi="Palatino Linotype"/>
          <w:bCs/>
          <w:sz w:val="22"/>
          <w:szCs w:val="22"/>
        </w:rPr>
      </w:pPr>
    </w:p>
    <w:p w:rsidR="003D2E38" w:rsidRDefault="003D2E38" w:rsidP="003D2E38">
      <w:pPr>
        <w:spacing w:line="240" w:lineRule="auto"/>
        <w:jc w:val="both"/>
        <w:rPr>
          <w:rFonts w:ascii="Palatino Linotype" w:hAnsi="Palatino Linotype"/>
          <w:b/>
          <w:bCs/>
          <w:sz w:val="22"/>
          <w:szCs w:val="22"/>
        </w:rPr>
      </w:pPr>
      <w:r w:rsidRPr="003D2E38">
        <w:rPr>
          <w:rFonts w:ascii="Palatino Linotype" w:hAnsi="Palatino Linotype"/>
          <w:b/>
          <w:bCs/>
          <w:sz w:val="22"/>
          <w:szCs w:val="22"/>
        </w:rPr>
        <w:t>4.2</w:t>
      </w:r>
      <w:r w:rsidRPr="003D2E38">
        <w:rPr>
          <w:rFonts w:ascii="Palatino Linotype" w:hAnsi="Palatino Linotype"/>
          <w:b/>
          <w:bCs/>
          <w:sz w:val="22"/>
          <w:szCs w:val="22"/>
        </w:rPr>
        <w:tab/>
        <w:t>Key findings from the review</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 key findings presented below are those which have emerged from high quality studies and/or emerged consistently from a number of studies with a similar focus, thus enabling a reasonable level of confidence to be placed in the findings</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 most extensive literature focuses on individual and school factors influencing engagement and participation</w:t>
      </w:r>
      <w:r w:rsidR="00F53CE5">
        <w:rPr>
          <w:rFonts w:ascii="Palatino Linotype" w:hAnsi="Palatino Linotype"/>
          <w:sz w:val="22"/>
          <w:szCs w:val="22"/>
        </w:rPr>
        <w:t xml:space="preserve">.  </w:t>
      </w:r>
      <w:r w:rsidRPr="003D2E38">
        <w:rPr>
          <w:rFonts w:ascii="Palatino Linotype" w:hAnsi="Palatino Linotype"/>
          <w:sz w:val="22"/>
          <w:szCs w:val="22"/>
        </w:rPr>
        <w:t>Rather less exists on the influence of systemic factors and external factors such as informal learning</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i/>
          <w:sz w:val="22"/>
          <w:szCs w:val="22"/>
        </w:rPr>
      </w:pPr>
      <w:r w:rsidRPr="003D2E38">
        <w:rPr>
          <w:rFonts w:ascii="Palatino Linotype" w:hAnsi="Palatino Linotype"/>
          <w:i/>
          <w:sz w:val="22"/>
          <w:szCs w:val="22"/>
        </w:rPr>
        <w:t>4.2.1</w:t>
      </w:r>
      <w:r w:rsidRPr="003D2E38">
        <w:rPr>
          <w:rFonts w:ascii="Palatino Linotype" w:hAnsi="Palatino Linotype"/>
          <w:i/>
          <w:sz w:val="22"/>
          <w:szCs w:val="22"/>
        </w:rPr>
        <w:tab/>
        <w:t>Systemic factors</w:t>
      </w:r>
    </w:p>
    <w:p w:rsidR="003D2E38" w:rsidRPr="003D2E38" w:rsidRDefault="003D2E38" w:rsidP="003D2E38">
      <w:pPr>
        <w:spacing w:line="240" w:lineRule="auto"/>
        <w:jc w:val="both"/>
        <w:rPr>
          <w:rFonts w:ascii="Palatino Linotype" w:hAnsi="Palatino Linotype"/>
          <w:sz w:val="22"/>
          <w:szCs w:val="22"/>
        </w:rPr>
      </w:pPr>
    </w:p>
    <w:p w:rsidR="00F51A40" w:rsidRPr="00D64837" w:rsidRDefault="00F51A40" w:rsidP="00F51A40">
      <w:pPr>
        <w:tabs>
          <w:tab w:val="clear" w:pos="567"/>
          <w:tab w:val="left" w:pos="720"/>
        </w:tabs>
        <w:spacing w:line="240" w:lineRule="auto"/>
        <w:jc w:val="both"/>
        <w:rPr>
          <w:rFonts w:ascii="Palatino Linotype" w:hAnsi="Palatino Linotype"/>
          <w:bCs/>
          <w:sz w:val="22"/>
          <w:szCs w:val="22"/>
        </w:rPr>
      </w:pPr>
      <w:r>
        <w:rPr>
          <w:rFonts w:ascii="Palatino Linotype" w:hAnsi="Palatino Linotype"/>
          <w:sz w:val="22"/>
          <w:szCs w:val="22"/>
        </w:rPr>
        <w:t>Countries that appear to be strong in STEM subjects, and with good rates of post-compulsory participation, share a number of commo</w:t>
      </w:r>
      <w:r w:rsidRPr="00566CDD">
        <w:rPr>
          <w:rFonts w:ascii="Palatino Linotype" w:hAnsi="Palatino Linotype"/>
          <w:sz w:val="22"/>
          <w:szCs w:val="22"/>
        </w:rPr>
        <w:t>n features</w:t>
      </w:r>
      <w:r w:rsidR="00F53CE5">
        <w:rPr>
          <w:rFonts w:ascii="Palatino Linotype" w:hAnsi="Palatino Linotype"/>
          <w:sz w:val="22"/>
          <w:szCs w:val="22"/>
        </w:rPr>
        <w:t xml:space="preserve">.  </w:t>
      </w:r>
      <w:r w:rsidRPr="00566CDD">
        <w:rPr>
          <w:rFonts w:ascii="Palatino Linotype" w:hAnsi="Palatino Linotype"/>
          <w:sz w:val="22"/>
          <w:szCs w:val="22"/>
        </w:rPr>
        <w:t>T</w:t>
      </w:r>
      <w:r w:rsidRPr="00566CDD">
        <w:rPr>
          <w:rFonts w:ascii="Palatino Linotype" w:hAnsi="Palatino Linotype"/>
          <w:bCs/>
          <w:sz w:val="22"/>
          <w:szCs w:val="22"/>
        </w:rPr>
        <w:t>he teaching of STEM subjects is set within a national policy on STEM, supported by substantial investment</w:t>
      </w:r>
      <w:r w:rsidR="00F53CE5">
        <w:rPr>
          <w:rFonts w:ascii="Palatino Linotype" w:hAnsi="Palatino Linotype"/>
          <w:bCs/>
          <w:sz w:val="22"/>
          <w:szCs w:val="22"/>
        </w:rPr>
        <w:t xml:space="preserve">.  </w:t>
      </w:r>
      <w:r w:rsidRPr="00566CDD">
        <w:rPr>
          <w:rFonts w:ascii="Palatino Linotype" w:hAnsi="Palatino Linotype"/>
          <w:bCs/>
          <w:sz w:val="22"/>
          <w:szCs w:val="22"/>
        </w:rPr>
        <w:t xml:space="preserve">Teaching is seen as </w:t>
      </w:r>
      <w:r w:rsidRPr="00566CDD">
        <w:rPr>
          <w:rFonts w:ascii="Palatino Linotype" w:hAnsi="Palatino Linotype"/>
          <w:bCs/>
          <w:sz w:val="22"/>
          <w:szCs w:val="22"/>
        </w:rPr>
        <w:lastRenderedPageBreak/>
        <w:t xml:space="preserve">a well-paid and high status career and, in STEM </w:t>
      </w:r>
      <w:proofErr w:type="gramStart"/>
      <w:r w:rsidRPr="00566CDD">
        <w:rPr>
          <w:rFonts w:ascii="Palatino Linotype" w:hAnsi="Palatino Linotype"/>
          <w:bCs/>
          <w:sz w:val="22"/>
          <w:szCs w:val="22"/>
        </w:rPr>
        <w:t>subjects, the expectation is</w:t>
      </w:r>
      <w:proofErr w:type="gramEnd"/>
      <w:r w:rsidRPr="00566CDD">
        <w:rPr>
          <w:rFonts w:ascii="Palatino Linotype" w:hAnsi="Palatino Linotype"/>
          <w:bCs/>
          <w:sz w:val="22"/>
          <w:szCs w:val="22"/>
        </w:rPr>
        <w:t xml:space="preserve"> that teachers will be fully qualified in the subject they teach, and will only teach their main subject</w:t>
      </w:r>
      <w:r w:rsidR="00F53CE5">
        <w:rPr>
          <w:rFonts w:ascii="Palatino Linotype" w:hAnsi="Palatino Linotype"/>
          <w:bCs/>
          <w:sz w:val="22"/>
          <w:szCs w:val="22"/>
        </w:rPr>
        <w:t xml:space="preserve">.  </w:t>
      </w:r>
      <w:r w:rsidR="00566CDD" w:rsidRPr="00566CDD">
        <w:rPr>
          <w:rFonts w:ascii="Palatino Linotype" w:hAnsi="Palatino Linotype"/>
          <w:bCs/>
          <w:sz w:val="22"/>
          <w:szCs w:val="22"/>
        </w:rPr>
        <w:t>Structurally, t</w:t>
      </w:r>
      <w:r w:rsidRPr="00566CDD">
        <w:rPr>
          <w:rFonts w:ascii="Palatino Linotype" w:hAnsi="Palatino Linotype"/>
          <w:bCs/>
          <w:sz w:val="22"/>
          <w:szCs w:val="22"/>
        </w:rPr>
        <w:t xml:space="preserve">here is some form of </w:t>
      </w:r>
      <w:r w:rsidRPr="008809AF">
        <w:rPr>
          <w:rFonts w:ascii="Palatino Linotype" w:hAnsi="Palatino Linotype"/>
          <w:bCs/>
          <w:sz w:val="22"/>
          <w:szCs w:val="22"/>
        </w:rPr>
        <w:t xml:space="preserve">bifurcation into clear STEM and non-STEM tracks in the </w:t>
      </w:r>
      <w:r w:rsidRPr="00566CDD">
        <w:rPr>
          <w:rFonts w:ascii="Palatino Linotype" w:hAnsi="Palatino Linotype"/>
          <w:bCs/>
          <w:sz w:val="22"/>
          <w:szCs w:val="22"/>
        </w:rPr>
        <w:t>late</w:t>
      </w:r>
      <w:r w:rsidR="00566CDD" w:rsidRPr="00566CDD">
        <w:rPr>
          <w:rFonts w:ascii="Palatino Linotype" w:hAnsi="Palatino Linotype"/>
          <w:bCs/>
          <w:sz w:val="22"/>
          <w:szCs w:val="22"/>
        </w:rPr>
        <w:t xml:space="preserve">r years of secondary education, often accompanied by </w:t>
      </w:r>
      <w:r w:rsidRPr="00566CDD">
        <w:rPr>
          <w:rFonts w:ascii="Palatino Linotype" w:hAnsi="Palatino Linotype"/>
          <w:bCs/>
          <w:sz w:val="22"/>
          <w:szCs w:val="22"/>
        </w:rPr>
        <w:t>development of ‘STEM-heavy’ technical and vocational schools and tertiary institutes runni</w:t>
      </w:r>
      <w:r w:rsidR="00566CDD" w:rsidRPr="00566CDD">
        <w:rPr>
          <w:rFonts w:ascii="Palatino Linotype" w:hAnsi="Palatino Linotype"/>
          <w:bCs/>
          <w:sz w:val="22"/>
          <w:szCs w:val="22"/>
        </w:rPr>
        <w:t>ng alongside the academic track</w:t>
      </w:r>
      <w:r w:rsidR="00F53CE5">
        <w:rPr>
          <w:rFonts w:ascii="Palatino Linotype" w:hAnsi="Palatino Linotype"/>
          <w:bCs/>
          <w:sz w:val="22"/>
          <w:szCs w:val="22"/>
        </w:rPr>
        <w:t xml:space="preserve">.  </w:t>
      </w:r>
      <w:r w:rsidR="00566CDD" w:rsidRPr="00566CDD">
        <w:rPr>
          <w:rFonts w:ascii="Palatino Linotype" w:hAnsi="Palatino Linotype"/>
          <w:bCs/>
          <w:sz w:val="22"/>
          <w:szCs w:val="22"/>
        </w:rPr>
        <w:t>There is also</w:t>
      </w:r>
      <w:r w:rsidRPr="00566CDD">
        <w:rPr>
          <w:rFonts w:ascii="Palatino Linotype" w:hAnsi="Palatino Linotype"/>
          <w:bCs/>
          <w:sz w:val="22"/>
          <w:szCs w:val="22"/>
        </w:rPr>
        <w:t xml:space="preserve"> more compulsion to study </w:t>
      </w:r>
      <w:r w:rsidR="00BC353A">
        <w:rPr>
          <w:rFonts w:ascii="Palatino Linotype" w:hAnsi="Palatino Linotype"/>
          <w:bCs/>
          <w:sz w:val="22"/>
          <w:szCs w:val="22"/>
        </w:rPr>
        <w:t>mathematics and science</w:t>
      </w:r>
      <w:r w:rsidRPr="00566CDD">
        <w:rPr>
          <w:rFonts w:ascii="Palatino Linotype" w:hAnsi="Palatino Linotype"/>
          <w:bCs/>
          <w:sz w:val="22"/>
          <w:szCs w:val="22"/>
        </w:rPr>
        <w:t xml:space="preserve"> at upper secondary level, </w:t>
      </w:r>
      <w:r w:rsidR="00566CDD" w:rsidRPr="00D64837">
        <w:rPr>
          <w:rFonts w:ascii="Palatino Linotype" w:hAnsi="Palatino Linotype"/>
          <w:bCs/>
          <w:sz w:val="22"/>
          <w:szCs w:val="22"/>
        </w:rPr>
        <w:t>often accompanied by</w:t>
      </w:r>
      <w:r w:rsidRPr="00D64837">
        <w:rPr>
          <w:rFonts w:ascii="Palatino Linotype" w:hAnsi="Palatino Linotype"/>
          <w:bCs/>
          <w:sz w:val="22"/>
          <w:szCs w:val="22"/>
        </w:rPr>
        <w:t xml:space="preserve"> the setting of STEM-specific requirements for entry into higher education.</w:t>
      </w:r>
    </w:p>
    <w:p w:rsidR="008A2EB1" w:rsidRPr="00D64837" w:rsidRDefault="008A2EB1" w:rsidP="00F51A40">
      <w:pPr>
        <w:tabs>
          <w:tab w:val="clear" w:pos="567"/>
          <w:tab w:val="left" w:pos="720"/>
        </w:tabs>
        <w:spacing w:line="240" w:lineRule="auto"/>
        <w:jc w:val="both"/>
        <w:rPr>
          <w:rFonts w:ascii="Palatino Linotype" w:hAnsi="Palatino Linotype"/>
          <w:bCs/>
          <w:sz w:val="22"/>
          <w:szCs w:val="22"/>
        </w:rPr>
      </w:pPr>
    </w:p>
    <w:p w:rsidR="008A2EB1" w:rsidRPr="00D64837" w:rsidRDefault="008A2EB1" w:rsidP="008A2EB1">
      <w:pPr>
        <w:tabs>
          <w:tab w:val="clear" w:pos="567"/>
          <w:tab w:val="left" w:pos="720"/>
        </w:tabs>
        <w:spacing w:line="240" w:lineRule="auto"/>
        <w:jc w:val="both"/>
        <w:rPr>
          <w:rFonts w:ascii="Palatino Linotype" w:hAnsi="Palatino Linotype"/>
          <w:bCs/>
          <w:sz w:val="22"/>
          <w:szCs w:val="22"/>
        </w:rPr>
      </w:pPr>
      <w:r w:rsidRPr="00D64837">
        <w:rPr>
          <w:rFonts w:ascii="Palatino Linotype" w:hAnsi="Palatino Linotype"/>
          <w:bCs/>
          <w:sz w:val="22"/>
          <w:szCs w:val="22"/>
        </w:rPr>
        <w:t xml:space="preserve">One development which has received some attention is the STEAM </w:t>
      </w:r>
      <w:r w:rsidR="00BC06B9">
        <w:rPr>
          <w:rFonts w:ascii="Palatino Linotype" w:hAnsi="Palatino Linotype"/>
          <w:bCs/>
          <w:sz w:val="22"/>
          <w:szCs w:val="22"/>
        </w:rPr>
        <w:t>(STEM plus A</w:t>
      </w:r>
      <w:r w:rsidR="00725434">
        <w:rPr>
          <w:rFonts w:ascii="Palatino Linotype" w:hAnsi="Palatino Linotype"/>
          <w:bCs/>
          <w:sz w:val="22"/>
          <w:szCs w:val="22"/>
        </w:rPr>
        <w:t xml:space="preserve">rts) curriculum </w:t>
      </w:r>
      <w:r w:rsidRPr="00D64837">
        <w:rPr>
          <w:rFonts w:ascii="Palatino Linotype" w:hAnsi="Palatino Linotype"/>
          <w:bCs/>
          <w:sz w:val="22"/>
          <w:szCs w:val="22"/>
        </w:rPr>
        <w:t>in South Korea, a government initiative aimed at fostering students’ creativity through the inclusion of arts subjects in a STEM-focused curriculum</w:t>
      </w:r>
      <w:r w:rsidR="00F53CE5">
        <w:rPr>
          <w:rFonts w:ascii="Palatino Linotype" w:hAnsi="Palatino Linotype"/>
          <w:bCs/>
          <w:sz w:val="22"/>
          <w:szCs w:val="22"/>
        </w:rPr>
        <w:t xml:space="preserve">.  </w:t>
      </w:r>
      <w:r w:rsidRPr="00D64837">
        <w:rPr>
          <w:rFonts w:ascii="Palatino Linotype" w:hAnsi="Palatino Linotype"/>
          <w:bCs/>
          <w:sz w:val="22"/>
          <w:szCs w:val="22"/>
        </w:rPr>
        <w:t xml:space="preserve">Currently, there is insufficient evidence to reach a view on the </w:t>
      </w:r>
      <w:r w:rsidR="00D64837" w:rsidRPr="00D64837">
        <w:rPr>
          <w:rFonts w:ascii="Palatino Linotype" w:hAnsi="Palatino Linotype"/>
          <w:bCs/>
          <w:sz w:val="22"/>
          <w:szCs w:val="22"/>
        </w:rPr>
        <w:t>impact</w:t>
      </w:r>
      <w:r w:rsidRPr="00D64837">
        <w:rPr>
          <w:rFonts w:ascii="Palatino Linotype" w:hAnsi="Palatino Linotype"/>
          <w:bCs/>
          <w:sz w:val="22"/>
          <w:szCs w:val="22"/>
        </w:rPr>
        <w:t xml:space="preserve"> of such an approach, and more empirical research is needed on the effects of arts education and the transferability of skills that might be developed</w:t>
      </w:r>
      <w:r w:rsidR="00F53CE5">
        <w:rPr>
          <w:rFonts w:ascii="Palatino Linotype" w:hAnsi="Palatino Linotype"/>
          <w:bCs/>
          <w:sz w:val="22"/>
          <w:szCs w:val="22"/>
        </w:rPr>
        <w:t xml:space="preserve">.  </w:t>
      </w:r>
    </w:p>
    <w:p w:rsidR="00F51A40" w:rsidRDefault="00F51A40" w:rsidP="003D2E38">
      <w:pPr>
        <w:spacing w:line="240" w:lineRule="auto"/>
        <w:jc w:val="both"/>
        <w:rPr>
          <w:rFonts w:ascii="Palatino Linotype" w:hAnsi="Palatino Linotype"/>
          <w:sz w:val="22"/>
          <w:szCs w:val="22"/>
        </w:rPr>
      </w:pPr>
    </w:p>
    <w:p w:rsidR="003D2E38" w:rsidRPr="00C93DAD"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A key contributor to the problem of post-compulsory participation in STEM subjects</w:t>
      </w:r>
      <w:r w:rsidR="00D0610F">
        <w:rPr>
          <w:rFonts w:ascii="Palatino Linotype" w:hAnsi="Palatino Linotype"/>
          <w:sz w:val="22"/>
          <w:szCs w:val="22"/>
        </w:rPr>
        <w:t xml:space="preserve"> in the UK</w:t>
      </w:r>
      <w:r w:rsidR="002D065F">
        <w:rPr>
          <w:rFonts w:ascii="Palatino Linotype" w:hAnsi="Palatino Linotype"/>
          <w:sz w:val="22"/>
          <w:szCs w:val="22"/>
        </w:rPr>
        <w:t xml:space="preserve">, particularly in England, Wales and </w:t>
      </w:r>
      <w:r w:rsidR="00BC06B9">
        <w:rPr>
          <w:rFonts w:ascii="Palatino Linotype" w:hAnsi="Palatino Linotype"/>
          <w:sz w:val="22"/>
          <w:szCs w:val="22"/>
        </w:rPr>
        <w:t>Northern Ireland,</w:t>
      </w:r>
      <w:r w:rsidRPr="003D2E38">
        <w:rPr>
          <w:rFonts w:ascii="Palatino Linotype" w:hAnsi="Palatino Linotype"/>
          <w:sz w:val="22"/>
          <w:szCs w:val="22"/>
        </w:rPr>
        <w:t xml:space="preserve"> would appear to arise from the combination of early specialisation and lack of opportunities to re-enter the STEM ‘pipeline’ at a later stage</w:t>
      </w:r>
      <w:r w:rsidR="00F53CE5">
        <w:rPr>
          <w:rFonts w:ascii="Palatino Linotype" w:hAnsi="Palatino Linotype"/>
          <w:sz w:val="22"/>
          <w:szCs w:val="22"/>
        </w:rPr>
        <w:t xml:space="preserve">.  </w:t>
      </w:r>
      <w:r w:rsidRPr="003D2E38">
        <w:rPr>
          <w:rFonts w:ascii="Palatino Linotype" w:hAnsi="Palatino Linotype"/>
          <w:sz w:val="22"/>
          <w:szCs w:val="22"/>
        </w:rPr>
        <w:t xml:space="preserve">The work reported suggests that it may be possible to address this issue through government investment in post-compulsory STEM provision which then allows </w:t>
      </w:r>
      <w:r w:rsidRPr="00C93DAD">
        <w:rPr>
          <w:rFonts w:ascii="Palatino Linotype" w:hAnsi="Palatino Linotype"/>
          <w:sz w:val="22"/>
          <w:szCs w:val="22"/>
        </w:rPr>
        <w:t>participants not on a STEM track to move to a STEM track</w:t>
      </w:r>
      <w:r w:rsidR="00F53CE5">
        <w:rPr>
          <w:rFonts w:ascii="Palatino Linotype" w:hAnsi="Palatino Linotype"/>
          <w:sz w:val="22"/>
          <w:szCs w:val="22"/>
        </w:rPr>
        <w:t xml:space="preserve">.  </w:t>
      </w:r>
    </w:p>
    <w:p w:rsidR="002D065F" w:rsidRPr="00C93DAD" w:rsidRDefault="002D065F" w:rsidP="003D2E38">
      <w:pPr>
        <w:spacing w:line="240" w:lineRule="auto"/>
        <w:jc w:val="both"/>
        <w:rPr>
          <w:rFonts w:ascii="Palatino Linotype" w:hAnsi="Palatino Linotype"/>
          <w:sz w:val="22"/>
          <w:szCs w:val="22"/>
        </w:rPr>
      </w:pPr>
    </w:p>
    <w:p w:rsidR="002D065F" w:rsidRPr="00C93DAD" w:rsidRDefault="00D64837" w:rsidP="002D065F">
      <w:pPr>
        <w:spacing w:line="240" w:lineRule="auto"/>
        <w:jc w:val="both"/>
        <w:rPr>
          <w:rFonts w:ascii="Palatino Linotype" w:hAnsi="Palatino Linotype"/>
          <w:bCs/>
          <w:sz w:val="22"/>
          <w:szCs w:val="22"/>
        </w:rPr>
      </w:pPr>
      <w:r w:rsidRPr="00C93DAD">
        <w:rPr>
          <w:rFonts w:ascii="Palatino Linotype" w:hAnsi="Palatino Linotype"/>
          <w:bCs/>
          <w:sz w:val="22"/>
          <w:szCs w:val="22"/>
        </w:rPr>
        <w:t>A review of mathematics provision in twenty-four countries shows</w:t>
      </w:r>
      <w:r w:rsidR="002D065F" w:rsidRPr="00C93DAD">
        <w:rPr>
          <w:rFonts w:ascii="Palatino Linotype" w:hAnsi="Palatino Linotype"/>
          <w:bCs/>
          <w:sz w:val="22"/>
          <w:szCs w:val="22"/>
        </w:rPr>
        <w:t xml:space="preserve"> that England, Wales and Northern Ireland have the lowest levels of participation in upper secondary mathematics, and are the only countries in which fewer than 20% of upper secondary students study mathematics, compared with a minimum of 50% of students taking the subject in most other countries</w:t>
      </w:r>
      <w:r w:rsidR="00F53CE5">
        <w:rPr>
          <w:rFonts w:ascii="Palatino Linotype" w:hAnsi="Palatino Linotype"/>
          <w:bCs/>
          <w:sz w:val="22"/>
          <w:szCs w:val="22"/>
        </w:rPr>
        <w:t xml:space="preserve">.  </w:t>
      </w:r>
      <w:r w:rsidRPr="00C93DAD">
        <w:rPr>
          <w:rFonts w:ascii="Palatino Linotype" w:hAnsi="Palatino Linotype"/>
          <w:bCs/>
          <w:sz w:val="22"/>
          <w:szCs w:val="22"/>
        </w:rPr>
        <w:t xml:space="preserve">The four countries in the UK are comparatively unique in not </w:t>
      </w:r>
      <w:r w:rsidR="002D065F" w:rsidRPr="00C93DAD">
        <w:rPr>
          <w:rFonts w:ascii="Palatino Linotype" w:hAnsi="Palatino Linotype"/>
          <w:bCs/>
          <w:sz w:val="22"/>
          <w:szCs w:val="22"/>
        </w:rPr>
        <w:t>requ</w:t>
      </w:r>
      <w:r w:rsidRPr="00C93DAD">
        <w:rPr>
          <w:rFonts w:ascii="Palatino Linotype" w:hAnsi="Palatino Linotype"/>
          <w:bCs/>
          <w:sz w:val="22"/>
          <w:szCs w:val="22"/>
        </w:rPr>
        <w:t>iring</w:t>
      </w:r>
      <w:r w:rsidR="002D065F" w:rsidRPr="00C93DAD">
        <w:rPr>
          <w:rFonts w:ascii="Palatino Linotype" w:hAnsi="Palatino Linotype"/>
          <w:bCs/>
          <w:sz w:val="22"/>
          <w:szCs w:val="22"/>
        </w:rPr>
        <w:t xml:space="preserve"> compulsory participation in mathematics</w:t>
      </w:r>
      <w:r w:rsidRPr="00C93DAD">
        <w:rPr>
          <w:rFonts w:ascii="Palatino Linotype" w:hAnsi="Palatino Linotype"/>
          <w:bCs/>
          <w:sz w:val="22"/>
          <w:szCs w:val="22"/>
        </w:rPr>
        <w:t xml:space="preserve"> (together with the study of the country’s first language</w:t>
      </w:r>
      <w:r w:rsidR="00B667BB">
        <w:rPr>
          <w:rFonts w:ascii="Palatino Linotype" w:hAnsi="Palatino Linotype"/>
          <w:bCs/>
          <w:sz w:val="22"/>
          <w:szCs w:val="22"/>
        </w:rPr>
        <w:t>, a second language</w:t>
      </w:r>
      <w:r w:rsidRPr="00C93DAD">
        <w:rPr>
          <w:rFonts w:ascii="Palatino Linotype" w:hAnsi="Palatino Linotype"/>
          <w:bCs/>
          <w:sz w:val="22"/>
          <w:szCs w:val="22"/>
        </w:rPr>
        <w:t xml:space="preserve"> and a science)</w:t>
      </w:r>
      <w:r w:rsidR="002D065F" w:rsidRPr="00C93DAD">
        <w:rPr>
          <w:rFonts w:ascii="Palatino Linotype" w:hAnsi="Palatino Linotype"/>
          <w:bCs/>
          <w:sz w:val="22"/>
          <w:szCs w:val="22"/>
        </w:rPr>
        <w:t xml:space="preserve"> at upper secondary level</w:t>
      </w:r>
      <w:r w:rsidRPr="00C93DAD">
        <w:rPr>
          <w:rFonts w:ascii="Palatino Linotype" w:hAnsi="Palatino Linotype"/>
          <w:bCs/>
          <w:sz w:val="22"/>
          <w:szCs w:val="22"/>
        </w:rPr>
        <w:t>.</w:t>
      </w:r>
      <w:r w:rsidR="00FB0721">
        <w:rPr>
          <w:rFonts w:ascii="Palatino Linotype" w:hAnsi="Palatino Linotype"/>
          <w:bCs/>
          <w:sz w:val="22"/>
          <w:szCs w:val="22"/>
        </w:rPr>
        <w:t xml:space="preserve"> </w:t>
      </w:r>
      <w:r w:rsidR="00395809" w:rsidRPr="00C93DAD">
        <w:rPr>
          <w:rFonts w:ascii="Palatino Linotype" w:hAnsi="Palatino Linotype"/>
          <w:bCs/>
          <w:sz w:val="22"/>
          <w:szCs w:val="22"/>
        </w:rPr>
        <w:t xml:space="preserve"> </w:t>
      </w:r>
      <w:r w:rsidR="002D065F" w:rsidRPr="00C93DAD">
        <w:rPr>
          <w:rFonts w:ascii="Palatino Linotype" w:hAnsi="Palatino Linotype"/>
          <w:bCs/>
          <w:sz w:val="22"/>
          <w:szCs w:val="22"/>
        </w:rPr>
        <w:t xml:space="preserve">The reviews conclude that the key drivers for take-up of mathematics at upper secondary level </w:t>
      </w:r>
      <w:r w:rsidR="00395809" w:rsidRPr="00C93DAD">
        <w:rPr>
          <w:rFonts w:ascii="Palatino Linotype" w:hAnsi="Palatino Linotype"/>
          <w:bCs/>
          <w:sz w:val="22"/>
          <w:szCs w:val="22"/>
        </w:rPr>
        <w:t>are</w:t>
      </w:r>
      <w:r w:rsidR="002D065F" w:rsidRPr="00C93DAD">
        <w:rPr>
          <w:rFonts w:ascii="Palatino Linotype" w:hAnsi="Palatino Linotype"/>
          <w:bCs/>
          <w:sz w:val="22"/>
          <w:szCs w:val="22"/>
        </w:rPr>
        <w:t xml:space="preserve"> compulsion and </w:t>
      </w:r>
      <w:r w:rsidR="00B667BB">
        <w:rPr>
          <w:rFonts w:ascii="Palatino Linotype" w:hAnsi="Palatino Linotype"/>
          <w:bCs/>
          <w:sz w:val="22"/>
          <w:szCs w:val="22"/>
        </w:rPr>
        <w:t>the entry</w:t>
      </w:r>
      <w:r w:rsidR="002D065F" w:rsidRPr="00C93DAD">
        <w:rPr>
          <w:rFonts w:ascii="Palatino Linotype" w:hAnsi="Palatino Linotype"/>
          <w:bCs/>
          <w:sz w:val="22"/>
          <w:szCs w:val="22"/>
        </w:rPr>
        <w:t xml:space="preserve"> requirements </w:t>
      </w:r>
      <w:r w:rsidR="00B667BB">
        <w:rPr>
          <w:rFonts w:ascii="Palatino Linotype" w:hAnsi="Palatino Linotype"/>
          <w:bCs/>
          <w:sz w:val="22"/>
          <w:szCs w:val="22"/>
        </w:rPr>
        <w:t>set for higher education</w:t>
      </w:r>
      <w:r w:rsidR="00F53CE5">
        <w:rPr>
          <w:rFonts w:ascii="Palatino Linotype" w:hAnsi="Palatino Linotype"/>
          <w:bCs/>
          <w:sz w:val="22"/>
          <w:szCs w:val="22"/>
        </w:rPr>
        <w:t xml:space="preserve">.  </w:t>
      </w:r>
      <w:r w:rsidR="00C93DAD" w:rsidRPr="00C93DAD">
        <w:rPr>
          <w:rFonts w:ascii="Palatino Linotype" w:hAnsi="Palatino Linotype"/>
          <w:bCs/>
          <w:sz w:val="22"/>
          <w:szCs w:val="22"/>
        </w:rPr>
        <w:t>The reviews also recommend</w:t>
      </w:r>
      <w:r w:rsidR="002D065F" w:rsidRPr="00C93DAD">
        <w:rPr>
          <w:rFonts w:ascii="Palatino Linotype" w:hAnsi="Palatino Linotype"/>
          <w:bCs/>
          <w:sz w:val="22"/>
          <w:szCs w:val="22"/>
        </w:rPr>
        <w:t xml:space="preserve"> development of different models of post-16 mathematics, drawing on the successful math</w:t>
      </w:r>
      <w:r w:rsidR="00C93DAD" w:rsidRPr="00C93DAD">
        <w:rPr>
          <w:rFonts w:ascii="Palatino Linotype" w:hAnsi="Palatino Linotype"/>
          <w:bCs/>
          <w:sz w:val="22"/>
          <w:szCs w:val="22"/>
        </w:rPr>
        <w:t>ematic</w:t>
      </w:r>
      <w:r w:rsidR="002D065F" w:rsidRPr="00C93DAD">
        <w:rPr>
          <w:rFonts w:ascii="Palatino Linotype" w:hAnsi="Palatino Linotype"/>
          <w:bCs/>
          <w:sz w:val="22"/>
          <w:szCs w:val="22"/>
        </w:rPr>
        <w:t>s programme in New Zealand that focuses on statistics as part of mathematical application and fluency, and the provision of a simple system of vocational qualifications.</w:t>
      </w:r>
    </w:p>
    <w:p w:rsidR="002D065F" w:rsidRPr="00C93DAD" w:rsidRDefault="002D065F" w:rsidP="002D065F">
      <w:pPr>
        <w:tabs>
          <w:tab w:val="clear" w:pos="567"/>
          <w:tab w:val="left" w:pos="720"/>
        </w:tabs>
        <w:spacing w:line="240" w:lineRule="auto"/>
        <w:jc w:val="both"/>
        <w:rPr>
          <w:rFonts w:ascii="Palatino Linotype" w:hAnsi="Palatino Linotype"/>
          <w:bCs/>
          <w:sz w:val="22"/>
          <w:szCs w:val="22"/>
        </w:rPr>
      </w:pPr>
    </w:p>
    <w:p w:rsidR="002D065F" w:rsidRPr="00C93DAD" w:rsidRDefault="00C93DAD" w:rsidP="002D065F">
      <w:pPr>
        <w:tabs>
          <w:tab w:val="clear" w:pos="567"/>
          <w:tab w:val="left" w:pos="720"/>
        </w:tabs>
        <w:spacing w:line="240" w:lineRule="auto"/>
        <w:jc w:val="both"/>
        <w:rPr>
          <w:rFonts w:ascii="Palatino Linotype" w:hAnsi="Palatino Linotype"/>
          <w:bCs/>
          <w:sz w:val="22"/>
          <w:szCs w:val="22"/>
        </w:rPr>
      </w:pPr>
      <w:r w:rsidRPr="00C93DAD">
        <w:rPr>
          <w:rFonts w:ascii="Palatino Linotype" w:hAnsi="Palatino Linotype"/>
          <w:bCs/>
          <w:sz w:val="22"/>
          <w:szCs w:val="22"/>
        </w:rPr>
        <w:t>Levels</w:t>
      </w:r>
      <w:r w:rsidR="002D065F" w:rsidRPr="00C93DAD">
        <w:rPr>
          <w:rFonts w:ascii="Palatino Linotype" w:hAnsi="Palatino Linotype"/>
          <w:bCs/>
          <w:sz w:val="22"/>
          <w:szCs w:val="22"/>
        </w:rPr>
        <w:t xml:space="preserve"> of post-compulsory participation in the physical sciences and mathematics are substantially higher in Scotland than in other UK countries</w:t>
      </w:r>
      <w:r w:rsidRPr="00C93DAD">
        <w:rPr>
          <w:rFonts w:ascii="Palatino Linotype" w:hAnsi="Palatino Linotype"/>
          <w:bCs/>
          <w:sz w:val="22"/>
          <w:szCs w:val="22"/>
        </w:rPr>
        <w:t xml:space="preserve"> (though note the comments in the preceding paragraph about the position of all the countries in the UK relative to non-UK countries</w:t>
      </w:r>
      <w:r w:rsidR="00F53CE5">
        <w:rPr>
          <w:rFonts w:ascii="Palatino Linotype" w:hAnsi="Palatino Linotype"/>
          <w:bCs/>
          <w:sz w:val="22"/>
          <w:szCs w:val="22"/>
        </w:rPr>
        <w:t xml:space="preserve">.  </w:t>
      </w:r>
      <w:r w:rsidR="002D065F" w:rsidRPr="00C93DAD">
        <w:rPr>
          <w:rFonts w:ascii="Palatino Linotype" w:hAnsi="Palatino Linotype"/>
          <w:bCs/>
          <w:sz w:val="22"/>
          <w:szCs w:val="22"/>
        </w:rPr>
        <w:t>Explanations tend to attribute the difference in participation to flexibility</w:t>
      </w:r>
      <w:r w:rsidRPr="00C93DAD">
        <w:rPr>
          <w:rFonts w:ascii="Palatino Linotype" w:hAnsi="Palatino Linotype"/>
          <w:bCs/>
          <w:sz w:val="22"/>
          <w:szCs w:val="22"/>
        </w:rPr>
        <w:t xml:space="preserve"> in the upper secondary curriculum such that it </w:t>
      </w:r>
      <w:r w:rsidR="002D065F" w:rsidRPr="00C93DAD">
        <w:rPr>
          <w:rFonts w:ascii="Palatino Linotype" w:hAnsi="Palatino Linotype"/>
          <w:bCs/>
          <w:sz w:val="22"/>
          <w:szCs w:val="22"/>
        </w:rPr>
        <w:t>that allows</w:t>
      </w:r>
      <w:r w:rsidRPr="00C93DAD">
        <w:rPr>
          <w:rFonts w:ascii="Palatino Linotype" w:hAnsi="Palatino Linotype"/>
          <w:bCs/>
          <w:sz w:val="22"/>
          <w:szCs w:val="22"/>
        </w:rPr>
        <w:t xml:space="preserve"> for both</w:t>
      </w:r>
      <w:r w:rsidR="002D065F" w:rsidRPr="00C93DAD">
        <w:rPr>
          <w:rFonts w:ascii="Palatino Linotype" w:hAnsi="Palatino Linotype"/>
          <w:bCs/>
          <w:sz w:val="22"/>
          <w:szCs w:val="22"/>
        </w:rPr>
        <w:t xml:space="preserve"> breadth and depth of study</w:t>
      </w:r>
      <w:r w:rsidRPr="00C93DAD">
        <w:rPr>
          <w:rFonts w:ascii="Palatino Linotype" w:hAnsi="Palatino Linotype"/>
          <w:bCs/>
          <w:sz w:val="22"/>
          <w:szCs w:val="22"/>
        </w:rPr>
        <w:t>, and</w:t>
      </w:r>
      <w:r w:rsidR="002D065F" w:rsidRPr="00C93DAD">
        <w:rPr>
          <w:rFonts w:ascii="Palatino Linotype" w:hAnsi="Palatino Linotype"/>
          <w:bCs/>
          <w:sz w:val="22"/>
          <w:szCs w:val="22"/>
        </w:rPr>
        <w:t xml:space="preserve"> a higher proportion of teachers teaching their specialist science subject</w:t>
      </w:r>
      <w:r w:rsidR="00F53CE5">
        <w:rPr>
          <w:rFonts w:ascii="Palatino Linotype" w:hAnsi="Palatino Linotype"/>
          <w:bCs/>
          <w:sz w:val="22"/>
          <w:szCs w:val="22"/>
        </w:rPr>
        <w:t xml:space="preserve">.  </w:t>
      </w:r>
      <w:r w:rsidR="002D065F" w:rsidRPr="00C93DAD">
        <w:rPr>
          <w:rFonts w:ascii="Palatino Linotype" w:hAnsi="Palatino Linotype"/>
          <w:bCs/>
          <w:sz w:val="22"/>
          <w:szCs w:val="22"/>
        </w:rPr>
        <w:t>However, it has not been possible to identify any detailed studies of explanations for the higher levels of post-compulsory participation in Scotland.</w:t>
      </w:r>
    </w:p>
    <w:p w:rsidR="003D2E38" w:rsidRPr="00C93DAD" w:rsidRDefault="003D2E38" w:rsidP="003D2E38">
      <w:pPr>
        <w:spacing w:line="240" w:lineRule="auto"/>
        <w:jc w:val="both"/>
        <w:rPr>
          <w:rFonts w:ascii="Palatino Linotype" w:hAnsi="Palatino Linotype"/>
          <w:sz w:val="22"/>
          <w:szCs w:val="22"/>
        </w:rPr>
      </w:pPr>
    </w:p>
    <w:p w:rsidR="003D2E38" w:rsidRPr="00C93DAD" w:rsidRDefault="003D2E38" w:rsidP="003D2E38">
      <w:pPr>
        <w:spacing w:line="240" w:lineRule="auto"/>
        <w:jc w:val="both"/>
        <w:rPr>
          <w:rFonts w:ascii="Palatino Linotype" w:hAnsi="Palatino Linotype"/>
          <w:i/>
          <w:sz w:val="22"/>
          <w:szCs w:val="22"/>
        </w:rPr>
      </w:pPr>
      <w:r w:rsidRPr="00C93DAD">
        <w:rPr>
          <w:rFonts w:ascii="Palatino Linotype" w:hAnsi="Palatino Linotype"/>
          <w:i/>
          <w:sz w:val="22"/>
          <w:szCs w:val="22"/>
        </w:rPr>
        <w:t>4.2.2</w:t>
      </w:r>
      <w:r w:rsidRPr="00C93DAD">
        <w:rPr>
          <w:rFonts w:ascii="Palatino Linotype" w:hAnsi="Palatino Linotype"/>
          <w:i/>
          <w:sz w:val="22"/>
          <w:szCs w:val="22"/>
        </w:rPr>
        <w:tab/>
        <w:t>School factors</w:t>
      </w:r>
    </w:p>
    <w:p w:rsidR="003D2E38" w:rsidRPr="003D2E38" w:rsidRDefault="003D2E38" w:rsidP="003D2E38">
      <w:pPr>
        <w:spacing w:line="240" w:lineRule="auto"/>
        <w:jc w:val="both"/>
        <w:rPr>
          <w:rFonts w:ascii="Palatino Linotype" w:hAnsi="Palatino Linotype"/>
          <w:sz w:val="22"/>
          <w:szCs w:val="22"/>
        </w:rPr>
      </w:pPr>
    </w:p>
    <w:p w:rsidR="003D2E38" w:rsidRPr="003D2E38" w:rsidRDefault="00BC06B9" w:rsidP="003D2E38">
      <w:pPr>
        <w:spacing w:line="240" w:lineRule="auto"/>
        <w:jc w:val="both"/>
        <w:rPr>
          <w:rFonts w:ascii="Palatino Linotype" w:hAnsi="Palatino Linotype"/>
          <w:sz w:val="22"/>
          <w:szCs w:val="22"/>
        </w:rPr>
      </w:pPr>
      <w:r>
        <w:rPr>
          <w:rFonts w:ascii="Palatino Linotype" w:hAnsi="Palatino Linotype"/>
          <w:sz w:val="22"/>
          <w:szCs w:val="22"/>
        </w:rPr>
        <w:lastRenderedPageBreak/>
        <w:t>P</w:t>
      </w:r>
      <w:r w:rsidR="003D2E38" w:rsidRPr="003D2E38">
        <w:rPr>
          <w:rFonts w:ascii="Palatino Linotype" w:hAnsi="Palatino Linotype"/>
          <w:sz w:val="22"/>
          <w:szCs w:val="22"/>
        </w:rPr>
        <w:t xml:space="preserve">rivate </w:t>
      </w:r>
      <w:r w:rsidR="001D0890">
        <w:rPr>
          <w:rFonts w:ascii="Palatino Linotype" w:hAnsi="Palatino Linotype"/>
          <w:sz w:val="22"/>
          <w:szCs w:val="22"/>
        </w:rPr>
        <w:t xml:space="preserve">schools </w:t>
      </w:r>
      <w:r w:rsidR="003D2E38" w:rsidRPr="003D2E38">
        <w:rPr>
          <w:rFonts w:ascii="Palatino Linotype" w:hAnsi="Palatino Linotype"/>
          <w:sz w:val="22"/>
          <w:szCs w:val="22"/>
        </w:rPr>
        <w:t>and schools</w:t>
      </w:r>
      <w:r w:rsidR="001D0890">
        <w:rPr>
          <w:rFonts w:ascii="Palatino Linotype" w:hAnsi="Palatino Linotype"/>
          <w:sz w:val="22"/>
          <w:szCs w:val="22"/>
        </w:rPr>
        <w:t xml:space="preserve"> that select on the basis of ability</w:t>
      </w:r>
      <w:r w:rsidR="003D2E38" w:rsidRPr="003D2E38">
        <w:rPr>
          <w:rFonts w:ascii="Palatino Linotype" w:hAnsi="Palatino Linotype"/>
          <w:sz w:val="22"/>
          <w:szCs w:val="22"/>
        </w:rPr>
        <w:t xml:space="preserve"> demonstrate higher uptake of STEM subjects than state schools</w:t>
      </w:r>
      <w:r w:rsidR="00F53CE5">
        <w:rPr>
          <w:rFonts w:ascii="Palatino Linotype" w:hAnsi="Palatino Linotype"/>
          <w:sz w:val="22"/>
          <w:szCs w:val="22"/>
        </w:rPr>
        <w:t xml:space="preserve">.  </w:t>
      </w:r>
      <w:r w:rsidR="003D2E38" w:rsidRPr="003D2E38">
        <w:rPr>
          <w:rFonts w:ascii="Palatino Linotype" w:hAnsi="Palatino Linotype"/>
          <w:sz w:val="22"/>
          <w:szCs w:val="22"/>
        </w:rPr>
        <w:t>Higher levels of post-compulsory parti</w:t>
      </w:r>
      <w:r w:rsidR="001D0890">
        <w:rPr>
          <w:rFonts w:ascii="Palatino Linotype" w:hAnsi="Palatino Linotype"/>
          <w:sz w:val="22"/>
          <w:szCs w:val="22"/>
        </w:rPr>
        <w:t>cipa</w:t>
      </w:r>
      <w:r w:rsidR="003D2E38" w:rsidRPr="003D2E38">
        <w:rPr>
          <w:rFonts w:ascii="Palatino Linotype" w:hAnsi="Palatino Linotype"/>
          <w:sz w:val="22"/>
          <w:szCs w:val="22"/>
        </w:rPr>
        <w:t xml:space="preserve">tion are </w:t>
      </w:r>
      <w:r w:rsidR="00C93DAD">
        <w:rPr>
          <w:rFonts w:ascii="Palatino Linotype" w:hAnsi="Palatino Linotype"/>
          <w:sz w:val="22"/>
          <w:szCs w:val="22"/>
        </w:rPr>
        <w:t xml:space="preserve">also </w:t>
      </w:r>
      <w:r w:rsidR="003D2E38" w:rsidRPr="003D2E38">
        <w:rPr>
          <w:rFonts w:ascii="Palatino Linotype" w:hAnsi="Palatino Linotype"/>
          <w:sz w:val="22"/>
          <w:szCs w:val="22"/>
        </w:rPr>
        <w:t>associated with single-sex schools,</w:t>
      </w:r>
      <w:r w:rsidR="001D0890">
        <w:rPr>
          <w:rFonts w:ascii="Palatino Linotype" w:hAnsi="Palatino Linotype"/>
          <w:sz w:val="22"/>
          <w:szCs w:val="22"/>
        </w:rPr>
        <w:t xml:space="preserve"> with the effects being much more marked for girls than boys</w:t>
      </w:r>
      <w:r w:rsidR="00F53CE5">
        <w:rPr>
          <w:rFonts w:ascii="Palatino Linotype" w:hAnsi="Palatino Linotype"/>
          <w:sz w:val="22"/>
          <w:szCs w:val="22"/>
        </w:rPr>
        <w:t xml:space="preserve">.  </w:t>
      </w:r>
      <w:r w:rsidR="001D0890">
        <w:rPr>
          <w:rFonts w:ascii="Palatino Linotype" w:hAnsi="Palatino Linotype"/>
          <w:sz w:val="22"/>
          <w:szCs w:val="22"/>
        </w:rPr>
        <w:t>In around half of maintained co</w:t>
      </w:r>
      <w:r w:rsidR="00D526FB">
        <w:rPr>
          <w:rFonts w:ascii="Palatino Linotype" w:hAnsi="Palatino Linotype"/>
          <w:sz w:val="22"/>
          <w:szCs w:val="22"/>
        </w:rPr>
        <w:t>-</w:t>
      </w:r>
      <w:r w:rsidR="001D0890">
        <w:rPr>
          <w:rFonts w:ascii="Palatino Linotype" w:hAnsi="Palatino Linotype"/>
          <w:sz w:val="22"/>
          <w:szCs w:val="22"/>
        </w:rPr>
        <w:t xml:space="preserve">educational schools, no girls go on to study physics, </w:t>
      </w:r>
      <w:r w:rsidR="00764FC1">
        <w:rPr>
          <w:rFonts w:ascii="Palatino Linotype" w:hAnsi="Palatino Linotype"/>
          <w:sz w:val="22"/>
          <w:szCs w:val="22"/>
        </w:rPr>
        <w:t>whilst boys in</w:t>
      </w:r>
      <w:r w:rsidR="001D0890">
        <w:rPr>
          <w:rFonts w:ascii="Palatino Linotype" w:hAnsi="Palatino Linotype"/>
          <w:sz w:val="22"/>
          <w:szCs w:val="22"/>
        </w:rPr>
        <w:t xml:space="preserve"> most </w:t>
      </w:r>
      <w:r w:rsidR="00764FC1">
        <w:rPr>
          <w:rFonts w:ascii="Palatino Linotype" w:hAnsi="Palatino Linotype"/>
          <w:sz w:val="22"/>
          <w:szCs w:val="22"/>
        </w:rPr>
        <w:t xml:space="preserve">of </w:t>
      </w:r>
      <w:r w:rsidR="001D0890">
        <w:rPr>
          <w:rFonts w:ascii="Palatino Linotype" w:hAnsi="Palatino Linotype"/>
          <w:sz w:val="22"/>
          <w:szCs w:val="22"/>
        </w:rPr>
        <w:t>such schools do go on to take physics</w:t>
      </w:r>
      <w:r w:rsidR="00F53CE5">
        <w:rPr>
          <w:rFonts w:ascii="Palatino Linotype" w:hAnsi="Palatino Linotype"/>
          <w:sz w:val="22"/>
          <w:szCs w:val="22"/>
        </w:rPr>
        <w:t xml:space="preserve">.  </w:t>
      </w:r>
      <w:r w:rsidR="001D0890">
        <w:rPr>
          <w:rFonts w:ascii="Palatino Linotype" w:hAnsi="Palatino Linotype"/>
          <w:sz w:val="22"/>
          <w:szCs w:val="22"/>
        </w:rPr>
        <w:t>Higher levels of post compulsory participation in science are also associated with subject specialist teaching, and with s</w:t>
      </w:r>
      <w:r w:rsidR="005F033C">
        <w:rPr>
          <w:rFonts w:ascii="Palatino Linotype" w:hAnsi="Palatino Linotype"/>
          <w:sz w:val="22"/>
          <w:szCs w:val="22"/>
        </w:rPr>
        <w:t>chools that take students from age 11-18, rather than 11-16</w:t>
      </w:r>
      <w:r w:rsidR="00F53CE5">
        <w:rPr>
          <w:rFonts w:ascii="Palatino Linotype" w:hAnsi="Palatino Linotype"/>
          <w:sz w:val="22"/>
          <w:szCs w:val="22"/>
        </w:rPr>
        <w:t xml:space="preserve">.  </w:t>
      </w:r>
      <w:r w:rsidR="001D0890">
        <w:rPr>
          <w:rFonts w:ascii="Palatino Linotype" w:hAnsi="Palatino Linotype"/>
          <w:sz w:val="22"/>
          <w:szCs w:val="22"/>
        </w:rPr>
        <w:t xml:space="preserve">There is </w:t>
      </w:r>
      <w:r w:rsidR="00643F0D">
        <w:rPr>
          <w:rFonts w:ascii="Palatino Linotype" w:hAnsi="Palatino Linotype"/>
          <w:sz w:val="22"/>
          <w:szCs w:val="22"/>
        </w:rPr>
        <w:t xml:space="preserve">comparatively </w:t>
      </w:r>
      <w:r w:rsidR="001D0890">
        <w:rPr>
          <w:rFonts w:ascii="Palatino Linotype" w:hAnsi="Palatino Linotype"/>
          <w:sz w:val="22"/>
          <w:szCs w:val="22"/>
        </w:rPr>
        <w:t>little research evidence on the effects of teaching</w:t>
      </w:r>
      <w:r w:rsidR="008F4D71">
        <w:rPr>
          <w:rFonts w:ascii="Palatino Linotype" w:hAnsi="Palatino Linotype"/>
          <w:sz w:val="22"/>
          <w:szCs w:val="22"/>
        </w:rPr>
        <w:t xml:space="preserve"> students in</w:t>
      </w:r>
      <w:r w:rsidR="001D0890">
        <w:rPr>
          <w:rFonts w:ascii="Palatino Linotype" w:hAnsi="Palatino Linotype"/>
          <w:sz w:val="22"/>
          <w:szCs w:val="22"/>
        </w:rPr>
        <w:t xml:space="preserve"> </w:t>
      </w:r>
      <w:r w:rsidR="00510AE7">
        <w:rPr>
          <w:rFonts w:ascii="Palatino Linotype" w:hAnsi="Palatino Linotype"/>
          <w:sz w:val="22"/>
          <w:szCs w:val="22"/>
        </w:rPr>
        <w:t>single-sex</w:t>
      </w:r>
      <w:r w:rsidR="001D0890">
        <w:rPr>
          <w:rFonts w:ascii="Palatino Linotype" w:hAnsi="Palatino Linotype"/>
          <w:sz w:val="22"/>
          <w:szCs w:val="22"/>
        </w:rPr>
        <w:t xml:space="preserve"> groups within co-educational schools</w:t>
      </w:r>
      <w:r w:rsidR="00F53CE5">
        <w:rPr>
          <w:rFonts w:ascii="Palatino Linotype" w:hAnsi="Palatino Linotype"/>
          <w:sz w:val="22"/>
          <w:szCs w:val="22"/>
        </w:rPr>
        <w:t xml:space="preserve">.  </w:t>
      </w:r>
      <w:r w:rsidR="001D0890">
        <w:rPr>
          <w:rFonts w:ascii="Palatino Linotype" w:hAnsi="Palatino Linotype"/>
          <w:sz w:val="22"/>
          <w:szCs w:val="22"/>
        </w:rPr>
        <w:t>This would merit further investigation.</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 structure of the curriculum in science appears to exert a considerable influence on participation</w:t>
      </w:r>
      <w:r w:rsidR="00F53CE5">
        <w:rPr>
          <w:rFonts w:ascii="Palatino Linotype" w:hAnsi="Palatino Linotype"/>
          <w:sz w:val="22"/>
          <w:szCs w:val="22"/>
        </w:rPr>
        <w:t xml:space="preserve">.  </w:t>
      </w:r>
      <w:r w:rsidRPr="003D2E38">
        <w:rPr>
          <w:rFonts w:ascii="Palatino Linotype" w:hAnsi="Palatino Linotype"/>
          <w:sz w:val="22"/>
          <w:szCs w:val="22"/>
        </w:rPr>
        <w:t>The popular notion that triple science leads to improved post-compulsory parti</w:t>
      </w:r>
      <w:r w:rsidR="00764FC1">
        <w:rPr>
          <w:rFonts w:ascii="Palatino Linotype" w:hAnsi="Palatino Linotype"/>
          <w:sz w:val="22"/>
          <w:szCs w:val="22"/>
        </w:rPr>
        <w:t>cipation may be over-simplistic</w:t>
      </w:r>
      <w:r w:rsidR="00F53CE5">
        <w:rPr>
          <w:rFonts w:ascii="Palatino Linotype" w:hAnsi="Palatino Linotype"/>
          <w:sz w:val="22"/>
          <w:szCs w:val="22"/>
        </w:rPr>
        <w:t xml:space="preserve">.  </w:t>
      </w:r>
      <w:r w:rsidR="00764FC1">
        <w:rPr>
          <w:rFonts w:ascii="Palatino Linotype" w:hAnsi="Palatino Linotype"/>
          <w:sz w:val="22"/>
          <w:szCs w:val="22"/>
        </w:rPr>
        <w:t>T</w:t>
      </w:r>
      <w:r w:rsidRPr="003D2E38">
        <w:rPr>
          <w:rFonts w:ascii="Palatino Linotype" w:hAnsi="Palatino Linotype"/>
          <w:sz w:val="22"/>
          <w:szCs w:val="22"/>
        </w:rPr>
        <w:t xml:space="preserve">here is </w:t>
      </w:r>
      <w:r w:rsidR="0059681F">
        <w:rPr>
          <w:rFonts w:ascii="Palatino Linotype" w:hAnsi="Palatino Linotype"/>
          <w:sz w:val="22"/>
          <w:szCs w:val="22"/>
        </w:rPr>
        <w:t xml:space="preserve">some </w:t>
      </w:r>
      <w:r w:rsidRPr="003D2E38">
        <w:rPr>
          <w:rFonts w:ascii="Palatino Linotype" w:hAnsi="Palatino Linotype"/>
          <w:sz w:val="22"/>
          <w:szCs w:val="22"/>
        </w:rPr>
        <w:t>evidence to suggest that it is curriculum diversity that may exert the stronger effect, i.e. provision of dual-award, triple science and vocational options</w:t>
      </w:r>
      <w:r w:rsidR="00F53CE5">
        <w:rPr>
          <w:rFonts w:ascii="Palatino Linotype" w:hAnsi="Palatino Linotype"/>
          <w:sz w:val="22"/>
          <w:szCs w:val="22"/>
        </w:rPr>
        <w:t xml:space="preserve">.  </w:t>
      </w:r>
      <w:r w:rsidRPr="003D2E38">
        <w:rPr>
          <w:rFonts w:ascii="Palatino Linotype" w:hAnsi="Palatino Linotype"/>
          <w:sz w:val="22"/>
          <w:szCs w:val="22"/>
        </w:rPr>
        <w:t>This is an aspect that would benefit from further exploration</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 nature of the curriculum appears to influence levels of engagement, particularly in science</w:t>
      </w:r>
      <w:r w:rsidR="00F53CE5">
        <w:rPr>
          <w:rFonts w:ascii="Palatino Linotype" w:hAnsi="Palatino Linotype"/>
          <w:sz w:val="22"/>
          <w:szCs w:val="22"/>
        </w:rPr>
        <w:t xml:space="preserve">.  </w:t>
      </w:r>
      <w:r w:rsidRPr="003D2E38">
        <w:rPr>
          <w:rFonts w:ascii="Palatino Linotype" w:hAnsi="Palatino Linotype"/>
          <w:sz w:val="22"/>
          <w:szCs w:val="22"/>
        </w:rPr>
        <w:t>Context-based approaches lead to higher levels of engagement in science, though this does not result in increased post-compulsory participation.</w:t>
      </w:r>
      <w:r w:rsidR="00FB0721">
        <w:rPr>
          <w:rFonts w:ascii="Palatino Linotype" w:hAnsi="Palatino Linotype"/>
          <w:sz w:val="22"/>
          <w:szCs w:val="22"/>
        </w:rPr>
        <w:t xml:space="preserve"> </w:t>
      </w:r>
      <w:r w:rsidRPr="003D2E38">
        <w:rPr>
          <w:rFonts w:ascii="Palatino Linotype" w:hAnsi="Palatino Linotype"/>
          <w:sz w:val="22"/>
          <w:szCs w:val="22"/>
        </w:rPr>
        <w:t xml:space="preserve"> The evidence is less clear-cut for mathematics</w:t>
      </w:r>
      <w:r w:rsidR="00F53CE5">
        <w:rPr>
          <w:rFonts w:ascii="Palatino Linotype" w:hAnsi="Palatino Linotype"/>
          <w:sz w:val="22"/>
          <w:szCs w:val="22"/>
        </w:rPr>
        <w:t xml:space="preserve">.  </w:t>
      </w:r>
      <w:r w:rsidRPr="003D2E38">
        <w:rPr>
          <w:rFonts w:ascii="Palatino Linotype" w:hAnsi="Palatino Linotype"/>
          <w:sz w:val="22"/>
          <w:szCs w:val="22"/>
        </w:rPr>
        <w:t xml:space="preserve">Some work suggests contextualisation reduces levels of engagement, whilst early indications from </w:t>
      </w:r>
      <w:r w:rsidR="00B667BB">
        <w:rPr>
          <w:rFonts w:ascii="Palatino Linotype" w:hAnsi="Palatino Linotype"/>
          <w:sz w:val="22"/>
          <w:szCs w:val="22"/>
        </w:rPr>
        <w:t>the mathematics ‘linked-</w:t>
      </w:r>
      <w:r w:rsidRPr="003D2E38">
        <w:rPr>
          <w:rFonts w:ascii="Palatino Linotype" w:hAnsi="Palatino Linotype"/>
          <w:sz w:val="22"/>
          <w:szCs w:val="22"/>
        </w:rPr>
        <w:t>pair</w:t>
      </w:r>
      <w:r w:rsidR="00B667BB">
        <w:rPr>
          <w:rFonts w:ascii="Palatino Linotype" w:hAnsi="Palatino Linotype"/>
          <w:sz w:val="22"/>
          <w:szCs w:val="22"/>
        </w:rPr>
        <w:t>’</w:t>
      </w:r>
      <w:r w:rsidRPr="003D2E38">
        <w:rPr>
          <w:rFonts w:ascii="Palatino Linotype" w:hAnsi="Palatino Linotype"/>
          <w:sz w:val="22"/>
          <w:szCs w:val="22"/>
        </w:rPr>
        <w:t xml:space="preserve"> GCSE provision, one element of which emphasises applications, results i</w:t>
      </w:r>
      <w:r w:rsidR="0059681F">
        <w:rPr>
          <w:rFonts w:ascii="Palatino Linotype" w:hAnsi="Palatino Linotype"/>
          <w:sz w:val="22"/>
          <w:szCs w:val="22"/>
        </w:rPr>
        <w:t>n modest gains in engagement</w:t>
      </w:r>
      <w:r w:rsidR="00F53CE5">
        <w:rPr>
          <w:rFonts w:ascii="Palatino Linotype" w:hAnsi="Palatino Linotype"/>
          <w:sz w:val="22"/>
          <w:szCs w:val="22"/>
        </w:rPr>
        <w:t xml:space="preserve">.  </w:t>
      </w:r>
      <w:r w:rsidR="0059681F">
        <w:rPr>
          <w:rFonts w:ascii="Palatino Linotype" w:hAnsi="Palatino Linotype"/>
          <w:sz w:val="22"/>
          <w:szCs w:val="22"/>
        </w:rPr>
        <w:t xml:space="preserve">There is </w:t>
      </w:r>
      <w:r w:rsidR="00F122B6">
        <w:rPr>
          <w:rFonts w:ascii="Palatino Linotype" w:hAnsi="Palatino Linotype"/>
          <w:sz w:val="22"/>
          <w:szCs w:val="22"/>
        </w:rPr>
        <w:t>mixed</w:t>
      </w:r>
      <w:r w:rsidR="0059681F">
        <w:rPr>
          <w:rFonts w:ascii="Palatino Linotype" w:hAnsi="Palatino Linotype"/>
          <w:sz w:val="22"/>
          <w:szCs w:val="22"/>
        </w:rPr>
        <w:t xml:space="preserve"> evidence </w:t>
      </w:r>
      <w:r w:rsidR="00F122B6">
        <w:rPr>
          <w:rFonts w:ascii="Palatino Linotype" w:hAnsi="Palatino Linotype"/>
          <w:sz w:val="22"/>
          <w:szCs w:val="22"/>
        </w:rPr>
        <w:t xml:space="preserve">on the effects of a </w:t>
      </w:r>
      <w:r w:rsidRPr="003D2E38">
        <w:rPr>
          <w:rFonts w:ascii="Palatino Linotype" w:hAnsi="Palatino Linotype"/>
          <w:sz w:val="22"/>
          <w:szCs w:val="22"/>
        </w:rPr>
        <w:t>GCSE course which places emphasis on scientific literacy</w:t>
      </w:r>
      <w:r w:rsidR="00F122B6">
        <w:rPr>
          <w:rFonts w:ascii="Palatino Linotype" w:hAnsi="Palatino Linotype"/>
          <w:sz w:val="22"/>
          <w:szCs w:val="22"/>
        </w:rPr>
        <w:t xml:space="preserve"> (</w:t>
      </w:r>
      <w:r w:rsidR="00F122B6" w:rsidRPr="00F122B6">
        <w:rPr>
          <w:rFonts w:ascii="Palatino Linotype" w:hAnsi="Palatino Linotype"/>
          <w:i/>
          <w:sz w:val="22"/>
          <w:szCs w:val="22"/>
        </w:rPr>
        <w:t>Twenty-first Century Science</w:t>
      </w:r>
      <w:r w:rsidR="00F122B6">
        <w:rPr>
          <w:rFonts w:ascii="Palatino Linotype" w:hAnsi="Palatino Linotype"/>
          <w:sz w:val="22"/>
          <w:szCs w:val="22"/>
        </w:rPr>
        <w:t>)</w:t>
      </w:r>
      <w:r w:rsidRPr="003D2E38">
        <w:rPr>
          <w:rFonts w:ascii="Palatino Linotype" w:hAnsi="Palatino Linotype"/>
          <w:sz w:val="22"/>
          <w:szCs w:val="22"/>
        </w:rPr>
        <w:t xml:space="preserve"> on </w:t>
      </w:r>
      <w:r w:rsidR="00F122B6">
        <w:rPr>
          <w:rFonts w:ascii="Palatino Linotype" w:hAnsi="Palatino Linotype"/>
          <w:sz w:val="22"/>
          <w:szCs w:val="22"/>
        </w:rPr>
        <w:t xml:space="preserve">levels </w:t>
      </w:r>
      <w:r w:rsidR="008B7E99">
        <w:rPr>
          <w:rFonts w:ascii="Palatino Linotype" w:hAnsi="Palatino Linotype"/>
          <w:sz w:val="22"/>
          <w:szCs w:val="22"/>
        </w:rPr>
        <w:t xml:space="preserve">of </w:t>
      </w:r>
      <w:r w:rsidR="00F122B6">
        <w:rPr>
          <w:rFonts w:ascii="Palatino Linotype" w:hAnsi="Palatino Linotype"/>
          <w:sz w:val="22"/>
          <w:szCs w:val="22"/>
        </w:rPr>
        <w:t>post-compulsory participation, and this outcome would merit further investigation.</w:t>
      </w:r>
    </w:p>
    <w:p w:rsidR="0059681F" w:rsidRPr="003D2E38" w:rsidRDefault="0059681F"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Post-compulsory participation in science is linked to the entry requirements schools set for advanced level study, with schools that set</w:t>
      </w:r>
      <w:r w:rsidR="00E10EAC">
        <w:rPr>
          <w:rFonts w:ascii="Palatino Linotype" w:hAnsi="Palatino Linotype"/>
          <w:sz w:val="22"/>
          <w:szCs w:val="22"/>
        </w:rPr>
        <w:t xml:space="preserve"> the entry requirement at GCSE g</w:t>
      </w:r>
      <w:r w:rsidRPr="003D2E38">
        <w:rPr>
          <w:rFonts w:ascii="Palatino Linotype" w:hAnsi="Palatino Linotype"/>
          <w:sz w:val="22"/>
          <w:szCs w:val="22"/>
        </w:rPr>
        <w:t>rade C and above having lower levels of participation than schoo</w:t>
      </w:r>
      <w:r w:rsidR="00851DEC">
        <w:rPr>
          <w:rFonts w:ascii="Palatino Linotype" w:hAnsi="Palatino Linotype"/>
          <w:sz w:val="22"/>
          <w:szCs w:val="22"/>
        </w:rPr>
        <w:t>ls requiring a grade B or above, though the reasons for this need further investigation</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4F4882"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 impact of careers advice and guidance emerged as an influential feature, with a very strong suggestion from a number of studies that such advice is ‘too little, too late’</w:t>
      </w:r>
      <w:r w:rsidR="00F53CE5">
        <w:rPr>
          <w:rFonts w:ascii="Palatino Linotype" w:hAnsi="Palatino Linotype"/>
          <w:sz w:val="22"/>
          <w:szCs w:val="22"/>
        </w:rPr>
        <w:t xml:space="preserve">.  </w:t>
      </w:r>
      <w:r w:rsidRPr="003D2E38">
        <w:rPr>
          <w:rFonts w:ascii="Palatino Linotype" w:hAnsi="Palatino Linotype"/>
          <w:sz w:val="22"/>
          <w:szCs w:val="22"/>
        </w:rPr>
        <w:t>The evidence points to the majority of students having made some decisions about careers by age 12-13, and that this decision is very often not linked to working in STEM-related areas</w:t>
      </w:r>
      <w:r w:rsidR="00F53CE5">
        <w:rPr>
          <w:rFonts w:ascii="Palatino Linotype" w:hAnsi="Palatino Linotype"/>
          <w:sz w:val="22"/>
          <w:szCs w:val="22"/>
        </w:rPr>
        <w:t xml:space="preserve">.  </w:t>
      </w:r>
      <w:r w:rsidRPr="003D2E38">
        <w:rPr>
          <w:rFonts w:ascii="Palatino Linotype" w:hAnsi="Palatino Linotype"/>
          <w:sz w:val="22"/>
          <w:szCs w:val="22"/>
        </w:rPr>
        <w:t>Students’ knowledge of STEM career opportunities is limited, and very limited in relation to vocational opportunities</w:t>
      </w:r>
      <w:r w:rsidR="00F53CE5">
        <w:rPr>
          <w:rFonts w:ascii="Palatino Linotype" w:hAnsi="Palatino Linotype"/>
          <w:sz w:val="22"/>
          <w:szCs w:val="22"/>
        </w:rPr>
        <w:t xml:space="preserve">.  </w:t>
      </w:r>
    </w:p>
    <w:p w:rsidR="004F4882" w:rsidRDefault="004F4882"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There is mixed evidence on the most influential source of advice, suggesting that both home and school exert an influence</w:t>
      </w:r>
      <w:r w:rsidR="00F53CE5">
        <w:rPr>
          <w:rFonts w:ascii="Palatino Linotype" w:hAnsi="Palatino Linotype"/>
          <w:sz w:val="22"/>
          <w:szCs w:val="22"/>
        </w:rPr>
        <w:t xml:space="preserve">.  </w:t>
      </w:r>
      <w:r w:rsidR="004F4882">
        <w:rPr>
          <w:rFonts w:ascii="Palatino Linotype" w:hAnsi="Palatino Linotype"/>
          <w:sz w:val="22"/>
          <w:szCs w:val="22"/>
        </w:rPr>
        <w:t>Students are more likely to go on to study STEM subjects if they come from homes with high levels of ‘science capital’ (</w:t>
      </w:r>
      <w:r w:rsidR="004F4882" w:rsidRPr="00BB39A5">
        <w:rPr>
          <w:rFonts w:ascii="Palatino Linotype" w:hAnsi="Palatino Linotype"/>
          <w:bCs/>
          <w:sz w:val="22"/>
          <w:szCs w:val="22"/>
        </w:rPr>
        <w:t>i.e. from socially advantaged backgrounds where they have a close family member or friend with STEM qualifications and working in working in STEM-related areas, and sci</w:t>
      </w:r>
      <w:r w:rsidR="004F4882">
        <w:rPr>
          <w:rFonts w:ascii="Palatino Linotype" w:hAnsi="Palatino Linotype"/>
          <w:bCs/>
          <w:sz w:val="22"/>
          <w:szCs w:val="22"/>
        </w:rPr>
        <w:t>ence-related leisure interests)</w:t>
      </w:r>
      <w:r w:rsidR="00F53CE5">
        <w:rPr>
          <w:rFonts w:ascii="Palatino Linotype" w:hAnsi="Palatino Linotype"/>
          <w:bCs/>
          <w:sz w:val="22"/>
          <w:szCs w:val="22"/>
        </w:rPr>
        <w:t xml:space="preserve">.  </w:t>
      </w:r>
      <w:r w:rsidRPr="003D2E38">
        <w:rPr>
          <w:rFonts w:ascii="Palatino Linotype" w:hAnsi="Palatino Linotype"/>
          <w:sz w:val="22"/>
          <w:szCs w:val="22"/>
        </w:rPr>
        <w:t>Schools that involve STEM subject specialists in offering advice on subject choices and careers have higher levels of post-compulsory participation</w:t>
      </w:r>
      <w:r w:rsidR="00F53CE5">
        <w:rPr>
          <w:rFonts w:ascii="Palatino Linotype" w:hAnsi="Palatino Linotype"/>
          <w:sz w:val="22"/>
          <w:szCs w:val="22"/>
        </w:rPr>
        <w:t xml:space="preserve">.  </w:t>
      </w:r>
      <w:r w:rsidRPr="003D2E38">
        <w:rPr>
          <w:rFonts w:ascii="Palatino Linotype" w:hAnsi="Palatino Linotype"/>
          <w:sz w:val="22"/>
          <w:szCs w:val="22"/>
        </w:rPr>
        <w:t>The likely outcome of general advice to ‘keep your options open’ is lower levels of post-compulsory participation in the physical sciences</w:t>
      </w:r>
      <w:r w:rsidR="00F53CE5">
        <w:rPr>
          <w:rFonts w:ascii="Palatino Linotype" w:hAnsi="Palatino Linotype"/>
          <w:sz w:val="22"/>
          <w:szCs w:val="22"/>
        </w:rPr>
        <w:t xml:space="preserve">.  </w:t>
      </w:r>
      <w:r w:rsidRPr="003D2E38">
        <w:rPr>
          <w:rFonts w:ascii="Palatino Linotype" w:hAnsi="Palatino Linotype"/>
          <w:sz w:val="22"/>
          <w:szCs w:val="22"/>
        </w:rPr>
        <w:t xml:space="preserve">The provision of carefully-formulated opportunities to engage with the world of </w:t>
      </w:r>
      <w:r w:rsidRPr="003D2E38">
        <w:rPr>
          <w:rFonts w:ascii="Palatino Linotype" w:hAnsi="Palatino Linotype"/>
          <w:sz w:val="22"/>
          <w:szCs w:val="22"/>
        </w:rPr>
        <w:lastRenderedPageBreak/>
        <w:t>work, such as work-placements, can motivate students to study STEM subjects</w:t>
      </w:r>
      <w:r w:rsidR="00F53CE5">
        <w:rPr>
          <w:rFonts w:ascii="Palatino Linotype" w:hAnsi="Palatino Linotype"/>
          <w:sz w:val="22"/>
          <w:szCs w:val="22"/>
        </w:rPr>
        <w:t xml:space="preserve">.  </w:t>
      </w:r>
      <w:r w:rsidR="004F4882">
        <w:rPr>
          <w:rFonts w:ascii="Palatino Linotype" w:hAnsi="Palatino Linotype"/>
          <w:sz w:val="22"/>
          <w:szCs w:val="22"/>
        </w:rPr>
        <w:t xml:space="preserve">The </w:t>
      </w:r>
      <w:r w:rsidR="007C1D7E">
        <w:rPr>
          <w:rFonts w:ascii="Palatino Linotype" w:hAnsi="Palatino Linotype"/>
          <w:sz w:val="22"/>
          <w:szCs w:val="22"/>
        </w:rPr>
        <w:t xml:space="preserve">source, </w:t>
      </w:r>
      <w:r w:rsidR="004F4882">
        <w:rPr>
          <w:rFonts w:ascii="Palatino Linotype" w:hAnsi="Palatino Linotype"/>
          <w:sz w:val="22"/>
          <w:szCs w:val="22"/>
        </w:rPr>
        <w:t>nature and impact of careers advice would merit further exploration.</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8809AF" w:rsidRDefault="008809AF" w:rsidP="003D2E38">
      <w:pPr>
        <w:spacing w:line="240" w:lineRule="auto"/>
        <w:jc w:val="both"/>
        <w:rPr>
          <w:rFonts w:ascii="Palatino Linotype" w:hAnsi="Palatino Linotype"/>
          <w:i/>
          <w:sz w:val="22"/>
          <w:szCs w:val="22"/>
        </w:rPr>
      </w:pPr>
    </w:p>
    <w:p w:rsidR="008809AF" w:rsidRDefault="008809AF" w:rsidP="003D2E38">
      <w:pPr>
        <w:spacing w:line="240" w:lineRule="auto"/>
        <w:jc w:val="both"/>
        <w:rPr>
          <w:rFonts w:ascii="Palatino Linotype" w:hAnsi="Palatino Linotype"/>
          <w:i/>
          <w:sz w:val="22"/>
          <w:szCs w:val="22"/>
        </w:rPr>
      </w:pPr>
    </w:p>
    <w:p w:rsidR="003D2E38" w:rsidRPr="003D2E38" w:rsidRDefault="003D2E38" w:rsidP="003D2E38">
      <w:pPr>
        <w:spacing w:line="240" w:lineRule="auto"/>
        <w:jc w:val="both"/>
        <w:rPr>
          <w:rFonts w:ascii="Palatino Linotype" w:hAnsi="Palatino Linotype"/>
          <w:i/>
          <w:sz w:val="22"/>
          <w:szCs w:val="22"/>
        </w:rPr>
      </w:pPr>
      <w:r w:rsidRPr="003D2E38">
        <w:rPr>
          <w:rFonts w:ascii="Palatino Linotype" w:hAnsi="Palatino Linotype"/>
          <w:i/>
          <w:sz w:val="22"/>
          <w:szCs w:val="22"/>
        </w:rPr>
        <w:t>4.2.3</w:t>
      </w:r>
      <w:r w:rsidRPr="003D2E38">
        <w:rPr>
          <w:rFonts w:ascii="Palatino Linotype" w:hAnsi="Palatino Linotype"/>
          <w:i/>
          <w:sz w:val="22"/>
          <w:szCs w:val="22"/>
        </w:rPr>
        <w:tab/>
        <w:t>Individual factors</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 xml:space="preserve">Individual factors concern student attributes, such as socio-economic effects, the effects of ethnic background, </w:t>
      </w:r>
      <w:proofErr w:type="gramStart"/>
      <w:r w:rsidRPr="003D2E38">
        <w:rPr>
          <w:rFonts w:ascii="Palatino Linotype" w:hAnsi="Palatino Linotype"/>
          <w:sz w:val="22"/>
          <w:szCs w:val="22"/>
        </w:rPr>
        <w:t>gender</w:t>
      </w:r>
      <w:proofErr w:type="gramEnd"/>
      <w:r w:rsidRPr="003D2E38">
        <w:rPr>
          <w:rFonts w:ascii="Palatino Linotype" w:hAnsi="Palatino Linotype"/>
          <w:sz w:val="22"/>
          <w:szCs w:val="22"/>
        </w:rPr>
        <w:t>, age and ability, and student responses to their experiences of STEM.</w:t>
      </w:r>
      <w:r w:rsidR="00FB0721">
        <w:rPr>
          <w:rFonts w:ascii="Palatino Linotype" w:hAnsi="Palatino Linotype"/>
          <w:sz w:val="22"/>
          <w:szCs w:val="22"/>
        </w:rPr>
        <w:t xml:space="preserve"> </w:t>
      </w:r>
      <w:r w:rsidRPr="003D2E38">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Students are more likely to be interested in science if they come from a more advantaged socio-economic background and if they have a parent with a STEM-related career</w:t>
      </w:r>
      <w:r w:rsidR="00F53CE5">
        <w:rPr>
          <w:rFonts w:ascii="Palatino Linotype" w:hAnsi="Palatino Linotype"/>
          <w:sz w:val="22"/>
          <w:szCs w:val="22"/>
        </w:rPr>
        <w:t xml:space="preserve">.  </w:t>
      </w:r>
      <w:r w:rsidRPr="003D2E38">
        <w:rPr>
          <w:rFonts w:ascii="Palatino Linotype" w:hAnsi="Palatino Linotype"/>
          <w:sz w:val="22"/>
          <w:szCs w:val="22"/>
        </w:rPr>
        <w:t>There is considerable variation</w:t>
      </w:r>
      <w:r w:rsidR="00A86F3E">
        <w:rPr>
          <w:rFonts w:ascii="Palatino Linotype" w:hAnsi="Palatino Linotype"/>
          <w:sz w:val="22"/>
          <w:szCs w:val="22"/>
        </w:rPr>
        <w:t xml:space="preserve"> in</w:t>
      </w:r>
      <w:r w:rsidRPr="003D2E38">
        <w:rPr>
          <w:rFonts w:ascii="Palatino Linotype" w:hAnsi="Palatino Linotype"/>
          <w:sz w:val="22"/>
          <w:szCs w:val="22"/>
        </w:rPr>
        <w:t xml:space="preserve"> the patterns for ethnicity</w:t>
      </w:r>
      <w:r w:rsidR="00F53CE5">
        <w:rPr>
          <w:rFonts w:ascii="Palatino Linotype" w:hAnsi="Palatino Linotype"/>
          <w:sz w:val="22"/>
          <w:szCs w:val="22"/>
        </w:rPr>
        <w:t xml:space="preserve">.  </w:t>
      </w:r>
      <w:r w:rsidRPr="003D2E38">
        <w:rPr>
          <w:rFonts w:ascii="Palatino Linotype" w:hAnsi="Palatino Linotype"/>
          <w:sz w:val="22"/>
          <w:szCs w:val="22"/>
        </w:rPr>
        <w:t>With the exception of Chinese and Indian students, most groups are under-represented in post-compulsory study of STEM subjects compared with their white counterparts</w:t>
      </w:r>
      <w:r w:rsidR="00F53CE5">
        <w:rPr>
          <w:rFonts w:ascii="Palatino Linotype" w:hAnsi="Palatino Linotype"/>
          <w:sz w:val="22"/>
          <w:szCs w:val="22"/>
        </w:rPr>
        <w:t xml:space="preserve">.  </w:t>
      </w:r>
      <w:r w:rsidRPr="003D2E38">
        <w:rPr>
          <w:rFonts w:ascii="Palatino Linotype" w:hAnsi="Palatino Linotype"/>
          <w:sz w:val="22"/>
          <w:szCs w:val="22"/>
        </w:rPr>
        <w:t>Gender patterns are as one might expect, with more boys than girls pursuing the study of physical sciences and mathematics, with girls being less confident in their abilities in these subjects</w:t>
      </w:r>
      <w:r w:rsidR="00F53CE5">
        <w:rPr>
          <w:rFonts w:ascii="Palatino Linotype" w:hAnsi="Palatino Linotype"/>
          <w:sz w:val="22"/>
          <w:szCs w:val="22"/>
        </w:rPr>
        <w:t xml:space="preserve">.  </w:t>
      </w:r>
      <w:r w:rsidRPr="003D2E38">
        <w:rPr>
          <w:rFonts w:ascii="Palatino Linotype" w:hAnsi="Palatino Linotype"/>
          <w:sz w:val="22"/>
          <w:szCs w:val="22"/>
        </w:rPr>
        <w:t>STEM subjects tend to attr</w:t>
      </w:r>
      <w:r w:rsidR="00A86F3E">
        <w:rPr>
          <w:rFonts w:ascii="Palatino Linotype" w:hAnsi="Palatino Linotype"/>
          <w:sz w:val="22"/>
          <w:szCs w:val="22"/>
        </w:rPr>
        <w:t>act more able students, with this</w:t>
      </w:r>
      <w:r w:rsidRPr="003D2E38">
        <w:rPr>
          <w:rFonts w:ascii="Palatino Linotype" w:hAnsi="Palatino Linotype"/>
          <w:sz w:val="22"/>
          <w:szCs w:val="22"/>
        </w:rPr>
        <w:t xml:space="preserve"> being particularly noticeable in mathematics, where a ‘clever core’ of mathematically able students tends to act as a deterrent to others pursuing post-compulsory study.</w:t>
      </w:r>
    </w:p>
    <w:p w:rsidR="00A04954" w:rsidRDefault="00A04954" w:rsidP="003D2E38">
      <w:pPr>
        <w:spacing w:line="240" w:lineRule="auto"/>
        <w:jc w:val="both"/>
        <w:rPr>
          <w:rFonts w:ascii="Palatino Linotype" w:hAnsi="Palatino Linotype"/>
          <w:sz w:val="22"/>
          <w:szCs w:val="22"/>
        </w:rPr>
      </w:pPr>
    </w:p>
    <w:p w:rsidR="00A04954" w:rsidRPr="003D2E38" w:rsidRDefault="00A04954" w:rsidP="003D2E38">
      <w:pPr>
        <w:spacing w:line="240" w:lineRule="auto"/>
        <w:jc w:val="both"/>
        <w:rPr>
          <w:rFonts w:ascii="Palatino Linotype" w:hAnsi="Palatino Linotype"/>
          <w:sz w:val="22"/>
          <w:szCs w:val="22"/>
        </w:rPr>
      </w:pPr>
      <w:r>
        <w:rPr>
          <w:rFonts w:ascii="Palatino Linotype" w:hAnsi="Palatino Linotype"/>
          <w:sz w:val="22"/>
          <w:szCs w:val="22"/>
        </w:rPr>
        <w:t>Many students have a reasonably firm idea about their intended career by the age of 11-12, and, for the majority</w:t>
      </w:r>
      <w:r w:rsidR="00A86F3E">
        <w:rPr>
          <w:rFonts w:ascii="Palatino Linotype" w:hAnsi="Palatino Linotype"/>
          <w:sz w:val="22"/>
          <w:szCs w:val="22"/>
        </w:rPr>
        <w:t>,</w:t>
      </w:r>
      <w:r>
        <w:rPr>
          <w:rFonts w:ascii="Palatino Linotype" w:hAnsi="Palatino Linotype"/>
          <w:sz w:val="22"/>
          <w:szCs w:val="22"/>
        </w:rPr>
        <w:t xml:space="preserve"> this does not include work in STEM-related areas</w:t>
      </w:r>
      <w:r w:rsidR="00F53CE5">
        <w:rPr>
          <w:rFonts w:ascii="Palatino Linotype" w:hAnsi="Palatino Linotype"/>
          <w:sz w:val="22"/>
          <w:szCs w:val="22"/>
        </w:rPr>
        <w:t xml:space="preserve">.  </w:t>
      </w:r>
      <w:r>
        <w:rPr>
          <w:rFonts w:ascii="Palatino Linotype" w:hAnsi="Palatino Linotype"/>
          <w:sz w:val="22"/>
          <w:szCs w:val="22"/>
        </w:rPr>
        <w:t>Those students who do not have clearly-formulated ideas about what they want to do will, none-the-less, already know that STEM-related careers are not something they wish to pursue.</w:t>
      </w:r>
      <w:r w:rsidR="00FB0721">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435E75"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 xml:space="preserve">There </w:t>
      </w:r>
      <w:r w:rsidR="00066576">
        <w:rPr>
          <w:rFonts w:ascii="Palatino Linotype" w:hAnsi="Palatino Linotype"/>
          <w:sz w:val="22"/>
          <w:szCs w:val="22"/>
        </w:rPr>
        <w:t>is mixed evidence on</w:t>
      </w:r>
      <w:r w:rsidRPr="003D2E38">
        <w:rPr>
          <w:rFonts w:ascii="Palatino Linotype" w:hAnsi="Palatino Linotype"/>
          <w:sz w:val="22"/>
          <w:szCs w:val="22"/>
        </w:rPr>
        <w:t xml:space="preserve"> students’ </w:t>
      </w:r>
      <w:r w:rsidR="00066576">
        <w:rPr>
          <w:rFonts w:ascii="Palatino Linotype" w:hAnsi="Palatino Linotype"/>
          <w:sz w:val="22"/>
          <w:szCs w:val="22"/>
        </w:rPr>
        <w:t>interest in</w:t>
      </w:r>
      <w:r w:rsidRPr="003D2E38">
        <w:rPr>
          <w:rFonts w:ascii="Palatino Linotype" w:hAnsi="Palatino Linotype"/>
          <w:sz w:val="22"/>
          <w:szCs w:val="22"/>
        </w:rPr>
        <w:t xml:space="preserve"> STEM subjects</w:t>
      </w:r>
      <w:r w:rsidR="00F53CE5">
        <w:rPr>
          <w:rFonts w:ascii="Palatino Linotype" w:hAnsi="Palatino Linotype"/>
          <w:sz w:val="22"/>
          <w:szCs w:val="22"/>
        </w:rPr>
        <w:t xml:space="preserve">.  </w:t>
      </w:r>
      <w:r w:rsidR="00F87E48">
        <w:rPr>
          <w:rFonts w:ascii="Palatino Linotype" w:hAnsi="Palatino Linotype"/>
          <w:sz w:val="22"/>
          <w:szCs w:val="22"/>
        </w:rPr>
        <w:t>Much of the</w:t>
      </w:r>
      <w:r w:rsidRPr="003D2E38">
        <w:rPr>
          <w:rFonts w:ascii="Palatino Linotype" w:hAnsi="Palatino Linotype"/>
          <w:sz w:val="22"/>
          <w:szCs w:val="22"/>
        </w:rPr>
        <w:t xml:space="preserve"> evidence points to interest declining over the years of secondary schooling</w:t>
      </w:r>
      <w:r w:rsidR="00F53CE5">
        <w:rPr>
          <w:rFonts w:ascii="Palatino Linotype" w:hAnsi="Palatino Linotype"/>
          <w:sz w:val="22"/>
          <w:szCs w:val="22"/>
        </w:rPr>
        <w:t xml:space="preserve">.  </w:t>
      </w:r>
      <w:r w:rsidR="00066576">
        <w:rPr>
          <w:rFonts w:ascii="Palatino Linotype" w:hAnsi="Palatino Linotype"/>
          <w:sz w:val="22"/>
          <w:szCs w:val="22"/>
        </w:rPr>
        <w:t>More recent studies have</w:t>
      </w:r>
      <w:r w:rsidRPr="003D2E38">
        <w:rPr>
          <w:rFonts w:ascii="Palatino Linotype" w:hAnsi="Palatino Linotype"/>
          <w:sz w:val="22"/>
          <w:szCs w:val="22"/>
        </w:rPr>
        <w:t xml:space="preserve"> </w:t>
      </w:r>
      <w:r w:rsidR="00066576">
        <w:rPr>
          <w:rFonts w:ascii="Palatino Linotype" w:hAnsi="Palatino Linotype"/>
          <w:sz w:val="22"/>
          <w:szCs w:val="22"/>
        </w:rPr>
        <w:t>suggested that levels of interest remain relatively high, though the reasons for this remain unclear, and would benefit from further exploration</w:t>
      </w:r>
      <w:r w:rsidR="00F53CE5">
        <w:rPr>
          <w:rFonts w:ascii="Palatino Linotype" w:hAnsi="Palatino Linotype"/>
          <w:sz w:val="22"/>
          <w:szCs w:val="22"/>
        </w:rPr>
        <w:t xml:space="preserve">.  </w:t>
      </w:r>
      <w:r w:rsidR="00066576">
        <w:rPr>
          <w:rFonts w:ascii="Palatino Linotype" w:hAnsi="Palatino Linotype"/>
          <w:sz w:val="22"/>
          <w:szCs w:val="22"/>
        </w:rPr>
        <w:t>I</w:t>
      </w:r>
      <w:r w:rsidRPr="003D2E38">
        <w:rPr>
          <w:rFonts w:ascii="Palatino Linotype" w:hAnsi="Palatino Linotype"/>
          <w:sz w:val="22"/>
          <w:szCs w:val="22"/>
        </w:rPr>
        <w:t>t is clear</w:t>
      </w:r>
      <w:r w:rsidR="00066576">
        <w:rPr>
          <w:rFonts w:ascii="Palatino Linotype" w:hAnsi="Palatino Linotype"/>
          <w:sz w:val="22"/>
          <w:szCs w:val="22"/>
        </w:rPr>
        <w:t xml:space="preserve"> </w:t>
      </w:r>
      <w:r w:rsidRPr="003D2E38">
        <w:rPr>
          <w:rFonts w:ascii="Palatino Linotype" w:hAnsi="Palatino Linotype"/>
          <w:sz w:val="22"/>
          <w:szCs w:val="22"/>
        </w:rPr>
        <w:t>that enthusiastic, knowledgeable subject specialist teach</w:t>
      </w:r>
      <w:r w:rsidR="00435E75">
        <w:rPr>
          <w:rFonts w:ascii="Palatino Linotype" w:hAnsi="Palatino Linotype"/>
          <w:sz w:val="22"/>
          <w:szCs w:val="22"/>
        </w:rPr>
        <w:t xml:space="preserve">ers can </w:t>
      </w:r>
      <w:r w:rsidR="00066576">
        <w:rPr>
          <w:rFonts w:ascii="Palatino Linotype" w:hAnsi="Palatino Linotype"/>
          <w:sz w:val="22"/>
          <w:szCs w:val="22"/>
        </w:rPr>
        <w:t>stimulate or increase students’ levels of interest</w:t>
      </w:r>
      <w:r w:rsidR="00F53CE5">
        <w:rPr>
          <w:rFonts w:ascii="Palatino Linotype" w:hAnsi="Palatino Linotype"/>
          <w:sz w:val="22"/>
          <w:szCs w:val="22"/>
        </w:rPr>
        <w:t xml:space="preserve">.  </w:t>
      </w:r>
      <w:r w:rsidR="00066576">
        <w:rPr>
          <w:rFonts w:ascii="Palatino Linotype" w:hAnsi="Palatino Linotype"/>
          <w:sz w:val="22"/>
          <w:szCs w:val="22"/>
        </w:rPr>
        <w:t>However, interest appears to be a necessary, but not sufficient, condition to motivate students to engage in post-compulsory study</w:t>
      </w:r>
      <w:r w:rsidR="00F53CE5">
        <w:rPr>
          <w:rFonts w:ascii="Palatino Linotype" w:hAnsi="Palatino Linotype"/>
          <w:sz w:val="22"/>
          <w:szCs w:val="22"/>
        </w:rPr>
        <w:t xml:space="preserve">.  </w:t>
      </w:r>
      <w:r w:rsidR="00066576">
        <w:rPr>
          <w:rFonts w:ascii="Palatino Linotype" w:hAnsi="Palatino Linotype"/>
          <w:sz w:val="22"/>
          <w:szCs w:val="22"/>
        </w:rPr>
        <w:t xml:space="preserve">It seems probable that students who are interested in science, but come from homes with low science capital, are unlikely to go on to study </w:t>
      </w:r>
      <w:r w:rsidR="00BC353A">
        <w:rPr>
          <w:rFonts w:ascii="Palatino Linotype" w:hAnsi="Palatino Linotype"/>
          <w:sz w:val="22"/>
          <w:szCs w:val="22"/>
        </w:rPr>
        <w:t>mathematics and science</w:t>
      </w:r>
      <w:r w:rsidR="00F53CE5">
        <w:rPr>
          <w:rFonts w:ascii="Palatino Linotype" w:hAnsi="Palatino Linotype"/>
          <w:sz w:val="22"/>
          <w:szCs w:val="22"/>
        </w:rPr>
        <w:t xml:space="preserve">.  </w:t>
      </w:r>
      <w:r w:rsidR="00066576">
        <w:rPr>
          <w:rFonts w:ascii="Palatino Linotype" w:hAnsi="Palatino Linotype"/>
          <w:sz w:val="22"/>
          <w:szCs w:val="22"/>
        </w:rPr>
        <w:t>Again, more data on this effect would be informative.</w:t>
      </w:r>
      <w:r w:rsidR="00FB0721">
        <w:rPr>
          <w:rFonts w:ascii="Palatino Linotype" w:hAnsi="Palatino Linotype"/>
          <w:sz w:val="22"/>
          <w:szCs w:val="22"/>
        </w:rPr>
        <w:t xml:space="preserve"> </w:t>
      </w:r>
      <w:r w:rsidR="00066576">
        <w:rPr>
          <w:rFonts w:ascii="Palatino Linotype" w:hAnsi="Palatino Linotype"/>
          <w:sz w:val="22"/>
          <w:szCs w:val="22"/>
        </w:rPr>
        <w:t xml:space="preserve"> </w:t>
      </w:r>
    </w:p>
    <w:p w:rsidR="00435E75" w:rsidRDefault="00435E75"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Attitudes to science outside school are more positive than attitudes to school science,</w:t>
      </w:r>
      <w:r w:rsidR="00526FAC">
        <w:rPr>
          <w:rFonts w:ascii="Palatino Linotype" w:hAnsi="Palatino Linotype"/>
          <w:sz w:val="22"/>
          <w:szCs w:val="22"/>
        </w:rPr>
        <w:t xml:space="preserve"> as most </w:t>
      </w:r>
      <w:r w:rsidR="00435E75">
        <w:rPr>
          <w:rFonts w:ascii="Palatino Linotype" w:hAnsi="Palatino Linotype"/>
          <w:sz w:val="22"/>
          <w:szCs w:val="22"/>
        </w:rPr>
        <w:t>students</w:t>
      </w:r>
      <w:r w:rsidR="00526FAC">
        <w:rPr>
          <w:rFonts w:ascii="Palatino Linotype" w:hAnsi="Palatino Linotype"/>
          <w:sz w:val="22"/>
          <w:szCs w:val="22"/>
        </w:rPr>
        <w:t xml:space="preserve"> see science as making an important contribution to society, though not something they personally want to study</w:t>
      </w:r>
      <w:r w:rsidR="00F53CE5">
        <w:rPr>
          <w:rFonts w:ascii="Palatino Linotype" w:hAnsi="Palatino Linotype"/>
          <w:sz w:val="22"/>
          <w:szCs w:val="22"/>
        </w:rPr>
        <w:t xml:space="preserve">.  </w:t>
      </w:r>
      <w:r w:rsidR="00526FAC">
        <w:rPr>
          <w:rFonts w:ascii="Palatino Linotype" w:hAnsi="Palatino Linotype"/>
          <w:sz w:val="22"/>
          <w:szCs w:val="22"/>
        </w:rPr>
        <w:t xml:space="preserve">It may be the case that </w:t>
      </w:r>
      <w:r w:rsidRPr="003D2E38">
        <w:rPr>
          <w:rFonts w:ascii="Palatino Linotype" w:hAnsi="Palatino Linotype"/>
          <w:sz w:val="22"/>
          <w:szCs w:val="22"/>
        </w:rPr>
        <w:t xml:space="preserve">studies reporting high levels of interest in science are </w:t>
      </w:r>
      <w:r w:rsidR="00526FAC">
        <w:rPr>
          <w:rFonts w:ascii="Palatino Linotype" w:hAnsi="Palatino Linotype"/>
          <w:sz w:val="22"/>
          <w:szCs w:val="22"/>
        </w:rPr>
        <w:t>not discriminating adequately between school science and science outside school</w:t>
      </w:r>
      <w:r w:rsidR="00F53CE5">
        <w:rPr>
          <w:rFonts w:ascii="Palatino Linotype" w:hAnsi="Palatino Linotype"/>
          <w:sz w:val="22"/>
          <w:szCs w:val="22"/>
        </w:rPr>
        <w:t xml:space="preserve">.  </w:t>
      </w:r>
      <w:r w:rsidRPr="003D2E38">
        <w:rPr>
          <w:rFonts w:ascii="Palatino Linotype" w:hAnsi="Palatino Linotype"/>
          <w:sz w:val="22"/>
          <w:szCs w:val="22"/>
        </w:rPr>
        <w:t>Whilst students do not necessarily find mathematics interesting, they recognise the value of a qualification in the subject</w:t>
      </w:r>
      <w:r w:rsidR="00F53CE5">
        <w:rPr>
          <w:rFonts w:ascii="Palatino Linotype" w:hAnsi="Palatino Linotype"/>
          <w:sz w:val="22"/>
          <w:szCs w:val="22"/>
        </w:rPr>
        <w:t xml:space="preserve">.  </w:t>
      </w:r>
      <w:r w:rsidRPr="003D2E38">
        <w:rPr>
          <w:rFonts w:ascii="Palatino Linotype" w:hAnsi="Palatino Linotype"/>
          <w:sz w:val="22"/>
          <w:szCs w:val="22"/>
        </w:rPr>
        <w:t>The declining interest in STEM subjects is reflected in the low numbers of students wishing to pursue STEM-related careers</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 xml:space="preserve">Students perceive STEM subjects to be difficult, and there is evidence to suggest that it is harder to obtain the higher examination grades in </w:t>
      </w:r>
      <w:r w:rsidR="00BC353A">
        <w:rPr>
          <w:rFonts w:ascii="Palatino Linotype" w:hAnsi="Palatino Linotype"/>
          <w:sz w:val="22"/>
          <w:szCs w:val="22"/>
        </w:rPr>
        <w:t>mathematics and science</w:t>
      </w:r>
      <w:r w:rsidRPr="003D2E38">
        <w:rPr>
          <w:rFonts w:ascii="Palatino Linotype" w:hAnsi="Palatino Linotype"/>
          <w:sz w:val="22"/>
          <w:szCs w:val="22"/>
        </w:rPr>
        <w:t xml:space="preserve"> at GCSE and A-level</w:t>
      </w:r>
      <w:r w:rsidR="00F53CE5">
        <w:rPr>
          <w:rFonts w:ascii="Palatino Linotype" w:hAnsi="Palatino Linotype"/>
          <w:sz w:val="22"/>
          <w:szCs w:val="22"/>
        </w:rPr>
        <w:t xml:space="preserve">.  </w:t>
      </w:r>
      <w:r w:rsidRPr="003D2E38">
        <w:rPr>
          <w:rFonts w:ascii="Palatino Linotype" w:hAnsi="Palatino Linotype"/>
          <w:sz w:val="22"/>
          <w:szCs w:val="22"/>
        </w:rPr>
        <w:t xml:space="preserve">A potentially fruitful and comparatively new area of work has looked at students’ </w:t>
      </w:r>
      <w:r w:rsidRPr="003D2E38">
        <w:rPr>
          <w:rFonts w:ascii="Palatino Linotype" w:hAnsi="Palatino Linotype"/>
          <w:sz w:val="22"/>
          <w:szCs w:val="22"/>
        </w:rPr>
        <w:lastRenderedPageBreak/>
        <w:t>confidence in their abilities to succeed (self-efficacy), and area which has received more attention in mathematics than in science</w:t>
      </w:r>
      <w:r w:rsidR="00F53CE5">
        <w:rPr>
          <w:rFonts w:ascii="Palatino Linotype" w:hAnsi="Palatino Linotype"/>
          <w:sz w:val="22"/>
          <w:szCs w:val="22"/>
        </w:rPr>
        <w:t xml:space="preserve">.  </w:t>
      </w:r>
      <w:r w:rsidRPr="003D2E38">
        <w:rPr>
          <w:rFonts w:ascii="Palatino Linotype" w:hAnsi="Palatino Linotype"/>
          <w:sz w:val="22"/>
          <w:szCs w:val="22"/>
        </w:rPr>
        <w:t>The evidence suggests that there is a strong link between self-efficacy and success in learning, which may also be linked to increased levels of engagement and participation.</w:t>
      </w:r>
      <w:r w:rsidR="00F53CE5">
        <w:rPr>
          <w:rFonts w:ascii="Palatino Linotype" w:hAnsi="Palatino Linotype"/>
          <w:sz w:val="22"/>
          <w:szCs w:val="22"/>
        </w:rPr>
        <w:t xml:space="preserve">  </w:t>
      </w:r>
    </w:p>
    <w:p w:rsidR="003D2E38" w:rsidRPr="003D2E38" w:rsidRDefault="003D2E38" w:rsidP="003D2E38">
      <w:pPr>
        <w:spacing w:line="240" w:lineRule="auto"/>
        <w:jc w:val="both"/>
        <w:rPr>
          <w:rFonts w:ascii="Palatino Linotype" w:hAnsi="Palatino Linotype"/>
          <w:sz w:val="22"/>
          <w:szCs w:val="22"/>
        </w:rPr>
      </w:pPr>
    </w:p>
    <w:p w:rsidR="003D2E38" w:rsidRPr="003D2E38" w:rsidRDefault="003D2E38" w:rsidP="003D2E38">
      <w:pPr>
        <w:spacing w:line="240" w:lineRule="auto"/>
        <w:jc w:val="both"/>
        <w:rPr>
          <w:rFonts w:ascii="Palatino Linotype" w:hAnsi="Palatino Linotype"/>
          <w:i/>
          <w:sz w:val="22"/>
          <w:szCs w:val="22"/>
        </w:rPr>
      </w:pPr>
      <w:r w:rsidRPr="003D2E38">
        <w:rPr>
          <w:rFonts w:ascii="Palatino Linotype" w:hAnsi="Palatino Linotype"/>
          <w:i/>
          <w:sz w:val="22"/>
          <w:szCs w:val="22"/>
        </w:rPr>
        <w:t>4.2.4</w:t>
      </w:r>
      <w:r w:rsidRPr="003D2E38">
        <w:rPr>
          <w:rFonts w:ascii="Palatino Linotype" w:hAnsi="Palatino Linotype"/>
          <w:i/>
          <w:sz w:val="22"/>
          <w:szCs w:val="22"/>
        </w:rPr>
        <w:tab/>
        <w:t xml:space="preserve">External factors </w:t>
      </w:r>
    </w:p>
    <w:p w:rsidR="003D2E38" w:rsidRPr="003D2E38" w:rsidRDefault="003D2E38" w:rsidP="003D2E38">
      <w:pPr>
        <w:spacing w:line="240" w:lineRule="auto"/>
        <w:jc w:val="both"/>
        <w:rPr>
          <w:rFonts w:ascii="Palatino Linotype" w:hAnsi="Palatino Linotype"/>
          <w:sz w:val="22"/>
          <w:szCs w:val="22"/>
        </w:rPr>
      </w:pPr>
    </w:p>
    <w:p w:rsidR="003D2E38" w:rsidRDefault="003D2E38" w:rsidP="003D2E38">
      <w:pPr>
        <w:spacing w:line="240" w:lineRule="auto"/>
        <w:jc w:val="both"/>
        <w:rPr>
          <w:rFonts w:ascii="Palatino Linotype" w:hAnsi="Palatino Linotype"/>
          <w:sz w:val="22"/>
          <w:szCs w:val="22"/>
        </w:rPr>
      </w:pPr>
      <w:r w:rsidRPr="003D2E38">
        <w:rPr>
          <w:rFonts w:ascii="Palatino Linotype" w:hAnsi="Palatino Linotype"/>
          <w:sz w:val="22"/>
          <w:szCs w:val="22"/>
        </w:rPr>
        <w:t xml:space="preserve">The impact of external factors such as informal learning opportunities related to STEM subjects (such as visits to museums, science fairs and science camps) </w:t>
      </w:r>
      <w:r w:rsidR="00510145">
        <w:rPr>
          <w:rFonts w:ascii="Palatino Linotype" w:hAnsi="Palatino Linotype"/>
          <w:sz w:val="22"/>
          <w:szCs w:val="22"/>
        </w:rPr>
        <w:t>is an under-researched area, though one which poses considerable problems in undertaking much in the way of cohesive, systematic evaluation of effects</w:t>
      </w:r>
      <w:r w:rsidR="00F53CE5">
        <w:rPr>
          <w:rFonts w:ascii="Palatino Linotype" w:hAnsi="Palatino Linotype"/>
          <w:sz w:val="22"/>
          <w:szCs w:val="22"/>
        </w:rPr>
        <w:t xml:space="preserve">.  </w:t>
      </w:r>
      <w:r w:rsidR="00510145">
        <w:rPr>
          <w:rFonts w:ascii="Palatino Linotype" w:hAnsi="Palatino Linotype"/>
          <w:sz w:val="22"/>
          <w:szCs w:val="22"/>
        </w:rPr>
        <w:t>There is some e</w:t>
      </w:r>
      <w:r w:rsidRPr="003D2E38">
        <w:rPr>
          <w:rFonts w:ascii="Palatino Linotype" w:hAnsi="Palatino Linotype"/>
          <w:sz w:val="22"/>
          <w:szCs w:val="22"/>
        </w:rPr>
        <w:t>vidence from the USA suggests that summer camps stimulate interest and engagement in science.</w:t>
      </w:r>
    </w:p>
    <w:p w:rsidR="002D065F" w:rsidRPr="003D2E38" w:rsidRDefault="002D065F" w:rsidP="003D2E38">
      <w:pPr>
        <w:spacing w:line="240" w:lineRule="auto"/>
        <w:jc w:val="both"/>
        <w:rPr>
          <w:rFonts w:ascii="Palatino Linotype" w:hAnsi="Palatino Linotype"/>
          <w:sz w:val="22"/>
          <w:szCs w:val="22"/>
        </w:rPr>
      </w:pPr>
    </w:p>
    <w:p w:rsidR="00934137" w:rsidRDefault="00934137">
      <w:pPr>
        <w:tabs>
          <w:tab w:val="clear" w:pos="567"/>
        </w:tabs>
        <w:overflowPunct/>
        <w:autoSpaceDE/>
        <w:autoSpaceDN/>
        <w:adjustRightInd/>
        <w:spacing w:after="200" w:line="276" w:lineRule="auto"/>
        <w:rPr>
          <w:rFonts w:ascii="Palatino Linotype" w:hAnsi="Palatino Linotype"/>
          <w:sz w:val="22"/>
          <w:szCs w:val="22"/>
        </w:rPr>
      </w:pPr>
      <w:r>
        <w:rPr>
          <w:rFonts w:ascii="Palatino Linotype" w:hAnsi="Palatino Linotype"/>
          <w:sz w:val="22"/>
          <w:szCs w:val="22"/>
        </w:rPr>
        <w:br w:type="page"/>
      </w:r>
    </w:p>
    <w:p w:rsidR="00C25C31" w:rsidRPr="00E041F3" w:rsidRDefault="00C25C31" w:rsidP="00C25C31">
      <w:pPr>
        <w:tabs>
          <w:tab w:val="clear" w:pos="567"/>
        </w:tabs>
        <w:overflowPunct/>
        <w:autoSpaceDE/>
        <w:autoSpaceDN/>
        <w:adjustRightInd/>
        <w:spacing w:line="240" w:lineRule="auto"/>
        <w:jc w:val="both"/>
        <w:rPr>
          <w:rFonts w:ascii="Palatino Linotype" w:hAnsi="Palatino Linotype"/>
          <w:b/>
          <w:color w:val="1F497D" w:themeColor="text2"/>
          <w:sz w:val="28"/>
          <w:szCs w:val="22"/>
        </w:rPr>
      </w:pPr>
      <w:r>
        <w:rPr>
          <w:rFonts w:ascii="Palatino Linotype" w:hAnsi="Palatino Linotype"/>
          <w:b/>
          <w:color w:val="1F497D" w:themeColor="text2"/>
          <w:sz w:val="28"/>
          <w:szCs w:val="22"/>
        </w:rPr>
        <w:lastRenderedPageBreak/>
        <w:t>PART 2</w:t>
      </w:r>
      <w:r w:rsidRPr="00E041F3">
        <w:rPr>
          <w:rFonts w:ascii="Palatino Linotype" w:hAnsi="Palatino Linotype"/>
          <w:b/>
          <w:color w:val="1F497D" w:themeColor="text2"/>
          <w:sz w:val="28"/>
          <w:szCs w:val="22"/>
        </w:rPr>
        <w:tab/>
      </w:r>
      <w:r>
        <w:rPr>
          <w:rFonts w:ascii="Palatino Linotype" w:hAnsi="Palatino Linotype"/>
          <w:b/>
          <w:color w:val="1F497D" w:themeColor="text2"/>
          <w:sz w:val="28"/>
          <w:szCs w:val="22"/>
        </w:rPr>
        <w:t>Commentary on the future</w:t>
      </w:r>
    </w:p>
    <w:p w:rsidR="00C25C31"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296F27" w:rsidRDefault="00C25C31" w:rsidP="00C25C31">
      <w:pPr>
        <w:tabs>
          <w:tab w:val="clear" w:pos="567"/>
        </w:tabs>
        <w:overflowPunct/>
        <w:autoSpaceDE/>
        <w:autoSpaceDN/>
        <w:adjustRightInd/>
        <w:spacing w:line="240" w:lineRule="auto"/>
        <w:jc w:val="both"/>
        <w:rPr>
          <w:rFonts w:ascii="Palatino Linotype" w:hAnsi="Palatino Linotype"/>
          <w:b/>
          <w:color w:val="1F497D" w:themeColor="text2"/>
          <w:sz w:val="28"/>
          <w:szCs w:val="22"/>
        </w:rPr>
      </w:pPr>
      <w:r w:rsidRPr="00296F27">
        <w:rPr>
          <w:rFonts w:ascii="Palatino Linotype" w:hAnsi="Palatino Linotype"/>
          <w:b/>
          <w:color w:val="1F497D" w:themeColor="text2"/>
          <w:sz w:val="28"/>
          <w:szCs w:val="22"/>
        </w:rPr>
        <w:t>5</w:t>
      </w:r>
      <w:r w:rsidRPr="00296F27">
        <w:rPr>
          <w:rFonts w:ascii="Palatino Linotype" w:hAnsi="Palatino Linotype"/>
          <w:b/>
          <w:color w:val="1F497D" w:themeColor="text2"/>
          <w:sz w:val="28"/>
          <w:szCs w:val="22"/>
        </w:rPr>
        <w:tab/>
      </w:r>
      <w:r>
        <w:rPr>
          <w:rFonts w:ascii="Palatino Linotype" w:hAnsi="Palatino Linotype"/>
          <w:b/>
          <w:color w:val="1F497D" w:themeColor="text2"/>
          <w:sz w:val="28"/>
          <w:szCs w:val="22"/>
        </w:rPr>
        <w:t>Going</w:t>
      </w:r>
      <w:r w:rsidRPr="00296F27">
        <w:rPr>
          <w:rFonts w:ascii="Palatino Linotype" w:hAnsi="Palatino Linotype"/>
          <w:b/>
          <w:color w:val="1F497D" w:themeColor="text2"/>
          <w:sz w:val="28"/>
          <w:szCs w:val="22"/>
        </w:rPr>
        <w:t xml:space="preserve"> forward</w:t>
      </w:r>
    </w:p>
    <w:p w:rsidR="00C25C31" w:rsidRPr="00E041F3"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b/>
          <w:sz w:val="22"/>
          <w:szCs w:val="22"/>
        </w:rPr>
      </w:pPr>
      <w:r w:rsidRPr="006B23E0">
        <w:rPr>
          <w:rFonts w:ascii="Palatino Linotype" w:hAnsi="Palatino Linotype"/>
          <w:b/>
          <w:sz w:val="22"/>
          <w:szCs w:val="22"/>
        </w:rPr>
        <w:t>5.1</w:t>
      </w:r>
      <w:r w:rsidRPr="006B23E0">
        <w:rPr>
          <w:rFonts w:ascii="Palatino Linotype" w:hAnsi="Palatino Linotype"/>
          <w:b/>
          <w:sz w:val="22"/>
          <w:szCs w:val="22"/>
        </w:rPr>
        <w:tab/>
        <w:t>Introduction</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 preceding literature review has pulled together the evidence to inform answers</w:t>
      </w:r>
      <w:r w:rsidR="000A4857">
        <w:rPr>
          <w:rFonts w:ascii="Palatino Linotype" w:hAnsi="Palatino Linotype"/>
          <w:sz w:val="22"/>
          <w:szCs w:val="22"/>
        </w:rPr>
        <w:t xml:space="preserve"> to</w:t>
      </w:r>
      <w:r w:rsidRPr="006B23E0">
        <w:rPr>
          <w:rFonts w:ascii="Palatino Linotype" w:hAnsi="Palatino Linotype"/>
          <w:sz w:val="22"/>
          <w:szCs w:val="22"/>
        </w:rPr>
        <w:t xml:space="preserve"> four questions: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 </w:t>
      </w:r>
    </w:p>
    <w:p w:rsidR="00C25C31" w:rsidRPr="006B23E0" w:rsidRDefault="00C25C31" w:rsidP="00C25C31">
      <w:pPr>
        <w:pStyle w:val="ListParagraph"/>
        <w:numPr>
          <w:ilvl w:val="0"/>
          <w:numId w:val="23"/>
        </w:numPr>
        <w:tabs>
          <w:tab w:val="clear" w:pos="567"/>
        </w:tabs>
        <w:overflowPunct/>
        <w:autoSpaceDE/>
        <w:autoSpaceDN/>
        <w:adjustRightInd/>
        <w:spacing w:line="240" w:lineRule="auto"/>
        <w:ind w:left="426" w:hanging="426"/>
        <w:jc w:val="both"/>
        <w:rPr>
          <w:rFonts w:ascii="Palatino Linotype" w:hAnsi="Palatino Linotype"/>
          <w:sz w:val="22"/>
          <w:szCs w:val="22"/>
        </w:rPr>
      </w:pPr>
      <w:r w:rsidRPr="006B23E0">
        <w:rPr>
          <w:rFonts w:ascii="Palatino Linotype" w:hAnsi="Palatino Linotype"/>
          <w:sz w:val="22"/>
          <w:szCs w:val="22"/>
        </w:rPr>
        <w:t>What does the evidence say about student attitudes, engagement and participation in STEM subjects?</w:t>
      </w:r>
      <w:r w:rsidR="00FB0721">
        <w:rPr>
          <w:rFonts w:ascii="Palatino Linotype" w:hAnsi="Palatino Linotype"/>
          <w:sz w:val="22"/>
          <w:szCs w:val="22"/>
        </w:rPr>
        <w:t xml:space="preserve"> </w:t>
      </w:r>
    </w:p>
    <w:p w:rsidR="00C25C31" w:rsidRPr="006B23E0" w:rsidRDefault="00C25C31" w:rsidP="00C25C31">
      <w:pPr>
        <w:pStyle w:val="ListParagraph"/>
        <w:numPr>
          <w:ilvl w:val="0"/>
          <w:numId w:val="23"/>
        </w:numPr>
        <w:tabs>
          <w:tab w:val="clear" w:pos="567"/>
        </w:tabs>
        <w:spacing w:line="240" w:lineRule="auto"/>
        <w:ind w:left="426" w:hanging="426"/>
        <w:jc w:val="both"/>
        <w:textAlignment w:val="baseline"/>
        <w:rPr>
          <w:rFonts w:ascii="Palatino Linotype" w:hAnsi="Palatino Linotype"/>
          <w:sz w:val="22"/>
          <w:szCs w:val="22"/>
        </w:rPr>
      </w:pPr>
      <w:r w:rsidRPr="006B23E0">
        <w:rPr>
          <w:rFonts w:ascii="Palatino Linotype" w:hAnsi="Palatino Linotype"/>
          <w:sz w:val="22"/>
          <w:szCs w:val="22"/>
        </w:rPr>
        <w:t xml:space="preserve">How can </w:t>
      </w:r>
      <w:r w:rsidR="00BC353A">
        <w:rPr>
          <w:rFonts w:ascii="Palatino Linotype" w:hAnsi="Palatino Linotype"/>
          <w:sz w:val="22"/>
          <w:szCs w:val="22"/>
        </w:rPr>
        <w:t>mathematics and science</w:t>
      </w:r>
      <w:r w:rsidRPr="006B23E0">
        <w:rPr>
          <w:rFonts w:ascii="Palatino Linotype" w:hAnsi="Palatino Linotype"/>
          <w:sz w:val="22"/>
          <w:szCs w:val="22"/>
        </w:rPr>
        <w:t xml:space="preserve"> education be made most enjoyable, rewarding and effective?</w:t>
      </w:r>
    </w:p>
    <w:p w:rsidR="00C25C31" w:rsidRPr="006B23E0" w:rsidRDefault="00C25C31" w:rsidP="00C25C31">
      <w:pPr>
        <w:pStyle w:val="ListParagraph"/>
        <w:numPr>
          <w:ilvl w:val="0"/>
          <w:numId w:val="23"/>
        </w:numPr>
        <w:tabs>
          <w:tab w:val="clear" w:pos="567"/>
        </w:tabs>
        <w:spacing w:line="240" w:lineRule="auto"/>
        <w:ind w:left="426" w:hanging="426"/>
        <w:jc w:val="both"/>
        <w:textAlignment w:val="baseline"/>
        <w:rPr>
          <w:rFonts w:ascii="Palatino Linotype" w:hAnsi="Palatino Linotype"/>
          <w:sz w:val="22"/>
          <w:szCs w:val="22"/>
        </w:rPr>
      </w:pPr>
      <w:r w:rsidRPr="006B23E0">
        <w:rPr>
          <w:rFonts w:ascii="Palatino Linotype" w:hAnsi="Palatino Linotype"/>
          <w:sz w:val="22"/>
          <w:szCs w:val="22"/>
        </w:rPr>
        <w:t>What types of evidence need to be collected in future in order to assess more reliably students’ choices and the reasons for these?</w:t>
      </w:r>
    </w:p>
    <w:p w:rsidR="00C25C31" w:rsidRPr="006B23E0" w:rsidRDefault="00C25C31" w:rsidP="00C25C31">
      <w:pPr>
        <w:pStyle w:val="ListParagraph"/>
        <w:numPr>
          <w:ilvl w:val="0"/>
          <w:numId w:val="23"/>
        </w:numPr>
        <w:tabs>
          <w:tab w:val="clear" w:pos="567"/>
        </w:tabs>
        <w:spacing w:line="240" w:lineRule="auto"/>
        <w:ind w:left="426" w:hanging="426"/>
        <w:jc w:val="both"/>
        <w:textAlignment w:val="baseline"/>
        <w:rPr>
          <w:rFonts w:ascii="Palatino Linotype" w:hAnsi="Palatino Linotype"/>
          <w:sz w:val="22"/>
          <w:szCs w:val="22"/>
        </w:rPr>
      </w:pPr>
      <w:r w:rsidRPr="006B23E0">
        <w:rPr>
          <w:rFonts w:ascii="Palatino Linotype" w:hAnsi="Palatino Linotype"/>
          <w:sz w:val="22"/>
          <w:szCs w:val="22"/>
        </w:rPr>
        <w:t>How should research and intervention strategies evolve to collect this evidence?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This section of the report draws on the evidence to provide a commentary on possible future directions for work on student attitudes, engagement and participation in STEM subjects, and implications for </w:t>
      </w:r>
      <w:r w:rsidR="00BC353A">
        <w:rPr>
          <w:rFonts w:ascii="Palatino Linotype" w:hAnsi="Palatino Linotype"/>
          <w:sz w:val="22"/>
          <w:szCs w:val="22"/>
        </w:rPr>
        <w:t>mathematics and science</w:t>
      </w:r>
      <w:r w:rsidRPr="006B23E0">
        <w:rPr>
          <w:rFonts w:ascii="Palatino Linotype" w:hAnsi="Palatino Linotype"/>
          <w:sz w:val="22"/>
          <w:szCs w:val="22"/>
        </w:rPr>
        <w:t xml:space="preserve"> education</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In addition to the review, a series of informal interviews was held with six experts in STEM</w:t>
      </w:r>
      <w:r w:rsidR="00F53CE5">
        <w:rPr>
          <w:rFonts w:ascii="Palatino Linotype" w:hAnsi="Palatino Linotype"/>
          <w:sz w:val="22"/>
          <w:szCs w:val="22"/>
        </w:rPr>
        <w:t xml:space="preserve">.  </w:t>
      </w:r>
      <w:r w:rsidRPr="006B23E0">
        <w:rPr>
          <w:rFonts w:ascii="Palatino Linotype" w:hAnsi="Palatino Linotype"/>
          <w:sz w:val="22"/>
          <w:szCs w:val="22"/>
        </w:rPr>
        <w:t>The purpose of these interviews was to clarify some of the findings from the review, to gather supplementary evidence and views, to check the validity of the emerging findings, and to gather perspectives on areas that might benefit from further research, and/or point to possible interventions and methods of evaluating their effects</w:t>
      </w:r>
      <w:r w:rsidR="00F53CE5">
        <w:rPr>
          <w:rFonts w:ascii="Palatino Linotype" w:hAnsi="Palatino Linotype"/>
          <w:sz w:val="22"/>
          <w:szCs w:val="22"/>
        </w:rPr>
        <w:t xml:space="preserve">.  </w:t>
      </w:r>
      <w:r w:rsidRPr="006B23E0">
        <w:rPr>
          <w:rFonts w:ascii="Palatino Linotype" w:hAnsi="Palatino Linotype"/>
          <w:sz w:val="22"/>
          <w:szCs w:val="22"/>
        </w:rPr>
        <w:t>The interviewees consisted of a STEM government advisor, the director of education at a major funder of research and development work in STEM, a senior member of staff in the National Network of Science Learning Centres, and three university academics with expertise in research, curriculum development and initial teacher training in mathematics and science</w:t>
      </w:r>
      <w:r w:rsidR="00F53CE5">
        <w:rPr>
          <w:rFonts w:ascii="Palatino Linotype" w:hAnsi="Palatino Linotype"/>
          <w:sz w:val="22"/>
          <w:szCs w:val="22"/>
        </w:rPr>
        <w:t xml:space="preserve">.  </w:t>
      </w:r>
      <w:r w:rsidRPr="006B23E0">
        <w:rPr>
          <w:rFonts w:ascii="Palatino Linotype" w:hAnsi="Palatino Linotype"/>
          <w:sz w:val="22"/>
          <w:szCs w:val="22"/>
        </w:rPr>
        <w:t>(Due to this part of the review being conducted over the school summer vacation, it was not possible to talk to Heads of Mathematics or Science in schools.)</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 discussion is structured around areas where there appears to be sufficient evidence to support action, together with an indication of areas where further work is desirable.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b/>
          <w:sz w:val="22"/>
          <w:szCs w:val="22"/>
        </w:rPr>
      </w:pPr>
      <w:r w:rsidRPr="006B23E0">
        <w:rPr>
          <w:rFonts w:ascii="Palatino Linotype" w:hAnsi="Palatino Linotype"/>
          <w:b/>
          <w:sz w:val="22"/>
          <w:szCs w:val="22"/>
        </w:rPr>
        <w:t>5.2</w:t>
      </w:r>
      <w:r w:rsidRPr="006B23E0">
        <w:rPr>
          <w:rFonts w:ascii="Palatino Linotype" w:hAnsi="Palatino Linotype"/>
          <w:b/>
          <w:sz w:val="22"/>
          <w:szCs w:val="22"/>
        </w:rPr>
        <w:tab/>
      </w:r>
      <w:r w:rsidR="00FC5148">
        <w:rPr>
          <w:rFonts w:ascii="Palatino Linotype" w:hAnsi="Palatino Linotype"/>
          <w:b/>
          <w:sz w:val="22"/>
          <w:szCs w:val="22"/>
        </w:rPr>
        <w:t>General observations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It is clear from the review that countries seen as successful in STEM </w:t>
      </w:r>
      <w:r w:rsidR="00E239E6" w:rsidRPr="00E239E6">
        <w:rPr>
          <w:rFonts w:ascii="Palatino Linotype" w:hAnsi="Palatino Linotype"/>
          <w:sz w:val="22"/>
          <w:szCs w:val="22"/>
        </w:rPr>
        <w:t xml:space="preserve">(i.e. where there do not appear to be persistent </w:t>
      </w:r>
      <w:r w:rsidR="00E239E6">
        <w:rPr>
          <w:rFonts w:ascii="Palatino Linotype" w:hAnsi="Palatino Linotype"/>
          <w:sz w:val="22"/>
          <w:szCs w:val="22"/>
        </w:rPr>
        <w:t>concerns</w:t>
      </w:r>
      <w:r w:rsidR="00E239E6" w:rsidRPr="00E239E6">
        <w:rPr>
          <w:rFonts w:ascii="Palatino Linotype" w:hAnsi="Palatino Linotype"/>
          <w:sz w:val="22"/>
          <w:szCs w:val="22"/>
        </w:rPr>
        <w:t xml:space="preserve"> about participation </w:t>
      </w:r>
      <w:r w:rsidR="00E239E6">
        <w:rPr>
          <w:rFonts w:ascii="Palatino Linotype" w:hAnsi="Palatino Linotype"/>
          <w:sz w:val="22"/>
          <w:szCs w:val="22"/>
        </w:rPr>
        <w:t>in STEM subjects</w:t>
      </w:r>
      <w:proofErr w:type="gramStart"/>
      <w:r w:rsidR="00E239E6">
        <w:rPr>
          <w:rFonts w:ascii="Palatino Linotype" w:hAnsi="Palatino Linotype"/>
          <w:sz w:val="22"/>
          <w:szCs w:val="22"/>
        </w:rPr>
        <w:t>)</w:t>
      </w:r>
      <w:r w:rsidRPr="006B23E0">
        <w:rPr>
          <w:rFonts w:ascii="Palatino Linotype" w:hAnsi="Palatino Linotype"/>
          <w:sz w:val="22"/>
          <w:szCs w:val="22"/>
        </w:rPr>
        <w:t>appear</w:t>
      </w:r>
      <w:proofErr w:type="gramEnd"/>
      <w:r w:rsidRPr="006B23E0">
        <w:rPr>
          <w:rFonts w:ascii="Palatino Linotype" w:hAnsi="Palatino Linotype"/>
          <w:sz w:val="22"/>
          <w:szCs w:val="22"/>
        </w:rPr>
        <w:t xml:space="preserve"> to have initiated a strategic mix of policies and actions, and one outcome of this is that it can be difficult to identify the effects of individual actions</w:t>
      </w:r>
      <w:r w:rsidR="00F53CE5">
        <w:rPr>
          <w:rFonts w:ascii="Palatino Linotype" w:hAnsi="Palatino Linotype"/>
          <w:sz w:val="22"/>
          <w:szCs w:val="22"/>
        </w:rPr>
        <w:t xml:space="preserve">.  </w:t>
      </w:r>
      <w:r w:rsidRPr="006B23E0">
        <w:rPr>
          <w:rFonts w:ascii="Palatino Linotype" w:hAnsi="Palatino Linotype"/>
          <w:sz w:val="22"/>
          <w:szCs w:val="22"/>
        </w:rPr>
        <w:t>It is also important to see policies and actions in context, and not to assume that a particular aspect (or aspects) which look potentially attractive will transfer successfully to other countries</w:t>
      </w:r>
      <w:r w:rsidR="00F53CE5">
        <w:rPr>
          <w:rFonts w:ascii="Palatino Linotype" w:hAnsi="Palatino Linotype"/>
          <w:sz w:val="22"/>
          <w:szCs w:val="22"/>
        </w:rPr>
        <w:t xml:space="preserve">.  </w:t>
      </w:r>
      <w:r w:rsidRPr="006B23E0">
        <w:rPr>
          <w:rFonts w:ascii="Palatino Linotype" w:hAnsi="Palatino Linotype"/>
          <w:sz w:val="22"/>
          <w:szCs w:val="22"/>
        </w:rPr>
        <w:t>There may well be other factors operating that militate against this happening</w:t>
      </w:r>
      <w:r w:rsidR="00F53CE5">
        <w:rPr>
          <w:rFonts w:ascii="Palatino Linotype" w:hAnsi="Palatino Linotype"/>
          <w:sz w:val="22"/>
          <w:szCs w:val="22"/>
        </w:rPr>
        <w:t xml:space="preserve">.  </w:t>
      </w:r>
      <w:r w:rsidRPr="006B23E0">
        <w:rPr>
          <w:rFonts w:ascii="Palatino Linotype" w:hAnsi="Palatino Linotype"/>
          <w:sz w:val="22"/>
          <w:szCs w:val="22"/>
        </w:rPr>
        <w:t xml:space="preserve">Policies and practice from other countries provide a potentially informative perspective, rather than something for direct </w:t>
      </w:r>
      <w:r w:rsidRPr="006B23E0">
        <w:rPr>
          <w:rFonts w:ascii="Palatino Linotype" w:hAnsi="Palatino Linotype"/>
          <w:sz w:val="22"/>
          <w:szCs w:val="22"/>
        </w:rPr>
        <w:lastRenderedPageBreak/>
        <w:t>transfer</w:t>
      </w:r>
      <w:r w:rsidR="00F53CE5">
        <w:rPr>
          <w:rFonts w:ascii="Palatino Linotype" w:hAnsi="Palatino Linotype"/>
          <w:sz w:val="22"/>
          <w:szCs w:val="22"/>
        </w:rPr>
        <w:t xml:space="preserve">.  </w:t>
      </w:r>
      <w:r w:rsidRPr="006B23E0">
        <w:rPr>
          <w:rFonts w:ascii="Palatino Linotype" w:hAnsi="Palatino Linotype"/>
          <w:sz w:val="22"/>
          <w:szCs w:val="22"/>
        </w:rPr>
        <w:t>The art is in distilling out from what appears to be successful in other countries that which can be adapted and adopted in a different country.</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0A4857" w:rsidP="00C25C31">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bCs/>
          <w:sz w:val="22"/>
          <w:szCs w:val="22"/>
        </w:rPr>
        <w:t>There</w:t>
      </w:r>
      <w:r w:rsidR="00C25C31" w:rsidRPr="006B23E0">
        <w:rPr>
          <w:rFonts w:ascii="Palatino Linotype" w:hAnsi="Palatino Linotype"/>
          <w:bCs/>
          <w:sz w:val="22"/>
          <w:szCs w:val="22"/>
        </w:rPr>
        <w:t xml:space="preserve"> are considerable gaps in the research evidence base, and </w:t>
      </w:r>
      <w:r>
        <w:rPr>
          <w:rFonts w:ascii="Palatino Linotype" w:hAnsi="Palatino Linotype"/>
          <w:bCs/>
          <w:sz w:val="22"/>
          <w:szCs w:val="22"/>
        </w:rPr>
        <w:t xml:space="preserve">that </w:t>
      </w:r>
      <w:r w:rsidR="00C25C31" w:rsidRPr="006B23E0">
        <w:rPr>
          <w:rFonts w:ascii="Palatino Linotype" w:hAnsi="Palatino Linotype"/>
          <w:bCs/>
          <w:sz w:val="22"/>
          <w:szCs w:val="22"/>
        </w:rPr>
        <w:t xml:space="preserve">the most comprehensive evidence from the review focuses on </w:t>
      </w:r>
      <w:r w:rsidR="00C25C31" w:rsidRPr="000A4857">
        <w:rPr>
          <w:rFonts w:ascii="Palatino Linotype" w:hAnsi="Palatino Linotype"/>
          <w:bCs/>
          <w:i/>
          <w:sz w:val="22"/>
          <w:szCs w:val="22"/>
        </w:rPr>
        <w:t>describing</w:t>
      </w:r>
      <w:r w:rsidR="00C25C31" w:rsidRPr="006B23E0">
        <w:rPr>
          <w:rFonts w:ascii="Palatino Linotype" w:hAnsi="Palatino Linotype"/>
          <w:bCs/>
          <w:sz w:val="22"/>
          <w:szCs w:val="22"/>
        </w:rPr>
        <w:t xml:space="preserve"> what happens</w:t>
      </w:r>
      <w:r w:rsidR="00F53CE5">
        <w:rPr>
          <w:rFonts w:ascii="Palatino Linotype" w:hAnsi="Palatino Linotype"/>
          <w:bCs/>
          <w:sz w:val="22"/>
          <w:szCs w:val="22"/>
        </w:rPr>
        <w:t xml:space="preserve">.  </w:t>
      </w:r>
      <w:r w:rsidR="00C25C31" w:rsidRPr="006B23E0">
        <w:rPr>
          <w:rFonts w:ascii="Palatino Linotype" w:hAnsi="Palatino Linotype"/>
          <w:bCs/>
          <w:sz w:val="22"/>
          <w:szCs w:val="22"/>
        </w:rPr>
        <w:t>There is considerably less evidence on explanations and causal factors.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It is important to note that initiatives that might increase participation, and therefore be deemed to be successful at one level, may not necessarily increase </w:t>
      </w:r>
      <w:r w:rsidR="000A4857">
        <w:rPr>
          <w:rFonts w:ascii="Palatino Linotype" w:hAnsi="Palatino Linotype"/>
          <w:sz w:val="22"/>
          <w:szCs w:val="22"/>
        </w:rPr>
        <w:t xml:space="preserve">interest and </w:t>
      </w:r>
      <w:r w:rsidRPr="006B23E0">
        <w:rPr>
          <w:rFonts w:ascii="Palatino Linotype" w:hAnsi="Palatino Linotype"/>
          <w:sz w:val="22"/>
          <w:szCs w:val="22"/>
        </w:rPr>
        <w:t>engagement, thus failing at another level.</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In making the recommendations that follow, it has been assumed that </w:t>
      </w:r>
      <w:r w:rsidR="000A4857">
        <w:rPr>
          <w:rFonts w:ascii="Palatino Linotype" w:hAnsi="Palatino Linotype"/>
          <w:sz w:val="22"/>
          <w:szCs w:val="22"/>
        </w:rPr>
        <w:t xml:space="preserve">there will continue to be </w:t>
      </w:r>
      <w:r w:rsidRPr="006B23E0">
        <w:rPr>
          <w:rFonts w:ascii="Palatino Linotype" w:hAnsi="Palatino Linotype"/>
          <w:sz w:val="22"/>
          <w:szCs w:val="22"/>
        </w:rPr>
        <w:t xml:space="preserve">some form of common examination at </w:t>
      </w:r>
      <w:r w:rsidR="000A4857">
        <w:rPr>
          <w:rFonts w:ascii="Palatino Linotype" w:hAnsi="Palatino Linotype"/>
          <w:sz w:val="22"/>
          <w:szCs w:val="22"/>
        </w:rPr>
        <w:t>age 16</w:t>
      </w:r>
      <w:r w:rsidRPr="006B23E0">
        <w:rPr>
          <w:rFonts w:ascii="Palatino Linotype" w:hAnsi="Palatino Linotype"/>
          <w:sz w:val="22"/>
          <w:szCs w:val="22"/>
        </w:rPr>
        <w:t>, and that 18 will be the normal age for un</w:t>
      </w:r>
      <w:r w:rsidR="000A4857">
        <w:rPr>
          <w:rFonts w:ascii="Palatino Linotype" w:hAnsi="Palatino Linotype"/>
          <w:sz w:val="22"/>
          <w:szCs w:val="22"/>
        </w:rPr>
        <w:t>iversity entrance</w:t>
      </w:r>
      <w:r w:rsidR="00F53CE5">
        <w:rPr>
          <w:rFonts w:ascii="Palatino Linotype" w:hAnsi="Palatino Linotype"/>
          <w:sz w:val="22"/>
          <w:szCs w:val="22"/>
        </w:rPr>
        <w:t xml:space="preserve">.  </w:t>
      </w:r>
      <w:r w:rsidR="000A4857">
        <w:rPr>
          <w:rFonts w:ascii="Palatino Linotype" w:hAnsi="Palatino Linotype"/>
          <w:sz w:val="22"/>
          <w:szCs w:val="22"/>
        </w:rPr>
        <w:t xml:space="preserve">However, </w:t>
      </w:r>
      <w:r w:rsidRPr="006B23E0">
        <w:rPr>
          <w:rFonts w:ascii="Palatino Linotype" w:hAnsi="Palatino Linotype"/>
          <w:sz w:val="22"/>
          <w:szCs w:val="22"/>
        </w:rPr>
        <w:t xml:space="preserve">what is in the following sections could </w:t>
      </w:r>
      <w:r w:rsidR="000A4857">
        <w:rPr>
          <w:rFonts w:ascii="Palatino Linotype" w:hAnsi="Palatino Linotype"/>
          <w:sz w:val="22"/>
          <w:szCs w:val="22"/>
        </w:rPr>
        <w:t xml:space="preserve">still </w:t>
      </w:r>
      <w:r w:rsidRPr="006B23E0">
        <w:rPr>
          <w:rFonts w:ascii="Palatino Linotype" w:hAnsi="Palatino Linotype"/>
          <w:sz w:val="22"/>
          <w:szCs w:val="22"/>
        </w:rPr>
        <w:t>apply if these age points were to change.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bCs/>
          <w:sz w:val="22"/>
          <w:szCs w:val="22"/>
        </w:rPr>
      </w:pPr>
      <w:r w:rsidRPr="006B23E0">
        <w:rPr>
          <w:rFonts w:ascii="Palatino Linotype" w:hAnsi="Palatino Linotype"/>
          <w:bCs/>
          <w:sz w:val="22"/>
          <w:szCs w:val="22"/>
        </w:rPr>
        <w:t>Finally, in making any recommendations, it needs to be recognised that most are likely to involve some financial cost - very substantial cost in some cases - and initiatives undertaken in countries seen as successful in STEM have normally been well-supported by government funding</w:t>
      </w:r>
      <w:r w:rsidR="00F53CE5">
        <w:rPr>
          <w:rFonts w:ascii="Palatino Linotype" w:hAnsi="Palatino Linotype"/>
          <w:bCs/>
          <w:sz w:val="22"/>
          <w:szCs w:val="22"/>
        </w:rPr>
        <w:t xml:space="preserve">.  </w:t>
      </w:r>
      <w:r w:rsidRPr="006B23E0">
        <w:rPr>
          <w:rFonts w:ascii="Palatino Linotype" w:hAnsi="Palatino Linotype"/>
          <w:bCs/>
          <w:sz w:val="22"/>
          <w:szCs w:val="22"/>
        </w:rPr>
        <w:t>Thus some sort of priority is likely to need to be assigned to possible actions.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b/>
          <w:sz w:val="22"/>
          <w:szCs w:val="22"/>
        </w:rPr>
      </w:pPr>
      <w:r w:rsidRPr="006B23E0">
        <w:rPr>
          <w:rFonts w:ascii="Palatino Linotype" w:hAnsi="Palatino Linotype"/>
          <w:b/>
          <w:sz w:val="22"/>
          <w:szCs w:val="22"/>
        </w:rPr>
        <w:t>5.3</w:t>
      </w:r>
      <w:r w:rsidRPr="006B23E0">
        <w:rPr>
          <w:rFonts w:ascii="Palatino Linotype" w:hAnsi="Palatino Linotype"/>
          <w:b/>
          <w:sz w:val="22"/>
          <w:szCs w:val="22"/>
        </w:rPr>
        <w:tab/>
        <w:t>Systemic factors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b/>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The structure of the education system and the curriculum</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The evidence suggests that it would be timely to undertake a major review of the structure of the education system and the curriculum in relation to </w:t>
      </w:r>
      <w:r w:rsidR="00BC353A">
        <w:rPr>
          <w:rFonts w:ascii="Palatino Linotype" w:hAnsi="Palatino Linotype"/>
          <w:sz w:val="22"/>
          <w:szCs w:val="22"/>
        </w:rPr>
        <w:t>mathematics and science</w:t>
      </w:r>
      <w:r w:rsidRPr="006B23E0">
        <w:rPr>
          <w:rFonts w:ascii="Palatino Linotype" w:hAnsi="Palatino Linotype"/>
          <w:sz w:val="22"/>
          <w:szCs w:val="22"/>
        </w:rPr>
        <w:t xml:space="preserve"> provision in England</w:t>
      </w:r>
      <w:r w:rsidR="00F53CE5">
        <w:rPr>
          <w:rFonts w:ascii="Palatino Linotype" w:hAnsi="Palatino Linotype"/>
          <w:sz w:val="22"/>
          <w:szCs w:val="22"/>
        </w:rPr>
        <w:t xml:space="preserve">.  </w:t>
      </w:r>
      <w:r w:rsidRPr="006B23E0">
        <w:rPr>
          <w:rFonts w:ascii="Palatino Linotype" w:hAnsi="Palatino Linotype"/>
          <w:sz w:val="22"/>
          <w:szCs w:val="22"/>
        </w:rPr>
        <w:t>The principal aims of such a review would be two-fold</w:t>
      </w:r>
      <w:r w:rsidR="00F53CE5">
        <w:rPr>
          <w:rFonts w:ascii="Palatino Linotype" w:hAnsi="Palatino Linotype"/>
          <w:sz w:val="22"/>
          <w:szCs w:val="22"/>
        </w:rPr>
        <w:t xml:space="preserve">.  </w:t>
      </w:r>
      <w:r w:rsidRPr="006B23E0">
        <w:rPr>
          <w:rFonts w:ascii="Palatino Linotype" w:hAnsi="Palatino Linotype"/>
          <w:sz w:val="22"/>
          <w:szCs w:val="22"/>
        </w:rPr>
        <w:t>Firstly, it would seek to develop al</w:t>
      </w:r>
      <w:r w:rsidR="000A4857">
        <w:rPr>
          <w:rFonts w:ascii="Palatino Linotype" w:hAnsi="Palatino Linotype"/>
          <w:sz w:val="22"/>
          <w:szCs w:val="22"/>
        </w:rPr>
        <w:t>ternative pathways for students</w:t>
      </w:r>
      <w:r>
        <w:rPr>
          <w:rFonts w:ascii="Palatino Linotype" w:hAnsi="Palatino Linotype"/>
          <w:sz w:val="22"/>
          <w:szCs w:val="22"/>
        </w:rPr>
        <w:t xml:space="preserve"> from the age of</w:t>
      </w:r>
      <w:r w:rsidRPr="006B23E0">
        <w:rPr>
          <w:rFonts w:ascii="Palatino Linotype" w:hAnsi="Palatino Linotype"/>
          <w:sz w:val="22"/>
          <w:szCs w:val="22"/>
        </w:rPr>
        <w:t xml:space="preserve"> </w:t>
      </w:r>
      <w:r w:rsidR="000A4857">
        <w:rPr>
          <w:rFonts w:ascii="Palatino Linotype" w:hAnsi="Palatino Linotype"/>
          <w:sz w:val="22"/>
          <w:szCs w:val="22"/>
        </w:rPr>
        <w:t>14</w:t>
      </w:r>
      <w:r>
        <w:rPr>
          <w:rFonts w:ascii="Palatino Linotype" w:hAnsi="Palatino Linotype"/>
          <w:sz w:val="22"/>
          <w:szCs w:val="22"/>
        </w:rPr>
        <w:t xml:space="preserve"> onwards</w:t>
      </w:r>
      <w:r w:rsidR="00F53CE5">
        <w:rPr>
          <w:rFonts w:ascii="Palatino Linotype" w:hAnsi="Palatino Linotype"/>
          <w:sz w:val="22"/>
          <w:szCs w:val="22"/>
        </w:rPr>
        <w:t xml:space="preserve">.  </w:t>
      </w:r>
      <w:r w:rsidRPr="006B23E0">
        <w:rPr>
          <w:rFonts w:ascii="Palatino Linotype" w:hAnsi="Palatino Linotype"/>
          <w:sz w:val="22"/>
          <w:szCs w:val="22"/>
        </w:rPr>
        <w:t>These should take the form of academic pathways and vocational pathways, with both STEM and non-STEM routes in each pathway</w:t>
      </w:r>
      <w:r w:rsidR="00F53CE5">
        <w:rPr>
          <w:rFonts w:ascii="Palatino Linotype" w:hAnsi="Palatino Linotype"/>
          <w:sz w:val="22"/>
          <w:szCs w:val="22"/>
        </w:rPr>
        <w:t xml:space="preserve">.  </w:t>
      </w:r>
      <w:r w:rsidRPr="006B23E0">
        <w:rPr>
          <w:rFonts w:ascii="Palatino Linotype" w:hAnsi="Palatino Linotype"/>
          <w:sz w:val="22"/>
          <w:szCs w:val="22"/>
        </w:rPr>
        <w:t>In the case</w:t>
      </w:r>
      <w:r w:rsidR="000A4857">
        <w:rPr>
          <w:rFonts w:ascii="Palatino Linotype" w:hAnsi="Palatino Linotype"/>
          <w:sz w:val="22"/>
          <w:szCs w:val="22"/>
        </w:rPr>
        <w:t xml:space="preserve"> of non-STEM pathways</w:t>
      </w:r>
      <w:r w:rsidRPr="006B23E0">
        <w:rPr>
          <w:rFonts w:ascii="Palatino Linotype" w:hAnsi="Palatino Linotype"/>
          <w:sz w:val="22"/>
          <w:szCs w:val="22"/>
        </w:rPr>
        <w:t xml:space="preserve">, there would be a basic requirement to gain qualifications at a specified minimum level in </w:t>
      </w:r>
      <w:r w:rsidR="00BC353A">
        <w:rPr>
          <w:rFonts w:ascii="Palatino Linotype" w:hAnsi="Palatino Linotype"/>
          <w:sz w:val="22"/>
          <w:szCs w:val="22"/>
        </w:rPr>
        <w:t>mathematics and science</w:t>
      </w:r>
      <w:r w:rsidRPr="006B23E0">
        <w:rPr>
          <w:rFonts w:ascii="Palatino Linotype" w:hAnsi="Palatino Linotype"/>
          <w:sz w:val="22"/>
          <w:szCs w:val="22"/>
        </w:rPr>
        <w:t xml:space="preserve"> (as there would be for other, non-STEM subjects, such as English)</w:t>
      </w:r>
      <w:r w:rsidR="00F53CE5">
        <w:rPr>
          <w:rFonts w:ascii="Palatino Linotype" w:hAnsi="Palatino Linotype"/>
          <w:sz w:val="22"/>
          <w:szCs w:val="22"/>
        </w:rPr>
        <w:t xml:space="preserve">.  </w:t>
      </w:r>
      <w:r w:rsidRPr="006B23E0">
        <w:rPr>
          <w:rFonts w:ascii="Palatino Linotype" w:hAnsi="Palatino Linotype"/>
          <w:sz w:val="22"/>
          <w:szCs w:val="22"/>
        </w:rPr>
        <w:t>Secondly, the review would seek to develop an upper secondary level (post-16) curriculum that built on the preceding pathways to offer both breadth and depth of study</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In proposing the above aims</w:t>
      </w:r>
      <w:r w:rsidR="000A4857">
        <w:rPr>
          <w:rFonts w:ascii="Palatino Linotype" w:hAnsi="Palatino Linotype"/>
          <w:sz w:val="22"/>
          <w:szCs w:val="22"/>
        </w:rPr>
        <w:t xml:space="preserve"> for a review</w:t>
      </w:r>
      <w:r w:rsidRPr="006B23E0">
        <w:rPr>
          <w:rFonts w:ascii="Palatino Linotype" w:hAnsi="Palatino Linotype"/>
          <w:sz w:val="22"/>
          <w:szCs w:val="22"/>
        </w:rPr>
        <w:t>, it is recognised that England has a culture o</w:t>
      </w:r>
      <w:r w:rsidR="000A4857">
        <w:rPr>
          <w:rFonts w:ascii="Palatino Linotype" w:hAnsi="Palatino Linotype"/>
          <w:sz w:val="22"/>
          <w:szCs w:val="22"/>
        </w:rPr>
        <w:t>f academic specialisation</w:t>
      </w:r>
      <w:r w:rsidR="00F53CE5">
        <w:rPr>
          <w:rFonts w:ascii="Palatino Linotype" w:hAnsi="Palatino Linotype"/>
          <w:sz w:val="22"/>
          <w:szCs w:val="22"/>
        </w:rPr>
        <w:t xml:space="preserve">.  </w:t>
      </w:r>
      <w:r w:rsidR="000A4857">
        <w:rPr>
          <w:rFonts w:ascii="Palatino Linotype" w:hAnsi="Palatino Linotype"/>
          <w:sz w:val="22"/>
          <w:szCs w:val="22"/>
        </w:rPr>
        <w:t>I</w:t>
      </w:r>
      <w:r w:rsidRPr="006B23E0">
        <w:rPr>
          <w:rFonts w:ascii="Palatino Linotype" w:hAnsi="Palatino Linotype"/>
          <w:sz w:val="22"/>
          <w:szCs w:val="22"/>
        </w:rPr>
        <w:t>t has proved very difficult in the past to establish vocational pathways that have parity of est</w:t>
      </w:r>
      <w:r w:rsidR="000A4857">
        <w:rPr>
          <w:rFonts w:ascii="Palatino Linotype" w:hAnsi="Palatino Linotype"/>
          <w:sz w:val="22"/>
          <w:szCs w:val="22"/>
        </w:rPr>
        <w:t>eem with academic pathways</w:t>
      </w:r>
      <w:r w:rsidR="00F53CE5">
        <w:rPr>
          <w:rFonts w:ascii="Palatino Linotype" w:hAnsi="Palatino Linotype"/>
          <w:sz w:val="22"/>
          <w:szCs w:val="22"/>
        </w:rPr>
        <w:t xml:space="preserve">.  </w:t>
      </w:r>
      <w:r w:rsidR="000A4857">
        <w:rPr>
          <w:rFonts w:ascii="Palatino Linotype" w:hAnsi="Palatino Linotype"/>
          <w:sz w:val="22"/>
          <w:szCs w:val="22"/>
        </w:rPr>
        <w:t xml:space="preserve">It has </w:t>
      </w:r>
      <w:r w:rsidRPr="006B23E0">
        <w:rPr>
          <w:rFonts w:ascii="Palatino Linotype" w:hAnsi="Palatino Linotype"/>
          <w:sz w:val="22"/>
          <w:szCs w:val="22"/>
        </w:rPr>
        <w:t>also</w:t>
      </w:r>
      <w:r w:rsidR="000A4857">
        <w:rPr>
          <w:rFonts w:ascii="Palatino Linotype" w:hAnsi="Palatino Linotype"/>
          <w:sz w:val="22"/>
          <w:szCs w:val="22"/>
        </w:rPr>
        <w:t xml:space="preserve"> proved difficult</w:t>
      </w:r>
      <w:r w:rsidRPr="006B23E0">
        <w:rPr>
          <w:rFonts w:ascii="Palatino Linotype" w:hAnsi="Palatino Linotype"/>
          <w:sz w:val="22"/>
          <w:szCs w:val="22"/>
        </w:rPr>
        <w:t xml:space="preserve"> to change post-16 provision in any substantive way, with A-levels being seen</w:t>
      </w:r>
      <w:r w:rsidR="001F2D4A">
        <w:rPr>
          <w:rFonts w:ascii="Palatino Linotype" w:hAnsi="Palatino Linotype"/>
          <w:sz w:val="22"/>
          <w:szCs w:val="22"/>
        </w:rPr>
        <w:t xml:space="preserve"> by many</w:t>
      </w:r>
      <w:r w:rsidRPr="006B23E0">
        <w:rPr>
          <w:rFonts w:ascii="Palatino Linotype" w:hAnsi="Palatino Linotype"/>
          <w:sz w:val="22"/>
          <w:szCs w:val="22"/>
        </w:rPr>
        <w:t xml:space="preserve"> as the ‘gold standard’ for several decades</w:t>
      </w:r>
      <w:r w:rsidR="00F53CE5">
        <w:rPr>
          <w:rFonts w:ascii="Palatino Linotype" w:hAnsi="Palatino Linotype"/>
          <w:sz w:val="22"/>
          <w:szCs w:val="22"/>
        </w:rPr>
        <w:t xml:space="preserve">.  </w:t>
      </w:r>
      <w:r w:rsidRPr="006B23E0">
        <w:rPr>
          <w:rFonts w:ascii="Palatino Linotype" w:hAnsi="Palatino Linotype"/>
          <w:sz w:val="22"/>
          <w:szCs w:val="22"/>
        </w:rPr>
        <w:t>Any major change would require the active support of a wide range of stakeholders, including government, policy-makers, professional societies, teaching bodies, employers, universities and parents</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0A4857"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There is no strong evidence to suggest that STEM-related subjects should have a higher priority than other subjects, as proposed, for example by supporters of a STEAM (STEM plus Arts) curriculum</w:t>
      </w:r>
      <w:r w:rsidR="00F53CE5">
        <w:rPr>
          <w:rFonts w:ascii="Palatino Linotype" w:hAnsi="Palatino Linotype"/>
          <w:sz w:val="22"/>
          <w:szCs w:val="22"/>
        </w:rPr>
        <w:t xml:space="preserve">.  </w:t>
      </w:r>
      <w:r w:rsidRPr="006B23E0">
        <w:rPr>
          <w:rFonts w:ascii="Palatino Linotype" w:hAnsi="Palatino Linotype"/>
          <w:sz w:val="22"/>
          <w:szCs w:val="22"/>
        </w:rPr>
        <w:t>Rather the subjects should form part of a balanced baccalaureate-type curriculum, irrespective of whether the emphasis is on STEM subjects or not</w:t>
      </w:r>
      <w:r w:rsidR="00F53CE5">
        <w:rPr>
          <w:rFonts w:ascii="Palatino Linotype" w:hAnsi="Palatino Linotype"/>
          <w:sz w:val="22"/>
          <w:szCs w:val="22"/>
        </w:rPr>
        <w:t xml:space="preserve">.  </w:t>
      </w:r>
      <w:r w:rsidRPr="006B23E0">
        <w:rPr>
          <w:rFonts w:ascii="Palatino Linotype" w:hAnsi="Palatino Linotype"/>
          <w:sz w:val="22"/>
          <w:szCs w:val="22"/>
        </w:rPr>
        <w:t xml:space="preserve">It is beyond </w:t>
      </w:r>
      <w:r w:rsidRPr="006B23E0">
        <w:rPr>
          <w:rFonts w:ascii="Palatino Linotype" w:hAnsi="Palatino Linotype"/>
          <w:sz w:val="22"/>
          <w:szCs w:val="22"/>
        </w:rPr>
        <w:lastRenderedPageBreak/>
        <w:t>the scope of this report to make specific recommendations on the structure of the educational system as a whole, but the academic track in such a curriculum might comprise, for example, of a core of English, mathematics, science, an arts/humanities subject, and an additional language, with other options available depending on interests</w:t>
      </w:r>
      <w:r w:rsidR="00F53CE5">
        <w:rPr>
          <w:rFonts w:ascii="Palatino Linotype" w:hAnsi="Palatino Linotype"/>
          <w:sz w:val="22"/>
          <w:szCs w:val="22"/>
        </w:rPr>
        <w:t xml:space="preserve">.  </w:t>
      </w:r>
      <w:r w:rsidR="000A4857" w:rsidRPr="000A4857">
        <w:rPr>
          <w:rFonts w:ascii="Palatino Linotype" w:hAnsi="Palatino Linotype"/>
          <w:sz w:val="22"/>
          <w:szCs w:val="22"/>
        </w:rPr>
        <w:t>In the light of the evidence in the review that careers advice to ‘keep your options open’ reduces uptake of the physical science subjects, it would seem desirable to have some choice in the science option</w:t>
      </w:r>
      <w:r w:rsidR="00F53CE5">
        <w:rPr>
          <w:rFonts w:ascii="Palatino Linotype" w:hAnsi="Palatino Linotype"/>
          <w:sz w:val="22"/>
          <w:szCs w:val="22"/>
        </w:rPr>
        <w:t xml:space="preserve">.  </w:t>
      </w:r>
      <w:r w:rsidR="000A4857">
        <w:rPr>
          <w:rFonts w:ascii="Palatino Linotype" w:hAnsi="Palatino Linotype"/>
          <w:sz w:val="22"/>
          <w:szCs w:val="22"/>
        </w:rPr>
        <w:t xml:space="preserve">This could take the form of, for example, an option that covers all the sciences within the time allocated to one subject, </w:t>
      </w:r>
      <w:r w:rsidR="000A4857" w:rsidRPr="000A4857">
        <w:rPr>
          <w:rFonts w:ascii="Palatino Linotype" w:hAnsi="Palatino Linotype"/>
          <w:sz w:val="22"/>
          <w:szCs w:val="22"/>
        </w:rPr>
        <w:t>as well as separate sciences</w:t>
      </w:r>
      <w:r w:rsidR="000A4857">
        <w:rPr>
          <w:rFonts w:ascii="Palatino Linotype" w:hAnsi="Palatino Linotype"/>
          <w:sz w:val="22"/>
          <w:szCs w:val="22"/>
        </w:rPr>
        <w:t xml:space="preserve"> options</w:t>
      </w:r>
      <w:r w:rsidR="00F53CE5">
        <w:rPr>
          <w:rFonts w:ascii="Palatino Linotype" w:hAnsi="Palatino Linotype"/>
          <w:sz w:val="22"/>
          <w:szCs w:val="22"/>
        </w:rPr>
        <w:t xml:space="preserve">.  </w:t>
      </w:r>
      <w:r w:rsidR="000A4857" w:rsidRPr="000A4857">
        <w:rPr>
          <w:rFonts w:ascii="Palatino Linotype" w:hAnsi="Palatino Linotype"/>
          <w:sz w:val="22"/>
          <w:szCs w:val="22"/>
        </w:rPr>
        <w:t>A vocational pathway would also comprise a core of subjects with options, but with an approach that is more applied in nature and more closely related to the wold of work.</w:t>
      </w:r>
      <w:r w:rsidR="00FB0721">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In creating new pathways, it will be </w:t>
      </w:r>
      <w:r w:rsidR="000A4857">
        <w:rPr>
          <w:rFonts w:ascii="Palatino Linotype" w:hAnsi="Palatino Linotype"/>
          <w:sz w:val="22"/>
          <w:szCs w:val="22"/>
        </w:rPr>
        <w:t xml:space="preserve">also </w:t>
      </w:r>
      <w:r w:rsidRPr="006B23E0">
        <w:rPr>
          <w:rFonts w:ascii="Palatino Linotype" w:hAnsi="Palatino Linotype"/>
          <w:sz w:val="22"/>
          <w:szCs w:val="22"/>
        </w:rPr>
        <w:t>important to have more diversity, particularly at the post-16 level, such that there are attractive options for those who do not want to take academic A-levels or study STEM subjects at university level</w:t>
      </w:r>
      <w:r w:rsidR="00F53CE5">
        <w:rPr>
          <w:rFonts w:ascii="Palatino Linotype" w:hAnsi="Palatino Linotype"/>
          <w:sz w:val="22"/>
          <w:szCs w:val="22"/>
        </w:rPr>
        <w:t xml:space="preserve">.  </w:t>
      </w:r>
      <w:r w:rsidR="000A4857">
        <w:rPr>
          <w:rFonts w:ascii="Palatino Linotype" w:hAnsi="Palatino Linotype"/>
          <w:sz w:val="22"/>
          <w:szCs w:val="22"/>
        </w:rPr>
        <w:t>Such vocational options</w:t>
      </w:r>
      <w:r w:rsidR="002C51D6">
        <w:rPr>
          <w:rFonts w:ascii="Palatino Linotype" w:hAnsi="Palatino Linotype"/>
          <w:sz w:val="22"/>
          <w:szCs w:val="22"/>
        </w:rPr>
        <w:t xml:space="preserve"> would</w:t>
      </w:r>
      <w:r w:rsidR="000A4857">
        <w:rPr>
          <w:rFonts w:ascii="Palatino Linotype" w:hAnsi="Palatino Linotype"/>
          <w:sz w:val="22"/>
          <w:szCs w:val="22"/>
        </w:rPr>
        <w:t xml:space="preserve"> need the</w:t>
      </w:r>
      <w:r w:rsidRPr="006B23E0">
        <w:rPr>
          <w:rFonts w:ascii="Palatino Linotype" w:hAnsi="Palatino Linotype"/>
          <w:sz w:val="22"/>
          <w:szCs w:val="22"/>
        </w:rPr>
        <w:t xml:space="preserve"> support and engagement </w:t>
      </w:r>
      <w:r w:rsidR="002C51D6">
        <w:rPr>
          <w:rFonts w:ascii="Palatino Linotype" w:hAnsi="Palatino Linotype"/>
          <w:sz w:val="22"/>
          <w:szCs w:val="22"/>
        </w:rPr>
        <w:t xml:space="preserve">of </w:t>
      </w:r>
      <w:r w:rsidRPr="006B23E0">
        <w:rPr>
          <w:rFonts w:ascii="Palatino Linotype" w:hAnsi="Palatino Linotype"/>
          <w:sz w:val="22"/>
          <w:szCs w:val="22"/>
        </w:rPr>
        <w:t xml:space="preserve">employers </w:t>
      </w:r>
      <w:r w:rsidR="000A4857">
        <w:rPr>
          <w:rFonts w:ascii="Palatino Linotype" w:hAnsi="Palatino Linotype"/>
          <w:sz w:val="22"/>
          <w:szCs w:val="22"/>
        </w:rPr>
        <w:t>to</w:t>
      </w:r>
      <w:r w:rsidRPr="006B23E0">
        <w:rPr>
          <w:rFonts w:ascii="Palatino Linotype" w:hAnsi="Palatino Linotype"/>
          <w:sz w:val="22"/>
          <w:szCs w:val="22"/>
        </w:rPr>
        <w:t xml:space="preserve"> enhance the</w:t>
      </w:r>
      <w:r w:rsidR="000A4857">
        <w:rPr>
          <w:rFonts w:ascii="Palatino Linotype" w:hAnsi="Palatino Linotype"/>
          <w:sz w:val="22"/>
          <w:szCs w:val="22"/>
        </w:rPr>
        <w:t>ir</w:t>
      </w:r>
      <w:r w:rsidRPr="006B23E0">
        <w:rPr>
          <w:rFonts w:ascii="Palatino Linotype" w:hAnsi="Palatino Linotype"/>
          <w:sz w:val="22"/>
          <w:szCs w:val="22"/>
        </w:rPr>
        <w:t xml:space="preserve"> status and relevance</w:t>
      </w:r>
      <w:r w:rsidR="00F53CE5">
        <w:rPr>
          <w:rFonts w:ascii="Palatino Linotype" w:hAnsi="Palatino Linotype"/>
          <w:sz w:val="22"/>
          <w:szCs w:val="22"/>
        </w:rPr>
        <w:t xml:space="preserve">.  </w:t>
      </w:r>
      <w:r w:rsidRPr="006B23E0">
        <w:rPr>
          <w:rFonts w:ascii="Palatino Linotype" w:hAnsi="Palatino Linotype"/>
          <w:sz w:val="22"/>
          <w:szCs w:val="22"/>
        </w:rPr>
        <w:t xml:space="preserve">The GCSE Additional Applied Science component of </w:t>
      </w:r>
      <w:r w:rsidRPr="006B23E0">
        <w:rPr>
          <w:rFonts w:ascii="Palatino Linotype" w:hAnsi="Palatino Linotype"/>
          <w:i/>
          <w:sz w:val="22"/>
          <w:szCs w:val="22"/>
        </w:rPr>
        <w:t xml:space="preserve">Twenty-First Century Science </w:t>
      </w:r>
      <w:r w:rsidRPr="006B23E0">
        <w:rPr>
          <w:rFonts w:ascii="Palatino Linotype" w:hAnsi="Palatino Linotype"/>
          <w:sz w:val="22"/>
          <w:szCs w:val="22"/>
        </w:rPr>
        <w:t>would appear to have much to offer in the development of science provision in a vocational pathway, and the successful alternative mathematics courses introduced in New Zeeland, with a focus on mathematical fluency, applications and statistics, would appear to be useful when considering mathematics provision.</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Careers education and enhancing science capital</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 evidence points to a number of desirable systemic changes in relation to the provision of more and better careers education</w:t>
      </w:r>
      <w:r w:rsidR="00F53CE5">
        <w:rPr>
          <w:rFonts w:ascii="Palatino Linotype" w:hAnsi="Palatino Linotype"/>
          <w:sz w:val="22"/>
          <w:szCs w:val="22"/>
        </w:rPr>
        <w:t xml:space="preserve">.  </w:t>
      </w:r>
      <w:r w:rsidRPr="006B23E0">
        <w:rPr>
          <w:rFonts w:ascii="Palatino Linotype" w:hAnsi="Palatino Linotype"/>
          <w:sz w:val="22"/>
          <w:szCs w:val="22"/>
        </w:rPr>
        <w:t>Many young people and their families have very narrow ideas of the value of STEM qualifications and the broad range of careers, scientific and non-</w:t>
      </w:r>
      <w:proofErr w:type="gramStart"/>
      <w:r w:rsidRPr="006B23E0">
        <w:rPr>
          <w:rFonts w:ascii="Palatino Linotype" w:hAnsi="Palatino Linotype"/>
          <w:sz w:val="22"/>
          <w:szCs w:val="22"/>
        </w:rPr>
        <w:t xml:space="preserve">scientific, </w:t>
      </w:r>
      <w:r w:rsidR="002C51D6">
        <w:rPr>
          <w:rFonts w:ascii="Palatino Linotype" w:hAnsi="Palatino Linotype"/>
          <w:sz w:val="22"/>
          <w:szCs w:val="22"/>
        </w:rPr>
        <w:t>that</w:t>
      </w:r>
      <w:proofErr w:type="gramEnd"/>
      <w:r w:rsidR="002C51D6">
        <w:rPr>
          <w:rFonts w:ascii="Palatino Linotype" w:hAnsi="Palatino Linotype"/>
          <w:sz w:val="22"/>
          <w:szCs w:val="22"/>
        </w:rPr>
        <w:t xml:space="preserve"> are </w:t>
      </w:r>
      <w:r w:rsidRPr="006B23E0">
        <w:rPr>
          <w:rFonts w:ascii="Palatino Linotype" w:hAnsi="Palatino Linotype"/>
          <w:sz w:val="22"/>
          <w:szCs w:val="22"/>
        </w:rPr>
        <w:t>open to those with such qualifications</w:t>
      </w:r>
      <w:r w:rsidR="00F53CE5">
        <w:rPr>
          <w:rFonts w:ascii="Palatino Linotype" w:hAnsi="Palatino Linotype"/>
          <w:sz w:val="22"/>
          <w:szCs w:val="22"/>
        </w:rPr>
        <w:t xml:space="preserve">.  </w:t>
      </w:r>
      <w:r w:rsidRPr="006B23E0">
        <w:rPr>
          <w:rFonts w:ascii="Palatino Linotype" w:hAnsi="Palatino Linotype"/>
          <w:sz w:val="22"/>
          <w:szCs w:val="22"/>
        </w:rPr>
        <w:t>National policy needs to ensure that a number of steps are taken to broaden awareness and convey the message that science is for everyone, whether or not they pursue science careers</w:t>
      </w:r>
      <w:r w:rsidR="00F53CE5">
        <w:rPr>
          <w:rFonts w:ascii="Palatino Linotype" w:hAnsi="Palatino Linotype"/>
          <w:sz w:val="22"/>
          <w:szCs w:val="22"/>
        </w:rPr>
        <w:t xml:space="preserve">.  </w:t>
      </w:r>
      <w:r w:rsidRPr="006B23E0">
        <w:rPr>
          <w:rFonts w:ascii="Palatino Linotype" w:hAnsi="Palatino Linotype"/>
          <w:sz w:val="22"/>
          <w:szCs w:val="22"/>
        </w:rPr>
        <w:t xml:space="preserve">Careers awareness should be fully embedded into the </w:t>
      </w:r>
      <w:r w:rsidR="00BC353A">
        <w:rPr>
          <w:rFonts w:ascii="Palatino Linotype" w:hAnsi="Palatino Linotype"/>
          <w:sz w:val="22"/>
          <w:szCs w:val="22"/>
        </w:rPr>
        <w:t>mathematics and science</w:t>
      </w:r>
      <w:r w:rsidRPr="006B23E0">
        <w:rPr>
          <w:rFonts w:ascii="Palatino Linotype" w:hAnsi="Palatino Linotype"/>
          <w:sz w:val="22"/>
          <w:szCs w:val="22"/>
        </w:rPr>
        <w:t xml:space="preserve"> national curricula, and this should include helping students to appreciate that qualifications in these subjects have value in the labour market even if they do not go on to use them directly in jobs</w:t>
      </w:r>
      <w:r w:rsidR="00F53CE5">
        <w:rPr>
          <w:rFonts w:ascii="Palatino Linotype" w:hAnsi="Palatino Linotype"/>
          <w:sz w:val="22"/>
          <w:szCs w:val="22"/>
        </w:rPr>
        <w:t xml:space="preserve">.  </w:t>
      </w:r>
      <w:r w:rsidRPr="006B23E0">
        <w:rPr>
          <w:rFonts w:ascii="Palatino Linotype" w:hAnsi="Palatino Linotype"/>
          <w:sz w:val="22"/>
          <w:szCs w:val="22"/>
        </w:rPr>
        <w:t xml:space="preserve">It is particularly important that career awareness should in integrated into </w:t>
      </w:r>
      <w:r w:rsidR="00BC353A">
        <w:rPr>
          <w:rFonts w:ascii="Palatino Linotype" w:hAnsi="Palatino Linotype"/>
          <w:sz w:val="22"/>
          <w:szCs w:val="22"/>
        </w:rPr>
        <w:t>mathematics and science</w:t>
      </w:r>
      <w:r w:rsidRPr="006B23E0">
        <w:rPr>
          <w:rFonts w:ascii="Palatino Linotype" w:hAnsi="Palatino Linotype"/>
          <w:sz w:val="22"/>
          <w:szCs w:val="22"/>
        </w:rPr>
        <w:t xml:space="preserve"> teaching, and not seen as a separate area</w:t>
      </w:r>
      <w:r w:rsidR="00F53CE5">
        <w:rPr>
          <w:rFonts w:ascii="Palatino Linotype" w:hAnsi="Palatino Linotype"/>
          <w:sz w:val="22"/>
          <w:szCs w:val="22"/>
        </w:rPr>
        <w:t xml:space="preserve">.  </w:t>
      </w:r>
      <w:r w:rsidRPr="006B23E0">
        <w:rPr>
          <w:rFonts w:ascii="Palatino Linotype" w:hAnsi="Palatino Linotype"/>
          <w:sz w:val="22"/>
          <w:szCs w:val="22"/>
        </w:rPr>
        <w:t>This is most likely to happen if appropriate resources are developed for use in the classroom</w:t>
      </w:r>
      <w:r w:rsidR="00F53CE5">
        <w:rPr>
          <w:rFonts w:ascii="Palatino Linotype" w:hAnsi="Palatino Linotype"/>
          <w:sz w:val="22"/>
          <w:szCs w:val="22"/>
        </w:rPr>
        <w:t xml:space="preserve">.  </w:t>
      </w:r>
      <w:r w:rsidRPr="006B23E0">
        <w:rPr>
          <w:rFonts w:ascii="Palatino Linotype" w:hAnsi="Palatino Linotype"/>
          <w:sz w:val="22"/>
          <w:szCs w:val="22"/>
        </w:rPr>
        <w:t>It is also clear that teachers of STEM subjects need to be involved in careers education, and this requires provision being made for appropriate CPD</w:t>
      </w:r>
      <w:r w:rsidR="00F53CE5">
        <w:rPr>
          <w:rFonts w:ascii="Palatino Linotype" w:hAnsi="Palatino Linotype"/>
          <w:sz w:val="22"/>
          <w:szCs w:val="22"/>
        </w:rPr>
        <w:t xml:space="preserve">.  </w:t>
      </w:r>
      <w:r w:rsidRPr="006B23E0">
        <w:rPr>
          <w:rFonts w:ascii="Palatino Linotype" w:hAnsi="Palatino Linotype"/>
          <w:sz w:val="22"/>
          <w:szCs w:val="22"/>
        </w:rPr>
        <w:t>Any resources developed for use in schools could also be used to support CPD.</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 need to develop a co-ordinated programme of STEM careers awareness extends beyond provision for students in schools</w:t>
      </w:r>
      <w:r w:rsidR="00F53CE5">
        <w:rPr>
          <w:rFonts w:ascii="Palatino Linotype" w:hAnsi="Palatino Linotype"/>
          <w:sz w:val="22"/>
          <w:szCs w:val="22"/>
        </w:rPr>
        <w:t xml:space="preserve">.  </w:t>
      </w:r>
      <w:r w:rsidRPr="006B23E0">
        <w:rPr>
          <w:rFonts w:ascii="Palatino Linotype" w:hAnsi="Palatino Linotype"/>
          <w:sz w:val="22"/>
          <w:szCs w:val="22"/>
        </w:rPr>
        <w:t xml:space="preserve">Evidence from the review has pointed to the importance of ‘science capital’ in influencing student choice, with students being far more likely to elect to study </w:t>
      </w:r>
      <w:r w:rsidR="00BC353A">
        <w:rPr>
          <w:rFonts w:ascii="Palatino Linotype" w:hAnsi="Palatino Linotype"/>
          <w:sz w:val="22"/>
          <w:szCs w:val="22"/>
        </w:rPr>
        <w:t>mathematics and science</w:t>
      </w:r>
      <w:r w:rsidRPr="006B23E0">
        <w:rPr>
          <w:rFonts w:ascii="Palatino Linotype" w:hAnsi="Palatino Linotype"/>
          <w:sz w:val="22"/>
          <w:szCs w:val="22"/>
        </w:rPr>
        <w:t xml:space="preserve"> if they come from </w:t>
      </w:r>
      <w:r w:rsidRPr="006B23E0">
        <w:rPr>
          <w:rFonts w:ascii="Palatino Linotype" w:hAnsi="Palatino Linotype"/>
          <w:bCs/>
          <w:sz w:val="22"/>
          <w:szCs w:val="22"/>
        </w:rPr>
        <w:t>socially advantaged backgrounds where they have a close family member or friend working in STEM-related areas, and scie</w:t>
      </w:r>
      <w:r w:rsidR="002C51D6">
        <w:rPr>
          <w:rFonts w:ascii="Palatino Linotype" w:hAnsi="Palatino Linotype"/>
          <w:bCs/>
          <w:sz w:val="22"/>
          <w:szCs w:val="22"/>
        </w:rPr>
        <w:t>nce-related leisure interests</w:t>
      </w:r>
      <w:r w:rsidR="00F53CE5">
        <w:rPr>
          <w:rFonts w:ascii="Palatino Linotype" w:hAnsi="Palatino Linotype"/>
          <w:bCs/>
          <w:sz w:val="22"/>
          <w:szCs w:val="22"/>
        </w:rPr>
        <w:t xml:space="preserve">.  </w:t>
      </w:r>
      <w:r w:rsidRPr="006B23E0">
        <w:rPr>
          <w:rFonts w:ascii="Palatino Linotype" w:hAnsi="Palatino Linotype"/>
          <w:bCs/>
          <w:sz w:val="22"/>
          <w:szCs w:val="22"/>
        </w:rPr>
        <w:t xml:space="preserve">Thus STEM awareness programmes should involve </w:t>
      </w:r>
      <w:r w:rsidRPr="006B23E0">
        <w:rPr>
          <w:rFonts w:ascii="Palatino Linotype" w:hAnsi="Palatino Linotype"/>
          <w:sz w:val="22"/>
          <w:szCs w:val="22"/>
        </w:rPr>
        <w:t>both students and their families, and local employers and STEM role models</w:t>
      </w:r>
      <w:r w:rsidR="00F53CE5">
        <w:rPr>
          <w:rFonts w:ascii="Palatino Linotype" w:hAnsi="Palatino Linotype"/>
          <w:sz w:val="22"/>
          <w:szCs w:val="22"/>
        </w:rPr>
        <w:t xml:space="preserve">.  </w:t>
      </w:r>
      <w:r w:rsidRPr="006B23E0">
        <w:rPr>
          <w:rFonts w:ascii="Palatino Linotype" w:hAnsi="Palatino Linotype"/>
          <w:sz w:val="22"/>
          <w:szCs w:val="22"/>
        </w:rPr>
        <w:t>This would help increase science capital amongst a more diverse range of students, and fostering more positive attitudes to STEM-related careers</w:t>
      </w:r>
      <w:r w:rsidR="00F53CE5">
        <w:rPr>
          <w:rFonts w:ascii="Palatino Linotype" w:hAnsi="Palatino Linotype"/>
          <w:sz w:val="22"/>
          <w:szCs w:val="22"/>
        </w:rPr>
        <w:t xml:space="preserve">.  </w:t>
      </w:r>
      <w:r w:rsidRPr="006B23E0">
        <w:rPr>
          <w:rFonts w:ascii="Palatino Linotype" w:hAnsi="Palatino Linotype"/>
          <w:sz w:val="22"/>
          <w:szCs w:val="22"/>
        </w:rPr>
        <w:t>In schools,</w:t>
      </w:r>
      <w:r>
        <w:rPr>
          <w:rFonts w:ascii="Palatino Linotype" w:hAnsi="Palatino Linotype"/>
          <w:sz w:val="22"/>
          <w:szCs w:val="22"/>
        </w:rPr>
        <w:t xml:space="preserve"> such a programme could include school-</w:t>
      </w:r>
      <w:r w:rsidRPr="006B23E0">
        <w:rPr>
          <w:rFonts w:ascii="Palatino Linotype" w:hAnsi="Palatino Linotype"/>
          <w:sz w:val="22"/>
          <w:szCs w:val="22"/>
        </w:rPr>
        <w:t xml:space="preserve">level strategies to involve families in </w:t>
      </w:r>
      <w:r w:rsidR="00BC353A">
        <w:rPr>
          <w:rFonts w:ascii="Palatino Linotype" w:hAnsi="Palatino Linotype"/>
          <w:sz w:val="22"/>
          <w:szCs w:val="22"/>
        </w:rPr>
        <w:t>mathematics and science</w:t>
      </w:r>
      <w:r w:rsidRPr="006B23E0">
        <w:rPr>
          <w:rFonts w:ascii="Palatino Linotype" w:hAnsi="Palatino Linotype"/>
          <w:sz w:val="22"/>
          <w:szCs w:val="22"/>
        </w:rPr>
        <w:t xml:space="preserve">, strategies such as mentoring and </w:t>
      </w:r>
      <w:r w:rsidRPr="006B23E0">
        <w:rPr>
          <w:rFonts w:ascii="Palatino Linotype" w:hAnsi="Palatino Linotype"/>
          <w:sz w:val="22"/>
          <w:szCs w:val="22"/>
        </w:rPr>
        <w:lastRenderedPageBreak/>
        <w:t>work placements to foster interaction between students and S</w:t>
      </w:r>
      <w:r w:rsidR="002C51D6">
        <w:rPr>
          <w:rFonts w:ascii="Palatino Linotype" w:hAnsi="Palatino Linotype"/>
          <w:sz w:val="22"/>
          <w:szCs w:val="22"/>
        </w:rPr>
        <w:t>TEM role models, and enrichment</w:t>
      </w:r>
      <w:r w:rsidRPr="006B23E0">
        <w:rPr>
          <w:rFonts w:ascii="Palatino Linotype" w:hAnsi="Palatino Linotype"/>
          <w:sz w:val="22"/>
          <w:szCs w:val="22"/>
        </w:rPr>
        <w:t xml:space="preserve"> programmes linking students to local projects related to STEM.</w:t>
      </w:r>
      <w:r w:rsidR="00FB0721">
        <w:rPr>
          <w:rFonts w:ascii="Palatino Linotype" w:hAnsi="Palatino Linotype"/>
          <w:sz w:val="22"/>
          <w:szCs w:val="22"/>
        </w:rPr>
        <w:t xml:space="preserve"> </w:t>
      </w:r>
      <w:r w:rsidR="00C26C93">
        <w:rPr>
          <w:rFonts w:ascii="Palatino Linotype" w:hAnsi="Palatino Linotype"/>
          <w:sz w:val="22"/>
          <w:szCs w:val="22"/>
        </w:rPr>
        <w:t xml:space="preserve"> </w:t>
      </w:r>
      <w:r w:rsidRPr="006B23E0">
        <w:rPr>
          <w:rFonts w:ascii="Palatino Linotype" w:hAnsi="Palatino Linotype"/>
          <w:sz w:val="22"/>
          <w:szCs w:val="22"/>
        </w:rPr>
        <w:t>Beyond school, awareness campaigns could be launched to improve public understanding of STEM-related career options.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A STEM database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 evidence points to the need for a dedicated</w:t>
      </w:r>
      <w:r w:rsidR="00D706C1">
        <w:rPr>
          <w:rFonts w:ascii="Palatino Linotype" w:hAnsi="Palatino Linotype"/>
          <w:sz w:val="22"/>
          <w:szCs w:val="22"/>
        </w:rPr>
        <w:t>, publicly accessible,</w:t>
      </w:r>
      <w:r w:rsidRPr="006B23E0">
        <w:rPr>
          <w:rFonts w:ascii="Palatino Linotype" w:hAnsi="Palatino Linotype"/>
          <w:sz w:val="22"/>
          <w:szCs w:val="22"/>
        </w:rPr>
        <w:t xml:space="preserve"> </w:t>
      </w:r>
      <w:r w:rsidR="00961FC1">
        <w:rPr>
          <w:rFonts w:ascii="Palatino Linotype" w:hAnsi="Palatino Linotype"/>
          <w:sz w:val="22"/>
          <w:szCs w:val="22"/>
        </w:rPr>
        <w:t xml:space="preserve">national </w:t>
      </w:r>
      <w:r w:rsidRPr="006B23E0">
        <w:rPr>
          <w:rFonts w:ascii="Palatino Linotype" w:hAnsi="Palatino Linotype"/>
          <w:sz w:val="22"/>
          <w:szCs w:val="22"/>
        </w:rPr>
        <w:t xml:space="preserve">STEM database </w:t>
      </w:r>
      <w:r w:rsidR="00960519">
        <w:rPr>
          <w:rFonts w:ascii="Palatino Linotype" w:hAnsi="Palatino Linotype"/>
          <w:sz w:val="22"/>
          <w:szCs w:val="22"/>
        </w:rPr>
        <w:t>to serve two functions.  Firstly, it would</w:t>
      </w:r>
      <w:r w:rsidRPr="006B23E0">
        <w:rPr>
          <w:rFonts w:ascii="Palatino Linotype" w:hAnsi="Palatino Linotype"/>
          <w:sz w:val="22"/>
          <w:szCs w:val="22"/>
        </w:rPr>
        <w:t xml:space="preserve"> pull together a range of STEM-related </w:t>
      </w:r>
      <w:r w:rsidR="00960519">
        <w:rPr>
          <w:rFonts w:ascii="Palatino Linotype" w:hAnsi="Palatino Linotype"/>
          <w:sz w:val="22"/>
          <w:szCs w:val="22"/>
        </w:rPr>
        <w:t>data</w:t>
      </w:r>
      <w:r w:rsidRPr="006B23E0">
        <w:rPr>
          <w:rFonts w:ascii="Palatino Linotype" w:hAnsi="Palatino Linotype"/>
          <w:sz w:val="22"/>
          <w:szCs w:val="22"/>
        </w:rPr>
        <w:t xml:space="preserve">, such as numbers taking </w:t>
      </w:r>
      <w:r w:rsidR="00BC353A">
        <w:rPr>
          <w:rFonts w:ascii="Palatino Linotype" w:hAnsi="Palatino Linotype"/>
          <w:sz w:val="22"/>
          <w:szCs w:val="22"/>
        </w:rPr>
        <w:t>mathematics and science</w:t>
      </w:r>
      <w:r w:rsidRPr="006B23E0">
        <w:rPr>
          <w:rFonts w:ascii="Palatino Linotype" w:hAnsi="Palatino Linotype"/>
          <w:sz w:val="22"/>
          <w:szCs w:val="22"/>
        </w:rPr>
        <w:t xml:space="preserve"> subjects at various</w:t>
      </w:r>
      <w:r w:rsidR="00B4485A">
        <w:rPr>
          <w:rFonts w:ascii="Palatino Linotype" w:hAnsi="Palatino Linotype"/>
          <w:sz w:val="22"/>
          <w:szCs w:val="22"/>
        </w:rPr>
        <w:t xml:space="preserve"> levels in the education system</w:t>
      </w:r>
      <w:r w:rsidR="00F53CE5">
        <w:rPr>
          <w:rFonts w:ascii="Palatino Linotype" w:hAnsi="Palatino Linotype"/>
          <w:sz w:val="22"/>
          <w:szCs w:val="22"/>
        </w:rPr>
        <w:t xml:space="preserve">.  </w:t>
      </w:r>
      <w:r w:rsidR="00B4485A">
        <w:rPr>
          <w:rFonts w:ascii="Palatino Linotype" w:hAnsi="Palatino Linotype"/>
          <w:sz w:val="22"/>
          <w:szCs w:val="22"/>
        </w:rPr>
        <w:t>D</w:t>
      </w:r>
      <w:r w:rsidRPr="006B23E0">
        <w:rPr>
          <w:rFonts w:ascii="Palatino Linotype" w:hAnsi="Palatino Linotype"/>
          <w:sz w:val="22"/>
          <w:szCs w:val="22"/>
        </w:rPr>
        <w:t xml:space="preserve">ata </w:t>
      </w:r>
      <w:r w:rsidR="00B4485A">
        <w:rPr>
          <w:rFonts w:ascii="Palatino Linotype" w:hAnsi="Palatino Linotype"/>
          <w:sz w:val="22"/>
          <w:szCs w:val="22"/>
        </w:rPr>
        <w:t>could be</w:t>
      </w:r>
      <w:r w:rsidRPr="006B23E0">
        <w:rPr>
          <w:rFonts w:ascii="Palatino Linotype" w:hAnsi="Palatino Linotype"/>
          <w:sz w:val="22"/>
          <w:szCs w:val="22"/>
        </w:rPr>
        <w:t xml:space="preserve"> reported in a number of key categories, for example, gender, social class, ethnic background, school type, and numbers going on to post-compulsory study of STEM subjects</w:t>
      </w:r>
      <w:r w:rsidR="00F53CE5">
        <w:rPr>
          <w:rFonts w:ascii="Palatino Linotype" w:hAnsi="Palatino Linotype"/>
          <w:sz w:val="22"/>
          <w:szCs w:val="22"/>
        </w:rPr>
        <w:t xml:space="preserve">.  </w:t>
      </w:r>
      <w:r w:rsidRPr="006B23E0">
        <w:rPr>
          <w:rFonts w:ascii="Palatino Linotype" w:hAnsi="Palatino Linotype"/>
          <w:sz w:val="22"/>
          <w:szCs w:val="22"/>
        </w:rPr>
        <w:t>The dataset could include all the countries within the UK, and selected comparator countries, whilst noting that the nature of cross-national data does not always lend itself readily to straightforward c</w:t>
      </w:r>
      <w:r w:rsidR="00B4485A">
        <w:rPr>
          <w:rFonts w:ascii="Palatino Linotype" w:hAnsi="Palatino Linotype"/>
          <w:sz w:val="22"/>
          <w:szCs w:val="22"/>
        </w:rPr>
        <w:t>omparisons.</w:t>
      </w:r>
      <w:r w:rsidR="00960519">
        <w:rPr>
          <w:rFonts w:ascii="Palatino Linotype" w:hAnsi="Palatino Linotype"/>
          <w:sz w:val="22"/>
          <w:szCs w:val="22"/>
        </w:rPr>
        <w:t xml:space="preserve">  </w:t>
      </w:r>
      <w:r w:rsidR="00B4485A">
        <w:rPr>
          <w:rFonts w:ascii="Palatino Linotype" w:hAnsi="Palatino Linotype"/>
          <w:sz w:val="22"/>
          <w:szCs w:val="22"/>
        </w:rPr>
        <w:t>Much of the data are already available, but have</w:t>
      </w:r>
      <w:r w:rsidRPr="006B23E0">
        <w:rPr>
          <w:rFonts w:ascii="Palatino Linotype" w:hAnsi="Palatino Linotype"/>
          <w:sz w:val="22"/>
          <w:szCs w:val="22"/>
        </w:rPr>
        <w:t xml:space="preserve"> to be accessed from a wide variety of sources</w:t>
      </w:r>
      <w:r w:rsidR="00F53CE5">
        <w:rPr>
          <w:rFonts w:ascii="Palatino Linotype" w:hAnsi="Palatino Linotype"/>
          <w:sz w:val="22"/>
          <w:szCs w:val="22"/>
        </w:rPr>
        <w:t xml:space="preserve">.  </w:t>
      </w:r>
      <w:r w:rsidRPr="006B23E0">
        <w:rPr>
          <w:rFonts w:ascii="Palatino Linotype" w:hAnsi="Palatino Linotype"/>
          <w:sz w:val="22"/>
          <w:szCs w:val="22"/>
        </w:rPr>
        <w:t xml:space="preserve">Such a database would not only enable systematic monitoring and dissemination of data, but would also form a basis for the setting of targets for participation in </w:t>
      </w:r>
      <w:r w:rsidR="00BC353A">
        <w:rPr>
          <w:rFonts w:ascii="Palatino Linotype" w:hAnsi="Palatino Linotype"/>
          <w:sz w:val="22"/>
          <w:szCs w:val="22"/>
        </w:rPr>
        <w:t>mathematics and science</w:t>
      </w:r>
      <w:r w:rsidRPr="006B23E0">
        <w:rPr>
          <w:rFonts w:ascii="Palatino Linotype" w:hAnsi="Palatino Linotype"/>
          <w:sz w:val="22"/>
          <w:szCs w:val="22"/>
        </w:rPr>
        <w:t xml:space="preserve"> for a variety of different groups of young people.</w:t>
      </w:r>
      <w:r w:rsidR="00FB0721">
        <w:rPr>
          <w:rFonts w:ascii="Palatino Linotype" w:hAnsi="Palatino Linotype"/>
          <w:sz w:val="22"/>
          <w:szCs w:val="22"/>
        </w:rPr>
        <w:t xml:space="preserve"> </w:t>
      </w:r>
      <w:r w:rsidR="0050483E">
        <w:rPr>
          <w:rFonts w:ascii="Palatino Linotype" w:hAnsi="Palatino Linotype"/>
          <w:sz w:val="22"/>
          <w:szCs w:val="22"/>
        </w:rPr>
        <w:t xml:space="preserve"> </w:t>
      </w:r>
      <w:r w:rsidRPr="006B23E0">
        <w:rPr>
          <w:rFonts w:ascii="Palatino Linotype" w:hAnsi="Palatino Linotype"/>
          <w:sz w:val="22"/>
          <w:szCs w:val="22"/>
        </w:rPr>
        <w:t>It would also provide an evidence base for incentives, such as, for example, scholarships and bursaries to support under-represented groups.</w:t>
      </w:r>
      <w:r w:rsidR="00960519">
        <w:rPr>
          <w:rFonts w:ascii="Palatino Linotype" w:hAnsi="Palatino Linotype"/>
          <w:sz w:val="22"/>
          <w:szCs w:val="22"/>
        </w:rPr>
        <w:t xml:space="preserve">  Secondly, the STEM database would form a central repository for reports on STEM-related matters and STEM r</w:t>
      </w:r>
      <w:r w:rsidR="00961FC1">
        <w:rPr>
          <w:rFonts w:ascii="Palatino Linotype" w:hAnsi="Palatino Linotype"/>
          <w:sz w:val="22"/>
          <w:szCs w:val="22"/>
        </w:rPr>
        <w:t xml:space="preserve">esearch.  This would provide a </w:t>
      </w:r>
      <w:r w:rsidR="00960519">
        <w:rPr>
          <w:rFonts w:ascii="Palatino Linotype" w:hAnsi="Palatino Linotype"/>
          <w:sz w:val="22"/>
          <w:szCs w:val="22"/>
        </w:rPr>
        <w:t xml:space="preserve">very valuable resource for future work, and help </w:t>
      </w:r>
      <w:r w:rsidR="00961FC1">
        <w:rPr>
          <w:rFonts w:ascii="Palatino Linotype" w:hAnsi="Palatino Linotype"/>
          <w:sz w:val="22"/>
          <w:szCs w:val="22"/>
        </w:rPr>
        <w:t>address</w:t>
      </w:r>
      <w:r w:rsidR="00960519">
        <w:rPr>
          <w:rFonts w:ascii="Palatino Linotype" w:hAnsi="Palatino Linotype"/>
          <w:sz w:val="22"/>
          <w:szCs w:val="22"/>
        </w:rPr>
        <w:t xml:space="preserve"> the challenge of </w:t>
      </w:r>
      <w:r w:rsidR="00854A54">
        <w:rPr>
          <w:rFonts w:ascii="Palatino Linotype" w:hAnsi="Palatino Linotype"/>
          <w:sz w:val="22"/>
          <w:szCs w:val="22"/>
        </w:rPr>
        <w:t xml:space="preserve">identifying </w:t>
      </w:r>
      <w:r w:rsidR="00960519">
        <w:rPr>
          <w:rFonts w:ascii="Palatino Linotype" w:hAnsi="Palatino Linotype"/>
          <w:sz w:val="22"/>
          <w:szCs w:val="22"/>
        </w:rPr>
        <w:t xml:space="preserve">the </w:t>
      </w:r>
      <w:r w:rsidR="00961FC1">
        <w:rPr>
          <w:rFonts w:ascii="Palatino Linotype" w:hAnsi="Palatino Linotype"/>
          <w:sz w:val="22"/>
          <w:szCs w:val="22"/>
        </w:rPr>
        <w:t>large quantity of ‘grey’ literature on attitudes, engagement and participation in STEM subjects.</w:t>
      </w:r>
      <w:r w:rsidR="00D706C1">
        <w:rPr>
          <w:rFonts w:ascii="Palatino Linotype" w:hAnsi="Palatino Linotype"/>
          <w:sz w:val="22"/>
          <w:szCs w:val="22"/>
        </w:rPr>
        <w:t xml:space="preserve">  The existence of such a database would also assist with the identification of instruments to assess attitudes and engagement (see comments in Section 5.7 on methodological considerations).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Other systemic changes to consider</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Other countries have seen some improvement in levels of participation in STEM subjects in the following ways: raising the minimum requirements for university entrance in mathematics and science; funding programmes that make it possible for people who have left the ‘STEM pipeline’ to re-enter it; and by implementing a range of policies to improve the quality of STEM teaching and the career progre</w:t>
      </w:r>
      <w:r w:rsidR="001F2D4A">
        <w:rPr>
          <w:rFonts w:ascii="Palatino Linotype" w:hAnsi="Palatino Linotype"/>
          <w:sz w:val="22"/>
          <w:szCs w:val="22"/>
        </w:rPr>
        <w:t>ssion of STEM teachers</w:t>
      </w:r>
      <w:r w:rsidR="00F53CE5">
        <w:rPr>
          <w:rFonts w:ascii="Palatino Linotype" w:hAnsi="Palatino Linotype"/>
          <w:sz w:val="22"/>
          <w:szCs w:val="22"/>
        </w:rPr>
        <w:t xml:space="preserve">.  </w:t>
      </w:r>
      <w:r w:rsidR="001F2D4A">
        <w:rPr>
          <w:rFonts w:ascii="Palatino Linotype" w:hAnsi="Palatino Linotype"/>
          <w:sz w:val="22"/>
          <w:szCs w:val="22"/>
        </w:rPr>
        <w:t>P</w:t>
      </w:r>
      <w:r w:rsidRPr="006B23E0">
        <w:rPr>
          <w:rFonts w:ascii="Palatino Linotype" w:hAnsi="Palatino Linotype"/>
          <w:sz w:val="22"/>
          <w:szCs w:val="22"/>
        </w:rPr>
        <w:t>olicies</w:t>
      </w:r>
      <w:r w:rsidR="001F2D4A">
        <w:rPr>
          <w:rFonts w:ascii="Palatino Linotype" w:hAnsi="Palatino Linotype"/>
          <w:sz w:val="22"/>
          <w:szCs w:val="22"/>
        </w:rPr>
        <w:t xml:space="preserve"> focusing on STEM teachers</w:t>
      </w:r>
      <w:r w:rsidRPr="006B23E0">
        <w:rPr>
          <w:rFonts w:ascii="Palatino Linotype" w:hAnsi="Palatino Linotype"/>
          <w:sz w:val="22"/>
          <w:szCs w:val="22"/>
        </w:rPr>
        <w:t xml:space="preserve"> include </w:t>
      </w:r>
      <w:r>
        <w:rPr>
          <w:rFonts w:ascii="Palatino Linotype" w:hAnsi="Palatino Linotype"/>
          <w:sz w:val="22"/>
          <w:szCs w:val="22"/>
        </w:rPr>
        <w:t>a</w:t>
      </w:r>
      <w:r w:rsidRPr="006B23E0">
        <w:rPr>
          <w:rFonts w:ascii="Palatino Linotype" w:hAnsi="Palatino Linotype"/>
          <w:sz w:val="22"/>
          <w:szCs w:val="22"/>
        </w:rPr>
        <w:t xml:space="preserve"> requirement for teachers to have higher degrees, the introduction of meritocratic careers structures, and ensuring that specialist </w:t>
      </w:r>
      <w:r w:rsidR="00BC353A">
        <w:rPr>
          <w:rFonts w:ascii="Palatino Linotype" w:hAnsi="Palatino Linotype"/>
          <w:sz w:val="22"/>
          <w:szCs w:val="22"/>
        </w:rPr>
        <w:t>mathematics and science</w:t>
      </w:r>
      <w:r w:rsidRPr="006B23E0">
        <w:rPr>
          <w:rFonts w:ascii="Palatino Linotype" w:hAnsi="Palatino Linotype"/>
          <w:sz w:val="22"/>
          <w:szCs w:val="22"/>
        </w:rPr>
        <w:t xml:space="preserve"> teaching is undertaken by appropriately qualified teachers who </w:t>
      </w:r>
      <w:r>
        <w:rPr>
          <w:rFonts w:ascii="Palatino Linotype" w:hAnsi="Palatino Linotype"/>
          <w:sz w:val="22"/>
          <w:szCs w:val="22"/>
        </w:rPr>
        <w:t>only</w:t>
      </w:r>
      <w:r w:rsidRPr="006B23E0">
        <w:rPr>
          <w:rFonts w:ascii="Palatino Linotype" w:hAnsi="Palatino Linotype"/>
          <w:sz w:val="22"/>
          <w:szCs w:val="22"/>
        </w:rPr>
        <w:t xml:space="preserve"> teach their specialist subject</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b/>
          <w:sz w:val="22"/>
          <w:szCs w:val="22"/>
        </w:rPr>
        <w:t>5.4</w:t>
      </w:r>
      <w:r w:rsidRPr="006B23E0">
        <w:rPr>
          <w:rFonts w:ascii="Palatino Linotype" w:hAnsi="Palatino Linotype"/>
          <w:b/>
          <w:sz w:val="22"/>
          <w:szCs w:val="22"/>
        </w:rPr>
        <w:tab/>
        <w:t>School factors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9641C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Improving engagement and participation in STEM will ultimately depend to a significant extent on what happens in schools and what goes on in </w:t>
      </w:r>
      <w:r w:rsidR="00BC353A">
        <w:rPr>
          <w:rFonts w:ascii="Palatino Linotype" w:hAnsi="Palatino Linotype"/>
          <w:sz w:val="22"/>
          <w:szCs w:val="22"/>
        </w:rPr>
        <w:t>mathematics and science</w:t>
      </w:r>
      <w:r w:rsidRPr="006B23E0">
        <w:rPr>
          <w:rFonts w:ascii="Palatino Linotype" w:hAnsi="Palatino Linotype"/>
          <w:sz w:val="22"/>
          <w:szCs w:val="22"/>
        </w:rPr>
        <w:t xml:space="preserve"> classrooms</w:t>
      </w:r>
      <w:r>
        <w:rPr>
          <w:rFonts w:ascii="Palatino Linotype" w:hAnsi="Palatino Linotype"/>
          <w:sz w:val="22"/>
          <w:szCs w:val="22"/>
        </w:rPr>
        <w:t xml:space="preserve">, as this is where strategies developed to make </w:t>
      </w:r>
      <w:r w:rsidR="00BC353A">
        <w:rPr>
          <w:rFonts w:ascii="Palatino Linotype" w:hAnsi="Palatino Linotype"/>
          <w:sz w:val="22"/>
          <w:szCs w:val="22"/>
        </w:rPr>
        <w:t>mathematics and science</w:t>
      </w:r>
      <w:r w:rsidRPr="0047194B">
        <w:rPr>
          <w:rFonts w:ascii="Palatino Linotype" w:hAnsi="Palatino Linotype"/>
          <w:sz w:val="22"/>
          <w:szCs w:val="22"/>
        </w:rPr>
        <w:t xml:space="preserve"> education </w:t>
      </w:r>
      <w:r>
        <w:rPr>
          <w:rFonts w:ascii="Palatino Linotype" w:hAnsi="Palatino Linotype"/>
          <w:sz w:val="22"/>
          <w:szCs w:val="22"/>
        </w:rPr>
        <w:t>more enjoyable, rewarding and effective will be played out</w:t>
      </w:r>
      <w:r w:rsidR="00F53CE5">
        <w:rPr>
          <w:rFonts w:ascii="Palatino Linotype" w:hAnsi="Palatino Linotype"/>
          <w:sz w:val="22"/>
          <w:szCs w:val="22"/>
        </w:rPr>
        <w:t xml:space="preserve">.  </w:t>
      </w:r>
      <w:r w:rsidRPr="006B23E0">
        <w:rPr>
          <w:rFonts w:ascii="Palatino Linotype" w:hAnsi="Palatino Linotype"/>
          <w:sz w:val="22"/>
          <w:szCs w:val="22"/>
        </w:rPr>
        <w:t>In the long term, much of what could or should happen in schools will depend on the nature of any systemic changes made</w:t>
      </w:r>
      <w:r w:rsidR="00F53CE5">
        <w:rPr>
          <w:rFonts w:ascii="Palatino Linotype" w:hAnsi="Palatino Linotype"/>
          <w:sz w:val="22"/>
          <w:szCs w:val="22"/>
        </w:rPr>
        <w:t xml:space="preserve">.  </w:t>
      </w:r>
      <w:r w:rsidRPr="006B23E0">
        <w:rPr>
          <w:rFonts w:ascii="Palatino Linotype" w:hAnsi="Palatino Linotype"/>
          <w:sz w:val="22"/>
          <w:szCs w:val="22"/>
        </w:rPr>
        <w:t xml:space="preserve">In the meantime, there are also clear messages from the research about strategies </w:t>
      </w:r>
      <w:r w:rsidR="00B4485A">
        <w:rPr>
          <w:rFonts w:ascii="Palatino Linotype" w:hAnsi="Palatino Linotype"/>
          <w:sz w:val="22"/>
          <w:szCs w:val="22"/>
        </w:rPr>
        <w:t xml:space="preserve">that </w:t>
      </w:r>
      <w:r w:rsidRPr="006B23E0">
        <w:rPr>
          <w:rFonts w:ascii="Palatino Linotype" w:hAnsi="Palatino Linotype"/>
          <w:sz w:val="22"/>
          <w:szCs w:val="22"/>
        </w:rPr>
        <w:t>schools can adopt could help make a difference in the shorter term</w:t>
      </w:r>
      <w:r w:rsidR="00F53CE5">
        <w:rPr>
          <w:rFonts w:ascii="Palatino Linotype" w:hAnsi="Palatino Linotype"/>
          <w:sz w:val="22"/>
          <w:szCs w:val="22"/>
        </w:rPr>
        <w:t xml:space="preserve">.  </w:t>
      </w:r>
    </w:p>
    <w:p w:rsidR="003503D0" w:rsidRDefault="003503D0" w:rsidP="003503D0">
      <w:pPr>
        <w:tabs>
          <w:tab w:val="clear" w:pos="567"/>
        </w:tabs>
        <w:overflowPunct/>
        <w:autoSpaceDE/>
        <w:autoSpaceDN/>
        <w:adjustRightInd/>
        <w:spacing w:line="240" w:lineRule="auto"/>
        <w:jc w:val="both"/>
        <w:rPr>
          <w:rFonts w:ascii="Palatino Linotype" w:hAnsi="Palatino Linotype"/>
          <w:bCs/>
          <w:i/>
          <w:sz w:val="22"/>
          <w:szCs w:val="22"/>
        </w:rPr>
      </w:pPr>
      <w:r>
        <w:rPr>
          <w:rFonts w:ascii="Palatino Linotype" w:hAnsi="Palatino Linotype"/>
          <w:bCs/>
          <w:i/>
          <w:sz w:val="22"/>
          <w:szCs w:val="22"/>
        </w:rPr>
        <w:lastRenderedPageBreak/>
        <w:t>Age range taught at school</w:t>
      </w:r>
    </w:p>
    <w:p w:rsidR="003503D0" w:rsidRPr="003503D0" w:rsidRDefault="003503D0" w:rsidP="003503D0">
      <w:pPr>
        <w:tabs>
          <w:tab w:val="clear" w:pos="567"/>
        </w:tabs>
        <w:overflowPunct/>
        <w:autoSpaceDE/>
        <w:autoSpaceDN/>
        <w:adjustRightInd/>
        <w:spacing w:line="240" w:lineRule="auto"/>
        <w:jc w:val="both"/>
        <w:rPr>
          <w:rFonts w:ascii="Palatino Linotype" w:hAnsi="Palatino Linotype"/>
          <w:bCs/>
          <w:sz w:val="22"/>
          <w:szCs w:val="22"/>
        </w:rPr>
      </w:pPr>
    </w:p>
    <w:p w:rsidR="003503D0" w:rsidRPr="003503D0" w:rsidRDefault="003503D0" w:rsidP="003503D0">
      <w:pPr>
        <w:tabs>
          <w:tab w:val="clear" w:pos="567"/>
        </w:tabs>
        <w:overflowPunct/>
        <w:autoSpaceDE/>
        <w:autoSpaceDN/>
        <w:adjustRightInd/>
        <w:spacing w:line="240" w:lineRule="auto"/>
        <w:jc w:val="both"/>
        <w:rPr>
          <w:rFonts w:ascii="Palatino Linotype" w:hAnsi="Palatino Linotype"/>
          <w:bCs/>
          <w:sz w:val="22"/>
          <w:szCs w:val="22"/>
        </w:rPr>
      </w:pPr>
      <w:r>
        <w:rPr>
          <w:rFonts w:ascii="Palatino Linotype" w:hAnsi="Palatino Linotype"/>
          <w:bCs/>
          <w:sz w:val="22"/>
          <w:szCs w:val="22"/>
        </w:rPr>
        <w:t xml:space="preserve">The evidence indicates fewer students </w:t>
      </w:r>
      <w:r w:rsidRPr="003503D0">
        <w:rPr>
          <w:rFonts w:ascii="Palatino Linotype" w:hAnsi="Palatino Linotype"/>
          <w:bCs/>
          <w:sz w:val="22"/>
          <w:szCs w:val="22"/>
        </w:rPr>
        <w:t>in 11-16 schools than 11-18 schools</w:t>
      </w:r>
      <w:r>
        <w:rPr>
          <w:rFonts w:ascii="Palatino Linotype" w:hAnsi="Palatino Linotype"/>
          <w:bCs/>
          <w:sz w:val="22"/>
          <w:szCs w:val="22"/>
        </w:rPr>
        <w:t xml:space="preserve"> go</w:t>
      </w:r>
      <w:r w:rsidRPr="003503D0">
        <w:rPr>
          <w:rFonts w:ascii="Palatino Linotype" w:hAnsi="Palatino Linotype"/>
          <w:bCs/>
          <w:sz w:val="22"/>
          <w:szCs w:val="22"/>
        </w:rPr>
        <w:t xml:space="preserve"> on to study physical science subjects.</w:t>
      </w:r>
      <w:r>
        <w:rPr>
          <w:rFonts w:ascii="Palatino Linotype" w:hAnsi="Palatino Linotype"/>
          <w:bCs/>
          <w:sz w:val="22"/>
          <w:szCs w:val="22"/>
        </w:rPr>
        <w:t xml:space="preserve">  However, </w:t>
      </w:r>
      <w:r w:rsidR="00B05135">
        <w:rPr>
          <w:rFonts w:ascii="Palatino Linotype" w:hAnsi="Palatino Linotype"/>
          <w:bCs/>
          <w:sz w:val="22"/>
          <w:szCs w:val="22"/>
        </w:rPr>
        <w:t>geographic and financial constrains make it unlikely that all schools could become 11-18 schools, unless the school leaving age was raised to 18.  Thu efforts at improving the post-compulsory uptake of physical sciences of students from 11-16 schools should be directed at developing a targeted STEM subject strategy for managing the transition to the post-16 institutions where students go on to study.</w:t>
      </w:r>
    </w:p>
    <w:p w:rsidR="003503D0" w:rsidRPr="003503D0" w:rsidRDefault="003503D0"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Teaching groups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Given the evidence on gender effects and post-compulsory participation, co-educat</w:t>
      </w:r>
      <w:r w:rsidR="001F2D4A">
        <w:rPr>
          <w:rFonts w:ascii="Palatino Linotype" w:hAnsi="Palatino Linotype"/>
          <w:sz w:val="22"/>
          <w:szCs w:val="22"/>
        </w:rPr>
        <w:t>ional schools should give</w:t>
      </w:r>
      <w:r w:rsidRPr="006B23E0">
        <w:rPr>
          <w:rFonts w:ascii="Palatino Linotype" w:hAnsi="Palatino Linotype"/>
          <w:sz w:val="22"/>
          <w:szCs w:val="22"/>
        </w:rPr>
        <w:t xml:space="preserve"> consideration to teaching </w:t>
      </w:r>
      <w:r w:rsidR="00BC353A">
        <w:rPr>
          <w:rFonts w:ascii="Palatino Linotype" w:hAnsi="Palatino Linotype"/>
          <w:sz w:val="22"/>
          <w:szCs w:val="22"/>
        </w:rPr>
        <w:t>mathematics and science</w:t>
      </w:r>
      <w:r w:rsidRPr="006B23E0">
        <w:rPr>
          <w:rFonts w:ascii="Palatino Linotype" w:hAnsi="Palatino Linotype"/>
          <w:sz w:val="22"/>
          <w:szCs w:val="22"/>
        </w:rPr>
        <w:t xml:space="preserve"> in </w:t>
      </w:r>
      <w:r w:rsidR="00510AE7">
        <w:rPr>
          <w:rFonts w:ascii="Palatino Linotype" w:hAnsi="Palatino Linotype"/>
          <w:sz w:val="22"/>
          <w:szCs w:val="22"/>
        </w:rPr>
        <w:t>single-sex</w:t>
      </w:r>
      <w:r w:rsidRPr="006B23E0">
        <w:rPr>
          <w:rFonts w:ascii="Palatino Linotype" w:hAnsi="Palatino Linotype"/>
          <w:sz w:val="22"/>
          <w:szCs w:val="22"/>
        </w:rPr>
        <w:t xml:space="preserve"> groupings</w:t>
      </w:r>
      <w:r w:rsidR="00F53CE5">
        <w:rPr>
          <w:rFonts w:ascii="Palatino Linotype" w:hAnsi="Palatino Linotype"/>
          <w:sz w:val="22"/>
          <w:szCs w:val="22"/>
        </w:rPr>
        <w:t xml:space="preserve">.  </w:t>
      </w:r>
    </w:p>
    <w:p w:rsidR="00602FC4" w:rsidRDefault="00602FC4"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The nature of the curriculum</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The suggestion that curriculum diversity in science provision for students aged 14-16 improves levels of post-compulsory participation would benefit </w:t>
      </w:r>
      <w:r w:rsidR="00B4485A">
        <w:rPr>
          <w:rFonts w:ascii="Palatino Linotype" w:hAnsi="Palatino Linotype"/>
          <w:sz w:val="22"/>
          <w:szCs w:val="22"/>
        </w:rPr>
        <w:t>from further exploration</w:t>
      </w:r>
      <w:r w:rsidR="00F53CE5">
        <w:rPr>
          <w:rFonts w:ascii="Palatino Linotype" w:hAnsi="Palatino Linotype"/>
          <w:sz w:val="22"/>
          <w:szCs w:val="22"/>
        </w:rPr>
        <w:t xml:space="preserve">.  </w:t>
      </w:r>
      <w:r w:rsidR="00B4485A">
        <w:rPr>
          <w:rFonts w:ascii="Palatino Linotype" w:hAnsi="Palatino Linotype"/>
          <w:sz w:val="22"/>
          <w:szCs w:val="22"/>
        </w:rPr>
        <w:t>S</w:t>
      </w:r>
      <w:r w:rsidRPr="006B23E0">
        <w:rPr>
          <w:rFonts w:ascii="Palatino Linotype" w:hAnsi="Palatino Linotype"/>
          <w:sz w:val="22"/>
          <w:szCs w:val="22"/>
        </w:rPr>
        <w:t>et in the wider context of the evidence from the review, there could be benefits to all students in looking at offering a more vocationally-oriented curriculum for less academic students.</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Schools should ensure that their science curriculum reflects ways in which science is used in everyday life and the world of work, as this improves student engagement</w:t>
      </w:r>
      <w:r w:rsidR="00F53CE5">
        <w:rPr>
          <w:rFonts w:ascii="Palatino Linotype" w:hAnsi="Palatino Linotype"/>
          <w:sz w:val="22"/>
          <w:szCs w:val="22"/>
        </w:rPr>
        <w:t xml:space="preserve">.  </w:t>
      </w:r>
      <w:r w:rsidRPr="006B23E0">
        <w:rPr>
          <w:rFonts w:ascii="Palatino Linotype" w:hAnsi="Palatino Linotype"/>
          <w:sz w:val="22"/>
          <w:szCs w:val="22"/>
        </w:rPr>
        <w:t xml:space="preserve">They should also offer enrichment activities, </w:t>
      </w:r>
      <w:r w:rsidR="00B4485A">
        <w:rPr>
          <w:rFonts w:ascii="Palatino Linotype" w:hAnsi="Palatino Linotype"/>
          <w:sz w:val="22"/>
          <w:szCs w:val="22"/>
        </w:rPr>
        <w:t>integrated into the curriculum</w:t>
      </w:r>
      <w:r w:rsidR="00F53CE5">
        <w:rPr>
          <w:rFonts w:ascii="Palatino Linotype" w:hAnsi="Palatino Linotype"/>
          <w:sz w:val="22"/>
          <w:szCs w:val="22"/>
        </w:rPr>
        <w:t xml:space="preserve">.  </w:t>
      </w:r>
      <w:r w:rsidR="00B4485A">
        <w:rPr>
          <w:rFonts w:ascii="Palatino Linotype" w:hAnsi="Palatino Linotype"/>
          <w:sz w:val="22"/>
          <w:szCs w:val="22"/>
        </w:rPr>
        <w:t xml:space="preserve">These </w:t>
      </w:r>
      <w:r w:rsidRPr="006B23E0">
        <w:rPr>
          <w:rFonts w:ascii="Palatino Linotype" w:hAnsi="Palatino Linotype"/>
          <w:sz w:val="22"/>
          <w:szCs w:val="22"/>
        </w:rPr>
        <w:t>might take the form of days or half days off timetable to focus on particular aspects of STEM, particularly those which involve engagement with the world of work.</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Careers provision and guidance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Schools should take a number of actions in relation to their careers provision and guidance</w:t>
      </w:r>
      <w:r w:rsidR="00F53CE5">
        <w:rPr>
          <w:rFonts w:ascii="Palatino Linotype" w:hAnsi="Palatino Linotype"/>
          <w:sz w:val="22"/>
          <w:szCs w:val="22"/>
        </w:rPr>
        <w:t xml:space="preserve">.  </w:t>
      </w:r>
      <w:proofErr w:type="gramStart"/>
      <w:r w:rsidRPr="006B23E0">
        <w:rPr>
          <w:rFonts w:ascii="Palatino Linotype" w:hAnsi="Palatino Linotype"/>
          <w:sz w:val="22"/>
          <w:szCs w:val="22"/>
        </w:rPr>
        <w:t>Where feasible, parents as well as students should be involved in careers-related activities in order to help build ‘science capital’ for students from backgrounds traditionally under-represented in STEM careers</w:t>
      </w:r>
      <w:r w:rsidR="00F53CE5">
        <w:rPr>
          <w:rFonts w:ascii="Palatino Linotype" w:hAnsi="Palatino Linotype"/>
          <w:sz w:val="22"/>
          <w:szCs w:val="22"/>
        </w:rPr>
        <w:t>.</w:t>
      </w:r>
      <w:proofErr w:type="gramEnd"/>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Current provision should be reviewed with a view to ensuring that STEM subject specialist teachers are involved in giving advice</w:t>
      </w:r>
      <w:r w:rsidR="00F53CE5">
        <w:rPr>
          <w:rFonts w:ascii="Palatino Linotype" w:hAnsi="Palatino Linotype"/>
          <w:sz w:val="22"/>
          <w:szCs w:val="22"/>
        </w:rPr>
        <w:t xml:space="preserve">.  </w:t>
      </w:r>
      <w:r w:rsidRPr="006B23E0">
        <w:rPr>
          <w:rFonts w:ascii="Palatino Linotype" w:hAnsi="Palatino Linotype"/>
          <w:sz w:val="22"/>
          <w:szCs w:val="22"/>
        </w:rPr>
        <w:t>Those involved in careers provision should be aware of the negative effects on STEM participation of the general advice</w:t>
      </w:r>
      <w:r w:rsidR="00B4485A">
        <w:rPr>
          <w:rFonts w:ascii="Palatino Linotype" w:hAnsi="Palatino Linotype"/>
          <w:sz w:val="22"/>
          <w:szCs w:val="22"/>
        </w:rPr>
        <w:t xml:space="preserve"> to students</w:t>
      </w:r>
      <w:r w:rsidRPr="006B23E0">
        <w:rPr>
          <w:rFonts w:ascii="Palatino Linotype" w:hAnsi="Palatino Linotype"/>
          <w:sz w:val="22"/>
          <w:szCs w:val="22"/>
        </w:rPr>
        <w:t xml:space="preserve"> to choose subject such that </w:t>
      </w:r>
      <w:r w:rsidR="00B4485A">
        <w:rPr>
          <w:rFonts w:ascii="Palatino Linotype" w:hAnsi="Palatino Linotype"/>
          <w:sz w:val="22"/>
          <w:szCs w:val="22"/>
        </w:rPr>
        <w:t xml:space="preserve">they keep their options </w:t>
      </w:r>
      <w:r w:rsidRPr="006B23E0">
        <w:rPr>
          <w:rFonts w:ascii="Palatino Linotype" w:hAnsi="Palatino Linotype"/>
          <w:sz w:val="22"/>
          <w:szCs w:val="22"/>
        </w:rPr>
        <w:t>open</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 xml:space="preserve">Opportunities should be taken to link subject teaching to careers involving </w:t>
      </w:r>
      <w:r w:rsidR="00C26C93">
        <w:rPr>
          <w:rFonts w:ascii="Palatino Linotype" w:hAnsi="Palatino Linotype"/>
          <w:sz w:val="22"/>
          <w:szCs w:val="22"/>
        </w:rPr>
        <w:t>STEM.  S</w:t>
      </w:r>
      <w:r w:rsidRPr="006B23E0">
        <w:rPr>
          <w:rFonts w:ascii="Palatino Linotype" w:hAnsi="Palatino Linotype"/>
          <w:sz w:val="22"/>
          <w:szCs w:val="22"/>
        </w:rPr>
        <w:t>ubject resources and careers resources should be examined to ensure that they reflect the range of careers open to people with STEM qualifications, and provide images that are likely to map onto the identities of a range of groups, particularly those who are currently under-represented and/or come from disadvantaged groups.</w:t>
      </w:r>
      <w:r w:rsidR="00FB0721">
        <w:rPr>
          <w:rFonts w:ascii="Palatino Linotype" w:hAnsi="Palatino Linotype"/>
          <w:sz w:val="22"/>
          <w:szCs w:val="22"/>
        </w:rPr>
        <w:t xml:space="preserve"> </w:t>
      </w:r>
      <w:r w:rsidRPr="006B23E0">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lastRenderedPageBreak/>
        <w:t>Opportunities should be identified for students to engage with the world of work and find out more about the possibilities opened up by STEM qualifications</w:t>
      </w:r>
      <w:r w:rsidR="00F53CE5">
        <w:rPr>
          <w:rFonts w:ascii="Palatino Linotype" w:hAnsi="Palatino Linotype"/>
          <w:sz w:val="22"/>
          <w:szCs w:val="22"/>
        </w:rPr>
        <w:t xml:space="preserve">.  </w:t>
      </w:r>
      <w:r>
        <w:rPr>
          <w:rFonts w:ascii="Palatino Linotype" w:hAnsi="Palatino Linotype"/>
          <w:sz w:val="22"/>
          <w:szCs w:val="22"/>
        </w:rPr>
        <w:t>These</w:t>
      </w:r>
      <w:r w:rsidRPr="006B23E0">
        <w:rPr>
          <w:rFonts w:ascii="Palatino Linotype" w:hAnsi="Palatino Linotype"/>
          <w:sz w:val="22"/>
          <w:szCs w:val="22"/>
        </w:rPr>
        <w:t xml:space="preserve"> could include developing mentoring programmes for students that involve local employers who would act as STEM ambassadors and provide illustrations of good role models</w:t>
      </w:r>
      <w:r w:rsidR="00F53CE5">
        <w:rPr>
          <w:rFonts w:ascii="Palatino Linotype" w:hAnsi="Palatino Linotype"/>
          <w:sz w:val="22"/>
          <w:szCs w:val="22"/>
        </w:rPr>
        <w:t xml:space="preserve">.  </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i/>
          <w:sz w:val="22"/>
          <w:szCs w:val="22"/>
        </w:rPr>
      </w:pPr>
      <w:r w:rsidRPr="006B23E0">
        <w:rPr>
          <w:rFonts w:ascii="Palatino Linotype" w:hAnsi="Palatino Linotype"/>
          <w:i/>
          <w:sz w:val="22"/>
          <w:szCs w:val="22"/>
        </w:rPr>
        <w:t>Where it would be useful to know more</w:t>
      </w: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6B23E0"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6B23E0">
        <w:rPr>
          <w:rFonts w:ascii="Palatino Linotype" w:hAnsi="Palatino Linotype"/>
          <w:sz w:val="22"/>
          <w:szCs w:val="22"/>
        </w:rPr>
        <w:t>There are two particular areas which would benefit from further research, as they would provide a useful evidence base to inform decisions about systemic level change.</w:t>
      </w:r>
      <w:r w:rsidR="00FB0721">
        <w:rPr>
          <w:rFonts w:ascii="Palatino Linotype" w:hAnsi="Palatino Linotype"/>
          <w:sz w:val="22"/>
          <w:szCs w:val="22"/>
        </w:rPr>
        <w:t xml:space="preserve"> </w:t>
      </w:r>
      <w:r w:rsidRPr="006B23E0">
        <w:rPr>
          <w:rFonts w:ascii="Palatino Linotype" w:hAnsi="Palatino Linotype"/>
          <w:sz w:val="22"/>
          <w:szCs w:val="22"/>
        </w:rPr>
        <w:t xml:space="preserve"> The first of these concerns inter-school variations in levels of post-compulsory uptake of STEM subjects and factors that influence these variations</w:t>
      </w:r>
      <w:r w:rsidR="00F53CE5">
        <w:rPr>
          <w:rFonts w:ascii="Palatino Linotype" w:hAnsi="Palatino Linotype"/>
          <w:sz w:val="22"/>
          <w:szCs w:val="22"/>
        </w:rPr>
        <w:t xml:space="preserve">.  </w:t>
      </w:r>
      <w:r w:rsidRPr="006B23E0">
        <w:rPr>
          <w:rFonts w:ascii="Palatino Linotype" w:hAnsi="Palatino Linotype"/>
          <w:sz w:val="22"/>
          <w:szCs w:val="22"/>
        </w:rPr>
        <w:t xml:space="preserve">These factors would include school leadership and management, the use of single-sex groupings in </w:t>
      </w:r>
      <w:r w:rsidR="00BC353A">
        <w:rPr>
          <w:rFonts w:ascii="Palatino Linotype" w:hAnsi="Palatino Linotype"/>
          <w:sz w:val="22"/>
          <w:szCs w:val="22"/>
        </w:rPr>
        <w:t>mathematics and science</w:t>
      </w:r>
      <w:r w:rsidRPr="006B23E0">
        <w:rPr>
          <w:rFonts w:ascii="Palatino Linotype" w:hAnsi="Palatino Linotype"/>
          <w:sz w:val="22"/>
          <w:szCs w:val="22"/>
        </w:rPr>
        <w:t xml:space="preserve"> teaching, the nature and effects of careers advice, links between curriculum provision (double science, triple science, vocational courses) and uptake, the effects on students aged 14-16 of following a course emphasising scientific literacy, the effects of using contexts and applications in the teaching of mathematics, and entry requirements for post-compulsory study</w:t>
      </w:r>
      <w:r w:rsidR="00F53CE5">
        <w:rPr>
          <w:rFonts w:ascii="Palatino Linotype" w:hAnsi="Palatino Linotype"/>
          <w:sz w:val="22"/>
          <w:szCs w:val="22"/>
        </w:rPr>
        <w:t xml:space="preserve">.  </w:t>
      </w:r>
      <w:r w:rsidRPr="006B23E0">
        <w:rPr>
          <w:rFonts w:ascii="Palatino Linotype" w:hAnsi="Palatino Linotype"/>
          <w:sz w:val="22"/>
          <w:szCs w:val="22"/>
        </w:rPr>
        <w:t>The second area would be to explore the effects of a range of pedagogic approaches and learning activities with a view to establishing what engages students, particularly those in traditionally under-represented groups</w:t>
      </w:r>
      <w:r w:rsidR="00F53CE5">
        <w:rPr>
          <w:rFonts w:ascii="Palatino Linotype" w:hAnsi="Palatino Linotype"/>
          <w:sz w:val="22"/>
          <w:szCs w:val="22"/>
        </w:rPr>
        <w:t xml:space="preserve">.  </w:t>
      </w:r>
    </w:p>
    <w:p w:rsidR="00C25C31" w:rsidRDefault="00C25C31" w:rsidP="00483764">
      <w:pPr>
        <w:tabs>
          <w:tab w:val="clear" w:pos="567"/>
        </w:tabs>
        <w:overflowPunct/>
        <w:autoSpaceDE/>
        <w:autoSpaceDN/>
        <w:adjustRightInd/>
        <w:spacing w:line="240" w:lineRule="auto"/>
        <w:jc w:val="both"/>
        <w:rPr>
          <w:rFonts w:ascii="Palatino Linotype" w:hAnsi="Palatino Linotype"/>
          <w:b/>
          <w:sz w:val="22"/>
          <w:szCs w:val="22"/>
        </w:rPr>
      </w:pPr>
    </w:p>
    <w:p w:rsidR="00C25C31" w:rsidRPr="00C7105E" w:rsidRDefault="00C25C31" w:rsidP="00483764">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b/>
          <w:sz w:val="22"/>
          <w:szCs w:val="22"/>
        </w:rPr>
        <w:t>5.5</w:t>
      </w:r>
      <w:r>
        <w:rPr>
          <w:rFonts w:ascii="Palatino Linotype" w:hAnsi="Palatino Linotype"/>
          <w:b/>
          <w:sz w:val="22"/>
          <w:szCs w:val="22"/>
        </w:rPr>
        <w:tab/>
      </w:r>
      <w:r w:rsidRPr="009D5AF5">
        <w:rPr>
          <w:rFonts w:ascii="Palatino Linotype" w:hAnsi="Palatino Linotype"/>
          <w:b/>
          <w:sz w:val="22"/>
          <w:szCs w:val="22"/>
        </w:rPr>
        <w:t>Individual factors</w:t>
      </w:r>
    </w:p>
    <w:p w:rsidR="00C25C31" w:rsidRDefault="00C25C31" w:rsidP="00483764">
      <w:pPr>
        <w:tabs>
          <w:tab w:val="clear" w:pos="567"/>
        </w:tabs>
        <w:overflowPunct/>
        <w:autoSpaceDE/>
        <w:autoSpaceDN/>
        <w:adjustRightInd/>
        <w:spacing w:line="240" w:lineRule="auto"/>
        <w:jc w:val="both"/>
        <w:rPr>
          <w:rFonts w:ascii="Palatino Linotype" w:hAnsi="Palatino Linotype"/>
          <w:sz w:val="22"/>
          <w:szCs w:val="22"/>
        </w:rPr>
      </w:pPr>
    </w:p>
    <w:p w:rsidR="00C25C31" w:rsidRDefault="00C25C31" w:rsidP="00483764">
      <w:pPr>
        <w:tabs>
          <w:tab w:val="clear" w:pos="567"/>
        </w:tabs>
        <w:overflowPunct/>
        <w:autoSpaceDE/>
        <w:autoSpaceDN/>
        <w:adjustRightInd/>
        <w:spacing w:line="240" w:lineRule="auto"/>
        <w:jc w:val="both"/>
        <w:rPr>
          <w:rFonts w:ascii="Palatino Linotype" w:hAnsi="Palatino Linotype"/>
          <w:i/>
          <w:sz w:val="22"/>
          <w:szCs w:val="22"/>
        </w:rPr>
      </w:pPr>
      <w:r>
        <w:rPr>
          <w:rFonts w:ascii="Palatino Linotype" w:hAnsi="Palatino Linotype"/>
          <w:i/>
          <w:sz w:val="22"/>
          <w:szCs w:val="22"/>
        </w:rPr>
        <w:t>Students’ background</w:t>
      </w:r>
    </w:p>
    <w:p w:rsidR="00C25C31" w:rsidRDefault="00C25C31" w:rsidP="00483764">
      <w:pPr>
        <w:tabs>
          <w:tab w:val="clear" w:pos="567"/>
        </w:tabs>
        <w:overflowPunct/>
        <w:autoSpaceDE/>
        <w:autoSpaceDN/>
        <w:adjustRightInd/>
        <w:spacing w:line="240" w:lineRule="auto"/>
        <w:jc w:val="both"/>
        <w:rPr>
          <w:rFonts w:ascii="Palatino Linotype" w:hAnsi="Palatino Linotype"/>
          <w:sz w:val="22"/>
          <w:szCs w:val="22"/>
        </w:rPr>
      </w:pPr>
    </w:p>
    <w:p w:rsidR="00C25C31" w:rsidRDefault="00C25C31" w:rsidP="00483764">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sz w:val="22"/>
          <w:szCs w:val="22"/>
        </w:rPr>
        <w:t>Students</w:t>
      </w:r>
      <w:r w:rsidRPr="003C0313">
        <w:rPr>
          <w:rFonts w:ascii="Palatino Linotype" w:hAnsi="Palatino Linotype"/>
          <w:sz w:val="22"/>
          <w:szCs w:val="22"/>
        </w:rPr>
        <w:t xml:space="preserve"> who aspire to study STEM subjects</w:t>
      </w:r>
      <w:r w:rsidR="00B4485A">
        <w:rPr>
          <w:rFonts w:ascii="Palatino Linotype" w:hAnsi="Palatino Linotype"/>
          <w:sz w:val="22"/>
          <w:szCs w:val="22"/>
        </w:rPr>
        <w:t xml:space="preserve"> typically</w:t>
      </w:r>
      <w:r w:rsidRPr="003C0313">
        <w:rPr>
          <w:rFonts w:ascii="Palatino Linotype" w:hAnsi="Palatino Linotype"/>
          <w:sz w:val="22"/>
          <w:szCs w:val="22"/>
        </w:rPr>
        <w:t xml:space="preserve"> come from homes where there is a high level of science capital</w:t>
      </w:r>
      <w:r w:rsidR="00F53CE5">
        <w:rPr>
          <w:rFonts w:ascii="Palatino Linotype" w:hAnsi="Palatino Linotype"/>
          <w:sz w:val="22"/>
          <w:szCs w:val="22"/>
        </w:rPr>
        <w:t xml:space="preserve">.  </w:t>
      </w:r>
      <w:r>
        <w:rPr>
          <w:rFonts w:ascii="Palatino Linotype" w:hAnsi="Palatino Linotype"/>
          <w:sz w:val="22"/>
          <w:szCs w:val="22"/>
        </w:rPr>
        <w:t>Typically, this does not include students from minority ethnic groups, with the exception of Chinese and Indian students, and students from socially disadvantaged families</w:t>
      </w:r>
      <w:r w:rsidR="00F53CE5">
        <w:rPr>
          <w:rFonts w:ascii="Palatino Linotype" w:hAnsi="Palatino Linotype"/>
          <w:sz w:val="22"/>
          <w:szCs w:val="22"/>
        </w:rPr>
        <w:t xml:space="preserve">.  </w:t>
      </w:r>
      <w:r>
        <w:rPr>
          <w:rFonts w:ascii="Palatino Linotype" w:hAnsi="Palatino Linotype"/>
          <w:sz w:val="22"/>
          <w:szCs w:val="22"/>
        </w:rPr>
        <w:t>Although science capital appears to</w:t>
      </w:r>
      <w:r w:rsidR="00B4485A">
        <w:rPr>
          <w:rFonts w:ascii="Palatino Linotype" w:hAnsi="Palatino Linotype"/>
          <w:sz w:val="22"/>
          <w:szCs w:val="22"/>
        </w:rPr>
        <w:t xml:space="preserve"> be a particularly influential factor, many of its components relate to home environment, and are therefore not easy to influence</w:t>
      </w:r>
      <w:r w:rsidR="00F53CE5">
        <w:rPr>
          <w:rFonts w:ascii="Palatino Linotype" w:hAnsi="Palatino Linotype"/>
          <w:sz w:val="22"/>
          <w:szCs w:val="22"/>
        </w:rPr>
        <w:t xml:space="preserve">.  </w:t>
      </w:r>
      <w:r>
        <w:rPr>
          <w:rFonts w:ascii="Palatino Linotype" w:hAnsi="Palatino Linotype"/>
          <w:sz w:val="22"/>
          <w:szCs w:val="22"/>
        </w:rPr>
        <w:t>It seems likely that the most profitable course of action is to identify a range of strategies that schools can undertake to compensate for lack of science capital</w:t>
      </w:r>
      <w:r w:rsidR="00F53CE5">
        <w:rPr>
          <w:rFonts w:ascii="Palatino Linotype" w:hAnsi="Palatino Linotype"/>
          <w:sz w:val="22"/>
          <w:szCs w:val="22"/>
        </w:rPr>
        <w:t xml:space="preserve">.  </w:t>
      </w:r>
      <w:r>
        <w:rPr>
          <w:rFonts w:ascii="Palatino Linotype" w:hAnsi="Palatino Linotype"/>
          <w:sz w:val="22"/>
          <w:szCs w:val="22"/>
        </w:rPr>
        <w:t>A number of these have been identified in the previous section, and relate to engaging students and their families in STEM-focused careers activities.</w:t>
      </w:r>
    </w:p>
    <w:p w:rsidR="00C25C31" w:rsidRPr="003C0313" w:rsidRDefault="00C25C31" w:rsidP="00483764">
      <w:pPr>
        <w:tabs>
          <w:tab w:val="clear" w:pos="567"/>
        </w:tabs>
        <w:overflowPunct/>
        <w:autoSpaceDE/>
        <w:autoSpaceDN/>
        <w:adjustRightInd/>
        <w:spacing w:line="240" w:lineRule="auto"/>
        <w:jc w:val="both"/>
        <w:rPr>
          <w:rFonts w:ascii="Palatino Linotype" w:hAnsi="Palatino Linotype"/>
          <w:sz w:val="22"/>
          <w:szCs w:val="22"/>
        </w:rPr>
      </w:pPr>
      <w:r w:rsidRPr="003C0313">
        <w:rPr>
          <w:rFonts w:ascii="Palatino Linotype" w:hAnsi="Palatino Linotype"/>
          <w:sz w:val="22"/>
          <w:szCs w:val="22"/>
        </w:rPr>
        <w:t xml:space="preserve"> </w:t>
      </w:r>
    </w:p>
    <w:p w:rsidR="00C25C31" w:rsidRPr="009D5AF5" w:rsidRDefault="00C25C31" w:rsidP="00483764">
      <w:pPr>
        <w:tabs>
          <w:tab w:val="clear" w:pos="567"/>
        </w:tabs>
        <w:overflowPunct/>
        <w:autoSpaceDE/>
        <w:autoSpaceDN/>
        <w:adjustRightInd/>
        <w:spacing w:line="240" w:lineRule="auto"/>
        <w:jc w:val="both"/>
        <w:rPr>
          <w:rFonts w:ascii="Palatino Linotype" w:hAnsi="Palatino Linotype"/>
          <w:i/>
          <w:sz w:val="22"/>
          <w:szCs w:val="22"/>
        </w:rPr>
      </w:pPr>
      <w:r>
        <w:rPr>
          <w:rFonts w:ascii="Palatino Linotype" w:hAnsi="Palatino Linotype"/>
          <w:i/>
          <w:sz w:val="22"/>
          <w:szCs w:val="22"/>
        </w:rPr>
        <w:t>Students’ responses to science</w:t>
      </w:r>
    </w:p>
    <w:p w:rsidR="00C25C31" w:rsidRDefault="00C25C31" w:rsidP="00483764">
      <w:pPr>
        <w:tabs>
          <w:tab w:val="clear" w:pos="567"/>
        </w:tabs>
        <w:overflowPunct/>
        <w:autoSpaceDE/>
        <w:autoSpaceDN/>
        <w:adjustRightInd/>
        <w:spacing w:line="240" w:lineRule="auto"/>
        <w:jc w:val="both"/>
        <w:rPr>
          <w:rFonts w:ascii="Palatino Linotype" w:hAnsi="Palatino Linotype"/>
          <w:sz w:val="22"/>
          <w:szCs w:val="22"/>
        </w:rPr>
      </w:pPr>
    </w:p>
    <w:p w:rsidR="00C25C31" w:rsidRDefault="00C25C31" w:rsidP="00483764">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sz w:val="22"/>
          <w:szCs w:val="22"/>
        </w:rPr>
        <w:t>A multiplicity of studies has been undertaken documenting students’ responses to science</w:t>
      </w:r>
      <w:r w:rsidR="00F53CE5">
        <w:rPr>
          <w:rFonts w:ascii="Palatino Linotype" w:hAnsi="Palatino Linotype"/>
          <w:sz w:val="22"/>
          <w:szCs w:val="22"/>
        </w:rPr>
        <w:t xml:space="preserve">.  </w:t>
      </w:r>
      <w:r>
        <w:rPr>
          <w:rFonts w:ascii="Palatino Linotype" w:hAnsi="Palatino Linotype"/>
          <w:sz w:val="22"/>
          <w:szCs w:val="22"/>
        </w:rPr>
        <w:t>Despite some concerns over the instruments used, the findings are consistent, and suggest enough is known to make further self-report studies of students’ responses to science of limited use, unless</w:t>
      </w:r>
      <w:r w:rsidR="00B4485A">
        <w:rPr>
          <w:rFonts w:ascii="Palatino Linotype" w:hAnsi="Palatino Linotype"/>
          <w:sz w:val="22"/>
          <w:szCs w:val="22"/>
        </w:rPr>
        <w:t xml:space="preserve"> they are exploring the effects</w:t>
      </w:r>
      <w:r>
        <w:rPr>
          <w:rFonts w:ascii="Palatino Linotype" w:hAnsi="Palatino Linotype"/>
          <w:sz w:val="22"/>
          <w:szCs w:val="22"/>
        </w:rPr>
        <w:t xml:space="preserve"> of targeted interventions</w:t>
      </w:r>
      <w:r w:rsidR="00F53CE5">
        <w:rPr>
          <w:rFonts w:ascii="Palatino Linotype" w:hAnsi="Palatino Linotype"/>
          <w:sz w:val="22"/>
          <w:szCs w:val="22"/>
        </w:rPr>
        <w:t xml:space="preserve">.  </w:t>
      </w:r>
      <w:r>
        <w:rPr>
          <w:rFonts w:ascii="Palatino Linotype" w:hAnsi="Palatino Linotype"/>
          <w:sz w:val="22"/>
          <w:szCs w:val="22"/>
        </w:rPr>
        <w:t>Rather, the effort needs to be put into identifying a limited range of reliable and valid instruments to gather information on students’ responses.</w:t>
      </w:r>
    </w:p>
    <w:p w:rsidR="00C25C31" w:rsidRPr="009D5AF5" w:rsidRDefault="00C25C31" w:rsidP="00483764">
      <w:pPr>
        <w:tabs>
          <w:tab w:val="clear" w:pos="567"/>
        </w:tabs>
        <w:overflowPunct/>
        <w:autoSpaceDE/>
        <w:autoSpaceDN/>
        <w:adjustRightInd/>
        <w:spacing w:line="240" w:lineRule="auto"/>
        <w:jc w:val="both"/>
        <w:rPr>
          <w:rFonts w:ascii="Palatino Linotype" w:hAnsi="Palatino Linotype"/>
          <w:sz w:val="22"/>
          <w:szCs w:val="22"/>
        </w:rPr>
      </w:pPr>
    </w:p>
    <w:p w:rsidR="00C25C31" w:rsidRPr="00C7105E" w:rsidRDefault="00C25C31" w:rsidP="00483764">
      <w:pPr>
        <w:tabs>
          <w:tab w:val="clear" w:pos="567"/>
        </w:tabs>
        <w:overflowPunct/>
        <w:autoSpaceDE/>
        <w:autoSpaceDN/>
        <w:adjustRightInd/>
        <w:spacing w:line="240" w:lineRule="auto"/>
        <w:jc w:val="both"/>
        <w:rPr>
          <w:rFonts w:ascii="Palatino Linotype" w:hAnsi="Palatino Linotype"/>
          <w:i/>
          <w:sz w:val="22"/>
          <w:szCs w:val="22"/>
        </w:rPr>
      </w:pPr>
      <w:r w:rsidRPr="00C7105E">
        <w:rPr>
          <w:rFonts w:ascii="Palatino Linotype" w:hAnsi="Palatino Linotype"/>
          <w:i/>
          <w:sz w:val="22"/>
          <w:szCs w:val="22"/>
        </w:rPr>
        <w:t>Where it would be useful to know more</w:t>
      </w:r>
    </w:p>
    <w:p w:rsidR="00C25C31" w:rsidRPr="00C7105E" w:rsidRDefault="00C25C31" w:rsidP="00483764">
      <w:pPr>
        <w:tabs>
          <w:tab w:val="clear" w:pos="567"/>
        </w:tabs>
        <w:overflowPunct/>
        <w:autoSpaceDE/>
        <w:autoSpaceDN/>
        <w:adjustRightInd/>
        <w:spacing w:line="240" w:lineRule="auto"/>
        <w:jc w:val="both"/>
        <w:rPr>
          <w:rFonts w:ascii="Palatino Linotype" w:hAnsi="Palatino Linotype"/>
          <w:sz w:val="22"/>
          <w:szCs w:val="22"/>
        </w:rPr>
      </w:pPr>
    </w:p>
    <w:p w:rsidR="00C25C31" w:rsidRPr="00C7105E" w:rsidRDefault="00C25C31" w:rsidP="00483764">
      <w:pPr>
        <w:tabs>
          <w:tab w:val="clear" w:pos="567"/>
        </w:tabs>
        <w:overflowPunct/>
        <w:autoSpaceDE/>
        <w:autoSpaceDN/>
        <w:adjustRightInd/>
        <w:spacing w:line="240" w:lineRule="auto"/>
        <w:jc w:val="both"/>
        <w:rPr>
          <w:rFonts w:ascii="Palatino Linotype" w:hAnsi="Palatino Linotype"/>
          <w:sz w:val="22"/>
          <w:szCs w:val="22"/>
        </w:rPr>
      </w:pPr>
      <w:r w:rsidRPr="00C7105E">
        <w:rPr>
          <w:rFonts w:ascii="Palatino Linotype" w:hAnsi="Palatino Linotype"/>
          <w:sz w:val="22"/>
          <w:szCs w:val="22"/>
        </w:rPr>
        <w:t xml:space="preserve">There are </w:t>
      </w:r>
      <w:r>
        <w:rPr>
          <w:rFonts w:ascii="Palatino Linotype" w:hAnsi="Palatino Linotype"/>
          <w:sz w:val="22"/>
          <w:szCs w:val="22"/>
        </w:rPr>
        <w:t>four</w:t>
      </w:r>
      <w:r w:rsidRPr="00C7105E">
        <w:rPr>
          <w:rFonts w:ascii="Palatino Linotype" w:hAnsi="Palatino Linotype"/>
          <w:sz w:val="22"/>
          <w:szCs w:val="22"/>
        </w:rPr>
        <w:t xml:space="preserve"> particular areas where it would be useful to know more, as the evidence gathered could inform the nature and timing of targeted interventions</w:t>
      </w:r>
      <w:r w:rsidR="00F53CE5">
        <w:rPr>
          <w:rFonts w:ascii="Palatino Linotype" w:hAnsi="Palatino Linotype"/>
          <w:sz w:val="22"/>
          <w:szCs w:val="22"/>
        </w:rPr>
        <w:t xml:space="preserve">.  </w:t>
      </w:r>
      <w:r w:rsidRPr="00C7105E">
        <w:rPr>
          <w:rFonts w:ascii="Palatino Linotype" w:hAnsi="Palatino Linotype"/>
          <w:sz w:val="22"/>
          <w:szCs w:val="22"/>
        </w:rPr>
        <w:t xml:space="preserve">The first of these is a more detailed exploration of the links between </w:t>
      </w:r>
      <w:r w:rsidR="00B4485A">
        <w:rPr>
          <w:rFonts w:ascii="Palatino Linotype" w:hAnsi="Palatino Linotype"/>
          <w:sz w:val="22"/>
          <w:szCs w:val="22"/>
        </w:rPr>
        <w:t xml:space="preserve">student </w:t>
      </w:r>
      <w:r w:rsidRPr="00C7105E">
        <w:rPr>
          <w:rFonts w:ascii="Palatino Linotype" w:hAnsi="Palatino Linotype"/>
          <w:sz w:val="22"/>
          <w:szCs w:val="22"/>
        </w:rPr>
        <w:t xml:space="preserve">self-efficacy, performance, </w:t>
      </w:r>
      <w:r w:rsidRPr="00C7105E">
        <w:rPr>
          <w:rFonts w:ascii="Palatino Linotype" w:hAnsi="Palatino Linotype"/>
          <w:sz w:val="22"/>
          <w:szCs w:val="22"/>
        </w:rPr>
        <w:lastRenderedPageBreak/>
        <w:t>engagement and participation in science, drawing on the more extensive work that has already been undertaken in mathematics</w:t>
      </w:r>
      <w:r w:rsidR="00F53CE5">
        <w:rPr>
          <w:rFonts w:ascii="Palatino Linotype" w:hAnsi="Palatino Linotype"/>
          <w:sz w:val="22"/>
          <w:szCs w:val="22"/>
        </w:rPr>
        <w:t xml:space="preserve">.  </w:t>
      </w:r>
      <w:r w:rsidRPr="00C7105E">
        <w:rPr>
          <w:rFonts w:ascii="Palatino Linotype" w:hAnsi="Palatino Linotype"/>
          <w:sz w:val="22"/>
          <w:szCs w:val="22"/>
        </w:rPr>
        <w:t>The second area is the gathering of data on critical decision points in relation to subject choice, how these are shaped by attitudes, and at what point attitudes become well-established and resistant to change</w:t>
      </w:r>
      <w:r w:rsidR="00F53CE5">
        <w:rPr>
          <w:rFonts w:ascii="Palatino Linotype" w:hAnsi="Palatino Linotype"/>
          <w:sz w:val="22"/>
          <w:szCs w:val="22"/>
        </w:rPr>
        <w:t xml:space="preserve">.  </w:t>
      </w:r>
      <w:r w:rsidRPr="00C7105E">
        <w:rPr>
          <w:rFonts w:ascii="Palatino Linotype" w:hAnsi="Palatino Linotype"/>
          <w:sz w:val="22"/>
          <w:szCs w:val="22"/>
        </w:rPr>
        <w:t>Such research would, for example, help identify the age(s) when it is most useful to provide students with information on STEM-related careers</w:t>
      </w:r>
      <w:r w:rsidR="00F53CE5">
        <w:rPr>
          <w:rFonts w:ascii="Palatino Linotype" w:hAnsi="Palatino Linotype"/>
          <w:sz w:val="22"/>
          <w:szCs w:val="22"/>
        </w:rPr>
        <w:t xml:space="preserve">.  </w:t>
      </w:r>
      <w:r w:rsidRPr="00C7105E">
        <w:rPr>
          <w:rFonts w:ascii="Palatino Linotype" w:hAnsi="Palatino Linotype"/>
          <w:sz w:val="22"/>
          <w:szCs w:val="22"/>
        </w:rPr>
        <w:t>The third</w:t>
      </w:r>
      <w:r>
        <w:rPr>
          <w:rFonts w:ascii="Palatino Linotype" w:hAnsi="Palatino Linotype"/>
          <w:sz w:val="22"/>
          <w:szCs w:val="22"/>
        </w:rPr>
        <w:t xml:space="preserve"> area is to look in particular at the levels of ‘interest’ students declare they have in science, with a view to establishing why some studies report interest declining over the years of secondary schooling, whilst others suggest interest remains high</w:t>
      </w:r>
      <w:r w:rsidR="00F53CE5">
        <w:rPr>
          <w:rFonts w:ascii="Palatino Linotype" w:hAnsi="Palatino Linotype"/>
          <w:sz w:val="22"/>
          <w:szCs w:val="22"/>
        </w:rPr>
        <w:t xml:space="preserve">.  </w:t>
      </w:r>
      <w:r>
        <w:rPr>
          <w:rFonts w:ascii="Palatino Linotype" w:hAnsi="Palatino Linotype"/>
          <w:sz w:val="22"/>
          <w:szCs w:val="22"/>
        </w:rPr>
        <w:t xml:space="preserve">The final area </w:t>
      </w:r>
      <w:r w:rsidRPr="00C7105E">
        <w:rPr>
          <w:rFonts w:ascii="Palatino Linotype" w:hAnsi="Palatino Linotype"/>
          <w:sz w:val="22"/>
          <w:szCs w:val="22"/>
        </w:rPr>
        <w:t>is exploring the effects of interventions aimed at improving the participation of traditionally under-represented groups in STEM subjects</w:t>
      </w:r>
      <w:r w:rsidR="00F53CE5">
        <w:rPr>
          <w:rFonts w:ascii="Palatino Linotype" w:hAnsi="Palatino Linotype"/>
          <w:sz w:val="22"/>
          <w:szCs w:val="22"/>
        </w:rPr>
        <w:t xml:space="preserve">.  </w:t>
      </w:r>
    </w:p>
    <w:p w:rsidR="00C25C31" w:rsidRPr="00C7105E" w:rsidRDefault="00C25C31" w:rsidP="00C25C31">
      <w:pPr>
        <w:tabs>
          <w:tab w:val="clear" w:pos="567"/>
        </w:tabs>
        <w:overflowPunct/>
        <w:autoSpaceDE/>
        <w:autoSpaceDN/>
        <w:adjustRightInd/>
        <w:spacing w:line="240" w:lineRule="auto"/>
        <w:jc w:val="both"/>
        <w:rPr>
          <w:rFonts w:ascii="Palatino Linotype" w:hAnsi="Palatino Linotype"/>
          <w:b/>
          <w:sz w:val="22"/>
          <w:szCs w:val="22"/>
        </w:rPr>
      </w:pPr>
      <w:r>
        <w:rPr>
          <w:rFonts w:ascii="Palatino Linotype" w:hAnsi="Palatino Linotype"/>
          <w:b/>
          <w:sz w:val="22"/>
          <w:szCs w:val="22"/>
        </w:rPr>
        <w:t>5.6</w:t>
      </w:r>
      <w:r>
        <w:rPr>
          <w:rFonts w:ascii="Palatino Linotype" w:hAnsi="Palatino Linotype"/>
          <w:b/>
          <w:sz w:val="22"/>
          <w:szCs w:val="22"/>
        </w:rPr>
        <w:tab/>
      </w:r>
      <w:r w:rsidRPr="00C7105E">
        <w:rPr>
          <w:rFonts w:ascii="Palatino Linotype" w:hAnsi="Palatino Linotype"/>
          <w:b/>
          <w:sz w:val="22"/>
          <w:szCs w:val="22"/>
        </w:rPr>
        <w:t>External factors</w:t>
      </w:r>
    </w:p>
    <w:p w:rsidR="00C25C31" w:rsidRPr="00C7105E"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C7105E"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sidRPr="00C7105E">
        <w:rPr>
          <w:rFonts w:ascii="Palatino Linotype" w:hAnsi="Palatino Linotype"/>
          <w:sz w:val="22"/>
          <w:szCs w:val="22"/>
        </w:rPr>
        <w:t>A wide variety of external factors can influence students’ attitudes, participation and engagement in STEM subjects</w:t>
      </w:r>
      <w:r w:rsidR="00F53CE5">
        <w:rPr>
          <w:rFonts w:ascii="Palatino Linotype" w:hAnsi="Palatino Linotype"/>
          <w:sz w:val="22"/>
          <w:szCs w:val="22"/>
        </w:rPr>
        <w:t xml:space="preserve">.  </w:t>
      </w:r>
      <w:proofErr w:type="gramStart"/>
      <w:r w:rsidR="00B4485A">
        <w:rPr>
          <w:rFonts w:ascii="Palatino Linotype" w:hAnsi="Palatino Linotype"/>
          <w:sz w:val="22"/>
          <w:szCs w:val="22"/>
        </w:rPr>
        <w:t>Activities</w:t>
      </w:r>
      <w:r w:rsidRPr="00C7105E">
        <w:rPr>
          <w:rFonts w:ascii="Palatino Linotype" w:hAnsi="Palatino Linotype"/>
          <w:sz w:val="22"/>
          <w:szCs w:val="22"/>
        </w:rPr>
        <w:t xml:space="preserve"> that are intentionally structured to engage students and their families with STEM-related matters, such as science fairs and festivals, science centres and museum visits, are likely to have some beneficial effects</w:t>
      </w:r>
      <w:r w:rsidR="00F53CE5">
        <w:rPr>
          <w:rFonts w:ascii="Palatino Linotype" w:hAnsi="Palatino Linotype"/>
          <w:sz w:val="22"/>
          <w:szCs w:val="22"/>
        </w:rPr>
        <w:t>.</w:t>
      </w:r>
      <w:proofErr w:type="gramEnd"/>
      <w:r w:rsidR="00F53CE5">
        <w:rPr>
          <w:rFonts w:ascii="Palatino Linotype" w:hAnsi="Palatino Linotype"/>
          <w:sz w:val="22"/>
          <w:szCs w:val="22"/>
        </w:rPr>
        <w:t xml:space="preserve">  </w:t>
      </w:r>
      <w:r w:rsidRPr="00C7105E">
        <w:rPr>
          <w:rFonts w:ascii="Palatino Linotype" w:hAnsi="Palatino Linotype"/>
          <w:sz w:val="22"/>
          <w:szCs w:val="22"/>
        </w:rPr>
        <w:t>There is no doubt that groups committed to providing such experiences consider them to have</w:t>
      </w:r>
      <w:r>
        <w:rPr>
          <w:rFonts w:ascii="Palatino Linotype" w:hAnsi="Palatino Linotype"/>
          <w:sz w:val="22"/>
          <w:szCs w:val="22"/>
        </w:rPr>
        <w:t xml:space="preserve"> current and future benefits</w:t>
      </w:r>
      <w:r w:rsidR="00F53CE5">
        <w:rPr>
          <w:rFonts w:ascii="Palatino Linotype" w:hAnsi="Palatino Linotype"/>
          <w:sz w:val="22"/>
          <w:szCs w:val="22"/>
        </w:rPr>
        <w:t xml:space="preserve">.  </w:t>
      </w:r>
      <w:r w:rsidRPr="00C7105E">
        <w:rPr>
          <w:rFonts w:ascii="Palatino Linotype" w:hAnsi="Palatino Linotype"/>
          <w:sz w:val="22"/>
          <w:szCs w:val="22"/>
        </w:rPr>
        <w:t>However, very little exists in the way of systemat</w:t>
      </w:r>
      <w:r w:rsidR="00B4485A">
        <w:rPr>
          <w:rFonts w:ascii="Palatino Linotype" w:hAnsi="Palatino Linotype"/>
          <w:sz w:val="22"/>
          <w:szCs w:val="22"/>
        </w:rPr>
        <w:t>ic evidence of the</w:t>
      </w:r>
      <w:r w:rsidRPr="00C7105E">
        <w:rPr>
          <w:rFonts w:ascii="Palatino Linotype" w:hAnsi="Palatino Linotype"/>
          <w:sz w:val="22"/>
          <w:szCs w:val="22"/>
        </w:rPr>
        <w:t xml:space="preserve"> effects, and it is not easy to see how this might happen</w:t>
      </w:r>
      <w:r w:rsidR="00F53CE5">
        <w:rPr>
          <w:rFonts w:ascii="Palatino Linotype" w:hAnsi="Palatino Linotype"/>
          <w:sz w:val="22"/>
          <w:szCs w:val="22"/>
        </w:rPr>
        <w:t xml:space="preserve">.  </w:t>
      </w:r>
      <w:r w:rsidRPr="00C7105E">
        <w:rPr>
          <w:rFonts w:ascii="Palatino Linotype" w:hAnsi="Palatino Linotype"/>
          <w:sz w:val="22"/>
          <w:szCs w:val="22"/>
        </w:rPr>
        <w:t>The diversity of providers and events makes co-ordination of research and evaluation very difficult</w:t>
      </w:r>
      <w:r w:rsidR="00F53CE5">
        <w:rPr>
          <w:rFonts w:ascii="Palatino Linotype" w:hAnsi="Palatino Linotype"/>
          <w:sz w:val="22"/>
          <w:szCs w:val="22"/>
        </w:rPr>
        <w:t xml:space="preserve">.  </w:t>
      </w:r>
      <w:r w:rsidRPr="00C7105E">
        <w:rPr>
          <w:rFonts w:ascii="Palatino Linotype" w:hAnsi="Palatino Linotype"/>
          <w:sz w:val="22"/>
          <w:szCs w:val="22"/>
        </w:rPr>
        <w:t>The most feasible way ahead would seem to be to work with some of the larger groups offering such events to assess the feasibility of a more co-ordinated appr</w:t>
      </w:r>
      <w:r w:rsidR="00B65842">
        <w:rPr>
          <w:rFonts w:ascii="Palatino Linotype" w:hAnsi="Palatino Linotype"/>
          <w:sz w:val="22"/>
          <w:szCs w:val="22"/>
        </w:rPr>
        <w:t>oach to assessing th</w:t>
      </w:r>
      <w:r w:rsidR="0008451B">
        <w:rPr>
          <w:rFonts w:ascii="Palatino Linotype" w:hAnsi="Palatino Linotype"/>
          <w:sz w:val="22"/>
          <w:szCs w:val="22"/>
        </w:rPr>
        <w:t>eir effects, and to see what</w:t>
      </w:r>
      <w:r w:rsidR="00B65842">
        <w:rPr>
          <w:rFonts w:ascii="Palatino Linotype" w:hAnsi="Palatino Linotype"/>
          <w:sz w:val="22"/>
          <w:szCs w:val="22"/>
        </w:rPr>
        <w:t xml:space="preserve"> scope there might be for the formal school</w:t>
      </w:r>
      <w:r w:rsidR="00B65842" w:rsidRPr="00B65842">
        <w:rPr>
          <w:rFonts w:ascii="Palatino Linotype" w:hAnsi="Palatino Linotype"/>
          <w:sz w:val="22"/>
          <w:szCs w:val="22"/>
        </w:rPr>
        <w:t xml:space="preserve"> sector to learn from ways in which STEM is communicated successfully in informal settings</w:t>
      </w:r>
      <w:r w:rsidR="00F53CE5">
        <w:rPr>
          <w:rFonts w:ascii="Palatino Linotype" w:hAnsi="Palatino Linotype"/>
          <w:sz w:val="22"/>
          <w:szCs w:val="22"/>
        </w:rPr>
        <w:t xml:space="preserve">.  </w:t>
      </w:r>
    </w:p>
    <w:p w:rsidR="00C25C31"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C659FB" w:rsidRDefault="00C25C31" w:rsidP="00C25C31">
      <w:pPr>
        <w:tabs>
          <w:tab w:val="clear" w:pos="567"/>
        </w:tabs>
        <w:overflowPunct/>
        <w:autoSpaceDE/>
        <w:autoSpaceDN/>
        <w:adjustRightInd/>
        <w:spacing w:line="240" w:lineRule="auto"/>
        <w:jc w:val="both"/>
        <w:rPr>
          <w:rFonts w:ascii="Palatino Linotype" w:hAnsi="Palatino Linotype"/>
          <w:b/>
          <w:sz w:val="22"/>
          <w:szCs w:val="22"/>
        </w:rPr>
      </w:pPr>
      <w:r>
        <w:rPr>
          <w:rFonts w:ascii="Palatino Linotype" w:hAnsi="Palatino Linotype"/>
          <w:b/>
          <w:sz w:val="22"/>
          <w:szCs w:val="22"/>
        </w:rPr>
        <w:t>5.7</w:t>
      </w:r>
      <w:r>
        <w:rPr>
          <w:rFonts w:ascii="Palatino Linotype" w:hAnsi="Palatino Linotype"/>
          <w:b/>
          <w:sz w:val="22"/>
          <w:szCs w:val="22"/>
        </w:rPr>
        <w:tab/>
      </w:r>
      <w:r w:rsidRPr="00C659FB">
        <w:rPr>
          <w:rFonts w:ascii="Palatino Linotype" w:hAnsi="Palatino Linotype"/>
          <w:b/>
          <w:sz w:val="22"/>
          <w:szCs w:val="22"/>
        </w:rPr>
        <w:t>Methodological considerations</w:t>
      </w:r>
    </w:p>
    <w:p w:rsidR="00C25C31" w:rsidRPr="00C659FB"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sz w:val="22"/>
          <w:szCs w:val="22"/>
        </w:rPr>
        <w:t xml:space="preserve">There are two particular ways in which the research </w:t>
      </w:r>
      <w:r w:rsidRPr="00404307">
        <w:rPr>
          <w:rFonts w:ascii="Palatino Linotype" w:hAnsi="Palatino Linotype"/>
          <w:sz w:val="22"/>
          <w:szCs w:val="22"/>
        </w:rPr>
        <w:t>on attitudes and engagement n</w:t>
      </w:r>
      <w:r>
        <w:rPr>
          <w:rFonts w:ascii="Palatino Linotype" w:hAnsi="Palatino Linotype"/>
          <w:sz w:val="22"/>
          <w:szCs w:val="22"/>
        </w:rPr>
        <w:t>eeds to evolve, and each</w:t>
      </w:r>
      <w:r w:rsidRPr="00EA489B">
        <w:rPr>
          <w:rFonts w:ascii="Palatino Linotype" w:hAnsi="Palatino Linotype"/>
          <w:sz w:val="22"/>
          <w:szCs w:val="22"/>
        </w:rPr>
        <w:t xml:space="preserve"> </w:t>
      </w:r>
      <w:r>
        <w:rPr>
          <w:rFonts w:ascii="Palatino Linotype" w:hAnsi="Palatino Linotype"/>
          <w:sz w:val="22"/>
          <w:szCs w:val="22"/>
        </w:rPr>
        <w:t>has a direct bearing on the quality of evaluation of targeted interventions</w:t>
      </w:r>
      <w:r w:rsidR="00F53CE5">
        <w:rPr>
          <w:rFonts w:ascii="Palatino Linotype" w:hAnsi="Palatino Linotype"/>
          <w:sz w:val="22"/>
          <w:szCs w:val="22"/>
        </w:rPr>
        <w:t xml:space="preserve">.  </w:t>
      </w:r>
    </w:p>
    <w:p w:rsidR="00C25C31"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C25C31" w:rsidRPr="00CB73B7" w:rsidRDefault="00C25C31" w:rsidP="00C25C31">
      <w:pPr>
        <w:tabs>
          <w:tab w:val="clear" w:pos="567"/>
        </w:tabs>
        <w:overflowPunct/>
        <w:autoSpaceDE/>
        <w:autoSpaceDN/>
        <w:adjustRightInd/>
        <w:spacing w:line="240" w:lineRule="auto"/>
        <w:jc w:val="both"/>
        <w:rPr>
          <w:rFonts w:ascii="Palatino Linotype" w:hAnsi="Palatino Linotype"/>
          <w:sz w:val="22"/>
          <w:szCs w:val="22"/>
        </w:rPr>
      </w:pPr>
      <w:r>
        <w:rPr>
          <w:rFonts w:ascii="Palatino Linotype" w:hAnsi="Palatino Linotype"/>
          <w:sz w:val="22"/>
          <w:szCs w:val="22"/>
        </w:rPr>
        <w:t>Firstly</w:t>
      </w:r>
      <w:r w:rsidRPr="00CB73B7">
        <w:rPr>
          <w:rFonts w:ascii="Palatino Linotype" w:hAnsi="Palatino Linotype"/>
          <w:sz w:val="22"/>
          <w:szCs w:val="22"/>
        </w:rPr>
        <w:t>,</w:t>
      </w:r>
      <w:r>
        <w:rPr>
          <w:rFonts w:ascii="Palatino Linotype" w:hAnsi="Palatino Linotype"/>
          <w:sz w:val="22"/>
          <w:szCs w:val="22"/>
        </w:rPr>
        <w:t xml:space="preserve"> the</w:t>
      </w:r>
      <w:r w:rsidR="00B4485A">
        <w:rPr>
          <w:rFonts w:ascii="Palatino Linotype" w:hAnsi="Palatino Linotype"/>
          <w:sz w:val="22"/>
          <w:szCs w:val="22"/>
        </w:rPr>
        <w:t xml:space="preserve"> approach, or approaches, to </w:t>
      </w:r>
      <w:r>
        <w:rPr>
          <w:rFonts w:ascii="Palatino Linotype" w:hAnsi="Palatino Linotype"/>
          <w:sz w:val="22"/>
          <w:szCs w:val="22"/>
        </w:rPr>
        <w:t>evaluation need to be considered</w:t>
      </w:r>
      <w:r w:rsidR="00F53CE5">
        <w:rPr>
          <w:rFonts w:ascii="Palatino Linotype" w:hAnsi="Palatino Linotype"/>
          <w:sz w:val="22"/>
          <w:szCs w:val="22"/>
        </w:rPr>
        <w:t xml:space="preserve">.  </w:t>
      </w:r>
      <w:r>
        <w:rPr>
          <w:rFonts w:ascii="Palatino Linotype" w:hAnsi="Palatino Linotype"/>
          <w:sz w:val="22"/>
          <w:szCs w:val="22"/>
        </w:rPr>
        <w:t>The use of experimental methods and, in particular Randomised Controlled Trials (RCTs), has received considerable attention in recent years, with some groups viewing them as the only way to gather evidence of ‘what works’</w:t>
      </w:r>
      <w:r w:rsidR="00F53CE5">
        <w:rPr>
          <w:rFonts w:ascii="Palatino Linotype" w:hAnsi="Palatino Linotype"/>
          <w:sz w:val="22"/>
          <w:szCs w:val="22"/>
        </w:rPr>
        <w:t xml:space="preserve">.  </w:t>
      </w:r>
      <w:r>
        <w:rPr>
          <w:rFonts w:ascii="Palatino Linotype" w:hAnsi="Palatino Linotype"/>
          <w:sz w:val="22"/>
          <w:szCs w:val="22"/>
        </w:rPr>
        <w:t>However, it needs to be recognised that large-scale systemic change is unlikely to lend itself to such experimental approaches</w:t>
      </w:r>
      <w:r w:rsidR="00F53CE5">
        <w:rPr>
          <w:rFonts w:ascii="Palatino Linotype" w:hAnsi="Palatino Linotype"/>
          <w:sz w:val="22"/>
          <w:szCs w:val="22"/>
        </w:rPr>
        <w:t xml:space="preserve">.  </w:t>
      </w:r>
      <w:r>
        <w:rPr>
          <w:rFonts w:ascii="Palatino Linotype" w:hAnsi="Palatino Linotype"/>
          <w:sz w:val="22"/>
          <w:szCs w:val="22"/>
        </w:rPr>
        <w:t>Rather, the approach is more akin to engineering, where decisions will be informed by a variety of evidence in order to implement what is hoped will be the optimal solution</w:t>
      </w:r>
      <w:r w:rsidR="00F53CE5">
        <w:rPr>
          <w:rFonts w:ascii="Palatino Linotype" w:hAnsi="Palatino Linotype"/>
          <w:sz w:val="22"/>
          <w:szCs w:val="22"/>
        </w:rPr>
        <w:t xml:space="preserve">.  </w:t>
      </w:r>
      <w:r>
        <w:rPr>
          <w:rFonts w:ascii="Palatino Linotype" w:hAnsi="Palatino Linotype"/>
          <w:sz w:val="22"/>
          <w:szCs w:val="22"/>
        </w:rPr>
        <w:t>However, within this, there will certainly be a number of areas where it would be useful and important to d</w:t>
      </w:r>
      <w:r w:rsidRPr="00CB73B7">
        <w:rPr>
          <w:rFonts w:ascii="Palatino Linotype" w:hAnsi="Palatino Linotype"/>
          <w:sz w:val="22"/>
          <w:szCs w:val="22"/>
        </w:rPr>
        <w:t>evelop and test targeted interventions, initially on a small scale to test ‘proof-of-principle’, with a view to testing on a larger scale if the initial evidence suggests the intervention may be having the desired effects</w:t>
      </w:r>
      <w:r w:rsidR="00F53CE5">
        <w:rPr>
          <w:rFonts w:ascii="Palatino Linotype" w:hAnsi="Palatino Linotype"/>
          <w:sz w:val="22"/>
          <w:szCs w:val="22"/>
        </w:rPr>
        <w:t xml:space="preserve">.  </w:t>
      </w:r>
      <w:r w:rsidRPr="00CB73B7">
        <w:rPr>
          <w:rFonts w:ascii="Palatino Linotype" w:hAnsi="Palatino Linotype"/>
          <w:sz w:val="22"/>
          <w:szCs w:val="22"/>
        </w:rPr>
        <w:t xml:space="preserve">Such larger-scale testing </w:t>
      </w:r>
      <w:r>
        <w:rPr>
          <w:rFonts w:ascii="Palatino Linotype" w:hAnsi="Palatino Linotype"/>
          <w:sz w:val="22"/>
          <w:szCs w:val="22"/>
        </w:rPr>
        <w:t xml:space="preserve">should involve a mixed methods approach, which could </w:t>
      </w:r>
      <w:r w:rsidRPr="00CB73B7">
        <w:rPr>
          <w:rFonts w:ascii="Palatino Linotype" w:hAnsi="Palatino Linotype"/>
          <w:sz w:val="22"/>
          <w:szCs w:val="22"/>
        </w:rPr>
        <w:t xml:space="preserve">involve the use of </w:t>
      </w:r>
      <w:r>
        <w:rPr>
          <w:rFonts w:ascii="Palatino Linotype" w:hAnsi="Palatino Linotype"/>
          <w:sz w:val="22"/>
          <w:szCs w:val="22"/>
        </w:rPr>
        <w:t>RCTs, supplemented by case studies of practice to illuminate the experimental data.</w:t>
      </w:r>
      <w:r w:rsidR="00FB0721">
        <w:rPr>
          <w:rFonts w:ascii="Palatino Linotype" w:hAnsi="Palatino Linotype"/>
          <w:sz w:val="22"/>
          <w:szCs w:val="22"/>
        </w:rPr>
        <w:t xml:space="preserve"> </w:t>
      </w:r>
      <w:r>
        <w:rPr>
          <w:rFonts w:ascii="Palatino Linotype" w:hAnsi="Palatino Linotype"/>
          <w:sz w:val="22"/>
          <w:szCs w:val="22"/>
        </w:rPr>
        <w:t xml:space="preserve"> </w:t>
      </w:r>
      <w:r w:rsidRPr="00404307">
        <w:rPr>
          <w:rFonts w:ascii="Palatino Linotype" w:hAnsi="Palatino Linotype"/>
          <w:sz w:val="22"/>
          <w:szCs w:val="22"/>
        </w:rPr>
        <w:t>For example, a targeted intervention aimed at improving levels of self-effica</w:t>
      </w:r>
      <w:r w:rsidR="00B4485A">
        <w:rPr>
          <w:rFonts w:ascii="Palatino Linotype" w:hAnsi="Palatino Linotype"/>
          <w:sz w:val="22"/>
          <w:szCs w:val="22"/>
        </w:rPr>
        <w:t>cy, or at exploring the effects</w:t>
      </w:r>
      <w:r w:rsidRPr="00404307">
        <w:rPr>
          <w:rFonts w:ascii="Palatino Linotype" w:hAnsi="Palatino Linotype"/>
          <w:sz w:val="22"/>
          <w:szCs w:val="22"/>
        </w:rPr>
        <w:t xml:space="preserve"> of providing particular form</w:t>
      </w:r>
      <w:r>
        <w:rPr>
          <w:rFonts w:ascii="Palatino Linotype" w:hAnsi="Palatino Linotype"/>
          <w:sz w:val="22"/>
          <w:szCs w:val="22"/>
        </w:rPr>
        <w:t>s of care</w:t>
      </w:r>
      <w:r w:rsidR="00B4485A">
        <w:rPr>
          <w:rFonts w:ascii="Palatino Linotype" w:hAnsi="Palatino Linotype"/>
          <w:sz w:val="22"/>
          <w:szCs w:val="22"/>
        </w:rPr>
        <w:t>e</w:t>
      </w:r>
      <w:r>
        <w:rPr>
          <w:rFonts w:ascii="Palatino Linotype" w:hAnsi="Palatino Linotype"/>
          <w:sz w:val="22"/>
          <w:szCs w:val="22"/>
        </w:rPr>
        <w:t>rs guidance, would lend</w:t>
      </w:r>
      <w:r w:rsidRPr="00404307">
        <w:rPr>
          <w:rFonts w:ascii="Palatino Linotype" w:hAnsi="Palatino Linotype"/>
          <w:sz w:val="22"/>
          <w:szCs w:val="22"/>
        </w:rPr>
        <w:t xml:space="preserve"> </w:t>
      </w:r>
      <w:proofErr w:type="gramStart"/>
      <w:r w:rsidRPr="00404307">
        <w:rPr>
          <w:rFonts w:ascii="Palatino Linotype" w:hAnsi="Palatino Linotype"/>
          <w:sz w:val="22"/>
          <w:szCs w:val="22"/>
        </w:rPr>
        <w:t>themselves</w:t>
      </w:r>
      <w:proofErr w:type="gramEnd"/>
      <w:r w:rsidRPr="00404307">
        <w:rPr>
          <w:rFonts w:ascii="Palatino Linotype" w:hAnsi="Palatino Linotype"/>
          <w:sz w:val="22"/>
          <w:szCs w:val="22"/>
        </w:rPr>
        <w:t xml:space="preserve"> to this approach</w:t>
      </w:r>
      <w:r w:rsidR="00F53CE5">
        <w:rPr>
          <w:rFonts w:ascii="Palatino Linotype" w:hAnsi="Palatino Linotype"/>
          <w:sz w:val="22"/>
          <w:szCs w:val="22"/>
        </w:rPr>
        <w:t xml:space="preserve">.  </w:t>
      </w:r>
      <w:r>
        <w:rPr>
          <w:rFonts w:ascii="Palatino Linotype" w:hAnsi="Palatino Linotype"/>
          <w:sz w:val="22"/>
          <w:szCs w:val="22"/>
        </w:rPr>
        <w:t xml:space="preserve">In this context, </w:t>
      </w:r>
      <w:r w:rsidRPr="00CB73B7">
        <w:rPr>
          <w:rFonts w:ascii="Palatino Linotype" w:hAnsi="Palatino Linotype"/>
          <w:sz w:val="22"/>
          <w:szCs w:val="22"/>
        </w:rPr>
        <w:t>note should be taken of the potential offered by large scale data sets such as the National Pupil Database, in providing a sampling frame for more rigorous research design</w:t>
      </w:r>
      <w:r w:rsidR="00F53CE5">
        <w:rPr>
          <w:rFonts w:ascii="Palatino Linotype" w:hAnsi="Palatino Linotype"/>
          <w:sz w:val="22"/>
          <w:szCs w:val="22"/>
        </w:rPr>
        <w:t xml:space="preserve">.  </w:t>
      </w:r>
    </w:p>
    <w:p w:rsidR="00C25C31" w:rsidRDefault="00C25C31" w:rsidP="00C25C31">
      <w:pPr>
        <w:tabs>
          <w:tab w:val="clear" w:pos="567"/>
        </w:tabs>
        <w:overflowPunct/>
        <w:autoSpaceDE/>
        <w:autoSpaceDN/>
        <w:adjustRightInd/>
        <w:spacing w:line="240" w:lineRule="auto"/>
        <w:jc w:val="both"/>
        <w:rPr>
          <w:rFonts w:ascii="Palatino Linotype" w:hAnsi="Palatino Linotype"/>
          <w:sz w:val="22"/>
          <w:szCs w:val="22"/>
        </w:rPr>
      </w:pPr>
    </w:p>
    <w:p w:rsidR="002F233B" w:rsidRPr="00E041F3" w:rsidRDefault="00C25C31" w:rsidP="00E84864">
      <w:pPr>
        <w:tabs>
          <w:tab w:val="clear" w:pos="567"/>
        </w:tabs>
        <w:overflowPunct/>
        <w:autoSpaceDE/>
        <w:autoSpaceDN/>
        <w:adjustRightInd/>
        <w:spacing w:line="240" w:lineRule="auto"/>
        <w:jc w:val="both"/>
        <w:rPr>
          <w:rFonts w:ascii="Palatino Linotype" w:hAnsi="Palatino Linotype"/>
          <w:b/>
          <w:color w:val="1F497D" w:themeColor="text2"/>
          <w:sz w:val="22"/>
          <w:szCs w:val="22"/>
        </w:rPr>
      </w:pPr>
      <w:r>
        <w:rPr>
          <w:rFonts w:ascii="Palatino Linotype" w:hAnsi="Palatino Linotype"/>
          <w:sz w:val="22"/>
          <w:szCs w:val="22"/>
        </w:rPr>
        <w:lastRenderedPageBreak/>
        <w:t>Secondly, a</w:t>
      </w:r>
      <w:r w:rsidRPr="00CB73B7">
        <w:rPr>
          <w:rFonts w:ascii="Palatino Linotype" w:hAnsi="Palatino Linotype"/>
          <w:sz w:val="22"/>
          <w:szCs w:val="22"/>
        </w:rPr>
        <w:t xml:space="preserve"> crucial element in the evaluation of any interventions is the use of sound measures to assess effects, and repeat studies to build up a solid evidence base</w:t>
      </w:r>
      <w:r w:rsidR="00F53CE5">
        <w:rPr>
          <w:rFonts w:ascii="Palatino Linotype" w:hAnsi="Palatino Linotype"/>
          <w:sz w:val="22"/>
          <w:szCs w:val="22"/>
        </w:rPr>
        <w:t xml:space="preserve">.  </w:t>
      </w:r>
      <w:r w:rsidRPr="00CB73B7">
        <w:rPr>
          <w:rFonts w:ascii="Palatino Linotype" w:hAnsi="Palatino Linotype"/>
          <w:sz w:val="22"/>
          <w:szCs w:val="22"/>
        </w:rPr>
        <w:t>Thus there is much to be gained from pulling together and evaluating the quality of a range of instruments to assess attitudes and related constructs (such as self-efficacy)</w:t>
      </w:r>
      <w:r w:rsidR="00F53CE5">
        <w:rPr>
          <w:rFonts w:ascii="Palatino Linotype" w:hAnsi="Palatino Linotype"/>
          <w:sz w:val="22"/>
          <w:szCs w:val="22"/>
        </w:rPr>
        <w:t xml:space="preserve">.  </w:t>
      </w:r>
      <w:r w:rsidRPr="00CB73B7">
        <w:rPr>
          <w:rFonts w:ascii="Palatino Linotype" w:hAnsi="Palatino Linotype"/>
          <w:sz w:val="22"/>
          <w:szCs w:val="22"/>
        </w:rPr>
        <w:t>The quality of such instruments could be judge on the basis of criteria such as those employed in EPPI systematic reviews</w:t>
      </w:r>
      <w:r w:rsidR="00F53CE5">
        <w:rPr>
          <w:rFonts w:ascii="Palatino Linotype" w:hAnsi="Palatino Linotype"/>
          <w:sz w:val="22"/>
          <w:szCs w:val="22"/>
        </w:rPr>
        <w:t xml:space="preserve">.  </w:t>
      </w:r>
      <w:r w:rsidRPr="00CB73B7">
        <w:rPr>
          <w:rFonts w:ascii="Palatino Linotype" w:hAnsi="Palatino Linotype"/>
          <w:sz w:val="22"/>
          <w:szCs w:val="22"/>
        </w:rPr>
        <w:t xml:space="preserve">Putting together a </w:t>
      </w:r>
      <w:r>
        <w:rPr>
          <w:rFonts w:ascii="Palatino Linotype" w:hAnsi="Palatino Linotype"/>
          <w:sz w:val="22"/>
          <w:szCs w:val="22"/>
        </w:rPr>
        <w:t>bank</w:t>
      </w:r>
      <w:r w:rsidRPr="00CB73B7">
        <w:rPr>
          <w:rFonts w:ascii="Palatino Linotype" w:hAnsi="Palatino Linotype"/>
          <w:sz w:val="22"/>
          <w:szCs w:val="22"/>
        </w:rPr>
        <w:t xml:space="preserve"> of high quality</w:t>
      </w:r>
      <w:r>
        <w:rPr>
          <w:rFonts w:ascii="Palatino Linotype" w:hAnsi="Palatino Linotype"/>
          <w:sz w:val="22"/>
          <w:szCs w:val="22"/>
        </w:rPr>
        <w:t>,</w:t>
      </w:r>
      <w:r w:rsidRPr="00CB73B7">
        <w:rPr>
          <w:rFonts w:ascii="Palatino Linotype" w:hAnsi="Palatino Linotype"/>
          <w:sz w:val="22"/>
          <w:szCs w:val="22"/>
        </w:rPr>
        <w:t xml:space="preserve"> reliable and valid instruments with sound psychometric underpinning would be challenging but, ultimately, enhance the quality of the research evidence on attitudes and engagement in STEM subjects</w:t>
      </w:r>
      <w:r w:rsidR="00F53CE5">
        <w:rPr>
          <w:rFonts w:ascii="Palatino Linotype" w:hAnsi="Palatino Linotype"/>
          <w:sz w:val="22"/>
          <w:szCs w:val="22"/>
        </w:rPr>
        <w:t xml:space="preserve">.  </w:t>
      </w:r>
      <w:r>
        <w:rPr>
          <w:rFonts w:ascii="Palatino Linotype" w:hAnsi="Palatino Linotype"/>
          <w:sz w:val="22"/>
          <w:szCs w:val="22"/>
        </w:rPr>
        <w:t>Such a bank should be made publicly available, and ideally contain a core of items to be used in the evaluation of interventions in order to facilitate comparisons between studies.</w:t>
      </w:r>
      <w:r w:rsidR="002F233B" w:rsidRPr="00E041F3">
        <w:rPr>
          <w:rFonts w:ascii="Palatino Linotype" w:hAnsi="Palatino Linotype"/>
          <w:b/>
          <w:color w:val="1F497D" w:themeColor="text2"/>
          <w:sz w:val="22"/>
          <w:szCs w:val="22"/>
        </w:rPr>
        <w:br w:type="page"/>
      </w:r>
    </w:p>
    <w:p w:rsidR="00934137" w:rsidRPr="00401A02" w:rsidRDefault="00934137" w:rsidP="000323CF">
      <w:pPr>
        <w:tabs>
          <w:tab w:val="clear" w:pos="567"/>
          <w:tab w:val="left" w:pos="720"/>
        </w:tabs>
        <w:overflowPunct/>
        <w:autoSpaceDE/>
        <w:adjustRightInd/>
        <w:spacing w:line="240" w:lineRule="auto"/>
        <w:jc w:val="both"/>
        <w:rPr>
          <w:rFonts w:ascii="Palatino Linotype" w:hAnsi="Palatino Linotype"/>
          <w:color w:val="1F497D" w:themeColor="text2"/>
          <w:sz w:val="28"/>
          <w:szCs w:val="22"/>
        </w:rPr>
      </w:pPr>
      <w:r w:rsidRPr="00401A02">
        <w:rPr>
          <w:rFonts w:ascii="Palatino Linotype" w:hAnsi="Palatino Linotype"/>
          <w:b/>
          <w:color w:val="1F497D" w:themeColor="text2"/>
          <w:sz w:val="28"/>
          <w:szCs w:val="22"/>
        </w:rPr>
        <w:lastRenderedPageBreak/>
        <w:t>References</w:t>
      </w:r>
    </w:p>
    <w:p w:rsidR="00934137" w:rsidRPr="007F6BC6" w:rsidRDefault="00934137" w:rsidP="000323CF">
      <w:pPr>
        <w:spacing w:line="240" w:lineRule="auto"/>
        <w:ind w:left="426" w:hanging="426"/>
        <w:jc w:val="both"/>
        <w:rPr>
          <w:rFonts w:ascii="Palatino Linotype" w:hAnsi="Palatino Linotype"/>
          <w:sz w:val="22"/>
          <w:szCs w:val="22"/>
        </w:rPr>
      </w:pPr>
    </w:p>
    <w:p w:rsidR="00934137" w:rsidRPr="007F6BC6" w:rsidRDefault="00934137" w:rsidP="000323CF">
      <w:pPr>
        <w:tabs>
          <w:tab w:val="left" w:pos="720"/>
        </w:tabs>
        <w:ind w:left="284" w:hanging="284"/>
        <w:jc w:val="both"/>
        <w:rPr>
          <w:rFonts w:ascii="Palatino Linotype" w:hAnsi="Palatino Linotype" w:cs="Verdana"/>
          <w:szCs w:val="22"/>
          <w:lang w:eastAsia="en-GB"/>
        </w:rPr>
      </w:pPr>
      <w:r w:rsidRPr="007F6BC6">
        <w:rPr>
          <w:rFonts w:ascii="Palatino Linotype" w:hAnsi="Palatino Linotype" w:cs="Verdana"/>
          <w:szCs w:val="22"/>
          <w:lang w:eastAsia="en-GB"/>
        </w:rPr>
        <w:t>Archer, L., Osborne, J. De Witt, J, Willis, B. and Wong, B.</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(2013)</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The ASPIRES project</w:t>
      </w:r>
      <w:r w:rsidRPr="007F6BC6">
        <w:rPr>
          <w:rFonts w:ascii="Palatino Linotype" w:hAnsi="Palatino Linotype"/>
          <w:sz w:val="22"/>
          <w:szCs w:val="24"/>
          <w:lang w:eastAsia="en-GB"/>
        </w:rPr>
        <w:t xml:space="preserve"> </w:t>
      </w:r>
      <w:r w:rsidRPr="007F6BC6">
        <w:rPr>
          <w:rFonts w:ascii="Palatino Linotype" w:hAnsi="Palatino Linotype" w:cs="Verdana"/>
          <w:szCs w:val="22"/>
          <w:lang w:eastAsia="en-GB"/>
        </w:rPr>
        <w:t>(Children’s science and car</w:t>
      </w:r>
      <w:r w:rsidR="00C14BF6" w:rsidRPr="007F6BC6">
        <w:rPr>
          <w:rFonts w:ascii="Palatino Linotype" w:hAnsi="Palatino Linotype" w:cs="Verdana"/>
          <w:szCs w:val="22"/>
          <w:lang w:eastAsia="en-GB"/>
        </w:rPr>
        <w:t>eers’ aspirations, age 10-14): Interim r</w:t>
      </w:r>
      <w:r w:rsidRPr="007F6BC6">
        <w:rPr>
          <w:rFonts w:ascii="Palatino Linotype" w:hAnsi="Palatino Linotype" w:cs="Verdana"/>
          <w:szCs w:val="22"/>
          <w:lang w:eastAsia="en-GB"/>
        </w:rPr>
        <w:t>esearch report summary (2013).</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 xml:space="preserve">London: University of London, King’s College. </w:t>
      </w:r>
    </w:p>
    <w:p w:rsidR="00934137" w:rsidRPr="007F6BC6" w:rsidRDefault="00934137" w:rsidP="000323CF">
      <w:pPr>
        <w:tabs>
          <w:tab w:val="left" w:pos="720"/>
        </w:tabs>
        <w:ind w:left="284" w:hanging="284"/>
        <w:jc w:val="both"/>
        <w:rPr>
          <w:rFonts w:ascii="Palatino Linotype" w:hAnsi="Palatino Linotype" w:cs="Verdana"/>
          <w:szCs w:val="22"/>
          <w:lang w:eastAsia="en-GB"/>
        </w:rPr>
      </w:pPr>
      <w:r w:rsidRPr="007F6BC6">
        <w:rPr>
          <w:rFonts w:ascii="Palatino Linotype" w:hAnsi="Palatino Linotype" w:cs="Verdana"/>
          <w:szCs w:val="22"/>
          <w:lang w:eastAsia="en-GB"/>
        </w:rPr>
        <w:t>Bandura, A.</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(1997)</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Self-efficacy: the exercise of control.</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New York: W H Freeman and Co.</w:t>
      </w:r>
    </w:p>
    <w:p w:rsidR="009348B6" w:rsidRPr="007F6BC6" w:rsidRDefault="009348B6" w:rsidP="000323CF">
      <w:pPr>
        <w:tabs>
          <w:tab w:val="clear" w:pos="567"/>
          <w:tab w:val="left" w:pos="720"/>
        </w:tabs>
        <w:spacing w:line="240" w:lineRule="auto"/>
        <w:ind w:left="284" w:hanging="284"/>
        <w:jc w:val="both"/>
        <w:rPr>
          <w:rFonts w:ascii="Palatino Linotype" w:hAnsi="Palatino Linotype"/>
          <w:bCs/>
          <w:szCs w:val="22"/>
        </w:rPr>
      </w:pPr>
      <w:proofErr w:type="gramStart"/>
      <w:r w:rsidRPr="007F6BC6">
        <w:rPr>
          <w:rFonts w:ascii="Palatino Linotype" w:hAnsi="Palatino Linotype"/>
          <w:szCs w:val="22"/>
        </w:rPr>
        <w:t>Bennett, J., Lubben, F., Hogarth, S. and Campbell, B.</w:t>
      </w:r>
      <w:r w:rsidR="00FB0721">
        <w:rPr>
          <w:rFonts w:ascii="Palatino Linotype" w:hAnsi="Palatino Linotype"/>
          <w:szCs w:val="22"/>
        </w:rPr>
        <w:t xml:space="preserve"> </w:t>
      </w:r>
      <w:r w:rsidRPr="007F6BC6">
        <w:rPr>
          <w:rFonts w:ascii="Palatino Linotype" w:hAnsi="Palatino Linotype"/>
          <w:szCs w:val="22"/>
        </w:rPr>
        <w:t>(2005)</w:t>
      </w:r>
      <w:r w:rsidR="00FB0721">
        <w:rPr>
          <w:rFonts w:ascii="Palatino Linotype" w:hAnsi="Palatino Linotype"/>
          <w:szCs w:val="22"/>
        </w:rPr>
        <w:t xml:space="preserve"> </w:t>
      </w:r>
      <w:r w:rsidRPr="007F6BC6">
        <w:rPr>
          <w:rFonts w:ascii="Palatino Linotype" w:hAnsi="Palatino Linotype"/>
          <w:bCs/>
          <w:szCs w:val="22"/>
        </w:rPr>
        <w:t>Systematic reviews of research in science education: rigour or rigidity?</w:t>
      </w:r>
      <w:proofErr w:type="gramEnd"/>
      <w:r w:rsidR="00FB0721">
        <w:rPr>
          <w:rFonts w:ascii="Palatino Linotype" w:hAnsi="Palatino Linotype"/>
          <w:bCs/>
          <w:szCs w:val="22"/>
        </w:rPr>
        <w:t xml:space="preserve"> </w:t>
      </w:r>
      <w:r w:rsidRPr="007F6BC6">
        <w:rPr>
          <w:rFonts w:ascii="Palatino Linotype" w:hAnsi="Palatino Linotype"/>
          <w:bCs/>
          <w:szCs w:val="22"/>
        </w:rPr>
        <w:t>International Journal of Science Education, 27 (4), 387-406.</w:t>
      </w:r>
    </w:p>
    <w:p w:rsidR="009348B6" w:rsidRPr="007F6BC6" w:rsidRDefault="009348B6" w:rsidP="000323CF">
      <w:pPr>
        <w:tabs>
          <w:tab w:val="clear" w:pos="567"/>
          <w:tab w:val="left" w:pos="720"/>
        </w:tabs>
        <w:spacing w:line="240" w:lineRule="auto"/>
        <w:ind w:left="284" w:hanging="284"/>
        <w:jc w:val="both"/>
        <w:rPr>
          <w:rFonts w:ascii="Palatino Linotype" w:hAnsi="Palatino Linotype"/>
          <w:bCs/>
          <w:szCs w:val="22"/>
        </w:rPr>
      </w:pPr>
      <w:r w:rsidRPr="007F6BC6">
        <w:rPr>
          <w:rFonts w:ascii="Palatino Linotype" w:hAnsi="Palatino Linotype"/>
          <w:bCs/>
          <w:szCs w:val="22"/>
        </w:rPr>
        <w:t>Bennett, J and Hogarth, S.</w:t>
      </w:r>
      <w:r w:rsidR="00FB0721">
        <w:rPr>
          <w:rFonts w:ascii="Palatino Linotype" w:hAnsi="Palatino Linotype"/>
          <w:bCs/>
          <w:szCs w:val="22"/>
        </w:rPr>
        <w:t xml:space="preserve"> </w:t>
      </w:r>
      <w:r w:rsidRPr="007F6BC6">
        <w:rPr>
          <w:rFonts w:ascii="Palatino Linotype" w:hAnsi="Palatino Linotype"/>
          <w:bCs/>
          <w:szCs w:val="22"/>
        </w:rPr>
        <w:t>(2006)</w:t>
      </w:r>
      <w:r w:rsidR="00FB0721">
        <w:rPr>
          <w:rFonts w:ascii="Palatino Linotype" w:hAnsi="Palatino Linotype"/>
          <w:bCs/>
          <w:szCs w:val="22"/>
        </w:rPr>
        <w:t xml:space="preserve"> </w:t>
      </w:r>
      <w:r w:rsidRPr="007F6BC6">
        <w:rPr>
          <w:rFonts w:ascii="Palatino Linotype" w:hAnsi="Palatino Linotype"/>
          <w:bCs/>
          <w:szCs w:val="22"/>
        </w:rPr>
        <w:t>Evaluation of Twenty-first Century Science, Strand 2: Attitudes to Science.</w:t>
      </w:r>
      <w:r w:rsidR="00FB0721">
        <w:rPr>
          <w:rFonts w:ascii="Palatino Linotype" w:hAnsi="Palatino Linotype"/>
          <w:bCs/>
          <w:szCs w:val="22"/>
        </w:rPr>
        <w:t xml:space="preserve"> </w:t>
      </w:r>
      <w:r w:rsidRPr="007F6BC6">
        <w:rPr>
          <w:rFonts w:ascii="Palatino Linotype" w:hAnsi="Palatino Linotype"/>
          <w:bCs/>
          <w:szCs w:val="22"/>
        </w:rPr>
        <w:t>Report commissioned by The Nuffield Foundation and the Wellcome Trust.</w:t>
      </w:r>
      <w:r w:rsidR="00FB0721">
        <w:rPr>
          <w:rFonts w:ascii="Palatino Linotype" w:hAnsi="Palatino Linotype"/>
          <w:bCs/>
          <w:szCs w:val="22"/>
        </w:rPr>
        <w:t xml:space="preserve"> </w:t>
      </w:r>
      <w:r w:rsidRPr="007F6BC6">
        <w:rPr>
          <w:rFonts w:ascii="Palatino Linotype" w:hAnsi="Palatino Linotype"/>
          <w:bCs/>
          <w:szCs w:val="22"/>
        </w:rPr>
        <w:t>York: University of York, Department of Educational Studies.</w:t>
      </w:r>
      <w:r w:rsidR="00FB0721">
        <w:rPr>
          <w:rFonts w:ascii="Palatino Linotype" w:hAnsi="Palatino Linotype"/>
          <w:bCs/>
          <w:szCs w:val="22"/>
        </w:rPr>
        <w:t xml:space="preserve"> </w:t>
      </w:r>
    </w:p>
    <w:p w:rsidR="009348B6" w:rsidRPr="007F6BC6" w:rsidRDefault="009348B6" w:rsidP="000323CF">
      <w:pPr>
        <w:tabs>
          <w:tab w:val="clear" w:pos="567"/>
          <w:tab w:val="left" w:pos="720"/>
        </w:tabs>
        <w:spacing w:line="240" w:lineRule="auto"/>
        <w:ind w:left="284" w:hanging="284"/>
        <w:jc w:val="both"/>
        <w:rPr>
          <w:rFonts w:ascii="Palatino Linotype" w:hAnsi="Palatino Linotype"/>
          <w:bCs/>
          <w:szCs w:val="22"/>
        </w:rPr>
      </w:pPr>
      <w:r w:rsidRPr="007F6BC6">
        <w:rPr>
          <w:rFonts w:ascii="Palatino Linotype" w:hAnsi="Palatino Linotype"/>
          <w:bCs/>
          <w:szCs w:val="22"/>
        </w:rPr>
        <w:t>Bennett, J., Lubben, F. and Hogarth, S</w:t>
      </w:r>
      <w:r w:rsidR="00245503" w:rsidRPr="007F6BC6">
        <w:rPr>
          <w:rFonts w:ascii="Palatino Linotype" w:hAnsi="Palatino Linotype"/>
          <w:bCs/>
          <w:szCs w:val="22"/>
        </w:rPr>
        <w:t>.</w:t>
      </w:r>
      <w:r w:rsidR="00FB0721">
        <w:rPr>
          <w:rFonts w:ascii="Palatino Linotype" w:hAnsi="Palatino Linotype"/>
          <w:bCs/>
          <w:szCs w:val="22"/>
        </w:rPr>
        <w:t xml:space="preserve"> </w:t>
      </w:r>
      <w:r w:rsidR="00245503" w:rsidRPr="007F6BC6">
        <w:rPr>
          <w:rFonts w:ascii="Palatino Linotype" w:hAnsi="Palatino Linotype"/>
          <w:bCs/>
          <w:szCs w:val="22"/>
        </w:rPr>
        <w:t>(</w:t>
      </w:r>
      <w:r w:rsidRPr="007F6BC6">
        <w:rPr>
          <w:rFonts w:ascii="Palatino Linotype" w:hAnsi="Palatino Linotype"/>
          <w:bCs/>
          <w:szCs w:val="22"/>
        </w:rPr>
        <w:t>2007)</w:t>
      </w:r>
      <w:r w:rsidR="00FB0721">
        <w:rPr>
          <w:rFonts w:ascii="Palatino Linotype" w:hAnsi="Palatino Linotype"/>
          <w:bCs/>
          <w:szCs w:val="22"/>
        </w:rPr>
        <w:t xml:space="preserve"> </w:t>
      </w:r>
      <w:r w:rsidRPr="007F6BC6">
        <w:rPr>
          <w:rFonts w:ascii="Palatino Linotype" w:hAnsi="Palatino Linotype"/>
          <w:bCs/>
          <w:szCs w:val="22"/>
        </w:rPr>
        <w:t>Bringing science to life: a synthesis of the research evidence on the effects of context-based and STS approaches to science teaching.</w:t>
      </w:r>
      <w:r w:rsidR="00FB0721">
        <w:rPr>
          <w:rFonts w:ascii="Palatino Linotype" w:hAnsi="Palatino Linotype"/>
          <w:bCs/>
          <w:szCs w:val="22"/>
        </w:rPr>
        <w:t xml:space="preserve"> </w:t>
      </w:r>
      <w:r w:rsidRPr="007F6BC6">
        <w:rPr>
          <w:rFonts w:ascii="Palatino Linotype" w:hAnsi="Palatino Linotype"/>
          <w:bCs/>
          <w:szCs w:val="22"/>
        </w:rPr>
        <w:t>Science Education, 91 (3), 347-370.</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Bennett, J. and Hogarth, S.</w:t>
      </w:r>
      <w:r w:rsidR="00FB0721">
        <w:rPr>
          <w:rFonts w:ascii="Palatino Linotype" w:hAnsi="Palatino Linotype"/>
          <w:szCs w:val="22"/>
        </w:rPr>
        <w:t xml:space="preserve"> </w:t>
      </w:r>
      <w:r w:rsidRPr="007F6BC6">
        <w:rPr>
          <w:rFonts w:ascii="Palatino Linotype" w:hAnsi="Palatino Linotype"/>
          <w:szCs w:val="22"/>
        </w:rPr>
        <w:t>(2009)</w:t>
      </w:r>
      <w:r w:rsidR="00FB0721">
        <w:rPr>
          <w:rFonts w:ascii="Palatino Linotype" w:hAnsi="Palatino Linotype"/>
          <w:szCs w:val="22"/>
        </w:rPr>
        <w:t xml:space="preserve"> </w:t>
      </w:r>
      <w:proofErr w:type="gramStart"/>
      <w:r w:rsidRPr="007F6BC6">
        <w:rPr>
          <w:rFonts w:ascii="Palatino Linotype" w:hAnsi="Palatino Linotype"/>
          <w:szCs w:val="22"/>
        </w:rPr>
        <w:t>Would</w:t>
      </w:r>
      <w:proofErr w:type="gramEnd"/>
      <w:r w:rsidRPr="007F6BC6">
        <w:rPr>
          <w:rFonts w:ascii="Palatino Linotype" w:hAnsi="Palatino Linotype"/>
          <w:szCs w:val="22"/>
        </w:rPr>
        <w:t xml:space="preserve"> you want to talk to a scientist at a party?</w:t>
      </w:r>
      <w:r w:rsidR="00FB0721">
        <w:rPr>
          <w:rFonts w:ascii="Palatino Linotype" w:hAnsi="Palatino Linotype"/>
          <w:szCs w:val="22"/>
        </w:rPr>
        <w:t xml:space="preserve"> </w:t>
      </w:r>
      <w:proofErr w:type="gramStart"/>
      <w:r w:rsidRPr="007F6BC6">
        <w:rPr>
          <w:rFonts w:ascii="Palatino Linotype" w:hAnsi="Palatino Linotype"/>
          <w:szCs w:val="22"/>
        </w:rPr>
        <w:t>High school students’ attitudes to school science and to science.</w:t>
      </w:r>
      <w:proofErr w:type="gramEnd"/>
      <w:r w:rsidR="00FB0721">
        <w:rPr>
          <w:rFonts w:ascii="Palatino Linotype" w:hAnsi="Palatino Linotype"/>
          <w:szCs w:val="22"/>
        </w:rPr>
        <w:t xml:space="preserve"> </w:t>
      </w:r>
      <w:r w:rsidRPr="007F6BC6">
        <w:rPr>
          <w:rFonts w:ascii="Palatino Linotype" w:hAnsi="Palatino Linotype"/>
          <w:szCs w:val="22"/>
        </w:rPr>
        <w:t>International Journal of Science Education, 31 (14), 1975-98.</w:t>
      </w:r>
    </w:p>
    <w:p w:rsidR="00934137" w:rsidRPr="007F6BC6" w:rsidRDefault="00934137" w:rsidP="000323CF">
      <w:pPr>
        <w:tabs>
          <w:tab w:val="clear" w:pos="567"/>
          <w:tab w:val="left" w:pos="720"/>
        </w:tabs>
        <w:spacing w:line="240" w:lineRule="auto"/>
        <w:ind w:left="284" w:hanging="284"/>
        <w:jc w:val="both"/>
        <w:rPr>
          <w:rFonts w:ascii="Palatino Linotype" w:hAnsi="Palatino Linotype" w:cs="Verdana"/>
          <w:szCs w:val="22"/>
          <w:lang w:eastAsia="en-GB"/>
        </w:rPr>
      </w:pPr>
      <w:proofErr w:type="gramStart"/>
      <w:r w:rsidRPr="007F6BC6">
        <w:rPr>
          <w:rFonts w:ascii="Palatino Linotype" w:hAnsi="Palatino Linotype" w:cs="Verdana"/>
          <w:szCs w:val="22"/>
          <w:lang w:eastAsia="en-GB"/>
        </w:rPr>
        <w:t>Bennett, J., Lubben, F. and Hampden-Thompson, G</w:t>
      </w:r>
      <w:r w:rsidR="00245503" w:rsidRPr="007F6BC6">
        <w:rPr>
          <w:rFonts w:ascii="Palatino Linotype" w:hAnsi="Palatino Linotype" w:cs="Verdana"/>
          <w:szCs w:val="22"/>
          <w:lang w:eastAsia="en-GB"/>
        </w:rPr>
        <w:t>.</w:t>
      </w:r>
      <w:r w:rsidR="00FB0721">
        <w:rPr>
          <w:rFonts w:ascii="Palatino Linotype" w:hAnsi="Palatino Linotype" w:cs="Verdana"/>
          <w:szCs w:val="22"/>
          <w:lang w:eastAsia="en-GB"/>
        </w:rPr>
        <w:t xml:space="preserve"> </w:t>
      </w:r>
      <w:r w:rsidR="00245503" w:rsidRPr="007F6BC6">
        <w:rPr>
          <w:rFonts w:ascii="Palatino Linotype" w:hAnsi="Palatino Linotype" w:cs="Verdana"/>
          <w:szCs w:val="22"/>
          <w:lang w:eastAsia="en-GB"/>
        </w:rPr>
        <w:t>(</w:t>
      </w:r>
      <w:r w:rsidRPr="007F6BC6">
        <w:rPr>
          <w:rFonts w:ascii="Palatino Linotype" w:hAnsi="Palatino Linotype" w:cs="Verdana"/>
          <w:szCs w:val="22"/>
          <w:lang w:eastAsia="en-GB"/>
        </w:rPr>
        <w:t>2013)</w:t>
      </w:r>
      <w:r w:rsidR="00FB0721">
        <w:rPr>
          <w:rFonts w:ascii="Palatino Linotype" w:hAnsi="Palatino Linotype" w:cs="Verdana"/>
          <w:szCs w:val="22"/>
          <w:lang w:eastAsia="en-GB"/>
        </w:rPr>
        <w:t xml:space="preserve"> </w:t>
      </w:r>
      <w:r w:rsidRPr="007F6BC6">
        <w:rPr>
          <w:rFonts w:ascii="Palatino Linotype" w:hAnsi="Palatino Linotype" w:cs="Verdana"/>
          <w:szCs w:val="22"/>
          <w:lang w:eastAsia="en-GB"/>
        </w:rPr>
        <w:t>Schools that make a difference to post-compulsory uptake of physical science subjects: some comparative case studies.</w:t>
      </w:r>
      <w:proofErr w:type="gramEnd"/>
      <w:r w:rsidR="00FB0721">
        <w:rPr>
          <w:rFonts w:ascii="Palatino Linotype" w:hAnsi="Palatino Linotype" w:cs="Verdana"/>
          <w:szCs w:val="22"/>
          <w:lang w:eastAsia="en-GB"/>
        </w:rPr>
        <w:t xml:space="preserve"> </w:t>
      </w:r>
      <w:r w:rsidRPr="007F6BC6">
        <w:rPr>
          <w:rFonts w:ascii="Palatino Linotype" w:hAnsi="Palatino Linotype"/>
          <w:szCs w:val="22"/>
          <w:lang w:eastAsia="en-GB"/>
        </w:rPr>
        <w:t>International Journal of Science Education</w:t>
      </w:r>
      <w:r w:rsidRPr="007F6BC6">
        <w:rPr>
          <w:rFonts w:ascii="Palatino Linotype" w:hAnsi="Palatino Linotype" w:cs="Verdana"/>
          <w:szCs w:val="22"/>
          <w:lang w:eastAsia="en-GB"/>
        </w:rPr>
        <w:t>, 35 (4), 663-689.</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rPr>
      </w:pPr>
      <w:r w:rsidRPr="007F6BC6">
        <w:rPr>
          <w:rFonts w:ascii="Palatino Linotype" w:hAnsi="Palatino Linotype"/>
          <w:bCs/>
          <w:szCs w:val="22"/>
        </w:rPr>
        <w:t xml:space="preserve">Blalock, C., Lichtenstein, M., Owen, S., </w:t>
      </w:r>
      <w:proofErr w:type="spellStart"/>
      <w:r w:rsidRPr="007F6BC6">
        <w:rPr>
          <w:rFonts w:ascii="Palatino Linotype" w:hAnsi="Palatino Linotype"/>
          <w:bCs/>
          <w:szCs w:val="22"/>
        </w:rPr>
        <w:t>Pruski</w:t>
      </w:r>
      <w:proofErr w:type="spellEnd"/>
      <w:r w:rsidRPr="007F6BC6">
        <w:rPr>
          <w:rFonts w:ascii="Palatino Linotype" w:hAnsi="Palatino Linotype"/>
          <w:bCs/>
          <w:szCs w:val="22"/>
        </w:rPr>
        <w:t xml:space="preserve">, L., Marshall, C. and </w:t>
      </w:r>
      <w:proofErr w:type="spellStart"/>
      <w:r w:rsidRPr="007F6BC6">
        <w:rPr>
          <w:rFonts w:ascii="Palatino Linotype" w:hAnsi="Palatino Linotype"/>
          <w:bCs/>
          <w:szCs w:val="22"/>
        </w:rPr>
        <w:t>Toepperwein</w:t>
      </w:r>
      <w:proofErr w:type="spellEnd"/>
      <w:r w:rsidRPr="007F6BC6">
        <w:rPr>
          <w:rFonts w:ascii="Palatino Linotype" w:hAnsi="Palatino Linotype"/>
          <w:bCs/>
          <w:szCs w:val="22"/>
        </w:rPr>
        <w:t>, M.</w:t>
      </w:r>
      <w:r w:rsidR="00FB0721">
        <w:rPr>
          <w:rFonts w:ascii="Palatino Linotype" w:hAnsi="Palatino Linotype"/>
          <w:bCs/>
          <w:szCs w:val="22"/>
        </w:rPr>
        <w:t xml:space="preserve"> </w:t>
      </w:r>
      <w:r w:rsidRPr="007F6BC6">
        <w:rPr>
          <w:rFonts w:ascii="Palatino Linotype" w:hAnsi="Palatino Linotype"/>
          <w:bCs/>
          <w:szCs w:val="22"/>
        </w:rPr>
        <w:t>(2008</w:t>
      </w:r>
      <w:r w:rsidR="0092065B">
        <w:rPr>
          <w:rFonts w:ascii="Palatino Linotype" w:hAnsi="Palatino Linotype"/>
          <w:bCs/>
          <w:szCs w:val="22"/>
        </w:rPr>
        <w:t>)</w:t>
      </w:r>
      <w:r w:rsidR="00FB0721">
        <w:rPr>
          <w:rFonts w:ascii="Palatino Linotype" w:hAnsi="Palatino Linotype"/>
          <w:bCs/>
          <w:szCs w:val="22"/>
        </w:rPr>
        <w:t xml:space="preserve"> </w:t>
      </w:r>
      <w:r w:rsidRPr="007F6BC6">
        <w:rPr>
          <w:rFonts w:ascii="Palatino Linotype" w:hAnsi="Palatino Linotype"/>
          <w:bCs/>
          <w:szCs w:val="22"/>
        </w:rPr>
        <w:t>In pursuit of validity: a comprehensive review of science attitude instruments 1935-2005.</w:t>
      </w:r>
      <w:r w:rsidR="00FB0721">
        <w:rPr>
          <w:rFonts w:ascii="Palatino Linotype" w:hAnsi="Palatino Linotype"/>
          <w:bCs/>
          <w:szCs w:val="22"/>
        </w:rPr>
        <w:t xml:space="preserve"> </w:t>
      </w:r>
      <w:r w:rsidRPr="007F6BC6">
        <w:rPr>
          <w:rFonts w:ascii="Palatino Linotype" w:hAnsi="Palatino Linotype"/>
          <w:bCs/>
          <w:szCs w:val="22"/>
        </w:rPr>
        <w:t>International Journal of Science Education, 30 (7), 961-977.</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Blenkinsop</w:t>
      </w:r>
      <w:proofErr w:type="spellEnd"/>
      <w:r w:rsidRPr="007F6BC6">
        <w:rPr>
          <w:rFonts w:ascii="Palatino Linotype" w:hAnsi="Palatino Linotype"/>
          <w:szCs w:val="22"/>
        </w:rPr>
        <w:t xml:space="preserve">, S., </w:t>
      </w:r>
      <w:proofErr w:type="spellStart"/>
      <w:r w:rsidRPr="007F6BC6">
        <w:rPr>
          <w:rFonts w:ascii="Palatino Linotype" w:hAnsi="Palatino Linotype"/>
          <w:szCs w:val="22"/>
        </w:rPr>
        <w:t>McCrone</w:t>
      </w:r>
      <w:proofErr w:type="spellEnd"/>
      <w:r w:rsidRPr="007F6BC6">
        <w:rPr>
          <w:rFonts w:ascii="Palatino Linotype" w:hAnsi="Palatino Linotype"/>
          <w:szCs w:val="22"/>
        </w:rPr>
        <w:t>, T., Wade, P. and Morris, M.</w:t>
      </w:r>
      <w:r w:rsidR="00FB0721">
        <w:rPr>
          <w:rFonts w:ascii="Palatino Linotype" w:hAnsi="Palatino Linotype"/>
          <w:szCs w:val="22"/>
        </w:rPr>
        <w:t xml:space="preserve"> </w:t>
      </w:r>
      <w:r w:rsidRPr="007F6BC6">
        <w:rPr>
          <w:rFonts w:ascii="Palatino Linotype" w:hAnsi="Palatino Linotype"/>
          <w:szCs w:val="22"/>
        </w:rPr>
        <w:t>(2006)</w:t>
      </w:r>
      <w:r w:rsidR="00FB0721">
        <w:rPr>
          <w:rFonts w:ascii="Palatino Linotype" w:hAnsi="Palatino Linotype"/>
          <w:szCs w:val="22"/>
        </w:rPr>
        <w:t xml:space="preserve"> </w:t>
      </w:r>
      <w:r w:rsidRPr="007F6BC6">
        <w:rPr>
          <w:rFonts w:ascii="Palatino Linotype" w:hAnsi="Palatino Linotype"/>
          <w:szCs w:val="22"/>
        </w:rPr>
        <w:t>How do young people make choices at 14 and 16?</w:t>
      </w:r>
      <w:r w:rsidR="00FB0721">
        <w:rPr>
          <w:rFonts w:ascii="Palatino Linotype" w:hAnsi="Palatino Linotype"/>
          <w:szCs w:val="22"/>
        </w:rPr>
        <w:t xml:space="preserve"> </w:t>
      </w:r>
      <w:r w:rsidRPr="007F6BC6">
        <w:rPr>
          <w:rFonts w:ascii="Palatino Linotype" w:hAnsi="Palatino Linotype"/>
          <w:szCs w:val="22"/>
        </w:rPr>
        <w:t>Slough: NFER.</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Boaler</w:t>
      </w:r>
      <w:proofErr w:type="spellEnd"/>
      <w:r w:rsidRPr="007F6BC6">
        <w:rPr>
          <w:rFonts w:ascii="Palatino Linotype" w:hAnsi="Palatino Linotype"/>
          <w:szCs w:val="22"/>
        </w:rPr>
        <w:t>, J.</w:t>
      </w:r>
      <w:r w:rsidR="00FB0721">
        <w:rPr>
          <w:rFonts w:ascii="Palatino Linotype" w:hAnsi="Palatino Linotype"/>
          <w:szCs w:val="22"/>
        </w:rPr>
        <w:t xml:space="preserve"> </w:t>
      </w:r>
      <w:r w:rsidRPr="007F6BC6">
        <w:rPr>
          <w:rFonts w:ascii="Palatino Linotype" w:hAnsi="Palatino Linotype"/>
          <w:szCs w:val="22"/>
        </w:rPr>
        <w:t>(1997)</w:t>
      </w:r>
      <w:r w:rsidR="00FB0721">
        <w:rPr>
          <w:rFonts w:ascii="Palatino Linotype" w:hAnsi="Palatino Linotype"/>
          <w:szCs w:val="22"/>
        </w:rPr>
        <w:t xml:space="preserve"> </w:t>
      </w:r>
      <w:r w:rsidRPr="007F6BC6">
        <w:rPr>
          <w:rFonts w:ascii="Palatino Linotype" w:hAnsi="Palatino Linotype"/>
          <w:szCs w:val="22"/>
        </w:rPr>
        <w:t>Experiencing school mathematics teaching: teaching styles, sex and setting.</w:t>
      </w:r>
      <w:r w:rsidR="00FB0721">
        <w:rPr>
          <w:rFonts w:ascii="Palatino Linotype" w:hAnsi="Palatino Linotype"/>
          <w:szCs w:val="22"/>
        </w:rPr>
        <w:t xml:space="preserve"> </w:t>
      </w:r>
      <w:r w:rsidRPr="007F6BC6">
        <w:rPr>
          <w:rFonts w:ascii="Palatino Linotype" w:hAnsi="Palatino Linotype"/>
          <w:szCs w:val="22"/>
        </w:rPr>
        <w:t>Buckingham: Open University Press.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Braund, M. and Reiss, M.</w:t>
      </w:r>
      <w:r w:rsidR="00FB0721">
        <w:rPr>
          <w:rFonts w:ascii="Palatino Linotype" w:hAnsi="Palatino Linotype"/>
          <w:szCs w:val="22"/>
        </w:rPr>
        <w:t xml:space="preserve"> </w:t>
      </w:r>
      <w:r w:rsidRPr="007F6BC6">
        <w:rPr>
          <w:rFonts w:ascii="Palatino Linotype" w:hAnsi="Palatino Linotype"/>
          <w:szCs w:val="22"/>
        </w:rPr>
        <w:t>(2004)</w:t>
      </w:r>
      <w:r w:rsidR="00FB0721">
        <w:rPr>
          <w:rFonts w:ascii="Palatino Linotype" w:hAnsi="Palatino Linotype"/>
          <w:szCs w:val="22"/>
        </w:rPr>
        <w:t xml:space="preserve"> </w:t>
      </w:r>
      <w:r w:rsidRPr="007F6BC6">
        <w:rPr>
          <w:rFonts w:ascii="Palatino Linotype" w:hAnsi="Palatino Linotype"/>
          <w:szCs w:val="22"/>
        </w:rPr>
        <w:t>Learning outside the classroom.</w:t>
      </w:r>
      <w:proofErr w:type="gramEnd"/>
      <w:r w:rsidR="00FB0721">
        <w:rPr>
          <w:rFonts w:ascii="Palatino Linotype" w:hAnsi="Palatino Linotype"/>
          <w:szCs w:val="22"/>
        </w:rPr>
        <w:t xml:space="preserve"> </w:t>
      </w:r>
      <w:r w:rsidRPr="007F6BC6">
        <w:rPr>
          <w:rFonts w:ascii="Palatino Linotype" w:hAnsi="Palatino Linotype"/>
          <w:szCs w:val="22"/>
        </w:rPr>
        <w:t xml:space="preserve">London: </w:t>
      </w:r>
      <w:proofErr w:type="spellStart"/>
      <w:r w:rsidRPr="007F6BC6">
        <w:rPr>
          <w:rFonts w:ascii="Palatino Linotype" w:hAnsi="Palatino Linotype"/>
          <w:szCs w:val="22"/>
        </w:rPr>
        <w:t>RoutledgeFalmer</w:t>
      </w:r>
      <w:proofErr w:type="spellEnd"/>
      <w:r w:rsidRPr="007F6BC6">
        <w:rPr>
          <w:rFonts w:ascii="Palatino Linotype" w:hAnsi="Palatino Linotype"/>
          <w:szCs w:val="22"/>
        </w:rPr>
        <w:t>.</w:t>
      </w:r>
    </w:p>
    <w:p w:rsidR="00934137" w:rsidRPr="007F6BC6" w:rsidRDefault="00934137" w:rsidP="000323CF">
      <w:pPr>
        <w:tabs>
          <w:tab w:val="clear" w:pos="567"/>
          <w:tab w:val="left" w:pos="720"/>
        </w:tabs>
        <w:spacing w:line="240" w:lineRule="auto"/>
        <w:ind w:left="284" w:hanging="284"/>
        <w:jc w:val="both"/>
        <w:rPr>
          <w:rFonts w:ascii="Palatino Linotype" w:hAnsi="Palatino Linotype"/>
          <w:iCs/>
          <w:szCs w:val="22"/>
        </w:rPr>
      </w:pPr>
      <w:r w:rsidRPr="007F6BC6">
        <w:rPr>
          <w:rFonts w:ascii="Palatino Linotype" w:hAnsi="Palatino Linotype"/>
          <w:szCs w:val="22"/>
          <w:lang w:val="en-US"/>
        </w:rPr>
        <w:t>Braund, M and Reiss, M</w:t>
      </w:r>
      <w:r w:rsidR="00245503" w:rsidRPr="007F6BC6">
        <w:rPr>
          <w:rFonts w:ascii="Palatino Linotype" w:hAnsi="Palatino Linotype"/>
          <w:szCs w:val="22"/>
          <w:lang w:val="en-US"/>
        </w:rPr>
        <w:t>.</w:t>
      </w:r>
      <w:r w:rsidR="00FB0721">
        <w:rPr>
          <w:rFonts w:ascii="Palatino Linotype" w:hAnsi="Palatino Linotype"/>
          <w:szCs w:val="22"/>
          <w:lang w:val="en-US"/>
        </w:rPr>
        <w:t xml:space="preserve"> </w:t>
      </w:r>
      <w:r w:rsidR="00245503" w:rsidRPr="007F6BC6">
        <w:rPr>
          <w:rFonts w:ascii="Palatino Linotype" w:hAnsi="Palatino Linotype"/>
          <w:szCs w:val="22"/>
          <w:lang w:val="en-US"/>
        </w:rPr>
        <w:t>(</w:t>
      </w:r>
      <w:r w:rsidRPr="007F6BC6">
        <w:rPr>
          <w:rFonts w:ascii="Palatino Linotype" w:hAnsi="Palatino Linotype"/>
          <w:szCs w:val="22"/>
          <w:lang w:val="en-US"/>
        </w:rPr>
        <w:t>2006</w:t>
      </w:r>
      <w:r w:rsidR="0092065B">
        <w:rPr>
          <w:rFonts w:ascii="Palatino Linotype" w:hAnsi="Palatino Linotype"/>
          <w:szCs w:val="22"/>
          <w:lang w:val="en-US"/>
        </w:rPr>
        <w:t>)</w:t>
      </w:r>
      <w:r w:rsidRPr="007F6BC6">
        <w:rPr>
          <w:rFonts w:ascii="Palatino Linotype" w:hAnsi="Palatino Linotype"/>
          <w:szCs w:val="22"/>
          <w:lang w:val="en-US"/>
        </w:rPr>
        <w:t xml:space="preserve"> </w:t>
      </w:r>
      <w:proofErr w:type="gramStart"/>
      <w:r w:rsidRPr="007F6BC6">
        <w:rPr>
          <w:rFonts w:ascii="Palatino Linotype" w:hAnsi="Palatino Linotype"/>
          <w:szCs w:val="22"/>
          <w:lang w:val="en-US"/>
        </w:rPr>
        <w:t>Towards</w:t>
      </w:r>
      <w:proofErr w:type="gramEnd"/>
      <w:r w:rsidRPr="007F6BC6">
        <w:rPr>
          <w:rFonts w:ascii="Palatino Linotype" w:hAnsi="Palatino Linotype"/>
          <w:szCs w:val="22"/>
          <w:lang w:val="en-US"/>
        </w:rPr>
        <w:t xml:space="preserve"> a more authentic science curriculum: the contribution of out-of-school learning, </w:t>
      </w:r>
      <w:r w:rsidRPr="007F6BC6">
        <w:rPr>
          <w:rFonts w:ascii="Palatino Linotype" w:hAnsi="Palatino Linotype"/>
          <w:iCs/>
          <w:szCs w:val="22"/>
          <w:lang w:val="en-US"/>
        </w:rPr>
        <w:t>International Journal of Science Education</w:t>
      </w:r>
      <w:r w:rsidRPr="007F6BC6">
        <w:rPr>
          <w:rFonts w:ascii="Palatino Linotype" w:hAnsi="Palatino Linotype"/>
          <w:szCs w:val="22"/>
          <w:lang w:val="en-US"/>
        </w:rPr>
        <w:t xml:space="preserve">, </w:t>
      </w:r>
      <w:r w:rsidRPr="007F6BC6">
        <w:rPr>
          <w:rFonts w:ascii="Palatino Linotype" w:hAnsi="Palatino Linotype"/>
          <w:szCs w:val="22"/>
        </w:rPr>
        <w:t>28(12), 1373–1388</w:t>
      </w:r>
      <w:r w:rsidRPr="007F6BC6">
        <w:rPr>
          <w:rFonts w:ascii="Palatino Linotype" w:hAnsi="Palatino Linotype"/>
          <w:iCs/>
          <w:szCs w:val="22"/>
        </w:rPr>
        <w:t>.</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Brown, M., Brown, P. and Bibby, T.</w:t>
      </w:r>
      <w:r w:rsidR="00FB0721">
        <w:rPr>
          <w:rFonts w:ascii="Palatino Linotype" w:hAnsi="Palatino Linotype"/>
          <w:szCs w:val="22"/>
        </w:rPr>
        <w:t xml:space="preserve"> </w:t>
      </w:r>
      <w:r w:rsidRPr="007F6BC6">
        <w:rPr>
          <w:rFonts w:ascii="Palatino Linotype" w:hAnsi="Palatino Linotype"/>
          <w:szCs w:val="22"/>
        </w:rPr>
        <w:t>(2008)</w:t>
      </w:r>
      <w:r w:rsidR="00FB0721">
        <w:rPr>
          <w:rFonts w:ascii="Palatino Linotype" w:hAnsi="Palatino Linotype"/>
          <w:szCs w:val="22"/>
        </w:rPr>
        <w:t xml:space="preserve"> </w:t>
      </w:r>
      <w:r w:rsidRPr="007F6BC6">
        <w:rPr>
          <w:rFonts w:ascii="Palatino Linotype" w:hAnsi="Palatino Linotype"/>
          <w:szCs w:val="22"/>
        </w:rPr>
        <w:t>“I would rather die”: Attitudes of 16-year-olds towards their future participation in mathematics.</w:t>
      </w:r>
      <w:r w:rsidR="00FB0721">
        <w:rPr>
          <w:rFonts w:ascii="Palatino Linotype" w:hAnsi="Palatino Linotype"/>
          <w:szCs w:val="22"/>
        </w:rPr>
        <w:t xml:space="preserve"> </w:t>
      </w:r>
      <w:r w:rsidRPr="007F6BC6">
        <w:rPr>
          <w:rFonts w:ascii="Palatino Linotype" w:hAnsi="Palatino Linotype"/>
          <w:szCs w:val="22"/>
        </w:rPr>
        <w:t>Research in Mathematics Education, 10, 3-18.</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lang w:val="en-US"/>
        </w:rPr>
      </w:pPr>
      <w:r w:rsidRPr="007F6BC6">
        <w:rPr>
          <w:rFonts w:ascii="Palatino Linotype" w:hAnsi="Palatino Linotype"/>
          <w:szCs w:val="22"/>
          <w:lang w:val="en-US"/>
        </w:rPr>
        <w:t xml:space="preserve">Butt, S., </w:t>
      </w:r>
      <w:proofErr w:type="spellStart"/>
      <w:r w:rsidRPr="007F6BC6">
        <w:rPr>
          <w:rFonts w:ascii="Palatino Linotype" w:hAnsi="Palatino Linotype"/>
          <w:szCs w:val="22"/>
          <w:lang w:val="en-US"/>
        </w:rPr>
        <w:t>Clery</w:t>
      </w:r>
      <w:proofErr w:type="spellEnd"/>
      <w:r w:rsidRPr="007F6BC6">
        <w:rPr>
          <w:rFonts w:ascii="Palatino Linotype" w:hAnsi="Palatino Linotype"/>
          <w:szCs w:val="22"/>
          <w:lang w:val="en-US"/>
        </w:rPr>
        <w:t xml:space="preserve">, E., </w:t>
      </w:r>
      <w:proofErr w:type="spellStart"/>
      <w:r w:rsidRPr="007F6BC6">
        <w:rPr>
          <w:rFonts w:ascii="Palatino Linotype" w:hAnsi="Palatino Linotype"/>
          <w:szCs w:val="22"/>
          <w:lang w:val="en-US"/>
        </w:rPr>
        <w:t>Abeywardana</w:t>
      </w:r>
      <w:proofErr w:type="spellEnd"/>
      <w:r w:rsidRPr="007F6BC6">
        <w:rPr>
          <w:rFonts w:ascii="Palatino Linotype" w:hAnsi="Palatino Linotype"/>
          <w:szCs w:val="22"/>
          <w:lang w:val="en-US"/>
        </w:rPr>
        <w:t xml:space="preserve">, V. </w:t>
      </w:r>
      <w:r w:rsidR="00FB0721">
        <w:rPr>
          <w:rFonts w:ascii="Palatino Linotype" w:hAnsi="Palatino Linotype"/>
          <w:szCs w:val="22"/>
          <w:lang w:val="en-US"/>
        </w:rPr>
        <w:t>and</w:t>
      </w:r>
      <w:r w:rsidRPr="007F6BC6">
        <w:rPr>
          <w:rFonts w:ascii="Palatino Linotype" w:hAnsi="Palatino Linotype"/>
          <w:szCs w:val="22"/>
          <w:lang w:val="en-US"/>
        </w:rPr>
        <w:t xml:space="preserve"> Phillips, M</w:t>
      </w:r>
      <w:r w:rsidR="00245503" w:rsidRPr="007F6BC6">
        <w:rPr>
          <w:rFonts w:ascii="Palatino Linotype" w:hAnsi="Palatino Linotype"/>
          <w:szCs w:val="22"/>
          <w:lang w:val="en-US"/>
        </w:rPr>
        <w:t>.</w:t>
      </w:r>
      <w:r w:rsidR="00FB0721">
        <w:rPr>
          <w:rFonts w:ascii="Palatino Linotype" w:hAnsi="Palatino Linotype"/>
          <w:szCs w:val="22"/>
          <w:lang w:val="en-US"/>
        </w:rPr>
        <w:t xml:space="preserve"> </w:t>
      </w:r>
      <w:r w:rsidR="00245503" w:rsidRPr="007F6BC6">
        <w:rPr>
          <w:rFonts w:ascii="Palatino Linotype" w:hAnsi="Palatino Linotype"/>
          <w:szCs w:val="22"/>
          <w:lang w:val="en-US"/>
        </w:rPr>
        <w:t>(</w:t>
      </w:r>
      <w:r w:rsidRPr="007F6BC6">
        <w:rPr>
          <w:rFonts w:ascii="Palatino Linotype" w:hAnsi="Palatino Linotype"/>
          <w:szCs w:val="22"/>
          <w:lang w:val="en-US"/>
        </w:rPr>
        <w:t>National Centre for Social Research</w:t>
      </w:r>
      <w:r w:rsidR="0092065B">
        <w:rPr>
          <w:rFonts w:ascii="Palatino Linotype" w:hAnsi="Palatino Linotype"/>
          <w:szCs w:val="22"/>
          <w:lang w:val="en-US"/>
        </w:rPr>
        <w:t>)</w:t>
      </w:r>
      <w:r w:rsidR="00FB0721">
        <w:rPr>
          <w:rFonts w:ascii="Palatino Linotype" w:hAnsi="Palatino Linotype"/>
          <w:szCs w:val="22"/>
          <w:lang w:val="en-US"/>
        </w:rPr>
        <w:t xml:space="preserve"> </w:t>
      </w:r>
      <w:r w:rsidRPr="007F6BC6">
        <w:rPr>
          <w:rFonts w:ascii="Palatino Linotype" w:hAnsi="Palatino Linotype"/>
          <w:szCs w:val="22"/>
          <w:lang w:val="en-US"/>
        </w:rPr>
        <w:t>(2010)</w:t>
      </w:r>
      <w:r w:rsidR="00FB0721">
        <w:rPr>
          <w:rFonts w:ascii="Palatino Linotype" w:hAnsi="Palatino Linotype"/>
          <w:szCs w:val="22"/>
          <w:lang w:val="en-US"/>
        </w:rPr>
        <w:t xml:space="preserve"> </w:t>
      </w:r>
      <w:proofErr w:type="spellStart"/>
      <w:r w:rsidRPr="007F6BC6">
        <w:rPr>
          <w:rFonts w:ascii="Palatino Linotype" w:hAnsi="Palatino Linotype"/>
          <w:szCs w:val="22"/>
          <w:lang w:val="en-US"/>
        </w:rPr>
        <w:t>Wellcome</w:t>
      </w:r>
      <w:proofErr w:type="spellEnd"/>
      <w:r w:rsidRPr="007F6BC6">
        <w:rPr>
          <w:rFonts w:ascii="Palatino Linotype" w:hAnsi="Palatino Linotype"/>
          <w:szCs w:val="22"/>
          <w:lang w:val="en-US"/>
        </w:rPr>
        <w:t xml:space="preserve"> Trust Monitor Wave 1.</w:t>
      </w:r>
      <w:r w:rsidR="00FB0721">
        <w:rPr>
          <w:rFonts w:ascii="Palatino Linotype" w:hAnsi="Palatino Linotype"/>
          <w:szCs w:val="22"/>
        </w:rPr>
        <w:t xml:space="preserve"> </w:t>
      </w:r>
      <w:r w:rsidRPr="007F6BC6">
        <w:rPr>
          <w:rFonts w:ascii="Palatino Linotype" w:hAnsi="Palatino Linotype"/>
          <w:szCs w:val="22"/>
        </w:rPr>
        <w:t>Tracking public views on medical research.</w:t>
      </w:r>
      <w:r w:rsidR="00FB0721">
        <w:rPr>
          <w:rFonts w:ascii="Palatino Linotype" w:hAnsi="Palatino Linotype"/>
          <w:szCs w:val="22"/>
        </w:rPr>
        <w:t xml:space="preserve"> </w:t>
      </w:r>
      <w:r w:rsidRPr="007F6BC6">
        <w:rPr>
          <w:rFonts w:ascii="Palatino Linotype" w:hAnsi="Palatino Linotype"/>
          <w:szCs w:val="22"/>
          <w:lang w:val="en-US"/>
        </w:rPr>
        <w:t xml:space="preserve">London: </w:t>
      </w:r>
      <w:proofErr w:type="spellStart"/>
      <w:r w:rsidRPr="007F6BC6">
        <w:rPr>
          <w:rFonts w:ascii="Palatino Linotype" w:hAnsi="Palatino Linotype"/>
          <w:szCs w:val="22"/>
          <w:lang w:val="en-US"/>
        </w:rPr>
        <w:t>Wellcome</w:t>
      </w:r>
      <w:proofErr w:type="spellEnd"/>
      <w:r w:rsidRPr="007F6BC6">
        <w:rPr>
          <w:rFonts w:ascii="Palatino Linotype" w:hAnsi="Palatino Linotype"/>
          <w:szCs w:val="22"/>
          <w:lang w:val="en-US"/>
        </w:rPr>
        <w:t xml:space="preserve"> Trust.</w:t>
      </w:r>
    </w:p>
    <w:p w:rsidR="00934137" w:rsidRPr="007F6BC6" w:rsidRDefault="00934137" w:rsidP="000323CF">
      <w:pPr>
        <w:pStyle w:val="Default"/>
        <w:ind w:left="342" w:hanging="342"/>
        <w:jc w:val="both"/>
        <w:rPr>
          <w:rFonts w:ascii="Palatino Linotype" w:hAnsi="Palatino Linotype" w:cs="Times New Roman"/>
          <w:sz w:val="20"/>
          <w:szCs w:val="22"/>
        </w:rPr>
      </w:pPr>
      <w:proofErr w:type="spellStart"/>
      <w:r w:rsidRPr="007F6BC6">
        <w:rPr>
          <w:rFonts w:ascii="Palatino Linotype" w:hAnsi="Palatino Linotype" w:cs="Times New Roman"/>
          <w:color w:val="auto"/>
          <w:sz w:val="20"/>
          <w:szCs w:val="22"/>
        </w:rPr>
        <w:t>Cerini</w:t>
      </w:r>
      <w:proofErr w:type="spellEnd"/>
      <w:r w:rsidRPr="007F6BC6">
        <w:rPr>
          <w:rFonts w:ascii="Palatino Linotype" w:hAnsi="Palatino Linotype" w:cs="Times New Roman"/>
          <w:color w:val="auto"/>
          <w:sz w:val="20"/>
          <w:szCs w:val="22"/>
        </w:rPr>
        <w:t>, B., Murray, I. and Reiss, M.</w:t>
      </w:r>
      <w:r w:rsidR="00FB0721">
        <w:rPr>
          <w:rFonts w:ascii="Palatino Linotype" w:hAnsi="Palatino Linotype" w:cs="Times New Roman"/>
          <w:color w:val="auto"/>
          <w:sz w:val="20"/>
          <w:szCs w:val="22"/>
        </w:rPr>
        <w:t xml:space="preserve"> </w:t>
      </w:r>
      <w:r w:rsidRPr="007F6BC6">
        <w:rPr>
          <w:rFonts w:ascii="Palatino Linotype" w:hAnsi="Palatino Linotype" w:cs="Times New Roman"/>
          <w:color w:val="auto"/>
          <w:sz w:val="20"/>
          <w:szCs w:val="22"/>
        </w:rPr>
        <w:t>(2004)</w:t>
      </w:r>
      <w:r w:rsidR="00FB0721">
        <w:rPr>
          <w:rFonts w:ascii="Palatino Linotype" w:hAnsi="Palatino Linotype" w:cs="Times New Roman"/>
          <w:color w:val="auto"/>
          <w:sz w:val="20"/>
          <w:szCs w:val="22"/>
        </w:rPr>
        <w:t xml:space="preserve"> </w:t>
      </w:r>
      <w:r w:rsidRPr="007F6BC6">
        <w:rPr>
          <w:rFonts w:ascii="Palatino Linotype" w:hAnsi="Palatino Linotype" w:cs="Times New Roman"/>
          <w:color w:val="auto"/>
          <w:sz w:val="20"/>
          <w:szCs w:val="22"/>
        </w:rPr>
        <w:t>Student review of the science curriculum.</w:t>
      </w:r>
      <w:r w:rsidR="00FB0721">
        <w:rPr>
          <w:rFonts w:ascii="Palatino Linotype" w:hAnsi="Palatino Linotype" w:cs="Times New Roman"/>
          <w:color w:val="auto"/>
          <w:sz w:val="20"/>
          <w:szCs w:val="22"/>
        </w:rPr>
        <w:t xml:space="preserve"> </w:t>
      </w:r>
      <w:r w:rsidRPr="007F6BC6">
        <w:rPr>
          <w:rFonts w:ascii="Palatino Linotype" w:hAnsi="Palatino Linotype" w:cs="Times New Roman"/>
          <w:color w:val="auto"/>
          <w:sz w:val="20"/>
          <w:szCs w:val="22"/>
        </w:rPr>
        <w:t>London</w:t>
      </w:r>
      <w:r w:rsidRPr="007F6BC6">
        <w:rPr>
          <w:rFonts w:ascii="Palatino Linotype" w:hAnsi="Palatino Linotype" w:cs="Times New Roman"/>
          <w:sz w:val="20"/>
          <w:szCs w:val="22"/>
        </w:rPr>
        <w:t>: Planet Science.</w:t>
      </w:r>
    </w:p>
    <w:p w:rsidR="00934137" w:rsidRPr="007F6BC6" w:rsidRDefault="00934137" w:rsidP="000323CF">
      <w:pPr>
        <w:pStyle w:val="Default"/>
        <w:ind w:left="342" w:hanging="342"/>
        <w:jc w:val="both"/>
        <w:rPr>
          <w:rFonts w:ascii="Palatino Linotype" w:hAnsi="Palatino Linotype"/>
          <w:sz w:val="20"/>
          <w:szCs w:val="22"/>
        </w:rPr>
      </w:pPr>
      <w:proofErr w:type="spellStart"/>
      <w:proofErr w:type="gramStart"/>
      <w:r w:rsidRPr="007F6BC6">
        <w:rPr>
          <w:rFonts w:ascii="Palatino Linotype" w:hAnsi="Palatino Linotype" w:cs="Times New Roman"/>
          <w:sz w:val="20"/>
          <w:szCs w:val="22"/>
        </w:rPr>
        <w:t>Clemence</w:t>
      </w:r>
      <w:proofErr w:type="spellEnd"/>
      <w:r w:rsidRPr="007F6BC6">
        <w:rPr>
          <w:rFonts w:ascii="Palatino Linotype" w:hAnsi="Palatino Linotype" w:cs="Times New Roman"/>
          <w:sz w:val="20"/>
          <w:szCs w:val="22"/>
        </w:rPr>
        <w:t xml:space="preserve">, M., </w:t>
      </w:r>
      <w:proofErr w:type="spellStart"/>
      <w:r w:rsidRPr="007F6BC6">
        <w:rPr>
          <w:rFonts w:ascii="Palatino Linotype" w:hAnsi="Palatino Linotype" w:cs="Times New Roman"/>
          <w:sz w:val="20"/>
          <w:szCs w:val="22"/>
        </w:rPr>
        <w:t>Gilby</w:t>
      </w:r>
      <w:proofErr w:type="spellEnd"/>
      <w:r w:rsidRPr="007F6BC6">
        <w:rPr>
          <w:rFonts w:ascii="Palatino Linotype" w:hAnsi="Palatino Linotype" w:cs="Times New Roman"/>
          <w:sz w:val="20"/>
          <w:szCs w:val="22"/>
        </w:rPr>
        <w:t xml:space="preserve">, N., Shah, J., </w:t>
      </w:r>
      <w:proofErr w:type="spellStart"/>
      <w:r w:rsidRPr="007F6BC6">
        <w:rPr>
          <w:rFonts w:ascii="Palatino Linotype" w:hAnsi="Palatino Linotype" w:cs="Times New Roman"/>
          <w:sz w:val="20"/>
          <w:szCs w:val="22"/>
        </w:rPr>
        <w:t>Swiecicka</w:t>
      </w:r>
      <w:proofErr w:type="spellEnd"/>
      <w:r w:rsidRPr="007F6BC6">
        <w:rPr>
          <w:rFonts w:ascii="Palatino Linotype" w:hAnsi="Palatino Linotype" w:cs="Times New Roman"/>
          <w:sz w:val="20"/>
          <w:szCs w:val="22"/>
        </w:rPr>
        <w:t>, J. and Warren, D.</w:t>
      </w:r>
      <w:r w:rsidR="00FB0721">
        <w:rPr>
          <w:rFonts w:ascii="Palatino Linotype" w:hAnsi="Palatino Linotype" w:cs="Times New Roman"/>
          <w:sz w:val="20"/>
          <w:szCs w:val="22"/>
        </w:rPr>
        <w:t xml:space="preserve"> </w:t>
      </w:r>
      <w:r w:rsidRPr="007F6BC6">
        <w:rPr>
          <w:rFonts w:ascii="Palatino Linotype" w:hAnsi="Palatino Linotype" w:cs="Times New Roman"/>
          <w:sz w:val="20"/>
          <w:szCs w:val="22"/>
        </w:rPr>
        <w:t>(2013)</w:t>
      </w:r>
      <w:r w:rsidR="00FB0721">
        <w:rPr>
          <w:rFonts w:ascii="Palatino Linotype" w:hAnsi="Palatino Linotype" w:cs="Times New Roman"/>
          <w:sz w:val="20"/>
          <w:szCs w:val="22"/>
        </w:rPr>
        <w:t xml:space="preserve"> </w:t>
      </w:r>
      <w:r w:rsidRPr="007F6BC6">
        <w:rPr>
          <w:rFonts w:ascii="Palatino Linotype" w:hAnsi="Palatino Linotype" w:cs="Times New Roman"/>
          <w:sz w:val="20"/>
          <w:szCs w:val="22"/>
        </w:rPr>
        <w:t>(IPSOS MORI)</w:t>
      </w:r>
      <w:r w:rsidR="00FB0721">
        <w:rPr>
          <w:rFonts w:ascii="Palatino Linotype" w:hAnsi="Palatino Linotype" w:cs="Times New Roman"/>
          <w:sz w:val="20"/>
          <w:szCs w:val="22"/>
        </w:rPr>
        <w:t xml:space="preserve"> </w:t>
      </w:r>
      <w:proofErr w:type="spellStart"/>
      <w:r w:rsidRPr="007F6BC6">
        <w:rPr>
          <w:rFonts w:ascii="Palatino Linotype" w:hAnsi="Palatino Linotype" w:cs="Times New Roman"/>
          <w:sz w:val="20"/>
          <w:szCs w:val="22"/>
          <w:lang w:val="en-US"/>
        </w:rPr>
        <w:t>Wellcome</w:t>
      </w:r>
      <w:proofErr w:type="spellEnd"/>
      <w:r w:rsidRPr="007F6BC6">
        <w:rPr>
          <w:rFonts w:ascii="Palatino Linotype" w:hAnsi="Palatino Linotype" w:cs="Times New Roman"/>
          <w:sz w:val="20"/>
          <w:szCs w:val="22"/>
          <w:lang w:val="en-US"/>
        </w:rPr>
        <w:t xml:space="preserve"> Trust Monitor Wave 2.</w:t>
      </w:r>
      <w:proofErr w:type="gramEnd"/>
      <w:r w:rsidR="00FB0721">
        <w:rPr>
          <w:rFonts w:ascii="Palatino Linotype" w:hAnsi="Palatino Linotype" w:cs="Times New Roman"/>
          <w:sz w:val="20"/>
          <w:szCs w:val="22"/>
        </w:rPr>
        <w:t xml:space="preserve"> </w:t>
      </w:r>
      <w:r w:rsidRPr="007F6BC6">
        <w:rPr>
          <w:rFonts w:ascii="Palatino Linotype" w:hAnsi="Palatino Linotype"/>
          <w:sz w:val="20"/>
          <w:szCs w:val="22"/>
        </w:rPr>
        <w:t xml:space="preserve">Tracking public views on science, </w:t>
      </w:r>
      <w:r w:rsidRPr="007F6BC6">
        <w:rPr>
          <w:rFonts w:ascii="Palatino Linotype" w:hAnsi="Palatino Linotype" w:cs="Times New Roman"/>
          <w:sz w:val="20"/>
          <w:szCs w:val="22"/>
        </w:rPr>
        <w:t>research and science education.</w:t>
      </w:r>
      <w:r w:rsidR="00FB0721">
        <w:rPr>
          <w:rFonts w:ascii="Palatino Linotype" w:hAnsi="Palatino Linotype" w:cs="Times New Roman"/>
          <w:sz w:val="20"/>
          <w:szCs w:val="22"/>
        </w:rPr>
        <w:t xml:space="preserve"> </w:t>
      </w:r>
      <w:r w:rsidRPr="007F6BC6">
        <w:rPr>
          <w:rFonts w:ascii="Palatino Linotype" w:hAnsi="Palatino Linotype" w:cs="Times New Roman"/>
          <w:sz w:val="20"/>
          <w:szCs w:val="22"/>
          <w:lang w:val="en-US"/>
        </w:rPr>
        <w:t xml:space="preserve">London: </w:t>
      </w:r>
      <w:proofErr w:type="spellStart"/>
      <w:r w:rsidRPr="007F6BC6">
        <w:rPr>
          <w:rFonts w:ascii="Palatino Linotype" w:hAnsi="Palatino Linotype" w:cs="Times New Roman"/>
          <w:sz w:val="20"/>
          <w:szCs w:val="22"/>
          <w:lang w:val="en-US"/>
        </w:rPr>
        <w:t>Wellcome</w:t>
      </w:r>
      <w:proofErr w:type="spellEnd"/>
      <w:r w:rsidRPr="007F6BC6">
        <w:rPr>
          <w:rFonts w:ascii="Palatino Linotype" w:hAnsi="Palatino Linotype" w:cs="Times New Roman"/>
          <w:sz w:val="20"/>
          <w:szCs w:val="22"/>
          <w:lang w:val="en-US"/>
        </w:rPr>
        <w:t xml:space="preserve"> Trust.</w:t>
      </w:r>
    </w:p>
    <w:p w:rsidR="00934137" w:rsidRPr="007F6BC6" w:rsidRDefault="00934137" w:rsidP="000323CF">
      <w:pPr>
        <w:pStyle w:val="Default"/>
        <w:ind w:left="342" w:hanging="342"/>
        <w:jc w:val="both"/>
        <w:rPr>
          <w:rFonts w:ascii="Palatino Linotype" w:hAnsi="Palatino Linotype" w:cs="Times New Roman"/>
          <w:sz w:val="20"/>
          <w:szCs w:val="22"/>
        </w:rPr>
      </w:pPr>
      <w:proofErr w:type="gramStart"/>
      <w:r w:rsidRPr="007F6BC6">
        <w:rPr>
          <w:rFonts w:ascii="Palatino Linotype" w:hAnsi="Palatino Linotype" w:cs="Times New Roman"/>
          <w:sz w:val="20"/>
          <w:szCs w:val="22"/>
        </w:rPr>
        <w:t xml:space="preserve">Coe, R., Searle, J., </w:t>
      </w:r>
      <w:proofErr w:type="spellStart"/>
      <w:r w:rsidRPr="007F6BC6">
        <w:rPr>
          <w:rFonts w:ascii="Palatino Linotype" w:hAnsi="Palatino Linotype" w:cs="Times New Roman"/>
          <w:sz w:val="20"/>
          <w:szCs w:val="22"/>
        </w:rPr>
        <w:t>Barmby</w:t>
      </w:r>
      <w:proofErr w:type="spellEnd"/>
      <w:r w:rsidRPr="007F6BC6">
        <w:rPr>
          <w:rFonts w:ascii="Palatino Linotype" w:hAnsi="Palatino Linotype" w:cs="Times New Roman"/>
          <w:sz w:val="20"/>
          <w:szCs w:val="22"/>
        </w:rPr>
        <w:t>, P., Jones, K. and Higgins, S.</w:t>
      </w:r>
      <w:r w:rsidR="00FB0721">
        <w:rPr>
          <w:rFonts w:ascii="Palatino Linotype" w:hAnsi="Palatino Linotype" w:cs="Times New Roman"/>
          <w:sz w:val="20"/>
          <w:szCs w:val="22"/>
        </w:rPr>
        <w:t xml:space="preserve"> </w:t>
      </w:r>
      <w:r w:rsidRPr="007F6BC6">
        <w:rPr>
          <w:rFonts w:ascii="Palatino Linotype" w:hAnsi="Palatino Linotype" w:cs="Times New Roman"/>
          <w:sz w:val="20"/>
          <w:szCs w:val="22"/>
        </w:rPr>
        <w:t>(2008)</w:t>
      </w:r>
      <w:r w:rsidR="00FB0721">
        <w:rPr>
          <w:rFonts w:ascii="Palatino Linotype" w:hAnsi="Palatino Linotype" w:cs="Times New Roman"/>
          <w:sz w:val="20"/>
          <w:szCs w:val="22"/>
        </w:rPr>
        <w:t xml:space="preserve"> </w:t>
      </w:r>
      <w:r w:rsidRPr="007F6BC6">
        <w:rPr>
          <w:rFonts w:ascii="Palatino Linotype" w:hAnsi="Palatino Linotype" w:cs="Times New Roman"/>
          <w:sz w:val="20"/>
          <w:szCs w:val="22"/>
        </w:rPr>
        <w:t>Relative difficulty of examinations in different subjects.</w:t>
      </w:r>
      <w:proofErr w:type="gramEnd"/>
      <w:r w:rsidR="00FB0721">
        <w:rPr>
          <w:rFonts w:ascii="Palatino Linotype" w:hAnsi="Palatino Linotype" w:cs="Times New Roman"/>
          <w:sz w:val="20"/>
          <w:szCs w:val="22"/>
        </w:rPr>
        <w:t xml:space="preserve"> </w:t>
      </w:r>
      <w:r w:rsidRPr="007F6BC6">
        <w:rPr>
          <w:rFonts w:ascii="Palatino Linotype" w:hAnsi="Palatino Linotype" w:cs="Times New Roman"/>
          <w:sz w:val="20"/>
          <w:szCs w:val="22"/>
        </w:rPr>
        <w:t>Durham: CEM Centre.</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Department for Children, Schools and Families (2009)</w:t>
      </w:r>
      <w:r w:rsidR="00FB0721">
        <w:rPr>
          <w:rFonts w:ascii="Palatino Linotype" w:hAnsi="Palatino Linotype"/>
          <w:szCs w:val="22"/>
        </w:rPr>
        <w:t xml:space="preserve"> </w:t>
      </w:r>
      <w:r w:rsidRPr="007F6BC6">
        <w:rPr>
          <w:rFonts w:ascii="Palatino Linotype" w:hAnsi="Palatino Linotype"/>
          <w:szCs w:val="22"/>
        </w:rPr>
        <w:t>Progression to science post-16: An enquiry into the factors which are influential in achieving high levels of take-up of science subjects post-16.</w:t>
      </w:r>
      <w:r w:rsidR="00FB0721">
        <w:rPr>
          <w:rFonts w:ascii="Palatino Linotype" w:hAnsi="Palatino Linotype"/>
          <w:szCs w:val="22"/>
        </w:rPr>
        <w:t xml:space="preserve"> </w:t>
      </w:r>
      <w:r w:rsidRPr="007F6BC6">
        <w:rPr>
          <w:rFonts w:ascii="Palatino Linotype" w:hAnsi="Palatino Linotype"/>
          <w:szCs w:val="22"/>
        </w:rPr>
        <w:t>London: Department for Children, Schools and Families.</w:t>
      </w:r>
    </w:p>
    <w:p w:rsidR="00934137" w:rsidRDefault="00934137" w:rsidP="000323CF">
      <w:pPr>
        <w:tabs>
          <w:tab w:val="clear" w:pos="567"/>
          <w:tab w:val="left" w:pos="720"/>
        </w:tabs>
        <w:spacing w:line="240" w:lineRule="auto"/>
        <w:ind w:left="284" w:hanging="284"/>
        <w:jc w:val="both"/>
        <w:rPr>
          <w:rFonts w:ascii="Palatino Linotype" w:hAnsi="Palatino Linotype"/>
          <w:szCs w:val="22"/>
          <w:lang w:val="en-US"/>
        </w:rPr>
      </w:pPr>
      <w:r w:rsidRPr="007F6BC6">
        <w:rPr>
          <w:rFonts w:ascii="Palatino Linotype" w:hAnsi="Palatino Linotype"/>
          <w:szCs w:val="22"/>
          <w:lang w:val="en-US"/>
        </w:rPr>
        <w:t xml:space="preserve">Department </w:t>
      </w:r>
      <w:r w:rsidR="00C9377B" w:rsidRPr="007F6BC6">
        <w:rPr>
          <w:rFonts w:ascii="Palatino Linotype" w:hAnsi="Palatino Linotype"/>
          <w:szCs w:val="22"/>
          <w:lang w:val="en-US"/>
        </w:rPr>
        <w:t>for Education and Skills (DfES)</w:t>
      </w:r>
      <w:r w:rsidR="00253525">
        <w:rPr>
          <w:rFonts w:ascii="Palatino Linotype" w:hAnsi="Palatino Linotype"/>
          <w:szCs w:val="22"/>
          <w:lang w:val="en-US"/>
        </w:rPr>
        <w:t xml:space="preserve"> (2006)</w:t>
      </w:r>
      <w:r w:rsidRPr="007F6BC6">
        <w:rPr>
          <w:rFonts w:ascii="Palatino Linotype" w:hAnsi="Palatino Linotype"/>
          <w:szCs w:val="22"/>
          <w:lang w:val="en-US"/>
        </w:rPr>
        <w:t xml:space="preserve"> Learning Outside the Classroom Manifesto. Nottingham: Department for Educatio</w:t>
      </w:r>
      <w:r w:rsidR="00253525">
        <w:rPr>
          <w:rFonts w:ascii="Palatino Linotype" w:hAnsi="Palatino Linotype"/>
          <w:szCs w:val="22"/>
          <w:lang w:val="en-US"/>
        </w:rPr>
        <w:t>n and Skills</w:t>
      </w:r>
      <w:r w:rsidRPr="007F6BC6">
        <w:rPr>
          <w:rFonts w:ascii="Palatino Linotype" w:hAnsi="Palatino Linotype"/>
          <w:szCs w:val="22"/>
          <w:lang w:val="en-US"/>
        </w:rPr>
        <w:t xml:space="preserve">. </w:t>
      </w:r>
    </w:p>
    <w:p w:rsidR="00253525" w:rsidRPr="007F6BC6" w:rsidRDefault="00253525" w:rsidP="000323CF">
      <w:pPr>
        <w:tabs>
          <w:tab w:val="clear" w:pos="567"/>
          <w:tab w:val="left" w:pos="720"/>
        </w:tabs>
        <w:spacing w:line="240" w:lineRule="auto"/>
        <w:ind w:left="284" w:hanging="284"/>
        <w:jc w:val="both"/>
        <w:rPr>
          <w:rFonts w:ascii="Palatino Linotype" w:hAnsi="Palatino Linotype"/>
          <w:szCs w:val="22"/>
          <w:lang w:val="en-US"/>
        </w:rPr>
      </w:pPr>
      <w:r>
        <w:rPr>
          <w:rFonts w:ascii="Palatino Linotype" w:hAnsi="Palatino Linotype"/>
          <w:szCs w:val="22"/>
          <w:lang w:val="en-US"/>
        </w:rPr>
        <w:t>Department for Children, Schools and Families (2009)</w:t>
      </w:r>
      <w:r w:rsidR="00FB0721">
        <w:rPr>
          <w:rFonts w:ascii="Palatino Linotype" w:hAnsi="Palatino Linotype"/>
          <w:szCs w:val="22"/>
          <w:lang w:val="en-US"/>
        </w:rPr>
        <w:t xml:space="preserve"> </w:t>
      </w:r>
      <w:r>
        <w:rPr>
          <w:rFonts w:ascii="Palatino Linotype" w:hAnsi="Palatino Linotype"/>
          <w:szCs w:val="22"/>
          <w:lang w:val="en-US"/>
        </w:rPr>
        <w:t>Progression to post-16 science: the report.</w:t>
      </w:r>
      <w:r w:rsidR="00FB0721">
        <w:rPr>
          <w:rFonts w:ascii="Palatino Linotype" w:hAnsi="Palatino Linotype"/>
          <w:szCs w:val="22"/>
          <w:lang w:val="en-US"/>
        </w:rPr>
        <w:t xml:space="preserve"> </w:t>
      </w:r>
      <w:r>
        <w:rPr>
          <w:rFonts w:ascii="Palatino Linotype" w:hAnsi="Palatino Linotype"/>
          <w:szCs w:val="22"/>
          <w:lang w:val="en-US"/>
        </w:rPr>
        <w:t>London: DCSF.</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Department of Education and Science (1968)</w:t>
      </w:r>
      <w:r w:rsidR="00FB0721">
        <w:rPr>
          <w:rFonts w:ascii="Palatino Linotype" w:hAnsi="Palatino Linotype"/>
          <w:szCs w:val="22"/>
        </w:rPr>
        <w:t xml:space="preserve"> </w:t>
      </w:r>
      <w:r w:rsidRPr="007F6BC6">
        <w:rPr>
          <w:rFonts w:ascii="Palatino Linotype" w:hAnsi="Palatino Linotype"/>
          <w:szCs w:val="22"/>
        </w:rPr>
        <w:t>Enquiry into the flow of candidates in science and technology into higher education (The Dainton Report).</w:t>
      </w:r>
      <w:proofErr w:type="gramEnd"/>
      <w:r w:rsidR="00FB0721">
        <w:rPr>
          <w:rFonts w:ascii="Palatino Linotype" w:hAnsi="Palatino Linotype"/>
          <w:szCs w:val="22"/>
        </w:rPr>
        <w:t xml:space="preserve"> </w:t>
      </w:r>
      <w:r w:rsidRPr="007F6BC6">
        <w:rPr>
          <w:rFonts w:ascii="Palatino Linotype" w:hAnsi="Palatino Linotype"/>
          <w:szCs w:val="22"/>
        </w:rPr>
        <w:t>London: HMSO.</w:t>
      </w:r>
    </w:p>
    <w:p w:rsidR="00934137" w:rsidRPr="007F6BC6" w:rsidRDefault="00C9377B" w:rsidP="000323CF">
      <w:pPr>
        <w:tabs>
          <w:tab w:val="clear" w:pos="567"/>
          <w:tab w:val="left" w:pos="720"/>
        </w:tabs>
        <w:spacing w:line="240" w:lineRule="auto"/>
        <w:ind w:left="284" w:hanging="284"/>
        <w:jc w:val="both"/>
        <w:rPr>
          <w:rFonts w:ascii="Palatino Linotype" w:hAnsi="Palatino Linotype"/>
          <w:bCs/>
          <w:szCs w:val="22"/>
        </w:rPr>
      </w:pPr>
      <w:proofErr w:type="gramStart"/>
      <w:r w:rsidRPr="007F6BC6">
        <w:rPr>
          <w:rFonts w:ascii="Palatino Linotype" w:hAnsi="Palatino Linotype"/>
          <w:bCs/>
          <w:szCs w:val="22"/>
        </w:rPr>
        <w:lastRenderedPageBreak/>
        <w:t>Fitzgibbon, C.</w:t>
      </w:r>
      <w:r w:rsidR="00FB0721">
        <w:rPr>
          <w:rFonts w:ascii="Palatino Linotype" w:hAnsi="Palatino Linotype"/>
          <w:bCs/>
          <w:szCs w:val="22"/>
        </w:rPr>
        <w:t xml:space="preserve"> </w:t>
      </w:r>
      <w:r w:rsidR="00934137" w:rsidRPr="007F6BC6">
        <w:rPr>
          <w:rFonts w:ascii="Palatino Linotype" w:hAnsi="Palatino Linotype"/>
          <w:bCs/>
          <w:szCs w:val="22"/>
        </w:rPr>
        <w:t>(1999)</w:t>
      </w:r>
      <w:r w:rsidR="00FB0721">
        <w:rPr>
          <w:rFonts w:ascii="Palatino Linotype" w:hAnsi="Palatino Linotype"/>
          <w:bCs/>
          <w:szCs w:val="22"/>
        </w:rPr>
        <w:t xml:space="preserve"> </w:t>
      </w:r>
      <w:r w:rsidR="00934137" w:rsidRPr="007F6BC6">
        <w:rPr>
          <w:rFonts w:ascii="Palatino Linotype" w:hAnsi="Palatino Linotype"/>
          <w:bCs/>
          <w:szCs w:val="22"/>
        </w:rPr>
        <w:t>Long-term consequences of curriculum choices with particular reference to mathematics and science.</w:t>
      </w:r>
      <w:proofErr w:type="gramEnd"/>
      <w:r w:rsidR="00FB0721">
        <w:rPr>
          <w:rFonts w:ascii="Palatino Linotype" w:hAnsi="Palatino Linotype"/>
          <w:bCs/>
          <w:szCs w:val="22"/>
        </w:rPr>
        <w:t xml:space="preserve"> </w:t>
      </w:r>
      <w:r w:rsidR="00934137" w:rsidRPr="007F6BC6">
        <w:rPr>
          <w:rFonts w:ascii="Palatino Linotype" w:hAnsi="Palatino Linotype"/>
          <w:bCs/>
          <w:szCs w:val="22"/>
        </w:rPr>
        <w:t>School Effectiveness and School Improvement, 10 (2), 217-232.</w:t>
      </w:r>
    </w:p>
    <w:p w:rsidR="00934137" w:rsidRPr="007F6BC6" w:rsidRDefault="00C9377B"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Fitzgibbon, C. and Vincent, L.</w:t>
      </w:r>
      <w:r w:rsidR="00FB0721">
        <w:rPr>
          <w:rFonts w:ascii="Palatino Linotype" w:hAnsi="Palatino Linotype"/>
          <w:szCs w:val="22"/>
        </w:rPr>
        <w:t xml:space="preserve"> </w:t>
      </w:r>
      <w:r w:rsidR="00934137" w:rsidRPr="007F6BC6">
        <w:rPr>
          <w:rFonts w:ascii="Palatino Linotype" w:hAnsi="Palatino Linotype"/>
          <w:szCs w:val="22"/>
        </w:rPr>
        <w:t>(1994)</w:t>
      </w:r>
      <w:r w:rsidR="00FB0721">
        <w:rPr>
          <w:rFonts w:ascii="Palatino Linotype" w:hAnsi="Palatino Linotype"/>
          <w:szCs w:val="22"/>
        </w:rPr>
        <w:t xml:space="preserve"> </w:t>
      </w:r>
      <w:r w:rsidR="00934137" w:rsidRPr="007F6BC6">
        <w:rPr>
          <w:rFonts w:ascii="Palatino Linotype" w:hAnsi="Palatino Linotype"/>
          <w:szCs w:val="22"/>
        </w:rPr>
        <w:t>Candidates’ performance in public examinations in mathematics and science.</w:t>
      </w:r>
      <w:proofErr w:type="gramEnd"/>
      <w:r w:rsidR="00FB0721">
        <w:rPr>
          <w:rFonts w:ascii="Palatino Linotype" w:hAnsi="Palatino Linotype"/>
          <w:szCs w:val="22"/>
        </w:rPr>
        <w:t xml:space="preserve"> </w:t>
      </w:r>
      <w:r w:rsidR="00934137" w:rsidRPr="007F6BC6">
        <w:rPr>
          <w:rFonts w:ascii="Palatino Linotype" w:hAnsi="Palatino Linotype"/>
          <w:szCs w:val="22"/>
        </w:rPr>
        <w:t>Newcastle: University of Newcastle-upon-Tyne.</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Galton</w:t>
      </w:r>
      <w:r w:rsidR="00C9377B" w:rsidRPr="007F6BC6">
        <w:rPr>
          <w:rFonts w:ascii="Palatino Linotype" w:hAnsi="Palatino Linotype"/>
          <w:szCs w:val="22"/>
        </w:rPr>
        <w:t xml:space="preserve">, M., </w:t>
      </w:r>
      <w:proofErr w:type="spellStart"/>
      <w:r w:rsidR="00C9377B" w:rsidRPr="007F6BC6">
        <w:rPr>
          <w:rFonts w:ascii="Palatino Linotype" w:hAnsi="Palatino Linotype"/>
          <w:szCs w:val="22"/>
        </w:rPr>
        <w:t>Gray</w:t>
      </w:r>
      <w:proofErr w:type="spellEnd"/>
      <w:r w:rsidR="00C9377B" w:rsidRPr="007F6BC6">
        <w:rPr>
          <w:rFonts w:ascii="Palatino Linotype" w:hAnsi="Palatino Linotype"/>
          <w:szCs w:val="22"/>
        </w:rPr>
        <w:t>, J. and Ruddock, J.</w:t>
      </w:r>
      <w:r w:rsidR="00FB0721">
        <w:rPr>
          <w:rFonts w:ascii="Palatino Linotype" w:hAnsi="Palatino Linotype"/>
          <w:szCs w:val="22"/>
        </w:rPr>
        <w:t xml:space="preserve"> </w:t>
      </w:r>
      <w:r w:rsidRPr="007F6BC6">
        <w:rPr>
          <w:rFonts w:ascii="Palatino Linotype" w:hAnsi="Palatino Linotype"/>
          <w:szCs w:val="22"/>
        </w:rPr>
        <w:t>(2003)</w:t>
      </w:r>
      <w:r w:rsidR="00FB0721">
        <w:rPr>
          <w:rFonts w:ascii="Palatino Linotype" w:hAnsi="Palatino Linotype"/>
          <w:szCs w:val="22"/>
        </w:rPr>
        <w:t xml:space="preserve"> </w:t>
      </w:r>
      <w:r w:rsidRPr="007F6BC6">
        <w:rPr>
          <w:rFonts w:ascii="Palatino Linotype" w:hAnsi="Palatino Linotype"/>
          <w:szCs w:val="22"/>
        </w:rPr>
        <w:t>Transfer and transitions in the middle years of schools (7-14): continuities and discontinuities in learning.</w:t>
      </w:r>
      <w:r w:rsidR="00FB0721">
        <w:rPr>
          <w:rFonts w:ascii="Palatino Linotype" w:hAnsi="Palatino Linotype"/>
          <w:szCs w:val="22"/>
        </w:rPr>
        <w:t xml:space="preserve"> </w:t>
      </w:r>
      <w:proofErr w:type="gramStart"/>
      <w:r w:rsidRPr="007F6BC6">
        <w:rPr>
          <w:rFonts w:ascii="Palatino Linotype" w:hAnsi="Palatino Linotype"/>
          <w:szCs w:val="22"/>
        </w:rPr>
        <w:t>Department for Education and Skills (DfES) research report No. 443.</w:t>
      </w:r>
      <w:proofErr w:type="gramEnd"/>
      <w:r w:rsidR="00FB0721">
        <w:rPr>
          <w:rFonts w:ascii="Palatino Linotype" w:hAnsi="Palatino Linotype"/>
          <w:szCs w:val="22"/>
        </w:rPr>
        <w:t xml:space="preserve"> </w:t>
      </w:r>
      <w:r w:rsidRPr="007F6BC6">
        <w:rPr>
          <w:rFonts w:ascii="Palatino Linotype" w:hAnsi="Palatino Linotype"/>
          <w:szCs w:val="22"/>
        </w:rPr>
        <w:t>London: HMSO.</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Gardner, P.</w:t>
      </w:r>
      <w:r w:rsidR="00FB0721">
        <w:rPr>
          <w:rFonts w:ascii="Palatino Linotype" w:hAnsi="Palatino Linotype"/>
          <w:szCs w:val="22"/>
        </w:rPr>
        <w:t xml:space="preserve"> </w:t>
      </w:r>
      <w:r w:rsidRPr="007F6BC6">
        <w:rPr>
          <w:rFonts w:ascii="Palatino Linotype" w:hAnsi="Palatino Linotype"/>
          <w:szCs w:val="22"/>
        </w:rPr>
        <w:t>(1975)</w:t>
      </w:r>
      <w:r w:rsidR="00FB0721">
        <w:rPr>
          <w:rFonts w:ascii="Palatino Linotype" w:hAnsi="Palatino Linotype"/>
          <w:szCs w:val="22"/>
        </w:rPr>
        <w:t xml:space="preserve"> </w:t>
      </w:r>
      <w:r w:rsidRPr="007F6BC6">
        <w:rPr>
          <w:rFonts w:ascii="Palatino Linotype" w:hAnsi="Palatino Linotype"/>
          <w:szCs w:val="22"/>
        </w:rPr>
        <w:t>Attitudes to science: a review.</w:t>
      </w:r>
      <w:r w:rsidR="00FB0721">
        <w:rPr>
          <w:rFonts w:ascii="Palatino Linotype" w:hAnsi="Palatino Linotype"/>
          <w:szCs w:val="22"/>
        </w:rPr>
        <w:t xml:space="preserve"> </w:t>
      </w:r>
      <w:r w:rsidRPr="007F6BC6">
        <w:rPr>
          <w:rFonts w:ascii="Palatino Linotype" w:hAnsi="Palatino Linotype"/>
          <w:szCs w:val="22"/>
        </w:rPr>
        <w:t>Studies in Science Education, 2, 1-41.</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lang w:val="en-US"/>
        </w:rPr>
        <w:t>Gibson, H., and Chase, C</w:t>
      </w:r>
      <w:r w:rsidR="00245503" w:rsidRPr="007F6BC6">
        <w:rPr>
          <w:rFonts w:ascii="Palatino Linotype" w:hAnsi="Palatino Linotype"/>
          <w:szCs w:val="22"/>
          <w:lang w:val="en-US"/>
        </w:rPr>
        <w:t>.</w:t>
      </w:r>
      <w:r w:rsidR="00FB0721">
        <w:rPr>
          <w:rFonts w:ascii="Palatino Linotype" w:hAnsi="Palatino Linotype"/>
          <w:szCs w:val="22"/>
          <w:lang w:val="en-US"/>
        </w:rPr>
        <w:t xml:space="preserve"> </w:t>
      </w:r>
      <w:r w:rsidR="00245503" w:rsidRPr="007F6BC6">
        <w:rPr>
          <w:rFonts w:ascii="Palatino Linotype" w:hAnsi="Palatino Linotype"/>
          <w:szCs w:val="22"/>
          <w:lang w:val="en-US"/>
        </w:rPr>
        <w:t>(</w:t>
      </w:r>
      <w:r w:rsidRPr="007F6BC6">
        <w:rPr>
          <w:rFonts w:ascii="Palatino Linotype" w:hAnsi="Palatino Linotype"/>
          <w:szCs w:val="22"/>
          <w:lang w:val="en-US"/>
        </w:rPr>
        <w:t>2002</w:t>
      </w:r>
      <w:r w:rsidR="0092065B">
        <w:rPr>
          <w:rFonts w:ascii="Palatino Linotype" w:hAnsi="Palatino Linotype"/>
          <w:szCs w:val="22"/>
          <w:lang w:val="en-US"/>
        </w:rPr>
        <w:t>)</w:t>
      </w:r>
      <w:r w:rsidRPr="007F6BC6">
        <w:rPr>
          <w:rFonts w:ascii="Palatino Linotype" w:hAnsi="Palatino Linotype"/>
          <w:szCs w:val="22"/>
          <w:lang w:val="en-US"/>
        </w:rPr>
        <w:t xml:space="preserve"> </w:t>
      </w:r>
      <w:proofErr w:type="gramStart"/>
      <w:r w:rsidRPr="007F6BC6">
        <w:rPr>
          <w:rFonts w:ascii="Palatino Linotype" w:hAnsi="Palatino Linotype"/>
          <w:szCs w:val="22"/>
          <w:lang w:val="en-US"/>
        </w:rPr>
        <w:t>Longitudinal</w:t>
      </w:r>
      <w:proofErr w:type="gramEnd"/>
      <w:r w:rsidRPr="007F6BC6">
        <w:rPr>
          <w:rFonts w:ascii="Palatino Linotype" w:hAnsi="Palatino Linotype"/>
          <w:szCs w:val="22"/>
          <w:lang w:val="en-US"/>
        </w:rPr>
        <w:t xml:space="preserve"> impact of an inquiry-based science program on middle school students’ attitudes towards science. </w:t>
      </w:r>
      <w:r w:rsidRPr="007F6BC6">
        <w:rPr>
          <w:rFonts w:ascii="Palatino Linotype" w:hAnsi="Palatino Linotype"/>
          <w:iCs/>
          <w:szCs w:val="22"/>
          <w:lang w:val="en-US"/>
        </w:rPr>
        <w:t>Science Education</w:t>
      </w:r>
      <w:r w:rsidRPr="007F6BC6">
        <w:rPr>
          <w:rFonts w:ascii="Palatino Linotype" w:hAnsi="Palatino Linotype"/>
          <w:szCs w:val="22"/>
          <w:lang w:val="en-US"/>
        </w:rPr>
        <w:t xml:space="preserve">, </w:t>
      </w:r>
      <w:r w:rsidRPr="007F6BC6">
        <w:rPr>
          <w:rFonts w:ascii="Palatino Linotype" w:hAnsi="Palatino Linotype"/>
          <w:iCs/>
          <w:szCs w:val="22"/>
          <w:lang w:val="en-US"/>
        </w:rPr>
        <w:t xml:space="preserve">86 </w:t>
      </w:r>
      <w:r w:rsidRPr="007F6BC6">
        <w:rPr>
          <w:rFonts w:ascii="Palatino Linotype" w:hAnsi="Palatino Linotype"/>
          <w:szCs w:val="22"/>
          <w:lang w:val="en-US"/>
        </w:rPr>
        <w:t>(5), 693-705.</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Gill, T. and Bell, J.</w:t>
      </w:r>
      <w:r w:rsidR="00FB0721">
        <w:rPr>
          <w:rFonts w:ascii="Palatino Linotype" w:hAnsi="Palatino Linotype"/>
          <w:szCs w:val="22"/>
        </w:rPr>
        <w:t xml:space="preserve"> </w:t>
      </w:r>
      <w:r w:rsidRPr="007F6BC6">
        <w:rPr>
          <w:rFonts w:ascii="Palatino Linotype" w:hAnsi="Palatino Linotype"/>
          <w:szCs w:val="22"/>
        </w:rPr>
        <w:t>(2013)</w:t>
      </w:r>
      <w:r w:rsidR="00FB0721">
        <w:rPr>
          <w:rFonts w:ascii="Palatino Linotype" w:hAnsi="Palatino Linotype"/>
          <w:szCs w:val="22"/>
        </w:rPr>
        <w:t xml:space="preserve"> </w:t>
      </w:r>
      <w:proofErr w:type="gramStart"/>
      <w:r w:rsidRPr="007F6BC6">
        <w:rPr>
          <w:rFonts w:ascii="Palatino Linotype" w:hAnsi="Palatino Linotype"/>
          <w:szCs w:val="22"/>
        </w:rPr>
        <w:t>What</w:t>
      </w:r>
      <w:proofErr w:type="gramEnd"/>
      <w:r w:rsidRPr="007F6BC6">
        <w:rPr>
          <w:rFonts w:ascii="Palatino Linotype" w:hAnsi="Palatino Linotype"/>
          <w:szCs w:val="22"/>
        </w:rPr>
        <w:t xml:space="preserve"> factors determine the uptake of A-level Physics?</w:t>
      </w:r>
      <w:r w:rsidR="00FB0721">
        <w:rPr>
          <w:rFonts w:ascii="Palatino Linotype" w:hAnsi="Palatino Linotype"/>
          <w:szCs w:val="22"/>
        </w:rPr>
        <w:t xml:space="preserve"> </w:t>
      </w:r>
      <w:r w:rsidRPr="007F6BC6">
        <w:rPr>
          <w:rFonts w:ascii="Palatino Linotype" w:hAnsi="Palatino Linotype"/>
          <w:szCs w:val="22"/>
        </w:rPr>
        <w:t>International Journal of Science Education, DOI: 10.1080/09500693.2011.577843.</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Gill, T., Vidal Rodeiro, C. and Bell, J.</w:t>
      </w:r>
      <w:r w:rsidR="00FB0721">
        <w:rPr>
          <w:rFonts w:ascii="Palatino Linotype" w:hAnsi="Palatino Linotype"/>
          <w:szCs w:val="22"/>
        </w:rPr>
        <w:t xml:space="preserve"> </w:t>
      </w:r>
      <w:r w:rsidRPr="007F6BC6">
        <w:rPr>
          <w:rFonts w:ascii="Palatino Linotype" w:hAnsi="Palatino Linotype"/>
          <w:szCs w:val="22"/>
        </w:rPr>
        <w:t>(2009)</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complexities surrounding the uptake of A-level physics.</w:t>
      </w:r>
      <w:r w:rsidR="00FB0721">
        <w:rPr>
          <w:rFonts w:ascii="Palatino Linotype" w:hAnsi="Palatino Linotype"/>
          <w:szCs w:val="22"/>
        </w:rPr>
        <w:t xml:space="preserve"> </w:t>
      </w:r>
      <w:r w:rsidRPr="007F6BC6">
        <w:rPr>
          <w:rFonts w:ascii="Palatino Linotype" w:hAnsi="Palatino Linotype"/>
          <w:szCs w:val="22"/>
        </w:rPr>
        <w:t>Paper presented at the annual meeting of the British Educational Research Association Conference, September 2-5, in Manchester, UK.</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Gorard, S. and See, B.</w:t>
      </w:r>
      <w:r w:rsidR="00FB0721">
        <w:rPr>
          <w:rFonts w:ascii="Palatino Linotype" w:hAnsi="Palatino Linotype"/>
          <w:szCs w:val="22"/>
        </w:rPr>
        <w:t xml:space="preserve"> </w:t>
      </w:r>
      <w:r w:rsidRPr="007F6BC6">
        <w:rPr>
          <w:rFonts w:ascii="Palatino Linotype" w:hAnsi="Palatino Linotype"/>
          <w:szCs w:val="22"/>
        </w:rPr>
        <w:t>H</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2009)</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impact of socio-economic status on participation and attainment in science. Studies in Science Education, 45 (1), 93-129.</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Gorard, S.</w:t>
      </w:r>
      <w:proofErr w:type="gramEnd"/>
      <w:r w:rsidRPr="007F6BC6">
        <w:rPr>
          <w:rFonts w:ascii="Palatino Linotype" w:hAnsi="Palatino Linotype"/>
          <w:szCs w:val="22"/>
        </w:rPr>
        <w:t xml:space="preserve"> See, B.</w:t>
      </w:r>
      <w:r w:rsidR="00FB0721">
        <w:rPr>
          <w:rFonts w:ascii="Palatino Linotype" w:hAnsi="Palatino Linotype"/>
          <w:szCs w:val="22"/>
        </w:rPr>
        <w:t xml:space="preserve"> </w:t>
      </w:r>
      <w:r w:rsidRPr="007F6BC6">
        <w:rPr>
          <w:rFonts w:ascii="Palatino Linotype" w:hAnsi="Palatino Linotype"/>
          <w:szCs w:val="22"/>
        </w:rPr>
        <w:t>H. and Davies, P.</w:t>
      </w:r>
      <w:r w:rsidR="00FB0721">
        <w:rPr>
          <w:rFonts w:ascii="Palatino Linotype" w:hAnsi="Palatino Linotype"/>
          <w:szCs w:val="22"/>
        </w:rPr>
        <w:t xml:space="preserve"> </w:t>
      </w:r>
      <w:r w:rsidRPr="007F6BC6">
        <w:rPr>
          <w:rFonts w:ascii="Palatino Linotype" w:hAnsi="Palatino Linotype"/>
          <w:szCs w:val="22"/>
        </w:rPr>
        <w:t>(2012)</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impact of attitudes and aspirations on educational attainment and participation.</w:t>
      </w:r>
      <w:r w:rsidR="00FB0721">
        <w:rPr>
          <w:rFonts w:ascii="Palatino Linotype" w:hAnsi="Palatino Linotype"/>
          <w:szCs w:val="22"/>
        </w:rPr>
        <w:t xml:space="preserve"> </w:t>
      </w:r>
      <w:r w:rsidRPr="007F6BC6">
        <w:rPr>
          <w:rFonts w:ascii="Palatino Linotype" w:hAnsi="Palatino Linotype"/>
          <w:szCs w:val="22"/>
        </w:rPr>
        <w:t xml:space="preserve">Report commissioned by the Joseph </w:t>
      </w:r>
      <w:proofErr w:type="spellStart"/>
      <w:r w:rsidRPr="007F6BC6">
        <w:rPr>
          <w:rFonts w:ascii="Palatino Linotype" w:hAnsi="Palatino Linotype"/>
          <w:szCs w:val="22"/>
        </w:rPr>
        <w:t>Rowntree</w:t>
      </w:r>
      <w:proofErr w:type="spellEnd"/>
      <w:r w:rsidRPr="007F6BC6">
        <w:rPr>
          <w:rFonts w:ascii="Palatino Linotype" w:hAnsi="Palatino Linotype"/>
          <w:szCs w:val="22"/>
        </w:rPr>
        <w:t xml:space="preserve"> Foundation.</w:t>
      </w:r>
      <w:r w:rsidR="00FB0721">
        <w:rPr>
          <w:rFonts w:ascii="Palatino Linotype" w:hAnsi="Palatino Linotype"/>
          <w:szCs w:val="22"/>
        </w:rPr>
        <w:t xml:space="preserve"> </w:t>
      </w:r>
      <w:r w:rsidRPr="007F6BC6">
        <w:rPr>
          <w:rFonts w:ascii="Palatino Linotype" w:hAnsi="Palatino Linotype"/>
          <w:szCs w:val="22"/>
        </w:rPr>
        <w:t xml:space="preserve">York: The Joseph </w:t>
      </w:r>
      <w:proofErr w:type="spellStart"/>
      <w:r w:rsidRPr="007F6BC6">
        <w:rPr>
          <w:rFonts w:ascii="Palatino Linotype" w:hAnsi="Palatino Linotype"/>
          <w:szCs w:val="22"/>
        </w:rPr>
        <w:t>Rowntree</w:t>
      </w:r>
      <w:proofErr w:type="spellEnd"/>
      <w:r w:rsidRPr="007F6BC6">
        <w:rPr>
          <w:rFonts w:ascii="Palatino Linotype" w:hAnsi="Palatino Linotype"/>
          <w:szCs w:val="22"/>
        </w:rPr>
        <w:t xml:space="preserve"> Foundation.</w:t>
      </w:r>
    </w:p>
    <w:p w:rsidR="00934137" w:rsidRPr="007F6BC6" w:rsidRDefault="00934137" w:rsidP="000323CF">
      <w:pPr>
        <w:ind w:left="284" w:hanging="284"/>
        <w:jc w:val="both"/>
        <w:rPr>
          <w:rFonts w:ascii="Palatino Linotype" w:hAnsi="Palatino Linotype"/>
          <w:szCs w:val="22"/>
          <w:lang w:eastAsia="en-GB"/>
        </w:rPr>
      </w:pPr>
      <w:proofErr w:type="gramStart"/>
      <w:r w:rsidRPr="007F6BC6">
        <w:rPr>
          <w:rFonts w:ascii="Palatino Linotype" w:hAnsi="Palatino Linotype"/>
          <w:szCs w:val="22"/>
        </w:rPr>
        <w:t>Hampden-Thompson, G. and Bennett, J.</w:t>
      </w:r>
      <w:r w:rsidR="00FB0721">
        <w:rPr>
          <w:rFonts w:ascii="Palatino Linotype" w:hAnsi="Palatino Linotype"/>
          <w:szCs w:val="22"/>
        </w:rPr>
        <w:t xml:space="preserve"> </w:t>
      </w:r>
      <w:r w:rsidRPr="007F6BC6">
        <w:rPr>
          <w:rFonts w:ascii="Palatino Linotype" w:hAnsi="Palatino Linotype"/>
          <w:szCs w:val="22"/>
        </w:rPr>
        <w:t>(2011)</w:t>
      </w:r>
      <w:r w:rsidR="00FB0721">
        <w:rPr>
          <w:rFonts w:ascii="Palatino Linotype" w:hAnsi="Palatino Linotype"/>
          <w:szCs w:val="22"/>
        </w:rPr>
        <w:t xml:space="preserve"> </w:t>
      </w:r>
      <w:r w:rsidRPr="007F6BC6">
        <w:rPr>
          <w:rFonts w:ascii="Palatino Linotype" w:hAnsi="Palatino Linotype"/>
          <w:szCs w:val="22"/>
        </w:rPr>
        <w:t>Science teaching and learning activities and students’ engagement in science.</w:t>
      </w:r>
      <w:proofErr w:type="gramEnd"/>
      <w:r w:rsidR="00FB0721">
        <w:rPr>
          <w:rFonts w:ascii="Palatino Linotype" w:hAnsi="Palatino Linotype"/>
          <w:szCs w:val="22"/>
        </w:rPr>
        <w:t xml:space="preserve"> </w:t>
      </w:r>
      <w:r w:rsidRPr="007F6BC6">
        <w:rPr>
          <w:rFonts w:ascii="Palatino Linotype" w:hAnsi="Palatino Linotype"/>
          <w:szCs w:val="22"/>
        </w:rPr>
        <w:t xml:space="preserve">International Journal of Science Education, </w:t>
      </w:r>
      <w:r w:rsidRPr="007F6BC6">
        <w:rPr>
          <w:rFonts w:ascii="Palatino Linotype" w:hAnsi="Palatino Linotype"/>
          <w:szCs w:val="22"/>
          <w:lang w:eastAsia="en-GB"/>
        </w:rPr>
        <w:t>35 (8), 1325-1343.</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Haste, H.</w:t>
      </w:r>
      <w:r w:rsidR="00FB0721">
        <w:rPr>
          <w:rFonts w:ascii="Palatino Linotype" w:hAnsi="Palatino Linotype"/>
          <w:szCs w:val="22"/>
        </w:rPr>
        <w:t xml:space="preserve"> </w:t>
      </w:r>
      <w:r w:rsidRPr="007F6BC6">
        <w:rPr>
          <w:rFonts w:ascii="Palatino Linotype" w:hAnsi="Palatino Linotype"/>
          <w:szCs w:val="22"/>
        </w:rPr>
        <w:t>(2004)</w:t>
      </w:r>
      <w:r w:rsidR="00FB0721">
        <w:rPr>
          <w:rFonts w:ascii="Palatino Linotype" w:hAnsi="Palatino Linotype"/>
          <w:szCs w:val="22"/>
        </w:rPr>
        <w:t xml:space="preserve"> </w:t>
      </w:r>
      <w:r w:rsidRPr="007F6BC6">
        <w:rPr>
          <w:rFonts w:ascii="Palatino Linotype" w:hAnsi="Palatino Linotype"/>
          <w:szCs w:val="22"/>
        </w:rPr>
        <w:t>Science in my future: a study of values and beliefs in relation to science and technology amongst 11-21-year-olds.</w:t>
      </w:r>
      <w:r w:rsidR="00FB0721">
        <w:rPr>
          <w:rFonts w:ascii="Palatino Linotype" w:hAnsi="Palatino Linotype"/>
          <w:szCs w:val="22"/>
        </w:rPr>
        <w:t xml:space="preserve"> </w:t>
      </w:r>
      <w:r w:rsidRPr="007F6BC6">
        <w:rPr>
          <w:rFonts w:ascii="Palatino Linotype" w:hAnsi="Palatino Linotype"/>
          <w:szCs w:val="22"/>
        </w:rPr>
        <w:t>Nestlé Social Research programme Report No. 1.</w:t>
      </w:r>
      <w:r w:rsidR="00FB0721">
        <w:rPr>
          <w:rFonts w:ascii="Palatino Linotype" w:hAnsi="Palatino Linotype"/>
          <w:szCs w:val="22"/>
        </w:rPr>
        <w:t xml:space="preserve"> </w:t>
      </w:r>
      <w:r w:rsidRPr="007F6BC6">
        <w:rPr>
          <w:rFonts w:ascii="Palatino Linotype" w:hAnsi="Palatino Linotype"/>
          <w:szCs w:val="22"/>
        </w:rPr>
        <w:t>London: Nestlé Social Research Programme.</w:t>
      </w:r>
    </w:p>
    <w:p w:rsidR="00353BE8" w:rsidRPr="007F6BC6" w:rsidRDefault="00353BE8"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iCs/>
          <w:szCs w:val="22"/>
        </w:rPr>
        <w:t xml:space="preserve">Hogden, J., Pepper, D., </w:t>
      </w:r>
      <w:proofErr w:type="spellStart"/>
      <w:r w:rsidRPr="007F6BC6">
        <w:rPr>
          <w:rFonts w:ascii="Palatino Linotype" w:hAnsi="Palatino Linotype"/>
          <w:iCs/>
          <w:szCs w:val="22"/>
        </w:rPr>
        <w:t>Sturman</w:t>
      </w:r>
      <w:proofErr w:type="spellEnd"/>
      <w:r w:rsidRPr="007F6BC6">
        <w:rPr>
          <w:rFonts w:ascii="Palatino Linotype" w:hAnsi="Palatino Linotype"/>
          <w:iCs/>
          <w:szCs w:val="22"/>
        </w:rPr>
        <w:t>, L. and Ruddock, G.</w:t>
      </w:r>
      <w:r w:rsidR="00FB0721">
        <w:rPr>
          <w:rFonts w:ascii="Palatino Linotype" w:hAnsi="Palatino Linotype"/>
          <w:iCs/>
          <w:szCs w:val="22"/>
        </w:rPr>
        <w:t xml:space="preserve"> </w:t>
      </w:r>
      <w:r w:rsidRPr="007F6BC6">
        <w:rPr>
          <w:rFonts w:ascii="Palatino Linotype" w:hAnsi="Palatino Linotype"/>
          <w:iCs/>
          <w:szCs w:val="22"/>
        </w:rPr>
        <w:t>(2010)</w:t>
      </w:r>
      <w:r w:rsidR="00FB0721">
        <w:rPr>
          <w:rFonts w:ascii="Palatino Linotype" w:hAnsi="Palatino Linotype"/>
          <w:iCs/>
          <w:szCs w:val="22"/>
        </w:rPr>
        <w:t xml:space="preserve"> </w:t>
      </w:r>
      <w:r w:rsidRPr="007F6BC6">
        <w:rPr>
          <w:rFonts w:ascii="Palatino Linotype" w:hAnsi="Palatino Linotype"/>
          <w:iCs/>
          <w:szCs w:val="22"/>
        </w:rPr>
        <w:t xml:space="preserve">Is the UK an Outlier? </w:t>
      </w:r>
      <w:proofErr w:type="gramStart"/>
      <w:r w:rsidRPr="007F6BC6">
        <w:rPr>
          <w:rFonts w:ascii="Palatino Linotype" w:hAnsi="Palatino Linotype"/>
          <w:iCs/>
          <w:szCs w:val="22"/>
        </w:rPr>
        <w:t>An international comparison of upper secondary mathematics</w:t>
      </w:r>
      <w:r w:rsidRPr="007F6BC6">
        <w:rPr>
          <w:rFonts w:ascii="Palatino Linotype" w:hAnsi="Palatino Linotype"/>
          <w:szCs w:val="22"/>
        </w:rPr>
        <w:t>.</w:t>
      </w:r>
      <w:proofErr w:type="gramEnd"/>
      <w:r w:rsidR="00FB0721">
        <w:rPr>
          <w:rFonts w:ascii="Palatino Linotype" w:hAnsi="Palatino Linotype"/>
          <w:szCs w:val="22"/>
        </w:rPr>
        <w:t xml:space="preserve"> </w:t>
      </w:r>
      <w:r w:rsidRPr="007F6BC6">
        <w:rPr>
          <w:rFonts w:ascii="Palatino Linotype" w:hAnsi="Palatino Linotype"/>
          <w:szCs w:val="22"/>
        </w:rPr>
        <w:t>London: The Nuffield Foundation.</w:t>
      </w:r>
    </w:p>
    <w:p w:rsidR="002B550C" w:rsidRPr="007F6BC6" w:rsidRDefault="002B550C"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Hodgen</w:t>
      </w:r>
      <w:proofErr w:type="spellEnd"/>
      <w:r w:rsidRPr="007F6BC6">
        <w:rPr>
          <w:rFonts w:ascii="Palatino Linotype" w:hAnsi="Palatino Linotype"/>
          <w:szCs w:val="22"/>
        </w:rPr>
        <w:t>, J., Marks, R. and Pepper, D.</w:t>
      </w:r>
      <w:r w:rsidR="00FB0721">
        <w:rPr>
          <w:rFonts w:ascii="Palatino Linotype" w:hAnsi="Palatino Linotype"/>
          <w:szCs w:val="22"/>
        </w:rPr>
        <w:t xml:space="preserve"> </w:t>
      </w:r>
      <w:r w:rsidRPr="007F6BC6">
        <w:rPr>
          <w:rFonts w:ascii="Palatino Linotype" w:hAnsi="Palatino Linotype"/>
          <w:szCs w:val="22"/>
        </w:rPr>
        <w:t>(2013)</w:t>
      </w:r>
      <w:r w:rsidR="00FB0721">
        <w:rPr>
          <w:rFonts w:ascii="Palatino Linotype" w:hAnsi="Palatino Linotype"/>
          <w:szCs w:val="22"/>
        </w:rPr>
        <w:t xml:space="preserve"> </w:t>
      </w:r>
      <w:proofErr w:type="gramStart"/>
      <w:r w:rsidRPr="007F6BC6">
        <w:rPr>
          <w:rFonts w:ascii="Palatino Linotype" w:hAnsi="Palatino Linotype"/>
          <w:szCs w:val="22"/>
        </w:rPr>
        <w:t>Towards</w:t>
      </w:r>
      <w:proofErr w:type="gramEnd"/>
      <w:r w:rsidRPr="007F6BC6">
        <w:rPr>
          <w:rFonts w:ascii="Palatino Linotype" w:hAnsi="Palatino Linotype"/>
          <w:szCs w:val="22"/>
        </w:rPr>
        <w:t xml:space="preserve"> universal participation in post-16 mathematics: lessons from high-performing countries.</w:t>
      </w:r>
      <w:r w:rsidR="00FB0721">
        <w:rPr>
          <w:rFonts w:ascii="Palatino Linotype" w:hAnsi="Palatino Linotype"/>
          <w:szCs w:val="22"/>
        </w:rPr>
        <w:t xml:space="preserve"> </w:t>
      </w:r>
      <w:r w:rsidRPr="007F6BC6">
        <w:rPr>
          <w:rFonts w:ascii="Palatino Linotype" w:hAnsi="Palatino Linotype"/>
          <w:szCs w:val="22"/>
        </w:rPr>
        <w:t>London: The Nuffield Foundation.</w:t>
      </w:r>
    </w:p>
    <w:p w:rsidR="00C14BF6" w:rsidRPr="007F6BC6" w:rsidRDefault="00C14BF6"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Homer, M. and Ryder, J.</w:t>
      </w:r>
      <w:r w:rsidR="00FB0721">
        <w:rPr>
          <w:rFonts w:ascii="Palatino Linotype" w:hAnsi="Palatino Linotype"/>
          <w:szCs w:val="22"/>
        </w:rPr>
        <w:t xml:space="preserve"> </w:t>
      </w:r>
      <w:r w:rsidRPr="007F6BC6">
        <w:rPr>
          <w:rFonts w:ascii="Palatino Linotype" w:hAnsi="Palatino Linotype"/>
          <w:szCs w:val="22"/>
        </w:rPr>
        <w:t>(2012)</w:t>
      </w:r>
      <w:r w:rsidR="00FB0721">
        <w:rPr>
          <w:rFonts w:ascii="Palatino Linotype" w:hAnsi="Palatino Linotype"/>
          <w:szCs w:val="22"/>
        </w:rPr>
        <w:t xml:space="preserve"> </w:t>
      </w:r>
      <w:r w:rsidRPr="007F6BC6">
        <w:rPr>
          <w:rFonts w:ascii="Palatino Linotype" w:hAnsi="Palatino Linotype"/>
          <w:szCs w:val="22"/>
        </w:rPr>
        <w:t>Participation and attainment within post-compulsory A-level science courses: a comparison between students completing GCSE 21CS and students completing other science specifications: an interim report.</w:t>
      </w:r>
      <w:r w:rsidR="00FB0721">
        <w:rPr>
          <w:rFonts w:ascii="Palatino Linotype" w:hAnsi="Palatino Linotype"/>
          <w:szCs w:val="22"/>
        </w:rPr>
        <w:t xml:space="preserve"> </w:t>
      </w:r>
      <w:r w:rsidRPr="007F6BC6">
        <w:rPr>
          <w:rFonts w:ascii="Palatino Linotype" w:hAnsi="Palatino Linotype"/>
          <w:szCs w:val="22"/>
        </w:rPr>
        <w:t>Study conducted on behalf of The Nuffield Foundation.</w:t>
      </w:r>
      <w:r w:rsidR="00FB0721">
        <w:rPr>
          <w:rFonts w:ascii="Palatino Linotype" w:hAnsi="Palatino Linotype"/>
          <w:szCs w:val="22"/>
        </w:rPr>
        <w:t xml:space="preserve"> </w:t>
      </w:r>
      <w:r w:rsidRPr="007F6BC6">
        <w:rPr>
          <w:rFonts w:ascii="Palatino Linotype" w:hAnsi="Palatino Linotype"/>
          <w:szCs w:val="22"/>
        </w:rPr>
        <w:t>Leeds: University of Leeds.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House of Commons Education and Skills Committee (2005</w:t>
      </w:r>
      <w:r w:rsidR="0092065B">
        <w:rPr>
          <w:rFonts w:ascii="Palatino Linotype" w:hAnsi="Palatino Linotype"/>
          <w:szCs w:val="22"/>
        </w:rPr>
        <w:t>)</w:t>
      </w:r>
      <w:r w:rsidRPr="007F6BC6">
        <w:rPr>
          <w:rFonts w:ascii="Palatino Linotype" w:hAnsi="Palatino Linotype"/>
          <w:szCs w:val="22"/>
        </w:rPr>
        <w:t xml:space="preserve"> Government’s Responses to the Committee’s Second Report (Education </w:t>
      </w:r>
      <w:proofErr w:type="gramStart"/>
      <w:r w:rsidRPr="007F6BC6">
        <w:rPr>
          <w:rFonts w:ascii="Palatino Linotype" w:hAnsi="Palatino Linotype"/>
          <w:szCs w:val="22"/>
        </w:rPr>
        <w:t>Outside</w:t>
      </w:r>
      <w:proofErr w:type="gramEnd"/>
      <w:r w:rsidRPr="007F6BC6">
        <w:rPr>
          <w:rFonts w:ascii="Palatino Linotype" w:hAnsi="Palatino Linotype"/>
          <w:szCs w:val="22"/>
        </w:rPr>
        <w:t xml:space="preserve"> the Classroom) Session 2004–2005, London: House of Commons, Stationery Office Ltd.</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Hutchinson, J. and Bentley, K</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2011)</w:t>
      </w:r>
      <w:r w:rsidR="00FB0721">
        <w:rPr>
          <w:rFonts w:ascii="Palatino Linotype" w:hAnsi="Palatino Linotype"/>
          <w:szCs w:val="22"/>
        </w:rPr>
        <w:t xml:space="preserve"> </w:t>
      </w:r>
      <w:r w:rsidRPr="007F6BC6">
        <w:rPr>
          <w:rFonts w:ascii="Palatino Linotype" w:hAnsi="Palatino Linotype"/>
          <w:szCs w:val="22"/>
        </w:rPr>
        <w:t>STEM subjects and jobs: A longitudinal perspective of attitudes among Key Stage 3 students, 2008-2010. Derby: International Centre for Guidance Studies, University of Derby.</w:t>
      </w:r>
    </w:p>
    <w:p w:rsidR="00C27219" w:rsidRPr="007F6BC6" w:rsidRDefault="00C27219"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Institute of Physics (2010)</w:t>
      </w:r>
      <w:r w:rsidR="00FB0721">
        <w:rPr>
          <w:rFonts w:ascii="Palatino Linotype" w:hAnsi="Palatino Linotype"/>
          <w:szCs w:val="22"/>
        </w:rPr>
        <w:t xml:space="preserve"> </w:t>
      </w:r>
      <w:proofErr w:type="gramStart"/>
      <w:r w:rsidRPr="007F6BC6">
        <w:rPr>
          <w:rFonts w:ascii="Palatino Linotype" w:hAnsi="Palatino Linotype"/>
          <w:szCs w:val="22"/>
        </w:rPr>
        <w:t>It’s</w:t>
      </w:r>
      <w:proofErr w:type="gramEnd"/>
      <w:r w:rsidRPr="007F6BC6">
        <w:rPr>
          <w:rFonts w:ascii="Palatino Linotype" w:hAnsi="Palatino Linotype"/>
          <w:szCs w:val="22"/>
        </w:rPr>
        <w:t xml:space="preserve"> Different for Girls: The influence of schools: An exploration of data from the National Pupil Database looking at progression to A-level physics in 2011 from different types of school at Key Stage 4.</w:t>
      </w:r>
      <w:r w:rsidR="00FB0721">
        <w:rPr>
          <w:rFonts w:ascii="Palatino Linotype" w:hAnsi="Palatino Linotype"/>
          <w:szCs w:val="22"/>
        </w:rPr>
        <w:t xml:space="preserve"> </w:t>
      </w:r>
      <w:r w:rsidRPr="007F6BC6">
        <w:rPr>
          <w:rFonts w:ascii="Palatino Linotype" w:hAnsi="Palatino Linotype"/>
          <w:szCs w:val="22"/>
        </w:rPr>
        <w:t>London: Institute of Physics.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Institution of Mechanical Engineers (2010)</w:t>
      </w:r>
      <w:r w:rsidR="00FB0721">
        <w:rPr>
          <w:rFonts w:ascii="Palatino Linotype" w:hAnsi="Palatino Linotype"/>
          <w:szCs w:val="22"/>
        </w:rPr>
        <w:t xml:space="preserve"> </w:t>
      </w:r>
      <w:r w:rsidRPr="007F6BC6">
        <w:rPr>
          <w:rFonts w:ascii="Palatino Linotype" w:hAnsi="Palatino Linotype"/>
          <w:szCs w:val="22"/>
        </w:rPr>
        <w:t>When STEM</w:t>
      </w:r>
      <w:proofErr w:type="gramStart"/>
      <w:r w:rsidRPr="007F6BC6">
        <w:rPr>
          <w:rFonts w:ascii="Palatino Linotype" w:hAnsi="Palatino Linotype"/>
          <w:szCs w:val="22"/>
        </w:rPr>
        <w:t>?:</w:t>
      </w:r>
      <w:proofErr w:type="gramEnd"/>
      <w:r w:rsidRPr="007F6BC6">
        <w:rPr>
          <w:rFonts w:ascii="Palatino Linotype" w:hAnsi="Palatino Linotype"/>
          <w:szCs w:val="22"/>
        </w:rPr>
        <w:t xml:space="preserve"> A question of age.</w:t>
      </w:r>
      <w:r w:rsidR="00FB0721">
        <w:rPr>
          <w:rFonts w:ascii="Palatino Linotype" w:hAnsi="Palatino Linotype"/>
          <w:szCs w:val="22"/>
        </w:rPr>
        <w:t xml:space="preserve"> </w:t>
      </w:r>
      <w:r w:rsidRPr="007F6BC6">
        <w:rPr>
          <w:rFonts w:ascii="Palatino Linotype" w:hAnsi="Palatino Linotype"/>
          <w:szCs w:val="22"/>
        </w:rPr>
        <w:t>London: Institution of Mechanical Engineers.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Industry Canada (2007)</w:t>
      </w:r>
      <w:r w:rsidR="00FB0721">
        <w:rPr>
          <w:rFonts w:ascii="Palatino Linotype" w:hAnsi="Palatino Linotype"/>
          <w:szCs w:val="22"/>
        </w:rPr>
        <w:t xml:space="preserve"> </w:t>
      </w:r>
      <w:r w:rsidRPr="007F6BC6">
        <w:rPr>
          <w:rFonts w:ascii="Palatino Linotype" w:hAnsi="Palatino Linotype"/>
          <w:szCs w:val="22"/>
        </w:rPr>
        <w:t>Mobilizing science and technology to Canada’s advantage.</w:t>
      </w:r>
      <w:proofErr w:type="gramEnd"/>
      <w:r w:rsidRPr="007F6BC6">
        <w:rPr>
          <w:rFonts w:ascii="Palatino Linotype" w:hAnsi="Palatino Linotype"/>
          <w:szCs w:val="22"/>
        </w:rPr>
        <w:t xml:space="preserve"> </w:t>
      </w:r>
      <w:proofErr w:type="spellStart"/>
      <w:r w:rsidRPr="007F6BC6">
        <w:rPr>
          <w:rFonts w:ascii="Palatino Linotype" w:hAnsi="Palatino Linotype"/>
          <w:szCs w:val="22"/>
        </w:rPr>
        <w:t>Ottowa</w:t>
      </w:r>
      <w:proofErr w:type="spellEnd"/>
      <w:r w:rsidRPr="007F6BC6">
        <w:rPr>
          <w:rFonts w:ascii="Palatino Linotype" w:hAnsi="Palatino Linotype"/>
          <w:szCs w:val="22"/>
        </w:rPr>
        <w:t xml:space="preserve">: Public Works and Government Services Canada. </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lang w:val="en-US"/>
        </w:rPr>
      </w:pPr>
      <w:r w:rsidRPr="007F6BC6">
        <w:rPr>
          <w:rFonts w:ascii="Palatino Linotype" w:hAnsi="Palatino Linotype"/>
          <w:szCs w:val="22"/>
          <w:lang w:val="en-US"/>
        </w:rPr>
        <w:t>Jarvis, C</w:t>
      </w:r>
      <w:r w:rsidR="00245503" w:rsidRPr="007F6BC6">
        <w:rPr>
          <w:rFonts w:ascii="Palatino Linotype" w:hAnsi="Palatino Linotype"/>
          <w:szCs w:val="22"/>
          <w:lang w:val="en-US"/>
        </w:rPr>
        <w:t>.</w:t>
      </w:r>
      <w:r w:rsidR="00FB0721">
        <w:rPr>
          <w:rFonts w:ascii="Palatino Linotype" w:hAnsi="Palatino Linotype"/>
          <w:szCs w:val="22"/>
          <w:lang w:val="en-US"/>
        </w:rPr>
        <w:t xml:space="preserve"> </w:t>
      </w:r>
      <w:r w:rsidR="00245503" w:rsidRPr="007F6BC6">
        <w:rPr>
          <w:rFonts w:ascii="Palatino Linotype" w:hAnsi="Palatino Linotype"/>
          <w:szCs w:val="22"/>
          <w:lang w:val="en-US"/>
        </w:rPr>
        <w:t>(</w:t>
      </w:r>
      <w:r w:rsidRPr="007F6BC6">
        <w:rPr>
          <w:rFonts w:ascii="Palatino Linotype" w:hAnsi="Palatino Linotype"/>
          <w:szCs w:val="22"/>
          <w:lang w:val="en-US"/>
        </w:rPr>
        <w:t>2002</w:t>
      </w:r>
      <w:r w:rsidR="0092065B">
        <w:rPr>
          <w:rFonts w:ascii="Palatino Linotype" w:hAnsi="Palatino Linotype"/>
          <w:szCs w:val="22"/>
          <w:lang w:val="en-US"/>
        </w:rPr>
        <w:t>)</w:t>
      </w:r>
      <w:r w:rsidRPr="007F6BC6">
        <w:rPr>
          <w:rFonts w:ascii="Palatino Linotype" w:hAnsi="Palatino Linotype"/>
          <w:szCs w:val="22"/>
          <w:lang w:val="en-US"/>
        </w:rPr>
        <w:t xml:space="preserve"> </w:t>
      </w:r>
      <w:r w:rsidRPr="007F6BC6">
        <w:rPr>
          <w:rFonts w:ascii="Palatino Linotype" w:hAnsi="Palatino Linotype"/>
          <w:iCs/>
          <w:szCs w:val="22"/>
          <w:lang w:val="en-US"/>
        </w:rPr>
        <w:t xml:space="preserve">SECME RISE (Raising Interest in Science and Engineering): Final evaluation report, September 1, 1998-August 31, 2001. </w:t>
      </w:r>
      <w:r w:rsidRPr="007F6BC6">
        <w:rPr>
          <w:rFonts w:ascii="Palatino Linotype" w:hAnsi="Palatino Linotype"/>
          <w:szCs w:val="22"/>
          <w:lang w:val="en-US"/>
        </w:rPr>
        <w:t>Miami: Miami Museum</w:t>
      </w:r>
      <w:r w:rsidRPr="007F6BC6">
        <w:rPr>
          <w:rFonts w:ascii="Palatino Linotype" w:hAnsi="Palatino Linotype"/>
          <w:iCs/>
          <w:szCs w:val="22"/>
          <w:lang w:val="en-US"/>
        </w:rPr>
        <w:t xml:space="preserve"> </w:t>
      </w:r>
      <w:r w:rsidRPr="007F6BC6">
        <w:rPr>
          <w:rFonts w:ascii="Palatino Linotype" w:hAnsi="Palatino Linotype"/>
          <w:szCs w:val="22"/>
          <w:lang w:val="en-US"/>
        </w:rPr>
        <w:t>of Science.</w:t>
      </w:r>
    </w:p>
    <w:p w:rsidR="00943202" w:rsidRPr="007F6BC6" w:rsidRDefault="00943202" w:rsidP="000323CF">
      <w:pPr>
        <w:tabs>
          <w:tab w:val="clear" w:pos="567"/>
          <w:tab w:val="left" w:pos="720"/>
        </w:tabs>
        <w:spacing w:line="240" w:lineRule="auto"/>
        <w:ind w:left="284" w:hanging="284"/>
        <w:jc w:val="both"/>
        <w:rPr>
          <w:rFonts w:ascii="Palatino Linotype" w:hAnsi="Palatino Linotype"/>
          <w:iCs/>
          <w:szCs w:val="22"/>
          <w:lang w:val="en-US"/>
        </w:rPr>
      </w:pPr>
      <w:proofErr w:type="gramStart"/>
      <w:r w:rsidRPr="007F6BC6">
        <w:rPr>
          <w:rFonts w:ascii="Palatino Linotype" w:hAnsi="Palatino Linotype"/>
          <w:szCs w:val="22"/>
          <w:lang w:val="en-US"/>
        </w:rPr>
        <w:t>Jon, J-E and Ch</w:t>
      </w:r>
      <w:r w:rsidR="00D64837" w:rsidRPr="007F6BC6">
        <w:rPr>
          <w:rFonts w:ascii="Palatino Linotype" w:hAnsi="Palatino Linotype"/>
          <w:szCs w:val="22"/>
          <w:lang w:val="en-US"/>
        </w:rPr>
        <w:t>ung, H-I.</w:t>
      </w:r>
      <w:proofErr w:type="gramEnd"/>
      <w:r w:rsidR="00D64837" w:rsidRPr="007F6BC6">
        <w:rPr>
          <w:rFonts w:ascii="Palatino Linotype" w:hAnsi="Palatino Linotype"/>
          <w:szCs w:val="22"/>
          <w:lang w:val="en-US"/>
        </w:rPr>
        <w:t xml:space="preserve"> (2013)</w:t>
      </w:r>
      <w:r w:rsidR="00FB0721">
        <w:rPr>
          <w:rFonts w:ascii="Palatino Linotype" w:hAnsi="Palatino Linotype"/>
          <w:szCs w:val="22"/>
          <w:lang w:val="en-US"/>
        </w:rPr>
        <w:t xml:space="preserve"> </w:t>
      </w:r>
      <w:r w:rsidR="00D64837" w:rsidRPr="007F6BC6">
        <w:rPr>
          <w:rFonts w:ascii="Palatino Linotype" w:hAnsi="Palatino Linotype"/>
          <w:szCs w:val="22"/>
          <w:lang w:val="en-US"/>
        </w:rPr>
        <w:t xml:space="preserve">STEM Report: </w:t>
      </w:r>
      <w:r w:rsidRPr="007F6BC6">
        <w:rPr>
          <w:rFonts w:ascii="Palatino Linotype" w:hAnsi="Palatino Linotype"/>
          <w:szCs w:val="22"/>
          <w:lang w:val="en-US"/>
        </w:rPr>
        <w:t>Republic of Korea.</w:t>
      </w:r>
      <w:r w:rsidR="00FB0721">
        <w:rPr>
          <w:rFonts w:ascii="Palatino Linotype" w:hAnsi="Palatino Linotype"/>
          <w:szCs w:val="22"/>
          <w:lang w:val="en-US"/>
        </w:rPr>
        <w:t xml:space="preserve"> </w:t>
      </w:r>
      <w:r w:rsidRPr="007F6BC6">
        <w:rPr>
          <w:rFonts w:ascii="Palatino Linotype" w:hAnsi="Palatino Linotype"/>
          <w:bCs/>
          <w:szCs w:val="22"/>
        </w:rPr>
        <w:t>Report for the Australian Council of Learned Academies (ACOLA).</w:t>
      </w:r>
      <w:r w:rsidR="00FB0721">
        <w:rPr>
          <w:rFonts w:ascii="Palatino Linotype" w:hAnsi="Palatino Linotype"/>
          <w:bCs/>
          <w:szCs w:val="22"/>
        </w:rPr>
        <w:t xml:space="preserve"> </w:t>
      </w:r>
      <w:r w:rsidRPr="007F6BC6">
        <w:rPr>
          <w:rFonts w:ascii="Palatino Linotype" w:hAnsi="Palatino Linotype"/>
          <w:bCs/>
          <w:szCs w:val="22"/>
        </w:rPr>
        <w:t>Melbourne: Australian Council of Learned Academies.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Jenkins,</w:t>
      </w:r>
      <w:r w:rsidR="00943202" w:rsidRPr="007F6BC6">
        <w:rPr>
          <w:rFonts w:ascii="Palatino Linotype" w:hAnsi="Palatino Linotype"/>
          <w:szCs w:val="22"/>
        </w:rPr>
        <w:t xml:space="preserve"> E. and Nelson, N.</w:t>
      </w:r>
      <w:r w:rsidR="00FB0721">
        <w:rPr>
          <w:rFonts w:ascii="Palatino Linotype" w:hAnsi="Palatino Linotype"/>
          <w:szCs w:val="22"/>
        </w:rPr>
        <w:t xml:space="preserve"> </w:t>
      </w:r>
      <w:r w:rsidRPr="007F6BC6">
        <w:rPr>
          <w:rFonts w:ascii="Palatino Linotype" w:hAnsi="Palatino Linotype"/>
          <w:szCs w:val="22"/>
        </w:rPr>
        <w:t>(2005)</w:t>
      </w:r>
      <w:r w:rsidR="00FB0721">
        <w:rPr>
          <w:rFonts w:ascii="Palatino Linotype" w:hAnsi="Palatino Linotype"/>
          <w:szCs w:val="22"/>
        </w:rPr>
        <w:t xml:space="preserve"> </w:t>
      </w:r>
      <w:r w:rsidRPr="007F6BC6">
        <w:rPr>
          <w:rFonts w:ascii="Palatino Linotype" w:hAnsi="Palatino Linotype"/>
          <w:szCs w:val="22"/>
        </w:rPr>
        <w:t>Important but not for me: students’ attitudes towards secondary school science in England.</w:t>
      </w:r>
      <w:r w:rsidR="00FB0721">
        <w:rPr>
          <w:rFonts w:ascii="Palatino Linotype" w:hAnsi="Palatino Linotype"/>
          <w:szCs w:val="22"/>
        </w:rPr>
        <w:t xml:space="preserve"> </w:t>
      </w:r>
      <w:r w:rsidRPr="007F6BC6">
        <w:rPr>
          <w:rFonts w:ascii="Palatino Linotype" w:hAnsi="Palatino Linotype"/>
          <w:szCs w:val="22"/>
        </w:rPr>
        <w:t>Research in Science and Technological Education, 23 (1), 41-57.</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lastRenderedPageBreak/>
        <w:t>Kounin</w:t>
      </w:r>
      <w:r w:rsidR="00943202" w:rsidRPr="007F6BC6">
        <w:rPr>
          <w:rFonts w:ascii="Palatino Linotype" w:hAnsi="Palatino Linotype"/>
          <w:szCs w:val="22"/>
        </w:rPr>
        <w:t>e</w:t>
      </w:r>
      <w:proofErr w:type="spellEnd"/>
      <w:r w:rsidR="00943202" w:rsidRPr="007F6BC6">
        <w:rPr>
          <w:rFonts w:ascii="Palatino Linotype" w:hAnsi="Palatino Linotype"/>
          <w:szCs w:val="22"/>
        </w:rPr>
        <w:t>, L., Marks, J. and Truss, E.</w:t>
      </w:r>
      <w:r w:rsidR="00FB0721">
        <w:rPr>
          <w:rFonts w:ascii="Palatino Linotype" w:hAnsi="Palatino Linotype"/>
          <w:szCs w:val="22"/>
        </w:rPr>
        <w:t xml:space="preserve"> </w:t>
      </w:r>
      <w:r w:rsidRPr="007F6BC6">
        <w:rPr>
          <w:rFonts w:ascii="Palatino Linotype" w:hAnsi="Palatino Linotype"/>
          <w:szCs w:val="22"/>
        </w:rPr>
        <w:t>(2008)</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value of mathematics.</w:t>
      </w:r>
      <w:r w:rsidR="00FB0721">
        <w:rPr>
          <w:rFonts w:ascii="Palatino Linotype" w:hAnsi="Palatino Linotype"/>
          <w:szCs w:val="22"/>
        </w:rPr>
        <w:t xml:space="preserve"> </w:t>
      </w:r>
      <w:r w:rsidRPr="007F6BC6">
        <w:rPr>
          <w:rFonts w:ascii="Palatino Linotype" w:hAnsi="Palatino Linotype"/>
          <w:szCs w:val="22"/>
        </w:rPr>
        <w:t>London: Reform.</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Kyriacou, C. and Goulding, M.</w:t>
      </w:r>
      <w:r w:rsidR="00FB0721">
        <w:rPr>
          <w:rFonts w:ascii="Palatino Linotype" w:hAnsi="Palatino Linotype"/>
          <w:szCs w:val="22"/>
        </w:rPr>
        <w:t xml:space="preserve"> </w:t>
      </w:r>
      <w:r w:rsidRPr="007F6BC6">
        <w:rPr>
          <w:rFonts w:ascii="Palatino Linotype" w:hAnsi="Palatino Linotype"/>
          <w:szCs w:val="22"/>
        </w:rPr>
        <w:t>(2006)</w:t>
      </w:r>
      <w:r w:rsidR="00FB0721">
        <w:rPr>
          <w:rFonts w:ascii="Palatino Linotype" w:hAnsi="Palatino Linotype"/>
          <w:szCs w:val="22"/>
        </w:rPr>
        <w:t xml:space="preserve"> </w:t>
      </w:r>
      <w:proofErr w:type="gramStart"/>
      <w:r w:rsidRPr="007F6BC6">
        <w:rPr>
          <w:rFonts w:ascii="Palatino Linotype" w:hAnsi="Palatino Linotype"/>
          <w:szCs w:val="22"/>
        </w:rPr>
        <w:t>A</w:t>
      </w:r>
      <w:proofErr w:type="gramEnd"/>
      <w:r w:rsidRPr="007F6BC6">
        <w:rPr>
          <w:rFonts w:ascii="Palatino Linotype" w:hAnsi="Palatino Linotype"/>
          <w:szCs w:val="22"/>
        </w:rPr>
        <w:t xml:space="preserve"> systematic review of strategies to raise pupils’ motivational effort in Key Stage 4 Mathematics.</w:t>
      </w:r>
      <w:r w:rsidR="00FB0721">
        <w:rPr>
          <w:rFonts w:ascii="Palatino Linotype" w:hAnsi="Palatino Linotype"/>
          <w:szCs w:val="22"/>
        </w:rPr>
        <w:t xml:space="preserve"> </w:t>
      </w:r>
      <w:r w:rsidRPr="007F6BC6">
        <w:rPr>
          <w:rFonts w:ascii="Palatino Linotype" w:hAnsi="Palatino Linotype"/>
          <w:szCs w:val="22"/>
        </w:rPr>
        <w:t>London: EPPI Centre.</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Larsen, J</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2013</w:t>
      </w:r>
      <w:r w:rsidR="00245503"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Attitude in Mathematics: a thematic literature review.</w:t>
      </w:r>
      <w:r w:rsidR="00FB0721">
        <w:rPr>
          <w:rFonts w:ascii="Palatino Linotype" w:hAnsi="Palatino Linotype"/>
          <w:szCs w:val="22"/>
        </w:rPr>
        <w:t xml:space="preserve"> </w:t>
      </w:r>
      <w:r w:rsidRPr="007F6BC6">
        <w:rPr>
          <w:rFonts w:ascii="Palatino Linotype" w:hAnsi="Palatino Linotype"/>
          <w:szCs w:val="22"/>
        </w:rPr>
        <w:t xml:space="preserve">British Columbia: </w:t>
      </w:r>
      <w:r w:rsidR="00DE23EC" w:rsidRPr="007F6BC6">
        <w:rPr>
          <w:rFonts w:ascii="Palatino Linotype" w:hAnsi="Palatino Linotype"/>
          <w:szCs w:val="22"/>
        </w:rPr>
        <w:t>Simon</w:t>
      </w:r>
      <w:r w:rsidRPr="007F6BC6">
        <w:rPr>
          <w:rFonts w:ascii="Palatino Linotype" w:hAnsi="Palatino Linotype"/>
          <w:szCs w:val="22"/>
        </w:rPr>
        <w:t xml:space="preserve"> Fraser University.</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Lewis, G</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2013)</w:t>
      </w:r>
      <w:r w:rsidR="00FB0721">
        <w:rPr>
          <w:rFonts w:ascii="Palatino Linotype" w:hAnsi="Palatino Linotype"/>
          <w:szCs w:val="22"/>
        </w:rPr>
        <w:t xml:space="preserve"> </w:t>
      </w:r>
      <w:r w:rsidRPr="007F6BC6">
        <w:rPr>
          <w:rFonts w:ascii="Palatino Linotype" w:hAnsi="Palatino Linotype"/>
          <w:szCs w:val="22"/>
        </w:rPr>
        <w:t>Emotion and disaffection with school mathematics.</w:t>
      </w:r>
      <w:proofErr w:type="gramEnd"/>
      <w:r w:rsidR="00FB0721">
        <w:rPr>
          <w:rFonts w:ascii="Palatino Linotype" w:hAnsi="Palatino Linotype"/>
          <w:szCs w:val="22"/>
        </w:rPr>
        <w:t xml:space="preserve"> </w:t>
      </w:r>
      <w:r w:rsidRPr="007F6BC6">
        <w:rPr>
          <w:rFonts w:ascii="Palatino Linotype" w:hAnsi="Palatino Linotype"/>
          <w:szCs w:val="22"/>
        </w:rPr>
        <w:t>Research in Mathematics Education, 15 (1), 70-86.</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Lyons, T.</w:t>
      </w:r>
      <w:r w:rsidR="00FB0721">
        <w:rPr>
          <w:rFonts w:ascii="Palatino Linotype" w:hAnsi="Palatino Linotype"/>
          <w:szCs w:val="22"/>
        </w:rPr>
        <w:t xml:space="preserve"> </w:t>
      </w:r>
      <w:r w:rsidRPr="007F6BC6">
        <w:rPr>
          <w:rFonts w:ascii="Palatino Linotype" w:hAnsi="Palatino Linotype"/>
          <w:szCs w:val="22"/>
        </w:rPr>
        <w:t>(2006)</w:t>
      </w:r>
      <w:r w:rsidR="00FB0721">
        <w:rPr>
          <w:rFonts w:ascii="Palatino Linotype" w:hAnsi="Palatino Linotype"/>
          <w:szCs w:val="22"/>
        </w:rPr>
        <w:t xml:space="preserve"> </w:t>
      </w:r>
      <w:r w:rsidRPr="007F6BC6">
        <w:rPr>
          <w:rFonts w:ascii="Palatino Linotype" w:hAnsi="Palatino Linotype"/>
          <w:szCs w:val="22"/>
        </w:rPr>
        <w:t>Different countries, same science classes:</w:t>
      </w:r>
      <w:r w:rsidR="00FB0721">
        <w:rPr>
          <w:rFonts w:ascii="Palatino Linotype" w:hAnsi="Palatino Linotype"/>
          <w:szCs w:val="22"/>
        </w:rPr>
        <w:t xml:space="preserve"> </w:t>
      </w:r>
      <w:r w:rsidRPr="007F6BC6">
        <w:rPr>
          <w:rFonts w:ascii="Palatino Linotype" w:hAnsi="Palatino Linotype"/>
          <w:szCs w:val="22"/>
        </w:rPr>
        <w:t>Students’ experiences of school science in their own words.</w:t>
      </w:r>
      <w:r w:rsidR="00FB0721">
        <w:rPr>
          <w:rFonts w:ascii="Palatino Linotype" w:hAnsi="Palatino Linotype"/>
          <w:szCs w:val="22"/>
        </w:rPr>
        <w:t xml:space="preserve"> </w:t>
      </w:r>
      <w:r w:rsidRPr="007F6BC6">
        <w:rPr>
          <w:rFonts w:ascii="Palatino Linotype" w:hAnsi="Palatino Linotype"/>
          <w:szCs w:val="22"/>
        </w:rPr>
        <w:t>International Journal of Science Education, 28 (6), 591-613.</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Lyons, T. and Quinn, F.</w:t>
      </w:r>
      <w:r w:rsidR="00FB0721">
        <w:rPr>
          <w:rFonts w:ascii="Palatino Linotype" w:hAnsi="Palatino Linotype"/>
          <w:szCs w:val="22"/>
        </w:rPr>
        <w:t xml:space="preserve"> </w:t>
      </w:r>
      <w:r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szCs w:val="22"/>
        </w:rPr>
        <w:t>Choosing Science: understanding the decline in senior high school science enrolments.</w:t>
      </w:r>
      <w:proofErr w:type="gramEnd"/>
      <w:r w:rsidR="00FB0721">
        <w:rPr>
          <w:rFonts w:ascii="Palatino Linotype" w:hAnsi="Palatino Linotype"/>
          <w:szCs w:val="22"/>
        </w:rPr>
        <w:t xml:space="preserve"> </w:t>
      </w:r>
      <w:proofErr w:type="spellStart"/>
      <w:r w:rsidRPr="007F6BC6">
        <w:rPr>
          <w:rFonts w:ascii="Palatino Linotype" w:hAnsi="Palatino Linotype"/>
          <w:szCs w:val="22"/>
        </w:rPr>
        <w:t>Armidale</w:t>
      </w:r>
      <w:proofErr w:type="spellEnd"/>
      <w:r w:rsidRPr="007F6BC6">
        <w:rPr>
          <w:rFonts w:ascii="Palatino Linotype" w:hAnsi="Palatino Linotype"/>
          <w:szCs w:val="22"/>
        </w:rPr>
        <w:t>, New South Wales: The University of New England.</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rPr>
      </w:pPr>
      <w:r w:rsidRPr="007F6BC6">
        <w:rPr>
          <w:rFonts w:ascii="Palatino Linotype" w:hAnsi="Palatino Linotype"/>
          <w:bCs/>
          <w:szCs w:val="22"/>
        </w:rPr>
        <w:t>Matthews, A. and Pepper, D.</w:t>
      </w:r>
      <w:r w:rsidR="00FB0721">
        <w:rPr>
          <w:rFonts w:ascii="Palatino Linotype" w:hAnsi="Palatino Linotype"/>
          <w:bCs/>
          <w:szCs w:val="22"/>
        </w:rPr>
        <w:t xml:space="preserve"> </w:t>
      </w:r>
      <w:r w:rsidRPr="007F6BC6">
        <w:rPr>
          <w:rFonts w:ascii="Palatino Linotype" w:hAnsi="Palatino Linotype"/>
          <w:bCs/>
          <w:szCs w:val="22"/>
        </w:rPr>
        <w:t>(2005)</w:t>
      </w:r>
      <w:r w:rsidR="00FB0721">
        <w:rPr>
          <w:rFonts w:ascii="Palatino Linotype" w:hAnsi="Palatino Linotype"/>
          <w:bCs/>
          <w:szCs w:val="22"/>
        </w:rPr>
        <w:t xml:space="preserve"> </w:t>
      </w:r>
      <w:r w:rsidRPr="007F6BC6">
        <w:rPr>
          <w:rFonts w:ascii="Palatino Linotype" w:hAnsi="Palatino Linotype"/>
          <w:bCs/>
          <w:szCs w:val="22"/>
        </w:rPr>
        <w:t>Evaluation of participation in A-level Mathematics.</w:t>
      </w:r>
      <w:r w:rsidR="00FB0721">
        <w:rPr>
          <w:rFonts w:ascii="Palatino Linotype" w:hAnsi="Palatino Linotype"/>
          <w:bCs/>
          <w:szCs w:val="22"/>
        </w:rPr>
        <w:t xml:space="preserve"> </w:t>
      </w:r>
      <w:r w:rsidRPr="007F6BC6">
        <w:rPr>
          <w:rFonts w:ascii="Palatino Linotype" w:hAnsi="Palatino Linotype"/>
          <w:bCs/>
          <w:szCs w:val="22"/>
        </w:rPr>
        <w:t>London: Qualifications and Curriculum Agency (QCA).</w:t>
      </w:r>
    </w:p>
    <w:p w:rsidR="009D3288" w:rsidRPr="007F6BC6" w:rsidRDefault="009D3288" w:rsidP="000323CF">
      <w:pPr>
        <w:tabs>
          <w:tab w:val="clear" w:pos="567"/>
          <w:tab w:val="left" w:pos="720"/>
        </w:tabs>
        <w:spacing w:line="240" w:lineRule="auto"/>
        <w:ind w:left="284" w:hanging="284"/>
        <w:jc w:val="both"/>
        <w:rPr>
          <w:rFonts w:ascii="Palatino Linotype" w:hAnsi="Palatino Linotype"/>
          <w:bCs/>
          <w:szCs w:val="22"/>
        </w:rPr>
      </w:pPr>
      <w:proofErr w:type="spellStart"/>
      <w:proofErr w:type="gramStart"/>
      <w:r w:rsidRPr="007F6BC6">
        <w:rPr>
          <w:rFonts w:ascii="Palatino Linotype" w:hAnsi="Palatino Linotype"/>
          <w:bCs/>
          <w:szCs w:val="22"/>
        </w:rPr>
        <w:t>Mansell</w:t>
      </w:r>
      <w:proofErr w:type="spellEnd"/>
      <w:r w:rsidRPr="007F6BC6">
        <w:rPr>
          <w:rFonts w:ascii="Palatino Linotype" w:hAnsi="Palatino Linotype"/>
          <w:bCs/>
          <w:szCs w:val="22"/>
        </w:rPr>
        <w:t>, W.</w:t>
      </w:r>
      <w:r w:rsidR="00FB0721">
        <w:rPr>
          <w:rFonts w:ascii="Palatino Linotype" w:hAnsi="Palatino Linotype"/>
          <w:bCs/>
          <w:szCs w:val="22"/>
        </w:rPr>
        <w:t xml:space="preserve"> </w:t>
      </w:r>
      <w:r w:rsidRPr="007F6BC6">
        <w:rPr>
          <w:rFonts w:ascii="Palatino Linotype" w:hAnsi="Palatino Linotype"/>
          <w:bCs/>
          <w:szCs w:val="22"/>
        </w:rPr>
        <w:t>(2011)</w:t>
      </w:r>
      <w:r w:rsidR="00FB0721">
        <w:rPr>
          <w:rFonts w:ascii="Palatino Linotype" w:hAnsi="Palatino Linotype"/>
          <w:bCs/>
          <w:szCs w:val="22"/>
        </w:rPr>
        <w:t xml:space="preserve"> </w:t>
      </w:r>
      <w:r w:rsidRPr="007F6BC6">
        <w:rPr>
          <w:rFonts w:ascii="Palatino Linotype" w:hAnsi="Palatino Linotype"/>
          <w:bCs/>
          <w:szCs w:val="22"/>
        </w:rPr>
        <w:t>Exploring young people’s views on science education.</w:t>
      </w:r>
      <w:proofErr w:type="gramEnd"/>
      <w:r w:rsidRPr="007F6BC6">
        <w:rPr>
          <w:rFonts w:ascii="Palatino Linotype" w:hAnsi="Palatino Linotype"/>
          <w:bCs/>
          <w:szCs w:val="22"/>
        </w:rPr>
        <w:t xml:space="preserve"> London: </w:t>
      </w:r>
      <w:proofErr w:type="spellStart"/>
      <w:r w:rsidRPr="007F6BC6">
        <w:rPr>
          <w:rFonts w:ascii="Palatino Linotype" w:hAnsi="Palatino Linotype"/>
          <w:bCs/>
          <w:szCs w:val="22"/>
        </w:rPr>
        <w:t>Wellcome</w:t>
      </w:r>
      <w:proofErr w:type="spellEnd"/>
      <w:r w:rsidRPr="007F6BC6">
        <w:rPr>
          <w:rFonts w:ascii="Palatino Linotype" w:hAnsi="Palatino Linotype"/>
          <w:bCs/>
          <w:szCs w:val="22"/>
        </w:rPr>
        <w:t xml:space="preserve"> Trust/NFER.</w:t>
      </w:r>
    </w:p>
    <w:p w:rsidR="005C285E" w:rsidRPr="007F6BC6" w:rsidRDefault="005C285E" w:rsidP="000323CF">
      <w:pPr>
        <w:tabs>
          <w:tab w:val="clear" w:pos="567"/>
          <w:tab w:val="left" w:pos="720"/>
        </w:tabs>
        <w:spacing w:line="240" w:lineRule="auto"/>
        <w:ind w:left="284" w:hanging="284"/>
        <w:jc w:val="both"/>
        <w:rPr>
          <w:rFonts w:ascii="Palatino Linotype" w:hAnsi="Palatino Linotype"/>
          <w:bCs/>
          <w:szCs w:val="22"/>
        </w:rPr>
      </w:pPr>
      <w:proofErr w:type="gramStart"/>
      <w:r w:rsidRPr="007F6BC6">
        <w:rPr>
          <w:rFonts w:ascii="Palatino Linotype" w:hAnsi="Palatino Linotype"/>
          <w:bCs/>
          <w:szCs w:val="22"/>
        </w:rPr>
        <w:t>Marginson, S</w:t>
      </w:r>
      <w:r w:rsidR="004947E2" w:rsidRPr="007F6BC6">
        <w:rPr>
          <w:rFonts w:ascii="Palatino Linotype" w:hAnsi="Palatino Linotype"/>
          <w:bCs/>
          <w:szCs w:val="22"/>
        </w:rPr>
        <w:t xml:space="preserve">., </w:t>
      </w:r>
      <w:proofErr w:type="spellStart"/>
      <w:r w:rsidR="004947E2" w:rsidRPr="007F6BC6">
        <w:rPr>
          <w:rFonts w:ascii="Palatino Linotype" w:hAnsi="Palatino Linotype"/>
          <w:bCs/>
          <w:szCs w:val="22"/>
        </w:rPr>
        <w:t>Tytler</w:t>
      </w:r>
      <w:proofErr w:type="spellEnd"/>
      <w:r w:rsidRPr="007F6BC6">
        <w:rPr>
          <w:rFonts w:ascii="Palatino Linotype" w:hAnsi="Palatino Linotype"/>
          <w:bCs/>
          <w:szCs w:val="22"/>
        </w:rPr>
        <w:t>, R.,</w:t>
      </w:r>
      <w:r w:rsidR="004947E2" w:rsidRPr="007F6BC6">
        <w:rPr>
          <w:rFonts w:ascii="Palatino Linotype" w:hAnsi="Palatino Linotype"/>
          <w:bCs/>
          <w:szCs w:val="22"/>
        </w:rPr>
        <w:t xml:space="preserve"> Freeman, B. and Roberts, K.</w:t>
      </w:r>
      <w:r w:rsidR="00FB0721">
        <w:rPr>
          <w:rFonts w:ascii="Palatino Linotype" w:hAnsi="Palatino Linotype"/>
          <w:bCs/>
          <w:szCs w:val="22"/>
        </w:rPr>
        <w:t xml:space="preserve"> </w:t>
      </w:r>
      <w:r w:rsidR="004947E2" w:rsidRPr="007F6BC6">
        <w:rPr>
          <w:rFonts w:ascii="Palatino Linotype" w:hAnsi="Palatino Linotype"/>
          <w:bCs/>
          <w:szCs w:val="22"/>
        </w:rPr>
        <w:t>(2</w:t>
      </w:r>
      <w:r w:rsidRPr="007F6BC6">
        <w:rPr>
          <w:rFonts w:ascii="Palatino Linotype" w:hAnsi="Palatino Linotype"/>
          <w:bCs/>
          <w:szCs w:val="22"/>
        </w:rPr>
        <w:t>013)</w:t>
      </w:r>
      <w:r w:rsidR="00FB0721">
        <w:rPr>
          <w:rFonts w:ascii="Palatino Linotype" w:hAnsi="Palatino Linotype"/>
          <w:bCs/>
          <w:szCs w:val="22"/>
        </w:rPr>
        <w:t xml:space="preserve"> </w:t>
      </w:r>
      <w:r w:rsidRPr="007F6BC6">
        <w:rPr>
          <w:rFonts w:ascii="Palatino Linotype" w:hAnsi="Palatino Linotype"/>
          <w:bCs/>
          <w:szCs w:val="22"/>
        </w:rPr>
        <w:t>STEM: Country comparisons.</w:t>
      </w:r>
      <w:proofErr w:type="gramEnd"/>
      <w:r w:rsidRPr="007F6BC6">
        <w:rPr>
          <w:rFonts w:ascii="Palatino Linotype" w:hAnsi="Palatino Linotype"/>
          <w:bCs/>
          <w:szCs w:val="22"/>
        </w:rPr>
        <w:t xml:space="preserve"> Rep</w:t>
      </w:r>
      <w:r w:rsidR="004947E2" w:rsidRPr="007F6BC6">
        <w:rPr>
          <w:rFonts w:ascii="Palatino Linotype" w:hAnsi="Palatino Linotype"/>
          <w:bCs/>
          <w:szCs w:val="22"/>
        </w:rPr>
        <w:t>or</w:t>
      </w:r>
      <w:r w:rsidRPr="007F6BC6">
        <w:rPr>
          <w:rFonts w:ascii="Palatino Linotype" w:hAnsi="Palatino Linotype"/>
          <w:bCs/>
          <w:szCs w:val="22"/>
        </w:rPr>
        <w:t>t for the Australian Council of Learned Academies (ACOLA)</w:t>
      </w:r>
      <w:r w:rsidR="004947E2" w:rsidRPr="007F6BC6">
        <w:rPr>
          <w:rFonts w:ascii="Palatino Linotype" w:hAnsi="Palatino Linotype"/>
          <w:bCs/>
          <w:szCs w:val="22"/>
        </w:rPr>
        <w:t>.</w:t>
      </w:r>
      <w:r w:rsidR="00FB0721">
        <w:rPr>
          <w:rFonts w:ascii="Palatino Linotype" w:hAnsi="Palatino Linotype"/>
          <w:bCs/>
          <w:szCs w:val="22"/>
        </w:rPr>
        <w:t xml:space="preserve"> </w:t>
      </w:r>
      <w:r w:rsidR="004947E2" w:rsidRPr="007F6BC6">
        <w:rPr>
          <w:rFonts w:ascii="Palatino Linotype" w:hAnsi="Palatino Linotype"/>
          <w:bCs/>
          <w:szCs w:val="22"/>
        </w:rPr>
        <w:t xml:space="preserve">Melbourne: Australian Council of Learned Academies. </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rPr>
      </w:pPr>
      <w:proofErr w:type="spellStart"/>
      <w:proofErr w:type="gramStart"/>
      <w:r w:rsidRPr="007F6BC6">
        <w:rPr>
          <w:rFonts w:ascii="Palatino Linotype" w:hAnsi="Palatino Linotype"/>
          <w:bCs/>
          <w:szCs w:val="22"/>
        </w:rPr>
        <w:t>Mendick</w:t>
      </w:r>
      <w:proofErr w:type="spellEnd"/>
      <w:r w:rsidRPr="007F6BC6">
        <w:rPr>
          <w:rFonts w:ascii="Palatino Linotype" w:hAnsi="Palatino Linotype"/>
          <w:bCs/>
          <w:szCs w:val="22"/>
        </w:rPr>
        <w:t>, H</w:t>
      </w:r>
      <w:r w:rsidR="00245503" w:rsidRPr="007F6BC6">
        <w:rPr>
          <w:rFonts w:ascii="Palatino Linotype" w:hAnsi="Palatino Linotype"/>
          <w:bCs/>
          <w:szCs w:val="22"/>
        </w:rPr>
        <w:t>.</w:t>
      </w:r>
      <w:r w:rsidR="00FB0721">
        <w:rPr>
          <w:rFonts w:ascii="Palatino Linotype" w:hAnsi="Palatino Linotype"/>
          <w:bCs/>
          <w:szCs w:val="22"/>
        </w:rPr>
        <w:t xml:space="preserve"> </w:t>
      </w:r>
      <w:r w:rsidR="00245503" w:rsidRPr="007F6BC6">
        <w:rPr>
          <w:rFonts w:ascii="Palatino Linotype" w:hAnsi="Palatino Linotype"/>
          <w:bCs/>
          <w:szCs w:val="22"/>
        </w:rPr>
        <w:t>(</w:t>
      </w:r>
      <w:r w:rsidRPr="007F6BC6">
        <w:rPr>
          <w:rFonts w:ascii="Palatino Linotype" w:hAnsi="Palatino Linotype"/>
          <w:bCs/>
          <w:szCs w:val="22"/>
        </w:rPr>
        <w:t>2006)</w:t>
      </w:r>
      <w:r w:rsidR="00FB0721">
        <w:rPr>
          <w:rFonts w:ascii="Palatino Linotype" w:hAnsi="Palatino Linotype"/>
          <w:bCs/>
          <w:szCs w:val="22"/>
        </w:rPr>
        <w:t xml:space="preserve"> </w:t>
      </w:r>
      <w:r w:rsidRPr="007F6BC6">
        <w:rPr>
          <w:rFonts w:ascii="Palatino Linotype" w:hAnsi="Palatino Linotype"/>
          <w:bCs/>
          <w:szCs w:val="22"/>
        </w:rPr>
        <w:t>Masculinities in mathematics.</w:t>
      </w:r>
      <w:proofErr w:type="gramEnd"/>
      <w:r w:rsidR="00FB0721">
        <w:rPr>
          <w:rFonts w:ascii="Palatino Linotype" w:hAnsi="Palatino Linotype"/>
          <w:bCs/>
          <w:szCs w:val="22"/>
        </w:rPr>
        <w:t xml:space="preserve"> </w:t>
      </w:r>
      <w:r w:rsidRPr="007F6BC6">
        <w:rPr>
          <w:rFonts w:ascii="Palatino Linotype" w:hAnsi="Palatino Linotype"/>
          <w:bCs/>
          <w:szCs w:val="22"/>
        </w:rPr>
        <w:t>Buckingham: Open University Press.</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rPr>
      </w:pPr>
      <w:r w:rsidRPr="007F6BC6">
        <w:rPr>
          <w:rFonts w:ascii="Palatino Linotype" w:hAnsi="Palatino Linotype"/>
          <w:szCs w:val="22"/>
        </w:rPr>
        <w:t>Millar, R.</w:t>
      </w:r>
      <w:r w:rsidR="00FB0721">
        <w:rPr>
          <w:rFonts w:ascii="Palatino Linotype" w:hAnsi="Palatino Linotype"/>
          <w:szCs w:val="22"/>
        </w:rPr>
        <w:t xml:space="preserve"> </w:t>
      </w:r>
      <w:r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bCs/>
          <w:iCs/>
          <w:szCs w:val="22"/>
        </w:rPr>
        <w:t>Increasing participation in science beyond GCSE: The impact of Twenty First Century Science</w:t>
      </w:r>
      <w:r w:rsidRPr="007F6BC6">
        <w:rPr>
          <w:rFonts w:ascii="Palatino Linotype" w:hAnsi="Palatino Linotype"/>
          <w:bCs/>
          <w:szCs w:val="22"/>
        </w:rPr>
        <w:t>.</w:t>
      </w:r>
      <w:r w:rsidR="00FB0721">
        <w:rPr>
          <w:rFonts w:ascii="Palatino Linotype" w:hAnsi="Palatino Linotype"/>
          <w:bCs/>
          <w:szCs w:val="22"/>
        </w:rPr>
        <w:t xml:space="preserve"> </w:t>
      </w:r>
      <w:r w:rsidRPr="007F6BC6">
        <w:rPr>
          <w:rFonts w:ascii="Palatino Linotype" w:hAnsi="Palatino Linotype"/>
          <w:bCs/>
          <w:szCs w:val="22"/>
        </w:rPr>
        <w:t>School Science Review, 91 (337), 41-47.</w:t>
      </w:r>
    </w:p>
    <w:p w:rsidR="000B29BF" w:rsidRPr="007F6BC6" w:rsidRDefault="000B29BF" w:rsidP="000323CF">
      <w:pPr>
        <w:tabs>
          <w:tab w:val="clear" w:pos="567"/>
          <w:tab w:val="left" w:pos="720"/>
        </w:tabs>
        <w:spacing w:line="240" w:lineRule="auto"/>
        <w:ind w:left="284" w:hanging="284"/>
        <w:jc w:val="both"/>
        <w:rPr>
          <w:rFonts w:ascii="Palatino Linotype" w:hAnsi="Palatino Linotype"/>
          <w:bCs/>
          <w:szCs w:val="22"/>
        </w:rPr>
      </w:pPr>
      <w:proofErr w:type="spellStart"/>
      <w:proofErr w:type="gramStart"/>
      <w:r w:rsidRPr="007F6BC6">
        <w:rPr>
          <w:rFonts w:ascii="Palatino Linotype" w:hAnsi="Palatino Linotype"/>
          <w:bCs/>
          <w:szCs w:val="22"/>
        </w:rPr>
        <w:t>Mourshead</w:t>
      </w:r>
      <w:proofErr w:type="spellEnd"/>
      <w:r w:rsidRPr="007F6BC6">
        <w:rPr>
          <w:rFonts w:ascii="Palatino Linotype" w:hAnsi="Palatino Linotype"/>
          <w:bCs/>
          <w:szCs w:val="22"/>
        </w:rPr>
        <w:t>.</w:t>
      </w:r>
      <w:proofErr w:type="gramEnd"/>
      <w:r w:rsidRPr="007F6BC6">
        <w:rPr>
          <w:rFonts w:ascii="Palatino Linotype" w:hAnsi="Palatino Linotype"/>
          <w:bCs/>
          <w:szCs w:val="22"/>
        </w:rPr>
        <w:t xml:space="preserve"> </w:t>
      </w:r>
      <w:proofErr w:type="gramStart"/>
      <w:r w:rsidRPr="007F6BC6">
        <w:rPr>
          <w:rFonts w:ascii="Palatino Linotype" w:hAnsi="Palatino Linotype"/>
          <w:bCs/>
          <w:szCs w:val="22"/>
        </w:rPr>
        <w:t xml:space="preserve">M., </w:t>
      </w:r>
      <w:proofErr w:type="spellStart"/>
      <w:r w:rsidRPr="007F6BC6">
        <w:rPr>
          <w:rFonts w:ascii="Palatino Linotype" w:hAnsi="Palatino Linotype"/>
          <w:bCs/>
          <w:szCs w:val="22"/>
        </w:rPr>
        <w:t>Chijioke</w:t>
      </w:r>
      <w:proofErr w:type="spellEnd"/>
      <w:r w:rsidRPr="007F6BC6">
        <w:rPr>
          <w:rFonts w:ascii="Palatino Linotype" w:hAnsi="Palatino Linotype"/>
          <w:bCs/>
          <w:szCs w:val="22"/>
        </w:rPr>
        <w:t>, C. and Barber, M.</w:t>
      </w:r>
      <w:proofErr w:type="gramEnd"/>
      <w:r w:rsidR="00FB0721">
        <w:rPr>
          <w:rFonts w:ascii="Palatino Linotype" w:hAnsi="Palatino Linotype"/>
          <w:bCs/>
          <w:szCs w:val="22"/>
        </w:rPr>
        <w:t xml:space="preserve"> </w:t>
      </w:r>
      <w:r w:rsidRPr="007F6BC6">
        <w:rPr>
          <w:rFonts w:ascii="Palatino Linotype" w:hAnsi="Palatino Linotype"/>
          <w:bCs/>
          <w:szCs w:val="22"/>
        </w:rPr>
        <w:t>How the world’s most improved school systems keep getting better.</w:t>
      </w:r>
      <w:r w:rsidR="00FB0721">
        <w:rPr>
          <w:rFonts w:ascii="Palatino Linotype" w:hAnsi="Palatino Linotype"/>
          <w:bCs/>
          <w:szCs w:val="22"/>
        </w:rPr>
        <w:t xml:space="preserve"> </w:t>
      </w:r>
      <w:r w:rsidR="009815B7" w:rsidRPr="007F6BC6">
        <w:rPr>
          <w:rFonts w:ascii="Palatino Linotype" w:hAnsi="Palatino Linotype"/>
          <w:bCs/>
          <w:szCs w:val="22"/>
        </w:rPr>
        <w:t>London:</w:t>
      </w:r>
      <w:r w:rsidRPr="007F6BC6">
        <w:rPr>
          <w:rFonts w:ascii="Palatino Linotype" w:hAnsi="Palatino Linotype"/>
          <w:bCs/>
          <w:szCs w:val="22"/>
        </w:rPr>
        <w:t xml:space="preserve"> McKinsey &amp; Company.</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rPr>
      </w:pPr>
      <w:proofErr w:type="spellStart"/>
      <w:r w:rsidRPr="007F6BC6">
        <w:rPr>
          <w:rFonts w:ascii="Palatino Linotype" w:hAnsi="Palatino Linotype"/>
          <w:bCs/>
          <w:szCs w:val="22"/>
        </w:rPr>
        <w:t>Mujtaba</w:t>
      </w:r>
      <w:proofErr w:type="spellEnd"/>
      <w:r w:rsidRPr="007F6BC6">
        <w:rPr>
          <w:rFonts w:ascii="Palatino Linotype" w:hAnsi="Palatino Linotype"/>
          <w:bCs/>
          <w:szCs w:val="22"/>
        </w:rPr>
        <w:t>, T. and Reiss, M</w:t>
      </w:r>
      <w:r w:rsidR="00245503" w:rsidRPr="007F6BC6">
        <w:rPr>
          <w:rFonts w:ascii="Palatino Linotype" w:hAnsi="Palatino Linotype"/>
          <w:bCs/>
          <w:szCs w:val="22"/>
        </w:rPr>
        <w:t>.</w:t>
      </w:r>
      <w:r w:rsidR="00FB0721">
        <w:rPr>
          <w:rFonts w:ascii="Palatino Linotype" w:hAnsi="Palatino Linotype"/>
          <w:bCs/>
          <w:szCs w:val="22"/>
        </w:rPr>
        <w:t xml:space="preserve"> </w:t>
      </w:r>
      <w:r w:rsidR="00245503" w:rsidRPr="007F6BC6">
        <w:rPr>
          <w:rFonts w:ascii="Palatino Linotype" w:hAnsi="Palatino Linotype"/>
          <w:bCs/>
          <w:szCs w:val="22"/>
        </w:rPr>
        <w:t>(</w:t>
      </w:r>
      <w:r w:rsidRPr="007F6BC6">
        <w:rPr>
          <w:rFonts w:ascii="Palatino Linotype" w:hAnsi="Palatino Linotype"/>
          <w:bCs/>
          <w:szCs w:val="22"/>
        </w:rPr>
        <w:t>in press)</w:t>
      </w:r>
      <w:r w:rsidR="00FB0721">
        <w:rPr>
          <w:rFonts w:ascii="Palatino Linotype" w:hAnsi="Palatino Linotype"/>
          <w:bCs/>
          <w:szCs w:val="22"/>
        </w:rPr>
        <w:t xml:space="preserve"> </w:t>
      </w:r>
      <w:proofErr w:type="gramStart"/>
      <w:r w:rsidRPr="007F6BC6">
        <w:rPr>
          <w:rFonts w:ascii="Palatino Linotype" w:hAnsi="Palatino Linotype"/>
          <w:bCs/>
          <w:szCs w:val="22"/>
        </w:rPr>
        <w:t>What</w:t>
      </w:r>
      <w:proofErr w:type="gramEnd"/>
      <w:r w:rsidRPr="007F6BC6">
        <w:rPr>
          <w:rFonts w:ascii="Palatino Linotype" w:hAnsi="Palatino Linotype"/>
          <w:bCs/>
          <w:szCs w:val="22"/>
        </w:rPr>
        <w:t xml:space="preserve"> sort of girl wants to study physics after the age of 16? </w:t>
      </w:r>
      <w:proofErr w:type="gramStart"/>
      <w:r w:rsidRPr="007F6BC6">
        <w:rPr>
          <w:rFonts w:ascii="Palatino Linotype" w:hAnsi="Palatino Linotype"/>
          <w:bCs/>
          <w:szCs w:val="22"/>
        </w:rPr>
        <w:t>Findings from a large-scale UK survey.</w:t>
      </w:r>
      <w:proofErr w:type="gramEnd"/>
      <w:r w:rsidR="00FB0721">
        <w:rPr>
          <w:rFonts w:ascii="Palatino Linotype" w:hAnsi="Palatino Linotype"/>
          <w:bCs/>
          <w:szCs w:val="22"/>
        </w:rPr>
        <w:t xml:space="preserve"> </w:t>
      </w:r>
      <w:proofErr w:type="gramStart"/>
      <w:r w:rsidRPr="007F6BC6">
        <w:rPr>
          <w:rFonts w:ascii="Palatino Linotype" w:hAnsi="Palatino Linotype"/>
          <w:bCs/>
          <w:iCs/>
          <w:szCs w:val="22"/>
        </w:rPr>
        <w:t>International Journal of Science Education</w:t>
      </w:r>
      <w:r w:rsidRPr="007F6BC6">
        <w:rPr>
          <w:rFonts w:ascii="Palatino Linotype" w:hAnsi="Palatino Linotype"/>
          <w:bCs/>
          <w:szCs w:val="22"/>
        </w:rPr>
        <w:t>.</w:t>
      </w:r>
      <w:proofErr w:type="gramEnd"/>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 xml:space="preserve">Munro, M. and </w:t>
      </w:r>
      <w:proofErr w:type="spellStart"/>
      <w:r w:rsidRPr="007F6BC6">
        <w:rPr>
          <w:rFonts w:ascii="Palatino Linotype" w:hAnsi="Palatino Linotype"/>
          <w:szCs w:val="22"/>
        </w:rPr>
        <w:t>Elsom</w:t>
      </w:r>
      <w:proofErr w:type="spellEnd"/>
      <w:r w:rsidRPr="007F6BC6">
        <w:rPr>
          <w:rFonts w:ascii="Palatino Linotype" w:hAnsi="Palatino Linotype"/>
          <w:szCs w:val="22"/>
        </w:rPr>
        <w:t>, D.</w:t>
      </w:r>
      <w:r w:rsidR="00FB0721">
        <w:rPr>
          <w:rFonts w:ascii="Palatino Linotype" w:hAnsi="Palatino Linotype"/>
          <w:szCs w:val="22"/>
        </w:rPr>
        <w:t xml:space="preserve"> </w:t>
      </w:r>
      <w:r w:rsidRPr="007F6BC6">
        <w:rPr>
          <w:rFonts w:ascii="Palatino Linotype" w:hAnsi="Palatino Linotype"/>
          <w:szCs w:val="22"/>
        </w:rPr>
        <w:t>(2000)</w:t>
      </w:r>
      <w:r w:rsidR="00FB0721">
        <w:rPr>
          <w:rFonts w:ascii="Palatino Linotype" w:hAnsi="Palatino Linotype"/>
          <w:szCs w:val="22"/>
        </w:rPr>
        <w:t xml:space="preserve"> </w:t>
      </w:r>
      <w:r w:rsidRPr="007F6BC6">
        <w:rPr>
          <w:rFonts w:ascii="Palatino Linotype" w:hAnsi="Palatino Linotype"/>
          <w:iCs/>
          <w:szCs w:val="22"/>
        </w:rPr>
        <w:t>Choosing Science at 16: The influence of science teachers and careers advisers on students’ decisions about science subjects and science and technology careers.</w:t>
      </w:r>
      <w:proofErr w:type="gramEnd"/>
      <w:r w:rsidR="00FB0721">
        <w:rPr>
          <w:rFonts w:ascii="Palatino Linotype" w:hAnsi="Palatino Linotype"/>
          <w:iCs/>
          <w:szCs w:val="22"/>
        </w:rPr>
        <w:t xml:space="preserve"> </w:t>
      </w:r>
      <w:r w:rsidRPr="007F6BC6">
        <w:rPr>
          <w:rFonts w:ascii="Palatino Linotype" w:hAnsi="Palatino Linotype"/>
          <w:iCs/>
          <w:szCs w:val="22"/>
        </w:rPr>
        <w:t>Cambridge: Career Development Organisation (</w:t>
      </w:r>
      <w:r w:rsidRPr="007F6BC6">
        <w:rPr>
          <w:rFonts w:ascii="Palatino Linotype" w:hAnsi="Palatino Linotype"/>
          <w:szCs w:val="22"/>
        </w:rPr>
        <w:t>CRAC).</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Murphy, P. and Whitelegg, E.</w:t>
      </w:r>
      <w:r w:rsidR="00FB0721">
        <w:rPr>
          <w:rFonts w:ascii="Palatino Linotype" w:hAnsi="Palatino Linotype"/>
          <w:szCs w:val="22"/>
        </w:rPr>
        <w:t xml:space="preserve"> </w:t>
      </w:r>
      <w:r w:rsidRPr="007F6BC6">
        <w:rPr>
          <w:rFonts w:ascii="Palatino Linotype" w:hAnsi="Palatino Linotype"/>
          <w:szCs w:val="22"/>
        </w:rPr>
        <w:t>(2006)</w:t>
      </w:r>
      <w:r w:rsidR="00FB0721">
        <w:rPr>
          <w:rFonts w:ascii="Palatino Linotype" w:hAnsi="Palatino Linotype"/>
          <w:szCs w:val="22"/>
        </w:rPr>
        <w:t xml:space="preserve"> </w:t>
      </w:r>
      <w:r w:rsidRPr="007F6BC6">
        <w:rPr>
          <w:rFonts w:ascii="Palatino Linotype" w:hAnsi="Palatino Linotype"/>
          <w:szCs w:val="22"/>
        </w:rPr>
        <w:t>Girls in the physics classroom: A review of the research on the participation of girls in physics.</w:t>
      </w:r>
      <w:r w:rsidR="00FB0721">
        <w:rPr>
          <w:rFonts w:ascii="Palatino Linotype" w:hAnsi="Palatino Linotype"/>
          <w:szCs w:val="22"/>
        </w:rPr>
        <w:t xml:space="preserve"> </w:t>
      </w:r>
      <w:r w:rsidRPr="007F6BC6">
        <w:rPr>
          <w:rFonts w:ascii="Palatino Linotype" w:hAnsi="Palatino Linotype"/>
          <w:szCs w:val="22"/>
        </w:rPr>
        <w:t xml:space="preserve">London: Institute of Physics. </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Nardi</w:t>
      </w:r>
      <w:proofErr w:type="spellEnd"/>
      <w:r w:rsidRPr="007F6BC6">
        <w:rPr>
          <w:rFonts w:ascii="Palatino Linotype" w:hAnsi="Palatino Linotype"/>
          <w:szCs w:val="22"/>
        </w:rPr>
        <w:t>, E. and Steward, S.</w:t>
      </w:r>
      <w:r w:rsidR="00FB0721">
        <w:rPr>
          <w:rFonts w:ascii="Palatino Linotype" w:hAnsi="Palatino Linotype"/>
          <w:szCs w:val="22"/>
        </w:rPr>
        <w:t xml:space="preserve"> </w:t>
      </w:r>
      <w:r w:rsidRPr="007F6BC6">
        <w:rPr>
          <w:rFonts w:ascii="Palatino Linotype" w:hAnsi="Palatino Linotype"/>
          <w:szCs w:val="22"/>
        </w:rPr>
        <w:t>(2003)</w:t>
      </w:r>
      <w:r w:rsidR="00FB0721">
        <w:rPr>
          <w:rFonts w:ascii="Palatino Linotype" w:hAnsi="Palatino Linotype"/>
          <w:szCs w:val="22"/>
        </w:rPr>
        <w:t xml:space="preserve"> </w:t>
      </w:r>
      <w:r w:rsidRPr="007F6BC6">
        <w:rPr>
          <w:rFonts w:ascii="Palatino Linotype" w:hAnsi="Palatino Linotype"/>
          <w:szCs w:val="22"/>
        </w:rPr>
        <w:t>Is Mathematics T.I.R.E.D</w:t>
      </w:r>
      <w:proofErr w:type="gramStart"/>
      <w:r w:rsidRPr="007F6BC6">
        <w:rPr>
          <w:rFonts w:ascii="Palatino Linotype" w:hAnsi="Palatino Linotype"/>
          <w:szCs w:val="22"/>
        </w:rPr>
        <w:t>?:</w:t>
      </w:r>
      <w:proofErr w:type="gramEnd"/>
      <w:r w:rsidRPr="007F6BC6">
        <w:rPr>
          <w:rFonts w:ascii="Palatino Linotype" w:hAnsi="Palatino Linotype"/>
          <w:szCs w:val="22"/>
        </w:rPr>
        <w:t xml:space="preserve"> a profile of quiet disaffection in the secondary mathematics classroom.</w:t>
      </w:r>
      <w:r w:rsidR="00FB0721">
        <w:rPr>
          <w:rFonts w:ascii="Palatino Linotype" w:hAnsi="Palatino Linotype"/>
          <w:szCs w:val="22"/>
        </w:rPr>
        <w:t xml:space="preserve"> </w:t>
      </w:r>
      <w:r w:rsidRPr="007F6BC6">
        <w:rPr>
          <w:rFonts w:ascii="Palatino Linotype" w:hAnsi="Palatino Linotype"/>
          <w:szCs w:val="22"/>
        </w:rPr>
        <w:t>British Educational Research Journal, 29 (3), 345-366.</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National Audit Office (2008)</w:t>
      </w:r>
      <w:r w:rsidR="00FB0721">
        <w:rPr>
          <w:rFonts w:ascii="Palatino Linotype" w:hAnsi="Palatino Linotype"/>
          <w:szCs w:val="22"/>
        </w:rPr>
        <w:t xml:space="preserve"> </w:t>
      </w:r>
      <w:r w:rsidRPr="007F6BC6">
        <w:rPr>
          <w:rFonts w:ascii="Palatino Linotype" w:hAnsi="Palatino Linotype"/>
          <w:szCs w:val="22"/>
        </w:rPr>
        <w:t>Young people’s attitudes to mathematics: a research study among 11-13 year-olds on behalf of the National Audit Office.</w:t>
      </w:r>
      <w:r w:rsidR="00FB0721">
        <w:rPr>
          <w:rFonts w:ascii="Palatino Linotype" w:hAnsi="Palatino Linotype"/>
          <w:szCs w:val="22"/>
        </w:rPr>
        <w:t xml:space="preserve"> </w:t>
      </w:r>
      <w:r w:rsidRPr="007F6BC6">
        <w:rPr>
          <w:rFonts w:ascii="Palatino Linotype" w:hAnsi="Palatino Linotype"/>
          <w:szCs w:val="22"/>
        </w:rPr>
        <w:t xml:space="preserve">London: </w:t>
      </w:r>
      <w:proofErr w:type="spellStart"/>
      <w:r w:rsidRPr="007F6BC6">
        <w:rPr>
          <w:rFonts w:ascii="Palatino Linotype" w:hAnsi="Palatino Linotype"/>
          <w:szCs w:val="22"/>
        </w:rPr>
        <w:t>Ipsos</w:t>
      </w:r>
      <w:proofErr w:type="spellEnd"/>
      <w:r w:rsidRPr="007F6BC6">
        <w:rPr>
          <w:rFonts w:ascii="Palatino Linotype" w:hAnsi="Palatino Linotype"/>
          <w:szCs w:val="22"/>
        </w:rPr>
        <w:t xml:space="preserve"> MORI.</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National Audit Office (2010)</w:t>
      </w:r>
      <w:r w:rsidR="00FB0721">
        <w:rPr>
          <w:rFonts w:ascii="Palatino Linotype" w:hAnsi="Palatino Linotype"/>
          <w:szCs w:val="22"/>
        </w:rPr>
        <w:t xml:space="preserve"> </w:t>
      </w:r>
      <w:proofErr w:type="gramStart"/>
      <w:r w:rsidRPr="007F6BC6">
        <w:rPr>
          <w:rFonts w:ascii="Palatino Linotype" w:hAnsi="Palatino Linotype"/>
          <w:szCs w:val="22"/>
        </w:rPr>
        <w:t>Educating</w:t>
      </w:r>
      <w:proofErr w:type="gramEnd"/>
      <w:r w:rsidRPr="007F6BC6">
        <w:rPr>
          <w:rFonts w:ascii="Palatino Linotype" w:hAnsi="Palatino Linotype"/>
          <w:szCs w:val="22"/>
        </w:rPr>
        <w:t xml:space="preserve"> the next generation of scientists: report by the Comptroller and auditor general.</w:t>
      </w:r>
      <w:r w:rsidR="00FB0721">
        <w:rPr>
          <w:rFonts w:ascii="Palatino Linotype" w:hAnsi="Palatino Linotype"/>
          <w:szCs w:val="22"/>
        </w:rPr>
        <w:t xml:space="preserve"> </w:t>
      </w:r>
      <w:r w:rsidRPr="007F6BC6">
        <w:rPr>
          <w:rFonts w:ascii="Palatino Linotype" w:hAnsi="Palatino Linotype"/>
          <w:szCs w:val="22"/>
        </w:rPr>
        <w:t>HC 492, Session 2010-2011.</w:t>
      </w:r>
      <w:r w:rsidR="00FB0721">
        <w:rPr>
          <w:rFonts w:ascii="Palatino Linotype" w:hAnsi="Palatino Linotype"/>
          <w:szCs w:val="22"/>
        </w:rPr>
        <w:t xml:space="preserve"> </w:t>
      </w:r>
      <w:r w:rsidRPr="007F6BC6">
        <w:rPr>
          <w:rFonts w:ascii="Palatino Linotype" w:hAnsi="Palatino Linotype"/>
          <w:szCs w:val="22"/>
        </w:rPr>
        <w:t>London: The Stationery Office.</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National Foundation for Educational Research in England and Wales, and Dillon, J</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2005</w:t>
      </w:r>
      <w:r w:rsidR="0092065B">
        <w:rPr>
          <w:rFonts w:ascii="Palatino Linotype" w:hAnsi="Palatino Linotype"/>
          <w:szCs w:val="22"/>
        </w:rPr>
        <w:t>)</w:t>
      </w:r>
      <w:r w:rsidRPr="007F6BC6">
        <w:rPr>
          <w:rFonts w:ascii="Palatino Linotype" w:hAnsi="Palatino Linotype"/>
          <w:szCs w:val="22"/>
        </w:rPr>
        <w:t> </w:t>
      </w:r>
      <w:r w:rsidRPr="007F6BC6">
        <w:rPr>
          <w:rFonts w:ascii="Palatino Linotype" w:hAnsi="Palatino Linotype"/>
          <w:iCs/>
          <w:szCs w:val="22"/>
        </w:rPr>
        <w:t>Engaging and learning with the outdoors: The final report of the outdoor classroom in a rural context action research project</w:t>
      </w:r>
      <w:r w:rsidRPr="007F6BC6">
        <w:rPr>
          <w:rFonts w:ascii="Palatino Linotype" w:hAnsi="Palatino Linotype"/>
          <w:szCs w:val="22"/>
        </w:rPr>
        <w:t xml:space="preserve">. London: NFER. </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lang w:val="en-US"/>
        </w:rPr>
        <w:t>National Research Council (2009</w:t>
      </w:r>
      <w:r w:rsidR="0092065B">
        <w:rPr>
          <w:rFonts w:ascii="Palatino Linotype" w:hAnsi="Palatino Linotype"/>
          <w:szCs w:val="22"/>
          <w:lang w:val="en-US"/>
        </w:rPr>
        <w:t>)</w:t>
      </w:r>
      <w:r w:rsidRPr="007F6BC6">
        <w:rPr>
          <w:rFonts w:ascii="Palatino Linotype" w:hAnsi="Palatino Linotype"/>
          <w:szCs w:val="22"/>
          <w:lang w:val="en-US"/>
        </w:rPr>
        <w:t xml:space="preserve"> </w:t>
      </w:r>
      <w:r w:rsidRPr="007F6BC6">
        <w:rPr>
          <w:rFonts w:ascii="Palatino Linotype" w:hAnsi="Palatino Linotype"/>
          <w:szCs w:val="22"/>
        </w:rPr>
        <w:t>Learning Science in Informal Environmen</w:t>
      </w:r>
      <w:r w:rsidR="00FB0721">
        <w:rPr>
          <w:rFonts w:ascii="Palatino Linotype" w:hAnsi="Palatino Linotype"/>
          <w:szCs w:val="22"/>
        </w:rPr>
        <w:t>ts: People, Places and Pursuits.</w:t>
      </w:r>
      <w:r w:rsidRPr="007F6BC6">
        <w:rPr>
          <w:rFonts w:ascii="Palatino Linotype" w:hAnsi="Palatino Linotype"/>
          <w:szCs w:val="22"/>
        </w:rPr>
        <w:t xml:space="preserve"> Washington: The National Academies Press. </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National Science Foundation (2010)</w:t>
      </w:r>
      <w:r w:rsidR="00FB0721">
        <w:rPr>
          <w:rFonts w:ascii="Palatino Linotype" w:hAnsi="Palatino Linotype"/>
          <w:szCs w:val="22"/>
        </w:rPr>
        <w:t xml:space="preserve"> </w:t>
      </w:r>
      <w:r w:rsidRPr="007F6BC6">
        <w:rPr>
          <w:rFonts w:ascii="Palatino Linotype" w:hAnsi="Palatino Linotype"/>
          <w:szCs w:val="22"/>
        </w:rPr>
        <w:t>Science and engineering indicators 2010.</w:t>
      </w:r>
      <w:proofErr w:type="gramEnd"/>
      <w:r w:rsidR="00FB0721">
        <w:rPr>
          <w:rFonts w:ascii="Palatino Linotype" w:hAnsi="Palatino Linotype"/>
          <w:szCs w:val="22"/>
        </w:rPr>
        <w:t xml:space="preserve"> </w:t>
      </w:r>
      <w:r w:rsidRPr="007F6BC6">
        <w:rPr>
          <w:rFonts w:ascii="Palatino Linotype" w:hAnsi="Palatino Linotype"/>
          <w:szCs w:val="22"/>
        </w:rPr>
        <w:t xml:space="preserve">Arlington, </w:t>
      </w:r>
      <w:r w:rsidR="00DE23EC" w:rsidRPr="007F6BC6">
        <w:rPr>
          <w:rFonts w:ascii="Palatino Linotype" w:hAnsi="Palatino Linotype"/>
          <w:szCs w:val="22"/>
        </w:rPr>
        <w:t>Virginia</w:t>
      </w:r>
      <w:r w:rsidRPr="007F6BC6">
        <w:rPr>
          <w:rFonts w:ascii="Palatino Linotype" w:hAnsi="Palatino Linotype"/>
          <w:szCs w:val="22"/>
        </w:rPr>
        <w:t>: National Science Foundation.</w:t>
      </w:r>
      <w:r w:rsidR="00FB0721">
        <w:rPr>
          <w:rFonts w:ascii="Palatino Linotype" w:hAnsi="Palatino Linotype"/>
          <w:szCs w:val="22"/>
        </w:rPr>
        <w:t xml:space="preserve"> </w:t>
      </w:r>
    </w:p>
    <w:p w:rsidR="00934137" w:rsidRPr="007F6BC6" w:rsidRDefault="00934137" w:rsidP="000323CF">
      <w:pPr>
        <w:tabs>
          <w:tab w:val="clear" w:pos="567"/>
          <w:tab w:val="left" w:pos="720"/>
        </w:tabs>
        <w:spacing w:line="240" w:lineRule="auto"/>
        <w:ind w:left="284" w:hanging="284"/>
        <w:jc w:val="both"/>
        <w:rPr>
          <w:rFonts w:ascii="Palatino Linotype" w:hAnsi="Palatino Linotype"/>
          <w:color w:val="943634" w:themeColor="accent2" w:themeShade="BF"/>
          <w:szCs w:val="22"/>
        </w:rPr>
      </w:pPr>
      <w:proofErr w:type="gramStart"/>
      <w:r w:rsidRPr="007F6BC6">
        <w:rPr>
          <w:rFonts w:ascii="Palatino Linotype" w:hAnsi="Palatino Linotype"/>
          <w:szCs w:val="22"/>
        </w:rPr>
        <w:t>OCR Examination Board</w:t>
      </w:r>
      <w:r w:rsidR="00FB0721">
        <w:rPr>
          <w:rFonts w:ascii="Palatino Linotype" w:hAnsi="Palatino Linotype"/>
          <w:szCs w:val="22"/>
        </w:rPr>
        <w:t xml:space="preserve"> </w:t>
      </w:r>
      <w:r w:rsidRPr="007F6BC6">
        <w:rPr>
          <w:rFonts w:ascii="Palatino Linotype" w:hAnsi="Palatino Linotype"/>
          <w:szCs w:val="22"/>
        </w:rPr>
        <w:t>(2005)</w:t>
      </w:r>
      <w:r w:rsidR="00FB0721">
        <w:rPr>
          <w:rFonts w:ascii="Palatino Linotype" w:hAnsi="Palatino Linotype"/>
          <w:szCs w:val="22"/>
        </w:rPr>
        <w:t xml:space="preserve"> </w:t>
      </w:r>
      <w:r w:rsidRPr="007F6BC6">
        <w:rPr>
          <w:rFonts w:ascii="Palatino Linotype" w:hAnsi="Palatino Linotype"/>
          <w:szCs w:val="22"/>
        </w:rPr>
        <w:t>Science Student Survey Results.</w:t>
      </w:r>
      <w:proofErr w:type="gramEnd"/>
      <w:r w:rsidR="00FB0721">
        <w:rPr>
          <w:rFonts w:ascii="Palatino Linotype" w:hAnsi="Palatino Linotype"/>
          <w:szCs w:val="22"/>
        </w:rPr>
        <w:t xml:space="preserve"> </w:t>
      </w:r>
      <w:r w:rsidRPr="007F6BC6">
        <w:rPr>
          <w:rFonts w:ascii="Palatino Linotype" w:hAnsi="Palatino Linotype"/>
          <w:szCs w:val="22"/>
        </w:rPr>
        <w:t>Cambridge: OCR.</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Organization for Economic Co-operation and Development (OECD) (2003)</w:t>
      </w:r>
      <w:r w:rsidR="00FB0721">
        <w:rPr>
          <w:rFonts w:ascii="Palatino Linotype" w:hAnsi="Palatino Linotype"/>
          <w:szCs w:val="22"/>
        </w:rPr>
        <w:t xml:space="preserve"> </w:t>
      </w:r>
      <w:r w:rsidRPr="007F6BC6">
        <w:rPr>
          <w:rFonts w:ascii="Palatino Linotype" w:hAnsi="Palatino Linotype"/>
          <w:szCs w:val="22"/>
        </w:rPr>
        <w:t>Education at a Glance.</w:t>
      </w:r>
      <w:proofErr w:type="gramEnd"/>
      <w:r w:rsidRPr="007F6BC6">
        <w:rPr>
          <w:rFonts w:ascii="Palatino Linotype" w:hAnsi="Palatino Linotype"/>
          <w:szCs w:val="22"/>
        </w:rPr>
        <w:t xml:space="preserve"> </w:t>
      </w:r>
      <w:proofErr w:type="gramStart"/>
      <w:r w:rsidRPr="007F6BC6">
        <w:rPr>
          <w:rFonts w:ascii="Palatino Linotype" w:hAnsi="Palatino Linotype"/>
          <w:szCs w:val="22"/>
        </w:rPr>
        <w:t>2003 Edition (Paris, OECD).</w:t>
      </w:r>
      <w:proofErr w:type="gramEnd"/>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r w:rsidRPr="007F6BC6">
        <w:rPr>
          <w:rFonts w:ascii="Palatino Linotype" w:hAnsi="Palatino Linotype"/>
          <w:szCs w:val="22"/>
        </w:rPr>
        <w:t xml:space="preserve">Organization for Economic Co-operation and Development (OECD) </w:t>
      </w:r>
      <w:r w:rsidRPr="007F6BC6">
        <w:rPr>
          <w:rFonts w:ascii="Palatino Linotype" w:hAnsi="Palatino Linotype"/>
          <w:bCs/>
          <w:szCs w:val="22"/>
          <w:lang w:eastAsia="en-GB"/>
        </w:rPr>
        <w:t>(2007)</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PISA 2006: Science Competencies for Tomorrow’s World.</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Paris: OECD Publications.</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proofErr w:type="gramStart"/>
      <w:r w:rsidRPr="007F6BC6">
        <w:rPr>
          <w:rFonts w:ascii="Palatino Linotype" w:hAnsi="Palatino Linotype"/>
          <w:bCs/>
          <w:szCs w:val="22"/>
          <w:lang w:eastAsia="en-GB"/>
        </w:rPr>
        <w:t>Organization for Economic Co-operation and Development (OECD) (2009)</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Science, Technology and Industry scoreboard.</w:t>
      </w:r>
      <w:proofErr w:type="gramEnd"/>
      <w:r w:rsidRPr="007F6BC6">
        <w:rPr>
          <w:rFonts w:ascii="Palatino Linotype" w:hAnsi="Palatino Linotype"/>
          <w:bCs/>
          <w:szCs w:val="22"/>
          <w:lang w:eastAsia="en-GB"/>
        </w:rPr>
        <w:t xml:space="preserve"> Paris: OECD Publications.</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r w:rsidRPr="007F6BC6">
        <w:rPr>
          <w:rFonts w:ascii="Palatino Linotype" w:hAnsi="Palatino Linotype"/>
          <w:bCs/>
          <w:szCs w:val="22"/>
          <w:lang w:eastAsia="en-GB"/>
        </w:rPr>
        <w:t>Organization for Economic Co-operation and Development (OECD) (2012)</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 xml:space="preserve">PISA in Focus 14: What </w:t>
      </w:r>
      <w:proofErr w:type="gramStart"/>
      <w:r w:rsidRPr="007F6BC6">
        <w:rPr>
          <w:rFonts w:ascii="Palatino Linotype" w:hAnsi="Palatino Linotype"/>
          <w:bCs/>
          <w:szCs w:val="22"/>
          <w:lang w:eastAsia="en-GB"/>
        </w:rPr>
        <w:t>kind of careers do</w:t>
      </w:r>
      <w:proofErr w:type="gramEnd"/>
      <w:r w:rsidRPr="007F6BC6">
        <w:rPr>
          <w:rFonts w:ascii="Palatino Linotype" w:hAnsi="Palatino Linotype"/>
          <w:bCs/>
          <w:szCs w:val="22"/>
          <w:lang w:eastAsia="en-GB"/>
        </w:rPr>
        <w:t xml:space="preserve"> boys and girls expect for themselves?</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Paris: OECD Publications.</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proofErr w:type="gramStart"/>
      <w:r w:rsidRPr="007F6BC6">
        <w:rPr>
          <w:rFonts w:ascii="Palatino Linotype" w:hAnsi="Palatino Linotype"/>
          <w:bCs/>
          <w:szCs w:val="22"/>
          <w:lang w:eastAsia="en-GB"/>
        </w:rPr>
        <w:lastRenderedPageBreak/>
        <w:t>Osborne, J. and Collins, S.</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(2001)</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Pupils’ views of the role and value of the science curriculum.</w:t>
      </w:r>
      <w:proofErr w:type="gramEnd"/>
      <w:r w:rsidR="00FB0721">
        <w:rPr>
          <w:rFonts w:ascii="Palatino Linotype" w:hAnsi="Palatino Linotype"/>
          <w:bCs/>
          <w:szCs w:val="22"/>
          <w:lang w:eastAsia="en-GB"/>
        </w:rPr>
        <w:t xml:space="preserve"> </w:t>
      </w:r>
      <w:r w:rsidRPr="007F6BC6">
        <w:rPr>
          <w:rFonts w:ascii="Palatino Linotype" w:hAnsi="Palatino Linotype"/>
          <w:bCs/>
          <w:szCs w:val="22"/>
          <w:lang w:eastAsia="en-GB"/>
        </w:rPr>
        <w:t>International Journal of Science Education, 23 (5), 441-467.</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r w:rsidRPr="007F6BC6">
        <w:rPr>
          <w:rFonts w:ascii="Palatino Linotype" w:hAnsi="Palatino Linotype"/>
          <w:bCs/>
          <w:szCs w:val="22"/>
          <w:lang w:eastAsia="en-GB"/>
        </w:rPr>
        <w:t>Osborne, J. and Dillon, J.</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(2008)</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 xml:space="preserve">Science Education in Europe: critical reflections. </w:t>
      </w:r>
      <w:proofErr w:type="gramStart"/>
      <w:r w:rsidRPr="007F6BC6">
        <w:rPr>
          <w:rFonts w:ascii="Palatino Linotype" w:hAnsi="Palatino Linotype"/>
          <w:bCs/>
          <w:szCs w:val="22"/>
          <w:lang w:eastAsia="en-GB"/>
        </w:rPr>
        <w:t>A report to the Nuffield Foundation.</w:t>
      </w:r>
      <w:proofErr w:type="gramEnd"/>
      <w:r w:rsidR="00FB0721">
        <w:rPr>
          <w:rFonts w:ascii="Palatino Linotype" w:hAnsi="Palatino Linotype"/>
          <w:bCs/>
          <w:szCs w:val="22"/>
          <w:lang w:eastAsia="en-GB"/>
        </w:rPr>
        <w:t xml:space="preserve"> </w:t>
      </w:r>
      <w:r w:rsidRPr="007F6BC6">
        <w:rPr>
          <w:rFonts w:ascii="Palatino Linotype" w:hAnsi="Palatino Linotype"/>
          <w:bCs/>
          <w:szCs w:val="22"/>
          <w:lang w:eastAsia="en-GB"/>
        </w:rPr>
        <w:t>London: The Nuffield Foundation.</w:t>
      </w:r>
    </w:p>
    <w:p w:rsidR="00934137" w:rsidRPr="007F6BC6" w:rsidRDefault="00934137" w:rsidP="000323CF">
      <w:pPr>
        <w:tabs>
          <w:tab w:val="clear" w:pos="567"/>
          <w:tab w:val="left" w:pos="720"/>
        </w:tabs>
        <w:spacing w:line="240" w:lineRule="auto"/>
        <w:ind w:left="284" w:hanging="284"/>
        <w:jc w:val="both"/>
        <w:rPr>
          <w:rFonts w:ascii="Palatino Linotype" w:hAnsi="Palatino Linotype"/>
          <w:b/>
          <w:bCs/>
          <w:szCs w:val="22"/>
        </w:rPr>
      </w:pPr>
      <w:r w:rsidRPr="007F6BC6">
        <w:rPr>
          <w:rFonts w:ascii="Palatino Linotype" w:hAnsi="Palatino Linotype"/>
          <w:bCs/>
          <w:szCs w:val="22"/>
        </w:rPr>
        <w:t>Ramsden, J.</w:t>
      </w:r>
      <w:r w:rsidR="00FB0721">
        <w:rPr>
          <w:rFonts w:ascii="Palatino Linotype" w:hAnsi="Palatino Linotype"/>
          <w:bCs/>
          <w:szCs w:val="22"/>
        </w:rPr>
        <w:t xml:space="preserve"> </w:t>
      </w:r>
      <w:r w:rsidRPr="007F6BC6">
        <w:rPr>
          <w:rFonts w:ascii="Palatino Linotype" w:hAnsi="Palatino Linotype"/>
          <w:bCs/>
          <w:szCs w:val="22"/>
        </w:rPr>
        <w:t>(1998)</w:t>
      </w:r>
      <w:r w:rsidR="00FB0721">
        <w:rPr>
          <w:rFonts w:ascii="Palatino Linotype" w:hAnsi="Palatino Linotype"/>
          <w:bCs/>
          <w:szCs w:val="22"/>
        </w:rPr>
        <w:t xml:space="preserve"> </w:t>
      </w:r>
      <w:r w:rsidRPr="007F6BC6">
        <w:rPr>
          <w:rFonts w:ascii="Palatino Linotype" w:hAnsi="Palatino Linotype"/>
          <w:bCs/>
          <w:szCs w:val="22"/>
        </w:rPr>
        <w:t>Mission impossible: can anything be done about attitudes to science?</w:t>
      </w:r>
      <w:r w:rsidR="00FB0721">
        <w:rPr>
          <w:rFonts w:ascii="Palatino Linotype" w:hAnsi="Palatino Linotype"/>
          <w:bCs/>
          <w:szCs w:val="22"/>
        </w:rPr>
        <w:t xml:space="preserve"> </w:t>
      </w:r>
      <w:r w:rsidRPr="007F6BC6">
        <w:rPr>
          <w:rFonts w:ascii="Palatino Linotype" w:hAnsi="Palatino Linotype"/>
          <w:bCs/>
          <w:szCs w:val="22"/>
        </w:rPr>
        <w:t>International Journal of Science Education, 20 (2), 125 - 137.</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proofErr w:type="gramStart"/>
      <w:r w:rsidRPr="007F6BC6">
        <w:rPr>
          <w:rFonts w:ascii="Palatino Linotype" w:hAnsi="Palatino Linotype"/>
          <w:bCs/>
          <w:szCs w:val="22"/>
          <w:lang w:eastAsia="en-GB"/>
        </w:rPr>
        <w:t xml:space="preserve">Reid, N. and </w:t>
      </w:r>
      <w:proofErr w:type="spellStart"/>
      <w:r w:rsidRPr="007F6BC6">
        <w:rPr>
          <w:rFonts w:ascii="Palatino Linotype" w:hAnsi="Palatino Linotype"/>
          <w:bCs/>
          <w:szCs w:val="22"/>
          <w:lang w:eastAsia="en-GB"/>
        </w:rPr>
        <w:t>Skryabina</w:t>
      </w:r>
      <w:proofErr w:type="spellEnd"/>
      <w:r w:rsidRPr="007F6BC6">
        <w:rPr>
          <w:rFonts w:ascii="Palatino Linotype" w:hAnsi="Palatino Linotype"/>
          <w:bCs/>
          <w:szCs w:val="22"/>
          <w:lang w:eastAsia="en-GB"/>
        </w:rPr>
        <w:t>, E.</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(2002)</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Attitudes towards physics.</w:t>
      </w:r>
      <w:proofErr w:type="gramEnd"/>
      <w:r w:rsidRPr="007F6BC6">
        <w:rPr>
          <w:rFonts w:ascii="Palatino Linotype" w:hAnsi="Palatino Linotype"/>
          <w:bCs/>
          <w:szCs w:val="22"/>
          <w:lang w:eastAsia="en-GB"/>
        </w:rPr>
        <w:t xml:space="preserve"> </w:t>
      </w:r>
      <w:proofErr w:type="gramStart"/>
      <w:r w:rsidRPr="007F6BC6">
        <w:rPr>
          <w:rFonts w:ascii="Palatino Linotype" w:hAnsi="Palatino Linotype"/>
          <w:bCs/>
          <w:iCs/>
          <w:szCs w:val="22"/>
          <w:lang w:eastAsia="en-GB"/>
        </w:rPr>
        <w:t>Research in Science and Technological Education.</w:t>
      </w:r>
      <w:proofErr w:type="gramEnd"/>
      <w:r w:rsidRPr="007F6BC6">
        <w:rPr>
          <w:rFonts w:ascii="Palatino Linotype" w:hAnsi="Palatino Linotype"/>
          <w:bCs/>
          <w:iCs/>
          <w:szCs w:val="22"/>
          <w:lang w:eastAsia="en-GB"/>
        </w:rPr>
        <w:t xml:space="preserve"> </w:t>
      </w:r>
      <w:r w:rsidRPr="007F6BC6">
        <w:rPr>
          <w:rFonts w:ascii="Palatino Linotype" w:hAnsi="Palatino Linotype"/>
          <w:bCs/>
          <w:szCs w:val="22"/>
          <w:lang w:eastAsia="en-GB"/>
        </w:rPr>
        <w:t>20 (1), 67–80.</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u w:val="single"/>
        </w:rPr>
      </w:pPr>
      <w:r w:rsidRPr="007F6BC6">
        <w:rPr>
          <w:rFonts w:ascii="Palatino Linotype" w:hAnsi="Palatino Linotype"/>
          <w:szCs w:val="22"/>
        </w:rPr>
        <w:t>Roberts, G.</w:t>
      </w:r>
      <w:r w:rsidR="00FB0721">
        <w:rPr>
          <w:rFonts w:ascii="Palatino Linotype" w:hAnsi="Palatino Linotype"/>
          <w:szCs w:val="22"/>
        </w:rPr>
        <w:t xml:space="preserve"> </w:t>
      </w:r>
      <w:r w:rsidRPr="007F6BC6">
        <w:rPr>
          <w:rFonts w:ascii="Palatino Linotype" w:hAnsi="Palatino Linotype"/>
          <w:szCs w:val="22"/>
        </w:rPr>
        <w:t>(2002)</w:t>
      </w:r>
      <w:r w:rsidR="00FB0721">
        <w:rPr>
          <w:rFonts w:ascii="Palatino Linotype" w:hAnsi="Palatino Linotype"/>
          <w:szCs w:val="22"/>
        </w:rPr>
        <w:t xml:space="preserve"> </w:t>
      </w:r>
      <w:r w:rsidRPr="007F6BC6">
        <w:rPr>
          <w:rFonts w:ascii="Palatino Linotype" w:hAnsi="Palatino Linotype"/>
          <w:iCs/>
          <w:szCs w:val="22"/>
        </w:rPr>
        <w:t>SET for success: The supply of people with science, technology, engineering and mathematics, skills</w:t>
      </w:r>
      <w:r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 xml:space="preserve">London: HM Treasury. </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r w:rsidRPr="007F6BC6">
        <w:rPr>
          <w:rFonts w:ascii="Palatino Linotype" w:hAnsi="Palatino Linotype"/>
          <w:bCs/>
          <w:szCs w:val="22"/>
          <w:lang w:eastAsia="en-GB"/>
        </w:rPr>
        <w:t xml:space="preserve">Rodd, M., Reiss, M. and </w:t>
      </w:r>
      <w:proofErr w:type="spellStart"/>
      <w:r w:rsidRPr="007F6BC6">
        <w:rPr>
          <w:rFonts w:ascii="Palatino Linotype" w:hAnsi="Palatino Linotype"/>
          <w:bCs/>
          <w:szCs w:val="22"/>
          <w:lang w:eastAsia="en-GB"/>
        </w:rPr>
        <w:t>Mujtaba</w:t>
      </w:r>
      <w:proofErr w:type="spellEnd"/>
      <w:r w:rsidRPr="007F6BC6">
        <w:rPr>
          <w:rFonts w:ascii="Palatino Linotype" w:hAnsi="Palatino Linotype"/>
          <w:bCs/>
          <w:szCs w:val="22"/>
          <w:lang w:eastAsia="en-GB"/>
        </w:rPr>
        <w:t>, T</w:t>
      </w:r>
      <w:r w:rsidR="00245503" w:rsidRPr="007F6BC6">
        <w:rPr>
          <w:rFonts w:ascii="Palatino Linotype" w:hAnsi="Palatino Linotype"/>
          <w:bCs/>
          <w:szCs w:val="22"/>
          <w:lang w:eastAsia="en-GB"/>
        </w:rPr>
        <w:t>.</w:t>
      </w:r>
      <w:r w:rsidR="00FB0721">
        <w:rPr>
          <w:rFonts w:ascii="Palatino Linotype" w:hAnsi="Palatino Linotype"/>
          <w:bCs/>
          <w:szCs w:val="22"/>
          <w:lang w:eastAsia="en-GB"/>
        </w:rPr>
        <w:t xml:space="preserve"> </w:t>
      </w:r>
      <w:r w:rsidR="00245503" w:rsidRPr="007F6BC6">
        <w:rPr>
          <w:rFonts w:ascii="Palatino Linotype" w:hAnsi="Palatino Linotype"/>
          <w:bCs/>
          <w:szCs w:val="22"/>
          <w:lang w:eastAsia="en-GB"/>
        </w:rPr>
        <w:t>(</w:t>
      </w:r>
      <w:r w:rsidRPr="007F6BC6">
        <w:rPr>
          <w:rFonts w:ascii="Palatino Linotype" w:hAnsi="Palatino Linotype"/>
          <w:bCs/>
          <w:szCs w:val="22"/>
          <w:lang w:eastAsia="en-GB"/>
        </w:rPr>
        <w:t>in press)</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 xml:space="preserve">Undergraduates talk about their choice to study physics at university: what was key to their participation? </w:t>
      </w:r>
      <w:proofErr w:type="gramStart"/>
      <w:r w:rsidRPr="007F6BC6">
        <w:rPr>
          <w:rFonts w:ascii="Palatino Linotype" w:hAnsi="Palatino Linotype"/>
          <w:bCs/>
          <w:iCs/>
          <w:szCs w:val="22"/>
          <w:lang w:eastAsia="en-GB"/>
        </w:rPr>
        <w:t>Research in Science and Technological Education</w:t>
      </w:r>
      <w:r w:rsidRPr="007F6BC6">
        <w:rPr>
          <w:rFonts w:ascii="Palatino Linotype" w:hAnsi="Palatino Linotype"/>
          <w:bCs/>
          <w:szCs w:val="22"/>
          <w:lang w:eastAsia="en-GB"/>
        </w:rPr>
        <w:t>.</w:t>
      </w:r>
      <w:proofErr w:type="gramEnd"/>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 xml:space="preserve">Sainsbury, Lord, of </w:t>
      </w:r>
      <w:proofErr w:type="spellStart"/>
      <w:r w:rsidRPr="007F6BC6">
        <w:rPr>
          <w:rFonts w:ascii="Palatino Linotype" w:hAnsi="Palatino Linotype"/>
          <w:szCs w:val="22"/>
        </w:rPr>
        <w:t>Turville</w:t>
      </w:r>
      <w:proofErr w:type="spellEnd"/>
      <w:r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(2007)</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race to the top.</w:t>
      </w:r>
      <w:r w:rsidR="00FB0721">
        <w:rPr>
          <w:rFonts w:ascii="Palatino Linotype" w:hAnsi="Palatino Linotype"/>
          <w:szCs w:val="22"/>
        </w:rPr>
        <w:t xml:space="preserve"> </w:t>
      </w:r>
      <w:proofErr w:type="gramStart"/>
      <w:r w:rsidRPr="007F6BC6">
        <w:rPr>
          <w:rFonts w:ascii="Palatino Linotype" w:hAnsi="Palatino Linotype"/>
          <w:szCs w:val="22"/>
        </w:rPr>
        <w:t>A review of Government’s science and innovation policies.</w:t>
      </w:r>
      <w:proofErr w:type="gramEnd"/>
      <w:r w:rsidR="00FB0721">
        <w:rPr>
          <w:rFonts w:ascii="Palatino Linotype" w:hAnsi="Palatino Linotype"/>
          <w:szCs w:val="22"/>
        </w:rPr>
        <w:t xml:space="preserve"> </w:t>
      </w:r>
      <w:r w:rsidRPr="007F6BC6">
        <w:rPr>
          <w:rFonts w:ascii="Palatino Linotype" w:hAnsi="Palatino Linotype"/>
          <w:szCs w:val="22"/>
        </w:rPr>
        <w:t>Norwich: HMSO.</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Schibeci</w:t>
      </w:r>
      <w:proofErr w:type="spellEnd"/>
      <w:r w:rsidRPr="007F6BC6">
        <w:rPr>
          <w:rFonts w:ascii="Palatino Linotype" w:hAnsi="Palatino Linotype"/>
          <w:szCs w:val="22"/>
        </w:rPr>
        <w:t>, R.</w:t>
      </w:r>
      <w:r w:rsidR="00FB0721">
        <w:rPr>
          <w:rFonts w:ascii="Palatino Linotype" w:hAnsi="Palatino Linotype"/>
          <w:szCs w:val="22"/>
        </w:rPr>
        <w:t xml:space="preserve"> </w:t>
      </w:r>
      <w:r w:rsidRPr="007F6BC6">
        <w:rPr>
          <w:rFonts w:ascii="Palatino Linotype" w:hAnsi="Palatino Linotype"/>
          <w:szCs w:val="22"/>
        </w:rPr>
        <w:t>(1984)</w:t>
      </w:r>
      <w:r w:rsidR="00FB0721">
        <w:rPr>
          <w:rFonts w:ascii="Palatino Linotype" w:hAnsi="Palatino Linotype"/>
          <w:szCs w:val="22"/>
        </w:rPr>
        <w:t xml:space="preserve"> </w:t>
      </w:r>
      <w:r w:rsidRPr="007F6BC6">
        <w:rPr>
          <w:rFonts w:ascii="Palatino Linotype" w:hAnsi="Palatino Linotype"/>
          <w:szCs w:val="22"/>
        </w:rPr>
        <w:t>Attitudes to science: an update.</w:t>
      </w:r>
      <w:r w:rsidR="00FB0721">
        <w:rPr>
          <w:rFonts w:ascii="Palatino Linotype" w:hAnsi="Palatino Linotype"/>
          <w:szCs w:val="22"/>
        </w:rPr>
        <w:t xml:space="preserve"> </w:t>
      </w:r>
      <w:r w:rsidRPr="007F6BC6">
        <w:rPr>
          <w:rFonts w:ascii="Palatino Linotype" w:hAnsi="Palatino Linotype"/>
          <w:szCs w:val="22"/>
        </w:rPr>
        <w:t xml:space="preserve">Studies in Science Education, 11, 26-59. </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 xml:space="preserve">Schreiner, C. and </w:t>
      </w:r>
      <w:proofErr w:type="spellStart"/>
      <w:r w:rsidRPr="007F6BC6">
        <w:rPr>
          <w:rFonts w:ascii="Palatino Linotype" w:hAnsi="Palatino Linotype"/>
          <w:szCs w:val="22"/>
        </w:rPr>
        <w:t>Sjøberg</w:t>
      </w:r>
      <w:proofErr w:type="spellEnd"/>
      <w:r w:rsidRPr="007F6BC6">
        <w:rPr>
          <w:rFonts w:ascii="Palatino Linotype" w:hAnsi="Palatino Linotype"/>
          <w:szCs w:val="22"/>
        </w:rPr>
        <w:t>, S.</w:t>
      </w:r>
      <w:r w:rsidR="00FB0721">
        <w:rPr>
          <w:rFonts w:ascii="Palatino Linotype" w:hAnsi="Palatino Linotype"/>
          <w:szCs w:val="22"/>
        </w:rPr>
        <w:t xml:space="preserve"> </w:t>
      </w:r>
      <w:r w:rsidRPr="007F6BC6">
        <w:rPr>
          <w:rFonts w:ascii="Palatino Linotype" w:hAnsi="Palatino Linotype"/>
          <w:szCs w:val="22"/>
        </w:rPr>
        <w:t>(2007</w:t>
      </w:r>
      <w:r w:rsidR="0092065B">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Science education and youth’s identity construction – two incompatible projects?</w:t>
      </w:r>
      <w:r w:rsidR="00FB0721">
        <w:rPr>
          <w:rFonts w:ascii="Palatino Linotype" w:hAnsi="Palatino Linotype"/>
          <w:szCs w:val="22"/>
        </w:rPr>
        <w:t xml:space="preserve"> </w:t>
      </w:r>
      <w:r w:rsidRPr="007F6BC6">
        <w:rPr>
          <w:rFonts w:ascii="Palatino Linotype" w:hAnsi="Palatino Linotype"/>
          <w:szCs w:val="22"/>
        </w:rPr>
        <w:t xml:space="preserve">In D. Corrigan, J. Dillon and R. </w:t>
      </w:r>
      <w:proofErr w:type="spellStart"/>
      <w:r w:rsidRPr="007F6BC6">
        <w:rPr>
          <w:rFonts w:ascii="Palatino Linotype" w:hAnsi="Palatino Linotype"/>
          <w:szCs w:val="22"/>
        </w:rPr>
        <w:t>Gunstone</w:t>
      </w:r>
      <w:proofErr w:type="spellEnd"/>
      <w:r w:rsidRPr="007F6BC6">
        <w:rPr>
          <w:rFonts w:ascii="Palatino Linotype" w:hAnsi="Palatino Linotype"/>
          <w:szCs w:val="22"/>
        </w:rPr>
        <w:t xml:space="preserve"> (</w:t>
      </w:r>
      <w:proofErr w:type="spellStart"/>
      <w:proofErr w:type="gramStart"/>
      <w:r w:rsidRPr="007F6BC6">
        <w:rPr>
          <w:rFonts w:ascii="Palatino Linotype" w:hAnsi="Palatino Linotype"/>
          <w:szCs w:val="22"/>
        </w:rPr>
        <w:t>eds</w:t>
      </w:r>
      <w:proofErr w:type="spellEnd"/>
      <w:proofErr w:type="gramEnd"/>
      <w:r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The re-emergence of values in the science curriculum.</w:t>
      </w:r>
      <w:r w:rsidR="00FB0721">
        <w:rPr>
          <w:rFonts w:ascii="Palatino Linotype" w:hAnsi="Palatino Linotype"/>
          <w:szCs w:val="22"/>
        </w:rPr>
        <w:t xml:space="preserve"> </w:t>
      </w:r>
      <w:r w:rsidRPr="007F6BC6">
        <w:rPr>
          <w:rFonts w:ascii="Palatino Linotype" w:hAnsi="Palatino Linotype"/>
          <w:szCs w:val="22"/>
        </w:rPr>
        <w:t>Rotterdam: Sense Publishers.</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Shanahan, M-C.</w:t>
      </w:r>
      <w:proofErr w:type="gramEnd"/>
      <w:r w:rsidR="00FB0721">
        <w:rPr>
          <w:rFonts w:ascii="Palatino Linotype" w:hAnsi="Palatino Linotype"/>
          <w:szCs w:val="22"/>
        </w:rPr>
        <w:t xml:space="preserve"> </w:t>
      </w:r>
      <w:r w:rsidRPr="007F6BC6">
        <w:rPr>
          <w:rFonts w:ascii="Palatino Linotype" w:hAnsi="Palatino Linotype"/>
          <w:szCs w:val="22"/>
        </w:rPr>
        <w:t>(2009)</w:t>
      </w:r>
      <w:r w:rsidR="00FB0721">
        <w:rPr>
          <w:rFonts w:ascii="Palatino Linotype" w:hAnsi="Palatino Linotype"/>
          <w:szCs w:val="22"/>
        </w:rPr>
        <w:t xml:space="preserve"> </w:t>
      </w:r>
      <w:r w:rsidRPr="007F6BC6">
        <w:rPr>
          <w:rFonts w:ascii="Palatino Linotype" w:hAnsi="Palatino Linotype"/>
          <w:szCs w:val="22"/>
        </w:rPr>
        <w:t>Identify in science learning: exploring the attention given to agency and structure in studies of identity.</w:t>
      </w:r>
      <w:r w:rsidR="00FB0721">
        <w:rPr>
          <w:rFonts w:ascii="Palatino Linotype" w:hAnsi="Palatino Linotype"/>
          <w:szCs w:val="22"/>
        </w:rPr>
        <w:t xml:space="preserve"> </w:t>
      </w:r>
      <w:r w:rsidRPr="007F6BC6">
        <w:rPr>
          <w:rFonts w:ascii="Palatino Linotype" w:hAnsi="Palatino Linotype"/>
          <w:szCs w:val="22"/>
        </w:rPr>
        <w:t>Studies in Science Education, 45 (1), 43-64.</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proofErr w:type="spellStart"/>
      <w:proofErr w:type="gramStart"/>
      <w:r w:rsidRPr="007F6BC6">
        <w:rPr>
          <w:rFonts w:ascii="Palatino Linotype" w:hAnsi="Palatino Linotype"/>
          <w:szCs w:val="22"/>
        </w:rPr>
        <w:t>Sjøberg</w:t>
      </w:r>
      <w:proofErr w:type="spellEnd"/>
      <w:r w:rsidRPr="007F6BC6">
        <w:rPr>
          <w:rFonts w:ascii="Palatino Linotype" w:hAnsi="Palatino Linotype"/>
          <w:szCs w:val="22"/>
        </w:rPr>
        <w:t>, S. and Schreiner, C</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szCs w:val="22"/>
        </w:rPr>
        <w:t>The ROSE project: an overview and key findings.</w:t>
      </w:r>
      <w:proofErr w:type="gramEnd"/>
      <w:r w:rsidRPr="007F6BC6">
        <w:rPr>
          <w:rFonts w:ascii="Palatino Linotype" w:hAnsi="Palatino Linotype"/>
          <w:szCs w:val="22"/>
        </w:rPr>
        <w:t xml:space="preserve"> </w:t>
      </w:r>
      <w:r w:rsidRPr="007F6BC6">
        <w:rPr>
          <w:rFonts w:ascii="Palatino Linotype" w:hAnsi="Palatino Linotype"/>
          <w:szCs w:val="22"/>
          <w:lang w:eastAsia="en-GB"/>
        </w:rPr>
        <w:t xml:space="preserve">Oslo: </w:t>
      </w:r>
      <w:r w:rsidRPr="007F6BC6">
        <w:rPr>
          <w:rFonts w:ascii="Palatino Linotype" w:hAnsi="Palatino Linotype"/>
          <w:bCs/>
          <w:szCs w:val="22"/>
          <w:lang w:eastAsia="en-GB"/>
        </w:rPr>
        <w:t>Department of Teacher Education and School Development: University of Oslo.</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Smith, A.</w:t>
      </w:r>
      <w:r w:rsidR="00FB0721">
        <w:rPr>
          <w:rFonts w:ascii="Palatino Linotype" w:hAnsi="Palatino Linotype"/>
          <w:szCs w:val="22"/>
        </w:rPr>
        <w:t xml:space="preserve"> </w:t>
      </w:r>
      <w:r w:rsidRPr="007F6BC6">
        <w:rPr>
          <w:rFonts w:ascii="Palatino Linotype" w:hAnsi="Palatino Linotype"/>
          <w:szCs w:val="22"/>
        </w:rPr>
        <w:t>(2004)</w:t>
      </w:r>
      <w:r w:rsidR="00FB0721">
        <w:rPr>
          <w:rFonts w:ascii="Palatino Linotype" w:hAnsi="Palatino Linotype"/>
          <w:szCs w:val="22"/>
        </w:rPr>
        <w:t xml:space="preserve"> </w:t>
      </w:r>
      <w:r w:rsidRPr="007F6BC6">
        <w:rPr>
          <w:rFonts w:ascii="Palatino Linotype" w:hAnsi="Palatino Linotype"/>
          <w:iCs/>
          <w:szCs w:val="22"/>
        </w:rPr>
        <w:t>Making Mathematics Count: The Report of Professor Adrian Smith’s Inquiry into Post-14 Mathematics Education.</w:t>
      </w:r>
      <w:r w:rsidR="00FB0721">
        <w:rPr>
          <w:rFonts w:ascii="Palatino Linotype" w:hAnsi="Palatino Linotype"/>
          <w:iCs/>
          <w:szCs w:val="22"/>
        </w:rPr>
        <w:t xml:space="preserve"> </w:t>
      </w:r>
      <w:r w:rsidRPr="007F6BC6">
        <w:rPr>
          <w:rFonts w:ascii="Palatino Linotype" w:hAnsi="Palatino Linotype"/>
          <w:iCs/>
          <w:szCs w:val="22"/>
        </w:rPr>
        <w:t xml:space="preserve">London: </w:t>
      </w:r>
      <w:r w:rsidRPr="007F6BC6">
        <w:rPr>
          <w:rFonts w:ascii="Palatino Linotype" w:hAnsi="Palatino Linotype"/>
          <w:szCs w:val="22"/>
        </w:rPr>
        <w:t>Department for Education and Science.</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 xml:space="preserve">Smith, J., </w:t>
      </w:r>
      <w:proofErr w:type="spellStart"/>
      <w:r w:rsidRPr="007F6BC6">
        <w:rPr>
          <w:rFonts w:ascii="Palatino Linotype" w:hAnsi="Palatino Linotype"/>
          <w:szCs w:val="22"/>
        </w:rPr>
        <w:t>Winkley</w:t>
      </w:r>
      <w:proofErr w:type="spellEnd"/>
      <w:r w:rsidRPr="007F6BC6">
        <w:rPr>
          <w:rFonts w:ascii="Palatino Linotype" w:hAnsi="Palatino Linotype"/>
          <w:szCs w:val="22"/>
        </w:rPr>
        <w:t>, J. and Grant, A.</w:t>
      </w:r>
      <w:r w:rsidR="00FB0721">
        <w:rPr>
          <w:rFonts w:ascii="Palatino Linotype" w:hAnsi="Palatino Linotype"/>
          <w:szCs w:val="22"/>
        </w:rPr>
        <w:t xml:space="preserve"> </w:t>
      </w:r>
      <w:r w:rsidRPr="007F6BC6">
        <w:rPr>
          <w:rFonts w:ascii="Palatino Linotype" w:hAnsi="Palatino Linotype"/>
          <w:szCs w:val="22"/>
        </w:rPr>
        <w:t>(2013)</w:t>
      </w:r>
      <w:r w:rsidR="00FB0721">
        <w:rPr>
          <w:rFonts w:ascii="Palatino Linotype" w:hAnsi="Palatino Linotype"/>
          <w:szCs w:val="22"/>
        </w:rPr>
        <w:t xml:space="preserve"> </w:t>
      </w:r>
      <w:proofErr w:type="gramStart"/>
      <w:r w:rsidRPr="007F6BC6">
        <w:rPr>
          <w:rFonts w:ascii="Palatino Linotype" w:hAnsi="Palatino Linotype"/>
          <w:szCs w:val="22"/>
        </w:rPr>
        <w:t>The</w:t>
      </w:r>
      <w:proofErr w:type="gramEnd"/>
      <w:r w:rsidRPr="007F6BC6">
        <w:rPr>
          <w:rFonts w:ascii="Palatino Linotype" w:hAnsi="Palatino Linotype"/>
          <w:szCs w:val="22"/>
        </w:rPr>
        <w:t xml:space="preserve"> independent evaluation of t</w:t>
      </w:r>
      <w:r w:rsidR="00B667BB" w:rsidRPr="007F6BC6">
        <w:rPr>
          <w:rFonts w:ascii="Palatino Linotype" w:hAnsi="Palatino Linotype"/>
          <w:szCs w:val="22"/>
        </w:rPr>
        <w:t>he pilot of the linked-</w:t>
      </w:r>
      <w:r w:rsidRPr="007F6BC6">
        <w:rPr>
          <w:rFonts w:ascii="Palatino Linotype" w:hAnsi="Palatino Linotype"/>
          <w:szCs w:val="22"/>
        </w:rPr>
        <w:t>pair of GCSEs in mathematics (MLP) Fourth interim research brief.</w:t>
      </w:r>
      <w:r w:rsidR="00FB0721">
        <w:rPr>
          <w:rFonts w:ascii="Palatino Linotype" w:hAnsi="Palatino Linotype"/>
          <w:szCs w:val="22"/>
        </w:rPr>
        <w:t xml:space="preserve"> </w:t>
      </w:r>
      <w:r w:rsidRPr="007F6BC6">
        <w:rPr>
          <w:rFonts w:ascii="Palatino Linotype" w:hAnsi="Palatino Linotype"/>
          <w:szCs w:val="22"/>
        </w:rPr>
        <w:t>London: Department for Education</w:t>
      </w:r>
    </w:p>
    <w:p w:rsidR="00934137" w:rsidRPr="007F6BC6" w:rsidRDefault="00934137" w:rsidP="000323CF">
      <w:pPr>
        <w:tabs>
          <w:tab w:val="clear" w:pos="567"/>
          <w:tab w:val="left" w:pos="720"/>
        </w:tabs>
        <w:spacing w:line="240" w:lineRule="auto"/>
        <w:ind w:left="284" w:hanging="284"/>
        <w:jc w:val="both"/>
        <w:rPr>
          <w:rFonts w:ascii="Palatino Linotype" w:hAnsi="Palatino Linotype"/>
          <w:bCs/>
          <w:szCs w:val="22"/>
          <w:lang w:eastAsia="en-GB"/>
        </w:rPr>
      </w:pPr>
      <w:proofErr w:type="gramStart"/>
      <w:r w:rsidRPr="007F6BC6">
        <w:rPr>
          <w:rFonts w:ascii="Palatino Linotype" w:hAnsi="Palatino Linotype"/>
          <w:bCs/>
          <w:szCs w:val="22"/>
          <w:lang w:eastAsia="en-GB"/>
        </w:rPr>
        <w:t>Smith, E.</w:t>
      </w:r>
      <w:r w:rsidR="00FB0721">
        <w:rPr>
          <w:rFonts w:ascii="Palatino Linotype" w:hAnsi="Palatino Linotype"/>
          <w:bCs/>
          <w:szCs w:val="22"/>
          <w:lang w:eastAsia="en-GB"/>
        </w:rPr>
        <w:t xml:space="preserve"> </w:t>
      </w:r>
      <w:r w:rsidRPr="007F6BC6">
        <w:rPr>
          <w:rFonts w:ascii="Palatino Linotype" w:hAnsi="Palatino Linotype"/>
          <w:bCs/>
          <w:szCs w:val="22"/>
          <w:lang w:eastAsia="en-GB"/>
        </w:rPr>
        <w:t>(2011)</w:t>
      </w:r>
      <w:r w:rsidR="00FB0721">
        <w:rPr>
          <w:rFonts w:ascii="Palatino Linotype" w:hAnsi="Palatino Linotype"/>
          <w:bCs/>
          <w:szCs w:val="22"/>
          <w:lang w:eastAsia="en-GB"/>
        </w:rPr>
        <w:t xml:space="preserve"> </w:t>
      </w:r>
      <w:r w:rsidRPr="007F6BC6">
        <w:rPr>
          <w:rFonts w:ascii="Palatino Linotype" w:eastAsia="Calibri" w:hAnsi="Palatino Linotype" w:cs="LinLibertine"/>
          <w:szCs w:val="22"/>
          <w:lang w:eastAsia="en-GB"/>
        </w:rPr>
        <w:t>Staying in the science stream: patterns of participation in A-level science subjects in the UK.</w:t>
      </w:r>
      <w:proofErr w:type="gramEnd"/>
      <w:r w:rsidR="00FB0721">
        <w:rPr>
          <w:rFonts w:ascii="Palatino Linotype" w:eastAsia="Calibri" w:hAnsi="Palatino Linotype" w:cs="LinLibertine"/>
          <w:szCs w:val="22"/>
          <w:lang w:eastAsia="en-GB"/>
        </w:rPr>
        <w:t xml:space="preserve"> </w:t>
      </w:r>
      <w:r w:rsidRPr="007F6BC6">
        <w:rPr>
          <w:rFonts w:ascii="Palatino Linotype" w:eastAsia="Calibri" w:hAnsi="Palatino Linotype" w:cs="LinLibertine"/>
          <w:szCs w:val="22"/>
          <w:lang w:eastAsia="en-GB"/>
        </w:rPr>
        <w:t>Educational Studies, 37 (1), 59-71.</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Smithers, A. and Robinson, P.</w:t>
      </w:r>
      <w:r w:rsidR="00FB0721">
        <w:rPr>
          <w:rFonts w:ascii="Palatino Linotype" w:hAnsi="Palatino Linotype"/>
          <w:szCs w:val="22"/>
        </w:rPr>
        <w:t xml:space="preserve"> </w:t>
      </w:r>
      <w:r w:rsidRPr="007F6BC6">
        <w:rPr>
          <w:rFonts w:ascii="Palatino Linotype" w:hAnsi="Palatino Linotype"/>
          <w:szCs w:val="22"/>
        </w:rPr>
        <w:t>(2007)</w:t>
      </w:r>
      <w:r w:rsidR="00FB0721">
        <w:rPr>
          <w:rFonts w:ascii="Palatino Linotype" w:hAnsi="Palatino Linotype"/>
          <w:szCs w:val="22"/>
        </w:rPr>
        <w:t xml:space="preserve"> </w:t>
      </w:r>
      <w:r w:rsidRPr="007F6BC6">
        <w:rPr>
          <w:rFonts w:ascii="Palatino Linotype" w:hAnsi="Palatino Linotype"/>
          <w:szCs w:val="22"/>
        </w:rPr>
        <w:t>Physics in schools and universities III:</w:t>
      </w:r>
      <w:r w:rsidR="00FB0721">
        <w:rPr>
          <w:rFonts w:ascii="Palatino Linotype" w:hAnsi="Palatino Linotype"/>
          <w:szCs w:val="22"/>
        </w:rPr>
        <w:t xml:space="preserve"> </w:t>
      </w:r>
      <w:r w:rsidRPr="007F6BC6">
        <w:rPr>
          <w:rFonts w:ascii="Palatino Linotype" w:hAnsi="Palatino Linotype"/>
          <w:szCs w:val="22"/>
        </w:rPr>
        <w:t>Bucking the trend.</w:t>
      </w:r>
      <w:r w:rsidR="00FB0721">
        <w:rPr>
          <w:rFonts w:ascii="Palatino Linotype" w:hAnsi="Palatino Linotype"/>
          <w:szCs w:val="22"/>
        </w:rPr>
        <w:t xml:space="preserve"> </w:t>
      </w:r>
      <w:r w:rsidRPr="007F6BC6">
        <w:rPr>
          <w:rFonts w:ascii="Palatino Linotype" w:hAnsi="Palatino Linotype"/>
          <w:szCs w:val="22"/>
        </w:rPr>
        <w:t>Buckingham:</w:t>
      </w:r>
      <w:r w:rsidR="00FB0721">
        <w:rPr>
          <w:rFonts w:ascii="Palatino Linotype" w:hAnsi="Palatino Linotype"/>
          <w:szCs w:val="22"/>
        </w:rPr>
        <w:t xml:space="preserve"> </w:t>
      </w:r>
      <w:r w:rsidRPr="007F6BC6">
        <w:rPr>
          <w:rFonts w:ascii="Palatino Linotype" w:hAnsi="Palatino Linotype"/>
          <w:szCs w:val="22"/>
        </w:rPr>
        <w:t>University of Buckingham.</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Springate</w:t>
      </w:r>
      <w:proofErr w:type="spellEnd"/>
      <w:r w:rsidRPr="007F6BC6">
        <w:rPr>
          <w:rFonts w:ascii="Palatino Linotype" w:hAnsi="Palatino Linotype"/>
          <w:szCs w:val="22"/>
        </w:rPr>
        <w:t xml:space="preserve">, I., Harland, J. and </w:t>
      </w:r>
      <w:proofErr w:type="gramStart"/>
      <w:r w:rsidRPr="007F6BC6">
        <w:rPr>
          <w:rFonts w:ascii="Palatino Linotype" w:hAnsi="Palatino Linotype"/>
          <w:szCs w:val="22"/>
        </w:rPr>
        <w:t>Lord.,</w:t>
      </w:r>
      <w:proofErr w:type="gramEnd"/>
      <w:r w:rsidRPr="007F6BC6">
        <w:rPr>
          <w:rFonts w:ascii="Palatino Linotype" w:hAnsi="Palatino Linotype"/>
          <w:szCs w:val="22"/>
        </w:rPr>
        <w:t xml:space="preserve"> P.</w:t>
      </w:r>
      <w:r w:rsidR="00FB0721">
        <w:rPr>
          <w:rFonts w:ascii="Palatino Linotype" w:hAnsi="Palatino Linotype"/>
          <w:szCs w:val="22"/>
        </w:rPr>
        <w:t xml:space="preserve"> </w:t>
      </w:r>
      <w:r w:rsidRPr="007F6BC6">
        <w:rPr>
          <w:rFonts w:ascii="Palatino Linotype" w:hAnsi="Palatino Linotype"/>
          <w:szCs w:val="22"/>
        </w:rPr>
        <w:t>(2008</w:t>
      </w:r>
      <w:r w:rsidR="00F14D0C" w:rsidRPr="007F6BC6">
        <w:rPr>
          <w:rFonts w:ascii="Palatino Linotype" w:hAnsi="Palatino Linotype"/>
          <w:szCs w:val="22"/>
        </w:rPr>
        <w:t>a</w:t>
      </w:r>
      <w:r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Why choose physics and chemistry?: The influences on physics and chemistry subject choice on BME students.</w:t>
      </w:r>
      <w:r w:rsidR="00FB0721">
        <w:rPr>
          <w:rFonts w:ascii="Palatino Linotype" w:hAnsi="Palatino Linotype"/>
          <w:szCs w:val="22"/>
        </w:rPr>
        <w:t xml:space="preserve"> </w:t>
      </w:r>
      <w:r w:rsidRPr="007F6BC6">
        <w:rPr>
          <w:rFonts w:ascii="Palatino Linotype" w:hAnsi="Palatino Linotype"/>
          <w:szCs w:val="22"/>
        </w:rPr>
        <w:t>London: Institute of Physics and Royal Society of Chemistry.</w:t>
      </w:r>
    </w:p>
    <w:p w:rsidR="00673505" w:rsidRPr="007F6BC6" w:rsidRDefault="00673505" w:rsidP="000323CF">
      <w:pPr>
        <w:tabs>
          <w:tab w:val="clear" w:pos="567"/>
          <w:tab w:val="left" w:pos="720"/>
        </w:tabs>
        <w:spacing w:line="240" w:lineRule="auto"/>
        <w:ind w:left="284" w:hanging="284"/>
        <w:jc w:val="both"/>
        <w:rPr>
          <w:rFonts w:ascii="Palatino Linotype" w:hAnsi="Palatino Linotype"/>
          <w:szCs w:val="22"/>
        </w:rPr>
      </w:pPr>
      <w:proofErr w:type="spellStart"/>
      <w:proofErr w:type="gramStart"/>
      <w:r w:rsidRPr="007F6BC6">
        <w:rPr>
          <w:rFonts w:ascii="Palatino Linotype" w:hAnsi="Palatino Linotype"/>
          <w:szCs w:val="22"/>
        </w:rPr>
        <w:t>Springate</w:t>
      </w:r>
      <w:proofErr w:type="spellEnd"/>
      <w:r w:rsidRPr="007F6BC6">
        <w:rPr>
          <w:rFonts w:ascii="Palatino Linotype" w:hAnsi="Palatino Linotype"/>
          <w:szCs w:val="22"/>
        </w:rPr>
        <w:t>,</w:t>
      </w:r>
      <w:proofErr w:type="gramEnd"/>
      <w:r w:rsidRPr="007F6BC6">
        <w:rPr>
          <w:rFonts w:ascii="Palatino Linotype" w:hAnsi="Palatino Linotype"/>
          <w:szCs w:val="22"/>
        </w:rPr>
        <w:t xml:space="preserve"> I. Harland, J., Lord, P. and </w:t>
      </w:r>
      <w:proofErr w:type="spellStart"/>
      <w:r w:rsidRPr="007F6BC6">
        <w:rPr>
          <w:rFonts w:ascii="Palatino Linotype" w:hAnsi="Palatino Linotype"/>
          <w:szCs w:val="22"/>
        </w:rPr>
        <w:t>Wilkin</w:t>
      </w:r>
      <w:proofErr w:type="spellEnd"/>
      <w:r w:rsidRPr="007F6BC6">
        <w:rPr>
          <w:rFonts w:ascii="Palatino Linotype" w:hAnsi="Palatino Linotype"/>
          <w:szCs w:val="22"/>
        </w:rPr>
        <w:t>, A.</w:t>
      </w:r>
      <w:r w:rsidR="00FB0721">
        <w:rPr>
          <w:rFonts w:ascii="Palatino Linotype" w:hAnsi="Palatino Linotype"/>
          <w:szCs w:val="22"/>
        </w:rPr>
        <w:t xml:space="preserve"> </w:t>
      </w:r>
      <w:r w:rsidRPr="007F6BC6">
        <w:rPr>
          <w:rFonts w:ascii="Palatino Linotype" w:hAnsi="Palatino Linotype"/>
          <w:szCs w:val="22"/>
        </w:rPr>
        <w:t>(2008</w:t>
      </w:r>
      <w:r w:rsidR="00F14D0C" w:rsidRPr="007F6BC6">
        <w:rPr>
          <w:rFonts w:ascii="Palatino Linotype" w:hAnsi="Palatino Linotype"/>
          <w:szCs w:val="22"/>
        </w:rPr>
        <w:t>b</w:t>
      </w:r>
      <w:r w:rsidRPr="007F6BC6">
        <w:rPr>
          <w:rFonts w:ascii="Palatino Linotype" w:hAnsi="Palatino Linotype"/>
          <w:szCs w:val="22"/>
        </w:rPr>
        <w:t>)</w:t>
      </w:r>
      <w:r w:rsidR="00FB0721">
        <w:rPr>
          <w:rFonts w:ascii="Palatino Linotype" w:hAnsi="Palatino Linotype"/>
          <w:szCs w:val="22"/>
        </w:rPr>
        <w:t xml:space="preserve"> </w:t>
      </w:r>
      <w:r w:rsidRPr="007F6BC6">
        <w:rPr>
          <w:rFonts w:ascii="Palatino Linotype" w:hAnsi="Palatino Linotype"/>
          <w:szCs w:val="22"/>
        </w:rPr>
        <w:t>The factors affecting A-level and undergraduate subject choice in physics and chemistry by ethnic group.</w:t>
      </w:r>
      <w:r w:rsidR="00FB0721">
        <w:rPr>
          <w:rFonts w:ascii="Palatino Linotype" w:hAnsi="Palatino Linotype"/>
          <w:szCs w:val="22"/>
        </w:rPr>
        <w:t xml:space="preserve"> </w:t>
      </w:r>
      <w:r w:rsidRPr="007F6BC6">
        <w:rPr>
          <w:rFonts w:ascii="Palatino Linotype" w:hAnsi="Palatino Linotype"/>
          <w:szCs w:val="22"/>
        </w:rPr>
        <w:t>Slough: National Foundation for Educational Research (NFER).</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proofErr w:type="gramStart"/>
      <w:r w:rsidRPr="007F6BC6">
        <w:rPr>
          <w:rFonts w:ascii="Palatino Linotype" w:hAnsi="Palatino Linotype"/>
          <w:szCs w:val="22"/>
        </w:rPr>
        <w:t>Stokking</w:t>
      </w:r>
      <w:proofErr w:type="spellEnd"/>
      <w:r w:rsidRPr="007F6BC6">
        <w:rPr>
          <w:rFonts w:ascii="Palatino Linotype" w:hAnsi="Palatino Linotype"/>
          <w:szCs w:val="22"/>
        </w:rPr>
        <w:t>, K.</w:t>
      </w:r>
      <w:r w:rsidR="00FB0721">
        <w:rPr>
          <w:rFonts w:ascii="Palatino Linotype" w:hAnsi="Palatino Linotype"/>
          <w:szCs w:val="22"/>
        </w:rPr>
        <w:t xml:space="preserve"> </w:t>
      </w:r>
      <w:r w:rsidRPr="007F6BC6">
        <w:rPr>
          <w:rFonts w:ascii="Palatino Linotype" w:hAnsi="Palatino Linotype"/>
          <w:szCs w:val="22"/>
        </w:rPr>
        <w:t>(2000)</w:t>
      </w:r>
      <w:r w:rsidR="00FB0721">
        <w:rPr>
          <w:rFonts w:ascii="Palatino Linotype" w:hAnsi="Palatino Linotype"/>
          <w:szCs w:val="22"/>
        </w:rPr>
        <w:t xml:space="preserve"> </w:t>
      </w:r>
      <w:r w:rsidRPr="007F6BC6">
        <w:rPr>
          <w:rFonts w:ascii="Palatino Linotype" w:hAnsi="Palatino Linotype"/>
          <w:szCs w:val="22"/>
        </w:rPr>
        <w:t>Predicting the choice of physics in secondary education.</w:t>
      </w:r>
      <w:proofErr w:type="gramEnd"/>
      <w:r w:rsidRPr="007F6BC6">
        <w:rPr>
          <w:rFonts w:ascii="Palatino Linotype" w:hAnsi="Palatino Linotype"/>
          <w:szCs w:val="22"/>
        </w:rPr>
        <w:t xml:space="preserve"> International Journal of Science Education, 22 (12), 1261-83.</w:t>
      </w:r>
    </w:p>
    <w:p w:rsidR="00DF6946" w:rsidRPr="007F6BC6" w:rsidRDefault="00DF6946"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Straw, S and Macleod, S.</w:t>
      </w:r>
      <w:r w:rsidR="00FB0721">
        <w:rPr>
          <w:rFonts w:ascii="Palatino Linotype" w:hAnsi="Palatino Linotype"/>
          <w:szCs w:val="22"/>
        </w:rPr>
        <w:t xml:space="preserve"> </w:t>
      </w:r>
      <w:r w:rsidRPr="007F6BC6">
        <w:rPr>
          <w:rFonts w:ascii="Palatino Linotype" w:hAnsi="Palatino Linotype"/>
          <w:szCs w:val="22"/>
        </w:rPr>
        <w:t>(2013) NFER Thinks: Improving young people’s engagement with science, technology, engineering and mathematics (STEM).</w:t>
      </w:r>
      <w:r w:rsidR="00FB0721">
        <w:rPr>
          <w:rFonts w:ascii="Palatino Linotype" w:hAnsi="Palatino Linotype"/>
          <w:szCs w:val="22"/>
        </w:rPr>
        <w:t xml:space="preserve"> </w:t>
      </w:r>
      <w:r w:rsidRPr="007F6BC6">
        <w:rPr>
          <w:rFonts w:ascii="Palatino Linotype" w:hAnsi="Palatino Linotype"/>
          <w:szCs w:val="22"/>
        </w:rPr>
        <w:t>Slough: National Foundation for Educational Research (NFER).</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The Royal Society.</w:t>
      </w:r>
      <w:proofErr w:type="gramEnd"/>
      <w:r w:rsidR="00FB0721">
        <w:rPr>
          <w:rFonts w:ascii="Palatino Linotype" w:hAnsi="Palatino Linotype"/>
          <w:szCs w:val="22"/>
        </w:rPr>
        <w:t xml:space="preserve"> </w:t>
      </w:r>
      <w:r w:rsidRPr="007F6BC6">
        <w:rPr>
          <w:rFonts w:ascii="Palatino Linotype" w:hAnsi="Palatino Linotype"/>
          <w:szCs w:val="22"/>
        </w:rPr>
        <w:t>(2008)</w:t>
      </w:r>
      <w:r w:rsidR="00FB0721">
        <w:rPr>
          <w:rFonts w:ascii="Palatino Linotype" w:hAnsi="Palatino Linotype"/>
          <w:szCs w:val="22"/>
        </w:rPr>
        <w:t xml:space="preserve"> </w:t>
      </w:r>
      <w:r w:rsidRPr="007F6BC6">
        <w:rPr>
          <w:rFonts w:ascii="Palatino Linotype" w:hAnsi="Palatino Linotype"/>
          <w:szCs w:val="22"/>
        </w:rPr>
        <w:t>Science and Mathematics Education, 14-19.</w:t>
      </w:r>
      <w:r w:rsidR="00FB0721">
        <w:rPr>
          <w:rFonts w:ascii="Palatino Linotype" w:hAnsi="Palatino Linotype"/>
          <w:szCs w:val="22"/>
        </w:rPr>
        <w:t xml:space="preserve"> </w:t>
      </w:r>
      <w:proofErr w:type="gramStart"/>
      <w:r w:rsidRPr="007F6BC6">
        <w:rPr>
          <w:rFonts w:ascii="Palatino Linotype" w:hAnsi="Palatino Linotype"/>
          <w:szCs w:val="22"/>
        </w:rPr>
        <w:t>A State of the Nation Report.</w:t>
      </w:r>
      <w:proofErr w:type="gramEnd"/>
      <w:r w:rsidRPr="007F6BC6">
        <w:rPr>
          <w:rFonts w:ascii="Palatino Linotype" w:hAnsi="Palatino Linotype"/>
          <w:szCs w:val="22"/>
        </w:rPr>
        <w:t xml:space="preserve"> London:</w:t>
      </w:r>
      <w:r w:rsidR="00FB0721">
        <w:rPr>
          <w:rFonts w:ascii="Palatino Linotype" w:hAnsi="Palatino Linotype"/>
          <w:szCs w:val="22"/>
        </w:rPr>
        <w:t xml:space="preserve"> </w:t>
      </w:r>
      <w:r w:rsidRPr="007F6BC6">
        <w:rPr>
          <w:rFonts w:ascii="Palatino Linotype" w:hAnsi="Palatino Linotype"/>
          <w:szCs w:val="22"/>
        </w:rPr>
        <w:t>The Royal Society.</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Taconis ,</w:t>
      </w:r>
      <w:proofErr w:type="gramEnd"/>
      <w:r w:rsidRPr="007F6BC6">
        <w:rPr>
          <w:rFonts w:ascii="Palatino Linotype" w:hAnsi="Palatino Linotype"/>
          <w:szCs w:val="22"/>
        </w:rPr>
        <w:t xml:space="preserve"> R. and Kessels, U.</w:t>
      </w:r>
      <w:r w:rsidR="00FB0721">
        <w:rPr>
          <w:rFonts w:ascii="Palatino Linotype" w:hAnsi="Palatino Linotype"/>
          <w:szCs w:val="22"/>
        </w:rPr>
        <w:t xml:space="preserve"> </w:t>
      </w:r>
      <w:r w:rsidRPr="007F6BC6">
        <w:rPr>
          <w:rFonts w:ascii="Palatino Linotype" w:hAnsi="Palatino Linotype"/>
          <w:szCs w:val="22"/>
        </w:rPr>
        <w:t>(2009)</w:t>
      </w:r>
      <w:r w:rsidR="00FB0721">
        <w:rPr>
          <w:rFonts w:ascii="Palatino Linotype" w:hAnsi="Palatino Linotype"/>
          <w:szCs w:val="22"/>
        </w:rPr>
        <w:t xml:space="preserve"> </w:t>
      </w:r>
      <w:r w:rsidRPr="007F6BC6">
        <w:rPr>
          <w:rFonts w:ascii="Palatino Linotype" w:hAnsi="Palatino Linotype"/>
          <w:szCs w:val="22"/>
        </w:rPr>
        <w:t>How choosing science depends on students’ individual fit to ‘science culture’.</w:t>
      </w:r>
      <w:r w:rsidR="00FB0721">
        <w:rPr>
          <w:rFonts w:ascii="Palatino Linotype" w:hAnsi="Palatino Linotype"/>
          <w:szCs w:val="22"/>
        </w:rPr>
        <w:t xml:space="preserve"> </w:t>
      </w:r>
      <w:r w:rsidRPr="007F6BC6">
        <w:rPr>
          <w:rFonts w:ascii="Palatino Linotype" w:hAnsi="Palatino Linotype"/>
          <w:szCs w:val="22"/>
        </w:rPr>
        <w:t>International Journal of Science Education, 31 (8), 1115-1132.</w:t>
      </w:r>
    </w:p>
    <w:p w:rsidR="00934137" w:rsidRPr="007F6BC6" w:rsidRDefault="00934137" w:rsidP="000323CF">
      <w:pPr>
        <w:tabs>
          <w:tab w:val="clear" w:pos="567"/>
          <w:tab w:val="left" w:pos="720"/>
        </w:tabs>
        <w:spacing w:line="240" w:lineRule="auto"/>
        <w:ind w:left="284" w:hanging="284"/>
        <w:jc w:val="both"/>
        <w:rPr>
          <w:rFonts w:ascii="Palatino Linotype" w:hAnsi="Palatino Linotype"/>
          <w:iCs/>
          <w:szCs w:val="22"/>
          <w:lang w:val="en-US"/>
        </w:rPr>
      </w:pPr>
      <w:r w:rsidRPr="007F6BC6">
        <w:rPr>
          <w:rFonts w:ascii="Palatino Linotype" w:hAnsi="Palatino Linotype"/>
          <w:szCs w:val="22"/>
          <w:lang w:val="en-US"/>
        </w:rPr>
        <w:t>Teixeira, T. and Burch, A</w:t>
      </w:r>
      <w:r w:rsidR="00245503" w:rsidRPr="007F6BC6">
        <w:rPr>
          <w:rFonts w:ascii="Palatino Linotype" w:hAnsi="Palatino Linotype"/>
          <w:szCs w:val="22"/>
          <w:lang w:val="en-US"/>
        </w:rPr>
        <w:t>.</w:t>
      </w:r>
      <w:r w:rsidR="00FB0721">
        <w:rPr>
          <w:rFonts w:ascii="Palatino Linotype" w:hAnsi="Palatino Linotype"/>
          <w:szCs w:val="22"/>
          <w:lang w:val="en-US"/>
        </w:rPr>
        <w:t xml:space="preserve"> </w:t>
      </w:r>
      <w:r w:rsidR="00245503" w:rsidRPr="007F6BC6">
        <w:rPr>
          <w:rFonts w:ascii="Palatino Linotype" w:hAnsi="Palatino Linotype"/>
          <w:szCs w:val="22"/>
          <w:lang w:val="en-US"/>
        </w:rPr>
        <w:t>(</w:t>
      </w:r>
      <w:r w:rsidRPr="007F6BC6">
        <w:rPr>
          <w:rFonts w:ascii="Palatino Linotype" w:hAnsi="Palatino Linotype"/>
          <w:szCs w:val="22"/>
          <w:lang w:val="en-US"/>
        </w:rPr>
        <w:t>2007)</w:t>
      </w:r>
      <w:r w:rsidR="00FB0721">
        <w:rPr>
          <w:rFonts w:ascii="Palatino Linotype" w:hAnsi="Palatino Linotype"/>
          <w:szCs w:val="22"/>
          <w:lang w:val="en-US"/>
        </w:rPr>
        <w:t xml:space="preserve"> </w:t>
      </w:r>
      <w:proofErr w:type="gramStart"/>
      <w:r w:rsidRPr="007F6BC6">
        <w:rPr>
          <w:rFonts w:ascii="Palatino Linotype" w:hAnsi="Palatino Linotype"/>
          <w:iCs/>
          <w:szCs w:val="22"/>
          <w:lang w:val="en-US"/>
        </w:rPr>
        <w:t>The</w:t>
      </w:r>
      <w:proofErr w:type="gramEnd"/>
      <w:r w:rsidRPr="007F6BC6">
        <w:rPr>
          <w:rFonts w:ascii="Palatino Linotype" w:hAnsi="Palatino Linotype"/>
          <w:iCs/>
          <w:szCs w:val="22"/>
          <w:lang w:val="en-US"/>
        </w:rPr>
        <w:t xml:space="preserve"> summative evaluation of ‘Launchpad’.</w:t>
      </w:r>
      <w:r w:rsidR="00FB0721">
        <w:rPr>
          <w:rFonts w:ascii="Palatino Linotype" w:hAnsi="Palatino Linotype"/>
          <w:iCs/>
          <w:szCs w:val="22"/>
          <w:lang w:val="en-US"/>
        </w:rPr>
        <w:t xml:space="preserve"> </w:t>
      </w:r>
      <w:r w:rsidRPr="007F6BC6">
        <w:rPr>
          <w:rFonts w:ascii="Palatino Linotype" w:hAnsi="Palatino Linotype"/>
          <w:iCs/>
          <w:szCs w:val="22"/>
          <w:lang w:val="en-US"/>
        </w:rPr>
        <w:t xml:space="preserve">Audience Research and Advocacy Group: Learning </w:t>
      </w:r>
      <w:r w:rsidRPr="007F6BC6">
        <w:rPr>
          <w:rFonts w:ascii="Palatino Linotype" w:hAnsi="Palatino Linotype"/>
          <w:szCs w:val="22"/>
          <w:lang w:val="en-US"/>
        </w:rPr>
        <w:t>London: Science Museum</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r w:rsidRPr="007F6BC6">
        <w:rPr>
          <w:rFonts w:ascii="Palatino Linotype" w:hAnsi="Palatino Linotype"/>
          <w:szCs w:val="22"/>
        </w:rPr>
        <w:t>Tripney</w:t>
      </w:r>
      <w:proofErr w:type="spellEnd"/>
      <w:r w:rsidRPr="007F6BC6">
        <w:rPr>
          <w:rFonts w:ascii="Palatino Linotype" w:hAnsi="Palatino Linotype"/>
          <w:szCs w:val="22"/>
        </w:rPr>
        <w:t xml:space="preserve">, J., Newman, M., </w:t>
      </w:r>
      <w:proofErr w:type="spellStart"/>
      <w:r w:rsidRPr="007F6BC6">
        <w:rPr>
          <w:rFonts w:ascii="Palatino Linotype" w:hAnsi="Palatino Linotype"/>
          <w:szCs w:val="22"/>
        </w:rPr>
        <w:t>Bangpan</w:t>
      </w:r>
      <w:proofErr w:type="spellEnd"/>
      <w:r w:rsidRPr="007F6BC6">
        <w:rPr>
          <w:rFonts w:ascii="Palatino Linotype" w:hAnsi="Palatino Linotype"/>
          <w:szCs w:val="22"/>
        </w:rPr>
        <w:t xml:space="preserve">, M., </w:t>
      </w:r>
      <w:proofErr w:type="spellStart"/>
      <w:r w:rsidRPr="007F6BC6">
        <w:rPr>
          <w:rFonts w:ascii="Palatino Linotype" w:hAnsi="Palatino Linotype"/>
          <w:szCs w:val="22"/>
        </w:rPr>
        <w:t>Niza</w:t>
      </w:r>
      <w:proofErr w:type="spellEnd"/>
      <w:r w:rsidRPr="007F6BC6">
        <w:rPr>
          <w:rFonts w:ascii="Palatino Linotype" w:hAnsi="Palatino Linotype"/>
          <w:szCs w:val="22"/>
        </w:rPr>
        <w:t xml:space="preserve">, C., </w:t>
      </w:r>
      <w:proofErr w:type="spellStart"/>
      <w:r w:rsidRPr="007F6BC6">
        <w:rPr>
          <w:rFonts w:ascii="Palatino Linotype" w:hAnsi="Palatino Linotype"/>
          <w:szCs w:val="22"/>
        </w:rPr>
        <w:t>MacKintosh</w:t>
      </w:r>
      <w:proofErr w:type="spellEnd"/>
      <w:r w:rsidRPr="007F6BC6">
        <w:rPr>
          <w:rFonts w:ascii="Palatino Linotype" w:hAnsi="Palatino Linotype"/>
          <w:szCs w:val="22"/>
        </w:rPr>
        <w:t>, M. and Sinclair, J.</w:t>
      </w:r>
      <w:r w:rsidR="00FB0721">
        <w:rPr>
          <w:rFonts w:ascii="Palatino Linotype" w:hAnsi="Palatino Linotype"/>
          <w:szCs w:val="22"/>
        </w:rPr>
        <w:t xml:space="preserve"> </w:t>
      </w:r>
      <w:r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szCs w:val="22"/>
        </w:rPr>
        <w:t>Factors influencing young people (aged 14-19) in Education about STEM subject choices: A systematic review of the UK literature.</w:t>
      </w:r>
      <w:r w:rsidR="00FB0721">
        <w:rPr>
          <w:rFonts w:ascii="Palatino Linotype" w:hAnsi="Palatino Linotype"/>
          <w:szCs w:val="22"/>
        </w:rPr>
        <w:t xml:space="preserve"> </w:t>
      </w:r>
      <w:r w:rsidRPr="007F6BC6">
        <w:rPr>
          <w:rFonts w:ascii="Palatino Linotype" w:hAnsi="Palatino Linotype"/>
          <w:szCs w:val="22"/>
        </w:rPr>
        <w:t>Report commissioned by the Wellcome Trust.</w:t>
      </w:r>
      <w:r w:rsidR="00FB0721">
        <w:rPr>
          <w:rFonts w:ascii="Palatino Linotype" w:hAnsi="Palatino Linotype"/>
          <w:szCs w:val="22"/>
        </w:rPr>
        <w:t xml:space="preserve"> </w:t>
      </w:r>
      <w:r w:rsidRPr="007F6BC6">
        <w:rPr>
          <w:rFonts w:ascii="Palatino Linotype" w:hAnsi="Palatino Linotype"/>
          <w:szCs w:val="22"/>
        </w:rPr>
        <w:t>London: University of London Institute of Education.</w:t>
      </w:r>
    </w:p>
    <w:p w:rsidR="00934137" w:rsidRPr="007F6BC6" w:rsidRDefault="00DE23EC"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lastRenderedPageBreak/>
        <w:t xml:space="preserve">Tsai, C-C., </w:t>
      </w:r>
      <w:proofErr w:type="spellStart"/>
      <w:r w:rsidRPr="007F6BC6">
        <w:rPr>
          <w:rFonts w:ascii="Palatino Linotype" w:hAnsi="Palatino Linotype"/>
          <w:szCs w:val="22"/>
        </w:rPr>
        <w:t>Ho</w:t>
      </w:r>
      <w:proofErr w:type="spellEnd"/>
      <w:r w:rsidRPr="007F6BC6">
        <w:rPr>
          <w:rFonts w:ascii="Palatino Linotype" w:hAnsi="Palatino Linotype"/>
          <w:szCs w:val="22"/>
        </w:rPr>
        <w:t>, H., Liang, J-C.</w:t>
      </w:r>
      <w:proofErr w:type="gramEnd"/>
      <w:r w:rsidRPr="007F6BC6">
        <w:rPr>
          <w:rFonts w:ascii="Palatino Linotype" w:hAnsi="Palatino Linotype"/>
          <w:szCs w:val="22"/>
        </w:rPr>
        <w:t xml:space="preserve"> </w:t>
      </w:r>
      <w:proofErr w:type="gramStart"/>
      <w:r w:rsidR="00934137" w:rsidRPr="007F6BC6">
        <w:rPr>
          <w:rFonts w:ascii="Palatino Linotype" w:hAnsi="Palatino Linotype"/>
          <w:szCs w:val="22"/>
        </w:rPr>
        <w:t>and</w:t>
      </w:r>
      <w:proofErr w:type="gramEnd"/>
      <w:r w:rsidR="00934137" w:rsidRPr="007F6BC6">
        <w:rPr>
          <w:rFonts w:ascii="Palatino Linotype" w:hAnsi="Palatino Linotype"/>
          <w:szCs w:val="22"/>
        </w:rPr>
        <w:t xml:space="preserve"> Lin, H-M (2011)</w:t>
      </w:r>
      <w:r w:rsidR="00FB0721">
        <w:rPr>
          <w:rFonts w:ascii="Palatino Linotype" w:hAnsi="Palatino Linotype"/>
          <w:szCs w:val="22"/>
        </w:rPr>
        <w:t xml:space="preserve"> </w:t>
      </w:r>
      <w:r w:rsidR="00934137" w:rsidRPr="007F6BC6">
        <w:rPr>
          <w:rFonts w:ascii="Palatino Linotype" w:hAnsi="Palatino Linotype"/>
          <w:szCs w:val="22"/>
        </w:rPr>
        <w:t>Scientific epistemic beliefs, conceptions of learning and self-efficacy of earning science amongst high school students.</w:t>
      </w:r>
      <w:r w:rsidR="00FB0721">
        <w:rPr>
          <w:rFonts w:ascii="Palatino Linotype" w:hAnsi="Palatino Linotype"/>
          <w:szCs w:val="22"/>
        </w:rPr>
        <w:t xml:space="preserve"> </w:t>
      </w:r>
      <w:r w:rsidR="00934137" w:rsidRPr="007F6BC6">
        <w:rPr>
          <w:rFonts w:ascii="Palatino Linotype" w:hAnsi="Palatino Linotype"/>
          <w:szCs w:val="22"/>
        </w:rPr>
        <w:t>Learning and Instruction, 21</w:t>
      </w:r>
      <w:r w:rsidR="00FB0721">
        <w:rPr>
          <w:rFonts w:ascii="Palatino Linotype" w:hAnsi="Palatino Linotype"/>
          <w:szCs w:val="22"/>
        </w:rPr>
        <w:t xml:space="preserve"> </w:t>
      </w:r>
      <w:r w:rsidR="00934137" w:rsidRPr="007F6BC6">
        <w:rPr>
          <w:rFonts w:ascii="Palatino Linotype" w:hAnsi="Palatino Linotype"/>
          <w:szCs w:val="22"/>
        </w:rPr>
        <w:t>757-769</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Van Langen, A. and Dekker, H</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2005)</w:t>
      </w:r>
      <w:r w:rsidR="00FB0721">
        <w:rPr>
          <w:rFonts w:ascii="Palatino Linotype" w:hAnsi="Palatino Linotype"/>
          <w:szCs w:val="22"/>
        </w:rPr>
        <w:t xml:space="preserve"> </w:t>
      </w:r>
      <w:r w:rsidRPr="007F6BC6">
        <w:rPr>
          <w:rFonts w:ascii="Palatino Linotype" w:hAnsi="Palatino Linotype"/>
          <w:szCs w:val="22"/>
        </w:rPr>
        <w:t>Cross-national differences in participation in tertiary science, technology, engineering and mathematics education.</w:t>
      </w:r>
      <w:proofErr w:type="gramEnd"/>
      <w:r w:rsidRPr="007F6BC6">
        <w:rPr>
          <w:rFonts w:ascii="Palatino Linotype" w:hAnsi="Palatino Linotype"/>
          <w:szCs w:val="22"/>
        </w:rPr>
        <w:t xml:space="preserve"> </w:t>
      </w:r>
      <w:proofErr w:type="gramStart"/>
      <w:r w:rsidRPr="007F6BC6">
        <w:rPr>
          <w:rFonts w:ascii="Palatino Linotype" w:hAnsi="Palatino Linotype"/>
          <w:szCs w:val="22"/>
        </w:rPr>
        <w:t>Comparative Education, 41, 329-50.</w:t>
      </w:r>
      <w:proofErr w:type="gramEnd"/>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Vidal Rodeiro, C</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2007)</w:t>
      </w:r>
      <w:r w:rsidR="00FB0721">
        <w:rPr>
          <w:rFonts w:ascii="Palatino Linotype" w:hAnsi="Palatino Linotype"/>
          <w:szCs w:val="22"/>
        </w:rPr>
        <w:t xml:space="preserve"> </w:t>
      </w:r>
      <w:r w:rsidRPr="007F6BC6">
        <w:rPr>
          <w:rFonts w:ascii="Palatino Linotype" w:hAnsi="Palatino Linotype"/>
          <w:szCs w:val="22"/>
        </w:rPr>
        <w:t>A-level subject choice in England: patterns of uptake and factors affecting subject preferences. Cambridge: Cambridge Assessment.</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spellStart"/>
      <w:proofErr w:type="gramStart"/>
      <w:r w:rsidRPr="007F6BC6">
        <w:rPr>
          <w:rFonts w:ascii="Palatino Linotype" w:hAnsi="Palatino Linotype"/>
          <w:szCs w:val="22"/>
        </w:rPr>
        <w:t>Walport</w:t>
      </w:r>
      <w:proofErr w:type="spellEnd"/>
      <w:r w:rsidRPr="007F6BC6">
        <w:rPr>
          <w:rFonts w:ascii="Palatino Linotype" w:hAnsi="Palatino Linotype"/>
          <w:szCs w:val="22"/>
        </w:rPr>
        <w:t>, M</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szCs w:val="22"/>
        </w:rPr>
        <w:t>Science and Mathematics Education for the 21</w:t>
      </w:r>
      <w:r w:rsidRPr="007F6BC6">
        <w:rPr>
          <w:rFonts w:ascii="Palatino Linotype" w:hAnsi="Palatino Linotype"/>
          <w:szCs w:val="22"/>
          <w:vertAlign w:val="superscript"/>
        </w:rPr>
        <w:t>st</w:t>
      </w:r>
      <w:r w:rsidRPr="007F6BC6">
        <w:rPr>
          <w:rFonts w:ascii="Palatino Linotype" w:hAnsi="Palatino Linotype"/>
          <w:szCs w:val="22"/>
        </w:rPr>
        <w:t xml:space="preserve"> Century: Report of the Science Learning Expert Group.</w:t>
      </w:r>
      <w:proofErr w:type="gramEnd"/>
      <w:r w:rsidR="00FB0721">
        <w:rPr>
          <w:rFonts w:ascii="Palatino Linotype" w:hAnsi="Palatino Linotype"/>
          <w:szCs w:val="22"/>
        </w:rPr>
        <w:t xml:space="preserve"> </w:t>
      </w:r>
      <w:r w:rsidRPr="007F6BC6">
        <w:rPr>
          <w:rFonts w:ascii="Palatino Linotype" w:hAnsi="Palatino Linotype"/>
          <w:szCs w:val="22"/>
        </w:rPr>
        <w:t>London: Department for Business, Innovation and Skills.</w:t>
      </w:r>
    </w:p>
    <w:p w:rsidR="00FA649B" w:rsidRPr="007F6BC6" w:rsidRDefault="00FA649B"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Wang, M-T.</w:t>
      </w:r>
      <w:proofErr w:type="gramEnd"/>
      <w:r w:rsidR="00FB0721">
        <w:rPr>
          <w:rFonts w:ascii="Palatino Linotype" w:hAnsi="Palatino Linotype"/>
          <w:szCs w:val="22"/>
        </w:rPr>
        <w:t xml:space="preserve"> </w:t>
      </w:r>
      <w:r w:rsidRPr="007F6BC6">
        <w:rPr>
          <w:rFonts w:ascii="Palatino Linotype" w:hAnsi="Palatino Linotype"/>
          <w:szCs w:val="22"/>
        </w:rPr>
        <w:t>(2012) Educational and career interests in math: a longitudinal examination of the links between classroom environment, motivational beliefs, and interests.</w:t>
      </w:r>
      <w:r w:rsidR="00FB0721">
        <w:rPr>
          <w:rFonts w:ascii="Palatino Linotype" w:hAnsi="Palatino Linotype"/>
          <w:szCs w:val="22"/>
        </w:rPr>
        <w:t xml:space="preserve"> </w:t>
      </w:r>
      <w:proofErr w:type="gramStart"/>
      <w:r w:rsidRPr="007F6BC6">
        <w:rPr>
          <w:rFonts w:ascii="Palatino Linotype" w:hAnsi="Palatino Linotype"/>
          <w:szCs w:val="22"/>
        </w:rPr>
        <w:t>Developmental psychology, 48 (6), 1643-1657.</w:t>
      </w:r>
      <w:proofErr w:type="gramEnd"/>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r w:rsidRPr="007F6BC6">
        <w:rPr>
          <w:rFonts w:ascii="Palatino Linotype" w:hAnsi="Palatino Linotype"/>
          <w:szCs w:val="22"/>
        </w:rPr>
        <w:t>Wellcome Trust</w:t>
      </w:r>
      <w:r w:rsidR="00FB0721">
        <w:rPr>
          <w:rFonts w:ascii="Palatino Linotype" w:hAnsi="Palatino Linotype"/>
          <w:szCs w:val="22"/>
        </w:rPr>
        <w:t xml:space="preserve"> </w:t>
      </w:r>
      <w:r w:rsidRPr="007F6BC6">
        <w:rPr>
          <w:rFonts w:ascii="Palatino Linotype" w:hAnsi="Palatino Linotype"/>
          <w:szCs w:val="22"/>
        </w:rPr>
        <w:t>(2012)</w:t>
      </w:r>
      <w:r w:rsidR="00FB0721">
        <w:rPr>
          <w:rFonts w:ascii="Palatino Linotype" w:hAnsi="Palatino Linotype"/>
          <w:szCs w:val="22"/>
        </w:rPr>
        <w:t xml:space="preserve"> </w:t>
      </w:r>
      <w:r w:rsidRPr="007F6BC6">
        <w:rPr>
          <w:rFonts w:ascii="Palatino Linotype" w:hAnsi="Palatino Linotype"/>
          <w:szCs w:val="22"/>
        </w:rPr>
        <w:t>Review of Informal Science Learning, London: Wellcome Trust.</w:t>
      </w:r>
    </w:p>
    <w:p w:rsidR="00934137"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Williams, T</w:t>
      </w:r>
      <w:r w:rsidR="00245503" w:rsidRPr="007F6BC6">
        <w:rPr>
          <w:rFonts w:ascii="Palatino Linotype" w:hAnsi="Palatino Linotype"/>
          <w:szCs w:val="22"/>
        </w:rPr>
        <w:t>.</w:t>
      </w:r>
      <w:r w:rsidRPr="007F6BC6">
        <w:rPr>
          <w:rFonts w:ascii="Palatino Linotype" w:hAnsi="Palatino Linotype"/>
          <w:szCs w:val="22"/>
        </w:rPr>
        <w:t xml:space="preserve"> and Williams, K.</w:t>
      </w:r>
      <w:r w:rsidR="00FB0721">
        <w:rPr>
          <w:rFonts w:ascii="Palatino Linotype" w:hAnsi="Palatino Linotype"/>
          <w:szCs w:val="22"/>
        </w:rPr>
        <w:t xml:space="preserve"> </w:t>
      </w:r>
      <w:r w:rsidRPr="007F6BC6">
        <w:rPr>
          <w:rFonts w:ascii="Palatino Linotype" w:hAnsi="Palatino Linotype"/>
          <w:szCs w:val="22"/>
        </w:rPr>
        <w:t>(2010)</w:t>
      </w:r>
      <w:r w:rsidR="00FB0721">
        <w:rPr>
          <w:rFonts w:ascii="Palatino Linotype" w:hAnsi="Palatino Linotype"/>
          <w:szCs w:val="22"/>
        </w:rPr>
        <w:t xml:space="preserve"> </w:t>
      </w:r>
      <w:r w:rsidRPr="007F6BC6">
        <w:rPr>
          <w:rFonts w:ascii="Palatino Linotype" w:hAnsi="Palatino Linotype"/>
          <w:szCs w:val="22"/>
        </w:rPr>
        <w:t>Self-efficacy and performance in mathematics: reciprocal determinism in 33 nations.</w:t>
      </w:r>
      <w:proofErr w:type="gramEnd"/>
      <w:r w:rsidR="00FB0721">
        <w:rPr>
          <w:rFonts w:ascii="Palatino Linotype" w:hAnsi="Palatino Linotype"/>
          <w:szCs w:val="22"/>
        </w:rPr>
        <w:t xml:space="preserve"> </w:t>
      </w:r>
      <w:r w:rsidRPr="007F6BC6">
        <w:rPr>
          <w:rFonts w:ascii="Palatino Linotype" w:hAnsi="Palatino Linotype"/>
          <w:szCs w:val="22"/>
        </w:rPr>
        <w:t>Journal of Educational Psychology, 101 (2), 453-466.</w:t>
      </w:r>
    </w:p>
    <w:p w:rsidR="00FA649B" w:rsidRPr="007F6BC6" w:rsidRDefault="00FA649B"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Winner, E., Goldstein, T. and Vincent-</w:t>
      </w:r>
      <w:proofErr w:type="spellStart"/>
      <w:r w:rsidRPr="007F6BC6">
        <w:rPr>
          <w:rFonts w:ascii="Palatino Linotype" w:hAnsi="Palatino Linotype"/>
          <w:szCs w:val="22"/>
        </w:rPr>
        <w:t>Lancrin</w:t>
      </w:r>
      <w:proofErr w:type="spellEnd"/>
      <w:r w:rsidRPr="007F6BC6">
        <w:rPr>
          <w:rFonts w:ascii="Palatino Linotype" w:hAnsi="Palatino Linotype"/>
          <w:szCs w:val="22"/>
        </w:rPr>
        <w:t>, S.</w:t>
      </w:r>
      <w:r w:rsidR="00FB0721">
        <w:rPr>
          <w:rFonts w:ascii="Palatino Linotype" w:hAnsi="Palatino Linotype"/>
          <w:szCs w:val="22"/>
        </w:rPr>
        <w:t xml:space="preserve"> </w:t>
      </w:r>
      <w:r w:rsidRPr="007F6BC6">
        <w:rPr>
          <w:rFonts w:ascii="Palatino Linotype" w:hAnsi="Palatino Linotype"/>
          <w:szCs w:val="22"/>
        </w:rPr>
        <w:t>(2013)</w:t>
      </w:r>
      <w:r w:rsidR="00FB0721">
        <w:rPr>
          <w:rFonts w:ascii="Palatino Linotype" w:hAnsi="Palatino Linotype"/>
          <w:szCs w:val="22"/>
        </w:rPr>
        <w:t xml:space="preserve"> </w:t>
      </w:r>
      <w:r w:rsidRPr="007F6BC6">
        <w:rPr>
          <w:rFonts w:ascii="Palatino Linotype" w:hAnsi="Palatino Linotype"/>
          <w:szCs w:val="22"/>
        </w:rPr>
        <w:t>Art for Art’s Sake?</w:t>
      </w:r>
      <w:proofErr w:type="gramEnd"/>
      <w:r w:rsidR="00FB0721">
        <w:rPr>
          <w:rFonts w:ascii="Palatino Linotype" w:hAnsi="Palatino Linotype"/>
          <w:szCs w:val="22"/>
        </w:rPr>
        <w:t xml:space="preserve"> </w:t>
      </w:r>
      <w:r w:rsidRPr="007F6BC6">
        <w:rPr>
          <w:rFonts w:ascii="Palatino Linotype" w:hAnsi="Palatino Linotype"/>
          <w:szCs w:val="22"/>
        </w:rPr>
        <w:t>Paris: OECD.</w:t>
      </w:r>
    </w:p>
    <w:p w:rsidR="00427D52" w:rsidRPr="007F6BC6" w:rsidRDefault="00934137" w:rsidP="000323CF">
      <w:pPr>
        <w:tabs>
          <w:tab w:val="clear" w:pos="567"/>
          <w:tab w:val="left" w:pos="720"/>
        </w:tabs>
        <w:spacing w:line="240" w:lineRule="auto"/>
        <w:ind w:left="284" w:hanging="284"/>
        <w:jc w:val="both"/>
        <w:rPr>
          <w:rFonts w:ascii="Palatino Linotype" w:hAnsi="Palatino Linotype"/>
          <w:szCs w:val="22"/>
        </w:rPr>
      </w:pPr>
      <w:proofErr w:type="gramStart"/>
      <w:r w:rsidRPr="007F6BC6">
        <w:rPr>
          <w:rFonts w:ascii="Palatino Linotype" w:hAnsi="Palatino Linotype"/>
          <w:szCs w:val="22"/>
        </w:rPr>
        <w:t xml:space="preserve">Zan, R., Brown, L., Evans, J., and </w:t>
      </w:r>
      <w:proofErr w:type="spellStart"/>
      <w:r w:rsidRPr="007F6BC6">
        <w:rPr>
          <w:rFonts w:ascii="Palatino Linotype" w:hAnsi="Palatino Linotype"/>
          <w:szCs w:val="22"/>
        </w:rPr>
        <w:t>Hannula</w:t>
      </w:r>
      <w:proofErr w:type="spellEnd"/>
      <w:r w:rsidRPr="007F6BC6">
        <w:rPr>
          <w:rFonts w:ascii="Palatino Linotype" w:hAnsi="Palatino Linotype"/>
          <w:szCs w:val="22"/>
        </w:rPr>
        <w:t>, M</w:t>
      </w:r>
      <w:r w:rsidR="00245503" w:rsidRPr="007F6BC6">
        <w:rPr>
          <w:rFonts w:ascii="Palatino Linotype" w:hAnsi="Palatino Linotype"/>
          <w:szCs w:val="22"/>
        </w:rPr>
        <w:t>.</w:t>
      </w:r>
      <w:r w:rsidR="00FB0721">
        <w:rPr>
          <w:rFonts w:ascii="Palatino Linotype" w:hAnsi="Palatino Linotype"/>
          <w:szCs w:val="22"/>
        </w:rPr>
        <w:t xml:space="preserve"> </w:t>
      </w:r>
      <w:r w:rsidR="00245503" w:rsidRPr="007F6BC6">
        <w:rPr>
          <w:rFonts w:ascii="Palatino Linotype" w:hAnsi="Palatino Linotype"/>
          <w:szCs w:val="22"/>
        </w:rPr>
        <w:t>(</w:t>
      </w:r>
      <w:r w:rsidRPr="007F6BC6">
        <w:rPr>
          <w:rFonts w:ascii="Palatino Linotype" w:hAnsi="Palatino Linotype"/>
          <w:szCs w:val="22"/>
        </w:rPr>
        <w:t>2006)</w:t>
      </w:r>
      <w:r w:rsidR="00FB0721">
        <w:rPr>
          <w:rFonts w:ascii="Palatino Linotype" w:hAnsi="Palatino Linotype"/>
          <w:szCs w:val="22"/>
        </w:rPr>
        <w:t xml:space="preserve"> </w:t>
      </w:r>
      <w:r w:rsidRPr="007F6BC6">
        <w:rPr>
          <w:rFonts w:ascii="Palatino Linotype" w:hAnsi="Palatino Linotype"/>
          <w:szCs w:val="22"/>
        </w:rPr>
        <w:t>Affect in mathematics education: An introduction.</w:t>
      </w:r>
      <w:proofErr w:type="gramEnd"/>
      <w:r w:rsidR="00FB0721">
        <w:rPr>
          <w:rFonts w:ascii="Palatino Linotype" w:hAnsi="Palatino Linotype"/>
          <w:szCs w:val="22"/>
        </w:rPr>
        <w:t xml:space="preserve"> </w:t>
      </w:r>
      <w:r w:rsidRPr="007F6BC6">
        <w:rPr>
          <w:rFonts w:ascii="Palatino Linotype" w:hAnsi="Palatino Linotype"/>
          <w:szCs w:val="22"/>
        </w:rPr>
        <w:t>Educational Studies in Mathematics, 63(2), 113–121.</w:t>
      </w:r>
    </w:p>
    <w:p w:rsidR="000E115F" w:rsidRPr="005C48AE" w:rsidRDefault="000E115F" w:rsidP="005C11E4">
      <w:pPr>
        <w:tabs>
          <w:tab w:val="clear" w:pos="567"/>
          <w:tab w:val="left" w:pos="720"/>
        </w:tabs>
        <w:spacing w:line="240" w:lineRule="auto"/>
        <w:ind w:left="284" w:hanging="284"/>
        <w:jc w:val="both"/>
        <w:rPr>
          <w:rFonts w:ascii="Palatino Linotype" w:hAnsi="Palatino Linotype"/>
          <w:sz w:val="22"/>
          <w:szCs w:val="22"/>
        </w:rPr>
      </w:pPr>
    </w:p>
    <w:p w:rsidR="00654F3D" w:rsidRDefault="00654F3D" w:rsidP="00C27219">
      <w:pPr>
        <w:tabs>
          <w:tab w:val="clear" w:pos="567"/>
          <w:tab w:val="left" w:pos="720"/>
        </w:tabs>
        <w:spacing w:line="240" w:lineRule="auto"/>
        <w:jc w:val="both"/>
        <w:rPr>
          <w:rFonts w:ascii="Palatino Linotype" w:hAnsi="Palatino Linotype"/>
          <w:sz w:val="22"/>
          <w:szCs w:val="22"/>
        </w:rPr>
        <w:sectPr w:rsidR="00654F3D" w:rsidSect="00F55F49">
          <w:pgSz w:w="11906" w:h="16838"/>
          <w:pgMar w:top="1134" w:right="1418" w:bottom="1418" w:left="1418" w:header="709" w:footer="709" w:gutter="0"/>
          <w:cols w:space="708"/>
          <w:docGrid w:linePitch="360"/>
        </w:sectPr>
      </w:pPr>
    </w:p>
    <w:p w:rsidR="00752B6C" w:rsidRPr="00752B6C" w:rsidRDefault="00092B5D" w:rsidP="00752B6C">
      <w:pPr>
        <w:tabs>
          <w:tab w:val="clear" w:pos="567"/>
          <w:tab w:val="left" w:pos="720"/>
        </w:tabs>
        <w:spacing w:line="240" w:lineRule="auto"/>
        <w:ind w:left="284" w:hanging="284"/>
        <w:jc w:val="both"/>
        <w:rPr>
          <w:rFonts w:ascii="Palatino Linotype" w:hAnsi="Palatino Linotype"/>
          <w:b/>
          <w:color w:val="1F497D" w:themeColor="text2"/>
          <w:sz w:val="28"/>
          <w:szCs w:val="22"/>
        </w:rPr>
      </w:pPr>
      <w:r>
        <w:rPr>
          <w:rFonts w:ascii="Palatino Linotype" w:hAnsi="Palatino Linotype"/>
          <w:b/>
          <w:color w:val="1F497D" w:themeColor="text2"/>
          <w:sz w:val="28"/>
          <w:szCs w:val="22"/>
        </w:rPr>
        <w:lastRenderedPageBreak/>
        <w:t>Appendix: Empirical s</w:t>
      </w:r>
      <w:r w:rsidR="00752B6C" w:rsidRPr="00752B6C">
        <w:rPr>
          <w:rFonts w:ascii="Palatino Linotype" w:hAnsi="Palatino Linotype"/>
          <w:b/>
          <w:color w:val="1F497D" w:themeColor="text2"/>
          <w:sz w:val="28"/>
          <w:szCs w:val="22"/>
        </w:rPr>
        <w:t>tudies included in the literature review</w:t>
      </w:r>
    </w:p>
    <w:p w:rsidR="00C669A5" w:rsidRPr="00F14D0C" w:rsidRDefault="00C669A5" w:rsidP="005D23DC">
      <w:pPr>
        <w:tabs>
          <w:tab w:val="clear" w:pos="567"/>
          <w:tab w:val="left" w:pos="720"/>
        </w:tabs>
        <w:spacing w:line="240" w:lineRule="auto"/>
        <w:jc w:val="both"/>
        <w:rPr>
          <w:rFonts w:ascii="Palatino Linotype" w:hAnsi="Palatino Linotype"/>
          <w:i/>
          <w:sz w:val="17"/>
          <w:szCs w:val="17"/>
        </w:rPr>
      </w:pPr>
    </w:p>
    <w:p w:rsidR="00752B6C" w:rsidRPr="00F14D0C" w:rsidRDefault="00C669A5" w:rsidP="00752B6C">
      <w:pPr>
        <w:tabs>
          <w:tab w:val="clear" w:pos="567"/>
          <w:tab w:val="left" w:pos="720"/>
        </w:tabs>
        <w:spacing w:line="240" w:lineRule="auto"/>
        <w:ind w:left="284" w:hanging="284"/>
        <w:jc w:val="both"/>
        <w:rPr>
          <w:rFonts w:ascii="Palatino Linotype" w:hAnsi="Palatino Linotype"/>
          <w:sz w:val="17"/>
          <w:szCs w:val="17"/>
        </w:rPr>
      </w:pPr>
      <w:r w:rsidRPr="00F14D0C">
        <w:rPr>
          <w:rFonts w:ascii="Palatino Linotype" w:hAnsi="Palatino Linotype"/>
          <w:sz w:val="17"/>
          <w:szCs w:val="17"/>
        </w:rPr>
        <w:t>1.</w:t>
      </w:r>
      <w:r w:rsidRPr="00F14D0C">
        <w:rPr>
          <w:rFonts w:ascii="Palatino Linotype" w:hAnsi="Palatino Linotype"/>
          <w:sz w:val="17"/>
          <w:szCs w:val="17"/>
        </w:rPr>
        <w:tab/>
      </w:r>
      <w:r w:rsidR="00752B6C" w:rsidRPr="00F14D0C">
        <w:rPr>
          <w:rFonts w:ascii="Palatino Linotype" w:hAnsi="Palatino Linotype"/>
          <w:sz w:val="17"/>
          <w:szCs w:val="17"/>
        </w:rPr>
        <w:t>Studies have been undertaken in the UK, unless indicated otherwise.</w:t>
      </w:r>
    </w:p>
    <w:p w:rsidR="00C669A5" w:rsidRPr="00F14D0C" w:rsidRDefault="00C669A5" w:rsidP="00752B6C">
      <w:pPr>
        <w:tabs>
          <w:tab w:val="clear" w:pos="567"/>
          <w:tab w:val="left" w:pos="720"/>
        </w:tabs>
        <w:spacing w:line="240" w:lineRule="auto"/>
        <w:ind w:left="284" w:hanging="284"/>
        <w:jc w:val="both"/>
        <w:rPr>
          <w:rFonts w:ascii="Palatino Linotype" w:hAnsi="Palatino Linotype"/>
          <w:sz w:val="17"/>
          <w:szCs w:val="17"/>
        </w:rPr>
      </w:pPr>
      <w:r w:rsidRPr="00F14D0C">
        <w:rPr>
          <w:rFonts w:ascii="Palatino Linotype" w:hAnsi="Palatino Linotype"/>
          <w:sz w:val="17"/>
          <w:szCs w:val="17"/>
        </w:rPr>
        <w:t xml:space="preserve">2. Details of large-scale international </w:t>
      </w:r>
      <w:r w:rsidR="00716ECB" w:rsidRPr="00F14D0C">
        <w:rPr>
          <w:rFonts w:ascii="Palatino Linotype" w:hAnsi="Palatino Linotype"/>
          <w:sz w:val="17"/>
          <w:szCs w:val="17"/>
        </w:rPr>
        <w:t xml:space="preserve">and national </w:t>
      </w:r>
      <w:r w:rsidRPr="00F14D0C">
        <w:rPr>
          <w:rFonts w:ascii="Palatino Linotype" w:hAnsi="Palatino Linotype"/>
          <w:sz w:val="17"/>
          <w:szCs w:val="17"/>
        </w:rPr>
        <w:t>studies, such as the PISA and ROSE studies</w:t>
      </w:r>
      <w:r w:rsidR="00716ECB" w:rsidRPr="00F14D0C">
        <w:rPr>
          <w:rFonts w:ascii="Palatino Linotype" w:hAnsi="Palatino Linotype"/>
          <w:sz w:val="17"/>
          <w:szCs w:val="17"/>
        </w:rPr>
        <w:t xml:space="preserve"> and the Wellcome</w:t>
      </w:r>
      <w:r w:rsidR="00524494" w:rsidRPr="00F14D0C">
        <w:rPr>
          <w:rFonts w:ascii="Palatino Linotype" w:hAnsi="Palatino Linotype"/>
          <w:sz w:val="17"/>
          <w:szCs w:val="17"/>
        </w:rPr>
        <w:t xml:space="preserve"> Trust Monitors</w:t>
      </w:r>
      <w:r w:rsidR="00716ECB" w:rsidRPr="00F14D0C">
        <w:rPr>
          <w:rFonts w:ascii="Palatino Linotype" w:hAnsi="Palatino Linotype"/>
          <w:sz w:val="17"/>
          <w:szCs w:val="17"/>
        </w:rPr>
        <w:t>,</w:t>
      </w:r>
      <w:r w:rsidRPr="00F14D0C">
        <w:rPr>
          <w:rFonts w:ascii="Palatino Linotype" w:hAnsi="Palatino Linotype"/>
          <w:sz w:val="17"/>
          <w:szCs w:val="17"/>
        </w:rPr>
        <w:t xml:space="preserve"> are not included.</w:t>
      </w:r>
    </w:p>
    <w:p w:rsidR="00C669A5" w:rsidRPr="00F14D0C" w:rsidRDefault="00C669A5" w:rsidP="005D23DC">
      <w:pPr>
        <w:tabs>
          <w:tab w:val="clear" w:pos="567"/>
          <w:tab w:val="left" w:pos="720"/>
        </w:tabs>
        <w:spacing w:line="240" w:lineRule="auto"/>
        <w:jc w:val="both"/>
        <w:rPr>
          <w:rFonts w:ascii="Palatino Linotype" w:hAnsi="Palatino Linotype"/>
          <w:b/>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1"/>
        <w:gridCol w:w="4335"/>
        <w:gridCol w:w="700"/>
        <w:gridCol w:w="1688"/>
        <w:gridCol w:w="6092"/>
      </w:tblGrid>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i/>
                <w:sz w:val="17"/>
                <w:szCs w:val="17"/>
              </w:rPr>
            </w:pPr>
            <w:r w:rsidRPr="00F14D0C">
              <w:rPr>
                <w:rFonts w:ascii="Palatino Linotype" w:hAnsi="Palatino Linotype"/>
                <w:i/>
                <w:sz w:val="17"/>
                <w:szCs w:val="17"/>
              </w:rPr>
              <w:t>Authors</w:t>
            </w:r>
          </w:p>
        </w:tc>
        <w:tc>
          <w:tcPr>
            <w:tcW w:w="0" w:type="auto"/>
          </w:tcPr>
          <w:p w:rsidR="00752B6C" w:rsidRPr="00F14D0C" w:rsidRDefault="00752B6C" w:rsidP="003D00B4">
            <w:pPr>
              <w:tabs>
                <w:tab w:val="clear" w:pos="567"/>
                <w:tab w:val="left" w:pos="720"/>
              </w:tabs>
              <w:spacing w:line="240" w:lineRule="auto"/>
              <w:rPr>
                <w:rFonts w:ascii="Palatino Linotype" w:hAnsi="Palatino Linotype"/>
                <w:i/>
                <w:sz w:val="17"/>
                <w:szCs w:val="17"/>
              </w:rPr>
            </w:pPr>
            <w:r w:rsidRPr="00F14D0C">
              <w:rPr>
                <w:rFonts w:ascii="Palatino Linotype" w:hAnsi="Palatino Linotype"/>
                <w:i/>
                <w:sz w:val="17"/>
                <w:szCs w:val="17"/>
              </w:rPr>
              <w:t>Study</w:t>
            </w:r>
          </w:p>
        </w:tc>
        <w:tc>
          <w:tcPr>
            <w:tcW w:w="0" w:type="auto"/>
          </w:tcPr>
          <w:p w:rsidR="00752B6C" w:rsidRPr="00F14D0C" w:rsidRDefault="00752B6C" w:rsidP="003D00B4">
            <w:pPr>
              <w:tabs>
                <w:tab w:val="clear" w:pos="567"/>
                <w:tab w:val="left" w:pos="720"/>
              </w:tabs>
              <w:spacing w:line="240" w:lineRule="auto"/>
              <w:rPr>
                <w:rFonts w:ascii="Palatino Linotype" w:hAnsi="Palatino Linotype"/>
                <w:i/>
                <w:sz w:val="17"/>
                <w:szCs w:val="17"/>
              </w:rPr>
            </w:pPr>
            <w:r w:rsidRPr="00F14D0C">
              <w:rPr>
                <w:rFonts w:ascii="Palatino Linotype" w:hAnsi="Palatino Linotype"/>
                <w:i/>
                <w:sz w:val="17"/>
                <w:szCs w:val="17"/>
              </w:rPr>
              <w:t>Year</w:t>
            </w:r>
          </w:p>
        </w:tc>
        <w:tc>
          <w:tcPr>
            <w:tcW w:w="0" w:type="auto"/>
          </w:tcPr>
          <w:p w:rsidR="00752B6C" w:rsidRPr="00F14D0C" w:rsidRDefault="00752B6C" w:rsidP="003D00B4">
            <w:pPr>
              <w:tabs>
                <w:tab w:val="clear" w:pos="567"/>
                <w:tab w:val="left" w:pos="720"/>
              </w:tabs>
              <w:spacing w:line="240" w:lineRule="auto"/>
              <w:rPr>
                <w:rFonts w:ascii="Palatino Linotype" w:hAnsi="Palatino Linotype"/>
                <w:i/>
                <w:sz w:val="17"/>
                <w:szCs w:val="17"/>
              </w:rPr>
            </w:pPr>
            <w:r w:rsidRPr="00F14D0C">
              <w:rPr>
                <w:rFonts w:ascii="Palatino Linotype" w:hAnsi="Palatino Linotype"/>
                <w:i/>
                <w:sz w:val="17"/>
                <w:szCs w:val="17"/>
              </w:rPr>
              <w:t>Subject focus</w:t>
            </w:r>
          </w:p>
        </w:tc>
        <w:tc>
          <w:tcPr>
            <w:tcW w:w="0" w:type="auto"/>
          </w:tcPr>
          <w:p w:rsidR="00752B6C" w:rsidRPr="00F14D0C" w:rsidRDefault="00752B6C" w:rsidP="003D00B4">
            <w:pPr>
              <w:tabs>
                <w:tab w:val="clear" w:pos="567"/>
                <w:tab w:val="left" w:pos="720"/>
              </w:tabs>
              <w:spacing w:line="240" w:lineRule="auto"/>
              <w:rPr>
                <w:rFonts w:ascii="Palatino Linotype" w:hAnsi="Palatino Linotype"/>
                <w:i/>
                <w:sz w:val="17"/>
                <w:szCs w:val="17"/>
              </w:rPr>
            </w:pPr>
            <w:r w:rsidRPr="00F14D0C">
              <w:rPr>
                <w:rFonts w:ascii="Palatino Linotype" w:hAnsi="Palatino Linotype"/>
                <w:i/>
                <w:sz w:val="17"/>
                <w:szCs w:val="17"/>
              </w:rPr>
              <w:t>Sample</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Archer </w:t>
            </w:r>
            <w:r w:rsidRPr="00F14D0C">
              <w:rPr>
                <w:rFonts w:ascii="Palatino Linotype" w:hAnsi="Palatino Linotype"/>
                <w:bCs/>
                <w:i/>
                <w:sz w:val="17"/>
                <w:szCs w:val="17"/>
              </w:rPr>
              <w:t>et al</w:t>
            </w:r>
            <w:r w:rsidRPr="00F14D0C">
              <w:rPr>
                <w:rFonts w:ascii="Palatino Linotype" w:hAnsi="Palatino Linotype"/>
                <w:bCs/>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The </w:t>
            </w:r>
            <w:r w:rsidR="00AA5B94" w:rsidRPr="00F14D0C">
              <w:rPr>
                <w:rFonts w:ascii="Palatino Linotype" w:hAnsi="Palatino Linotype"/>
                <w:bCs/>
                <w:sz w:val="17"/>
                <w:szCs w:val="17"/>
              </w:rPr>
              <w:t>ASPIRES</w:t>
            </w:r>
            <w:r w:rsidRPr="00F14D0C">
              <w:rPr>
                <w:rFonts w:ascii="Palatino Linotype" w:hAnsi="Palatino Linotype"/>
                <w:bCs/>
                <w:sz w:val="17"/>
                <w:szCs w:val="17"/>
              </w:rPr>
              <w:t xml:space="preserve"> (Science aspirations and career choice, age 10-14) project: research report summary</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2013</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Includes mathematics and 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5-year longitudinal study; survey of around 3,250 students aged 10-11 (with 2,100 followed up at aged 12-13</w:t>
            </w:r>
            <w:r w:rsidR="005D23DC" w:rsidRPr="00F14D0C">
              <w:rPr>
                <w:rFonts w:ascii="Palatino Linotype" w:hAnsi="Palatino Linotype"/>
                <w:bCs/>
                <w:sz w:val="17"/>
                <w:szCs w:val="17"/>
              </w:rPr>
              <w:t>)</w:t>
            </w:r>
            <w:r w:rsidRPr="00F14D0C">
              <w:rPr>
                <w:rFonts w:ascii="Palatino Linotype" w:hAnsi="Palatino Linotype"/>
                <w:bCs/>
                <w:sz w:val="17"/>
                <w:szCs w:val="17"/>
              </w:rPr>
              <w:t>; interviews with around 90 students and their parents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Bennett and Hogarth</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“Would </w:t>
            </w:r>
            <w:r w:rsidRPr="00F14D0C">
              <w:rPr>
                <w:rFonts w:ascii="Palatino Linotype" w:hAnsi="Palatino Linotype"/>
                <w:i/>
                <w:sz w:val="17"/>
                <w:szCs w:val="17"/>
              </w:rPr>
              <w:t>you</w:t>
            </w:r>
            <w:r w:rsidRPr="00F14D0C">
              <w:rPr>
                <w:rFonts w:ascii="Palatino Linotype" w:hAnsi="Palatino Linotype"/>
                <w:sz w:val="17"/>
                <w:szCs w:val="17"/>
              </w:rPr>
              <w:t xml:space="preserve"> want to talk to a scientist at a party?”</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2005</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Survey of 280 students aged 11-16</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Bennett and Hogarth</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Evaluation of </w:t>
            </w:r>
            <w:r w:rsidRPr="00F14D0C">
              <w:rPr>
                <w:rFonts w:ascii="Palatino Linotype" w:hAnsi="Palatino Linotype"/>
                <w:bCs/>
                <w:i/>
                <w:sz w:val="17"/>
                <w:szCs w:val="17"/>
              </w:rPr>
              <w:t>Twenty-first Century Science</w:t>
            </w:r>
            <w:r w:rsidRPr="00F14D0C">
              <w:rPr>
                <w:rFonts w:ascii="Palatino Linotype" w:hAnsi="Palatino Linotype"/>
                <w:bCs/>
                <w:sz w:val="17"/>
                <w:szCs w:val="17"/>
              </w:rPr>
              <w:t>, Strand 2: attitudes to 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2006</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 xml:space="preserve">Survey of around 300 students aged 15-16 participating in the pilot GCSE course, </w:t>
            </w:r>
            <w:r w:rsidRPr="00F14D0C">
              <w:rPr>
                <w:rFonts w:ascii="Palatino Linotype" w:hAnsi="Palatino Linotype"/>
                <w:bCs/>
                <w:i/>
                <w:sz w:val="17"/>
                <w:szCs w:val="17"/>
              </w:rPr>
              <w:t>Twenty-first Century Science</w:t>
            </w:r>
          </w:p>
        </w:tc>
      </w:tr>
      <w:tr w:rsidR="00752B6C" w:rsidRPr="00F14D0C" w:rsidTr="003D00B4">
        <w:tc>
          <w:tcPr>
            <w:tcW w:w="0" w:type="auto"/>
          </w:tcPr>
          <w:p w:rsidR="00752B6C" w:rsidRPr="00F14D0C" w:rsidRDefault="005D23DC" w:rsidP="005D23DC">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Bennett </w:t>
            </w:r>
            <w:r w:rsidRPr="00F14D0C">
              <w:rPr>
                <w:rFonts w:ascii="Palatino Linotype" w:hAnsi="Palatino Linotype"/>
                <w:i/>
                <w:sz w:val="17"/>
                <w:szCs w:val="17"/>
              </w:rPr>
              <w:t>et al</w:t>
            </w:r>
            <w:r w:rsidRPr="00F14D0C">
              <w:rPr>
                <w:rFonts w:ascii="Palatino Linotype" w:hAnsi="Palatino Linotype"/>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Schools that make a difference to post-compulsory uptake of physical science subjects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2013</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Analysis of National Pupil Database (NPD); eight case studies involving interviews with students aged 17-18, science teachers, careers teachers and senior managers in schools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proofErr w:type="spellStart"/>
            <w:r w:rsidRPr="00F14D0C">
              <w:rPr>
                <w:rFonts w:ascii="Palatino Linotype" w:hAnsi="Palatino Linotype"/>
                <w:sz w:val="17"/>
                <w:szCs w:val="17"/>
              </w:rPr>
              <w:t>Blenkinsop</w:t>
            </w:r>
            <w:proofErr w:type="spellEnd"/>
            <w:r w:rsidRPr="00F14D0C">
              <w:rPr>
                <w:rFonts w:ascii="Palatino Linotype" w:hAnsi="Palatino Linotype"/>
                <w:sz w:val="17"/>
                <w:szCs w:val="17"/>
              </w:rPr>
              <w:t xml:space="preserve"> </w:t>
            </w:r>
            <w:r w:rsidRPr="00F14D0C">
              <w:rPr>
                <w:rFonts w:ascii="Palatino Linotype" w:hAnsi="Palatino Linotype"/>
                <w:i/>
                <w:sz w:val="17"/>
                <w:szCs w:val="17"/>
              </w:rPr>
              <w:t>et al</w:t>
            </w:r>
            <w:r w:rsidRPr="00F14D0C">
              <w:rPr>
                <w:rFonts w:ascii="Palatino Linotype" w:hAnsi="Palatino Linotype"/>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How do young people make choices at 14 and 16?</w:t>
            </w:r>
            <w:r w:rsidR="00FB0721">
              <w:rPr>
                <w:rFonts w:ascii="Palatino Linotype" w:hAnsi="Palatino Linotype"/>
                <w:sz w:val="17"/>
                <w:szCs w:val="17"/>
              </w:rPr>
              <w:t xml:space="preserve">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2006</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Includes science and 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In depth, narrative eliciting interviews with around 80 students in four cohorts at fourteen schools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 xml:space="preserve">Brown </w:t>
            </w:r>
            <w:r w:rsidRPr="00F14D0C">
              <w:rPr>
                <w:rFonts w:ascii="Palatino Linotype" w:hAnsi="Palatino Linotype"/>
                <w:bCs/>
                <w:i/>
                <w:sz w:val="17"/>
                <w:szCs w:val="17"/>
              </w:rPr>
              <w:t>et al</w:t>
            </w:r>
            <w:r w:rsidRPr="00F14D0C">
              <w:rPr>
                <w:rFonts w:ascii="Palatino Linotype" w:hAnsi="Palatino Linotype"/>
                <w:bCs/>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 would rather die”: attitudes of 16-year-olds towards their future participation in 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2008</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Survey of around 2,000 students in 17 schools</w:t>
            </w:r>
          </w:p>
        </w:tc>
      </w:tr>
      <w:tr w:rsidR="00752B6C" w:rsidRPr="00F14D0C" w:rsidTr="003D00B4">
        <w:tc>
          <w:tcPr>
            <w:tcW w:w="0" w:type="auto"/>
          </w:tcPr>
          <w:p w:rsidR="00752B6C" w:rsidRPr="00F14D0C" w:rsidRDefault="005D23DC" w:rsidP="005D23DC">
            <w:pPr>
              <w:tabs>
                <w:tab w:val="clear" w:pos="567"/>
                <w:tab w:val="left" w:pos="720"/>
              </w:tabs>
              <w:spacing w:line="240" w:lineRule="auto"/>
              <w:rPr>
                <w:rFonts w:ascii="Palatino Linotype" w:hAnsi="Palatino Linotype"/>
                <w:sz w:val="17"/>
                <w:szCs w:val="17"/>
              </w:rPr>
            </w:pPr>
            <w:proofErr w:type="spellStart"/>
            <w:r w:rsidRPr="00F14D0C">
              <w:rPr>
                <w:rFonts w:ascii="Palatino Linotype" w:hAnsi="Palatino Linotype"/>
                <w:sz w:val="17"/>
                <w:szCs w:val="17"/>
              </w:rPr>
              <w:t>Cerini</w:t>
            </w:r>
            <w:proofErr w:type="spellEnd"/>
            <w:r w:rsidRPr="00F14D0C">
              <w:rPr>
                <w:rFonts w:ascii="Palatino Linotype" w:hAnsi="Palatino Linotype"/>
                <w:sz w:val="17"/>
                <w:szCs w:val="17"/>
              </w:rPr>
              <w:t xml:space="preserve"> </w:t>
            </w:r>
            <w:r w:rsidRPr="00F14D0C">
              <w:rPr>
                <w:rFonts w:ascii="Palatino Linotype" w:hAnsi="Palatino Linotype"/>
                <w:i/>
                <w:sz w:val="17"/>
                <w:szCs w:val="17"/>
              </w:rPr>
              <w:t>et al</w:t>
            </w:r>
            <w:r w:rsidRPr="00F14D0C">
              <w:rPr>
                <w:rFonts w:ascii="Palatino Linotype" w:hAnsi="Palatino Linotype"/>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Student review of the science curriculum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2004</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i/>
                <w:sz w:val="17"/>
                <w:szCs w:val="17"/>
              </w:rPr>
              <w:t>Planet Science</w:t>
            </w:r>
            <w:r w:rsidRPr="00F14D0C">
              <w:rPr>
                <w:rFonts w:ascii="Palatino Linotype" w:hAnsi="Palatino Linotype"/>
                <w:sz w:val="17"/>
                <w:szCs w:val="17"/>
              </w:rPr>
              <w:t xml:space="preserve"> survey of around 1,500 secondary students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Department for Children, Schools and Families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Progression to science post-16: An enquiry into the factors which are influential in achieving high levels of take-up of science subjects post-16</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2009</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Interview with students, teachers and other stakeholders at 86 schools seen as particularly successful in levels of post-compulsory study of science</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Gill and Bell</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proofErr w:type="gramStart"/>
            <w:r w:rsidRPr="00F14D0C">
              <w:rPr>
                <w:rFonts w:ascii="Palatino Linotype" w:hAnsi="Palatino Linotype"/>
                <w:bCs/>
                <w:sz w:val="17"/>
                <w:szCs w:val="17"/>
              </w:rPr>
              <w:t>factors</w:t>
            </w:r>
            <w:proofErr w:type="gramEnd"/>
            <w:r w:rsidRPr="00F14D0C">
              <w:rPr>
                <w:rFonts w:ascii="Palatino Linotype" w:hAnsi="Palatino Linotype"/>
                <w:bCs/>
                <w:sz w:val="17"/>
                <w:szCs w:val="17"/>
              </w:rPr>
              <w:t xml:space="preserve"> determine the uptake of A-level physics?</w:t>
            </w:r>
            <w:r w:rsidR="00FB0721">
              <w:rPr>
                <w:rFonts w:ascii="Palatino Linotype" w:hAnsi="Palatino Linotype"/>
                <w:bCs/>
                <w:sz w:val="17"/>
                <w:szCs w:val="17"/>
              </w:rPr>
              <w:t xml:space="preserve">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2013</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Multi-level modelling of data from National Pupil Database (NPD)</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Gorard and See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The impact of socio-economic status on participation and attainment in 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2009</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Literature review and analysis of National Pupil Database (NPD) and Pupil-Level Annual School Census (PLASC) data</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Hampden-Thompson and Bennett </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 teaching and learning activities and students’ engagement in science</w:t>
            </w:r>
            <w:r w:rsidR="00FB0721">
              <w:rPr>
                <w:rFonts w:ascii="Palatino Linotype" w:hAnsi="Palatino Linotype"/>
                <w:bCs/>
                <w:sz w:val="17"/>
                <w:szCs w:val="17"/>
              </w:rPr>
              <w:t xml:space="preserve">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2011</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Analysis of selected PISA 2006 responses from 12,000 students </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Haste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 in my future: a study of values and beliefs in relation to science and technology amongst 11-21-year-olds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2004</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Survey of around 700 young people aged 11-21</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Hutchinson and Bentley</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STEM subjects and jobs: A longitudinal perspective of attitudes among Key Stage 3 students, 2008-2010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2011</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 and 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Survey of just over 4,000 students aged 11-12 in 27 schools (with just over 2200 students in 19 of the schools followed up after two years)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Institution of Mechanical Engineers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When STEM?: A question of age</w:t>
            </w:r>
          </w:p>
          <w:p w:rsidR="00752B6C" w:rsidRPr="00F14D0C" w:rsidRDefault="00752B6C" w:rsidP="003D00B4">
            <w:pPr>
              <w:tabs>
                <w:tab w:val="clear" w:pos="567"/>
                <w:tab w:val="left" w:pos="720"/>
              </w:tabs>
              <w:spacing w:line="240" w:lineRule="auto"/>
              <w:rPr>
                <w:rFonts w:ascii="Palatino Linotype" w:hAnsi="Palatino Linotype"/>
                <w:sz w:val="17"/>
                <w:szCs w:val="17"/>
              </w:rPr>
            </w:pP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2010</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All STEM subjects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Literature review and invited expert comment </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Jenkins and Nelson</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Important but not for me: students’ attitudes towards secondary school science in England</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2005</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Survey data from around 1,270 students in England aged 14-15 participating in the Relevance of Science Education (ROSE) international comparative study</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Lyons and Quinn</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Choosing Science: understanding the decline in senior high school science enrolments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2010</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Survey of 3,760 students aged 15-16 in Australia</w:t>
            </w:r>
          </w:p>
        </w:tc>
      </w:tr>
      <w:tr w:rsidR="009D3288" w:rsidRPr="00F14D0C" w:rsidTr="003D00B4">
        <w:tc>
          <w:tcPr>
            <w:tcW w:w="0" w:type="auto"/>
          </w:tcPr>
          <w:p w:rsidR="009D3288" w:rsidRPr="00F14D0C" w:rsidRDefault="009D3288" w:rsidP="003D00B4">
            <w:pPr>
              <w:tabs>
                <w:tab w:val="clear" w:pos="567"/>
                <w:tab w:val="left" w:pos="720"/>
              </w:tabs>
              <w:spacing w:line="240" w:lineRule="auto"/>
              <w:rPr>
                <w:rFonts w:ascii="Palatino Linotype" w:hAnsi="Palatino Linotype"/>
                <w:bCs/>
                <w:sz w:val="17"/>
                <w:szCs w:val="17"/>
              </w:rPr>
            </w:pPr>
            <w:proofErr w:type="spellStart"/>
            <w:r w:rsidRPr="00F14D0C">
              <w:rPr>
                <w:rFonts w:ascii="Palatino Linotype" w:hAnsi="Palatino Linotype"/>
                <w:bCs/>
                <w:sz w:val="17"/>
                <w:szCs w:val="17"/>
              </w:rPr>
              <w:lastRenderedPageBreak/>
              <w:t>Mansell</w:t>
            </w:r>
            <w:proofErr w:type="spellEnd"/>
          </w:p>
        </w:tc>
        <w:tc>
          <w:tcPr>
            <w:tcW w:w="0" w:type="auto"/>
          </w:tcPr>
          <w:p w:rsidR="009D3288" w:rsidRPr="00F14D0C" w:rsidRDefault="009D3288"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Exploring young people’s views on science education</w:t>
            </w:r>
          </w:p>
        </w:tc>
        <w:tc>
          <w:tcPr>
            <w:tcW w:w="0" w:type="auto"/>
          </w:tcPr>
          <w:p w:rsidR="009D3288" w:rsidRPr="00F14D0C" w:rsidRDefault="009D3288"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2011</w:t>
            </w:r>
          </w:p>
        </w:tc>
        <w:tc>
          <w:tcPr>
            <w:tcW w:w="0" w:type="auto"/>
          </w:tcPr>
          <w:p w:rsidR="009D3288" w:rsidRPr="00F14D0C" w:rsidRDefault="009D3288"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9D3288" w:rsidRPr="00F14D0C" w:rsidRDefault="009D3288"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Interviews and focus groups with 240 students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Matthews and Pepper</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Evaluation of </w:t>
            </w:r>
            <w:r w:rsidRPr="00F14D0C">
              <w:rPr>
                <w:rFonts w:ascii="Palatino Linotype" w:hAnsi="Palatino Linotype"/>
                <w:bCs/>
                <w:sz w:val="17"/>
                <w:szCs w:val="17"/>
              </w:rPr>
              <w:t>participation in A-level 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2005</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Survey of 200 schools and 19 case studies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proofErr w:type="spellStart"/>
            <w:r w:rsidRPr="00F14D0C">
              <w:rPr>
                <w:rFonts w:ascii="Palatino Linotype" w:hAnsi="Palatino Linotype"/>
                <w:bCs/>
                <w:sz w:val="17"/>
                <w:szCs w:val="17"/>
              </w:rPr>
              <w:t>Mendick</w:t>
            </w:r>
            <w:proofErr w:type="spellEnd"/>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Masculinities in 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2006</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Ethnography and semi-structured interviews with 42 students aged 16-19 in three schools/colleges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Millar</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iCs/>
                <w:sz w:val="17"/>
                <w:szCs w:val="17"/>
              </w:rPr>
              <w:t>Increasing participation in science beyond GCSE: The impact of Twenty First Century Science</w:t>
            </w:r>
            <w:r w:rsidRPr="00F14D0C">
              <w:rPr>
                <w:rFonts w:ascii="Palatino Linotype" w:hAnsi="Palatino Linotype"/>
                <w:bCs/>
                <w:sz w:val="17"/>
                <w:szCs w:val="17"/>
              </w:rPr>
              <w:t>.</w:t>
            </w:r>
            <w:r w:rsidR="00FB0721">
              <w:rPr>
                <w:rFonts w:ascii="Palatino Linotype" w:hAnsi="Palatino Linotype"/>
                <w:bCs/>
                <w:sz w:val="17"/>
                <w:szCs w:val="17"/>
              </w:rPr>
              <w:t xml:space="preserve">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2010</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Survey of post-16 uptake in 155 schools before and after a major curriculum intervention </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proofErr w:type="spellStart"/>
            <w:r w:rsidRPr="00F14D0C">
              <w:rPr>
                <w:rFonts w:ascii="Palatino Linotype" w:hAnsi="Palatino Linotype"/>
                <w:bCs/>
                <w:sz w:val="17"/>
                <w:szCs w:val="17"/>
              </w:rPr>
              <w:t>Mujtaba</w:t>
            </w:r>
            <w:proofErr w:type="spellEnd"/>
            <w:r w:rsidRPr="00F14D0C">
              <w:rPr>
                <w:rFonts w:ascii="Palatino Linotype" w:hAnsi="Palatino Linotype"/>
                <w:bCs/>
                <w:sz w:val="17"/>
                <w:szCs w:val="17"/>
              </w:rPr>
              <w:t xml:space="preserve"> and Reiss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What sort of girl wants to study physics after the age of 16? Findings from a large-scale UK survey</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In press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 and science (physics)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Survey of 23,000 students aged 12-13</w:t>
            </w:r>
            <w:r w:rsidR="00FB0721">
              <w:rPr>
                <w:rFonts w:ascii="Palatino Linotype" w:hAnsi="Palatino Linotype"/>
                <w:bCs/>
                <w:sz w:val="17"/>
                <w:szCs w:val="17"/>
              </w:rPr>
              <w:t xml:space="preserve"> </w:t>
            </w:r>
            <w:r w:rsidRPr="00F14D0C">
              <w:rPr>
                <w:rFonts w:ascii="Palatino Linotype" w:hAnsi="Palatino Linotype"/>
                <w:bCs/>
                <w:sz w:val="17"/>
                <w:szCs w:val="17"/>
              </w:rPr>
              <w:t>(with 7,000 followed up after two years) and 140 teachers; in-depth studies of students aged 15,16 and 17 in 12 schools, with students studying English used as a comparison group</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proofErr w:type="spellStart"/>
            <w:r w:rsidRPr="00F14D0C">
              <w:rPr>
                <w:rFonts w:ascii="Palatino Linotype" w:hAnsi="Palatino Linotype"/>
                <w:sz w:val="17"/>
                <w:szCs w:val="17"/>
              </w:rPr>
              <w:t>Nardi</w:t>
            </w:r>
            <w:proofErr w:type="spellEnd"/>
            <w:r w:rsidRPr="00F14D0C">
              <w:rPr>
                <w:rFonts w:ascii="Palatino Linotype" w:hAnsi="Palatino Linotype"/>
                <w:sz w:val="17"/>
                <w:szCs w:val="17"/>
              </w:rPr>
              <w:t xml:space="preserve"> and Steward</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Is Mathematics T.I.R.E.D?: a profile of quiet disaffection in the secondary mathematics classroom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2003</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Three case studies of three classes of students aged 14, comprising a total of 70 students</w:t>
            </w:r>
          </w:p>
        </w:tc>
      </w:tr>
      <w:tr w:rsidR="009348B6" w:rsidRPr="00F14D0C" w:rsidTr="003D00B4">
        <w:tc>
          <w:tcPr>
            <w:tcW w:w="0" w:type="auto"/>
          </w:tcPr>
          <w:p w:rsidR="009348B6" w:rsidRPr="00F14D0C" w:rsidRDefault="009348B6"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National Audit Office</w:t>
            </w:r>
          </w:p>
        </w:tc>
        <w:tc>
          <w:tcPr>
            <w:tcW w:w="0" w:type="auto"/>
          </w:tcPr>
          <w:p w:rsidR="009348B6" w:rsidRPr="00F14D0C" w:rsidRDefault="00DD4D59"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Young people’s attitudes to mathematics</w:t>
            </w:r>
          </w:p>
        </w:tc>
        <w:tc>
          <w:tcPr>
            <w:tcW w:w="0" w:type="auto"/>
          </w:tcPr>
          <w:p w:rsidR="009348B6" w:rsidRPr="00F14D0C" w:rsidRDefault="00DD4D59"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2008</w:t>
            </w:r>
          </w:p>
        </w:tc>
        <w:tc>
          <w:tcPr>
            <w:tcW w:w="0" w:type="auto"/>
          </w:tcPr>
          <w:p w:rsidR="009348B6" w:rsidRPr="00F14D0C" w:rsidRDefault="00DD4D59"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Mathematics</w:t>
            </w:r>
          </w:p>
        </w:tc>
        <w:tc>
          <w:tcPr>
            <w:tcW w:w="0" w:type="auto"/>
          </w:tcPr>
          <w:p w:rsidR="009348B6" w:rsidRPr="00F14D0C" w:rsidRDefault="00DD4D59"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Survey of 1,104 students aged 11-13, and interview with students in 48 schools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National Audit Office </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Educating the next generation of scientists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2010</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 and mathematics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Literature review and survey of 1274 students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OCR Examination Board</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Science student survey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2005</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Survey of 950 students aged 13-16</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Osborne and Collins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Pupils’ views of the role and value of the science curriculum</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2001</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Focus group study of 144 students aged 16</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proofErr w:type="spellStart"/>
            <w:r w:rsidRPr="00F14D0C">
              <w:rPr>
                <w:rFonts w:ascii="Palatino Linotype" w:hAnsi="Palatino Linotype"/>
                <w:sz w:val="17"/>
                <w:szCs w:val="17"/>
              </w:rPr>
              <w:t>Springate</w:t>
            </w:r>
            <w:proofErr w:type="spellEnd"/>
            <w:r w:rsidRPr="00F14D0C">
              <w:rPr>
                <w:rFonts w:ascii="Palatino Linotype" w:hAnsi="Palatino Linotype"/>
                <w:sz w:val="17"/>
                <w:szCs w:val="17"/>
              </w:rPr>
              <w:t xml:space="preserve"> </w:t>
            </w:r>
            <w:r w:rsidRPr="00F14D0C">
              <w:rPr>
                <w:rFonts w:ascii="Palatino Linotype" w:hAnsi="Palatino Linotype"/>
                <w:i/>
                <w:sz w:val="17"/>
                <w:szCs w:val="17"/>
              </w:rPr>
              <w:t>et al</w:t>
            </w:r>
            <w:r w:rsidRPr="00F14D0C">
              <w:rPr>
                <w:rFonts w:ascii="Palatino Linotype" w:hAnsi="Palatino Linotype"/>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Why choose physics and chemistry</w:t>
            </w:r>
            <w:proofErr w:type="gramStart"/>
            <w:r w:rsidRPr="00F14D0C">
              <w:rPr>
                <w:rFonts w:ascii="Palatino Linotype" w:hAnsi="Palatino Linotype"/>
                <w:sz w:val="17"/>
                <w:szCs w:val="17"/>
              </w:rPr>
              <w:t>?:</w:t>
            </w:r>
            <w:proofErr w:type="gramEnd"/>
            <w:r w:rsidRPr="00F14D0C">
              <w:rPr>
                <w:rFonts w:ascii="Palatino Linotype" w:hAnsi="Palatino Linotype"/>
                <w:sz w:val="17"/>
                <w:szCs w:val="17"/>
              </w:rPr>
              <w:t xml:space="preserve"> The influences on physics and chemistry subject choice on BME students.</w:t>
            </w:r>
          </w:p>
          <w:p w:rsidR="00F14D0C" w:rsidRPr="00F14D0C" w:rsidRDefault="00F14D0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 xml:space="preserve">The factors affecting A-level and undergraduate subject choice in physics and chemistry by ethnic group.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2008</w:t>
            </w:r>
            <w:r w:rsidR="00F14D0C" w:rsidRPr="00F14D0C">
              <w:rPr>
                <w:rFonts w:ascii="Palatino Linotype" w:hAnsi="Palatino Linotype"/>
                <w:sz w:val="17"/>
                <w:szCs w:val="17"/>
              </w:rPr>
              <w:t>a</w:t>
            </w:r>
          </w:p>
          <w:p w:rsidR="00F14D0C" w:rsidRPr="00F14D0C" w:rsidRDefault="00F14D0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2008b</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24</w:t>
            </w:r>
            <w:r w:rsidR="00FB0721">
              <w:rPr>
                <w:rFonts w:ascii="Palatino Linotype" w:hAnsi="Palatino Linotype"/>
                <w:sz w:val="17"/>
                <w:szCs w:val="17"/>
              </w:rPr>
              <w:t xml:space="preserve"> </w:t>
            </w:r>
            <w:r w:rsidRPr="00F14D0C">
              <w:rPr>
                <w:rFonts w:ascii="Palatino Linotype" w:hAnsi="Palatino Linotype"/>
                <w:sz w:val="17"/>
                <w:szCs w:val="17"/>
              </w:rPr>
              <w:t xml:space="preserve">focus groups of </w:t>
            </w:r>
            <w:r w:rsidR="00F14D0C" w:rsidRPr="00F14D0C">
              <w:rPr>
                <w:rFonts w:ascii="Palatino Linotype" w:hAnsi="Palatino Linotype"/>
                <w:sz w:val="17"/>
                <w:szCs w:val="17"/>
              </w:rPr>
              <w:t xml:space="preserve">100 </w:t>
            </w:r>
            <w:r w:rsidRPr="00F14D0C">
              <w:rPr>
                <w:rFonts w:ascii="Palatino Linotype" w:hAnsi="Palatino Linotype"/>
                <w:sz w:val="17"/>
                <w:szCs w:val="17"/>
              </w:rPr>
              <w:t>A-level students</w:t>
            </w:r>
            <w:r w:rsidR="00F14D0C" w:rsidRPr="00F14D0C">
              <w:rPr>
                <w:rFonts w:ascii="Palatino Linotype" w:hAnsi="Palatino Linotype"/>
                <w:sz w:val="17"/>
                <w:szCs w:val="17"/>
              </w:rPr>
              <w:t xml:space="preserve"> in total</w:t>
            </w:r>
            <w:r w:rsidRPr="00F14D0C">
              <w:rPr>
                <w:rFonts w:ascii="Palatino Linotype" w:hAnsi="Palatino Linotype"/>
                <w:sz w:val="17"/>
                <w:szCs w:val="17"/>
              </w:rPr>
              <w:t xml:space="preserve"> and 22 interview with undergraduates, all from under-represented ethnic groups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Reiss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Understanding science lessons: five years of science teaching</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2000</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Longitudinal ethnography of 21 students aged 11-16 over five years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Rodd </w:t>
            </w:r>
            <w:r w:rsidRPr="00F14D0C">
              <w:rPr>
                <w:rFonts w:ascii="Palatino Linotype" w:hAnsi="Palatino Linotype"/>
                <w:bCs/>
                <w:i/>
                <w:sz w:val="17"/>
                <w:szCs w:val="17"/>
              </w:rPr>
              <w:t>et al</w:t>
            </w:r>
            <w:r w:rsidRPr="00F14D0C">
              <w:rPr>
                <w:rFonts w:ascii="Palatino Linotype" w:hAnsi="Palatino Linotype"/>
                <w:bCs/>
                <w:sz w:val="17"/>
                <w:szCs w:val="17"/>
              </w:rPr>
              <w:t>.</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 xml:space="preserve">Undergraduates talk about their choice to study physics at university: what was </w:t>
            </w:r>
            <w:proofErr w:type="gramStart"/>
            <w:r w:rsidRPr="00F14D0C">
              <w:rPr>
                <w:rFonts w:ascii="Palatino Linotype" w:hAnsi="Palatino Linotype"/>
                <w:bCs/>
                <w:sz w:val="17"/>
                <w:szCs w:val="17"/>
              </w:rPr>
              <w:t>key</w:t>
            </w:r>
            <w:proofErr w:type="gramEnd"/>
            <w:r w:rsidRPr="00F14D0C">
              <w:rPr>
                <w:rFonts w:ascii="Palatino Linotype" w:hAnsi="Palatino Linotype"/>
                <w:bCs/>
                <w:sz w:val="17"/>
                <w:szCs w:val="17"/>
              </w:rPr>
              <w:t xml:space="preserve"> to their participation? </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In press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Physics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Interviews with 50 undergraduates in 21 universities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Taconis and Kessels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How choosing science depends on students’ individual fit to ‘science culture’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2009</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Survey of 54 students aged 13 (in the Netherlands)</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Van Langen and Dekker</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Cross-national differences in participation in tertiary science, technology, engineering and mathematics education</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2005</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All STEM subjects</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In-depth study of the views of 5-6 experts in four countries (The Netherlands, Sweden, United States, and United Kingdom)</w:t>
            </w:r>
          </w:p>
        </w:tc>
      </w:tr>
      <w:tr w:rsidR="00752B6C" w:rsidRPr="00F14D0C" w:rsidTr="003D00B4">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Vidal Rode</w:t>
            </w:r>
            <w:r w:rsidR="00DE23EC" w:rsidRPr="00F14D0C">
              <w:rPr>
                <w:rFonts w:ascii="Palatino Linotype" w:hAnsi="Palatino Linotype"/>
                <w:bCs/>
                <w:sz w:val="17"/>
                <w:szCs w:val="17"/>
              </w:rPr>
              <w:t>ir</w:t>
            </w:r>
            <w:r w:rsidRPr="00F14D0C">
              <w:rPr>
                <w:rFonts w:ascii="Palatino Linotype" w:hAnsi="Palatino Linotype"/>
                <w:bCs/>
                <w:sz w:val="17"/>
                <w:szCs w:val="17"/>
              </w:rPr>
              <w:t>o</w:t>
            </w:r>
          </w:p>
        </w:tc>
        <w:tc>
          <w:tcPr>
            <w:tcW w:w="0" w:type="auto"/>
          </w:tcPr>
          <w:p w:rsidR="00752B6C" w:rsidRPr="00F14D0C" w:rsidRDefault="00752B6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A-level subject choice in England: patterns of uptake and factors affecting subject preferences</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sz w:val="17"/>
                <w:szCs w:val="17"/>
              </w:rPr>
              <w:t>2007</w:t>
            </w:r>
          </w:p>
        </w:tc>
        <w:tc>
          <w:tcPr>
            <w:tcW w:w="0" w:type="auto"/>
          </w:tcPr>
          <w:p w:rsidR="00752B6C" w:rsidRPr="00F14D0C" w:rsidRDefault="005D23DC" w:rsidP="003D00B4">
            <w:pPr>
              <w:tabs>
                <w:tab w:val="clear" w:pos="567"/>
                <w:tab w:val="left" w:pos="720"/>
              </w:tabs>
              <w:spacing w:line="240" w:lineRule="auto"/>
              <w:rPr>
                <w:rFonts w:ascii="Palatino Linotype" w:hAnsi="Palatino Linotype"/>
                <w:bCs/>
                <w:sz w:val="17"/>
                <w:szCs w:val="17"/>
              </w:rPr>
            </w:pPr>
            <w:r w:rsidRPr="00F14D0C">
              <w:rPr>
                <w:rFonts w:ascii="Palatino Linotype" w:hAnsi="Palatino Linotype"/>
                <w:bCs/>
                <w:sz w:val="17"/>
                <w:szCs w:val="17"/>
              </w:rPr>
              <w:t>M</w:t>
            </w:r>
            <w:r w:rsidR="00752B6C" w:rsidRPr="00F14D0C">
              <w:rPr>
                <w:rFonts w:ascii="Palatino Linotype" w:hAnsi="Palatino Linotype"/>
                <w:bCs/>
                <w:sz w:val="17"/>
                <w:szCs w:val="17"/>
              </w:rPr>
              <w:t>athematics and science</w:t>
            </w:r>
          </w:p>
        </w:tc>
        <w:tc>
          <w:tcPr>
            <w:tcW w:w="0" w:type="auto"/>
          </w:tcPr>
          <w:p w:rsidR="00752B6C" w:rsidRPr="00F14D0C" w:rsidRDefault="00752B6C" w:rsidP="003D00B4">
            <w:pPr>
              <w:tabs>
                <w:tab w:val="clear" w:pos="567"/>
                <w:tab w:val="left" w:pos="720"/>
              </w:tabs>
              <w:spacing w:line="240" w:lineRule="auto"/>
              <w:rPr>
                <w:rFonts w:ascii="Palatino Linotype" w:hAnsi="Palatino Linotype"/>
                <w:sz w:val="17"/>
                <w:szCs w:val="17"/>
              </w:rPr>
            </w:pPr>
            <w:r w:rsidRPr="00F14D0C">
              <w:rPr>
                <w:rFonts w:ascii="Palatino Linotype" w:hAnsi="Palatino Linotype"/>
                <w:bCs/>
                <w:sz w:val="17"/>
                <w:szCs w:val="17"/>
              </w:rPr>
              <w:t>Survey of some 6,500 students aged 17-18 in 60 institutions</w:t>
            </w:r>
          </w:p>
        </w:tc>
      </w:tr>
    </w:tbl>
    <w:p w:rsidR="003D2E38" w:rsidRPr="00F14D0C" w:rsidRDefault="003D2E38" w:rsidP="00355FDD">
      <w:pPr>
        <w:spacing w:line="240" w:lineRule="auto"/>
        <w:jc w:val="both"/>
        <w:rPr>
          <w:rFonts w:ascii="Palatino Linotype" w:hAnsi="Palatino Linotype"/>
          <w:sz w:val="17"/>
          <w:szCs w:val="17"/>
        </w:rPr>
      </w:pPr>
    </w:p>
    <w:sectPr w:rsidR="003D2E38" w:rsidRPr="00F14D0C" w:rsidSect="003D00B4">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1A0" w:rsidRDefault="003A11A0" w:rsidP="007D3140">
      <w:pPr>
        <w:spacing w:line="240" w:lineRule="auto"/>
      </w:pPr>
      <w:r>
        <w:separator/>
      </w:r>
    </w:p>
  </w:endnote>
  <w:endnote w:type="continuationSeparator" w:id="0">
    <w:p w:rsidR="003A11A0" w:rsidRDefault="003A11A0" w:rsidP="007D31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Pro 45 Light">
    <w:altName w:val="Corbel"/>
    <w:panose1 w:val="00000000000000000000"/>
    <w:charset w:val="00"/>
    <w:family w:val="swiss"/>
    <w:notTrueType/>
    <w:pitch w:val="variable"/>
    <w:sig w:usb0="00000001" w:usb1="5000204A" w:usb2="00000000" w:usb3="00000000" w:csb0="0000009B"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Arial Narrow"/>
    <w:panose1 w:val="00000000000000000000"/>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LinLibertin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78"/>
      <w:gridCol w:w="929"/>
      <w:gridCol w:w="4179"/>
    </w:tblGrid>
    <w:tr w:rsidR="003A11A0">
      <w:trPr>
        <w:trHeight w:val="151"/>
      </w:trPr>
      <w:tc>
        <w:tcPr>
          <w:tcW w:w="2250" w:type="pct"/>
          <w:tcBorders>
            <w:bottom w:val="single" w:sz="4" w:space="0" w:color="4F81BD" w:themeColor="accent1"/>
          </w:tcBorders>
        </w:tcPr>
        <w:p w:rsidR="003A11A0" w:rsidRDefault="003A11A0">
          <w:pPr>
            <w:pStyle w:val="Header"/>
            <w:rPr>
              <w:rFonts w:asciiTheme="majorHAnsi" w:eastAsiaTheme="majorEastAsia" w:hAnsiTheme="majorHAnsi" w:cstheme="majorBidi"/>
              <w:b/>
              <w:bCs/>
            </w:rPr>
          </w:pPr>
        </w:p>
      </w:tc>
      <w:tc>
        <w:tcPr>
          <w:tcW w:w="500" w:type="pct"/>
          <w:vMerge w:val="restart"/>
          <w:noWrap/>
          <w:vAlign w:val="center"/>
        </w:tcPr>
        <w:p w:rsidR="003A11A0" w:rsidRPr="00D72696" w:rsidRDefault="003A11A0">
          <w:pPr>
            <w:pStyle w:val="NoSpacing"/>
            <w:rPr>
              <w:rFonts w:ascii="Palatino Linotype" w:eastAsiaTheme="majorEastAsia" w:hAnsi="Palatino Linotype" w:cstheme="majorBidi"/>
              <w:sz w:val="18"/>
              <w:szCs w:val="18"/>
            </w:rPr>
          </w:pPr>
          <w:r w:rsidRPr="00D72696">
            <w:rPr>
              <w:rFonts w:ascii="Palatino Linotype" w:eastAsiaTheme="majorEastAsia" w:hAnsi="Palatino Linotype" w:cstheme="majorBidi"/>
              <w:bCs/>
              <w:sz w:val="18"/>
              <w:szCs w:val="18"/>
            </w:rPr>
            <w:t xml:space="preserve">Page </w:t>
          </w:r>
          <w:r w:rsidRPr="00D72696">
            <w:rPr>
              <w:rFonts w:ascii="Palatino Linotype" w:hAnsi="Palatino Linotype"/>
              <w:sz w:val="18"/>
              <w:szCs w:val="18"/>
            </w:rPr>
            <w:fldChar w:fldCharType="begin"/>
          </w:r>
          <w:r w:rsidRPr="00D72696">
            <w:rPr>
              <w:rFonts w:ascii="Palatino Linotype" w:hAnsi="Palatino Linotype"/>
              <w:sz w:val="18"/>
              <w:szCs w:val="18"/>
            </w:rPr>
            <w:instrText xml:space="preserve"> PAGE  \* MERGEFORMAT </w:instrText>
          </w:r>
          <w:r w:rsidRPr="00D72696">
            <w:rPr>
              <w:rFonts w:ascii="Palatino Linotype" w:hAnsi="Palatino Linotype"/>
              <w:sz w:val="18"/>
              <w:szCs w:val="18"/>
            </w:rPr>
            <w:fldChar w:fldCharType="separate"/>
          </w:r>
          <w:r w:rsidR="00CF402C" w:rsidRPr="00CF402C">
            <w:rPr>
              <w:rFonts w:ascii="Palatino Linotype" w:eastAsiaTheme="majorEastAsia" w:hAnsi="Palatino Linotype" w:cstheme="majorBidi"/>
              <w:bCs/>
              <w:noProof/>
              <w:sz w:val="18"/>
              <w:szCs w:val="18"/>
            </w:rPr>
            <w:t>51</w:t>
          </w:r>
          <w:r w:rsidRPr="00D72696">
            <w:rPr>
              <w:rFonts w:ascii="Palatino Linotype" w:eastAsiaTheme="majorEastAsia" w:hAnsi="Palatino Linotype" w:cstheme="majorBidi"/>
              <w:bCs/>
              <w:noProof/>
              <w:sz w:val="18"/>
              <w:szCs w:val="18"/>
            </w:rPr>
            <w:fldChar w:fldCharType="end"/>
          </w:r>
        </w:p>
      </w:tc>
      <w:tc>
        <w:tcPr>
          <w:tcW w:w="2250" w:type="pct"/>
          <w:tcBorders>
            <w:bottom w:val="single" w:sz="4" w:space="0" w:color="4F81BD" w:themeColor="accent1"/>
          </w:tcBorders>
        </w:tcPr>
        <w:p w:rsidR="003A11A0" w:rsidRDefault="003A11A0">
          <w:pPr>
            <w:pStyle w:val="Header"/>
            <w:rPr>
              <w:rFonts w:asciiTheme="majorHAnsi" w:eastAsiaTheme="majorEastAsia" w:hAnsiTheme="majorHAnsi" w:cstheme="majorBidi"/>
              <w:b/>
              <w:bCs/>
            </w:rPr>
          </w:pPr>
        </w:p>
      </w:tc>
    </w:tr>
    <w:tr w:rsidR="003A11A0">
      <w:trPr>
        <w:trHeight w:val="150"/>
      </w:trPr>
      <w:tc>
        <w:tcPr>
          <w:tcW w:w="2250" w:type="pct"/>
          <w:tcBorders>
            <w:top w:val="single" w:sz="4" w:space="0" w:color="4F81BD" w:themeColor="accent1"/>
          </w:tcBorders>
        </w:tcPr>
        <w:p w:rsidR="003A11A0" w:rsidRDefault="003A11A0">
          <w:pPr>
            <w:pStyle w:val="Header"/>
            <w:rPr>
              <w:rFonts w:asciiTheme="majorHAnsi" w:eastAsiaTheme="majorEastAsia" w:hAnsiTheme="majorHAnsi" w:cstheme="majorBidi"/>
              <w:b/>
              <w:bCs/>
            </w:rPr>
          </w:pPr>
        </w:p>
      </w:tc>
      <w:tc>
        <w:tcPr>
          <w:tcW w:w="500" w:type="pct"/>
          <w:vMerge/>
        </w:tcPr>
        <w:p w:rsidR="003A11A0" w:rsidRDefault="003A11A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A11A0" w:rsidRDefault="003A11A0">
          <w:pPr>
            <w:pStyle w:val="Header"/>
            <w:rPr>
              <w:rFonts w:asciiTheme="majorHAnsi" w:eastAsiaTheme="majorEastAsia" w:hAnsiTheme="majorHAnsi" w:cstheme="majorBidi"/>
              <w:b/>
              <w:bCs/>
            </w:rPr>
          </w:pPr>
        </w:p>
      </w:tc>
    </w:tr>
  </w:tbl>
  <w:p w:rsidR="003A11A0" w:rsidRDefault="003A11A0" w:rsidP="00752B6C">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6653"/>
      <w:gridCol w:w="1479"/>
      <w:gridCol w:w="6654"/>
    </w:tblGrid>
    <w:tr w:rsidR="003A11A0">
      <w:trPr>
        <w:trHeight w:val="151"/>
      </w:trPr>
      <w:tc>
        <w:tcPr>
          <w:tcW w:w="2250" w:type="pct"/>
          <w:tcBorders>
            <w:bottom w:val="single" w:sz="4" w:space="0" w:color="4F81BD" w:themeColor="accent1"/>
          </w:tcBorders>
        </w:tcPr>
        <w:p w:rsidR="003A11A0" w:rsidRDefault="003A11A0">
          <w:pPr>
            <w:pStyle w:val="Header"/>
            <w:rPr>
              <w:rFonts w:asciiTheme="majorHAnsi" w:eastAsiaTheme="majorEastAsia" w:hAnsiTheme="majorHAnsi" w:cstheme="majorBidi"/>
              <w:b/>
              <w:bCs/>
            </w:rPr>
          </w:pPr>
        </w:p>
      </w:tc>
      <w:tc>
        <w:tcPr>
          <w:tcW w:w="500" w:type="pct"/>
          <w:vMerge w:val="restart"/>
          <w:noWrap/>
          <w:vAlign w:val="center"/>
        </w:tcPr>
        <w:p w:rsidR="003A11A0" w:rsidRPr="00D72696" w:rsidRDefault="003A11A0" w:rsidP="00752B6C">
          <w:pPr>
            <w:pStyle w:val="NoSpacing"/>
            <w:jc w:val="center"/>
            <w:rPr>
              <w:rFonts w:ascii="Palatino Linotype" w:eastAsiaTheme="majorEastAsia" w:hAnsi="Palatino Linotype" w:cstheme="majorBidi"/>
              <w:sz w:val="18"/>
              <w:szCs w:val="18"/>
            </w:rPr>
          </w:pPr>
          <w:r w:rsidRPr="00D72696">
            <w:rPr>
              <w:rFonts w:ascii="Palatino Linotype" w:eastAsiaTheme="majorEastAsia" w:hAnsi="Palatino Linotype" w:cstheme="majorBidi"/>
              <w:bCs/>
              <w:sz w:val="18"/>
              <w:szCs w:val="18"/>
            </w:rPr>
            <w:t xml:space="preserve">Page </w:t>
          </w:r>
          <w:r w:rsidRPr="00D72696">
            <w:rPr>
              <w:rFonts w:ascii="Palatino Linotype" w:hAnsi="Palatino Linotype"/>
              <w:sz w:val="18"/>
              <w:szCs w:val="18"/>
            </w:rPr>
            <w:fldChar w:fldCharType="begin"/>
          </w:r>
          <w:r w:rsidRPr="00D72696">
            <w:rPr>
              <w:rFonts w:ascii="Palatino Linotype" w:hAnsi="Palatino Linotype"/>
              <w:sz w:val="18"/>
              <w:szCs w:val="18"/>
            </w:rPr>
            <w:instrText xml:space="preserve"> PAGE  \* MERGEFORMAT </w:instrText>
          </w:r>
          <w:r w:rsidRPr="00D72696">
            <w:rPr>
              <w:rFonts w:ascii="Palatino Linotype" w:hAnsi="Palatino Linotype"/>
              <w:sz w:val="18"/>
              <w:szCs w:val="18"/>
            </w:rPr>
            <w:fldChar w:fldCharType="separate"/>
          </w:r>
          <w:r w:rsidR="00CF402C" w:rsidRPr="00CF402C">
            <w:rPr>
              <w:rFonts w:ascii="Palatino Linotype" w:eastAsiaTheme="majorEastAsia" w:hAnsi="Palatino Linotype" w:cstheme="majorBidi"/>
              <w:bCs/>
              <w:noProof/>
              <w:sz w:val="18"/>
              <w:szCs w:val="18"/>
            </w:rPr>
            <w:t>53</w:t>
          </w:r>
          <w:r w:rsidRPr="00D72696">
            <w:rPr>
              <w:rFonts w:ascii="Palatino Linotype" w:eastAsiaTheme="majorEastAsia" w:hAnsi="Palatino Linotype" w:cstheme="majorBidi"/>
              <w:bCs/>
              <w:noProof/>
              <w:sz w:val="18"/>
              <w:szCs w:val="18"/>
            </w:rPr>
            <w:fldChar w:fldCharType="end"/>
          </w:r>
        </w:p>
      </w:tc>
      <w:tc>
        <w:tcPr>
          <w:tcW w:w="2250" w:type="pct"/>
          <w:tcBorders>
            <w:bottom w:val="single" w:sz="4" w:space="0" w:color="4F81BD" w:themeColor="accent1"/>
          </w:tcBorders>
        </w:tcPr>
        <w:p w:rsidR="003A11A0" w:rsidRDefault="003A11A0">
          <w:pPr>
            <w:pStyle w:val="Header"/>
            <w:rPr>
              <w:rFonts w:asciiTheme="majorHAnsi" w:eastAsiaTheme="majorEastAsia" w:hAnsiTheme="majorHAnsi" w:cstheme="majorBidi"/>
              <w:b/>
              <w:bCs/>
            </w:rPr>
          </w:pPr>
        </w:p>
      </w:tc>
    </w:tr>
    <w:tr w:rsidR="003A11A0">
      <w:trPr>
        <w:trHeight w:val="150"/>
      </w:trPr>
      <w:tc>
        <w:tcPr>
          <w:tcW w:w="2250" w:type="pct"/>
          <w:tcBorders>
            <w:top w:val="single" w:sz="4" w:space="0" w:color="4F81BD" w:themeColor="accent1"/>
          </w:tcBorders>
        </w:tcPr>
        <w:p w:rsidR="003A11A0" w:rsidRDefault="003A11A0">
          <w:pPr>
            <w:pStyle w:val="Header"/>
            <w:rPr>
              <w:rFonts w:asciiTheme="majorHAnsi" w:eastAsiaTheme="majorEastAsia" w:hAnsiTheme="majorHAnsi" w:cstheme="majorBidi"/>
              <w:b/>
              <w:bCs/>
            </w:rPr>
          </w:pPr>
        </w:p>
      </w:tc>
      <w:tc>
        <w:tcPr>
          <w:tcW w:w="500" w:type="pct"/>
          <w:vMerge/>
        </w:tcPr>
        <w:p w:rsidR="003A11A0" w:rsidRDefault="003A11A0">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A11A0" w:rsidRDefault="003A11A0">
          <w:pPr>
            <w:pStyle w:val="Header"/>
            <w:rPr>
              <w:rFonts w:asciiTheme="majorHAnsi" w:eastAsiaTheme="majorEastAsia" w:hAnsiTheme="majorHAnsi" w:cstheme="majorBidi"/>
              <w:b/>
              <w:bCs/>
            </w:rPr>
          </w:pPr>
        </w:p>
      </w:tc>
    </w:tr>
  </w:tbl>
  <w:p w:rsidR="003A11A0" w:rsidRDefault="003A11A0" w:rsidP="00752B6C">
    <w:pPr>
      <w:pStyle w:val="Footer"/>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1A0" w:rsidRDefault="003A11A0" w:rsidP="007D3140">
      <w:pPr>
        <w:spacing w:line="240" w:lineRule="auto"/>
      </w:pPr>
      <w:r>
        <w:separator/>
      </w:r>
    </w:p>
  </w:footnote>
  <w:footnote w:type="continuationSeparator" w:id="0">
    <w:p w:rsidR="003A11A0" w:rsidRDefault="003A11A0" w:rsidP="007D3140">
      <w:pPr>
        <w:spacing w:line="240" w:lineRule="auto"/>
      </w:pPr>
      <w:r>
        <w:continuationSeparator/>
      </w:r>
    </w:p>
  </w:footnote>
  <w:footnote w:id="1">
    <w:p w:rsidR="003A11A0" w:rsidRPr="00D711E7" w:rsidRDefault="003A11A0">
      <w:pPr>
        <w:pStyle w:val="FootnoteText"/>
        <w:rPr>
          <w:rFonts w:ascii="Palatino Linotype" w:hAnsi="Palatino Linotype"/>
        </w:rPr>
      </w:pPr>
      <w:r w:rsidRPr="00D711E7">
        <w:rPr>
          <w:rStyle w:val="FootnoteReference"/>
          <w:rFonts w:ascii="Palatino Linotype" w:hAnsi="Palatino Linotype"/>
        </w:rPr>
        <w:footnoteRef/>
      </w:r>
      <w:r w:rsidRPr="00D711E7">
        <w:rPr>
          <w:rFonts w:ascii="Palatino Linotype" w:hAnsi="Palatino Linotype"/>
        </w:rPr>
        <w:t xml:space="preserve"> </w:t>
      </w:r>
      <w:r>
        <w:rPr>
          <w:rFonts w:ascii="Palatino Linotype" w:hAnsi="Palatino Linotype"/>
        </w:rPr>
        <w:tab/>
        <w:t>I</w:t>
      </w:r>
      <w:r w:rsidRPr="00D711E7">
        <w:rPr>
          <w:rFonts w:ascii="Palatino Linotype" w:hAnsi="Palatino Linotype"/>
        </w:rPr>
        <w:t>t should be noted that</w:t>
      </w:r>
      <w:r>
        <w:rPr>
          <w:rFonts w:ascii="Palatino Linotype" w:hAnsi="Palatino Linotype"/>
        </w:rPr>
        <w:t xml:space="preserve"> exact levels of demand for STEM skills are hard to assess, and therefore it is not possible to access hard data on predicted shortages. </w:t>
      </w:r>
    </w:p>
  </w:footnote>
  <w:footnote w:id="2">
    <w:p w:rsidR="003A11A0" w:rsidRPr="00F639AC" w:rsidRDefault="003A11A0">
      <w:pPr>
        <w:pStyle w:val="FootnoteText"/>
        <w:rPr>
          <w:rFonts w:ascii="Palatino Linotype" w:hAnsi="Palatino Linotype"/>
        </w:rPr>
      </w:pPr>
      <w:r w:rsidRPr="00F639AC">
        <w:rPr>
          <w:rStyle w:val="FootnoteReference"/>
          <w:rFonts w:ascii="Palatino Linotype" w:hAnsi="Palatino Linotype"/>
        </w:rPr>
        <w:footnoteRef/>
      </w:r>
      <w:r w:rsidRPr="00F639AC">
        <w:rPr>
          <w:rFonts w:ascii="Palatino Linotype" w:hAnsi="Palatino Linotype"/>
        </w:rPr>
        <w:t xml:space="preserve"> </w:t>
      </w:r>
      <w:r>
        <w:rPr>
          <w:rFonts w:ascii="Palatino Linotype" w:hAnsi="Palatino Linotype"/>
        </w:rPr>
        <w:tab/>
        <w:t>Work reported from the UK was limited to provision in England and Wales.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A5250"/>
    <w:lvl w:ilvl="0">
      <w:start w:val="1"/>
      <w:numFmt w:val="decimal"/>
      <w:pStyle w:val="SNRHeading1"/>
      <w:suff w:val="space"/>
      <w:lvlText w:val="Chapter %1:"/>
      <w:lvlJc w:val="left"/>
      <w:pPr>
        <w:ind w:left="1985" w:firstLine="0"/>
      </w:pPr>
      <w:rPr>
        <w:rFonts w:ascii="Frutiger LT Pro 45 Light" w:hAnsi="Frutiger LT Pro 45 Light" w:hint="default"/>
        <w:b/>
        <w:bCs w:val="0"/>
        <w:i w:val="0"/>
        <w:iCs w:val="0"/>
        <w:caps w:val="0"/>
        <w:smallCaps w:val="0"/>
        <w:strike w:val="0"/>
        <w:dstrike w:val="0"/>
        <w:noProof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NRHeading2"/>
      <w:lvlText w:val="%1.%2"/>
      <w:lvlJc w:val="left"/>
      <w:pPr>
        <w:ind w:left="0" w:firstLine="0"/>
      </w:pPr>
      <w:rPr>
        <w:rFonts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RHeading3"/>
      <w:lvlText w:val="%1.%2.%3"/>
      <w:lvlJc w:val="left"/>
      <w:pPr>
        <w:ind w:left="0" w:firstLine="0"/>
      </w:pPr>
      <w:rPr>
        <w:rFonts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NRHeading4"/>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decimal"/>
      <w:lvlRestart w:val="1"/>
      <w:pStyle w:val="SNRFiguretitle"/>
      <w:suff w:val="space"/>
      <w:lvlText w:val="Figure %1. %6."/>
      <w:lvlJc w:val="left"/>
      <w:pPr>
        <w:ind w:left="0" w:firstLine="0"/>
      </w:pPr>
      <w:rPr>
        <w:rFonts w:cs="Times New Roman"/>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suff w:val="nothing"/>
      <w:lvlText w:val=""/>
      <w:lvlJc w:val="left"/>
      <w:pPr>
        <w:ind w:left="0" w:firstLine="0"/>
      </w:pPr>
      <w:rPr>
        <w:rFonts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nsid w:val="00000008"/>
    <w:multiLevelType w:val="multilevel"/>
    <w:tmpl w:val="ED84AA10"/>
    <w:lvl w:ilvl="0">
      <w:start w:val="1"/>
      <w:numFmt w:val="lowerRoman"/>
      <w:pStyle w:val="SNRListNumbered"/>
      <w:lvlText w:val="(%1)"/>
      <w:lvlJc w:val="left"/>
      <w:pPr>
        <w:tabs>
          <w:tab w:val="num" w:pos="720"/>
        </w:tabs>
        <w:ind w:left="720" w:hanging="720"/>
      </w:pPr>
      <w:rPr>
        <w:b w:val="0"/>
        <w:em w:val="none"/>
      </w:rPr>
    </w:lvl>
    <w:lvl w:ilvl="1">
      <w:start w:val="1"/>
      <w:numFmt w:val="lowerLetter"/>
      <w:lvlText w:val="%2."/>
      <w:lvlJc w:val="left"/>
      <w:pPr>
        <w:tabs>
          <w:tab w:val="num" w:pos="1083"/>
        </w:tabs>
        <w:ind w:left="1083" w:hanging="360"/>
      </w:pPr>
      <w:rPr>
        <w:rFonts w:hint="default"/>
      </w:rPr>
    </w:lvl>
    <w:lvl w:ilvl="2">
      <w:start w:val="1"/>
      <w:numFmt w:val="lowerRoman"/>
      <w:lvlText w:val="%3."/>
      <w:lvlJc w:val="right"/>
      <w:pPr>
        <w:tabs>
          <w:tab w:val="num" w:pos="1803"/>
        </w:tabs>
        <w:ind w:left="1803" w:hanging="180"/>
      </w:pPr>
      <w:rPr>
        <w:rFonts w:hint="default"/>
      </w:rPr>
    </w:lvl>
    <w:lvl w:ilvl="3">
      <w:start w:val="1"/>
      <w:numFmt w:val="decimal"/>
      <w:lvlText w:val="%4."/>
      <w:lvlJc w:val="left"/>
      <w:pPr>
        <w:tabs>
          <w:tab w:val="num" w:pos="2523"/>
        </w:tabs>
        <w:ind w:left="2523" w:hanging="360"/>
      </w:pPr>
      <w:rPr>
        <w:rFonts w:hint="default"/>
      </w:rPr>
    </w:lvl>
    <w:lvl w:ilvl="4">
      <w:start w:val="1"/>
      <w:numFmt w:val="lowerLetter"/>
      <w:lvlText w:val="%5."/>
      <w:lvlJc w:val="left"/>
      <w:pPr>
        <w:tabs>
          <w:tab w:val="num" w:pos="3243"/>
        </w:tabs>
        <w:ind w:left="3243" w:hanging="360"/>
      </w:pPr>
      <w:rPr>
        <w:rFonts w:hint="default"/>
      </w:rPr>
    </w:lvl>
    <w:lvl w:ilvl="5">
      <w:start w:val="1"/>
      <w:numFmt w:val="lowerRoman"/>
      <w:lvlText w:val="%6."/>
      <w:lvlJc w:val="right"/>
      <w:pPr>
        <w:tabs>
          <w:tab w:val="num" w:pos="3963"/>
        </w:tabs>
        <w:ind w:left="3963" w:hanging="180"/>
      </w:pPr>
      <w:rPr>
        <w:rFonts w:hint="default"/>
      </w:rPr>
    </w:lvl>
    <w:lvl w:ilvl="6">
      <w:start w:val="1"/>
      <w:numFmt w:val="decimal"/>
      <w:lvlText w:val="%7."/>
      <w:lvlJc w:val="left"/>
      <w:pPr>
        <w:tabs>
          <w:tab w:val="num" w:pos="4683"/>
        </w:tabs>
        <w:ind w:left="4683" w:hanging="360"/>
      </w:pPr>
      <w:rPr>
        <w:rFonts w:hint="default"/>
      </w:rPr>
    </w:lvl>
    <w:lvl w:ilvl="7">
      <w:start w:val="1"/>
      <w:numFmt w:val="lowerLetter"/>
      <w:lvlText w:val="%8."/>
      <w:lvlJc w:val="left"/>
      <w:pPr>
        <w:tabs>
          <w:tab w:val="num" w:pos="5403"/>
        </w:tabs>
        <w:ind w:left="5403" w:hanging="360"/>
      </w:pPr>
      <w:rPr>
        <w:rFonts w:hint="default"/>
      </w:rPr>
    </w:lvl>
    <w:lvl w:ilvl="8">
      <w:start w:val="1"/>
      <w:numFmt w:val="lowerRoman"/>
      <w:lvlText w:val="%9."/>
      <w:lvlJc w:val="right"/>
      <w:pPr>
        <w:tabs>
          <w:tab w:val="num" w:pos="6123"/>
        </w:tabs>
        <w:ind w:left="6123" w:hanging="180"/>
      </w:pPr>
      <w:rPr>
        <w:rFonts w:hint="default"/>
      </w:rPr>
    </w:lvl>
  </w:abstractNum>
  <w:abstractNum w:abstractNumId="2">
    <w:nsid w:val="01C80ED1"/>
    <w:multiLevelType w:val="hybridMultilevel"/>
    <w:tmpl w:val="19B206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A559EB"/>
    <w:multiLevelType w:val="hybridMultilevel"/>
    <w:tmpl w:val="9A125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E84B5F"/>
    <w:multiLevelType w:val="hybridMultilevel"/>
    <w:tmpl w:val="82927F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08FA1C2E"/>
    <w:multiLevelType w:val="hybridMultilevel"/>
    <w:tmpl w:val="A394D0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D390606"/>
    <w:multiLevelType w:val="multilevel"/>
    <w:tmpl w:val="797291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4D7A7C"/>
    <w:multiLevelType w:val="hybridMultilevel"/>
    <w:tmpl w:val="6908B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7D062D"/>
    <w:multiLevelType w:val="hybridMultilevel"/>
    <w:tmpl w:val="2A6493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nsid w:val="1D044F92"/>
    <w:multiLevelType w:val="multilevel"/>
    <w:tmpl w:val="D258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7D5FC6"/>
    <w:multiLevelType w:val="multilevel"/>
    <w:tmpl w:val="0DF85090"/>
    <w:lvl w:ilvl="0">
      <w:start w:val="1"/>
      <w:numFmt w:val="decimal"/>
      <w:lvlText w:val="%1"/>
      <w:lvlJc w:val="left"/>
      <w:pPr>
        <w:ind w:left="564" w:hanging="564"/>
      </w:pPr>
      <w:rPr>
        <w:rFonts w:hint="default"/>
      </w:rPr>
    </w:lvl>
    <w:lvl w:ilvl="1">
      <w:start w:val="1"/>
      <w:numFmt w:val="decimal"/>
      <w:lvlText w:val="%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2E6D3FB8"/>
    <w:multiLevelType w:val="hybridMultilevel"/>
    <w:tmpl w:val="758AA1E8"/>
    <w:lvl w:ilvl="0" w:tplc="0809000F">
      <w:start w:val="1"/>
      <w:numFmt w:val="decimal"/>
      <w:lvlText w:val="%1."/>
      <w:lvlJc w:val="left"/>
      <w:pPr>
        <w:ind w:left="1400" w:hanging="360"/>
      </w:p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12">
    <w:nsid w:val="37C5376C"/>
    <w:multiLevelType w:val="multilevel"/>
    <w:tmpl w:val="45A2C712"/>
    <w:lvl w:ilvl="0">
      <w:start w:val="1"/>
      <w:numFmt w:val="decimal"/>
      <w:lvlText w:val="%1"/>
      <w:lvlJc w:val="left"/>
      <w:pPr>
        <w:ind w:left="564" w:hanging="564"/>
      </w:pPr>
      <w:rPr>
        <w:rFonts w:hint="default"/>
      </w:rPr>
    </w:lvl>
    <w:lvl w:ilvl="1">
      <w:start w:val="1"/>
      <w:numFmt w:val="decimal"/>
      <w:lvlText w:val="%2."/>
      <w:lvlJc w:val="left"/>
      <w:pPr>
        <w:ind w:left="564" w:hanging="564"/>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AF469CD"/>
    <w:multiLevelType w:val="hybridMultilevel"/>
    <w:tmpl w:val="074C5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075EA8"/>
    <w:multiLevelType w:val="hybridMultilevel"/>
    <w:tmpl w:val="5790C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9C0D5B"/>
    <w:multiLevelType w:val="hybridMultilevel"/>
    <w:tmpl w:val="9FCE3EBA"/>
    <w:lvl w:ilvl="0" w:tplc="176607E8">
      <w:start w:val="1"/>
      <w:numFmt w:val="decimal"/>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6">
    <w:nsid w:val="508955F9"/>
    <w:multiLevelType w:val="hybridMultilevel"/>
    <w:tmpl w:val="058287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7F5089D"/>
    <w:multiLevelType w:val="hybridMultilevel"/>
    <w:tmpl w:val="92BE2A8A"/>
    <w:lvl w:ilvl="0" w:tplc="77D0F240">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5A117B24"/>
    <w:multiLevelType w:val="hybridMultilevel"/>
    <w:tmpl w:val="AD10B7F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5C876EFC"/>
    <w:multiLevelType w:val="hybridMultilevel"/>
    <w:tmpl w:val="22569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01E3350"/>
    <w:multiLevelType w:val="hybridMultilevel"/>
    <w:tmpl w:val="44EC91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13"/>
  </w:num>
  <w:num w:numId="6">
    <w:abstractNumId w:val="14"/>
  </w:num>
  <w:num w:numId="7">
    <w:abstractNumId w:val="0"/>
  </w:num>
  <w:num w:numId="8">
    <w:abstractNumId w:val="1"/>
  </w:num>
  <w:num w:numId="9">
    <w:abstractNumId w:val="11"/>
  </w:num>
  <w:num w:numId="10">
    <w:abstractNumId w:val="5"/>
  </w:num>
  <w:num w:numId="11">
    <w:abstractNumId w:val="9"/>
  </w:num>
  <w:num w:numId="12">
    <w:abstractNumId w:val="15"/>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10"/>
  </w:num>
  <w:num w:numId="17">
    <w:abstractNumId w:val="19"/>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704"/>
    <w:rsid w:val="000021A2"/>
    <w:rsid w:val="00005BB0"/>
    <w:rsid w:val="00006BE4"/>
    <w:rsid w:val="00012501"/>
    <w:rsid w:val="00012A7A"/>
    <w:rsid w:val="00021BBE"/>
    <w:rsid w:val="00023F9B"/>
    <w:rsid w:val="00024590"/>
    <w:rsid w:val="0002700E"/>
    <w:rsid w:val="00030B57"/>
    <w:rsid w:val="000323CF"/>
    <w:rsid w:val="00047057"/>
    <w:rsid w:val="00056025"/>
    <w:rsid w:val="0005651A"/>
    <w:rsid w:val="00066576"/>
    <w:rsid w:val="00067823"/>
    <w:rsid w:val="0007057E"/>
    <w:rsid w:val="00074DF3"/>
    <w:rsid w:val="0008404F"/>
    <w:rsid w:val="0008451B"/>
    <w:rsid w:val="000853F8"/>
    <w:rsid w:val="00092B5D"/>
    <w:rsid w:val="00095E61"/>
    <w:rsid w:val="000A29FF"/>
    <w:rsid w:val="000A312C"/>
    <w:rsid w:val="000A4857"/>
    <w:rsid w:val="000A4C62"/>
    <w:rsid w:val="000A7579"/>
    <w:rsid w:val="000B17A3"/>
    <w:rsid w:val="000B284B"/>
    <w:rsid w:val="000B29BF"/>
    <w:rsid w:val="000B419A"/>
    <w:rsid w:val="000C3FAE"/>
    <w:rsid w:val="000D1D0B"/>
    <w:rsid w:val="000E115F"/>
    <w:rsid w:val="000E288A"/>
    <w:rsid w:val="000F601A"/>
    <w:rsid w:val="00102C2D"/>
    <w:rsid w:val="001047CF"/>
    <w:rsid w:val="00105A38"/>
    <w:rsid w:val="00113C98"/>
    <w:rsid w:val="0011513C"/>
    <w:rsid w:val="00115BD8"/>
    <w:rsid w:val="00116942"/>
    <w:rsid w:val="00121648"/>
    <w:rsid w:val="00123738"/>
    <w:rsid w:val="00124621"/>
    <w:rsid w:val="0013051A"/>
    <w:rsid w:val="00130764"/>
    <w:rsid w:val="00130DB9"/>
    <w:rsid w:val="001343F7"/>
    <w:rsid w:val="00134E46"/>
    <w:rsid w:val="00147A7B"/>
    <w:rsid w:val="00157D61"/>
    <w:rsid w:val="0016369C"/>
    <w:rsid w:val="00163DAB"/>
    <w:rsid w:val="001669A8"/>
    <w:rsid w:val="00173B3D"/>
    <w:rsid w:val="00173F1E"/>
    <w:rsid w:val="0017459D"/>
    <w:rsid w:val="00174BA1"/>
    <w:rsid w:val="001803BF"/>
    <w:rsid w:val="00184DDC"/>
    <w:rsid w:val="0018719B"/>
    <w:rsid w:val="001871EF"/>
    <w:rsid w:val="001A47D5"/>
    <w:rsid w:val="001A7521"/>
    <w:rsid w:val="001B2F35"/>
    <w:rsid w:val="001B57C1"/>
    <w:rsid w:val="001C02C7"/>
    <w:rsid w:val="001C081B"/>
    <w:rsid w:val="001C08B6"/>
    <w:rsid w:val="001C35BB"/>
    <w:rsid w:val="001C5849"/>
    <w:rsid w:val="001D0890"/>
    <w:rsid w:val="001D0A16"/>
    <w:rsid w:val="001D5E36"/>
    <w:rsid w:val="001E0E5E"/>
    <w:rsid w:val="001E3F33"/>
    <w:rsid w:val="001E6C0C"/>
    <w:rsid w:val="001F2D4A"/>
    <w:rsid w:val="001F4F7B"/>
    <w:rsid w:val="001F63F4"/>
    <w:rsid w:val="00200221"/>
    <w:rsid w:val="00200989"/>
    <w:rsid w:val="00200F5F"/>
    <w:rsid w:val="0020177C"/>
    <w:rsid w:val="00202CD7"/>
    <w:rsid w:val="0020359F"/>
    <w:rsid w:val="00215443"/>
    <w:rsid w:val="00217CEB"/>
    <w:rsid w:val="00222B3C"/>
    <w:rsid w:val="00226552"/>
    <w:rsid w:val="00226C17"/>
    <w:rsid w:val="00227484"/>
    <w:rsid w:val="0022767D"/>
    <w:rsid w:val="00231FEA"/>
    <w:rsid w:val="00235171"/>
    <w:rsid w:val="002366D8"/>
    <w:rsid w:val="0023682B"/>
    <w:rsid w:val="00240AAF"/>
    <w:rsid w:val="00241F9B"/>
    <w:rsid w:val="00243C7B"/>
    <w:rsid w:val="00244238"/>
    <w:rsid w:val="00245503"/>
    <w:rsid w:val="00253525"/>
    <w:rsid w:val="00253AC7"/>
    <w:rsid w:val="002541A6"/>
    <w:rsid w:val="002563F5"/>
    <w:rsid w:val="00256C1C"/>
    <w:rsid w:val="00257E25"/>
    <w:rsid w:val="0026083E"/>
    <w:rsid w:val="002621F6"/>
    <w:rsid w:val="00263C2C"/>
    <w:rsid w:val="00264605"/>
    <w:rsid w:val="00264B3E"/>
    <w:rsid w:val="002735A6"/>
    <w:rsid w:val="0028043C"/>
    <w:rsid w:val="0028392D"/>
    <w:rsid w:val="002849DA"/>
    <w:rsid w:val="00284EFD"/>
    <w:rsid w:val="002900BA"/>
    <w:rsid w:val="002902D0"/>
    <w:rsid w:val="00293A9E"/>
    <w:rsid w:val="002A1E80"/>
    <w:rsid w:val="002A24BA"/>
    <w:rsid w:val="002A5A7C"/>
    <w:rsid w:val="002A7456"/>
    <w:rsid w:val="002B0558"/>
    <w:rsid w:val="002B1A14"/>
    <w:rsid w:val="002B38B7"/>
    <w:rsid w:val="002B3A4B"/>
    <w:rsid w:val="002B550C"/>
    <w:rsid w:val="002B66FF"/>
    <w:rsid w:val="002B7F3B"/>
    <w:rsid w:val="002C07B1"/>
    <w:rsid w:val="002C51D6"/>
    <w:rsid w:val="002C79AF"/>
    <w:rsid w:val="002D065F"/>
    <w:rsid w:val="002E49DC"/>
    <w:rsid w:val="002E7578"/>
    <w:rsid w:val="002F106C"/>
    <w:rsid w:val="002F233B"/>
    <w:rsid w:val="0030037E"/>
    <w:rsid w:val="0031274C"/>
    <w:rsid w:val="0032498E"/>
    <w:rsid w:val="003254F1"/>
    <w:rsid w:val="00325761"/>
    <w:rsid w:val="00330381"/>
    <w:rsid w:val="00330A91"/>
    <w:rsid w:val="00340726"/>
    <w:rsid w:val="003503D0"/>
    <w:rsid w:val="00353BE8"/>
    <w:rsid w:val="00354CBB"/>
    <w:rsid w:val="00354CD8"/>
    <w:rsid w:val="00355FDD"/>
    <w:rsid w:val="00361166"/>
    <w:rsid w:val="0036150C"/>
    <w:rsid w:val="00363755"/>
    <w:rsid w:val="00375731"/>
    <w:rsid w:val="00375AE6"/>
    <w:rsid w:val="00376921"/>
    <w:rsid w:val="00377CDA"/>
    <w:rsid w:val="00383CB1"/>
    <w:rsid w:val="00385411"/>
    <w:rsid w:val="003862A2"/>
    <w:rsid w:val="00392C5F"/>
    <w:rsid w:val="00395809"/>
    <w:rsid w:val="003A11A0"/>
    <w:rsid w:val="003A5BC5"/>
    <w:rsid w:val="003B3A78"/>
    <w:rsid w:val="003B4292"/>
    <w:rsid w:val="003B70D7"/>
    <w:rsid w:val="003C1799"/>
    <w:rsid w:val="003C5486"/>
    <w:rsid w:val="003C5C5E"/>
    <w:rsid w:val="003D00B4"/>
    <w:rsid w:val="003D2E38"/>
    <w:rsid w:val="003D33BD"/>
    <w:rsid w:val="003E0476"/>
    <w:rsid w:val="003E2B4B"/>
    <w:rsid w:val="003E7353"/>
    <w:rsid w:val="00406638"/>
    <w:rsid w:val="00407A14"/>
    <w:rsid w:val="004102F3"/>
    <w:rsid w:val="00410F7F"/>
    <w:rsid w:val="00414748"/>
    <w:rsid w:val="00414C03"/>
    <w:rsid w:val="004159D3"/>
    <w:rsid w:val="00421403"/>
    <w:rsid w:val="004225DB"/>
    <w:rsid w:val="00422831"/>
    <w:rsid w:val="00427D52"/>
    <w:rsid w:val="00430CBD"/>
    <w:rsid w:val="00435E75"/>
    <w:rsid w:val="004414F1"/>
    <w:rsid w:val="00443026"/>
    <w:rsid w:val="00445D6A"/>
    <w:rsid w:val="0045424B"/>
    <w:rsid w:val="00454E01"/>
    <w:rsid w:val="00460091"/>
    <w:rsid w:val="00467A15"/>
    <w:rsid w:val="004713EE"/>
    <w:rsid w:val="00476A26"/>
    <w:rsid w:val="00477AD1"/>
    <w:rsid w:val="004803F1"/>
    <w:rsid w:val="00482742"/>
    <w:rsid w:val="00483764"/>
    <w:rsid w:val="00484B48"/>
    <w:rsid w:val="004874DC"/>
    <w:rsid w:val="004930D9"/>
    <w:rsid w:val="0049330E"/>
    <w:rsid w:val="00493617"/>
    <w:rsid w:val="004947E2"/>
    <w:rsid w:val="00496B4B"/>
    <w:rsid w:val="004A0534"/>
    <w:rsid w:val="004B3BCB"/>
    <w:rsid w:val="004B4FE9"/>
    <w:rsid w:val="004C0BA0"/>
    <w:rsid w:val="004C3D03"/>
    <w:rsid w:val="004C736B"/>
    <w:rsid w:val="004E0656"/>
    <w:rsid w:val="004E2E2D"/>
    <w:rsid w:val="004F4645"/>
    <w:rsid w:val="004F4882"/>
    <w:rsid w:val="00503964"/>
    <w:rsid w:val="0050404A"/>
    <w:rsid w:val="0050483E"/>
    <w:rsid w:val="00507453"/>
    <w:rsid w:val="00510145"/>
    <w:rsid w:val="00510AE7"/>
    <w:rsid w:val="00513B70"/>
    <w:rsid w:val="00523FF0"/>
    <w:rsid w:val="00524494"/>
    <w:rsid w:val="005246CC"/>
    <w:rsid w:val="00526FAC"/>
    <w:rsid w:val="00530995"/>
    <w:rsid w:val="005321A8"/>
    <w:rsid w:val="00532673"/>
    <w:rsid w:val="00536561"/>
    <w:rsid w:val="00543321"/>
    <w:rsid w:val="005434E5"/>
    <w:rsid w:val="00566CDD"/>
    <w:rsid w:val="0057159E"/>
    <w:rsid w:val="00573909"/>
    <w:rsid w:val="00576B99"/>
    <w:rsid w:val="00580FFF"/>
    <w:rsid w:val="00581277"/>
    <w:rsid w:val="005827B7"/>
    <w:rsid w:val="00583DA0"/>
    <w:rsid w:val="00584503"/>
    <w:rsid w:val="00590704"/>
    <w:rsid w:val="005929A2"/>
    <w:rsid w:val="0059681F"/>
    <w:rsid w:val="005A2D8A"/>
    <w:rsid w:val="005A3335"/>
    <w:rsid w:val="005A5C92"/>
    <w:rsid w:val="005B3142"/>
    <w:rsid w:val="005B73A0"/>
    <w:rsid w:val="005C11E4"/>
    <w:rsid w:val="005C1982"/>
    <w:rsid w:val="005C19C8"/>
    <w:rsid w:val="005C285E"/>
    <w:rsid w:val="005C48AE"/>
    <w:rsid w:val="005D23DC"/>
    <w:rsid w:val="005D3426"/>
    <w:rsid w:val="005D6704"/>
    <w:rsid w:val="005E049F"/>
    <w:rsid w:val="005E1C64"/>
    <w:rsid w:val="005E44BF"/>
    <w:rsid w:val="005E532E"/>
    <w:rsid w:val="005E7AAB"/>
    <w:rsid w:val="005F033C"/>
    <w:rsid w:val="005F26BC"/>
    <w:rsid w:val="005F4193"/>
    <w:rsid w:val="005F7F65"/>
    <w:rsid w:val="00602FC4"/>
    <w:rsid w:val="00613B0F"/>
    <w:rsid w:val="00617A31"/>
    <w:rsid w:val="00624280"/>
    <w:rsid w:val="00634489"/>
    <w:rsid w:val="0063478A"/>
    <w:rsid w:val="0063699A"/>
    <w:rsid w:val="00641025"/>
    <w:rsid w:val="00642B12"/>
    <w:rsid w:val="00643F0D"/>
    <w:rsid w:val="00651005"/>
    <w:rsid w:val="0065450A"/>
    <w:rsid w:val="00654F3D"/>
    <w:rsid w:val="00657AE6"/>
    <w:rsid w:val="00657C2E"/>
    <w:rsid w:val="006603FE"/>
    <w:rsid w:val="00665167"/>
    <w:rsid w:val="006673A5"/>
    <w:rsid w:val="00670F32"/>
    <w:rsid w:val="00673505"/>
    <w:rsid w:val="00674366"/>
    <w:rsid w:val="00674E33"/>
    <w:rsid w:val="0068411C"/>
    <w:rsid w:val="00692484"/>
    <w:rsid w:val="00696C2F"/>
    <w:rsid w:val="00696DF4"/>
    <w:rsid w:val="00697BE7"/>
    <w:rsid w:val="006A08D9"/>
    <w:rsid w:val="006A275F"/>
    <w:rsid w:val="006B1C06"/>
    <w:rsid w:val="006B1F0A"/>
    <w:rsid w:val="006B7A48"/>
    <w:rsid w:val="006C1C2D"/>
    <w:rsid w:val="006C1CB0"/>
    <w:rsid w:val="006C5767"/>
    <w:rsid w:val="006D2CF4"/>
    <w:rsid w:val="006E5C1E"/>
    <w:rsid w:val="006F26C1"/>
    <w:rsid w:val="006F4B3D"/>
    <w:rsid w:val="006F7513"/>
    <w:rsid w:val="007046AE"/>
    <w:rsid w:val="00710EE4"/>
    <w:rsid w:val="0071683B"/>
    <w:rsid w:val="00716ECB"/>
    <w:rsid w:val="00725434"/>
    <w:rsid w:val="007257E1"/>
    <w:rsid w:val="00726EA7"/>
    <w:rsid w:val="007302DD"/>
    <w:rsid w:val="0073065B"/>
    <w:rsid w:val="0074579D"/>
    <w:rsid w:val="00745D89"/>
    <w:rsid w:val="007478E0"/>
    <w:rsid w:val="007501F9"/>
    <w:rsid w:val="00750416"/>
    <w:rsid w:val="00752B6C"/>
    <w:rsid w:val="007634F8"/>
    <w:rsid w:val="00764FC1"/>
    <w:rsid w:val="00765882"/>
    <w:rsid w:val="00765C80"/>
    <w:rsid w:val="007725E9"/>
    <w:rsid w:val="00781407"/>
    <w:rsid w:val="00784B5C"/>
    <w:rsid w:val="00784FC4"/>
    <w:rsid w:val="00785421"/>
    <w:rsid w:val="00792B29"/>
    <w:rsid w:val="007973CE"/>
    <w:rsid w:val="007A0E06"/>
    <w:rsid w:val="007A5E8F"/>
    <w:rsid w:val="007B6939"/>
    <w:rsid w:val="007C1D7E"/>
    <w:rsid w:val="007C3790"/>
    <w:rsid w:val="007C3BBB"/>
    <w:rsid w:val="007C7CBD"/>
    <w:rsid w:val="007D3140"/>
    <w:rsid w:val="007E0A20"/>
    <w:rsid w:val="007E379B"/>
    <w:rsid w:val="007E4504"/>
    <w:rsid w:val="007E7594"/>
    <w:rsid w:val="007F3F35"/>
    <w:rsid w:val="007F40FD"/>
    <w:rsid w:val="007F6BC6"/>
    <w:rsid w:val="008041DC"/>
    <w:rsid w:val="00807FB1"/>
    <w:rsid w:val="00811711"/>
    <w:rsid w:val="00812F5F"/>
    <w:rsid w:val="00816461"/>
    <w:rsid w:val="00823B29"/>
    <w:rsid w:val="00823BEA"/>
    <w:rsid w:val="008245E5"/>
    <w:rsid w:val="00831960"/>
    <w:rsid w:val="00834CFC"/>
    <w:rsid w:val="00844737"/>
    <w:rsid w:val="00845D72"/>
    <w:rsid w:val="00851DEC"/>
    <w:rsid w:val="00854A54"/>
    <w:rsid w:val="008606C1"/>
    <w:rsid w:val="008631E7"/>
    <w:rsid w:val="00864079"/>
    <w:rsid w:val="0086476E"/>
    <w:rsid w:val="00870CF7"/>
    <w:rsid w:val="00874E36"/>
    <w:rsid w:val="008809AF"/>
    <w:rsid w:val="008849C6"/>
    <w:rsid w:val="00886049"/>
    <w:rsid w:val="008907DD"/>
    <w:rsid w:val="008975ED"/>
    <w:rsid w:val="008A13BB"/>
    <w:rsid w:val="008A2EB1"/>
    <w:rsid w:val="008A7092"/>
    <w:rsid w:val="008B4C94"/>
    <w:rsid w:val="008B7E99"/>
    <w:rsid w:val="008D5769"/>
    <w:rsid w:val="008D5F5C"/>
    <w:rsid w:val="008E151D"/>
    <w:rsid w:val="008E36D9"/>
    <w:rsid w:val="008E3C7E"/>
    <w:rsid w:val="008E3DBD"/>
    <w:rsid w:val="008E65B5"/>
    <w:rsid w:val="008E6F7E"/>
    <w:rsid w:val="008F0EBD"/>
    <w:rsid w:val="008F1A1E"/>
    <w:rsid w:val="008F4D71"/>
    <w:rsid w:val="00902CBB"/>
    <w:rsid w:val="009034C4"/>
    <w:rsid w:val="00915503"/>
    <w:rsid w:val="00916393"/>
    <w:rsid w:val="00916C6C"/>
    <w:rsid w:val="0092065B"/>
    <w:rsid w:val="00920AD3"/>
    <w:rsid w:val="00921EE9"/>
    <w:rsid w:val="00922C52"/>
    <w:rsid w:val="00925CDA"/>
    <w:rsid w:val="00925D8D"/>
    <w:rsid w:val="009261DC"/>
    <w:rsid w:val="0092673B"/>
    <w:rsid w:val="009273AA"/>
    <w:rsid w:val="00931D68"/>
    <w:rsid w:val="00934137"/>
    <w:rsid w:val="009348B6"/>
    <w:rsid w:val="00935E07"/>
    <w:rsid w:val="0094022C"/>
    <w:rsid w:val="009402DB"/>
    <w:rsid w:val="009411E8"/>
    <w:rsid w:val="00942023"/>
    <w:rsid w:val="00943202"/>
    <w:rsid w:val="0095045C"/>
    <w:rsid w:val="00954D1A"/>
    <w:rsid w:val="00955878"/>
    <w:rsid w:val="009572E8"/>
    <w:rsid w:val="00957E28"/>
    <w:rsid w:val="00960519"/>
    <w:rsid w:val="00961FC1"/>
    <w:rsid w:val="009641C1"/>
    <w:rsid w:val="00970692"/>
    <w:rsid w:val="0097088B"/>
    <w:rsid w:val="00970F23"/>
    <w:rsid w:val="00972BCA"/>
    <w:rsid w:val="00977D10"/>
    <w:rsid w:val="0098157E"/>
    <w:rsid w:val="009815B7"/>
    <w:rsid w:val="00982C1B"/>
    <w:rsid w:val="0098304B"/>
    <w:rsid w:val="0098539A"/>
    <w:rsid w:val="009942DA"/>
    <w:rsid w:val="00996339"/>
    <w:rsid w:val="00997805"/>
    <w:rsid w:val="009A1995"/>
    <w:rsid w:val="009B1766"/>
    <w:rsid w:val="009B63CC"/>
    <w:rsid w:val="009C558A"/>
    <w:rsid w:val="009C5B32"/>
    <w:rsid w:val="009C5C08"/>
    <w:rsid w:val="009C5D63"/>
    <w:rsid w:val="009C5FE9"/>
    <w:rsid w:val="009D2621"/>
    <w:rsid w:val="009D3288"/>
    <w:rsid w:val="009D3A71"/>
    <w:rsid w:val="009E054C"/>
    <w:rsid w:val="009E6146"/>
    <w:rsid w:val="009E7E8D"/>
    <w:rsid w:val="009F0695"/>
    <w:rsid w:val="009F0DDB"/>
    <w:rsid w:val="009F2075"/>
    <w:rsid w:val="009F4F4A"/>
    <w:rsid w:val="009F5A83"/>
    <w:rsid w:val="00A03C82"/>
    <w:rsid w:val="00A043ED"/>
    <w:rsid w:val="00A044B1"/>
    <w:rsid w:val="00A04954"/>
    <w:rsid w:val="00A101B2"/>
    <w:rsid w:val="00A12E8B"/>
    <w:rsid w:val="00A13AD1"/>
    <w:rsid w:val="00A13FC4"/>
    <w:rsid w:val="00A14518"/>
    <w:rsid w:val="00A155D9"/>
    <w:rsid w:val="00A15B3C"/>
    <w:rsid w:val="00A15E85"/>
    <w:rsid w:val="00A17156"/>
    <w:rsid w:val="00A204D9"/>
    <w:rsid w:val="00A23E45"/>
    <w:rsid w:val="00A44F33"/>
    <w:rsid w:val="00A547E6"/>
    <w:rsid w:val="00A63F82"/>
    <w:rsid w:val="00A65E43"/>
    <w:rsid w:val="00A67D1A"/>
    <w:rsid w:val="00A73983"/>
    <w:rsid w:val="00A86F3E"/>
    <w:rsid w:val="00A90C6E"/>
    <w:rsid w:val="00A9360E"/>
    <w:rsid w:val="00A97CA6"/>
    <w:rsid w:val="00AA0DC5"/>
    <w:rsid w:val="00AA2A9B"/>
    <w:rsid w:val="00AA5B94"/>
    <w:rsid w:val="00AC0A7A"/>
    <w:rsid w:val="00AC5651"/>
    <w:rsid w:val="00AC5A3D"/>
    <w:rsid w:val="00AD1523"/>
    <w:rsid w:val="00AD19A5"/>
    <w:rsid w:val="00AD40EF"/>
    <w:rsid w:val="00AD6049"/>
    <w:rsid w:val="00B0070E"/>
    <w:rsid w:val="00B05135"/>
    <w:rsid w:val="00B05BB6"/>
    <w:rsid w:val="00B06C6A"/>
    <w:rsid w:val="00B07889"/>
    <w:rsid w:val="00B10A67"/>
    <w:rsid w:val="00B14766"/>
    <w:rsid w:val="00B153CD"/>
    <w:rsid w:val="00B16ED7"/>
    <w:rsid w:val="00B233A5"/>
    <w:rsid w:val="00B2730C"/>
    <w:rsid w:val="00B30128"/>
    <w:rsid w:val="00B319CA"/>
    <w:rsid w:val="00B31F64"/>
    <w:rsid w:val="00B376B7"/>
    <w:rsid w:val="00B40D45"/>
    <w:rsid w:val="00B40E75"/>
    <w:rsid w:val="00B4485A"/>
    <w:rsid w:val="00B45110"/>
    <w:rsid w:val="00B46A78"/>
    <w:rsid w:val="00B47662"/>
    <w:rsid w:val="00B50A3B"/>
    <w:rsid w:val="00B51F41"/>
    <w:rsid w:val="00B536F0"/>
    <w:rsid w:val="00B57A61"/>
    <w:rsid w:val="00B62B60"/>
    <w:rsid w:val="00B65842"/>
    <w:rsid w:val="00B667BB"/>
    <w:rsid w:val="00B70266"/>
    <w:rsid w:val="00B726A2"/>
    <w:rsid w:val="00B74F6D"/>
    <w:rsid w:val="00B75196"/>
    <w:rsid w:val="00B92E09"/>
    <w:rsid w:val="00B944A9"/>
    <w:rsid w:val="00B9690F"/>
    <w:rsid w:val="00BA1BA8"/>
    <w:rsid w:val="00BA34F7"/>
    <w:rsid w:val="00BA5E1C"/>
    <w:rsid w:val="00BA7B97"/>
    <w:rsid w:val="00BB39A5"/>
    <w:rsid w:val="00BC06B9"/>
    <w:rsid w:val="00BC1563"/>
    <w:rsid w:val="00BC353A"/>
    <w:rsid w:val="00BD6CEF"/>
    <w:rsid w:val="00BD734E"/>
    <w:rsid w:val="00BE6091"/>
    <w:rsid w:val="00BE74AD"/>
    <w:rsid w:val="00BF357F"/>
    <w:rsid w:val="00C02921"/>
    <w:rsid w:val="00C03A9C"/>
    <w:rsid w:val="00C13B20"/>
    <w:rsid w:val="00C14587"/>
    <w:rsid w:val="00C14BF6"/>
    <w:rsid w:val="00C24EAB"/>
    <w:rsid w:val="00C25C31"/>
    <w:rsid w:val="00C26C93"/>
    <w:rsid w:val="00C27219"/>
    <w:rsid w:val="00C32033"/>
    <w:rsid w:val="00C368E3"/>
    <w:rsid w:val="00C42BAC"/>
    <w:rsid w:val="00C45F0B"/>
    <w:rsid w:val="00C47CA0"/>
    <w:rsid w:val="00C519A6"/>
    <w:rsid w:val="00C53AC6"/>
    <w:rsid w:val="00C549A3"/>
    <w:rsid w:val="00C56DF6"/>
    <w:rsid w:val="00C6017E"/>
    <w:rsid w:val="00C606A4"/>
    <w:rsid w:val="00C64324"/>
    <w:rsid w:val="00C669A5"/>
    <w:rsid w:val="00C6792B"/>
    <w:rsid w:val="00C74834"/>
    <w:rsid w:val="00C749A6"/>
    <w:rsid w:val="00C74F63"/>
    <w:rsid w:val="00C83876"/>
    <w:rsid w:val="00C92AA3"/>
    <w:rsid w:val="00C93092"/>
    <w:rsid w:val="00C9377B"/>
    <w:rsid w:val="00C93DAD"/>
    <w:rsid w:val="00C964AE"/>
    <w:rsid w:val="00C97F37"/>
    <w:rsid w:val="00CA1852"/>
    <w:rsid w:val="00CA5B46"/>
    <w:rsid w:val="00CB3091"/>
    <w:rsid w:val="00CB4FE8"/>
    <w:rsid w:val="00CC0490"/>
    <w:rsid w:val="00CC3810"/>
    <w:rsid w:val="00CC51B7"/>
    <w:rsid w:val="00CC52F8"/>
    <w:rsid w:val="00CC5B1E"/>
    <w:rsid w:val="00CD1780"/>
    <w:rsid w:val="00CD1D6E"/>
    <w:rsid w:val="00CD1E6E"/>
    <w:rsid w:val="00CD416E"/>
    <w:rsid w:val="00CD498F"/>
    <w:rsid w:val="00CE06CF"/>
    <w:rsid w:val="00CE7F37"/>
    <w:rsid w:val="00CF3F49"/>
    <w:rsid w:val="00CF402C"/>
    <w:rsid w:val="00CF5000"/>
    <w:rsid w:val="00CF612A"/>
    <w:rsid w:val="00D0610F"/>
    <w:rsid w:val="00D1224A"/>
    <w:rsid w:val="00D141EA"/>
    <w:rsid w:val="00D21139"/>
    <w:rsid w:val="00D237D1"/>
    <w:rsid w:val="00D319D1"/>
    <w:rsid w:val="00D33383"/>
    <w:rsid w:val="00D35256"/>
    <w:rsid w:val="00D44FD2"/>
    <w:rsid w:val="00D526FB"/>
    <w:rsid w:val="00D56FF1"/>
    <w:rsid w:val="00D601FD"/>
    <w:rsid w:val="00D60F6C"/>
    <w:rsid w:val="00D611E5"/>
    <w:rsid w:val="00D621E9"/>
    <w:rsid w:val="00D63BAB"/>
    <w:rsid w:val="00D64837"/>
    <w:rsid w:val="00D706C1"/>
    <w:rsid w:val="00D711E7"/>
    <w:rsid w:val="00D72696"/>
    <w:rsid w:val="00D767B9"/>
    <w:rsid w:val="00D847F2"/>
    <w:rsid w:val="00D8527C"/>
    <w:rsid w:val="00D86DB9"/>
    <w:rsid w:val="00D90C4D"/>
    <w:rsid w:val="00D9487D"/>
    <w:rsid w:val="00DA03B0"/>
    <w:rsid w:val="00DA20CD"/>
    <w:rsid w:val="00DA48BE"/>
    <w:rsid w:val="00DB2D69"/>
    <w:rsid w:val="00DB3FEC"/>
    <w:rsid w:val="00DC2DC7"/>
    <w:rsid w:val="00DC33A2"/>
    <w:rsid w:val="00DC689A"/>
    <w:rsid w:val="00DC7EDF"/>
    <w:rsid w:val="00DD23AC"/>
    <w:rsid w:val="00DD4D59"/>
    <w:rsid w:val="00DD504F"/>
    <w:rsid w:val="00DE0431"/>
    <w:rsid w:val="00DE05A0"/>
    <w:rsid w:val="00DE23EC"/>
    <w:rsid w:val="00DE2426"/>
    <w:rsid w:val="00DE53C8"/>
    <w:rsid w:val="00DE542E"/>
    <w:rsid w:val="00DF6946"/>
    <w:rsid w:val="00E041F3"/>
    <w:rsid w:val="00E10EAC"/>
    <w:rsid w:val="00E123B7"/>
    <w:rsid w:val="00E22313"/>
    <w:rsid w:val="00E239E6"/>
    <w:rsid w:val="00E3161C"/>
    <w:rsid w:val="00E32DB6"/>
    <w:rsid w:val="00E3604A"/>
    <w:rsid w:val="00E40E59"/>
    <w:rsid w:val="00E53835"/>
    <w:rsid w:val="00E60248"/>
    <w:rsid w:val="00E62081"/>
    <w:rsid w:val="00E65622"/>
    <w:rsid w:val="00E70919"/>
    <w:rsid w:val="00E716CE"/>
    <w:rsid w:val="00E7572C"/>
    <w:rsid w:val="00E82334"/>
    <w:rsid w:val="00E84864"/>
    <w:rsid w:val="00E91616"/>
    <w:rsid w:val="00E94B1A"/>
    <w:rsid w:val="00EA743B"/>
    <w:rsid w:val="00EB1681"/>
    <w:rsid w:val="00EB4928"/>
    <w:rsid w:val="00EC0672"/>
    <w:rsid w:val="00EC4B52"/>
    <w:rsid w:val="00ED0028"/>
    <w:rsid w:val="00ED1292"/>
    <w:rsid w:val="00ED294A"/>
    <w:rsid w:val="00ED3C58"/>
    <w:rsid w:val="00EE2F79"/>
    <w:rsid w:val="00EE3715"/>
    <w:rsid w:val="00EF257A"/>
    <w:rsid w:val="00F01043"/>
    <w:rsid w:val="00F0165A"/>
    <w:rsid w:val="00F0391C"/>
    <w:rsid w:val="00F0409C"/>
    <w:rsid w:val="00F05E65"/>
    <w:rsid w:val="00F122B6"/>
    <w:rsid w:val="00F12D31"/>
    <w:rsid w:val="00F13617"/>
    <w:rsid w:val="00F14D0C"/>
    <w:rsid w:val="00F158B6"/>
    <w:rsid w:val="00F15EF6"/>
    <w:rsid w:val="00F34389"/>
    <w:rsid w:val="00F37C18"/>
    <w:rsid w:val="00F424D6"/>
    <w:rsid w:val="00F435FA"/>
    <w:rsid w:val="00F436CB"/>
    <w:rsid w:val="00F455CE"/>
    <w:rsid w:val="00F50005"/>
    <w:rsid w:val="00F507EF"/>
    <w:rsid w:val="00F51A40"/>
    <w:rsid w:val="00F520CC"/>
    <w:rsid w:val="00F526E6"/>
    <w:rsid w:val="00F53CE5"/>
    <w:rsid w:val="00F55F49"/>
    <w:rsid w:val="00F5649A"/>
    <w:rsid w:val="00F62AF4"/>
    <w:rsid w:val="00F6304E"/>
    <w:rsid w:val="00F639AC"/>
    <w:rsid w:val="00F73E10"/>
    <w:rsid w:val="00F77C80"/>
    <w:rsid w:val="00F8159F"/>
    <w:rsid w:val="00F8237F"/>
    <w:rsid w:val="00F87E48"/>
    <w:rsid w:val="00F9208C"/>
    <w:rsid w:val="00F95042"/>
    <w:rsid w:val="00F96376"/>
    <w:rsid w:val="00FA3DC4"/>
    <w:rsid w:val="00FA5C09"/>
    <w:rsid w:val="00FA649B"/>
    <w:rsid w:val="00FA7F76"/>
    <w:rsid w:val="00FB0721"/>
    <w:rsid w:val="00FB1348"/>
    <w:rsid w:val="00FC5148"/>
    <w:rsid w:val="00FC6743"/>
    <w:rsid w:val="00FD2A4B"/>
    <w:rsid w:val="00FD3C57"/>
    <w:rsid w:val="00FD4FFB"/>
    <w:rsid w:val="00FD553A"/>
    <w:rsid w:val="00FE25A8"/>
    <w:rsid w:val="00FE2C7C"/>
    <w:rsid w:val="00FE46A5"/>
    <w:rsid w:val="00FE4C12"/>
    <w:rsid w:val="00FF1A10"/>
    <w:rsid w:val="00FF4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9C"/>
    <w:pPr>
      <w:tabs>
        <w:tab w:val="left" w:pos="567"/>
      </w:tabs>
      <w:overflowPunct w:val="0"/>
      <w:autoSpaceDE w:val="0"/>
      <w:autoSpaceDN w:val="0"/>
      <w:adjustRightInd w:val="0"/>
      <w:spacing w:after="0" w:line="280" w:lineRule="exact"/>
    </w:pPr>
    <w:rPr>
      <w:rFonts w:ascii="Frutiger 45 Light" w:eastAsia="Times New Roman" w:hAnsi="Frutiger 45 Light" w:cs="Times New Roman"/>
      <w:sz w:val="20"/>
      <w:szCs w:val="20"/>
    </w:rPr>
  </w:style>
  <w:style w:type="paragraph" w:styleId="Heading1">
    <w:name w:val="heading 1"/>
    <w:basedOn w:val="Normal"/>
    <w:next w:val="Normal"/>
    <w:link w:val="Heading1Char"/>
    <w:uiPriority w:val="9"/>
    <w:qFormat/>
    <w:rsid w:val="00674E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E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E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E3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74E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3A9C"/>
    <w:rPr>
      <w:color w:val="0000FF"/>
      <w:u w:val="single"/>
    </w:rPr>
  </w:style>
  <w:style w:type="paragraph" w:styleId="ListParagraph">
    <w:name w:val="List Paragraph"/>
    <w:basedOn w:val="Normal"/>
    <w:uiPriority w:val="34"/>
    <w:qFormat/>
    <w:rsid w:val="00C03A9C"/>
    <w:pPr>
      <w:ind w:left="720"/>
    </w:pPr>
  </w:style>
  <w:style w:type="table" w:styleId="TableGrid">
    <w:name w:val="Table Grid"/>
    <w:basedOn w:val="TableNormal"/>
    <w:uiPriority w:val="59"/>
    <w:rsid w:val="00C03A9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B944A9"/>
    <w:pPr>
      <w:tabs>
        <w:tab w:val="clear" w:pos="567"/>
      </w:tabs>
      <w:overflowPunct/>
      <w:autoSpaceDE/>
      <w:autoSpaceDN/>
      <w:adjustRightInd/>
      <w:spacing w:line="240" w:lineRule="auto"/>
      <w:jc w:val="center"/>
    </w:pPr>
    <w:rPr>
      <w:rFonts w:ascii="Times New Roman" w:hAnsi="Times New Roman"/>
      <w:b/>
      <w:sz w:val="24"/>
      <w:lang w:eastAsia="en-GB"/>
    </w:rPr>
  </w:style>
  <w:style w:type="paragraph" w:styleId="BalloonText">
    <w:name w:val="Balloon Text"/>
    <w:basedOn w:val="Normal"/>
    <w:link w:val="BalloonTextChar"/>
    <w:uiPriority w:val="99"/>
    <w:semiHidden/>
    <w:unhideWhenUsed/>
    <w:rsid w:val="001343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F7"/>
    <w:rPr>
      <w:rFonts w:ascii="Tahoma" w:eastAsia="Times New Roman" w:hAnsi="Tahoma" w:cs="Tahoma"/>
      <w:sz w:val="16"/>
      <w:szCs w:val="16"/>
    </w:rPr>
  </w:style>
  <w:style w:type="table" w:customStyle="1" w:styleId="LightShading-Accent11">
    <w:name w:val="Light Shading - Accent 11"/>
    <w:basedOn w:val="TableNormal"/>
    <w:uiPriority w:val="60"/>
    <w:rsid w:val="001C58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NRTableHeading">
    <w:name w:val="SNR Table Heading"/>
    <w:basedOn w:val="Normal"/>
    <w:uiPriority w:val="99"/>
    <w:rsid w:val="001E0E5E"/>
    <w:pPr>
      <w:keepNext/>
      <w:tabs>
        <w:tab w:val="clear" w:pos="567"/>
      </w:tabs>
      <w:suppressAutoHyphens/>
      <w:autoSpaceDN/>
      <w:adjustRightInd/>
      <w:spacing w:before="20" w:after="20" w:line="240" w:lineRule="auto"/>
      <w:jc w:val="center"/>
      <w:textAlignment w:val="baseline"/>
    </w:pPr>
    <w:rPr>
      <w:rFonts w:ascii="Frutiger LT Pro 45 Light" w:eastAsia="MS Mincho" w:hAnsi="Frutiger LT Pro 45 Light"/>
      <w:b/>
      <w:lang w:eastAsia="ar-SA"/>
    </w:rPr>
  </w:style>
  <w:style w:type="paragraph" w:customStyle="1" w:styleId="SNRTableText">
    <w:name w:val="SNR Table Text"/>
    <w:basedOn w:val="Normal"/>
    <w:uiPriority w:val="99"/>
    <w:rsid w:val="001E0E5E"/>
    <w:pPr>
      <w:tabs>
        <w:tab w:val="clear" w:pos="567"/>
      </w:tabs>
      <w:suppressAutoHyphens/>
      <w:autoSpaceDN/>
      <w:adjustRightInd/>
      <w:spacing w:before="40" w:after="40"/>
      <w:textAlignment w:val="baseline"/>
    </w:pPr>
    <w:rPr>
      <w:rFonts w:ascii="Frutiger LT Pro 45 Light" w:eastAsia="MS Mincho" w:hAnsi="Frutiger LT Pro 45 Light"/>
      <w:sz w:val="18"/>
      <w:lang w:eastAsia="ar-SA"/>
    </w:rPr>
  </w:style>
  <w:style w:type="character" w:styleId="FootnoteReference">
    <w:name w:val="footnote reference"/>
    <w:rsid w:val="007D3140"/>
    <w:rPr>
      <w:vertAlign w:val="superscript"/>
    </w:rPr>
  </w:style>
  <w:style w:type="paragraph" w:styleId="FootnoteText">
    <w:name w:val="footnote text"/>
    <w:basedOn w:val="Normal"/>
    <w:link w:val="FootnoteTextChar"/>
    <w:rsid w:val="007D3140"/>
    <w:pPr>
      <w:tabs>
        <w:tab w:val="clear" w:pos="567"/>
        <w:tab w:val="left" w:pos="284"/>
      </w:tabs>
      <w:suppressAutoHyphens/>
      <w:autoSpaceDN/>
      <w:adjustRightInd/>
      <w:spacing w:before="40" w:after="40" w:line="240" w:lineRule="auto"/>
      <w:ind w:left="284" w:hanging="284"/>
      <w:textAlignment w:val="baseline"/>
    </w:pPr>
    <w:rPr>
      <w:rFonts w:ascii="Frutiger LT Pro 45 Light" w:hAnsi="Frutiger LT Pro 45 Light"/>
      <w:sz w:val="16"/>
      <w:lang w:eastAsia="ar-SA"/>
    </w:rPr>
  </w:style>
  <w:style w:type="character" w:customStyle="1" w:styleId="FootnoteTextChar">
    <w:name w:val="Footnote Text Char"/>
    <w:basedOn w:val="DefaultParagraphFont"/>
    <w:link w:val="FootnoteText"/>
    <w:rsid w:val="007D3140"/>
    <w:rPr>
      <w:rFonts w:ascii="Frutiger LT Pro 45 Light" w:eastAsia="Times New Roman" w:hAnsi="Frutiger LT Pro 45 Light" w:cs="Times New Roman"/>
      <w:sz w:val="16"/>
      <w:szCs w:val="20"/>
      <w:lang w:eastAsia="ar-SA"/>
    </w:rPr>
  </w:style>
  <w:style w:type="paragraph" w:customStyle="1" w:styleId="SNRNormal">
    <w:name w:val="SNR Normal"/>
    <w:basedOn w:val="Normal"/>
    <w:link w:val="SNRNormalChar1"/>
    <w:uiPriority w:val="99"/>
    <w:rsid w:val="007D3140"/>
    <w:pPr>
      <w:tabs>
        <w:tab w:val="clear" w:pos="567"/>
      </w:tabs>
      <w:suppressAutoHyphens/>
      <w:autoSpaceDN/>
      <w:adjustRightInd/>
      <w:spacing w:before="240" w:after="40" w:line="280" w:lineRule="atLeast"/>
      <w:textAlignment w:val="baseline"/>
    </w:pPr>
    <w:rPr>
      <w:rFonts w:ascii="Frutiger LT Pro 45 Light" w:hAnsi="Frutiger LT Pro 45 Light"/>
      <w:sz w:val="22"/>
      <w:lang w:eastAsia="ar-SA"/>
    </w:rPr>
  </w:style>
  <w:style w:type="character" w:customStyle="1" w:styleId="SNRNormalChar1">
    <w:name w:val="SNR Normal Char1"/>
    <w:basedOn w:val="DefaultParagraphFont"/>
    <w:link w:val="SNRNormal"/>
    <w:uiPriority w:val="99"/>
    <w:rsid w:val="007D3140"/>
    <w:rPr>
      <w:rFonts w:ascii="Frutiger LT Pro 45 Light" w:eastAsia="Times New Roman" w:hAnsi="Frutiger LT Pro 45 Light" w:cs="Times New Roman"/>
      <w:szCs w:val="20"/>
      <w:lang w:eastAsia="ar-SA"/>
    </w:rPr>
  </w:style>
  <w:style w:type="paragraph" w:customStyle="1" w:styleId="SNRHeading1">
    <w:name w:val="SNR Heading 1"/>
    <w:basedOn w:val="Heading1"/>
    <w:next w:val="SNRNormal"/>
    <w:uiPriority w:val="99"/>
    <w:rsid w:val="00674E33"/>
    <w:pPr>
      <w:keepNext w:val="0"/>
      <w:keepLines w:val="0"/>
      <w:pageBreakBefore/>
      <w:numPr>
        <w:numId w:val="7"/>
      </w:numPr>
      <w:tabs>
        <w:tab w:val="clear" w:pos="567"/>
        <w:tab w:val="num" w:pos="360"/>
      </w:tabs>
      <w:suppressAutoHyphens/>
      <w:autoSpaceDN/>
      <w:adjustRightInd/>
      <w:spacing w:before="40" w:after="240" w:line="280" w:lineRule="atLeast"/>
      <w:ind w:left="0"/>
      <w:textAlignment w:val="baseline"/>
    </w:pPr>
    <w:rPr>
      <w:rFonts w:ascii="Frutiger LT Pro 45 Light" w:eastAsia="Times New Roman" w:hAnsi="Frutiger LT Pro 45 Light" w:cs="Times New Roman"/>
      <w:bCs w:val="0"/>
      <w:color w:val="auto"/>
      <w:kern w:val="1"/>
      <w:sz w:val="24"/>
      <w:szCs w:val="24"/>
      <w:lang w:eastAsia="ar-SA"/>
    </w:rPr>
  </w:style>
  <w:style w:type="paragraph" w:customStyle="1" w:styleId="SNRHeading2">
    <w:name w:val="SNR Heading 2"/>
    <w:basedOn w:val="Heading2"/>
    <w:next w:val="SNRNormal"/>
    <w:link w:val="SNRHeading2Char"/>
    <w:uiPriority w:val="99"/>
    <w:rsid w:val="00674E33"/>
    <w:pPr>
      <w:keepLines w:val="0"/>
      <w:numPr>
        <w:ilvl w:val="1"/>
        <w:numId w:val="7"/>
      </w:numPr>
      <w:tabs>
        <w:tab w:val="clear" w:pos="567"/>
        <w:tab w:val="num" w:pos="360"/>
      </w:tabs>
      <w:suppressAutoHyphens/>
      <w:autoSpaceDN/>
      <w:adjustRightInd/>
      <w:spacing w:before="240" w:after="40"/>
      <w:textAlignment w:val="baseline"/>
    </w:pPr>
    <w:rPr>
      <w:rFonts w:ascii="Frutiger LT Pro 45 Light" w:eastAsia="Times New Roman" w:hAnsi="Frutiger LT Pro 45 Light" w:cs="Times New Roman"/>
      <w:bCs w:val="0"/>
      <w:color w:val="auto"/>
      <w:sz w:val="22"/>
      <w:szCs w:val="20"/>
      <w:lang w:eastAsia="ar-SA"/>
    </w:rPr>
  </w:style>
  <w:style w:type="paragraph" w:customStyle="1" w:styleId="SNRHeading3">
    <w:name w:val="SNR Heading 3"/>
    <w:basedOn w:val="Heading3"/>
    <w:next w:val="SNRNormal"/>
    <w:uiPriority w:val="99"/>
    <w:rsid w:val="00674E33"/>
    <w:pPr>
      <w:keepLines w:val="0"/>
      <w:numPr>
        <w:ilvl w:val="2"/>
        <w:numId w:val="7"/>
      </w:numPr>
      <w:shd w:val="clear" w:color="auto" w:fill="FFFFFF"/>
      <w:tabs>
        <w:tab w:val="clear" w:pos="567"/>
        <w:tab w:val="num" w:pos="360"/>
      </w:tabs>
      <w:suppressAutoHyphens/>
      <w:autoSpaceDN/>
      <w:adjustRightInd/>
      <w:spacing w:before="240" w:after="40" w:line="280" w:lineRule="atLeast"/>
      <w:textAlignment w:val="baseline"/>
    </w:pPr>
    <w:rPr>
      <w:rFonts w:ascii="Frutiger LT Pro 45 Light" w:eastAsia="Times New Roman" w:hAnsi="Frutiger LT Pro 45 Light" w:cs="Arial"/>
      <w:bCs w:val="0"/>
      <w:color w:val="auto"/>
      <w:lang w:eastAsia="ar-SA"/>
    </w:rPr>
  </w:style>
  <w:style w:type="paragraph" w:customStyle="1" w:styleId="SNRTableSource">
    <w:name w:val="SNR Table Source"/>
    <w:basedOn w:val="Normal"/>
    <w:uiPriority w:val="99"/>
    <w:rsid w:val="00674E33"/>
    <w:pPr>
      <w:tabs>
        <w:tab w:val="clear" w:pos="567"/>
      </w:tabs>
      <w:suppressAutoHyphens/>
      <w:autoSpaceDN/>
      <w:adjustRightInd/>
      <w:spacing w:before="40" w:after="40" w:line="240" w:lineRule="auto"/>
      <w:textAlignment w:val="baseline"/>
    </w:pPr>
    <w:rPr>
      <w:rFonts w:ascii="Frutiger LT Pro 45 Light" w:eastAsia="MS Mincho" w:hAnsi="Frutiger LT Pro 45 Light"/>
      <w:sz w:val="16"/>
      <w:szCs w:val="16"/>
      <w:lang w:eastAsia="ar-SA"/>
    </w:rPr>
  </w:style>
  <w:style w:type="paragraph" w:customStyle="1" w:styleId="SNRHeading4">
    <w:name w:val="SNR Heading 4"/>
    <w:basedOn w:val="Heading4"/>
    <w:uiPriority w:val="99"/>
    <w:rsid w:val="00674E33"/>
    <w:pPr>
      <w:keepLines w:val="0"/>
      <w:numPr>
        <w:ilvl w:val="3"/>
        <w:numId w:val="7"/>
      </w:numPr>
      <w:tabs>
        <w:tab w:val="clear" w:pos="567"/>
        <w:tab w:val="num" w:pos="360"/>
      </w:tabs>
      <w:suppressAutoHyphens/>
      <w:autoSpaceDN/>
      <w:adjustRightInd/>
      <w:spacing w:before="240" w:after="60"/>
      <w:textAlignment w:val="baseline"/>
    </w:pPr>
    <w:rPr>
      <w:rFonts w:ascii="Frutiger LT Pro 45 Light" w:eastAsia="Times New Roman" w:hAnsi="Frutiger LT Pro 45 Light" w:cs="Times New Roman"/>
      <w:b w:val="0"/>
      <w:bCs w:val="0"/>
      <w:iCs w:val="0"/>
      <w:color w:val="auto"/>
      <w:lang w:eastAsia="ar-SA"/>
    </w:rPr>
  </w:style>
  <w:style w:type="paragraph" w:customStyle="1" w:styleId="SNRFiguretitle">
    <w:name w:val="SNR Figure title"/>
    <w:basedOn w:val="Heading6"/>
    <w:next w:val="SNRNormal"/>
    <w:uiPriority w:val="99"/>
    <w:rsid w:val="00674E33"/>
    <w:pPr>
      <w:keepLines w:val="0"/>
      <w:numPr>
        <w:ilvl w:val="5"/>
        <w:numId w:val="7"/>
      </w:numPr>
      <w:tabs>
        <w:tab w:val="clear" w:pos="567"/>
        <w:tab w:val="num" w:pos="360"/>
      </w:tabs>
      <w:suppressAutoHyphens/>
      <w:autoSpaceDN/>
      <w:adjustRightInd/>
      <w:spacing w:before="0" w:after="120"/>
      <w:textAlignment w:val="baseline"/>
      <w:outlineLvl w:val="9"/>
    </w:pPr>
    <w:rPr>
      <w:rFonts w:ascii="Frutiger LT Pro 45 Light" w:eastAsia="Times New Roman" w:hAnsi="Frutiger LT Pro 45 Light" w:cs="Frutiger LT Pro 45 Light"/>
      <w:i w:val="0"/>
      <w:iCs w:val="0"/>
      <w:noProof/>
      <w:color w:val="auto"/>
      <w:lang w:eastAsia="en-GB"/>
    </w:rPr>
  </w:style>
  <w:style w:type="paragraph" w:customStyle="1" w:styleId="Default">
    <w:name w:val="Default"/>
    <w:rsid w:val="00674E33"/>
    <w:pPr>
      <w:autoSpaceDE w:val="0"/>
      <w:autoSpaceDN w:val="0"/>
      <w:adjustRightInd w:val="0"/>
      <w:spacing w:before="40" w:after="40" w:line="240" w:lineRule="auto"/>
    </w:pPr>
    <w:rPr>
      <w:rFonts w:ascii="Tahoma" w:eastAsia="Times New Roman" w:hAnsi="Tahoma" w:cs="Tahoma"/>
      <w:color w:val="000000"/>
      <w:sz w:val="24"/>
      <w:szCs w:val="24"/>
      <w:lang w:eastAsia="en-GB"/>
    </w:rPr>
  </w:style>
  <w:style w:type="character" w:customStyle="1" w:styleId="Heading1Char">
    <w:name w:val="Heading 1 Char"/>
    <w:basedOn w:val="DefaultParagraphFont"/>
    <w:link w:val="Heading1"/>
    <w:uiPriority w:val="9"/>
    <w:rsid w:val="00674E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E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E3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674E33"/>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semiHidden/>
    <w:rsid w:val="00674E33"/>
    <w:rPr>
      <w:rFonts w:asciiTheme="majorHAnsi" w:eastAsiaTheme="majorEastAsia" w:hAnsiTheme="majorHAnsi" w:cstheme="majorBidi"/>
      <w:i/>
      <w:iCs/>
      <w:color w:val="243F60" w:themeColor="accent1" w:themeShade="7F"/>
      <w:sz w:val="20"/>
      <w:szCs w:val="20"/>
    </w:rPr>
  </w:style>
  <w:style w:type="paragraph" w:customStyle="1" w:styleId="SNRListNumbered">
    <w:name w:val="SNR List Numbered"/>
    <w:basedOn w:val="SNRNormal"/>
    <w:uiPriority w:val="99"/>
    <w:rsid w:val="00674E33"/>
    <w:pPr>
      <w:numPr>
        <w:numId w:val="8"/>
      </w:numPr>
      <w:tabs>
        <w:tab w:val="left" w:pos="720"/>
      </w:tabs>
    </w:pPr>
  </w:style>
  <w:style w:type="character" w:customStyle="1" w:styleId="SNRHeading2Char">
    <w:name w:val="SNR Heading 2 Char"/>
    <w:basedOn w:val="DefaultParagraphFont"/>
    <w:link w:val="SNRHeading2"/>
    <w:uiPriority w:val="99"/>
    <w:rsid w:val="00FE2C7C"/>
    <w:rPr>
      <w:rFonts w:ascii="Frutiger LT Pro 45 Light" w:eastAsia="Times New Roman" w:hAnsi="Frutiger LT Pro 45 Light" w:cs="Times New Roman"/>
      <w:b/>
      <w:szCs w:val="20"/>
      <w:lang w:eastAsia="ar-SA"/>
    </w:rPr>
  </w:style>
  <w:style w:type="paragraph" w:styleId="Header">
    <w:name w:val="header"/>
    <w:basedOn w:val="Normal"/>
    <w:link w:val="HeaderChar"/>
    <w:uiPriority w:val="99"/>
    <w:unhideWhenUsed/>
    <w:rsid w:val="00D72696"/>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D72696"/>
    <w:rPr>
      <w:rFonts w:ascii="Frutiger 45 Light" w:eastAsia="Times New Roman" w:hAnsi="Frutiger 45 Light" w:cs="Times New Roman"/>
      <w:sz w:val="20"/>
      <w:szCs w:val="20"/>
    </w:rPr>
  </w:style>
  <w:style w:type="paragraph" w:styleId="Footer">
    <w:name w:val="footer"/>
    <w:basedOn w:val="Normal"/>
    <w:link w:val="FooterChar"/>
    <w:uiPriority w:val="99"/>
    <w:unhideWhenUsed/>
    <w:rsid w:val="00D72696"/>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D72696"/>
    <w:rPr>
      <w:rFonts w:ascii="Frutiger 45 Light" w:eastAsia="Times New Roman" w:hAnsi="Frutiger 45 Light" w:cs="Times New Roman"/>
      <w:sz w:val="20"/>
      <w:szCs w:val="20"/>
    </w:rPr>
  </w:style>
  <w:style w:type="paragraph" w:styleId="NoSpacing">
    <w:name w:val="No Spacing"/>
    <w:link w:val="NoSpacingChar"/>
    <w:uiPriority w:val="1"/>
    <w:qFormat/>
    <w:rsid w:val="00D7269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72696"/>
    <w:rPr>
      <w:rFonts w:eastAsiaTheme="minorEastAsia"/>
      <w:lang w:val="en-US" w:eastAsia="ja-JP"/>
    </w:rPr>
  </w:style>
  <w:style w:type="character" w:styleId="FollowedHyperlink">
    <w:name w:val="FollowedHyperlink"/>
    <w:basedOn w:val="DefaultParagraphFont"/>
    <w:uiPriority w:val="99"/>
    <w:semiHidden/>
    <w:unhideWhenUsed/>
    <w:rsid w:val="00226C17"/>
    <w:rPr>
      <w:color w:val="800080" w:themeColor="followedHyperlink"/>
      <w:u w:val="single"/>
    </w:rPr>
  </w:style>
  <w:style w:type="character" w:customStyle="1" w:styleId="apple-converted-space">
    <w:name w:val="apple-converted-space"/>
    <w:basedOn w:val="DefaultParagraphFont"/>
    <w:rsid w:val="00ED294A"/>
  </w:style>
  <w:style w:type="paragraph" w:styleId="NormalWeb">
    <w:name w:val="Normal (Web)"/>
    <w:basedOn w:val="Normal"/>
    <w:uiPriority w:val="99"/>
    <w:semiHidden/>
    <w:unhideWhenUsed/>
    <w:rsid w:val="000E288A"/>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A9C"/>
    <w:pPr>
      <w:tabs>
        <w:tab w:val="left" w:pos="567"/>
      </w:tabs>
      <w:overflowPunct w:val="0"/>
      <w:autoSpaceDE w:val="0"/>
      <w:autoSpaceDN w:val="0"/>
      <w:adjustRightInd w:val="0"/>
      <w:spacing w:after="0" w:line="280" w:lineRule="exact"/>
    </w:pPr>
    <w:rPr>
      <w:rFonts w:ascii="Frutiger 45 Light" w:eastAsia="Times New Roman" w:hAnsi="Frutiger 45 Light" w:cs="Times New Roman"/>
      <w:sz w:val="20"/>
      <w:szCs w:val="20"/>
    </w:rPr>
  </w:style>
  <w:style w:type="paragraph" w:styleId="Heading1">
    <w:name w:val="heading 1"/>
    <w:basedOn w:val="Normal"/>
    <w:next w:val="Normal"/>
    <w:link w:val="Heading1Char"/>
    <w:uiPriority w:val="9"/>
    <w:qFormat/>
    <w:rsid w:val="00674E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E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E3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74E33"/>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674E3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3A9C"/>
    <w:rPr>
      <w:color w:val="0000FF"/>
      <w:u w:val="single"/>
    </w:rPr>
  </w:style>
  <w:style w:type="paragraph" w:styleId="ListParagraph">
    <w:name w:val="List Paragraph"/>
    <w:basedOn w:val="Normal"/>
    <w:uiPriority w:val="34"/>
    <w:qFormat/>
    <w:rsid w:val="00C03A9C"/>
    <w:pPr>
      <w:ind w:left="720"/>
    </w:pPr>
  </w:style>
  <w:style w:type="table" w:styleId="TableGrid">
    <w:name w:val="Table Grid"/>
    <w:basedOn w:val="TableNormal"/>
    <w:uiPriority w:val="59"/>
    <w:rsid w:val="00C03A9C"/>
    <w:pPr>
      <w:spacing w:after="0" w:line="240" w:lineRule="auto"/>
    </w:pPr>
    <w:rPr>
      <w:rFonts w:ascii="Calibri" w:eastAsia="Calibri" w:hAnsi="Calibri"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B944A9"/>
    <w:pPr>
      <w:tabs>
        <w:tab w:val="clear" w:pos="567"/>
      </w:tabs>
      <w:overflowPunct/>
      <w:autoSpaceDE/>
      <w:autoSpaceDN/>
      <w:adjustRightInd/>
      <w:spacing w:line="240" w:lineRule="auto"/>
      <w:jc w:val="center"/>
    </w:pPr>
    <w:rPr>
      <w:rFonts w:ascii="Times New Roman" w:hAnsi="Times New Roman"/>
      <w:b/>
      <w:sz w:val="24"/>
      <w:lang w:eastAsia="en-GB"/>
    </w:rPr>
  </w:style>
  <w:style w:type="paragraph" w:styleId="BalloonText">
    <w:name w:val="Balloon Text"/>
    <w:basedOn w:val="Normal"/>
    <w:link w:val="BalloonTextChar"/>
    <w:uiPriority w:val="99"/>
    <w:semiHidden/>
    <w:unhideWhenUsed/>
    <w:rsid w:val="001343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3F7"/>
    <w:rPr>
      <w:rFonts w:ascii="Tahoma" w:eastAsia="Times New Roman" w:hAnsi="Tahoma" w:cs="Tahoma"/>
      <w:sz w:val="16"/>
      <w:szCs w:val="16"/>
    </w:rPr>
  </w:style>
  <w:style w:type="table" w:customStyle="1" w:styleId="LightShading-Accent11">
    <w:name w:val="Light Shading - Accent 11"/>
    <w:basedOn w:val="TableNormal"/>
    <w:uiPriority w:val="60"/>
    <w:rsid w:val="001C584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NRTableHeading">
    <w:name w:val="SNR Table Heading"/>
    <w:basedOn w:val="Normal"/>
    <w:uiPriority w:val="99"/>
    <w:rsid w:val="001E0E5E"/>
    <w:pPr>
      <w:keepNext/>
      <w:tabs>
        <w:tab w:val="clear" w:pos="567"/>
      </w:tabs>
      <w:suppressAutoHyphens/>
      <w:autoSpaceDN/>
      <w:adjustRightInd/>
      <w:spacing w:before="20" w:after="20" w:line="240" w:lineRule="auto"/>
      <w:jc w:val="center"/>
      <w:textAlignment w:val="baseline"/>
    </w:pPr>
    <w:rPr>
      <w:rFonts w:ascii="Frutiger LT Pro 45 Light" w:eastAsia="MS Mincho" w:hAnsi="Frutiger LT Pro 45 Light"/>
      <w:b/>
      <w:lang w:eastAsia="ar-SA"/>
    </w:rPr>
  </w:style>
  <w:style w:type="paragraph" w:customStyle="1" w:styleId="SNRTableText">
    <w:name w:val="SNR Table Text"/>
    <w:basedOn w:val="Normal"/>
    <w:uiPriority w:val="99"/>
    <w:rsid w:val="001E0E5E"/>
    <w:pPr>
      <w:tabs>
        <w:tab w:val="clear" w:pos="567"/>
      </w:tabs>
      <w:suppressAutoHyphens/>
      <w:autoSpaceDN/>
      <w:adjustRightInd/>
      <w:spacing w:before="40" w:after="40"/>
      <w:textAlignment w:val="baseline"/>
    </w:pPr>
    <w:rPr>
      <w:rFonts w:ascii="Frutiger LT Pro 45 Light" w:eastAsia="MS Mincho" w:hAnsi="Frutiger LT Pro 45 Light"/>
      <w:sz w:val="18"/>
      <w:lang w:eastAsia="ar-SA"/>
    </w:rPr>
  </w:style>
  <w:style w:type="character" w:styleId="FootnoteReference">
    <w:name w:val="footnote reference"/>
    <w:rsid w:val="007D3140"/>
    <w:rPr>
      <w:vertAlign w:val="superscript"/>
    </w:rPr>
  </w:style>
  <w:style w:type="paragraph" w:styleId="FootnoteText">
    <w:name w:val="footnote text"/>
    <w:basedOn w:val="Normal"/>
    <w:link w:val="FootnoteTextChar"/>
    <w:rsid w:val="007D3140"/>
    <w:pPr>
      <w:tabs>
        <w:tab w:val="clear" w:pos="567"/>
        <w:tab w:val="left" w:pos="284"/>
      </w:tabs>
      <w:suppressAutoHyphens/>
      <w:autoSpaceDN/>
      <w:adjustRightInd/>
      <w:spacing w:before="40" w:after="40" w:line="240" w:lineRule="auto"/>
      <w:ind w:left="284" w:hanging="284"/>
      <w:textAlignment w:val="baseline"/>
    </w:pPr>
    <w:rPr>
      <w:rFonts w:ascii="Frutiger LT Pro 45 Light" w:hAnsi="Frutiger LT Pro 45 Light"/>
      <w:sz w:val="16"/>
      <w:lang w:eastAsia="ar-SA"/>
    </w:rPr>
  </w:style>
  <w:style w:type="character" w:customStyle="1" w:styleId="FootnoteTextChar">
    <w:name w:val="Footnote Text Char"/>
    <w:basedOn w:val="DefaultParagraphFont"/>
    <w:link w:val="FootnoteText"/>
    <w:rsid w:val="007D3140"/>
    <w:rPr>
      <w:rFonts w:ascii="Frutiger LT Pro 45 Light" w:eastAsia="Times New Roman" w:hAnsi="Frutiger LT Pro 45 Light" w:cs="Times New Roman"/>
      <w:sz w:val="16"/>
      <w:szCs w:val="20"/>
      <w:lang w:eastAsia="ar-SA"/>
    </w:rPr>
  </w:style>
  <w:style w:type="paragraph" w:customStyle="1" w:styleId="SNRNormal">
    <w:name w:val="SNR Normal"/>
    <w:basedOn w:val="Normal"/>
    <w:link w:val="SNRNormalChar1"/>
    <w:uiPriority w:val="99"/>
    <w:rsid w:val="007D3140"/>
    <w:pPr>
      <w:tabs>
        <w:tab w:val="clear" w:pos="567"/>
      </w:tabs>
      <w:suppressAutoHyphens/>
      <w:autoSpaceDN/>
      <w:adjustRightInd/>
      <w:spacing w:before="240" w:after="40" w:line="280" w:lineRule="atLeast"/>
      <w:textAlignment w:val="baseline"/>
    </w:pPr>
    <w:rPr>
      <w:rFonts w:ascii="Frutiger LT Pro 45 Light" w:hAnsi="Frutiger LT Pro 45 Light"/>
      <w:sz w:val="22"/>
      <w:lang w:eastAsia="ar-SA"/>
    </w:rPr>
  </w:style>
  <w:style w:type="character" w:customStyle="1" w:styleId="SNRNormalChar1">
    <w:name w:val="SNR Normal Char1"/>
    <w:basedOn w:val="DefaultParagraphFont"/>
    <w:link w:val="SNRNormal"/>
    <w:uiPriority w:val="99"/>
    <w:rsid w:val="007D3140"/>
    <w:rPr>
      <w:rFonts w:ascii="Frutiger LT Pro 45 Light" w:eastAsia="Times New Roman" w:hAnsi="Frutiger LT Pro 45 Light" w:cs="Times New Roman"/>
      <w:szCs w:val="20"/>
      <w:lang w:eastAsia="ar-SA"/>
    </w:rPr>
  </w:style>
  <w:style w:type="paragraph" w:customStyle="1" w:styleId="SNRHeading1">
    <w:name w:val="SNR Heading 1"/>
    <w:basedOn w:val="Heading1"/>
    <w:next w:val="SNRNormal"/>
    <w:uiPriority w:val="99"/>
    <w:rsid w:val="00674E33"/>
    <w:pPr>
      <w:keepNext w:val="0"/>
      <w:keepLines w:val="0"/>
      <w:pageBreakBefore/>
      <w:numPr>
        <w:numId w:val="7"/>
      </w:numPr>
      <w:tabs>
        <w:tab w:val="clear" w:pos="567"/>
        <w:tab w:val="num" w:pos="360"/>
      </w:tabs>
      <w:suppressAutoHyphens/>
      <w:autoSpaceDN/>
      <w:adjustRightInd/>
      <w:spacing w:before="40" w:after="240" w:line="280" w:lineRule="atLeast"/>
      <w:ind w:left="0"/>
      <w:textAlignment w:val="baseline"/>
    </w:pPr>
    <w:rPr>
      <w:rFonts w:ascii="Frutiger LT Pro 45 Light" w:eastAsia="Times New Roman" w:hAnsi="Frutiger LT Pro 45 Light" w:cs="Times New Roman"/>
      <w:bCs w:val="0"/>
      <w:color w:val="auto"/>
      <w:kern w:val="1"/>
      <w:sz w:val="24"/>
      <w:szCs w:val="24"/>
      <w:lang w:eastAsia="ar-SA"/>
    </w:rPr>
  </w:style>
  <w:style w:type="paragraph" w:customStyle="1" w:styleId="SNRHeading2">
    <w:name w:val="SNR Heading 2"/>
    <w:basedOn w:val="Heading2"/>
    <w:next w:val="SNRNormal"/>
    <w:link w:val="SNRHeading2Char"/>
    <w:uiPriority w:val="99"/>
    <w:rsid w:val="00674E33"/>
    <w:pPr>
      <w:keepLines w:val="0"/>
      <w:numPr>
        <w:ilvl w:val="1"/>
        <w:numId w:val="7"/>
      </w:numPr>
      <w:tabs>
        <w:tab w:val="clear" w:pos="567"/>
        <w:tab w:val="num" w:pos="360"/>
      </w:tabs>
      <w:suppressAutoHyphens/>
      <w:autoSpaceDN/>
      <w:adjustRightInd/>
      <w:spacing w:before="240" w:after="40"/>
      <w:textAlignment w:val="baseline"/>
    </w:pPr>
    <w:rPr>
      <w:rFonts w:ascii="Frutiger LT Pro 45 Light" w:eastAsia="Times New Roman" w:hAnsi="Frutiger LT Pro 45 Light" w:cs="Times New Roman"/>
      <w:bCs w:val="0"/>
      <w:color w:val="auto"/>
      <w:sz w:val="22"/>
      <w:szCs w:val="20"/>
      <w:lang w:eastAsia="ar-SA"/>
    </w:rPr>
  </w:style>
  <w:style w:type="paragraph" w:customStyle="1" w:styleId="SNRHeading3">
    <w:name w:val="SNR Heading 3"/>
    <w:basedOn w:val="Heading3"/>
    <w:next w:val="SNRNormal"/>
    <w:uiPriority w:val="99"/>
    <w:rsid w:val="00674E33"/>
    <w:pPr>
      <w:keepLines w:val="0"/>
      <w:numPr>
        <w:ilvl w:val="2"/>
        <w:numId w:val="7"/>
      </w:numPr>
      <w:shd w:val="clear" w:color="auto" w:fill="FFFFFF"/>
      <w:tabs>
        <w:tab w:val="clear" w:pos="567"/>
        <w:tab w:val="num" w:pos="360"/>
      </w:tabs>
      <w:suppressAutoHyphens/>
      <w:autoSpaceDN/>
      <w:adjustRightInd/>
      <w:spacing w:before="240" w:after="40" w:line="280" w:lineRule="atLeast"/>
      <w:textAlignment w:val="baseline"/>
    </w:pPr>
    <w:rPr>
      <w:rFonts w:ascii="Frutiger LT Pro 45 Light" w:eastAsia="Times New Roman" w:hAnsi="Frutiger LT Pro 45 Light" w:cs="Arial"/>
      <w:bCs w:val="0"/>
      <w:color w:val="auto"/>
      <w:lang w:eastAsia="ar-SA"/>
    </w:rPr>
  </w:style>
  <w:style w:type="paragraph" w:customStyle="1" w:styleId="SNRTableSource">
    <w:name w:val="SNR Table Source"/>
    <w:basedOn w:val="Normal"/>
    <w:uiPriority w:val="99"/>
    <w:rsid w:val="00674E33"/>
    <w:pPr>
      <w:tabs>
        <w:tab w:val="clear" w:pos="567"/>
      </w:tabs>
      <w:suppressAutoHyphens/>
      <w:autoSpaceDN/>
      <w:adjustRightInd/>
      <w:spacing w:before="40" w:after="40" w:line="240" w:lineRule="auto"/>
      <w:textAlignment w:val="baseline"/>
    </w:pPr>
    <w:rPr>
      <w:rFonts w:ascii="Frutiger LT Pro 45 Light" w:eastAsia="MS Mincho" w:hAnsi="Frutiger LT Pro 45 Light"/>
      <w:sz w:val="16"/>
      <w:szCs w:val="16"/>
      <w:lang w:eastAsia="ar-SA"/>
    </w:rPr>
  </w:style>
  <w:style w:type="paragraph" w:customStyle="1" w:styleId="SNRHeading4">
    <w:name w:val="SNR Heading 4"/>
    <w:basedOn w:val="Heading4"/>
    <w:uiPriority w:val="99"/>
    <w:rsid w:val="00674E33"/>
    <w:pPr>
      <w:keepLines w:val="0"/>
      <w:numPr>
        <w:ilvl w:val="3"/>
        <w:numId w:val="7"/>
      </w:numPr>
      <w:tabs>
        <w:tab w:val="clear" w:pos="567"/>
        <w:tab w:val="num" w:pos="360"/>
      </w:tabs>
      <w:suppressAutoHyphens/>
      <w:autoSpaceDN/>
      <w:adjustRightInd/>
      <w:spacing w:before="240" w:after="60"/>
      <w:textAlignment w:val="baseline"/>
    </w:pPr>
    <w:rPr>
      <w:rFonts w:ascii="Frutiger LT Pro 45 Light" w:eastAsia="Times New Roman" w:hAnsi="Frutiger LT Pro 45 Light" w:cs="Times New Roman"/>
      <w:b w:val="0"/>
      <w:bCs w:val="0"/>
      <w:iCs w:val="0"/>
      <w:color w:val="auto"/>
      <w:lang w:eastAsia="ar-SA"/>
    </w:rPr>
  </w:style>
  <w:style w:type="paragraph" w:customStyle="1" w:styleId="SNRFiguretitle">
    <w:name w:val="SNR Figure title"/>
    <w:basedOn w:val="Heading6"/>
    <w:next w:val="SNRNormal"/>
    <w:uiPriority w:val="99"/>
    <w:rsid w:val="00674E33"/>
    <w:pPr>
      <w:keepLines w:val="0"/>
      <w:numPr>
        <w:ilvl w:val="5"/>
        <w:numId w:val="7"/>
      </w:numPr>
      <w:tabs>
        <w:tab w:val="clear" w:pos="567"/>
        <w:tab w:val="num" w:pos="360"/>
      </w:tabs>
      <w:suppressAutoHyphens/>
      <w:autoSpaceDN/>
      <w:adjustRightInd/>
      <w:spacing w:before="0" w:after="120"/>
      <w:textAlignment w:val="baseline"/>
      <w:outlineLvl w:val="9"/>
    </w:pPr>
    <w:rPr>
      <w:rFonts w:ascii="Frutiger LT Pro 45 Light" w:eastAsia="Times New Roman" w:hAnsi="Frutiger LT Pro 45 Light" w:cs="Frutiger LT Pro 45 Light"/>
      <w:i w:val="0"/>
      <w:iCs w:val="0"/>
      <w:noProof/>
      <w:color w:val="auto"/>
      <w:lang w:eastAsia="en-GB"/>
    </w:rPr>
  </w:style>
  <w:style w:type="paragraph" w:customStyle="1" w:styleId="Default">
    <w:name w:val="Default"/>
    <w:rsid w:val="00674E33"/>
    <w:pPr>
      <w:autoSpaceDE w:val="0"/>
      <w:autoSpaceDN w:val="0"/>
      <w:adjustRightInd w:val="0"/>
      <w:spacing w:before="40" w:after="40" w:line="240" w:lineRule="auto"/>
    </w:pPr>
    <w:rPr>
      <w:rFonts w:ascii="Tahoma" w:eastAsia="Times New Roman" w:hAnsi="Tahoma" w:cs="Tahoma"/>
      <w:color w:val="000000"/>
      <w:sz w:val="24"/>
      <w:szCs w:val="24"/>
      <w:lang w:eastAsia="en-GB"/>
    </w:rPr>
  </w:style>
  <w:style w:type="character" w:customStyle="1" w:styleId="Heading1Char">
    <w:name w:val="Heading 1 Char"/>
    <w:basedOn w:val="DefaultParagraphFont"/>
    <w:link w:val="Heading1"/>
    <w:uiPriority w:val="9"/>
    <w:rsid w:val="00674E3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E3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E33"/>
    <w:rPr>
      <w:rFonts w:asciiTheme="majorHAnsi" w:eastAsiaTheme="majorEastAsia" w:hAnsiTheme="majorHAnsi" w:cstheme="majorBidi"/>
      <w:b/>
      <w:bCs/>
      <w:color w:val="4F81BD" w:themeColor="accent1"/>
      <w:sz w:val="20"/>
      <w:szCs w:val="20"/>
    </w:rPr>
  </w:style>
  <w:style w:type="character" w:customStyle="1" w:styleId="Heading4Char">
    <w:name w:val="Heading 4 Char"/>
    <w:basedOn w:val="DefaultParagraphFont"/>
    <w:link w:val="Heading4"/>
    <w:uiPriority w:val="9"/>
    <w:semiHidden/>
    <w:rsid w:val="00674E33"/>
    <w:rPr>
      <w:rFonts w:asciiTheme="majorHAnsi" w:eastAsiaTheme="majorEastAsia" w:hAnsiTheme="majorHAnsi" w:cstheme="majorBidi"/>
      <w:b/>
      <w:bCs/>
      <w:i/>
      <w:iCs/>
      <w:color w:val="4F81BD" w:themeColor="accent1"/>
      <w:sz w:val="20"/>
      <w:szCs w:val="20"/>
    </w:rPr>
  </w:style>
  <w:style w:type="character" w:customStyle="1" w:styleId="Heading6Char">
    <w:name w:val="Heading 6 Char"/>
    <w:basedOn w:val="DefaultParagraphFont"/>
    <w:link w:val="Heading6"/>
    <w:uiPriority w:val="9"/>
    <w:semiHidden/>
    <w:rsid w:val="00674E33"/>
    <w:rPr>
      <w:rFonts w:asciiTheme="majorHAnsi" w:eastAsiaTheme="majorEastAsia" w:hAnsiTheme="majorHAnsi" w:cstheme="majorBidi"/>
      <w:i/>
      <w:iCs/>
      <w:color w:val="243F60" w:themeColor="accent1" w:themeShade="7F"/>
      <w:sz w:val="20"/>
      <w:szCs w:val="20"/>
    </w:rPr>
  </w:style>
  <w:style w:type="paragraph" w:customStyle="1" w:styleId="SNRListNumbered">
    <w:name w:val="SNR List Numbered"/>
    <w:basedOn w:val="SNRNormal"/>
    <w:uiPriority w:val="99"/>
    <w:rsid w:val="00674E33"/>
    <w:pPr>
      <w:numPr>
        <w:numId w:val="8"/>
      </w:numPr>
      <w:tabs>
        <w:tab w:val="left" w:pos="720"/>
      </w:tabs>
    </w:pPr>
  </w:style>
  <w:style w:type="character" w:customStyle="1" w:styleId="SNRHeading2Char">
    <w:name w:val="SNR Heading 2 Char"/>
    <w:basedOn w:val="DefaultParagraphFont"/>
    <w:link w:val="SNRHeading2"/>
    <w:uiPriority w:val="99"/>
    <w:rsid w:val="00FE2C7C"/>
    <w:rPr>
      <w:rFonts w:ascii="Frutiger LT Pro 45 Light" w:eastAsia="Times New Roman" w:hAnsi="Frutiger LT Pro 45 Light" w:cs="Times New Roman"/>
      <w:b/>
      <w:szCs w:val="20"/>
      <w:lang w:eastAsia="ar-SA"/>
    </w:rPr>
  </w:style>
  <w:style w:type="paragraph" w:styleId="Header">
    <w:name w:val="header"/>
    <w:basedOn w:val="Normal"/>
    <w:link w:val="HeaderChar"/>
    <w:uiPriority w:val="99"/>
    <w:unhideWhenUsed/>
    <w:rsid w:val="00D72696"/>
    <w:pPr>
      <w:tabs>
        <w:tab w:val="clear" w:pos="567"/>
        <w:tab w:val="center" w:pos="4513"/>
        <w:tab w:val="right" w:pos="9026"/>
      </w:tabs>
      <w:spacing w:line="240" w:lineRule="auto"/>
    </w:pPr>
  </w:style>
  <w:style w:type="character" w:customStyle="1" w:styleId="HeaderChar">
    <w:name w:val="Header Char"/>
    <w:basedOn w:val="DefaultParagraphFont"/>
    <w:link w:val="Header"/>
    <w:uiPriority w:val="99"/>
    <w:rsid w:val="00D72696"/>
    <w:rPr>
      <w:rFonts w:ascii="Frutiger 45 Light" w:eastAsia="Times New Roman" w:hAnsi="Frutiger 45 Light" w:cs="Times New Roman"/>
      <w:sz w:val="20"/>
      <w:szCs w:val="20"/>
    </w:rPr>
  </w:style>
  <w:style w:type="paragraph" w:styleId="Footer">
    <w:name w:val="footer"/>
    <w:basedOn w:val="Normal"/>
    <w:link w:val="FooterChar"/>
    <w:uiPriority w:val="99"/>
    <w:unhideWhenUsed/>
    <w:rsid w:val="00D72696"/>
    <w:pPr>
      <w:tabs>
        <w:tab w:val="clear" w:pos="567"/>
        <w:tab w:val="center" w:pos="4513"/>
        <w:tab w:val="right" w:pos="9026"/>
      </w:tabs>
      <w:spacing w:line="240" w:lineRule="auto"/>
    </w:pPr>
  </w:style>
  <w:style w:type="character" w:customStyle="1" w:styleId="FooterChar">
    <w:name w:val="Footer Char"/>
    <w:basedOn w:val="DefaultParagraphFont"/>
    <w:link w:val="Footer"/>
    <w:uiPriority w:val="99"/>
    <w:rsid w:val="00D72696"/>
    <w:rPr>
      <w:rFonts w:ascii="Frutiger 45 Light" w:eastAsia="Times New Roman" w:hAnsi="Frutiger 45 Light" w:cs="Times New Roman"/>
      <w:sz w:val="20"/>
      <w:szCs w:val="20"/>
    </w:rPr>
  </w:style>
  <w:style w:type="paragraph" w:styleId="NoSpacing">
    <w:name w:val="No Spacing"/>
    <w:link w:val="NoSpacingChar"/>
    <w:uiPriority w:val="1"/>
    <w:qFormat/>
    <w:rsid w:val="00D7269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D72696"/>
    <w:rPr>
      <w:rFonts w:eastAsiaTheme="minorEastAsia"/>
      <w:lang w:val="en-US" w:eastAsia="ja-JP"/>
    </w:rPr>
  </w:style>
  <w:style w:type="character" w:styleId="FollowedHyperlink">
    <w:name w:val="FollowedHyperlink"/>
    <w:basedOn w:val="DefaultParagraphFont"/>
    <w:uiPriority w:val="99"/>
    <w:semiHidden/>
    <w:unhideWhenUsed/>
    <w:rsid w:val="00226C17"/>
    <w:rPr>
      <w:color w:val="800080" w:themeColor="followedHyperlink"/>
      <w:u w:val="single"/>
    </w:rPr>
  </w:style>
  <w:style w:type="character" w:customStyle="1" w:styleId="apple-converted-space">
    <w:name w:val="apple-converted-space"/>
    <w:basedOn w:val="DefaultParagraphFont"/>
    <w:rsid w:val="00ED294A"/>
  </w:style>
  <w:style w:type="paragraph" w:styleId="NormalWeb">
    <w:name w:val="Normal (Web)"/>
    <w:basedOn w:val="Normal"/>
    <w:uiPriority w:val="99"/>
    <w:semiHidden/>
    <w:unhideWhenUsed/>
    <w:rsid w:val="000E288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68940">
      <w:bodyDiv w:val="1"/>
      <w:marLeft w:val="0"/>
      <w:marRight w:val="0"/>
      <w:marTop w:val="0"/>
      <w:marBottom w:val="0"/>
      <w:divBdr>
        <w:top w:val="none" w:sz="0" w:space="0" w:color="auto"/>
        <w:left w:val="none" w:sz="0" w:space="0" w:color="auto"/>
        <w:bottom w:val="none" w:sz="0" w:space="0" w:color="auto"/>
        <w:right w:val="none" w:sz="0" w:space="0" w:color="auto"/>
      </w:divBdr>
    </w:div>
    <w:div w:id="113982097">
      <w:bodyDiv w:val="1"/>
      <w:marLeft w:val="0"/>
      <w:marRight w:val="0"/>
      <w:marTop w:val="0"/>
      <w:marBottom w:val="0"/>
      <w:divBdr>
        <w:top w:val="none" w:sz="0" w:space="0" w:color="auto"/>
        <w:left w:val="none" w:sz="0" w:space="0" w:color="auto"/>
        <w:bottom w:val="none" w:sz="0" w:space="0" w:color="auto"/>
        <w:right w:val="none" w:sz="0" w:space="0" w:color="auto"/>
      </w:divBdr>
    </w:div>
    <w:div w:id="117800463">
      <w:bodyDiv w:val="1"/>
      <w:marLeft w:val="0"/>
      <w:marRight w:val="0"/>
      <w:marTop w:val="0"/>
      <w:marBottom w:val="0"/>
      <w:divBdr>
        <w:top w:val="none" w:sz="0" w:space="0" w:color="auto"/>
        <w:left w:val="none" w:sz="0" w:space="0" w:color="auto"/>
        <w:bottom w:val="none" w:sz="0" w:space="0" w:color="auto"/>
        <w:right w:val="none" w:sz="0" w:space="0" w:color="auto"/>
      </w:divBdr>
    </w:div>
    <w:div w:id="190610328">
      <w:bodyDiv w:val="1"/>
      <w:marLeft w:val="0"/>
      <w:marRight w:val="0"/>
      <w:marTop w:val="0"/>
      <w:marBottom w:val="0"/>
      <w:divBdr>
        <w:top w:val="none" w:sz="0" w:space="0" w:color="auto"/>
        <w:left w:val="none" w:sz="0" w:space="0" w:color="auto"/>
        <w:bottom w:val="none" w:sz="0" w:space="0" w:color="auto"/>
        <w:right w:val="none" w:sz="0" w:space="0" w:color="auto"/>
      </w:divBdr>
    </w:div>
    <w:div w:id="322974783">
      <w:bodyDiv w:val="1"/>
      <w:marLeft w:val="0"/>
      <w:marRight w:val="0"/>
      <w:marTop w:val="0"/>
      <w:marBottom w:val="0"/>
      <w:divBdr>
        <w:top w:val="none" w:sz="0" w:space="0" w:color="auto"/>
        <w:left w:val="none" w:sz="0" w:space="0" w:color="auto"/>
        <w:bottom w:val="none" w:sz="0" w:space="0" w:color="auto"/>
        <w:right w:val="none" w:sz="0" w:space="0" w:color="auto"/>
      </w:divBdr>
    </w:div>
    <w:div w:id="324823299">
      <w:bodyDiv w:val="1"/>
      <w:marLeft w:val="0"/>
      <w:marRight w:val="0"/>
      <w:marTop w:val="0"/>
      <w:marBottom w:val="0"/>
      <w:divBdr>
        <w:top w:val="none" w:sz="0" w:space="0" w:color="auto"/>
        <w:left w:val="none" w:sz="0" w:space="0" w:color="auto"/>
        <w:bottom w:val="none" w:sz="0" w:space="0" w:color="auto"/>
        <w:right w:val="none" w:sz="0" w:space="0" w:color="auto"/>
      </w:divBdr>
    </w:div>
    <w:div w:id="339312396">
      <w:bodyDiv w:val="1"/>
      <w:marLeft w:val="0"/>
      <w:marRight w:val="0"/>
      <w:marTop w:val="0"/>
      <w:marBottom w:val="0"/>
      <w:divBdr>
        <w:top w:val="none" w:sz="0" w:space="0" w:color="auto"/>
        <w:left w:val="none" w:sz="0" w:space="0" w:color="auto"/>
        <w:bottom w:val="none" w:sz="0" w:space="0" w:color="auto"/>
        <w:right w:val="none" w:sz="0" w:space="0" w:color="auto"/>
      </w:divBdr>
    </w:div>
    <w:div w:id="351998408">
      <w:bodyDiv w:val="1"/>
      <w:marLeft w:val="0"/>
      <w:marRight w:val="0"/>
      <w:marTop w:val="0"/>
      <w:marBottom w:val="0"/>
      <w:divBdr>
        <w:top w:val="none" w:sz="0" w:space="0" w:color="auto"/>
        <w:left w:val="none" w:sz="0" w:space="0" w:color="auto"/>
        <w:bottom w:val="none" w:sz="0" w:space="0" w:color="auto"/>
        <w:right w:val="none" w:sz="0" w:space="0" w:color="auto"/>
      </w:divBdr>
    </w:div>
    <w:div w:id="419376385">
      <w:bodyDiv w:val="1"/>
      <w:marLeft w:val="0"/>
      <w:marRight w:val="0"/>
      <w:marTop w:val="0"/>
      <w:marBottom w:val="0"/>
      <w:divBdr>
        <w:top w:val="none" w:sz="0" w:space="0" w:color="auto"/>
        <w:left w:val="none" w:sz="0" w:space="0" w:color="auto"/>
        <w:bottom w:val="none" w:sz="0" w:space="0" w:color="auto"/>
        <w:right w:val="none" w:sz="0" w:space="0" w:color="auto"/>
      </w:divBdr>
    </w:div>
    <w:div w:id="463350889">
      <w:bodyDiv w:val="1"/>
      <w:marLeft w:val="0"/>
      <w:marRight w:val="0"/>
      <w:marTop w:val="0"/>
      <w:marBottom w:val="0"/>
      <w:divBdr>
        <w:top w:val="none" w:sz="0" w:space="0" w:color="auto"/>
        <w:left w:val="none" w:sz="0" w:space="0" w:color="auto"/>
        <w:bottom w:val="none" w:sz="0" w:space="0" w:color="auto"/>
        <w:right w:val="none" w:sz="0" w:space="0" w:color="auto"/>
      </w:divBdr>
    </w:div>
    <w:div w:id="562059718">
      <w:bodyDiv w:val="1"/>
      <w:marLeft w:val="0"/>
      <w:marRight w:val="0"/>
      <w:marTop w:val="0"/>
      <w:marBottom w:val="0"/>
      <w:divBdr>
        <w:top w:val="none" w:sz="0" w:space="0" w:color="auto"/>
        <w:left w:val="none" w:sz="0" w:space="0" w:color="auto"/>
        <w:bottom w:val="none" w:sz="0" w:space="0" w:color="auto"/>
        <w:right w:val="none" w:sz="0" w:space="0" w:color="auto"/>
      </w:divBdr>
    </w:div>
    <w:div w:id="570625370">
      <w:bodyDiv w:val="1"/>
      <w:marLeft w:val="0"/>
      <w:marRight w:val="0"/>
      <w:marTop w:val="0"/>
      <w:marBottom w:val="0"/>
      <w:divBdr>
        <w:top w:val="none" w:sz="0" w:space="0" w:color="auto"/>
        <w:left w:val="none" w:sz="0" w:space="0" w:color="auto"/>
        <w:bottom w:val="none" w:sz="0" w:space="0" w:color="auto"/>
        <w:right w:val="none" w:sz="0" w:space="0" w:color="auto"/>
      </w:divBdr>
    </w:div>
    <w:div w:id="601959938">
      <w:bodyDiv w:val="1"/>
      <w:marLeft w:val="0"/>
      <w:marRight w:val="0"/>
      <w:marTop w:val="0"/>
      <w:marBottom w:val="0"/>
      <w:divBdr>
        <w:top w:val="none" w:sz="0" w:space="0" w:color="auto"/>
        <w:left w:val="none" w:sz="0" w:space="0" w:color="auto"/>
        <w:bottom w:val="none" w:sz="0" w:space="0" w:color="auto"/>
        <w:right w:val="none" w:sz="0" w:space="0" w:color="auto"/>
      </w:divBdr>
    </w:div>
    <w:div w:id="653144013">
      <w:bodyDiv w:val="1"/>
      <w:marLeft w:val="0"/>
      <w:marRight w:val="0"/>
      <w:marTop w:val="0"/>
      <w:marBottom w:val="0"/>
      <w:divBdr>
        <w:top w:val="none" w:sz="0" w:space="0" w:color="auto"/>
        <w:left w:val="none" w:sz="0" w:space="0" w:color="auto"/>
        <w:bottom w:val="none" w:sz="0" w:space="0" w:color="auto"/>
        <w:right w:val="none" w:sz="0" w:space="0" w:color="auto"/>
      </w:divBdr>
    </w:div>
    <w:div w:id="667172898">
      <w:bodyDiv w:val="1"/>
      <w:marLeft w:val="0"/>
      <w:marRight w:val="0"/>
      <w:marTop w:val="0"/>
      <w:marBottom w:val="0"/>
      <w:divBdr>
        <w:top w:val="none" w:sz="0" w:space="0" w:color="auto"/>
        <w:left w:val="none" w:sz="0" w:space="0" w:color="auto"/>
        <w:bottom w:val="none" w:sz="0" w:space="0" w:color="auto"/>
        <w:right w:val="none" w:sz="0" w:space="0" w:color="auto"/>
      </w:divBdr>
    </w:div>
    <w:div w:id="734275537">
      <w:bodyDiv w:val="1"/>
      <w:marLeft w:val="0"/>
      <w:marRight w:val="0"/>
      <w:marTop w:val="0"/>
      <w:marBottom w:val="0"/>
      <w:divBdr>
        <w:top w:val="none" w:sz="0" w:space="0" w:color="auto"/>
        <w:left w:val="none" w:sz="0" w:space="0" w:color="auto"/>
        <w:bottom w:val="none" w:sz="0" w:space="0" w:color="auto"/>
        <w:right w:val="none" w:sz="0" w:space="0" w:color="auto"/>
      </w:divBdr>
    </w:div>
    <w:div w:id="746419019">
      <w:bodyDiv w:val="1"/>
      <w:marLeft w:val="0"/>
      <w:marRight w:val="0"/>
      <w:marTop w:val="0"/>
      <w:marBottom w:val="0"/>
      <w:divBdr>
        <w:top w:val="none" w:sz="0" w:space="0" w:color="auto"/>
        <w:left w:val="none" w:sz="0" w:space="0" w:color="auto"/>
        <w:bottom w:val="none" w:sz="0" w:space="0" w:color="auto"/>
        <w:right w:val="none" w:sz="0" w:space="0" w:color="auto"/>
      </w:divBdr>
    </w:div>
    <w:div w:id="794371369">
      <w:bodyDiv w:val="1"/>
      <w:marLeft w:val="0"/>
      <w:marRight w:val="0"/>
      <w:marTop w:val="0"/>
      <w:marBottom w:val="0"/>
      <w:divBdr>
        <w:top w:val="none" w:sz="0" w:space="0" w:color="auto"/>
        <w:left w:val="none" w:sz="0" w:space="0" w:color="auto"/>
        <w:bottom w:val="none" w:sz="0" w:space="0" w:color="auto"/>
        <w:right w:val="none" w:sz="0" w:space="0" w:color="auto"/>
      </w:divBdr>
    </w:div>
    <w:div w:id="843710760">
      <w:bodyDiv w:val="1"/>
      <w:marLeft w:val="0"/>
      <w:marRight w:val="0"/>
      <w:marTop w:val="0"/>
      <w:marBottom w:val="0"/>
      <w:divBdr>
        <w:top w:val="none" w:sz="0" w:space="0" w:color="auto"/>
        <w:left w:val="none" w:sz="0" w:space="0" w:color="auto"/>
        <w:bottom w:val="none" w:sz="0" w:space="0" w:color="auto"/>
        <w:right w:val="none" w:sz="0" w:space="0" w:color="auto"/>
      </w:divBdr>
    </w:div>
    <w:div w:id="877819675">
      <w:bodyDiv w:val="1"/>
      <w:marLeft w:val="0"/>
      <w:marRight w:val="0"/>
      <w:marTop w:val="0"/>
      <w:marBottom w:val="0"/>
      <w:divBdr>
        <w:top w:val="none" w:sz="0" w:space="0" w:color="auto"/>
        <w:left w:val="none" w:sz="0" w:space="0" w:color="auto"/>
        <w:bottom w:val="none" w:sz="0" w:space="0" w:color="auto"/>
        <w:right w:val="none" w:sz="0" w:space="0" w:color="auto"/>
      </w:divBdr>
    </w:div>
    <w:div w:id="925379088">
      <w:bodyDiv w:val="1"/>
      <w:marLeft w:val="0"/>
      <w:marRight w:val="0"/>
      <w:marTop w:val="0"/>
      <w:marBottom w:val="0"/>
      <w:divBdr>
        <w:top w:val="none" w:sz="0" w:space="0" w:color="auto"/>
        <w:left w:val="none" w:sz="0" w:space="0" w:color="auto"/>
        <w:bottom w:val="none" w:sz="0" w:space="0" w:color="auto"/>
        <w:right w:val="none" w:sz="0" w:space="0" w:color="auto"/>
      </w:divBdr>
    </w:div>
    <w:div w:id="956834462">
      <w:bodyDiv w:val="1"/>
      <w:marLeft w:val="0"/>
      <w:marRight w:val="0"/>
      <w:marTop w:val="0"/>
      <w:marBottom w:val="0"/>
      <w:divBdr>
        <w:top w:val="none" w:sz="0" w:space="0" w:color="auto"/>
        <w:left w:val="none" w:sz="0" w:space="0" w:color="auto"/>
        <w:bottom w:val="none" w:sz="0" w:space="0" w:color="auto"/>
        <w:right w:val="none" w:sz="0" w:space="0" w:color="auto"/>
      </w:divBdr>
    </w:div>
    <w:div w:id="1017928814">
      <w:bodyDiv w:val="1"/>
      <w:marLeft w:val="0"/>
      <w:marRight w:val="0"/>
      <w:marTop w:val="0"/>
      <w:marBottom w:val="0"/>
      <w:divBdr>
        <w:top w:val="none" w:sz="0" w:space="0" w:color="auto"/>
        <w:left w:val="none" w:sz="0" w:space="0" w:color="auto"/>
        <w:bottom w:val="none" w:sz="0" w:space="0" w:color="auto"/>
        <w:right w:val="none" w:sz="0" w:space="0" w:color="auto"/>
      </w:divBdr>
    </w:div>
    <w:div w:id="1022123617">
      <w:bodyDiv w:val="1"/>
      <w:marLeft w:val="0"/>
      <w:marRight w:val="0"/>
      <w:marTop w:val="0"/>
      <w:marBottom w:val="0"/>
      <w:divBdr>
        <w:top w:val="none" w:sz="0" w:space="0" w:color="auto"/>
        <w:left w:val="none" w:sz="0" w:space="0" w:color="auto"/>
        <w:bottom w:val="none" w:sz="0" w:space="0" w:color="auto"/>
        <w:right w:val="none" w:sz="0" w:space="0" w:color="auto"/>
      </w:divBdr>
    </w:div>
    <w:div w:id="1125663396">
      <w:bodyDiv w:val="1"/>
      <w:marLeft w:val="0"/>
      <w:marRight w:val="0"/>
      <w:marTop w:val="0"/>
      <w:marBottom w:val="0"/>
      <w:divBdr>
        <w:top w:val="none" w:sz="0" w:space="0" w:color="auto"/>
        <w:left w:val="none" w:sz="0" w:space="0" w:color="auto"/>
        <w:bottom w:val="none" w:sz="0" w:space="0" w:color="auto"/>
        <w:right w:val="none" w:sz="0" w:space="0" w:color="auto"/>
      </w:divBdr>
    </w:div>
    <w:div w:id="1132095750">
      <w:bodyDiv w:val="1"/>
      <w:marLeft w:val="0"/>
      <w:marRight w:val="0"/>
      <w:marTop w:val="0"/>
      <w:marBottom w:val="0"/>
      <w:divBdr>
        <w:top w:val="none" w:sz="0" w:space="0" w:color="auto"/>
        <w:left w:val="none" w:sz="0" w:space="0" w:color="auto"/>
        <w:bottom w:val="none" w:sz="0" w:space="0" w:color="auto"/>
        <w:right w:val="none" w:sz="0" w:space="0" w:color="auto"/>
      </w:divBdr>
    </w:div>
    <w:div w:id="1136024386">
      <w:bodyDiv w:val="1"/>
      <w:marLeft w:val="0"/>
      <w:marRight w:val="0"/>
      <w:marTop w:val="0"/>
      <w:marBottom w:val="0"/>
      <w:divBdr>
        <w:top w:val="none" w:sz="0" w:space="0" w:color="auto"/>
        <w:left w:val="none" w:sz="0" w:space="0" w:color="auto"/>
        <w:bottom w:val="none" w:sz="0" w:space="0" w:color="auto"/>
        <w:right w:val="none" w:sz="0" w:space="0" w:color="auto"/>
      </w:divBdr>
    </w:div>
    <w:div w:id="1167593888">
      <w:bodyDiv w:val="1"/>
      <w:marLeft w:val="0"/>
      <w:marRight w:val="0"/>
      <w:marTop w:val="0"/>
      <w:marBottom w:val="0"/>
      <w:divBdr>
        <w:top w:val="none" w:sz="0" w:space="0" w:color="auto"/>
        <w:left w:val="none" w:sz="0" w:space="0" w:color="auto"/>
        <w:bottom w:val="none" w:sz="0" w:space="0" w:color="auto"/>
        <w:right w:val="none" w:sz="0" w:space="0" w:color="auto"/>
      </w:divBdr>
    </w:div>
    <w:div w:id="1171218969">
      <w:bodyDiv w:val="1"/>
      <w:marLeft w:val="0"/>
      <w:marRight w:val="0"/>
      <w:marTop w:val="0"/>
      <w:marBottom w:val="0"/>
      <w:divBdr>
        <w:top w:val="none" w:sz="0" w:space="0" w:color="auto"/>
        <w:left w:val="none" w:sz="0" w:space="0" w:color="auto"/>
        <w:bottom w:val="none" w:sz="0" w:space="0" w:color="auto"/>
        <w:right w:val="none" w:sz="0" w:space="0" w:color="auto"/>
      </w:divBdr>
    </w:div>
    <w:div w:id="1311133787">
      <w:bodyDiv w:val="1"/>
      <w:marLeft w:val="0"/>
      <w:marRight w:val="0"/>
      <w:marTop w:val="0"/>
      <w:marBottom w:val="0"/>
      <w:divBdr>
        <w:top w:val="none" w:sz="0" w:space="0" w:color="auto"/>
        <w:left w:val="none" w:sz="0" w:space="0" w:color="auto"/>
        <w:bottom w:val="none" w:sz="0" w:space="0" w:color="auto"/>
        <w:right w:val="none" w:sz="0" w:space="0" w:color="auto"/>
      </w:divBdr>
    </w:div>
    <w:div w:id="1333530131">
      <w:bodyDiv w:val="1"/>
      <w:marLeft w:val="0"/>
      <w:marRight w:val="0"/>
      <w:marTop w:val="0"/>
      <w:marBottom w:val="0"/>
      <w:divBdr>
        <w:top w:val="none" w:sz="0" w:space="0" w:color="auto"/>
        <w:left w:val="none" w:sz="0" w:space="0" w:color="auto"/>
        <w:bottom w:val="none" w:sz="0" w:space="0" w:color="auto"/>
        <w:right w:val="none" w:sz="0" w:space="0" w:color="auto"/>
      </w:divBdr>
    </w:div>
    <w:div w:id="1340935763">
      <w:bodyDiv w:val="1"/>
      <w:marLeft w:val="0"/>
      <w:marRight w:val="0"/>
      <w:marTop w:val="0"/>
      <w:marBottom w:val="0"/>
      <w:divBdr>
        <w:top w:val="none" w:sz="0" w:space="0" w:color="auto"/>
        <w:left w:val="none" w:sz="0" w:space="0" w:color="auto"/>
        <w:bottom w:val="none" w:sz="0" w:space="0" w:color="auto"/>
        <w:right w:val="none" w:sz="0" w:space="0" w:color="auto"/>
      </w:divBdr>
    </w:div>
    <w:div w:id="1430153180">
      <w:bodyDiv w:val="1"/>
      <w:marLeft w:val="0"/>
      <w:marRight w:val="0"/>
      <w:marTop w:val="0"/>
      <w:marBottom w:val="0"/>
      <w:divBdr>
        <w:top w:val="none" w:sz="0" w:space="0" w:color="auto"/>
        <w:left w:val="none" w:sz="0" w:space="0" w:color="auto"/>
        <w:bottom w:val="none" w:sz="0" w:space="0" w:color="auto"/>
        <w:right w:val="none" w:sz="0" w:space="0" w:color="auto"/>
      </w:divBdr>
    </w:div>
    <w:div w:id="1551112866">
      <w:bodyDiv w:val="1"/>
      <w:marLeft w:val="0"/>
      <w:marRight w:val="0"/>
      <w:marTop w:val="0"/>
      <w:marBottom w:val="0"/>
      <w:divBdr>
        <w:top w:val="none" w:sz="0" w:space="0" w:color="auto"/>
        <w:left w:val="none" w:sz="0" w:space="0" w:color="auto"/>
        <w:bottom w:val="none" w:sz="0" w:space="0" w:color="auto"/>
        <w:right w:val="none" w:sz="0" w:space="0" w:color="auto"/>
      </w:divBdr>
    </w:div>
    <w:div w:id="1555852225">
      <w:bodyDiv w:val="1"/>
      <w:marLeft w:val="0"/>
      <w:marRight w:val="0"/>
      <w:marTop w:val="0"/>
      <w:marBottom w:val="0"/>
      <w:divBdr>
        <w:top w:val="none" w:sz="0" w:space="0" w:color="auto"/>
        <w:left w:val="none" w:sz="0" w:space="0" w:color="auto"/>
        <w:bottom w:val="none" w:sz="0" w:space="0" w:color="auto"/>
        <w:right w:val="none" w:sz="0" w:space="0" w:color="auto"/>
      </w:divBdr>
    </w:div>
    <w:div w:id="1563638035">
      <w:bodyDiv w:val="1"/>
      <w:marLeft w:val="0"/>
      <w:marRight w:val="0"/>
      <w:marTop w:val="0"/>
      <w:marBottom w:val="0"/>
      <w:divBdr>
        <w:top w:val="none" w:sz="0" w:space="0" w:color="auto"/>
        <w:left w:val="none" w:sz="0" w:space="0" w:color="auto"/>
        <w:bottom w:val="none" w:sz="0" w:space="0" w:color="auto"/>
        <w:right w:val="none" w:sz="0" w:space="0" w:color="auto"/>
      </w:divBdr>
    </w:div>
    <w:div w:id="1681545058">
      <w:bodyDiv w:val="1"/>
      <w:marLeft w:val="0"/>
      <w:marRight w:val="0"/>
      <w:marTop w:val="0"/>
      <w:marBottom w:val="0"/>
      <w:divBdr>
        <w:top w:val="none" w:sz="0" w:space="0" w:color="auto"/>
        <w:left w:val="none" w:sz="0" w:space="0" w:color="auto"/>
        <w:bottom w:val="none" w:sz="0" w:space="0" w:color="auto"/>
        <w:right w:val="none" w:sz="0" w:space="0" w:color="auto"/>
      </w:divBdr>
    </w:div>
    <w:div w:id="1706102423">
      <w:bodyDiv w:val="1"/>
      <w:marLeft w:val="0"/>
      <w:marRight w:val="0"/>
      <w:marTop w:val="0"/>
      <w:marBottom w:val="0"/>
      <w:divBdr>
        <w:top w:val="none" w:sz="0" w:space="0" w:color="auto"/>
        <w:left w:val="none" w:sz="0" w:space="0" w:color="auto"/>
        <w:bottom w:val="none" w:sz="0" w:space="0" w:color="auto"/>
        <w:right w:val="none" w:sz="0" w:space="0" w:color="auto"/>
      </w:divBdr>
    </w:div>
    <w:div w:id="1813331034">
      <w:bodyDiv w:val="1"/>
      <w:marLeft w:val="0"/>
      <w:marRight w:val="0"/>
      <w:marTop w:val="0"/>
      <w:marBottom w:val="0"/>
      <w:divBdr>
        <w:top w:val="none" w:sz="0" w:space="0" w:color="auto"/>
        <w:left w:val="none" w:sz="0" w:space="0" w:color="auto"/>
        <w:bottom w:val="none" w:sz="0" w:space="0" w:color="auto"/>
        <w:right w:val="none" w:sz="0" w:space="0" w:color="auto"/>
      </w:divBdr>
    </w:div>
    <w:div w:id="1840925842">
      <w:bodyDiv w:val="1"/>
      <w:marLeft w:val="0"/>
      <w:marRight w:val="0"/>
      <w:marTop w:val="0"/>
      <w:marBottom w:val="0"/>
      <w:divBdr>
        <w:top w:val="none" w:sz="0" w:space="0" w:color="auto"/>
        <w:left w:val="none" w:sz="0" w:space="0" w:color="auto"/>
        <w:bottom w:val="none" w:sz="0" w:space="0" w:color="auto"/>
        <w:right w:val="none" w:sz="0" w:space="0" w:color="auto"/>
      </w:divBdr>
    </w:div>
    <w:div w:id="1882554319">
      <w:bodyDiv w:val="1"/>
      <w:marLeft w:val="0"/>
      <w:marRight w:val="0"/>
      <w:marTop w:val="0"/>
      <w:marBottom w:val="0"/>
      <w:divBdr>
        <w:top w:val="none" w:sz="0" w:space="0" w:color="auto"/>
        <w:left w:val="none" w:sz="0" w:space="0" w:color="auto"/>
        <w:bottom w:val="none" w:sz="0" w:space="0" w:color="auto"/>
        <w:right w:val="none" w:sz="0" w:space="0" w:color="auto"/>
      </w:divBdr>
    </w:div>
    <w:div w:id="1972905984">
      <w:bodyDiv w:val="1"/>
      <w:marLeft w:val="0"/>
      <w:marRight w:val="0"/>
      <w:marTop w:val="0"/>
      <w:marBottom w:val="0"/>
      <w:divBdr>
        <w:top w:val="none" w:sz="0" w:space="0" w:color="auto"/>
        <w:left w:val="none" w:sz="0" w:space="0" w:color="auto"/>
        <w:bottom w:val="none" w:sz="0" w:space="0" w:color="auto"/>
        <w:right w:val="none" w:sz="0" w:space="0" w:color="auto"/>
      </w:divBdr>
    </w:div>
    <w:div w:id="1991136520">
      <w:bodyDiv w:val="1"/>
      <w:marLeft w:val="0"/>
      <w:marRight w:val="0"/>
      <w:marTop w:val="0"/>
      <w:marBottom w:val="0"/>
      <w:divBdr>
        <w:top w:val="none" w:sz="0" w:space="0" w:color="auto"/>
        <w:left w:val="none" w:sz="0" w:space="0" w:color="auto"/>
        <w:bottom w:val="none" w:sz="0" w:space="0" w:color="auto"/>
        <w:right w:val="none" w:sz="0" w:space="0" w:color="auto"/>
      </w:divBdr>
    </w:div>
    <w:div w:id="2061128296">
      <w:bodyDiv w:val="1"/>
      <w:marLeft w:val="0"/>
      <w:marRight w:val="0"/>
      <w:marTop w:val="0"/>
      <w:marBottom w:val="0"/>
      <w:divBdr>
        <w:top w:val="none" w:sz="0" w:space="0" w:color="auto"/>
        <w:left w:val="none" w:sz="0" w:space="0" w:color="auto"/>
        <w:bottom w:val="none" w:sz="0" w:space="0" w:color="auto"/>
        <w:right w:val="none" w:sz="0" w:space="0" w:color="auto"/>
      </w:divBdr>
    </w:div>
    <w:div w:id="2068457029">
      <w:bodyDiv w:val="1"/>
      <w:marLeft w:val="0"/>
      <w:marRight w:val="0"/>
      <w:marTop w:val="0"/>
      <w:marBottom w:val="0"/>
      <w:divBdr>
        <w:top w:val="none" w:sz="0" w:space="0" w:color="auto"/>
        <w:left w:val="none" w:sz="0" w:space="0" w:color="auto"/>
        <w:bottom w:val="none" w:sz="0" w:space="0" w:color="auto"/>
        <w:right w:val="none" w:sz="0" w:space="0" w:color="auto"/>
      </w:divBdr>
    </w:div>
    <w:div w:id="20902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455C-8711-49F9-BAC7-9267EBDA7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DDA6872E.dotm</Template>
  <TotalTime>201</TotalTime>
  <Pages>53</Pages>
  <Words>23395</Words>
  <Characters>133354</Characters>
  <Application>Microsoft Office Word</Application>
  <DocSecurity>0</DocSecurity>
  <Lines>1111</Lines>
  <Paragraphs>312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156437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Bennett</dc:creator>
  <cp:lastModifiedBy>Judith Bennett</cp:lastModifiedBy>
  <cp:revision>48</cp:revision>
  <cp:lastPrinted>2013-11-13T10:21:00Z</cp:lastPrinted>
  <dcterms:created xsi:type="dcterms:W3CDTF">2013-08-24T18:25:00Z</dcterms:created>
  <dcterms:modified xsi:type="dcterms:W3CDTF">2013-11-13T10:21:00Z</dcterms:modified>
</cp:coreProperties>
</file>